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37D236D" wp14:editId="02C4EB9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80465">
            <w:t>FINAL</w:t>
          </w:r>
          <w:r w:rsidR="00DA4752">
            <w:t xml:space="preserve"> DECISION</w:t>
          </w:r>
        </w:p>
        <w:p w:rsidR="00415F31" w:rsidRDefault="00B9733D" w:rsidP="008F07A3">
          <w:pPr>
            <w:pStyle w:val="ReportSubtitle"/>
          </w:pPr>
          <w:r>
            <w:t>AusNet Services</w:t>
          </w:r>
          <w:r w:rsidR="00415F31">
            <w:t xml:space="preserve"> transmission </w:t>
          </w:r>
          <w:r w:rsidR="00DA4752">
            <w:t>determination</w:t>
          </w:r>
        </w:p>
        <w:p w:rsidR="000A6C7B" w:rsidRDefault="00C80465" w:rsidP="008F07A3">
          <w:pPr>
            <w:pStyle w:val="ReportSubtitle"/>
          </w:pPr>
          <w:r>
            <w:t>2017-2022</w:t>
          </w:r>
        </w:p>
        <w:p w:rsidR="008F07A3" w:rsidRPr="000A6C7B" w:rsidRDefault="008F07A3" w:rsidP="008F07A3">
          <w:pPr>
            <w:pStyle w:val="ReportSubtitle"/>
          </w:pPr>
        </w:p>
        <w:p w:rsidR="000A6C7B" w:rsidRPr="000A6C7B" w:rsidRDefault="00AC02B7" w:rsidP="008F07A3">
          <w:pPr>
            <w:pStyle w:val="ReportSubtitle"/>
          </w:pPr>
          <w:r>
            <w:t>Overview</w:t>
          </w:r>
        </w:p>
        <w:p w:rsidR="00B9733D" w:rsidRDefault="00B9733D" w:rsidP="00327A1E">
          <w:pPr>
            <w:pStyle w:val="ReportDate"/>
          </w:pPr>
        </w:p>
        <w:p w:rsidR="000A6C7B" w:rsidRPr="00327A1E" w:rsidRDefault="00C80465" w:rsidP="00327A1E">
          <w:pPr>
            <w:pStyle w:val="ReportDate"/>
          </w:pPr>
          <w:r>
            <w:t>April 2017</w:t>
          </w:r>
        </w:p>
      </w:sdtContent>
    </w:sdt>
    <w:p w:rsidR="00327A1E" w:rsidRPr="00290C63" w:rsidRDefault="00327A1E" w:rsidP="00290C63">
      <w:r>
        <w:br w:type="page"/>
      </w:r>
    </w:p>
    <w:p w:rsidR="000A6C7B" w:rsidRDefault="004F6806"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C5075A">
        <w:rPr>
          <w:sz w:val="20"/>
          <w:szCs w:val="20"/>
        </w:rP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B9562D" w:rsidRDefault="000A6C7B" w:rsidP="00B9562D">
      <w:pPr>
        <w:pStyle w:val="Copyright"/>
      </w:pPr>
      <w:r>
        <w:t xml:space="preserve">Tel: </w:t>
      </w:r>
      <w:r w:rsidR="00EA327D">
        <w:t>1300 585 165</w:t>
      </w:r>
      <w:r w:rsidR="00951978">
        <w:br/>
      </w:r>
      <w:r>
        <w:t xml:space="preserve">Email: </w:t>
      </w:r>
      <w:hyperlink r:id="rId11" w:history="1">
        <w:r w:rsidRPr="00D64888">
          <w:rPr>
            <w:rStyle w:val="Hyperlink"/>
          </w:rPr>
          <w:t>AERInquiry@aer.gov.au</w:t>
        </w:r>
      </w:hyperlink>
      <w:r w:rsidR="00951978">
        <w:rPr>
          <w:rStyle w:val="Hyperlink"/>
        </w:rPr>
        <w:br/>
      </w:r>
    </w:p>
    <w:p w:rsidR="008F07A3" w:rsidRPr="009D3906" w:rsidRDefault="00415F31" w:rsidP="00B9562D">
      <w:pPr>
        <w:pStyle w:val="Copyright"/>
      </w:pPr>
      <w:r w:rsidRPr="009D3906">
        <w:t>AER reference:</w:t>
      </w:r>
      <w:r w:rsidRPr="009D3906">
        <w:tab/>
      </w:r>
      <w:r w:rsidR="00EA327D">
        <w:t>56417</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80988344"/>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C5075A">
        <w:t>overview</w:t>
      </w:r>
      <w:r w:rsidR="00415F31">
        <w:t xml:space="preserve"> forms part of the AER's </w:t>
      </w:r>
      <w:r w:rsidR="00C80465">
        <w:t>final</w:t>
      </w:r>
      <w:r w:rsidR="00415F31">
        <w:t xml:space="preserve"> decision on </w:t>
      </w:r>
      <w:r w:rsidR="000B321F">
        <w:t>AusNet Services’</w:t>
      </w:r>
      <w:r w:rsidR="00415F31">
        <w:t xml:space="preserve"> revenue proposal 201</w:t>
      </w:r>
      <w:r w:rsidR="000B321F">
        <w:t>7</w:t>
      </w:r>
      <w:r w:rsidR="00415F31" w:rsidRPr="00D904FA">
        <w:t>–</w:t>
      </w:r>
      <w:r w:rsidR="000B321F">
        <w:t>22</w:t>
      </w:r>
      <w:r w:rsidR="00415F31">
        <w:t xml:space="preserve">. It should be read with other parts of the </w:t>
      </w:r>
      <w:r w:rsidR="00C80465">
        <w:t>final</w:t>
      </w:r>
      <w:r w:rsidR="00415F31">
        <w:t xml:space="preserve"> decision.</w:t>
      </w:r>
    </w:p>
    <w:p w:rsidR="00415F31" w:rsidRDefault="00415F31" w:rsidP="00415F31">
      <w:pPr>
        <w:numPr>
          <w:ilvl w:val="0"/>
          <w:numId w:val="25"/>
        </w:numPr>
        <w:spacing w:before="0" w:after="240" w:line="288" w:lineRule="auto"/>
        <w:jc w:val="both"/>
      </w:pPr>
      <w:r>
        <w:t xml:space="preserve">The </w:t>
      </w:r>
      <w:r w:rsidR="00C80465">
        <w:t>final</w:t>
      </w:r>
      <w:r>
        <w:t xml:space="preserve">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8098834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867A0E"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80988344" w:history="1">
            <w:r w:rsidR="00867A0E" w:rsidRPr="00764CD7">
              <w:rPr>
                <w:rStyle w:val="Hyperlink"/>
              </w:rPr>
              <w:t>Note</w:t>
            </w:r>
            <w:r w:rsidR="00867A0E">
              <w:rPr>
                <w:webHidden/>
              </w:rPr>
              <w:tab/>
            </w:r>
            <w:r w:rsidR="00867A0E">
              <w:rPr>
                <w:webHidden/>
              </w:rPr>
              <w:fldChar w:fldCharType="begin"/>
            </w:r>
            <w:r w:rsidR="00867A0E">
              <w:rPr>
                <w:webHidden/>
              </w:rPr>
              <w:instrText xml:space="preserve"> PAGEREF _Toc480988344 \h </w:instrText>
            </w:r>
            <w:r w:rsidR="00867A0E">
              <w:rPr>
                <w:webHidden/>
              </w:rPr>
            </w:r>
            <w:r w:rsidR="00867A0E">
              <w:rPr>
                <w:webHidden/>
              </w:rPr>
              <w:fldChar w:fldCharType="separate"/>
            </w:r>
            <w:r w:rsidR="00867A0E">
              <w:rPr>
                <w:webHidden/>
              </w:rPr>
              <w:t>1-2</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45" w:history="1">
            <w:r w:rsidR="00867A0E" w:rsidRPr="00764CD7">
              <w:rPr>
                <w:rStyle w:val="Hyperlink"/>
              </w:rPr>
              <w:t>Contents</w:t>
            </w:r>
            <w:r w:rsidR="00867A0E">
              <w:rPr>
                <w:webHidden/>
              </w:rPr>
              <w:tab/>
            </w:r>
            <w:r w:rsidR="00867A0E">
              <w:rPr>
                <w:webHidden/>
              </w:rPr>
              <w:fldChar w:fldCharType="begin"/>
            </w:r>
            <w:r w:rsidR="00867A0E">
              <w:rPr>
                <w:webHidden/>
              </w:rPr>
              <w:instrText xml:space="preserve"> PAGEREF _Toc480988345 \h </w:instrText>
            </w:r>
            <w:r w:rsidR="00867A0E">
              <w:rPr>
                <w:webHidden/>
              </w:rPr>
            </w:r>
            <w:r w:rsidR="00867A0E">
              <w:rPr>
                <w:webHidden/>
              </w:rPr>
              <w:fldChar w:fldCharType="separate"/>
            </w:r>
            <w:r w:rsidR="00867A0E">
              <w:rPr>
                <w:webHidden/>
              </w:rPr>
              <w:t>3</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46" w:history="1">
            <w:r w:rsidR="00867A0E" w:rsidRPr="00764CD7">
              <w:rPr>
                <w:rStyle w:val="Hyperlink"/>
              </w:rPr>
              <w:t>Shortened forms</w:t>
            </w:r>
            <w:r w:rsidR="00867A0E">
              <w:rPr>
                <w:webHidden/>
              </w:rPr>
              <w:tab/>
            </w:r>
            <w:r w:rsidR="00867A0E">
              <w:rPr>
                <w:webHidden/>
              </w:rPr>
              <w:fldChar w:fldCharType="begin"/>
            </w:r>
            <w:r w:rsidR="00867A0E">
              <w:rPr>
                <w:webHidden/>
              </w:rPr>
              <w:instrText xml:space="preserve"> PAGEREF _Toc480988346 \h </w:instrText>
            </w:r>
            <w:r w:rsidR="00867A0E">
              <w:rPr>
                <w:webHidden/>
              </w:rPr>
            </w:r>
            <w:r w:rsidR="00867A0E">
              <w:rPr>
                <w:webHidden/>
              </w:rPr>
              <w:fldChar w:fldCharType="separate"/>
            </w:r>
            <w:r w:rsidR="00867A0E">
              <w:rPr>
                <w:webHidden/>
              </w:rPr>
              <w:t>5</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47" w:history="1">
            <w:r w:rsidR="00867A0E" w:rsidRPr="00764CD7">
              <w:rPr>
                <w:rStyle w:val="Hyperlink"/>
              </w:rPr>
              <w:t>1</w:t>
            </w:r>
            <w:r w:rsidR="00867A0E">
              <w:rPr>
                <w:rFonts w:asciiTheme="minorHAnsi" w:eastAsiaTheme="minorEastAsia" w:hAnsiTheme="minorHAnsi"/>
                <w:b w:val="0"/>
                <w:color w:val="auto"/>
                <w:sz w:val="22"/>
                <w:lang w:val="en-AU" w:eastAsia="en-AU"/>
              </w:rPr>
              <w:tab/>
            </w:r>
            <w:r w:rsidR="00867A0E" w:rsidRPr="00764CD7">
              <w:rPr>
                <w:rStyle w:val="Hyperlink"/>
              </w:rPr>
              <w:t>Introduction</w:t>
            </w:r>
            <w:r w:rsidR="00867A0E">
              <w:rPr>
                <w:webHidden/>
              </w:rPr>
              <w:tab/>
            </w:r>
            <w:r w:rsidR="00867A0E">
              <w:rPr>
                <w:webHidden/>
              </w:rPr>
              <w:fldChar w:fldCharType="begin"/>
            </w:r>
            <w:r w:rsidR="00867A0E">
              <w:rPr>
                <w:webHidden/>
              </w:rPr>
              <w:instrText xml:space="preserve"> PAGEREF _Toc480988347 \h </w:instrText>
            </w:r>
            <w:r w:rsidR="00867A0E">
              <w:rPr>
                <w:webHidden/>
              </w:rPr>
            </w:r>
            <w:r w:rsidR="00867A0E">
              <w:rPr>
                <w:webHidden/>
              </w:rPr>
              <w:fldChar w:fldCharType="separate"/>
            </w:r>
            <w:r w:rsidR="00867A0E">
              <w:rPr>
                <w:webHidden/>
              </w:rPr>
              <w:t>7</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48" w:history="1">
            <w:r w:rsidR="00867A0E" w:rsidRPr="00764CD7">
              <w:rPr>
                <w:rStyle w:val="Hyperlink"/>
              </w:rPr>
              <w:t>1.1</w:t>
            </w:r>
            <w:r w:rsidR="00867A0E">
              <w:rPr>
                <w:rFonts w:asciiTheme="minorHAnsi" w:eastAsiaTheme="minorEastAsia" w:hAnsiTheme="minorHAnsi"/>
                <w:b w:val="0"/>
                <w:color w:val="auto"/>
                <w:sz w:val="22"/>
                <w:lang w:eastAsia="en-AU"/>
              </w:rPr>
              <w:tab/>
            </w:r>
            <w:r w:rsidR="00867A0E" w:rsidRPr="00764CD7">
              <w:rPr>
                <w:rStyle w:val="Hyperlink"/>
              </w:rPr>
              <w:t>Structure of Overview</w:t>
            </w:r>
            <w:r w:rsidR="00867A0E">
              <w:rPr>
                <w:webHidden/>
              </w:rPr>
              <w:tab/>
            </w:r>
            <w:r w:rsidR="00867A0E">
              <w:rPr>
                <w:webHidden/>
              </w:rPr>
              <w:fldChar w:fldCharType="begin"/>
            </w:r>
            <w:r w:rsidR="00867A0E">
              <w:rPr>
                <w:webHidden/>
              </w:rPr>
              <w:instrText xml:space="preserve"> PAGEREF _Toc480988348 \h </w:instrText>
            </w:r>
            <w:r w:rsidR="00867A0E">
              <w:rPr>
                <w:webHidden/>
              </w:rPr>
            </w:r>
            <w:r w:rsidR="00867A0E">
              <w:rPr>
                <w:webHidden/>
              </w:rPr>
              <w:fldChar w:fldCharType="separate"/>
            </w:r>
            <w:r w:rsidR="00867A0E">
              <w:rPr>
                <w:webHidden/>
              </w:rPr>
              <w:t>7</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49" w:history="1">
            <w:r w:rsidR="00867A0E" w:rsidRPr="00764CD7">
              <w:rPr>
                <w:rStyle w:val="Hyperlink"/>
              </w:rPr>
              <w:t>1.2</w:t>
            </w:r>
            <w:r w:rsidR="00867A0E">
              <w:rPr>
                <w:rFonts w:asciiTheme="minorHAnsi" w:eastAsiaTheme="minorEastAsia" w:hAnsiTheme="minorHAnsi"/>
                <w:b w:val="0"/>
                <w:color w:val="auto"/>
                <w:sz w:val="22"/>
                <w:lang w:eastAsia="en-AU"/>
              </w:rPr>
              <w:tab/>
            </w:r>
            <w:r w:rsidR="00867A0E" w:rsidRPr="00764CD7">
              <w:rPr>
                <w:rStyle w:val="Hyperlink"/>
              </w:rPr>
              <w:t>Victorian electricity transmission</w:t>
            </w:r>
            <w:r w:rsidR="00867A0E">
              <w:rPr>
                <w:webHidden/>
              </w:rPr>
              <w:tab/>
            </w:r>
            <w:r w:rsidR="00867A0E">
              <w:rPr>
                <w:webHidden/>
              </w:rPr>
              <w:fldChar w:fldCharType="begin"/>
            </w:r>
            <w:r w:rsidR="00867A0E">
              <w:rPr>
                <w:webHidden/>
              </w:rPr>
              <w:instrText xml:space="preserve"> PAGEREF _Toc480988349 \h </w:instrText>
            </w:r>
            <w:r w:rsidR="00867A0E">
              <w:rPr>
                <w:webHidden/>
              </w:rPr>
            </w:r>
            <w:r w:rsidR="00867A0E">
              <w:rPr>
                <w:webHidden/>
              </w:rPr>
              <w:fldChar w:fldCharType="separate"/>
            </w:r>
            <w:r w:rsidR="00867A0E">
              <w:rPr>
                <w:webHidden/>
              </w:rPr>
              <w:t>8</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50" w:history="1">
            <w:r w:rsidR="00867A0E" w:rsidRPr="00764CD7">
              <w:rPr>
                <w:rStyle w:val="Hyperlink"/>
              </w:rPr>
              <w:t>2</w:t>
            </w:r>
            <w:r w:rsidR="00867A0E">
              <w:rPr>
                <w:rFonts w:asciiTheme="minorHAnsi" w:eastAsiaTheme="minorEastAsia" w:hAnsiTheme="minorHAnsi"/>
                <w:b w:val="0"/>
                <w:color w:val="auto"/>
                <w:sz w:val="22"/>
                <w:lang w:val="en-AU" w:eastAsia="en-AU"/>
              </w:rPr>
              <w:tab/>
            </w:r>
            <w:r w:rsidR="00867A0E" w:rsidRPr="00764CD7">
              <w:rPr>
                <w:rStyle w:val="Hyperlink"/>
              </w:rPr>
              <w:t>Final decision</w:t>
            </w:r>
            <w:r w:rsidR="00867A0E">
              <w:rPr>
                <w:webHidden/>
              </w:rPr>
              <w:tab/>
            </w:r>
            <w:r w:rsidR="00867A0E">
              <w:rPr>
                <w:webHidden/>
              </w:rPr>
              <w:fldChar w:fldCharType="begin"/>
            </w:r>
            <w:r w:rsidR="00867A0E">
              <w:rPr>
                <w:webHidden/>
              </w:rPr>
              <w:instrText xml:space="preserve"> PAGEREF _Toc480988350 \h </w:instrText>
            </w:r>
            <w:r w:rsidR="00867A0E">
              <w:rPr>
                <w:webHidden/>
              </w:rPr>
            </w:r>
            <w:r w:rsidR="00867A0E">
              <w:rPr>
                <w:webHidden/>
              </w:rPr>
              <w:fldChar w:fldCharType="separate"/>
            </w:r>
            <w:r w:rsidR="00867A0E">
              <w:rPr>
                <w:webHidden/>
              </w:rPr>
              <w:t>9</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1" w:history="1">
            <w:r w:rsidR="00867A0E" w:rsidRPr="00764CD7">
              <w:rPr>
                <w:rStyle w:val="Hyperlink"/>
              </w:rPr>
              <w:t>2.1</w:t>
            </w:r>
            <w:r w:rsidR="00867A0E">
              <w:rPr>
                <w:rFonts w:asciiTheme="minorHAnsi" w:eastAsiaTheme="minorEastAsia" w:hAnsiTheme="minorHAnsi"/>
                <w:b w:val="0"/>
                <w:color w:val="auto"/>
                <w:sz w:val="22"/>
                <w:lang w:eastAsia="en-AU"/>
              </w:rPr>
              <w:tab/>
            </w:r>
            <w:r w:rsidR="00867A0E" w:rsidRPr="00764CD7">
              <w:rPr>
                <w:rStyle w:val="Hyperlink"/>
              </w:rPr>
              <w:t>What is driving allowed revenue?</w:t>
            </w:r>
            <w:r w:rsidR="00867A0E">
              <w:rPr>
                <w:webHidden/>
              </w:rPr>
              <w:tab/>
            </w:r>
            <w:r w:rsidR="00867A0E">
              <w:rPr>
                <w:webHidden/>
              </w:rPr>
              <w:fldChar w:fldCharType="begin"/>
            </w:r>
            <w:r w:rsidR="00867A0E">
              <w:rPr>
                <w:webHidden/>
              </w:rPr>
              <w:instrText xml:space="preserve"> PAGEREF _Toc480988351 \h </w:instrText>
            </w:r>
            <w:r w:rsidR="00867A0E">
              <w:rPr>
                <w:webHidden/>
              </w:rPr>
            </w:r>
            <w:r w:rsidR="00867A0E">
              <w:rPr>
                <w:webHidden/>
              </w:rPr>
              <w:fldChar w:fldCharType="separate"/>
            </w:r>
            <w:r w:rsidR="00867A0E">
              <w:rPr>
                <w:webHidden/>
              </w:rPr>
              <w:t>9</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2" w:history="1">
            <w:r w:rsidR="00867A0E" w:rsidRPr="00764CD7">
              <w:rPr>
                <w:rStyle w:val="Hyperlink"/>
              </w:rPr>
              <w:t>2.2</w:t>
            </w:r>
            <w:r w:rsidR="00867A0E">
              <w:rPr>
                <w:rFonts w:asciiTheme="minorHAnsi" w:eastAsiaTheme="minorEastAsia" w:hAnsiTheme="minorHAnsi"/>
                <w:b w:val="0"/>
                <w:color w:val="auto"/>
                <w:sz w:val="22"/>
                <w:lang w:eastAsia="en-AU"/>
              </w:rPr>
              <w:tab/>
            </w:r>
            <w:r w:rsidR="00867A0E" w:rsidRPr="00764CD7">
              <w:rPr>
                <w:rStyle w:val="Hyperlink"/>
              </w:rPr>
              <w:t>Key differences between our draft and final decisions</w:t>
            </w:r>
            <w:r w:rsidR="00867A0E">
              <w:rPr>
                <w:webHidden/>
              </w:rPr>
              <w:tab/>
            </w:r>
            <w:r w:rsidR="00867A0E">
              <w:rPr>
                <w:webHidden/>
              </w:rPr>
              <w:fldChar w:fldCharType="begin"/>
            </w:r>
            <w:r w:rsidR="00867A0E">
              <w:rPr>
                <w:webHidden/>
              </w:rPr>
              <w:instrText xml:space="preserve"> PAGEREF _Toc480988352 \h </w:instrText>
            </w:r>
            <w:r w:rsidR="00867A0E">
              <w:rPr>
                <w:webHidden/>
              </w:rPr>
            </w:r>
            <w:r w:rsidR="00867A0E">
              <w:rPr>
                <w:webHidden/>
              </w:rPr>
              <w:fldChar w:fldCharType="separate"/>
            </w:r>
            <w:r w:rsidR="00867A0E">
              <w:rPr>
                <w:webHidden/>
              </w:rPr>
              <w:t>11</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3" w:history="1">
            <w:r w:rsidR="00867A0E" w:rsidRPr="00764CD7">
              <w:rPr>
                <w:rStyle w:val="Hyperlink"/>
              </w:rPr>
              <w:t>2.3</w:t>
            </w:r>
            <w:r w:rsidR="00867A0E">
              <w:rPr>
                <w:rFonts w:asciiTheme="minorHAnsi" w:eastAsiaTheme="minorEastAsia" w:hAnsiTheme="minorHAnsi"/>
                <w:b w:val="0"/>
                <w:color w:val="auto"/>
                <w:sz w:val="22"/>
                <w:lang w:eastAsia="en-AU"/>
              </w:rPr>
              <w:tab/>
            </w:r>
            <w:r w:rsidR="00867A0E" w:rsidRPr="00764CD7">
              <w:rPr>
                <w:rStyle w:val="Hyperlink"/>
              </w:rPr>
              <w:t>Expected impact of decision on residential electricity bills</w:t>
            </w:r>
            <w:r w:rsidR="00867A0E">
              <w:rPr>
                <w:webHidden/>
              </w:rPr>
              <w:tab/>
            </w:r>
            <w:r w:rsidR="00867A0E">
              <w:rPr>
                <w:webHidden/>
              </w:rPr>
              <w:fldChar w:fldCharType="begin"/>
            </w:r>
            <w:r w:rsidR="00867A0E">
              <w:rPr>
                <w:webHidden/>
              </w:rPr>
              <w:instrText xml:space="preserve"> PAGEREF _Toc480988353 \h </w:instrText>
            </w:r>
            <w:r w:rsidR="00867A0E">
              <w:rPr>
                <w:webHidden/>
              </w:rPr>
            </w:r>
            <w:r w:rsidR="00867A0E">
              <w:rPr>
                <w:webHidden/>
              </w:rPr>
              <w:fldChar w:fldCharType="separate"/>
            </w:r>
            <w:r w:rsidR="00867A0E">
              <w:rPr>
                <w:webHidden/>
              </w:rPr>
              <w:t>13</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54" w:history="1">
            <w:r w:rsidR="00867A0E" w:rsidRPr="00764CD7">
              <w:rPr>
                <w:rStyle w:val="Hyperlink"/>
              </w:rPr>
              <w:t>3</w:t>
            </w:r>
            <w:r w:rsidR="00867A0E">
              <w:rPr>
                <w:rFonts w:asciiTheme="minorHAnsi" w:eastAsiaTheme="minorEastAsia" w:hAnsiTheme="minorHAnsi"/>
                <w:b w:val="0"/>
                <w:color w:val="auto"/>
                <w:sz w:val="22"/>
                <w:lang w:val="en-AU" w:eastAsia="en-AU"/>
              </w:rPr>
              <w:tab/>
            </w:r>
            <w:r w:rsidR="00867A0E" w:rsidRPr="00764CD7">
              <w:rPr>
                <w:rStyle w:val="Hyperlink"/>
              </w:rPr>
              <w:t>Key elements of our final decision</w:t>
            </w:r>
            <w:r w:rsidR="00867A0E">
              <w:rPr>
                <w:webHidden/>
              </w:rPr>
              <w:tab/>
            </w:r>
            <w:r w:rsidR="00867A0E">
              <w:rPr>
                <w:webHidden/>
              </w:rPr>
              <w:fldChar w:fldCharType="begin"/>
            </w:r>
            <w:r w:rsidR="00867A0E">
              <w:rPr>
                <w:webHidden/>
              </w:rPr>
              <w:instrText xml:space="preserve"> PAGEREF _Toc480988354 \h </w:instrText>
            </w:r>
            <w:r w:rsidR="00867A0E">
              <w:rPr>
                <w:webHidden/>
              </w:rPr>
            </w:r>
            <w:r w:rsidR="00867A0E">
              <w:rPr>
                <w:webHidden/>
              </w:rPr>
              <w:fldChar w:fldCharType="separate"/>
            </w:r>
            <w:r w:rsidR="00867A0E">
              <w:rPr>
                <w:webHidden/>
              </w:rPr>
              <w:t>15</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5" w:history="1">
            <w:r w:rsidR="00867A0E" w:rsidRPr="00764CD7">
              <w:rPr>
                <w:rStyle w:val="Hyperlink"/>
              </w:rPr>
              <w:t>3.1</w:t>
            </w:r>
            <w:r w:rsidR="00867A0E">
              <w:rPr>
                <w:rFonts w:asciiTheme="minorHAnsi" w:eastAsiaTheme="minorEastAsia" w:hAnsiTheme="minorHAnsi"/>
                <w:b w:val="0"/>
                <w:color w:val="auto"/>
                <w:sz w:val="22"/>
                <w:lang w:eastAsia="en-AU"/>
              </w:rPr>
              <w:tab/>
            </w:r>
            <w:r w:rsidR="00867A0E" w:rsidRPr="00764CD7">
              <w:rPr>
                <w:rStyle w:val="Hyperlink"/>
              </w:rPr>
              <w:t>Regulatory asset base</w:t>
            </w:r>
            <w:r w:rsidR="00867A0E">
              <w:rPr>
                <w:webHidden/>
              </w:rPr>
              <w:tab/>
            </w:r>
            <w:r w:rsidR="00867A0E">
              <w:rPr>
                <w:webHidden/>
              </w:rPr>
              <w:fldChar w:fldCharType="begin"/>
            </w:r>
            <w:r w:rsidR="00867A0E">
              <w:rPr>
                <w:webHidden/>
              </w:rPr>
              <w:instrText xml:space="preserve"> PAGEREF _Toc480988355 \h </w:instrText>
            </w:r>
            <w:r w:rsidR="00867A0E">
              <w:rPr>
                <w:webHidden/>
              </w:rPr>
            </w:r>
            <w:r w:rsidR="00867A0E">
              <w:rPr>
                <w:webHidden/>
              </w:rPr>
              <w:fldChar w:fldCharType="separate"/>
            </w:r>
            <w:r w:rsidR="00867A0E">
              <w:rPr>
                <w:webHidden/>
              </w:rPr>
              <w:t>17</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6" w:history="1">
            <w:r w:rsidR="00867A0E" w:rsidRPr="00764CD7">
              <w:rPr>
                <w:rStyle w:val="Hyperlink"/>
              </w:rPr>
              <w:t>3.2</w:t>
            </w:r>
            <w:r w:rsidR="00867A0E">
              <w:rPr>
                <w:rFonts w:asciiTheme="minorHAnsi" w:eastAsiaTheme="minorEastAsia" w:hAnsiTheme="minorHAnsi"/>
                <w:b w:val="0"/>
                <w:color w:val="auto"/>
                <w:sz w:val="22"/>
                <w:lang w:eastAsia="en-AU"/>
              </w:rPr>
              <w:tab/>
            </w:r>
            <w:r w:rsidR="00867A0E" w:rsidRPr="00764CD7">
              <w:rPr>
                <w:rStyle w:val="Hyperlink"/>
              </w:rPr>
              <w:t>Rate of return (return on capital)</w:t>
            </w:r>
            <w:r w:rsidR="00867A0E">
              <w:rPr>
                <w:webHidden/>
              </w:rPr>
              <w:tab/>
            </w:r>
            <w:r w:rsidR="00867A0E">
              <w:rPr>
                <w:webHidden/>
              </w:rPr>
              <w:fldChar w:fldCharType="begin"/>
            </w:r>
            <w:r w:rsidR="00867A0E">
              <w:rPr>
                <w:webHidden/>
              </w:rPr>
              <w:instrText xml:space="preserve"> PAGEREF _Toc480988356 \h </w:instrText>
            </w:r>
            <w:r w:rsidR="00867A0E">
              <w:rPr>
                <w:webHidden/>
              </w:rPr>
            </w:r>
            <w:r w:rsidR="00867A0E">
              <w:rPr>
                <w:webHidden/>
              </w:rPr>
              <w:fldChar w:fldCharType="separate"/>
            </w:r>
            <w:r w:rsidR="00867A0E">
              <w:rPr>
                <w:webHidden/>
              </w:rPr>
              <w:t>20</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7" w:history="1">
            <w:r w:rsidR="00867A0E" w:rsidRPr="00764CD7">
              <w:rPr>
                <w:rStyle w:val="Hyperlink"/>
              </w:rPr>
              <w:t>3.3</w:t>
            </w:r>
            <w:r w:rsidR="00867A0E">
              <w:rPr>
                <w:rFonts w:asciiTheme="minorHAnsi" w:eastAsiaTheme="minorEastAsia" w:hAnsiTheme="minorHAnsi"/>
                <w:b w:val="0"/>
                <w:color w:val="auto"/>
                <w:sz w:val="22"/>
                <w:lang w:eastAsia="en-AU"/>
              </w:rPr>
              <w:tab/>
            </w:r>
            <w:r w:rsidR="00867A0E" w:rsidRPr="00764CD7">
              <w:rPr>
                <w:rStyle w:val="Hyperlink"/>
              </w:rPr>
              <w:t>Value of imputation credits (gamma)</w:t>
            </w:r>
            <w:r w:rsidR="00867A0E">
              <w:rPr>
                <w:webHidden/>
              </w:rPr>
              <w:tab/>
            </w:r>
            <w:r w:rsidR="00867A0E">
              <w:rPr>
                <w:webHidden/>
              </w:rPr>
              <w:fldChar w:fldCharType="begin"/>
            </w:r>
            <w:r w:rsidR="00867A0E">
              <w:rPr>
                <w:webHidden/>
              </w:rPr>
              <w:instrText xml:space="preserve"> PAGEREF _Toc480988357 \h </w:instrText>
            </w:r>
            <w:r w:rsidR="00867A0E">
              <w:rPr>
                <w:webHidden/>
              </w:rPr>
            </w:r>
            <w:r w:rsidR="00867A0E">
              <w:rPr>
                <w:webHidden/>
              </w:rPr>
              <w:fldChar w:fldCharType="separate"/>
            </w:r>
            <w:r w:rsidR="00867A0E">
              <w:rPr>
                <w:webHidden/>
              </w:rPr>
              <w:t>21</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8" w:history="1">
            <w:r w:rsidR="00867A0E" w:rsidRPr="00764CD7">
              <w:rPr>
                <w:rStyle w:val="Hyperlink"/>
              </w:rPr>
              <w:t>3.4</w:t>
            </w:r>
            <w:r w:rsidR="00867A0E">
              <w:rPr>
                <w:rFonts w:asciiTheme="minorHAnsi" w:eastAsiaTheme="minorEastAsia" w:hAnsiTheme="minorHAnsi"/>
                <w:b w:val="0"/>
                <w:color w:val="auto"/>
                <w:sz w:val="22"/>
                <w:lang w:eastAsia="en-AU"/>
              </w:rPr>
              <w:tab/>
            </w:r>
            <w:r w:rsidR="00867A0E" w:rsidRPr="00764CD7">
              <w:rPr>
                <w:rStyle w:val="Hyperlink"/>
              </w:rPr>
              <w:t>Regulatory depreciation (return of capital)</w:t>
            </w:r>
            <w:r w:rsidR="00867A0E">
              <w:rPr>
                <w:webHidden/>
              </w:rPr>
              <w:tab/>
            </w:r>
            <w:r w:rsidR="00867A0E">
              <w:rPr>
                <w:webHidden/>
              </w:rPr>
              <w:fldChar w:fldCharType="begin"/>
            </w:r>
            <w:r w:rsidR="00867A0E">
              <w:rPr>
                <w:webHidden/>
              </w:rPr>
              <w:instrText xml:space="preserve"> PAGEREF _Toc480988358 \h </w:instrText>
            </w:r>
            <w:r w:rsidR="00867A0E">
              <w:rPr>
                <w:webHidden/>
              </w:rPr>
            </w:r>
            <w:r w:rsidR="00867A0E">
              <w:rPr>
                <w:webHidden/>
              </w:rPr>
              <w:fldChar w:fldCharType="separate"/>
            </w:r>
            <w:r w:rsidR="00867A0E">
              <w:rPr>
                <w:webHidden/>
              </w:rPr>
              <w:t>23</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59" w:history="1">
            <w:r w:rsidR="00867A0E" w:rsidRPr="00764CD7">
              <w:rPr>
                <w:rStyle w:val="Hyperlink"/>
              </w:rPr>
              <w:t>3.5</w:t>
            </w:r>
            <w:r w:rsidR="00867A0E">
              <w:rPr>
                <w:rFonts w:asciiTheme="minorHAnsi" w:eastAsiaTheme="minorEastAsia" w:hAnsiTheme="minorHAnsi"/>
                <w:b w:val="0"/>
                <w:color w:val="auto"/>
                <w:sz w:val="22"/>
                <w:lang w:eastAsia="en-AU"/>
              </w:rPr>
              <w:tab/>
            </w:r>
            <w:r w:rsidR="00867A0E" w:rsidRPr="00764CD7">
              <w:rPr>
                <w:rStyle w:val="Hyperlink"/>
              </w:rPr>
              <w:t>Capital expenditure</w:t>
            </w:r>
            <w:r w:rsidR="00867A0E">
              <w:rPr>
                <w:webHidden/>
              </w:rPr>
              <w:tab/>
            </w:r>
            <w:r w:rsidR="00867A0E">
              <w:rPr>
                <w:webHidden/>
              </w:rPr>
              <w:fldChar w:fldCharType="begin"/>
            </w:r>
            <w:r w:rsidR="00867A0E">
              <w:rPr>
                <w:webHidden/>
              </w:rPr>
              <w:instrText xml:space="preserve"> PAGEREF _Toc480988359 \h </w:instrText>
            </w:r>
            <w:r w:rsidR="00867A0E">
              <w:rPr>
                <w:webHidden/>
              </w:rPr>
            </w:r>
            <w:r w:rsidR="00867A0E">
              <w:rPr>
                <w:webHidden/>
              </w:rPr>
              <w:fldChar w:fldCharType="separate"/>
            </w:r>
            <w:r w:rsidR="00867A0E">
              <w:rPr>
                <w:webHidden/>
              </w:rPr>
              <w:t>24</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0" w:history="1">
            <w:r w:rsidR="00867A0E" w:rsidRPr="00764CD7">
              <w:rPr>
                <w:rStyle w:val="Hyperlink"/>
              </w:rPr>
              <w:t>3.6</w:t>
            </w:r>
            <w:r w:rsidR="00867A0E">
              <w:rPr>
                <w:rFonts w:asciiTheme="minorHAnsi" w:eastAsiaTheme="minorEastAsia" w:hAnsiTheme="minorHAnsi"/>
                <w:b w:val="0"/>
                <w:color w:val="auto"/>
                <w:sz w:val="22"/>
                <w:lang w:eastAsia="en-AU"/>
              </w:rPr>
              <w:tab/>
            </w:r>
            <w:r w:rsidR="00867A0E" w:rsidRPr="00764CD7">
              <w:rPr>
                <w:rStyle w:val="Hyperlink"/>
              </w:rPr>
              <w:t>Operating expenditure</w:t>
            </w:r>
            <w:r w:rsidR="00867A0E">
              <w:rPr>
                <w:webHidden/>
              </w:rPr>
              <w:tab/>
            </w:r>
            <w:r w:rsidR="00867A0E">
              <w:rPr>
                <w:webHidden/>
              </w:rPr>
              <w:fldChar w:fldCharType="begin"/>
            </w:r>
            <w:r w:rsidR="00867A0E">
              <w:rPr>
                <w:webHidden/>
              </w:rPr>
              <w:instrText xml:space="preserve"> PAGEREF _Toc480988360 \h </w:instrText>
            </w:r>
            <w:r w:rsidR="00867A0E">
              <w:rPr>
                <w:webHidden/>
              </w:rPr>
            </w:r>
            <w:r w:rsidR="00867A0E">
              <w:rPr>
                <w:webHidden/>
              </w:rPr>
              <w:fldChar w:fldCharType="separate"/>
            </w:r>
            <w:r w:rsidR="00867A0E">
              <w:rPr>
                <w:webHidden/>
              </w:rPr>
              <w:t>26</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1" w:history="1">
            <w:r w:rsidR="00867A0E" w:rsidRPr="00764CD7">
              <w:rPr>
                <w:rStyle w:val="Hyperlink"/>
              </w:rPr>
              <w:t>3.7</w:t>
            </w:r>
            <w:r w:rsidR="00867A0E">
              <w:rPr>
                <w:rFonts w:asciiTheme="minorHAnsi" w:eastAsiaTheme="minorEastAsia" w:hAnsiTheme="minorHAnsi"/>
                <w:b w:val="0"/>
                <w:color w:val="auto"/>
                <w:sz w:val="22"/>
                <w:lang w:eastAsia="en-AU"/>
              </w:rPr>
              <w:tab/>
            </w:r>
            <w:r w:rsidR="00867A0E" w:rsidRPr="00764CD7">
              <w:rPr>
                <w:rStyle w:val="Hyperlink"/>
              </w:rPr>
              <w:t>Corporate income tax</w:t>
            </w:r>
            <w:r w:rsidR="00867A0E">
              <w:rPr>
                <w:webHidden/>
              </w:rPr>
              <w:tab/>
            </w:r>
            <w:r w:rsidR="00867A0E">
              <w:rPr>
                <w:webHidden/>
              </w:rPr>
              <w:fldChar w:fldCharType="begin"/>
            </w:r>
            <w:r w:rsidR="00867A0E">
              <w:rPr>
                <w:webHidden/>
              </w:rPr>
              <w:instrText xml:space="preserve"> PAGEREF _Toc480988361 \h </w:instrText>
            </w:r>
            <w:r w:rsidR="00867A0E">
              <w:rPr>
                <w:webHidden/>
              </w:rPr>
            </w:r>
            <w:r w:rsidR="00867A0E">
              <w:rPr>
                <w:webHidden/>
              </w:rPr>
              <w:fldChar w:fldCharType="separate"/>
            </w:r>
            <w:r w:rsidR="00867A0E">
              <w:rPr>
                <w:webHidden/>
              </w:rPr>
              <w:t>28</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62" w:history="1">
            <w:r w:rsidR="00867A0E" w:rsidRPr="00764CD7">
              <w:rPr>
                <w:rStyle w:val="Hyperlink"/>
              </w:rPr>
              <w:t>4</w:t>
            </w:r>
            <w:r w:rsidR="00867A0E">
              <w:rPr>
                <w:rFonts w:asciiTheme="minorHAnsi" w:eastAsiaTheme="minorEastAsia" w:hAnsiTheme="minorHAnsi"/>
                <w:b w:val="0"/>
                <w:color w:val="auto"/>
                <w:sz w:val="22"/>
                <w:lang w:val="en-AU" w:eastAsia="en-AU"/>
              </w:rPr>
              <w:tab/>
            </w:r>
            <w:r w:rsidR="00867A0E" w:rsidRPr="00764CD7">
              <w:rPr>
                <w:rStyle w:val="Hyperlink"/>
              </w:rPr>
              <w:t>Incentive schemes</w:t>
            </w:r>
            <w:r w:rsidR="00867A0E">
              <w:rPr>
                <w:webHidden/>
              </w:rPr>
              <w:tab/>
            </w:r>
            <w:r w:rsidR="00867A0E">
              <w:rPr>
                <w:webHidden/>
              </w:rPr>
              <w:fldChar w:fldCharType="begin"/>
            </w:r>
            <w:r w:rsidR="00867A0E">
              <w:rPr>
                <w:webHidden/>
              </w:rPr>
              <w:instrText xml:space="preserve"> PAGEREF _Toc480988362 \h </w:instrText>
            </w:r>
            <w:r w:rsidR="00867A0E">
              <w:rPr>
                <w:webHidden/>
              </w:rPr>
            </w:r>
            <w:r w:rsidR="00867A0E">
              <w:rPr>
                <w:webHidden/>
              </w:rPr>
              <w:fldChar w:fldCharType="separate"/>
            </w:r>
            <w:r w:rsidR="00867A0E">
              <w:rPr>
                <w:webHidden/>
              </w:rPr>
              <w:t>29</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3" w:history="1">
            <w:r w:rsidR="00867A0E" w:rsidRPr="00764CD7">
              <w:rPr>
                <w:rStyle w:val="Hyperlink"/>
              </w:rPr>
              <w:t>4.1</w:t>
            </w:r>
            <w:r w:rsidR="00867A0E">
              <w:rPr>
                <w:rFonts w:asciiTheme="minorHAnsi" w:eastAsiaTheme="minorEastAsia" w:hAnsiTheme="minorHAnsi"/>
                <w:b w:val="0"/>
                <w:color w:val="auto"/>
                <w:sz w:val="22"/>
                <w:lang w:eastAsia="en-AU"/>
              </w:rPr>
              <w:tab/>
            </w:r>
            <w:r w:rsidR="00867A0E" w:rsidRPr="00764CD7">
              <w:rPr>
                <w:rStyle w:val="Hyperlink"/>
              </w:rPr>
              <w:t>Efficiency benefit sharing scheme (EBSS)</w:t>
            </w:r>
            <w:r w:rsidR="00867A0E">
              <w:rPr>
                <w:webHidden/>
              </w:rPr>
              <w:tab/>
            </w:r>
            <w:r w:rsidR="00867A0E">
              <w:rPr>
                <w:webHidden/>
              </w:rPr>
              <w:fldChar w:fldCharType="begin"/>
            </w:r>
            <w:r w:rsidR="00867A0E">
              <w:rPr>
                <w:webHidden/>
              </w:rPr>
              <w:instrText xml:space="preserve"> PAGEREF _Toc480988363 \h </w:instrText>
            </w:r>
            <w:r w:rsidR="00867A0E">
              <w:rPr>
                <w:webHidden/>
              </w:rPr>
            </w:r>
            <w:r w:rsidR="00867A0E">
              <w:rPr>
                <w:webHidden/>
              </w:rPr>
              <w:fldChar w:fldCharType="separate"/>
            </w:r>
            <w:r w:rsidR="00867A0E">
              <w:rPr>
                <w:webHidden/>
              </w:rPr>
              <w:t>29</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4" w:history="1">
            <w:r w:rsidR="00867A0E" w:rsidRPr="00764CD7">
              <w:rPr>
                <w:rStyle w:val="Hyperlink"/>
              </w:rPr>
              <w:t>4.2</w:t>
            </w:r>
            <w:r w:rsidR="00867A0E">
              <w:rPr>
                <w:rFonts w:asciiTheme="minorHAnsi" w:eastAsiaTheme="minorEastAsia" w:hAnsiTheme="minorHAnsi"/>
                <w:b w:val="0"/>
                <w:color w:val="auto"/>
                <w:sz w:val="22"/>
                <w:lang w:eastAsia="en-AU"/>
              </w:rPr>
              <w:tab/>
            </w:r>
            <w:r w:rsidR="00867A0E" w:rsidRPr="00764CD7">
              <w:rPr>
                <w:rStyle w:val="Hyperlink"/>
              </w:rPr>
              <w:t>Capital expenditure sharing scheme (CESS)</w:t>
            </w:r>
            <w:r w:rsidR="00867A0E">
              <w:rPr>
                <w:webHidden/>
              </w:rPr>
              <w:tab/>
            </w:r>
            <w:r w:rsidR="00867A0E">
              <w:rPr>
                <w:webHidden/>
              </w:rPr>
              <w:fldChar w:fldCharType="begin"/>
            </w:r>
            <w:r w:rsidR="00867A0E">
              <w:rPr>
                <w:webHidden/>
              </w:rPr>
              <w:instrText xml:space="preserve"> PAGEREF _Toc480988364 \h </w:instrText>
            </w:r>
            <w:r w:rsidR="00867A0E">
              <w:rPr>
                <w:webHidden/>
              </w:rPr>
            </w:r>
            <w:r w:rsidR="00867A0E">
              <w:rPr>
                <w:webHidden/>
              </w:rPr>
              <w:fldChar w:fldCharType="separate"/>
            </w:r>
            <w:r w:rsidR="00867A0E">
              <w:rPr>
                <w:webHidden/>
              </w:rPr>
              <w:t>31</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5" w:history="1">
            <w:r w:rsidR="00867A0E" w:rsidRPr="00764CD7">
              <w:rPr>
                <w:rStyle w:val="Hyperlink"/>
              </w:rPr>
              <w:t>4.3</w:t>
            </w:r>
            <w:r w:rsidR="00867A0E">
              <w:rPr>
                <w:rFonts w:asciiTheme="minorHAnsi" w:eastAsiaTheme="minorEastAsia" w:hAnsiTheme="minorHAnsi"/>
                <w:b w:val="0"/>
                <w:color w:val="auto"/>
                <w:sz w:val="22"/>
                <w:lang w:eastAsia="en-AU"/>
              </w:rPr>
              <w:tab/>
            </w:r>
            <w:r w:rsidR="00867A0E" w:rsidRPr="00764CD7">
              <w:rPr>
                <w:rStyle w:val="Hyperlink"/>
              </w:rPr>
              <w:t>Service target performance incentive scheme (STPIS)</w:t>
            </w:r>
            <w:r w:rsidR="00867A0E">
              <w:rPr>
                <w:webHidden/>
              </w:rPr>
              <w:tab/>
            </w:r>
            <w:r w:rsidR="00867A0E">
              <w:rPr>
                <w:webHidden/>
              </w:rPr>
              <w:fldChar w:fldCharType="begin"/>
            </w:r>
            <w:r w:rsidR="00867A0E">
              <w:rPr>
                <w:webHidden/>
              </w:rPr>
              <w:instrText xml:space="preserve"> PAGEREF _Toc480988365 \h </w:instrText>
            </w:r>
            <w:r w:rsidR="00867A0E">
              <w:rPr>
                <w:webHidden/>
              </w:rPr>
            </w:r>
            <w:r w:rsidR="00867A0E">
              <w:rPr>
                <w:webHidden/>
              </w:rPr>
              <w:fldChar w:fldCharType="separate"/>
            </w:r>
            <w:r w:rsidR="00867A0E">
              <w:rPr>
                <w:webHidden/>
              </w:rPr>
              <w:t>31</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66" w:history="1">
            <w:r w:rsidR="00867A0E" w:rsidRPr="00764CD7">
              <w:rPr>
                <w:rStyle w:val="Hyperlink"/>
              </w:rPr>
              <w:t>5</w:t>
            </w:r>
            <w:r w:rsidR="00867A0E">
              <w:rPr>
                <w:rFonts w:asciiTheme="minorHAnsi" w:eastAsiaTheme="minorEastAsia" w:hAnsiTheme="minorHAnsi"/>
                <w:b w:val="0"/>
                <w:color w:val="auto"/>
                <w:sz w:val="22"/>
                <w:lang w:val="en-AU" w:eastAsia="en-AU"/>
              </w:rPr>
              <w:tab/>
            </w:r>
            <w:r w:rsidR="00867A0E" w:rsidRPr="00764CD7">
              <w:rPr>
                <w:rStyle w:val="Hyperlink"/>
              </w:rPr>
              <w:t>Understanding the NEO</w:t>
            </w:r>
            <w:r w:rsidR="00867A0E">
              <w:rPr>
                <w:webHidden/>
              </w:rPr>
              <w:tab/>
            </w:r>
            <w:r w:rsidR="00867A0E">
              <w:rPr>
                <w:webHidden/>
              </w:rPr>
              <w:fldChar w:fldCharType="begin"/>
            </w:r>
            <w:r w:rsidR="00867A0E">
              <w:rPr>
                <w:webHidden/>
              </w:rPr>
              <w:instrText xml:space="preserve"> PAGEREF _Toc480988366 \h </w:instrText>
            </w:r>
            <w:r w:rsidR="00867A0E">
              <w:rPr>
                <w:webHidden/>
              </w:rPr>
            </w:r>
            <w:r w:rsidR="00867A0E">
              <w:rPr>
                <w:webHidden/>
              </w:rPr>
              <w:fldChar w:fldCharType="separate"/>
            </w:r>
            <w:r w:rsidR="00867A0E">
              <w:rPr>
                <w:webHidden/>
              </w:rPr>
              <w:t>32</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7" w:history="1">
            <w:r w:rsidR="00867A0E" w:rsidRPr="00764CD7">
              <w:rPr>
                <w:rStyle w:val="Hyperlink"/>
              </w:rPr>
              <w:t>5.1</w:t>
            </w:r>
            <w:r w:rsidR="00867A0E">
              <w:rPr>
                <w:rFonts w:asciiTheme="minorHAnsi" w:eastAsiaTheme="minorEastAsia" w:hAnsiTheme="minorHAnsi"/>
                <w:b w:val="0"/>
                <w:color w:val="auto"/>
                <w:sz w:val="22"/>
                <w:lang w:eastAsia="en-AU"/>
              </w:rPr>
              <w:tab/>
            </w:r>
            <w:r w:rsidR="00867A0E" w:rsidRPr="00764CD7">
              <w:rPr>
                <w:rStyle w:val="Hyperlink"/>
              </w:rPr>
              <w:t>Achieving the NEO to the greatest degree</w:t>
            </w:r>
            <w:r w:rsidR="00867A0E">
              <w:rPr>
                <w:webHidden/>
              </w:rPr>
              <w:tab/>
            </w:r>
            <w:r w:rsidR="00867A0E">
              <w:rPr>
                <w:webHidden/>
              </w:rPr>
              <w:fldChar w:fldCharType="begin"/>
            </w:r>
            <w:r w:rsidR="00867A0E">
              <w:rPr>
                <w:webHidden/>
              </w:rPr>
              <w:instrText xml:space="preserve"> PAGEREF _Toc480988367 \h </w:instrText>
            </w:r>
            <w:r w:rsidR="00867A0E">
              <w:rPr>
                <w:webHidden/>
              </w:rPr>
            </w:r>
            <w:r w:rsidR="00867A0E">
              <w:rPr>
                <w:webHidden/>
              </w:rPr>
              <w:fldChar w:fldCharType="separate"/>
            </w:r>
            <w:r w:rsidR="00867A0E">
              <w:rPr>
                <w:webHidden/>
              </w:rPr>
              <w:t>35</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68" w:history="1">
            <w:r w:rsidR="00867A0E" w:rsidRPr="00764CD7">
              <w:rPr>
                <w:rStyle w:val="Hyperlink"/>
              </w:rPr>
              <w:t>5.2</w:t>
            </w:r>
            <w:r w:rsidR="00867A0E">
              <w:rPr>
                <w:rFonts w:asciiTheme="minorHAnsi" w:eastAsiaTheme="minorEastAsia" w:hAnsiTheme="minorHAnsi"/>
                <w:b w:val="0"/>
                <w:color w:val="auto"/>
                <w:sz w:val="22"/>
                <w:lang w:eastAsia="en-AU"/>
              </w:rPr>
              <w:tab/>
            </w:r>
            <w:r w:rsidR="00867A0E" w:rsidRPr="00764CD7">
              <w:rPr>
                <w:rStyle w:val="Hyperlink"/>
              </w:rPr>
              <w:t>Interrelationships between constituent components</w:t>
            </w:r>
            <w:r w:rsidR="00867A0E">
              <w:rPr>
                <w:webHidden/>
              </w:rPr>
              <w:tab/>
            </w:r>
            <w:r w:rsidR="00867A0E">
              <w:rPr>
                <w:webHidden/>
              </w:rPr>
              <w:fldChar w:fldCharType="begin"/>
            </w:r>
            <w:r w:rsidR="00867A0E">
              <w:rPr>
                <w:webHidden/>
              </w:rPr>
              <w:instrText xml:space="preserve"> PAGEREF _Toc480988368 \h </w:instrText>
            </w:r>
            <w:r w:rsidR="00867A0E">
              <w:rPr>
                <w:webHidden/>
              </w:rPr>
            </w:r>
            <w:r w:rsidR="00867A0E">
              <w:rPr>
                <w:webHidden/>
              </w:rPr>
              <w:fldChar w:fldCharType="separate"/>
            </w:r>
            <w:r w:rsidR="00867A0E">
              <w:rPr>
                <w:webHidden/>
              </w:rPr>
              <w:t>36</w:t>
            </w:r>
            <w:r w:rsidR="00867A0E">
              <w:rPr>
                <w:webHidden/>
              </w:rPr>
              <w:fldChar w:fldCharType="end"/>
            </w:r>
          </w:hyperlink>
        </w:p>
        <w:p w:rsidR="00867A0E" w:rsidRDefault="00504B86">
          <w:pPr>
            <w:pStyle w:val="TOC1"/>
            <w:rPr>
              <w:rFonts w:asciiTheme="minorHAnsi" w:eastAsiaTheme="minorEastAsia" w:hAnsiTheme="minorHAnsi"/>
              <w:b w:val="0"/>
              <w:color w:val="auto"/>
              <w:sz w:val="22"/>
              <w:lang w:val="en-AU" w:eastAsia="en-AU"/>
            </w:rPr>
          </w:pPr>
          <w:hyperlink w:anchor="_Toc480988369" w:history="1">
            <w:r w:rsidR="00867A0E" w:rsidRPr="00764CD7">
              <w:rPr>
                <w:rStyle w:val="Hyperlink"/>
              </w:rPr>
              <w:t>6</w:t>
            </w:r>
            <w:r w:rsidR="00867A0E">
              <w:rPr>
                <w:rFonts w:asciiTheme="minorHAnsi" w:eastAsiaTheme="minorEastAsia" w:hAnsiTheme="minorHAnsi"/>
                <w:b w:val="0"/>
                <w:color w:val="auto"/>
                <w:sz w:val="22"/>
                <w:lang w:val="en-AU" w:eastAsia="en-AU"/>
              </w:rPr>
              <w:tab/>
            </w:r>
            <w:r w:rsidR="00867A0E" w:rsidRPr="00764CD7">
              <w:rPr>
                <w:rStyle w:val="Hyperlink"/>
              </w:rPr>
              <w:t>Consultation</w:t>
            </w:r>
            <w:r w:rsidR="00867A0E">
              <w:rPr>
                <w:webHidden/>
              </w:rPr>
              <w:tab/>
            </w:r>
            <w:r w:rsidR="00867A0E">
              <w:rPr>
                <w:webHidden/>
              </w:rPr>
              <w:fldChar w:fldCharType="begin"/>
            </w:r>
            <w:r w:rsidR="00867A0E">
              <w:rPr>
                <w:webHidden/>
              </w:rPr>
              <w:instrText xml:space="preserve"> PAGEREF _Toc480988369 \h </w:instrText>
            </w:r>
            <w:r w:rsidR="00867A0E">
              <w:rPr>
                <w:webHidden/>
              </w:rPr>
            </w:r>
            <w:r w:rsidR="00867A0E">
              <w:rPr>
                <w:webHidden/>
              </w:rPr>
              <w:fldChar w:fldCharType="separate"/>
            </w:r>
            <w:r w:rsidR="00867A0E">
              <w:rPr>
                <w:webHidden/>
              </w:rPr>
              <w:t>38</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70" w:history="1">
            <w:r w:rsidR="00867A0E" w:rsidRPr="00764CD7">
              <w:rPr>
                <w:rStyle w:val="Hyperlink"/>
              </w:rPr>
              <w:t>6.1</w:t>
            </w:r>
            <w:r w:rsidR="00867A0E">
              <w:rPr>
                <w:rFonts w:asciiTheme="minorHAnsi" w:eastAsiaTheme="minorEastAsia" w:hAnsiTheme="minorHAnsi"/>
                <w:b w:val="0"/>
                <w:color w:val="auto"/>
                <w:sz w:val="22"/>
                <w:lang w:eastAsia="en-AU"/>
              </w:rPr>
              <w:tab/>
            </w:r>
            <w:r w:rsidR="00867A0E" w:rsidRPr="00764CD7">
              <w:rPr>
                <w:rStyle w:val="Hyperlink"/>
              </w:rPr>
              <w:t>Consumer engagement</w:t>
            </w:r>
            <w:r w:rsidR="00867A0E">
              <w:rPr>
                <w:webHidden/>
              </w:rPr>
              <w:tab/>
            </w:r>
            <w:r w:rsidR="00867A0E">
              <w:rPr>
                <w:webHidden/>
              </w:rPr>
              <w:fldChar w:fldCharType="begin"/>
            </w:r>
            <w:r w:rsidR="00867A0E">
              <w:rPr>
                <w:webHidden/>
              </w:rPr>
              <w:instrText xml:space="preserve"> PAGEREF _Toc480988370 \h </w:instrText>
            </w:r>
            <w:r w:rsidR="00867A0E">
              <w:rPr>
                <w:webHidden/>
              </w:rPr>
            </w:r>
            <w:r w:rsidR="00867A0E">
              <w:rPr>
                <w:webHidden/>
              </w:rPr>
              <w:fldChar w:fldCharType="separate"/>
            </w:r>
            <w:r w:rsidR="00867A0E">
              <w:rPr>
                <w:webHidden/>
              </w:rPr>
              <w:t>39</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71" w:history="1">
            <w:r w:rsidR="00867A0E" w:rsidRPr="00764CD7">
              <w:rPr>
                <w:rStyle w:val="Hyperlink"/>
              </w:rPr>
              <w:t>6.2</w:t>
            </w:r>
            <w:r w:rsidR="00867A0E">
              <w:rPr>
                <w:rFonts w:asciiTheme="minorHAnsi" w:eastAsiaTheme="minorEastAsia" w:hAnsiTheme="minorHAnsi"/>
                <w:b w:val="0"/>
                <w:color w:val="auto"/>
                <w:sz w:val="22"/>
                <w:lang w:eastAsia="en-AU"/>
              </w:rPr>
              <w:tab/>
            </w:r>
            <w:r w:rsidR="00867A0E" w:rsidRPr="00764CD7">
              <w:rPr>
                <w:rStyle w:val="Hyperlink"/>
              </w:rPr>
              <w:t>AusNet Services' consumer engagement activities</w:t>
            </w:r>
            <w:r w:rsidR="00867A0E">
              <w:rPr>
                <w:webHidden/>
              </w:rPr>
              <w:tab/>
            </w:r>
            <w:r w:rsidR="00867A0E">
              <w:rPr>
                <w:webHidden/>
              </w:rPr>
              <w:fldChar w:fldCharType="begin"/>
            </w:r>
            <w:r w:rsidR="00867A0E">
              <w:rPr>
                <w:webHidden/>
              </w:rPr>
              <w:instrText xml:space="preserve"> PAGEREF _Toc480988371 \h </w:instrText>
            </w:r>
            <w:r w:rsidR="00867A0E">
              <w:rPr>
                <w:webHidden/>
              </w:rPr>
            </w:r>
            <w:r w:rsidR="00867A0E">
              <w:rPr>
                <w:webHidden/>
              </w:rPr>
              <w:fldChar w:fldCharType="separate"/>
            </w:r>
            <w:r w:rsidR="00867A0E">
              <w:rPr>
                <w:webHidden/>
              </w:rPr>
              <w:t>40</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72" w:history="1">
            <w:r w:rsidR="00867A0E" w:rsidRPr="00764CD7">
              <w:rPr>
                <w:rStyle w:val="Hyperlink"/>
              </w:rPr>
              <w:t>6.3</w:t>
            </w:r>
            <w:r w:rsidR="00867A0E">
              <w:rPr>
                <w:rFonts w:asciiTheme="minorHAnsi" w:eastAsiaTheme="minorEastAsia" w:hAnsiTheme="minorHAnsi"/>
                <w:b w:val="0"/>
                <w:color w:val="auto"/>
                <w:sz w:val="22"/>
                <w:lang w:eastAsia="en-AU"/>
              </w:rPr>
              <w:tab/>
            </w:r>
            <w:r w:rsidR="00867A0E" w:rsidRPr="00764CD7">
              <w:rPr>
                <w:rStyle w:val="Hyperlink"/>
              </w:rPr>
              <w:t>Consumer submissions</w:t>
            </w:r>
            <w:r w:rsidR="00867A0E">
              <w:rPr>
                <w:webHidden/>
              </w:rPr>
              <w:tab/>
            </w:r>
            <w:r w:rsidR="00867A0E">
              <w:rPr>
                <w:webHidden/>
              </w:rPr>
              <w:fldChar w:fldCharType="begin"/>
            </w:r>
            <w:r w:rsidR="00867A0E">
              <w:rPr>
                <w:webHidden/>
              </w:rPr>
              <w:instrText xml:space="preserve"> PAGEREF _Toc480988372 \h </w:instrText>
            </w:r>
            <w:r w:rsidR="00867A0E">
              <w:rPr>
                <w:webHidden/>
              </w:rPr>
            </w:r>
            <w:r w:rsidR="00867A0E">
              <w:rPr>
                <w:webHidden/>
              </w:rPr>
              <w:fldChar w:fldCharType="separate"/>
            </w:r>
            <w:r w:rsidR="00867A0E">
              <w:rPr>
                <w:webHidden/>
              </w:rPr>
              <w:t>41</w:t>
            </w:r>
            <w:r w:rsidR="00867A0E">
              <w:rPr>
                <w:webHidden/>
              </w:rPr>
              <w:fldChar w:fldCharType="end"/>
            </w:r>
          </w:hyperlink>
        </w:p>
        <w:p w:rsidR="00867A0E" w:rsidRDefault="00504B86">
          <w:pPr>
            <w:pStyle w:val="TOC2"/>
            <w:rPr>
              <w:rFonts w:asciiTheme="minorHAnsi" w:eastAsiaTheme="minorEastAsia" w:hAnsiTheme="minorHAnsi"/>
              <w:b w:val="0"/>
              <w:color w:val="auto"/>
              <w:sz w:val="22"/>
              <w:lang w:eastAsia="en-AU"/>
            </w:rPr>
          </w:pPr>
          <w:hyperlink w:anchor="_Toc480988373" w:history="1">
            <w:r w:rsidR="00867A0E" w:rsidRPr="00764CD7">
              <w:rPr>
                <w:rStyle w:val="Hyperlink"/>
              </w:rPr>
              <w:t>6.4</w:t>
            </w:r>
            <w:r w:rsidR="00867A0E">
              <w:rPr>
                <w:rFonts w:asciiTheme="minorHAnsi" w:eastAsiaTheme="minorEastAsia" w:hAnsiTheme="minorHAnsi"/>
                <w:b w:val="0"/>
                <w:color w:val="auto"/>
                <w:sz w:val="22"/>
                <w:lang w:eastAsia="en-AU"/>
              </w:rPr>
              <w:tab/>
            </w:r>
            <w:r w:rsidR="00867A0E" w:rsidRPr="00764CD7">
              <w:rPr>
                <w:rStyle w:val="Hyperlink"/>
              </w:rPr>
              <w:t>Our view of AusNet Services' consumer engagement</w:t>
            </w:r>
            <w:r w:rsidR="00867A0E">
              <w:rPr>
                <w:webHidden/>
              </w:rPr>
              <w:tab/>
            </w:r>
            <w:r w:rsidR="00867A0E">
              <w:rPr>
                <w:webHidden/>
              </w:rPr>
              <w:fldChar w:fldCharType="begin"/>
            </w:r>
            <w:r w:rsidR="00867A0E">
              <w:rPr>
                <w:webHidden/>
              </w:rPr>
              <w:instrText xml:space="preserve"> PAGEREF _Toc480988373 \h </w:instrText>
            </w:r>
            <w:r w:rsidR="00867A0E">
              <w:rPr>
                <w:webHidden/>
              </w:rPr>
            </w:r>
            <w:r w:rsidR="00867A0E">
              <w:rPr>
                <w:webHidden/>
              </w:rPr>
              <w:fldChar w:fldCharType="separate"/>
            </w:r>
            <w:r w:rsidR="00867A0E">
              <w:rPr>
                <w:webHidden/>
              </w:rPr>
              <w:t>41</w:t>
            </w:r>
            <w:r w:rsidR="00867A0E">
              <w:rPr>
                <w:webHidden/>
              </w:rPr>
              <w:fldChar w:fldCharType="end"/>
            </w:r>
          </w:hyperlink>
        </w:p>
        <w:p w:rsidR="00867A0E" w:rsidRDefault="00504B86">
          <w:pPr>
            <w:pStyle w:val="TOC7"/>
            <w:tabs>
              <w:tab w:val="left" w:pos="2977"/>
            </w:tabs>
            <w:rPr>
              <w:rFonts w:asciiTheme="minorHAnsi" w:eastAsiaTheme="minorEastAsia" w:hAnsiTheme="minorHAnsi"/>
              <w:lang w:eastAsia="en-AU"/>
            </w:rPr>
          </w:pPr>
          <w:hyperlink w:anchor="_Toc480988374" w:history="1">
            <w:r w:rsidR="00867A0E" w:rsidRPr="00764CD7">
              <w:rPr>
                <w:rStyle w:val="Hyperlink"/>
              </w:rPr>
              <w:t>A</w:t>
            </w:r>
            <w:r w:rsidR="00867A0E">
              <w:rPr>
                <w:rFonts w:asciiTheme="minorHAnsi" w:eastAsiaTheme="minorEastAsia" w:hAnsiTheme="minorHAnsi"/>
                <w:lang w:eastAsia="en-AU"/>
              </w:rPr>
              <w:tab/>
            </w:r>
            <w:r w:rsidR="00867A0E" w:rsidRPr="00764CD7">
              <w:rPr>
                <w:rStyle w:val="Hyperlink"/>
              </w:rPr>
              <w:t>Constituent decisions</w:t>
            </w:r>
            <w:r w:rsidR="00867A0E">
              <w:rPr>
                <w:webHidden/>
              </w:rPr>
              <w:tab/>
            </w:r>
            <w:r w:rsidR="00867A0E">
              <w:rPr>
                <w:webHidden/>
              </w:rPr>
              <w:fldChar w:fldCharType="begin"/>
            </w:r>
            <w:r w:rsidR="00867A0E">
              <w:rPr>
                <w:webHidden/>
              </w:rPr>
              <w:instrText xml:space="preserve"> PAGEREF _Toc480988374 \h </w:instrText>
            </w:r>
            <w:r w:rsidR="00867A0E">
              <w:rPr>
                <w:webHidden/>
              </w:rPr>
            </w:r>
            <w:r w:rsidR="00867A0E">
              <w:rPr>
                <w:webHidden/>
              </w:rPr>
              <w:fldChar w:fldCharType="separate"/>
            </w:r>
            <w:r w:rsidR="00867A0E">
              <w:rPr>
                <w:webHidden/>
              </w:rPr>
              <w:t>43</w:t>
            </w:r>
            <w:r w:rsidR="00867A0E">
              <w:rPr>
                <w:webHidden/>
              </w:rPr>
              <w:fldChar w:fldCharType="end"/>
            </w:r>
          </w:hyperlink>
        </w:p>
        <w:p w:rsidR="00867A0E" w:rsidRDefault="00504B86">
          <w:pPr>
            <w:pStyle w:val="TOC7"/>
            <w:tabs>
              <w:tab w:val="left" w:pos="2977"/>
            </w:tabs>
            <w:rPr>
              <w:rFonts w:asciiTheme="minorHAnsi" w:eastAsiaTheme="minorEastAsia" w:hAnsiTheme="minorHAnsi"/>
              <w:lang w:eastAsia="en-AU"/>
            </w:rPr>
          </w:pPr>
          <w:hyperlink w:anchor="_Toc480988375" w:history="1">
            <w:r w:rsidR="00867A0E" w:rsidRPr="00764CD7">
              <w:rPr>
                <w:rStyle w:val="Hyperlink"/>
              </w:rPr>
              <w:t>B</w:t>
            </w:r>
            <w:r w:rsidR="00867A0E">
              <w:rPr>
                <w:rFonts w:asciiTheme="minorHAnsi" w:eastAsiaTheme="minorEastAsia" w:hAnsiTheme="minorHAnsi"/>
                <w:lang w:eastAsia="en-AU"/>
              </w:rPr>
              <w:tab/>
            </w:r>
            <w:r w:rsidR="00867A0E" w:rsidRPr="00764CD7">
              <w:rPr>
                <w:rStyle w:val="Hyperlink"/>
              </w:rPr>
              <w:t>List of submissions</w:t>
            </w:r>
            <w:r w:rsidR="00867A0E">
              <w:rPr>
                <w:webHidden/>
              </w:rPr>
              <w:tab/>
            </w:r>
            <w:r w:rsidR="00867A0E">
              <w:rPr>
                <w:webHidden/>
              </w:rPr>
              <w:fldChar w:fldCharType="begin"/>
            </w:r>
            <w:r w:rsidR="00867A0E">
              <w:rPr>
                <w:webHidden/>
              </w:rPr>
              <w:instrText xml:space="preserve"> PAGEREF _Toc480988375 \h </w:instrText>
            </w:r>
            <w:r w:rsidR="00867A0E">
              <w:rPr>
                <w:webHidden/>
              </w:rPr>
            </w:r>
            <w:r w:rsidR="00867A0E">
              <w:rPr>
                <w:webHidden/>
              </w:rPr>
              <w:fldChar w:fldCharType="separate"/>
            </w:r>
            <w:r w:rsidR="00867A0E">
              <w:rPr>
                <w:webHidden/>
              </w:rPr>
              <w:t>45</w:t>
            </w:r>
            <w:r w:rsidR="00867A0E">
              <w:rPr>
                <w:webHidden/>
              </w:rPr>
              <w:fldChar w:fldCharType="end"/>
            </w:r>
          </w:hyperlink>
        </w:p>
        <w:p w:rsidR="00DE563D" w:rsidRDefault="00DE563D">
          <w:pPr>
            <w:spacing w:line="240" w:lineRule="auto"/>
          </w:pPr>
          <w: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80988346"/>
      <w:r>
        <w:lastRenderedPageBreak/>
        <w:t>Shortened forms</w:t>
      </w:r>
      <w:bookmarkEnd w:id="8"/>
      <w:bookmarkEnd w:id="9"/>
    </w:p>
    <w:p w:rsidR="00DE563D" w:rsidRDefault="00DE563D" w:rsidP="00415F31"/>
    <w:tbl>
      <w:tblPr>
        <w:tblStyle w:val="AERtable-text0"/>
        <w:tblW w:w="0" w:type="auto"/>
        <w:tblLook w:val="04A0" w:firstRow="1" w:lastRow="0" w:firstColumn="1" w:lastColumn="0" w:noHBand="0" w:noVBand="1"/>
      </w:tblPr>
      <w:tblGrid>
        <w:gridCol w:w="4340"/>
        <w:gridCol w:w="4353"/>
      </w:tblGrid>
      <w:tr w:rsidR="00415F31" w:rsidTr="00F41B1C">
        <w:trPr>
          <w:cnfStyle w:val="100000000000" w:firstRow="1" w:lastRow="0" w:firstColumn="0" w:lastColumn="0" w:oddVBand="0" w:evenVBand="0" w:oddHBand="0" w:evenHBand="0" w:firstRowFirstColumn="0" w:firstRowLastColumn="0" w:lastRowFirstColumn="0" w:lastRowLastColumn="0"/>
          <w:tblHeader/>
        </w:trPr>
        <w:tc>
          <w:tcPr>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pPr>
            <w:r>
              <w:t>Extended form</w:t>
            </w:r>
          </w:p>
        </w:tc>
      </w:tr>
      <w:tr w:rsidR="00415F31" w:rsidTr="00C5075A">
        <w:tc>
          <w:tcPr>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pPr>
            <w:r>
              <w:t>aggregate annual revenue requirement</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pPr>
            <w:r>
              <w:t>Australian Energy Market Commission</w:t>
            </w:r>
          </w:p>
        </w:tc>
      </w:tr>
      <w:tr w:rsidR="00415F31" w:rsidTr="00C5075A">
        <w:tc>
          <w:tcPr>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pPr>
            <w:r>
              <w:t>Australian Energy Market Operator</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pPr>
            <w:r>
              <w:t>Australian Energy Regulator</w:t>
            </w:r>
          </w:p>
        </w:tc>
      </w:tr>
      <w:tr w:rsidR="00415F31" w:rsidTr="00C5075A">
        <w:tc>
          <w:tcPr>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pPr>
            <w:r>
              <w:t>annual</w:t>
            </w:r>
            <w:r w:rsidR="00415F31">
              <w:t xml:space="preserve"> service revenue requirement</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augex</w:t>
            </w:r>
          </w:p>
        </w:tc>
        <w:tc>
          <w:tcPr>
            <w:tcW w:w="4621" w:type="dxa"/>
          </w:tcPr>
          <w:p w:rsidR="00415F31" w:rsidRDefault="00415F31" w:rsidP="00415F31">
            <w:pPr>
              <w:numPr>
                <w:ilvl w:val="0"/>
                <w:numId w:val="25"/>
              </w:numPr>
              <w:spacing w:after="240" w:line="288" w:lineRule="auto"/>
              <w:jc w:val="both"/>
            </w:pPr>
            <w:r>
              <w:t>augmentation expenditure</w:t>
            </w:r>
          </w:p>
        </w:tc>
      </w:tr>
      <w:tr w:rsidR="00415F31" w:rsidTr="00C5075A">
        <w:tc>
          <w:tcPr>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pPr>
            <w:r>
              <w:t>capital expenditure</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pPr>
            <w:r>
              <w:t>Consumer Challenge Panel</w:t>
            </w:r>
          </w:p>
        </w:tc>
      </w:tr>
      <w:tr w:rsidR="00415F31" w:rsidTr="00C5075A">
        <w:tc>
          <w:tcPr>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pPr>
            <w:r>
              <w:t>capital expenditure sharing scheme</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pPr>
            <w:r>
              <w:t>consumer price index</w:t>
            </w:r>
          </w:p>
        </w:tc>
      </w:tr>
      <w:tr w:rsidR="00415F31" w:rsidTr="00C5075A">
        <w:tc>
          <w:tcPr>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pPr>
            <w:r>
              <w:t>debt risk premium</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pPr>
            <w:r>
              <w:t>efficiency benefit sharing scheme</w:t>
            </w:r>
          </w:p>
        </w:tc>
      </w:tr>
      <w:tr w:rsidR="00415F31" w:rsidTr="00C5075A">
        <w:tc>
          <w:tcPr>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pPr>
            <w:r>
              <w:t>equity risk premium</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pPr>
            <w:r>
              <w:t>maximum allowed revenue</w:t>
            </w:r>
          </w:p>
        </w:tc>
      </w:tr>
      <w:tr w:rsidR="00415F31" w:rsidTr="00C5075A">
        <w:tc>
          <w:tcPr>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pPr>
            <w:r>
              <w:t>market risk premium</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pPr>
            <w:r>
              <w:t>national electricity law</w:t>
            </w:r>
          </w:p>
        </w:tc>
      </w:tr>
      <w:tr w:rsidR="00415F31" w:rsidTr="00C5075A">
        <w:tc>
          <w:tcPr>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pPr>
            <w:r>
              <w:t>national electricity market</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pPr>
            <w:r>
              <w:t>national electricity objective</w:t>
            </w:r>
          </w:p>
        </w:tc>
      </w:tr>
      <w:tr w:rsidR="00415F31" w:rsidTr="00C5075A">
        <w:tc>
          <w:tcPr>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pPr>
            <w:r>
              <w:t>national electricity rules</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pPr>
            <w:r>
              <w:t>network service provider</w:t>
            </w:r>
          </w:p>
        </w:tc>
      </w:tr>
      <w:tr w:rsidR="00415F31" w:rsidTr="00C5075A">
        <w:tc>
          <w:tcPr>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pPr>
            <w:r>
              <w:t>negotiated transmission service criteria</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pPr>
            <w:r>
              <w:t>operating expenditure</w:t>
            </w:r>
          </w:p>
        </w:tc>
      </w:tr>
      <w:tr w:rsidR="00415F31" w:rsidTr="00C5075A">
        <w:tc>
          <w:tcPr>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pPr>
            <w:r>
              <w:t>partial performance indicators</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pPr>
            <w:r>
              <w:t>post-tax revenue model</w:t>
            </w:r>
          </w:p>
        </w:tc>
      </w:tr>
      <w:tr w:rsidR="00415F31" w:rsidTr="00C5075A">
        <w:tc>
          <w:tcPr>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pPr>
            <w:r>
              <w:t>regulatory asset base</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pPr>
            <w:r>
              <w:t>Reserve Bank of Australia</w:t>
            </w:r>
          </w:p>
        </w:tc>
      </w:tr>
      <w:tr w:rsidR="00415F31" w:rsidTr="00C5075A">
        <w:tc>
          <w:tcPr>
            <w:tcW w:w="4621" w:type="dxa"/>
          </w:tcPr>
          <w:p w:rsidR="00415F31" w:rsidRDefault="00415F31" w:rsidP="00415F31">
            <w:pPr>
              <w:numPr>
                <w:ilvl w:val="0"/>
                <w:numId w:val="25"/>
              </w:numPr>
              <w:spacing w:after="240" w:line="288" w:lineRule="auto"/>
              <w:jc w:val="both"/>
            </w:pPr>
            <w:r>
              <w:t>repex</w:t>
            </w:r>
          </w:p>
        </w:tc>
        <w:tc>
          <w:tcPr>
            <w:tcW w:w="4621" w:type="dxa"/>
          </w:tcPr>
          <w:p w:rsidR="00415F31" w:rsidRDefault="00415F31" w:rsidP="00415F31">
            <w:pPr>
              <w:numPr>
                <w:ilvl w:val="0"/>
                <w:numId w:val="25"/>
              </w:numPr>
              <w:spacing w:after="240" w:line="288" w:lineRule="auto"/>
              <w:jc w:val="both"/>
            </w:pPr>
            <w:r>
              <w:t>replacement expenditure</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pPr>
            <w:r>
              <w:t>roll forward model</w:t>
            </w:r>
          </w:p>
        </w:tc>
      </w:tr>
      <w:tr w:rsidR="00415F31" w:rsidTr="00C5075A">
        <w:tc>
          <w:tcPr>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pPr>
            <w:r>
              <w:t>regulatory information notice</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pPr>
            <w:r>
              <w:t xml:space="preserve">revenue </w:t>
            </w:r>
            <w:r w:rsidR="002D72E8">
              <w:t xml:space="preserve">and </w:t>
            </w:r>
            <w:r>
              <w:t>pricing principles</w:t>
            </w:r>
          </w:p>
        </w:tc>
      </w:tr>
      <w:tr w:rsidR="00415F31" w:rsidTr="00C5075A">
        <w:tc>
          <w:tcPr>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pPr>
            <w:r>
              <w:t>Sharpe-Lintner capital asset pricing model</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pPr>
            <w:r>
              <w:t>service target performance incentive scheme</w:t>
            </w:r>
          </w:p>
        </w:tc>
      </w:tr>
      <w:tr w:rsidR="00415F31" w:rsidTr="00C5075A">
        <w:tc>
          <w:tcPr>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pPr>
            <w:r>
              <w:t>transmission network service provider</w:t>
            </w:r>
          </w:p>
        </w:tc>
      </w:tr>
      <w:tr w:rsidR="00415F31" w:rsidTr="00C5075A">
        <w:trPr>
          <w:cnfStyle w:val="000000010000" w:firstRow="0" w:lastRow="0" w:firstColumn="0" w:lastColumn="0" w:oddVBand="0" w:evenVBand="0" w:oddHBand="0" w:evenHBand="1" w:firstRowFirstColumn="0" w:firstRowLastColumn="0" w:lastRowFirstColumn="0" w:lastRowLastColumn="0"/>
        </w:trPr>
        <w:tc>
          <w:tcPr>
            <w:tcW w:w="4621" w:type="dxa"/>
          </w:tcPr>
          <w:p w:rsidR="00415F31" w:rsidRDefault="00415F31" w:rsidP="00415F31">
            <w:pPr>
              <w:numPr>
                <w:ilvl w:val="0"/>
                <w:numId w:val="25"/>
              </w:numPr>
              <w:spacing w:after="240" w:line="288" w:lineRule="auto"/>
              <w:jc w:val="both"/>
            </w:pPr>
            <w:proofErr w:type="spellStart"/>
            <w:r>
              <w:t>TUoS</w:t>
            </w:r>
            <w:proofErr w:type="spellEnd"/>
          </w:p>
        </w:tc>
        <w:tc>
          <w:tcPr>
            <w:tcW w:w="4621" w:type="dxa"/>
          </w:tcPr>
          <w:p w:rsidR="00415F31" w:rsidRDefault="00415F31" w:rsidP="00415F31">
            <w:pPr>
              <w:numPr>
                <w:ilvl w:val="0"/>
                <w:numId w:val="25"/>
              </w:numPr>
              <w:spacing w:after="240" w:line="288" w:lineRule="auto"/>
              <w:jc w:val="both"/>
            </w:pPr>
            <w:r>
              <w:t>transmission use of system</w:t>
            </w:r>
          </w:p>
        </w:tc>
      </w:tr>
      <w:tr w:rsidR="00415F31" w:rsidTr="00C5075A">
        <w:tc>
          <w:tcPr>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pPr>
            <w:r>
              <w:t>weighted average cost of capital</w:t>
            </w:r>
          </w:p>
        </w:tc>
      </w:tr>
    </w:tbl>
    <w:p w:rsidR="00415F31" w:rsidRPr="00271F7C" w:rsidRDefault="00415F31" w:rsidP="00415F31"/>
    <w:p w:rsidR="00061658" w:rsidRDefault="00061658">
      <w:pPr>
        <w:spacing w:line="240" w:lineRule="auto"/>
      </w:pPr>
    </w:p>
    <w:p w:rsidR="00DE563D" w:rsidRDefault="00E93906" w:rsidP="001754EE">
      <w:pPr>
        <w:pStyle w:val="Heading1"/>
      </w:pPr>
      <w:bookmarkStart w:id="10" w:name="_Toc479684129"/>
      <w:bookmarkStart w:id="11" w:name="_Toc479861993"/>
      <w:bookmarkStart w:id="12" w:name="_Toc480988347"/>
      <w:bookmarkEnd w:id="10"/>
      <w:bookmarkEnd w:id="11"/>
      <w:r>
        <w:lastRenderedPageBreak/>
        <w:t>Introduction</w:t>
      </w:r>
      <w:bookmarkEnd w:id="12"/>
    </w:p>
    <w:p w:rsidR="00E93906" w:rsidRDefault="00E93906" w:rsidP="00E93906">
      <w:r w:rsidRPr="008C5A21">
        <w:t xml:space="preserve">We, the Australian Energy Regulator (AER), are responsible for the economic regulation of electricity transmission and distribution systems in all Australian states and territories, with the exception of Western Australia. </w:t>
      </w:r>
      <w:r w:rsidR="00FC289B">
        <w:t>AusNet Services</w:t>
      </w:r>
      <w:r w:rsidRPr="008C5A21">
        <w:t xml:space="preserve"> owns and operates </w:t>
      </w:r>
      <w:r w:rsidR="00FC289B">
        <w:t>Victoria's electricity transmission network</w:t>
      </w:r>
      <w:r w:rsidRPr="008C5A21">
        <w:t xml:space="preserve">. We regulate the revenues that </w:t>
      </w:r>
      <w:r w:rsidR="00FC289B">
        <w:t>AusNet Services</w:t>
      </w:r>
      <w:r w:rsidRPr="008C5A21">
        <w:t xml:space="preserve"> can recover from its customers.</w:t>
      </w:r>
    </w:p>
    <w:p w:rsidR="00E93906" w:rsidRDefault="00450D93" w:rsidP="00450D93">
      <w:r>
        <w:t xml:space="preserve">AusNet Services submitted a revised revenue proposal for its electricity transmission network on 21 September 2016. AusNet Services' revised proposal sets out the revenue it proposes to recover from electricity consumers through transmission charges for the period 2017–22. The revised proposal was in response to our draft decision which was published on 20 July 2016. </w:t>
      </w:r>
      <w:r w:rsidR="00E93906">
        <w:t xml:space="preserve">This overview, together with its attachments, constitutes our final decision on </w:t>
      </w:r>
      <w:r>
        <w:t>AusNet Services' revenue</w:t>
      </w:r>
      <w:r w:rsidR="00E93906">
        <w:t xml:space="preserve"> proposal.</w:t>
      </w:r>
    </w:p>
    <w:p w:rsidR="00E93906" w:rsidRDefault="00E93906" w:rsidP="00E93906">
      <w:r>
        <w:t xml:space="preserve">The National Electricity Law (NEL) and National Electricity Rules (NER) provide the regulatory framework governing electricity networks. In regulating </w:t>
      </w:r>
      <w:r w:rsidR="00450D93">
        <w:t>AusNet Services</w:t>
      </w:r>
      <w:r>
        <w:t>, we are guided by the National Electricity Objective (NEO), as set out in the NEL. The NEO is:</w:t>
      </w:r>
      <w:r>
        <w:rPr>
          <w:rStyle w:val="FootnoteReference"/>
        </w:rPr>
        <w:footnoteReference w:id="1"/>
      </w:r>
    </w:p>
    <w:p w:rsidR="00E93906" w:rsidRDefault="00E93906" w:rsidP="00E93906">
      <w:pPr>
        <w:pStyle w:val="AERquote"/>
      </w:pPr>
      <w:proofErr w:type="gramStart"/>
      <w:r>
        <w:t>to</w:t>
      </w:r>
      <w:proofErr w:type="gramEnd"/>
      <w:r>
        <w:t xml:space="preserve"> promote efficient investment in, and efficient operation and use of, electricity services for the long term interests of consumers of electricity with respect to</w:t>
      </w:r>
      <w:r w:rsidRPr="00F87780">
        <w:t>—</w:t>
      </w:r>
    </w:p>
    <w:p w:rsidR="00E93906" w:rsidRDefault="00E93906" w:rsidP="00E93906">
      <w:pPr>
        <w:pStyle w:val="AERquote"/>
      </w:pPr>
      <w:r>
        <w:t xml:space="preserve">(a) </w:t>
      </w:r>
      <w:r>
        <w:tab/>
      </w:r>
      <w:r>
        <w:tab/>
      </w:r>
      <w:proofErr w:type="gramStart"/>
      <w:r>
        <w:t>p</w:t>
      </w:r>
      <w:r w:rsidRPr="009B0726">
        <w:t>rice</w:t>
      </w:r>
      <w:proofErr w:type="gramEnd"/>
      <w:r w:rsidRPr="009B0726">
        <w:t xml:space="preserve">, quality, safety, reliability and security of supply of electricity; and </w:t>
      </w:r>
    </w:p>
    <w:p w:rsidR="00E93906" w:rsidRDefault="00E93906" w:rsidP="00E93906">
      <w:pPr>
        <w:pStyle w:val="AERquote"/>
      </w:pPr>
      <w:r>
        <w:t xml:space="preserve">(b) </w:t>
      </w:r>
      <w:r>
        <w:tab/>
      </w:r>
      <w:r>
        <w:tab/>
      </w:r>
      <w:proofErr w:type="gramStart"/>
      <w:r w:rsidRPr="009B0726">
        <w:t>the</w:t>
      </w:r>
      <w:proofErr w:type="gramEnd"/>
      <w:r w:rsidRPr="009B0726">
        <w:t xml:space="preserve"> reliability, safety and security of the national electricity system.</w:t>
      </w:r>
    </w:p>
    <w:p w:rsidR="00DE563D" w:rsidRDefault="00DC39EC" w:rsidP="001754EE">
      <w:pPr>
        <w:pStyle w:val="Heading2"/>
      </w:pPr>
      <w:bookmarkStart w:id="13" w:name="_Toc480988348"/>
      <w:r>
        <w:t>Structure of Overview</w:t>
      </w:r>
      <w:bookmarkEnd w:id="13"/>
    </w:p>
    <w:p w:rsidR="00DC39EC" w:rsidRDefault="00DC39EC" w:rsidP="00DC39EC">
      <w:r w:rsidRPr="00186391">
        <w:t>This over</w:t>
      </w:r>
      <w:r>
        <w:t xml:space="preserve">view provides a summary of our </w:t>
      </w:r>
      <w:r w:rsidR="00C65992">
        <w:t>final</w:t>
      </w:r>
      <w:r>
        <w:t xml:space="preserve"> decision and its individual components. The remainder is structured as follows: </w:t>
      </w:r>
    </w:p>
    <w:p w:rsidR="00DC39EC" w:rsidRDefault="00DC39EC" w:rsidP="00DC39EC">
      <w:pPr>
        <w:pStyle w:val="AERbulletlistfirststyle"/>
      </w:pPr>
      <w:r>
        <w:t xml:space="preserve">Section </w:t>
      </w:r>
      <w:r w:rsidR="00EA327D">
        <w:fldChar w:fldCharType="begin"/>
      </w:r>
      <w:r w:rsidR="00EA327D">
        <w:instrText xml:space="preserve"> REF _Ref477770573 \r \h </w:instrText>
      </w:r>
      <w:r w:rsidR="00EA327D">
        <w:fldChar w:fldCharType="separate"/>
      </w:r>
      <w:r w:rsidR="00867A0E">
        <w:t>2</w:t>
      </w:r>
      <w:r w:rsidR="00EA327D">
        <w:fldChar w:fldCharType="end"/>
      </w:r>
      <w:r>
        <w:t xml:space="preserve"> provides a high level summary of our final decision</w:t>
      </w:r>
    </w:p>
    <w:p w:rsidR="00DC39EC" w:rsidRDefault="00DC39EC" w:rsidP="00DC39EC">
      <w:pPr>
        <w:pStyle w:val="AERbulletlistfirststyle"/>
      </w:pPr>
      <w:r>
        <w:t xml:space="preserve">Section </w:t>
      </w:r>
      <w:r w:rsidR="00EA327D">
        <w:fldChar w:fldCharType="begin"/>
      </w:r>
      <w:r w:rsidR="00EA327D">
        <w:instrText xml:space="preserve"> REF _Ref477770584 \r \h </w:instrText>
      </w:r>
      <w:r w:rsidR="00EA327D">
        <w:fldChar w:fldCharType="separate"/>
      </w:r>
      <w:r w:rsidR="00867A0E">
        <w:t>3</w:t>
      </w:r>
      <w:r w:rsidR="00EA327D">
        <w:fldChar w:fldCharType="end"/>
      </w:r>
      <w:r>
        <w:t xml:space="preserve"> provides a breakdown of our final decision into its key components</w:t>
      </w:r>
    </w:p>
    <w:p w:rsidR="00DC39EC" w:rsidRDefault="00DC39EC" w:rsidP="00DC39EC">
      <w:pPr>
        <w:pStyle w:val="AERbulletlistfirststyle"/>
      </w:pPr>
      <w:r>
        <w:t xml:space="preserve">Section </w:t>
      </w:r>
      <w:r w:rsidR="00EA327D">
        <w:fldChar w:fldCharType="begin"/>
      </w:r>
      <w:r w:rsidR="00EA327D">
        <w:instrText xml:space="preserve"> REF _Ref477770597 \r \h </w:instrText>
      </w:r>
      <w:r w:rsidR="00EA327D">
        <w:fldChar w:fldCharType="separate"/>
      </w:r>
      <w:r w:rsidR="00867A0E">
        <w:t>4</w:t>
      </w:r>
      <w:r w:rsidR="00EA327D">
        <w:fldChar w:fldCharType="end"/>
      </w:r>
      <w:r>
        <w:t xml:space="preserve"> sets out our final decision on the incentive schemes that will apply to AusNet Services for the 2017–22 regulatory control period</w:t>
      </w:r>
    </w:p>
    <w:p w:rsidR="00DC39EC" w:rsidRDefault="00DC39EC" w:rsidP="00DC39EC">
      <w:pPr>
        <w:pStyle w:val="AERbulletlistfirststyle"/>
      </w:pPr>
      <w:r>
        <w:t xml:space="preserve">Section </w:t>
      </w:r>
      <w:r w:rsidR="00EA327D">
        <w:fldChar w:fldCharType="begin"/>
      </w:r>
      <w:r w:rsidR="00EA327D">
        <w:instrText xml:space="preserve"> REF _Ref477770609 \r \h </w:instrText>
      </w:r>
      <w:r w:rsidR="00EA327D">
        <w:fldChar w:fldCharType="separate"/>
      </w:r>
      <w:r w:rsidR="00867A0E">
        <w:t>5</w:t>
      </w:r>
      <w:r w:rsidR="00EA327D">
        <w:fldChar w:fldCharType="end"/>
      </w:r>
      <w:r>
        <w:t xml:space="preserve"> explains our views on the regulatory framework and the NEO</w:t>
      </w:r>
    </w:p>
    <w:p w:rsidR="00DC39EC" w:rsidRDefault="00DC39EC" w:rsidP="00DC39EC">
      <w:pPr>
        <w:pStyle w:val="AERbulletlistfirststyle"/>
      </w:pPr>
      <w:r>
        <w:t xml:space="preserve">Section </w:t>
      </w:r>
      <w:r w:rsidR="00EA327D">
        <w:fldChar w:fldCharType="begin"/>
      </w:r>
      <w:r w:rsidR="00EA327D">
        <w:instrText xml:space="preserve"> REF _Ref477770617 \r \h </w:instrText>
      </w:r>
      <w:r w:rsidR="00EA327D">
        <w:fldChar w:fldCharType="separate"/>
      </w:r>
      <w:r w:rsidR="00867A0E">
        <w:t>6</w:t>
      </w:r>
      <w:r w:rsidR="00EA327D">
        <w:fldChar w:fldCharType="end"/>
      </w:r>
      <w:r>
        <w:t xml:space="preserve"> outlines our consultation process in reaching this final decision and our view of AusNet Services' consumer engagement undertaken in developing its revenue proposal</w:t>
      </w:r>
    </w:p>
    <w:p w:rsidR="00DC39EC" w:rsidRDefault="00DC39EC" w:rsidP="00DC39EC">
      <w:pPr>
        <w:pStyle w:val="AERbulletlistfirststyle"/>
      </w:pPr>
      <w:r>
        <w:t>Appendix A contains the full list of constituent components that make up AusNet Services' proposal and our final decision on each of them</w:t>
      </w:r>
    </w:p>
    <w:p w:rsidR="00DC39EC" w:rsidRDefault="00DC39EC" w:rsidP="00DC39EC">
      <w:pPr>
        <w:pStyle w:val="AERbulletlistfirststyle"/>
      </w:pPr>
      <w:r>
        <w:lastRenderedPageBreak/>
        <w:t xml:space="preserve">Appendix B lists the stakeholder submissions received on </w:t>
      </w:r>
      <w:r w:rsidR="00C5075A">
        <w:t xml:space="preserve">our draft decision and </w:t>
      </w:r>
      <w:r>
        <w:t xml:space="preserve">AusNet Services' revised revenue proposal. </w:t>
      </w:r>
    </w:p>
    <w:p w:rsidR="00DC39EC" w:rsidRDefault="00DC39EC" w:rsidP="00DC39EC">
      <w:r w:rsidRPr="00186391">
        <w:t xml:space="preserve">In our attachments to this decision we set out detailed analysis of the constituent components </w:t>
      </w:r>
      <w:r>
        <w:t xml:space="preserve">that make up our final decision. </w:t>
      </w:r>
    </w:p>
    <w:p w:rsidR="00DF009B" w:rsidRDefault="00DF009B" w:rsidP="00DF009B">
      <w:pPr>
        <w:pStyle w:val="Heading2"/>
      </w:pPr>
      <w:bookmarkStart w:id="14" w:name="_Toc456687639"/>
      <w:bookmarkStart w:id="15" w:name="_Toc480988349"/>
      <w:r>
        <w:t>Victorian electricity transmission</w:t>
      </w:r>
      <w:bookmarkEnd w:id="14"/>
      <w:bookmarkEnd w:id="15"/>
    </w:p>
    <w:p w:rsidR="00DF009B" w:rsidRDefault="00DF009B" w:rsidP="00DF009B">
      <w:r>
        <w:t>In Victoria, two separate organisations are responsible for the electricity transmission network</w:t>
      </w:r>
      <w:r w:rsidRPr="00F87780">
        <w:t>—</w:t>
      </w:r>
      <w:r>
        <w:t xml:space="preserve">AusNet Services and the Australian Energy Market Operator (AEMO). Under this model, the transmission network planning functions in Victoria </w:t>
      </w:r>
      <w:proofErr w:type="gramStart"/>
      <w:r>
        <w:t>are</w:t>
      </w:r>
      <w:proofErr w:type="gramEnd"/>
      <w:r>
        <w:t xml:space="preserve"> separated from network ownership and operation. </w:t>
      </w:r>
    </w:p>
    <w:p w:rsidR="00DF009B" w:rsidRDefault="00DF009B" w:rsidP="00DF009B">
      <w:r>
        <w:t>AusNet Services is the transmission network service provider (TNSP) which owns and operates Victoria's electricity transmission network. It is responsible for transporting electricity from generation sources into Victoria's five lower–voltage distribution networks.</w:t>
      </w:r>
      <w:r>
        <w:rPr>
          <w:rStyle w:val="FootnoteReference"/>
        </w:rPr>
        <w:footnoteReference w:id="2"/>
      </w:r>
      <w:r>
        <w:t xml:space="preserve"> </w:t>
      </w:r>
    </w:p>
    <w:p w:rsidR="00DF009B" w:rsidRDefault="00DF009B" w:rsidP="00DC39EC">
      <w:r w:rsidRPr="00300BEC">
        <w:t xml:space="preserve">AEMO </w:t>
      </w:r>
      <w:r>
        <w:t xml:space="preserve">is also a designated TNSP and </w:t>
      </w:r>
      <w:r w:rsidRPr="00300BEC">
        <w:t xml:space="preserve">is responsible for planning and procuring </w:t>
      </w:r>
      <w:r>
        <w:t xml:space="preserve">the </w:t>
      </w:r>
      <w:r w:rsidRPr="00300BEC">
        <w:t xml:space="preserve">augmentation of the Victorian shared transmission network. </w:t>
      </w:r>
      <w:r w:rsidRPr="00A5142A">
        <w:t xml:space="preserve">Given that AEMO is responsible for augmentation </w:t>
      </w:r>
      <w:r>
        <w:t xml:space="preserve">investment and </w:t>
      </w:r>
      <w:r w:rsidRPr="00A5142A">
        <w:t>plans, these are not included in AusNet Services' re</w:t>
      </w:r>
      <w:r>
        <w:t>venue</w:t>
      </w:r>
      <w:r w:rsidRPr="00A5142A">
        <w:t xml:space="preserve"> proposal</w:t>
      </w:r>
      <w:r>
        <w:t xml:space="preserve">. </w:t>
      </w:r>
    </w:p>
    <w:p w:rsidR="00DC39EC" w:rsidRDefault="00DC39EC" w:rsidP="00DC39EC">
      <w:pPr>
        <w:pStyle w:val="Heading1"/>
      </w:pPr>
      <w:bookmarkStart w:id="16" w:name="_Ref477770573"/>
      <w:bookmarkStart w:id="17" w:name="_Toc480988350"/>
      <w:r>
        <w:lastRenderedPageBreak/>
        <w:t>Final decision</w:t>
      </w:r>
      <w:bookmarkEnd w:id="16"/>
      <w:bookmarkEnd w:id="17"/>
    </w:p>
    <w:p w:rsidR="00DF009B" w:rsidRPr="00D34060" w:rsidRDefault="00DF009B" w:rsidP="00D34060">
      <w:r>
        <w:t xml:space="preserve">Our final decision is </w:t>
      </w:r>
      <w:r w:rsidRPr="00B25C32">
        <w:rPr>
          <w:rStyle w:val="AERbody"/>
        </w:rPr>
        <w:t xml:space="preserve">that AusNet Services can recover </w:t>
      </w:r>
      <w:r w:rsidRPr="00140D4C">
        <w:t>$</w:t>
      </w:r>
      <w:r w:rsidR="00140D4C" w:rsidRPr="00140D4C">
        <w:t>274</w:t>
      </w:r>
      <w:r w:rsidR="006062C1">
        <w:t>1.</w:t>
      </w:r>
      <w:r w:rsidR="008C4208">
        <w:t>7</w:t>
      </w:r>
      <w:r w:rsidR="00140D4C" w:rsidRPr="00140D4C">
        <w:t> </w:t>
      </w:r>
      <w:r w:rsidRPr="00140D4C">
        <w:t>million</w:t>
      </w:r>
      <w:r w:rsidRPr="00B25C32">
        <w:rPr>
          <w:rStyle w:val="AERbody"/>
        </w:rPr>
        <w:t xml:space="preserve"> ($ nominal, smoothed) from consumers over the 2017–22 regulatory control period. This is a </w:t>
      </w:r>
      <w:r w:rsidR="00140D4C" w:rsidRPr="00D34060">
        <w:t>7.6 </w:t>
      </w:r>
      <w:r w:rsidRPr="00D34060">
        <w:t xml:space="preserve">per cent reduction from AusNet Services' </w:t>
      </w:r>
      <w:r w:rsidR="00CE23A7" w:rsidRPr="00D34060">
        <w:t xml:space="preserve">revised </w:t>
      </w:r>
      <w:r w:rsidRPr="00D34060">
        <w:t>proposed revenue allowance of $</w:t>
      </w:r>
      <w:r w:rsidR="00140D4C" w:rsidRPr="00D34060">
        <w:t>2967.5 </w:t>
      </w:r>
      <w:r w:rsidRPr="00D34060">
        <w:t xml:space="preserve">million ($ nominal). </w:t>
      </w:r>
      <w:r w:rsidR="00CE23A7" w:rsidRPr="00D34060">
        <w:t xml:space="preserve">Our final decision allows AusNet Services to recover </w:t>
      </w:r>
      <w:r w:rsidR="00EC7790">
        <w:t>1.7</w:t>
      </w:r>
      <w:r w:rsidR="006062C1" w:rsidRPr="00D34060">
        <w:t> </w:t>
      </w:r>
      <w:r w:rsidR="00CE23A7" w:rsidRPr="00D34060">
        <w:t>per cent more revenue than our draft decision of $</w:t>
      </w:r>
      <w:r w:rsidR="006062C1" w:rsidRPr="00D34060">
        <w:t>2695.0 </w:t>
      </w:r>
      <w:r w:rsidR="00CE23A7" w:rsidRPr="00D34060">
        <w:t xml:space="preserve">million ($ nominal). </w:t>
      </w:r>
    </w:p>
    <w:p w:rsidR="00DF009B" w:rsidRDefault="00DF009B" w:rsidP="00DF009B">
      <w:pPr>
        <w:rPr>
          <w:rStyle w:val="AERbody"/>
        </w:rPr>
      </w:pPr>
      <w:r w:rsidRPr="00B25C32">
        <w:rPr>
          <w:rStyle w:val="AERbody"/>
        </w:rPr>
        <w:fldChar w:fldCharType="begin"/>
      </w:r>
      <w:r w:rsidRPr="00B25C32">
        <w:rPr>
          <w:rStyle w:val="AERbody"/>
        </w:rPr>
        <w:instrText xml:space="preserve"> REF _Ref453146830 \h </w:instrText>
      </w:r>
      <w:r>
        <w:rPr>
          <w:rStyle w:val="AERbody"/>
        </w:rPr>
        <w:instrText xml:space="preserve"> \* MERGEFORMAT </w:instrText>
      </w:r>
      <w:r w:rsidRPr="00B25C32">
        <w:rPr>
          <w:rStyle w:val="AERbody"/>
        </w:rPr>
      </w:r>
      <w:r w:rsidRPr="00B25C32">
        <w:rPr>
          <w:rStyle w:val="AERbody"/>
        </w:rPr>
        <w:fldChar w:fldCharType="separate"/>
      </w:r>
      <w:r w:rsidR="00867A0E" w:rsidRPr="00867A0E">
        <w:rPr>
          <w:rStyle w:val="AERbody"/>
        </w:rPr>
        <w:t>Figure 2.1</w:t>
      </w:r>
      <w:r w:rsidRPr="00B25C32">
        <w:rPr>
          <w:rStyle w:val="AERbody"/>
        </w:rPr>
        <w:fldChar w:fldCharType="end"/>
      </w:r>
      <w:r w:rsidRPr="00B25C32">
        <w:rPr>
          <w:rStyle w:val="AERbody"/>
        </w:rPr>
        <w:t xml:space="preserve"> compares our </w:t>
      </w:r>
      <w:r>
        <w:rPr>
          <w:rStyle w:val="AERbody"/>
        </w:rPr>
        <w:t>final</w:t>
      </w:r>
      <w:r w:rsidRPr="00B25C32">
        <w:rPr>
          <w:rStyle w:val="AERbody"/>
        </w:rPr>
        <w:t xml:space="preserve"> decision on AusNet Services' revenue for 2017–22 to its proposed revenue and to the revenue allowed and recovered during the two previous regulatory control periods of 2008–14 and 2014–17. AusNet Services' annual revenue decreased each year from 2014–17 in real dollar terms.</w:t>
      </w:r>
      <w:r>
        <w:rPr>
          <w:rStyle w:val="AERbody"/>
        </w:rPr>
        <w:t xml:space="preserve"> </w:t>
      </w:r>
    </w:p>
    <w:p w:rsidR="00DF009B" w:rsidRDefault="00DF009B" w:rsidP="00DF009B">
      <w:pPr>
        <w:pStyle w:val="Caption"/>
        <w:rPr>
          <w:rStyle w:val="AERbody"/>
        </w:rPr>
      </w:pPr>
      <w:bookmarkStart w:id="18" w:name="_Ref453146830"/>
      <w:proofErr w:type="gramStart"/>
      <w:r>
        <w:t xml:space="preserve">Figure </w:t>
      </w:r>
      <w:r w:rsidR="00504B86">
        <w:fldChar w:fldCharType="begin"/>
      </w:r>
      <w:r w:rsidR="00504B86">
        <w:instrText xml:space="preserve"> STYLEREF 1 \s </w:instrText>
      </w:r>
      <w:r w:rsidR="00504B86">
        <w:fldChar w:fldCharType="separate"/>
      </w:r>
      <w:r w:rsidR="00867A0E">
        <w:rPr>
          <w:noProof/>
        </w:rPr>
        <w:t>2</w:t>
      </w:r>
      <w:r w:rsidR="00504B86">
        <w:rPr>
          <w:noProof/>
        </w:rPr>
        <w:fldChar w:fldCharType="end"/>
      </w:r>
      <w:r w:rsidR="008C2870">
        <w:t>.</w:t>
      </w:r>
      <w:proofErr w:type="gramEnd"/>
      <w:r w:rsidR="008C2870">
        <w:fldChar w:fldCharType="begin"/>
      </w:r>
      <w:r w:rsidR="008C2870">
        <w:instrText xml:space="preserve"> SEQ Figure \* ARABIC \s 1 </w:instrText>
      </w:r>
      <w:r w:rsidR="008C2870">
        <w:fldChar w:fldCharType="separate"/>
      </w:r>
      <w:r w:rsidR="00867A0E">
        <w:rPr>
          <w:noProof/>
        </w:rPr>
        <w:t>1</w:t>
      </w:r>
      <w:r w:rsidR="008C2870">
        <w:fldChar w:fldCharType="end"/>
      </w:r>
      <w:bookmarkEnd w:id="18"/>
      <w:r>
        <w:tab/>
        <w:t>AusNet Services' past total revenue, proposed total revenue and AER final decision total revenue allowance ($million, 2016–17)</w:t>
      </w:r>
      <w:r>
        <w:tab/>
      </w:r>
    </w:p>
    <w:p w:rsidR="00DF009B" w:rsidRDefault="00EA6F2F" w:rsidP="00DF009B">
      <w:r w:rsidRPr="00EA6F2F">
        <w:rPr>
          <w:noProof/>
          <w:lang w:eastAsia="en-AU"/>
        </w:rPr>
        <w:drawing>
          <wp:inline distT="0" distB="0" distL="0" distR="0" wp14:anchorId="56231686" wp14:editId="1B2404CC">
            <wp:extent cx="5382895" cy="3160568"/>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60568"/>
                    </a:xfrm>
                    <a:prstGeom prst="rect">
                      <a:avLst/>
                    </a:prstGeom>
                    <a:noFill/>
                    <a:ln>
                      <a:noFill/>
                    </a:ln>
                  </pic:spPr>
                </pic:pic>
              </a:graphicData>
            </a:graphic>
          </wp:inline>
        </w:drawing>
      </w:r>
    </w:p>
    <w:p w:rsidR="00DF009B" w:rsidRPr="00F41B1C" w:rsidRDefault="00DF009B" w:rsidP="00F41B1C">
      <w:pPr>
        <w:pStyle w:val="AERtablesource"/>
      </w:pPr>
      <w:r w:rsidRPr="00F41B1C">
        <w:t>Source:</w:t>
      </w:r>
      <w:r w:rsidRPr="00F41B1C">
        <w:tab/>
        <w:t>AER analysis.</w:t>
      </w:r>
    </w:p>
    <w:p w:rsidR="00DF009B" w:rsidRDefault="00DF009B" w:rsidP="00DF009B">
      <w:pPr>
        <w:pStyle w:val="Heading2"/>
      </w:pPr>
      <w:bookmarkStart w:id="19" w:name="_Toc456687641"/>
      <w:bookmarkStart w:id="20" w:name="_Ref479164545"/>
      <w:bookmarkStart w:id="21" w:name="_Toc480988351"/>
      <w:r>
        <w:t>What is driving allowed revenue?</w:t>
      </w:r>
      <w:bookmarkEnd w:id="19"/>
      <w:bookmarkEnd w:id="20"/>
      <w:bookmarkEnd w:id="21"/>
    </w:p>
    <w:p w:rsidR="00DF009B" w:rsidRPr="00F87780" w:rsidRDefault="00DF009B" w:rsidP="00140D4C">
      <w:r>
        <w:t>O</w:t>
      </w:r>
      <w:r w:rsidRPr="00F87780">
        <w:t xml:space="preserve">ur </w:t>
      </w:r>
      <w:r>
        <w:t>final</w:t>
      </w:r>
      <w:r w:rsidRPr="00F87780">
        <w:t xml:space="preserve"> decision</w:t>
      </w:r>
      <w:r>
        <w:t xml:space="preserve"> </w:t>
      </w:r>
      <w:r w:rsidRPr="00F87780">
        <w:t>approve</w:t>
      </w:r>
      <w:r>
        <w:t>s</w:t>
      </w:r>
      <w:r w:rsidRPr="00F87780">
        <w:t xml:space="preserve"> </w:t>
      </w:r>
      <w:r>
        <w:t xml:space="preserve">average annual </w:t>
      </w:r>
      <w:r w:rsidRPr="00F87780">
        <w:t>revenue</w:t>
      </w:r>
      <w:r>
        <w:t>s</w:t>
      </w:r>
      <w:r w:rsidRPr="00F87780">
        <w:t xml:space="preserve"> for the 201</w:t>
      </w:r>
      <w:r>
        <w:t>7</w:t>
      </w:r>
      <w:r w:rsidRPr="00F87780">
        <w:t>–2</w:t>
      </w:r>
      <w:r>
        <w:t>2</w:t>
      </w:r>
      <w:r w:rsidRPr="00F87780">
        <w:t xml:space="preserve"> </w:t>
      </w:r>
      <w:r>
        <w:t>regulatory control</w:t>
      </w:r>
      <w:r w:rsidRPr="00F87780">
        <w:t xml:space="preserve"> </w:t>
      </w:r>
      <w:r w:rsidRPr="00B25C32">
        <w:rPr>
          <w:rStyle w:val="AERbody"/>
        </w:rPr>
        <w:t xml:space="preserve">period that </w:t>
      </w:r>
      <w:r w:rsidRPr="00140D4C">
        <w:t>are $</w:t>
      </w:r>
      <w:r w:rsidR="008C4208">
        <w:t>3</w:t>
      </w:r>
      <w:r w:rsidR="0098593E">
        <w:t>2</w:t>
      </w:r>
      <w:r w:rsidR="008C4208">
        <w:t>.</w:t>
      </w:r>
      <w:r w:rsidR="00BE2ADA">
        <w:t>5</w:t>
      </w:r>
      <w:r w:rsidR="00140D4C" w:rsidRPr="00140D4C">
        <w:t> </w:t>
      </w:r>
      <w:r w:rsidRPr="00140D4C">
        <w:t xml:space="preserve">million ($ 2016–17)—or </w:t>
      </w:r>
      <w:r w:rsidR="00140D4C" w:rsidRPr="00140D4C">
        <w:t>6.</w:t>
      </w:r>
      <w:r w:rsidR="0098593E">
        <w:t>0</w:t>
      </w:r>
      <w:r w:rsidR="00140D4C" w:rsidRPr="00140D4C">
        <w:t> </w:t>
      </w:r>
      <w:r w:rsidRPr="00140D4C">
        <w:t>per cent—</w:t>
      </w:r>
      <w:r>
        <w:t>lower</w:t>
      </w:r>
      <w:r w:rsidRPr="00F87780">
        <w:t xml:space="preserve"> tha</w:t>
      </w:r>
      <w:r>
        <w:t>n</w:t>
      </w:r>
      <w:r w:rsidRPr="00F87780">
        <w:t xml:space="preserve"> w</w:t>
      </w:r>
      <w:r>
        <w:t>as</w:t>
      </w:r>
      <w:r w:rsidRPr="00F87780">
        <w:t xml:space="preserve"> approved in our decision for 201</w:t>
      </w:r>
      <w:r>
        <w:t>4</w:t>
      </w:r>
      <w:r w:rsidRPr="00F87780">
        <w:t>–1</w:t>
      </w:r>
      <w:r>
        <w:t>7 in real dollar terms</w:t>
      </w:r>
      <w:r w:rsidRPr="00F87780">
        <w:t>.</w:t>
      </w:r>
      <w:r>
        <w:rPr>
          <w:rStyle w:val="FootnoteReference"/>
        </w:rPr>
        <w:footnoteReference w:id="3"/>
      </w:r>
      <w:r w:rsidRPr="00F87780">
        <w:t xml:space="preserve"> </w:t>
      </w:r>
      <w:r>
        <w:t xml:space="preserve">Our </w:t>
      </w:r>
      <w:r w:rsidR="00140D4C">
        <w:t>final</w:t>
      </w:r>
      <w:r>
        <w:t xml:space="preserve"> decision</w:t>
      </w:r>
      <w:r w:rsidRPr="00140D4C">
        <w:t xml:space="preserve"> provides </w:t>
      </w:r>
      <w:r w:rsidR="00140D4C" w:rsidRPr="00140D4C">
        <w:lastRenderedPageBreak/>
        <w:t>9.</w:t>
      </w:r>
      <w:r w:rsidR="0098593E">
        <w:t>7</w:t>
      </w:r>
      <w:r w:rsidR="00140D4C" w:rsidRPr="00140D4C">
        <w:t> </w:t>
      </w:r>
      <w:r w:rsidRPr="00140D4C">
        <w:t xml:space="preserve">per cent </w:t>
      </w:r>
      <w:r w:rsidRPr="00F87780">
        <w:t>less revenue</w:t>
      </w:r>
      <w:r>
        <w:t xml:space="preserve"> </w:t>
      </w:r>
      <w:r w:rsidRPr="00F87780">
        <w:t>than A</w:t>
      </w:r>
      <w:r>
        <w:t xml:space="preserve">usNet Services </w:t>
      </w:r>
      <w:r w:rsidRPr="00F87780">
        <w:t xml:space="preserve">sought to recover through its </w:t>
      </w:r>
      <w:r>
        <w:t>revised revenue</w:t>
      </w:r>
      <w:r w:rsidRPr="00F87780">
        <w:t xml:space="preserve"> proposal</w:t>
      </w:r>
      <w:r w:rsidR="008C4435">
        <w:t xml:space="preserve"> in real dollar terms</w:t>
      </w:r>
      <w:r w:rsidRPr="00F87780">
        <w:t>.</w:t>
      </w:r>
    </w:p>
    <w:p w:rsidR="00DF009B" w:rsidRPr="00E527BE" w:rsidRDefault="00DF009B" w:rsidP="00DF009B">
      <w:r>
        <w:fldChar w:fldCharType="begin"/>
      </w:r>
      <w:r>
        <w:instrText xml:space="preserve"> REF _Ref453232390 \h </w:instrText>
      </w:r>
      <w:r>
        <w:fldChar w:fldCharType="separate"/>
      </w:r>
      <w:r w:rsidR="00867A0E">
        <w:t xml:space="preserve">Figure </w:t>
      </w:r>
      <w:r w:rsidR="00867A0E">
        <w:rPr>
          <w:noProof/>
        </w:rPr>
        <w:t>2</w:t>
      </w:r>
      <w:r w:rsidR="00867A0E">
        <w:t>.</w:t>
      </w:r>
      <w:r w:rsidR="00867A0E">
        <w:rPr>
          <w:noProof/>
        </w:rPr>
        <w:t>2</w:t>
      </w:r>
      <w:r>
        <w:fldChar w:fldCharType="end"/>
      </w:r>
      <w:r>
        <w:t xml:space="preserve"> compares the average annual building block revenue from our final decision to that proposed by AusNet Services for the 2017–22 regulatory control </w:t>
      </w:r>
      <w:proofErr w:type="gramStart"/>
      <w:r>
        <w:t>period</w:t>
      </w:r>
      <w:proofErr w:type="gramEnd"/>
      <w:r>
        <w:t xml:space="preserve">, and to the approved average amount for the 2014–17 regulatory control period. </w:t>
      </w:r>
    </w:p>
    <w:p w:rsidR="00DF009B" w:rsidRDefault="00DF009B" w:rsidP="00DF009B">
      <w:pPr>
        <w:pStyle w:val="Caption"/>
      </w:pPr>
      <w:bookmarkStart w:id="22" w:name="_Ref453232390"/>
      <w:proofErr w:type="gramStart"/>
      <w:r>
        <w:t xml:space="preserve">Figure </w:t>
      </w:r>
      <w:r w:rsidR="00504B86">
        <w:fldChar w:fldCharType="begin"/>
      </w:r>
      <w:r w:rsidR="00504B86">
        <w:instrText xml:space="preserve"> STYLEREF 1 \s </w:instrText>
      </w:r>
      <w:r w:rsidR="00504B86">
        <w:fldChar w:fldCharType="separate"/>
      </w:r>
      <w:r w:rsidR="00867A0E">
        <w:rPr>
          <w:noProof/>
        </w:rPr>
        <w:t>2</w:t>
      </w:r>
      <w:r w:rsidR="00504B86">
        <w:rPr>
          <w:noProof/>
        </w:rPr>
        <w:fldChar w:fldCharType="end"/>
      </w:r>
      <w:r w:rsidR="008C2870">
        <w:t>.</w:t>
      </w:r>
      <w:proofErr w:type="gramEnd"/>
      <w:r w:rsidR="008C2870">
        <w:fldChar w:fldCharType="begin"/>
      </w:r>
      <w:r w:rsidR="008C2870">
        <w:instrText xml:space="preserve"> SEQ Figure \* ARABIC \s 1 </w:instrText>
      </w:r>
      <w:r w:rsidR="008C2870">
        <w:fldChar w:fldCharType="separate"/>
      </w:r>
      <w:r w:rsidR="00867A0E">
        <w:rPr>
          <w:noProof/>
        </w:rPr>
        <w:t>2</w:t>
      </w:r>
      <w:r w:rsidR="008C2870">
        <w:fldChar w:fldCharType="end"/>
      </w:r>
      <w:bookmarkEnd w:id="22"/>
      <w:r>
        <w:tab/>
        <w:t xml:space="preserve">AER's </w:t>
      </w:r>
      <w:r w:rsidR="00C65992">
        <w:t>final</w:t>
      </w:r>
      <w:r>
        <w:t xml:space="preserve"> decision on constituent components of total revenue ($million, 2016–17)</w:t>
      </w:r>
    </w:p>
    <w:p w:rsidR="00DF009B" w:rsidRPr="00DF009B" w:rsidRDefault="00EA6F2F" w:rsidP="00DF009B">
      <w:r w:rsidRPr="00EA6F2F">
        <w:rPr>
          <w:noProof/>
          <w:lang w:eastAsia="en-AU"/>
        </w:rPr>
        <w:drawing>
          <wp:inline distT="0" distB="0" distL="0" distR="0" wp14:anchorId="4FD8D216" wp14:editId="4C0076E0">
            <wp:extent cx="5382895" cy="3160568"/>
            <wp:effectExtent l="0" t="0" r="825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160568"/>
                    </a:xfrm>
                    <a:prstGeom prst="rect">
                      <a:avLst/>
                    </a:prstGeom>
                    <a:noFill/>
                    <a:ln>
                      <a:noFill/>
                    </a:ln>
                  </pic:spPr>
                </pic:pic>
              </a:graphicData>
            </a:graphic>
          </wp:inline>
        </w:drawing>
      </w:r>
    </w:p>
    <w:p w:rsidR="00DF009B" w:rsidRPr="00F41B1C" w:rsidRDefault="00DF009B" w:rsidP="00F41B1C">
      <w:pPr>
        <w:pStyle w:val="AERtablesource"/>
      </w:pPr>
      <w:r w:rsidRPr="00F41B1C">
        <w:t>Source:</w:t>
      </w:r>
      <w:r w:rsidRPr="00F41B1C">
        <w:tab/>
        <w:t>AER analysis.</w:t>
      </w:r>
    </w:p>
    <w:p w:rsidR="00DF009B" w:rsidRDefault="00DF009B" w:rsidP="00DF009B">
      <w:r>
        <w:fldChar w:fldCharType="begin"/>
      </w:r>
      <w:r>
        <w:instrText xml:space="preserve"> REF _Ref453232866 \h </w:instrText>
      </w:r>
      <w:r>
        <w:fldChar w:fldCharType="separate"/>
      </w:r>
      <w:r w:rsidR="00867A0E">
        <w:t xml:space="preserve">Figure </w:t>
      </w:r>
      <w:r w:rsidR="00867A0E">
        <w:rPr>
          <w:noProof/>
        </w:rPr>
        <w:t>2</w:t>
      </w:r>
      <w:r w:rsidR="00867A0E">
        <w:t>.</w:t>
      </w:r>
      <w:r w:rsidR="00867A0E">
        <w:rPr>
          <w:noProof/>
        </w:rPr>
        <w:t>3</w:t>
      </w:r>
      <w:r>
        <w:fldChar w:fldCharType="end"/>
      </w:r>
      <w:r>
        <w:t xml:space="preserve"> compares our </w:t>
      </w:r>
      <w:r w:rsidR="00C65992">
        <w:t>final</w:t>
      </w:r>
      <w:r>
        <w:t xml:space="preserve"> decision </w:t>
      </w:r>
      <w:r w:rsidR="00A364B7">
        <w:t xml:space="preserve">for the 2017–22 regulatory control </w:t>
      </w:r>
      <w:proofErr w:type="gramStart"/>
      <w:r w:rsidR="00A364B7">
        <w:t>period</w:t>
      </w:r>
      <w:proofErr w:type="gramEnd"/>
      <w:r w:rsidR="00A364B7">
        <w:t xml:space="preserve"> </w:t>
      </w:r>
      <w:r>
        <w:t xml:space="preserve">with AusNet Services' </w:t>
      </w:r>
      <w:r w:rsidR="00A364B7">
        <w:t xml:space="preserve">allowed revenue for the 2014–17 regulatory control period, </w:t>
      </w:r>
      <w:r>
        <w:t xml:space="preserve">broken down by the various building block components that make up the forecast revenue allowance. </w:t>
      </w:r>
      <w:r w:rsidR="004C57B1">
        <w:t xml:space="preserve">These are annual amounts based on average </w:t>
      </w:r>
      <w:r w:rsidR="002A56C7">
        <w:t xml:space="preserve">unsmoothed building block costs </w:t>
      </w:r>
      <w:r w:rsidR="004C57B1">
        <w:t xml:space="preserve">over the two relevant regulatory control periods. </w:t>
      </w:r>
    </w:p>
    <w:p w:rsidR="00DF009B" w:rsidRDefault="00DF009B" w:rsidP="00DF009B">
      <w:pPr>
        <w:pStyle w:val="Caption"/>
      </w:pPr>
      <w:bookmarkStart w:id="23" w:name="_Ref479685416"/>
      <w:bookmarkStart w:id="24" w:name="_Ref477771164"/>
      <w:bookmarkStart w:id="25" w:name="_Ref453232866"/>
      <w:proofErr w:type="gramStart"/>
      <w:r>
        <w:lastRenderedPageBreak/>
        <w:t xml:space="preserve">Figure </w:t>
      </w:r>
      <w:r w:rsidR="00504B86">
        <w:fldChar w:fldCharType="begin"/>
      </w:r>
      <w:r w:rsidR="00504B86">
        <w:instrText xml:space="preserve"> STYLEREF 1 \s </w:instrText>
      </w:r>
      <w:r w:rsidR="00504B86">
        <w:fldChar w:fldCharType="separate"/>
      </w:r>
      <w:r w:rsidR="00867A0E">
        <w:rPr>
          <w:noProof/>
        </w:rPr>
        <w:t>2</w:t>
      </w:r>
      <w:r w:rsidR="00504B86">
        <w:rPr>
          <w:noProof/>
        </w:rPr>
        <w:fldChar w:fldCharType="end"/>
      </w:r>
      <w:r w:rsidR="008C2870">
        <w:t>.</w:t>
      </w:r>
      <w:proofErr w:type="gramEnd"/>
      <w:r w:rsidR="00BE2ADA">
        <w:fldChar w:fldCharType="begin"/>
      </w:r>
      <w:r w:rsidR="00BE2ADA">
        <w:instrText xml:space="preserve"> SEQ Figure \* ARABIC \s 1 </w:instrText>
      </w:r>
      <w:r w:rsidR="00BE2ADA">
        <w:fldChar w:fldCharType="separate"/>
      </w:r>
      <w:r w:rsidR="00867A0E">
        <w:rPr>
          <w:noProof/>
        </w:rPr>
        <w:t>3</w:t>
      </w:r>
      <w:r w:rsidR="00BE2ADA">
        <w:rPr>
          <w:noProof/>
        </w:rPr>
        <w:fldChar w:fldCharType="end"/>
      </w:r>
      <w:bookmarkEnd w:id="23"/>
      <w:bookmarkEnd w:id="24"/>
      <w:bookmarkEnd w:id="25"/>
      <w:r>
        <w:tab/>
        <w:t xml:space="preserve">AER's </w:t>
      </w:r>
      <w:r w:rsidR="00C65992">
        <w:t>final</w:t>
      </w:r>
      <w:r>
        <w:t xml:space="preserve"> decision </w:t>
      </w:r>
      <w:r w:rsidR="008B5854">
        <w:t xml:space="preserve">for the 2017–22 regulatory control period </w:t>
      </w:r>
      <w:r>
        <w:t xml:space="preserve">and AusNet Services' </w:t>
      </w:r>
      <w:r w:rsidR="008B5854">
        <w:t>201</w:t>
      </w:r>
      <w:r w:rsidR="00FC528D">
        <w:t>4</w:t>
      </w:r>
      <w:r w:rsidR="008B5854">
        <w:t xml:space="preserve">–17 allowed average </w:t>
      </w:r>
      <w:r>
        <w:t>annual building block costs ($million, 2016–17)</w:t>
      </w:r>
    </w:p>
    <w:p w:rsidR="00996606" w:rsidRPr="00996606" w:rsidRDefault="008C4435" w:rsidP="00996606">
      <w:r w:rsidRPr="008C4435">
        <w:rPr>
          <w:noProof/>
          <w:lang w:eastAsia="en-AU"/>
        </w:rPr>
        <w:drawing>
          <wp:inline distT="0" distB="0" distL="0" distR="0" wp14:anchorId="48DD43E5" wp14:editId="6B827DD5">
            <wp:extent cx="5382895" cy="2918934"/>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918934"/>
                    </a:xfrm>
                    <a:prstGeom prst="rect">
                      <a:avLst/>
                    </a:prstGeom>
                    <a:noFill/>
                    <a:ln>
                      <a:noFill/>
                    </a:ln>
                  </pic:spPr>
                </pic:pic>
              </a:graphicData>
            </a:graphic>
          </wp:inline>
        </w:drawing>
      </w:r>
    </w:p>
    <w:p w:rsidR="00DF009B" w:rsidRPr="00F41B1C" w:rsidRDefault="00DF009B" w:rsidP="00F41B1C">
      <w:pPr>
        <w:pStyle w:val="AERtablesource"/>
      </w:pPr>
      <w:r w:rsidRPr="00F41B1C">
        <w:t>Source:</w:t>
      </w:r>
      <w:r w:rsidRPr="00F41B1C">
        <w:tab/>
        <w:t>AER analysis.</w:t>
      </w:r>
    </w:p>
    <w:p w:rsidR="008B5854" w:rsidRDefault="00DF009B" w:rsidP="00BB0795">
      <w:r w:rsidRPr="00D2459D">
        <w:t xml:space="preserve">These figures </w:t>
      </w:r>
      <w:r w:rsidRPr="00CE23A7">
        <w:t xml:space="preserve">highlight that the </w:t>
      </w:r>
      <w:r w:rsidR="000A6E0D">
        <w:t xml:space="preserve">return on capital is the key difference between our final decision for the 2017–22 regulatory control period and AusNet Services' allowed revenue for the 2014–17 regulatory control period. </w:t>
      </w:r>
      <w:r w:rsidR="008B5854">
        <w:t xml:space="preserve">The reduction in the return on capital is however partially offset by an increase in opex. </w:t>
      </w:r>
    </w:p>
    <w:p w:rsidR="00AD3240" w:rsidRDefault="00AD3240" w:rsidP="00BB0795">
      <w:r w:rsidRPr="00AD3240">
        <w:t xml:space="preserve">The reduction in the return on capital </w:t>
      </w:r>
      <w:r>
        <w:t>is driven by</w:t>
      </w:r>
      <w:r w:rsidRPr="00AD3240">
        <w:t xml:space="preserve"> change</w:t>
      </w:r>
      <w:r>
        <w:t>s in the estimated</w:t>
      </w:r>
      <w:r w:rsidRPr="00AD3240">
        <w:t xml:space="preserve"> rate</w:t>
      </w:r>
      <w:r>
        <w:t>s</w:t>
      </w:r>
      <w:r w:rsidRPr="00AD3240">
        <w:t xml:space="preserve"> of return</w:t>
      </w:r>
      <w:r>
        <w:t xml:space="preserve"> on debt and equity</w:t>
      </w:r>
      <w:r w:rsidRPr="00AD3240">
        <w:t>. The estimated return on debt and return on equity fell</w:t>
      </w:r>
      <w:r w:rsidR="004A7EE1">
        <w:t xml:space="preserve"> between regulatory periods by 2</w:t>
      </w:r>
      <w:r w:rsidRPr="00AD3240">
        <w:t>.</w:t>
      </w:r>
      <w:r w:rsidR="004A7EE1">
        <w:t>4</w:t>
      </w:r>
      <w:r w:rsidRPr="00AD3240">
        <w:t xml:space="preserve"> and </w:t>
      </w:r>
      <w:r w:rsidR="004A7EE1">
        <w:t>1</w:t>
      </w:r>
      <w:r w:rsidRPr="00AD3240">
        <w:t>.</w:t>
      </w:r>
      <w:r w:rsidR="004A7EE1">
        <w:t>9</w:t>
      </w:r>
      <w:r w:rsidRPr="00AD3240">
        <w:t xml:space="preserve"> percentage points respectively. The falls were </w:t>
      </w:r>
      <w:r>
        <w:t xml:space="preserve">largely </w:t>
      </w:r>
      <w:r w:rsidRPr="00AD3240">
        <w:t xml:space="preserve">caused by a reduction in the risk free rate. </w:t>
      </w:r>
      <w:r>
        <w:t>However, t</w:t>
      </w:r>
      <w:r w:rsidRPr="00AD3240">
        <w:t>he equity beta used</w:t>
      </w:r>
      <w:r w:rsidR="001A18C0">
        <w:t xml:space="preserve"> also fell from 0.8 for the 2014</w:t>
      </w:r>
      <w:r w:rsidRPr="00AD3240">
        <w:t xml:space="preserve">–17 regulatory control </w:t>
      </w:r>
      <w:proofErr w:type="gramStart"/>
      <w:r w:rsidRPr="00AD3240">
        <w:t>period</w:t>
      </w:r>
      <w:proofErr w:type="gramEnd"/>
      <w:r w:rsidRPr="00AD3240">
        <w:t> to 0.7 for the 2017–22 regulatory control period</w:t>
      </w:r>
      <w:r>
        <w:t xml:space="preserve"> reducing the </w:t>
      </w:r>
      <w:r w:rsidR="00A8091F">
        <w:t xml:space="preserve">estimated </w:t>
      </w:r>
      <w:r>
        <w:t>equity risk premium</w:t>
      </w:r>
      <w:r w:rsidRPr="00AD3240">
        <w:t>.</w:t>
      </w:r>
    </w:p>
    <w:p w:rsidR="008B5854" w:rsidRPr="002B7CE3" w:rsidRDefault="00CF637E" w:rsidP="00BB0795">
      <w:pPr>
        <w:rPr>
          <w:rStyle w:val="AERbody"/>
        </w:rPr>
      </w:pPr>
      <w:r w:rsidRPr="00CF637E">
        <w:rPr>
          <w:rStyle w:val="AERbody"/>
        </w:rPr>
        <w:t xml:space="preserve">The increase in AusNet Services’ opex allowance between the two periods is primarily due to an increase in forecast easement land tax. AusNet Services advised in a submission subsequent to its revised proposal that the Victorian Government had increased its easement land tax for 2017–18. This is discussed further in section </w:t>
      </w:r>
      <w:r>
        <w:rPr>
          <w:rStyle w:val="AERbody"/>
        </w:rPr>
        <w:fldChar w:fldCharType="begin"/>
      </w:r>
      <w:r>
        <w:rPr>
          <w:rStyle w:val="AERbody"/>
        </w:rPr>
        <w:instrText xml:space="preserve"> REF _Ref451759140 \r \h </w:instrText>
      </w:r>
      <w:r>
        <w:rPr>
          <w:rStyle w:val="AERbody"/>
        </w:rPr>
      </w:r>
      <w:r>
        <w:rPr>
          <w:rStyle w:val="AERbody"/>
        </w:rPr>
        <w:fldChar w:fldCharType="separate"/>
      </w:r>
      <w:r w:rsidR="00867A0E">
        <w:rPr>
          <w:rStyle w:val="AERbody"/>
        </w:rPr>
        <w:t>3.6</w:t>
      </w:r>
      <w:r>
        <w:rPr>
          <w:rStyle w:val="AERbody"/>
        </w:rPr>
        <w:fldChar w:fldCharType="end"/>
      </w:r>
      <w:r w:rsidR="00C649C3" w:rsidRPr="002B7CE3">
        <w:rPr>
          <w:rStyle w:val="AERbody"/>
        </w:rPr>
        <w:t>.</w:t>
      </w:r>
    </w:p>
    <w:p w:rsidR="00CB75AB" w:rsidRDefault="00CB75AB" w:rsidP="00CB75AB">
      <w:pPr>
        <w:pStyle w:val="Heading2"/>
      </w:pPr>
      <w:bookmarkStart w:id="26" w:name="_Toc479861999"/>
      <w:bookmarkStart w:id="27" w:name="_Toc480988352"/>
      <w:bookmarkEnd w:id="26"/>
      <w:r>
        <w:t>Key differences between our draft and final decisions</w:t>
      </w:r>
      <w:bookmarkEnd w:id="27"/>
    </w:p>
    <w:p w:rsidR="00CB75AB" w:rsidRDefault="008C2870" w:rsidP="00CB75AB">
      <w:r>
        <w:t>While our approved revenue allowance is less than AusNet Services proposed, it is higher than we allowed in our draft decision.</w:t>
      </w:r>
      <w:r w:rsidR="00886EF9">
        <w:t xml:space="preserve"> Our final decision allows AusNet Services to recover 1.7 per cent more revenue from its customers than our July 2016 draft decision of $2695.0 million ($nominal).</w:t>
      </w:r>
      <w:r>
        <w:t xml:space="preserve"> </w:t>
      </w:r>
      <w:r>
        <w:rPr>
          <w:rStyle w:val="AERbody"/>
        </w:rPr>
        <w:fldChar w:fldCharType="begin"/>
      </w:r>
      <w:r>
        <w:rPr>
          <w:rStyle w:val="AERbody"/>
        </w:rPr>
        <w:instrText xml:space="preserve"> REF _Ref479163208 \h </w:instrText>
      </w:r>
      <w:r>
        <w:rPr>
          <w:rStyle w:val="AERbody"/>
        </w:rPr>
      </w:r>
      <w:r>
        <w:rPr>
          <w:rStyle w:val="AERbody"/>
        </w:rPr>
        <w:fldChar w:fldCharType="separate"/>
      </w:r>
      <w:r w:rsidR="00867A0E">
        <w:t xml:space="preserve">Figure </w:t>
      </w:r>
      <w:r w:rsidR="00867A0E">
        <w:rPr>
          <w:noProof/>
        </w:rPr>
        <w:t>2</w:t>
      </w:r>
      <w:r w:rsidR="00867A0E">
        <w:t>.</w:t>
      </w:r>
      <w:r w:rsidR="00867A0E">
        <w:rPr>
          <w:noProof/>
        </w:rPr>
        <w:t>4</w:t>
      </w:r>
      <w:r>
        <w:rPr>
          <w:rStyle w:val="AERbody"/>
        </w:rPr>
        <w:fldChar w:fldCharType="end"/>
      </w:r>
      <w:r>
        <w:rPr>
          <w:rStyle w:val="AERbody"/>
        </w:rPr>
        <w:t xml:space="preserve"> sho</w:t>
      </w:r>
      <w:r w:rsidRPr="00167E3A">
        <w:rPr>
          <w:rStyle w:val="AERbody"/>
        </w:rPr>
        <w:t>ws the building block components from our</w:t>
      </w:r>
      <w:r>
        <w:rPr>
          <w:rStyle w:val="AERbody"/>
        </w:rPr>
        <w:t xml:space="preserve"> final</w:t>
      </w:r>
      <w:r w:rsidRPr="00167E3A">
        <w:rPr>
          <w:rStyle w:val="AERbody"/>
        </w:rPr>
        <w:t xml:space="preserve"> determination that make up the annual</w:t>
      </w:r>
      <w:r>
        <w:rPr>
          <w:rStyle w:val="AERbody"/>
        </w:rPr>
        <w:t xml:space="preserve"> </w:t>
      </w:r>
      <w:r w:rsidRPr="00167E3A">
        <w:rPr>
          <w:rStyle w:val="AERbody"/>
        </w:rPr>
        <w:t xml:space="preserve">building block </w:t>
      </w:r>
      <w:r w:rsidRPr="00167E3A">
        <w:rPr>
          <w:rStyle w:val="AERbody"/>
        </w:rPr>
        <w:lastRenderedPageBreak/>
        <w:t xml:space="preserve">revenue requirement for </w:t>
      </w:r>
      <w:r>
        <w:rPr>
          <w:rStyle w:val="AERbody"/>
        </w:rPr>
        <w:t>AusNet Services</w:t>
      </w:r>
      <w:r w:rsidRPr="00167E3A">
        <w:rPr>
          <w:rStyle w:val="AERbody"/>
        </w:rPr>
        <w:t>, and the corresponding components from its</w:t>
      </w:r>
      <w:r>
        <w:rPr>
          <w:rStyle w:val="AERbody"/>
        </w:rPr>
        <w:t xml:space="preserve"> revised </w:t>
      </w:r>
      <w:r w:rsidRPr="00167E3A">
        <w:rPr>
          <w:rStyle w:val="AERbody"/>
        </w:rPr>
        <w:t>proposal</w:t>
      </w:r>
      <w:r>
        <w:rPr>
          <w:rStyle w:val="AERbody"/>
        </w:rPr>
        <w:t xml:space="preserve"> and our draft decision</w:t>
      </w:r>
      <w:r w:rsidRPr="00167E3A">
        <w:rPr>
          <w:rStyle w:val="AERbody"/>
        </w:rPr>
        <w:t>.</w:t>
      </w:r>
    </w:p>
    <w:p w:rsidR="00CB75AB" w:rsidRDefault="008C2870" w:rsidP="002B7CE3">
      <w:pPr>
        <w:pStyle w:val="Caption"/>
      </w:pPr>
      <w:bookmarkStart w:id="28" w:name="_Ref479163208"/>
      <w:proofErr w:type="gramStart"/>
      <w:r>
        <w:t xml:space="preserve">Figure </w:t>
      </w:r>
      <w:r w:rsidR="00504B86">
        <w:fldChar w:fldCharType="begin"/>
      </w:r>
      <w:r w:rsidR="00504B86">
        <w:instrText xml:space="preserve"> STYLEREF 1 \s </w:instrText>
      </w:r>
      <w:r w:rsidR="00504B86">
        <w:fldChar w:fldCharType="separate"/>
      </w:r>
      <w:r w:rsidR="00867A0E">
        <w:rPr>
          <w:noProof/>
        </w:rPr>
        <w:t>2</w:t>
      </w:r>
      <w:r w:rsidR="00504B86">
        <w:rPr>
          <w:noProof/>
        </w:rPr>
        <w:fldChar w:fldCharType="end"/>
      </w:r>
      <w:r>
        <w:t>.</w:t>
      </w:r>
      <w:proofErr w:type="gramEnd"/>
      <w:r>
        <w:fldChar w:fldCharType="begin"/>
      </w:r>
      <w:r>
        <w:instrText xml:space="preserve"> SEQ Figure \* ARABIC \s 1 </w:instrText>
      </w:r>
      <w:r>
        <w:fldChar w:fldCharType="separate"/>
      </w:r>
      <w:r w:rsidR="00867A0E">
        <w:rPr>
          <w:noProof/>
        </w:rPr>
        <w:t>4</w:t>
      </w:r>
      <w:r>
        <w:fldChar w:fldCharType="end"/>
      </w:r>
      <w:bookmarkEnd w:id="28"/>
      <w:r>
        <w:tab/>
        <w:t>AusNet Services annual building block revenue requirement ($million, nominal)</w:t>
      </w:r>
    </w:p>
    <w:p w:rsidR="00CB75AB" w:rsidRDefault="008C2870" w:rsidP="002B7CE3">
      <w:pPr>
        <w:pStyle w:val="AERtablesource"/>
      </w:pPr>
      <w:r w:rsidRPr="008C2870">
        <w:rPr>
          <w:noProof/>
          <w:lang w:eastAsia="en-AU"/>
        </w:rPr>
        <w:drawing>
          <wp:inline distT="0" distB="0" distL="0" distR="0" wp14:anchorId="082245D3" wp14:editId="25DD6348">
            <wp:extent cx="5382895" cy="34734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473450"/>
                    </a:xfrm>
                    <a:prstGeom prst="rect">
                      <a:avLst/>
                    </a:prstGeom>
                    <a:noFill/>
                    <a:ln>
                      <a:noFill/>
                    </a:ln>
                  </pic:spPr>
                </pic:pic>
              </a:graphicData>
            </a:graphic>
          </wp:inline>
        </w:drawing>
      </w:r>
    </w:p>
    <w:p w:rsidR="00CB75AB" w:rsidRPr="00F41B1C" w:rsidRDefault="008C2870" w:rsidP="00F41B1C">
      <w:pPr>
        <w:pStyle w:val="AERtablesource"/>
      </w:pPr>
      <w:r w:rsidRPr="00F41B1C">
        <w:t>Source: AER analysis</w:t>
      </w:r>
    </w:p>
    <w:p w:rsidR="000A6E0D" w:rsidRDefault="008C2870" w:rsidP="00BB0795">
      <w:r>
        <w:t>In our draft decision we applied a rate of return of 6.16 per cent. While our approach to calculating the rate of return has not changed, our final decision updates the rate of return to reflect data from approved averaging periods for the return on equity and debt. The rate of return of 5.8 per cent approved in this final decision is lower than our draft decision of 6.16 per cent. While this results in a reduction in revenue from our draft decision, this is offset by increases in expenditure categories</w:t>
      </w:r>
      <w:r w:rsidR="000A6E0D">
        <w:t>.</w:t>
      </w:r>
    </w:p>
    <w:p w:rsidR="00384F03" w:rsidRDefault="000A6E0D" w:rsidP="00BB0795">
      <w:r>
        <w:t>O</w:t>
      </w:r>
      <w:r w:rsidRPr="000A6E0D">
        <w:t xml:space="preserve">ur </w:t>
      </w:r>
      <w:r w:rsidR="00EC7FA5">
        <w:t xml:space="preserve">final decision opex </w:t>
      </w:r>
      <w:r w:rsidRPr="000A6E0D">
        <w:t xml:space="preserve">forecast is higher than </w:t>
      </w:r>
      <w:r w:rsidR="00EC7FA5">
        <w:t xml:space="preserve">both our draft decision and </w:t>
      </w:r>
      <w:r w:rsidRPr="000A6E0D">
        <w:t xml:space="preserve">AusNet Services' revised proposal opex. Our </w:t>
      </w:r>
      <w:r w:rsidR="00C649C3">
        <w:t>final decision</w:t>
      </w:r>
      <w:r w:rsidRPr="000A6E0D">
        <w:t xml:space="preserve"> is higher due to a substantial increase in forecast easement land tax. AusNet Services advised in a submission subsequent to its revised proposal that the Victorian Government had increased its easement land tax for 2017–18. Accordingly, we increased our forecast annual easement land tax from $114.3 million ($2016–17) to $135.0 million ($2016–17).</w:t>
      </w:r>
      <w:r w:rsidRPr="000A6E0D">
        <w:rPr>
          <w:rStyle w:val="FootnoteReference"/>
        </w:rPr>
        <w:footnoteReference w:id="4"/>
      </w:r>
      <w:r w:rsidRPr="000A6E0D">
        <w:t xml:space="preserve"> This is discussed further in section </w:t>
      </w:r>
      <w:r w:rsidRPr="000A6E0D">
        <w:fldChar w:fldCharType="begin"/>
      </w:r>
      <w:r w:rsidRPr="000A6E0D">
        <w:instrText xml:space="preserve"> REF _Ref451759140 \r \h </w:instrText>
      </w:r>
      <w:r w:rsidRPr="000A6E0D">
        <w:fldChar w:fldCharType="separate"/>
      </w:r>
      <w:r w:rsidR="00867A0E">
        <w:t>3.6</w:t>
      </w:r>
      <w:r w:rsidRPr="000A6E0D">
        <w:fldChar w:fldCharType="end"/>
      </w:r>
      <w:r w:rsidRPr="000A6E0D">
        <w:t xml:space="preserve"> and attachment 7.</w:t>
      </w:r>
      <w:r>
        <w:t xml:space="preserve"> </w:t>
      </w:r>
    </w:p>
    <w:p w:rsidR="008C2870" w:rsidRDefault="006E5A17" w:rsidP="00384F03">
      <w:r>
        <w:t xml:space="preserve">The capex forecast allowed in our final decision is </w:t>
      </w:r>
      <w:r w:rsidR="00384F03">
        <w:t xml:space="preserve">also </w:t>
      </w:r>
      <w:r>
        <w:t xml:space="preserve">higher than our draft decision. This is </w:t>
      </w:r>
      <w:r w:rsidR="0051287A">
        <w:t>primarily due to updated inputs from AusNet</w:t>
      </w:r>
      <w:r w:rsidR="00844CF5">
        <w:t xml:space="preserve"> Services</w:t>
      </w:r>
      <w:r w:rsidR="0051287A">
        <w:t xml:space="preserve">, which mean that the </w:t>
      </w:r>
      <w:r w:rsidR="0051287A">
        <w:lastRenderedPageBreak/>
        <w:t xml:space="preserve">same methodology applied to calculate </w:t>
      </w:r>
      <w:r w:rsidR="00712550">
        <w:t xml:space="preserve">the benefits of </w:t>
      </w:r>
      <w:r w:rsidR="0051287A">
        <w:t xml:space="preserve">forecast replacement capex </w:t>
      </w:r>
      <w:r w:rsidR="00712550">
        <w:t xml:space="preserve">in </w:t>
      </w:r>
      <w:r w:rsidR="0051287A">
        <w:t xml:space="preserve">our draft decision now suggests a higher forecast is warranted. Our final decision on </w:t>
      </w:r>
      <w:proofErr w:type="spellStart"/>
      <w:r w:rsidR="0051287A">
        <w:t>AusNet's</w:t>
      </w:r>
      <w:proofErr w:type="spellEnd"/>
      <w:r w:rsidR="0051287A">
        <w:t xml:space="preserve"> forecast capex i</w:t>
      </w:r>
      <w:r>
        <w:t xml:space="preserve">s discussed further in section </w:t>
      </w:r>
      <w:r>
        <w:fldChar w:fldCharType="begin"/>
      </w:r>
      <w:r>
        <w:instrText xml:space="preserve"> REF _Ref451759130 \r \h </w:instrText>
      </w:r>
      <w:r>
        <w:fldChar w:fldCharType="separate"/>
      </w:r>
      <w:r w:rsidR="00867A0E">
        <w:t>3.5</w:t>
      </w:r>
      <w:r>
        <w:fldChar w:fldCharType="end"/>
      </w:r>
      <w:r>
        <w:t xml:space="preserve">. </w:t>
      </w:r>
    </w:p>
    <w:p w:rsidR="00DF009B" w:rsidRDefault="00DF009B" w:rsidP="00DF009B">
      <w:pPr>
        <w:pStyle w:val="Heading2"/>
      </w:pPr>
      <w:bookmarkStart w:id="29" w:name="_Toc479684136"/>
      <w:bookmarkStart w:id="30" w:name="_Toc479862001"/>
      <w:bookmarkStart w:id="31" w:name="_Toc456687645"/>
      <w:bookmarkStart w:id="32" w:name="_Toc480988353"/>
      <w:bookmarkEnd w:id="29"/>
      <w:bookmarkEnd w:id="30"/>
      <w:r>
        <w:t>Expected impact of decision on residential electricity bills</w:t>
      </w:r>
      <w:bookmarkEnd w:id="31"/>
      <w:bookmarkEnd w:id="32"/>
    </w:p>
    <w:p w:rsidR="00EB0AD2" w:rsidRDefault="00C1332C" w:rsidP="00EB0AD2">
      <w:pPr>
        <w:numPr>
          <w:ilvl w:val="0"/>
          <w:numId w:val="25"/>
        </w:numPr>
        <w:rPr>
          <w:rStyle w:val="AERbody"/>
        </w:rPr>
      </w:pPr>
      <w:r>
        <w:t xml:space="preserve">The annual electricity bill for customers in Victoria will reflect the combined cost of all the electricity supply chain components. </w:t>
      </w:r>
      <w:r w:rsidR="00EB0AD2" w:rsidRPr="006C78D2">
        <w:rPr>
          <w:rStyle w:val="AERbody"/>
        </w:rPr>
        <w:t xml:space="preserve">These components are: </w:t>
      </w:r>
    </w:p>
    <w:p w:rsidR="00EB0AD2" w:rsidRPr="00EB0AD2" w:rsidRDefault="00EB0AD2" w:rsidP="002B7CE3">
      <w:pPr>
        <w:pStyle w:val="AERbulletlistfirststyle"/>
        <w:rPr>
          <w:rStyle w:val="AERbody"/>
        </w:rPr>
      </w:pPr>
      <w:r w:rsidRPr="006C78D2">
        <w:rPr>
          <w:rStyle w:val="AERbody"/>
        </w:rPr>
        <w:t xml:space="preserve">the cost of purchasing electricity (the wholesale </w:t>
      </w:r>
      <w:r w:rsidRPr="00EB0AD2">
        <w:rPr>
          <w:rStyle w:val="AERbody"/>
        </w:rPr>
        <w:t xml:space="preserve">energy generation cost) </w:t>
      </w:r>
    </w:p>
    <w:p w:rsidR="00EB0AD2" w:rsidRPr="00EB0AD2" w:rsidRDefault="00EB0AD2" w:rsidP="002B7CE3">
      <w:pPr>
        <w:pStyle w:val="AERbulletlistfirststyle"/>
        <w:rPr>
          <w:rStyle w:val="AERbody"/>
        </w:rPr>
      </w:pPr>
      <w:r w:rsidRPr="006C78D2">
        <w:rPr>
          <w:rStyle w:val="AERbody"/>
        </w:rPr>
        <w:t>the cost of the poles</w:t>
      </w:r>
      <w:r w:rsidRPr="00EB0AD2">
        <w:rPr>
          <w:rStyle w:val="AERbody"/>
        </w:rPr>
        <w:t xml:space="preserve">/towers and wires used to transport the electricity (the transmission and distribution networks), and other infrastructure such as metering cost; </w:t>
      </w:r>
    </w:p>
    <w:p w:rsidR="00EB0AD2" w:rsidRPr="00EB0AD2" w:rsidRDefault="00EB0AD2" w:rsidP="002B7CE3">
      <w:pPr>
        <w:pStyle w:val="AERbulletlistfirststyle"/>
        <w:rPr>
          <w:rStyle w:val="AERbody"/>
        </w:rPr>
      </w:pPr>
      <w:r w:rsidRPr="006C78D2">
        <w:rPr>
          <w:rStyle w:val="AERbody"/>
        </w:rPr>
        <w:t xml:space="preserve">the cost of environmental policies, </w:t>
      </w:r>
      <w:r w:rsidRPr="00EB0AD2">
        <w:rPr>
          <w:rStyle w:val="AERbody"/>
        </w:rPr>
        <w:t xml:space="preserve">including subsidies for renewable energy, such as solar feed-in-tariffs; and </w:t>
      </w:r>
    </w:p>
    <w:p w:rsidR="00EB0AD2" w:rsidRPr="00EB0AD2" w:rsidRDefault="00EB0AD2" w:rsidP="002B7CE3">
      <w:pPr>
        <w:pStyle w:val="AERbulletlistfirststyle"/>
        <w:rPr>
          <w:rStyle w:val="AERbody"/>
        </w:rPr>
      </w:pPr>
      <w:proofErr w:type="gramStart"/>
      <w:r w:rsidRPr="006C78D2">
        <w:rPr>
          <w:rStyle w:val="AERbody"/>
        </w:rPr>
        <w:t>the</w:t>
      </w:r>
      <w:proofErr w:type="gramEnd"/>
      <w:r w:rsidRPr="006C78D2">
        <w:rPr>
          <w:rStyle w:val="AERbody"/>
        </w:rPr>
        <w:t xml:space="preserve"> retailer’s costs and profit margin. </w:t>
      </w:r>
    </w:p>
    <w:p w:rsidR="00DF009B" w:rsidRDefault="00EB0AD2" w:rsidP="00DF009B">
      <w:r>
        <w:rPr>
          <w:rStyle w:val="AERbody"/>
        </w:rPr>
        <w:t>Therefore, the e</w:t>
      </w:r>
      <w:r w:rsidRPr="00086B69">
        <w:rPr>
          <w:rStyle w:val="AERbody"/>
        </w:rPr>
        <w:t xml:space="preserve">lectricity </w:t>
      </w:r>
      <w:r>
        <w:rPr>
          <w:rStyle w:val="AERbody"/>
        </w:rPr>
        <w:t>bill</w:t>
      </w:r>
      <w:r w:rsidRPr="00086B69">
        <w:rPr>
          <w:rStyle w:val="AERbody"/>
        </w:rPr>
        <w:t xml:space="preserve"> changes </w:t>
      </w:r>
      <w:r>
        <w:rPr>
          <w:rStyle w:val="AERbody"/>
        </w:rPr>
        <w:t xml:space="preserve">to </w:t>
      </w:r>
      <w:r w:rsidRPr="00086B69">
        <w:rPr>
          <w:rStyle w:val="AERbody"/>
        </w:rPr>
        <w:t xml:space="preserve">reflect </w:t>
      </w:r>
      <w:r>
        <w:rPr>
          <w:rStyle w:val="AERbody"/>
        </w:rPr>
        <w:t>movements</w:t>
      </w:r>
      <w:r w:rsidRPr="00086B69">
        <w:rPr>
          <w:rStyle w:val="AERbody"/>
        </w:rPr>
        <w:t xml:space="preserve"> in one or more of the components in </w:t>
      </w:r>
      <w:r>
        <w:rPr>
          <w:rStyle w:val="AERbody"/>
        </w:rPr>
        <w:t>the</w:t>
      </w:r>
      <w:r w:rsidRPr="00086B69">
        <w:rPr>
          <w:rStyle w:val="AERbody"/>
        </w:rPr>
        <w:t xml:space="preserve"> bill. </w:t>
      </w:r>
      <w:r w:rsidRPr="006C78D2">
        <w:rPr>
          <w:rStyle w:val="AERbody"/>
        </w:rPr>
        <w:t xml:space="preserve">Our </w:t>
      </w:r>
      <w:r>
        <w:rPr>
          <w:rStyle w:val="AERbody"/>
        </w:rPr>
        <w:t xml:space="preserve">final </w:t>
      </w:r>
      <w:r w:rsidRPr="006C78D2">
        <w:rPr>
          <w:rStyle w:val="AERbody"/>
        </w:rPr>
        <w:t>decision</w:t>
      </w:r>
      <w:r>
        <w:rPr>
          <w:rStyle w:val="AERbody"/>
        </w:rPr>
        <w:t xml:space="preserve"> on AusNet Services</w:t>
      </w:r>
      <w:r w:rsidRPr="006C78D2">
        <w:rPr>
          <w:rStyle w:val="AERbody"/>
        </w:rPr>
        <w:t xml:space="preserve"> affects the </w:t>
      </w:r>
      <w:r w:rsidR="00DE1686">
        <w:rPr>
          <w:rStyle w:val="AERbody"/>
        </w:rPr>
        <w:t xml:space="preserve">high voltage part of the </w:t>
      </w:r>
      <w:r w:rsidRPr="006C78D2">
        <w:rPr>
          <w:rStyle w:val="AERbody"/>
        </w:rPr>
        <w:t>poles</w:t>
      </w:r>
      <w:r>
        <w:rPr>
          <w:rStyle w:val="AERbody"/>
        </w:rPr>
        <w:t>/towers</w:t>
      </w:r>
      <w:r w:rsidRPr="006C78D2">
        <w:rPr>
          <w:rStyle w:val="AERbody"/>
        </w:rPr>
        <w:t xml:space="preserve"> and wires </w:t>
      </w:r>
      <w:r>
        <w:rPr>
          <w:rStyle w:val="AERbody"/>
        </w:rPr>
        <w:t xml:space="preserve">(transmission network charges) </w:t>
      </w:r>
      <w:r w:rsidRPr="006C78D2">
        <w:rPr>
          <w:rStyle w:val="AERbody"/>
        </w:rPr>
        <w:t xml:space="preserve">component of the </w:t>
      </w:r>
      <w:r>
        <w:rPr>
          <w:rStyle w:val="AERbody"/>
        </w:rPr>
        <w:t xml:space="preserve">electricity </w:t>
      </w:r>
      <w:r w:rsidRPr="006C78D2">
        <w:rPr>
          <w:rStyle w:val="AERbody"/>
        </w:rPr>
        <w:t>bill</w:t>
      </w:r>
      <w:r>
        <w:rPr>
          <w:rStyle w:val="AERbody"/>
        </w:rPr>
        <w:t xml:space="preserve"> for Victorian customers</w:t>
      </w:r>
      <w:r w:rsidR="00DF009B">
        <w:t xml:space="preserve">, </w:t>
      </w:r>
      <w:r w:rsidR="00B24B9A">
        <w:t>which</w:t>
      </w:r>
      <w:r w:rsidR="00DF009B">
        <w:t xml:space="preserve"> account for approximately 5 per cent of </w:t>
      </w:r>
      <w:r w:rsidR="00B24B9A">
        <w:t>an average</w:t>
      </w:r>
      <w:r w:rsidR="00DF009B">
        <w:t xml:space="preserve"> customer's annual electricity bill. This small percentage largely explains the relatively modest </w:t>
      </w:r>
      <w:r w:rsidR="00C1332C">
        <w:t xml:space="preserve">impact this final decision is likely to have on </w:t>
      </w:r>
      <w:r w:rsidR="00DF009B">
        <w:t>average annual electricity bill</w:t>
      </w:r>
      <w:r w:rsidR="00C1332C">
        <w:t>s</w:t>
      </w:r>
      <w:r w:rsidR="00DF009B">
        <w:t>.</w:t>
      </w:r>
    </w:p>
    <w:p w:rsidR="00DF009B" w:rsidRPr="006604AD" w:rsidRDefault="00DF009B" w:rsidP="00B24B9A">
      <w:pPr>
        <w:rPr>
          <w:rStyle w:val="AERbody"/>
        </w:rPr>
      </w:pPr>
      <w:r w:rsidRPr="006348B5">
        <w:t xml:space="preserve">We estimate the expected bill impact by varying the </w:t>
      </w:r>
      <w:r>
        <w:t>transmission</w:t>
      </w:r>
      <w:r w:rsidRPr="006348B5">
        <w:t xml:space="preserve"> charges in accordance with our </w:t>
      </w:r>
      <w:r>
        <w:t xml:space="preserve">final </w:t>
      </w:r>
      <w:r w:rsidRPr="006348B5">
        <w:t>decision, while holding other c</w:t>
      </w:r>
      <w:r w:rsidR="00B24B9A">
        <w:t>omponents of the bill constant. B</w:t>
      </w:r>
      <w:r w:rsidRPr="006348B5">
        <w:t xml:space="preserve">ased on this approach, we expect that our </w:t>
      </w:r>
      <w:r>
        <w:t>final</w:t>
      </w:r>
      <w:r w:rsidRPr="006348B5">
        <w:t xml:space="preserve"> decision will result in </w:t>
      </w:r>
      <w:r>
        <w:t xml:space="preserve">the transmission component of the average </w:t>
      </w:r>
      <w:r w:rsidRPr="006348B5">
        <w:t xml:space="preserve">annual residential electricity bills </w:t>
      </w:r>
      <w:r>
        <w:t>in Victoria remaining</w:t>
      </w:r>
      <w:r w:rsidRPr="006348B5">
        <w:t xml:space="preserve"> </w:t>
      </w:r>
      <w:r>
        <w:t xml:space="preserve">generally constant over the 2017–22 regulatory control </w:t>
      </w:r>
      <w:proofErr w:type="gramStart"/>
      <w:r>
        <w:t>period</w:t>
      </w:r>
      <w:proofErr w:type="gramEnd"/>
      <w:r w:rsidRPr="006348B5">
        <w:t xml:space="preserve">. </w:t>
      </w:r>
      <w:r>
        <w:t>The</w:t>
      </w:r>
      <w:r w:rsidRPr="006348B5">
        <w:t xml:space="preserve"> </w:t>
      </w:r>
      <w:r>
        <w:t xml:space="preserve">transmission component of the average </w:t>
      </w:r>
      <w:r w:rsidRPr="006348B5">
        <w:t xml:space="preserve">annual residential electricity bill </w:t>
      </w:r>
      <w:r>
        <w:t xml:space="preserve">in 2021–22 </w:t>
      </w:r>
      <w:r w:rsidRPr="006348B5">
        <w:t xml:space="preserve">is </w:t>
      </w:r>
      <w:r>
        <w:t xml:space="preserve">expected to be </w:t>
      </w:r>
      <w:r>
        <w:rPr>
          <w:rStyle w:val="AERbody"/>
        </w:rPr>
        <w:t>on</w:t>
      </w:r>
      <w:r w:rsidRPr="006604AD">
        <w:rPr>
          <w:rStyle w:val="AERbody"/>
        </w:rPr>
        <w:t xml:space="preserve">ly </w:t>
      </w:r>
      <w:r>
        <w:rPr>
          <w:rStyle w:val="AERbody"/>
        </w:rPr>
        <w:t xml:space="preserve">about </w:t>
      </w:r>
      <w:r w:rsidRPr="00927C80">
        <w:t>$</w:t>
      </w:r>
      <w:r w:rsidR="006062C1">
        <w:t>4</w:t>
      </w:r>
      <w:r w:rsidRPr="006604AD">
        <w:rPr>
          <w:rStyle w:val="AERbody"/>
        </w:rPr>
        <w:t xml:space="preserve"> </w:t>
      </w:r>
      <w:r w:rsidR="00B24B9A">
        <w:rPr>
          <w:rStyle w:val="AERbody"/>
        </w:rPr>
        <w:t>($ nominal</w:t>
      </w:r>
      <w:r w:rsidR="006062C1">
        <w:rPr>
          <w:rStyle w:val="AERbody"/>
        </w:rPr>
        <w:t>) above</w:t>
      </w:r>
      <w:r w:rsidRPr="006604AD">
        <w:rPr>
          <w:rStyle w:val="AERbody"/>
        </w:rPr>
        <w:t xml:space="preserve"> the</w:t>
      </w:r>
      <w:r w:rsidR="00C1332C">
        <w:rPr>
          <w:rStyle w:val="AERbody"/>
        </w:rPr>
        <w:t xml:space="preserve"> current,</w:t>
      </w:r>
      <w:r w:rsidRPr="006604AD">
        <w:rPr>
          <w:rStyle w:val="AERbody"/>
        </w:rPr>
        <w:t xml:space="preserve"> 2016–17 level.</w:t>
      </w:r>
      <w:r w:rsidR="00B24B9A">
        <w:rPr>
          <w:rStyle w:val="AERbody"/>
        </w:rPr>
        <w:t xml:space="preserve"> </w:t>
      </w:r>
      <w:r w:rsidR="00B24B9A">
        <w:t>We note that this</w:t>
      </w:r>
      <w:r w:rsidR="00B24B9A" w:rsidRPr="006348B5">
        <w:t xml:space="preserve"> bill impact</w:t>
      </w:r>
      <w:r w:rsidR="00B24B9A">
        <w:t xml:space="preserve"> estimate</w:t>
      </w:r>
      <w:r w:rsidR="00B24B9A" w:rsidRPr="006348B5">
        <w:t xml:space="preserve"> </w:t>
      </w:r>
      <w:r w:rsidR="00B24B9A">
        <w:t>is</w:t>
      </w:r>
      <w:r w:rsidR="00B24B9A" w:rsidRPr="006348B5">
        <w:t xml:space="preserve"> indicative only, and individual customers’ actual bills will </w:t>
      </w:r>
      <w:r w:rsidR="00B24B9A">
        <w:t xml:space="preserve">also </w:t>
      </w:r>
      <w:r w:rsidR="00B24B9A" w:rsidRPr="006348B5">
        <w:t>depend on their usage patterns and the structure of their chosen retail tariff offering.</w:t>
      </w:r>
    </w:p>
    <w:p w:rsidR="002F4F3D" w:rsidRPr="006604AD" w:rsidRDefault="00B24B9A" w:rsidP="00927C80">
      <w:pPr>
        <w:rPr>
          <w:rStyle w:val="AERbody"/>
        </w:rPr>
      </w:pPr>
      <w:r>
        <w:t>While our</w:t>
      </w:r>
      <w:r w:rsidRPr="006348B5">
        <w:t xml:space="preserve"> approach isolates the effect of our decision on electricity prices, </w:t>
      </w:r>
      <w:r>
        <w:t>it</w:t>
      </w:r>
      <w:r w:rsidRPr="006348B5">
        <w:t xml:space="preserve"> does not imply that other components will remain unchanged across the regulatory control period.</w:t>
      </w:r>
      <w:r>
        <w:rPr>
          <w:rStyle w:val="FootnoteReference"/>
        </w:rPr>
        <w:footnoteReference w:id="5"/>
      </w:r>
      <w:r w:rsidRPr="006348B5">
        <w:t xml:space="preserve"> </w:t>
      </w:r>
      <w:r>
        <w:t xml:space="preserve">We note that in its recent electricity price trends report for Victoria, the AEMC </w:t>
      </w:r>
      <w:r w:rsidR="003D4CE9" w:rsidRPr="003D4CE9">
        <w:t xml:space="preserve">has indicated that wholesale costs are expected to rise </w:t>
      </w:r>
      <w:r w:rsidR="003D4CE9">
        <w:t xml:space="preserve">following the closure of the </w:t>
      </w:r>
      <w:r w:rsidR="003D4CE9" w:rsidRPr="003D4CE9">
        <w:lastRenderedPageBreak/>
        <w:t>Hazelwood power station</w:t>
      </w:r>
      <w:r w:rsidR="003D4CE9">
        <w:t>.</w:t>
      </w:r>
      <w:r w:rsidR="003D4CE9">
        <w:rPr>
          <w:rStyle w:val="FootnoteReference"/>
        </w:rPr>
        <w:footnoteReference w:id="6"/>
      </w:r>
      <w:r w:rsidR="003D4CE9" w:rsidRPr="003D4CE9" w:rsidDel="003D4CE9">
        <w:t xml:space="preserve"> </w:t>
      </w:r>
      <w:r>
        <w:rPr>
          <w:rStyle w:val="AERbody"/>
        </w:rPr>
        <w:t>However</w:t>
      </w:r>
      <w:r w:rsidR="002F4F3D">
        <w:rPr>
          <w:rStyle w:val="AERbody"/>
        </w:rPr>
        <w:t xml:space="preserve">, we do not expect transmission charges </w:t>
      </w:r>
      <w:r>
        <w:rPr>
          <w:rStyle w:val="AERbody"/>
        </w:rPr>
        <w:t>flowing from this final decision will</w:t>
      </w:r>
      <w:r w:rsidR="005B0A42" w:rsidRPr="005B0A42">
        <w:rPr>
          <w:rStyle w:val="AERbody"/>
        </w:rPr>
        <w:t xml:space="preserve"> be a contributor to </w:t>
      </w:r>
      <w:r>
        <w:rPr>
          <w:rStyle w:val="AERbody"/>
        </w:rPr>
        <w:t xml:space="preserve">the </w:t>
      </w:r>
      <w:r w:rsidR="005B0A42" w:rsidRPr="005B0A42">
        <w:rPr>
          <w:rStyle w:val="AERbody"/>
        </w:rPr>
        <w:t>overall bill changes</w:t>
      </w:r>
      <w:r w:rsidR="002F4F3D">
        <w:rPr>
          <w:rStyle w:val="AERbody"/>
        </w:rPr>
        <w:t xml:space="preserve">. </w:t>
      </w:r>
      <w:r w:rsidR="002F4F3D" w:rsidRPr="002F4F3D">
        <w:rPr>
          <w:rStyle w:val="AERbody"/>
        </w:rPr>
        <w:t>Further</w:t>
      </w:r>
      <w:r w:rsidR="002F4F3D">
        <w:rPr>
          <w:rStyle w:val="AERbody"/>
        </w:rPr>
        <w:t xml:space="preserve"> detail on our final decision impact on overall bills </w:t>
      </w:r>
      <w:r w:rsidR="002F4F3D" w:rsidRPr="002F4F3D">
        <w:rPr>
          <w:rStyle w:val="AERbody"/>
        </w:rPr>
        <w:t xml:space="preserve">is set out in attachment </w:t>
      </w:r>
      <w:r w:rsidR="002F4F3D">
        <w:rPr>
          <w:rStyle w:val="AERbody"/>
        </w:rPr>
        <w:t>1</w:t>
      </w:r>
      <w:r w:rsidR="002F4F3D" w:rsidRPr="002F4F3D">
        <w:rPr>
          <w:rStyle w:val="AERbody"/>
        </w:rPr>
        <w:t>.</w:t>
      </w:r>
    </w:p>
    <w:p w:rsidR="00DF009B" w:rsidRDefault="00DF009B" w:rsidP="00DF009B">
      <w:pPr>
        <w:pStyle w:val="Heading1"/>
      </w:pPr>
      <w:bookmarkStart w:id="33" w:name="_Toc479684139"/>
      <w:bookmarkStart w:id="34" w:name="_Toc479862004"/>
      <w:bookmarkStart w:id="35" w:name="_Toc479684260"/>
      <w:bookmarkStart w:id="36" w:name="_Toc479862125"/>
      <w:bookmarkStart w:id="37" w:name="_Toc479684261"/>
      <w:bookmarkStart w:id="38" w:name="_Toc479862126"/>
      <w:bookmarkStart w:id="39" w:name="_Toc479684262"/>
      <w:bookmarkStart w:id="40" w:name="_Toc479862127"/>
      <w:bookmarkStart w:id="41" w:name="_Toc479684263"/>
      <w:bookmarkStart w:id="42" w:name="_Toc479862128"/>
      <w:bookmarkStart w:id="43" w:name="_Toc479684264"/>
      <w:bookmarkStart w:id="44" w:name="_Toc479862129"/>
      <w:bookmarkStart w:id="45" w:name="_Ref477770584"/>
      <w:bookmarkStart w:id="46" w:name="_Toc480988354"/>
      <w:bookmarkEnd w:id="33"/>
      <w:bookmarkEnd w:id="34"/>
      <w:bookmarkEnd w:id="35"/>
      <w:bookmarkEnd w:id="36"/>
      <w:bookmarkEnd w:id="37"/>
      <w:bookmarkEnd w:id="38"/>
      <w:bookmarkEnd w:id="39"/>
      <w:bookmarkEnd w:id="40"/>
      <w:bookmarkEnd w:id="41"/>
      <w:bookmarkEnd w:id="42"/>
      <w:bookmarkEnd w:id="43"/>
      <w:bookmarkEnd w:id="44"/>
      <w:r>
        <w:lastRenderedPageBreak/>
        <w:t>Key elements of our final decision</w:t>
      </w:r>
      <w:bookmarkEnd w:id="45"/>
      <w:bookmarkEnd w:id="46"/>
    </w:p>
    <w:p w:rsidR="00DF009B" w:rsidRDefault="00DF009B" w:rsidP="00DF009B">
      <w:r>
        <w:t xml:space="preserve">We use the building block approach to determine AusNet Services' maximum allowed revenue (MAR). The building block approach consists of five costs that a business is allowed to recover through its revenue allowance. </w:t>
      </w:r>
    </w:p>
    <w:p w:rsidR="00DF009B" w:rsidRDefault="00DF009B" w:rsidP="00DF009B">
      <w:r>
        <w:t xml:space="preserve">The building block costs are illustrated in </w:t>
      </w:r>
      <w:r>
        <w:fldChar w:fldCharType="begin"/>
      </w:r>
      <w:r>
        <w:instrText xml:space="preserve"> REF _Ref451518423 \h </w:instrText>
      </w:r>
      <w:r>
        <w:fldChar w:fldCharType="separate"/>
      </w:r>
      <w:r w:rsidR="00867A0E">
        <w:t xml:space="preserve">Figure </w:t>
      </w:r>
      <w:r w:rsidR="00867A0E">
        <w:rPr>
          <w:noProof/>
        </w:rPr>
        <w:t>3</w:t>
      </w:r>
      <w:r w:rsidR="00867A0E">
        <w:t>.</w:t>
      </w:r>
      <w:r w:rsidR="00867A0E">
        <w:rPr>
          <w:noProof/>
        </w:rPr>
        <w:t>1</w:t>
      </w:r>
      <w:r>
        <w:fldChar w:fldCharType="end"/>
      </w:r>
      <w:r>
        <w:t xml:space="preserve"> and include: </w:t>
      </w:r>
    </w:p>
    <w:p w:rsidR="00DF009B" w:rsidRDefault="00DF009B" w:rsidP="00DF009B">
      <w:pPr>
        <w:pStyle w:val="AERbulletlistfirststyle"/>
      </w:pPr>
      <w:r>
        <w:t>a return on the regulatory asset base (RAB) (or return on capital)</w:t>
      </w:r>
    </w:p>
    <w:p w:rsidR="00DF009B" w:rsidRDefault="00DF009B" w:rsidP="00DF009B">
      <w:pPr>
        <w:pStyle w:val="AERbulletlistfirststyle"/>
      </w:pPr>
      <w:r>
        <w:t>depreciation of the RAB (or return of capital)</w:t>
      </w:r>
    </w:p>
    <w:p w:rsidR="00DF009B" w:rsidRDefault="00DF009B" w:rsidP="00DF009B">
      <w:pPr>
        <w:pStyle w:val="AERbulletlistfirststyle"/>
      </w:pPr>
      <w:r>
        <w:t>forecast opex</w:t>
      </w:r>
    </w:p>
    <w:p w:rsidR="00DF009B" w:rsidRDefault="00DF009B" w:rsidP="00DF009B">
      <w:pPr>
        <w:pStyle w:val="AERbulletlistfirststyle"/>
      </w:pPr>
      <w:r>
        <w:t>revenue increments or decrements resulting from incentive schemes such as the efficiency benefit sharing scheme (EBSS)</w:t>
      </w:r>
    </w:p>
    <w:p w:rsidR="00DF009B" w:rsidRDefault="00DF009B" w:rsidP="00DF009B">
      <w:pPr>
        <w:pStyle w:val="AERbulletlistfirststyle"/>
      </w:pPr>
      <w:proofErr w:type="gramStart"/>
      <w:r>
        <w:t>the</w:t>
      </w:r>
      <w:proofErr w:type="gramEnd"/>
      <w:r>
        <w:t xml:space="preserve"> estimated cost of corporate income tax. </w:t>
      </w:r>
    </w:p>
    <w:p w:rsidR="00DF009B" w:rsidRDefault="00DF009B" w:rsidP="00DF009B">
      <w:pPr>
        <w:pStyle w:val="Caption"/>
      </w:pPr>
      <w:bookmarkStart w:id="47" w:name="_Ref451518423"/>
      <w:proofErr w:type="gramStart"/>
      <w:r>
        <w:t xml:space="preserve">Figure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8C2870">
        <w:t>.</w:t>
      </w:r>
      <w:proofErr w:type="gramEnd"/>
      <w:r w:rsidR="008C2870">
        <w:fldChar w:fldCharType="begin"/>
      </w:r>
      <w:r w:rsidR="008C2870">
        <w:instrText xml:space="preserve"> SEQ Figure \* ARABIC \s 1 </w:instrText>
      </w:r>
      <w:r w:rsidR="008C2870">
        <w:fldChar w:fldCharType="separate"/>
      </w:r>
      <w:r w:rsidR="00867A0E">
        <w:rPr>
          <w:noProof/>
        </w:rPr>
        <w:t>1</w:t>
      </w:r>
      <w:r w:rsidR="008C2870">
        <w:fldChar w:fldCharType="end"/>
      </w:r>
      <w:bookmarkEnd w:id="47"/>
      <w:r>
        <w:tab/>
        <w:t>The building block approach for determining total revenue</w:t>
      </w:r>
    </w:p>
    <w:p w:rsidR="00DF009B" w:rsidRPr="00687028" w:rsidRDefault="00DF009B" w:rsidP="00DF009B"/>
    <w:p w:rsidR="00DF009B" w:rsidRDefault="00DF009B" w:rsidP="00DF009B">
      <w:r w:rsidRPr="00DF009B">
        <w:rPr>
          <w:noProof/>
          <w:lang w:eastAsia="en-AU"/>
        </w:rPr>
        <mc:AlternateContent>
          <mc:Choice Requires="wpc">
            <w:drawing>
              <wp:inline distT="0" distB="0" distL="0" distR="0" wp14:anchorId="51897D94" wp14:editId="22A3891C">
                <wp:extent cx="5382895" cy="4037171"/>
                <wp:effectExtent l="0" t="0" r="122555" b="230505"/>
                <wp:docPr id="81" name="Canvas 81"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Text Box 4"/>
                        <wps:cNvSpPr txBox="1">
                          <a:spLocks noChangeArrowheads="1"/>
                        </wps:cNvSpPr>
                        <wps:spPr bwMode="auto">
                          <a:xfrm>
                            <a:off x="1504964" y="0"/>
                            <a:ext cx="2470150" cy="720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C5075A" w:rsidRPr="009C151E" w:rsidRDefault="00C5075A" w:rsidP="00DF009B">
                              <w:pPr>
                                <w:pStyle w:val="TableHeading-centred"/>
                              </w:pPr>
                              <w:r w:rsidRPr="009C151E">
                                <w:t xml:space="preserve">Return on </w:t>
                              </w:r>
                              <w:proofErr w:type="gramStart"/>
                              <w:r w:rsidRPr="009C151E">
                                <w:t>capital</w:t>
                              </w:r>
                              <w:proofErr w:type="gramEnd"/>
                              <w:r w:rsidRPr="009C151E">
                                <w:br/>
                                <w:t>(RAB × rate of return on capital)</w:t>
                              </w:r>
                            </w:p>
                          </w:txbxContent>
                        </wps:txbx>
                        <wps:bodyPr rot="0" vert="horz" wrap="square" lIns="91440" tIns="45720" rIns="91440" bIns="45720" anchor="t" anchorCtr="0" upright="1">
                          <a:noAutofit/>
                        </wps:bodyPr>
                      </wps:wsp>
                      <wps:wsp>
                        <wps:cNvPr id="56" name="Text Box 5"/>
                        <wps:cNvSpPr txBox="1">
                          <a:spLocks noChangeArrowheads="1"/>
                        </wps:cNvSpPr>
                        <wps:spPr bwMode="auto">
                          <a:xfrm>
                            <a:off x="1505629" y="778267"/>
                            <a:ext cx="2470500" cy="900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C5075A" w:rsidRPr="009C151E" w:rsidRDefault="00C5075A" w:rsidP="00DF009B">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1504964" y="3302112"/>
                            <a:ext cx="2470150" cy="900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C5075A" w:rsidRPr="009C151E" w:rsidRDefault="00C5075A" w:rsidP="00DF009B">
                              <w:pPr>
                                <w:pStyle w:val="TableHeading-centred"/>
                              </w:pPr>
                              <w:r w:rsidRPr="009C151E">
                                <w:t xml:space="preserve">Corporate income </w:t>
                              </w:r>
                              <w:proofErr w:type="gramStart"/>
                              <w:r w:rsidRPr="009C151E">
                                <w:t>tax</w:t>
                              </w:r>
                              <w:proofErr w:type="gramEnd"/>
                              <w:r w:rsidRPr="009C151E">
                                <w:br/>
                                <w:t>(net of value of imputation credits)</w:t>
                              </w:r>
                            </w:p>
                            <w:p w:rsidR="00C5075A" w:rsidRPr="007F7192" w:rsidRDefault="00C5075A" w:rsidP="00DF009B">
                              <w:pPr>
                                <w:spacing w:after="200"/>
                                <w:rPr>
                                  <w:color w:val="FFFFFF"/>
                                </w:rPr>
                              </w:pPr>
                              <w:r w:rsidRPr="007F7192">
                                <w:rPr>
                                  <w:color w:val="FFFFFF"/>
                                </w:rPr>
                                <w:br/>
                              </w:r>
                            </w:p>
                          </w:txbxContent>
                        </wps:txbx>
                        <wps:bodyPr rot="0" vert="horz" wrap="square" lIns="91440" tIns="45720" rIns="91440" bIns="45720" anchor="t" anchorCtr="0" upright="1">
                          <a:noAutofit/>
                        </wps:bodyPr>
                      </wps:wsp>
                      <wps:wsp>
                        <wps:cNvPr id="58"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4065284" y="4200562"/>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0" name="Line 9"/>
                        <wps:cNvCnPr/>
                        <wps:spPr bwMode="auto">
                          <a:xfrm>
                            <a:off x="4409313" y="0"/>
                            <a:ext cx="0" cy="42008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1"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11"/>
                        <wps:cNvCnPr/>
                        <wps:spPr bwMode="auto">
                          <a:xfrm flipH="1">
                            <a:off x="1076974" y="1677611"/>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12"/>
                        <wps:cNvCnPr/>
                        <wps:spPr bwMode="auto">
                          <a:xfrm>
                            <a:off x="1076898" y="0"/>
                            <a:ext cx="0" cy="167749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13"/>
                        <wps:cNvSpPr txBox="1">
                          <a:spLocks noChangeArrowheads="1"/>
                        </wps:cNvSpPr>
                        <wps:spPr bwMode="auto">
                          <a:xfrm>
                            <a:off x="8021" y="471179"/>
                            <a:ext cx="1181023" cy="678815"/>
                          </a:xfrm>
                          <a:prstGeom prst="rect">
                            <a:avLst/>
                          </a:prstGeom>
                          <a:noFill/>
                          <a:ln w="9525">
                            <a:noFill/>
                            <a:miter lim="800000"/>
                            <a:headEnd/>
                            <a:tailEnd/>
                          </a:ln>
                        </wps:spPr>
                        <wps:txbx>
                          <w:txbxContent>
                            <w:p w:rsidR="00C5075A" w:rsidRPr="007F4BC8" w:rsidRDefault="00C5075A" w:rsidP="00DF009B">
                              <w:pPr>
                                <w:rPr>
                                  <w:rStyle w:val="Strong"/>
                                </w:rPr>
                              </w:pPr>
                              <w:r w:rsidRPr="007F4BC8">
                                <w:rPr>
                                  <w:rStyle w:val="Strong"/>
                                </w:rPr>
                                <w:t>Capital costs</w:t>
                              </w:r>
                            </w:p>
                          </w:txbxContent>
                        </wps:txbx>
                        <wps:bodyPr rot="0" vert="horz" wrap="square" lIns="91440" tIns="45720" rIns="91440" bIns="45720" anchor="t" anchorCtr="0" upright="1">
                          <a:noAutofit/>
                        </wps:bodyPr>
                      </wps:wsp>
                      <wps:wsp>
                        <wps:cNvPr id="65" name="Text Box 14"/>
                        <wps:cNvSpPr txBox="1">
                          <a:spLocks noChangeArrowheads="1"/>
                        </wps:cNvSpPr>
                        <wps:spPr bwMode="auto">
                          <a:xfrm>
                            <a:off x="1506250" y="1736510"/>
                            <a:ext cx="2470150" cy="720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C5075A" w:rsidRPr="009C151E" w:rsidRDefault="00C5075A" w:rsidP="00DF009B">
                              <w:pPr>
                                <w:pStyle w:val="TableHeading-centred"/>
                              </w:pPr>
                              <w:r w:rsidRPr="009C151E">
                                <w:t xml:space="preserve">Operating </w:t>
                              </w:r>
                              <w:proofErr w:type="gramStart"/>
                              <w:r w:rsidRPr="009C151E">
                                <w:t>expenditure</w:t>
                              </w:r>
                              <w:proofErr w:type="gramEnd"/>
                              <w:r w:rsidRPr="009C151E">
                                <w:br/>
                                <w:t xml:space="preserve">(opex) </w:t>
                              </w:r>
                            </w:p>
                            <w:p w:rsidR="00C5075A" w:rsidRPr="004414F4" w:rsidRDefault="00C5075A" w:rsidP="00DF009B">
                              <w:pPr>
                                <w:rPr>
                                  <w:color w:val="FFFFFF"/>
                                </w:rPr>
                              </w:pPr>
                            </w:p>
                          </w:txbxContent>
                        </wps:txbx>
                        <wps:bodyPr rot="0" vert="horz" wrap="square" lIns="91440" tIns="45720" rIns="91440" bIns="45720" anchor="t" anchorCtr="0" upright="1">
                          <a:noAutofit/>
                        </wps:bodyPr>
                      </wps:wsp>
                      <wps:wsp>
                        <wps:cNvPr id="66" name="Text Box 15"/>
                        <wps:cNvSpPr txBox="1">
                          <a:spLocks noChangeArrowheads="1"/>
                        </wps:cNvSpPr>
                        <wps:spPr bwMode="auto">
                          <a:xfrm>
                            <a:off x="1506251" y="2517190"/>
                            <a:ext cx="2470150" cy="720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C5075A" w:rsidRPr="009C151E" w:rsidRDefault="00C5075A" w:rsidP="00DF009B">
                              <w:pPr>
                                <w:pStyle w:val="TableHeading-centred"/>
                              </w:pPr>
                              <w:r w:rsidRPr="009C151E">
                                <w:t xml:space="preserve">Revenue </w:t>
                              </w:r>
                              <w:proofErr w:type="gramStart"/>
                              <w:r w:rsidRPr="009C151E">
                                <w:t>adjustments</w:t>
                              </w:r>
                              <w:proofErr w:type="gramEnd"/>
                              <w:r w:rsidRPr="009C151E">
                                <w:br/>
                                <w:t>(increment or decrement)</w:t>
                              </w:r>
                            </w:p>
                          </w:txbxContent>
                        </wps:txbx>
                        <wps:bodyPr rot="0" vert="horz" wrap="square" lIns="91440" tIns="45720" rIns="91440" bIns="45720" anchor="t" anchorCtr="0" upright="1">
                          <a:noAutofit/>
                        </wps:bodyPr>
                      </wps:wsp>
                      <wps:wsp>
                        <wps:cNvPr id="67" name="Text Box 16"/>
                        <wps:cNvSpPr txBox="1">
                          <a:spLocks noChangeArrowheads="1"/>
                        </wps:cNvSpPr>
                        <wps:spPr bwMode="auto">
                          <a:xfrm>
                            <a:off x="4440055" y="1757042"/>
                            <a:ext cx="1102493" cy="567516"/>
                          </a:xfrm>
                          <a:prstGeom prst="rect">
                            <a:avLst/>
                          </a:prstGeom>
                          <a:noFill/>
                          <a:ln w="9525">
                            <a:noFill/>
                            <a:miter lim="800000"/>
                            <a:headEnd/>
                            <a:tailEnd/>
                          </a:ln>
                        </wps:spPr>
                        <wps:txbx>
                          <w:txbxContent>
                            <w:p w:rsidR="00C5075A" w:rsidRPr="007F4BC8" w:rsidRDefault="00C5075A" w:rsidP="00DF009B">
                              <w:pPr>
                                <w:rPr>
                                  <w:rStyle w:val="Strong"/>
                                </w:rPr>
                              </w:pPr>
                              <w:r w:rsidRPr="007F4BC8">
                                <w:rPr>
                                  <w:rStyle w:val="Strong"/>
                                </w:rPr>
                                <w:t>Total revenue</w:t>
                              </w:r>
                            </w:p>
                          </w:txbxContent>
                        </wps:txbx>
                        <wps:bodyPr rot="0" vert="horz" wrap="square" lIns="91440" tIns="45720" rIns="91440" bIns="45720" anchor="t" anchorCtr="0" upright="1">
                          <a:noAutofit/>
                        </wps:bodyPr>
                      </wps:wsp>
                    </wpc:wpc>
                  </a:graphicData>
                </a:graphic>
              </wp:inline>
            </w:drawing>
          </mc:Choice>
          <mc:Fallback>
            <w:pict>
              <v:group id="Canvas 81" o:spid="_x0000_s1026" editas="canvas" alt="Image outlining the bulding block model. The table's contents were described in the previous paragraph." style="width:423.85pt;height:317.9pt;mso-position-horizontal-relative:char;mso-position-vertical-relative:line" coordsize="53828,40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3828;height:4036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2UMcA&#10;AADbAAAADwAAAGRycy9kb3ducmV2LnhtbESPzWvCQBTE74L/w/KEXkQ3tvhBdJW2UKr14OfB4yP7&#10;TGKzb9Psqmn/+q4geBxm5jfMZFabQlyocrllBb1uBII4sTrnVMF+99EZgXAeWWNhmRT8koPZtNmY&#10;YKztlTd02fpUBAi7GBVk3pexlC7JyKDr2pI4eEdbGfRBVqnUFV4D3BTyOYoG0mDOYSHDkt4zSr63&#10;Z6PgtOotvvTycxgdBpv1X5vwRb/9KPXUql/HIDzV/hG+t+daQb8Pty/h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dlDHAAAA2wAAAA8AAAAAAAAAAAAAAAAAmAIAAGRy&#10;cy9kb3ducmV2LnhtbFBLBQYAAAAABAAEAPUAAACMAwAAAAA=&#10;" fillcolor="#c14e00 [3205]" strokecolor="#404040 [2424]">
                  <v:shadow on="t" color="#7f7f7f [1612]" offset="1pt"/>
                  <v:textbox>
                    <w:txbxContent>
                      <w:p w:rsidR="00C5075A" w:rsidRPr="009C151E" w:rsidRDefault="00C5075A" w:rsidP="00DF009B">
                        <w:pPr>
                          <w:pStyle w:val="TableHeading-centred"/>
                        </w:pPr>
                        <w:r w:rsidRPr="009C151E">
                          <w:t xml:space="preserve">Return on </w:t>
                        </w:r>
                        <w:proofErr w:type="gramStart"/>
                        <w:r w:rsidRPr="009C151E">
                          <w:t>capital</w:t>
                        </w:r>
                        <w:proofErr w:type="gramEnd"/>
                        <w:r w:rsidRPr="009C151E">
                          <w:br/>
                          <w:t>(RAB × rate of return on capital)</w:t>
                        </w:r>
                      </w:p>
                    </w:txbxContent>
                  </v:textbox>
                </v:shape>
                <v:shape id="Text Box 5" o:spid="_x0000_s1029" type="#_x0000_t202" style="position:absolute;left:15056;top:7782;width:24705;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ZDMQA&#10;AADbAAAADwAAAGRycy9kb3ducmV2LnhtbESPQYvCMBSE78L+h/AWvGmqrOJWoyziguBBrevB26N5&#10;tmWbl9JEW/31RhA8DjPzDTNbtKYUV6pdYVnBoB+BIE6tLjhT8Hf47U1AOI+ssbRMCm7kYDH/6Mww&#10;1rbhPV0Tn4kAYRejgtz7KpbSpTkZdH1bEQfvbGuDPsg6k7rGJsBNKYdRNJYGCw4LOVa0zCn9Ty5G&#10;QTMwJ2kObrNdRd/6+LW73e2uUKr72f5MQXhq/Tv8aq+1gtEYnl/C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mQzEAAAA2wAAAA8AAAAAAAAAAAAAAAAAmAIAAGRycy9k&#10;b3ducmV2LnhtbFBLBQYAAAAABAAEAPUAAACJAwAAAAA=&#10;" fillcolor="#c0504d" strokecolor="#404040 [2424]">
                  <v:fill color2="#c15451" focus="50%" type="gradient"/>
                  <v:shadow on="t" color="#7f7f7f [1612]" offset="1pt"/>
                  <v:textbox>
                    <w:txbxContent>
                      <w:p w:rsidR="00C5075A" w:rsidRPr="009C151E" w:rsidRDefault="00C5075A" w:rsidP="00DF009B">
                        <w:pPr>
                          <w:pStyle w:val="TableHeading-centred"/>
                        </w:pPr>
                        <w:r w:rsidRPr="009C151E">
                          <w:t>R</w:t>
                        </w:r>
                        <w:r>
                          <w:t xml:space="preserve">egulatory </w:t>
                        </w:r>
                        <w:proofErr w:type="gramStart"/>
                        <w:r>
                          <w:t>depreciation</w:t>
                        </w:r>
                        <w:proofErr w:type="gramEnd"/>
                        <w:r>
                          <w:br/>
                          <w:t>(depreciation net of indexation</w:t>
                        </w:r>
                        <w:r>
                          <w:br/>
                        </w:r>
                        <w:r w:rsidRPr="009C151E">
                          <w:t>applied to RAB)</w:t>
                        </w:r>
                      </w:p>
                    </w:txbxContent>
                  </v:textbox>
                </v:shape>
                <v:shape id="Text Box 57" o:spid="_x0000_s1030" type="#_x0000_t202" style="position:absolute;left:15049;top:33021;width:24702;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76sYA&#10;AADbAAAADwAAAGRycy9kb3ducmV2LnhtbESPQWvCQBSE70L/w/IKvdVNC601uglFbCnqoWrA6yP7&#10;moRk34bsaqK/3hUKHoeZ+YaZp4NpxIk6V1lW8DKOQBDnVldcKMj2X88fIJxH1thYJgVncpAmD6M5&#10;xtr2vKXTzhciQNjFqKD0vo2ldHlJBt3YtsTB+7OdQR9kV0jdYR/gppGvUfQuDVYcFkpsaVFSXu+O&#10;RsEqyn7Xk+nyssjqw6bnw/JYf9dKPT0OnzMQngZ/D/+3f7SCtw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k76sYAAADbAAAADwAAAAAAAAAAAAAAAACYAgAAZHJz&#10;L2Rvd25yZXYueG1sUEsFBgAAAAAEAAQA9QAAAIsDAAAAAA==&#10;" fillcolor="#76923c" strokecolor="#404040 [2424]">
                  <v:fill color2="#738f3b" focus="100%" type="gradient"/>
                  <v:shadow on="t" color="#7f7f7f [1612]" offset="1pt"/>
                  <v:textbox>
                    <w:txbxContent>
                      <w:p w:rsidR="00C5075A" w:rsidRPr="009C151E" w:rsidRDefault="00C5075A" w:rsidP="00DF009B">
                        <w:pPr>
                          <w:pStyle w:val="TableHeading-centred"/>
                        </w:pPr>
                        <w:r w:rsidRPr="009C151E">
                          <w:t xml:space="preserve">Corporate income </w:t>
                        </w:r>
                        <w:proofErr w:type="gramStart"/>
                        <w:r w:rsidRPr="009C151E">
                          <w:t>tax</w:t>
                        </w:r>
                        <w:proofErr w:type="gramEnd"/>
                        <w:r w:rsidRPr="009C151E">
                          <w:br/>
                          <w:t>(net of value of imputation credits)</w:t>
                        </w:r>
                      </w:p>
                      <w:p w:rsidR="00C5075A" w:rsidRPr="007F7192" w:rsidRDefault="00C5075A" w:rsidP="00DF009B">
                        <w:pPr>
                          <w:spacing w:after="200"/>
                          <w:rPr>
                            <w:color w:val="FFFFFF"/>
                          </w:rPr>
                        </w:pPr>
                        <w:r w:rsidRPr="007F7192">
                          <w:rPr>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8" o:spid="_x0000_s1032" style="position:absolute;visibility:visible;mso-wrap-style:square" from="40652,42005" to="44100,4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line id="Line 9" o:spid="_x0000_s1033" style="position:absolute;visibility:visible;mso-wrap-style:square" from="44093,0" to="44093,4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iVNcAAAADbAAAADwAAAGRycy9kb3ducmV2LnhtbERPy4rCMBTdC/5DuII7TXUh2jHKoA4o&#10;LsTHB1ybO03H5qYkGe3M15uF4PJw3vNla2txJx8qxwpGwwwEceF0xaWCy/lrMAURIrLG2jEp+KMA&#10;y0W3M8dcuwcf6X6KpUghHHJUYGJscilDYchiGLqGOHHfzluMCfpSao+PFG5rOc6yibRYcWow2NDK&#10;UHE7/VoFO3/d30b/pZFX3vlNfVjPgv1Rqt9rPz9ARGrjW/xyb7WCSVqf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YlTXAAAAA2wAAAA8AAAAAAAAAAAAAAAAA&#10;oQIAAGRycy9kb3ducmV2LnhtbFBLBQYAAAAABAAEAPkAAACOAw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c8MAAADbAAAADwAAAGRycy9kb3ducmV2LnhtbESPzYrCMBSF9wO+Q7iCm0HTuihjNYoI&#10;ggguxhHU3aW5ttXmpjTR1rc3A4LLw/n5OLNFZyrxoMaVlhXEowgEcWZ1ybmCw996+APCeWSNlWVS&#10;8CQHi3nva4apti3/0mPvcxFG2KWooPC+TqV0WUEG3cjWxMG72MagD7LJpW6wDeOmkuMoSqTBkgOh&#10;wJpWBWW3/d0EyHWVn3dXyo6TY71tk/i7PZ3uSg363XIKwlPnP+F3e6MVJDH8fw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BLXPDAAAA2wAAAA8AAAAAAAAAAAAA&#10;AAAAoQIAAGRycy9kb3ducmV2LnhtbFBLBQYAAAAABAAEAPkAAACRAwAAAAA=&#10;" strokeweight="1pt"/>
                <v:line id="Line 11" o:spid="_x0000_s1035" style="position:absolute;flip:x;visibility:visible;mso-wrap-style:square" from="10769,16776" to="14217,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zBMMAAADbAAAADwAAAGRycy9kb3ducmV2LnhtbESPS4vCMBSF94L/IVzBjYypLop2jCKC&#10;IIILH6DuLs2dtk5zU5po6783guDycB4fZ7ZoTSkeVLvCsoLRMAJBnFpdcKbgdFz/TEA4j6yxtEwK&#10;nuRgMe92Zpho2/CeHgefiTDCLkEFufdVIqVLczLohrYiDt6frQ36IOtM6hqbMG5KOY6iWBosOBBy&#10;rGiVU/p/uJsAua2y6+5G6Xl6rrZNPBo0l8tdqX6vXf6C8NT6b/jT3mgF8R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TswTDAAAA2wAAAA8AAAAAAAAAAAAA&#10;AAAAoQIAAGRycy9kb3ducmV2LnhtbFBLBQYAAAAABAAEAPkAAACRAwAAAAA=&#10;" strokeweight="1pt"/>
                <v:line id="Line 12" o:spid="_x0000_s1036" style="position:absolute;visibility:visible;mso-wrap-style:square" from="10768,0" to="10768,1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shape id="Text Box 13" o:spid="_x0000_s1037" type="#_x0000_t202" style="position:absolute;left:80;top:4711;width:11810;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C5075A" w:rsidRPr="007F4BC8" w:rsidRDefault="00C5075A" w:rsidP="00DF009B">
                        <w:pPr>
                          <w:rPr>
                            <w:rStyle w:val="Strong"/>
                          </w:rPr>
                        </w:pPr>
                        <w:r w:rsidRPr="007F4BC8">
                          <w:rPr>
                            <w:rStyle w:val="Strong"/>
                          </w:rPr>
                          <w:t>Capital costs</w:t>
                        </w:r>
                      </w:p>
                    </w:txbxContent>
                  </v:textbox>
                </v:shape>
                <v:shape id="Text Box 14" o:spid="_x0000_s1038" type="#_x0000_t202" style="position:absolute;left:15062;top:17365;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GtcMA&#10;AADbAAAADwAAAGRycy9kb3ducmV2LnhtbESPQWsCMRSE70L/Q3gFb5q1RduuRrEFoQc9aP0Br5vX&#10;zeLmZcmLuv77plDwOMx8M8xi1ftWXShKE9jAZFyAIq6Cbbg2cPzajF5BSUK22AYmAzcSWC0fBgss&#10;bbjyni6HVKtcwlKiAZdSV2otlSOPMg4dcfZ+QvSYsoy1thGvudy3+qkoZtpjw3nBYUcfjqrT4ewN&#10;zOTl/Dx938k2ueP3Zi1FfNuejBk+9us5qER9uof/6U+buSn8fc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GtcMAAADbAAAADwAAAAAAAAAAAAAAAACYAgAAZHJzL2Rv&#10;d25yZXYueG1sUEsFBgAAAAAEAAQA9QAAAIgDAAAAAA==&#10;" fillcolor="#365f91" strokecolor="#404040 [2424]">
                  <v:fill color2="#365f91" focus="100%" type="gradient"/>
                  <v:shadow on="t" color="#7f7f7f [1612]" offset="1pt"/>
                  <v:textbox>
                    <w:txbxContent>
                      <w:p w:rsidR="00C5075A" w:rsidRPr="009C151E" w:rsidRDefault="00C5075A" w:rsidP="00DF009B">
                        <w:pPr>
                          <w:pStyle w:val="TableHeading-centred"/>
                        </w:pPr>
                        <w:r w:rsidRPr="009C151E">
                          <w:t xml:space="preserve">Operating </w:t>
                        </w:r>
                        <w:proofErr w:type="gramStart"/>
                        <w:r w:rsidRPr="009C151E">
                          <w:t>expenditure</w:t>
                        </w:r>
                        <w:proofErr w:type="gramEnd"/>
                        <w:r w:rsidRPr="009C151E">
                          <w:br/>
                          <w:t xml:space="preserve">(opex) </w:t>
                        </w:r>
                      </w:p>
                      <w:p w:rsidR="00C5075A" w:rsidRPr="004414F4" w:rsidRDefault="00C5075A" w:rsidP="00DF009B">
                        <w:pPr>
                          <w:rPr>
                            <w:color w:val="FFFFFF"/>
                          </w:rPr>
                        </w:pPr>
                      </w:p>
                    </w:txbxContent>
                  </v:textbox>
                </v:shape>
                <v:shape id="Text Box 15" o:spid="_x0000_s1039" type="#_x0000_t202" style="position:absolute;left:15062;top:25171;width:24702;height:7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fbsIA&#10;AADbAAAADwAAAGRycy9kb3ducmV2LnhtbESPQWsCMRSE74X+h/AK3mp2Bdd2axQpKF7VHurtsXlN&#10;lm5etkmq6783guBxmJlvmPlycJ04UYitZwXluABB3HjdslHwdVi/voGICVlj55kUXCjCcvH8NMda&#10;+zPv6LRPRmQIxxoV2JT6WsrYWHIYx74nzt6PDw5TlsFIHfCc4a6Tk6KopMOW84LFnj4tNb/7f6fg&#10;25RT25TtMdBmUvwdjmb2nlZKjV6G1QeIREN6hO/trVZQVXD7kn+A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d9uwgAAANsAAAAPAAAAAAAAAAAAAAAAAJgCAABkcnMvZG93&#10;bnJldi54bWxQSwUGAAAAAAQABAD1AAAAhwMAAAAA&#10;" fillcolor="#548dd4" strokecolor="#404040 [2424]">
                  <v:fill color2="#548dd4" focus="100%" type="gradient"/>
                  <v:shadow on="t" color="#7f7f7f [1612]" offset="1pt"/>
                  <v:textbox>
                    <w:txbxContent>
                      <w:p w:rsidR="00C5075A" w:rsidRPr="009C151E" w:rsidRDefault="00C5075A" w:rsidP="00DF009B">
                        <w:pPr>
                          <w:pStyle w:val="TableHeading-centred"/>
                        </w:pPr>
                        <w:r w:rsidRPr="009C151E">
                          <w:t xml:space="preserve">Revenue </w:t>
                        </w:r>
                        <w:proofErr w:type="gramStart"/>
                        <w:r w:rsidRPr="009C151E">
                          <w:t>adjustments</w:t>
                        </w:r>
                        <w:proofErr w:type="gramEnd"/>
                        <w:r w:rsidRPr="009C151E">
                          <w:br/>
                          <w:t>(increment or decrement)</w:t>
                        </w:r>
                      </w:p>
                    </w:txbxContent>
                  </v:textbox>
                </v:shape>
                <v:shape id="Text Box 16" o:spid="_x0000_s1040" type="#_x0000_t202" style="position:absolute;left:44400;top:17570;width:11025;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C5075A" w:rsidRPr="007F4BC8" w:rsidRDefault="00C5075A" w:rsidP="00DF009B">
                        <w:pPr>
                          <w:rPr>
                            <w:rStyle w:val="Strong"/>
                          </w:rPr>
                        </w:pPr>
                        <w:r w:rsidRPr="007F4BC8">
                          <w:rPr>
                            <w:rStyle w:val="Strong"/>
                          </w:rPr>
                          <w:t>Total revenue</w:t>
                        </w:r>
                      </w:p>
                    </w:txbxContent>
                  </v:textbox>
                </v:shape>
                <w10:anchorlock/>
              </v:group>
            </w:pict>
          </mc:Fallback>
        </mc:AlternateContent>
      </w:r>
    </w:p>
    <w:p w:rsidR="00DF009B" w:rsidRDefault="00DF009B" w:rsidP="00DF009B">
      <w:r>
        <w:t>The building block costs are comprised of key elements that we determine through our assessment process. For example, the size of the RAB</w:t>
      </w:r>
      <w:r w:rsidRPr="007D4CC1">
        <w:t>—</w:t>
      </w:r>
      <w:r>
        <w:t xml:space="preserve">and therefore the revenue </w:t>
      </w:r>
      <w:r>
        <w:lastRenderedPageBreak/>
        <w:t>generated from the return on capital and return of capital building blocks</w:t>
      </w:r>
      <w:r w:rsidRPr="007D4CC1">
        <w:t>—</w:t>
      </w:r>
      <w:r>
        <w:t xml:space="preserve">is directly affected by our assessment of capex. </w:t>
      </w:r>
    </w:p>
    <w:p w:rsidR="00DF009B" w:rsidRDefault="00DF009B" w:rsidP="00DF009B">
      <w:r>
        <w:t xml:space="preserve">This section summarises our </w:t>
      </w:r>
      <w:r w:rsidR="00C65992">
        <w:t>final</w:t>
      </w:r>
      <w:r>
        <w:t xml:space="preserve"> decision on key elements of the building blocks including: </w:t>
      </w:r>
    </w:p>
    <w:p w:rsidR="00DF009B" w:rsidRDefault="00DF009B" w:rsidP="00DF009B">
      <w:pPr>
        <w:pStyle w:val="AERbulletlistfirststyle"/>
      </w:pPr>
      <w:r>
        <w:t xml:space="preserve">RAB (section </w:t>
      </w:r>
      <w:r>
        <w:fldChar w:fldCharType="begin"/>
      </w:r>
      <w:r>
        <w:instrText xml:space="preserve"> REF _Ref451519510 \r \h </w:instrText>
      </w:r>
      <w:r>
        <w:fldChar w:fldCharType="separate"/>
      </w:r>
      <w:r w:rsidR="00867A0E">
        <w:t>3.1</w:t>
      </w:r>
      <w:r>
        <w:fldChar w:fldCharType="end"/>
      </w:r>
      <w:r>
        <w:t>)</w:t>
      </w:r>
    </w:p>
    <w:p w:rsidR="00DF009B" w:rsidRDefault="00DF009B" w:rsidP="00DF009B">
      <w:pPr>
        <w:pStyle w:val="AERbulletlistfirststyle"/>
      </w:pPr>
      <w:r>
        <w:t xml:space="preserve">Rate of return (section </w:t>
      </w:r>
      <w:r>
        <w:fldChar w:fldCharType="begin"/>
      </w:r>
      <w:r>
        <w:instrText xml:space="preserve"> REF _Ref451759101 \r \h </w:instrText>
      </w:r>
      <w:r>
        <w:fldChar w:fldCharType="separate"/>
      </w:r>
      <w:r w:rsidR="00867A0E">
        <w:t>3.2</w:t>
      </w:r>
      <w:r>
        <w:fldChar w:fldCharType="end"/>
      </w:r>
      <w:r>
        <w:t>)</w:t>
      </w:r>
    </w:p>
    <w:p w:rsidR="00DF009B" w:rsidRDefault="00DF009B" w:rsidP="00DF009B">
      <w:pPr>
        <w:pStyle w:val="AERbulletlistfirststyle"/>
      </w:pPr>
      <w:r>
        <w:t xml:space="preserve">Imputation credits (section </w:t>
      </w:r>
      <w:r>
        <w:fldChar w:fldCharType="begin"/>
      </w:r>
      <w:r>
        <w:instrText xml:space="preserve"> REF _Ref451759113 \r \h </w:instrText>
      </w:r>
      <w:r>
        <w:fldChar w:fldCharType="separate"/>
      </w:r>
      <w:r w:rsidR="00867A0E">
        <w:t>3.3</w:t>
      </w:r>
      <w:r>
        <w:fldChar w:fldCharType="end"/>
      </w:r>
      <w:r>
        <w:t>)</w:t>
      </w:r>
    </w:p>
    <w:p w:rsidR="00DF009B" w:rsidRDefault="00DF009B" w:rsidP="00DF009B">
      <w:pPr>
        <w:pStyle w:val="AERbulletlistfirststyle"/>
      </w:pPr>
      <w:r>
        <w:t xml:space="preserve">Depreciation allowance (section </w:t>
      </w:r>
      <w:r>
        <w:fldChar w:fldCharType="begin"/>
      </w:r>
      <w:r>
        <w:instrText xml:space="preserve"> REF _Ref451759122 \r \h </w:instrText>
      </w:r>
      <w:r>
        <w:fldChar w:fldCharType="separate"/>
      </w:r>
      <w:r w:rsidR="00867A0E">
        <w:t>3.4</w:t>
      </w:r>
      <w:r>
        <w:fldChar w:fldCharType="end"/>
      </w:r>
      <w:r>
        <w:t>)</w:t>
      </w:r>
    </w:p>
    <w:p w:rsidR="00DF009B" w:rsidRDefault="00DF009B" w:rsidP="00DF009B">
      <w:pPr>
        <w:pStyle w:val="AERbulletlistfirststyle"/>
      </w:pPr>
      <w:r>
        <w:t xml:space="preserve">Efficient level of capex (section </w:t>
      </w:r>
      <w:r>
        <w:fldChar w:fldCharType="begin"/>
      </w:r>
      <w:r>
        <w:instrText xml:space="preserve"> REF _Ref451759130 \r \h </w:instrText>
      </w:r>
      <w:r>
        <w:fldChar w:fldCharType="separate"/>
      </w:r>
      <w:r w:rsidR="00867A0E">
        <w:t>3.5</w:t>
      </w:r>
      <w:r>
        <w:fldChar w:fldCharType="end"/>
      </w:r>
      <w:r>
        <w:t>)</w:t>
      </w:r>
    </w:p>
    <w:p w:rsidR="00DF009B" w:rsidRDefault="00DF009B" w:rsidP="00DF009B">
      <w:pPr>
        <w:pStyle w:val="AERbulletlistfirststyle"/>
      </w:pPr>
      <w:r>
        <w:t xml:space="preserve">Efficient level of opex (section </w:t>
      </w:r>
      <w:r>
        <w:fldChar w:fldCharType="begin"/>
      </w:r>
      <w:r>
        <w:instrText xml:space="preserve"> REF _Ref451759140 \r \h </w:instrText>
      </w:r>
      <w:r>
        <w:fldChar w:fldCharType="separate"/>
      </w:r>
      <w:r w:rsidR="00867A0E">
        <w:t>3.6</w:t>
      </w:r>
      <w:r>
        <w:fldChar w:fldCharType="end"/>
      </w:r>
      <w:r>
        <w:t>)</w:t>
      </w:r>
    </w:p>
    <w:p w:rsidR="00DF009B" w:rsidRDefault="00DF009B" w:rsidP="00DF009B">
      <w:pPr>
        <w:pStyle w:val="AERbulletlistfirststyle"/>
      </w:pPr>
      <w:r>
        <w:t xml:space="preserve">Forecast level of corporate income tax (section </w:t>
      </w:r>
      <w:r>
        <w:fldChar w:fldCharType="begin"/>
      </w:r>
      <w:r>
        <w:instrText xml:space="preserve"> REF _Ref451759154 \r \h </w:instrText>
      </w:r>
      <w:r>
        <w:fldChar w:fldCharType="separate"/>
      </w:r>
      <w:r w:rsidR="00867A0E">
        <w:t>3.7</w:t>
      </w:r>
      <w:r>
        <w:fldChar w:fldCharType="end"/>
      </w:r>
      <w:r>
        <w:t xml:space="preserve">). </w:t>
      </w:r>
    </w:p>
    <w:p w:rsidR="00DF009B" w:rsidRDefault="00DF009B" w:rsidP="00DF009B">
      <w:r>
        <w:t>Incentive schemes including the EBSS and CESS are covered in section</w:t>
      </w:r>
      <w:r w:rsidR="00EA327D">
        <w:t xml:space="preserve"> </w:t>
      </w:r>
      <w:r w:rsidR="00EA327D">
        <w:fldChar w:fldCharType="begin"/>
      </w:r>
      <w:r w:rsidR="00EA327D">
        <w:instrText xml:space="preserve"> REF _Ref477770746 \r \h </w:instrText>
      </w:r>
      <w:r w:rsidR="00EA327D">
        <w:fldChar w:fldCharType="separate"/>
      </w:r>
      <w:r w:rsidR="00867A0E">
        <w:t>4</w:t>
      </w:r>
      <w:r w:rsidR="00EA327D">
        <w:fldChar w:fldCharType="end"/>
      </w:r>
      <w:r>
        <w:t xml:space="preserve">. </w:t>
      </w:r>
      <w:r>
        <w:fldChar w:fldCharType="begin"/>
      </w:r>
      <w:r>
        <w:instrText xml:space="preserve"> REF _Ref451759322 \h </w:instrText>
      </w:r>
      <w:r>
        <w:fldChar w:fldCharType="separate"/>
      </w:r>
      <w:r w:rsidR="00867A0E">
        <w:t xml:space="preserve">Table </w:t>
      </w:r>
      <w:r w:rsidR="00867A0E">
        <w:rPr>
          <w:noProof/>
        </w:rPr>
        <w:t>3</w:t>
      </w:r>
      <w:r w:rsidR="00867A0E">
        <w:t>.</w:t>
      </w:r>
      <w:r w:rsidR="00867A0E">
        <w:rPr>
          <w:noProof/>
        </w:rPr>
        <w:t>1</w:t>
      </w:r>
      <w:r>
        <w:fldChar w:fldCharType="end"/>
      </w:r>
      <w:r>
        <w:t xml:space="preserve"> shows our final decision on AusNet Services' revenues including the building block components. </w:t>
      </w:r>
    </w:p>
    <w:p w:rsidR="00DF009B" w:rsidRDefault="00DF009B" w:rsidP="00DF009B">
      <w:pPr>
        <w:pStyle w:val="Caption"/>
      </w:pPr>
      <w:bookmarkStart w:id="48" w:name="_Ref451759322"/>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1</w:t>
      </w:r>
      <w:r w:rsidR="00CD319A">
        <w:fldChar w:fldCharType="end"/>
      </w:r>
      <w:bookmarkEnd w:id="48"/>
      <w:r>
        <w:tab/>
        <w:t>AER's final decision on AusNet Services' revenues ($million, nominal)</w:t>
      </w:r>
    </w:p>
    <w:tbl>
      <w:tblPr>
        <w:tblStyle w:val="AERtable-numbers"/>
        <w:tblW w:w="8755" w:type="dxa"/>
        <w:tblLayout w:type="fixed"/>
        <w:tblLook w:val="04A0" w:firstRow="1" w:lastRow="0" w:firstColumn="1" w:lastColumn="0" w:noHBand="0" w:noVBand="1"/>
      </w:tblPr>
      <w:tblGrid>
        <w:gridCol w:w="2943"/>
        <w:gridCol w:w="968"/>
        <w:gridCol w:w="969"/>
        <w:gridCol w:w="969"/>
        <w:gridCol w:w="968"/>
        <w:gridCol w:w="969"/>
        <w:gridCol w:w="969"/>
      </w:tblGrid>
      <w:tr w:rsidR="00DF009B" w:rsidRPr="00796046" w:rsidTr="00C33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F009B" w:rsidRPr="00920939" w:rsidRDefault="00DF009B" w:rsidP="00DF009B">
            <w:pPr>
              <w:pStyle w:val="Tabletext-right"/>
            </w:pPr>
          </w:p>
        </w:tc>
        <w:tc>
          <w:tcPr>
            <w:tcW w:w="968"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2017–18</w:t>
            </w:r>
          </w:p>
        </w:tc>
        <w:tc>
          <w:tcPr>
            <w:tcW w:w="969"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2018–19</w:t>
            </w:r>
          </w:p>
        </w:tc>
        <w:tc>
          <w:tcPr>
            <w:tcW w:w="969"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2019–20</w:t>
            </w:r>
          </w:p>
        </w:tc>
        <w:tc>
          <w:tcPr>
            <w:tcW w:w="968"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2020–21</w:t>
            </w:r>
          </w:p>
        </w:tc>
        <w:tc>
          <w:tcPr>
            <w:tcW w:w="969"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2021–22</w:t>
            </w:r>
          </w:p>
        </w:tc>
        <w:tc>
          <w:tcPr>
            <w:tcW w:w="969" w:type="dxa"/>
          </w:tcPr>
          <w:p w:rsidR="00DF009B" w:rsidRPr="00DF009B" w:rsidRDefault="00DF009B" w:rsidP="00DF009B">
            <w:pPr>
              <w:cnfStyle w:val="100000000000" w:firstRow="1" w:lastRow="0" w:firstColumn="0" w:lastColumn="0" w:oddVBand="0" w:evenVBand="0" w:oddHBand="0" w:evenHBand="0" w:firstRowFirstColumn="0" w:firstRowLastColumn="0" w:lastRowFirstColumn="0" w:lastRowLastColumn="0"/>
            </w:pPr>
            <w:r w:rsidRPr="00920939">
              <w:t>Total</w:t>
            </w:r>
          </w:p>
        </w:tc>
      </w:tr>
      <w:tr w:rsidR="00C33E76" w:rsidRPr="00813A60" w:rsidTr="00C33E76">
        <w:tc>
          <w:tcPr>
            <w:cnfStyle w:val="001000000000" w:firstRow="0" w:lastRow="0" w:firstColumn="1" w:lastColumn="0" w:oddVBand="0" w:evenVBand="0" w:oddHBand="0" w:evenHBand="0" w:firstRowFirstColumn="0" w:firstRowLastColumn="0" w:lastRowFirstColumn="0" w:lastRowLastColumn="0"/>
            <w:tcW w:w="2943" w:type="dxa"/>
          </w:tcPr>
          <w:p w:rsidR="00C33E76" w:rsidRPr="00C33E76" w:rsidRDefault="00C33E76" w:rsidP="00C33E76">
            <w:pPr>
              <w:pStyle w:val="Tabletext"/>
              <w:rPr>
                <w:rStyle w:val="AERtextsize8"/>
              </w:rPr>
            </w:pPr>
            <w:r w:rsidRPr="00C33E76">
              <w:rPr>
                <w:rStyle w:val="AERtextsize8"/>
              </w:rPr>
              <w:t>Return on capital</w:t>
            </w:r>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183.9</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189.2</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193.2</w:t>
            </w:r>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196.3</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198.1</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960.7</w:t>
            </w:r>
          </w:p>
        </w:tc>
      </w:tr>
      <w:tr w:rsidR="008C4208" w:rsidRPr="00813A60" w:rsidTr="00C33E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8C4208" w:rsidRPr="008C4208" w:rsidRDefault="008C4208" w:rsidP="008C4208">
            <w:pPr>
              <w:pStyle w:val="Tabletext"/>
              <w:rPr>
                <w:rStyle w:val="AERtextsize8"/>
              </w:rPr>
            </w:pPr>
            <w:r w:rsidRPr="008C4208">
              <w:rPr>
                <w:rStyle w:val="AERtextsize8"/>
              </w:rPr>
              <w:t xml:space="preserve">Regulatory </w:t>
            </w:r>
            <w:proofErr w:type="spellStart"/>
            <w:r w:rsidRPr="008C4208">
              <w:rPr>
                <w:rStyle w:val="AERtextsize8"/>
              </w:rPr>
              <w:t>depreciation</w:t>
            </w:r>
            <w:r w:rsidRPr="008C4208">
              <w:rPr>
                <w:rStyle w:val="AERsuperscript"/>
              </w:rPr>
              <w:t>a</w:t>
            </w:r>
            <w:proofErr w:type="spellEnd"/>
          </w:p>
        </w:tc>
        <w:tc>
          <w:tcPr>
            <w:tcW w:w="968" w:type="dxa"/>
          </w:tcPr>
          <w:p w:rsidR="008C4208" w:rsidRPr="008C4208" w:rsidRDefault="008C4208" w:rsidP="008C4208">
            <w:pPr>
              <w:cnfStyle w:val="000000010000" w:firstRow="0" w:lastRow="0" w:firstColumn="0" w:lastColumn="0" w:oddVBand="0" w:evenVBand="0" w:oddHBand="0" w:evenHBand="1" w:firstRowFirstColumn="0" w:firstRowLastColumn="0" w:lastRowFirstColumn="0" w:lastRowLastColumn="0"/>
            </w:pPr>
            <w:r w:rsidRPr="008C4208">
              <w:t>96.7</w:t>
            </w:r>
          </w:p>
        </w:tc>
        <w:tc>
          <w:tcPr>
            <w:tcW w:w="969" w:type="dxa"/>
          </w:tcPr>
          <w:p w:rsidR="008C4208" w:rsidRPr="008C4208" w:rsidRDefault="008C4208" w:rsidP="008C4208">
            <w:pPr>
              <w:cnfStyle w:val="000000010000" w:firstRow="0" w:lastRow="0" w:firstColumn="0" w:lastColumn="0" w:oddVBand="0" w:evenVBand="0" w:oddHBand="0" w:evenHBand="1" w:firstRowFirstColumn="0" w:firstRowLastColumn="0" w:lastRowFirstColumn="0" w:lastRowLastColumn="0"/>
            </w:pPr>
            <w:r w:rsidRPr="008C4208">
              <w:t>99.0</w:t>
            </w:r>
          </w:p>
        </w:tc>
        <w:tc>
          <w:tcPr>
            <w:tcW w:w="969" w:type="dxa"/>
          </w:tcPr>
          <w:p w:rsidR="008C4208" w:rsidRPr="005572D8" w:rsidRDefault="008C4208" w:rsidP="005572D8">
            <w:pPr>
              <w:cnfStyle w:val="000000010000" w:firstRow="0" w:lastRow="0" w:firstColumn="0" w:lastColumn="0" w:oddVBand="0" w:evenVBand="0" w:oddHBand="0" w:evenHBand="1" w:firstRowFirstColumn="0" w:firstRowLastColumn="0" w:lastRowFirstColumn="0" w:lastRowLastColumn="0"/>
            </w:pPr>
            <w:r w:rsidRPr="005572D8">
              <w:t>106.7</w:t>
            </w:r>
          </w:p>
        </w:tc>
        <w:tc>
          <w:tcPr>
            <w:tcW w:w="968" w:type="dxa"/>
          </w:tcPr>
          <w:p w:rsidR="008C4208" w:rsidRPr="008C4208" w:rsidRDefault="008C4208" w:rsidP="005572D8">
            <w:pPr>
              <w:cnfStyle w:val="000000010000" w:firstRow="0" w:lastRow="0" w:firstColumn="0" w:lastColumn="0" w:oddVBand="0" w:evenVBand="0" w:oddHBand="0" w:evenHBand="1" w:firstRowFirstColumn="0" w:firstRowLastColumn="0" w:lastRowFirstColumn="0" w:lastRowLastColumn="0"/>
            </w:pPr>
            <w:r w:rsidRPr="005572D8">
              <w:t>110.2</w:t>
            </w:r>
          </w:p>
        </w:tc>
        <w:tc>
          <w:tcPr>
            <w:tcW w:w="969" w:type="dxa"/>
          </w:tcPr>
          <w:p w:rsidR="008C4208" w:rsidRPr="008C4208" w:rsidRDefault="008C4208" w:rsidP="005572D8">
            <w:pPr>
              <w:cnfStyle w:val="000000010000" w:firstRow="0" w:lastRow="0" w:firstColumn="0" w:lastColumn="0" w:oddVBand="0" w:evenVBand="0" w:oddHBand="0" w:evenHBand="1" w:firstRowFirstColumn="0" w:firstRowLastColumn="0" w:lastRowFirstColumn="0" w:lastRowLastColumn="0"/>
            </w:pPr>
            <w:r w:rsidRPr="008C4208">
              <w:t>93.3</w:t>
            </w:r>
          </w:p>
        </w:tc>
        <w:tc>
          <w:tcPr>
            <w:tcW w:w="969" w:type="dxa"/>
          </w:tcPr>
          <w:p w:rsidR="008C4208" w:rsidRPr="008C4208" w:rsidRDefault="008C4208" w:rsidP="00353121">
            <w:pPr>
              <w:cnfStyle w:val="000000010000" w:firstRow="0" w:lastRow="0" w:firstColumn="0" w:lastColumn="0" w:oddVBand="0" w:evenVBand="0" w:oddHBand="0" w:evenHBand="1" w:firstRowFirstColumn="0" w:firstRowLastColumn="0" w:lastRowFirstColumn="0" w:lastRowLastColumn="0"/>
            </w:pPr>
            <w:r w:rsidRPr="008C4208">
              <w:t>505.9</w:t>
            </w:r>
          </w:p>
        </w:tc>
      </w:tr>
      <w:tr w:rsidR="00C33E76" w:rsidRPr="00813A60" w:rsidTr="00C33E76">
        <w:tc>
          <w:tcPr>
            <w:cnfStyle w:val="001000000000" w:firstRow="0" w:lastRow="0" w:firstColumn="1" w:lastColumn="0" w:oddVBand="0" w:evenVBand="0" w:oddHBand="0" w:evenHBand="0" w:firstRowFirstColumn="0" w:firstRowLastColumn="0" w:lastRowFirstColumn="0" w:lastRowLastColumn="0"/>
            <w:tcW w:w="2943" w:type="dxa"/>
          </w:tcPr>
          <w:p w:rsidR="00C33E76" w:rsidRPr="00C33E76" w:rsidRDefault="00C33E76" w:rsidP="00C33E76">
            <w:pPr>
              <w:pStyle w:val="Tabletext"/>
              <w:rPr>
                <w:rStyle w:val="AERsuperscript"/>
              </w:rPr>
            </w:pPr>
            <w:r w:rsidRPr="00C33E76">
              <w:rPr>
                <w:rStyle w:val="AERtextsize8"/>
              </w:rPr>
              <w:t xml:space="preserve">Operating </w:t>
            </w:r>
            <w:proofErr w:type="spellStart"/>
            <w:r w:rsidRPr="00C33E76">
              <w:rPr>
                <w:rStyle w:val="AERtextsize8"/>
              </w:rPr>
              <w:t>expenditure</w:t>
            </w:r>
            <w:r w:rsidRPr="00C33E76">
              <w:rPr>
                <w:rStyle w:val="AERsuperscript"/>
              </w:rPr>
              <w:t>b</w:t>
            </w:r>
            <w:proofErr w:type="spellEnd"/>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232.4</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238.5</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244.8</w:t>
            </w:r>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251.2</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257.8</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1224.7</w:t>
            </w:r>
          </w:p>
        </w:tc>
      </w:tr>
      <w:tr w:rsidR="00C33E76" w:rsidRPr="00813A60" w:rsidTr="00C33E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33E76" w:rsidRPr="00C33E76" w:rsidRDefault="00C33E76" w:rsidP="00C33E76">
            <w:pPr>
              <w:pStyle w:val="Tabletext"/>
              <w:rPr>
                <w:rStyle w:val="AERtextsize8"/>
              </w:rPr>
            </w:pPr>
            <w:r w:rsidRPr="00C33E76">
              <w:rPr>
                <w:rStyle w:val="AERtextsize8"/>
              </w:rPr>
              <w:t xml:space="preserve">Revenue </w:t>
            </w:r>
            <w:proofErr w:type="spellStart"/>
            <w:r w:rsidRPr="00C33E76">
              <w:rPr>
                <w:rStyle w:val="AERtextsize8"/>
              </w:rPr>
              <w:t>adjustments</w:t>
            </w:r>
            <w:r w:rsidRPr="00C33E76">
              <w:rPr>
                <w:rStyle w:val="AERsuperscript"/>
              </w:rPr>
              <w:t>c</w:t>
            </w:r>
            <w:proofErr w:type="spellEnd"/>
          </w:p>
        </w:tc>
        <w:tc>
          <w:tcPr>
            <w:tcW w:w="968"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–0.2</w:t>
            </w:r>
          </w:p>
        </w:tc>
        <w:tc>
          <w:tcPr>
            <w:tcW w:w="969"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–0.2</w:t>
            </w:r>
          </w:p>
        </w:tc>
        <w:tc>
          <w:tcPr>
            <w:tcW w:w="969"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–0.3</w:t>
            </w:r>
          </w:p>
        </w:tc>
        <w:tc>
          <w:tcPr>
            <w:tcW w:w="968"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–1.8</w:t>
            </w:r>
          </w:p>
        </w:tc>
        <w:tc>
          <w:tcPr>
            <w:tcW w:w="969"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–5.4</w:t>
            </w:r>
          </w:p>
        </w:tc>
        <w:tc>
          <w:tcPr>
            <w:tcW w:w="969" w:type="dxa"/>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pPr>
            <w:r w:rsidRPr="00C33E76">
              <w:t>–7.9</w:t>
            </w:r>
          </w:p>
        </w:tc>
      </w:tr>
      <w:tr w:rsidR="00C33E76" w:rsidRPr="00813A60" w:rsidTr="00C33E76">
        <w:tc>
          <w:tcPr>
            <w:cnfStyle w:val="001000000000" w:firstRow="0" w:lastRow="0" w:firstColumn="1" w:lastColumn="0" w:oddVBand="0" w:evenVBand="0" w:oddHBand="0" w:evenHBand="0" w:firstRowFirstColumn="0" w:firstRowLastColumn="0" w:lastRowFirstColumn="0" w:lastRowLastColumn="0"/>
            <w:tcW w:w="2943" w:type="dxa"/>
          </w:tcPr>
          <w:p w:rsidR="00C33E76" w:rsidRPr="00C33E76" w:rsidRDefault="00C33E76" w:rsidP="00C33E76">
            <w:pPr>
              <w:pStyle w:val="Tabletext"/>
              <w:rPr>
                <w:rStyle w:val="AERtextsize8"/>
              </w:rPr>
            </w:pPr>
            <w:r w:rsidRPr="00C33E76">
              <w:rPr>
                <w:rStyle w:val="AERtextsize8"/>
              </w:rPr>
              <w:t>Net tax allowance</w:t>
            </w:r>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13.2</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10.6</w:t>
            </w:r>
          </w:p>
        </w:tc>
        <w:tc>
          <w:tcPr>
            <w:tcW w:w="969" w:type="dxa"/>
          </w:tcPr>
          <w:p w:rsidR="00C33E76" w:rsidRPr="00C33E76" w:rsidRDefault="00C33E76" w:rsidP="008C4208">
            <w:pPr>
              <w:cnfStyle w:val="000000000000" w:firstRow="0" w:lastRow="0" w:firstColumn="0" w:lastColumn="0" w:oddVBand="0" w:evenVBand="0" w:oddHBand="0" w:evenHBand="0" w:firstRowFirstColumn="0" w:firstRowLastColumn="0" w:lastRowFirstColumn="0" w:lastRowLastColumn="0"/>
            </w:pPr>
            <w:r w:rsidRPr="00C33E76">
              <w:t>12.</w:t>
            </w:r>
            <w:r w:rsidR="008C4208">
              <w:t>4</w:t>
            </w:r>
          </w:p>
        </w:tc>
        <w:tc>
          <w:tcPr>
            <w:tcW w:w="968"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14.0</w:t>
            </w:r>
          </w:p>
        </w:tc>
        <w:tc>
          <w:tcPr>
            <w:tcW w:w="969" w:type="dxa"/>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pPr>
            <w:r w:rsidRPr="00C33E76">
              <w:t>9.2</w:t>
            </w:r>
          </w:p>
        </w:tc>
        <w:tc>
          <w:tcPr>
            <w:tcW w:w="969" w:type="dxa"/>
          </w:tcPr>
          <w:p w:rsidR="00C33E76" w:rsidRPr="00C33E76" w:rsidRDefault="00C33E76" w:rsidP="008C4208">
            <w:pPr>
              <w:cnfStyle w:val="000000000000" w:firstRow="0" w:lastRow="0" w:firstColumn="0" w:lastColumn="0" w:oddVBand="0" w:evenVBand="0" w:oddHBand="0" w:evenHBand="0" w:firstRowFirstColumn="0" w:firstRowLastColumn="0" w:lastRowFirstColumn="0" w:lastRowLastColumn="0"/>
            </w:pPr>
            <w:r w:rsidRPr="00C33E76">
              <w:t>59.</w:t>
            </w:r>
            <w:r w:rsidR="008C4208">
              <w:t>5</w:t>
            </w:r>
          </w:p>
        </w:tc>
      </w:tr>
      <w:tr w:rsidR="00C33E76" w:rsidRPr="00813A60" w:rsidTr="00C33E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C33E76" w:rsidRPr="00C33E76" w:rsidRDefault="00C33E76" w:rsidP="00C33E76">
            <w:pPr>
              <w:pStyle w:val="Tabletext"/>
              <w:rPr>
                <w:rStyle w:val="AERtextsize8"/>
              </w:rPr>
            </w:pPr>
            <w:r w:rsidRPr="00C33E76">
              <w:rPr>
                <w:rStyle w:val="AERtextsize8"/>
              </w:rPr>
              <w:t>Annual building block revenue requirement (unsmoothed)</w:t>
            </w:r>
          </w:p>
        </w:tc>
        <w:tc>
          <w:tcPr>
            <w:tcW w:w="968"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526.</w:t>
            </w:r>
            <w:r w:rsidR="008C4208">
              <w:t>1</w:t>
            </w:r>
          </w:p>
        </w:tc>
        <w:tc>
          <w:tcPr>
            <w:tcW w:w="969"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53</w:t>
            </w:r>
            <w:r w:rsidR="008C4208">
              <w:t>7.1</w:t>
            </w:r>
          </w:p>
        </w:tc>
        <w:tc>
          <w:tcPr>
            <w:tcW w:w="969"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556.</w:t>
            </w:r>
            <w:r w:rsidR="008C4208">
              <w:t>8</w:t>
            </w:r>
          </w:p>
        </w:tc>
        <w:tc>
          <w:tcPr>
            <w:tcW w:w="968"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569.</w:t>
            </w:r>
            <w:r w:rsidR="008C4208">
              <w:t>9</w:t>
            </w:r>
          </w:p>
        </w:tc>
        <w:tc>
          <w:tcPr>
            <w:tcW w:w="969"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553.</w:t>
            </w:r>
            <w:r w:rsidR="008C4208">
              <w:t>1</w:t>
            </w:r>
          </w:p>
        </w:tc>
        <w:tc>
          <w:tcPr>
            <w:tcW w:w="969" w:type="dxa"/>
          </w:tcPr>
          <w:p w:rsidR="00C33E76" w:rsidRPr="00C33E76" w:rsidRDefault="00C33E76" w:rsidP="008C4208">
            <w:pPr>
              <w:cnfStyle w:val="000000010000" w:firstRow="0" w:lastRow="0" w:firstColumn="0" w:lastColumn="0" w:oddVBand="0" w:evenVBand="0" w:oddHBand="0" w:evenHBand="1" w:firstRowFirstColumn="0" w:firstRowLastColumn="0" w:lastRowFirstColumn="0" w:lastRowLastColumn="0"/>
            </w:pPr>
            <w:r w:rsidRPr="00C33E76">
              <w:t>2742.</w:t>
            </w:r>
            <w:r w:rsidR="008C4208">
              <w:t>8</w:t>
            </w:r>
          </w:p>
        </w:tc>
      </w:tr>
      <w:tr w:rsidR="006062C1" w:rsidRPr="00C33E76" w:rsidTr="00C33E76">
        <w:tc>
          <w:tcPr>
            <w:cnfStyle w:val="001000000000" w:firstRow="0" w:lastRow="0" w:firstColumn="1" w:lastColumn="0" w:oddVBand="0" w:evenVBand="0" w:oddHBand="0" w:evenHBand="0" w:firstRowFirstColumn="0" w:firstRowLastColumn="0" w:lastRowFirstColumn="0" w:lastRowLastColumn="0"/>
            <w:tcW w:w="2943" w:type="dxa"/>
          </w:tcPr>
          <w:p w:rsidR="006062C1" w:rsidRPr="006062C1" w:rsidRDefault="006062C1" w:rsidP="006062C1">
            <w:pPr>
              <w:rPr>
                <w:rStyle w:val="Strong"/>
              </w:rPr>
            </w:pPr>
            <w:r w:rsidRPr="006062C1">
              <w:rPr>
                <w:rStyle w:val="Strong"/>
              </w:rPr>
              <w:t xml:space="preserve">Annual expected MAR (smoothed) </w:t>
            </w:r>
          </w:p>
        </w:tc>
        <w:tc>
          <w:tcPr>
            <w:tcW w:w="968"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534.</w:t>
            </w:r>
            <w:r w:rsidR="008C4208">
              <w:rPr>
                <w:rStyle w:val="Strong"/>
              </w:rPr>
              <w:t>8</w:t>
            </w:r>
          </w:p>
        </w:tc>
        <w:tc>
          <w:tcPr>
            <w:tcW w:w="969"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541.</w:t>
            </w:r>
            <w:r w:rsidR="008C4208">
              <w:rPr>
                <w:rStyle w:val="Strong"/>
              </w:rPr>
              <w:t>5</w:t>
            </w:r>
          </w:p>
        </w:tc>
        <w:tc>
          <w:tcPr>
            <w:tcW w:w="969"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548.</w:t>
            </w:r>
            <w:r w:rsidR="008C4208">
              <w:rPr>
                <w:rStyle w:val="Strong"/>
              </w:rPr>
              <w:t>3</w:t>
            </w:r>
          </w:p>
        </w:tc>
        <w:tc>
          <w:tcPr>
            <w:tcW w:w="968"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555.</w:t>
            </w:r>
            <w:r w:rsidR="008C4208">
              <w:rPr>
                <w:rStyle w:val="Strong"/>
              </w:rPr>
              <w:t>1</w:t>
            </w:r>
          </w:p>
        </w:tc>
        <w:tc>
          <w:tcPr>
            <w:tcW w:w="969"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562.</w:t>
            </w:r>
            <w:r w:rsidR="008C4208">
              <w:rPr>
                <w:rStyle w:val="Strong"/>
              </w:rPr>
              <w:t>1</w:t>
            </w:r>
          </w:p>
        </w:tc>
        <w:tc>
          <w:tcPr>
            <w:tcW w:w="969" w:type="dxa"/>
          </w:tcPr>
          <w:p w:rsidR="006062C1" w:rsidRPr="006062C1" w:rsidRDefault="006062C1" w:rsidP="006062C1">
            <w:pPr>
              <w:cnfStyle w:val="000000000000" w:firstRow="0" w:lastRow="0" w:firstColumn="0" w:lastColumn="0" w:oddVBand="0" w:evenVBand="0" w:oddHBand="0" w:evenHBand="0" w:firstRowFirstColumn="0" w:firstRowLastColumn="0" w:lastRowFirstColumn="0" w:lastRowLastColumn="0"/>
              <w:rPr>
                <w:rStyle w:val="Strong"/>
              </w:rPr>
            </w:pPr>
            <w:r w:rsidRPr="006062C1">
              <w:rPr>
                <w:rStyle w:val="Strong"/>
              </w:rPr>
              <w:t>274</w:t>
            </w:r>
            <w:r>
              <w:rPr>
                <w:rStyle w:val="Strong"/>
              </w:rPr>
              <w:t>1</w:t>
            </w:r>
            <w:r w:rsidRPr="006062C1">
              <w:rPr>
                <w:rStyle w:val="Strong"/>
              </w:rPr>
              <w:t>.</w:t>
            </w:r>
            <w:r w:rsidR="008C4208">
              <w:rPr>
                <w:rStyle w:val="Strong"/>
              </w:rPr>
              <w:t>7</w:t>
            </w:r>
            <w:r w:rsidRPr="006062C1">
              <w:rPr>
                <w:rStyle w:val="AERsuperscript"/>
              </w:rPr>
              <w:t>d</w:t>
            </w:r>
          </w:p>
        </w:tc>
      </w:tr>
      <w:tr w:rsidR="006062C1" w:rsidRPr="00813A60" w:rsidTr="00C33E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6062C1" w:rsidRPr="006062C1" w:rsidRDefault="006062C1" w:rsidP="006062C1">
            <w:pPr>
              <w:pStyle w:val="Tabletext"/>
              <w:rPr>
                <w:rStyle w:val="AERtextsize8"/>
              </w:rPr>
            </w:pPr>
            <w:r w:rsidRPr="006062C1">
              <w:rPr>
                <w:rStyle w:val="AERtextsize8"/>
              </w:rPr>
              <w:t xml:space="preserve">X </w:t>
            </w:r>
            <w:proofErr w:type="spellStart"/>
            <w:r w:rsidRPr="006062C1">
              <w:rPr>
                <w:rStyle w:val="AERtextsize8"/>
              </w:rPr>
              <w:t>factor</w:t>
            </w:r>
            <w:r w:rsidRPr="006062C1">
              <w:rPr>
                <w:rStyle w:val="AERsuperscript"/>
              </w:rPr>
              <w:t>e</w:t>
            </w:r>
            <w:proofErr w:type="spellEnd"/>
          </w:p>
        </w:tc>
        <w:tc>
          <w:tcPr>
            <w:tcW w:w="968"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n/</w:t>
            </w:r>
            <w:proofErr w:type="spellStart"/>
            <w:r w:rsidRPr="006062C1">
              <w:t>a</w:t>
            </w:r>
            <w:r w:rsidRPr="006062C1">
              <w:rPr>
                <w:rStyle w:val="AERsuperscript"/>
              </w:rPr>
              <w:t>f</w:t>
            </w:r>
            <w:proofErr w:type="spellEnd"/>
          </w:p>
        </w:tc>
        <w:tc>
          <w:tcPr>
            <w:tcW w:w="969"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1.12%</w:t>
            </w:r>
          </w:p>
        </w:tc>
        <w:tc>
          <w:tcPr>
            <w:tcW w:w="969"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1.12%</w:t>
            </w:r>
          </w:p>
        </w:tc>
        <w:tc>
          <w:tcPr>
            <w:tcW w:w="968"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1.12%</w:t>
            </w:r>
          </w:p>
        </w:tc>
        <w:tc>
          <w:tcPr>
            <w:tcW w:w="969"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1.12%</w:t>
            </w:r>
          </w:p>
        </w:tc>
        <w:tc>
          <w:tcPr>
            <w:tcW w:w="969" w:type="dxa"/>
          </w:tcPr>
          <w:p w:rsidR="006062C1" w:rsidRPr="006062C1" w:rsidRDefault="006062C1" w:rsidP="006062C1">
            <w:pPr>
              <w:cnfStyle w:val="000000010000" w:firstRow="0" w:lastRow="0" w:firstColumn="0" w:lastColumn="0" w:oddVBand="0" w:evenVBand="0" w:oddHBand="0" w:evenHBand="1" w:firstRowFirstColumn="0" w:firstRowLastColumn="0" w:lastRowFirstColumn="0" w:lastRowLastColumn="0"/>
            </w:pPr>
            <w:r w:rsidRPr="006062C1">
              <w:t>n/a</w:t>
            </w:r>
          </w:p>
        </w:tc>
      </w:tr>
    </w:tbl>
    <w:p w:rsidR="00DF009B" w:rsidRDefault="00DF009B" w:rsidP="00DF009B">
      <w:pPr>
        <w:pStyle w:val="AERtablesource"/>
      </w:pPr>
      <w:r w:rsidRPr="007D4CC1">
        <w:t xml:space="preserve">Source: </w:t>
      </w:r>
      <w:r w:rsidRPr="007D4CC1">
        <w:tab/>
        <w:t xml:space="preserve">AER analysis. </w:t>
      </w:r>
    </w:p>
    <w:p w:rsidR="00DF009B" w:rsidRPr="00557C68" w:rsidRDefault="00DF009B" w:rsidP="00DF009B">
      <w:pPr>
        <w:pStyle w:val="AERtablesource"/>
      </w:pPr>
      <w:r w:rsidRPr="00557C68">
        <w:t>(a)</w:t>
      </w:r>
      <w:r w:rsidRPr="00557C68">
        <w:tab/>
        <w:t>Regulatory depreciation is straight-line depreciation net of the inflation indexation on the opening RAB.</w:t>
      </w:r>
    </w:p>
    <w:p w:rsidR="00DF009B" w:rsidRDefault="00DF009B" w:rsidP="00DF009B">
      <w:pPr>
        <w:pStyle w:val="AERtablesource"/>
      </w:pPr>
      <w:r>
        <w:t>(b)</w:t>
      </w:r>
      <w:r>
        <w:tab/>
        <w:t>Operating expenditure includes debt raising costs.</w:t>
      </w:r>
    </w:p>
    <w:p w:rsidR="00DF009B" w:rsidRPr="00557C68" w:rsidRDefault="00DF009B" w:rsidP="00DF009B">
      <w:pPr>
        <w:pStyle w:val="AERtablesource"/>
      </w:pPr>
      <w:r w:rsidRPr="00557C68">
        <w:t>(</w:t>
      </w:r>
      <w:r>
        <w:t>c</w:t>
      </w:r>
      <w:r w:rsidRPr="00557C68">
        <w:t>)</w:t>
      </w:r>
      <w:r w:rsidRPr="00557C68">
        <w:tab/>
        <w:t>Includes efficiency benefit sharing scheme and shared asset amounts.</w:t>
      </w:r>
    </w:p>
    <w:p w:rsidR="00DF009B" w:rsidRPr="00557C68" w:rsidRDefault="00DF009B" w:rsidP="00DF009B">
      <w:pPr>
        <w:pStyle w:val="AERtablesource"/>
      </w:pPr>
      <w:r w:rsidRPr="00557C68">
        <w:t>(</w:t>
      </w:r>
      <w:r>
        <w:t>d</w:t>
      </w:r>
      <w:r w:rsidRPr="00557C68">
        <w:t>)</w:t>
      </w:r>
      <w:r w:rsidRPr="00557C68">
        <w:tab/>
        <w:t>The estimated total revenue cap is equal to the total annual expected MAR.</w:t>
      </w:r>
    </w:p>
    <w:p w:rsidR="00DF009B" w:rsidRPr="00557C68" w:rsidRDefault="00DF009B" w:rsidP="00DF009B">
      <w:pPr>
        <w:pStyle w:val="AERtablesource"/>
      </w:pPr>
      <w:r w:rsidRPr="00557C68">
        <w:t>(</w:t>
      </w:r>
      <w:r>
        <w:t>e</w:t>
      </w:r>
      <w:r w:rsidRPr="00557C68">
        <w:t>)</w:t>
      </w:r>
      <w:r w:rsidRPr="00557C68">
        <w:tab/>
        <w:t>The X factors 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DF009B" w:rsidRDefault="00DF009B" w:rsidP="00DF009B">
      <w:pPr>
        <w:pStyle w:val="AERtablesource"/>
      </w:pPr>
      <w:r w:rsidRPr="00557C68">
        <w:t>(</w:t>
      </w:r>
      <w:r>
        <w:t>f</w:t>
      </w:r>
      <w:r w:rsidRPr="00557C68">
        <w:t>)</w:t>
      </w:r>
      <w:r w:rsidRPr="00557C68">
        <w:tab/>
        <w:t xml:space="preserve">AusNet Services is not required to apply an X factor for 2017–18 because we set the 2017–18 MAR in this decision. The MAR for 2017–18 is around </w:t>
      </w:r>
      <w:r w:rsidR="006062C1">
        <w:t>1.1</w:t>
      </w:r>
      <w:r w:rsidRPr="00557C68">
        <w:t xml:space="preserve"> per cent lower than the approved MAR for 2016–17 in real terms, or </w:t>
      </w:r>
      <w:r w:rsidR="00793CFF">
        <w:t xml:space="preserve">around </w:t>
      </w:r>
      <w:r w:rsidR="006062C1">
        <w:t>1.</w:t>
      </w:r>
      <w:r w:rsidR="008C4208">
        <w:t>3</w:t>
      </w:r>
      <w:r w:rsidR="006062C1">
        <w:t xml:space="preserve"> per cent </w:t>
      </w:r>
      <w:r w:rsidR="00793CFF">
        <w:t>higher</w:t>
      </w:r>
      <w:r w:rsidR="006062C1">
        <w:t xml:space="preserve"> </w:t>
      </w:r>
      <w:r w:rsidRPr="00557C68">
        <w:t>in nominal terms.</w:t>
      </w:r>
    </w:p>
    <w:p w:rsidR="00DF009B" w:rsidRDefault="00DF009B" w:rsidP="00DF009B">
      <w:pPr>
        <w:pStyle w:val="Heading2"/>
      </w:pPr>
      <w:bookmarkStart w:id="49" w:name="_Ref451519510"/>
      <w:bookmarkStart w:id="50" w:name="_Toc456687647"/>
      <w:bookmarkStart w:id="51" w:name="_Toc480988355"/>
      <w:r>
        <w:lastRenderedPageBreak/>
        <w:t>Regulatory asset base</w:t>
      </w:r>
      <w:bookmarkEnd w:id="49"/>
      <w:bookmarkEnd w:id="50"/>
      <w:bookmarkEnd w:id="51"/>
    </w:p>
    <w:p w:rsidR="000761E4" w:rsidRPr="000761E4" w:rsidRDefault="000761E4" w:rsidP="000761E4">
      <w:r w:rsidRPr="000761E4">
        <w:t>We make a decision on AusNet Services' opening regulatory asset base (RAB) at 1</w:t>
      </w:r>
      <w:r>
        <w:t> </w:t>
      </w:r>
      <w:r w:rsidRPr="000761E4">
        <w:t xml:space="preserve">April 2017 as part of our revenue determination. We also make a decision on AusNet Services' projected RAB for the 2017–22 regulatory control </w:t>
      </w:r>
      <w:proofErr w:type="gramStart"/>
      <w:r w:rsidRPr="000761E4">
        <w:t>period</w:t>
      </w:r>
      <w:proofErr w:type="gramEnd"/>
      <w:r w:rsidRPr="000761E4">
        <w:t>.</w:t>
      </w:r>
      <w:r w:rsidRPr="000761E4">
        <w:rPr>
          <w:rStyle w:val="FootnoteReference"/>
        </w:rPr>
        <w:footnoteReference w:id="7"/>
      </w:r>
      <w:r w:rsidRPr="000761E4">
        <w:t xml:space="preserve"> </w:t>
      </w:r>
    </w:p>
    <w:p w:rsidR="000761E4" w:rsidRPr="000761E4" w:rsidRDefault="000761E4" w:rsidP="000761E4">
      <w:r w:rsidRPr="000761E4">
        <w:t xml:space="preserve">The RAB roll forward accounts for the value of AusNet Services' regulated assets over the regulatory control period. The size of the RAB substantially impacts AusNet Services' revenue </w:t>
      </w:r>
      <w:r w:rsidR="008C6B20">
        <w:t xml:space="preserve">path </w:t>
      </w:r>
      <w:r w:rsidRPr="000761E4">
        <w:t>and the price consumers ultimately pay. It is an input into the determination of the return on capital and depreciation (return of capital) building blocks.</w:t>
      </w:r>
      <w:r w:rsidRPr="000761E4">
        <w:rPr>
          <w:rStyle w:val="FootnoteReference"/>
        </w:rPr>
        <w:footnoteReference w:id="8"/>
      </w:r>
      <w:r w:rsidRPr="000761E4">
        <w:t xml:space="preserve"> Other things being equal, a higher RAB increases both the return on capital and depreciation allowances. In turn, these increase AusNet Services' revenue, and prices for services. </w:t>
      </w:r>
    </w:p>
    <w:p w:rsidR="00A024A7" w:rsidRPr="00A024A7" w:rsidRDefault="00A024A7" w:rsidP="00A024A7">
      <w:r w:rsidRPr="00A024A7">
        <w:t>We determine AusNet Services’ opening RAB to be $3170.3 million ($ nominal) as at 1 April 2017. The difference of $11.0 million between this amount and AusNet Services’ revised proposal reflects the update to the roll forward model (RFM) for 2016–17 actual inflation that is now available.</w:t>
      </w:r>
    </w:p>
    <w:p w:rsidR="00DF009B" w:rsidRDefault="00A024A7" w:rsidP="00A024A7">
      <w:pPr>
        <w:rPr>
          <w:rStyle w:val="AERbody"/>
        </w:rPr>
      </w:pPr>
      <w:r w:rsidRPr="00A024A7">
        <w:rPr>
          <w:rStyle w:val="AERbody"/>
        </w:rPr>
        <w:t xml:space="preserve">To determine the opening RAB as at 1 April 2017, we have rolled forward the RAB over the 2014–17 regulatory control period to determine a closing RAB value at 31 March 2017. This roll forward includes an adjustment at the end of the 2014–17 regulatory control </w:t>
      </w:r>
      <w:proofErr w:type="gramStart"/>
      <w:r w:rsidRPr="00A024A7">
        <w:rPr>
          <w:rStyle w:val="AERbody"/>
        </w:rPr>
        <w:t>period</w:t>
      </w:r>
      <w:proofErr w:type="gramEnd"/>
      <w:r w:rsidRPr="00A024A7">
        <w:rPr>
          <w:rStyle w:val="AERbody"/>
        </w:rPr>
        <w:t xml:space="preserve"> to account for the difference between actual 2013–14 capex and the estimate approved at the 2014–17 determination.</w:t>
      </w:r>
      <w:r w:rsidRPr="00A024A7">
        <w:rPr>
          <w:rStyle w:val="FootnoteReference"/>
        </w:rPr>
        <w:footnoteReference w:id="9"/>
      </w:r>
      <w:r w:rsidRPr="00A024A7">
        <w:rPr>
          <w:rStyle w:val="AERbody"/>
        </w:rPr>
        <w:t xml:space="preserve"> The roll forward also includes an adjustment for new assets—labelled ‘Group 3 assets’—added to the opening RAB at 1 April 2017 and a true-up for the difference between actual and forecast Group 3 assets rolled in at the 2014–17 determination.</w:t>
      </w:r>
      <w:r w:rsidRPr="00A024A7">
        <w:rPr>
          <w:rStyle w:val="FootnoteReference"/>
        </w:rPr>
        <w:footnoteReference w:id="10"/>
      </w:r>
      <w:r w:rsidRPr="00A024A7">
        <w:rPr>
          <w:rStyle w:val="AERbody"/>
        </w:rPr>
        <w:t xml:space="preserve"> Expenditure on Group 3 assets occurs throughout the regulatory control period, but this capex is not added to the RAB each year (as is usually the case). Instead, these assets are added to the RAB at the commencement of each regulatory control period.</w:t>
      </w:r>
      <w:r w:rsidRPr="00A024A7">
        <w:rPr>
          <w:rStyle w:val="FootnoteReference"/>
        </w:rPr>
        <w:footnoteReference w:id="11"/>
      </w:r>
    </w:p>
    <w:p w:rsidR="00A024A7" w:rsidRPr="00A024A7" w:rsidRDefault="00A024A7" w:rsidP="00A024A7">
      <w:pPr>
        <w:rPr>
          <w:rStyle w:val="AERbody"/>
        </w:rPr>
      </w:pPr>
      <w:r>
        <w:rPr>
          <w:rStyle w:val="AERbody"/>
        </w:rPr>
        <w:fldChar w:fldCharType="begin"/>
      </w:r>
      <w:r>
        <w:rPr>
          <w:rStyle w:val="AERbody"/>
        </w:rPr>
        <w:instrText xml:space="preserve"> REF _Ref477255913 \h </w:instrText>
      </w:r>
      <w:r>
        <w:rPr>
          <w:rStyle w:val="AERbody"/>
        </w:rPr>
      </w:r>
      <w:r>
        <w:rPr>
          <w:rStyle w:val="AERbody"/>
        </w:rPr>
        <w:fldChar w:fldCharType="separate"/>
      </w:r>
      <w:r w:rsidR="00867A0E">
        <w:t xml:space="preserve">Table </w:t>
      </w:r>
      <w:r w:rsidR="00867A0E">
        <w:rPr>
          <w:noProof/>
        </w:rPr>
        <w:t>3</w:t>
      </w:r>
      <w:r w:rsidR="00867A0E">
        <w:t>.</w:t>
      </w:r>
      <w:r w:rsidR="00867A0E">
        <w:rPr>
          <w:noProof/>
        </w:rPr>
        <w:t>2</w:t>
      </w:r>
      <w:r>
        <w:rPr>
          <w:rStyle w:val="AERbody"/>
        </w:rPr>
        <w:fldChar w:fldCharType="end"/>
      </w:r>
      <w:r>
        <w:rPr>
          <w:rStyle w:val="AERbody"/>
        </w:rPr>
        <w:t xml:space="preserve"> </w:t>
      </w:r>
      <w:r w:rsidRPr="00A024A7">
        <w:rPr>
          <w:rStyle w:val="AERbody"/>
        </w:rPr>
        <w:t>sets out our final decision on the roll forward of the RAB values for the 2014–17 regulatory control period.</w:t>
      </w:r>
    </w:p>
    <w:p w:rsidR="00A024A7" w:rsidRPr="00A024A7" w:rsidRDefault="00A024A7" w:rsidP="00A024A7">
      <w:pPr>
        <w:pStyle w:val="Caption"/>
      </w:pPr>
      <w:bookmarkStart w:id="52" w:name="_Ref477255913"/>
      <w:proofErr w:type="gramStart"/>
      <w:r>
        <w:lastRenderedPageBreak/>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2</w:t>
      </w:r>
      <w:r w:rsidR="00CD319A">
        <w:fldChar w:fldCharType="end"/>
      </w:r>
      <w:bookmarkEnd w:id="52"/>
      <w:r>
        <w:tab/>
      </w:r>
      <w:r w:rsidRPr="00A024A7">
        <w:t>AER's final decision on AusNet Services’ RAB for the 2014–17 regulatory control period ($ million, nominal)</w:t>
      </w:r>
    </w:p>
    <w:tbl>
      <w:tblPr>
        <w:tblStyle w:val="AERtable-numbers"/>
        <w:tblW w:w="8392" w:type="dxa"/>
        <w:tblLayout w:type="fixed"/>
        <w:tblLook w:val="04A0" w:firstRow="1" w:lastRow="0" w:firstColumn="1" w:lastColumn="0" w:noHBand="0" w:noVBand="1"/>
      </w:tblPr>
      <w:tblGrid>
        <w:gridCol w:w="4503"/>
        <w:gridCol w:w="1296"/>
        <w:gridCol w:w="1296"/>
        <w:gridCol w:w="1297"/>
      </w:tblGrid>
      <w:tr w:rsidR="00A024A7" w:rsidRPr="00486DA6" w:rsidTr="00957C1D">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 </w:t>
            </w:r>
          </w:p>
        </w:tc>
        <w:tc>
          <w:tcPr>
            <w:tcW w:w="1296" w:type="dxa"/>
            <w:noWrap/>
            <w:hideMark/>
          </w:tcPr>
          <w:p w:rsidR="00A024A7" w:rsidRPr="00A024A7" w:rsidRDefault="00A024A7" w:rsidP="00A024A7">
            <w:pPr>
              <w:cnfStyle w:val="100000000000" w:firstRow="1" w:lastRow="0" w:firstColumn="0" w:lastColumn="0" w:oddVBand="0" w:evenVBand="0" w:oddHBand="0" w:evenHBand="0" w:firstRowFirstColumn="0" w:firstRowLastColumn="0" w:lastRowFirstColumn="0" w:lastRowLastColumn="0"/>
            </w:pPr>
            <w:r w:rsidRPr="00A024A7">
              <w:t>2014–15</w:t>
            </w:r>
          </w:p>
        </w:tc>
        <w:tc>
          <w:tcPr>
            <w:tcW w:w="1296" w:type="dxa"/>
            <w:noWrap/>
            <w:hideMark/>
          </w:tcPr>
          <w:p w:rsidR="00A024A7" w:rsidRPr="00A024A7" w:rsidRDefault="00A024A7" w:rsidP="00A024A7">
            <w:pPr>
              <w:cnfStyle w:val="100000000000" w:firstRow="1" w:lastRow="0" w:firstColumn="0" w:lastColumn="0" w:oddVBand="0" w:evenVBand="0" w:oddHBand="0" w:evenHBand="0" w:firstRowFirstColumn="0" w:firstRowLastColumn="0" w:lastRowFirstColumn="0" w:lastRowLastColumn="0"/>
            </w:pPr>
            <w:r w:rsidRPr="00A024A7">
              <w:t>2015–16</w:t>
            </w:r>
          </w:p>
        </w:tc>
        <w:tc>
          <w:tcPr>
            <w:tcW w:w="1297" w:type="dxa"/>
            <w:noWrap/>
            <w:hideMark/>
          </w:tcPr>
          <w:p w:rsidR="00A024A7" w:rsidRPr="00A024A7" w:rsidRDefault="00A024A7" w:rsidP="00A024A7">
            <w:pPr>
              <w:cnfStyle w:val="100000000000" w:firstRow="1" w:lastRow="0" w:firstColumn="0" w:lastColumn="0" w:oddVBand="0" w:evenVBand="0" w:oddHBand="0" w:evenHBand="0" w:firstRowFirstColumn="0" w:firstRowLastColumn="0" w:lastRowFirstColumn="0" w:lastRowLastColumn="0"/>
            </w:pPr>
            <w:r w:rsidRPr="00A024A7">
              <w:t>2016–17</w:t>
            </w:r>
            <w:r w:rsidRPr="00A024A7">
              <w:rPr>
                <w:rStyle w:val="AERsuperscript"/>
              </w:rPr>
              <w:t>a</w:t>
            </w:r>
          </w:p>
        </w:tc>
      </w:tr>
      <w:tr w:rsidR="00A024A7" w:rsidRPr="00E318AC" w:rsidTr="00957C1D">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Opening RAB</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2876.0</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2948.1</w:t>
            </w:r>
          </w:p>
        </w:tc>
        <w:tc>
          <w:tcPr>
            <w:tcW w:w="1297"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2985.0</w:t>
            </w:r>
          </w:p>
        </w:tc>
      </w:tr>
      <w:tr w:rsidR="00A024A7" w:rsidRPr="00E318AC" w:rsidTr="00957C1D">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 xml:space="preserve">Capital </w:t>
            </w:r>
            <w:proofErr w:type="spellStart"/>
            <w:r w:rsidRPr="00A024A7">
              <w:t>expenditure</w:t>
            </w:r>
            <w:r w:rsidRPr="00A024A7">
              <w:rPr>
                <w:rStyle w:val="AERsuperscript"/>
              </w:rPr>
              <w:t>b</w:t>
            </w:r>
            <w:proofErr w:type="spellEnd"/>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151.3</w:t>
            </w:r>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145.1</w:t>
            </w:r>
          </w:p>
        </w:tc>
        <w:tc>
          <w:tcPr>
            <w:tcW w:w="1297"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181.1</w:t>
            </w:r>
          </w:p>
        </w:tc>
      </w:tr>
      <w:tr w:rsidR="00A024A7" w:rsidRPr="00E318AC" w:rsidTr="00957C1D">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Inflation indexation on opening RAB</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66.4</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44.3</w:t>
            </w:r>
          </w:p>
        </w:tc>
        <w:tc>
          <w:tcPr>
            <w:tcW w:w="1297"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38.7</w:t>
            </w:r>
          </w:p>
        </w:tc>
      </w:tr>
      <w:tr w:rsidR="00A024A7" w:rsidRPr="00E318AC" w:rsidTr="00957C1D">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rPr>
                <w:rStyle w:val="AERtextitalic"/>
              </w:rPr>
              <w:t>Less:</w:t>
            </w:r>
            <w:r w:rsidRPr="00A024A7">
              <w:t xml:space="preserve"> straight-line </w:t>
            </w:r>
            <w:proofErr w:type="spellStart"/>
            <w:r w:rsidRPr="00A024A7">
              <w:t>depreciation</w:t>
            </w:r>
            <w:r w:rsidRPr="00A024A7">
              <w:rPr>
                <w:rStyle w:val="AERsuperscript"/>
              </w:rPr>
              <w:t>c</w:t>
            </w:r>
            <w:proofErr w:type="spellEnd"/>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145.6</w:t>
            </w:r>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152.5</w:t>
            </w:r>
          </w:p>
        </w:tc>
        <w:tc>
          <w:tcPr>
            <w:tcW w:w="1297"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161.2</w:t>
            </w:r>
          </w:p>
        </w:tc>
      </w:tr>
      <w:tr w:rsidR="00A024A7" w:rsidRPr="00E318AC" w:rsidTr="00957C1D">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Closing RAB</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2948.1</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2985.0</w:t>
            </w:r>
          </w:p>
        </w:tc>
        <w:tc>
          <w:tcPr>
            <w:tcW w:w="1297"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3043.6</w:t>
            </w:r>
          </w:p>
        </w:tc>
      </w:tr>
      <w:tr w:rsidR="00A024A7" w:rsidRPr="00E318AC" w:rsidTr="00957C1D">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Difference between estimated and actual capex in 2013–14</w:t>
            </w:r>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 </w:t>
            </w:r>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 </w:t>
            </w:r>
          </w:p>
        </w:tc>
        <w:tc>
          <w:tcPr>
            <w:tcW w:w="1297"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20.0</w:t>
            </w:r>
          </w:p>
        </w:tc>
      </w:tr>
      <w:tr w:rsidR="00A024A7" w:rsidRPr="00E318AC" w:rsidTr="00957C1D">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Return on difference for 2013–14 capex</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 </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 </w:t>
            </w:r>
          </w:p>
        </w:tc>
        <w:tc>
          <w:tcPr>
            <w:tcW w:w="1297"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pPr>
            <w:r w:rsidRPr="00A024A7">
              <w:t>4.6</w:t>
            </w:r>
          </w:p>
        </w:tc>
      </w:tr>
      <w:tr w:rsidR="00A024A7" w:rsidRPr="00E318AC" w:rsidTr="00957C1D">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r w:rsidRPr="00A024A7">
              <w:t xml:space="preserve">Final year </w:t>
            </w:r>
            <w:proofErr w:type="spellStart"/>
            <w:r w:rsidRPr="00A024A7">
              <w:t>adjustments</w:t>
            </w:r>
            <w:r w:rsidRPr="00A024A7">
              <w:rPr>
                <w:rStyle w:val="AERsuperscript"/>
              </w:rPr>
              <w:t>d</w:t>
            </w:r>
            <w:proofErr w:type="spellEnd"/>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 </w:t>
            </w:r>
          </w:p>
        </w:tc>
        <w:tc>
          <w:tcPr>
            <w:tcW w:w="1296"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 </w:t>
            </w:r>
          </w:p>
        </w:tc>
        <w:tc>
          <w:tcPr>
            <w:tcW w:w="1297" w:type="dxa"/>
            <w:noWrap/>
            <w:vAlign w:val="bottom"/>
          </w:tcPr>
          <w:p w:rsidR="00A024A7" w:rsidRPr="00A024A7" w:rsidRDefault="00A024A7" w:rsidP="00A024A7">
            <w:pPr>
              <w:cnfStyle w:val="000000010000" w:firstRow="0" w:lastRow="0" w:firstColumn="0" w:lastColumn="0" w:oddVBand="0" w:evenVBand="0" w:oddHBand="0" w:evenHBand="1" w:firstRowFirstColumn="0" w:firstRowLastColumn="0" w:lastRowFirstColumn="0" w:lastRowLastColumn="0"/>
            </w:pPr>
            <w:r w:rsidRPr="00A024A7">
              <w:t>102.1</w:t>
            </w:r>
          </w:p>
        </w:tc>
      </w:tr>
      <w:tr w:rsidR="00A024A7" w:rsidRPr="00E318AC" w:rsidTr="00957C1D">
        <w:trPr>
          <w:trHeight w:val="231"/>
        </w:trPr>
        <w:tc>
          <w:tcPr>
            <w:cnfStyle w:val="001000000000" w:firstRow="0" w:lastRow="0" w:firstColumn="1" w:lastColumn="0" w:oddVBand="0" w:evenVBand="0" w:oddHBand="0" w:evenHBand="0" w:firstRowFirstColumn="0" w:firstRowLastColumn="0" w:lastRowFirstColumn="0" w:lastRowLastColumn="0"/>
            <w:tcW w:w="4503" w:type="dxa"/>
            <w:noWrap/>
            <w:hideMark/>
          </w:tcPr>
          <w:p w:rsidR="00A024A7" w:rsidRPr="00A024A7" w:rsidRDefault="00A024A7" w:rsidP="00A024A7">
            <w:pPr>
              <w:rPr>
                <w:rStyle w:val="Strong"/>
              </w:rPr>
            </w:pPr>
            <w:r w:rsidRPr="00A024A7">
              <w:rPr>
                <w:rStyle w:val="Strong"/>
              </w:rPr>
              <w:t>Opening RAB as at 1 April 2017</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rPr>
                <w:rStyle w:val="Strong"/>
              </w:rPr>
            </w:pPr>
            <w:r w:rsidRPr="00A024A7">
              <w:rPr>
                <w:rStyle w:val="Strong"/>
              </w:rPr>
              <w:t> </w:t>
            </w:r>
          </w:p>
        </w:tc>
        <w:tc>
          <w:tcPr>
            <w:tcW w:w="1296"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rPr>
                <w:rStyle w:val="Strong"/>
              </w:rPr>
            </w:pPr>
            <w:r w:rsidRPr="00A024A7">
              <w:rPr>
                <w:rStyle w:val="Strong"/>
              </w:rPr>
              <w:t> </w:t>
            </w:r>
          </w:p>
        </w:tc>
        <w:tc>
          <w:tcPr>
            <w:tcW w:w="1297" w:type="dxa"/>
            <w:noWrap/>
            <w:vAlign w:val="bottom"/>
          </w:tcPr>
          <w:p w:rsidR="00A024A7" w:rsidRPr="00A024A7" w:rsidRDefault="00A024A7" w:rsidP="00A024A7">
            <w:pPr>
              <w:cnfStyle w:val="000000000000" w:firstRow="0" w:lastRow="0" w:firstColumn="0" w:lastColumn="0" w:oddVBand="0" w:evenVBand="0" w:oddHBand="0" w:evenHBand="0" w:firstRowFirstColumn="0" w:firstRowLastColumn="0" w:lastRowFirstColumn="0" w:lastRowLastColumn="0"/>
              <w:rPr>
                <w:rStyle w:val="Strong"/>
              </w:rPr>
            </w:pPr>
            <w:r w:rsidRPr="00A024A7">
              <w:rPr>
                <w:rStyle w:val="Strong"/>
              </w:rPr>
              <w:t>3170.3</w:t>
            </w:r>
          </w:p>
        </w:tc>
      </w:tr>
    </w:tbl>
    <w:p w:rsidR="00A024A7" w:rsidRPr="00F41B1C" w:rsidRDefault="00A024A7" w:rsidP="00F41B1C">
      <w:pPr>
        <w:pStyle w:val="AERtablesource"/>
        <w:rPr>
          <w:rStyle w:val="AERbody"/>
          <w:sz w:val="16"/>
        </w:rPr>
      </w:pPr>
      <w:r w:rsidRPr="00F41B1C">
        <w:rPr>
          <w:rStyle w:val="AERbody"/>
          <w:sz w:val="16"/>
        </w:rPr>
        <w:t>Source:</w:t>
      </w:r>
      <w:r w:rsidRPr="00F41B1C">
        <w:rPr>
          <w:rStyle w:val="AERbody"/>
          <w:sz w:val="16"/>
        </w:rPr>
        <w:tab/>
        <w:t>AER analysis.</w:t>
      </w:r>
    </w:p>
    <w:p w:rsidR="00A024A7" w:rsidRPr="00A024A7" w:rsidRDefault="00A024A7" w:rsidP="00A024A7">
      <w:pPr>
        <w:pStyle w:val="AERtablesource"/>
      </w:pPr>
      <w:r w:rsidRPr="00A024A7">
        <w:t xml:space="preserve">(a) </w:t>
      </w:r>
      <w:r w:rsidRPr="00A024A7">
        <w:tab/>
        <w:t xml:space="preserve">Based on estimated capex. </w:t>
      </w:r>
    </w:p>
    <w:p w:rsidR="00A024A7" w:rsidRPr="00A024A7" w:rsidRDefault="00A024A7" w:rsidP="00A024A7">
      <w:pPr>
        <w:pStyle w:val="AERtablesource"/>
      </w:pPr>
      <w:r w:rsidRPr="00A024A7">
        <w:t xml:space="preserve">(b) </w:t>
      </w:r>
      <w:r w:rsidRPr="00A024A7">
        <w:tab/>
        <w:t>As incurred, net of disposals, and adjusted for actual CPI.</w:t>
      </w:r>
    </w:p>
    <w:p w:rsidR="00A024A7" w:rsidRPr="00A024A7" w:rsidRDefault="00A024A7" w:rsidP="00A024A7">
      <w:pPr>
        <w:pStyle w:val="AERtablesource"/>
      </w:pPr>
      <w:r w:rsidRPr="00A024A7">
        <w:t xml:space="preserve">(c) </w:t>
      </w:r>
      <w:r w:rsidRPr="00A024A7">
        <w:tab/>
        <w:t xml:space="preserve">Adjusted for actual CPI. </w:t>
      </w:r>
      <w:proofErr w:type="gramStart"/>
      <w:r w:rsidRPr="00A024A7">
        <w:t>Based on as-commissioned capex.</w:t>
      </w:r>
      <w:proofErr w:type="gramEnd"/>
    </w:p>
    <w:p w:rsidR="00A024A7" w:rsidRDefault="00A024A7" w:rsidP="009C25B3">
      <w:pPr>
        <w:pStyle w:val="AERtablesource"/>
      </w:pPr>
      <w:r w:rsidRPr="00A024A7">
        <w:t xml:space="preserve">(d) </w:t>
      </w:r>
      <w:r w:rsidRPr="00A024A7">
        <w:tab/>
        <w:t>Roll in of Group 3 assets at 1 April 2017, and true-up for difference between actual and forecast Group 3 asset roll in at the 2014–17 determination, and historical inventory allocation adjustment.</w:t>
      </w:r>
    </w:p>
    <w:p w:rsidR="00A024A7" w:rsidRDefault="00A024A7" w:rsidP="009C25B3">
      <w:r w:rsidRPr="00A024A7">
        <w:rPr>
          <w:rStyle w:val="AERbody"/>
        </w:rPr>
        <w:t>We determine a forecast closing RAB value at 31 March 2022 of $</w:t>
      </w:r>
      <w:r w:rsidR="00C33E76">
        <w:t>344</w:t>
      </w:r>
      <w:r w:rsidR="005572D8">
        <w:t>3.9</w:t>
      </w:r>
      <w:r w:rsidR="00C33E76">
        <w:rPr>
          <w:rStyle w:val="AERbody"/>
        </w:rPr>
        <w:t> </w:t>
      </w:r>
      <w:r w:rsidRPr="00A024A7">
        <w:rPr>
          <w:rStyle w:val="AERbody"/>
        </w:rPr>
        <w:t xml:space="preserve">million </w:t>
      </w:r>
      <w:r w:rsidRPr="00C33E76">
        <w:t>($ nominal). This is $</w:t>
      </w:r>
      <w:r w:rsidR="00C33E76" w:rsidRPr="00C33E76">
        <w:t>81.</w:t>
      </w:r>
      <w:r w:rsidR="005572D8">
        <w:t>3</w:t>
      </w:r>
      <w:r w:rsidRPr="00C33E76">
        <w:t xml:space="preserve"> million (or </w:t>
      </w:r>
      <w:r w:rsidR="00C33E76" w:rsidRPr="00C33E76">
        <w:t>2.4</w:t>
      </w:r>
      <w:r w:rsidRPr="00C33E76">
        <w:t xml:space="preserve"> per cent) </w:t>
      </w:r>
      <w:r w:rsidR="00FB7590">
        <w:t>higher</w:t>
      </w:r>
      <w:r w:rsidRPr="00C33E76">
        <w:t xml:space="preserve"> than AusNet Services' revised</w:t>
      </w:r>
      <w:r>
        <w:t xml:space="preserve"> proposal</w:t>
      </w:r>
      <w:r w:rsidRPr="00A024A7">
        <w:t xml:space="preserve">. Our </w:t>
      </w:r>
      <w:r>
        <w:t>final</w:t>
      </w:r>
      <w:r w:rsidRPr="00A024A7">
        <w:t xml:space="preserve"> decision on the forecast closing RAB reflects the amended opening RAB as at 1 April 2017, and our </w:t>
      </w:r>
      <w:r>
        <w:t>final</w:t>
      </w:r>
      <w:r w:rsidRPr="00A024A7">
        <w:t xml:space="preserve"> decisions on the expected inflation rate (attachment 3), forecast capex (attachment 6) and forecast depreciation (attachment 5).</w:t>
      </w:r>
      <w:r w:rsidR="00FB7590">
        <w:t xml:space="preserve"> </w:t>
      </w:r>
      <w:r w:rsidR="005572D8">
        <w:t>The main driver of this increase is our final decision on the expected inflation rate</w:t>
      </w:r>
      <w:r w:rsidR="00353121">
        <w:t xml:space="preserve">. The higher expected inflation rate </w:t>
      </w:r>
      <w:r w:rsidR="00353121" w:rsidRPr="00353121">
        <w:t>increase</w:t>
      </w:r>
      <w:r w:rsidR="00353121">
        <w:t>s</w:t>
      </w:r>
      <w:r w:rsidR="00353121" w:rsidRPr="00353121">
        <w:t xml:space="preserve"> the indexation of the RAB component for the 2017–22 regulatory control </w:t>
      </w:r>
      <w:proofErr w:type="gramStart"/>
      <w:r w:rsidR="00353121" w:rsidRPr="00353121">
        <w:t>period</w:t>
      </w:r>
      <w:proofErr w:type="gramEnd"/>
      <w:r w:rsidR="00353121" w:rsidRPr="00353121">
        <w:t xml:space="preserve"> by $126.6 million</w:t>
      </w:r>
      <w:r w:rsidR="00353121">
        <w:t>.</w:t>
      </w:r>
      <w:r w:rsidR="00353121">
        <w:rPr>
          <w:rStyle w:val="FootnoteReference"/>
        </w:rPr>
        <w:footnoteReference w:id="12"/>
      </w:r>
      <w:r w:rsidR="00353121">
        <w:t xml:space="preserve"> This more than offsets our final decision reduction to forecast capex.</w:t>
      </w:r>
      <w:r w:rsidR="00FB7590">
        <w:t xml:space="preserve"> The net impact is a higher RAB at 31 March 2022 than </w:t>
      </w:r>
      <w:r w:rsidR="00FB7590" w:rsidRPr="00FB7590">
        <w:t>that proposed</w:t>
      </w:r>
      <w:r w:rsidR="00FB7590">
        <w:t xml:space="preserve"> by AusNet Services</w:t>
      </w:r>
      <w:r w:rsidR="00FB7590" w:rsidRPr="00FB7590">
        <w:t>.</w:t>
      </w:r>
    </w:p>
    <w:p w:rsidR="00A024A7" w:rsidRPr="00A024A7" w:rsidRDefault="00A024A7" w:rsidP="009C25B3">
      <w:r>
        <w:fldChar w:fldCharType="begin"/>
      </w:r>
      <w:r>
        <w:instrText xml:space="preserve"> REF _Ref477256092 \h  \* MERGEFORMAT </w:instrText>
      </w:r>
      <w:r>
        <w:fldChar w:fldCharType="separate"/>
      </w:r>
      <w:r w:rsidR="00867A0E">
        <w:t xml:space="preserve">Table </w:t>
      </w:r>
      <w:r w:rsidR="00867A0E">
        <w:rPr>
          <w:noProof/>
        </w:rPr>
        <w:t>3.3</w:t>
      </w:r>
      <w:r>
        <w:fldChar w:fldCharType="end"/>
      </w:r>
      <w:r>
        <w:t xml:space="preserve"> </w:t>
      </w:r>
      <w:r w:rsidRPr="00A024A7">
        <w:t xml:space="preserve">sets out our forecast RAB for AusNet Services in 2017–22. </w:t>
      </w:r>
    </w:p>
    <w:p w:rsidR="00A024A7" w:rsidRPr="00A024A7" w:rsidRDefault="00A024A7" w:rsidP="00333CDA">
      <w:pPr>
        <w:pStyle w:val="Caption"/>
      </w:pPr>
      <w:bookmarkStart w:id="53" w:name="_Ref477256092"/>
      <w:proofErr w:type="gramStart"/>
      <w:r>
        <w:lastRenderedPageBreak/>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3</w:t>
      </w:r>
      <w:r w:rsidR="00CD319A">
        <w:fldChar w:fldCharType="end"/>
      </w:r>
      <w:bookmarkEnd w:id="53"/>
      <w:r>
        <w:tab/>
      </w:r>
      <w:r w:rsidRPr="00A024A7">
        <w:t xml:space="preserve">AER's </w:t>
      </w:r>
      <w:r>
        <w:t>final</w:t>
      </w:r>
      <w:r w:rsidRPr="00A024A7">
        <w:t xml:space="preserve"> decision on AusNet Services' RAB for the 2017–22 regulatory control period ($million, nominal)</w:t>
      </w:r>
    </w:p>
    <w:tbl>
      <w:tblPr>
        <w:tblStyle w:val="AERtable-numbers"/>
        <w:tblW w:w="8755" w:type="dxa"/>
        <w:tblLayout w:type="fixed"/>
        <w:tblLook w:val="04A0" w:firstRow="1" w:lastRow="0" w:firstColumn="1" w:lastColumn="0" w:noHBand="0" w:noVBand="1"/>
      </w:tblPr>
      <w:tblGrid>
        <w:gridCol w:w="3134"/>
        <w:gridCol w:w="1124"/>
        <w:gridCol w:w="1124"/>
        <w:gridCol w:w="1124"/>
        <w:gridCol w:w="1124"/>
        <w:gridCol w:w="1125"/>
      </w:tblGrid>
      <w:tr w:rsidR="00A024A7" w:rsidRPr="00BC6954" w:rsidTr="00957C1D">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A024A7" w:rsidRPr="00A024A7" w:rsidRDefault="00A024A7" w:rsidP="00333CDA">
            <w:pPr>
              <w:keepNext/>
            </w:pPr>
            <w:r w:rsidRPr="00A024A7">
              <w:t> </w:t>
            </w:r>
          </w:p>
        </w:tc>
        <w:tc>
          <w:tcPr>
            <w:tcW w:w="1124" w:type="dxa"/>
            <w:noWrap/>
            <w:hideMark/>
          </w:tcPr>
          <w:p w:rsidR="00A024A7" w:rsidRPr="00A024A7" w:rsidRDefault="00A024A7" w:rsidP="00333CDA">
            <w:pPr>
              <w:keepNext/>
              <w:cnfStyle w:val="100000000000" w:firstRow="1" w:lastRow="0" w:firstColumn="0" w:lastColumn="0" w:oddVBand="0" w:evenVBand="0" w:oddHBand="0" w:evenHBand="0" w:firstRowFirstColumn="0" w:firstRowLastColumn="0" w:lastRowFirstColumn="0" w:lastRowLastColumn="0"/>
            </w:pPr>
            <w:r w:rsidRPr="00A024A7">
              <w:t>2017–18</w:t>
            </w:r>
          </w:p>
        </w:tc>
        <w:tc>
          <w:tcPr>
            <w:tcW w:w="1124" w:type="dxa"/>
            <w:noWrap/>
            <w:hideMark/>
          </w:tcPr>
          <w:p w:rsidR="00A024A7" w:rsidRPr="00A024A7" w:rsidRDefault="00A024A7" w:rsidP="00333CDA">
            <w:pPr>
              <w:keepNext/>
              <w:cnfStyle w:val="100000000000" w:firstRow="1" w:lastRow="0" w:firstColumn="0" w:lastColumn="0" w:oddVBand="0" w:evenVBand="0" w:oddHBand="0" w:evenHBand="0" w:firstRowFirstColumn="0" w:firstRowLastColumn="0" w:lastRowFirstColumn="0" w:lastRowLastColumn="0"/>
            </w:pPr>
            <w:r w:rsidRPr="00A024A7">
              <w:t>2018–19</w:t>
            </w:r>
          </w:p>
        </w:tc>
        <w:tc>
          <w:tcPr>
            <w:tcW w:w="1124" w:type="dxa"/>
            <w:noWrap/>
            <w:hideMark/>
          </w:tcPr>
          <w:p w:rsidR="00A024A7" w:rsidRPr="00A024A7" w:rsidRDefault="00A024A7" w:rsidP="00333CDA">
            <w:pPr>
              <w:keepNext/>
              <w:cnfStyle w:val="100000000000" w:firstRow="1" w:lastRow="0" w:firstColumn="0" w:lastColumn="0" w:oddVBand="0" w:evenVBand="0" w:oddHBand="0" w:evenHBand="0" w:firstRowFirstColumn="0" w:firstRowLastColumn="0" w:lastRowFirstColumn="0" w:lastRowLastColumn="0"/>
            </w:pPr>
            <w:r w:rsidRPr="00A024A7">
              <w:t>2019–20</w:t>
            </w:r>
          </w:p>
        </w:tc>
        <w:tc>
          <w:tcPr>
            <w:tcW w:w="1124" w:type="dxa"/>
            <w:noWrap/>
            <w:hideMark/>
          </w:tcPr>
          <w:p w:rsidR="00A024A7" w:rsidRPr="00A024A7" w:rsidRDefault="00A024A7" w:rsidP="00333CDA">
            <w:pPr>
              <w:keepNext/>
              <w:cnfStyle w:val="100000000000" w:firstRow="1" w:lastRow="0" w:firstColumn="0" w:lastColumn="0" w:oddVBand="0" w:evenVBand="0" w:oddHBand="0" w:evenHBand="0" w:firstRowFirstColumn="0" w:firstRowLastColumn="0" w:lastRowFirstColumn="0" w:lastRowLastColumn="0"/>
            </w:pPr>
            <w:r w:rsidRPr="00A024A7">
              <w:t>2020–21</w:t>
            </w:r>
          </w:p>
        </w:tc>
        <w:tc>
          <w:tcPr>
            <w:tcW w:w="1125" w:type="dxa"/>
            <w:noWrap/>
            <w:hideMark/>
          </w:tcPr>
          <w:p w:rsidR="00A024A7" w:rsidRPr="00A024A7" w:rsidRDefault="00A024A7" w:rsidP="00333CDA">
            <w:pPr>
              <w:keepNext/>
              <w:cnfStyle w:val="100000000000" w:firstRow="1" w:lastRow="0" w:firstColumn="0" w:lastColumn="0" w:oddVBand="0" w:evenVBand="0" w:oddHBand="0" w:evenHBand="0" w:firstRowFirstColumn="0" w:firstRowLastColumn="0" w:lastRowFirstColumn="0" w:lastRowLastColumn="0"/>
            </w:pPr>
            <w:r w:rsidRPr="00A024A7">
              <w:t>2021–22</w:t>
            </w:r>
          </w:p>
        </w:tc>
      </w:tr>
      <w:tr w:rsidR="00C33E76" w:rsidRPr="00BC6954" w:rsidTr="009C25B3">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C33E76" w:rsidRPr="00C33E76" w:rsidRDefault="00C33E76" w:rsidP="00333CDA">
            <w:pPr>
              <w:keepNext/>
            </w:pPr>
            <w:r w:rsidRPr="00C33E76">
              <w:t>Opening RAB</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3170.3</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3261.2</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3330.</w:t>
            </w:r>
            <w:r w:rsidR="005572D8">
              <w:t>0</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3383.</w:t>
            </w:r>
            <w:r w:rsidR="005572D8">
              <w:t>9</w:t>
            </w:r>
          </w:p>
        </w:tc>
        <w:tc>
          <w:tcPr>
            <w:tcW w:w="1125"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3414.</w:t>
            </w:r>
            <w:r w:rsidR="005572D8">
              <w:t>4</w:t>
            </w:r>
          </w:p>
        </w:tc>
      </w:tr>
      <w:tr w:rsidR="00C33E76" w:rsidRPr="00BC6954" w:rsidTr="009C25B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C33E76" w:rsidRPr="00C33E76" w:rsidRDefault="00C33E76" w:rsidP="00333CDA">
            <w:pPr>
              <w:keepNext/>
            </w:pPr>
            <w:r w:rsidRPr="00C33E76">
              <w:t xml:space="preserve">Capital </w:t>
            </w:r>
            <w:proofErr w:type="spellStart"/>
            <w:r w:rsidRPr="00C33E76">
              <w:t>expenditure</w:t>
            </w:r>
            <w:r w:rsidRPr="00C33E76">
              <w:rPr>
                <w:rStyle w:val="AERsuperscript"/>
              </w:rPr>
              <w:t>a</w:t>
            </w:r>
            <w:proofErr w:type="spellEnd"/>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187.6</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167.8</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159.7</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141.7</w:t>
            </w:r>
          </w:p>
        </w:tc>
        <w:tc>
          <w:tcPr>
            <w:tcW w:w="1125"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122.8</w:t>
            </w:r>
          </w:p>
        </w:tc>
      </w:tr>
      <w:tr w:rsidR="00C33E76" w:rsidRPr="00BC6954" w:rsidTr="009C25B3">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C33E76" w:rsidRPr="00C33E76" w:rsidRDefault="00C33E76" w:rsidP="00333CDA">
            <w:pPr>
              <w:keepNext/>
            </w:pPr>
            <w:r w:rsidRPr="00C33E76">
              <w:t>Inflation indexation on opening RAB</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76.1</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78.3</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79.9</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81.2</w:t>
            </w:r>
          </w:p>
        </w:tc>
        <w:tc>
          <w:tcPr>
            <w:tcW w:w="1125"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pPr>
            <w:r w:rsidRPr="00C33E76">
              <w:t>81.9</w:t>
            </w:r>
          </w:p>
        </w:tc>
      </w:tr>
      <w:tr w:rsidR="00C33E76" w:rsidRPr="00BC6954" w:rsidTr="009C25B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C33E76" w:rsidRPr="00C33E76" w:rsidRDefault="00C33E76" w:rsidP="00333CDA">
            <w:pPr>
              <w:keepNext/>
            </w:pPr>
            <w:r w:rsidRPr="00C33E76">
              <w:rPr>
                <w:rStyle w:val="AERtextitalic"/>
              </w:rPr>
              <w:t>Less:</w:t>
            </w:r>
            <w:r w:rsidRPr="00C33E76">
              <w:t xml:space="preserve"> straight-line </w:t>
            </w:r>
            <w:proofErr w:type="spellStart"/>
            <w:r w:rsidRPr="00C33E76">
              <w:t>depreciation</w:t>
            </w:r>
            <w:r w:rsidRPr="00C33E76">
              <w:rPr>
                <w:rStyle w:val="AERsuperscript"/>
              </w:rPr>
              <w:t>b</w:t>
            </w:r>
            <w:proofErr w:type="spellEnd"/>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172.</w:t>
            </w:r>
            <w:r w:rsidR="005572D8">
              <w:t>8</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177.</w:t>
            </w:r>
            <w:r w:rsidR="005572D8">
              <w:t>2</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186.</w:t>
            </w:r>
            <w:r w:rsidR="005572D8">
              <w:t>6</w:t>
            </w:r>
          </w:p>
        </w:tc>
        <w:tc>
          <w:tcPr>
            <w:tcW w:w="1124"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191.</w:t>
            </w:r>
            <w:r w:rsidR="005572D8">
              <w:t>4</w:t>
            </w:r>
          </w:p>
        </w:tc>
        <w:tc>
          <w:tcPr>
            <w:tcW w:w="1125" w:type="dxa"/>
            <w:noWrap/>
            <w:vAlign w:val="bottom"/>
          </w:tcPr>
          <w:p w:rsidR="00C33E76" w:rsidRPr="00C33E76" w:rsidRDefault="00C33E76" w:rsidP="00333CDA">
            <w:pPr>
              <w:keepNext/>
              <w:cnfStyle w:val="000000010000" w:firstRow="0" w:lastRow="0" w:firstColumn="0" w:lastColumn="0" w:oddVBand="0" w:evenVBand="0" w:oddHBand="0" w:evenHBand="1" w:firstRowFirstColumn="0" w:firstRowLastColumn="0" w:lastRowFirstColumn="0" w:lastRowLastColumn="0"/>
            </w:pPr>
            <w:r w:rsidRPr="00C33E76">
              <w:t>175.</w:t>
            </w:r>
            <w:r w:rsidR="005572D8">
              <w:t>2</w:t>
            </w:r>
          </w:p>
        </w:tc>
      </w:tr>
      <w:tr w:rsidR="00C33E76" w:rsidRPr="009C25B3" w:rsidTr="009C25B3">
        <w:trPr>
          <w:trHeight w:val="273"/>
        </w:trPr>
        <w:tc>
          <w:tcPr>
            <w:cnfStyle w:val="001000000000" w:firstRow="0" w:lastRow="0" w:firstColumn="1" w:lastColumn="0" w:oddVBand="0" w:evenVBand="0" w:oddHBand="0" w:evenHBand="0" w:firstRowFirstColumn="0" w:firstRowLastColumn="0" w:lastRowFirstColumn="0" w:lastRowLastColumn="0"/>
            <w:tcW w:w="3134" w:type="dxa"/>
            <w:noWrap/>
            <w:hideMark/>
          </w:tcPr>
          <w:p w:rsidR="00C33E76" w:rsidRPr="00C33E76" w:rsidRDefault="00C33E76" w:rsidP="00333CDA">
            <w:pPr>
              <w:keepNext/>
              <w:rPr>
                <w:rStyle w:val="Strong"/>
              </w:rPr>
            </w:pPr>
            <w:r w:rsidRPr="00C33E76">
              <w:rPr>
                <w:rStyle w:val="Strong"/>
              </w:rPr>
              <w:t>Closing RAB</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rPr>
                <w:rStyle w:val="Strong"/>
              </w:rPr>
            </w:pPr>
            <w:r w:rsidRPr="00C33E76">
              <w:rPr>
                <w:rStyle w:val="Strong"/>
              </w:rPr>
              <w:t>3261.2</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rPr>
                <w:rStyle w:val="Strong"/>
              </w:rPr>
            </w:pPr>
            <w:r w:rsidRPr="00C33E76">
              <w:rPr>
                <w:rStyle w:val="Strong"/>
              </w:rPr>
              <w:t>3330.</w:t>
            </w:r>
            <w:r w:rsidR="005572D8">
              <w:rPr>
                <w:rStyle w:val="Strong"/>
              </w:rPr>
              <w:t>0</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rPr>
                <w:rStyle w:val="Strong"/>
              </w:rPr>
            </w:pPr>
            <w:r w:rsidRPr="00C33E76">
              <w:rPr>
                <w:rStyle w:val="Strong"/>
              </w:rPr>
              <w:t>3382</w:t>
            </w:r>
            <w:r w:rsidR="005572D8">
              <w:rPr>
                <w:rStyle w:val="Strong"/>
              </w:rPr>
              <w:t>.9</w:t>
            </w:r>
          </w:p>
        </w:tc>
        <w:tc>
          <w:tcPr>
            <w:tcW w:w="1124"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rPr>
                <w:rStyle w:val="Strong"/>
              </w:rPr>
            </w:pPr>
            <w:r w:rsidRPr="00C33E76">
              <w:rPr>
                <w:rStyle w:val="Strong"/>
              </w:rPr>
              <w:t>3414.</w:t>
            </w:r>
            <w:r w:rsidR="005572D8">
              <w:rPr>
                <w:rStyle w:val="Strong"/>
              </w:rPr>
              <w:t>5</w:t>
            </w:r>
          </w:p>
        </w:tc>
        <w:tc>
          <w:tcPr>
            <w:tcW w:w="1125" w:type="dxa"/>
            <w:noWrap/>
            <w:vAlign w:val="bottom"/>
          </w:tcPr>
          <w:p w:rsidR="00C33E76" w:rsidRPr="00C33E76" w:rsidRDefault="00C33E76" w:rsidP="00333CDA">
            <w:pPr>
              <w:keepNext/>
              <w:cnfStyle w:val="000000000000" w:firstRow="0" w:lastRow="0" w:firstColumn="0" w:lastColumn="0" w:oddVBand="0" w:evenVBand="0" w:oddHBand="0" w:evenHBand="0" w:firstRowFirstColumn="0" w:firstRowLastColumn="0" w:lastRowFirstColumn="0" w:lastRowLastColumn="0"/>
              <w:rPr>
                <w:rStyle w:val="Strong"/>
              </w:rPr>
            </w:pPr>
            <w:r w:rsidRPr="00C33E76">
              <w:rPr>
                <w:rStyle w:val="Strong"/>
              </w:rPr>
              <w:t>344</w:t>
            </w:r>
            <w:r w:rsidR="005572D8">
              <w:rPr>
                <w:rStyle w:val="Strong"/>
              </w:rPr>
              <w:t>3.9</w:t>
            </w:r>
          </w:p>
        </w:tc>
      </w:tr>
    </w:tbl>
    <w:p w:rsidR="00A024A7" w:rsidRPr="00A024A7" w:rsidRDefault="00A024A7" w:rsidP="00333CDA">
      <w:pPr>
        <w:pStyle w:val="AERtablesource"/>
        <w:keepNext/>
      </w:pPr>
      <w:r w:rsidRPr="00A024A7">
        <w:t xml:space="preserve">Source: </w:t>
      </w:r>
      <w:r w:rsidRPr="00A024A7">
        <w:tab/>
        <w:t>AER analysis.</w:t>
      </w:r>
    </w:p>
    <w:p w:rsidR="00A024A7" w:rsidRPr="00A024A7" w:rsidRDefault="00A024A7" w:rsidP="00333CDA">
      <w:pPr>
        <w:pStyle w:val="AERtablesource"/>
        <w:keepNext/>
      </w:pPr>
      <w:r w:rsidRPr="00A024A7">
        <w:t xml:space="preserve">(a) </w:t>
      </w:r>
      <w:r w:rsidRPr="00A024A7">
        <w:tab/>
        <w:t xml:space="preserve">As incurred and net of disposals. </w:t>
      </w:r>
      <w:proofErr w:type="gramStart"/>
      <w:r w:rsidRPr="00A024A7">
        <w:t>Inclusive of equity raising costs and the half-WACC to account for the timing assumptions in the PTRM.</w:t>
      </w:r>
      <w:proofErr w:type="gramEnd"/>
    </w:p>
    <w:p w:rsidR="00A024A7" w:rsidRPr="00A024A7" w:rsidRDefault="00A024A7" w:rsidP="00333CDA">
      <w:pPr>
        <w:pStyle w:val="AERtablesource"/>
        <w:keepNext/>
      </w:pPr>
      <w:r w:rsidRPr="00A024A7">
        <w:t xml:space="preserve">(b) </w:t>
      </w:r>
      <w:r w:rsidRPr="00A024A7">
        <w:tab/>
        <w:t>Based on as-commissioned capex.</w:t>
      </w:r>
    </w:p>
    <w:p w:rsidR="00A024A7" w:rsidRPr="00A024A7" w:rsidRDefault="00A024A7" w:rsidP="00A024A7">
      <w:r w:rsidRPr="00A024A7">
        <w:t>We accept AusNet Services’ proposal that the forecast depreciation approach (instead of an actual depreciation approach)</w:t>
      </w:r>
      <w:r w:rsidR="005572D8">
        <w:t xml:space="preserve"> updated for actual inflation</w:t>
      </w:r>
      <w:r w:rsidRPr="00A024A7">
        <w:t xml:space="preserve"> is to be used to establish the opening RAB at the commencement of the 2022–27 regulatory control period.</w:t>
      </w:r>
      <w:r w:rsidRPr="00A024A7">
        <w:rPr>
          <w:rStyle w:val="FootnoteReference"/>
        </w:rPr>
        <w:footnoteReference w:id="13"/>
      </w:r>
      <w:r w:rsidRPr="00A024A7">
        <w:rPr>
          <w:rStyle w:val="FootnoteReference"/>
        </w:rPr>
        <w:t xml:space="preserve"> </w:t>
      </w:r>
      <w:r w:rsidRPr="00A024A7">
        <w:t xml:space="preserve"> We consider this approach will provide sufficient incentives for AusNet Services to achieve capex efficiency improvements over the 2017–22 regulatory control </w:t>
      </w:r>
      <w:proofErr w:type="gramStart"/>
      <w:r w:rsidRPr="00A024A7">
        <w:t>period</w:t>
      </w:r>
      <w:proofErr w:type="gramEnd"/>
      <w:r w:rsidRPr="00A024A7">
        <w:t xml:space="preserve">. AusNet Services is not currently subject to a capital expenditure sharing scheme (CESS). As explained in section 4.2 and attachment 10, we will apply the CESS to AusNet Services for the 2017–22 regulatory control </w:t>
      </w:r>
      <w:proofErr w:type="gramStart"/>
      <w:r w:rsidRPr="00A024A7">
        <w:t>period</w:t>
      </w:r>
      <w:proofErr w:type="gramEnd"/>
      <w:r w:rsidRPr="00A024A7">
        <w:t xml:space="preserve">. </w:t>
      </w:r>
    </w:p>
    <w:p w:rsidR="00A024A7" w:rsidRDefault="00A024A7" w:rsidP="00A024A7">
      <w:r>
        <w:fldChar w:fldCharType="begin"/>
      </w:r>
      <w:r>
        <w:instrText xml:space="preserve"> REF _Ref477256337 \h </w:instrText>
      </w:r>
      <w:r>
        <w:fldChar w:fldCharType="separate"/>
      </w:r>
      <w:r w:rsidR="00867A0E">
        <w:t xml:space="preserve">Figure </w:t>
      </w:r>
      <w:r w:rsidR="00867A0E">
        <w:rPr>
          <w:noProof/>
        </w:rPr>
        <w:t>3</w:t>
      </w:r>
      <w:r w:rsidR="00867A0E">
        <w:t>.</w:t>
      </w:r>
      <w:r w:rsidR="00867A0E">
        <w:rPr>
          <w:noProof/>
        </w:rPr>
        <w:t>2</w:t>
      </w:r>
      <w:r>
        <w:fldChar w:fldCharType="end"/>
      </w:r>
      <w:r>
        <w:t xml:space="preserve"> </w:t>
      </w:r>
      <w:r w:rsidRPr="00A024A7">
        <w:t xml:space="preserve">compares our </w:t>
      </w:r>
      <w:r>
        <w:t xml:space="preserve">final </w:t>
      </w:r>
      <w:r w:rsidRPr="00A024A7">
        <w:t>decision on AusNet Services' forecast RAB to AusNet Services' proposal and actual RAB in real dollar terms. The forecast RAB does not include any Group 3 assets (augmentation capex), which may be commissioned during the 2017–22 regulatory control period. These assets would be added to the RAB at the next reset.</w:t>
      </w:r>
    </w:p>
    <w:p w:rsidR="00A024A7" w:rsidRDefault="00A024A7" w:rsidP="009C25B3">
      <w:pPr>
        <w:pStyle w:val="Caption"/>
      </w:pPr>
      <w:bookmarkStart w:id="54" w:name="_Ref477256337"/>
      <w:proofErr w:type="gramStart"/>
      <w:r>
        <w:lastRenderedPageBreak/>
        <w:t xml:space="preserve">Figure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8C2870">
        <w:t>.</w:t>
      </w:r>
      <w:proofErr w:type="gramEnd"/>
      <w:r w:rsidR="008C2870">
        <w:fldChar w:fldCharType="begin"/>
      </w:r>
      <w:r w:rsidR="008C2870">
        <w:instrText xml:space="preserve"> SEQ Figure \* ARABIC \s 1 </w:instrText>
      </w:r>
      <w:r w:rsidR="008C2870">
        <w:fldChar w:fldCharType="separate"/>
      </w:r>
      <w:r w:rsidR="00867A0E">
        <w:rPr>
          <w:noProof/>
        </w:rPr>
        <w:t>2</w:t>
      </w:r>
      <w:r w:rsidR="008C2870">
        <w:fldChar w:fldCharType="end"/>
      </w:r>
      <w:bookmarkEnd w:id="54"/>
      <w:r>
        <w:tab/>
      </w:r>
      <w:r w:rsidRPr="00A024A7">
        <w:t xml:space="preserve">AusNet Services' actual RAB, proposed forecast RAB and AER </w:t>
      </w:r>
      <w:r>
        <w:t>final</w:t>
      </w:r>
      <w:r w:rsidRPr="00A024A7">
        <w:t xml:space="preserve"> decision forecast RAB ($ million, 2016–17)</w:t>
      </w:r>
    </w:p>
    <w:p w:rsidR="00A024A7" w:rsidRDefault="00EA6F2F">
      <w:r w:rsidRPr="00EA6F2F">
        <w:rPr>
          <w:noProof/>
          <w:lang w:eastAsia="en-AU"/>
        </w:rPr>
        <w:drawing>
          <wp:inline distT="0" distB="0" distL="0" distR="0" wp14:anchorId="76CFB1B0" wp14:editId="18E0A7D3">
            <wp:extent cx="5382895" cy="3054224"/>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054224"/>
                    </a:xfrm>
                    <a:prstGeom prst="rect">
                      <a:avLst/>
                    </a:prstGeom>
                    <a:noFill/>
                    <a:ln>
                      <a:noFill/>
                    </a:ln>
                  </pic:spPr>
                </pic:pic>
              </a:graphicData>
            </a:graphic>
          </wp:inline>
        </w:drawing>
      </w:r>
    </w:p>
    <w:p w:rsidR="00A024A7" w:rsidRPr="009C25B3" w:rsidRDefault="00A024A7" w:rsidP="00F41B1C">
      <w:pPr>
        <w:pStyle w:val="AERtablesource"/>
      </w:pPr>
      <w:r>
        <w:t>Source:</w:t>
      </w:r>
      <w:r>
        <w:tab/>
        <w:t>AER analysis.</w:t>
      </w:r>
    </w:p>
    <w:p w:rsidR="00DF009B" w:rsidRDefault="00DF009B" w:rsidP="00DF009B">
      <w:pPr>
        <w:rPr>
          <w:rStyle w:val="AERbody"/>
        </w:rPr>
      </w:pPr>
      <w:r>
        <w:t xml:space="preserve">Further detail on our </w:t>
      </w:r>
      <w:r w:rsidR="00C65992">
        <w:t>final</w:t>
      </w:r>
      <w:r>
        <w:t xml:space="preserve"> decision in regards to AusNet Services' RAB is set out in attachment 2. </w:t>
      </w:r>
    </w:p>
    <w:p w:rsidR="00DF009B" w:rsidRPr="007E0AB9" w:rsidRDefault="00DF009B" w:rsidP="00DF009B">
      <w:pPr>
        <w:pStyle w:val="Heading2"/>
      </w:pPr>
      <w:bookmarkStart w:id="55" w:name="_Ref451759101"/>
      <w:bookmarkStart w:id="56" w:name="_Toc456687648"/>
      <w:bookmarkStart w:id="57" w:name="_Toc480988356"/>
      <w:r>
        <w:t>Rate of return (return on capital)</w:t>
      </w:r>
      <w:bookmarkEnd w:id="55"/>
      <w:bookmarkEnd w:id="56"/>
      <w:bookmarkEnd w:id="57"/>
    </w:p>
    <w:p w:rsidR="006C4C21" w:rsidRPr="006C4C21" w:rsidRDefault="006C4C21" w:rsidP="006C4C21">
      <w:r w:rsidRPr="006C4C21">
        <w:t xml:space="preserve">The return on capital is the key difference between our final decision for the 2017–22 regulatory control </w:t>
      </w:r>
      <w:proofErr w:type="gramStart"/>
      <w:r w:rsidRPr="006C4C21">
        <w:t>period</w:t>
      </w:r>
      <w:proofErr w:type="gramEnd"/>
      <w:r w:rsidRPr="006C4C21">
        <w:t xml:space="preserve"> and AusNet Services' allowed revenue for the 2014–17 regulatory control period. Both the estimated return on equity and estimated return on debt fell across the periods.</w:t>
      </w:r>
    </w:p>
    <w:p w:rsidR="006C4C21" w:rsidRPr="006C4C21" w:rsidRDefault="006C4C21" w:rsidP="006C4C21">
      <w:r w:rsidRPr="006C4C21">
        <w:t xml:space="preserve">The estimated return on equity fell from 9.5 per cent in the 2014–17 regulatory control </w:t>
      </w:r>
      <w:proofErr w:type="gramStart"/>
      <w:r w:rsidRPr="006C4C21">
        <w:t>period</w:t>
      </w:r>
      <w:proofErr w:type="gramEnd"/>
      <w:r w:rsidRPr="006C4C21">
        <w:t xml:space="preserve"> to 7.1 per cent in the 2017–22 regulatory control period. The estimated return on debt fell from 6.79 </w:t>
      </w:r>
      <w:r w:rsidR="00EC4AF4">
        <w:t xml:space="preserve">per cent </w:t>
      </w:r>
      <w:r w:rsidRPr="006C4C21">
        <w:t xml:space="preserve">in the 2014–17 regulatory control </w:t>
      </w:r>
      <w:proofErr w:type="gramStart"/>
      <w:r w:rsidRPr="006C4C21">
        <w:t>period</w:t>
      </w:r>
      <w:proofErr w:type="gramEnd"/>
      <w:r w:rsidRPr="006C4C21">
        <w:t xml:space="preserve"> to 4.94 per cent in the 2017–22 regulatory control period. </w:t>
      </w:r>
    </w:p>
    <w:p w:rsidR="006C4C21" w:rsidRPr="006C4C21" w:rsidRDefault="006C4C21" w:rsidP="00333CDA">
      <w:pPr>
        <w:pStyle w:val="Caption"/>
        <w:numPr>
          <w:ilvl w:val="0"/>
          <w:numId w:val="25"/>
        </w:numPr>
      </w:pPr>
      <w:r w:rsidRPr="006C4C21">
        <w:lastRenderedPageBreak/>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Pr="006C4C21">
        <w:noBreakHyphen/>
      </w:r>
      <w:r w:rsidR="00504B86">
        <w:fldChar w:fldCharType="begin"/>
      </w:r>
      <w:r w:rsidR="00504B86">
        <w:instrText xml:space="preserve"> SEQ Table \* ARABIC \s 1 </w:instrText>
      </w:r>
      <w:r w:rsidR="00504B86">
        <w:fldChar w:fldCharType="separate"/>
      </w:r>
      <w:r w:rsidR="00867A0E">
        <w:rPr>
          <w:noProof/>
        </w:rPr>
        <w:t>4</w:t>
      </w:r>
      <w:r w:rsidR="00504B86">
        <w:rPr>
          <w:noProof/>
        </w:rPr>
        <w:fldChar w:fldCharType="end"/>
      </w:r>
      <w:r w:rsidRPr="006C4C21">
        <w:tab/>
        <w:t>Final decision on AusNet Services' rate of return (% nominal)</w:t>
      </w:r>
    </w:p>
    <w:tbl>
      <w:tblPr>
        <w:tblStyle w:val="AERtable-text0"/>
        <w:tblW w:w="5000" w:type="pct"/>
        <w:tblLook w:val="04A0" w:firstRow="1" w:lastRow="0" w:firstColumn="1" w:lastColumn="0" w:noHBand="0" w:noVBand="1"/>
      </w:tblPr>
      <w:tblGrid>
        <w:gridCol w:w="1953"/>
        <w:gridCol w:w="1686"/>
        <w:gridCol w:w="1855"/>
        <w:gridCol w:w="1280"/>
        <w:gridCol w:w="1919"/>
      </w:tblGrid>
      <w:tr w:rsidR="006C4C21" w:rsidRPr="0036067E" w:rsidTr="004A7EE1">
        <w:trPr>
          <w:cnfStyle w:val="100000000000" w:firstRow="1" w:lastRow="0" w:firstColumn="0" w:lastColumn="0" w:oddVBand="0" w:evenVBand="0" w:oddHBand="0" w:evenHBand="0" w:firstRowFirstColumn="0" w:firstRowLastColumn="0" w:lastRowFirstColumn="0" w:lastRowLastColumn="0"/>
        </w:trPr>
        <w:tc>
          <w:tcPr>
            <w:tcW w:w="1123" w:type="pct"/>
          </w:tcPr>
          <w:p w:rsidR="006C4C21" w:rsidRPr="006C4C21" w:rsidRDefault="006C4C21" w:rsidP="00333CDA">
            <w:pPr>
              <w:keepNext/>
            </w:pPr>
          </w:p>
        </w:tc>
        <w:tc>
          <w:tcPr>
            <w:tcW w:w="970" w:type="pct"/>
          </w:tcPr>
          <w:p w:rsidR="006C4C21" w:rsidRPr="006C4C21" w:rsidRDefault="006C4C21" w:rsidP="00333CDA">
            <w:pPr>
              <w:keepNext/>
            </w:pPr>
            <w:r w:rsidRPr="006C4C21">
              <w:t>Previous allowed return (2014–17)</w:t>
            </w:r>
          </w:p>
        </w:tc>
        <w:tc>
          <w:tcPr>
            <w:tcW w:w="1067" w:type="pct"/>
          </w:tcPr>
          <w:p w:rsidR="006C4C21" w:rsidRPr="006C4C21" w:rsidRDefault="006C4C21" w:rsidP="00333CDA">
            <w:pPr>
              <w:keepNext/>
            </w:pPr>
            <w:r w:rsidRPr="006C4C21">
              <w:t>AER draft decision (2017–18)</w:t>
            </w:r>
          </w:p>
        </w:tc>
        <w:tc>
          <w:tcPr>
            <w:tcW w:w="736" w:type="pct"/>
          </w:tcPr>
          <w:p w:rsidR="006C4C21" w:rsidRPr="006C4C21" w:rsidRDefault="006C4C21" w:rsidP="00333CDA">
            <w:pPr>
              <w:keepNext/>
            </w:pPr>
            <w:r w:rsidRPr="006C4C21">
              <w:t>AER final decision (2017–18)</w:t>
            </w:r>
          </w:p>
        </w:tc>
        <w:tc>
          <w:tcPr>
            <w:tcW w:w="1104" w:type="pct"/>
          </w:tcPr>
          <w:p w:rsidR="006C4C21" w:rsidRPr="006C4C21" w:rsidRDefault="006C4C21" w:rsidP="00333CDA">
            <w:pPr>
              <w:keepNext/>
            </w:pPr>
            <w:r w:rsidRPr="006C4C21">
              <w:t>Allowed return over 2017–22 regulatory  control period</w:t>
            </w:r>
          </w:p>
        </w:tc>
      </w:tr>
      <w:tr w:rsidR="006C4C21" w:rsidRPr="00BD56F3" w:rsidTr="004A7EE1">
        <w:tc>
          <w:tcPr>
            <w:tcW w:w="1123" w:type="pct"/>
          </w:tcPr>
          <w:p w:rsidR="006C4C21" w:rsidRPr="006C4C21" w:rsidRDefault="006C4C21" w:rsidP="00333CDA">
            <w:pPr>
              <w:keepNext/>
            </w:pPr>
            <w:r w:rsidRPr="006C4C21">
              <w:t xml:space="preserve">Return on equity    (nominal post–tax) </w:t>
            </w:r>
          </w:p>
        </w:tc>
        <w:tc>
          <w:tcPr>
            <w:tcW w:w="970" w:type="pct"/>
          </w:tcPr>
          <w:p w:rsidR="006C4C21" w:rsidRPr="006C4C21" w:rsidRDefault="006C4C21" w:rsidP="00333CDA">
            <w:pPr>
              <w:keepNext/>
            </w:pPr>
            <w:r w:rsidRPr="006C4C21">
              <w:t>9.51</w:t>
            </w:r>
          </w:p>
        </w:tc>
        <w:tc>
          <w:tcPr>
            <w:tcW w:w="1067" w:type="pct"/>
          </w:tcPr>
          <w:p w:rsidR="006C4C21" w:rsidRPr="006C4C21" w:rsidRDefault="006C4C21" w:rsidP="00333CDA">
            <w:pPr>
              <w:keepNext/>
            </w:pPr>
            <w:r w:rsidRPr="006C4C21">
              <w:t>7.10</w:t>
            </w:r>
          </w:p>
        </w:tc>
        <w:tc>
          <w:tcPr>
            <w:tcW w:w="736" w:type="pct"/>
          </w:tcPr>
          <w:p w:rsidR="006C4C21" w:rsidRPr="006C4C21" w:rsidRDefault="006C4C21" w:rsidP="00333CDA">
            <w:pPr>
              <w:keepNext/>
            </w:pPr>
            <w:r w:rsidRPr="006C4C21">
              <w:t>7.1</w:t>
            </w:r>
          </w:p>
        </w:tc>
        <w:tc>
          <w:tcPr>
            <w:tcW w:w="1104" w:type="pct"/>
          </w:tcPr>
          <w:p w:rsidR="006C4C21" w:rsidRPr="006C4C21" w:rsidRDefault="006C4C21" w:rsidP="00333CDA">
            <w:pPr>
              <w:keepNext/>
            </w:pPr>
            <w:r w:rsidRPr="006C4C21">
              <w:t>Constant   (7.1%)</w:t>
            </w:r>
          </w:p>
        </w:tc>
      </w:tr>
      <w:tr w:rsidR="006C4C21" w:rsidRPr="00BD56F3" w:rsidTr="004A7EE1">
        <w:trPr>
          <w:cnfStyle w:val="000000010000" w:firstRow="0" w:lastRow="0" w:firstColumn="0" w:lastColumn="0" w:oddVBand="0" w:evenVBand="0" w:oddHBand="0" w:evenHBand="1" w:firstRowFirstColumn="0" w:firstRowLastColumn="0" w:lastRowFirstColumn="0" w:lastRowLastColumn="0"/>
        </w:trPr>
        <w:tc>
          <w:tcPr>
            <w:tcW w:w="1123" w:type="pct"/>
          </w:tcPr>
          <w:p w:rsidR="006C4C21" w:rsidRPr="006C4C21" w:rsidRDefault="006C4C21" w:rsidP="00333CDA">
            <w:pPr>
              <w:keepNext/>
            </w:pPr>
            <w:r w:rsidRPr="006C4C21">
              <w:t>Return on debt      (nominal pre–tax)</w:t>
            </w:r>
          </w:p>
        </w:tc>
        <w:tc>
          <w:tcPr>
            <w:tcW w:w="970" w:type="pct"/>
          </w:tcPr>
          <w:p w:rsidR="006C4C21" w:rsidRPr="006C4C21" w:rsidRDefault="006C4C21" w:rsidP="00333CDA">
            <w:pPr>
              <w:keepNext/>
            </w:pPr>
            <w:r w:rsidRPr="006C4C21">
              <w:t>6.79</w:t>
            </w:r>
          </w:p>
        </w:tc>
        <w:tc>
          <w:tcPr>
            <w:tcW w:w="1067" w:type="pct"/>
          </w:tcPr>
          <w:p w:rsidR="006C4C21" w:rsidRPr="006C4C21" w:rsidRDefault="006C4C21" w:rsidP="00333CDA">
            <w:pPr>
              <w:keepNext/>
            </w:pPr>
            <w:r w:rsidRPr="006C4C21">
              <w:t>5.54</w:t>
            </w:r>
          </w:p>
        </w:tc>
        <w:tc>
          <w:tcPr>
            <w:tcW w:w="736" w:type="pct"/>
          </w:tcPr>
          <w:p w:rsidR="006C4C21" w:rsidRPr="006C4C21" w:rsidRDefault="006C4C21" w:rsidP="00333CDA">
            <w:pPr>
              <w:keepNext/>
            </w:pPr>
            <w:r w:rsidRPr="006C4C21">
              <w:t>4.94</w:t>
            </w:r>
          </w:p>
        </w:tc>
        <w:tc>
          <w:tcPr>
            <w:tcW w:w="1104" w:type="pct"/>
          </w:tcPr>
          <w:p w:rsidR="006C4C21" w:rsidRPr="006C4C21" w:rsidRDefault="006C4C21" w:rsidP="00333CDA">
            <w:pPr>
              <w:keepNext/>
            </w:pPr>
            <w:r w:rsidRPr="006C4C21">
              <w:t>Updated annually</w:t>
            </w:r>
          </w:p>
        </w:tc>
      </w:tr>
      <w:tr w:rsidR="006C4C21" w:rsidRPr="00BD56F3" w:rsidTr="004A7EE1">
        <w:tc>
          <w:tcPr>
            <w:tcW w:w="1123" w:type="pct"/>
          </w:tcPr>
          <w:p w:rsidR="006C4C21" w:rsidRPr="006C4C21" w:rsidRDefault="006C4C21" w:rsidP="00333CDA">
            <w:pPr>
              <w:keepNext/>
            </w:pPr>
            <w:r w:rsidRPr="006C4C21">
              <w:t>Gearing</w:t>
            </w:r>
          </w:p>
        </w:tc>
        <w:tc>
          <w:tcPr>
            <w:tcW w:w="970" w:type="pct"/>
          </w:tcPr>
          <w:p w:rsidR="006C4C21" w:rsidRPr="006C4C21" w:rsidRDefault="006C4C21" w:rsidP="00333CDA">
            <w:pPr>
              <w:keepNext/>
            </w:pPr>
            <w:r w:rsidRPr="006C4C21">
              <w:t>60</w:t>
            </w:r>
          </w:p>
        </w:tc>
        <w:tc>
          <w:tcPr>
            <w:tcW w:w="1067" w:type="pct"/>
          </w:tcPr>
          <w:p w:rsidR="006C4C21" w:rsidRPr="006C4C21" w:rsidRDefault="006C4C21" w:rsidP="00333CDA">
            <w:pPr>
              <w:keepNext/>
            </w:pPr>
            <w:r w:rsidRPr="006C4C21">
              <w:t>60</w:t>
            </w:r>
          </w:p>
        </w:tc>
        <w:tc>
          <w:tcPr>
            <w:tcW w:w="736" w:type="pct"/>
          </w:tcPr>
          <w:p w:rsidR="006C4C21" w:rsidRPr="006C4C21" w:rsidRDefault="006C4C21" w:rsidP="00333CDA">
            <w:pPr>
              <w:keepNext/>
            </w:pPr>
            <w:r w:rsidRPr="006C4C21">
              <w:t>60</w:t>
            </w:r>
          </w:p>
        </w:tc>
        <w:tc>
          <w:tcPr>
            <w:tcW w:w="1104" w:type="pct"/>
          </w:tcPr>
          <w:p w:rsidR="006C4C21" w:rsidRPr="006C4C21" w:rsidRDefault="006C4C21" w:rsidP="00333CDA">
            <w:pPr>
              <w:keepNext/>
            </w:pPr>
            <w:r w:rsidRPr="006C4C21">
              <w:t>Constant   (60%)</w:t>
            </w:r>
          </w:p>
        </w:tc>
      </w:tr>
      <w:tr w:rsidR="006C4C21" w:rsidRPr="00BD56F3" w:rsidTr="004A7EE1">
        <w:trPr>
          <w:cnfStyle w:val="000000010000" w:firstRow="0" w:lastRow="0" w:firstColumn="0" w:lastColumn="0" w:oddVBand="0" w:evenVBand="0" w:oddHBand="0" w:evenHBand="1" w:firstRowFirstColumn="0" w:firstRowLastColumn="0" w:lastRowFirstColumn="0" w:lastRowLastColumn="0"/>
        </w:trPr>
        <w:tc>
          <w:tcPr>
            <w:tcW w:w="1123" w:type="pct"/>
          </w:tcPr>
          <w:p w:rsidR="006C4C21" w:rsidRPr="006C4C21" w:rsidRDefault="006C4C21" w:rsidP="00333CDA">
            <w:pPr>
              <w:keepNext/>
            </w:pPr>
            <w:r w:rsidRPr="006C4C21">
              <w:t>Nominal vanilla WACC</w:t>
            </w:r>
          </w:p>
        </w:tc>
        <w:tc>
          <w:tcPr>
            <w:tcW w:w="970" w:type="pct"/>
          </w:tcPr>
          <w:p w:rsidR="006C4C21" w:rsidRPr="006C4C21" w:rsidRDefault="006C4C21" w:rsidP="00333CDA">
            <w:pPr>
              <w:keepNext/>
            </w:pPr>
            <w:r w:rsidRPr="006C4C21">
              <w:t>7.87</w:t>
            </w:r>
          </w:p>
        </w:tc>
        <w:tc>
          <w:tcPr>
            <w:tcW w:w="1067" w:type="pct"/>
          </w:tcPr>
          <w:p w:rsidR="006C4C21" w:rsidRPr="006C4C21" w:rsidRDefault="006C4C21" w:rsidP="00333CDA">
            <w:pPr>
              <w:keepNext/>
            </w:pPr>
            <w:r w:rsidRPr="006C4C21">
              <w:t>6.16</w:t>
            </w:r>
          </w:p>
        </w:tc>
        <w:tc>
          <w:tcPr>
            <w:tcW w:w="736" w:type="pct"/>
          </w:tcPr>
          <w:p w:rsidR="006C4C21" w:rsidRPr="006C4C21" w:rsidRDefault="006C4C21" w:rsidP="00333CDA">
            <w:pPr>
              <w:keepNext/>
            </w:pPr>
            <w:r w:rsidRPr="006C4C21">
              <w:t>5.80</w:t>
            </w:r>
          </w:p>
        </w:tc>
        <w:tc>
          <w:tcPr>
            <w:tcW w:w="1104" w:type="pct"/>
          </w:tcPr>
          <w:p w:rsidR="006C4C21" w:rsidRPr="006C4C21" w:rsidRDefault="006C4C21" w:rsidP="00333CDA">
            <w:pPr>
              <w:keepNext/>
            </w:pPr>
            <w:r w:rsidRPr="006C4C21">
              <w:t>Updated annually for return on debt</w:t>
            </w:r>
          </w:p>
        </w:tc>
      </w:tr>
      <w:tr w:rsidR="006C4C21" w:rsidRPr="00BD56F3" w:rsidTr="004A7EE1">
        <w:tc>
          <w:tcPr>
            <w:tcW w:w="1123" w:type="pct"/>
          </w:tcPr>
          <w:p w:rsidR="006C4C21" w:rsidRPr="006C4C21" w:rsidRDefault="006C4C21" w:rsidP="00333CDA">
            <w:pPr>
              <w:keepNext/>
            </w:pPr>
            <w:r w:rsidRPr="006C4C21">
              <w:t>Forecast inflation</w:t>
            </w:r>
          </w:p>
        </w:tc>
        <w:tc>
          <w:tcPr>
            <w:tcW w:w="970" w:type="pct"/>
          </w:tcPr>
          <w:p w:rsidR="006C4C21" w:rsidRPr="006C4C21" w:rsidRDefault="006C4C21" w:rsidP="00333CDA">
            <w:pPr>
              <w:keepNext/>
            </w:pPr>
            <w:r w:rsidRPr="006C4C21">
              <w:t>2.45</w:t>
            </w:r>
          </w:p>
        </w:tc>
        <w:tc>
          <w:tcPr>
            <w:tcW w:w="1067" w:type="pct"/>
          </w:tcPr>
          <w:p w:rsidR="006C4C21" w:rsidRPr="006C4C21" w:rsidRDefault="006C4C21" w:rsidP="00333CDA">
            <w:pPr>
              <w:keepNext/>
            </w:pPr>
            <w:r w:rsidRPr="006C4C21">
              <w:t>2.44</w:t>
            </w:r>
          </w:p>
        </w:tc>
        <w:tc>
          <w:tcPr>
            <w:tcW w:w="736" w:type="pct"/>
          </w:tcPr>
          <w:p w:rsidR="006C4C21" w:rsidRPr="006C4C21" w:rsidRDefault="006C4C21" w:rsidP="00333CDA">
            <w:pPr>
              <w:keepNext/>
            </w:pPr>
            <w:r w:rsidRPr="006C4C21">
              <w:t>2.40</w:t>
            </w:r>
          </w:p>
        </w:tc>
        <w:tc>
          <w:tcPr>
            <w:tcW w:w="1104" w:type="pct"/>
          </w:tcPr>
          <w:p w:rsidR="006C4C21" w:rsidRPr="006C4C21" w:rsidRDefault="006C4C21" w:rsidP="00333CDA">
            <w:pPr>
              <w:keepNext/>
            </w:pPr>
            <w:r w:rsidRPr="006C4C21">
              <w:t>Constant   (%)</w:t>
            </w:r>
          </w:p>
        </w:tc>
      </w:tr>
    </w:tbl>
    <w:p w:rsidR="006C4C21" w:rsidRPr="006C4C21" w:rsidRDefault="006C4C21" w:rsidP="00333CDA">
      <w:pPr>
        <w:pStyle w:val="AERtablesource"/>
        <w:keepNext/>
      </w:pPr>
      <w:r w:rsidRPr="006C4C21">
        <w:t>Source:</w:t>
      </w:r>
      <w:r w:rsidRPr="006C4C21">
        <w:tab/>
        <w:t xml:space="preserve">AER analysis; AusNet Services, </w:t>
      </w:r>
      <w:r w:rsidRPr="006C4C21">
        <w:rPr>
          <w:rStyle w:val="AERtextitalic"/>
        </w:rPr>
        <w:t>Transmission Revenue Review 2017-2022 - Revised Revenue Proposal</w:t>
      </w:r>
      <w:r w:rsidRPr="006C4C21">
        <w:t xml:space="preserve">, 21 September 2016; </w:t>
      </w:r>
      <w:r w:rsidRPr="006C4C21">
        <w:rPr>
          <w:rStyle w:val="AERtextsize8"/>
        </w:rPr>
        <w:t xml:space="preserve">AER, </w:t>
      </w:r>
      <w:r w:rsidRPr="006C4C21">
        <w:rPr>
          <w:rStyle w:val="AERtextitalic"/>
        </w:rPr>
        <w:t xml:space="preserve">Final Decision: SP AusNet Transmission determination 2014-2017, </w:t>
      </w:r>
      <w:r w:rsidRPr="006C4C21">
        <w:rPr>
          <w:rStyle w:val="AERtextsize8"/>
        </w:rPr>
        <w:t xml:space="preserve"> January 2014</w:t>
      </w:r>
      <w:r w:rsidRPr="006C4C21">
        <w:t>.</w:t>
      </w:r>
    </w:p>
    <w:p w:rsidR="006C4C21" w:rsidRPr="006C4C21" w:rsidRDefault="006C4C21" w:rsidP="006C4C21">
      <w:r w:rsidRPr="006C4C21">
        <w:t xml:space="preserve">The falls were primarily caused by a reduction in the risk free rate, which flowed through to the estimated return on debt and return on equity. However, the equity beta used for return on equity estimation also fell from a value of 0.8 for the 2014–17 regulatory control </w:t>
      </w:r>
      <w:proofErr w:type="gramStart"/>
      <w:r w:rsidRPr="006C4C21">
        <w:t>period</w:t>
      </w:r>
      <w:proofErr w:type="gramEnd"/>
      <w:r w:rsidRPr="006C4C21">
        <w:t xml:space="preserve"> to 0.7 for the 2017–22 regulatory control period reducing the estimated equity risk premium. </w:t>
      </w:r>
    </w:p>
    <w:p w:rsidR="006C4C21" w:rsidRPr="006C4C21" w:rsidRDefault="006C4C21" w:rsidP="006C4C21">
      <w:r w:rsidRPr="006C4C21">
        <w:rPr>
          <w:rStyle w:val="AERbody"/>
        </w:rPr>
        <w:t xml:space="preserve">Differences between the draft and final decisions for the 2017–22 regulatory control </w:t>
      </w:r>
      <w:proofErr w:type="gramStart"/>
      <w:r w:rsidRPr="006C4C21">
        <w:rPr>
          <w:rStyle w:val="AERbody"/>
        </w:rPr>
        <w:t>period</w:t>
      </w:r>
      <w:proofErr w:type="gramEnd"/>
      <w:r w:rsidRPr="006C4C21">
        <w:rPr>
          <w:rStyle w:val="AERbody"/>
        </w:rPr>
        <w:t xml:space="preserve"> were much smaller. </w:t>
      </w:r>
      <w:r w:rsidRPr="006C4C21">
        <w:t xml:space="preserve">The rate of return of 5.80 per cent approved in this final decision is lower than our draft decision of 6.16 per cent. Our approach to calculating the rate of return did not change, but our final decision updates the rate of return to reflect data from approved averaging periods used for estimating the return on equity and return on debt. </w:t>
      </w:r>
    </w:p>
    <w:p w:rsidR="00DF009B" w:rsidRPr="00D27F57" w:rsidRDefault="00DF009B" w:rsidP="00DF009B">
      <w:pPr>
        <w:pStyle w:val="ListParagraph"/>
        <w:numPr>
          <w:ilvl w:val="0"/>
          <w:numId w:val="25"/>
        </w:numPr>
        <w:rPr>
          <w:rStyle w:val="AERbody"/>
        </w:rPr>
      </w:pPr>
      <w:r w:rsidRPr="00D27F57">
        <w:t xml:space="preserve">Further detail on our </w:t>
      </w:r>
      <w:r w:rsidR="00C65992">
        <w:t>final</w:t>
      </w:r>
      <w:r w:rsidRPr="00D27F57">
        <w:t xml:space="preserve"> decision in regards to AusNet Services' </w:t>
      </w:r>
      <w:r>
        <w:t>allowed rate of return</w:t>
      </w:r>
      <w:r w:rsidRPr="00D27F57">
        <w:t xml:space="preserve"> is set out in attachment </w:t>
      </w:r>
      <w:r>
        <w:t>3</w:t>
      </w:r>
      <w:r w:rsidRPr="00D27F57">
        <w:t xml:space="preserve">. </w:t>
      </w:r>
    </w:p>
    <w:p w:rsidR="00DF009B" w:rsidRPr="007E0AB9" w:rsidRDefault="00DF009B" w:rsidP="00DF009B">
      <w:pPr>
        <w:pStyle w:val="Heading2"/>
      </w:pPr>
      <w:bookmarkStart w:id="58" w:name="_Ref451759113"/>
      <w:bookmarkStart w:id="59" w:name="_Toc456687649"/>
      <w:bookmarkStart w:id="60" w:name="_Toc480988357"/>
      <w:r>
        <w:t>Value of imputation credits (gamma)</w:t>
      </w:r>
      <w:bookmarkEnd w:id="58"/>
      <w:bookmarkEnd w:id="59"/>
      <w:bookmarkEnd w:id="60"/>
    </w:p>
    <w:p w:rsidR="00CD319A" w:rsidRPr="00CD319A" w:rsidRDefault="00CD319A" w:rsidP="00CD319A">
      <w:r>
        <w:t xml:space="preserve">Our final decision adopts </w:t>
      </w:r>
      <w:r w:rsidRPr="00CD319A">
        <w:t xml:space="preserve">a value of imputation credits of 0.4. We do not accept AusNet Services' proposed value of imputation credits (or gamma) of 0.25. </w:t>
      </w:r>
      <w:r>
        <w:t xml:space="preserve">We consider that </w:t>
      </w:r>
      <w:r w:rsidRPr="00CD319A">
        <w:t>a value for imputation credits of 0.4 will result in equity investors in the benchmark efficient entity receiving an ex ante total return (inclusive of the value of imputation credits) commensurate with the efficient equity financing costs of a benchmark efficient entity.</w:t>
      </w:r>
    </w:p>
    <w:p w:rsidR="00CD319A" w:rsidRPr="00CD319A" w:rsidRDefault="00CD319A" w:rsidP="00D77464">
      <w:pPr>
        <w:keepNext/>
      </w:pPr>
      <w:r w:rsidRPr="00CD319A">
        <w:lastRenderedPageBreak/>
        <w:t>In coming to a value of imputation credits of 0.4:</w:t>
      </w:r>
    </w:p>
    <w:p w:rsidR="00CD319A" w:rsidRPr="00CD319A" w:rsidRDefault="00CD319A" w:rsidP="00D77464">
      <w:pPr>
        <w:pStyle w:val="AERbulletlistfirststyle"/>
        <w:keepNext/>
      </w:pPr>
      <w:r w:rsidRPr="00CD319A">
        <w:t>We adopt a conceptual approach consistent with the Officer framework,</w:t>
      </w:r>
      <w:r w:rsidRPr="00247000">
        <w:rPr>
          <w:rStyle w:val="FootnoteReference"/>
        </w:rPr>
        <w:footnoteReference w:id="14"/>
      </w:r>
      <w:r w:rsidRPr="00CD319A">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15"/>
      </w:r>
      <w:r w:rsidRPr="00CD319A">
        <w:t xml:space="preserve"> As such, we view the value of imputation credits as the proportion of company tax returned to investors through the utilisation of imputation credits.</w:t>
      </w:r>
      <w:r w:rsidRPr="001D37D5">
        <w:rPr>
          <w:rStyle w:val="FootnoteReference"/>
        </w:rPr>
        <w:footnoteReference w:id="16"/>
      </w:r>
    </w:p>
    <w:p w:rsidR="00CD319A" w:rsidRPr="00CD319A" w:rsidRDefault="00CD319A" w:rsidP="00CD319A">
      <w:pPr>
        <w:pStyle w:val="AERbulletlistfirststyle"/>
      </w:pPr>
      <w:r w:rsidRPr="00CD319A">
        <w:t>We consider our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7"/>
      </w:r>
      <w:r w:rsidRPr="00CD319A">
        <w:t xml:space="preserve"> </w:t>
      </w:r>
    </w:p>
    <w:p w:rsidR="00CD319A" w:rsidRPr="00CD319A" w:rsidRDefault="00CD319A" w:rsidP="00CD319A">
      <w:pPr>
        <w:pStyle w:val="AERbulletlistfirststyle"/>
      </w:pPr>
      <w:r w:rsidRPr="00CD319A">
        <w:t>We use the widely accepted approach of estimating the value of imputation credits as the product of two sub-parameters: the 'distribution rate' and the 'utilisation rate'.</w:t>
      </w:r>
      <w:r w:rsidRPr="001D37D5">
        <w:rPr>
          <w:rStyle w:val="FootnoteReference"/>
        </w:rPr>
        <w:footnoteReference w:id="18"/>
      </w:r>
      <w:r w:rsidRPr="00CD319A">
        <w:t xml:space="preserve"> Our definition of, and estimation approach for, these su</w:t>
      </w:r>
      <w:r>
        <w:t>b-parameters is set out in</w:t>
      </w:r>
      <w:r w:rsidRPr="00CD319A">
        <w:t xml:space="preserve"> </w:t>
      </w:r>
      <w:r>
        <w:fldChar w:fldCharType="begin"/>
      </w:r>
      <w:r>
        <w:instrText xml:space="preserve"> REF _Ref480529908 \h </w:instrText>
      </w:r>
      <w:r>
        <w:fldChar w:fldCharType="separate"/>
      </w:r>
      <w:r w:rsidR="00867A0E">
        <w:t xml:space="preserve">Table </w:t>
      </w:r>
      <w:r w:rsidR="00867A0E">
        <w:rPr>
          <w:noProof/>
        </w:rPr>
        <w:t>3</w:t>
      </w:r>
      <w:r w:rsidR="00867A0E">
        <w:t>.</w:t>
      </w:r>
      <w:r w:rsidR="00867A0E">
        <w:rPr>
          <w:noProof/>
        </w:rPr>
        <w:t>5</w:t>
      </w:r>
      <w:r>
        <w:fldChar w:fldCharType="end"/>
      </w:r>
      <w:r w:rsidRPr="00CD319A">
        <w:t>.</w:t>
      </w:r>
    </w:p>
    <w:p w:rsidR="00CD319A" w:rsidRPr="00CD319A" w:rsidRDefault="00CD319A" w:rsidP="00CD319A">
      <w:pPr>
        <w:pStyle w:val="Caption"/>
      </w:pPr>
      <w:bookmarkStart w:id="61" w:name="_Ref480529908"/>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t>.</w:t>
      </w:r>
      <w:proofErr w:type="gramEnd"/>
      <w:r>
        <w:fldChar w:fldCharType="begin"/>
      </w:r>
      <w:r>
        <w:instrText xml:space="preserve"> SEQ Table \* ARABIC \s 1 </w:instrText>
      </w:r>
      <w:r>
        <w:fldChar w:fldCharType="separate"/>
      </w:r>
      <w:r w:rsidR="00867A0E">
        <w:rPr>
          <w:noProof/>
        </w:rPr>
        <w:t>5</w:t>
      </w:r>
      <w:r>
        <w:fldChar w:fldCharType="end"/>
      </w:r>
      <w:bookmarkEnd w:id="61"/>
      <w:r>
        <w:tab/>
        <w:t>Gamma sub-parameters: definition and estimation approach</w:t>
      </w:r>
    </w:p>
    <w:tbl>
      <w:tblPr>
        <w:tblStyle w:val="AERtable-text0"/>
        <w:tblW w:w="8775" w:type="dxa"/>
        <w:tblLook w:val="04A0" w:firstRow="1" w:lastRow="0" w:firstColumn="1" w:lastColumn="0" w:noHBand="0" w:noVBand="1"/>
      </w:tblPr>
      <w:tblGrid>
        <w:gridCol w:w="2987"/>
        <w:gridCol w:w="2894"/>
        <w:gridCol w:w="2894"/>
      </w:tblGrid>
      <w:tr w:rsidR="00532028" w:rsidTr="00532028">
        <w:trPr>
          <w:cnfStyle w:val="100000000000" w:firstRow="1" w:lastRow="0" w:firstColumn="0" w:lastColumn="0" w:oddVBand="0" w:evenVBand="0" w:oddHBand="0" w:evenHBand="0" w:firstRowFirstColumn="0" w:firstRowLastColumn="0" w:lastRowFirstColumn="0" w:lastRowLastColumn="0"/>
          <w:trHeight w:val="254"/>
          <w:tblHeader/>
        </w:trPr>
        <w:tc>
          <w:tcPr>
            <w:tcW w:w="2987" w:type="dxa"/>
          </w:tcPr>
          <w:p w:rsidR="00532028" w:rsidRDefault="00532028" w:rsidP="00CD319A">
            <w:pPr>
              <w:numPr>
                <w:ilvl w:val="0"/>
                <w:numId w:val="25"/>
              </w:numPr>
            </w:pPr>
            <w:r>
              <w:t>Sub-parameter</w:t>
            </w:r>
          </w:p>
        </w:tc>
        <w:tc>
          <w:tcPr>
            <w:tcW w:w="2894" w:type="dxa"/>
          </w:tcPr>
          <w:p w:rsidR="00532028" w:rsidRDefault="00532028" w:rsidP="00CD319A">
            <w:pPr>
              <w:numPr>
                <w:ilvl w:val="0"/>
                <w:numId w:val="25"/>
              </w:numPr>
            </w:pPr>
            <w:r>
              <w:t>Definition</w:t>
            </w:r>
          </w:p>
        </w:tc>
        <w:tc>
          <w:tcPr>
            <w:tcW w:w="2894" w:type="dxa"/>
          </w:tcPr>
          <w:p w:rsidR="00532028" w:rsidRDefault="00532028" w:rsidP="00CD319A">
            <w:pPr>
              <w:numPr>
                <w:ilvl w:val="0"/>
                <w:numId w:val="25"/>
              </w:numPr>
            </w:pPr>
            <w:r>
              <w:t>Estimation approach</w:t>
            </w:r>
          </w:p>
        </w:tc>
      </w:tr>
      <w:tr w:rsidR="00532028" w:rsidRPr="007B651F" w:rsidTr="00532028">
        <w:trPr>
          <w:trHeight w:val="630"/>
        </w:trPr>
        <w:tc>
          <w:tcPr>
            <w:tcW w:w="2987" w:type="dxa"/>
          </w:tcPr>
          <w:p w:rsidR="00532028" w:rsidRPr="00CD319A" w:rsidRDefault="00532028" w:rsidP="00CD319A">
            <w:r>
              <w:t>Distribution rate (or payout ratio)</w:t>
            </w:r>
          </w:p>
        </w:tc>
        <w:tc>
          <w:tcPr>
            <w:tcW w:w="2894" w:type="dxa"/>
          </w:tcPr>
          <w:p w:rsidR="00532028" w:rsidRPr="00CD319A" w:rsidRDefault="00532028" w:rsidP="00CD319A">
            <w:r>
              <w:t>The proportion of imputation credits generated that is distributed to investors</w:t>
            </w:r>
            <w:r w:rsidR="00B942B2">
              <w:t>.</w:t>
            </w:r>
          </w:p>
        </w:tc>
        <w:tc>
          <w:tcPr>
            <w:tcW w:w="2894" w:type="dxa"/>
          </w:tcPr>
          <w:p w:rsidR="00532028" w:rsidRPr="00CD319A" w:rsidRDefault="00532028" w:rsidP="00CD319A">
            <w:r>
              <w:t xml:space="preserve">Primary reliance placed on the widely accepted cumulative payout ratio approach. Some regard is also given to Lally's estimate for listed equity from financial reports of the 20 largest listed firms. </w:t>
            </w:r>
          </w:p>
        </w:tc>
      </w:tr>
      <w:tr w:rsidR="00532028" w:rsidRPr="00C170F0" w:rsidTr="00532028">
        <w:trPr>
          <w:cnfStyle w:val="000000010000" w:firstRow="0" w:lastRow="0" w:firstColumn="0" w:lastColumn="0" w:oddVBand="0" w:evenVBand="0" w:oddHBand="0" w:evenHBand="1" w:firstRowFirstColumn="0" w:firstRowLastColumn="0" w:lastRowFirstColumn="0" w:lastRowLastColumn="0"/>
          <w:trHeight w:val="638"/>
        </w:trPr>
        <w:tc>
          <w:tcPr>
            <w:tcW w:w="2987" w:type="dxa"/>
          </w:tcPr>
          <w:p w:rsidR="00532028" w:rsidRPr="00CD319A" w:rsidRDefault="00532028" w:rsidP="00CD319A">
            <w:r>
              <w:t>Utilisation rate (or theta)</w:t>
            </w:r>
          </w:p>
        </w:tc>
        <w:tc>
          <w:tcPr>
            <w:tcW w:w="2894" w:type="dxa"/>
          </w:tcPr>
          <w:p w:rsidR="00532028" w:rsidRPr="00CD319A" w:rsidRDefault="00532028" w:rsidP="00CD319A">
            <w:r>
              <w:t>The utilisation value to investors in the market per dollar of imputation credits distributed</w:t>
            </w:r>
            <w:r w:rsidR="00B942B2">
              <w:t>.</w:t>
            </w:r>
            <w:r>
              <w:rPr>
                <w:rStyle w:val="FootnoteReference"/>
              </w:rPr>
              <w:footnoteReference w:id="19"/>
            </w:r>
          </w:p>
        </w:tc>
        <w:tc>
          <w:tcPr>
            <w:tcW w:w="2894" w:type="dxa"/>
          </w:tcPr>
          <w:p w:rsidR="00532028" w:rsidRDefault="00532028" w:rsidP="00CD319A">
            <w:r>
              <w:t xml:space="preserve">A range of approaches, with due regard to the merit of each approach: </w:t>
            </w:r>
          </w:p>
          <w:p w:rsidR="00532028" w:rsidRDefault="00532028" w:rsidP="00532028">
            <w:pPr>
              <w:pStyle w:val="AERbulletlistfirststyle"/>
            </w:pPr>
            <w:r>
              <w:t>equity ownership approach</w:t>
            </w:r>
          </w:p>
          <w:p w:rsidR="00532028" w:rsidRDefault="00532028" w:rsidP="00532028">
            <w:pPr>
              <w:pStyle w:val="AERbulletlistfirststyle"/>
            </w:pPr>
            <w:r>
              <w:t>tax statistics</w:t>
            </w:r>
          </w:p>
          <w:p w:rsidR="00532028" w:rsidRPr="00CD319A" w:rsidRDefault="00532028" w:rsidP="00532028">
            <w:pPr>
              <w:pStyle w:val="AERbulletlistfirststyle"/>
            </w:pPr>
            <w:proofErr w:type="gramStart"/>
            <w:r>
              <w:t>implied</w:t>
            </w:r>
            <w:proofErr w:type="gramEnd"/>
            <w:r>
              <w:t xml:space="preserve"> market value studies. </w:t>
            </w:r>
          </w:p>
        </w:tc>
      </w:tr>
    </w:tbl>
    <w:p w:rsidR="00CD319A" w:rsidRDefault="00532028" w:rsidP="00532028">
      <w:pPr>
        <w:pStyle w:val="AERtablesource"/>
      </w:pPr>
      <w:r>
        <w:t xml:space="preserve">Source: </w:t>
      </w:r>
      <w:r>
        <w:tab/>
        <w:t>AER analysis.</w:t>
      </w:r>
    </w:p>
    <w:p w:rsidR="00532028" w:rsidRPr="00532028" w:rsidRDefault="00532028" w:rsidP="00532028">
      <w:r w:rsidRPr="00532028">
        <w:lastRenderedPageBreak/>
        <w:t>Overall, the evidence suggests a range of estimates for the value of imputation credits might be reasonable. With regard to the merits of the evidence before us, we choose a value of imputation credits of 0.4 from within a range of 0.3 to 0.5.</w:t>
      </w:r>
    </w:p>
    <w:p w:rsidR="00532028" w:rsidRPr="00532028" w:rsidRDefault="00532028" w:rsidP="00532028">
      <w:r w:rsidRPr="00532028">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F009B" w:rsidRPr="00DF009B" w:rsidRDefault="00DF009B" w:rsidP="00DF009B">
      <w:pPr>
        <w:pStyle w:val="ListParagraph"/>
        <w:numPr>
          <w:ilvl w:val="0"/>
          <w:numId w:val="25"/>
        </w:numPr>
      </w:pPr>
      <w:r w:rsidRPr="00D27F57">
        <w:t xml:space="preserve">Further detail on our </w:t>
      </w:r>
      <w:r w:rsidR="00C65992">
        <w:t>final</w:t>
      </w:r>
      <w:r w:rsidRPr="00D27F57">
        <w:t xml:space="preserve"> decision in regards to</w:t>
      </w:r>
      <w:r>
        <w:t xml:space="preserve"> the value of</w:t>
      </w:r>
      <w:r w:rsidRPr="00D27F57">
        <w:t xml:space="preserve"> AusNet Services' </w:t>
      </w:r>
      <w:r>
        <w:t>imputation credits</w:t>
      </w:r>
      <w:r w:rsidRPr="00D27F57">
        <w:t xml:space="preserve"> is set out in attachment </w:t>
      </w:r>
      <w:r>
        <w:t>4</w:t>
      </w:r>
      <w:r w:rsidRPr="00D27F57">
        <w:t xml:space="preserve">. </w:t>
      </w:r>
    </w:p>
    <w:p w:rsidR="00DF009B" w:rsidRPr="007E0AB9" w:rsidRDefault="00DF009B" w:rsidP="00DF009B">
      <w:pPr>
        <w:pStyle w:val="Heading2"/>
      </w:pPr>
      <w:bookmarkStart w:id="62" w:name="_Ref451759122"/>
      <w:bookmarkStart w:id="63" w:name="_Toc456687650"/>
      <w:bookmarkStart w:id="64" w:name="_Toc480988358"/>
      <w:r>
        <w:t>Regulatory depreciation (return of capital)</w:t>
      </w:r>
      <w:bookmarkEnd w:id="62"/>
      <w:bookmarkEnd w:id="63"/>
      <w:bookmarkEnd w:id="64"/>
    </w:p>
    <w:p w:rsidR="00EB6AA6" w:rsidRDefault="00EB6AA6" w:rsidP="00EB6AA6">
      <w:r w:rsidRPr="00B518A1">
        <w:t xml:space="preserve">Depreciation is the allowance provided so </w:t>
      </w:r>
      <w:r w:rsidR="0038652F">
        <w:t xml:space="preserve">that </w:t>
      </w:r>
      <w:r w:rsidRPr="00B518A1">
        <w:t xml:space="preserve">capital investors </w:t>
      </w:r>
      <w:r w:rsidR="0038652F">
        <w:t xml:space="preserve">can </w:t>
      </w:r>
      <w:r w:rsidRPr="00B518A1">
        <w:t xml:space="preserve">recover their investment over the economic life of the asset (return of capital). In deciding whether to approve the depreciation schedules submitted by </w:t>
      </w:r>
      <w:r>
        <w:t>AusNet Services</w:t>
      </w:r>
      <w:r w:rsidRPr="00B518A1">
        <w:t>, we make determinations on the indexation of the regulatory asset base (RAB) and depreciation</w:t>
      </w:r>
      <w:r>
        <w:t xml:space="preserve"> </w:t>
      </w:r>
      <w:r w:rsidRPr="00B518A1">
        <w:t xml:space="preserve">building blocks for </w:t>
      </w:r>
      <w:r>
        <w:t>AusNet Services'</w:t>
      </w:r>
      <w:r w:rsidRPr="00B518A1">
        <w:t xml:space="preserve"> 201</w:t>
      </w:r>
      <w:r>
        <w:t>7</w:t>
      </w:r>
      <w:r w:rsidRPr="00B518A1">
        <w:t>–</w:t>
      </w:r>
      <w:r>
        <w:t>22</w:t>
      </w:r>
      <w:r w:rsidRPr="00B518A1">
        <w:t xml:space="preserve"> </w:t>
      </w:r>
      <w:r>
        <w:t xml:space="preserve">regulatory control </w:t>
      </w:r>
      <w:r w:rsidRPr="00B518A1">
        <w:t>period.</w:t>
      </w:r>
      <w:r>
        <w:rPr>
          <w:rStyle w:val="FootnoteReference"/>
        </w:rPr>
        <w:footnoteReference w:id="20"/>
      </w:r>
      <w:r w:rsidRPr="00B518A1">
        <w:t xml:space="preserve"> The regulatory depreciation allowance is the net total of the </w:t>
      </w:r>
      <w:r>
        <w:t>RAB</w:t>
      </w:r>
      <w:r w:rsidRPr="00B518A1">
        <w:t xml:space="preserve"> depreciation </w:t>
      </w:r>
      <w:r>
        <w:t>less</w:t>
      </w:r>
      <w:r w:rsidRPr="00B518A1">
        <w:t xml:space="preserve"> the i</w:t>
      </w:r>
      <w:r>
        <w:t>nflation</w:t>
      </w:r>
      <w:r w:rsidRPr="00B518A1">
        <w:t xml:space="preserve"> </w:t>
      </w:r>
      <w:r>
        <w:t xml:space="preserve">indexation adjustment </w:t>
      </w:r>
      <w:r w:rsidRPr="00B518A1">
        <w:t>of the RAB</w:t>
      </w:r>
      <w:r>
        <w:t>.</w:t>
      </w:r>
    </w:p>
    <w:p w:rsidR="00DF009B" w:rsidRDefault="00EB6AA6" w:rsidP="00C33E76">
      <w:r>
        <w:t xml:space="preserve">Our final decision approves a regulatory depreciation allowance </w:t>
      </w:r>
      <w:r w:rsidRPr="00C33E76">
        <w:t>of $</w:t>
      </w:r>
      <w:r w:rsidR="00C33E76" w:rsidRPr="00C33E76">
        <w:t>505.</w:t>
      </w:r>
      <w:r w:rsidR="005572D8">
        <w:t>9</w:t>
      </w:r>
      <w:r w:rsidRPr="00C33E76">
        <w:t xml:space="preserve"> million ($ nominal) for the 2017–22 regulatory control period. This is $</w:t>
      </w:r>
      <w:r w:rsidR="00C33E76" w:rsidRPr="00C33E76">
        <w:t>118.</w:t>
      </w:r>
      <w:r w:rsidR="005572D8">
        <w:t>3</w:t>
      </w:r>
      <w:r w:rsidRPr="00C33E76">
        <w:t xml:space="preserve"> million (</w:t>
      </w:r>
      <w:r w:rsidR="00C33E76" w:rsidRPr="00C33E76">
        <w:t>19.0</w:t>
      </w:r>
      <w:r w:rsidRPr="00C33E76">
        <w:t> per</w:t>
      </w:r>
      <w:r>
        <w:t xml:space="preserve"> cent) lower</w:t>
      </w:r>
      <w:r w:rsidRPr="00321D05">
        <w:t xml:space="preserve"> than </w:t>
      </w:r>
      <w:r>
        <w:t>AusNet Services'</w:t>
      </w:r>
      <w:r w:rsidRPr="00321D05">
        <w:t xml:space="preserve"> </w:t>
      </w:r>
      <w:r>
        <w:t>p</w:t>
      </w:r>
      <w:r w:rsidRPr="00321D05">
        <w:t>roposed value of $</w:t>
      </w:r>
      <w:r>
        <w:t>602.8 </w:t>
      </w:r>
      <w:r w:rsidRPr="00321D05">
        <w:t>million</w:t>
      </w:r>
      <w:r>
        <w:t xml:space="preserve"> ($ nominal)</w:t>
      </w:r>
      <w:r w:rsidRPr="00321D05">
        <w:t>.</w:t>
      </w:r>
      <w:r>
        <w:t xml:space="preserve"> </w:t>
      </w:r>
    </w:p>
    <w:p w:rsidR="00EB6AA6" w:rsidRDefault="00EB6AA6" w:rsidP="00DF009B">
      <w:r>
        <w:fldChar w:fldCharType="begin"/>
      </w:r>
      <w:r>
        <w:instrText xml:space="preserve"> REF _Ref477261109 \h </w:instrText>
      </w:r>
      <w:r>
        <w:fldChar w:fldCharType="separate"/>
      </w:r>
      <w:r w:rsidR="00867A0E">
        <w:t xml:space="preserve">Table </w:t>
      </w:r>
      <w:r w:rsidR="00867A0E">
        <w:rPr>
          <w:noProof/>
        </w:rPr>
        <w:t>3</w:t>
      </w:r>
      <w:r w:rsidR="00867A0E">
        <w:t>.</w:t>
      </w:r>
      <w:r w:rsidR="00867A0E">
        <w:rPr>
          <w:noProof/>
        </w:rPr>
        <w:t>6</w:t>
      </w:r>
      <w:r>
        <w:fldChar w:fldCharType="end"/>
      </w:r>
      <w:r>
        <w:t xml:space="preserve"> </w:t>
      </w:r>
      <w:r w:rsidRPr="00EB6AA6">
        <w:t xml:space="preserve">shows our </w:t>
      </w:r>
      <w:r>
        <w:t>final</w:t>
      </w:r>
      <w:r w:rsidRPr="00EB6AA6">
        <w:t xml:space="preserve"> decision on AusNet Services' depreciation allowance for the 2017–22 regulatory control </w:t>
      </w:r>
      <w:proofErr w:type="gramStart"/>
      <w:r w:rsidRPr="00EB6AA6">
        <w:t>period</w:t>
      </w:r>
      <w:proofErr w:type="gramEnd"/>
      <w:r w:rsidRPr="00EB6AA6">
        <w:t>.</w:t>
      </w:r>
    </w:p>
    <w:p w:rsidR="00EB6AA6" w:rsidRDefault="00EB6AA6" w:rsidP="009C25B3">
      <w:pPr>
        <w:pStyle w:val="Caption"/>
      </w:pPr>
      <w:bookmarkStart w:id="65" w:name="_Ref477261109"/>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6</w:t>
      </w:r>
      <w:r w:rsidR="00CD319A">
        <w:fldChar w:fldCharType="end"/>
      </w:r>
      <w:bookmarkEnd w:id="65"/>
      <w:r>
        <w:tab/>
      </w:r>
      <w:r w:rsidRPr="00EB6AA6">
        <w:t>AER's final decision on AusNet Services' depreciation allowance for the 2017–22 regulatory control period ($ million, nominal)</w:t>
      </w:r>
      <w:r w:rsidRPr="00EB6AA6">
        <w:tab/>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EB6AA6" w:rsidRPr="00B518A1" w:rsidTr="00957C1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EB6AA6" w:rsidRPr="00EB6AA6" w:rsidRDefault="00EB6AA6" w:rsidP="00EB6AA6">
            <w:r w:rsidRPr="00B518A1">
              <w:t> </w:t>
            </w:r>
          </w:p>
        </w:tc>
        <w:tc>
          <w:tcPr>
            <w:tcW w:w="921"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2017–18</w:t>
            </w:r>
          </w:p>
        </w:tc>
        <w:tc>
          <w:tcPr>
            <w:tcW w:w="921"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2018–19</w:t>
            </w:r>
          </w:p>
        </w:tc>
        <w:tc>
          <w:tcPr>
            <w:tcW w:w="922"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2019–20</w:t>
            </w:r>
          </w:p>
        </w:tc>
        <w:tc>
          <w:tcPr>
            <w:tcW w:w="921"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2020–21</w:t>
            </w:r>
          </w:p>
        </w:tc>
        <w:tc>
          <w:tcPr>
            <w:tcW w:w="921"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2021–22</w:t>
            </w:r>
          </w:p>
        </w:tc>
        <w:tc>
          <w:tcPr>
            <w:tcW w:w="922" w:type="dxa"/>
            <w:noWrap/>
            <w:hideMark/>
          </w:tcPr>
          <w:p w:rsidR="00EB6AA6" w:rsidRPr="00EB6AA6" w:rsidRDefault="00EB6AA6" w:rsidP="00EB6AA6">
            <w:pPr>
              <w:cnfStyle w:val="100000000000" w:firstRow="1" w:lastRow="0" w:firstColumn="0" w:lastColumn="0" w:oddVBand="0" w:evenVBand="0" w:oddHBand="0" w:evenHBand="0" w:firstRowFirstColumn="0" w:firstRowLastColumn="0" w:lastRowFirstColumn="0" w:lastRowLastColumn="0"/>
            </w:pPr>
            <w:r w:rsidRPr="00B518A1">
              <w:t>Total</w:t>
            </w:r>
          </w:p>
        </w:tc>
      </w:tr>
      <w:tr w:rsidR="005572D8" w:rsidRPr="00B518A1" w:rsidTr="009C25B3">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72D8" w:rsidRPr="005572D8" w:rsidRDefault="005572D8" w:rsidP="005572D8">
            <w:r w:rsidRPr="005572D8">
              <w:t>Straight-line depreciation</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172.8</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177.2</w:t>
            </w:r>
          </w:p>
        </w:tc>
        <w:tc>
          <w:tcPr>
            <w:tcW w:w="922"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186.6</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191.4</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175.2</w:t>
            </w:r>
          </w:p>
        </w:tc>
        <w:tc>
          <w:tcPr>
            <w:tcW w:w="922"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pPr>
            <w:r w:rsidRPr="005572D8">
              <w:t>903.3</w:t>
            </w:r>
          </w:p>
        </w:tc>
      </w:tr>
      <w:tr w:rsidR="005572D8" w:rsidRPr="00B518A1" w:rsidTr="009C25B3">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72D8" w:rsidRPr="005572D8" w:rsidRDefault="005572D8" w:rsidP="005572D8">
            <w:r w:rsidRPr="005572D8">
              <w:rPr>
                <w:rStyle w:val="AERtextitalic"/>
              </w:rPr>
              <w:t>Less:</w:t>
            </w:r>
            <w:r w:rsidRPr="005572D8">
              <w:t xml:space="preserve"> inflation indexation on opening RAB</w:t>
            </w:r>
          </w:p>
        </w:tc>
        <w:tc>
          <w:tcPr>
            <w:tcW w:w="921"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76.1</w:t>
            </w:r>
          </w:p>
        </w:tc>
        <w:tc>
          <w:tcPr>
            <w:tcW w:w="921"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78.3</w:t>
            </w:r>
          </w:p>
        </w:tc>
        <w:tc>
          <w:tcPr>
            <w:tcW w:w="922"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79.9</w:t>
            </w:r>
          </w:p>
        </w:tc>
        <w:tc>
          <w:tcPr>
            <w:tcW w:w="921"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81.2</w:t>
            </w:r>
          </w:p>
        </w:tc>
        <w:tc>
          <w:tcPr>
            <w:tcW w:w="921"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81.9</w:t>
            </w:r>
          </w:p>
        </w:tc>
        <w:tc>
          <w:tcPr>
            <w:tcW w:w="922" w:type="dxa"/>
            <w:noWrap/>
            <w:vAlign w:val="bottom"/>
          </w:tcPr>
          <w:p w:rsidR="005572D8" w:rsidRPr="005572D8" w:rsidRDefault="005572D8" w:rsidP="005572D8">
            <w:pPr>
              <w:cnfStyle w:val="000000010000" w:firstRow="0" w:lastRow="0" w:firstColumn="0" w:lastColumn="0" w:oddVBand="0" w:evenVBand="0" w:oddHBand="0" w:evenHBand="1" w:firstRowFirstColumn="0" w:firstRowLastColumn="0" w:lastRowFirstColumn="0" w:lastRowLastColumn="0"/>
            </w:pPr>
            <w:r w:rsidRPr="005572D8">
              <w:t>397.4</w:t>
            </w:r>
          </w:p>
        </w:tc>
      </w:tr>
      <w:tr w:rsidR="005572D8" w:rsidRPr="009C25B3" w:rsidTr="009C25B3">
        <w:trPr>
          <w:trHeight w:val="277"/>
        </w:trPr>
        <w:tc>
          <w:tcPr>
            <w:cnfStyle w:val="001000000000" w:firstRow="0" w:lastRow="0" w:firstColumn="1" w:lastColumn="0" w:oddVBand="0" w:evenVBand="0" w:oddHBand="0" w:evenHBand="0" w:firstRowFirstColumn="0" w:firstRowLastColumn="0" w:lastRowFirstColumn="0" w:lastRowLastColumn="0"/>
            <w:tcW w:w="3227" w:type="dxa"/>
            <w:noWrap/>
            <w:hideMark/>
          </w:tcPr>
          <w:p w:rsidR="005572D8" w:rsidRPr="005572D8" w:rsidRDefault="005572D8" w:rsidP="005572D8">
            <w:pPr>
              <w:rPr>
                <w:rStyle w:val="Strong"/>
              </w:rPr>
            </w:pPr>
            <w:r w:rsidRPr="005572D8">
              <w:rPr>
                <w:rStyle w:val="Strong"/>
              </w:rPr>
              <w:t>Regulatory depreciation</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96.7</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99.0</w:t>
            </w:r>
          </w:p>
        </w:tc>
        <w:tc>
          <w:tcPr>
            <w:tcW w:w="922"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106.7</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110.2</w:t>
            </w:r>
          </w:p>
        </w:tc>
        <w:tc>
          <w:tcPr>
            <w:tcW w:w="921"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93.3</w:t>
            </w:r>
          </w:p>
        </w:tc>
        <w:tc>
          <w:tcPr>
            <w:tcW w:w="922" w:type="dxa"/>
            <w:noWrap/>
            <w:vAlign w:val="bottom"/>
          </w:tcPr>
          <w:p w:rsidR="005572D8" w:rsidRPr="005572D8" w:rsidRDefault="005572D8" w:rsidP="005572D8">
            <w:pPr>
              <w:cnfStyle w:val="000000000000" w:firstRow="0" w:lastRow="0" w:firstColumn="0" w:lastColumn="0" w:oddVBand="0" w:evenVBand="0" w:oddHBand="0" w:evenHBand="0" w:firstRowFirstColumn="0" w:firstRowLastColumn="0" w:lastRowFirstColumn="0" w:lastRowLastColumn="0"/>
              <w:rPr>
                <w:rStyle w:val="Strong"/>
              </w:rPr>
            </w:pPr>
            <w:r w:rsidRPr="005572D8">
              <w:t>505.9</w:t>
            </w:r>
          </w:p>
        </w:tc>
      </w:tr>
    </w:tbl>
    <w:p w:rsidR="00EB6AA6" w:rsidRDefault="00EB6AA6" w:rsidP="00F41B1C">
      <w:pPr>
        <w:pStyle w:val="AERtablesource"/>
      </w:pPr>
      <w:r>
        <w:t>Source:</w:t>
      </w:r>
      <w:r>
        <w:tab/>
        <w:t>AER analysis.</w:t>
      </w:r>
    </w:p>
    <w:p w:rsidR="00EB6AA6" w:rsidRPr="00EB6AA6" w:rsidRDefault="00EB6AA6" w:rsidP="00EB6AA6">
      <w:r w:rsidRPr="00EB6AA6">
        <w:t xml:space="preserve">The key reasons for the difference between our regulatory depreciation allowance and the allowance proposed by AusNet Services' are: </w:t>
      </w:r>
    </w:p>
    <w:p w:rsidR="00EB6AA6" w:rsidRPr="00EB6AA6" w:rsidRDefault="00EB6AA6" w:rsidP="009C25B3">
      <w:pPr>
        <w:pStyle w:val="AERbulletlistfirststyle"/>
      </w:pPr>
      <w:r w:rsidRPr="00EB6AA6">
        <w:lastRenderedPageBreak/>
        <w:t>We reject AusNet Services' revised proposal for accelerated depreciation over the next eight years of assets associated with the Yallourn Power Station (YPS)</w:t>
      </w:r>
    </w:p>
    <w:p w:rsidR="00EB6AA6" w:rsidRPr="00EB6AA6" w:rsidRDefault="00EB6AA6" w:rsidP="009C25B3">
      <w:pPr>
        <w:pStyle w:val="AERbulletlistfirststyle"/>
      </w:pPr>
      <w:r w:rsidRPr="00EB6AA6">
        <w:t>We made determinations on other components of AusNet Services' proposal that also affect the forecast regulatory depreciation allowance—for example, the expected inflation rate (attachment 3) and forecast capex (attachment 6).</w:t>
      </w:r>
      <w:r>
        <w:t xml:space="preserve"> The revision to the </w:t>
      </w:r>
      <w:r w:rsidRPr="00EB6AA6">
        <w:t>expected inflation rate is the largest driver of the reduction in the regulatory depreciation allowance (which is net of the inflation indexation on the opening RAB) from that proposed.</w:t>
      </w:r>
    </w:p>
    <w:p w:rsidR="00DF009B" w:rsidRDefault="00DF009B" w:rsidP="00DF009B">
      <w:pPr>
        <w:rPr>
          <w:rStyle w:val="AERbody"/>
        </w:rPr>
      </w:pPr>
      <w:r>
        <w:t xml:space="preserve">Further detail on our </w:t>
      </w:r>
      <w:r w:rsidR="00C65992">
        <w:t>final</w:t>
      </w:r>
      <w:r>
        <w:t xml:space="preserve"> decision in regards to depreciation is set out in attachment 5. </w:t>
      </w:r>
    </w:p>
    <w:p w:rsidR="00DF009B" w:rsidRPr="007E0AB9" w:rsidRDefault="00DF009B" w:rsidP="00DF009B">
      <w:pPr>
        <w:pStyle w:val="Heading2"/>
      </w:pPr>
      <w:bookmarkStart w:id="66" w:name="_Ref451759130"/>
      <w:bookmarkStart w:id="67" w:name="_Toc456687651"/>
      <w:bookmarkStart w:id="68" w:name="_Toc480988359"/>
      <w:r>
        <w:t>Capital expenditure</w:t>
      </w:r>
      <w:bookmarkEnd w:id="66"/>
      <w:bookmarkEnd w:id="67"/>
      <w:bookmarkEnd w:id="68"/>
    </w:p>
    <w:p w:rsidR="00B61E35" w:rsidRDefault="00B61E35" w:rsidP="00B61E35">
      <w:r>
        <w:t xml:space="preserve">Capital expenditure (capex) refers to the capital expenses incurred in the provision of network services. The </w:t>
      </w:r>
      <w:proofErr w:type="gramStart"/>
      <w:r>
        <w:t>return on and return of forecast capex are</w:t>
      </w:r>
      <w:proofErr w:type="gramEnd"/>
      <w:r>
        <w:t xml:space="preserve"> two of the building blocks we use to determine a TNSP's total revenue requirement.</w:t>
      </w:r>
    </w:p>
    <w:p w:rsidR="00B61E35" w:rsidRDefault="00B61E35" w:rsidP="00B61E35">
      <w:r>
        <w:t xml:space="preserve">Our final decision approves $719.1 million ($2016-17) total net forecast capex for the 2017–22 regulatory control </w:t>
      </w:r>
      <w:proofErr w:type="gramStart"/>
      <w:r>
        <w:t>period</w:t>
      </w:r>
      <w:proofErr w:type="gramEnd"/>
      <w:r>
        <w:t xml:space="preserve">. This is $32.1 million (or 4.3 per cent) lower than AusNet Services' proposed value of $751.3 million. </w:t>
      </w:r>
      <w:r>
        <w:fldChar w:fldCharType="begin"/>
      </w:r>
      <w:r>
        <w:instrText xml:space="preserve"> REF _Ref477339145 \h </w:instrText>
      </w:r>
      <w:r>
        <w:fldChar w:fldCharType="separate"/>
      </w:r>
      <w:r w:rsidR="00867A0E">
        <w:t xml:space="preserve">Table </w:t>
      </w:r>
      <w:r w:rsidR="00867A0E">
        <w:rPr>
          <w:noProof/>
        </w:rPr>
        <w:t>3</w:t>
      </w:r>
      <w:r w:rsidR="00867A0E">
        <w:t>.</w:t>
      </w:r>
      <w:r w:rsidR="00867A0E">
        <w:rPr>
          <w:noProof/>
        </w:rPr>
        <w:t>7</w:t>
      </w:r>
      <w:r>
        <w:fldChar w:fldCharType="end"/>
      </w:r>
      <w:r>
        <w:t xml:space="preserve"> shows our decision compared to AusNet Services' forecast.</w:t>
      </w:r>
    </w:p>
    <w:p w:rsidR="00B61E35" w:rsidRDefault="00B61E35" w:rsidP="00B61E35">
      <w:pPr>
        <w:pStyle w:val="Caption"/>
      </w:pPr>
      <w:bookmarkStart w:id="69" w:name="_Ref477339145"/>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7</w:t>
      </w:r>
      <w:r w:rsidR="00CD319A">
        <w:fldChar w:fldCharType="end"/>
      </w:r>
      <w:bookmarkEnd w:id="69"/>
      <w:r w:rsidRPr="00C906BB">
        <w:t xml:space="preserve"> Final decision on AusNet Services' total forecast capex </w:t>
      </w:r>
      <w:r w:rsidR="00CF6BB8">
        <w:br/>
      </w:r>
      <w:r w:rsidRPr="00C906BB">
        <w:t>($2016–17, million)</w:t>
      </w:r>
    </w:p>
    <w:tbl>
      <w:tblPr>
        <w:tblStyle w:val="AERtable-numbers"/>
        <w:tblW w:w="5000" w:type="pct"/>
        <w:tblLook w:val="04A0" w:firstRow="1" w:lastRow="0" w:firstColumn="1" w:lastColumn="0" w:noHBand="0" w:noVBand="1"/>
      </w:tblPr>
      <w:tblGrid>
        <w:gridCol w:w="2803"/>
        <w:gridCol w:w="981"/>
        <w:gridCol w:w="982"/>
        <w:gridCol w:w="982"/>
        <w:gridCol w:w="981"/>
        <w:gridCol w:w="982"/>
        <w:gridCol w:w="982"/>
      </w:tblGrid>
      <w:tr w:rsidR="00B61E35" w:rsidRPr="00F12B43" w:rsidTr="00957C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B61E35" w:rsidRPr="00F12B43" w:rsidRDefault="00B61E35" w:rsidP="00B61E35"/>
        </w:tc>
        <w:tc>
          <w:tcPr>
            <w:tcW w:w="564"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2017–18</w:t>
            </w:r>
          </w:p>
        </w:tc>
        <w:tc>
          <w:tcPr>
            <w:tcW w:w="565"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2018–19</w:t>
            </w:r>
          </w:p>
        </w:tc>
        <w:tc>
          <w:tcPr>
            <w:tcW w:w="565"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2019–20</w:t>
            </w:r>
          </w:p>
        </w:tc>
        <w:tc>
          <w:tcPr>
            <w:tcW w:w="564"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2020–21</w:t>
            </w:r>
          </w:p>
        </w:tc>
        <w:tc>
          <w:tcPr>
            <w:tcW w:w="565"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2021–22</w:t>
            </w:r>
          </w:p>
        </w:tc>
        <w:tc>
          <w:tcPr>
            <w:tcW w:w="565" w:type="pct"/>
          </w:tcPr>
          <w:p w:rsidR="00B61E35" w:rsidRPr="00B61E35" w:rsidRDefault="00B61E35" w:rsidP="00B61E35">
            <w:pPr>
              <w:cnfStyle w:val="100000000000" w:firstRow="1" w:lastRow="0" w:firstColumn="0" w:lastColumn="0" w:oddVBand="0" w:evenVBand="0" w:oddHBand="0" w:evenHBand="0" w:firstRowFirstColumn="0" w:firstRowLastColumn="0" w:lastRowFirstColumn="0" w:lastRowLastColumn="0"/>
            </w:pPr>
            <w:r w:rsidRPr="00F12B43">
              <w:t>Total</w:t>
            </w:r>
          </w:p>
        </w:tc>
      </w:tr>
      <w:tr w:rsidR="00B61E35" w:rsidRPr="00F12B43" w:rsidTr="00957C1D">
        <w:tc>
          <w:tcPr>
            <w:cnfStyle w:val="001000000000" w:firstRow="0" w:lastRow="0" w:firstColumn="1" w:lastColumn="0" w:oddVBand="0" w:evenVBand="0" w:oddHBand="0" w:evenHBand="0" w:firstRowFirstColumn="0" w:firstRowLastColumn="0" w:lastRowFirstColumn="0" w:lastRowLastColumn="0"/>
            <w:tcW w:w="1612" w:type="pct"/>
          </w:tcPr>
          <w:p w:rsidR="00B61E35" w:rsidRPr="00B61E35" w:rsidRDefault="00B61E35" w:rsidP="00B61E35">
            <w:r w:rsidRPr="00F12B43">
              <w:t xml:space="preserve">AusNet Services' </w:t>
            </w:r>
            <w:r w:rsidRPr="00B61E35">
              <w:t>revised proposal</w:t>
            </w:r>
          </w:p>
        </w:tc>
        <w:tc>
          <w:tcPr>
            <w:tcW w:w="564"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181.0</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161.6</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154.7</w:t>
            </w:r>
          </w:p>
        </w:tc>
        <w:tc>
          <w:tcPr>
            <w:tcW w:w="564"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137.3</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116.7</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751.3</w:t>
            </w:r>
          </w:p>
        </w:tc>
      </w:tr>
      <w:tr w:rsidR="00B61E35" w:rsidRPr="00F12B43" w:rsidTr="00957C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B61E35" w:rsidRPr="00B61E35" w:rsidRDefault="00B61E35" w:rsidP="00B61E35">
            <w:r w:rsidRPr="00F12B43">
              <w:t xml:space="preserve">AER </w:t>
            </w:r>
            <w:r w:rsidRPr="00B61E35">
              <w:t>final decision</w:t>
            </w:r>
          </w:p>
        </w:tc>
        <w:tc>
          <w:tcPr>
            <w:tcW w:w="564"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180.5</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157.6</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146.5</w:t>
            </w:r>
          </w:p>
        </w:tc>
        <w:tc>
          <w:tcPr>
            <w:tcW w:w="564"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127</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107.5</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719.1</w:t>
            </w:r>
          </w:p>
        </w:tc>
      </w:tr>
      <w:tr w:rsidR="00B61E35" w:rsidRPr="00F12B43" w:rsidTr="00957C1D">
        <w:tc>
          <w:tcPr>
            <w:cnfStyle w:val="001000000000" w:firstRow="0" w:lastRow="0" w:firstColumn="1" w:lastColumn="0" w:oddVBand="0" w:evenVBand="0" w:oddHBand="0" w:evenHBand="0" w:firstRowFirstColumn="0" w:firstRowLastColumn="0" w:lastRowFirstColumn="0" w:lastRowLastColumn="0"/>
            <w:tcW w:w="1612" w:type="pct"/>
          </w:tcPr>
          <w:p w:rsidR="00B61E35" w:rsidRPr="00B61E35" w:rsidRDefault="00B61E35" w:rsidP="00B61E35">
            <w:r w:rsidRPr="00F12B43">
              <w:t xml:space="preserve">Total adjustment </w:t>
            </w:r>
          </w:p>
        </w:tc>
        <w:tc>
          <w:tcPr>
            <w:tcW w:w="564"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-0.5</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-4.0</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-8.</w:t>
            </w:r>
            <w:r w:rsidRPr="00B61E35">
              <w:t>1</w:t>
            </w:r>
          </w:p>
        </w:tc>
        <w:tc>
          <w:tcPr>
            <w:tcW w:w="564"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-10.3</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-9.2</w:t>
            </w:r>
          </w:p>
        </w:tc>
        <w:tc>
          <w:tcPr>
            <w:tcW w:w="565" w:type="pct"/>
          </w:tcPr>
          <w:p w:rsidR="00B61E35" w:rsidRPr="00B61E35" w:rsidRDefault="00B61E35" w:rsidP="00B61E35">
            <w:pPr>
              <w:cnfStyle w:val="000000000000" w:firstRow="0" w:lastRow="0" w:firstColumn="0" w:lastColumn="0" w:oddVBand="0" w:evenVBand="0" w:oddHBand="0" w:evenHBand="0" w:firstRowFirstColumn="0" w:firstRowLastColumn="0" w:lastRowFirstColumn="0" w:lastRowLastColumn="0"/>
            </w:pPr>
            <w:r>
              <w:t>-32.</w:t>
            </w:r>
            <w:r w:rsidRPr="00B61E35">
              <w:t>1</w:t>
            </w:r>
          </w:p>
        </w:tc>
      </w:tr>
      <w:tr w:rsidR="00B61E35" w:rsidRPr="00F12B43" w:rsidTr="00957C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pct"/>
          </w:tcPr>
          <w:p w:rsidR="00B61E35" w:rsidRPr="00B61E35" w:rsidRDefault="00B61E35" w:rsidP="00B61E35">
            <w:r w:rsidRPr="00F12B43">
              <w:t>Total adjustment (%)</w:t>
            </w:r>
          </w:p>
        </w:tc>
        <w:tc>
          <w:tcPr>
            <w:tcW w:w="564"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-0.</w:t>
            </w:r>
            <w:r w:rsidR="00DD1FD9">
              <w:t>3</w:t>
            </w:r>
            <w:r>
              <w:t>%</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-2.5%</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-5.3%</w:t>
            </w:r>
          </w:p>
        </w:tc>
        <w:tc>
          <w:tcPr>
            <w:tcW w:w="564"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-7.5%</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-7.9%</w:t>
            </w:r>
          </w:p>
        </w:tc>
        <w:tc>
          <w:tcPr>
            <w:tcW w:w="565" w:type="pct"/>
          </w:tcPr>
          <w:p w:rsidR="00B61E35" w:rsidRPr="00B61E35" w:rsidRDefault="00B61E35" w:rsidP="00B61E35">
            <w:pPr>
              <w:cnfStyle w:val="000000010000" w:firstRow="0" w:lastRow="0" w:firstColumn="0" w:lastColumn="0" w:oddVBand="0" w:evenVBand="0" w:oddHBand="0" w:evenHBand="1" w:firstRowFirstColumn="0" w:firstRowLastColumn="0" w:lastRowFirstColumn="0" w:lastRowLastColumn="0"/>
            </w:pPr>
            <w:r>
              <w:t>-</w:t>
            </w:r>
            <w:r w:rsidRPr="00B61E35">
              <w:t>4.3%</w:t>
            </w:r>
          </w:p>
        </w:tc>
      </w:tr>
    </w:tbl>
    <w:p w:rsidR="00CF6BB8" w:rsidRDefault="00B61E35" w:rsidP="00D77464">
      <w:pPr>
        <w:pStyle w:val="AERtablesource"/>
      </w:pPr>
      <w:r w:rsidRPr="00CF6BB8">
        <w:t>Source:</w:t>
      </w:r>
      <w:r w:rsidRPr="00CF6BB8">
        <w:tab/>
        <w:t xml:space="preserve">AusNet Services, </w:t>
      </w:r>
      <w:r w:rsidRPr="00CF6BB8">
        <w:rPr>
          <w:rStyle w:val="AERtextitalic"/>
          <w:i w:val="0"/>
        </w:rPr>
        <w:t>Revised regulatory proposal</w:t>
      </w:r>
      <w:r w:rsidRPr="00CF6BB8">
        <w:t>; 21 September 2016, p. 81; and AER analysis.</w:t>
      </w:r>
    </w:p>
    <w:p w:rsidR="00B61E35" w:rsidRPr="00CF6BB8" w:rsidRDefault="00B61E35" w:rsidP="00D77464">
      <w:pPr>
        <w:pStyle w:val="AERtablesource"/>
      </w:pPr>
      <w:r w:rsidRPr="00CF6BB8">
        <w:t>Note:</w:t>
      </w:r>
      <w:r w:rsidRPr="00CF6BB8">
        <w:tab/>
        <w:t>Numbers may not add up due to rounding.</w:t>
      </w:r>
    </w:p>
    <w:p w:rsidR="00B61E35" w:rsidRDefault="00B61E35" w:rsidP="00B61E35">
      <w:r>
        <w:fldChar w:fldCharType="begin"/>
      </w:r>
      <w:r>
        <w:instrText xml:space="preserve"> REF _Ref477339232 \h </w:instrText>
      </w:r>
      <w:r>
        <w:fldChar w:fldCharType="separate"/>
      </w:r>
      <w:r w:rsidR="00867A0E">
        <w:t xml:space="preserve">Figure </w:t>
      </w:r>
      <w:r w:rsidR="00867A0E">
        <w:rPr>
          <w:noProof/>
        </w:rPr>
        <w:t>3</w:t>
      </w:r>
      <w:r w:rsidR="00867A0E">
        <w:t>.</w:t>
      </w:r>
      <w:r w:rsidR="00867A0E">
        <w:rPr>
          <w:noProof/>
        </w:rPr>
        <w:t>3</w:t>
      </w:r>
      <w:r>
        <w:fldChar w:fldCharType="end"/>
      </w:r>
      <w:r>
        <w:t xml:space="preserve"> shows our capex decision compared to AusNet Services' proposal, its past allowances and past actual expenditure.</w:t>
      </w:r>
    </w:p>
    <w:p w:rsidR="00B61E35" w:rsidRDefault="00B61E35" w:rsidP="00B61E35">
      <w:pPr>
        <w:pStyle w:val="Caption"/>
      </w:pPr>
      <w:bookmarkStart w:id="70" w:name="_Ref477339232"/>
      <w:proofErr w:type="gramStart"/>
      <w:r>
        <w:lastRenderedPageBreak/>
        <w:t xml:space="preserve">Figure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8C2870">
        <w:t>.</w:t>
      </w:r>
      <w:proofErr w:type="gramEnd"/>
      <w:r w:rsidR="008C2870">
        <w:fldChar w:fldCharType="begin"/>
      </w:r>
      <w:r w:rsidR="008C2870">
        <w:instrText xml:space="preserve"> SEQ Figure \* ARABIC \s 1 </w:instrText>
      </w:r>
      <w:r w:rsidR="008C2870">
        <w:fldChar w:fldCharType="separate"/>
      </w:r>
      <w:r w:rsidR="00867A0E">
        <w:rPr>
          <w:noProof/>
        </w:rPr>
        <w:t>3</w:t>
      </w:r>
      <w:r w:rsidR="008C2870">
        <w:fldChar w:fldCharType="end"/>
      </w:r>
      <w:bookmarkEnd w:id="70"/>
      <w:r>
        <w:t xml:space="preserve"> AusNet Services' total actual and forecast capex 2014–2022</w:t>
      </w:r>
    </w:p>
    <w:p w:rsidR="00B61E35" w:rsidRDefault="00B61E35" w:rsidP="00B61E35">
      <w:r w:rsidRPr="00C906BB">
        <w:rPr>
          <w:noProof/>
          <w:lang w:eastAsia="en-AU"/>
        </w:rPr>
        <w:drawing>
          <wp:inline distT="0" distB="0" distL="0" distR="0" wp14:anchorId="3975D8DE" wp14:editId="790D94E9">
            <wp:extent cx="5382895" cy="3229737"/>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2895" cy="3229737"/>
                    </a:xfrm>
                    <a:prstGeom prst="rect">
                      <a:avLst/>
                    </a:prstGeom>
                    <a:noFill/>
                  </pic:spPr>
                </pic:pic>
              </a:graphicData>
            </a:graphic>
          </wp:inline>
        </w:drawing>
      </w:r>
    </w:p>
    <w:p w:rsidR="00B61E35" w:rsidRPr="00C906BB" w:rsidRDefault="00B61E35" w:rsidP="00D77464">
      <w:pPr>
        <w:pStyle w:val="AERtablesource"/>
      </w:pPr>
      <w:r w:rsidRPr="00664A10">
        <w:t>Source:</w:t>
      </w:r>
      <w:r w:rsidRPr="00664A10">
        <w:tab/>
        <w:t>AER analysis.</w:t>
      </w:r>
    </w:p>
    <w:p w:rsidR="00AA045A" w:rsidRDefault="00AA045A" w:rsidP="00B61E35">
      <w:r w:rsidRPr="00AA045A">
        <w:t>AusNet Services' forecasting methodology for replacement capex uses a quantified risk based approach to support an economic analysis of project costs and benefits. AusN</w:t>
      </w:r>
      <w:r>
        <w:t>et Services quantifies the cost</w:t>
      </w:r>
      <w:r w:rsidRPr="00AA045A">
        <w:t xml:space="preserve"> of asset failure associated with supply security, health and safety, environmental and plant collateral damage</w:t>
      </w:r>
      <w:r>
        <w:t xml:space="preserve"> risks</w:t>
      </w:r>
      <w:r w:rsidRPr="00AA045A">
        <w:t>, and replace</w:t>
      </w:r>
      <w:r>
        <w:t>s</w:t>
      </w:r>
      <w:r w:rsidRPr="00AA045A">
        <w:t xml:space="preserve"> assets when the quantified c</w:t>
      </w:r>
      <w:r>
        <w:t>osts of these risks outweigh</w:t>
      </w:r>
      <w:r w:rsidRPr="00AA045A">
        <w:t xml:space="preserve"> forecast replacement costs. This risk quantification approach is generally consistent with good industry practice. However</w:t>
      </w:r>
      <w:r>
        <w:t xml:space="preserve">, we </w:t>
      </w:r>
      <w:r w:rsidRPr="00AA045A">
        <w:t xml:space="preserve">have identified some issues relating to AusNet Services' </w:t>
      </w:r>
      <w:r>
        <w:t xml:space="preserve">input assumptions </w:t>
      </w:r>
      <w:r w:rsidRPr="00AA045A">
        <w:t>which have led us to conclude that AusNet Services’ economic assessment is likely</w:t>
      </w:r>
      <w:r>
        <w:t xml:space="preserve"> to overstate the cost </w:t>
      </w:r>
      <w:r w:rsidRPr="00AA045A">
        <w:t xml:space="preserve">of safety and supply security risks. </w:t>
      </w:r>
    </w:p>
    <w:p w:rsidR="00B61E35" w:rsidRDefault="00B61E35" w:rsidP="00B61E35">
      <w:r>
        <w:t xml:space="preserve">The key components of our </w:t>
      </w:r>
      <w:r w:rsidR="002C77C3">
        <w:t>final</w:t>
      </w:r>
      <w:r>
        <w:t xml:space="preserve"> decision include:</w:t>
      </w:r>
    </w:p>
    <w:p w:rsidR="00B61E35" w:rsidRDefault="00B61E35" w:rsidP="00B61E35">
      <w:pPr>
        <w:pStyle w:val="AERbulletlistfirststyle"/>
      </w:pPr>
      <w:r>
        <w:t>Reductions in replacement capex related to estimated risks associated with safety based on a more realistic assumption of the probability of safety related outcomes,</w:t>
      </w:r>
    </w:p>
    <w:p w:rsidR="00B61E35" w:rsidRDefault="00B61E35" w:rsidP="00B61E35">
      <w:pPr>
        <w:pStyle w:val="AERbulletlistfirststyle"/>
      </w:pPr>
      <w:r>
        <w:t>Reductions in replacement capex related to reliability risk driven by adoption of AEMO's forecasts of transmission connection point demand, and</w:t>
      </w:r>
    </w:p>
    <w:p w:rsidR="00B61E35" w:rsidRDefault="00B61E35" w:rsidP="00B61E35">
      <w:pPr>
        <w:pStyle w:val="AERbulletlistfirststyle"/>
      </w:pPr>
      <w:r>
        <w:t>Reductions in replacement capex related to reliability risk based on more realistic assumptions on the time to restore supply after a failure.</w:t>
      </w:r>
    </w:p>
    <w:p w:rsidR="00AA045A" w:rsidRDefault="00AA045A" w:rsidP="00DF009B">
      <w:r>
        <w:t>The quantum of the variou</w:t>
      </w:r>
      <w:r w:rsidR="00462CFD">
        <w:t xml:space="preserve">s reductions described above is less than the equivalent reductions applied in our draft decision, and indeed </w:t>
      </w:r>
      <w:r>
        <w:t>relatively minor</w:t>
      </w:r>
      <w:r w:rsidR="00462CFD">
        <w:t xml:space="preserve"> overall. This is due to the additional justification provided by AusNet Services to support the need for particular projects, such as the West Melbourne and East Rowville terminal station projects, and the application of revised input assumptions for safety risk exposure and forecast demand.</w:t>
      </w:r>
    </w:p>
    <w:p w:rsidR="00DF009B" w:rsidRPr="00DF009B" w:rsidRDefault="00DF009B" w:rsidP="00DF009B">
      <w:r w:rsidRPr="00DF009B">
        <w:lastRenderedPageBreak/>
        <w:t xml:space="preserve">Further detail on our </w:t>
      </w:r>
      <w:r w:rsidR="00C65992">
        <w:t>final</w:t>
      </w:r>
      <w:r w:rsidRPr="00DF009B">
        <w:t xml:space="preserve"> decision in regards to capex is set out in attachment 6.</w:t>
      </w:r>
    </w:p>
    <w:p w:rsidR="00DF009B" w:rsidRPr="007E0AB9" w:rsidRDefault="00DF009B" w:rsidP="00DF009B">
      <w:pPr>
        <w:pStyle w:val="Heading2"/>
      </w:pPr>
      <w:bookmarkStart w:id="71" w:name="_Ref451759140"/>
      <w:bookmarkStart w:id="72" w:name="_Toc456687652"/>
      <w:bookmarkStart w:id="73" w:name="_Toc480988360"/>
      <w:r>
        <w:t>Operating expenditure</w:t>
      </w:r>
      <w:bookmarkEnd w:id="71"/>
      <w:bookmarkEnd w:id="72"/>
      <w:bookmarkEnd w:id="73"/>
    </w:p>
    <w:p w:rsidR="005E726D" w:rsidRDefault="005E726D" w:rsidP="005E726D">
      <w:bookmarkStart w:id="74" w:name="_Ref477783424"/>
      <w:r w:rsidRPr="003F2642">
        <w:t>Our final decision is to approve</w:t>
      </w:r>
      <w:r>
        <w:t xml:space="preserve"> total forecast opex of $1132.0 </w:t>
      </w:r>
      <w:r w:rsidRPr="003F2642">
        <w:t xml:space="preserve">million ($2016–17) </w:t>
      </w:r>
      <w:r>
        <w:t xml:space="preserve">for the </w:t>
      </w:r>
      <w:r w:rsidRPr="003F2642">
        <w:t>2017–22 regulatory period</w:t>
      </w:r>
      <w:r>
        <w:t>,</w:t>
      </w:r>
      <w:r w:rsidRPr="003F2642">
        <w:t xml:space="preserve"> which we consider reasonably reflects the opex criteria under the National Electricity Rules.</w:t>
      </w:r>
    </w:p>
    <w:p w:rsidR="005E726D" w:rsidRPr="003F2642" w:rsidRDefault="005E726D" w:rsidP="005E726D">
      <w:r w:rsidRPr="003F2642">
        <w:t>Our final decision is higher than AusNet Services' revised proposal of $1049.6</w:t>
      </w:r>
      <w:r>
        <w:t> million</w:t>
      </w:r>
      <w:r w:rsidRPr="003F2642">
        <w:t xml:space="preserve"> ($2016–17)</w:t>
      </w:r>
      <w:r>
        <w:t>.</w:t>
      </w:r>
      <w:r>
        <w:rPr>
          <w:rStyle w:val="FootnoteReference"/>
        </w:rPr>
        <w:footnoteReference w:id="21"/>
      </w:r>
      <w:r w:rsidRPr="003F2642">
        <w:t xml:space="preserve"> </w:t>
      </w:r>
      <w:r>
        <w:t>This is because we have incorporated new information into our total opex forecast that became available</w:t>
      </w:r>
      <w:r w:rsidRPr="004838C8">
        <w:t xml:space="preserve"> </w:t>
      </w:r>
      <w:r>
        <w:t>subsequent to AusNet Services' revised proposal.</w:t>
      </w:r>
    </w:p>
    <w:p w:rsidR="005E726D" w:rsidRDefault="005E726D" w:rsidP="005E726D">
      <w:r>
        <w:t>The Victorian Government increased the easement land tax imposed on AusNet Services.</w:t>
      </w:r>
      <w:r>
        <w:rPr>
          <w:rStyle w:val="FootnoteReference"/>
        </w:rPr>
        <w:footnoteReference w:id="22"/>
      </w:r>
      <w:r w:rsidRPr="00807A57">
        <w:rPr>
          <w:rStyle w:val="FootnoteReference"/>
        </w:rPr>
        <w:t xml:space="preserve"> </w:t>
      </w:r>
      <w:r>
        <w:t xml:space="preserve">Accordingly, we increased our forecast of </w:t>
      </w:r>
      <w:r w:rsidRPr="00836A76">
        <w:rPr>
          <w:rStyle w:val="Emphasis"/>
        </w:rPr>
        <w:t>annual</w:t>
      </w:r>
      <w:r>
        <w:t xml:space="preserve"> easement land tax from $114.3 million to $135.0 million</w:t>
      </w:r>
      <w:r w:rsidRPr="00C4760B">
        <w:t xml:space="preserve"> </w:t>
      </w:r>
      <w:r>
        <w:t>($2016–17) in our alternative estimate.</w:t>
      </w:r>
      <w:r>
        <w:rPr>
          <w:rStyle w:val="FootnoteReference"/>
        </w:rPr>
        <w:footnoteReference w:id="23"/>
      </w:r>
      <w:r>
        <w:t xml:space="preserve"> Had this not occurred, our final decision would have been $21.2 million lower than AusNet Services' revised proposal. Otherwise, our final decision is largely consistent with our draft decision. </w:t>
      </w:r>
    </w:p>
    <w:p w:rsidR="005E726D" w:rsidRDefault="005E726D" w:rsidP="005E726D">
      <w:r>
        <w:t xml:space="preserve">Our final decision is set out in </w:t>
      </w:r>
      <w:r w:rsidRPr="00344244">
        <w:t xml:space="preserve">table </w:t>
      </w:r>
      <w:r>
        <w:t xml:space="preserve">3.6. </w:t>
      </w:r>
    </w:p>
    <w:p w:rsidR="004F3CE1" w:rsidRDefault="004F3CE1" w:rsidP="004F3CE1">
      <w:pPr>
        <w:pStyle w:val="Caption"/>
      </w:pPr>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8</w:t>
      </w:r>
      <w:r w:rsidR="00CD319A">
        <w:fldChar w:fldCharType="end"/>
      </w:r>
      <w:bookmarkEnd w:id="74"/>
      <w:r w:rsidRPr="00587369">
        <w:tab/>
        <w:t>Our final decision on total opex ($ million, 20</w:t>
      </w:r>
      <w:r>
        <w:t>16</w:t>
      </w:r>
      <w:r w:rsidRPr="00587369">
        <w:t>–</w:t>
      </w:r>
      <w:r>
        <w:t>17</w:t>
      </w:r>
      <w:r w:rsidRPr="00587369">
        <w:t>)</w:t>
      </w:r>
    </w:p>
    <w:tbl>
      <w:tblPr>
        <w:tblStyle w:val="AERtable-numbers"/>
        <w:tblW w:w="5000" w:type="pct"/>
        <w:tblLook w:val="04A0" w:firstRow="1" w:lastRow="0" w:firstColumn="1" w:lastColumn="0" w:noHBand="0" w:noVBand="1"/>
      </w:tblPr>
      <w:tblGrid>
        <w:gridCol w:w="2779"/>
        <w:gridCol w:w="959"/>
        <w:gridCol w:w="958"/>
        <w:gridCol w:w="958"/>
        <w:gridCol w:w="958"/>
        <w:gridCol w:w="958"/>
        <w:gridCol w:w="1123"/>
      </w:tblGrid>
      <w:tr w:rsidR="004F3CE1" w:rsidTr="004F3C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4F3CE1" w:rsidRDefault="004F3CE1" w:rsidP="004F3CE1"/>
        </w:tc>
        <w:tc>
          <w:tcPr>
            <w:tcW w:w="551"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201</w:t>
            </w:r>
            <w:r w:rsidRPr="004F3CE1">
              <w:t>7–18</w:t>
            </w:r>
          </w:p>
        </w:tc>
        <w:tc>
          <w:tcPr>
            <w:tcW w:w="551"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201</w:t>
            </w:r>
            <w:r w:rsidRPr="004F3CE1">
              <w:t>8–19</w:t>
            </w:r>
          </w:p>
        </w:tc>
        <w:tc>
          <w:tcPr>
            <w:tcW w:w="551"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20</w:t>
            </w:r>
            <w:r w:rsidRPr="004F3CE1">
              <w:t>19–20</w:t>
            </w:r>
          </w:p>
        </w:tc>
        <w:tc>
          <w:tcPr>
            <w:tcW w:w="551"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20</w:t>
            </w:r>
            <w:r w:rsidRPr="004F3CE1">
              <w:t>20–21</w:t>
            </w:r>
          </w:p>
        </w:tc>
        <w:tc>
          <w:tcPr>
            <w:tcW w:w="551"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202</w:t>
            </w:r>
            <w:r w:rsidRPr="004F3CE1">
              <w:t>1–22</w:t>
            </w:r>
          </w:p>
        </w:tc>
        <w:tc>
          <w:tcPr>
            <w:tcW w:w="646" w:type="pct"/>
          </w:tcPr>
          <w:p w:rsidR="004F3CE1" w:rsidRPr="004F3CE1" w:rsidRDefault="004F3CE1" w:rsidP="004F3CE1">
            <w:pPr>
              <w:cnfStyle w:val="100000000000" w:firstRow="1" w:lastRow="0" w:firstColumn="0" w:lastColumn="0" w:oddVBand="0" w:evenVBand="0" w:oddHBand="0" w:evenHBand="0" w:firstRowFirstColumn="0" w:firstRowLastColumn="0" w:lastRowFirstColumn="0" w:lastRowLastColumn="0"/>
            </w:pPr>
            <w:r>
              <w:t>Total</w:t>
            </w:r>
          </w:p>
        </w:tc>
      </w:tr>
      <w:tr w:rsidR="004F3CE1" w:rsidTr="004F3CE1">
        <w:tc>
          <w:tcPr>
            <w:cnfStyle w:val="001000000000" w:firstRow="0" w:lastRow="0" w:firstColumn="1" w:lastColumn="0" w:oddVBand="0" w:evenVBand="0" w:oddHBand="0" w:evenHBand="0" w:firstRowFirstColumn="0" w:firstRowLastColumn="0" w:lastRowFirstColumn="0" w:lastRowLastColumn="0"/>
            <w:tcW w:w="1598" w:type="pct"/>
          </w:tcPr>
          <w:p w:rsidR="004F3CE1" w:rsidRPr="004F3CE1" w:rsidRDefault="004F3CE1" w:rsidP="004F3CE1">
            <w:r w:rsidRPr="00146021">
              <w:t>AusNet Services' initial proposal</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218.9</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214.0</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215.5</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217.7</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219.0</w:t>
            </w:r>
          </w:p>
        </w:tc>
        <w:tc>
          <w:tcPr>
            <w:tcW w:w="646"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1085.0</w:t>
            </w:r>
          </w:p>
        </w:tc>
      </w:tr>
      <w:tr w:rsidR="004F3CE1" w:rsidTr="004F3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4F3CE1" w:rsidRPr="004F3CE1" w:rsidRDefault="004F3CE1" w:rsidP="004F3CE1">
            <w:r w:rsidRPr="00146021">
              <w:t>AER draft decision</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204.2</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204.4</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204.8</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205.2</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205.6</w:t>
            </w:r>
          </w:p>
        </w:tc>
        <w:tc>
          <w:tcPr>
            <w:tcW w:w="646"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461EC">
              <w:t>1024.1</w:t>
            </w:r>
          </w:p>
        </w:tc>
      </w:tr>
      <w:tr w:rsidR="004F3CE1" w:rsidTr="004F3CE1">
        <w:tc>
          <w:tcPr>
            <w:cnfStyle w:val="001000000000" w:firstRow="0" w:lastRow="0" w:firstColumn="1" w:lastColumn="0" w:oddVBand="0" w:evenVBand="0" w:oddHBand="0" w:evenHBand="0" w:firstRowFirstColumn="0" w:firstRowLastColumn="0" w:lastRowFirstColumn="0" w:lastRowLastColumn="0"/>
            <w:tcW w:w="1598" w:type="pct"/>
          </w:tcPr>
          <w:p w:rsidR="004F3CE1" w:rsidRPr="004F3CE1" w:rsidRDefault="004F3CE1" w:rsidP="004F3CE1">
            <w:r w:rsidRPr="00146021">
              <w:t>AusNet Services' revised proposal</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214.0</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208.0</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208.4</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209.5</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209.6</w:t>
            </w:r>
          </w:p>
        </w:tc>
        <w:tc>
          <w:tcPr>
            <w:tcW w:w="646"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pPr>
            <w:r w:rsidRPr="00B461EC">
              <w:t>1049.6</w:t>
            </w:r>
          </w:p>
        </w:tc>
      </w:tr>
      <w:tr w:rsidR="004F3CE1" w:rsidTr="004F3C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pct"/>
          </w:tcPr>
          <w:p w:rsidR="004F3CE1" w:rsidRPr="004F3CE1" w:rsidRDefault="004F3CE1" w:rsidP="004F3CE1">
            <w:r w:rsidRPr="00BE65DD">
              <w:t xml:space="preserve">AER </w:t>
            </w:r>
            <w:r w:rsidRPr="004F3CE1">
              <w:t>final decision excluding impact of increase in easement land tax</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204.6</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205.</w:t>
            </w:r>
            <w:r w:rsidRPr="004F3CE1">
              <w:t>1</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205.7</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206.2</w:t>
            </w:r>
          </w:p>
        </w:tc>
        <w:tc>
          <w:tcPr>
            <w:tcW w:w="551"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206.</w:t>
            </w:r>
            <w:r w:rsidRPr="004F3CE1">
              <w:t>7</w:t>
            </w:r>
          </w:p>
        </w:tc>
        <w:tc>
          <w:tcPr>
            <w:tcW w:w="646" w:type="pct"/>
            <w:vAlign w:val="top"/>
          </w:tcPr>
          <w:p w:rsidR="004F3CE1" w:rsidRPr="004F3CE1" w:rsidRDefault="004F3CE1" w:rsidP="004F3CE1">
            <w:pPr>
              <w:cnfStyle w:val="000000010000" w:firstRow="0" w:lastRow="0" w:firstColumn="0" w:lastColumn="0" w:oddVBand="0" w:evenVBand="0" w:oddHBand="0" w:evenHBand="1" w:firstRowFirstColumn="0" w:firstRowLastColumn="0" w:lastRowFirstColumn="0" w:lastRowLastColumn="0"/>
            </w:pPr>
            <w:r w:rsidRPr="00BE65DD">
              <w:t>1028.</w:t>
            </w:r>
            <w:r w:rsidRPr="004F3CE1">
              <w:t>4</w:t>
            </w:r>
          </w:p>
        </w:tc>
      </w:tr>
      <w:tr w:rsidR="004F3CE1" w:rsidTr="004F3CE1">
        <w:tc>
          <w:tcPr>
            <w:cnfStyle w:val="001000000000" w:firstRow="0" w:lastRow="0" w:firstColumn="1" w:lastColumn="0" w:oddVBand="0" w:evenVBand="0" w:oddHBand="0" w:evenHBand="0" w:firstRowFirstColumn="0" w:firstRowLastColumn="0" w:lastRowFirstColumn="0" w:lastRowLastColumn="0"/>
            <w:tcW w:w="1598" w:type="pct"/>
          </w:tcPr>
          <w:p w:rsidR="004F3CE1" w:rsidRPr="004F3CE1" w:rsidRDefault="004F3CE1" w:rsidP="004F3CE1">
            <w:pPr>
              <w:rPr>
                <w:rStyle w:val="Strong"/>
              </w:rPr>
            </w:pPr>
            <w:r w:rsidRPr="00B461EC">
              <w:rPr>
                <w:rStyle w:val="Strong"/>
              </w:rPr>
              <w:t>AER final decision</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225.</w:t>
            </w:r>
            <w:r w:rsidRPr="004F3CE1">
              <w:rPr>
                <w:rStyle w:val="Strong"/>
              </w:rPr>
              <w:t>4</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225.</w:t>
            </w:r>
            <w:r w:rsidRPr="004F3CE1">
              <w:rPr>
                <w:rStyle w:val="Strong"/>
              </w:rPr>
              <w:t>8</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226.4</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226.9</w:t>
            </w:r>
          </w:p>
        </w:tc>
        <w:tc>
          <w:tcPr>
            <w:tcW w:w="551"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227.</w:t>
            </w:r>
            <w:r w:rsidRPr="004F3CE1">
              <w:rPr>
                <w:rStyle w:val="Strong"/>
              </w:rPr>
              <w:t>4</w:t>
            </w:r>
          </w:p>
        </w:tc>
        <w:tc>
          <w:tcPr>
            <w:tcW w:w="646" w:type="pct"/>
            <w:vAlign w:val="top"/>
          </w:tcPr>
          <w:p w:rsidR="004F3CE1" w:rsidRPr="004F3CE1" w:rsidRDefault="004F3CE1" w:rsidP="004F3CE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1132.0</w:t>
            </w:r>
          </w:p>
        </w:tc>
      </w:tr>
    </w:tbl>
    <w:p w:rsidR="004F3CE1" w:rsidRDefault="004F3CE1" w:rsidP="00D77464">
      <w:pPr>
        <w:pStyle w:val="AERtablesource"/>
      </w:pPr>
      <w:r>
        <w:t>Source:</w:t>
      </w:r>
      <w:r w:rsidR="00D77464">
        <w:tab/>
      </w:r>
      <w:r>
        <w:t xml:space="preserve">AusNet Services, </w:t>
      </w:r>
      <w:r w:rsidR="00AA275A">
        <w:rPr>
          <w:rStyle w:val="Emphasis"/>
        </w:rPr>
        <w:t>R</w:t>
      </w:r>
      <w:r w:rsidRPr="00B25B20">
        <w:rPr>
          <w:rStyle w:val="Emphasis"/>
        </w:rPr>
        <w:t>evised proposal</w:t>
      </w:r>
      <w:r>
        <w:t xml:space="preserve">, AER analysis. Note: Excludes debt raising costs. Numbers may not add up due to rounding. </w:t>
      </w:r>
    </w:p>
    <w:p w:rsidR="004F3CE1" w:rsidRDefault="004F3CE1" w:rsidP="004F3CE1">
      <w:r>
        <w:fldChar w:fldCharType="begin"/>
      </w:r>
      <w:r>
        <w:instrText xml:space="preserve"> REF _Ref477783473 \h </w:instrText>
      </w:r>
      <w:r>
        <w:fldChar w:fldCharType="separate"/>
      </w:r>
      <w:r w:rsidR="00867A0E">
        <w:t xml:space="preserve">Figure </w:t>
      </w:r>
      <w:r w:rsidR="00867A0E">
        <w:rPr>
          <w:noProof/>
        </w:rPr>
        <w:t>3</w:t>
      </w:r>
      <w:r w:rsidR="00867A0E">
        <w:t>.</w:t>
      </w:r>
      <w:r w:rsidR="00867A0E">
        <w:rPr>
          <w:noProof/>
        </w:rPr>
        <w:t>4</w:t>
      </w:r>
      <w:r>
        <w:fldChar w:fldCharType="end"/>
      </w:r>
      <w:r>
        <w:t xml:space="preserve"> </w:t>
      </w:r>
      <w:r w:rsidRPr="00964D5F">
        <w:t xml:space="preserve">shows our </w:t>
      </w:r>
      <w:r>
        <w:t>final</w:t>
      </w:r>
      <w:r w:rsidRPr="00964D5F">
        <w:t xml:space="preserve"> decision compared to AusNet Services' </w:t>
      </w:r>
      <w:r>
        <w:t xml:space="preserve">initial and revised </w:t>
      </w:r>
      <w:r w:rsidRPr="00964D5F">
        <w:t>proposal</w:t>
      </w:r>
      <w:r>
        <w:t xml:space="preserve">s, </w:t>
      </w:r>
      <w:r w:rsidRPr="00964D5F">
        <w:t>its past allowances and actual expenditure.</w:t>
      </w:r>
      <w:r w:rsidR="00CF6BB8">
        <w:t xml:space="preserve"> It also shows the impact of the increase in the easement land tax on our final decision.</w:t>
      </w:r>
    </w:p>
    <w:p w:rsidR="004F3CE1" w:rsidRDefault="004F3CE1" w:rsidP="004F3CE1">
      <w:pPr>
        <w:pStyle w:val="Caption"/>
      </w:pPr>
      <w:bookmarkStart w:id="75" w:name="_Ref477783473"/>
      <w:proofErr w:type="gramStart"/>
      <w:r>
        <w:lastRenderedPageBreak/>
        <w:t xml:space="preserve">Figure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8C2870">
        <w:t>.</w:t>
      </w:r>
      <w:proofErr w:type="gramEnd"/>
      <w:r w:rsidR="00436E12">
        <w:fldChar w:fldCharType="begin"/>
      </w:r>
      <w:r w:rsidR="00436E12">
        <w:instrText xml:space="preserve"> SEQ Figure \* ARABIC \s 1 </w:instrText>
      </w:r>
      <w:r w:rsidR="00436E12">
        <w:fldChar w:fldCharType="separate"/>
      </w:r>
      <w:r w:rsidR="00867A0E">
        <w:rPr>
          <w:noProof/>
        </w:rPr>
        <w:t>4</w:t>
      </w:r>
      <w:r w:rsidR="00436E12">
        <w:rPr>
          <w:noProof/>
        </w:rPr>
        <w:fldChar w:fldCharType="end"/>
      </w:r>
      <w:bookmarkEnd w:id="75"/>
      <w:r>
        <w:tab/>
      </w:r>
      <w:r w:rsidRPr="00964D5F">
        <w:t>AER final decision compared to AusNet Services' past and</w:t>
      </w:r>
      <w:r>
        <w:t xml:space="preserve"> proposed opex ($ million, 2016–</w:t>
      </w:r>
      <w:r w:rsidRPr="00964D5F">
        <w:t>17)</w:t>
      </w:r>
    </w:p>
    <w:p w:rsidR="00545DF6" w:rsidRDefault="00545DF6" w:rsidP="004F3CE1">
      <w:pPr>
        <w:pStyle w:val="Source"/>
      </w:pPr>
      <w:r>
        <w:rPr>
          <w:noProof/>
          <w:lang w:eastAsia="en-AU"/>
        </w:rPr>
        <w:drawing>
          <wp:inline distT="0" distB="0" distL="0" distR="0" wp14:anchorId="74A62EA6" wp14:editId="26588786">
            <wp:extent cx="5534025" cy="386882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5645" cy="3869955"/>
                    </a:xfrm>
                    <a:prstGeom prst="rect">
                      <a:avLst/>
                    </a:prstGeom>
                    <a:noFill/>
                  </pic:spPr>
                </pic:pic>
              </a:graphicData>
            </a:graphic>
          </wp:inline>
        </w:drawing>
      </w:r>
    </w:p>
    <w:p w:rsidR="004F3CE1" w:rsidRDefault="004F3CE1" w:rsidP="00D77464">
      <w:pPr>
        <w:pStyle w:val="AERtablesource"/>
      </w:pPr>
      <w:r w:rsidRPr="00964D5F">
        <w:t>Source:</w:t>
      </w:r>
      <w:r w:rsidR="00D77464">
        <w:tab/>
      </w:r>
      <w:r w:rsidRPr="00964D5F">
        <w:t>AusNet Services</w:t>
      </w:r>
      <w:r w:rsidRPr="00964D5F">
        <w:rPr>
          <w:rStyle w:val="Emphasis"/>
        </w:rPr>
        <w:t>, Regulatory accounts 2008-09 to 2014</w:t>
      </w:r>
      <w:r>
        <w:rPr>
          <w:rStyle w:val="Emphasis"/>
        </w:rPr>
        <w:t>–</w:t>
      </w:r>
      <w:r w:rsidRPr="00964D5F">
        <w:rPr>
          <w:rStyle w:val="Emphasis"/>
        </w:rPr>
        <w:t>15</w:t>
      </w:r>
      <w:r w:rsidRPr="00964D5F">
        <w:t xml:space="preserve">; AusNet Services, </w:t>
      </w:r>
      <w:r w:rsidRPr="00964D5F">
        <w:rPr>
          <w:rStyle w:val="Emphasis"/>
        </w:rPr>
        <w:t>Economic benchmarking - Regulatory Information Notice response 2006 to 2015</w:t>
      </w:r>
      <w:r w:rsidRPr="00964D5F">
        <w:t xml:space="preserve">; </w:t>
      </w:r>
      <w:r>
        <w:t xml:space="preserve">AusNet Services, </w:t>
      </w:r>
      <w:r w:rsidRPr="00964D5F">
        <w:rPr>
          <w:rStyle w:val="Emphasis"/>
        </w:rPr>
        <w:t xml:space="preserve">initial and revised </w:t>
      </w:r>
      <w:r>
        <w:rPr>
          <w:rStyle w:val="Emphasis"/>
        </w:rPr>
        <w:t xml:space="preserve">opex model and </w:t>
      </w:r>
      <w:r w:rsidRPr="00964D5F">
        <w:rPr>
          <w:rStyle w:val="Emphasis"/>
        </w:rPr>
        <w:t>PTRM</w:t>
      </w:r>
      <w:r>
        <w:t xml:space="preserve">, </w:t>
      </w:r>
      <w:r w:rsidRPr="00964D5F">
        <w:t>AER analys</w:t>
      </w:r>
      <w:r>
        <w:t>is. Note: Excludes debt raising costs and movements in provisions.</w:t>
      </w:r>
    </w:p>
    <w:p w:rsidR="00052B4A" w:rsidRDefault="00052B4A" w:rsidP="00052B4A">
      <w:r>
        <w:t>We assessed AusNet Services' opex proposal by applying our</w:t>
      </w:r>
      <w:r w:rsidRPr="00C31089">
        <w:t xml:space="preserve"> 'base</w:t>
      </w:r>
      <w:r>
        <w:t>–</w:t>
      </w:r>
      <w:r w:rsidRPr="00C31089">
        <w:t>step</w:t>
      </w:r>
      <w:r>
        <w:t>–</w:t>
      </w:r>
      <w:r w:rsidRPr="00C31089">
        <w:t>trend' forecasting approach</w:t>
      </w:r>
      <w:r>
        <w:t xml:space="preserve"> to develop our alternative estimate</w:t>
      </w:r>
      <w:r w:rsidRPr="00C31089">
        <w:t>.</w:t>
      </w:r>
    </w:p>
    <w:p w:rsidR="00052B4A" w:rsidRDefault="00052B4A" w:rsidP="00052B4A">
      <w:r>
        <w:t xml:space="preserve">We used AusNet Services' reported opex in 2014–15 as the 'base' component of our opex forecast for 2017–22. </w:t>
      </w:r>
      <w:r w:rsidRPr="00EB6ED0">
        <w:t xml:space="preserve">Our </w:t>
      </w:r>
      <w:r>
        <w:t xml:space="preserve">transmission </w:t>
      </w:r>
      <w:r w:rsidRPr="00EB6ED0">
        <w:t xml:space="preserve">benchmarking results do not indicate AusNet Services' </w:t>
      </w:r>
      <w:r>
        <w:t>reported</w:t>
      </w:r>
      <w:r w:rsidRPr="00EB6ED0">
        <w:t xml:space="preserve"> opex is materially inefficient</w:t>
      </w:r>
      <w:r>
        <w:t xml:space="preserve"> compared to the other NEM businesses</w:t>
      </w:r>
      <w:r w:rsidRPr="00EB6ED0">
        <w:t>.</w:t>
      </w:r>
      <w:r>
        <w:t xml:space="preserve"> We therefore consider its reported opex</w:t>
      </w:r>
      <w:r w:rsidRPr="00F158CA">
        <w:t xml:space="preserve"> </w:t>
      </w:r>
      <w:r>
        <w:t xml:space="preserve">in 2014–15 </w:t>
      </w:r>
      <w:r w:rsidRPr="00F158CA">
        <w:t>is a reasonable starting point for determining our opex forecast.</w:t>
      </w:r>
    </w:p>
    <w:p w:rsidR="00052B4A" w:rsidRDefault="00052B4A" w:rsidP="00052B4A">
      <w:r>
        <w:t>O</w:t>
      </w:r>
      <w:r w:rsidRPr="007107AF">
        <w:t>ur forecast of the rate of change is lower than AusNet Services'</w:t>
      </w:r>
      <w:r>
        <w:t xml:space="preserve"> for two key reasons</w:t>
      </w:r>
      <w:r w:rsidRPr="007107AF">
        <w:t>.</w:t>
      </w:r>
    </w:p>
    <w:p w:rsidR="00052B4A" w:rsidRDefault="00052B4A" w:rsidP="00052B4A">
      <w:r>
        <w:t xml:space="preserve">First, in forecasting labour price growth, </w:t>
      </w:r>
      <w:r w:rsidRPr="007107AF">
        <w:t>AusNet Services treat</w:t>
      </w:r>
      <w:r>
        <w:t>ed</w:t>
      </w:r>
      <w:r w:rsidRPr="007107AF">
        <w:t xml:space="preserve"> all services contract expenditure as labour</w:t>
      </w:r>
      <w:r>
        <w:t xml:space="preserve"> costs</w:t>
      </w:r>
      <w:r w:rsidRPr="007107AF">
        <w:t>. This assumes the price change of contractors' non-labour inputs is the same as the</w:t>
      </w:r>
      <w:r>
        <w:t xml:space="preserve">ir labour. Consequently, AusNet </w:t>
      </w:r>
      <w:r w:rsidRPr="007107AF">
        <w:t xml:space="preserve">Services applied a higher weighting to labour price growth in determining the mix of labour and non-labour price growth. </w:t>
      </w:r>
      <w:r>
        <w:t>Given labour costs are expected to increase at a higher rate than non-labour inputs, t</w:t>
      </w:r>
      <w:r w:rsidRPr="007107AF">
        <w:t>his overstates the cost inputs required by a prudent and efficient</w:t>
      </w:r>
      <w:r>
        <w:t xml:space="preserve"> network service provider</w:t>
      </w:r>
      <w:r w:rsidRPr="007107AF">
        <w:t>.</w:t>
      </w:r>
      <w:r>
        <w:t xml:space="preserve"> </w:t>
      </w:r>
    </w:p>
    <w:p w:rsidR="00052B4A" w:rsidRDefault="00052B4A" w:rsidP="00052B4A">
      <w:r>
        <w:lastRenderedPageBreak/>
        <w:t xml:space="preserve">Second, for the cost inputs calculation, we reject AusNet Services' proposal to use 'firm-specific weights', which were </w:t>
      </w:r>
      <w:r w:rsidRPr="007107AF">
        <w:t>based on its actual expenditure in 2014</w:t>
      </w:r>
      <w:r>
        <w:t>, rather than the 'benchmark weights' we typically apply across our regulatory decisions. We consider that using a network business' actual input price weights distorts the incentive to use the efficient proportion of internal labour, among other concerns.</w:t>
      </w:r>
    </w:p>
    <w:p w:rsidR="00052B4A" w:rsidRDefault="00052B4A" w:rsidP="00052B4A">
      <w:r>
        <w:t xml:space="preserve">We have not incorporated any step changes in our opex forecast. AusNet Services' proposed step changes are not driven by new regulatory obligations or efficient capex-opex trade-offs. </w:t>
      </w:r>
      <w:r w:rsidRPr="00790CF9">
        <w:t xml:space="preserve">We consider </w:t>
      </w:r>
      <w:r>
        <w:t xml:space="preserve">adding step changes for </w:t>
      </w:r>
      <w:r w:rsidRPr="00790CF9">
        <w:t>new or increasing opex items</w:t>
      </w:r>
      <w:r>
        <w:t xml:space="preserve"> identified by AusNet Services </w:t>
      </w:r>
      <w:r w:rsidRPr="00790CF9">
        <w:rPr>
          <w:rStyle w:val="Emphasis"/>
        </w:rPr>
        <w:t>and</w:t>
      </w:r>
      <w:r>
        <w:t xml:space="preserve"> i</w:t>
      </w:r>
      <w:r w:rsidRPr="00790CF9">
        <w:t xml:space="preserve">ncorporating </w:t>
      </w:r>
      <w:r>
        <w:t>AusNet Services'</w:t>
      </w:r>
      <w:r w:rsidRPr="00790CF9">
        <w:t xml:space="preserve"> revealed costs </w:t>
      </w:r>
      <w:r w:rsidRPr="009F32FD">
        <w:t xml:space="preserve">would lead to a forecast </w:t>
      </w:r>
      <w:r>
        <w:t>of total opex that is above efficient levels. For similar reasons, we</w:t>
      </w:r>
      <w:r w:rsidRPr="00790CF9">
        <w:t xml:space="preserve"> have not included a category specific forecast for self-insurance</w:t>
      </w:r>
      <w:r>
        <w:t xml:space="preserve"> as proposed by AusNet Services</w:t>
      </w:r>
      <w:r w:rsidRPr="00790CF9">
        <w:t xml:space="preserve">. </w:t>
      </w:r>
    </w:p>
    <w:p w:rsidR="00DF009B" w:rsidRDefault="00DF009B" w:rsidP="00DF009B">
      <w:r>
        <w:t xml:space="preserve">Further detail on our </w:t>
      </w:r>
      <w:r w:rsidR="00C65992">
        <w:t>final</w:t>
      </w:r>
      <w:r>
        <w:t xml:space="preserve"> decision in regard to opex is set out in attachment 7. </w:t>
      </w:r>
    </w:p>
    <w:p w:rsidR="00DF009B" w:rsidRPr="007E0AB9" w:rsidRDefault="00DF009B" w:rsidP="00DF009B">
      <w:pPr>
        <w:pStyle w:val="Heading2"/>
      </w:pPr>
      <w:bookmarkStart w:id="76" w:name="_Ref451759154"/>
      <w:bookmarkStart w:id="77" w:name="_Toc456687653"/>
      <w:bookmarkStart w:id="78" w:name="_Toc480988361"/>
      <w:r>
        <w:t>Corporate income tax</w:t>
      </w:r>
      <w:bookmarkEnd w:id="76"/>
      <w:bookmarkEnd w:id="77"/>
      <w:bookmarkEnd w:id="78"/>
    </w:p>
    <w:p w:rsidR="00054A73" w:rsidRPr="00054A73" w:rsidRDefault="00054A73" w:rsidP="00054A73">
      <w:r w:rsidRPr="00054A73">
        <w:t xml:space="preserve">We make a decision on the estimated cost of corporate income tax for AusNet Services' 2017–22 regulatory control </w:t>
      </w:r>
      <w:proofErr w:type="gramStart"/>
      <w:r w:rsidRPr="00054A73">
        <w:t>period</w:t>
      </w:r>
      <w:proofErr w:type="gramEnd"/>
      <w:r w:rsidRPr="00054A73">
        <w:t xml:space="preserve"> as part of our revenue determination.  It enables AusNet Services to recover the costs associated with the estimated corporate income tax payable during the regulatory control period. </w:t>
      </w:r>
    </w:p>
    <w:p w:rsidR="00DF009B" w:rsidRDefault="00054A73" w:rsidP="00C33E76">
      <w:r w:rsidRPr="00054A73">
        <w:t xml:space="preserve">Our </w:t>
      </w:r>
      <w:r>
        <w:t>final</w:t>
      </w:r>
      <w:r w:rsidRPr="00054A73">
        <w:t xml:space="preserve"> decision includes an estimated cost of corporate income tax </w:t>
      </w:r>
      <w:r w:rsidRPr="00C33E76">
        <w:t>of $</w:t>
      </w:r>
      <w:r w:rsidR="00C33E76" w:rsidRPr="00C33E76">
        <w:t>59.</w:t>
      </w:r>
      <w:r w:rsidR="005572D8">
        <w:t>5</w:t>
      </w:r>
      <w:r w:rsidRPr="00C33E76">
        <w:t xml:space="preserve"> million ($ nominal) for AusNet Services over the 2017–22 regulatory control period. This represents a </w:t>
      </w:r>
      <w:r w:rsidR="00C33E76">
        <w:t>reduction</w:t>
      </w:r>
      <w:r w:rsidRPr="00C33E76">
        <w:t xml:space="preserve"> of $</w:t>
      </w:r>
      <w:r w:rsidR="00C33E76" w:rsidRPr="00C33E76">
        <w:t>53.</w:t>
      </w:r>
      <w:r w:rsidR="005572D8">
        <w:t>1</w:t>
      </w:r>
      <w:r w:rsidR="00C33E76" w:rsidRPr="00C33E76">
        <w:t> </w:t>
      </w:r>
      <w:r w:rsidRPr="00C33E76">
        <w:t xml:space="preserve">million </w:t>
      </w:r>
      <w:r w:rsidR="00C33E76" w:rsidRPr="00C33E76">
        <w:t>(or 47.</w:t>
      </w:r>
      <w:r w:rsidR="005572D8">
        <w:t>2</w:t>
      </w:r>
      <w:r w:rsidR="00C33E76" w:rsidRPr="00C33E76">
        <w:t xml:space="preserve"> per cent)</w:t>
      </w:r>
      <w:r w:rsidRPr="00C33E76">
        <w:t xml:space="preserve"> from AusNet Services’</w:t>
      </w:r>
      <w:r w:rsidRPr="00023C54">
        <w:rPr>
          <w:rStyle w:val="AERbody"/>
        </w:rPr>
        <w:t xml:space="preserve"> revised proposal. </w:t>
      </w:r>
      <w:r w:rsidRPr="00054A73">
        <w:t xml:space="preserve"> </w:t>
      </w:r>
      <w:r>
        <w:fldChar w:fldCharType="begin"/>
      </w:r>
      <w:r>
        <w:instrText xml:space="preserve"> REF _Ref477256625 \h </w:instrText>
      </w:r>
      <w:r>
        <w:fldChar w:fldCharType="separate"/>
      </w:r>
      <w:r w:rsidR="00867A0E">
        <w:t xml:space="preserve">Table </w:t>
      </w:r>
      <w:r w:rsidR="00867A0E">
        <w:rPr>
          <w:noProof/>
        </w:rPr>
        <w:t>3</w:t>
      </w:r>
      <w:r w:rsidR="00867A0E">
        <w:t>.</w:t>
      </w:r>
      <w:r w:rsidR="00867A0E">
        <w:rPr>
          <w:noProof/>
        </w:rPr>
        <w:t>9</w:t>
      </w:r>
      <w:r>
        <w:fldChar w:fldCharType="end"/>
      </w:r>
      <w:r>
        <w:t xml:space="preserve"> </w:t>
      </w:r>
      <w:r w:rsidRPr="00054A73">
        <w:t xml:space="preserve">shows our </w:t>
      </w:r>
      <w:r>
        <w:t>final</w:t>
      </w:r>
      <w:r w:rsidRPr="00054A73">
        <w:t xml:space="preserve"> decision on AusNet Services' corporate income tax allowance for the 2017–22 regulatory control </w:t>
      </w:r>
      <w:proofErr w:type="gramStart"/>
      <w:r w:rsidRPr="00054A73">
        <w:t>period</w:t>
      </w:r>
      <w:proofErr w:type="gramEnd"/>
      <w:r w:rsidRPr="00054A73">
        <w:t>.</w:t>
      </w:r>
    </w:p>
    <w:p w:rsidR="00054A73" w:rsidRDefault="00054A73" w:rsidP="009C25B3">
      <w:pPr>
        <w:pStyle w:val="Caption"/>
      </w:pPr>
      <w:bookmarkStart w:id="79" w:name="_Ref477256625"/>
      <w:proofErr w:type="gramStart"/>
      <w:r>
        <w:t xml:space="preserve">Table </w:t>
      </w:r>
      <w:r w:rsidR="00504B86">
        <w:fldChar w:fldCharType="begin"/>
      </w:r>
      <w:r w:rsidR="00504B86">
        <w:instrText xml:space="preserve"> STYLEREF 1 \s </w:instrText>
      </w:r>
      <w:r w:rsidR="00504B86">
        <w:fldChar w:fldCharType="separate"/>
      </w:r>
      <w:r w:rsidR="00867A0E">
        <w:rPr>
          <w:noProof/>
        </w:rPr>
        <w:t>3</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9</w:t>
      </w:r>
      <w:r w:rsidR="00CD319A">
        <w:fldChar w:fldCharType="end"/>
      </w:r>
      <w:bookmarkEnd w:id="79"/>
      <w:r>
        <w:tab/>
      </w:r>
      <w:r w:rsidRPr="00054A73">
        <w:t xml:space="preserve">AER's </w:t>
      </w:r>
      <w:r>
        <w:t>final</w:t>
      </w:r>
      <w:r w:rsidRPr="00054A73">
        <w:t xml:space="preserve"> decision on corporate income tax allowance for AusNet Services ($million, nominal)</w:t>
      </w:r>
    </w:p>
    <w:tbl>
      <w:tblPr>
        <w:tblStyle w:val="AERtable-numbers"/>
        <w:tblW w:w="8644" w:type="dxa"/>
        <w:tblLayout w:type="fixed"/>
        <w:tblLook w:val="04A0" w:firstRow="1" w:lastRow="0" w:firstColumn="1" w:lastColumn="0" w:noHBand="0" w:noVBand="1"/>
      </w:tblPr>
      <w:tblGrid>
        <w:gridCol w:w="3085"/>
        <w:gridCol w:w="926"/>
        <w:gridCol w:w="927"/>
        <w:gridCol w:w="926"/>
        <w:gridCol w:w="927"/>
        <w:gridCol w:w="926"/>
        <w:gridCol w:w="927"/>
      </w:tblGrid>
      <w:tr w:rsidR="00054A73" w:rsidRPr="00F320DF" w:rsidTr="00957C1D">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054A73" w:rsidRPr="00054A73" w:rsidRDefault="00054A73" w:rsidP="00054A73">
            <w:r w:rsidRPr="00F320DF">
              <w:t> </w:t>
            </w:r>
          </w:p>
        </w:tc>
        <w:tc>
          <w:tcPr>
            <w:tcW w:w="926"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2017–18</w:t>
            </w:r>
          </w:p>
        </w:tc>
        <w:tc>
          <w:tcPr>
            <w:tcW w:w="927"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2018–19</w:t>
            </w:r>
          </w:p>
        </w:tc>
        <w:tc>
          <w:tcPr>
            <w:tcW w:w="926"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2019–20</w:t>
            </w:r>
          </w:p>
        </w:tc>
        <w:tc>
          <w:tcPr>
            <w:tcW w:w="927"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2020–21</w:t>
            </w:r>
          </w:p>
        </w:tc>
        <w:tc>
          <w:tcPr>
            <w:tcW w:w="926"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2021–22</w:t>
            </w:r>
          </w:p>
        </w:tc>
        <w:tc>
          <w:tcPr>
            <w:tcW w:w="927" w:type="dxa"/>
            <w:noWrap/>
            <w:hideMark/>
          </w:tcPr>
          <w:p w:rsidR="00054A73" w:rsidRPr="00054A73" w:rsidRDefault="00054A73" w:rsidP="00054A73">
            <w:pPr>
              <w:cnfStyle w:val="100000000000" w:firstRow="1" w:lastRow="0" w:firstColumn="0" w:lastColumn="0" w:oddVBand="0" w:evenVBand="0" w:oddHBand="0" w:evenHBand="0" w:firstRowFirstColumn="0" w:firstRowLastColumn="0" w:lastRowFirstColumn="0" w:lastRowLastColumn="0"/>
            </w:pPr>
            <w:r w:rsidRPr="00F320DF">
              <w:t>Total</w:t>
            </w:r>
          </w:p>
        </w:tc>
      </w:tr>
      <w:tr w:rsidR="00C33E76" w:rsidRPr="00F320DF" w:rsidTr="00957C1D">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C33E76" w:rsidRPr="00C33E76" w:rsidRDefault="00C33E76" w:rsidP="00C33E76">
            <w:r w:rsidRPr="00C33E76">
              <w:t>Tax payable</w:t>
            </w:r>
          </w:p>
        </w:tc>
        <w:tc>
          <w:tcPr>
            <w:tcW w:w="926"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highlight w:val="yellow"/>
              </w:rPr>
            </w:pPr>
            <w:r w:rsidRPr="00C33E76">
              <w:t>22.</w:t>
            </w:r>
            <w:r w:rsidR="005572D8">
              <w:t>1</w:t>
            </w:r>
          </w:p>
        </w:tc>
        <w:tc>
          <w:tcPr>
            <w:tcW w:w="927"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highlight w:val="yellow"/>
              </w:rPr>
            </w:pPr>
            <w:r w:rsidRPr="00C33E76">
              <w:t>17.7</w:t>
            </w:r>
          </w:p>
        </w:tc>
        <w:tc>
          <w:tcPr>
            <w:tcW w:w="926"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highlight w:val="yellow"/>
              </w:rPr>
            </w:pPr>
            <w:r w:rsidRPr="00C33E76">
              <w:t>20.6</w:t>
            </w:r>
          </w:p>
        </w:tc>
        <w:tc>
          <w:tcPr>
            <w:tcW w:w="927"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highlight w:val="yellow"/>
              </w:rPr>
            </w:pPr>
            <w:r w:rsidRPr="00C33E76">
              <w:t>23.3</w:t>
            </w:r>
          </w:p>
        </w:tc>
        <w:tc>
          <w:tcPr>
            <w:tcW w:w="926"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highlight w:val="yellow"/>
              </w:rPr>
            </w:pPr>
            <w:r w:rsidRPr="00C33E76">
              <w:t>15.4</w:t>
            </w:r>
          </w:p>
        </w:tc>
        <w:tc>
          <w:tcPr>
            <w:tcW w:w="927" w:type="dxa"/>
            <w:noWrap/>
            <w:vAlign w:val="bottom"/>
          </w:tcPr>
          <w:p w:rsidR="00C33E76" w:rsidRPr="00C33E76" w:rsidRDefault="00C33E76" w:rsidP="005572D8">
            <w:pPr>
              <w:cnfStyle w:val="000000000000" w:firstRow="0" w:lastRow="0" w:firstColumn="0" w:lastColumn="0" w:oddVBand="0" w:evenVBand="0" w:oddHBand="0" w:evenHBand="0" w:firstRowFirstColumn="0" w:firstRowLastColumn="0" w:lastRowFirstColumn="0" w:lastRowLastColumn="0"/>
              <w:rPr>
                <w:highlight w:val="yellow"/>
              </w:rPr>
            </w:pPr>
            <w:r w:rsidRPr="00C33E76">
              <w:t>99.</w:t>
            </w:r>
            <w:r w:rsidR="005572D8">
              <w:t>2</w:t>
            </w:r>
          </w:p>
        </w:tc>
      </w:tr>
      <w:tr w:rsidR="00C33E76" w:rsidRPr="00F320DF" w:rsidTr="00957C1D">
        <w:trPr>
          <w:cnfStyle w:val="000000010000" w:firstRow="0" w:lastRow="0" w:firstColumn="0" w:lastColumn="0" w:oddVBand="0" w:evenVBand="0" w:oddHBand="0" w:evenHBand="1"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C33E76" w:rsidRPr="00C33E76" w:rsidRDefault="00C33E76" w:rsidP="00C33E76">
            <w:r w:rsidRPr="00C33E76">
              <w:rPr>
                <w:rStyle w:val="Emphasis"/>
              </w:rPr>
              <w:t xml:space="preserve">Less: </w:t>
            </w:r>
            <w:r w:rsidRPr="00C33E76">
              <w:t>value of imputation credits</w:t>
            </w:r>
          </w:p>
        </w:tc>
        <w:tc>
          <w:tcPr>
            <w:tcW w:w="926"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8.8</w:t>
            </w:r>
          </w:p>
        </w:tc>
        <w:tc>
          <w:tcPr>
            <w:tcW w:w="927"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7.1</w:t>
            </w:r>
          </w:p>
        </w:tc>
        <w:tc>
          <w:tcPr>
            <w:tcW w:w="926"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8.2</w:t>
            </w:r>
          </w:p>
        </w:tc>
        <w:tc>
          <w:tcPr>
            <w:tcW w:w="927"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9.3</w:t>
            </w:r>
          </w:p>
        </w:tc>
        <w:tc>
          <w:tcPr>
            <w:tcW w:w="926"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6.2</w:t>
            </w:r>
          </w:p>
        </w:tc>
        <w:tc>
          <w:tcPr>
            <w:tcW w:w="927" w:type="dxa"/>
            <w:noWrap/>
            <w:vAlign w:val="bottom"/>
          </w:tcPr>
          <w:p w:rsidR="00C33E76" w:rsidRPr="00C33E76" w:rsidRDefault="00C33E76" w:rsidP="00C33E76">
            <w:pPr>
              <w:cnfStyle w:val="000000010000" w:firstRow="0" w:lastRow="0" w:firstColumn="0" w:lastColumn="0" w:oddVBand="0" w:evenVBand="0" w:oddHBand="0" w:evenHBand="1" w:firstRowFirstColumn="0" w:firstRowLastColumn="0" w:lastRowFirstColumn="0" w:lastRowLastColumn="0"/>
              <w:rPr>
                <w:highlight w:val="yellow"/>
              </w:rPr>
            </w:pPr>
            <w:r w:rsidRPr="00C33E76">
              <w:t>39.</w:t>
            </w:r>
            <w:r w:rsidR="005572D8">
              <w:t>7</w:t>
            </w:r>
          </w:p>
        </w:tc>
      </w:tr>
      <w:tr w:rsidR="00C33E76" w:rsidRPr="00C33E76" w:rsidTr="00957C1D">
        <w:trPr>
          <w:trHeight w:val="321"/>
        </w:trPr>
        <w:tc>
          <w:tcPr>
            <w:cnfStyle w:val="001000000000" w:firstRow="0" w:lastRow="0" w:firstColumn="1" w:lastColumn="0" w:oddVBand="0" w:evenVBand="0" w:oddHBand="0" w:evenHBand="0" w:firstRowFirstColumn="0" w:firstRowLastColumn="0" w:lastRowFirstColumn="0" w:lastRowLastColumn="0"/>
            <w:tcW w:w="3085" w:type="dxa"/>
            <w:noWrap/>
            <w:hideMark/>
          </w:tcPr>
          <w:p w:rsidR="00C33E76" w:rsidRPr="00C33E76" w:rsidRDefault="00C33E76" w:rsidP="00C33E76">
            <w:pPr>
              <w:rPr>
                <w:rStyle w:val="Strong"/>
              </w:rPr>
            </w:pPr>
            <w:r w:rsidRPr="00C33E76">
              <w:rPr>
                <w:rStyle w:val="Strong"/>
              </w:rPr>
              <w:t>Net corporate income tax allowance</w:t>
            </w:r>
          </w:p>
        </w:tc>
        <w:tc>
          <w:tcPr>
            <w:tcW w:w="926"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13.2</w:t>
            </w:r>
          </w:p>
        </w:tc>
        <w:tc>
          <w:tcPr>
            <w:tcW w:w="927"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10.6</w:t>
            </w:r>
          </w:p>
        </w:tc>
        <w:tc>
          <w:tcPr>
            <w:tcW w:w="926" w:type="dxa"/>
            <w:noWrap/>
            <w:vAlign w:val="bottom"/>
          </w:tcPr>
          <w:p w:rsidR="00C33E76" w:rsidRPr="00C33E76" w:rsidRDefault="00C33E76" w:rsidP="005572D8">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12.</w:t>
            </w:r>
            <w:r w:rsidR="005572D8">
              <w:rPr>
                <w:rStyle w:val="Strong"/>
              </w:rPr>
              <w:t>4</w:t>
            </w:r>
          </w:p>
        </w:tc>
        <w:tc>
          <w:tcPr>
            <w:tcW w:w="927"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14.0</w:t>
            </w:r>
          </w:p>
        </w:tc>
        <w:tc>
          <w:tcPr>
            <w:tcW w:w="926" w:type="dxa"/>
            <w:noWrap/>
            <w:vAlign w:val="bottom"/>
          </w:tcPr>
          <w:p w:rsidR="00C33E76" w:rsidRPr="00C33E76" w:rsidRDefault="00C33E76" w:rsidP="00C33E76">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9.2</w:t>
            </w:r>
          </w:p>
        </w:tc>
        <w:tc>
          <w:tcPr>
            <w:tcW w:w="927" w:type="dxa"/>
            <w:noWrap/>
            <w:vAlign w:val="bottom"/>
          </w:tcPr>
          <w:p w:rsidR="00C33E76" w:rsidRPr="00C33E76" w:rsidRDefault="00C33E76" w:rsidP="005572D8">
            <w:pPr>
              <w:cnfStyle w:val="000000000000" w:firstRow="0" w:lastRow="0" w:firstColumn="0" w:lastColumn="0" w:oddVBand="0" w:evenVBand="0" w:oddHBand="0" w:evenHBand="0" w:firstRowFirstColumn="0" w:firstRowLastColumn="0" w:lastRowFirstColumn="0" w:lastRowLastColumn="0"/>
              <w:rPr>
                <w:rStyle w:val="Strong"/>
                <w:highlight w:val="yellow"/>
              </w:rPr>
            </w:pPr>
            <w:r w:rsidRPr="00C33E76">
              <w:rPr>
                <w:rStyle w:val="Strong"/>
              </w:rPr>
              <w:t>59.</w:t>
            </w:r>
            <w:r w:rsidR="005572D8">
              <w:rPr>
                <w:rStyle w:val="Strong"/>
              </w:rPr>
              <w:t>5</w:t>
            </w:r>
          </w:p>
        </w:tc>
      </w:tr>
    </w:tbl>
    <w:p w:rsidR="00054A73" w:rsidRPr="00F41B1C" w:rsidRDefault="00C33E76" w:rsidP="00F41B1C">
      <w:pPr>
        <w:pStyle w:val="AERtablesource"/>
      </w:pPr>
      <w:r w:rsidRPr="00F41B1C">
        <w:t>Source:</w:t>
      </w:r>
      <w:r w:rsidRPr="00F41B1C">
        <w:tab/>
        <w:t>AER analysis.</w:t>
      </w:r>
    </w:p>
    <w:p w:rsidR="00054A73" w:rsidRDefault="00054A73" w:rsidP="00DF009B">
      <w:r w:rsidRPr="00054A73">
        <w:t>This reduction is mainly driven by our determination on AusNet Services’ proposed value of imputation credits (gamma) as discussed in attachment 4. Our determinations on other building block components including forecast capex (attachment 6) and forecast opex (attachment 7) also affect revenues, which impact the tax calculation. The changes affecting revenues are discussed in attachment 1.</w:t>
      </w:r>
    </w:p>
    <w:p w:rsidR="00DF009B" w:rsidRDefault="00DF009B" w:rsidP="00DF009B">
      <w:r>
        <w:t xml:space="preserve">Further detail on our </w:t>
      </w:r>
      <w:r w:rsidR="00C65992">
        <w:t>final</w:t>
      </w:r>
      <w:r>
        <w:t xml:space="preserve"> decision in regards to corporate income tax is set out in attachment 8. </w:t>
      </w:r>
    </w:p>
    <w:p w:rsidR="00DF009B" w:rsidRDefault="00DF009B" w:rsidP="00DF009B">
      <w:pPr>
        <w:pStyle w:val="Heading1"/>
      </w:pPr>
      <w:bookmarkStart w:id="80" w:name="_Ref477770597"/>
      <w:bookmarkStart w:id="81" w:name="_Ref477770746"/>
      <w:bookmarkStart w:id="82" w:name="_Toc480988362"/>
      <w:r>
        <w:lastRenderedPageBreak/>
        <w:t>Incentive schemes</w:t>
      </w:r>
      <w:bookmarkEnd w:id="80"/>
      <w:bookmarkEnd w:id="81"/>
      <w:bookmarkEnd w:id="82"/>
    </w:p>
    <w:p w:rsidR="005D76FB" w:rsidRDefault="005D76FB" w:rsidP="005D76FB">
      <w:r>
        <w:t xml:space="preserve">Incentive schemes are a component of incentive–based regulation and complement our approach to assessing efficient costs. The incentive schemes that will apply to AusNet Services are: </w:t>
      </w:r>
    </w:p>
    <w:p w:rsidR="005D76FB" w:rsidRDefault="005D76FB" w:rsidP="005D76FB">
      <w:pPr>
        <w:pStyle w:val="AERbulletlistfirststyle"/>
      </w:pPr>
      <w:r>
        <w:t>the efficiency benefit sharing scheme (EBSS)</w:t>
      </w:r>
    </w:p>
    <w:p w:rsidR="005D76FB" w:rsidRDefault="005D76FB" w:rsidP="005D76FB">
      <w:pPr>
        <w:pStyle w:val="AERbulletlistfirststyle"/>
      </w:pPr>
      <w:r>
        <w:t>the capital expenditure sharing scheme (CESS)</w:t>
      </w:r>
    </w:p>
    <w:p w:rsidR="005D76FB" w:rsidRDefault="005D76FB" w:rsidP="005D76FB">
      <w:pPr>
        <w:pStyle w:val="AERbulletlistfirststyle"/>
      </w:pPr>
      <w:proofErr w:type="gramStart"/>
      <w:r>
        <w:t>the</w:t>
      </w:r>
      <w:proofErr w:type="gramEnd"/>
      <w:r>
        <w:t xml:space="preserve"> service target performance incentive scheme (STPIS). </w:t>
      </w:r>
    </w:p>
    <w:p w:rsidR="005D76FB" w:rsidRPr="008E674B" w:rsidRDefault="005D76FB" w:rsidP="005D76FB">
      <w:r w:rsidRPr="008E674B">
        <w:t xml:space="preserve">Our incentive schemes encourage network businesses to make efficient decisions. They give network businesses an incentive to pursue efficiency improvements in opex and capex, and to share them with consumers. Incentives for opex and capex are balanced with the incentives under our STPIS. </w:t>
      </w:r>
      <w:r>
        <w:t>The incentive schemes</w:t>
      </w:r>
      <w:r w:rsidRPr="008E674B">
        <w:t xml:space="preserve"> encourage businesses to make efficient decisions on when and what type of expenditure to incur, and meet service reliability targets. </w:t>
      </w:r>
    </w:p>
    <w:p w:rsidR="005D76FB" w:rsidRDefault="005D76FB" w:rsidP="005D76FB">
      <w:pPr>
        <w:pStyle w:val="Heading2"/>
      </w:pPr>
      <w:bookmarkStart w:id="83" w:name="_Toc456687655"/>
      <w:bookmarkStart w:id="84" w:name="_Toc480988363"/>
      <w:r>
        <w:t>Efficiency benefit sharing scheme (EBSS)</w:t>
      </w:r>
      <w:bookmarkEnd w:id="83"/>
      <w:bookmarkEnd w:id="84"/>
    </w:p>
    <w:p w:rsidR="00DE714B" w:rsidRDefault="00DE714B" w:rsidP="00DE714B">
      <w:pPr>
        <w:rPr>
          <w:rStyle w:val="AERbody"/>
        </w:rPr>
      </w:pPr>
      <w:r>
        <w:rPr>
          <w:rStyle w:val="AERbody"/>
        </w:rPr>
        <w:t xml:space="preserve">The EBSS provides an incentive for service providers to pursue efficiency improvements in opex. </w:t>
      </w:r>
    </w:p>
    <w:p w:rsidR="00286CFC" w:rsidRDefault="00275530" w:rsidP="00DE714B">
      <w:pPr>
        <w:rPr>
          <w:rStyle w:val="AERbody"/>
        </w:rPr>
      </w:pPr>
      <w:r w:rsidRPr="009F73F3">
        <w:t>To encourage a service provider to become more efficient, under an ex ante framework, a service provider retains any efficiency gains it makes until the end of the regulatory control period when its opex forecast is reset. The EBSS allows the service provider to retain any efficiency gains it makes for a total of six years, regardless of the ye</w:t>
      </w:r>
      <w:r>
        <w:t>ar in which the gains are made.</w:t>
      </w:r>
      <w:r>
        <w:rPr>
          <w:rStyle w:val="FootnoteReference"/>
        </w:rPr>
        <w:footnoteReference w:id="24"/>
      </w:r>
      <w:r w:rsidRPr="009F73F3">
        <w:t xml:space="preserve"> This provides a continuous incentive for service providers to pursue efficiency gains over the regulatory control period. It also discourages a service provider from incurring opex in the expected base year to receive a higher opex allowance in the following regulatory control period.</w:t>
      </w:r>
    </w:p>
    <w:p w:rsidR="00DE714B" w:rsidRDefault="00DE714B" w:rsidP="00DE714B">
      <w:pPr>
        <w:rPr>
          <w:rStyle w:val="AERbody"/>
        </w:rPr>
      </w:pPr>
      <w:r w:rsidRPr="0060237E">
        <w:rPr>
          <w:rStyle w:val="AERbody"/>
        </w:rPr>
        <w:t>We appro</w:t>
      </w:r>
      <w:r>
        <w:rPr>
          <w:rStyle w:val="AERbody"/>
        </w:rPr>
        <w:t xml:space="preserve">ve a total EBSS carryover amount of </w:t>
      </w:r>
      <w:r w:rsidRPr="0060237E">
        <w:rPr>
          <w:rStyle w:val="AERbody"/>
        </w:rPr>
        <w:t>$</w:t>
      </w:r>
      <w:r>
        <w:rPr>
          <w:rStyle w:val="AERbody"/>
        </w:rPr>
        <w:t>1.0 million ($2016–17</w:t>
      </w:r>
      <w:r w:rsidRPr="0060237E">
        <w:rPr>
          <w:rStyle w:val="AERbody"/>
        </w:rPr>
        <w:t>)</w:t>
      </w:r>
      <w:r w:rsidR="00275530">
        <w:rPr>
          <w:rStyle w:val="AERbody"/>
        </w:rPr>
        <w:t>,</w:t>
      </w:r>
      <w:r w:rsidRPr="0060237E">
        <w:rPr>
          <w:rStyle w:val="AERbody"/>
        </w:rPr>
        <w:t xml:space="preserve"> from the app</w:t>
      </w:r>
      <w:r>
        <w:rPr>
          <w:rStyle w:val="AERbody"/>
        </w:rPr>
        <w:t>lication of the EBSS in the 2014–17</w:t>
      </w:r>
      <w:r w:rsidRPr="0060237E">
        <w:rPr>
          <w:rStyle w:val="AERbody"/>
        </w:rPr>
        <w:t xml:space="preserve"> regulatory control period</w:t>
      </w:r>
      <w:r w:rsidR="00275530">
        <w:rPr>
          <w:rStyle w:val="AERbody"/>
        </w:rPr>
        <w:t>, be added to AusNet Services' allowed revenue</w:t>
      </w:r>
      <w:r w:rsidRPr="0060237E">
        <w:rPr>
          <w:rStyle w:val="AERbody"/>
        </w:rPr>
        <w:t>.</w:t>
      </w:r>
      <w:r>
        <w:rPr>
          <w:rStyle w:val="FootnoteReference"/>
        </w:rPr>
        <w:footnoteReference w:id="25"/>
      </w:r>
      <w:r w:rsidRPr="0060237E">
        <w:rPr>
          <w:rStyle w:val="AERbody"/>
        </w:rPr>
        <w:t xml:space="preserve"> </w:t>
      </w:r>
      <w:r>
        <w:rPr>
          <w:rStyle w:val="AERbody"/>
        </w:rPr>
        <w:t>This is consistent with AusNet Service' revised proposal.</w:t>
      </w:r>
      <w:r>
        <w:rPr>
          <w:rStyle w:val="FootnoteReference"/>
        </w:rPr>
        <w:footnoteReference w:id="26"/>
      </w:r>
      <w:r w:rsidRPr="0060237E">
        <w:rPr>
          <w:rStyle w:val="AERbody"/>
        </w:rPr>
        <w:t xml:space="preserve"> Our </w:t>
      </w:r>
      <w:r>
        <w:rPr>
          <w:rStyle w:val="AERbody"/>
        </w:rPr>
        <w:t>final</w:t>
      </w:r>
      <w:r w:rsidRPr="0060237E">
        <w:rPr>
          <w:rStyle w:val="AERbody"/>
        </w:rPr>
        <w:t xml:space="preserve"> decision </w:t>
      </w:r>
      <w:r>
        <w:rPr>
          <w:rStyle w:val="AERbody"/>
        </w:rPr>
        <w:t>on</w:t>
      </w:r>
      <w:r w:rsidRPr="0060237E">
        <w:rPr>
          <w:rStyle w:val="AERbody"/>
        </w:rPr>
        <w:t xml:space="preserve"> the EBSS carryover amounts from t</w:t>
      </w:r>
      <w:r>
        <w:rPr>
          <w:rStyle w:val="AERbody"/>
        </w:rPr>
        <w:t>he 2014–17</w:t>
      </w:r>
      <w:r w:rsidRPr="0060237E">
        <w:rPr>
          <w:rStyle w:val="AERbody"/>
        </w:rPr>
        <w:t xml:space="preserve"> regulatory control </w:t>
      </w:r>
      <w:proofErr w:type="gramStart"/>
      <w:r w:rsidRPr="0060237E">
        <w:rPr>
          <w:rStyle w:val="AERbody"/>
        </w:rPr>
        <w:t>period</w:t>
      </w:r>
      <w:proofErr w:type="gramEnd"/>
      <w:r w:rsidRPr="0060237E">
        <w:rPr>
          <w:rStyle w:val="AERbody"/>
        </w:rPr>
        <w:t xml:space="preserve"> is outlined in</w:t>
      </w:r>
      <w:r>
        <w:rPr>
          <w:rStyle w:val="AERbody"/>
        </w:rPr>
        <w:t xml:space="preserve"> </w:t>
      </w:r>
      <w:r>
        <w:rPr>
          <w:rStyle w:val="AERbody"/>
        </w:rPr>
        <w:fldChar w:fldCharType="begin"/>
      </w:r>
      <w:r>
        <w:rPr>
          <w:rStyle w:val="AERbody"/>
        </w:rPr>
        <w:instrText xml:space="preserve"> REF _Ref477785843 \h </w:instrText>
      </w:r>
      <w:r>
        <w:rPr>
          <w:rStyle w:val="AERbody"/>
        </w:rPr>
      </w:r>
      <w:r>
        <w:rPr>
          <w:rStyle w:val="AERbody"/>
        </w:rPr>
        <w:fldChar w:fldCharType="separate"/>
      </w:r>
      <w:r w:rsidR="00867A0E">
        <w:t xml:space="preserve">Table </w:t>
      </w:r>
      <w:r w:rsidR="00867A0E">
        <w:rPr>
          <w:noProof/>
        </w:rPr>
        <w:t>4</w:t>
      </w:r>
      <w:r w:rsidR="00867A0E">
        <w:t>.</w:t>
      </w:r>
      <w:r w:rsidR="00867A0E">
        <w:rPr>
          <w:noProof/>
        </w:rPr>
        <w:t>1</w:t>
      </w:r>
      <w:r>
        <w:rPr>
          <w:rStyle w:val="AERbody"/>
        </w:rPr>
        <w:fldChar w:fldCharType="end"/>
      </w:r>
      <w:r w:rsidRPr="0060237E">
        <w:rPr>
          <w:rStyle w:val="AERbody"/>
        </w:rPr>
        <w:t>.</w:t>
      </w:r>
    </w:p>
    <w:p w:rsidR="00286CFC" w:rsidRPr="0060237E" w:rsidRDefault="00286CFC" w:rsidP="00DE714B">
      <w:pPr>
        <w:rPr>
          <w:rStyle w:val="AERbody"/>
        </w:rPr>
      </w:pPr>
    </w:p>
    <w:p w:rsidR="00DE714B" w:rsidRDefault="00DE714B" w:rsidP="00DE714B">
      <w:pPr>
        <w:pStyle w:val="Caption"/>
      </w:pPr>
      <w:bookmarkStart w:id="85" w:name="_Ref477785843"/>
      <w:proofErr w:type="gramStart"/>
      <w:r>
        <w:lastRenderedPageBreak/>
        <w:t xml:space="preserve">Table </w:t>
      </w:r>
      <w:r w:rsidR="00504B86">
        <w:fldChar w:fldCharType="begin"/>
      </w:r>
      <w:r w:rsidR="00504B86">
        <w:instrText xml:space="preserve"> STYLEREF 1 \s </w:instrText>
      </w:r>
      <w:r w:rsidR="00504B86">
        <w:fldChar w:fldCharType="separate"/>
      </w:r>
      <w:r w:rsidR="00867A0E">
        <w:rPr>
          <w:noProof/>
        </w:rPr>
        <w:t>4</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1</w:t>
      </w:r>
      <w:r w:rsidR="00CD319A">
        <w:fldChar w:fldCharType="end"/>
      </w:r>
      <w:bookmarkEnd w:id="85"/>
      <w:r>
        <w:tab/>
      </w:r>
      <w:r w:rsidRPr="0060237E">
        <w:t xml:space="preserve">AER’s </w:t>
      </w:r>
      <w:r>
        <w:t>final</w:t>
      </w:r>
      <w:r w:rsidRPr="0060237E">
        <w:t xml:space="preserve"> decision on </w:t>
      </w:r>
      <w:r>
        <w:t>AusNet Services</w:t>
      </w:r>
      <w:r w:rsidRPr="0060237E">
        <w:t xml:space="preserve"> EBSS ca</w:t>
      </w:r>
      <w:r>
        <w:t>rryover amounts ($ million, 2016–17</w:t>
      </w:r>
      <w:r w:rsidRPr="0060237E">
        <w:t>)</w:t>
      </w:r>
    </w:p>
    <w:tbl>
      <w:tblPr>
        <w:tblStyle w:val="AERtable-numbers"/>
        <w:tblW w:w="0" w:type="auto"/>
        <w:tblLook w:val="04A0" w:firstRow="1" w:lastRow="0" w:firstColumn="1" w:lastColumn="0" w:noHBand="0" w:noVBand="1"/>
      </w:tblPr>
      <w:tblGrid>
        <w:gridCol w:w="2943"/>
        <w:gridCol w:w="958"/>
        <w:gridCol w:w="958"/>
        <w:gridCol w:w="959"/>
        <w:gridCol w:w="958"/>
        <w:gridCol w:w="958"/>
        <w:gridCol w:w="959"/>
      </w:tblGrid>
      <w:tr w:rsidR="00DE714B" w:rsidTr="0033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E714B" w:rsidRDefault="00DE714B" w:rsidP="00DE714B"/>
        </w:tc>
        <w:tc>
          <w:tcPr>
            <w:tcW w:w="958"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2017-18</w:t>
            </w:r>
          </w:p>
        </w:tc>
        <w:tc>
          <w:tcPr>
            <w:tcW w:w="958"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2018-19</w:t>
            </w:r>
          </w:p>
        </w:tc>
        <w:tc>
          <w:tcPr>
            <w:tcW w:w="959"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2019-20</w:t>
            </w:r>
          </w:p>
        </w:tc>
        <w:tc>
          <w:tcPr>
            <w:tcW w:w="958"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2020-21</w:t>
            </w:r>
          </w:p>
        </w:tc>
        <w:tc>
          <w:tcPr>
            <w:tcW w:w="958"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2021-22</w:t>
            </w:r>
          </w:p>
        </w:tc>
        <w:tc>
          <w:tcPr>
            <w:tcW w:w="959"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Total</w:t>
            </w:r>
          </w:p>
        </w:tc>
      </w:tr>
      <w:tr w:rsidR="00DE714B" w:rsidTr="00336FC6">
        <w:tc>
          <w:tcPr>
            <w:cnfStyle w:val="001000000000" w:firstRow="0" w:lastRow="0" w:firstColumn="1" w:lastColumn="0" w:oddVBand="0" w:evenVBand="0" w:oddHBand="0" w:evenHBand="0" w:firstRowFirstColumn="0" w:firstRowLastColumn="0" w:lastRowFirstColumn="0" w:lastRowLastColumn="0"/>
            <w:tcW w:w="2943" w:type="dxa"/>
          </w:tcPr>
          <w:p w:rsidR="00DE714B" w:rsidRPr="00DE714B" w:rsidRDefault="00DE714B" w:rsidP="00DE714B">
            <w:r>
              <w:t>AusNet Services proposal</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1.7</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1.7</w:t>
            </w:r>
          </w:p>
        </w:tc>
        <w:tc>
          <w:tcPr>
            <w:tcW w:w="959"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1.7</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0.5</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w:t>
            </w:r>
          </w:p>
        </w:tc>
        <w:tc>
          <w:tcPr>
            <w:tcW w:w="959"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t>5.6</w:t>
            </w:r>
          </w:p>
        </w:tc>
      </w:tr>
      <w:tr w:rsidR="00DE714B" w:rsidTr="00336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E714B" w:rsidRPr="00DE714B" w:rsidRDefault="00DE714B" w:rsidP="00DE714B">
            <w:r>
              <w:t xml:space="preserve">AER </w:t>
            </w:r>
            <w:r w:rsidRPr="00DE714B">
              <w:t>draft decision</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1.3</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1.3</w:t>
            </w:r>
          </w:p>
        </w:tc>
        <w:tc>
          <w:tcPr>
            <w:tcW w:w="959"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1.3</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0.0</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1.1</w:t>
            </w:r>
          </w:p>
        </w:tc>
        <w:tc>
          <w:tcPr>
            <w:tcW w:w="959"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t>5.1</w:t>
            </w:r>
          </w:p>
        </w:tc>
      </w:tr>
      <w:tr w:rsidR="00DE714B" w:rsidTr="00336FC6">
        <w:tc>
          <w:tcPr>
            <w:cnfStyle w:val="001000000000" w:firstRow="0" w:lastRow="0" w:firstColumn="1" w:lastColumn="0" w:oddVBand="0" w:evenVBand="0" w:oddHBand="0" w:evenHBand="0" w:firstRowFirstColumn="0" w:firstRowLastColumn="0" w:lastRowFirstColumn="0" w:lastRowLastColumn="0"/>
            <w:tcW w:w="2943" w:type="dxa"/>
          </w:tcPr>
          <w:p w:rsidR="00DE714B" w:rsidRPr="00DE714B" w:rsidRDefault="00DE714B" w:rsidP="00DE714B">
            <w:r>
              <w:t xml:space="preserve">AusNet </w:t>
            </w:r>
            <w:r w:rsidRPr="00DE714B">
              <w:t>Services revised proposal</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1.3 </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1.3 </w:t>
            </w:r>
          </w:p>
        </w:tc>
        <w:tc>
          <w:tcPr>
            <w:tcW w:w="959"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1.3 </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0.0 </w:t>
            </w:r>
          </w:p>
        </w:tc>
        <w:tc>
          <w:tcPr>
            <w:tcW w:w="958"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-3.0 </w:t>
            </w:r>
          </w:p>
        </w:tc>
        <w:tc>
          <w:tcPr>
            <w:tcW w:w="959" w:type="dxa"/>
          </w:tcPr>
          <w:p w:rsidR="00DE714B" w:rsidRPr="00DE714B" w:rsidRDefault="00DE714B" w:rsidP="00DE714B">
            <w:pPr>
              <w:cnfStyle w:val="000000000000" w:firstRow="0" w:lastRow="0" w:firstColumn="0" w:lastColumn="0" w:oddVBand="0" w:evenVBand="0" w:oddHBand="0" w:evenHBand="0" w:firstRowFirstColumn="0" w:firstRowLastColumn="0" w:lastRowFirstColumn="0" w:lastRowLastColumn="0"/>
            </w:pPr>
            <w:r w:rsidRPr="006C3141">
              <w:t xml:space="preserve">1.0 </w:t>
            </w:r>
          </w:p>
        </w:tc>
      </w:tr>
      <w:tr w:rsidR="00DE714B" w:rsidTr="00336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DE714B" w:rsidRPr="00DE714B" w:rsidRDefault="00DE714B" w:rsidP="00DE714B">
            <w:r>
              <w:t xml:space="preserve">AER </w:t>
            </w:r>
            <w:r w:rsidRPr="00DE714B">
              <w:t xml:space="preserve">final decision </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1.3 </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1.3 </w:t>
            </w:r>
          </w:p>
        </w:tc>
        <w:tc>
          <w:tcPr>
            <w:tcW w:w="959"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1.3 </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0.0 </w:t>
            </w:r>
          </w:p>
        </w:tc>
        <w:tc>
          <w:tcPr>
            <w:tcW w:w="958"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-3.0 </w:t>
            </w:r>
          </w:p>
        </w:tc>
        <w:tc>
          <w:tcPr>
            <w:tcW w:w="959"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6C3141">
              <w:t xml:space="preserve">1.0 </w:t>
            </w:r>
          </w:p>
        </w:tc>
      </w:tr>
    </w:tbl>
    <w:p w:rsidR="00DE714B" w:rsidRDefault="00DE714B" w:rsidP="00F41B1C">
      <w:pPr>
        <w:pStyle w:val="AERtablesource"/>
      </w:pPr>
      <w:r w:rsidRPr="0060237E">
        <w:t>Source:</w:t>
      </w:r>
      <w:r>
        <w:tab/>
        <w:t>AusNet Services</w:t>
      </w:r>
      <w:r w:rsidRPr="0060237E">
        <w:t xml:space="preserve">, </w:t>
      </w:r>
      <w:r>
        <w:t>R</w:t>
      </w:r>
      <w:r w:rsidRPr="0060237E">
        <w:t xml:space="preserve">egulatory proposal, </w:t>
      </w:r>
      <w:r>
        <w:t>October 2015</w:t>
      </w:r>
      <w:r w:rsidRPr="0060237E">
        <w:t>, p.</w:t>
      </w:r>
      <w:r>
        <w:t>169;</w:t>
      </w:r>
      <w:r w:rsidRPr="0060237E">
        <w:t xml:space="preserve"> </w:t>
      </w:r>
      <w:r>
        <w:t>AusNet Services</w:t>
      </w:r>
      <w:r w:rsidRPr="0060237E">
        <w:t xml:space="preserve">, </w:t>
      </w:r>
      <w:r>
        <w:t>Revised r</w:t>
      </w:r>
      <w:r w:rsidRPr="0060237E">
        <w:t xml:space="preserve">egulatory proposal, </w:t>
      </w:r>
      <w:r>
        <w:t>September 2016</w:t>
      </w:r>
      <w:r w:rsidRPr="0060237E">
        <w:t>, p.</w:t>
      </w:r>
      <w:r>
        <w:t xml:space="preserve"> 221;</w:t>
      </w:r>
      <w:r w:rsidRPr="0060237E">
        <w:t xml:space="preserve"> AER analysis</w:t>
      </w:r>
      <w:r>
        <w:t>.</w:t>
      </w:r>
    </w:p>
    <w:p w:rsidR="00DE714B" w:rsidRDefault="00DE714B" w:rsidP="00F41B1C">
      <w:pPr>
        <w:pStyle w:val="AERtablesource"/>
      </w:pPr>
      <w:r>
        <w:t xml:space="preserve">Note: </w:t>
      </w:r>
      <w:r w:rsidR="00F41B1C">
        <w:tab/>
      </w:r>
      <w:r>
        <w:t>Numbers may not add up due to rounding.</w:t>
      </w:r>
    </w:p>
    <w:p w:rsidR="00DE714B" w:rsidRDefault="00DE714B" w:rsidP="00DE714B">
      <w:pPr>
        <w:rPr>
          <w:rStyle w:val="AERbody"/>
        </w:rPr>
      </w:pPr>
      <w:r w:rsidRPr="0060237E">
        <w:rPr>
          <w:rStyle w:val="AERbody"/>
        </w:rPr>
        <w:t xml:space="preserve">Our </w:t>
      </w:r>
      <w:r>
        <w:rPr>
          <w:rStyle w:val="AERbody"/>
        </w:rPr>
        <w:t>final</w:t>
      </w:r>
      <w:r w:rsidRPr="0060237E">
        <w:rPr>
          <w:rStyle w:val="AERbody"/>
        </w:rPr>
        <w:t xml:space="preserve"> decision is to apply version two of the EBSS to </w:t>
      </w:r>
      <w:r>
        <w:rPr>
          <w:rStyle w:val="AERbody"/>
        </w:rPr>
        <w:t xml:space="preserve">AusNet Services in the </w:t>
      </w:r>
      <w:r>
        <w:rPr>
          <w:rStyle w:val="AERbody"/>
        </w:rPr>
        <w:br/>
        <w:t>2017–22</w:t>
      </w:r>
      <w:r w:rsidRPr="0060237E">
        <w:rPr>
          <w:rStyle w:val="AERbody"/>
        </w:rPr>
        <w:t xml:space="preserve"> regulatory control period.</w:t>
      </w:r>
      <w:r>
        <w:rPr>
          <w:rStyle w:val="FootnoteReference"/>
        </w:rPr>
        <w:footnoteReference w:id="27"/>
      </w:r>
      <w:r>
        <w:rPr>
          <w:rStyle w:val="AERbody"/>
        </w:rPr>
        <w:t xml:space="preserve"> </w:t>
      </w:r>
      <w:r w:rsidRPr="0060237E">
        <w:rPr>
          <w:rStyle w:val="AERbody"/>
        </w:rPr>
        <w:t xml:space="preserve">When we apply version two of the EBSS, we will exclude the cost categories listed in section 9.4.2 </w:t>
      </w:r>
      <w:r>
        <w:rPr>
          <w:rStyle w:val="AERbody"/>
        </w:rPr>
        <w:t xml:space="preserve">of attachment 9 </w:t>
      </w:r>
      <w:r w:rsidRPr="0060237E">
        <w:rPr>
          <w:rStyle w:val="AERbody"/>
        </w:rPr>
        <w:t xml:space="preserve">from forecast and actual opex </w:t>
      </w:r>
      <w:r>
        <w:rPr>
          <w:rStyle w:val="AERbody"/>
        </w:rPr>
        <w:t>used to calculate</w:t>
      </w:r>
      <w:r w:rsidRPr="0060237E">
        <w:rPr>
          <w:rStyle w:val="AERbody"/>
        </w:rPr>
        <w:t xml:space="preserve"> EBSS carryover amounts. </w:t>
      </w:r>
      <w:r>
        <w:rPr>
          <w:rStyle w:val="AERbody"/>
        </w:rPr>
        <w:fldChar w:fldCharType="begin"/>
      </w:r>
      <w:r>
        <w:rPr>
          <w:rStyle w:val="AERbody"/>
        </w:rPr>
        <w:instrText xml:space="preserve"> REF _Ref477785897 \h </w:instrText>
      </w:r>
      <w:r>
        <w:rPr>
          <w:rStyle w:val="AERbody"/>
        </w:rPr>
      </w:r>
      <w:r>
        <w:rPr>
          <w:rStyle w:val="AERbody"/>
        </w:rPr>
        <w:fldChar w:fldCharType="separate"/>
      </w:r>
      <w:r w:rsidR="00867A0E">
        <w:t xml:space="preserve">Table </w:t>
      </w:r>
      <w:r w:rsidR="00867A0E">
        <w:rPr>
          <w:noProof/>
        </w:rPr>
        <w:t>4</w:t>
      </w:r>
      <w:r w:rsidR="00867A0E">
        <w:t>.</w:t>
      </w:r>
      <w:r w:rsidR="00867A0E">
        <w:rPr>
          <w:noProof/>
        </w:rPr>
        <w:t>2</w:t>
      </w:r>
      <w:r>
        <w:rPr>
          <w:rStyle w:val="AERbody"/>
        </w:rPr>
        <w:fldChar w:fldCharType="end"/>
      </w:r>
      <w:r>
        <w:rPr>
          <w:rStyle w:val="AERbody"/>
        </w:rPr>
        <w:t xml:space="preserve"> </w:t>
      </w:r>
      <w:r w:rsidRPr="0060237E">
        <w:rPr>
          <w:rStyle w:val="AERbody"/>
        </w:rPr>
        <w:t xml:space="preserve">sets out our </w:t>
      </w:r>
      <w:r>
        <w:rPr>
          <w:rStyle w:val="AERbody"/>
        </w:rPr>
        <w:t>final</w:t>
      </w:r>
      <w:r w:rsidRPr="0060237E">
        <w:rPr>
          <w:rStyle w:val="AERbody"/>
        </w:rPr>
        <w:t xml:space="preserve"> decision on </w:t>
      </w:r>
      <w:r>
        <w:rPr>
          <w:rStyle w:val="AERbody"/>
        </w:rPr>
        <w:t>AusNet Services'</w:t>
      </w:r>
      <w:r w:rsidRPr="0060237E">
        <w:rPr>
          <w:rStyle w:val="AERbody"/>
        </w:rPr>
        <w:t xml:space="preserve"> target opex for the EBSS (total opex less</w:t>
      </w:r>
      <w:r>
        <w:rPr>
          <w:rStyle w:val="AERbody"/>
        </w:rPr>
        <w:t xml:space="preserve"> excluded categories</w:t>
      </w:r>
      <w:r>
        <w:rPr>
          <w:rStyle w:val="FootnoteReference"/>
        </w:rPr>
        <w:footnoteReference w:id="28"/>
      </w:r>
      <w:r w:rsidRPr="0060237E">
        <w:rPr>
          <w:rStyle w:val="AERbody"/>
        </w:rPr>
        <w:t>), against which we will calcul</w:t>
      </w:r>
      <w:r>
        <w:rPr>
          <w:rStyle w:val="AERbody"/>
        </w:rPr>
        <w:t>ate efficiency gains in the 2017–22</w:t>
      </w:r>
      <w:r w:rsidRPr="0060237E">
        <w:rPr>
          <w:rStyle w:val="AERbody"/>
        </w:rPr>
        <w:t xml:space="preserve"> regulatory control period. </w:t>
      </w:r>
    </w:p>
    <w:p w:rsidR="00DE714B" w:rsidRPr="0060237E" w:rsidRDefault="00DE714B" w:rsidP="00DE714B">
      <w:pPr>
        <w:pStyle w:val="Caption"/>
        <w:rPr>
          <w:rStyle w:val="AERbody"/>
        </w:rPr>
      </w:pPr>
      <w:bookmarkStart w:id="86" w:name="_Ref477785897"/>
      <w:proofErr w:type="gramStart"/>
      <w:r>
        <w:t xml:space="preserve">Table </w:t>
      </w:r>
      <w:r w:rsidR="00504B86">
        <w:fldChar w:fldCharType="begin"/>
      </w:r>
      <w:r w:rsidR="00504B86">
        <w:instrText xml:space="preserve"> STYLEREF 1 </w:instrText>
      </w:r>
      <w:r w:rsidR="00504B86">
        <w:instrText xml:space="preserve">\s </w:instrText>
      </w:r>
      <w:r w:rsidR="00504B86">
        <w:fldChar w:fldCharType="separate"/>
      </w:r>
      <w:r w:rsidR="00867A0E">
        <w:rPr>
          <w:noProof/>
        </w:rPr>
        <w:t>4</w:t>
      </w:r>
      <w:r w:rsidR="00504B86">
        <w:rPr>
          <w:noProof/>
        </w:rPr>
        <w:fldChar w:fldCharType="end"/>
      </w:r>
      <w:r w:rsidR="00CD319A">
        <w:t>.</w:t>
      </w:r>
      <w:proofErr w:type="gramEnd"/>
      <w:r w:rsidR="00CD319A">
        <w:fldChar w:fldCharType="begin"/>
      </w:r>
      <w:r w:rsidR="00CD319A">
        <w:instrText xml:space="preserve"> SEQ Table \* ARABIC \s 1 </w:instrText>
      </w:r>
      <w:r w:rsidR="00CD319A">
        <w:fldChar w:fldCharType="separate"/>
      </w:r>
      <w:r w:rsidR="00867A0E">
        <w:rPr>
          <w:noProof/>
        </w:rPr>
        <w:t>2</w:t>
      </w:r>
      <w:r w:rsidR="00CD319A">
        <w:fldChar w:fldCharType="end"/>
      </w:r>
      <w:bookmarkEnd w:id="86"/>
      <w:r>
        <w:tab/>
      </w:r>
      <w:r w:rsidRPr="001213BA">
        <w:t xml:space="preserve">AER's </w:t>
      </w:r>
      <w:r>
        <w:t>final</w:t>
      </w:r>
      <w:r w:rsidRPr="001213BA">
        <w:t xml:space="preserve"> decision on </w:t>
      </w:r>
      <w:r>
        <w:t>AusNet Services</w:t>
      </w:r>
      <w:r w:rsidRPr="001213BA">
        <w:t xml:space="preserve"> forecast op</w:t>
      </w:r>
      <w:r>
        <w:t>ex for the EBSS ($ million, 2016–17</w:t>
      </w:r>
      <w:r w:rsidRPr="001213BA">
        <w:t>)</w:t>
      </w:r>
    </w:p>
    <w:tbl>
      <w:tblPr>
        <w:tblStyle w:val="AERtable-numbers"/>
        <w:tblW w:w="0" w:type="auto"/>
        <w:tblLook w:val="04A0" w:firstRow="1" w:lastRow="0" w:firstColumn="1" w:lastColumn="0" w:noHBand="0" w:noVBand="1"/>
      </w:tblPr>
      <w:tblGrid>
        <w:gridCol w:w="2235"/>
        <w:gridCol w:w="1291"/>
        <w:gridCol w:w="1292"/>
        <w:gridCol w:w="1291"/>
        <w:gridCol w:w="1292"/>
        <w:gridCol w:w="1292"/>
      </w:tblGrid>
      <w:tr w:rsidR="00DE714B" w:rsidTr="00336F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E714B" w:rsidRDefault="00DE714B" w:rsidP="00DE714B"/>
        </w:tc>
        <w:tc>
          <w:tcPr>
            <w:tcW w:w="1291"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2017-18</w:t>
            </w:r>
          </w:p>
        </w:tc>
        <w:tc>
          <w:tcPr>
            <w:tcW w:w="1292"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2018-19</w:t>
            </w:r>
          </w:p>
        </w:tc>
        <w:tc>
          <w:tcPr>
            <w:tcW w:w="1291"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2019-20</w:t>
            </w:r>
          </w:p>
        </w:tc>
        <w:tc>
          <w:tcPr>
            <w:tcW w:w="1292"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2020-21</w:t>
            </w:r>
          </w:p>
        </w:tc>
        <w:tc>
          <w:tcPr>
            <w:tcW w:w="1292" w:type="dxa"/>
          </w:tcPr>
          <w:p w:rsidR="00DE714B" w:rsidRPr="00DE714B" w:rsidRDefault="00DE714B" w:rsidP="00DE714B">
            <w:pPr>
              <w:cnfStyle w:val="100000000000" w:firstRow="1" w:lastRow="0" w:firstColumn="0" w:lastColumn="0" w:oddVBand="0" w:evenVBand="0" w:oddHBand="0" w:evenHBand="0" w:firstRowFirstColumn="0" w:firstRowLastColumn="0" w:lastRowFirstColumn="0" w:lastRowLastColumn="0"/>
            </w:pPr>
            <w:r>
              <w:t>2021-22</w:t>
            </w:r>
          </w:p>
        </w:tc>
      </w:tr>
      <w:tr w:rsidR="00DE714B" w:rsidTr="00336FC6">
        <w:tc>
          <w:tcPr>
            <w:cnfStyle w:val="001000000000" w:firstRow="0" w:lastRow="0" w:firstColumn="1" w:lastColumn="0" w:oddVBand="0" w:evenVBand="0" w:oddHBand="0" w:evenHBand="0" w:firstRowFirstColumn="0" w:firstRowLastColumn="0" w:lastRowFirstColumn="0" w:lastRowLastColumn="0"/>
            <w:tcW w:w="2235" w:type="dxa"/>
          </w:tcPr>
          <w:p w:rsidR="00DE714B" w:rsidRPr="00DE714B" w:rsidRDefault="00DE714B" w:rsidP="00DE714B">
            <w:r w:rsidRPr="00EC38A0">
              <w:t>Total forecast opex</w:t>
            </w:r>
          </w:p>
        </w:tc>
        <w:tc>
          <w:tcPr>
            <w:tcW w:w="1291"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t>226.9</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t>227.4</w:t>
            </w:r>
          </w:p>
        </w:tc>
        <w:tc>
          <w:tcPr>
            <w:tcW w:w="1291"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t>228.0</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t>228.5</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t>229.0</w:t>
            </w:r>
          </w:p>
        </w:tc>
      </w:tr>
      <w:tr w:rsidR="00DE714B" w:rsidTr="00336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E714B" w:rsidRPr="00DE714B" w:rsidRDefault="00DE714B" w:rsidP="00DE714B">
            <w:r w:rsidRPr="00EC38A0">
              <w:t>Less debt raising costs</w:t>
            </w:r>
          </w:p>
        </w:tc>
        <w:tc>
          <w:tcPr>
            <w:tcW w:w="1291"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–1.6</w:t>
            </w:r>
          </w:p>
        </w:tc>
        <w:tc>
          <w:tcPr>
            <w:tcW w:w="1292"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–1.6</w:t>
            </w:r>
          </w:p>
        </w:tc>
        <w:tc>
          <w:tcPr>
            <w:tcW w:w="1291"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–1.6</w:t>
            </w:r>
          </w:p>
        </w:tc>
        <w:tc>
          <w:tcPr>
            <w:tcW w:w="1292" w:type="dxa"/>
          </w:tcPr>
          <w:p w:rsidR="00DE714B" w:rsidRPr="00DE714B" w:rsidRDefault="00DE714B" w:rsidP="00000043">
            <w:pPr>
              <w:cnfStyle w:val="000000010000" w:firstRow="0" w:lastRow="0" w:firstColumn="0" w:lastColumn="0" w:oddVBand="0" w:evenVBand="0" w:oddHBand="0" w:evenHBand="1" w:firstRowFirstColumn="0" w:firstRowLastColumn="0" w:lastRowFirstColumn="0" w:lastRowLastColumn="0"/>
            </w:pPr>
            <w:r w:rsidRPr="00EC38A0">
              <w:t>–1.</w:t>
            </w:r>
            <w:r w:rsidR="00000043">
              <w:t>6</w:t>
            </w:r>
          </w:p>
        </w:tc>
        <w:tc>
          <w:tcPr>
            <w:tcW w:w="1292"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–1.5</w:t>
            </w:r>
          </w:p>
        </w:tc>
      </w:tr>
      <w:tr w:rsidR="00DE714B" w:rsidTr="00336FC6">
        <w:tc>
          <w:tcPr>
            <w:cnfStyle w:val="001000000000" w:firstRow="0" w:lastRow="0" w:firstColumn="1" w:lastColumn="0" w:oddVBand="0" w:evenVBand="0" w:oddHBand="0" w:evenHBand="0" w:firstRowFirstColumn="0" w:firstRowLastColumn="0" w:lastRowFirstColumn="0" w:lastRowLastColumn="0"/>
            <w:tcW w:w="2235" w:type="dxa"/>
          </w:tcPr>
          <w:p w:rsidR="00DE714B" w:rsidRPr="00DE714B" w:rsidRDefault="00DE714B" w:rsidP="00DE714B">
            <w:r w:rsidRPr="00EC38A0">
              <w:t>Less easement land tax</w:t>
            </w:r>
          </w:p>
        </w:tc>
        <w:tc>
          <w:tcPr>
            <w:tcW w:w="1291" w:type="dxa"/>
          </w:tcPr>
          <w:p w:rsidR="00DE714B" w:rsidRPr="00DE714B" w:rsidRDefault="00DE714B" w:rsidP="00000043">
            <w:pPr>
              <w:cnfStyle w:val="000000000000" w:firstRow="0" w:lastRow="0" w:firstColumn="0" w:lastColumn="0" w:oddVBand="0" w:evenVBand="0" w:oddHBand="0" w:evenHBand="0" w:firstRowFirstColumn="0" w:firstRowLastColumn="0" w:lastRowFirstColumn="0" w:lastRowLastColumn="0"/>
            </w:pPr>
            <w:r w:rsidRPr="00EC38A0">
              <w:t>–</w:t>
            </w:r>
            <w:r w:rsidR="00000043">
              <w:t>135.0</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rsidRPr="00EC38A0">
              <w:t>–</w:t>
            </w:r>
            <w:r w:rsidRPr="00000043">
              <w:t>135.0</w:t>
            </w:r>
          </w:p>
        </w:tc>
        <w:tc>
          <w:tcPr>
            <w:tcW w:w="1291"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rsidRPr="00EC38A0">
              <w:t>–</w:t>
            </w:r>
            <w:r w:rsidRPr="00000043">
              <w:t>135.0</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rsidRPr="00EC38A0">
              <w:t>–</w:t>
            </w:r>
            <w:r w:rsidRPr="00000043">
              <w:t>135.0</w:t>
            </w:r>
          </w:p>
        </w:tc>
        <w:tc>
          <w:tcPr>
            <w:tcW w:w="1292" w:type="dxa"/>
          </w:tcPr>
          <w:p w:rsidR="00DE714B" w:rsidRPr="00DE714B" w:rsidRDefault="00000043" w:rsidP="00DE714B">
            <w:pPr>
              <w:cnfStyle w:val="000000000000" w:firstRow="0" w:lastRow="0" w:firstColumn="0" w:lastColumn="0" w:oddVBand="0" w:evenVBand="0" w:oddHBand="0" w:evenHBand="0" w:firstRowFirstColumn="0" w:firstRowLastColumn="0" w:lastRowFirstColumn="0" w:lastRowLastColumn="0"/>
            </w:pPr>
            <w:r w:rsidRPr="00EC38A0">
              <w:t>–</w:t>
            </w:r>
            <w:r w:rsidRPr="00000043">
              <w:t>135.0</w:t>
            </w:r>
          </w:p>
        </w:tc>
      </w:tr>
      <w:tr w:rsidR="00DE714B" w:rsidTr="00336F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DE714B" w:rsidRPr="00DE714B" w:rsidRDefault="00DE714B" w:rsidP="00DE714B">
            <w:r w:rsidRPr="00EC38A0">
              <w:t>Target opex for the EBSS</w:t>
            </w:r>
          </w:p>
        </w:tc>
        <w:tc>
          <w:tcPr>
            <w:tcW w:w="1291"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90.</w:t>
            </w:r>
            <w:r w:rsidR="00000043">
              <w:t>3</w:t>
            </w:r>
          </w:p>
        </w:tc>
        <w:tc>
          <w:tcPr>
            <w:tcW w:w="1292"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90.8</w:t>
            </w:r>
          </w:p>
        </w:tc>
        <w:tc>
          <w:tcPr>
            <w:tcW w:w="1291"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91.</w:t>
            </w:r>
            <w:r w:rsidR="00000043">
              <w:t>4</w:t>
            </w:r>
          </w:p>
        </w:tc>
        <w:tc>
          <w:tcPr>
            <w:tcW w:w="1292"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91.</w:t>
            </w:r>
            <w:r w:rsidR="00000043">
              <w:t>9</w:t>
            </w:r>
          </w:p>
        </w:tc>
        <w:tc>
          <w:tcPr>
            <w:tcW w:w="1292" w:type="dxa"/>
          </w:tcPr>
          <w:p w:rsidR="00DE714B" w:rsidRPr="00DE714B" w:rsidRDefault="00DE714B" w:rsidP="00DE714B">
            <w:pPr>
              <w:cnfStyle w:val="000000010000" w:firstRow="0" w:lastRow="0" w:firstColumn="0" w:lastColumn="0" w:oddVBand="0" w:evenVBand="0" w:oddHBand="0" w:evenHBand="1" w:firstRowFirstColumn="0" w:firstRowLastColumn="0" w:lastRowFirstColumn="0" w:lastRowLastColumn="0"/>
            </w:pPr>
            <w:r w:rsidRPr="00EC38A0">
              <w:t>92.4</w:t>
            </w:r>
          </w:p>
        </w:tc>
      </w:tr>
    </w:tbl>
    <w:p w:rsidR="00DE714B" w:rsidRPr="00F41B1C" w:rsidRDefault="00DE714B" w:rsidP="00F41B1C">
      <w:pPr>
        <w:pStyle w:val="AERtablesource"/>
      </w:pPr>
      <w:r w:rsidRPr="00F41B1C">
        <w:t xml:space="preserve">Source: </w:t>
      </w:r>
      <w:r w:rsidRPr="00F41B1C">
        <w:tab/>
        <w:t xml:space="preserve">AER analysis. </w:t>
      </w:r>
    </w:p>
    <w:p w:rsidR="00DE714B" w:rsidRPr="00F41B1C" w:rsidRDefault="00DE714B" w:rsidP="00F41B1C">
      <w:pPr>
        <w:pStyle w:val="AERtablesource"/>
      </w:pPr>
      <w:r w:rsidRPr="00F41B1C">
        <w:t xml:space="preserve">Note: </w:t>
      </w:r>
      <w:r w:rsidRPr="00F41B1C">
        <w:tab/>
        <w:t>Total forecast opex less forecast opex for easement land tax and debt raising costs. Forecast opex does not include AIS rebates or priority projects under the STPIS network capability function.</w:t>
      </w:r>
    </w:p>
    <w:p w:rsidR="005D76FB" w:rsidRDefault="00DE714B" w:rsidP="00DF009B">
      <w:r>
        <w:t xml:space="preserve">Further detail on our final decision in regards to the application of the EBSS, including proposed expenditure items to be excluded, is set out in attachment 9. </w:t>
      </w:r>
    </w:p>
    <w:p w:rsidR="005D76FB" w:rsidRDefault="005D76FB" w:rsidP="00F41B1C">
      <w:pPr>
        <w:pStyle w:val="Heading2"/>
        <w:keepNext/>
      </w:pPr>
      <w:bookmarkStart w:id="87" w:name="_Toc480988364"/>
      <w:r>
        <w:lastRenderedPageBreak/>
        <w:t>Capital expenditure sharing scheme (CESS)</w:t>
      </w:r>
      <w:bookmarkEnd w:id="87"/>
    </w:p>
    <w:p w:rsidR="00782377" w:rsidRPr="00782377" w:rsidRDefault="00782377" w:rsidP="00F41B1C">
      <w:pPr>
        <w:keepNext/>
        <w:rPr>
          <w:rStyle w:val="AERbody"/>
        </w:rPr>
      </w:pPr>
      <w:r w:rsidRPr="00782377">
        <w:rPr>
          <w:rStyle w:val="AERbody"/>
        </w:rPr>
        <w:t xml:space="preserve">The CESS provides an incentive for service providers to pursue efficiency improvements in capex. Similar to the EBSS, the CESS provides a network service provider with the same reward for an efficiency saving and the same penalty for an efficiency loss regardless of which year they make the saving or loss. </w:t>
      </w:r>
    </w:p>
    <w:p w:rsidR="00782377" w:rsidRPr="00782377" w:rsidRDefault="00782377" w:rsidP="00782377">
      <w:pPr>
        <w:rPr>
          <w:rStyle w:val="AERbody"/>
        </w:rPr>
      </w:pPr>
      <w:r w:rsidRPr="00782377">
        <w:rPr>
          <w:rStyle w:val="AERbody"/>
        </w:rPr>
        <w:t>Under the CESS a service provider retains 30 per cent of the benefit or cost of an under</w:t>
      </w:r>
      <w:r w:rsidR="00B1218F">
        <w:rPr>
          <w:rStyle w:val="AERbody"/>
        </w:rPr>
        <w:t xml:space="preserve"> </w:t>
      </w:r>
      <w:r w:rsidRPr="00782377">
        <w:rPr>
          <w:rStyle w:val="AERbody"/>
        </w:rPr>
        <w:t xml:space="preserve">spend or overspend, while consumers retain 70 per cent of the benefit or cost of </w:t>
      </w:r>
      <w:proofErr w:type="gramStart"/>
      <w:r w:rsidRPr="00782377">
        <w:rPr>
          <w:rStyle w:val="AERbody"/>
        </w:rPr>
        <w:t>an underspend</w:t>
      </w:r>
      <w:proofErr w:type="gramEnd"/>
      <w:r w:rsidRPr="00782377">
        <w:rPr>
          <w:rStyle w:val="AERbody"/>
        </w:rPr>
        <w:t xml:space="preserve"> or overspend. This means that for a one dollar saving in capex the service provider keeps 30 cents of the benefit while consumers keep 70 cents of the benefit. Conversely, in the case of </w:t>
      </w:r>
      <w:proofErr w:type="gramStart"/>
      <w:r w:rsidRPr="00782377">
        <w:rPr>
          <w:rStyle w:val="AERbody"/>
        </w:rPr>
        <w:t>an overspend</w:t>
      </w:r>
      <w:proofErr w:type="gramEnd"/>
      <w:r w:rsidRPr="00782377">
        <w:rPr>
          <w:rStyle w:val="AERbody"/>
        </w:rPr>
        <w:t xml:space="preserve">, the service provider pays for 30 cents of the cost while consumers bear 70 cents of the cost. </w:t>
      </w:r>
    </w:p>
    <w:p w:rsidR="00782377" w:rsidRDefault="00782377" w:rsidP="00782377">
      <w:pPr>
        <w:rPr>
          <w:rStyle w:val="AERbody"/>
        </w:rPr>
      </w:pPr>
      <w:r w:rsidRPr="00782377">
        <w:rPr>
          <w:rStyle w:val="AERbody"/>
        </w:rPr>
        <w:t xml:space="preserve">We will apply the CESS as set out in version 1 of the capital expenditure incentives guideline to AusNet Services in the 2017–22 regulatory control </w:t>
      </w:r>
      <w:proofErr w:type="gramStart"/>
      <w:r w:rsidRPr="00782377">
        <w:rPr>
          <w:rStyle w:val="AERbody"/>
        </w:rPr>
        <w:t>period</w:t>
      </w:r>
      <w:proofErr w:type="gramEnd"/>
      <w:r w:rsidRPr="00782377">
        <w:rPr>
          <w:rStyle w:val="AERbody"/>
        </w:rPr>
        <w:t>.</w:t>
      </w:r>
      <w:r>
        <w:rPr>
          <w:rStyle w:val="FootnoteReference"/>
        </w:rPr>
        <w:footnoteReference w:id="29"/>
      </w:r>
      <w:r w:rsidRPr="00782377">
        <w:rPr>
          <w:rStyle w:val="AERbody"/>
        </w:rPr>
        <w:t xml:space="preserve"> The guideline provides for the exclusion from the CESS of capex the service provider incurs in delivering a priority project approved under the network capability component of the STPIS for transmission network service providers.</w:t>
      </w:r>
      <w:r w:rsidRPr="00782377">
        <w:rPr>
          <w:rStyle w:val="FootnoteReference"/>
        </w:rPr>
        <w:footnoteReference w:id="30"/>
      </w:r>
      <w:r w:rsidRPr="00782377">
        <w:rPr>
          <w:rStyle w:val="AERbody"/>
        </w:rPr>
        <w:t xml:space="preserve"> This is consistent with the proposed approach we set out in our framework and approach paper.</w:t>
      </w:r>
      <w:r w:rsidRPr="00782377">
        <w:rPr>
          <w:rStyle w:val="FootnoteReference"/>
        </w:rPr>
        <w:footnoteReference w:id="31"/>
      </w:r>
    </w:p>
    <w:p w:rsidR="005D76FB" w:rsidRDefault="005D76FB" w:rsidP="005D76FB">
      <w:pPr>
        <w:pStyle w:val="Heading2"/>
      </w:pPr>
      <w:bookmarkStart w:id="88" w:name="_Toc480988365"/>
      <w:r>
        <w:t>Service target performance incentive scheme (STPIS)</w:t>
      </w:r>
      <w:bookmarkEnd w:id="88"/>
    </w:p>
    <w:p w:rsidR="00F66B70" w:rsidRPr="00F66B70" w:rsidRDefault="00F66B70" w:rsidP="00F66B70">
      <w:r w:rsidRPr="00F66B70">
        <w:t xml:space="preserve">The STPIS is intended to balance a business' incentive to reduce expenditure with the need to maintain or improve service quality. It achieves this by providing financial incentives to businesses to maintain and improve service performance where customers are willing to pay for these improvements. </w:t>
      </w:r>
    </w:p>
    <w:p w:rsidR="00F66B70" w:rsidRPr="00F66B70" w:rsidRDefault="00F66B70" w:rsidP="00F66B70">
      <w:r w:rsidRPr="00F66B70">
        <w:t xml:space="preserve">Businesses can only retain their rewards for sustained and continuous improvements to the reliability of supply for customers. Once improvements are made, the benchmark performance targets will be tightened in future years. </w:t>
      </w:r>
    </w:p>
    <w:p w:rsidR="005D76FB" w:rsidRDefault="00F66B70" w:rsidP="00DC39EC">
      <w:r w:rsidRPr="00F66B70">
        <w:t xml:space="preserve">Our </w:t>
      </w:r>
      <w:r>
        <w:t>final</w:t>
      </w:r>
      <w:r w:rsidRPr="00F66B70">
        <w:t xml:space="preserve"> decision is to apply all components of version 5 of the STPIS to AusNet Services for the 2017–22 regulatory control </w:t>
      </w:r>
      <w:proofErr w:type="gramStart"/>
      <w:r w:rsidRPr="00F66B70">
        <w:t>period</w:t>
      </w:r>
      <w:proofErr w:type="gramEnd"/>
      <w:r w:rsidRPr="00F66B70">
        <w:t xml:space="preserve">. The STPIS parameters applied in our </w:t>
      </w:r>
      <w:r>
        <w:t>final</w:t>
      </w:r>
      <w:r w:rsidRPr="00F66B70">
        <w:t xml:space="preserve"> decision are set out in attachment 11.</w:t>
      </w:r>
    </w:p>
    <w:p w:rsidR="005D76FB" w:rsidRDefault="005D76FB" w:rsidP="005D76FB">
      <w:pPr>
        <w:pStyle w:val="Heading1"/>
      </w:pPr>
      <w:bookmarkStart w:id="89" w:name="_Ref477770609"/>
      <w:bookmarkStart w:id="90" w:name="_Toc480988366"/>
      <w:r>
        <w:lastRenderedPageBreak/>
        <w:t>Understanding the NEO</w:t>
      </w:r>
      <w:bookmarkEnd w:id="89"/>
      <w:bookmarkEnd w:id="90"/>
    </w:p>
    <w:p w:rsidR="005D76FB" w:rsidRPr="00085FA0" w:rsidRDefault="005D76FB" w:rsidP="005D76FB">
      <w:r>
        <w:rPr>
          <w:rStyle w:val="AERbody"/>
        </w:rPr>
        <w:t xml:space="preserve">The NEO is the central feature of the regulatory framework. </w:t>
      </w:r>
      <w:r w:rsidRPr="00085FA0">
        <w:t xml:space="preserve">The NEO is to: </w:t>
      </w:r>
    </w:p>
    <w:p w:rsidR="005D76FB" w:rsidRPr="00085FA0" w:rsidRDefault="005D76FB" w:rsidP="005D76FB">
      <w:pPr>
        <w:pStyle w:val="AERquote"/>
      </w:pPr>
      <w:proofErr w:type="gramStart"/>
      <w:r w:rsidRPr="00085FA0">
        <w:t>promote</w:t>
      </w:r>
      <w:proofErr w:type="gramEnd"/>
      <w:r w:rsidRPr="00085FA0">
        <w:t xml:space="preserve"> efficient investment in, and efficient operation and use of, electricity services for the long term interests of consumers of electricity with respect to— </w:t>
      </w:r>
    </w:p>
    <w:p w:rsidR="005D76FB" w:rsidRPr="00085FA0" w:rsidRDefault="005D76FB" w:rsidP="005D76FB">
      <w:pPr>
        <w:pStyle w:val="AERquote"/>
      </w:pPr>
      <w:r w:rsidRPr="00085FA0">
        <w:t xml:space="preserve">(a) </w:t>
      </w:r>
      <w:proofErr w:type="gramStart"/>
      <w:r w:rsidRPr="00085FA0">
        <w:t>price</w:t>
      </w:r>
      <w:proofErr w:type="gramEnd"/>
      <w:r w:rsidRPr="00085FA0">
        <w:t xml:space="preserve">, quality, safety, reliability and security of supply of electricity; and </w:t>
      </w:r>
    </w:p>
    <w:p w:rsidR="005D76FB" w:rsidRDefault="005D76FB" w:rsidP="005D76FB">
      <w:pPr>
        <w:pStyle w:val="AERquote"/>
      </w:pPr>
      <w:r w:rsidRPr="00085FA0">
        <w:t xml:space="preserve">(b) </w:t>
      </w:r>
      <w:proofErr w:type="gramStart"/>
      <w:r w:rsidRPr="00085FA0">
        <w:t>the</w:t>
      </w:r>
      <w:proofErr w:type="gramEnd"/>
      <w:r w:rsidRPr="00085FA0">
        <w:t xml:space="preserve"> reliability, safety and security of the national electricity system.</w:t>
      </w:r>
      <w:r>
        <w:rPr>
          <w:rStyle w:val="FootnoteReference"/>
        </w:rPr>
        <w:footnoteReference w:id="32"/>
      </w:r>
    </w:p>
    <w:p w:rsidR="005D76FB" w:rsidRPr="004922F8" w:rsidRDefault="005D76FB" w:rsidP="005D76FB">
      <w:pPr>
        <w:rPr>
          <w:rStyle w:val="AERbody"/>
        </w:rPr>
      </w:pPr>
      <w:r w:rsidRPr="004922F8">
        <w:rPr>
          <w:rStyle w:val="AERbody"/>
        </w:rPr>
        <w:t>Energy Ministers have provided us with a substantial body of explanatory material that guides our understanding of the NEO.</w:t>
      </w:r>
      <w:r>
        <w:rPr>
          <w:rStyle w:val="FootnoteReference"/>
        </w:rPr>
        <w:footnoteReference w:id="33"/>
      </w:r>
      <w:r w:rsidRPr="004922F8">
        <w:rPr>
          <w:rStyle w:val="AERbody"/>
        </w:rPr>
        <w:t xml:space="preserve"> The long term interests of consumers are not delivered by any one of the NEO's factors in isolation, but rather by balancing them in reaching a regulatory decision.</w:t>
      </w:r>
      <w:r>
        <w:rPr>
          <w:rStyle w:val="FootnoteReference"/>
        </w:rPr>
        <w:footnoteReference w:id="34"/>
      </w:r>
      <w:r w:rsidRPr="004922F8">
        <w:rPr>
          <w:rStyle w:val="AERbody"/>
        </w:rPr>
        <w:t xml:space="preserve"> </w:t>
      </w:r>
    </w:p>
    <w:p w:rsidR="005D76FB" w:rsidRPr="004922F8" w:rsidRDefault="005D76FB" w:rsidP="005D76FB">
      <w:pPr>
        <w:rPr>
          <w:rStyle w:val="AERbody"/>
        </w:rPr>
      </w:pPr>
      <w:r w:rsidRPr="004922F8">
        <w:rPr>
          <w:rStyle w:val="AERbody"/>
        </w:rPr>
        <w:t>In general, we consider that we will achieve this balance and, therefore, contribute to the achievement of the NEO, where consumers are provided a reasonable level of safe and reliable service that they value at least cost in the long run.</w:t>
      </w:r>
      <w:r>
        <w:rPr>
          <w:rStyle w:val="FootnoteReference"/>
        </w:rPr>
        <w:footnoteReference w:id="35"/>
      </w:r>
      <w:r w:rsidRPr="004922F8">
        <w:rPr>
          <w:rStyle w:val="AERbody"/>
        </w:rPr>
        <w:t xml:space="preserve"> We have also considered the quality and reliability of services provided to consumers. For example, opex allowances have been set so </w:t>
      </w:r>
      <w:r>
        <w:rPr>
          <w:rStyle w:val="AERbody"/>
        </w:rPr>
        <w:t>AusNet Services</w:t>
      </w:r>
      <w:r w:rsidRPr="004922F8">
        <w:rPr>
          <w:rStyle w:val="AERbody"/>
        </w:rPr>
        <w:t xml:space="preserve"> may meet existing and new regulatory requirements. </w:t>
      </w:r>
      <w:r>
        <w:rPr>
          <w:rStyle w:val="AERbody"/>
        </w:rPr>
        <w:t>Replacement expenditure (r</w:t>
      </w:r>
      <w:r w:rsidRPr="004922F8">
        <w:rPr>
          <w:rStyle w:val="AERbody"/>
        </w:rPr>
        <w:t>epex</w:t>
      </w:r>
      <w:r>
        <w:rPr>
          <w:rStyle w:val="AERbody"/>
        </w:rPr>
        <w:t>)</w:t>
      </w:r>
      <w:r w:rsidRPr="004922F8">
        <w:rPr>
          <w:rStyle w:val="AERbody"/>
        </w:rPr>
        <w:t xml:space="preserve"> allowances take into account the age and condition of assets. Our capex allowance is based on a contemporary estimate of the value of customer reliability. And the STPIS encourages maintenance, and indeed improvement of, service quality.</w:t>
      </w:r>
    </w:p>
    <w:p w:rsidR="005D76FB" w:rsidRPr="004922F8" w:rsidRDefault="005D76FB" w:rsidP="005D76FB">
      <w:pPr>
        <w:rPr>
          <w:rStyle w:val="AERbody"/>
        </w:rPr>
      </w:pPr>
      <w:r w:rsidRPr="004922F8">
        <w:rPr>
          <w:rStyle w:val="AERbody"/>
        </w:rPr>
        <w:t>The nature of decisions under the NER is such that there may be a range of economically efficient decisions, with different implications for the long term interests of consumers.</w:t>
      </w:r>
      <w:r>
        <w:rPr>
          <w:rStyle w:val="FootnoteReference"/>
        </w:rPr>
        <w:footnoteReference w:id="36"/>
      </w:r>
      <w:r w:rsidRPr="004922F8">
        <w:rPr>
          <w:rStyle w:val="AERbody"/>
        </w:rPr>
        <w:t xml:space="preserve">  At the same time, however, there are a range of outcomes that are unlikely to advance the NEO, or advance the NEO to the degree that others would.</w:t>
      </w:r>
    </w:p>
    <w:p w:rsidR="005D76FB" w:rsidRPr="004922F8" w:rsidRDefault="005D76FB" w:rsidP="005D76FB">
      <w:pPr>
        <w:rPr>
          <w:rStyle w:val="AERbody"/>
        </w:rPr>
      </w:pPr>
      <w:r w:rsidRPr="004922F8">
        <w:rPr>
          <w:rStyle w:val="AERbody"/>
        </w:rPr>
        <w:t>For example, we do not consider that the NEO would be advanced if allowed revenues encourage overinvestment and result in prices so high that consumers are unwilling or unable to efficiently use the network.</w:t>
      </w:r>
      <w:r>
        <w:rPr>
          <w:rStyle w:val="FootnoteReference"/>
        </w:rPr>
        <w:footnoteReference w:id="37"/>
      </w:r>
      <w:r w:rsidRPr="004922F8">
        <w:rPr>
          <w:rStyle w:val="AERbody"/>
        </w:rPr>
        <w:t xml:space="preserve">  This could have significant longer term pricing implications for those consumers who continue to use network services.</w:t>
      </w:r>
    </w:p>
    <w:p w:rsidR="005D76FB" w:rsidRPr="004922F8" w:rsidRDefault="005D76FB" w:rsidP="005D76FB">
      <w:pPr>
        <w:rPr>
          <w:rStyle w:val="AERbody"/>
        </w:rPr>
      </w:pPr>
      <w:r w:rsidRPr="004922F8">
        <w:rPr>
          <w:rStyle w:val="AERbody"/>
        </w:rPr>
        <w:lastRenderedPageBreak/>
        <w:t>Equally, we do not consider the NEO would be advanced if allowed revenues result in prices so low that investors are unwilling to invest as required to adequately maintain the appropriate quality and level of service, and where customers are making more use of the network than is sustainable. This could create longer term problems in the network</w:t>
      </w:r>
      <w:r>
        <w:rPr>
          <w:rStyle w:val="FootnoteReference"/>
        </w:rPr>
        <w:footnoteReference w:id="38"/>
      </w:r>
      <w:r w:rsidRPr="004922F8">
        <w:rPr>
          <w:rStyle w:val="AERbody"/>
        </w:rPr>
        <w:t xml:space="preserve"> and could have adverse consequences for safety, security and reliability of the network. </w:t>
      </w:r>
    </w:p>
    <w:p w:rsidR="005D76FB" w:rsidRDefault="005D76FB" w:rsidP="005D76FB">
      <w:pPr>
        <w:rPr>
          <w:rStyle w:val="AERbody"/>
        </w:rPr>
      </w:pPr>
      <w:r w:rsidRPr="004922F8">
        <w:rPr>
          <w:rStyle w:val="AERbody"/>
        </w:rPr>
        <w:t>The NEL also includes the revenue and pricing principles (RPP),</w:t>
      </w:r>
      <w:r>
        <w:rPr>
          <w:rStyle w:val="FootnoteReference"/>
        </w:rPr>
        <w:footnoteReference w:id="39"/>
      </w:r>
      <w:r w:rsidRPr="004922F8">
        <w:rPr>
          <w:rStyle w:val="AERbody"/>
        </w:rPr>
        <w:t xml:space="preserve"> which support the NEO. As the NEL requires,</w:t>
      </w:r>
      <w:r>
        <w:rPr>
          <w:rStyle w:val="FootnoteReference"/>
        </w:rPr>
        <w:footnoteReference w:id="40"/>
      </w:r>
      <w:r w:rsidRPr="004922F8">
        <w:rPr>
          <w:rStyle w:val="AERbody"/>
        </w:rPr>
        <w:t xml:space="preserve"> we have taken the RPPs into account throughout our analysis. </w:t>
      </w:r>
    </w:p>
    <w:p w:rsidR="005D76FB" w:rsidRPr="004E54F9" w:rsidRDefault="005D76FB" w:rsidP="005D76FB">
      <w:pPr>
        <w:pStyle w:val="AERquote"/>
      </w:pPr>
      <w:r w:rsidRPr="004E54F9">
        <w:t xml:space="preserve">The RPPs are: </w:t>
      </w:r>
    </w:p>
    <w:p w:rsidR="005D76FB" w:rsidRPr="004E54F9" w:rsidRDefault="005D76FB" w:rsidP="005D76FB">
      <w:pPr>
        <w:pStyle w:val="AERquote"/>
      </w:pPr>
      <w:r w:rsidRPr="004E54F9">
        <w:t xml:space="preserve">A regulated network service provider should be provided with a reasonable opportunity to recover at least the efficient costs the operator incurs in— </w:t>
      </w:r>
    </w:p>
    <w:p w:rsidR="005D76FB" w:rsidRPr="004E54F9" w:rsidRDefault="005D76FB" w:rsidP="005D76FB">
      <w:pPr>
        <w:pStyle w:val="AERquote"/>
      </w:pPr>
      <w:r>
        <w:t xml:space="preserve">– </w:t>
      </w:r>
      <w:r w:rsidRPr="004E54F9">
        <w:t xml:space="preserve">providing direct control network services; and </w:t>
      </w:r>
    </w:p>
    <w:p w:rsidR="005D76FB" w:rsidRPr="004E54F9" w:rsidRDefault="005D76FB" w:rsidP="005D76FB">
      <w:pPr>
        <w:pStyle w:val="AERquote"/>
      </w:pPr>
      <w:proofErr w:type="gramStart"/>
      <w:r>
        <w:t>–</w:t>
      </w:r>
      <w:r w:rsidRPr="004E54F9">
        <w:t xml:space="preserve"> complying with a regulatory obligation or requirement or making a regulatory payment.</w:t>
      </w:r>
      <w:proofErr w:type="gramEnd"/>
      <w:r w:rsidRPr="004E54F9">
        <w:t xml:space="preserve"> </w:t>
      </w:r>
    </w:p>
    <w:p w:rsidR="005D76FB" w:rsidRPr="004E54F9" w:rsidRDefault="005D76FB" w:rsidP="005D76FB">
      <w:pPr>
        <w:pStyle w:val="AERquote"/>
      </w:pPr>
      <w:r w:rsidRPr="004E54F9">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5D76FB" w:rsidRPr="004E54F9" w:rsidRDefault="005D76FB" w:rsidP="005D76FB">
      <w:pPr>
        <w:pStyle w:val="AERquote"/>
      </w:pPr>
      <w:r>
        <w:t xml:space="preserve">– </w:t>
      </w:r>
      <w:proofErr w:type="gramStart"/>
      <w:r w:rsidRPr="004E54F9">
        <w:t>efficient</w:t>
      </w:r>
      <w:proofErr w:type="gramEnd"/>
      <w:r w:rsidRPr="004E54F9">
        <w:t xml:space="preserve"> investment in a distribution system or transmission system with which the operator provides direct control network services; and </w:t>
      </w:r>
    </w:p>
    <w:p w:rsidR="005D76FB" w:rsidRPr="004E54F9" w:rsidRDefault="005D76FB" w:rsidP="005D76FB">
      <w:pPr>
        <w:pStyle w:val="AERquote"/>
      </w:pPr>
      <w:r>
        <w:t xml:space="preserve">– </w:t>
      </w:r>
      <w:proofErr w:type="gramStart"/>
      <w:r w:rsidRPr="004E54F9">
        <w:t>the</w:t>
      </w:r>
      <w:proofErr w:type="gramEnd"/>
      <w:r w:rsidRPr="004E54F9">
        <w:t xml:space="preserve"> efficient provision of electricity network services; and </w:t>
      </w:r>
    </w:p>
    <w:p w:rsidR="005D76FB" w:rsidRPr="004E54F9" w:rsidRDefault="005D76FB" w:rsidP="005D76FB">
      <w:pPr>
        <w:pStyle w:val="AERquote"/>
      </w:pPr>
      <w:r>
        <w:t xml:space="preserve">– </w:t>
      </w:r>
      <w:proofErr w:type="gramStart"/>
      <w:r w:rsidRPr="004E54F9">
        <w:t>the</w:t>
      </w:r>
      <w:proofErr w:type="gramEnd"/>
      <w:r w:rsidRPr="004E54F9">
        <w:t xml:space="preserve"> efficient use of the distribution system or transmission system with which the operator provides direct control network services. </w:t>
      </w:r>
    </w:p>
    <w:p w:rsidR="005D76FB" w:rsidRPr="004E54F9" w:rsidRDefault="005D76FB" w:rsidP="005D76FB">
      <w:pPr>
        <w:pStyle w:val="AERquote"/>
      </w:pPr>
      <w:r w:rsidRPr="004E54F9">
        <w:t xml:space="preserve">Regard should be had to the regulatory asset base with respect to a distribution system or transmission system adopted— </w:t>
      </w:r>
    </w:p>
    <w:p w:rsidR="005D76FB" w:rsidRPr="004E54F9" w:rsidRDefault="005D76FB" w:rsidP="005D76FB">
      <w:pPr>
        <w:pStyle w:val="AERquote"/>
      </w:pPr>
      <w:r>
        <w:t xml:space="preserve">– </w:t>
      </w:r>
      <w:proofErr w:type="gramStart"/>
      <w:r w:rsidRPr="004E54F9">
        <w:t>in</w:t>
      </w:r>
      <w:proofErr w:type="gramEnd"/>
      <w:r w:rsidRPr="004E54F9">
        <w:t xml:space="preserve"> any previous— </w:t>
      </w:r>
    </w:p>
    <w:p w:rsidR="005D76FB" w:rsidRPr="004E54F9" w:rsidRDefault="005D76FB" w:rsidP="005D76FB">
      <w:pPr>
        <w:pStyle w:val="AERquote"/>
      </w:pPr>
      <w:r>
        <w:t>–</w:t>
      </w:r>
      <w:r w:rsidRPr="004E54F9">
        <w:t xml:space="preserve"> </w:t>
      </w:r>
      <w:proofErr w:type="gramStart"/>
      <w:r w:rsidRPr="004E54F9">
        <w:t>as</w:t>
      </w:r>
      <w:proofErr w:type="gramEnd"/>
      <w:r w:rsidRPr="004E54F9">
        <w:t xml:space="preserve"> the case requires, distribution determination or transmission determination; or </w:t>
      </w:r>
    </w:p>
    <w:p w:rsidR="005D76FB" w:rsidRPr="004E54F9" w:rsidRDefault="005D76FB" w:rsidP="005D76FB">
      <w:pPr>
        <w:pStyle w:val="AERquote"/>
      </w:pPr>
      <w:r>
        <w:t>–</w:t>
      </w:r>
      <w:r w:rsidRPr="004E54F9">
        <w:t xml:space="preserve"> determination or decision under the National Electricity Code or jurisdictional electricity legislation regulating the revenue earned, or prices charged, by a person providing services by means of that distribution system or transmission system; or </w:t>
      </w:r>
    </w:p>
    <w:p w:rsidR="005D76FB" w:rsidRPr="004E54F9" w:rsidRDefault="005D76FB" w:rsidP="005D76FB">
      <w:pPr>
        <w:pStyle w:val="AERquote"/>
      </w:pPr>
      <w:r>
        <w:lastRenderedPageBreak/>
        <w:t>–</w:t>
      </w:r>
      <w:r w:rsidRPr="004E54F9">
        <w:t xml:space="preserve"> </w:t>
      </w:r>
      <w:proofErr w:type="gramStart"/>
      <w:r w:rsidRPr="004E54F9">
        <w:t>in</w:t>
      </w:r>
      <w:proofErr w:type="gramEnd"/>
      <w:r w:rsidRPr="004E54F9">
        <w:t xml:space="preserve"> the Rules. </w:t>
      </w:r>
    </w:p>
    <w:p w:rsidR="005D76FB" w:rsidRPr="004E54F9" w:rsidRDefault="005D76FB" w:rsidP="005D76FB">
      <w:pPr>
        <w:pStyle w:val="AERquote"/>
      </w:pPr>
      <w:r w:rsidRPr="004E54F9">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5D76FB" w:rsidRPr="004E54F9" w:rsidRDefault="005D76FB" w:rsidP="005D76FB">
      <w:pPr>
        <w:pStyle w:val="AERquote"/>
      </w:pPr>
      <w:r w:rsidRPr="004E54F9">
        <w:t xml:space="preserve">Regard should be had to the economic costs and risks of the potential for under and over investment by a regulated network service provider in, as the case requires, a distribution system or transmission system with which the operator provides direct control network services. </w:t>
      </w:r>
    </w:p>
    <w:p w:rsidR="005D76FB" w:rsidRPr="004922F8" w:rsidRDefault="005D76FB" w:rsidP="005D76FB">
      <w:pPr>
        <w:pStyle w:val="AERquote"/>
        <w:rPr>
          <w:rStyle w:val="AERbody"/>
        </w:rPr>
      </w:pPr>
      <w:r w:rsidRPr="004E54F9">
        <w:t>Regard should be had to the economic costs and risks of the potential for under and over utilisation of a distribution system or transmission system with which a regulated network service provider provides direct control network services.</w:t>
      </w:r>
    </w:p>
    <w:p w:rsidR="005D76FB" w:rsidRPr="004922F8" w:rsidRDefault="005D76FB" w:rsidP="005D76FB">
      <w:pPr>
        <w:rPr>
          <w:rStyle w:val="AERbody"/>
        </w:rPr>
      </w:pPr>
      <w:r w:rsidRPr="004922F8">
        <w:rPr>
          <w:rStyle w:val="AERbody"/>
        </w:rPr>
        <w:t>Consistent with Energy Ministers' views, we set revenue allowances to balance all elements of the NEO and consider each of the RPPs.</w:t>
      </w:r>
      <w:r>
        <w:rPr>
          <w:rStyle w:val="FootnoteReference"/>
        </w:rPr>
        <w:footnoteReference w:id="41"/>
      </w:r>
      <w:r w:rsidRPr="004922F8">
        <w:rPr>
          <w:rStyle w:val="AERbody"/>
        </w:rPr>
        <w:t xml:space="preserve"> For example:</w:t>
      </w:r>
    </w:p>
    <w:p w:rsidR="005D76FB" w:rsidRPr="004922F8" w:rsidRDefault="005D76FB" w:rsidP="005D76FB">
      <w:pPr>
        <w:pStyle w:val="AERbulletlistfirststyle"/>
        <w:rPr>
          <w:rStyle w:val="AERbody"/>
        </w:rPr>
      </w:pPr>
      <w:r w:rsidRPr="004922F8">
        <w:rPr>
          <w:rStyle w:val="AERbody"/>
        </w:rPr>
        <w:tab/>
        <w:t xml:space="preserve">In determining forecast opex and capex that reasonably reflects the opex and capex criteria, we take into account the revenue and pricing principle that should provide </w:t>
      </w:r>
      <w:r>
        <w:rPr>
          <w:rStyle w:val="AERbody"/>
        </w:rPr>
        <w:t>AusNet Services</w:t>
      </w:r>
      <w:r w:rsidRPr="004922F8">
        <w:rPr>
          <w:rStyle w:val="AERbody"/>
        </w:rPr>
        <w:t xml:space="preserve"> with a reasonable opportunity to recover at least efficient costs. (Refer to capex attachment 6 and opex attachment 7). </w:t>
      </w:r>
    </w:p>
    <w:p w:rsidR="005D76FB" w:rsidRPr="004922F8" w:rsidRDefault="005D76FB" w:rsidP="005D76FB">
      <w:pPr>
        <w:pStyle w:val="AERbulletlistfirststyle"/>
        <w:rPr>
          <w:rStyle w:val="AERbody"/>
        </w:rPr>
      </w:pPr>
      <w:r w:rsidRPr="004922F8">
        <w:rPr>
          <w:rStyle w:val="AERbody"/>
        </w:rPr>
        <w:tab/>
        <w:t xml:space="preserve">We take into account the economic costs and risks of the potential for under and over investment by a network service provider in our assessment of </w:t>
      </w:r>
      <w:r>
        <w:rPr>
          <w:rStyle w:val="AERbody"/>
        </w:rPr>
        <w:t xml:space="preserve">AusNet Services' </w:t>
      </w:r>
      <w:r w:rsidRPr="004922F8">
        <w:rPr>
          <w:rStyle w:val="AERbody"/>
        </w:rPr>
        <w:t xml:space="preserve">forecast </w:t>
      </w:r>
      <w:r>
        <w:rPr>
          <w:rStyle w:val="AERbody"/>
        </w:rPr>
        <w:t>capex</w:t>
      </w:r>
      <w:r w:rsidRPr="004922F8">
        <w:rPr>
          <w:rStyle w:val="AERbody"/>
        </w:rPr>
        <w:t xml:space="preserve"> and </w:t>
      </w:r>
      <w:r>
        <w:rPr>
          <w:rStyle w:val="AERbody"/>
        </w:rPr>
        <w:t>opex</w:t>
      </w:r>
      <w:r w:rsidRPr="004922F8">
        <w:rPr>
          <w:rStyle w:val="AERbody"/>
        </w:rPr>
        <w:t xml:space="preserve"> proposals. (Refer to capex attachment 6 and opex attachment 7).</w:t>
      </w:r>
    </w:p>
    <w:p w:rsidR="005D76FB" w:rsidRPr="004922F8" w:rsidRDefault="005D76FB" w:rsidP="005D76FB">
      <w:pPr>
        <w:pStyle w:val="AERbulletlistfirststyle"/>
        <w:rPr>
          <w:rStyle w:val="AERbody"/>
        </w:rPr>
      </w:pPr>
      <w:r w:rsidRPr="004922F8">
        <w:rPr>
          <w:rStyle w:val="AERbody"/>
        </w:rPr>
        <w:tab/>
        <w:t xml:space="preserve">We consider the economic costs and risks of the potential for under and over utilisation of </w:t>
      </w:r>
      <w:r>
        <w:rPr>
          <w:rStyle w:val="AERbody"/>
        </w:rPr>
        <w:t>AusNet Services' transmission</w:t>
      </w:r>
      <w:r w:rsidRPr="004922F8">
        <w:rPr>
          <w:rStyle w:val="AERbody"/>
        </w:rPr>
        <w:t xml:space="preserve"> system in our demand forecasting (Refer to capex attachment 6).</w:t>
      </w:r>
    </w:p>
    <w:p w:rsidR="005D76FB" w:rsidRPr="004922F8" w:rsidRDefault="005D76FB" w:rsidP="005D76FB">
      <w:pPr>
        <w:pStyle w:val="AERbulletlistfirststyle"/>
        <w:rPr>
          <w:rStyle w:val="AERbody"/>
        </w:rPr>
      </w:pPr>
      <w:r w:rsidRPr="004922F8">
        <w:rPr>
          <w:rStyle w:val="AERbody"/>
        </w:rPr>
        <w:tab/>
        <w:t xml:space="preserve">Our </w:t>
      </w:r>
      <w:proofErr w:type="gramStart"/>
      <w:r w:rsidRPr="004922F8">
        <w:rPr>
          <w:rStyle w:val="AERbody"/>
        </w:rPr>
        <w:t xml:space="preserve">application of the EBSS, CESS, </w:t>
      </w:r>
      <w:r>
        <w:rPr>
          <w:rStyle w:val="AERbody"/>
        </w:rPr>
        <w:t xml:space="preserve">and </w:t>
      </w:r>
      <w:r w:rsidRPr="004922F8">
        <w:rPr>
          <w:rStyle w:val="AERbody"/>
        </w:rPr>
        <w:t>STPIS in this determination provide</w:t>
      </w:r>
      <w:proofErr w:type="gramEnd"/>
      <w:r w:rsidRPr="004922F8">
        <w:rPr>
          <w:rStyle w:val="AERbody"/>
        </w:rPr>
        <w:t xml:space="preserve"> </w:t>
      </w:r>
      <w:r>
        <w:rPr>
          <w:rStyle w:val="AERbody"/>
        </w:rPr>
        <w:t>AusNet Services</w:t>
      </w:r>
      <w:r w:rsidRPr="004922F8">
        <w:rPr>
          <w:rStyle w:val="AERbody"/>
        </w:rPr>
        <w:t xml:space="preserve"> with effective incentives which we consider will promote economic efficiency with respect to the direct control services that </w:t>
      </w:r>
      <w:r>
        <w:rPr>
          <w:rStyle w:val="AERbody"/>
        </w:rPr>
        <w:t>AusNet Services</w:t>
      </w:r>
      <w:r w:rsidRPr="004922F8">
        <w:rPr>
          <w:rStyle w:val="AERbody"/>
        </w:rPr>
        <w:t xml:space="preserve"> provides throughout the regulatory control period. (Refer to attachments 9, 10 and 1</w:t>
      </w:r>
      <w:r>
        <w:rPr>
          <w:rStyle w:val="AERbody"/>
        </w:rPr>
        <w:t>1</w:t>
      </w:r>
      <w:r w:rsidRPr="004922F8">
        <w:rPr>
          <w:rStyle w:val="AERbody"/>
        </w:rPr>
        <w:t xml:space="preserve">). </w:t>
      </w:r>
    </w:p>
    <w:p w:rsidR="005D76FB" w:rsidRPr="004922F8" w:rsidRDefault="005D76FB" w:rsidP="005D76FB">
      <w:pPr>
        <w:pStyle w:val="AERbulletlistfirststyle"/>
        <w:rPr>
          <w:rStyle w:val="AERbody"/>
        </w:rPr>
      </w:pPr>
      <w:r w:rsidRPr="004922F8">
        <w:rPr>
          <w:rStyle w:val="AERbody"/>
        </w:rPr>
        <w:tab/>
        <w:t xml:space="preserve">We have determined </w:t>
      </w:r>
      <w:r>
        <w:rPr>
          <w:rStyle w:val="AERbody"/>
        </w:rPr>
        <w:t>AusNet Services'</w:t>
      </w:r>
      <w:r w:rsidRPr="004922F8">
        <w:rPr>
          <w:rStyle w:val="AERbody"/>
        </w:rPr>
        <w:t xml:space="preserve"> opening RAB taking into account the RAB adopted in the previous </w:t>
      </w:r>
      <w:r>
        <w:rPr>
          <w:rStyle w:val="AERbody"/>
        </w:rPr>
        <w:t>transmission</w:t>
      </w:r>
      <w:r w:rsidRPr="004922F8">
        <w:rPr>
          <w:rStyle w:val="AERbody"/>
        </w:rPr>
        <w:t xml:space="preserve"> determination. (Refer to attachment 2, regulatory asset base).</w:t>
      </w:r>
    </w:p>
    <w:p w:rsidR="005D76FB" w:rsidRPr="004922F8" w:rsidRDefault="005D76FB" w:rsidP="005D76FB">
      <w:pPr>
        <w:pStyle w:val="AERbulletlistfirststyle"/>
        <w:rPr>
          <w:rStyle w:val="AERbody"/>
        </w:rPr>
      </w:pPr>
      <w:r w:rsidRPr="004922F8">
        <w:rPr>
          <w:rStyle w:val="AERbody"/>
        </w:rPr>
        <w:tab/>
        <w:t>The allowed rate of return objective reflects the revenue and pricing principle in s.</w:t>
      </w:r>
      <w:r>
        <w:rPr>
          <w:rStyle w:val="AERbody"/>
        </w:rPr>
        <w:t> </w:t>
      </w:r>
      <w:proofErr w:type="gramStart"/>
      <w:r w:rsidRPr="004922F8">
        <w:rPr>
          <w:rStyle w:val="AERbody"/>
        </w:rPr>
        <w:t>7A(</w:t>
      </w:r>
      <w:proofErr w:type="gramEnd"/>
      <w:r w:rsidRPr="004922F8">
        <w:rPr>
          <w:rStyle w:val="AERbody"/>
        </w:rPr>
        <w:t>5)</w:t>
      </w:r>
      <w:r>
        <w:rPr>
          <w:rStyle w:val="AERbody"/>
        </w:rPr>
        <w:t xml:space="preserve"> of the NEL</w:t>
      </w:r>
      <w:r w:rsidRPr="004922F8">
        <w:rPr>
          <w:rStyle w:val="AERbody"/>
        </w:rPr>
        <w:t xml:space="preserve">. We have determined a rate of return that we consider will provide </w:t>
      </w:r>
      <w:r>
        <w:rPr>
          <w:rStyle w:val="AERbody"/>
        </w:rPr>
        <w:t xml:space="preserve">AusNet Services </w:t>
      </w:r>
      <w:r w:rsidRPr="004922F8">
        <w:rPr>
          <w:rStyle w:val="AERbody"/>
        </w:rPr>
        <w:t>with a return commensurate with the regulatory and commercial risks involved in providing direct control services. (Refer to attachment 3, rate of return).</w:t>
      </w:r>
    </w:p>
    <w:p w:rsidR="005D76FB" w:rsidRPr="004922F8" w:rsidRDefault="005D76FB" w:rsidP="005D76FB">
      <w:pPr>
        <w:pStyle w:val="AERbulletlistfirststyle"/>
        <w:rPr>
          <w:rStyle w:val="AERbody"/>
        </w:rPr>
      </w:pPr>
      <w:r w:rsidRPr="004922F8">
        <w:rPr>
          <w:rStyle w:val="AERbody"/>
        </w:rPr>
        <w:lastRenderedPageBreak/>
        <w:tab/>
        <w:t xml:space="preserve">Our financing determinations provide the </w:t>
      </w:r>
      <w:r>
        <w:rPr>
          <w:rStyle w:val="AERbody"/>
        </w:rPr>
        <w:t>TNSP</w:t>
      </w:r>
      <w:r w:rsidRPr="004922F8">
        <w:rPr>
          <w:rStyle w:val="AERbody"/>
        </w:rPr>
        <w:t xml:space="preserve"> with a reasonable opportunity to recover at least the efficient costs of accessing debt and capital. (Refer to attachment 3, rate of return).</w:t>
      </w:r>
    </w:p>
    <w:p w:rsidR="005D76FB" w:rsidRPr="004922F8" w:rsidRDefault="005D76FB" w:rsidP="005D76FB">
      <w:pPr>
        <w:rPr>
          <w:rStyle w:val="AERbody"/>
        </w:rPr>
      </w:pPr>
      <w:r w:rsidRPr="004922F8">
        <w:rPr>
          <w:rStyle w:val="AERbody"/>
        </w:rPr>
        <w:t>In some cases, our approach to a particular component (or part thereof) results in an outcome towards the end of the range of options that may be favourable to the businesses</w:t>
      </w:r>
      <w:r>
        <w:rPr>
          <w:rStyle w:val="AERbody"/>
        </w:rPr>
        <w:t>.</w:t>
      </w:r>
      <w:r w:rsidRPr="004922F8">
        <w:rPr>
          <w:rStyle w:val="AERbody"/>
        </w:rPr>
        <w:t xml:space="preserve"> While it can be difficult to quantify the exact revenue impact of these individual decisions, we have identified where we have done so in our attachments. Some of these decisions include:</w:t>
      </w:r>
    </w:p>
    <w:p w:rsidR="005D76FB" w:rsidRPr="004922F8" w:rsidRDefault="005D76FB" w:rsidP="005D76FB">
      <w:pPr>
        <w:pStyle w:val="AERbulletlistfirststyle"/>
        <w:rPr>
          <w:rStyle w:val="AERbody"/>
        </w:rPr>
      </w:pPr>
      <w:r w:rsidRPr="004922F8">
        <w:rPr>
          <w:rStyle w:val="AERbody"/>
        </w:rPr>
        <w:tab/>
        <w:t>selecting at the top of the range for the equity beta</w:t>
      </w:r>
    </w:p>
    <w:p w:rsidR="005D76FB" w:rsidRPr="004922F8" w:rsidRDefault="005D76FB" w:rsidP="005D76FB">
      <w:pPr>
        <w:pStyle w:val="AERbulletlistfirststyle"/>
        <w:rPr>
          <w:rStyle w:val="AERbody"/>
        </w:rPr>
      </w:pPr>
      <w:r w:rsidRPr="004922F8">
        <w:rPr>
          <w:rStyle w:val="AERbody"/>
        </w:rPr>
        <w:tab/>
        <w:t>setting the return on debt by reference to data for a BBB broad band credit rating, when the benchmark is BBB+</w:t>
      </w:r>
    </w:p>
    <w:p w:rsidR="005D76FB" w:rsidRPr="004922F8" w:rsidRDefault="005D76FB" w:rsidP="005D76FB">
      <w:pPr>
        <w:pStyle w:val="AERbulletlistfirststyle"/>
        <w:rPr>
          <w:rStyle w:val="AERbody"/>
        </w:rPr>
      </w:pPr>
      <w:r w:rsidRPr="004922F8">
        <w:rPr>
          <w:rStyle w:val="AERbody"/>
        </w:rPr>
        <w:tab/>
      </w:r>
      <w:proofErr w:type="gramStart"/>
      <w:r w:rsidRPr="004922F8">
        <w:rPr>
          <w:rStyle w:val="AERbody"/>
        </w:rPr>
        <w:t>the</w:t>
      </w:r>
      <w:proofErr w:type="gramEnd"/>
      <w:r w:rsidRPr="004922F8">
        <w:rPr>
          <w:rStyle w:val="AERbody"/>
        </w:rPr>
        <w:t xml:space="preserve"> cash flow timing assumptions in the post-tax revenue model.</w:t>
      </w:r>
    </w:p>
    <w:p w:rsidR="005D76FB" w:rsidRPr="004922F8" w:rsidRDefault="005D76FB" w:rsidP="005D76FB">
      <w:pPr>
        <w:rPr>
          <w:rStyle w:val="AERbody"/>
        </w:rPr>
      </w:pPr>
      <w:r w:rsidRPr="004922F8">
        <w:rPr>
          <w:rStyle w:val="AERbody"/>
        </w:rPr>
        <w:t xml:space="preserve">We take into account the RPPs when exercising discretion about an appropriate estimate. This requires </w:t>
      </w:r>
      <w:proofErr w:type="gramStart"/>
      <w:r w:rsidRPr="004922F8">
        <w:rPr>
          <w:rStyle w:val="AERbody"/>
        </w:rPr>
        <w:t>a recognition</w:t>
      </w:r>
      <w:proofErr w:type="gramEnd"/>
      <w:r w:rsidRPr="004922F8">
        <w:rPr>
          <w:rStyle w:val="AERbody"/>
        </w:rPr>
        <w:t xml:space="preserve"> that for the long term interests of consumers, the risk of under compensation for, or underinvestment by, a service provider may be less desirable than the risk of overcompensation or overinvestment. However, the AER is also conscious of the risk of introducing an inherent bias towards higher amounts where estimates throughout the different components of the determination are each set too conservatively.</w:t>
      </w:r>
      <w:r>
        <w:rPr>
          <w:rStyle w:val="FootnoteReference"/>
        </w:rPr>
        <w:footnoteReference w:id="42"/>
      </w:r>
      <w:r w:rsidRPr="004922F8">
        <w:rPr>
          <w:rStyle w:val="AERbody"/>
        </w:rPr>
        <w:t xml:space="preserve"> The legislative framework recognises the complexity of this task by providing the AER with significant discretion in many aspects of the decision-making process to make judgements on these matters.</w:t>
      </w:r>
    </w:p>
    <w:p w:rsidR="005D76FB" w:rsidRDefault="005D76FB" w:rsidP="005D76FB">
      <w:pPr>
        <w:rPr>
          <w:rStyle w:val="AERbody"/>
        </w:rPr>
      </w:pPr>
      <w:r w:rsidRPr="004922F8">
        <w:rPr>
          <w:rStyle w:val="AERbody"/>
        </w:rPr>
        <w:t>Chapter 6</w:t>
      </w:r>
      <w:r>
        <w:rPr>
          <w:rStyle w:val="AERbody"/>
        </w:rPr>
        <w:t>A</w:t>
      </w:r>
      <w:r w:rsidRPr="004922F8">
        <w:rPr>
          <w:rStyle w:val="AERbody"/>
        </w:rPr>
        <w:t xml:space="preserve"> of the NER provides specifically for the economic regulation of </w:t>
      </w:r>
      <w:r>
        <w:rPr>
          <w:rStyle w:val="AERbody"/>
        </w:rPr>
        <w:t>TNSPs</w:t>
      </w:r>
      <w:r w:rsidRPr="004922F8">
        <w:rPr>
          <w:rStyle w:val="AERbody"/>
        </w:rPr>
        <w:t>. It includes rules about the constituent components of our decisions. These are intended to contribute to the achievement of the NEO.</w:t>
      </w:r>
      <w:r>
        <w:rPr>
          <w:rStyle w:val="FootnoteReference"/>
        </w:rPr>
        <w:footnoteReference w:id="43"/>
      </w:r>
    </w:p>
    <w:p w:rsidR="005D76FB" w:rsidRDefault="005D76FB" w:rsidP="005D76FB">
      <w:pPr>
        <w:pStyle w:val="Heading2"/>
      </w:pPr>
      <w:bookmarkStart w:id="91" w:name="_Toc480988367"/>
      <w:r>
        <w:t>Achieving the NEO to the greatest degree</w:t>
      </w:r>
      <w:bookmarkEnd w:id="91"/>
    </w:p>
    <w:p w:rsidR="005D76FB" w:rsidRPr="005003EE" w:rsidRDefault="005D76FB" w:rsidP="005D76FB">
      <w:r>
        <w:t xml:space="preserve">Electricity transmission </w:t>
      </w:r>
      <w:r w:rsidRPr="005003EE">
        <w:t>determination</w:t>
      </w:r>
      <w:r>
        <w:t>s are</w:t>
      </w:r>
      <w:r w:rsidRPr="005003EE">
        <w:t xml:space="preserve"> complex decision</w:t>
      </w:r>
      <w:r>
        <w:t>s</w:t>
      </w:r>
      <w:r w:rsidRPr="005003EE">
        <w:t xml:space="preserve"> and must be considered as such. In most instances, the provisions of the NER do not point to a single answer, either for our decision as a whole or in respect of particular components. They require us to exercise our regulatory judgement. For example, chapter 6</w:t>
      </w:r>
      <w:r>
        <w:t>A</w:t>
      </w:r>
      <w:r w:rsidRPr="005003EE">
        <w:t xml:space="preserve"> of the NER requires us to prepare forecasts, which are predictions about unknown future circumstances. As a result, there will likely always be more than one plausible forecast.</w:t>
      </w:r>
      <w:r>
        <w:rPr>
          <w:rStyle w:val="FootnoteReference"/>
        </w:rPr>
        <w:footnoteReference w:id="44"/>
      </w:r>
      <w:r w:rsidRPr="005003EE">
        <w:t xml:space="preserve"> There is substantial debate amongst stakeholders about the costs we must forecast, with both sides often supported by expert opinion. As a result, for certain components of our decision there may be several plausible answers or several plausible point estimates.</w:t>
      </w:r>
    </w:p>
    <w:p w:rsidR="005D76FB" w:rsidRPr="005003EE" w:rsidRDefault="005D76FB" w:rsidP="005D76FB">
      <w:r w:rsidRPr="005003EE">
        <w:lastRenderedPageBreak/>
        <w:t>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greatest degree.</w:t>
      </w:r>
      <w:r>
        <w:rPr>
          <w:rStyle w:val="FootnoteReference"/>
        </w:rPr>
        <w:footnoteReference w:id="45"/>
      </w:r>
      <w:r w:rsidRPr="005003EE">
        <w:t xml:space="preserve"> </w:t>
      </w:r>
    </w:p>
    <w:p w:rsidR="005D76FB" w:rsidRPr="005003EE" w:rsidRDefault="005D76FB" w:rsidP="005D76FB">
      <w:r w:rsidRPr="005003EE">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 This is our role under the NEO.</w:t>
      </w:r>
    </w:p>
    <w:p w:rsidR="005D76FB" w:rsidRPr="005003EE" w:rsidRDefault="005D76FB" w:rsidP="005D76FB">
      <w:r w:rsidRPr="005003EE">
        <w:t xml:space="preserve">In coming to this </w:t>
      </w:r>
      <w:r>
        <w:t>final</w:t>
      </w:r>
      <w:r w:rsidRPr="005003EE">
        <w:t xml:space="preserve"> decision we considered </w:t>
      </w:r>
      <w:r>
        <w:t>AusNet Services'</w:t>
      </w:r>
      <w:r w:rsidRPr="005003EE">
        <w:t xml:space="preserve"> </w:t>
      </w:r>
      <w:r>
        <w:t xml:space="preserve">revised revenue </w:t>
      </w:r>
      <w:r w:rsidRPr="005003EE">
        <w:t xml:space="preserve">proposal. We have examined each of the building block components of the </w:t>
      </w:r>
      <w:r>
        <w:t xml:space="preserve">revised </w:t>
      </w:r>
      <w:r w:rsidRPr="005003EE">
        <w:t xml:space="preserve">proposal and the incentive mechanisms that would apply across the </w:t>
      </w:r>
      <w:r>
        <w:t>2017–22</w:t>
      </w:r>
      <w:r w:rsidRPr="005003EE">
        <w:t xml:space="preserve"> regulatory control period. We considered the submissions we received in regard to </w:t>
      </w:r>
      <w:r>
        <w:t>AusNet Services'</w:t>
      </w:r>
      <w:r w:rsidRPr="005003EE">
        <w:t xml:space="preserve"> </w:t>
      </w:r>
      <w:r>
        <w:t>revised</w:t>
      </w:r>
      <w:r w:rsidRPr="005003EE">
        <w:t xml:space="preserve"> proposal. We conducted our own analysis and engaged expert consultants to help us better understand if and how </w:t>
      </w:r>
      <w:r>
        <w:t>AusNet Services' revised</w:t>
      </w:r>
      <w:r w:rsidRPr="005003EE">
        <w:t xml:space="preserve"> proposal contributes to the achievement the NEO. We also considered how our constituent decisions relate to each other, the impact that particular constituent decisions have on other constituent components of our decision, and have described these interrelationships in this </w:t>
      </w:r>
      <w:r>
        <w:t>final</w:t>
      </w:r>
      <w:r w:rsidRPr="005003EE">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 </w:t>
      </w:r>
      <w:r>
        <w:t>final</w:t>
      </w:r>
      <w:r w:rsidRPr="005003EE">
        <w:t xml:space="preserve"> decision. </w:t>
      </w:r>
    </w:p>
    <w:p w:rsidR="005D76FB" w:rsidRDefault="005D76FB" w:rsidP="005D76FB">
      <w:r w:rsidRPr="005003EE">
        <w:t xml:space="preserve">Therefore, we are satisfied that among the options before us our </w:t>
      </w:r>
      <w:r>
        <w:t>final</w:t>
      </w:r>
      <w:r w:rsidRPr="005003EE">
        <w:t xml:space="preserve"> decision on </w:t>
      </w:r>
      <w:r>
        <w:t>AusNet Services'</w:t>
      </w:r>
      <w:r w:rsidRPr="005003EE">
        <w:t xml:space="preserve"> </w:t>
      </w:r>
      <w:r>
        <w:t xml:space="preserve">transmission </w:t>
      </w:r>
      <w:r w:rsidRPr="005003EE">
        <w:t>determination for the 20</w:t>
      </w:r>
      <w:r>
        <w:t>17</w:t>
      </w:r>
      <w:r w:rsidRPr="005003EE">
        <w:t>–</w:t>
      </w:r>
      <w:r>
        <w:t>22</w:t>
      </w:r>
      <w:r w:rsidRPr="005003EE">
        <w:t xml:space="preserve"> regulatory control period contributes to the achieving the NEO to the greatest degree.</w:t>
      </w:r>
    </w:p>
    <w:p w:rsidR="005D76FB" w:rsidRDefault="005D76FB" w:rsidP="005D76FB">
      <w:pPr>
        <w:pStyle w:val="Heading2"/>
      </w:pPr>
      <w:bookmarkStart w:id="92" w:name="_Toc480988368"/>
      <w:r>
        <w:t>Interrelationships between constituent components</w:t>
      </w:r>
      <w:bookmarkEnd w:id="92"/>
    </w:p>
    <w:p w:rsidR="005D76FB" w:rsidRPr="00F30747" w:rsidRDefault="005D76FB" w:rsidP="005D76FB">
      <w:r w:rsidRPr="00F30747">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46"/>
      </w:r>
      <w:r>
        <w:t xml:space="preserve"> </w:t>
      </w:r>
      <w:r w:rsidRPr="00F30747">
        <w:t>Interrelationships can take various forms, including:</w:t>
      </w:r>
    </w:p>
    <w:p w:rsidR="005D76FB" w:rsidRPr="00F30747" w:rsidRDefault="005D76FB" w:rsidP="005D76FB">
      <w:pPr>
        <w:pStyle w:val="AERbulletlistfirststyle"/>
      </w:pPr>
      <w:proofErr w:type="gramStart"/>
      <w:r w:rsidRPr="00F30747">
        <w:lastRenderedPageBreak/>
        <w:t>underlying</w:t>
      </w:r>
      <w:proofErr w:type="gramEnd"/>
      <w:r w:rsidRPr="00F30747">
        <w:t xml:space="preserve"> drivers and context which are likely to affect many constituent components of our decision. For example, forecast demand affects the efficient levels of capex and opex in the regulatory control period (see attachment 6</w:t>
      </w:r>
      <w:r>
        <w:t xml:space="preserve"> and 7</w:t>
      </w:r>
      <w:r w:rsidRPr="00F30747">
        <w:t>).</w:t>
      </w:r>
    </w:p>
    <w:p w:rsidR="005D76FB" w:rsidRPr="00F30747" w:rsidRDefault="005D76FB" w:rsidP="005D76FB">
      <w:pPr>
        <w:pStyle w:val="AERbulletlistfirststyle"/>
      </w:pPr>
      <w:proofErr w:type="gramStart"/>
      <w:r w:rsidRPr="00F30747">
        <w:t>direct</w:t>
      </w:r>
      <w:proofErr w:type="gramEnd"/>
      <w:r w:rsidRPr="00F30747">
        <w:t xml:space="preserve">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5D76FB" w:rsidRPr="00F30747" w:rsidRDefault="005D76FB" w:rsidP="005D76FB">
      <w:pPr>
        <w:pStyle w:val="AERbulletlistfirststyle"/>
      </w:pPr>
      <w:proofErr w:type="gramStart"/>
      <w:r w:rsidRPr="00F30747">
        <w:t>trade-</w:t>
      </w:r>
      <w:proofErr w:type="gramEnd"/>
      <w:r w:rsidRPr="00F30747">
        <w:t>offs between different components of revenue. For example, undertaking a particular capex project may affect the need for opex or vice versa (see attachments 6 and 7).</w:t>
      </w:r>
    </w:p>
    <w:p w:rsidR="005D76FB" w:rsidRPr="00F30747" w:rsidRDefault="005D76FB" w:rsidP="005D76FB">
      <w:pPr>
        <w:pStyle w:val="AERbulletlistfirststyle"/>
      </w:pPr>
      <w:proofErr w:type="gramStart"/>
      <w:r w:rsidRPr="00F30747">
        <w:t>trade-</w:t>
      </w:r>
      <w:proofErr w:type="gramEnd"/>
      <w:r w:rsidRPr="00F30747">
        <w:t xml:space="preserve">offs between forecast and actual regulatory measures. The reasons for one part of a proposal may have impacts on other parts of a proposal. For example, an increase in augmentation to the network means the </w:t>
      </w:r>
      <w:r>
        <w:t>TNSP</w:t>
      </w:r>
      <w:r w:rsidRPr="00F30747">
        <w:t xml:space="preserve"> has more assets to maintain leading to higher opex requirements (see attachments 6 and 7).</w:t>
      </w:r>
    </w:p>
    <w:p w:rsidR="005D76FB" w:rsidRPr="00F30747" w:rsidRDefault="005D76FB" w:rsidP="005D76FB">
      <w:pPr>
        <w:pStyle w:val="AERbulletlistfirststyle"/>
      </w:pPr>
      <w:proofErr w:type="gramStart"/>
      <w:r w:rsidRPr="00F30747">
        <w:t>the</w:t>
      </w:r>
      <w:proofErr w:type="gramEnd"/>
      <w:r w:rsidRPr="00F30747">
        <w:t xml:space="preserve"> </w:t>
      </w:r>
      <w:r>
        <w:t>TNSP's</w:t>
      </w:r>
      <w:r w:rsidRPr="00F30747">
        <w:t xml:space="preserve"> approach to managing its network. The </w:t>
      </w:r>
      <w:r>
        <w:t>TNSP's</w:t>
      </w:r>
      <w:r w:rsidRPr="00F30747">
        <w:t xml:space="preserve"> governance arrangements and its approach to risk management will influence most aspects of the proposal, including capex/opex trade-offs (see attachment 6).</w:t>
      </w:r>
    </w:p>
    <w:p w:rsidR="00C65992" w:rsidRDefault="005D76FB" w:rsidP="005D76FB">
      <w:r w:rsidRPr="00F30747">
        <w:t xml:space="preserve">We have considered interrelationships, including those above, in our analysis of the constituent components of our </w:t>
      </w:r>
      <w:r>
        <w:t>final</w:t>
      </w:r>
      <w:r w:rsidRPr="00F30747">
        <w:t xml:space="preserve"> decision. These considerations are explored in the relevant attachments.</w:t>
      </w:r>
    </w:p>
    <w:p w:rsidR="00C65992" w:rsidRDefault="00C65992" w:rsidP="00C65992">
      <w:pPr>
        <w:pStyle w:val="Heading1"/>
      </w:pPr>
      <w:bookmarkStart w:id="93" w:name="_Ref477770617"/>
      <w:bookmarkStart w:id="94" w:name="_Toc480988369"/>
      <w:r>
        <w:lastRenderedPageBreak/>
        <w:t>Consultation</w:t>
      </w:r>
      <w:bookmarkEnd w:id="93"/>
      <w:bookmarkEnd w:id="94"/>
    </w:p>
    <w:p w:rsidR="00C65992" w:rsidRDefault="00C65992" w:rsidP="00C65992">
      <w:pPr>
        <w:rPr>
          <w:rStyle w:val="AERbody"/>
        </w:rPr>
      </w:pPr>
      <w:r w:rsidRPr="005D730A">
        <w:rPr>
          <w:rStyle w:val="AERbody"/>
        </w:rPr>
        <w:t>Stakeholder participation is important to informed decision making under the NEL and NER. It allows us to take a range of views into account when considering how a proposal or decision contributes to the NEO. Effective consultation and engagement provide confidence in our processes and are good regulatory practice.</w:t>
      </w:r>
      <w:r>
        <w:rPr>
          <w:rStyle w:val="AERbody"/>
        </w:rPr>
        <w:t xml:space="preserve"> This is reflected in the consultation process set out in the NER, under which we have: </w:t>
      </w:r>
    </w:p>
    <w:p w:rsidR="00C65992" w:rsidRDefault="00C65992" w:rsidP="00C65992">
      <w:pPr>
        <w:pStyle w:val="AERbulletlistfirststyle"/>
        <w:rPr>
          <w:rStyle w:val="AERbody"/>
        </w:rPr>
      </w:pPr>
      <w:r w:rsidRPr="005D730A">
        <w:rPr>
          <w:rStyle w:val="AERbody"/>
        </w:rPr>
        <w:tab/>
        <w:t>publish</w:t>
      </w:r>
      <w:r>
        <w:rPr>
          <w:rStyle w:val="AERbody"/>
        </w:rPr>
        <w:t>ed AusNet Services</w:t>
      </w:r>
      <w:r w:rsidRPr="005D730A">
        <w:rPr>
          <w:rStyle w:val="AERbody"/>
        </w:rPr>
        <w:t xml:space="preserve"> </w:t>
      </w:r>
      <w:r>
        <w:rPr>
          <w:rStyle w:val="AERbody"/>
        </w:rPr>
        <w:t>revenue proposal</w:t>
      </w:r>
      <w:r w:rsidRPr="005D730A">
        <w:rPr>
          <w:rStyle w:val="AERbody"/>
        </w:rPr>
        <w:t>s and supporting material</w:t>
      </w:r>
    </w:p>
    <w:p w:rsidR="00C65992" w:rsidRPr="005D730A" w:rsidRDefault="00C65992" w:rsidP="00C65992">
      <w:pPr>
        <w:pStyle w:val="AERbulletlistfirststyle"/>
        <w:rPr>
          <w:rStyle w:val="AERbody"/>
        </w:rPr>
      </w:pPr>
      <w:r>
        <w:rPr>
          <w:rStyle w:val="AERbody"/>
        </w:rPr>
        <w:t xml:space="preserve">published an issues paper identifying preliminary issues with the revenue proposal </w:t>
      </w:r>
    </w:p>
    <w:p w:rsidR="00C65992" w:rsidRPr="005D730A" w:rsidRDefault="00C65992" w:rsidP="00C65992">
      <w:pPr>
        <w:pStyle w:val="AERbulletlistfirststyle"/>
        <w:rPr>
          <w:rStyle w:val="AERbody"/>
        </w:rPr>
      </w:pPr>
      <w:r w:rsidRPr="005D730A">
        <w:rPr>
          <w:rStyle w:val="AERbody"/>
        </w:rPr>
        <w:tab/>
        <w:t>invite</w:t>
      </w:r>
      <w:r>
        <w:rPr>
          <w:rStyle w:val="AERbody"/>
        </w:rPr>
        <w:t>d</w:t>
      </w:r>
      <w:r w:rsidRPr="005D730A">
        <w:rPr>
          <w:rStyle w:val="AERbody"/>
        </w:rPr>
        <w:t xml:space="preserve"> written submissions on the </w:t>
      </w:r>
      <w:r>
        <w:rPr>
          <w:rStyle w:val="AERbody"/>
        </w:rPr>
        <w:t>revenue proposal</w:t>
      </w:r>
      <w:r w:rsidRPr="005D730A">
        <w:rPr>
          <w:rStyle w:val="AERbody"/>
        </w:rPr>
        <w:t xml:space="preserve"> </w:t>
      </w:r>
    </w:p>
    <w:p w:rsidR="00C65992" w:rsidRPr="005D730A" w:rsidRDefault="00C65992" w:rsidP="00C65992">
      <w:pPr>
        <w:pStyle w:val="AERbulletlistfirststyle"/>
        <w:rPr>
          <w:rStyle w:val="AERbody"/>
        </w:rPr>
      </w:pPr>
      <w:r w:rsidRPr="005D730A">
        <w:rPr>
          <w:rStyle w:val="AERbody"/>
        </w:rPr>
        <w:tab/>
        <w:t>h</w:t>
      </w:r>
      <w:r>
        <w:rPr>
          <w:rStyle w:val="AERbody"/>
        </w:rPr>
        <w:t>e</w:t>
      </w:r>
      <w:r w:rsidRPr="005D730A">
        <w:rPr>
          <w:rStyle w:val="AERbody"/>
        </w:rPr>
        <w:t xml:space="preserve">ld a public forum on the </w:t>
      </w:r>
      <w:r>
        <w:rPr>
          <w:rStyle w:val="AERbody"/>
        </w:rPr>
        <w:t>revenue proposal</w:t>
      </w:r>
    </w:p>
    <w:p w:rsidR="00C65992" w:rsidRDefault="00C65992" w:rsidP="00C65992">
      <w:pPr>
        <w:pStyle w:val="AERbulletlistfirststyle"/>
        <w:rPr>
          <w:rStyle w:val="AERbody"/>
        </w:rPr>
      </w:pPr>
      <w:r w:rsidRPr="005D730A">
        <w:rPr>
          <w:rStyle w:val="AERbody"/>
        </w:rPr>
        <w:tab/>
        <w:t>publish</w:t>
      </w:r>
      <w:r>
        <w:rPr>
          <w:rStyle w:val="AERbody"/>
        </w:rPr>
        <w:t>ed a draft decision and reasoning</w:t>
      </w:r>
    </w:p>
    <w:p w:rsidR="00C65992" w:rsidRDefault="00C65992" w:rsidP="00C65992">
      <w:pPr>
        <w:pStyle w:val="AERbulletlistfirststyle"/>
        <w:rPr>
          <w:rStyle w:val="AERbody"/>
        </w:rPr>
      </w:pPr>
      <w:r>
        <w:rPr>
          <w:rStyle w:val="AERbody"/>
        </w:rPr>
        <w:t>published AusNet Services revised revenue proposal and supporting material</w:t>
      </w:r>
    </w:p>
    <w:p w:rsidR="00C65992" w:rsidRDefault="00C65992" w:rsidP="00C65992">
      <w:pPr>
        <w:pStyle w:val="AERbulletlistfirststyle"/>
        <w:rPr>
          <w:rStyle w:val="AERbody"/>
        </w:rPr>
      </w:pPr>
      <w:r>
        <w:rPr>
          <w:rStyle w:val="AERbody"/>
        </w:rPr>
        <w:t>invited written submissions on the draft decision and revised revenue proposal</w:t>
      </w:r>
    </w:p>
    <w:p w:rsidR="00C65992" w:rsidRPr="005D730A" w:rsidRDefault="00C65992" w:rsidP="00C65992">
      <w:pPr>
        <w:pStyle w:val="AERbulletlistfirststyle"/>
        <w:rPr>
          <w:rStyle w:val="AERbody"/>
        </w:rPr>
      </w:pPr>
      <w:proofErr w:type="gramStart"/>
      <w:r>
        <w:rPr>
          <w:rStyle w:val="AERbody"/>
        </w:rPr>
        <w:t>published</w:t>
      </w:r>
      <w:proofErr w:type="gramEnd"/>
      <w:r>
        <w:rPr>
          <w:rStyle w:val="AERbody"/>
        </w:rPr>
        <w:t xml:space="preserve"> this final decision and reasoning. </w:t>
      </w:r>
    </w:p>
    <w:p w:rsidR="00C65992" w:rsidRPr="005D730A" w:rsidRDefault="00C65992" w:rsidP="00C65992">
      <w:pPr>
        <w:rPr>
          <w:rStyle w:val="AERbody"/>
        </w:rPr>
      </w:pPr>
      <w:r>
        <w:rPr>
          <w:rStyle w:val="AERbody"/>
        </w:rPr>
        <w:t xml:space="preserve">We also sought advice from the AER's Consumer Challenge Panel (CCP) on AusNet Services revised revenue proposal. Both the CCP and AusNet Services met with the AER Board to discuss this review. </w:t>
      </w:r>
    </w:p>
    <w:p w:rsidR="00C65992" w:rsidRPr="005D730A" w:rsidRDefault="00C65992" w:rsidP="00C65992">
      <w:pPr>
        <w:rPr>
          <w:rStyle w:val="AERbody"/>
        </w:rPr>
      </w:pPr>
      <w:r w:rsidRPr="005D730A">
        <w:rPr>
          <w:rStyle w:val="AERbody"/>
        </w:rPr>
        <w:t>This process builds on consultation we undertook with a broad range of stakeholders as part of the Better Regulation program. Following changes to the NER in 2012,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Pr>
          <w:rStyle w:val="FootnoteReference"/>
        </w:rPr>
        <w:footnoteReference w:id="47"/>
      </w:r>
      <w:r w:rsidRPr="005D730A">
        <w:rPr>
          <w:rStyle w:val="AERbody"/>
        </w:rPr>
        <w:t xml:space="preserve"> </w:t>
      </w:r>
    </w:p>
    <w:p w:rsidR="00C65992" w:rsidRPr="005D730A" w:rsidRDefault="00C65992" w:rsidP="00C65992">
      <w:pPr>
        <w:rPr>
          <w:rStyle w:val="AERbody"/>
        </w:rPr>
      </w:pPr>
      <w:r w:rsidRPr="005D730A">
        <w:rPr>
          <w:rStyle w:val="AERbody"/>
        </w:rPr>
        <w:t>This gives us confidence the approaches set out in our various guidelines, which we have applied in this decision, will result in outcomes that will or are likely to contribute to the achievement of the NEO to the greatest degree. Our Better Regulation guidelines are available on our website</w:t>
      </w:r>
      <w:r>
        <w:rPr>
          <w:rStyle w:val="FootnoteReference"/>
        </w:rPr>
        <w:footnoteReference w:id="48"/>
      </w:r>
      <w:r w:rsidRPr="005D730A">
        <w:rPr>
          <w:rStyle w:val="AERbody"/>
        </w:rPr>
        <w:t xml:space="preserve"> and include:</w:t>
      </w:r>
    </w:p>
    <w:p w:rsidR="00C65992" w:rsidRPr="005D730A" w:rsidRDefault="00C65992" w:rsidP="00C65992">
      <w:pPr>
        <w:pStyle w:val="AERbulletlistfirststyle"/>
        <w:rPr>
          <w:rStyle w:val="AERbody"/>
        </w:rPr>
      </w:pPr>
      <w:r w:rsidRPr="005D730A">
        <w:rPr>
          <w:rStyle w:val="AERbody"/>
        </w:rPr>
        <w:tab/>
        <w:t>Expenditure forecast assessment guideline</w:t>
      </w:r>
    </w:p>
    <w:p w:rsidR="00C65992" w:rsidRPr="005D730A" w:rsidRDefault="00C65992" w:rsidP="00C65992">
      <w:pPr>
        <w:pStyle w:val="AERbulletlistfirststyle"/>
        <w:rPr>
          <w:rStyle w:val="AERbody"/>
        </w:rPr>
      </w:pPr>
      <w:r w:rsidRPr="005D730A">
        <w:rPr>
          <w:rStyle w:val="AERbody"/>
        </w:rPr>
        <w:tab/>
        <w:t>Expenditure incentives guideline</w:t>
      </w:r>
    </w:p>
    <w:p w:rsidR="00C65992" w:rsidRPr="005D730A" w:rsidRDefault="00C65992" w:rsidP="00C65992">
      <w:pPr>
        <w:pStyle w:val="AERbulletlistfirststyle"/>
        <w:rPr>
          <w:rStyle w:val="AERbody"/>
        </w:rPr>
      </w:pPr>
      <w:r w:rsidRPr="005D730A">
        <w:rPr>
          <w:rStyle w:val="AERbody"/>
        </w:rPr>
        <w:tab/>
        <w:t>Rate of return guideline</w:t>
      </w:r>
    </w:p>
    <w:p w:rsidR="00C65992" w:rsidRPr="005D730A" w:rsidRDefault="00C65992" w:rsidP="00C65992">
      <w:pPr>
        <w:pStyle w:val="AERbulletlistfirststyle"/>
        <w:rPr>
          <w:rStyle w:val="AERbody"/>
        </w:rPr>
      </w:pPr>
      <w:r w:rsidRPr="005D730A">
        <w:rPr>
          <w:rStyle w:val="AERbody"/>
        </w:rPr>
        <w:tab/>
        <w:t>Consumer engagement guideline for network service providers</w:t>
      </w:r>
    </w:p>
    <w:p w:rsidR="00C65992" w:rsidRPr="005D730A" w:rsidRDefault="00C65992" w:rsidP="00C65992">
      <w:pPr>
        <w:pStyle w:val="AERbulletlistfirststyle"/>
        <w:rPr>
          <w:rStyle w:val="AERbody"/>
        </w:rPr>
      </w:pPr>
      <w:r w:rsidRPr="005D730A">
        <w:rPr>
          <w:rStyle w:val="AERbody"/>
        </w:rPr>
        <w:tab/>
        <w:t>Shared assets guideline</w:t>
      </w:r>
    </w:p>
    <w:p w:rsidR="00C65992" w:rsidRPr="005D730A" w:rsidRDefault="00C65992" w:rsidP="00C65992">
      <w:pPr>
        <w:pStyle w:val="AERbulletlistfirststyle"/>
        <w:rPr>
          <w:rStyle w:val="AERbody"/>
        </w:rPr>
      </w:pPr>
      <w:r w:rsidRPr="005D730A">
        <w:rPr>
          <w:rStyle w:val="AERbody"/>
        </w:rPr>
        <w:lastRenderedPageBreak/>
        <w:tab/>
        <w:t>Confidentiality guideline.</w:t>
      </w:r>
    </w:p>
    <w:p w:rsidR="00C65992" w:rsidRDefault="00C65992" w:rsidP="00C65992">
      <w:pPr>
        <w:rPr>
          <w:rStyle w:val="AERbody"/>
        </w:rPr>
      </w:pPr>
      <w:r w:rsidRPr="005D730A">
        <w:rPr>
          <w:rStyle w:val="AERbody"/>
        </w:rPr>
        <w:t>The guidelines provide businesses, investors and consumers predictability and transparency of our approach to regulation under the new rules.</w:t>
      </w:r>
    </w:p>
    <w:p w:rsidR="00C65992" w:rsidRDefault="00C65992" w:rsidP="00C65992">
      <w:pPr>
        <w:pStyle w:val="Heading2"/>
      </w:pPr>
      <w:bookmarkStart w:id="95" w:name="_Toc480988370"/>
      <w:r>
        <w:t>Consumer engagement</w:t>
      </w:r>
      <w:bookmarkEnd w:id="95"/>
    </w:p>
    <w:p w:rsidR="00C65992" w:rsidRPr="005D730A" w:rsidRDefault="00C65992" w:rsidP="00C65992">
      <w:pPr>
        <w:rPr>
          <w:rStyle w:val="AERbody"/>
        </w:rPr>
      </w:pPr>
      <w:r w:rsidRPr="005D730A">
        <w:rPr>
          <w:rStyle w:val="AERbody"/>
        </w:rPr>
        <w:t>Recent changes to the NER provide further support for consumer involvement in the regulatory process, and enable us to engage more productively with energy consumers and businesses.</w:t>
      </w:r>
      <w:r>
        <w:rPr>
          <w:rStyle w:val="FootnoteReference"/>
        </w:rPr>
        <w:footnoteReference w:id="49"/>
      </w:r>
      <w:r w:rsidRPr="005D730A">
        <w:rPr>
          <w:rStyle w:val="AERbody"/>
        </w:rPr>
        <w:t xml:space="preserve"> Chapter 6</w:t>
      </w:r>
      <w:r>
        <w:rPr>
          <w:rStyle w:val="AERbody"/>
        </w:rPr>
        <w:t>A</w:t>
      </w:r>
      <w:r w:rsidRPr="005D730A">
        <w:rPr>
          <w:rStyle w:val="AERbody"/>
        </w:rPr>
        <w:t xml:space="preserve"> of the NER was amended to, among other things, require:</w:t>
      </w:r>
    </w:p>
    <w:p w:rsidR="00C65992" w:rsidRPr="005D730A" w:rsidRDefault="00C65992" w:rsidP="00C65992">
      <w:pPr>
        <w:pStyle w:val="AERbulletlistfirststyle"/>
        <w:rPr>
          <w:rStyle w:val="AERbody"/>
        </w:rPr>
      </w:pPr>
      <w:r w:rsidRPr="005D730A">
        <w:rPr>
          <w:rStyle w:val="AERbody"/>
        </w:rPr>
        <w:tab/>
      </w:r>
      <w:r>
        <w:rPr>
          <w:rStyle w:val="AERbody"/>
        </w:rPr>
        <w:t>TNSPs</w:t>
      </w:r>
      <w:r w:rsidRPr="005D730A">
        <w:rPr>
          <w:rStyle w:val="AERbody"/>
        </w:rPr>
        <w:t xml:space="preserve"> to submit an overview with their </w:t>
      </w:r>
      <w:r>
        <w:rPr>
          <w:rStyle w:val="AERbody"/>
        </w:rPr>
        <w:t>revenue proposal</w:t>
      </w:r>
      <w:r w:rsidRPr="005D730A">
        <w:rPr>
          <w:rStyle w:val="AERbody"/>
        </w:rPr>
        <w:t xml:space="preserve"> which describes how they have engaged with consumers and sought to address any relevant concern</w:t>
      </w:r>
      <w:r>
        <w:rPr>
          <w:rStyle w:val="AERbody"/>
        </w:rPr>
        <w:t>s identified by that engagement</w:t>
      </w:r>
      <w:r>
        <w:rPr>
          <w:rStyle w:val="FootnoteReference"/>
        </w:rPr>
        <w:footnoteReference w:id="50"/>
      </w:r>
    </w:p>
    <w:p w:rsidR="00C65992" w:rsidRPr="005D730A" w:rsidRDefault="00C65992" w:rsidP="00C65992">
      <w:pPr>
        <w:pStyle w:val="AERbulletlistfirststyle"/>
        <w:rPr>
          <w:rStyle w:val="AERbody"/>
        </w:rPr>
      </w:pPr>
      <w:r w:rsidRPr="005D730A">
        <w:rPr>
          <w:rStyle w:val="AERbody"/>
        </w:rPr>
        <w:tab/>
      </w:r>
      <w:proofErr w:type="gramStart"/>
      <w:r w:rsidRPr="005D730A">
        <w:rPr>
          <w:rStyle w:val="AERbody"/>
        </w:rPr>
        <w:t>the</w:t>
      </w:r>
      <w:proofErr w:type="gramEnd"/>
      <w:r w:rsidRPr="005D730A">
        <w:rPr>
          <w:rStyle w:val="AERbody"/>
        </w:rPr>
        <w:t xml:space="preserve"> AER to publish an issues paper after receiving the </w:t>
      </w:r>
      <w:r>
        <w:rPr>
          <w:rStyle w:val="AERbody"/>
        </w:rPr>
        <w:t>TNSP's</w:t>
      </w:r>
      <w:r w:rsidRPr="005D730A">
        <w:rPr>
          <w:rStyle w:val="AERbody"/>
        </w:rPr>
        <w:t xml:space="preserve"> </w:t>
      </w:r>
      <w:r>
        <w:rPr>
          <w:rStyle w:val="AERbody"/>
        </w:rPr>
        <w:t>revenue proposal</w:t>
      </w:r>
      <w:r w:rsidRPr="005D730A">
        <w:rPr>
          <w:rStyle w:val="AERbody"/>
        </w:rPr>
        <w:t>.</w:t>
      </w:r>
      <w:r>
        <w:rPr>
          <w:rStyle w:val="FootnoteReference"/>
        </w:rPr>
        <w:footnoteReference w:id="51"/>
      </w:r>
      <w:r w:rsidRPr="005D730A">
        <w:rPr>
          <w:rStyle w:val="AERbody"/>
        </w:rPr>
        <w:t xml:space="preserve"> The purpose of the issues paper is to assist consumer representative groups to focus on the key preliminary issues on which they should engage and comment</w:t>
      </w:r>
      <w:r>
        <w:rPr>
          <w:rStyle w:val="FootnoteReference"/>
        </w:rPr>
        <w:footnoteReference w:id="52"/>
      </w:r>
    </w:p>
    <w:p w:rsidR="00C65992" w:rsidRPr="005D730A" w:rsidRDefault="00C65992" w:rsidP="00C65992">
      <w:pPr>
        <w:pStyle w:val="AERbulletlistfirststyle"/>
        <w:rPr>
          <w:rStyle w:val="AERbody"/>
        </w:rPr>
      </w:pPr>
      <w:r w:rsidRPr="005D730A">
        <w:rPr>
          <w:rStyle w:val="AERbody"/>
        </w:rPr>
        <w:tab/>
      </w:r>
      <w:proofErr w:type="gramStart"/>
      <w:r w:rsidRPr="005D730A">
        <w:rPr>
          <w:rStyle w:val="AERbody"/>
        </w:rPr>
        <w:t>the</w:t>
      </w:r>
      <w:proofErr w:type="gramEnd"/>
      <w:r w:rsidRPr="005D730A">
        <w:rPr>
          <w:rStyle w:val="AERbody"/>
        </w:rPr>
        <w:t xml:space="preserve"> AER, when determining capex and opex allowances, to have regard to the extent to which the forecast includes expenditure to address the concerns of consumers as identified by the </w:t>
      </w:r>
      <w:r>
        <w:rPr>
          <w:rStyle w:val="AERbody"/>
        </w:rPr>
        <w:t>TNSP</w:t>
      </w:r>
      <w:r w:rsidRPr="005D730A">
        <w:rPr>
          <w:rStyle w:val="AERbody"/>
        </w:rPr>
        <w:t xml:space="preserve"> in the course of its engagement with the consumers.</w:t>
      </w:r>
      <w:r>
        <w:rPr>
          <w:rStyle w:val="FootnoteReference"/>
        </w:rPr>
        <w:footnoteReference w:id="53"/>
      </w:r>
      <w:r w:rsidDel="00ED1ACB">
        <w:rPr>
          <w:rStyle w:val="FootnoteReference"/>
        </w:rPr>
        <w:t xml:space="preserve"> </w:t>
      </w:r>
    </w:p>
    <w:p w:rsidR="00C65992" w:rsidRPr="005D730A" w:rsidRDefault="00C65992" w:rsidP="00C65992">
      <w:pPr>
        <w:rPr>
          <w:rStyle w:val="AERbody"/>
        </w:rPr>
      </w:pPr>
      <w:r w:rsidRPr="005D730A">
        <w:rPr>
          <w:rStyle w:val="AERbody"/>
        </w:rPr>
        <w:t>Our Better Regulation Consumer engagement guideline sets out our expectations of how the network businesses should engage with their customers. We expect the network businesses to demonstrate a commitment to ongoing and genuine consumer engagement on issues relevant to consumers. We want to see businesses being more accountable to their consumers.</w:t>
      </w:r>
      <w:r>
        <w:rPr>
          <w:rStyle w:val="FootnoteReference"/>
        </w:rPr>
        <w:footnoteReference w:id="54"/>
      </w:r>
      <w:r w:rsidRPr="005D730A">
        <w:rPr>
          <w:rStyle w:val="AERbody"/>
        </w:rPr>
        <w:t xml:space="preserve"> We understand the businesses may need some time to develop and implement robust and comprehensive engagement strategies and approaches.</w:t>
      </w:r>
      <w:r>
        <w:rPr>
          <w:rStyle w:val="FootnoteReference"/>
        </w:rPr>
        <w:footnoteReference w:id="55"/>
      </w:r>
      <w:r w:rsidRPr="005D730A">
        <w:rPr>
          <w:rStyle w:val="AERbody"/>
        </w:rPr>
        <w:t xml:space="preserve"> </w:t>
      </w:r>
    </w:p>
    <w:p w:rsidR="00C65992" w:rsidRPr="005D730A" w:rsidRDefault="00C65992" w:rsidP="00C65992">
      <w:pPr>
        <w:rPr>
          <w:rStyle w:val="AERbody"/>
        </w:rPr>
      </w:pPr>
      <w:r w:rsidRPr="005D730A">
        <w:rPr>
          <w:rStyle w:val="AERbody"/>
        </w:rPr>
        <w:t>As set out in the guideline, we monitor consumer engagement activities through the CCP and our ongoing engagement with stakeholders. We may publicly comment in our decisions on any shortcomings that we identify from an expenditure proposal that reflect weaknesses in consumer engagement.</w:t>
      </w:r>
      <w:r>
        <w:rPr>
          <w:rStyle w:val="FootnoteReference"/>
        </w:rPr>
        <w:footnoteReference w:id="56"/>
      </w:r>
    </w:p>
    <w:p w:rsidR="00C65992" w:rsidRDefault="00C65992" w:rsidP="00C65992">
      <w:pPr>
        <w:rPr>
          <w:rStyle w:val="AERbody"/>
        </w:rPr>
      </w:pPr>
      <w:r w:rsidRPr="005D730A">
        <w:rPr>
          <w:rStyle w:val="AERbody"/>
        </w:rPr>
        <w:lastRenderedPageBreak/>
        <w:t xml:space="preserve">We have considered the material presented in </w:t>
      </w:r>
      <w:r>
        <w:rPr>
          <w:rStyle w:val="AERbody"/>
        </w:rPr>
        <w:t>AusNet Services'</w:t>
      </w:r>
      <w:r w:rsidRPr="005D730A">
        <w:rPr>
          <w:rStyle w:val="AERbody"/>
        </w:rPr>
        <w:t xml:space="preserve"> </w:t>
      </w:r>
      <w:r>
        <w:rPr>
          <w:rStyle w:val="AERbody"/>
        </w:rPr>
        <w:t>revised revenue proposal</w:t>
      </w:r>
      <w:r w:rsidRPr="005D730A">
        <w:rPr>
          <w:rStyle w:val="AERbody"/>
        </w:rPr>
        <w:t xml:space="preserve"> (section</w:t>
      </w:r>
      <w:r w:rsidR="00EA327D">
        <w:rPr>
          <w:rStyle w:val="AERbody"/>
        </w:rPr>
        <w:t xml:space="preserve"> </w:t>
      </w:r>
      <w:r w:rsidR="00EA327D">
        <w:rPr>
          <w:rStyle w:val="AERbody"/>
        </w:rPr>
        <w:fldChar w:fldCharType="begin"/>
      </w:r>
      <w:r w:rsidR="00EA327D">
        <w:rPr>
          <w:rStyle w:val="AERbody"/>
        </w:rPr>
        <w:instrText xml:space="preserve"> REF _Ref477770873 \r \h </w:instrText>
      </w:r>
      <w:r w:rsidR="00EA327D">
        <w:rPr>
          <w:rStyle w:val="AERbody"/>
        </w:rPr>
      </w:r>
      <w:r w:rsidR="00EA327D">
        <w:rPr>
          <w:rStyle w:val="AERbody"/>
        </w:rPr>
        <w:fldChar w:fldCharType="separate"/>
      </w:r>
      <w:r w:rsidR="00867A0E">
        <w:rPr>
          <w:rStyle w:val="AERbody"/>
        </w:rPr>
        <w:t>6.2</w:t>
      </w:r>
      <w:r w:rsidR="00EA327D">
        <w:rPr>
          <w:rStyle w:val="AERbody"/>
        </w:rPr>
        <w:fldChar w:fldCharType="end"/>
      </w:r>
      <w:r w:rsidRPr="005D730A">
        <w:rPr>
          <w:rStyle w:val="AERbody"/>
        </w:rPr>
        <w:t>), and stakeholder views presented to us in submissions (section</w:t>
      </w:r>
      <w:r>
        <w:rPr>
          <w:rStyle w:val="AERbody"/>
        </w:rPr>
        <w:t xml:space="preserve"> </w:t>
      </w:r>
      <w:r>
        <w:rPr>
          <w:rStyle w:val="AERbody"/>
        </w:rPr>
        <w:fldChar w:fldCharType="begin"/>
      </w:r>
      <w:r>
        <w:rPr>
          <w:rStyle w:val="AERbody"/>
        </w:rPr>
        <w:instrText xml:space="preserve"> REF _Ref453863079 \r \h </w:instrText>
      </w:r>
      <w:r>
        <w:rPr>
          <w:rStyle w:val="AERbody"/>
        </w:rPr>
      </w:r>
      <w:r>
        <w:rPr>
          <w:rStyle w:val="AERbody"/>
        </w:rPr>
        <w:fldChar w:fldCharType="separate"/>
      </w:r>
      <w:r w:rsidR="00867A0E">
        <w:rPr>
          <w:rStyle w:val="AERbody"/>
        </w:rPr>
        <w:t>6.3</w:t>
      </w:r>
      <w:r>
        <w:rPr>
          <w:rStyle w:val="AERbody"/>
        </w:rPr>
        <w:fldChar w:fldCharType="end"/>
      </w:r>
      <w:r w:rsidRPr="005D730A">
        <w:rPr>
          <w:rStyle w:val="AERbody"/>
        </w:rPr>
        <w:t>) to form a view of its progress in implementing improved engagement strategies and approaches (section</w:t>
      </w:r>
      <w:r>
        <w:rPr>
          <w:rStyle w:val="AERbody"/>
        </w:rPr>
        <w:t xml:space="preserve"> </w:t>
      </w:r>
      <w:r>
        <w:rPr>
          <w:rStyle w:val="AERbody"/>
        </w:rPr>
        <w:fldChar w:fldCharType="begin"/>
      </w:r>
      <w:r>
        <w:rPr>
          <w:rStyle w:val="AERbody"/>
        </w:rPr>
        <w:instrText xml:space="preserve"> REF _Ref453863057 \r \h </w:instrText>
      </w:r>
      <w:r>
        <w:rPr>
          <w:rStyle w:val="AERbody"/>
        </w:rPr>
      </w:r>
      <w:r>
        <w:rPr>
          <w:rStyle w:val="AERbody"/>
        </w:rPr>
        <w:fldChar w:fldCharType="separate"/>
      </w:r>
      <w:r w:rsidR="00867A0E">
        <w:rPr>
          <w:rStyle w:val="AERbody"/>
        </w:rPr>
        <w:t>6.4</w:t>
      </w:r>
      <w:r>
        <w:rPr>
          <w:rStyle w:val="AERbody"/>
        </w:rPr>
        <w:fldChar w:fldCharType="end"/>
      </w:r>
      <w:r w:rsidRPr="005D730A">
        <w:rPr>
          <w:rStyle w:val="AERbody"/>
        </w:rPr>
        <w:t xml:space="preserve">). We have not undertaken a substantive review of </w:t>
      </w:r>
      <w:r>
        <w:rPr>
          <w:rStyle w:val="AERbody"/>
        </w:rPr>
        <w:t>AusNet Services'</w:t>
      </w:r>
      <w:r w:rsidRPr="005D730A">
        <w:rPr>
          <w:rStyle w:val="AERbody"/>
        </w:rPr>
        <w:t xml:space="preserve"> consumer engagement approaches and strategies against the above best practice principles as part of this process.</w:t>
      </w:r>
    </w:p>
    <w:p w:rsidR="00C65992" w:rsidRDefault="00C65992" w:rsidP="00C65992">
      <w:pPr>
        <w:pStyle w:val="Heading2"/>
      </w:pPr>
      <w:bookmarkStart w:id="96" w:name="_Ref477770873"/>
      <w:bookmarkStart w:id="97" w:name="_Toc480988371"/>
      <w:r>
        <w:t>AusNet Services' consumer engagement activities</w:t>
      </w:r>
      <w:bookmarkEnd w:id="96"/>
      <w:bookmarkEnd w:id="97"/>
    </w:p>
    <w:p w:rsidR="00FA2117" w:rsidRDefault="00FA2117" w:rsidP="001371C1">
      <w:r>
        <w:t>As part of preparing its revenue proposal, AusNet Services undertook a range of consumer engagement activities to understand the views of its stakeholders. We set out AusNet Services' consumer engagement activities in the lead up to its initial proposal in our draft decision.</w:t>
      </w:r>
      <w:r>
        <w:rPr>
          <w:rStyle w:val="FootnoteReference"/>
        </w:rPr>
        <w:footnoteReference w:id="57"/>
      </w:r>
      <w:r>
        <w:t xml:space="preserve"> In its revised proposal, AusNet Services submitted that it undertook further stakeholder engagement following the submission of its initial revenue proposal.</w:t>
      </w:r>
      <w:r>
        <w:rPr>
          <w:rStyle w:val="FootnoteReference"/>
        </w:rPr>
        <w:footnoteReference w:id="58"/>
      </w:r>
      <w:r>
        <w:t xml:space="preserve"> </w:t>
      </w:r>
    </w:p>
    <w:p w:rsidR="00FA2117" w:rsidRDefault="00166939" w:rsidP="00C65992">
      <w:r>
        <w:t>AusNet Services submitted that most of its engagement undertaken since its initial proposal focused explicitly on better understanding stakeholder perceptions of accelerated depreciation. A key reason for this was that there was strong opposition to any form of accelerated depreciation in consultation undertaken prior to the submission of its revenue proposal.</w:t>
      </w:r>
      <w:r>
        <w:rPr>
          <w:rStyle w:val="FootnoteReference"/>
        </w:rPr>
        <w:footnoteReference w:id="59"/>
      </w:r>
      <w:r>
        <w:t xml:space="preserve"> </w:t>
      </w:r>
    </w:p>
    <w:p w:rsidR="00166939" w:rsidRDefault="00166939" w:rsidP="00C65992">
      <w:r>
        <w:t xml:space="preserve">Following its initial submission, AusNet Services launched a range of engagement activities focusing on accelerated depreciation. These activities included discussions with customer advocates individually </w:t>
      </w:r>
      <w:r w:rsidR="004708F7">
        <w:t>(</w:t>
      </w:r>
      <w:r>
        <w:t>formally and informally</w:t>
      </w:r>
      <w:r w:rsidR="004708F7">
        <w:t>)</w:t>
      </w:r>
      <w:r>
        <w:t>, and a customer advocate workshop. AusNet Services found that customer advocates did not support accelerated depreciation</w:t>
      </w:r>
      <w:r w:rsidR="004708F7">
        <w:t xml:space="preserve"> because</w:t>
      </w:r>
      <w:r>
        <w:t xml:space="preserve"> customers would oppose higher short-term prices, despite longer-term price reductions.</w:t>
      </w:r>
      <w:r w:rsidR="003477A2">
        <w:rPr>
          <w:rStyle w:val="FootnoteReference"/>
        </w:rPr>
        <w:footnoteReference w:id="60"/>
      </w:r>
      <w:r>
        <w:t xml:space="preserve"> </w:t>
      </w:r>
    </w:p>
    <w:p w:rsidR="00166939" w:rsidRDefault="00166939" w:rsidP="00C65992">
      <w:r>
        <w:t xml:space="preserve">AusNet Services submitted that it prepared its revised revenue proposal with stakeholder feedback in mind. </w:t>
      </w:r>
      <w:r w:rsidR="003477A2">
        <w:t>AusNet Services' revised proposal sets out the stakeholder feedback received and how it has been addressed. In regard to accelerated depreciation, the revised revenue proposal does not apply declining balance depreciation to new investments.</w:t>
      </w:r>
      <w:r w:rsidR="003477A2">
        <w:rPr>
          <w:rStyle w:val="FootnoteReference"/>
        </w:rPr>
        <w:footnoteReference w:id="61"/>
      </w:r>
    </w:p>
    <w:p w:rsidR="003477A2" w:rsidRDefault="003477A2" w:rsidP="00C65992">
      <w:r>
        <w:t>AusNet Services submitted that it is committed to continuing stakeholder engagement through a range of ongoing consultative activities including:</w:t>
      </w:r>
      <w:r>
        <w:rPr>
          <w:rStyle w:val="FootnoteReference"/>
        </w:rPr>
        <w:footnoteReference w:id="62"/>
      </w:r>
      <w:r>
        <w:t xml:space="preserve"> </w:t>
      </w:r>
    </w:p>
    <w:p w:rsidR="003477A2" w:rsidRDefault="004708F7" w:rsidP="004708F7">
      <w:pPr>
        <w:pStyle w:val="AERbulletlistfirststyle"/>
      </w:pPr>
      <w:r>
        <w:t>improving the information that is available and easily accessible to customers and stakeholders through the launch of its new customer-centric website</w:t>
      </w:r>
    </w:p>
    <w:p w:rsidR="004708F7" w:rsidRDefault="004708F7" w:rsidP="004708F7">
      <w:pPr>
        <w:pStyle w:val="AERbulletlistfirststyle"/>
      </w:pPr>
      <w:proofErr w:type="gramStart"/>
      <w:r>
        <w:lastRenderedPageBreak/>
        <w:t>reviewing</w:t>
      </w:r>
      <w:proofErr w:type="gramEnd"/>
      <w:r>
        <w:t xml:space="preserve"> key </w:t>
      </w:r>
      <w:proofErr w:type="spellStart"/>
      <w:r>
        <w:t>learnings</w:t>
      </w:r>
      <w:proofErr w:type="spellEnd"/>
      <w:r>
        <w:t xml:space="preserve"> from the efforts to date. AusNet Services will conduct an internal workshop with those involved in the program to evaluate the efforts described in this report and discuss areas of improvement for future engagement</w:t>
      </w:r>
    </w:p>
    <w:p w:rsidR="004708F7" w:rsidRDefault="004708F7" w:rsidP="004708F7">
      <w:pPr>
        <w:pStyle w:val="AERbulletlistfirststyle"/>
      </w:pPr>
      <w:proofErr w:type="gramStart"/>
      <w:r>
        <w:t>continued</w:t>
      </w:r>
      <w:proofErr w:type="gramEnd"/>
      <w:r>
        <w:t xml:space="preserve"> consultation with key stakeholders through activities such as presentations and workshops tailored specifically to the information needs and expertise of those groups. </w:t>
      </w:r>
    </w:p>
    <w:p w:rsidR="00C65992" w:rsidRDefault="00C65992" w:rsidP="00C65992">
      <w:pPr>
        <w:pStyle w:val="Heading2"/>
      </w:pPr>
      <w:bookmarkStart w:id="98" w:name="_Ref453863079"/>
      <w:bookmarkStart w:id="99" w:name="_Toc456687667"/>
      <w:bookmarkStart w:id="100" w:name="_Toc480988372"/>
      <w:r>
        <w:t>Consumer submissions</w:t>
      </w:r>
      <w:bookmarkEnd w:id="98"/>
      <w:bookmarkEnd w:id="99"/>
      <w:bookmarkEnd w:id="100"/>
    </w:p>
    <w:p w:rsidR="00DD3280" w:rsidRDefault="00DD3280" w:rsidP="00534B2D">
      <w:r>
        <w:t>The CCP submitted that, since the initial revenue proposal, it has observed genuine and continuing efforts to engage with end customers. The CCP submitted that there is no question about the sincerity and desire of AusNet Services to actively and meaningfully engage with stakeholders. The CCP noted that it continues to observe good progress being made in AusNet Services efforts to engage.</w:t>
      </w:r>
      <w:r w:rsidR="00534B2D">
        <w:rPr>
          <w:rStyle w:val="FootnoteReference"/>
        </w:rPr>
        <w:footnoteReference w:id="63"/>
      </w:r>
      <w:r>
        <w:t xml:space="preserve"> </w:t>
      </w:r>
    </w:p>
    <w:p w:rsidR="00DD3280" w:rsidRDefault="00DD3280" w:rsidP="00534B2D">
      <w:r>
        <w:t>The CCP however noted the following observations relating to AusNet Services consumer engagement:</w:t>
      </w:r>
      <w:r w:rsidR="00534B2D">
        <w:rPr>
          <w:rStyle w:val="FootnoteReference"/>
        </w:rPr>
        <w:footnoteReference w:id="64"/>
      </w:r>
    </w:p>
    <w:p w:rsidR="00DD3280" w:rsidRDefault="00DD3280" w:rsidP="00534B2D">
      <w:pPr>
        <w:pStyle w:val="AERbulletlistfirststyle"/>
      </w:pPr>
      <w:r>
        <w:t>sometimes AusNet Services has tended to regard stakeholder engagement processes as mechanisms to convince stakeholders of an AusNet Services position, when more open methodologies would be more helpful</w:t>
      </w:r>
    </w:p>
    <w:p w:rsidR="00C65992" w:rsidRPr="00DD3280" w:rsidRDefault="00534B2D" w:rsidP="00534B2D">
      <w:pPr>
        <w:pStyle w:val="AERbulletlistfirststyle"/>
      </w:pPr>
      <w:proofErr w:type="gramStart"/>
      <w:r>
        <w:t>the</w:t>
      </w:r>
      <w:proofErr w:type="gramEnd"/>
      <w:r>
        <w:t xml:space="preserve"> 'promise to the public' aspect of the IAP2 spectrum is less developed than other aspects of the spectrum. The CCP considered that the 'promise to the public' action is somewhere between the 'inform' and 'consult' aspects of the spectrum. </w:t>
      </w:r>
      <w:r w:rsidR="00DD3280">
        <w:t xml:space="preserve"> </w:t>
      </w:r>
      <w:r w:rsidR="00C65992" w:rsidRPr="00DD3280">
        <w:t xml:space="preserve"> </w:t>
      </w:r>
    </w:p>
    <w:p w:rsidR="00C65992" w:rsidRDefault="00C65992" w:rsidP="00C65992">
      <w:pPr>
        <w:pStyle w:val="Heading2"/>
      </w:pPr>
      <w:bookmarkStart w:id="101" w:name="_Ref453863057"/>
      <w:bookmarkStart w:id="102" w:name="_Toc456687668"/>
      <w:bookmarkStart w:id="103" w:name="_Toc480988373"/>
      <w:r>
        <w:t>Our view of AusNet Services' consumer engagement</w:t>
      </w:r>
      <w:bookmarkEnd w:id="101"/>
      <w:bookmarkEnd w:id="102"/>
      <w:bookmarkEnd w:id="103"/>
    </w:p>
    <w:p w:rsidR="00C65992" w:rsidRDefault="00321B74" w:rsidP="00C65992">
      <w:r>
        <w:t xml:space="preserve">Consistent with our draft decision, </w:t>
      </w:r>
      <w:r w:rsidR="00C65992">
        <w:t>we consider that AusNet Services has taken important steps to engage with its customers</w:t>
      </w:r>
      <w:r>
        <w:t xml:space="preserve"> in a very positive manner</w:t>
      </w:r>
      <w:r w:rsidR="00C65992">
        <w:t xml:space="preserve">. </w:t>
      </w:r>
      <w:r>
        <w:t>We note that t</w:t>
      </w:r>
      <w:r w:rsidR="00534B2D">
        <w:t xml:space="preserve">he CCP has </w:t>
      </w:r>
      <w:r>
        <w:t xml:space="preserve">also </w:t>
      </w:r>
      <w:r w:rsidR="00534B2D">
        <w:t xml:space="preserve">made many positive comments in regards to AusNet Services consumer engagement stating that it has made genuine and continuing efforts to meaningfully engage with end users. </w:t>
      </w:r>
    </w:p>
    <w:p w:rsidR="00321B74" w:rsidRDefault="00321B74" w:rsidP="00321B74">
      <w:r>
        <w:t>A key concern for stakeholders arising from AusNet Services</w:t>
      </w:r>
      <w:r w:rsidR="001371C1">
        <w:t>'</w:t>
      </w:r>
      <w:r>
        <w:t xml:space="preserve"> initial proposal was in regard to AusNet Services</w:t>
      </w:r>
      <w:r w:rsidR="001371C1">
        <w:t>'</w:t>
      </w:r>
      <w:r>
        <w:t xml:space="preserve"> use of accelerated depreciation. In its submission on AusNet Services initial proposal the CCP expressed disappointment that AusNet Services had rejected strong consumer advice regarding accelerated depreciation.</w:t>
      </w:r>
      <w:r>
        <w:rPr>
          <w:rStyle w:val="FootnoteReference"/>
        </w:rPr>
        <w:footnoteReference w:id="65"/>
      </w:r>
      <w:r>
        <w:t xml:space="preserve"> We note that AusNet Services has responded to this issue by undertaking a range of </w:t>
      </w:r>
      <w:r>
        <w:lastRenderedPageBreak/>
        <w:t>engagement activities focussed on accelerated depreciation and seeking stakeholder feedback</w:t>
      </w:r>
      <w:r w:rsidR="005050FB">
        <w:t xml:space="preserve"> on its proposal</w:t>
      </w:r>
      <w:r>
        <w:t xml:space="preserve">. </w:t>
      </w:r>
    </w:p>
    <w:p w:rsidR="00C65992" w:rsidRDefault="00C65992" w:rsidP="00C65992">
      <w:r>
        <w:t xml:space="preserve">We accept that there </w:t>
      </w:r>
      <w:r w:rsidR="005050FB">
        <w:t xml:space="preserve">are still </w:t>
      </w:r>
      <w:r>
        <w:t xml:space="preserve">some concerns from </w:t>
      </w:r>
      <w:r w:rsidR="00534B2D">
        <w:t>the CCP</w:t>
      </w:r>
      <w:r>
        <w:t xml:space="preserve">, regarding </w:t>
      </w:r>
      <w:r w:rsidR="00534B2D">
        <w:t xml:space="preserve">aspects of </w:t>
      </w:r>
      <w:r>
        <w:t>AusNet Services' approach to stakeholder engagement</w:t>
      </w:r>
      <w:r w:rsidR="00534B2D">
        <w:t xml:space="preserve">. </w:t>
      </w:r>
      <w:r w:rsidR="005050FB">
        <w:t xml:space="preserve">However, as we noted in our draft decision, </w:t>
      </w:r>
      <w:r>
        <w:t xml:space="preserve">stakeholder engagement is a relatively new aspect undertaken by network service providers and should continue to improve over time. AusNet Services has </w:t>
      </w:r>
      <w:r w:rsidR="005050FB">
        <w:t>submitted that it is committed to continuing and improving its practices when it comes to stakeholder engagement.</w:t>
      </w:r>
      <w:r w:rsidR="005050FB">
        <w:rPr>
          <w:rStyle w:val="FootnoteReference"/>
        </w:rPr>
        <w:footnoteReference w:id="66"/>
      </w:r>
      <w:r w:rsidR="005050FB">
        <w:t xml:space="preserve"> </w:t>
      </w:r>
      <w:r>
        <w:t xml:space="preserve">We expect that AusNet Services will take into account the issues raised by </w:t>
      </w:r>
      <w:r w:rsidR="005050FB">
        <w:t xml:space="preserve">the CCP </w:t>
      </w:r>
      <w:r>
        <w:t>in developing its consumer engagement program going forward.</w:t>
      </w:r>
    </w:p>
    <w:p w:rsidR="00C65992" w:rsidRPr="005402BE" w:rsidRDefault="00C65992" w:rsidP="00C65992">
      <w:pPr>
        <w:pStyle w:val="Heading7"/>
      </w:pPr>
      <w:bookmarkStart w:id="104" w:name="_Ref459987256"/>
      <w:bookmarkStart w:id="105" w:name="_Toc462741592"/>
      <w:bookmarkStart w:id="106" w:name="_Toc480988374"/>
      <w:r>
        <w:lastRenderedPageBreak/>
        <w:t>Constituent decisions</w:t>
      </w:r>
      <w:bookmarkEnd w:id="104"/>
      <w:bookmarkEnd w:id="105"/>
      <w:bookmarkEnd w:id="106"/>
    </w:p>
    <w:p w:rsidR="00C65992" w:rsidRDefault="00C65992" w:rsidP="00C65992">
      <w:pPr>
        <w:numPr>
          <w:ilvl w:val="0"/>
          <w:numId w:val="25"/>
        </w:numPr>
      </w:pPr>
      <w:r>
        <w:t>Our final decision on AusNet Services' transmission determination includes the following constituent components:</w:t>
      </w:r>
      <w:r>
        <w:rPr>
          <w:rStyle w:val="FootnoteReference"/>
        </w:rPr>
        <w:footnoteReference w:id="67"/>
      </w:r>
    </w:p>
    <w:tbl>
      <w:tblPr>
        <w:tblStyle w:val="AERtable-text0"/>
        <w:tblW w:w="9242" w:type="dxa"/>
        <w:tblLook w:val="04A0" w:firstRow="1" w:lastRow="0" w:firstColumn="1" w:lastColumn="0" w:noHBand="0" w:noVBand="1"/>
      </w:tblPr>
      <w:tblGrid>
        <w:gridCol w:w="9242"/>
      </w:tblGrid>
      <w:tr w:rsidR="00C65992" w:rsidTr="00BF168A">
        <w:trPr>
          <w:cnfStyle w:val="100000000000" w:firstRow="1" w:lastRow="0" w:firstColumn="0" w:lastColumn="0" w:oddVBand="0" w:evenVBand="0" w:oddHBand="0" w:evenHBand="0" w:firstRowFirstColumn="0" w:firstRowLastColumn="0" w:lastRowFirstColumn="0" w:lastRowLastColumn="0"/>
          <w:tblHeader/>
        </w:trPr>
        <w:tc>
          <w:tcPr>
            <w:tcW w:w="9242" w:type="dxa"/>
          </w:tcPr>
          <w:p w:rsidR="00C65992" w:rsidRDefault="00C65992" w:rsidP="00C65992">
            <w:pPr>
              <w:numPr>
                <w:ilvl w:val="0"/>
                <w:numId w:val="25"/>
              </w:numPr>
            </w:pPr>
            <w:r>
              <w:t>Constituent component</w:t>
            </w:r>
          </w:p>
        </w:tc>
      </w:tr>
      <w:tr w:rsidR="00C65992" w:rsidRPr="007B651F" w:rsidTr="00BF168A">
        <w:tc>
          <w:tcPr>
            <w:tcW w:w="9242" w:type="dxa"/>
          </w:tcPr>
          <w:p w:rsidR="00C65992" w:rsidRPr="00C65992" w:rsidRDefault="00957C1D" w:rsidP="005572D8">
            <w:r w:rsidRPr="007B651F">
              <w:t>In accordance with clause 6A.14.1</w:t>
            </w:r>
            <w:r w:rsidRPr="00957C1D">
              <w:t>(1)(</w:t>
            </w:r>
            <w:proofErr w:type="spellStart"/>
            <w:r w:rsidRPr="00957C1D">
              <w:t>i</w:t>
            </w:r>
            <w:proofErr w:type="spellEnd"/>
            <w:r w:rsidRPr="00957C1D">
              <w:t xml:space="preserve">) of the NER, the AER does not approve the total revenue cap set out in AusNet Services' revised building block proposal. Our </w:t>
            </w:r>
            <w:r>
              <w:t>final</w:t>
            </w:r>
            <w:r w:rsidRPr="00957C1D">
              <w:t xml:space="preserve"> decision on AusNet Services' total revenue cap </w:t>
            </w:r>
            <w:r w:rsidRPr="00336FC6">
              <w:t>is $</w:t>
            </w:r>
            <w:r w:rsidR="009C25B3" w:rsidRPr="00336FC6">
              <w:t>274</w:t>
            </w:r>
            <w:r w:rsidR="005572D8">
              <w:t>1.7</w:t>
            </w:r>
            <w:r w:rsidR="009C25B3" w:rsidRPr="00336FC6">
              <w:t xml:space="preserve"> </w:t>
            </w:r>
            <w:r w:rsidRPr="00336FC6">
              <w:t>million</w:t>
            </w:r>
            <w:r w:rsidRPr="00957C1D">
              <w:t xml:space="preserve"> ($ nominal) for the 2017–22 regulatory control period. This decision is discussed in Attachment 1 of this </w:t>
            </w:r>
            <w:r w:rsidR="00384DBA">
              <w:t>final</w:t>
            </w:r>
            <w:r w:rsidRPr="00957C1D">
              <w:t xml:space="preserve"> decision.</w:t>
            </w:r>
            <w:r w:rsidR="00C73AA7">
              <w:t xml:space="preserve"> [See also section 1.1–1.3 of the transmission determination]</w:t>
            </w:r>
          </w:p>
        </w:tc>
      </w:tr>
      <w:tr w:rsidR="00C65992" w:rsidRPr="00C170F0"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957C1D" w:rsidP="00C65992">
            <w:r w:rsidRPr="00C170F0">
              <w:t>In accordance with clause 6A.14.1</w:t>
            </w:r>
            <w:r w:rsidRPr="00957C1D">
              <w:t xml:space="preserve">(1)(ii) of the NER, the AER does not approve the maximum allowed revenue (MAR) for each regulatory year of the regulatory control period set out in AusNet Services' revised building block proposal. Our </w:t>
            </w:r>
            <w:r>
              <w:t xml:space="preserve">final </w:t>
            </w:r>
            <w:r w:rsidRPr="00957C1D">
              <w:t xml:space="preserve">decision on AusNet Services' MAR for each year of the 2017–22 regulatory control </w:t>
            </w:r>
            <w:proofErr w:type="gramStart"/>
            <w:r w:rsidRPr="00957C1D">
              <w:t>period</w:t>
            </w:r>
            <w:proofErr w:type="gramEnd"/>
            <w:r w:rsidRPr="00957C1D">
              <w:t xml:space="preserve"> is set out in Attachment 1 of this </w:t>
            </w:r>
            <w:r w:rsidR="00384DBA">
              <w:t>final</w:t>
            </w:r>
            <w:r w:rsidRPr="00957C1D">
              <w:t xml:space="preserve"> decision.</w:t>
            </w:r>
            <w:r w:rsidR="00C73AA7">
              <w:t xml:space="preserve"> [See also section 1.1–1.3 of the transmission determination]</w:t>
            </w:r>
          </w:p>
        </w:tc>
      </w:tr>
      <w:tr w:rsidR="00C65992" w:rsidRPr="00C170F0" w:rsidTr="00BF168A">
        <w:tc>
          <w:tcPr>
            <w:tcW w:w="9242" w:type="dxa"/>
          </w:tcPr>
          <w:p w:rsidR="00C65992" w:rsidRPr="00C65992" w:rsidRDefault="00957C1D" w:rsidP="00C73AA7">
            <w:r w:rsidRPr="00C170F0">
              <w:t xml:space="preserve">In accordance with clause 6A.14.1(1)(iii) of the NER, the </w:t>
            </w:r>
            <w:r w:rsidRPr="00336FC6">
              <w:t>AER has decided to apply the service component, network capability component and market impact component of Version 5 of t</w:t>
            </w:r>
            <w:r w:rsidRPr="00957C1D">
              <w:t xml:space="preserve">he service target performance incentive scheme (STPIS) to AusNet Services for the 2017–22 regulatory control period. The values and parameters of the STPIS are set out in Attachment 11 of this </w:t>
            </w:r>
            <w:r w:rsidR="00384DBA">
              <w:t>final</w:t>
            </w:r>
            <w:r w:rsidRPr="00957C1D">
              <w:t xml:space="preserve"> decision.</w:t>
            </w:r>
            <w:r w:rsidR="00C73AA7">
              <w:t xml:space="preserve"> [See also section 1.6 of the transmission determination]</w:t>
            </w:r>
          </w:p>
        </w:tc>
      </w:tr>
      <w:tr w:rsidR="00C65992" w:rsidRPr="00C170F0"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957C1D" w:rsidP="00C73AA7">
            <w:r w:rsidRPr="00C170F0">
              <w:t>In accordance with clause 6A.14.1(1)(iv)</w:t>
            </w:r>
            <w:r w:rsidRPr="00957C1D">
              <w:t xml:space="preserve"> of the NER, the AER's </w:t>
            </w:r>
            <w:r>
              <w:t xml:space="preserve">final </w:t>
            </w:r>
            <w:r w:rsidRPr="00957C1D">
              <w:t xml:space="preserve">decision on the values that are to be attributed to the parameters for the efficiency benefit sharing scheme (EBSS) that will apply to AusNet Services in respect of the 2017–22 regulatory control period are set out in Attachment 9 of this </w:t>
            </w:r>
            <w:r w:rsidR="00384DBA">
              <w:t>final</w:t>
            </w:r>
            <w:r w:rsidRPr="00957C1D">
              <w:t xml:space="preserve"> decision.</w:t>
            </w:r>
            <w:r w:rsidR="00C73AA7">
              <w:t xml:space="preserve"> [See also section 1.7 of the transmission determination]</w:t>
            </w:r>
          </w:p>
        </w:tc>
      </w:tr>
      <w:tr w:rsidR="00C65992" w:rsidRPr="00C170F0" w:rsidTr="00BF168A">
        <w:tc>
          <w:tcPr>
            <w:tcW w:w="9242" w:type="dxa"/>
          </w:tcPr>
          <w:p w:rsidR="00C65992" w:rsidRPr="00C65992" w:rsidRDefault="00957C1D" w:rsidP="00C73AA7">
            <w:r w:rsidRPr="00C170F0">
              <w:t xml:space="preserve">In accordance with clause </w:t>
            </w:r>
            <w:proofErr w:type="gramStart"/>
            <w:r w:rsidRPr="00C170F0">
              <w:t>6A.14.1(</w:t>
            </w:r>
            <w:proofErr w:type="gramEnd"/>
            <w:r w:rsidRPr="00C170F0">
              <w:t xml:space="preserve">1)(v) of the NER, the AER has approved the commencement and length of the regulatory control period as </w:t>
            </w:r>
            <w:r w:rsidRPr="00957C1D">
              <w:t>AusNet Services proposed in its revenue proposal. The regulatory control period will commence on 1 April 2017 and the length of this period is five years, expiring on 31 March 2022.</w:t>
            </w:r>
            <w:r w:rsidR="00C73AA7">
              <w:t xml:space="preserve"> [See also section 1.9 of the transmission determination]</w:t>
            </w:r>
          </w:p>
        </w:tc>
      </w:tr>
      <w:tr w:rsidR="00C65992" w:rsidRPr="007B651F"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957C1D" w:rsidP="00336FC6">
            <w:r w:rsidRPr="007B651F">
              <w:t>In accordance with clause 6A.14.1(2) and acting in accordance with clause 6A.6.7(d)</w:t>
            </w:r>
            <w:r w:rsidRPr="00957C1D">
              <w:t xml:space="preserve"> of the NER, the AER has not accepted AusNet Services' total forecast capital expenditure of </w:t>
            </w:r>
            <w:r w:rsidR="00336FC6">
              <w:t>$751.3</w:t>
            </w:r>
            <w:r w:rsidRPr="00957C1D">
              <w:t xml:space="preserve"> million ($2016–17). Our substitute estimate of AusNet Services' total forecast capex for the 2017–22 regulatory control </w:t>
            </w:r>
            <w:proofErr w:type="gramStart"/>
            <w:r w:rsidRPr="00957C1D">
              <w:t>period</w:t>
            </w:r>
            <w:proofErr w:type="gramEnd"/>
            <w:r w:rsidRPr="00957C1D">
              <w:t xml:space="preserve"> is </w:t>
            </w:r>
            <w:r w:rsidR="00336FC6">
              <w:t>$719.1</w:t>
            </w:r>
            <w:r w:rsidRPr="00957C1D">
              <w:t xml:space="preserve"> million ($2016–17). This is discussed in Attachment 6 of this </w:t>
            </w:r>
            <w:r w:rsidR="00384DBA">
              <w:t>final</w:t>
            </w:r>
            <w:r w:rsidRPr="00957C1D">
              <w:t xml:space="preserve"> decision.</w:t>
            </w:r>
          </w:p>
        </w:tc>
      </w:tr>
      <w:tr w:rsidR="00C65992" w:rsidRPr="00C170F0" w:rsidTr="00BF168A">
        <w:tc>
          <w:tcPr>
            <w:tcW w:w="9242" w:type="dxa"/>
          </w:tcPr>
          <w:p w:rsidR="00C65992" w:rsidRPr="00C65992" w:rsidRDefault="00957C1D" w:rsidP="001C4A11">
            <w:r w:rsidRPr="00C170F0">
              <w:t>In accordance with clause 6A.14.1(3)</w:t>
            </w:r>
            <w:r w:rsidR="005F409B">
              <w:t>(ii)</w:t>
            </w:r>
            <w:r w:rsidRPr="00C170F0">
              <w:t xml:space="preserve"> and acting in accordance with clause 6A.6.6(d)</w:t>
            </w:r>
            <w:r w:rsidRPr="00957C1D">
              <w:t xml:space="preserve"> of the NER, the AER has not accepted AusNet Services' total forecast operating expenditure inclusive of debt raising costs of $</w:t>
            </w:r>
            <w:r w:rsidR="001C4A11">
              <w:t>1057.6</w:t>
            </w:r>
            <w:r w:rsidRPr="00957C1D">
              <w:t xml:space="preserve"> million ($2016–17). Our substitute estimate of AusNet Services' total forecast opex for the 2017–22 regulatory control </w:t>
            </w:r>
            <w:proofErr w:type="gramStart"/>
            <w:r w:rsidRPr="00957C1D">
              <w:t>period</w:t>
            </w:r>
            <w:proofErr w:type="gramEnd"/>
            <w:r w:rsidRPr="00957C1D">
              <w:t xml:space="preserve"> is $</w:t>
            </w:r>
            <w:r w:rsidR="001C4A11">
              <w:t>1139.8</w:t>
            </w:r>
            <w:r w:rsidRPr="00957C1D">
              <w:t xml:space="preserve"> million ($2016–17) including debt raising costs. This is discussed in Attachment 7 of this </w:t>
            </w:r>
            <w:r w:rsidR="00384DBA">
              <w:t>final</w:t>
            </w:r>
            <w:r w:rsidRPr="00957C1D">
              <w:t xml:space="preserve"> decision.</w:t>
            </w:r>
          </w:p>
        </w:tc>
      </w:tr>
      <w:tr w:rsidR="00C65992" w:rsidRPr="007B651F"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957C1D" w:rsidP="00C73AA7">
            <w:r w:rsidRPr="007B651F">
              <w:t xml:space="preserve">In accordance with clause </w:t>
            </w:r>
            <w:proofErr w:type="gramStart"/>
            <w:r w:rsidRPr="007B651F">
              <w:t>6A.14.1(</w:t>
            </w:r>
            <w:proofErr w:type="gramEnd"/>
            <w:r w:rsidRPr="007B651F">
              <w:t>5A)</w:t>
            </w:r>
            <w:r w:rsidRPr="00957C1D">
              <w:t xml:space="preserve"> of the NER, the AER has determined that</w:t>
            </w:r>
            <w:r w:rsidR="00336FC6">
              <w:t xml:space="preserve"> version 1 of the capital expenditure sharing scheme (CESS) as set out in the Capital Expenditure Incentives Guideline will apply</w:t>
            </w:r>
            <w:r w:rsidRPr="00957C1D">
              <w:t xml:space="preserve"> to AusNet Services in the 2017–22 regulatory control period. This is discussed in Attachment 10 of this </w:t>
            </w:r>
            <w:r w:rsidR="00384DBA">
              <w:t>final</w:t>
            </w:r>
            <w:r w:rsidRPr="00957C1D">
              <w:t xml:space="preserve"> decision.</w:t>
            </w:r>
            <w:r w:rsidR="00C73AA7">
              <w:t xml:space="preserve"> [See also section 1.8 of the transmission determination]</w:t>
            </w:r>
          </w:p>
        </w:tc>
      </w:tr>
      <w:tr w:rsidR="00C65992" w:rsidRPr="007B651F" w:rsidTr="00BF168A">
        <w:tc>
          <w:tcPr>
            <w:tcW w:w="9242" w:type="dxa"/>
          </w:tcPr>
          <w:p w:rsidR="00C65992" w:rsidRPr="00C65992" w:rsidRDefault="00957C1D" w:rsidP="00336FC6">
            <w:r w:rsidRPr="007B651F">
              <w:t xml:space="preserve">In accordance with clause </w:t>
            </w:r>
            <w:proofErr w:type="gramStart"/>
            <w:r w:rsidRPr="007B651F">
              <w:t>6A.14.1(</w:t>
            </w:r>
            <w:proofErr w:type="gramEnd"/>
            <w:r w:rsidRPr="007B651F">
              <w:t xml:space="preserve">5B) </w:t>
            </w:r>
            <w:r w:rsidRPr="00957C1D">
              <w:t>and 6A.6.2 of the NER, the AER has decided that the allowed rate or return for the 2017–18 regulatory year is</w:t>
            </w:r>
            <w:r w:rsidR="00336FC6">
              <w:t xml:space="preserve"> 5.8</w:t>
            </w:r>
            <w:r w:rsidRPr="00957C1D">
              <w:t xml:space="preserve"> per cent (nominal vanilla), as set out in Attachment 3 of this </w:t>
            </w:r>
            <w:r w:rsidR="00384DBA">
              <w:t>final</w:t>
            </w:r>
            <w:r w:rsidRPr="00957C1D">
              <w:t xml:space="preserve"> decision. The rate of return for the remaining regulatory years 2018–22 will be updated annually because our decision is to apply a trailing average portfolio approach to estimating debt which incorporates annual updating of the allowed return on debt.</w:t>
            </w:r>
          </w:p>
        </w:tc>
      </w:tr>
      <w:tr w:rsidR="00C65992" w:rsidRPr="007B651F"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957C1D" w:rsidP="00336FC6">
            <w:r w:rsidRPr="007B651F">
              <w:t xml:space="preserve">In accordance with clause </w:t>
            </w:r>
            <w:proofErr w:type="gramStart"/>
            <w:r w:rsidRPr="007B651F">
              <w:t>6A.14.1(</w:t>
            </w:r>
            <w:proofErr w:type="gramEnd"/>
            <w:r w:rsidRPr="007B651F">
              <w:t>5C)</w:t>
            </w:r>
            <w:r w:rsidRPr="00957C1D">
              <w:t xml:space="preserve"> of the NER the AER has decided that the </w:t>
            </w:r>
            <w:r w:rsidRPr="00336FC6">
              <w:t>return on debt is to be estimated using a methodology referred to in clause 6A.6.2(</w:t>
            </w:r>
            <w:proofErr w:type="spellStart"/>
            <w:r w:rsidRPr="00336FC6">
              <w:t>i</w:t>
            </w:r>
            <w:proofErr w:type="spellEnd"/>
            <w:r w:rsidRPr="00336FC6">
              <w:t xml:space="preserve">)(2), and using the formula to be applied in accordance with clause 6A.6.2(l). The methodology and formula are set out in Attachment 3 of this </w:t>
            </w:r>
            <w:r w:rsidR="00384DBA" w:rsidRPr="00336FC6">
              <w:t>final</w:t>
            </w:r>
            <w:r w:rsidRPr="00336FC6">
              <w:t xml:space="preserve"> </w:t>
            </w:r>
            <w:r w:rsidRPr="00957C1D">
              <w:t>decision.</w:t>
            </w:r>
          </w:p>
        </w:tc>
      </w:tr>
      <w:tr w:rsidR="00C65992" w:rsidRPr="007B651F" w:rsidTr="00BF168A">
        <w:tc>
          <w:tcPr>
            <w:tcW w:w="9242" w:type="dxa"/>
          </w:tcPr>
          <w:p w:rsidR="00C65992" w:rsidRPr="00C65992" w:rsidRDefault="00CD1FB4" w:rsidP="0014209D">
            <w:r w:rsidRPr="007B651F">
              <w:t xml:space="preserve">In accordance with clause </w:t>
            </w:r>
            <w:proofErr w:type="gramStart"/>
            <w:r w:rsidRPr="007B651F">
              <w:t>6A.14.1(</w:t>
            </w:r>
            <w:proofErr w:type="gramEnd"/>
            <w:r w:rsidRPr="007B651F">
              <w:t>5D)</w:t>
            </w:r>
            <w:r w:rsidRPr="00CD1FB4">
              <w:t xml:space="preserve"> of the NER the AER has decided that the value of imputation credits as referred to in </w:t>
            </w:r>
            <w:r w:rsidRPr="00CD1FB4">
              <w:lastRenderedPageBreak/>
              <w:t xml:space="preserve">clause 6A.6.4 is </w:t>
            </w:r>
            <w:r w:rsidRPr="0014209D">
              <w:t>0.4.</w:t>
            </w:r>
            <w:r w:rsidRPr="00CD1FB4">
              <w:t xml:space="preserve"> This is set out in Attachment 4 of this </w:t>
            </w:r>
            <w:r w:rsidR="00384DBA">
              <w:t>final</w:t>
            </w:r>
            <w:r w:rsidRPr="00CD1FB4">
              <w:t xml:space="preserve"> decision.</w:t>
            </w:r>
          </w:p>
        </w:tc>
      </w:tr>
      <w:tr w:rsidR="00C65992" w:rsidRPr="007B651F"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CD1FB4" w:rsidP="00C73AA7">
            <w:r w:rsidRPr="007B651F">
              <w:lastRenderedPageBreak/>
              <w:t>In accordance with clause 6A.14.1(5E)</w:t>
            </w:r>
            <w:r w:rsidRPr="00CD1FB4">
              <w:t xml:space="preserve"> of the NER the AER has decided, in accordance with clause 6A.6.1 and schedule 6A.2, that the opening regulatory asset base (RAB) as at the commencement of the 2017–22 regulatory control period, being 1 April 2017, </w:t>
            </w:r>
            <w:r w:rsidRPr="00E92233">
              <w:t>is $</w:t>
            </w:r>
            <w:r w:rsidR="009C25B3" w:rsidRPr="00E92233">
              <w:t>3170.3</w:t>
            </w:r>
            <w:r w:rsidRPr="00E92233">
              <w:t xml:space="preserve"> million</w:t>
            </w:r>
            <w:r w:rsidRPr="00CD1FB4">
              <w:t xml:space="preserve"> ($ nominal). This is set out in Attachment 2 of this </w:t>
            </w:r>
            <w:r w:rsidR="00384DBA">
              <w:t>final</w:t>
            </w:r>
            <w:r w:rsidRPr="00CD1FB4">
              <w:t xml:space="preserve"> decision.</w:t>
            </w:r>
            <w:r w:rsidR="00C73AA7">
              <w:t xml:space="preserve"> [See also section 1.5 of the transmission determination]</w:t>
            </w:r>
          </w:p>
        </w:tc>
      </w:tr>
      <w:tr w:rsidR="00C65992" w:rsidRPr="007B651F" w:rsidTr="00BF168A">
        <w:tc>
          <w:tcPr>
            <w:tcW w:w="9242" w:type="dxa"/>
          </w:tcPr>
          <w:p w:rsidR="00C65992" w:rsidRPr="00C65992" w:rsidRDefault="00CD1FB4" w:rsidP="00C73AA7">
            <w:r w:rsidRPr="007B651F">
              <w:t xml:space="preserve">In accordance with </w:t>
            </w:r>
            <w:r w:rsidRPr="00E92233">
              <w:t xml:space="preserve">clause 6A.14.1(5F) of the NER the AER has decided that the depreciation approach based on forecast capex (forecast depreciation) </w:t>
            </w:r>
            <w:r w:rsidR="005572D8">
              <w:t xml:space="preserve">updated for actual inflation </w:t>
            </w:r>
            <w:r w:rsidRPr="00E92233">
              <w:t>is to be used</w:t>
            </w:r>
            <w:r w:rsidRPr="00CD1FB4">
              <w:t xml:space="preserve"> to establish the RAB at the commencement of AusNet Services' regulatory control period as at</w:t>
            </w:r>
            <w:r>
              <w:t xml:space="preserve"> </w:t>
            </w:r>
            <w:r w:rsidRPr="00CD1FB4">
              <w:t>1</w:t>
            </w:r>
            <w:r>
              <w:t xml:space="preserve"> </w:t>
            </w:r>
            <w:r w:rsidRPr="00CD1FB4">
              <w:t xml:space="preserve">April 2022. This is discussed in Attachment 2 of this </w:t>
            </w:r>
            <w:r w:rsidR="00384DBA">
              <w:t>final</w:t>
            </w:r>
            <w:r w:rsidRPr="00CD1FB4">
              <w:t xml:space="preserve"> decision.</w:t>
            </w:r>
            <w:r w:rsidR="00C73AA7">
              <w:t xml:space="preserve"> [See also section 1.5 of the transmission determination]</w:t>
            </w:r>
          </w:p>
        </w:tc>
      </w:tr>
      <w:tr w:rsidR="00C65992" w:rsidRPr="00C170F0"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CD1FB4" w:rsidP="00C73AA7">
            <w:r w:rsidRPr="00C170F0">
              <w:t xml:space="preserve">In accordance with clause </w:t>
            </w:r>
            <w:proofErr w:type="gramStart"/>
            <w:r w:rsidRPr="00C170F0">
              <w:t>6A.14.1(</w:t>
            </w:r>
            <w:proofErr w:type="gramEnd"/>
            <w:r w:rsidRPr="00C170F0">
              <w:t>6)</w:t>
            </w:r>
            <w:r w:rsidRPr="00CD1FB4">
              <w:t xml:space="preserve"> of the NER </w:t>
            </w:r>
            <w:r w:rsidRPr="00E92233">
              <w:t xml:space="preserve">the AER has approved AusNet Services' proposed negotiating framework. This is set out in Attachment 14 of this </w:t>
            </w:r>
            <w:r w:rsidR="00384DBA" w:rsidRPr="00E92233">
              <w:t>final</w:t>
            </w:r>
            <w:r w:rsidRPr="00E92233">
              <w:t xml:space="preserve"> decision.</w:t>
            </w:r>
            <w:r w:rsidR="00C73AA7">
              <w:t xml:space="preserve"> [See also section 2 of the transmission determination]</w:t>
            </w:r>
          </w:p>
        </w:tc>
      </w:tr>
      <w:tr w:rsidR="00C65992" w:rsidRPr="00C170F0" w:rsidTr="00BF168A">
        <w:tc>
          <w:tcPr>
            <w:tcW w:w="9242" w:type="dxa"/>
          </w:tcPr>
          <w:p w:rsidR="00C65992" w:rsidRPr="00C65992" w:rsidRDefault="00CD1FB4" w:rsidP="00C73AA7">
            <w:r w:rsidRPr="00C170F0">
              <w:t xml:space="preserve">In accordance with clause </w:t>
            </w:r>
            <w:proofErr w:type="gramStart"/>
            <w:r w:rsidRPr="00C170F0">
              <w:t>6A.14.1(</w:t>
            </w:r>
            <w:proofErr w:type="gramEnd"/>
            <w:r w:rsidRPr="00C170F0">
              <w:t>7)</w:t>
            </w:r>
            <w:r w:rsidRPr="00CD1FB4">
              <w:t xml:space="preserve"> of the NER the AER has specified the negotiated transmission services criteria for AusNet Services. This is set out in Attachment 14 of this </w:t>
            </w:r>
            <w:r w:rsidR="00384DBA">
              <w:t>final</w:t>
            </w:r>
            <w:r w:rsidRPr="00CD1FB4">
              <w:t xml:space="preserve"> decision.</w:t>
            </w:r>
            <w:r w:rsidR="00C73AA7">
              <w:t xml:space="preserve"> [See also section 3 of the transmission determination]</w:t>
            </w:r>
          </w:p>
        </w:tc>
      </w:tr>
      <w:tr w:rsidR="00C65992" w:rsidRPr="00C170F0" w:rsidTr="00BF168A">
        <w:trPr>
          <w:cnfStyle w:val="000000010000" w:firstRow="0" w:lastRow="0" w:firstColumn="0" w:lastColumn="0" w:oddVBand="0" w:evenVBand="0" w:oddHBand="0" w:evenHBand="1" w:firstRowFirstColumn="0" w:firstRowLastColumn="0" w:lastRowFirstColumn="0" w:lastRowLastColumn="0"/>
        </w:trPr>
        <w:tc>
          <w:tcPr>
            <w:tcW w:w="9242" w:type="dxa"/>
          </w:tcPr>
          <w:p w:rsidR="00C65992" w:rsidRPr="00C65992" w:rsidRDefault="00CD1FB4" w:rsidP="00C73AA7">
            <w:r w:rsidRPr="00C170F0">
              <w:t xml:space="preserve">In </w:t>
            </w:r>
            <w:r w:rsidRPr="00E92233">
              <w:t xml:space="preserve">accordance with clause </w:t>
            </w:r>
            <w:proofErr w:type="gramStart"/>
            <w:r w:rsidRPr="00E92233">
              <w:t>6A.14.1(</w:t>
            </w:r>
            <w:proofErr w:type="gramEnd"/>
            <w:r w:rsidRPr="00E92233">
              <w:t xml:space="preserve">8) of the NER the AER has approved AusNet Services' proposed pricing methodology. This is set out in Attachment 12 of this </w:t>
            </w:r>
            <w:r w:rsidR="00384DBA" w:rsidRPr="00E92233">
              <w:t>final</w:t>
            </w:r>
            <w:r w:rsidRPr="00E92233">
              <w:t xml:space="preserve"> decisio</w:t>
            </w:r>
            <w:r w:rsidRPr="00CD1FB4">
              <w:t>n.</w:t>
            </w:r>
            <w:r w:rsidR="00C73AA7">
              <w:t xml:space="preserve"> [See also section 4 of the transmission determination]</w:t>
            </w:r>
          </w:p>
        </w:tc>
      </w:tr>
      <w:tr w:rsidR="00C65992" w:rsidRPr="00C170F0" w:rsidTr="00BF168A">
        <w:tc>
          <w:tcPr>
            <w:tcW w:w="9242" w:type="dxa"/>
          </w:tcPr>
          <w:p w:rsidR="00CD1FB4" w:rsidRPr="00E92233" w:rsidRDefault="00CD1FB4" w:rsidP="00E92233">
            <w:r w:rsidRPr="00C170F0">
              <w:t>In accordance with clause 6A.14.1(9)</w:t>
            </w:r>
            <w:r w:rsidRPr="00CD1FB4">
              <w:t xml:space="preserve"> of the NER the AER has approved the following nominated pass through events to apply to AusNet </w:t>
            </w:r>
            <w:r w:rsidRPr="00E92233">
              <w:t>Services for the 2017–22 regulatory control period in accordance with clause 6A.6.9:</w:t>
            </w:r>
          </w:p>
          <w:p w:rsidR="00CD1FB4" w:rsidRPr="00E92233" w:rsidRDefault="00CD1FB4" w:rsidP="00E92233">
            <w:pPr>
              <w:pStyle w:val="AERbulletlistfirststyle"/>
            </w:pPr>
            <w:r w:rsidRPr="00E92233">
              <w:t>terrorism event</w:t>
            </w:r>
          </w:p>
          <w:p w:rsidR="00CD1FB4" w:rsidRPr="00E92233" w:rsidRDefault="00CD1FB4" w:rsidP="00E92233">
            <w:pPr>
              <w:pStyle w:val="AERbulletlistfirststyle"/>
            </w:pPr>
            <w:r w:rsidRPr="00E92233">
              <w:t>insurance cap event</w:t>
            </w:r>
          </w:p>
          <w:p w:rsidR="00CD1FB4" w:rsidRPr="00E92233" w:rsidRDefault="00CD1FB4" w:rsidP="00E92233">
            <w:pPr>
              <w:pStyle w:val="AERbulletlistfirststyle"/>
            </w:pPr>
            <w:r w:rsidRPr="00E92233">
              <w:t>natural disaster event</w:t>
            </w:r>
          </w:p>
          <w:p w:rsidR="00CD1FB4" w:rsidRPr="00E92233" w:rsidRDefault="00CD1FB4" w:rsidP="00E92233">
            <w:pPr>
              <w:pStyle w:val="AERbulletlistfirststyle"/>
            </w:pPr>
            <w:proofErr w:type="gramStart"/>
            <w:r w:rsidRPr="00E92233">
              <w:t>insurer's</w:t>
            </w:r>
            <w:proofErr w:type="gramEnd"/>
            <w:r w:rsidRPr="00E92233">
              <w:t xml:space="preserve"> credit risk event</w:t>
            </w:r>
            <w:r w:rsidR="00354200" w:rsidRPr="00E92233">
              <w:t>.</w:t>
            </w:r>
          </w:p>
          <w:p w:rsidR="00C65992" w:rsidRPr="00C65992" w:rsidRDefault="00CD1FB4" w:rsidP="00C73AA7">
            <w:r w:rsidRPr="00E92233">
              <w:t>These events have the definitions</w:t>
            </w:r>
            <w:r w:rsidRPr="00CD1FB4">
              <w:t xml:space="preserve"> set out in Attachment 13 of this </w:t>
            </w:r>
            <w:r w:rsidR="00384DBA">
              <w:t>final</w:t>
            </w:r>
            <w:r w:rsidRPr="00CD1FB4">
              <w:t xml:space="preserve"> decision.</w:t>
            </w:r>
            <w:r w:rsidR="00C73AA7">
              <w:t xml:space="preserve"> [See also section 5 of the transmission determination]</w:t>
            </w:r>
          </w:p>
        </w:tc>
      </w:tr>
    </w:tbl>
    <w:p w:rsidR="00C65992" w:rsidRDefault="00C65992" w:rsidP="00C65992">
      <w:pPr>
        <w:pStyle w:val="Heading7"/>
      </w:pPr>
      <w:bookmarkStart w:id="107" w:name="_Toc456687670"/>
      <w:bookmarkStart w:id="108" w:name="_Toc480988375"/>
      <w:r>
        <w:lastRenderedPageBreak/>
        <w:t>List of submissions</w:t>
      </w:r>
      <w:bookmarkEnd w:id="107"/>
      <w:bookmarkEnd w:id="108"/>
    </w:p>
    <w:p w:rsidR="00C65992" w:rsidRPr="00B0562D" w:rsidRDefault="00C65992" w:rsidP="00B0562D">
      <w:r w:rsidRPr="00B0562D">
        <w:t xml:space="preserve">We received </w:t>
      </w:r>
      <w:r w:rsidR="00EB2CAF">
        <w:t>six</w:t>
      </w:r>
      <w:r w:rsidRPr="00B0562D">
        <w:t xml:space="preserve"> submissions in response to the AER's draft decision and AusNet Services' revised revenue proposal. These are listed below. </w:t>
      </w:r>
    </w:p>
    <w:tbl>
      <w:tblPr>
        <w:tblStyle w:val="AERtable-text0"/>
        <w:tblW w:w="0" w:type="auto"/>
        <w:tblLook w:val="04A0" w:firstRow="1" w:lastRow="0" w:firstColumn="1" w:lastColumn="0" w:noHBand="0" w:noVBand="1"/>
      </w:tblPr>
      <w:tblGrid>
        <w:gridCol w:w="5353"/>
        <w:gridCol w:w="3340"/>
      </w:tblGrid>
      <w:tr w:rsidR="00C65992" w:rsidRPr="00B93074" w:rsidTr="00F41B1C">
        <w:trPr>
          <w:cnfStyle w:val="100000000000" w:firstRow="1" w:lastRow="0" w:firstColumn="0" w:lastColumn="0" w:oddVBand="0" w:evenVBand="0" w:oddHBand="0" w:evenHBand="0" w:firstRowFirstColumn="0" w:firstRowLastColumn="0" w:lastRowFirstColumn="0" w:lastRowLastColumn="0"/>
        </w:trPr>
        <w:tc>
          <w:tcPr>
            <w:tcW w:w="5353" w:type="dxa"/>
          </w:tcPr>
          <w:p w:rsidR="00C65992" w:rsidRPr="00C65992" w:rsidRDefault="00C65992" w:rsidP="00C65992">
            <w:r w:rsidRPr="00B93074">
              <w:t>Submission from</w:t>
            </w:r>
          </w:p>
        </w:tc>
        <w:tc>
          <w:tcPr>
            <w:tcW w:w="3340" w:type="dxa"/>
          </w:tcPr>
          <w:p w:rsidR="00C65992" w:rsidRPr="00C65992" w:rsidRDefault="00C65992" w:rsidP="00C65992">
            <w:r w:rsidRPr="00B93074">
              <w:t>Date received</w:t>
            </w:r>
          </w:p>
        </w:tc>
      </w:tr>
      <w:tr w:rsidR="00C65992" w:rsidRPr="003E1795" w:rsidTr="00F41B1C">
        <w:tc>
          <w:tcPr>
            <w:tcW w:w="5353" w:type="dxa"/>
          </w:tcPr>
          <w:p w:rsidR="00C65992" w:rsidRPr="00C65992" w:rsidRDefault="00BF168A" w:rsidP="00C65992">
            <w:r>
              <w:t>Ararat Wind Farm</w:t>
            </w:r>
          </w:p>
        </w:tc>
        <w:tc>
          <w:tcPr>
            <w:tcW w:w="3340" w:type="dxa"/>
          </w:tcPr>
          <w:p w:rsidR="00C65992" w:rsidRPr="00C65992" w:rsidRDefault="00B0562D" w:rsidP="00C65992">
            <w:r>
              <w:t>15 September 2016</w:t>
            </w:r>
          </w:p>
        </w:tc>
      </w:tr>
      <w:tr w:rsidR="00C65992" w:rsidRPr="003E1795" w:rsidTr="00F41B1C">
        <w:trPr>
          <w:cnfStyle w:val="000000010000" w:firstRow="0" w:lastRow="0" w:firstColumn="0" w:lastColumn="0" w:oddVBand="0" w:evenVBand="0" w:oddHBand="0" w:evenHBand="1" w:firstRowFirstColumn="0" w:firstRowLastColumn="0" w:lastRowFirstColumn="0" w:lastRowLastColumn="0"/>
        </w:trPr>
        <w:tc>
          <w:tcPr>
            <w:tcW w:w="5353" w:type="dxa"/>
          </w:tcPr>
          <w:p w:rsidR="00C65992" w:rsidRPr="00C65992" w:rsidRDefault="00BF168A" w:rsidP="00B0562D">
            <w:r>
              <w:t>Consumer Challenge Panel</w:t>
            </w:r>
          </w:p>
        </w:tc>
        <w:tc>
          <w:tcPr>
            <w:tcW w:w="3340" w:type="dxa"/>
          </w:tcPr>
          <w:p w:rsidR="00C65992" w:rsidRPr="00C65992" w:rsidRDefault="00EB2CAF" w:rsidP="00C65992">
            <w:r>
              <w:t xml:space="preserve">21 </w:t>
            </w:r>
            <w:r w:rsidR="00B0562D">
              <w:t>September 2016</w:t>
            </w:r>
          </w:p>
        </w:tc>
      </w:tr>
      <w:tr w:rsidR="00EB2CAF" w:rsidRPr="003E1795" w:rsidTr="00F41B1C">
        <w:tc>
          <w:tcPr>
            <w:tcW w:w="5353" w:type="dxa"/>
          </w:tcPr>
          <w:p w:rsidR="00EB2CAF" w:rsidRPr="00EB2CAF" w:rsidRDefault="00EB2CAF" w:rsidP="00EB2CAF">
            <w:r>
              <w:t>Energy Safe Victoria</w:t>
            </w:r>
          </w:p>
        </w:tc>
        <w:tc>
          <w:tcPr>
            <w:tcW w:w="3340" w:type="dxa"/>
          </w:tcPr>
          <w:p w:rsidR="00EB2CAF" w:rsidRPr="00EB2CAF" w:rsidRDefault="00EB2CAF" w:rsidP="00EB2CAF">
            <w:r>
              <w:t>13 October 2016</w:t>
            </w:r>
          </w:p>
        </w:tc>
      </w:tr>
      <w:tr w:rsidR="00EB2CAF" w:rsidRPr="003E1795" w:rsidTr="00F41B1C">
        <w:trPr>
          <w:cnfStyle w:val="000000010000" w:firstRow="0" w:lastRow="0" w:firstColumn="0" w:lastColumn="0" w:oddVBand="0" w:evenVBand="0" w:oddHBand="0" w:evenHBand="1" w:firstRowFirstColumn="0" w:firstRowLastColumn="0" w:lastRowFirstColumn="0" w:lastRowLastColumn="0"/>
        </w:trPr>
        <w:tc>
          <w:tcPr>
            <w:tcW w:w="5353" w:type="dxa"/>
          </w:tcPr>
          <w:p w:rsidR="00EB2CAF" w:rsidRPr="00EB2CAF" w:rsidRDefault="00EB2CAF" w:rsidP="00EB2CAF">
            <w:r>
              <w:t>AusNet Services</w:t>
            </w:r>
          </w:p>
        </w:tc>
        <w:tc>
          <w:tcPr>
            <w:tcW w:w="3340" w:type="dxa"/>
          </w:tcPr>
          <w:p w:rsidR="00EB2CAF" w:rsidRPr="00EB2CAF" w:rsidRDefault="00EB2CAF" w:rsidP="00EB2CAF">
            <w:r>
              <w:t>19 October 2016</w:t>
            </w:r>
          </w:p>
        </w:tc>
      </w:tr>
      <w:tr w:rsidR="00EB2CAF" w:rsidRPr="003E1795" w:rsidTr="00F41B1C">
        <w:tc>
          <w:tcPr>
            <w:tcW w:w="5353" w:type="dxa"/>
          </w:tcPr>
          <w:p w:rsidR="00EB2CAF" w:rsidRPr="00EB2CAF" w:rsidRDefault="00EB2CAF" w:rsidP="00EB2CAF">
            <w:r>
              <w:t>Consumer Challenge Panel</w:t>
            </w:r>
          </w:p>
        </w:tc>
        <w:tc>
          <w:tcPr>
            <w:tcW w:w="3340" w:type="dxa"/>
          </w:tcPr>
          <w:p w:rsidR="00EB2CAF" w:rsidRPr="00EB2CAF" w:rsidRDefault="00EB2CAF" w:rsidP="00EB2CAF">
            <w:r>
              <w:t xml:space="preserve">19 </w:t>
            </w:r>
            <w:r w:rsidRPr="00EB2CAF">
              <w:t>October 2016</w:t>
            </w:r>
          </w:p>
        </w:tc>
      </w:tr>
      <w:tr w:rsidR="00EB2CAF" w:rsidRPr="006F3D43" w:rsidTr="00F41B1C">
        <w:trPr>
          <w:cnfStyle w:val="000000010000" w:firstRow="0" w:lastRow="0" w:firstColumn="0" w:lastColumn="0" w:oddVBand="0" w:evenVBand="0" w:oddHBand="0" w:evenHBand="1" w:firstRowFirstColumn="0" w:firstRowLastColumn="0" w:lastRowFirstColumn="0" w:lastRowLastColumn="0"/>
        </w:trPr>
        <w:tc>
          <w:tcPr>
            <w:tcW w:w="5353" w:type="dxa"/>
          </w:tcPr>
          <w:p w:rsidR="00EB2CAF" w:rsidRDefault="00EB2CAF" w:rsidP="00EB2CAF">
            <w:r>
              <w:t>AusNet Services</w:t>
            </w:r>
          </w:p>
        </w:tc>
        <w:tc>
          <w:tcPr>
            <w:tcW w:w="3340" w:type="dxa"/>
          </w:tcPr>
          <w:p w:rsidR="00EB2CAF" w:rsidRPr="00EB2CAF" w:rsidRDefault="00EB2CAF" w:rsidP="00EB2CAF">
            <w:r>
              <w:t>20 December 2016</w:t>
            </w:r>
          </w:p>
        </w:tc>
      </w:tr>
    </w:tbl>
    <w:p w:rsidR="005D76FB" w:rsidRPr="00186391" w:rsidRDefault="005D76FB" w:rsidP="00F41B1C"/>
    <w:sectPr w:rsidR="005D76FB" w:rsidRPr="00186391" w:rsidSect="00AC02B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5A" w:rsidRPr="00290C63" w:rsidRDefault="00C5075A" w:rsidP="00290C63">
      <w:r>
        <w:separator/>
      </w:r>
    </w:p>
    <w:p w:rsidR="00C5075A" w:rsidRDefault="00C5075A"/>
  </w:endnote>
  <w:endnote w:type="continuationSeparator" w:id="0">
    <w:p w:rsidR="00C5075A" w:rsidRPr="00290C63" w:rsidRDefault="00C5075A" w:rsidP="00290C63">
      <w:r>
        <w:continuationSeparator/>
      </w:r>
    </w:p>
    <w:p w:rsidR="00C5075A" w:rsidRDefault="00C50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5A" w:rsidRPr="00290C63" w:rsidRDefault="00C5075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867A0E">
      <w:rPr>
        <w:rStyle w:val="PageNumber"/>
        <w:noProof/>
      </w:rPr>
      <w:t>1-45</w:t>
    </w:r>
    <w:r w:rsidRPr="00290C63">
      <w:rPr>
        <w:rStyle w:val="PageNumber"/>
      </w:rPr>
      <w:fldChar w:fldCharType="end"/>
    </w:r>
    <w:r w:rsidRPr="00290C63">
      <w:rPr>
        <w:rStyle w:val="PageNumber"/>
      </w:rPr>
      <w:tab/>
      <w:t>Xxx report—month/year</w:t>
    </w:r>
  </w:p>
  <w:p w:rsidR="00C5075A" w:rsidRDefault="00C5075A"/>
  <w:p w:rsidR="00C5075A" w:rsidRDefault="00C5075A"/>
  <w:p w:rsidR="00C5075A" w:rsidRDefault="00C5075A"/>
  <w:p w:rsidR="00C5075A" w:rsidRDefault="00C5075A"/>
  <w:p w:rsidR="00C5075A" w:rsidRDefault="00C5075A"/>
  <w:p w:rsidR="00C5075A" w:rsidRDefault="00C5075A"/>
  <w:p w:rsidR="00C5075A" w:rsidRDefault="00C507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C5075A" w:rsidRDefault="00C5075A">
        <w:pPr>
          <w:pStyle w:val="Footer"/>
        </w:pPr>
        <w:r>
          <w:fldChar w:fldCharType="begin"/>
        </w:r>
        <w:r>
          <w:instrText xml:space="preserve"> PAGE   \* MERGEFORMAT </w:instrText>
        </w:r>
        <w:r>
          <w:fldChar w:fldCharType="separate"/>
        </w:r>
        <w:r w:rsidR="00504B86">
          <w:rPr>
            <w:noProof/>
          </w:rPr>
          <w:t>1-0</w:t>
        </w:r>
        <w:r>
          <w:rPr>
            <w:noProof/>
          </w:rPr>
          <w:fldChar w:fldCharType="end"/>
        </w:r>
        <w:r>
          <w:rPr>
            <w:noProof/>
          </w:rPr>
          <w:t xml:space="preserve">          </w:t>
        </w:r>
        <w:r>
          <w:rPr>
            <w:noProof/>
            <w:sz w:val="16"/>
            <w:szCs w:val="16"/>
          </w:rPr>
          <w:t>Overview</w:t>
        </w:r>
        <w:r w:rsidRPr="00FD5E78">
          <w:rPr>
            <w:rFonts w:cs="Gautami"/>
            <w:noProof/>
            <w:sz w:val="16"/>
            <w:szCs w:val="16"/>
          </w:rPr>
          <w:t xml:space="preserve"> | </w:t>
        </w:r>
        <w:r>
          <w:t>Final</w:t>
        </w:r>
        <w:r w:rsidRPr="00FD5E78">
          <w:rPr>
            <w:rFonts w:cs="Gautami"/>
            <w:noProof/>
            <w:sz w:val="16"/>
            <w:szCs w:val="16"/>
          </w:rPr>
          <w:t xml:space="preserve"> decision</w:t>
        </w:r>
        <w:r>
          <w:rPr>
            <w:rFonts w:cs="Gautami"/>
            <w:noProof/>
            <w:sz w:val="16"/>
            <w:szCs w:val="16"/>
          </w:rPr>
          <w:t>:</w:t>
        </w:r>
        <w:r w:rsidRPr="00FD5E78">
          <w:rPr>
            <w:rFonts w:cs="Gautami"/>
            <w:noProof/>
            <w:sz w:val="16"/>
            <w:szCs w:val="16"/>
          </w:rPr>
          <w:t xml:space="preserve"> </w:t>
        </w:r>
        <w:r>
          <w:rPr>
            <w:rFonts w:cs="Gautami"/>
            <w:noProof/>
            <w:sz w:val="16"/>
            <w:szCs w:val="16"/>
          </w:rPr>
          <w:t>AusNet Serices</w:t>
        </w:r>
        <w:r w:rsidRPr="00FD5E78">
          <w:rPr>
            <w:sz w:val="16"/>
            <w:szCs w:val="16"/>
          </w:rPr>
          <w:t xml:space="preserve"> transmission</w:t>
        </w:r>
        <w:r w:rsidRPr="00FD5E78">
          <w:rPr>
            <w:rFonts w:cs="Gautami"/>
            <w:noProof/>
            <w:sz w:val="16"/>
            <w:szCs w:val="16"/>
          </w:rPr>
          <w:t xml:space="preserve"> determination 201</w:t>
        </w:r>
        <w:r>
          <w:rPr>
            <w:rFonts w:cs="Gautami"/>
            <w:noProof/>
            <w:sz w:val="16"/>
            <w:szCs w:val="16"/>
          </w:rPr>
          <w:t>7</w:t>
        </w:r>
        <w:r w:rsidRPr="00FD5E78">
          <w:rPr>
            <w:rFonts w:cs="Gautami"/>
            <w:noProof/>
            <w:sz w:val="16"/>
            <w:szCs w:val="16"/>
          </w:rPr>
          <w:t>–</w:t>
        </w:r>
        <w:r>
          <w:rPr>
            <w:rFonts w:cs="Gautami"/>
            <w:noProof/>
            <w:sz w:val="16"/>
            <w:szCs w:val="16"/>
          </w:rPr>
          <w:t>22</w:t>
        </w:r>
      </w:p>
    </w:sdtContent>
  </w:sdt>
  <w:p w:rsidR="00C5075A" w:rsidRDefault="00C507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5A" w:rsidRPr="00290C63" w:rsidRDefault="00C5075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867A0E">
      <w:rPr>
        <w:noProof/>
      </w:rPr>
      <w:t>1-45</w:t>
    </w:r>
    <w:r w:rsidRPr="00290C63">
      <w:fldChar w:fldCharType="end"/>
    </w:r>
  </w:p>
  <w:p w:rsidR="00C5075A" w:rsidRDefault="00C5075A">
    <w:pPr>
      <w:pStyle w:val="Footer"/>
    </w:pPr>
  </w:p>
  <w:p w:rsidR="00C5075A" w:rsidRDefault="00C5075A"/>
  <w:p w:rsidR="00C5075A" w:rsidRDefault="00C5075A"/>
  <w:p w:rsidR="00C5075A" w:rsidRDefault="00C5075A"/>
  <w:p w:rsidR="00C5075A" w:rsidRDefault="00C5075A"/>
  <w:p w:rsidR="00C5075A" w:rsidRDefault="00C5075A"/>
  <w:p w:rsidR="00C5075A" w:rsidRDefault="00C5075A"/>
  <w:p w:rsidR="00C5075A" w:rsidRDefault="00C507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5A" w:rsidRPr="00290C63" w:rsidRDefault="00C5075A" w:rsidP="00290C63">
      <w:r>
        <w:separator/>
      </w:r>
    </w:p>
    <w:p w:rsidR="00C5075A" w:rsidRDefault="00C5075A"/>
  </w:footnote>
  <w:footnote w:type="continuationSeparator" w:id="0">
    <w:p w:rsidR="00C5075A" w:rsidRPr="00290C63" w:rsidRDefault="00C5075A" w:rsidP="00290C63">
      <w:r>
        <w:continuationSeparator/>
      </w:r>
    </w:p>
    <w:p w:rsidR="00C5075A" w:rsidRDefault="00C5075A"/>
  </w:footnote>
  <w:footnote w:id="1">
    <w:p w:rsidR="00C5075A" w:rsidRDefault="00C5075A" w:rsidP="00E93906">
      <w:pPr>
        <w:pStyle w:val="FootnoteText"/>
      </w:pPr>
      <w:r>
        <w:rPr>
          <w:rStyle w:val="FootnoteReference"/>
        </w:rPr>
        <w:footnoteRef/>
      </w:r>
      <w:r>
        <w:t xml:space="preserve"> </w:t>
      </w:r>
      <w:r>
        <w:tab/>
      </w:r>
      <w:proofErr w:type="gramStart"/>
      <w:r>
        <w:t>NEL, s. 7.</w:t>
      </w:r>
      <w:proofErr w:type="gramEnd"/>
      <w:r>
        <w:t xml:space="preserve"> </w:t>
      </w:r>
    </w:p>
  </w:footnote>
  <w:footnote w:id="2">
    <w:p w:rsidR="00C5075A" w:rsidRDefault="00C5075A" w:rsidP="00DF009B">
      <w:pPr>
        <w:pStyle w:val="FootnoteText"/>
      </w:pPr>
      <w:r>
        <w:rPr>
          <w:rStyle w:val="FootnoteReference"/>
        </w:rPr>
        <w:footnoteRef/>
      </w:r>
      <w:r>
        <w:t xml:space="preserve"> </w:t>
      </w:r>
      <w:r>
        <w:tab/>
        <w:t>Ausnet Services, Determining electricity transmission revenue (</w:t>
      </w:r>
      <w:hyperlink r:id="rId1" w:history="1">
        <w:r w:rsidRPr="003A3247">
          <w:rPr>
            <w:rStyle w:val="Hyperlink"/>
            <w:sz w:val="16"/>
          </w:rPr>
          <w:t>http://www.ausnetservices.com.au/Electricity/Determining+Revenues/Transmission+Network.html</w:t>
        </w:r>
      </w:hyperlink>
      <w:r>
        <w:t xml:space="preserve">), </w:t>
      </w:r>
      <w:proofErr w:type="gramStart"/>
      <w:r>
        <w:t>Accessed</w:t>
      </w:r>
      <w:proofErr w:type="gramEnd"/>
      <w:r>
        <w:t xml:space="preserve"> online 19 May 2016.  </w:t>
      </w:r>
    </w:p>
  </w:footnote>
  <w:footnote w:id="3">
    <w:p w:rsidR="00C5075A" w:rsidRDefault="00C5075A" w:rsidP="00DF009B">
      <w:pPr>
        <w:pStyle w:val="FootnoteText"/>
      </w:pPr>
      <w:r>
        <w:rPr>
          <w:rStyle w:val="FootnoteReference"/>
        </w:rPr>
        <w:footnoteRef/>
      </w:r>
      <w:r>
        <w:t xml:space="preserve"> </w:t>
      </w:r>
      <w:r>
        <w:tab/>
        <w:t>The comparison of average annual revenues between the 2017–22 and 2014–17 regulatory control periods is based on smoothed revenues. In nominal dollar terms, our final decision average annual revenues for the 2017–22 regulatory control period is about $14.9 million (or 2.8 per cent) higher than the average annual revenues approved for the 2014–17 regulatory control period.</w:t>
      </w:r>
    </w:p>
  </w:footnote>
  <w:footnote w:id="4">
    <w:p w:rsidR="00C5075A" w:rsidRDefault="00C5075A" w:rsidP="000A6E0D">
      <w:pPr>
        <w:pStyle w:val="FootnoteText"/>
      </w:pPr>
      <w:r>
        <w:rPr>
          <w:rStyle w:val="FootnoteReference"/>
        </w:rPr>
        <w:footnoteRef/>
      </w:r>
      <w:r>
        <w:t xml:space="preserve"> </w:t>
      </w:r>
      <w:r>
        <w:tab/>
      </w:r>
      <w:r w:rsidRPr="00DD615F">
        <w:t xml:space="preserve">AusNet Services, </w:t>
      </w:r>
      <w:r w:rsidRPr="00B25B20">
        <w:rPr>
          <w:rStyle w:val="Emphasis"/>
        </w:rPr>
        <w:t>Submission on revised proposal</w:t>
      </w:r>
      <w:r w:rsidRPr="00DD615F">
        <w:t>, 20 December 2016</w:t>
      </w:r>
      <w:r>
        <w:t>.</w:t>
      </w:r>
    </w:p>
  </w:footnote>
  <w:footnote w:id="5">
    <w:p w:rsidR="00C5075A" w:rsidRDefault="00C5075A" w:rsidP="00B24B9A">
      <w:pPr>
        <w:pStyle w:val="FootnoteText"/>
      </w:pPr>
      <w:r>
        <w:rPr>
          <w:rStyle w:val="FootnoteReference"/>
        </w:rPr>
        <w:footnoteRef/>
      </w:r>
      <w:r>
        <w:t xml:space="preserve"> </w:t>
      </w:r>
      <w:r>
        <w:tab/>
      </w:r>
      <w:r w:rsidRPr="00373109">
        <w:t>It also assumes that actual energy demand will equal the forecast in our</w:t>
      </w:r>
      <w:r>
        <w:t xml:space="preserve"> final</w:t>
      </w:r>
      <w:r w:rsidRPr="00373109">
        <w:t xml:space="preserve"> decision. Since </w:t>
      </w:r>
      <w:r>
        <w:t xml:space="preserve">AusNet Services operates under a revenue cap, </w:t>
      </w:r>
      <w:r w:rsidRPr="00373109">
        <w:t>changes in demand will also affect annual electricity bills across the 201</w:t>
      </w:r>
      <w:r>
        <w:t>7</w:t>
      </w:r>
      <w:r w:rsidRPr="00373109">
        <w:t>–2</w:t>
      </w:r>
      <w:r>
        <w:t>2</w:t>
      </w:r>
      <w:r w:rsidRPr="00373109">
        <w:t xml:space="preserve"> regulatory control </w:t>
      </w:r>
      <w:proofErr w:type="gramStart"/>
      <w:r w:rsidRPr="00373109">
        <w:t>period</w:t>
      </w:r>
      <w:proofErr w:type="gramEnd"/>
      <w:r w:rsidRPr="00373109">
        <w:t>.</w:t>
      </w:r>
    </w:p>
  </w:footnote>
  <w:footnote w:id="6">
    <w:p w:rsidR="00C5075A" w:rsidRDefault="00C5075A" w:rsidP="003D4CE9">
      <w:pPr>
        <w:pStyle w:val="FootnoteText"/>
      </w:pPr>
      <w:r>
        <w:rPr>
          <w:rStyle w:val="FootnoteReference"/>
        </w:rPr>
        <w:footnoteRef/>
      </w:r>
      <w:r>
        <w:t xml:space="preserve"> </w:t>
      </w:r>
      <w:r>
        <w:tab/>
        <w:t xml:space="preserve">AEMC, </w:t>
      </w:r>
      <w:r w:rsidRPr="002B7CE3">
        <w:rPr>
          <w:rStyle w:val="AERtextitalic"/>
        </w:rPr>
        <w:t>2016 Residential Electricity Price Trends: Final Report – Victoria</w:t>
      </w:r>
      <w:r>
        <w:t>, December 2016, p. 3.</w:t>
      </w:r>
    </w:p>
  </w:footnote>
  <w:footnote w:id="7">
    <w:p w:rsidR="00C5075A" w:rsidRDefault="00C5075A" w:rsidP="000761E4">
      <w:pPr>
        <w:pStyle w:val="FootnoteText"/>
      </w:pPr>
      <w:r>
        <w:rPr>
          <w:rStyle w:val="FootnoteReference"/>
        </w:rPr>
        <w:footnoteRef/>
      </w:r>
      <w:r>
        <w:t xml:space="preserve"> </w:t>
      </w:r>
      <w:r>
        <w:tab/>
      </w:r>
      <w:proofErr w:type="gramStart"/>
      <w:r>
        <w:t>NER, cl. 6A.6.1.</w:t>
      </w:r>
      <w:proofErr w:type="gramEnd"/>
    </w:p>
  </w:footnote>
  <w:footnote w:id="8">
    <w:p w:rsidR="00C5075A" w:rsidRDefault="00C5075A" w:rsidP="000761E4">
      <w:pPr>
        <w:pStyle w:val="FootnoteText"/>
      </w:pPr>
      <w:r>
        <w:rPr>
          <w:rStyle w:val="FootnoteReference"/>
        </w:rPr>
        <w:footnoteRef/>
      </w:r>
      <w:r>
        <w:t xml:space="preserve"> </w:t>
      </w:r>
      <w:r>
        <w:tab/>
      </w:r>
      <w:r w:rsidRPr="00321D05">
        <w:t xml:space="preserve">The size of the </w:t>
      </w:r>
      <w:r>
        <w:t>RAB</w:t>
      </w:r>
      <w:r w:rsidRPr="00321D05">
        <w:t xml:space="preserve"> also impacts the benchmark debt raising cost allowance. However, this amount is usually relatively small and therefore not a significant determinant of revenues overall.</w:t>
      </w:r>
    </w:p>
  </w:footnote>
  <w:footnote w:id="9">
    <w:p w:rsidR="00C5075A" w:rsidRDefault="00C5075A" w:rsidP="00A024A7">
      <w:pPr>
        <w:pStyle w:val="FootnoteText"/>
      </w:pPr>
      <w:r>
        <w:rPr>
          <w:rStyle w:val="FootnoteReference"/>
        </w:rPr>
        <w:footnoteRef/>
      </w:r>
      <w:r>
        <w:t xml:space="preserve"> </w:t>
      </w:r>
      <w:r>
        <w:tab/>
      </w:r>
      <w:r w:rsidRPr="000B1C0F">
        <w:t>The end of period adjustment will be positive (negative) if actual capex is higher (lower) than the estimate approved at the 201</w:t>
      </w:r>
      <w:r>
        <w:t>4</w:t>
      </w:r>
      <w:r w:rsidRPr="000B1C0F">
        <w:t>–1</w:t>
      </w:r>
      <w:r>
        <w:t>7</w:t>
      </w:r>
      <w:r w:rsidRPr="000B1C0F">
        <w:t xml:space="preserve"> determination.</w:t>
      </w:r>
    </w:p>
  </w:footnote>
  <w:footnote w:id="10">
    <w:p w:rsidR="00C5075A" w:rsidRDefault="00C5075A" w:rsidP="00A024A7">
      <w:pPr>
        <w:pStyle w:val="FootnoteText"/>
      </w:pPr>
      <w:r>
        <w:rPr>
          <w:rStyle w:val="FootnoteReference"/>
        </w:rPr>
        <w:footnoteRef/>
      </w:r>
      <w:r>
        <w:t xml:space="preserve"> </w:t>
      </w:r>
      <w:r>
        <w:tab/>
        <w:t xml:space="preserve">During a regulatory control period, AEMO or a distribution business may request AusNet Services to provide augmentations to the transmission network or distribution connection services. While the assets constructed due to these requests provide prescribed transmission services, the forecast capex associated with these assets sit outside of the revenue determination. This is because AusNet Services is not responsible for the planning of these capex. AusNet Services and AEMO refer to the assets that provide these services as ‘Group 3’ assets. Group 3 assets sit outside of the RAB and are governed by commercial contracts until such time as they are rolled into the RAB, usually at the next revenue reset. See: AusNet Services, </w:t>
      </w:r>
      <w:r w:rsidRPr="005D18BF">
        <w:rPr>
          <w:rStyle w:val="AERtextitalic"/>
        </w:rPr>
        <w:t>Revenue proposal</w:t>
      </w:r>
      <w:r>
        <w:t>, October 2015, p. 23.</w:t>
      </w:r>
    </w:p>
  </w:footnote>
  <w:footnote w:id="11">
    <w:p w:rsidR="00C5075A" w:rsidRDefault="00C5075A" w:rsidP="00A024A7">
      <w:pPr>
        <w:pStyle w:val="FootnoteText"/>
      </w:pPr>
      <w:r>
        <w:rPr>
          <w:rStyle w:val="FootnoteReference"/>
        </w:rPr>
        <w:footnoteRef/>
      </w:r>
      <w:r>
        <w:t xml:space="preserve"> </w:t>
      </w:r>
      <w:r>
        <w:tab/>
        <w:t xml:space="preserve">As noted above, this adjustment includes estimated expenditure where actual expenditure is not yet known; so there is an additional true-up required at the next revenue determination. </w:t>
      </w:r>
    </w:p>
  </w:footnote>
  <w:footnote w:id="12">
    <w:p w:rsidR="00C5075A" w:rsidRDefault="00C5075A">
      <w:pPr>
        <w:pStyle w:val="FootnoteText"/>
      </w:pPr>
      <w:r>
        <w:rPr>
          <w:rStyle w:val="FootnoteReference"/>
        </w:rPr>
        <w:footnoteRef/>
      </w:r>
      <w:r>
        <w:t xml:space="preserve"> </w:t>
      </w:r>
      <w:r>
        <w:tab/>
        <w:t>The inflation on the opening RAB is removed from the regulatory depreciation allowance. See section 3.4 and attachment 5 for further details.</w:t>
      </w:r>
    </w:p>
  </w:footnote>
  <w:footnote w:id="13">
    <w:p w:rsidR="00C5075A" w:rsidRDefault="00C5075A" w:rsidP="00A024A7">
      <w:pPr>
        <w:pStyle w:val="FootnoteText"/>
      </w:pPr>
      <w:r>
        <w:rPr>
          <w:rStyle w:val="FootnoteReference"/>
        </w:rPr>
        <w:footnoteRef/>
      </w:r>
      <w:r>
        <w:t xml:space="preserve"> </w:t>
      </w:r>
      <w:r>
        <w:tab/>
      </w:r>
      <w:r w:rsidRPr="005954CE">
        <w:t>NER, c</w:t>
      </w:r>
      <w:r>
        <w:t>l</w:t>
      </w:r>
      <w:r w:rsidRPr="005954CE">
        <w:t xml:space="preserve">. </w:t>
      </w:r>
      <w:proofErr w:type="gramStart"/>
      <w:r w:rsidRPr="005954CE">
        <w:t>S6A.2.2B(</w:t>
      </w:r>
      <w:proofErr w:type="gramEnd"/>
      <w:r w:rsidRPr="005954CE">
        <w:t>a).</w:t>
      </w:r>
    </w:p>
  </w:footnote>
  <w:footnote w:id="14">
    <w:p w:rsidR="00C5075A" w:rsidRDefault="00C5075A" w:rsidP="00CD319A">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867A0E">
        <w:rPr>
          <w:b/>
          <w:bCs/>
          <w:lang w:val="en-US"/>
        </w:rPr>
        <w:t>Error! Reference source not found.</w:t>
      </w:r>
      <w:r>
        <w:fldChar w:fldCharType="end"/>
      </w:r>
      <w:r>
        <w:t>.</w:t>
      </w:r>
    </w:p>
  </w:footnote>
  <w:footnote w:id="15">
    <w:p w:rsidR="00C5075A" w:rsidRDefault="00C5075A" w:rsidP="00CD319A">
      <w:pPr>
        <w:pStyle w:val="FootnoteText"/>
      </w:pPr>
      <w:r>
        <w:rPr>
          <w:rStyle w:val="FootnoteReference"/>
        </w:rPr>
        <w:footnoteRef/>
      </w:r>
      <w:r>
        <w:t xml:space="preserve"> </w:t>
      </w:r>
      <w:r>
        <w:tab/>
        <w:t>Post-tax refers to after company tax and before personal tax.</w:t>
      </w:r>
    </w:p>
  </w:footnote>
  <w:footnote w:id="16">
    <w:p w:rsidR="00C5075A" w:rsidRDefault="00C5075A" w:rsidP="00CD319A">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7">
    <w:p w:rsidR="00C5075A" w:rsidRDefault="00C5075A" w:rsidP="00CD319A">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w:t>
      </w:r>
      <w:proofErr w:type="spellStart"/>
      <w:r w:rsidRPr="005A04E5">
        <w:t>Pinder</w:t>
      </w:r>
      <w:proofErr w:type="spellEnd"/>
      <w:r w:rsidRPr="005A04E5">
        <w:t xml:space="preserve">,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8">
    <w:p w:rsidR="00C5075A" w:rsidRDefault="00C5075A" w:rsidP="00CD319A">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867A0E">
        <w:rPr>
          <w:b/>
          <w:bCs/>
          <w:lang w:val="en-US"/>
        </w:rPr>
        <w:t>Error! Reference source not found.</w:t>
      </w:r>
      <w:r>
        <w:fldChar w:fldCharType="end"/>
      </w:r>
      <w:r>
        <w:t>.</w:t>
      </w:r>
    </w:p>
  </w:footnote>
  <w:footnote w:id="19">
    <w:p w:rsidR="00C5075A" w:rsidRDefault="00C5075A" w:rsidP="00532028">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20">
    <w:p w:rsidR="00C5075A" w:rsidRDefault="00C5075A" w:rsidP="00EB6AA6">
      <w:pPr>
        <w:pStyle w:val="FootnoteText"/>
      </w:pPr>
      <w:r>
        <w:rPr>
          <w:rStyle w:val="FootnoteReference"/>
        </w:rPr>
        <w:footnoteRef/>
      </w:r>
      <w:r>
        <w:t xml:space="preserve"> </w:t>
      </w:r>
      <w:r>
        <w:tab/>
      </w:r>
      <w:proofErr w:type="gramStart"/>
      <w:r w:rsidRPr="00ED18ED">
        <w:t>NER, cll.</w:t>
      </w:r>
      <w:proofErr w:type="gramEnd"/>
      <w:r w:rsidRPr="00ED18ED">
        <w:t xml:space="preserve"> </w:t>
      </w:r>
      <w:proofErr w:type="gramStart"/>
      <w:r w:rsidRPr="00ED18ED">
        <w:t>6A.5.4(</w:t>
      </w:r>
      <w:proofErr w:type="gramEnd"/>
      <w:r w:rsidRPr="00ED18ED">
        <w:t>a)(1) and (3).</w:t>
      </w:r>
    </w:p>
  </w:footnote>
  <w:footnote w:id="21">
    <w:p w:rsidR="00C5075A" w:rsidRDefault="00C5075A" w:rsidP="005E726D">
      <w:pPr>
        <w:pStyle w:val="FootnoteText"/>
      </w:pPr>
      <w:r>
        <w:rPr>
          <w:rStyle w:val="FootnoteReference"/>
        </w:rPr>
        <w:footnoteRef/>
      </w:r>
      <w:r>
        <w:t xml:space="preserve"> </w:t>
      </w:r>
      <w:r>
        <w:tab/>
        <w:t xml:space="preserve">Excludes debt raising costs; </w:t>
      </w:r>
      <w:r w:rsidRPr="00124805">
        <w:t xml:space="preserve">AusNet Services, </w:t>
      </w:r>
      <w:r w:rsidRPr="00124805">
        <w:rPr>
          <w:rStyle w:val="AERtextitalic"/>
        </w:rPr>
        <w:t>Revised revenue proposal: 2017–22 Opex model, 21 September 2016</w:t>
      </w:r>
      <w:r w:rsidRPr="00124805">
        <w:t>.</w:t>
      </w:r>
    </w:p>
  </w:footnote>
  <w:footnote w:id="22">
    <w:p w:rsidR="00C5075A" w:rsidRDefault="00C5075A" w:rsidP="005E726D">
      <w:pPr>
        <w:pStyle w:val="FootnoteText"/>
      </w:pPr>
      <w:r>
        <w:rPr>
          <w:rStyle w:val="FootnoteReference"/>
        </w:rPr>
        <w:footnoteRef/>
      </w:r>
      <w:r>
        <w:t xml:space="preserve"> </w:t>
      </w:r>
      <w:r>
        <w:tab/>
      </w:r>
      <w:proofErr w:type="gramStart"/>
      <w:r w:rsidRPr="00DD615F">
        <w:t xml:space="preserve">AusNet Services, </w:t>
      </w:r>
      <w:r w:rsidRPr="00F97D39">
        <w:rPr>
          <w:rStyle w:val="Emphasis"/>
        </w:rPr>
        <w:t>Submission on revised proposal</w:t>
      </w:r>
      <w:r w:rsidRPr="00DD615F">
        <w:t>, 20 December 2016</w:t>
      </w:r>
      <w:r>
        <w:t>, p. 4.</w:t>
      </w:r>
      <w:proofErr w:type="gramEnd"/>
    </w:p>
  </w:footnote>
  <w:footnote w:id="23">
    <w:p w:rsidR="00C5075A" w:rsidRDefault="00C5075A" w:rsidP="005E726D">
      <w:pPr>
        <w:pStyle w:val="FootnoteText"/>
      </w:pPr>
      <w:r>
        <w:rPr>
          <w:rStyle w:val="FootnoteReference"/>
        </w:rPr>
        <w:footnoteRef/>
      </w:r>
      <w:r>
        <w:t xml:space="preserve"> </w:t>
      </w:r>
      <w:r>
        <w:tab/>
      </w:r>
      <w:r w:rsidRPr="00807A57">
        <w:t>We include a category specific forecast for easement land tax because AusNet Services is entitled to apply for a 'cost pass through' where our forecast differs (higher or lower) from the actual tax paid. To apply this pass through we need an explicit forecast of easement land tax costs. This is explained in section 7.5.3</w:t>
      </w:r>
      <w:r>
        <w:t>.2</w:t>
      </w:r>
      <w:r w:rsidRPr="00807A57">
        <w:t>.</w:t>
      </w:r>
    </w:p>
  </w:footnote>
  <w:footnote w:id="24">
    <w:p w:rsidR="00C5075A" w:rsidRDefault="00C5075A" w:rsidP="00275530">
      <w:pPr>
        <w:pStyle w:val="FootnoteText"/>
      </w:pPr>
      <w:r>
        <w:rPr>
          <w:rStyle w:val="FootnoteReference"/>
        </w:rPr>
        <w:footnoteRef/>
      </w:r>
      <w:r>
        <w:t xml:space="preserve"> </w:t>
      </w:r>
      <w:r>
        <w:tab/>
      </w:r>
      <w:r w:rsidRPr="009F73F3">
        <w:t>The service provider keeps any efficiency gains in the year it makes them. The service provider then keeps those gains for the length of the carryover period. The carryover length is usually five years so the service provider keeps efficiency gains for a total of six years.</w:t>
      </w:r>
    </w:p>
  </w:footnote>
  <w:footnote w:id="25">
    <w:p w:rsidR="00C5075A" w:rsidRDefault="00C5075A" w:rsidP="00DE714B">
      <w:pPr>
        <w:pStyle w:val="FootnoteText"/>
      </w:pPr>
      <w:r>
        <w:rPr>
          <w:rStyle w:val="FootnoteReference"/>
        </w:rPr>
        <w:footnoteRef/>
      </w:r>
      <w:r>
        <w:t xml:space="preserve"> </w:t>
      </w:r>
      <w:r>
        <w:tab/>
      </w:r>
      <w:proofErr w:type="gramStart"/>
      <w:r w:rsidRPr="008376B1">
        <w:t xml:space="preserve">AER, </w:t>
      </w:r>
      <w:r w:rsidRPr="008376B1">
        <w:rPr>
          <w:rStyle w:val="AERtextitalic"/>
        </w:rPr>
        <w:t>Electricity transmission network service providers' - Efficiency benefit sharing scheme</w:t>
      </w:r>
      <w:r w:rsidRPr="008376B1">
        <w:t>, September 2007.</w:t>
      </w:r>
      <w:proofErr w:type="gramEnd"/>
    </w:p>
  </w:footnote>
  <w:footnote w:id="26">
    <w:p w:rsidR="00C5075A" w:rsidRDefault="00C5075A" w:rsidP="00DE714B">
      <w:pPr>
        <w:pStyle w:val="FootnoteText"/>
      </w:pPr>
      <w:r>
        <w:rPr>
          <w:rStyle w:val="FootnoteReference"/>
        </w:rPr>
        <w:footnoteRef/>
      </w:r>
      <w:r>
        <w:t xml:space="preserve"> </w:t>
      </w:r>
      <w:r>
        <w:tab/>
        <w:t xml:space="preserve">AusNet </w:t>
      </w:r>
      <w:proofErr w:type="gramStart"/>
      <w:r>
        <w:t>Services,</w:t>
      </w:r>
      <w:proofErr w:type="gramEnd"/>
      <w:r>
        <w:t xml:space="preserve"> </w:t>
      </w:r>
      <w:r w:rsidRPr="006C3141">
        <w:rPr>
          <w:rStyle w:val="Emphasis"/>
        </w:rPr>
        <w:t>Revised regulatory proposal</w:t>
      </w:r>
      <w:r>
        <w:t>, 21 September 2016, p. 221.</w:t>
      </w:r>
    </w:p>
  </w:footnote>
  <w:footnote w:id="27">
    <w:p w:rsidR="00C5075A" w:rsidRDefault="00C5075A" w:rsidP="00DE714B">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28">
    <w:p w:rsidR="00C5075A" w:rsidRDefault="00C5075A" w:rsidP="00DE714B">
      <w:pPr>
        <w:pStyle w:val="FootnoteText"/>
      </w:pPr>
      <w:r>
        <w:rPr>
          <w:rStyle w:val="FootnoteReference"/>
        </w:rPr>
        <w:footnoteRef/>
      </w:r>
      <w:r>
        <w:t xml:space="preserve"> </w:t>
      </w:r>
      <w:r>
        <w:tab/>
      </w:r>
      <w:proofErr w:type="gramStart"/>
      <w:r>
        <w:t>E</w:t>
      </w:r>
      <w:r w:rsidRPr="00FA45F7">
        <w:t xml:space="preserve">asement land tax </w:t>
      </w:r>
      <w:r>
        <w:t>and debt raising costs.</w:t>
      </w:r>
      <w:proofErr w:type="gramEnd"/>
      <w:r>
        <w:t xml:space="preserve"> </w:t>
      </w:r>
    </w:p>
  </w:footnote>
  <w:footnote w:id="29">
    <w:p w:rsidR="00C5075A" w:rsidRDefault="00C5075A">
      <w:pPr>
        <w:pStyle w:val="FootnoteText"/>
      </w:pPr>
      <w:r>
        <w:rPr>
          <w:rStyle w:val="FootnoteReference"/>
        </w:rPr>
        <w:footnoteRef/>
      </w:r>
      <w:r>
        <w:t xml:space="preserve"> </w:t>
      </w:r>
      <w:r>
        <w:tab/>
      </w:r>
      <w:r w:rsidRPr="00782377">
        <w:t xml:space="preserve">NER, cl. </w:t>
      </w:r>
      <w:proofErr w:type="gramStart"/>
      <w:r w:rsidRPr="00782377">
        <w:t>6A.14.1(</w:t>
      </w:r>
      <w:proofErr w:type="gramEnd"/>
      <w:r w:rsidRPr="00782377">
        <w:t xml:space="preserve">5A). </w:t>
      </w:r>
      <w:proofErr w:type="gramStart"/>
      <w:r w:rsidRPr="00782377">
        <w:t xml:space="preserve">AER, </w:t>
      </w:r>
      <w:r w:rsidRPr="00782377">
        <w:rPr>
          <w:rStyle w:val="AERtextitalic"/>
        </w:rPr>
        <w:t>Capex incentive guideline</w:t>
      </w:r>
      <w:r w:rsidRPr="00782377">
        <w:t>, November 2013, pp. 5–9.</w:t>
      </w:r>
      <w:proofErr w:type="gramEnd"/>
    </w:p>
  </w:footnote>
  <w:footnote w:id="30">
    <w:p w:rsidR="00C5075A" w:rsidRDefault="00C5075A" w:rsidP="00782377">
      <w:pPr>
        <w:pStyle w:val="FootnoteText"/>
      </w:pPr>
      <w:r>
        <w:rPr>
          <w:rStyle w:val="FootnoteReference"/>
        </w:rPr>
        <w:footnoteRef/>
      </w:r>
      <w:r>
        <w:t xml:space="preserve"> </w:t>
      </w:r>
      <w:r>
        <w:tab/>
        <w:t xml:space="preserve">NER, cl </w:t>
      </w:r>
      <w:proofErr w:type="gramStart"/>
      <w:r>
        <w:t>6A.14.1(</w:t>
      </w:r>
      <w:proofErr w:type="gramEnd"/>
      <w:r>
        <w:t xml:space="preserve">5A). </w:t>
      </w:r>
    </w:p>
  </w:footnote>
  <w:footnote w:id="31">
    <w:p w:rsidR="00C5075A" w:rsidRDefault="00C5075A" w:rsidP="00782377">
      <w:pPr>
        <w:pStyle w:val="FootnoteText"/>
      </w:pPr>
      <w:r>
        <w:rPr>
          <w:rStyle w:val="FootnoteReference"/>
        </w:rPr>
        <w:footnoteRef/>
      </w:r>
      <w:r>
        <w:t xml:space="preserve"> </w:t>
      </w:r>
      <w:r>
        <w:tab/>
      </w:r>
      <w:proofErr w:type="gramStart"/>
      <w:r>
        <w:t xml:space="preserve">AER, </w:t>
      </w:r>
      <w:r>
        <w:rPr>
          <w:rStyle w:val="AERtextitalic"/>
        </w:rPr>
        <w:t>Final framework and approach for AusNet Services transmission determination 2017–22,</w:t>
      </w:r>
      <w:r>
        <w:t xml:space="preserve"> April 2015, p. 23.</w:t>
      </w:r>
      <w:proofErr w:type="gramEnd"/>
      <w:r>
        <w:t xml:space="preserve"> </w:t>
      </w:r>
    </w:p>
  </w:footnote>
  <w:footnote w:id="32">
    <w:p w:rsidR="00C5075A" w:rsidRDefault="00C5075A" w:rsidP="005D76FB">
      <w:pPr>
        <w:pStyle w:val="FootnoteText"/>
      </w:pPr>
      <w:r>
        <w:rPr>
          <w:rStyle w:val="FootnoteReference"/>
        </w:rPr>
        <w:footnoteRef/>
      </w:r>
      <w:r>
        <w:t xml:space="preserve"> </w:t>
      </w:r>
      <w:r>
        <w:tab/>
      </w:r>
      <w:proofErr w:type="gramStart"/>
      <w:r>
        <w:t>NEL, section 7.</w:t>
      </w:r>
      <w:proofErr w:type="gramEnd"/>
    </w:p>
  </w:footnote>
  <w:footnote w:id="33">
    <w:p w:rsidR="00C5075A" w:rsidRDefault="00C5075A" w:rsidP="005D76FB">
      <w:pPr>
        <w:pStyle w:val="FootnoteText"/>
      </w:pPr>
      <w:r>
        <w:rPr>
          <w:rStyle w:val="FootnoteReference"/>
        </w:rPr>
        <w:footnoteRef/>
      </w:r>
      <w:r>
        <w:t xml:space="preserve"> </w:t>
      </w:r>
      <w:r>
        <w:tab/>
        <w:t xml:space="preserve">Hansard, </w:t>
      </w:r>
      <w:r w:rsidRPr="004922F8">
        <w:rPr>
          <w:rStyle w:val="AERtextitalic"/>
        </w:rPr>
        <w:t xml:space="preserve">SA House of Assembly, </w:t>
      </w:r>
      <w:r>
        <w:t xml:space="preserve">9 February 2005, pp. 1451–1460; Hansard, </w:t>
      </w:r>
      <w:r w:rsidRPr="004922F8">
        <w:rPr>
          <w:rStyle w:val="AERtextitalic"/>
        </w:rPr>
        <w:t xml:space="preserve">SA House of Assembly, </w:t>
      </w:r>
      <w:r>
        <w:t xml:space="preserve">27 September 2007, pp. 963–972; Hansard, </w:t>
      </w:r>
      <w:r w:rsidRPr="004922F8">
        <w:rPr>
          <w:rStyle w:val="AERtextitalic"/>
        </w:rPr>
        <w:t xml:space="preserve">SA House of Assembly, </w:t>
      </w:r>
      <w:r>
        <w:t>26 September 2013, pp. 7171–7176.</w:t>
      </w:r>
    </w:p>
  </w:footnote>
  <w:footnote w:id="34">
    <w:p w:rsidR="00C5075A" w:rsidRDefault="00C5075A" w:rsidP="005D76FB">
      <w:pPr>
        <w:pStyle w:val="FootnoteText"/>
      </w:pPr>
      <w:r>
        <w:rPr>
          <w:rStyle w:val="FootnoteReference"/>
        </w:rPr>
        <w:footnoteRef/>
      </w:r>
      <w:r>
        <w:t xml:space="preserve"> </w:t>
      </w:r>
      <w:r>
        <w:tab/>
        <w:t xml:space="preserve">Hansard, </w:t>
      </w:r>
      <w:r w:rsidRPr="004922F8">
        <w:rPr>
          <w:rStyle w:val="AERtextitalic"/>
        </w:rPr>
        <w:t xml:space="preserve">SA House of Assembly, </w:t>
      </w:r>
      <w:r>
        <w:t>26 September 2013, p. 7173.</w:t>
      </w:r>
    </w:p>
  </w:footnote>
  <w:footnote w:id="35">
    <w:p w:rsidR="00C5075A" w:rsidRDefault="00C5075A" w:rsidP="005D76FB">
      <w:pPr>
        <w:pStyle w:val="FootnoteText"/>
      </w:pPr>
      <w:r>
        <w:rPr>
          <w:rStyle w:val="FootnoteReference"/>
        </w:rPr>
        <w:footnoteRef/>
      </w:r>
      <w:r>
        <w:t xml:space="preserve"> </w:t>
      </w:r>
      <w:r>
        <w:tab/>
        <w:t xml:space="preserve">Hansard, </w:t>
      </w:r>
      <w:r w:rsidRPr="004922F8">
        <w:rPr>
          <w:rStyle w:val="AERtextitalic"/>
        </w:rPr>
        <w:t xml:space="preserve">SA House of Assembly, </w:t>
      </w:r>
      <w:r>
        <w:t>9 February 2005, p. 1452.</w:t>
      </w:r>
    </w:p>
  </w:footnote>
  <w:footnote w:id="36">
    <w:p w:rsidR="00C5075A" w:rsidRDefault="00C5075A" w:rsidP="005D76FB">
      <w:pPr>
        <w:pStyle w:val="FootnoteText"/>
      </w:pPr>
      <w:r>
        <w:rPr>
          <w:rStyle w:val="FootnoteReference"/>
        </w:rPr>
        <w:footnoteRef/>
      </w:r>
      <w:r>
        <w:t xml:space="preserve"> </w:t>
      </w:r>
      <w:r>
        <w:tab/>
        <w:t xml:space="preserve">Re Michael: Ex parte Epic Energy [2002] WASCA 231 at [143]. </w:t>
      </w:r>
    </w:p>
    <w:p w:rsidR="00C5075A" w:rsidRDefault="00C5075A" w:rsidP="005D76FB">
      <w:pPr>
        <w:pStyle w:val="FootnoteText"/>
      </w:pPr>
      <w:r>
        <w:tab/>
        <w:t xml:space="preserve">Energy Ministers also accept this view – see Hansard, </w:t>
      </w:r>
      <w:r w:rsidRPr="00C11B13">
        <w:rPr>
          <w:rStyle w:val="AERtextitalic"/>
        </w:rPr>
        <w:t>SA House of Assembly,</w:t>
      </w:r>
      <w:r>
        <w:t xml:space="preserve"> 26 September 2013, p. 7172. </w:t>
      </w:r>
    </w:p>
    <w:p w:rsidR="00C5075A" w:rsidRDefault="00C5075A" w:rsidP="005D76FB">
      <w:pPr>
        <w:pStyle w:val="FootnoteText"/>
      </w:pPr>
      <w:r>
        <w:tab/>
      </w:r>
      <w:proofErr w:type="gramStart"/>
      <w:r>
        <w:t>AEMC</w:t>
      </w:r>
      <w:r w:rsidRPr="00C11B13">
        <w:rPr>
          <w:rStyle w:val="AERtextitalic"/>
        </w:rPr>
        <w:t xml:space="preserve">, Rule </w:t>
      </w:r>
      <w:r>
        <w:rPr>
          <w:rStyle w:val="AERtextitalic"/>
        </w:rPr>
        <w:t>d</w:t>
      </w:r>
      <w:r w:rsidRPr="00C11B13">
        <w:rPr>
          <w:rStyle w:val="AERtextitalic"/>
        </w:rPr>
        <w:t>etermination</w:t>
      </w:r>
      <w:r>
        <w:rPr>
          <w:rStyle w:val="AERtextitalic"/>
        </w:rPr>
        <w:t>,</w:t>
      </w:r>
      <w:r w:rsidRPr="00C11B13">
        <w:rPr>
          <w:rStyle w:val="AERtextitalic"/>
        </w:rPr>
        <w:t xml:space="preserve"> National Electricity Amendment (Economic Regulation of Transmission Services) Rule 2006 No. 18</w:t>
      </w:r>
      <w:r>
        <w:t>, 16 November 2006, p. 50.</w:t>
      </w:r>
      <w:proofErr w:type="gramEnd"/>
      <w:r>
        <w:t xml:space="preserve"> </w:t>
      </w:r>
    </w:p>
  </w:footnote>
  <w:footnote w:id="37">
    <w:p w:rsidR="00C5075A" w:rsidRDefault="00C5075A" w:rsidP="005D76FB">
      <w:pPr>
        <w:pStyle w:val="FootnoteText"/>
      </w:pPr>
      <w:r>
        <w:rPr>
          <w:rStyle w:val="FootnoteReference"/>
        </w:rPr>
        <w:footnoteRef/>
      </w:r>
      <w:r>
        <w:t xml:space="preserve"> </w:t>
      </w:r>
      <w:r>
        <w:tab/>
        <w:t>NEL, s. </w:t>
      </w:r>
      <w:proofErr w:type="gramStart"/>
      <w:r>
        <w:t>7A(</w:t>
      </w:r>
      <w:proofErr w:type="gramEnd"/>
      <w:r>
        <w:t>7).</w:t>
      </w:r>
    </w:p>
  </w:footnote>
  <w:footnote w:id="38">
    <w:p w:rsidR="00C5075A" w:rsidRDefault="00C5075A" w:rsidP="005D76FB">
      <w:pPr>
        <w:pStyle w:val="FootnoteText"/>
      </w:pPr>
      <w:r>
        <w:rPr>
          <w:rStyle w:val="FootnoteReference"/>
        </w:rPr>
        <w:footnoteRef/>
      </w:r>
      <w:r>
        <w:t xml:space="preserve"> </w:t>
      </w:r>
      <w:r>
        <w:tab/>
        <w:t>NEL, s. </w:t>
      </w:r>
      <w:proofErr w:type="gramStart"/>
      <w:r>
        <w:t>7A(</w:t>
      </w:r>
      <w:proofErr w:type="gramEnd"/>
      <w:r>
        <w:t xml:space="preserve">6). </w:t>
      </w:r>
    </w:p>
  </w:footnote>
  <w:footnote w:id="39">
    <w:p w:rsidR="00C5075A" w:rsidRDefault="00C5075A" w:rsidP="005D76FB">
      <w:pPr>
        <w:pStyle w:val="FootnoteText"/>
      </w:pPr>
      <w:r>
        <w:rPr>
          <w:rStyle w:val="FootnoteReference"/>
        </w:rPr>
        <w:footnoteRef/>
      </w:r>
      <w:r>
        <w:t xml:space="preserve"> </w:t>
      </w:r>
      <w:r>
        <w:tab/>
      </w:r>
      <w:proofErr w:type="gramStart"/>
      <w:r>
        <w:t>NEL, s. 7A.</w:t>
      </w:r>
      <w:proofErr w:type="gramEnd"/>
      <w:r>
        <w:t xml:space="preserve"> </w:t>
      </w:r>
    </w:p>
  </w:footnote>
  <w:footnote w:id="40">
    <w:p w:rsidR="00C5075A" w:rsidRDefault="00C5075A" w:rsidP="005D76FB">
      <w:pPr>
        <w:pStyle w:val="FootnoteText"/>
      </w:pPr>
      <w:r>
        <w:rPr>
          <w:rStyle w:val="FootnoteReference"/>
        </w:rPr>
        <w:footnoteRef/>
      </w:r>
      <w:r>
        <w:t xml:space="preserve"> </w:t>
      </w:r>
      <w:r>
        <w:tab/>
      </w:r>
      <w:proofErr w:type="gramStart"/>
      <w:r>
        <w:t>NEL, s. 16(2).</w:t>
      </w:r>
      <w:proofErr w:type="gramEnd"/>
      <w:r>
        <w:t xml:space="preserve"> </w:t>
      </w:r>
    </w:p>
  </w:footnote>
  <w:footnote w:id="41">
    <w:p w:rsidR="00C5075A" w:rsidRDefault="00C5075A" w:rsidP="005D76FB">
      <w:pPr>
        <w:pStyle w:val="FootnoteText"/>
      </w:pPr>
      <w:r>
        <w:rPr>
          <w:rStyle w:val="FootnoteReference"/>
        </w:rPr>
        <w:footnoteRef/>
      </w:r>
      <w:r>
        <w:t xml:space="preserve"> </w:t>
      </w:r>
      <w:r>
        <w:tab/>
      </w:r>
      <w:proofErr w:type="gramStart"/>
      <w:r>
        <w:t xml:space="preserve">Hansard, </w:t>
      </w:r>
      <w:r w:rsidRPr="004922F8">
        <w:rPr>
          <w:rStyle w:val="AERtextitalic"/>
        </w:rPr>
        <w:t xml:space="preserve">SA House of Assembly, </w:t>
      </w:r>
      <w:r>
        <w:t xml:space="preserve">27 September 2007, p. 965; Hansard, </w:t>
      </w:r>
      <w:r w:rsidRPr="004922F8">
        <w:rPr>
          <w:rStyle w:val="AERtextitalic"/>
        </w:rPr>
        <w:t xml:space="preserve">SA House of Assembly, </w:t>
      </w:r>
      <w:r>
        <w:t>26 September 2013, p. 7173.</w:t>
      </w:r>
      <w:proofErr w:type="gramEnd"/>
    </w:p>
  </w:footnote>
  <w:footnote w:id="42">
    <w:p w:rsidR="00C5075A" w:rsidRDefault="00C5075A" w:rsidP="005D76FB">
      <w:pPr>
        <w:pStyle w:val="FootnoteText"/>
      </w:pPr>
      <w:r>
        <w:rPr>
          <w:rStyle w:val="FootnoteReference"/>
        </w:rPr>
        <w:footnoteRef/>
      </w:r>
      <w:r>
        <w:t xml:space="preserve"> </w:t>
      </w:r>
      <w:r>
        <w:tab/>
      </w:r>
      <w:proofErr w:type="gramStart"/>
      <w:r>
        <w:t xml:space="preserve">AEMC, </w:t>
      </w:r>
      <w:r w:rsidRPr="00E76DC2">
        <w:rPr>
          <w:rStyle w:val="AERtextitalic"/>
        </w:rPr>
        <w:t>Rule determination, National Electricity Amendment (Economic Regulation of Transmission Services) Rule 2006 No. 18</w:t>
      </w:r>
      <w:r>
        <w:t>, 16 November 2006, p. 52.</w:t>
      </w:r>
      <w:proofErr w:type="gramEnd"/>
      <w:r>
        <w:t xml:space="preserve"> </w:t>
      </w:r>
    </w:p>
  </w:footnote>
  <w:footnote w:id="43">
    <w:p w:rsidR="00C5075A" w:rsidRDefault="00C5075A" w:rsidP="005D76FB">
      <w:pPr>
        <w:pStyle w:val="FootnoteText"/>
      </w:pPr>
      <w:r>
        <w:rPr>
          <w:rStyle w:val="FootnoteReference"/>
        </w:rPr>
        <w:footnoteRef/>
      </w:r>
      <w:r>
        <w:t xml:space="preserve"> </w:t>
      </w:r>
      <w:r>
        <w:tab/>
      </w:r>
      <w:proofErr w:type="gramStart"/>
      <w:r>
        <w:t>NEL, s. 88.</w:t>
      </w:r>
      <w:proofErr w:type="gramEnd"/>
      <w:r>
        <w:t xml:space="preserve"> </w:t>
      </w:r>
    </w:p>
    <w:p w:rsidR="00C5075A" w:rsidRDefault="00C5075A" w:rsidP="005D76FB">
      <w:pPr>
        <w:pStyle w:val="FootnoteText"/>
      </w:pPr>
      <w:r>
        <w:tab/>
      </w:r>
    </w:p>
  </w:footnote>
  <w:footnote w:id="44">
    <w:p w:rsidR="00C5075A" w:rsidRDefault="00C5075A" w:rsidP="005D76FB">
      <w:pPr>
        <w:pStyle w:val="FootnoteText"/>
      </w:pPr>
      <w:r>
        <w:rPr>
          <w:rStyle w:val="FootnoteReference"/>
        </w:rPr>
        <w:footnoteRef/>
      </w:r>
      <w:r>
        <w:t xml:space="preserve"> </w:t>
      </w:r>
      <w:r>
        <w:tab/>
      </w:r>
      <w:r w:rsidRPr="00F17280">
        <w:t xml:space="preserve">AEMC, </w:t>
      </w:r>
      <w:r w:rsidRPr="00045769">
        <w:rPr>
          <w:rStyle w:val="AERtextitalic"/>
        </w:rPr>
        <w:t>Rule Determination: National Electricity Amendment (Economic Regulation of Transmission Services) Rule 2006,</w:t>
      </w:r>
      <w:r w:rsidRPr="00F17280">
        <w:t xml:space="preserve"> (16 November 2006), 52.</w:t>
      </w:r>
    </w:p>
  </w:footnote>
  <w:footnote w:id="45">
    <w:p w:rsidR="00C5075A" w:rsidRDefault="00C5075A" w:rsidP="005D76FB">
      <w:pPr>
        <w:pStyle w:val="FootnoteText"/>
      </w:pPr>
      <w:r>
        <w:rPr>
          <w:rStyle w:val="FootnoteReference"/>
        </w:rPr>
        <w:footnoteRef/>
      </w:r>
      <w:r>
        <w:t xml:space="preserve"> </w:t>
      </w:r>
      <w:r>
        <w:tab/>
        <w:t>NEL, s. 16(1</w:t>
      </w:r>
      <w:proofErr w:type="gramStart"/>
      <w:r>
        <w:t>)(</w:t>
      </w:r>
      <w:proofErr w:type="gramEnd"/>
      <w:r>
        <w:t xml:space="preserve">d). </w:t>
      </w:r>
    </w:p>
  </w:footnote>
  <w:footnote w:id="46">
    <w:p w:rsidR="00C5075A" w:rsidRDefault="00C5075A" w:rsidP="005D76FB">
      <w:pPr>
        <w:pStyle w:val="FootnoteText"/>
      </w:pPr>
      <w:r>
        <w:rPr>
          <w:rStyle w:val="FootnoteReference"/>
        </w:rPr>
        <w:footnoteRef/>
      </w:r>
      <w:r>
        <w:t xml:space="preserve"> </w:t>
      </w:r>
      <w:r>
        <w:tab/>
        <w:t xml:space="preserve">SCER, </w:t>
      </w:r>
      <w:r w:rsidRPr="00F30747">
        <w:rPr>
          <w:rStyle w:val="AERtextitalic"/>
        </w:rPr>
        <w:t>Regulation impact statement: Limited merits review of decision-making in the electricity and gas regulatory frameworks, Decision paper,</w:t>
      </w:r>
      <w:r>
        <w:t xml:space="preserve"> 6 June 2013, p. 6</w:t>
      </w:r>
    </w:p>
  </w:footnote>
  <w:footnote w:id="47">
    <w:p w:rsidR="00C5075A" w:rsidRDefault="00C5075A" w:rsidP="00C65992">
      <w:pPr>
        <w:pStyle w:val="FootnoteText"/>
      </w:pPr>
      <w:r>
        <w:rPr>
          <w:rStyle w:val="FootnoteReference"/>
        </w:rPr>
        <w:footnoteRef/>
      </w:r>
      <w:r>
        <w:t xml:space="preserve"> </w:t>
      </w:r>
      <w:r>
        <w:tab/>
      </w:r>
      <w:proofErr w:type="gramStart"/>
      <w:r>
        <w:t xml:space="preserve">AER, </w:t>
      </w:r>
      <w:r w:rsidRPr="00C833B1">
        <w:rPr>
          <w:rStyle w:val="AERtextitalic"/>
        </w:rPr>
        <w:t>Overview of the Better Regulation reform package</w:t>
      </w:r>
      <w:r>
        <w:t>, April 2014, pp. 4 &amp; 7–13.</w:t>
      </w:r>
      <w:proofErr w:type="gramEnd"/>
      <w:r>
        <w:t xml:space="preserve"> </w:t>
      </w:r>
    </w:p>
  </w:footnote>
  <w:footnote w:id="48">
    <w:p w:rsidR="00C5075A" w:rsidRDefault="00C5075A" w:rsidP="00C65992">
      <w:pPr>
        <w:pStyle w:val="FootnoteText"/>
      </w:pPr>
      <w:r>
        <w:rPr>
          <w:rStyle w:val="FootnoteReference"/>
        </w:rPr>
        <w:footnoteRef/>
      </w:r>
      <w:r>
        <w:t xml:space="preserve"> </w:t>
      </w:r>
      <w:r>
        <w:tab/>
        <w:t>www.aer.gov.au/better-regulation-reform-program</w:t>
      </w:r>
    </w:p>
  </w:footnote>
  <w:footnote w:id="49">
    <w:p w:rsidR="00C5075A" w:rsidRDefault="00C5075A" w:rsidP="00C65992">
      <w:pPr>
        <w:pStyle w:val="FootnoteText"/>
      </w:pPr>
      <w:r>
        <w:rPr>
          <w:rStyle w:val="FootnoteReference"/>
        </w:rPr>
        <w:footnoteRef/>
      </w:r>
      <w:r>
        <w:t xml:space="preserve"> </w:t>
      </w:r>
      <w:r>
        <w:tab/>
      </w:r>
      <w:proofErr w:type="gramStart"/>
      <w:r>
        <w:t xml:space="preserve">AEMC, </w:t>
      </w:r>
      <w:r w:rsidRPr="001724F2">
        <w:rPr>
          <w:rStyle w:val="AERtextitalic"/>
        </w:rPr>
        <w:t xml:space="preserve">Rule determination, National Electricity Amendment (Economic Regulation of Network Service </w:t>
      </w:r>
      <w:proofErr w:type="spellStart"/>
      <w:r w:rsidRPr="001724F2">
        <w:rPr>
          <w:rStyle w:val="AERtextitalic"/>
        </w:rPr>
        <w:t>Prviders</w:t>
      </w:r>
      <w:proofErr w:type="spellEnd"/>
      <w:r w:rsidRPr="001724F2">
        <w:rPr>
          <w:rStyle w:val="AERtextitalic"/>
        </w:rPr>
        <w:t>),</w:t>
      </w:r>
      <w:r>
        <w:t xml:space="preserve"> Rule 2012.</w:t>
      </w:r>
      <w:proofErr w:type="gramEnd"/>
      <w:r>
        <w:t xml:space="preserve"> </w:t>
      </w:r>
    </w:p>
  </w:footnote>
  <w:footnote w:id="50">
    <w:p w:rsidR="00C5075A" w:rsidRDefault="00C5075A" w:rsidP="00C65992">
      <w:pPr>
        <w:pStyle w:val="FootnoteText"/>
      </w:pPr>
      <w:r>
        <w:rPr>
          <w:rStyle w:val="FootnoteReference"/>
        </w:rPr>
        <w:footnoteRef/>
      </w:r>
      <w:r>
        <w:t xml:space="preserve"> </w:t>
      </w:r>
      <w:r>
        <w:tab/>
        <w:t xml:space="preserve">NER, cl. </w:t>
      </w:r>
      <w:proofErr w:type="gramStart"/>
      <w:r>
        <w:t>6A.10.1(</w:t>
      </w:r>
      <w:proofErr w:type="gramEnd"/>
      <w:r>
        <w:t>g)(2).</w:t>
      </w:r>
    </w:p>
  </w:footnote>
  <w:footnote w:id="51">
    <w:p w:rsidR="00C5075A" w:rsidRDefault="00C5075A" w:rsidP="00C65992">
      <w:pPr>
        <w:pStyle w:val="FootnoteText"/>
      </w:pPr>
      <w:r>
        <w:rPr>
          <w:rStyle w:val="FootnoteReference"/>
        </w:rPr>
        <w:footnoteRef/>
      </w:r>
      <w:r>
        <w:t xml:space="preserve"> </w:t>
      </w:r>
      <w:r>
        <w:tab/>
        <w:t xml:space="preserve">NER, cl. </w:t>
      </w:r>
      <w:proofErr w:type="gramStart"/>
      <w:r>
        <w:t>6A.11.3(</w:t>
      </w:r>
      <w:proofErr w:type="gramEnd"/>
      <w:r>
        <w:t xml:space="preserve">b)(1). </w:t>
      </w:r>
    </w:p>
  </w:footnote>
  <w:footnote w:id="52">
    <w:p w:rsidR="00C5075A" w:rsidRDefault="00C5075A" w:rsidP="00C65992">
      <w:pPr>
        <w:pStyle w:val="FootnoteText"/>
      </w:pPr>
      <w:r>
        <w:rPr>
          <w:rStyle w:val="FootnoteReference"/>
        </w:rPr>
        <w:footnoteRef/>
      </w:r>
      <w:r>
        <w:t xml:space="preserve"> </w:t>
      </w:r>
      <w:r>
        <w:tab/>
      </w:r>
      <w:proofErr w:type="gramStart"/>
      <w:r>
        <w:t xml:space="preserve">AEMC, </w:t>
      </w:r>
      <w:r w:rsidRPr="00894155">
        <w:rPr>
          <w:rStyle w:val="AERtextitalic"/>
        </w:rPr>
        <w:t xml:space="preserve">Rule determination, National Electricity Amendment (Economic Regulation of Network Service </w:t>
      </w:r>
      <w:proofErr w:type="spellStart"/>
      <w:r w:rsidRPr="00894155">
        <w:rPr>
          <w:rStyle w:val="AERtextitalic"/>
        </w:rPr>
        <w:t>Prviders</w:t>
      </w:r>
      <w:proofErr w:type="spellEnd"/>
      <w:r w:rsidRPr="00894155">
        <w:rPr>
          <w:rStyle w:val="AERtextitalic"/>
        </w:rPr>
        <w:t>),</w:t>
      </w:r>
      <w:r>
        <w:t xml:space="preserve"> Rule 2012.</w:t>
      </w:r>
      <w:proofErr w:type="gramEnd"/>
    </w:p>
  </w:footnote>
  <w:footnote w:id="53">
    <w:p w:rsidR="00C5075A" w:rsidRDefault="00C5075A" w:rsidP="00C65992">
      <w:pPr>
        <w:pStyle w:val="FootnoteText"/>
      </w:pPr>
      <w:r>
        <w:rPr>
          <w:rStyle w:val="FootnoteReference"/>
        </w:rPr>
        <w:footnoteRef/>
      </w:r>
      <w:r>
        <w:t xml:space="preserve"> </w:t>
      </w:r>
      <w:r>
        <w:tab/>
      </w:r>
      <w:proofErr w:type="gramStart"/>
      <w:r>
        <w:t>NER, cll.</w:t>
      </w:r>
      <w:proofErr w:type="gramEnd"/>
      <w:r>
        <w:t xml:space="preserve"> </w:t>
      </w:r>
      <w:proofErr w:type="gramStart"/>
      <w:r>
        <w:t>6A.6.6(</w:t>
      </w:r>
      <w:proofErr w:type="gramEnd"/>
      <w:r>
        <w:t xml:space="preserve">e)(5A) and 6A.6.7(e)(5A). </w:t>
      </w:r>
    </w:p>
  </w:footnote>
  <w:footnote w:id="54">
    <w:p w:rsidR="00C5075A" w:rsidRDefault="00C5075A" w:rsidP="00C65992">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5.</w:t>
      </w:r>
    </w:p>
  </w:footnote>
  <w:footnote w:id="55">
    <w:p w:rsidR="00C5075A" w:rsidRDefault="00C5075A" w:rsidP="00C65992">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56">
    <w:p w:rsidR="00C5075A" w:rsidRDefault="00C5075A" w:rsidP="00C65992">
      <w:pPr>
        <w:pStyle w:val="FootnoteText"/>
      </w:pPr>
      <w:r>
        <w:rPr>
          <w:rStyle w:val="FootnoteReference"/>
        </w:rPr>
        <w:footnoteRef/>
      </w:r>
      <w:r>
        <w:t xml:space="preserve"> </w:t>
      </w:r>
      <w:r>
        <w:tab/>
        <w:t xml:space="preserve">AER, </w:t>
      </w:r>
      <w:r w:rsidRPr="001D7738">
        <w:rPr>
          <w:rStyle w:val="AERtextitalic"/>
        </w:rPr>
        <w:t>Better Regulation: Consumer engagement guideline for network service providers,</w:t>
      </w:r>
      <w:r>
        <w:t xml:space="preserve"> November 2013, p. 12.</w:t>
      </w:r>
    </w:p>
  </w:footnote>
  <w:footnote w:id="57">
    <w:p w:rsidR="00C5075A" w:rsidRDefault="00C5075A">
      <w:pPr>
        <w:pStyle w:val="FootnoteText"/>
      </w:pPr>
      <w:r>
        <w:rPr>
          <w:rStyle w:val="FootnoteReference"/>
        </w:rPr>
        <w:footnoteRef/>
      </w:r>
      <w:r>
        <w:t xml:space="preserve"> </w:t>
      </w:r>
      <w:r>
        <w:tab/>
      </w:r>
      <w:proofErr w:type="gramStart"/>
      <w:r>
        <w:t xml:space="preserve">AER, </w:t>
      </w:r>
      <w:r w:rsidRPr="005050FB">
        <w:rPr>
          <w:rStyle w:val="AERtextitalic"/>
        </w:rPr>
        <w:t>Draft decision, AusNet Services transmission determination 2017–22 overview,</w:t>
      </w:r>
      <w:r>
        <w:t xml:space="preserve"> September 2016, pp. 45–48.</w:t>
      </w:r>
      <w:proofErr w:type="gramEnd"/>
    </w:p>
  </w:footnote>
  <w:footnote w:id="58">
    <w:p w:rsidR="00C5075A" w:rsidRDefault="00C5075A">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 8. </w:t>
      </w:r>
    </w:p>
  </w:footnote>
  <w:footnote w:id="59">
    <w:p w:rsidR="00C5075A" w:rsidRDefault="00C5075A" w:rsidP="00166939">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pp. 8–10. </w:t>
      </w:r>
    </w:p>
  </w:footnote>
  <w:footnote w:id="60">
    <w:p w:rsidR="00C5075A" w:rsidRDefault="00C5075A" w:rsidP="003477A2">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pp. 10–11. </w:t>
      </w:r>
    </w:p>
  </w:footnote>
  <w:footnote w:id="61">
    <w:p w:rsidR="00C5075A" w:rsidRDefault="00C5075A" w:rsidP="003477A2">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 13. </w:t>
      </w:r>
    </w:p>
  </w:footnote>
  <w:footnote w:id="62">
    <w:p w:rsidR="00C5075A" w:rsidRDefault="00C5075A" w:rsidP="003477A2">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 14. </w:t>
      </w:r>
    </w:p>
  </w:footnote>
  <w:footnote w:id="63">
    <w:p w:rsidR="00C5075A" w:rsidRDefault="00C5075A">
      <w:pPr>
        <w:pStyle w:val="FootnoteText"/>
      </w:pPr>
      <w:r>
        <w:rPr>
          <w:rStyle w:val="FootnoteReference"/>
        </w:rPr>
        <w:footnoteRef/>
      </w:r>
      <w:r>
        <w:t xml:space="preserve"> </w:t>
      </w:r>
      <w:r>
        <w:tab/>
        <w:t xml:space="preserve">CCP, </w:t>
      </w:r>
      <w:r w:rsidRPr="00534B2D">
        <w:rPr>
          <w:rStyle w:val="AERtextitalic"/>
        </w:rPr>
        <w:t>Transmission for the Generations II, Response to AER draft decision for AusNet Services,</w:t>
      </w:r>
      <w:r>
        <w:t xml:space="preserve"> September 2016, p. 23.</w:t>
      </w:r>
    </w:p>
  </w:footnote>
  <w:footnote w:id="64">
    <w:p w:rsidR="00C5075A" w:rsidRDefault="00C5075A" w:rsidP="00534B2D">
      <w:pPr>
        <w:pStyle w:val="FootnoteText"/>
      </w:pPr>
      <w:r>
        <w:rPr>
          <w:rStyle w:val="FootnoteReference"/>
        </w:rPr>
        <w:footnoteRef/>
      </w:r>
      <w:r>
        <w:t xml:space="preserve"> </w:t>
      </w:r>
      <w:r>
        <w:tab/>
        <w:t xml:space="preserve">CCP, </w:t>
      </w:r>
      <w:r w:rsidRPr="00534B2D">
        <w:rPr>
          <w:rStyle w:val="AERtextitalic"/>
        </w:rPr>
        <w:t>Transmission for the Generations II, Response to AER draft decision for AusNet Services,</w:t>
      </w:r>
      <w:r>
        <w:t xml:space="preserve"> September 2016, p. 23.</w:t>
      </w:r>
    </w:p>
  </w:footnote>
  <w:footnote w:id="65">
    <w:p w:rsidR="00C5075A" w:rsidRDefault="00C5075A">
      <w:pPr>
        <w:pStyle w:val="FootnoteText"/>
      </w:pPr>
      <w:r>
        <w:rPr>
          <w:rStyle w:val="FootnoteReference"/>
        </w:rPr>
        <w:footnoteRef/>
      </w:r>
      <w:r>
        <w:t xml:space="preserve"> </w:t>
      </w:r>
      <w:r>
        <w:tab/>
        <w:t xml:space="preserve">CCP, </w:t>
      </w:r>
      <w:r w:rsidRPr="005050FB">
        <w:rPr>
          <w:rStyle w:val="AERtextitalic"/>
        </w:rPr>
        <w:t>Submission on AusNet Services' transmission revenue review 2017–2022</w:t>
      </w:r>
      <w:r>
        <w:t xml:space="preserve">, 8 February 2016, p. 7. </w:t>
      </w:r>
    </w:p>
  </w:footnote>
  <w:footnote w:id="66">
    <w:p w:rsidR="00C5075A" w:rsidRDefault="00C5075A" w:rsidP="005050FB">
      <w:pPr>
        <w:pStyle w:val="FootnoteText"/>
      </w:pPr>
      <w:r>
        <w:rPr>
          <w:rStyle w:val="FootnoteReference"/>
        </w:rPr>
        <w:footnoteRef/>
      </w:r>
      <w:r>
        <w:t xml:space="preserve"> </w:t>
      </w:r>
      <w:r>
        <w:tab/>
        <w:t xml:space="preserve">AusNet Services, </w:t>
      </w:r>
      <w:r w:rsidRPr="009209C6">
        <w:rPr>
          <w:rStyle w:val="AERtextitalic"/>
        </w:rPr>
        <w:t>Re</w:t>
      </w:r>
      <w:r>
        <w:rPr>
          <w:rStyle w:val="AERtextitalic"/>
        </w:rPr>
        <w:t>vised revenue</w:t>
      </w:r>
      <w:r w:rsidRPr="009209C6">
        <w:rPr>
          <w:rStyle w:val="AERtextitalic"/>
        </w:rPr>
        <w:t xml:space="preserve"> proposal 2017–22</w:t>
      </w:r>
      <w:r>
        <w:t xml:space="preserve">, September 2016, p. 14. </w:t>
      </w:r>
    </w:p>
  </w:footnote>
  <w:footnote w:id="67">
    <w:p w:rsidR="00C5075A" w:rsidRDefault="00C5075A" w:rsidP="00C65992">
      <w:pPr>
        <w:pStyle w:val="FootnoteText"/>
      </w:pPr>
      <w:r>
        <w:rPr>
          <w:rStyle w:val="FootnoteReference"/>
        </w:rPr>
        <w:footnoteRef/>
      </w:r>
      <w:r>
        <w:t xml:space="preserve"> </w:t>
      </w:r>
      <w:r>
        <w:tab/>
        <w:t>NEL, s. 16(1</w:t>
      </w:r>
      <w:proofErr w:type="gramStart"/>
      <w:r>
        <w:t>)(</w:t>
      </w:r>
      <w:proofErr w:type="gramEnd"/>
      <w:r>
        <w: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1"/>
  </w:num>
  <w:num w:numId="25">
    <w:abstractNumId w:val="34"/>
  </w:num>
  <w:num w:numId="26">
    <w:abstractNumId w:val="36"/>
  </w:num>
  <w:num w:numId="27">
    <w:abstractNumId w:val="22"/>
  </w:num>
  <w:num w:numId="28">
    <w:abstractNumId w:val="20"/>
  </w:num>
  <w:num w:numId="29">
    <w:abstractNumId w:val="18"/>
  </w:num>
  <w:num w:numId="30">
    <w:abstractNumId w:val="40"/>
  </w:num>
  <w:num w:numId="31">
    <w:abstractNumId w:val="16"/>
  </w:num>
  <w:num w:numId="32">
    <w:abstractNumId w:val="27"/>
  </w:num>
  <w:num w:numId="33">
    <w:abstractNumId w:val="21"/>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1"/>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Unq6IcvHQnyUm9TQBnB56pVyboZD3shvrPksIYRl9k=" w:saltValue="oK2zXNLfJPB2Ku/XmSqJ0A==" w:algorithmName="SHA-256"/>
  <w:defaultTabStop w:val="34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ausnet services 2017-22 transmission determination - overview - april 2017 (AER2016-000067).docx"/>
  </w:docVars>
  <w:rsids>
    <w:rsidRoot w:val="00961A4A"/>
    <w:rsid w:val="00000043"/>
    <w:rsid w:val="000035FC"/>
    <w:rsid w:val="00005540"/>
    <w:rsid w:val="00021202"/>
    <w:rsid w:val="00021C2B"/>
    <w:rsid w:val="0002517F"/>
    <w:rsid w:val="0003578C"/>
    <w:rsid w:val="00036281"/>
    <w:rsid w:val="000464F2"/>
    <w:rsid w:val="00052B4A"/>
    <w:rsid w:val="00054A73"/>
    <w:rsid w:val="00061658"/>
    <w:rsid w:val="00063247"/>
    <w:rsid w:val="00070F9F"/>
    <w:rsid w:val="0007137B"/>
    <w:rsid w:val="000761E4"/>
    <w:rsid w:val="00077389"/>
    <w:rsid w:val="00085663"/>
    <w:rsid w:val="00085EBF"/>
    <w:rsid w:val="00086871"/>
    <w:rsid w:val="000A3020"/>
    <w:rsid w:val="000A6C7B"/>
    <w:rsid w:val="000A6E0D"/>
    <w:rsid w:val="000B321F"/>
    <w:rsid w:val="000C2B40"/>
    <w:rsid w:val="000C5D74"/>
    <w:rsid w:val="000D122C"/>
    <w:rsid w:val="000E1819"/>
    <w:rsid w:val="000E4821"/>
    <w:rsid w:val="000E6C72"/>
    <w:rsid w:val="000F1C07"/>
    <w:rsid w:val="000F4CEE"/>
    <w:rsid w:val="00116EB2"/>
    <w:rsid w:val="001203C4"/>
    <w:rsid w:val="00124609"/>
    <w:rsid w:val="00126A4C"/>
    <w:rsid w:val="00134EC7"/>
    <w:rsid w:val="001371C1"/>
    <w:rsid w:val="00140D4C"/>
    <w:rsid w:val="0014209D"/>
    <w:rsid w:val="001439A8"/>
    <w:rsid w:val="0014573B"/>
    <w:rsid w:val="001573E4"/>
    <w:rsid w:val="00160756"/>
    <w:rsid w:val="00166939"/>
    <w:rsid w:val="0017232E"/>
    <w:rsid w:val="00174102"/>
    <w:rsid w:val="001754EE"/>
    <w:rsid w:val="00180157"/>
    <w:rsid w:val="0018049E"/>
    <w:rsid w:val="00185C55"/>
    <w:rsid w:val="00185CB9"/>
    <w:rsid w:val="00186F77"/>
    <w:rsid w:val="001921F2"/>
    <w:rsid w:val="001926A4"/>
    <w:rsid w:val="00192AD5"/>
    <w:rsid w:val="001A18C0"/>
    <w:rsid w:val="001B45A0"/>
    <w:rsid w:val="001C4A11"/>
    <w:rsid w:val="001D055E"/>
    <w:rsid w:val="001F1A87"/>
    <w:rsid w:val="001F492E"/>
    <w:rsid w:val="001F6DA3"/>
    <w:rsid w:val="002010BC"/>
    <w:rsid w:val="002016E7"/>
    <w:rsid w:val="00202E03"/>
    <w:rsid w:val="0020492C"/>
    <w:rsid w:val="00224DB9"/>
    <w:rsid w:val="00233775"/>
    <w:rsid w:val="00251745"/>
    <w:rsid w:val="00263AC0"/>
    <w:rsid w:val="00264264"/>
    <w:rsid w:val="0026772D"/>
    <w:rsid w:val="00275451"/>
    <w:rsid w:val="00275530"/>
    <w:rsid w:val="00286874"/>
    <w:rsid w:val="00286CFC"/>
    <w:rsid w:val="002876B3"/>
    <w:rsid w:val="00290C63"/>
    <w:rsid w:val="00296B65"/>
    <w:rsid w:val="00296EF9"/>
    <w:rsid w:val="00297C2E"/>
    <w:rsid w:val="002A0C23"/>
    <w:rsid w:val="002A56C7"/>
    <w:rsid w:val="002A7DEF"/>
    <w:rsid w:val="002B2C8F"/>
    <w:rsid w:val="002B7CE3"/>
    <w:rsid w:val="002C233C"/>
    <w:rsid w:val="002C77C3"/>
    <w:rsid w:val="002D72E8"/>
    <w:rsid w:val="002E7B22"/>
    <w:rsid w:val="002F4F3D"/>
    <w:rsid w:val="002F7986"/>
    <w:rsid w:val="00301B40"/>
    <w:rsid w:val="003029EE"/>
    <w:rsid w:val="00305CC8"/>
    <w:rsid w:val="00307F6D"/>
    <w:rsid w:val="003177A2"/>
    <w:rsid w:val="00321B74"/>
    <w:rsid w:val="003271B5"/>
    <w:rsid w:val="00327A1E"/>
    <w:rsid w:val="00331264"/>
    <w:rsid w:val="00333CDA"/>
    <w:rsid w:val="00334C8D"/>
    <w:rsid w:val="00335474"/>
    <w:rsid w:val="00336FC6"/>
    <w:rsid w:val="00343A18"/>
    <w:rsid w:val="003477A2"/>
    <w:rsid w:val="003518B3"/>
    <w:rsid w:val="00352A94"/>
    <w:rsid w:val="00353121"/>
    <w:rsid w:val="003537AC"/>
    <w:rsid w:val="00354200"/>
    <w:rsid w:val="003846F1"/>
    <w:rsid w:val="00384DBA"/>
    <w:rsid w:val="00384F03"/>
    <w:rsid w:val="0038652F"/>
    <w:rsid w:val="003903F6"/>
    <w:rsid w:val="003B24B8"/>
    <w:rsid w:val="003B484F"/>
    <w:rsid w:val="003B717A"/>
    <w:rsid w:val="003B7FBA"/>
    <w:rsid w:val="003C303F"/>
    <w:rsid w:val="003C3A9C"/>
    <w:rsid w:val="003D4CE9"/>
    <w:rsid w:val="003F174D"/>
    <w:rsid w:val="003F2696"/>
    <w:rsid w:val="00400514"/>
    <w:rsid w:val="004120F0"/>
    <w:rsid w:val="00415F31"/>
    <w:rsid w:val="00423A77"/>
    <w:rsid w:val="004353E9"/>
    <w:rsid w:val="00436E12"/>
    <w:rsid w:val="00444A23"/>
    <w:rsid w:val="00450D93"/>
    <w:rsid w:val="0045777E"/>
    <w:rsid w:val="00462CFD"/>
    <w:rsid w:val="004708F7"/>
    <w:rsid w:val="004735D2"/>
    <w:rsid w:val="00480B4B"/>
    <w:rsid w:val="00485DC4"/>
    <w:rsid w:val="00491349"/>
    <w:rsid w:val="00492389"/>
    <w:rsid w:val="004A43D1"/>
    <w:rsid w:val="004A7EE1"/>
    <w:rsid w:val="004B4412"/>
    <w:rsid w:val="004B60AA"/>
    <w:rsid w:val="004C348C"/>
    <w:rsid w:val="004C57B1"/>
    <w:rsid w:val="004D2B19"/>
    <w:rsid w:val="004D4888"/>
    <w:rsid w:val="004D55BA"/>
    <w:rsid w:val="004E22EC"/>
    <w:rsid w:val="004F3CE1"/>
    <w:rsid w:val="004F6806"/>
    <w:rsid w:val="004F6A0E"/>
    <w:rsid w:val="00504B86"/>
    <w:rsid w:val="005050FB"/>
    <w:rsid w:val="00507D17"/>
    <w:rsid w:val="0051287A"/>
    <w:rsid w:val="00530128"/>
    <w:rsid w:val="00532028"/>
    <w:rsid w:val="00532467"/>
    <w:rsid w:val="00534B2D"/>
    <w:rsid w:val="00536EC0"/>
    <w:rsid w:val="00540418"/>
    <w:rsid w:val="00544C12"/>
    <w:rsid w:val="00545DF6"/>
    <w:rsid w:val="00553342"/>
    <w:rsid w:val="005572D8"/>
    <w:rsid w:val="0055774C"/>
    <w:rsid w:val="00564A4D"/>
    <w:rsid w:val="00567BA5"/>
    <w:rsid w:val="00571B35"/>
    <w:rsid w:val="00571D57"/>
    <w:rsid w:val="00577A09"/>
    <w:rsid w:val="005829C2"/>
    <w:rsid w:val="00584D8F"/>
    <w:rsid w:val="005A404D"/>
    <w:rsid w:val="005B0A42"/>
    <w:rsid w:val="005B1E3C"/>
    <w:rsid w:val="005B704A"/>
    <w:rsid w:val="005C26CC"/>
    <w:rsid w:val="005D76FB"/>
    <w:rsid w:val="005D7BA2"/>
    <w:rsid w:val="005E1C36"/>
    <w:rsid w:val="005E36C2"/>
    <w:rsid w:val="005E726D"/>
    <w:rsid w:val="005F3CA6"/>
    <w:rsid w:val="005F409B"/>
    <w:rsid w:val="006062C1"/>
    <w:rsid w:val="00612F4F"/>
    <w:rsid w:val="006151B2"/>
    <w:rsid w:val="00615C6B"/>
    <w:rsid w:val="00621DCE"/>
    <w:rsid w:val="00631DCA"/>
    <w:rsid w:val="00632D6D"/>
    <w:rsid w:val="00633054"/>
    <w:rsid w:val="00642C3E"/>
    <w:rsid w:val="00651AF6"/>
    <w:rsid w:val="006537AA"/>
    <w:rsid w:val="0066104A"/>
    <w:rsid w:val="00663DAD"/>
    <w:rsid w:val="00673FFE"/>
    <w:rsid w:val="00674AA4"/>
    <w:rsid w:val="00675E20"/>
    <w:rsid w:val="00676679"/>
    <w:rsid w:val="00683C89"/>
    <w:rsid w:val="006A08A8"/>
    <w:rsid w:val="006B2395"/>
    <w:rsid w:val="006B4CF9"/>
    <w:rsid w:val="006B7AC8"/>
    <w:rsid w:val="006C1736"/>
    <w:rsid w:val="006C4C21"/>
    <w:rsid w:val="006D5008"/>
    <w:rsid w:val="006D550F"/>
    <w:rsid w:val="006E5A17"/>
    <w:rsid w:val="00701CAB"/>
    <w:rsid w:val="00707563"/>
    <w:rsid w:val="00712550"/>
    <w:rsid w:val="00713956"/>
    <w:rsid w:val="0072348C"/>
    <w:rsid w:val="00724A37"/>
    <w:rsid w:val="007303C3"/>
    <w:rsid w:val="00731756"/>
    <w:rsid w:val="00736FA8"/>
    <w:rsid w:val="007429BE"/>
    <w:rsid w:val="00743223"/>
    <w:rsid w:val="00746513"/>
    <w:rsid w:val="00746E01"/>
    <w:rsid w:val="0075702D"/>
    <w:rsid w:val="00757364"/>
    <w:rsid w:val="00757BDF"/>
    <w:rsid w:val="007609D0"/>
    <w:rsid w:val="00763E5D"/>
    <w:rsid w:val="00767740"/>
    <w:rsid w:val="00774156"/>
    <w:rsid w:val="00777EE6"/>
    <w:rsid w:val="00782377"/>
    <w:rsid w:val="00782EEA"/>
    <w:rsid w:val="00793CFF"/>
    <w:rsid w:val="00796270"/>
    <w:rsid w:val="007B186E"/>
    <w:rsid w:val="007B2C72"/>
    <w:rsid w:val="007C1C53"/>
    <w:rsid w:val="007C74BB"/>
    <w:rsid w:val="007D456E"/>
    <w:rsid w:val="007E418B"/>
    <w:rsid w:val="007E4904"/>
    <w:rsid w:val="007E4CB5"/>
    <w:rsid w:val="007F066B"/>
    <w:rsid w:val="00800A30"/>
    <w:rsid w:val="008033C4"/>
    <w:rsid w:val="00806C88"/>
    <w:rsid w:val="0081034E"/>
    <w:rsid w:val="008344F6"/>
    <w:rsid w:val="0083510F"/>
    <w:rsid w:val="00836B27"/>
    <w:rsid w:val="00842AFA"/>
    <w:rsid w:val="00844CF5"/>
    <w:rsid w:val="00851209"/>
    <w:rsid w:val="00854AFC"/>
    <w:rsid w:val="008621DF"/>
    <w:rsid w:val="00867A0E"/>
    <w:rsid w:val="008837AC"/>
    <w:rsid w:val="00886EF9"/>
    <w:rsid w:val="00893944"/>
    <w:rsid w:val="008A587D"/>
    <w:rsid w:val="008B35CD"/>
    <w:rsid w:val="008B5854"/>
    <w:rsid w:val="008B5FCC"/>
    <w:rsid w:val="008C00CE"/>
    <w:rsid w:val="008C0C11"/>
    <w:rsid w:val="008C2870"/>
    <w:rsid w:val="008C4208"/>
    <w:rsid w:val="008C4435"/>
    <w:rsid w:val="008C5486"/>
    <w:rsid w:val="008C6B20"/>
    <w:rsid w:val="008D1661"/>
    <w:rsid w:val="008D2173"/>
    <w:rsid w:val="008E7031"/>
    <w:rsid w:val="008E77DE"/>
    <w:rsid w:val="008F07A3"/>
    <w:rsid w:val="009001B6"/>
    <w:rsid w:val="00900E1B"/>
    <w:rsid w:val="0090431C"/>
    <w:rsid w:val="009233EE"/>
    <w:rsid w:val="0092524A"/>
    <w:rsid w:val="00926812"/>
    <w:rsid w:val="00927C80"/>
    <w:rsid w:val="009323B6"/>
    <w:rsid w:val="009460AA"/>
    <w:rsid w:val="00951978"/>
    <w:rsid w:val="00957C1D"/>
    <w:rsid w:val="00961A4A"/>
    <w:rsid w:val="009661DE"/>
    <w:rsid w:val="00983C25"/>
    <w:rsid w:val="009856B7"/>
    <w:rsid w:val="0098593E"/>
    <w:rsid w:val="00985C86"/>
    <w:rsid w:val="00996349"/>
    <w:rsid w:val="00996606"/>
    <w:rsid w:val="00996A8E"/>
    <w:rsid w:val="009A5FC3"/>
    <w:rsid w:val="009A7D9D"/>
    <w:rsid w:val="009B090B"/>
    <w:rsid w:val="009B13DD"/>
    <w:rsid w:val="009B74B0"/>
    <w:rsid w:val="009C0D47"/>
    <w:rsid w:val="009C25B3"/>
    <w:rsid w:val="009D37A6"/>
    <w:rsid w:val="009D3906"/>
    <w:rsid w:val="009D6B46"/>
    <w:rsid w:val="009F4940"/>
    <w:rsid w:val="009F5BA1"/>
    <w:rsid w:val="00A024A7"/>
    <w:rsid w:val="00A02A88"/>
    <w:rsid w:val="00A0562E"/>
    <w:rsid w:val="00A0726D"/>
    <w:rsid w:val="00A219C7"/>
    <w:rsid w:val="00A32FBB"/>
    <w:rsid w:val="00A344D3"/>
    <w:rsid w:val="00A364B7"/>
    <w:rsid w:val="00A428EE"/>
    <w:rsid w:val="00A4478A"/>
    <w:rsid w:val="00A44852"/>
    <w:rsid w:val="00A57D04"/>
    <w:rsid w:val="00A60A26"/>
    <w:rsid w:val="00A61598"/>
    <w:rsid w:val="00A63EDD"/>
    <w:rsid w:val="00A6531D"/>
    <w:rsid w:val="00A704B2"/>
    <w:rsid w:val="00A8091F"/>
    <w:rsid w:val="00A84A99"/>
    <w:rsid w:val="00A84F46"/>
    <w:rsid w:val="00A871F4"/>
    <w:rsid w:val="00A952F6"/>
    <w:rsid w:val="00AA045A"/>
    <w:rsid w:val="00AA275A"/>
    <w:rsid w:val="00AA3B8E"/>
    <w:rsid w:val="00AB2F1A"/>
    <w:rsid w:val="00AB4D90"/>
    <w:rsid w:val="00AC02B7"/>
    <w:rsid w:val="00AC0C43"/>
    <w:rsid w:val="00AC1B2C"/>
    <w:rsid w:val="00AC3264"/>
    <w:rsid w:val="00AC4546"/>
    <w:rsid w:val="00AD3240"/>
    <w:rsid w:val="00AE1BF1"/>
    <w:rsid w:val="00AF0DD2"/>
    <w:rsid w:val="00B0562D"/>
    <w:rsid w:val="00B06C2F"/>
    <w:rsid w:val="00B1218F"/>
    <w:rsid w:val="00B13048"/>
    <w:rsid w:val="00B1716D"/>
    <w:rsid w:val="00B17A1D"/>
    <w:rsid w:val="00B207A0"/>
    <w:rsid w:val="00B217BD"/>
    <w:rsid w:val="00B2303F"/>
    <w:rsid w:val="00B24B9A"/>
    <w:rsid w:val="00B47CA8"/>
    <w:rsid w:val="00B514DD"/>
    <w:rsid w:val="00B52AF0"/>
    <w:rsid w:val="00B561BD"/>
    <w:rsid w:val="00B56E03"/>
    <w:rsid w:val="00B61E35"/>
    <w:rsid w:val="00B8080B"/>
    <w:rsid w:val="00B82223"/>
    <w:rsid w:val="00B87BA5"/>
    <w:rsid w:val="00B87C39"/>
    <w:rsid w:val="00B942B2"/>
    <w:rsid w:val="00B9562D"/>
    <w:rsid w:val="00B9733D"/>
    <w:rsid w:val="00BA4665"/>
    <w:rsid w:val="00BA5633"/>
    <w:rsid w:val="00BB0795"/>
    <w:rsid w:val="00BB2FB2"/>
    <w:rsid w:val="00BB3304"/>
    <w:rsid w:val="00BB6C6E"/>
    <w:rsid w:val="00BD3446"/>
    <w:rsid w:val="00BD5D87"/>
    <w:rsid w:val="00BD7718"/>
    <w:rsid w:val="00BE1F1B"/>
    <w:rsid w:val="00BE2ADA"/>
    <w:rsid w:val="00BE47B5"/>
    <w:rsid w:val="00BF168A"/>
    <w:rsid w:val="00C1332C"/>
    <w:rsid w:val="00C25FA6"/>
    <w:rsid w:val="00C26737"/>
    <w:rsid w:val="00C33E76"/>
    <w:rsid w:val="00C420BC"/>
    <w:rsid w:val="00C4675E"/>
    <w:rsid w:val="00C5075A"/>
    <w:rsid w:val="00C538A9"/>
    <w:rsid w:val="00C53B5A"/>
    <w:rsid w:val="00C54F5A"/>
    <w:rsid w:val="00C569B4"/>
    <w:rsid w:val="00C649C3"/>
    <w:rsid w:val="00C65992"/>
    <w:rsid w:val="00C67A92"/>
    <w:rsid w:val="00C73AA7"/>
    <w:rsid w:val="00C80465"/>
    <w:rsid w:val="00C81758"/>
    <w:rsid w:val="00C84560"/>
    <w:rsid w:val="00C86679"/>
    <w:rsid w:val="00C8739E"/>
    <w:rsid w:val="00CA2A6E"/>
    <w:rsid w:val="00CA489E"/>
    <w:rsid w:val="00CA67ED"/>
    <w:rsid w:val="00CA6975"/>
    <w:rsid w:val="00CA69D5"/>
    <w:rsid w:val="00CB0279"/>
    <w:rsid w:val="00CB5DF9"/>
    <w:rsid w:val="00CB666B"/>
    <w:rsid w:val="00CB75AB"/>
    <w:rsid w:val="00CC2046"/>
    <w:rsid w:val="00CC7F1D"/>
    <w:rsid w:val="00CD1FB4"/>
    <w:rsid w:val="00CD319A"/>
    <w:rsid w:val="00CE23A7"/>
    <w:rsid w:val="00CE484B"/>
    <w:rsid w:val="00CE6E2E"/>
    <w:rsid w:val="00CF511C"/>
    <w:rsid w:val="00CF6177"/>
    <w:rsid w:val="00CF637E"/>
    <w:rsid w:val="00CF6BB8"/>
    <w:rsid w:val="00D006AE"/>
    <w:rsid w:val="00D01CF0"/>
    <w:rsid w:val="00D0442A"/>
    <w:rsid w:val="00D1563D"/>
    <w:rsid w:val="00D17061"/>
    <w:rsid w:val="00D2705B"/>
    <w:rsid w:val="00D27530"/>
    <w:rsid w:val="00D325B8"/>
    <w:rsid w:val="00D34060"/>
    <w:rsid w:val="00D465B1"/>
    <w:rsid w:val="00D53E0B"/>
    <w:rsid w:val="00D61388"/>
    <w:rsid w:val="00D61A54"/>
    <w:rsid w:val="00D64DEA"/>
    <w:rsid w:val="00D7168E"/>
    <w:rsid w:val="00D71E57"/>
    <w:rsid w:val="00D77464"/>
    <w:rsid w:val="00D80893"/>
    <w:rsid w:val="00D84854"/>
    <w:rsid w:val="00D904AC"/>
    <w:rsid w:val="00D92CF1"/>
    <w:rsid w:val="00D92D38"/>
    <w:rsid w:val="00D950F5"/>
    <w:rsid w:val="00DA4752"/>
    <w:rsid w:val="00DA61F3"/>
    <w:rsid w:val="00DA6A65"/>
    <w:rsid w:val="00DB0F93"/>
    <w:rsid w:val="00DB1A67"/>
    <w:rsid w:val="00DB48C6"/>
    <w:rsid w:val="00DB5074"/>
    <w:rsid w:val="00DC39EC"/>
    <w:rsid w:val="00DC5D3C"/>
    <w:rsid w:val="00DC7981"/>
    <w:rsid w:val="00DD1FD9"/>
    <w:rsid w:val="00DD3280"/>
    <w:rsid w:val="00DE1093"/>
    <w:rsid w:val="00DE11B6"/>
    <w:rsid w:val="00DE1686"/>
    <w:rsid w:val="00DE3695"/>
    <w:rsid w:val="00DE4EFA"/>
    <w:rsid w:val="00DE5520"/>
    <w:rsid w:val="00DE563D"/>
    <w:rsid w:val="00DE714B"/>
    <w:rsid w:val="00DF009B"/>
    <w:rsid w:val="00DF7C1D"/>
    <w:rsid w:val="00E00CB6"/>
    <w:rsid w:val="00E04818"/>
    <w:rsid w:val="00E06442"/>
    <w:rsid w:val="00E11919"/>
    <w:rsid w:val="00E23993"/>
    <w:rsid w:val="00E25B8C"/>
    <w:rsid w:val="00E43C30"/>
    <w:rsid w:val="00E612F4"/>
    <w:rsid w:val="00E65C85"/>
    <w:rsid w:val="00E66199"/>
    <w:rsid w:val="00E755EC"/>
    <w:rsid w:val="00E7624D"/>
    <w:rsid w:val="00E92233"/>
    <w:rsid w:val="00E93906"/>
    <w:rsid w:val="00E97452"/>
    <w:rsid w:val="00EA327D"/>
    <w:rsid w:val="00EA3D42"/>
    <w:rsid w:val="00EA6B1B"/>
    <w:rsid w:val="00EA6F2F"/>
    <w:rsid w:val="00EB0AD2"/>
    <w:rsid w:val="00EB2CAF"/>
    <w:rsid w:val="00EB6AA6"/>
    <w:rsid w:val="00EC04F1"/>
    <w:rsid w:val="00EC4AF4"/>
    <w:rsid w:val="00EC5DBC"/>
    <w:rsid w:val="00EC7790"/>
    <w:rsid w:val="00EC7FA5"/>
    <w:rsid w:val="00ED2A57"/>
    <w:rsid w:val="00ED7323"/>
    <w:rsid w:val="00EE28F3"/>
    <w:rsid w:val="00EE50D1"/>
    <w:rsid w:val="00EF5110"/>
    <w:rsid w:val="00EF6D51"/>
    <w:rsid w:val="00F0689C"/>
    <w:rsid w:val="00F10411"/>
    <w:rsid w:val="00F15882"/>
    <w:rsid w:val="00F171E0"/>
    <w:rsid w:val="00F20BD3"/>
    <w:rsid w:val="00F30454"/>
    <w:rsid w:val="00F33D1C"/>
    <w:rsid w:val="00F373A5"/>
    <w:rsid w:val="00F41B1C"/>
    <w:rsid w:val="00F47559"/>
    <w:rsid w:val="00F64C7B"/>
    <w:rsid w:val="00F66B70"/>
    <w:rsid w:val="00F676DD"/>
    <w:rsid w:val="00F73143"/>
    <w:rsid w:val="00F75A26"/>
    <w:rsid w:val="00F76706"/>
    <w:rsid w:val="00F83FAD"/>
    <w:rsid w:val="00F952A0"/>
    <w:rsid w:val="00FA2117"/>
    <w:rsid w:val="00FA3C7F"/>
    <w:rsid w:val="00FB38E1"/>
    <w:rsid w:val="00FB60FE"/>
    <w:rsid w:val="00FB74E2"/>
    <w:rsid w:val="00FB7590"/>
    <w:rsid w:val="00FC289B"/>
    <w:rsid w:val="00FC528D"/>
    <w:rsid w:val="00FD5614"/>
    <w:rsid w:val="00FD5E78"/>
    <w:rsid w:val="00FE0BE1"/>
    <w:rsid w:val="00FE1DE9"/>
    <w:rsid w:val="00FE36AF"/>
    <w:rsid w:val="00FE39C2"/>
    <w:rsid w:val="00FE3C32"/>
    <w:rsid w:val="00FE55BF"/>
    <w:rsid w:val="00FE64AE"/>
    <w:rsid w:val="00FE7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207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14689363">
      <w:bodyDiv w:val="1"/>
      <w:marLeft w:val="0"/>
      <w:marRight w:val="0"/>
      <w:marTop w:val="0"/>
      <w:marBottom w:val="0"/>
      <w:divBdr>
        <w:top w:val="none" w:sz="0" w:space="0" w:color="auto"/>
        <w:left w:val="none" w:sz="0" w:space="0" w:color="auto"/>
        <w:bottom w:val="none" w:sz="0" w:space="0" w:color="auto"/>
        <w:right w:val="none" w:sz="0" w:space="0" w:color="auto"/>
      </w:divBdr>
    </w:div>
    <w:div w:id="21235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snetservices.com.au/Electricity/Determining+Revenues/Transmission+Network.htm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B796A5-9A70-4B25-9368-49945681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A2C80A71.dotm</Template>
  <TotalTime>0</TotalTime>
  <Pages>46</Pages>
  <Words>11967</Words>
  <Characters>68212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AER final decision - AusNet Services - Overview</vt:lpstr>
    </vt:vector>
  </TitlesOfParts>
  <Company>ACCC</Company>
  <LinksUpToDate>false</LinksUpToDate>
  <CharactersWithSpaces>80019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AusNet Services - Overview</dc:title>
  <dc:subject>[subtitle]</dc:subject>
  <dc:creator>AER</dc:creator>
  <cp:lastModifiedBy>Le Cornu, Matthew</cp:lastModifiedBy>
  <cp:revision>2</cp:revision>
  <cp:lastPrinted>2017-04-26T06:43:00Z</cp:lastPrinted>
  <dcterms:created xsi:type="dcterms:W3CDTF">2017-04-26T22:56:00Z</dcterms:created>
  <dcterms:modified xsi:type="dcterms:W3CDTF">2017-04-26T22:56:00Z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ausnet services 2017-22 transmission determination - overview - april 2017 (AER2016-000067).docx</vt:lpwstr>
  </property>
</Properties>
</file>