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83" w:rsidRPr="008A1935" w:rsidRDefault="00760A7C" w:rsidP="008A1935">
      <w:pPr>
        <w:pStyle w:val="AERbodytextleftalign"/>
        <w:rPr>
          <w:rStyle w:val="AERbody"/>
          <w:rFonts w:eastAsiaTheme="majorEastAsia"/>
        </w:rPr>
      </w:pPr>
      <w:bookmarkStart w:id="0" w:name="_GoBack"/>
      <w:bookmarkEnd w:id="0"/>
      <w:r w:rsidRPr="00760A7C">
        <w:rPr>
          <w:noProof/>
          <w:lang w:eastAsia="en-AU"/>
        </w:rPr>
        <w:drawing>
          <wp:anchor distT="0" distB="0" distL="114300" distR="114300" simplePos="0" relativeHeight="251659264" behindDoc="1" locked="0" layoutInCell="1" allowOverlap="1" wp14:anchorId="7AA68CA6" wp14:editId="626EB2D7">
            <wp:simplePos x="0" y="0"/>
            <wp:positionH relativeFrom="column">
              <wp:posOffset>-1146810</wp:posOffset>
            </wp:positionH>
            <wp:positionV relativeFrom="paragraph">
              <wp:posOffset>-911336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eastAsiaTheme="majorEastAsia" w:hAnsi="Arial" w:cstheme="majorBidi"/>
          <w:noProof/>
          <w:sz w:val="36"/>
          <w:szCs w:val="36"/>
          <w:lang w:eastAsia="en-AU"/>
        </w:rPr>
        <w:id w:val="1021519724"/>
        <w:docPartObj>
          <w:docPartGallery w:val="Cover Pages"/>
          <w:docPartUnique/>
        </w:docPartObj>
      </w:sdtPr>
      <w:sdtEndPr/>
      <w:sdtContent>
        <w:p w:rsidR="000A6C7B" w:rsidRPr="00290C63" w:rsidRDefault="000A6C7B" w:rsidP="008A1935">
          <w:pPr>
            <w:pStyle w:val="AERbodytextcentre"/>
          </w:pPr>
        </w:p>
        <w:p w:rsidR="00F171E0" w:rsidRDefault="00F171E0" w:rsidP="008A1935">
          <w:pPr>
            <w:pStyle w:val="AERbodytextcentre"/>
          </w:pPr>
        </w:p>
        <w:p w:rsidR="00F171E0" w:rsidRDefault="00F171E0" w:rsidP="008A1935">
          <w:pPr>
            <w:pStyle w:val="AERbodytextcentre"/>
          </w:pPr>
        </w:p>
        <w:p w:rsidR="00F171E0" w:rsidRDefault="00F171E0" w:rsidP="00F171E0"/>
        <w:p w:rsidR="00F171E0" w:rsidRDefault="00F171E0" w:rsidP="00F171E0"/>
        <w:p w:rsidR="005C16FE" w:rsidRDefault="005C16FE" w:rsidP="00F171E0"/>
        <w:p w:rsidR="004B4A53" w:rsidRDefault="001754EE" w:rsidP="004B4A53">
          <w:pPr>
            <w:pStyle w:val="ReportDate"/>
          </w:pPr>
          <w:r>
            <w:tab/>
          </w:r>
        </w:p>
        <w:p w:rsidR="00B11734" w:rsidRDefault="00BC3DAC" w:rsidP="00B11734">
          <w:pPr>
            <w:pStyle w:val="ReportTitle"/>
          </w:pPr>
          <w:r>
            <w:t>Consultation Paper</w:t>
          </w:r>
        </w:p>
        <w:p w:rsidR="000A6C7B" w:rsidRPr="00B11734" w:rsidRDefault="008D22B0" w:rsidP="00B11734">
          <w:pPr>
            <w:pStyle w:val="ReportSubtitle"/>
          </w:pPr>
          <w:r>
            <w:t>Demand management incentive s</w:t>
          </w:r>
          <w:r w:rsidR="00BE6425">
            <w:t xml:space="preserve">cheme </w:t>
          </w:r>
          <w:r>
            <w:t>early implementation rule c</w:t>
          </w:r>
          <w:r w:rsidR="00BC3DAC">
            <w:t>hange</w:t>
          </w:r>
        </w:p>
        <w:p w:rsidR="00B33BA8" w:rsidRDefault="00B33BA8" w:rsidP="00327A1E">
          <w:pPr>
            <w:pStyle w:val="ReportDate"/>
          </w:pPr>
        </w:p>
        <w:p w:rsidR="004B4A53" w:rsidRDefault="004B4A53" w:rsidP="00327A1E">
          <w:pPr>
            <w:pStyle w:val="ReportDate"/>
          </w:pPr>
          <w:r w:rsidRPr="004B4A53">
            <w:t>Electricity distribution network service providers</w:t>
          </w:r>
        </w:p>
        <w:p w:rsidR="004B4A53" w:rsidRDefault="004B4A53" w:rsidP="00327A1E">
          <w:pPr>
            <w:pStyle w:val="ReportDate"/>
          </w:pPr>
        </w:p>
        <w:p w:rsidR="00723A2C" w:rsidRDefault="00723A2C" w:rsidP="00327A1E">
          <w:pPr>
            <w:pStyle w:val="ReportDate"/>
          </w:pPr>
        </w:p>
        <w:p w:rsidR="000A6C7B" w:rsidRPr="00327A1E" w:rsidRDefault="00C12440" w:rsidP="00327A1E">
          <w:pPr>
            <w:pStyle w:val="ReportDate"/>
          </w:pPr>
          <w:r>
            <w:t>August</w:t>
          </w:r>
          <w:r w:rsidR="00386073">
            <w:t xml:space="preserve"> </w:t>
          </w:r>
          <w:r w:rsidR="000474DF">
            <w:t>201</w:t>
          </w:r>
          <w:r w:rsidR="00386073">
            <w:t>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386073">
        <w:t>7</w:t>
      </w:r>
    </w:p>
    <w:p w:rsidR="00CE2A23" w:rsidRDefault="00CE2A23" w:rsidP="00761454">
      <w:r>
        <w:t xml:space="preserve">This work is copyright. In addition to any use permitted under the Copyright Act 1968, all material contained within this work </w:t>
      </w:r>
      <w:proofErr w:type="gramStart"/>
      <w:r>
        <w:t>is provided</w:t>
      </w:r>
      <w:proofErr w:type="gramEnd"/>
      <w:r>
        <w:t xml:space="preserve">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 xml:space="preserve">Requests and inquiries concerning reproduction and rights </w:t>
      </w:r>
      <w:proofErr w:type="gramStart"/>
      <w:r>
        <w:t>should be addressed</w:t>
      </w:r>
      <w:proofErr w:type="gramEnd"/>
      <w:r>
        <w:t xml:space="preserve">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 xml:space="preserve">Inquiries about this publication </w:t>
      </w:r>
      <w:proofErr w:type="gramStart"/>
      <w:r>
        <w:t>should be addressed</w:t>
      </w:r>
      <w:proofErr w:type="gramEnd"/>
      <w:r>
        <w:t xml:space="preserve">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00760A7C" w:rsidRPr="005316BC">
          <w:rPr>
            <w:rStyle w:val="Hyperlink"/>
          </w:rPr>
          <w:t>DM@aer.gov.au</w:t>
        </w:r>
      </w:hyperlink>
      <w:r>
        <w:rPr>
          <w:rStyle w:val="Hyperlink"/>
        </w:rPr>
        <w:br/>
      </w:r>
    </w:p>
    <w:p w:rsidR="00030FD9" w:rsidRDefault="00030FD9" w:rsidP="00761454">
      <w:r>
        <w:t>AER reference: 58882</w:t>
      </w:r>
    </w:p>
    <w:p w:rsidR="00291A99" w:rsidRDefault="00B11734" w:rsidP="00B11734">
      <w:pPr>
        <w:pStyle w:val="UnnumberedHeading"/>
      </w:pPr>
      <w:bookmarkStart w:id="2" w:name="_Toc491422165"/>
      <w:r>
        <w:lastRenderedPageBreak/>
        <w:t>Request for submissions</w:t>
      </w:r>
      <w:bookmarkEnd w:id="2"/>
    </w:p>
    <w:p w:rsidR="00B11734" w:rsidRPr="00B11734" w:rsidRDefault="001E57BD" w:rsidP="00B11734">
      <w:r w:rsidRPr="00B11734">
        <w:t xml:space="preserve">The Australian Energy Regulator (AER) </w:t>
      </w:r>
      <w:r>
        <w:t>invites</w:t>
      </w:r>
      <w:r w:rsidR="00B11734">
        <w:t xml:space="preserve"> i</w:t>
      </w:r>
      <w:r w:rsidR="00B11734" w:rsidRPr="00B11734">
        <w:t xml:space="preserve">nterested parties to make written submissions regarding this paper by the close of business </w:t>
      </w:r>
      <w:r w:rsidR="003D484E">
        <w:rPr>
          <w:rStyle w:val="Bold"/>
        </w:rPr>
        <w:t>12 October</w:t>
      </w:r>
      <w:r w:rsidR="00B11734" w:rsidRPr="00B11734">
        <w:rPr>
          <w:rStyle w:val="Bold"/>
        </w:rPr>
        <w:t xml:space="preserve"> 201</w:t>
      </w:r>
      <w:r w:rsidR="00B11734">
        <w:rPr>
          <w:rStyle w:val="Bold"/>
        </w:rPr>
        <w:t>7</w:t>
      </w:r>
      <w:r w:rsidR="00B11734" w:rsidRPr="00B11734">
        <w:t>.</w:t>
      </w:r>
    </w:p>
    <w:p w:rsidR="00B11734" w:rsidRPr="00B11734" w:rsidRDefault="00B11734" w:rsidP="00B11734">
      <w:r>
        <w:t>Interested parties should send s</w:t>
      </w:r>
      <w:r w:rsidRPr="00B11734">
        <w:t xml:space="preserve">ubmissions electronically </w:t>
      </w:r>
      <w:proofErr w:type="gramStart"/>
      <w:r w:rsidRPr="00B11734">
        <w:t>to:</w:t>
      </w:r>
      <w:proofErr w:type="gramEnd"/>
      <w:r w:rsidRPr="00B11734">
        <w:t xml:space="preserve"> </w:t>
      </w:r>
      <w:hyperlink r:id="rId12" w:history="1">
        <w:r w:rsidRPr="00723547">
          <w:rPr>
            <w:rStyle w:val="Hyperlink"/>
          </w:rPr>
          <w:t>DM@aer.gov.au</w:t>
        </w:r>
      </w:hyperlink>
      <w:r>
        <w:t xml:space="preserve">. </w:t>
      </w:r>
    </w:p>
    <w:p w:rsidR="00B11734" w:rsidRPr="00CC31C5" w:rsidRDefault="00B11734" w:rsidP="00CC31C5">
      <w:pPr>
        <w:rPr>
          <w:rStyle w:val="AERbody"/>
        </w:rPr>
      </w:pPr>
      <w:r w:rsidRPr="00CC31C5">
        <w:rPr>
          <w:rStyle w:val="AERbody"/>
        </w:rPr>
        <w:t xml:space="preserve">Alternatively, </w:t>
      </w:r>
      <w:r w:rsidR="007925FB" w:rsidRPr="00CC31C5">
        <w:rPr>
          <w:rStyle w:val="AERbody"/>
        </w:rPr>
        <w:t xml:space="preserve">people can mail </w:t>
      </w:r>
      <w:r w:rsidRPr="00CC31C5">
        <w:rPr>
          <w:rStyle w:val="AERbody"/>
        </w:rPr>
        <w:t xml:space="preserve">submissions </w:t>
      </w:r>
      <w:proofErr w:type="gramStart"/>
      <w:r w:rsidRPr="00CC31C5">
        <w:rPr>
          <w:rStyle w:val="AERbody"/>
        </w:rPr>
        <w:t>to</w:t>
      </w:r>
      <w:proofErr w:type="gramEnd"/>
      <w:r w:rsidRPr="00CC31C5">
        <w:rPr>
          <w:rStyle w:val="AERbody"/>
        </w:rPr>
        <w:t>:</w:t>
      </w:r>
    </w:p>
    <w:p w:rsidR="00B11734" w:rsidRPr="007925FB" w:rsidRDefault="00B11734" w:rsidP="00CC31C5">
      <w:r w:rsidRPr="007925FB">
        <w:t xml:space="preserve">Mr </w:t>
      </w:r>
      <w:r w:rsidR="007925FB" w:rsidRPr="007925FB">
        <w:t xml:space="preserve">Warwick </w:t>
      </w:r>
      <w:r w:rsidR="007925FB" w:rsidRPr="00CC31C5">
        <w:rPr>
          <w:rStyle w:val="AERbody"/>
        </w:rPr>
        <w:t>Anderson</w:t>
      </w:r>
    </w:p>
    <w:p w:rsidR="00B11734" w:rsidRPr="007925FB" w:rsidRDefault="00B11734" w:rsidP="007925FB">
      <w:pPr>
        <w:pStyle w:val="E-mailSignature"/>
      </w:pPr>
      <w:r w:rsidRPr="007925FB">
        <w:t>General Manager, Network</w:t>
      </w:r>
      <w:r w:rsidR="007925FB" w:rsidRPr="007925FB">
        <w:t xml:space="preserve"> Finance and Reporting</w:t>
      </w:r>
    </w:p>
    <w:p w:rsidR="00B11734" w:rsidRPr="007925FB" w:rsidRDefault="00B11734" w:rsidP="007925FB">
      <w:pPr>
        <w:pStyle w:val="E-mailSignature"/>
      </w:pPr>
      <w:r w:rsidRPr="007925FB">
        <w:t>Australian Energy Regulator</w:t>
      </w:r>
    </w:p>
    <w:p w:rsidR="00B11734" w:rsidRPr="007925FB" w:rsidRDefault="007925FB" w:rsidP="007925FB">
      <w:pPr>
        <w:pStyle w:val="E-mailSignature"/>
      </w:pPr>
      <w:r w:rsidRPr="007925FB">
        <w:t>GPO Box 3131</w:t>
      </w:r>
    </w:p>
    <w:p w:rsidR="00B11734" w:rsidRPr="007925FB" w:rsidRDefault="00F0239F" w:rsidP="007925FB">
      <w:pPr>
        <w:pStyle w:val="E-mailSignature"/>
      </w:pPr>
      <w:r w:rsidRPr="007925FB">
        <w:t>Canberra ACT 2601</w:t>
      </w:r>
    </w:p>
    <w:p w:rsidR="00B11734" w:rsidRPr="00B11734" w:rsidRDefault="001E57BD" w:rsidP="00B11734">
      <w:r>
        <w:t>We prefer</w:t>
      </w:r>
      <w:r w:rsidR="00B11734" w:rsidRPr="00B11734">
        <w:t xml:space="preserve"> that all submissions be publicly available to facilitate an informed and transparent consultative process. </w:t>
      </w:r>
      <w:r w:rsidR="007925FB">
        <w:t>We will treat s</w:t>
      </w:r>
      <w:r w:rsidR="00B11734" w:rsidRPr="00B11734">
        <w:t>ubmissions as public documents unless otherwise requested.</w:t>
      </w:r>
    </w:p>
    <w:p w:rsidR="00B11734" w:rsidRPr="00B11734" w:rsidRDefault="007925FB" w:rsidP="00B11734">
      <w:r>
        <w:t>We request p</w:t>
      </w:r>
      <w:r w:rsidR="00B11734" w:rsidRPr="00B11734">
        <w:t xml:space="preserve">arties wishing to submit confidential information </w:t>
      </w:r>
      <w:proofErr w:type="gramStart"/>
      <w:r w:rsidR="00B11734" w:rsidRPr="00B11734">
        <w:t>to</w:t>
      </w:r>
      <w:proofErr w:type="gramEnd"/>
      <w:r w:rsidR="00B11734" w:rsidRPr="00B11734">
        <w:t>:</w:t>
      </w:r>
    </w:p>
    <w:p w:rsidR="00B11734" w:rsidRPr="00B11734" w:rsidRDefault="007925FB" w:rsidP="007925FB">
      <w:pPr>
        <w:pStyle w:val="AERbulletlistfirststyle"/>
      </w:pPr>
      <w:r>
        <w:t>Cl</w:t>
      </w:r>
      <w:r w:rsidR="00B11734" w:rsidRPr="00B11734">
        <w:t>early identify the information that is the subject of the confidentiality claim</w:t>
      </w:r>
      <w:r>
        <w:t>.</w:t>
      </w:r>
    </w:p>
    <w:p w:rsidR="00B11734" w:rsidRPr="00B11734" w:rsidRDefault="007925FB" w:rsidP="007925FB">
      <w:pPr>
        <w:pStyle w:val="AERbulletlistfirststyle"/>
      </w:pPr>
      <w:r>
        <w:t>P</w:t>
      </w:r>
      <w:r w:rsidR="00B11734" w:rsidRPr="00B11734">
        <w:t>rovide a non-confidential version of the submission in a form suitable for publication.</w:t>
      </w:r>
    </w:p>
    <w:p w:rsidR="00B11734" w:rsidRPr="00B11734" w:rsidRDefault="007925FB" w:rsidP="00B11734">
      <w:r>
        <w:t>We will place a</w:t>
      </w:r>
      <w:r w:rsidR="00B11734" w:rsidRPr="00B11734">
        <w:t xml:space="preserve">ll non-confidential submissions </w:t>
      </w:r>
      <w:r w:rsidR="001E57BD">
        <w:t>on our</w:t>
      </w:r>
      <w:r w:rsidR="00B11734" w:rsidRPr="00B11734">
        <w:t xml:space="preserve"> website at www.aer.gov.au. For further information regarding </w:t>
      </w:r>
      <w:r w:rsidR="001E57BD">
        <w:t>our use</w:t>
      </w:r>
      <w:r w:rsidR="00B11734" w:rsidRPr="00B11734">
        <w:t xml:space="preserve"> and disclosu</w:t>
      </w:r>
      <w:r w:rsidR="001E57BD">
        <w:t>re of information provided to us</w:t>
      </w:r>
      <w:r w:rsidR="00B11734" w:rsidRPr="00B11734">
        <w:t xml:space="preserve">, see the ACCC/AER Information Policy, June 2014 available on </w:t>
      </w:r>
      <w:r w:rsidR="001E57BD">
        <w:t>our</w:t>
      </w:r>
      <w:r w:rsidR="00B11734" w:rsidRPr="00B11734">
        <w:t xml:space="preserve"> website.</w:t>
      </w:r>
    </w:p>
    <w:p w:rsidR="00B11734" w:rsidRDefault="007925FB" w:rsidP="00B11734">
      <w:r>
        <w:t>Please direct e</w:t>
      </w:r>
      <w:r w:rsidR="00B11734" w:rsidRPr="00B11734">
        <w:t xml:space="preserve">nquiries about this paper, or about lodging submissions, to </w:t>
      </w:r>
      <w:hyperlink r:id="rId13" w:history="1">
        <w:r w:rsidR="001E57BD" w:rsidRPr="00723547">
          <w:rPr>
            <w:rStyle w:val="Hyperlink"/>
          </w:rPr>
          <w:t>DM@aer.gov.au</w:t>
        </w:r>
      </w:hyperlink>
      <w:r w:rsidR="001E57BD">
        <w:t xml:space="preserve"> or to</w:t>
      </w:r>
      <w:r w:rsidR="00150CC3">
        <w:t xml:space="preserve"> Lisa Beckmann on (02) 9230 9164</w:t>
      </w:r>
      <w:r w:rsidR="00B11734" w:rsidRPr="00B11734">
        <w:t>.</w:t>
      </w:r>
    </w:p>
    <w:p w:rsidR="00B11734" w:rsidRPr="00B11734" w:rsidRDefault="00B11734" w:rsidP="00B11734">
      <w:pPr>
        <w:rPr>
          <w:rStyle w:val="AERbody"/>
        </w:rPr>
      </w:pPr>
    </w:p>
    <w:p w:rsidR="007925FB" w:rsidRDefault="007925FB" w:rsidP="007925FB">
      <w:pPr>
        <w:pStyle w:val="UnnumberedHeading"/>
      </w:pPr>
      <w:bookmarkStart w:id="3" w:name="_Toc491422166"/>
      <w:r>
        <w:lastRenderedPageBreak/>
        <w:t>Shortened forms</w:t>
      </w:r>
      <w:r w:rsidR="00EB22C0">
        <w:t xml:space="preserve"> and glossary</w:t>
      </w:r>
      <w:bookmarkEnd w:id="3"/>
    </w:p>
    <w:tbl>
      <w:tblPr>
        <w:tblStyle w:val="AERtable-text0"/>
        <w:tblW w:w="0" w:type="auto"/>
        <w:tblLook w:val="04A0" w:firstRow="1" w:lastRow="0" w:firstColumn="1" w:lastColumn="0" w:noHBand="0" w:noVBand="1"/>
      </w:tblPr>
      <w:tblGrid>
        <w:gridCol w:w="4340"/>
        <w:gridCol w:w="4353"/>
      </w:tblGrid>
      <w:tr w:rsidR="009259BD" w:rsidRPr="0087648F" w:rsidTr="00755DFD">
        <w:trPr>
          <w:cnfStyle w:val="100000000000" w:firstRow="1" w:lastRow="0" w:firstColumn="0" w:lastColumn="0" w:oddVBand="0" w:evenVBand="0" w:oddHBand="0" w:evenHBand="0" w:firstRowFirstColumn="0" w:firstRowLastColumn="0" w:lastRowFirstColumn="0" w:lastRowLastColumn="0"/>
          <w:tblHeader/>
        </w:trPr>
        <w:tc>
          <w:tcPr>
            <w:tcW w:w="4340" w:type="dxa"/>
          </w:tcPr>
          <w:p w:rsidR="009259BD" w:rsidRPr="009259BD" w:rsidRDefault="009259BD" w:rsidP="001331C2">
            <w:r>
              <w:t>Short</w:t>
            </w:r>
            <w:r w:rsidRPr="009259BD">
              <w:t xml:space="preserve">ened form </w:t>
            </w:r>
          </w:p>
        </w:tc>
        <w:tc>
          <w:tcPr>
            <w:tcW w:w="4353" w:type="dxa"/>
          </w:tcPr>
          <w:p w:rsidR="009259BD" w:rsidRPr="009259BD" w:rsidRDefault="009259BD" w:rsidP="001331C2">
            <w:r>
              <w:t>Extended form</w:t>
            </w:r>
            <w:r w:rsidRPr="009259BD">
              <w:t xml:space="preserve"> </w:t>
            </w:r>
          </w:p>
        </w:tc>
      </w:tr>
      <w:tr w:rsidR="009259BD" w:rsidTr="00755DFD">
        <w:tc>
          <w:tcPr>
            <w:tcW w:w="4340" w:type="dxa"/>
          </w:tcPr>
          <w:p w:rsidR="009259BD" w:rsidRPr="009259BD" w:rsidRDefault="009259BD" w:rsidP="009259BD">
            <w:pPr>
              <w:pStyle w:val="AERtabletextleft"/>
              <w:rPr>
                <w:rStyle w:val="AERtextsize8"/>
              </w:rPr>
            </w:pPr>
            <w:r w:rsidRPr="00712239">
              <w:rPr>
                <w:rStyle w:val="AERtextsize8"/>
              </w:rPr>
              <w:t>AEMC</w:t>
            </w:r>
          </w:p>
        </w:tc>
        <w:tc>
          <w:tcPr>
            <w:tcW w:w="4353" w:type="dxa"/>
          </w:tcPr>
          <w:p w:rsidR="009259BD" w:rsidRPr="009259BD" w:rsidRDefault="009259BD" w:rsidP="009259BD">
            <w:pPr>
              <w:pStyle w:val="AERtabletextleft"/>
              <w:rPr>
                <w:rStyle w:val="AERtextsize8"/>
              </w:rPr>
            </w:pPr>
            <w:r w:rsidRPr="00712239">
              <w:rPr>
                <w:rStyle w:val="AERtextsize8"/>
              </w:rPr>
              <w:t>Australian Energy Market Commission</w:t>
            </w:r>
          </w:p>
        </w:tc>
      </w:tr>
      <w:tr w:rsidR="009259BD"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9259BD" w:rsidRPr="009259BD" w:rsidRDefault="009259BD" w:rsidP="009259BD">
            <w:pPr>
              <w:pStyle w:val="AERtabletextleft"/>
              <w:rPr>
                <w:rStyle w:val="AERtextsize8"/>
              </w:rPr>
            </w:pPr>
            <w:r w:rsidRPr="00712239">
              <w:rPr>
                <w:rStyle w:val="AERtextsize8"/>
              </w:rPr>
              <w:t>AER</w:t>
            </w:r>
          </w:p>
        </w:tc>
        <w:tc>
          <w:tcPr>
            <w:tcW w:w="4353" w:type="dxa"/>
          </w:tcPr>
          <w:p w:rsidR="009259BD" w:rsidRPr="009259BD" w:rsidRDefault="009259BD" w:rsidP="009259BD">
            <w:pPr>
              <w:pStyle w:val="AERtabletextleft"/>
              <w:rPr>
                <w:rStyle w:val="AERtextsize8"/>
              </w:rPr>
            </w:pPr>
            <w:r w:rsidRPr="00712239">
              <w:rPr>
                <w:rStyle w:val="AERtextsize8"/>
              </w:rPr>
              <w:t xml:space="preserve">Australian Energy </w:t>
            </w:r>
            <w:r w:rsidRPr="009259BD">
              <w:rPr>
                <w:rStyle w:val="AERtextsize8"/>
              </w:rPr>
              <w:t>Regulator</w:t>
            </w:r>
          </w:p>
        </w:tc>
      </w:tr>
      <w:tr w:rsidR="0093456A" w:rsidTr="00F64A4E">
        <w:trPr>
          <w:trHeight w:val="438"/>
        </w:trPr>
        <w:tc>
          <w:tcPr>
            <w:tcW w:w="4340" w:type="dxa"/>
          </w:tcPr>
          <w:p w:rsidR="0093456A" w:rsidRPr="0093456A" w:rsidRDefault="00A620EA" w:rsidP="0093456A">
            <w:pPr>
              <w:pStyle w:val="AERtabletextleft"/>
              <w:rPr>
                <w:rStyle w:val="AERtextsize8"/>
              </w:rPr>
            </w:pPr>
            <w:proofErr w:type="spellStart"/>
            <w:r>
              <w:rPr>
                <w:rStyle w:val="AERtextsize8"/>
              </w:rPr>
              <w:t>capex</w:t>
            </w:r>
            <w:proofErr w:type="spellEnd"/>
          </w:p>
        </w:tc>
        <w:tc>
          <w:tcPr>
            <w:tcW w:w="4353" w:type="dxa"/>
          </w:tcPr>
          <w:p w:rsidR="0093456A" w:rsidRPr="0093456A" w:rsidRDefault="00A620EA" w:rsidP="0093456A">
            <w:pPr>
              <w:pStyle w:val="AERtabletextleft"/>
              <w:rPr>
                <w:rStyle w:val="AERtextsize8"/>
              </w:rPr>
            </w:pPr>
            <w:r>
              <w:rPr>
                <w:rStyle w:val="AERtextsize8"/>
              </w:rPr>
              <w:t>capital expenditure</w:t>
            </w:r>
          </w:p>
        </w:tc>
      </w:tr>
      <w:tr w:rsidR="0093456A" w:rsidTr="00F64A4E">
        <w:trPr>
          <w:cnfStyle w:val="000000010000" w:firstRow="0" w:lastRow="0" w:firstColumn="0" w:lastColumn="0" w:oddVBand="0" w:evenVBand="0" w:oddHBand="0" w:evenHBand="1" w:firstRowFirstColumn="0" w:firstRowLastColumn="0" w:lastRowFirstColumn="0" w:lastRowLastColumn="0"/>
          <w:trHeight w:val="438"/>
        </w:trPr>
        <w:tc>
          <w:tcPr>
            <w:tcW w:w="4340" w:type="dxa"/>
          </w:tcPr>
          <w:p w:rsidR="0093456A" w:rsidRPr="0093456A" w:rsidRDefault="0093456A" w:rsidP="0093456A">
            <w:pPr>
              <w:pStyle w:val="AERtabletextleft"/>
              <w:rPr>
                <w:rStyle w:val="AERtextsize8"/>
              </w:rPr>
            </w:pPr>
            <w:r w:rsidRPr="00BD5DE2">
              <w:rPr>
                <w:rStyle w:val="AERtextsize8"/>
              </w:rPr>
              <w:t xml:space="preserve">CESS </w:t>
            </w:r>
          </w:p>
        </w:tc>
        <w:tc>
          <w:tcPr>
            <w:tcW w:w="4353" w:type="dxa"/>
          </w:tcPr>
          <w:p w:rsidR="0093456A" w:rsidRPr="0093456A" w:rsidRDefault="0093456A" w:rsidP="0093456A">
            <w:pPr>
              <w:pStyle w:val="AERtabletextleft"/>
              <w:rPr>
                <w:rStyle w:val="AERtextsize8"/>
              </w:rPr>
            </w:pPr>
            <w:r w:rsidRPr="00BD5DE2">
              <w:rPr>
                <w:rStyle w:val="AERtextsize8"/>
              </w:rPr>
              <w:t>Capital Expenditure Sharing Scheme</w:t>
            </w:r>
          </w:p>
        </w:tc>
      </w:tr>
      <w:tr w:rsidR="0093456A" w:rsidTr="00F64A4E">
        <w:trPr>
          <w:trHeight w:val="438"/>
        </w:trPr>
        <w:tc>
          <w:tcPr>
            <w:tcW w:w="4340" w:type="dxa"/>
          </w:tcPr>
          <w:p w:rsidR="0093456A" w:rsidRPr="0093456A" w:rsidRDefault="0093456A" w:rsidP="0093456A">
            <w:pPr>
              <w:pStyle w:val="AERtabletextleft"/>
              <w:rPr>
                <w:rStyle w:val="AERtextsize8"/>
              </w:rPr>
            </w:pPr>
            <w:r w:rsidRPr="00E9291E">
              <w:rPr>
                <w:rStyle w:val="AERtextsize8"/>
              </w:rPr>
              <w:t>COAG Energy Council</w:t>
            </w:r>
          </w:p>
        </w:tc>
        <w:tc>
          <w:tcPr>
            <w:tcW w:w="4353" w:type="dxa"/>
          </w:tcPr>
          <w:p w:rsidR="0093456A" w:rsidRPr="0093456A" w:rsidRDefault="0093456A" w:rsidP="0093456A">
            <w:pPr>
              <w:pStyle w:val="AERtabletextleft"/>
              <w:rPr>
                <w:rStyle w:val="AERtextsize8"/>
              </w:rPr>
            </w:pPr>
            <w:r>
              <w:rPr>
                <w:rStyle w:val="AERtextsize8"/>
              </w:rPr>
              <w:t>Council of Australian Governments Energy Council</w:t>
            </w:r>
          </w:p>
        </w:tc>
      </w:tr>
      <w:tr w:rsidR="0093456A"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93456A" w:rsidRPr="0093456A" w:rsidRDefault="0093456A" w:rsidP="0093456A">
            <w:pPr>
              <w:pStyle w:val="AERtabletextleft"/>
              <w:rPr>
                <w:rStyle w:val="AERtextsize8"/>
              </w:rPr>
            </w:pPr>
            <w:r>
              <w:rPr>
                <w:rStyle w:val="AERtextsize8"/>
              </w:rPr>
              <w:t>distributor</w:t>
            </w:r>
          </w:p>
        </w:tc>
        <w:tc>
          <w:tcPr>
            <w:tcW w:w="4353" w:type="dxa"/>
          </w:tcPr>
          <w:p w:rsidR="0093456A" w:rsidRPr="0093456A" w:rsidRDefault="0093456A" w:rsidP="0093456A">
            <w:pPr>
              <w:pStyle w:val="AERtabletextleft"/>
              <w:rPr>
                <w:rStyle w:val="AERtextsize8"/>
              </w:rPr>
            </w:pPr>
            <w:r>
              <w:rPr>
                <w:rStyle w:val="AERtextsize8"/>
              </w:rPr>
              <w:t xml:space="preserve">Distribution </w:t>
            </w:r>
            <w:r w:rsidRPr="0093456A">
              <w:rPr>
                <w:rStyle w:val="AERtextsize8"/>
              </w:rPr>
              <w:t>network service provider</w:t>
            </w:r>
          </w:p>
        </w:tc>
      </w:tr>
      <w:tr w:rsidR="0093456A" w:rsidTr="00755DFD">
        <w:tc>
          <w:tcPr>
            <w:tcW w:w="4340" w:type="dxa"/>
          </w:tcPr>
          <w:p w:rsidR="0093456A" w:rsidRPr="0093456A" w:rsidRDefault="0093456A" w:rsidP="0093456A">
            <w:pPr>
              <w:pStyle w:val="AERtabletextleft"/>
              <w:rPr>
                <w:rStyle w:val="AERtextsize8"/>
              </w:rPr>
            </w:pPr>
            <w:r w:rsidRPr="00BD5DE2">
              <w:rPr>
                <w:rStyle w:val="AERtextsize8"/>
              </w:rPr>
              <w:t>EBSS</w:t>
            </w:r>
          </w:p>
        </w:tc>
        <w:tc>
          <w:tcPr>
            <w:tcW w:w="4353" w:type="dxa"/>
          </w:tcPr>
          <w:p w:rsidR="0093456A" w:rsidRPr="0093456A" w:rsidRDefault="0093456A" w:rsidP="0093456A">
            <w:pPr>
              <w:pStyle w:val="AERtabletextleft"/>
              <w:rPr>
                <w:rStyle w:val="AERtextsize8"/>
              </w:rPr>
            </w:pPr>
            <w:r w:rsidRPr="00BD5DE2">
              <w:rPr>
                <w:rStyle w:val="AERtextsize8"/>
              </w:rPr>
              <w:t xml:space="preserve">Efficiency Benefit Sharing Scheme </w:t>
            </w:r>
          </w:p>
        </w:tc>
      </w:tr>
      <w:tr w:rsidR="00DE72CE"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DE72CE" w:rsidRPr="00DE72CE" w:rsidRDefault="00DE72CE" w:rsidP="00DE72CE">
            <w:pPr>
              <w:pStyle w:val="AERtabletextleft"/>
              <w:rPr>
                <w:rStyle w:val="AERtextsize8"/>
              </w:rPr>
            </w:pPr>
            <w:r>
              <w:rPr>
                <w:rStyle w:val="AERtextsize8"/>
              </w:rPr>
              <w:t>Mechanism</w:t>
            </w:r>
          </w:p>
        </w:tc>
        <w:tc>
          <w:tcPr>
            <w:tcW w:w="4353" w:type="dxa"/>
          </w:tcPr>
          <w:p w:rsidR="00DE72CE" w:rsidRPr="00DE72CE" w:rsidRDefault="00DE72CE" w:rsidP="00DE72CE">
            <w:pPr>
              <w:pStyle w:val="AERtabletextleft"/>
              <w:rPr>
                <w:rStyle w:val="AERtextsize8"/>
              </w:rPr>
            </w:pPr>
            <w:r>
              <w:rPr>
                <w:rStyle w:val="AERtextsize8"/>
              </w:rPr>
              <w:t xml:space="preserve">Demand </w:t>
            </w:r>
            <w:r w:rsidRPr="00DE72CE">
              <w:rPr>
                <w:rStyle w:val="AERtextsize8"/>
              </w:rPr>
              <w:t>Management Innovation Allowance Mechanism</w:t>
            </w:r>
          </w:p>
        </w:tc>
      </w:tr>
      <w:tr w:rsidR="00DE72CE" w:rsidTr="00755DFD">
        <w:tc>
          <w:tcPr>
            <w:tcW w:w="4340" w:type="dxa"/>
          </w:tcPr>
          <w:p w:rsidR="00DE72CE" w:rsidRPr="00DE72CE" w:rsidRDefault="00DE72CE" w:rsidP="00DE72CE">
            <w:pPr>
              <w:pStyle w:val="AERtabletextleft"/>
              <w:rPr>
                <w:rStyle w:val="AERtextsize8"/>
              </w:rPr>
            </w:pPr>
            <w:r>
              <w:rPr>
                <w:rStyle w:val="AERtextsize8"/>
              </w:rPr>
              <w:t>NEO</w:t>
            </w:r>
          </w:p>
        </w:tc>
        <w:tc>
          <w:tcPr>
            <w:tcW w:w="4353" w:type="dxa"/>
          </w:tcPr>
          <w:p w:rsidR="00DE72CE" w:rsidRPr="00DE72CE" w:rsidRDefault="00DE72CE" w:rsidP="00DE72CE">
            <w:pPr>
              <w:pStyle w:val="AERtabletextleft"/>
              <w:rPr>
                <w:rStyle w:val="AERtextsize8"/>
              </w:rPr>
            </w:pPr>
            <w:r>
              <w:rPr>
                <w:rStyle w:val="AERtextsize8"/>
              </w:rPr>
              <w:t>National Electricity Objective</w:t>
            </w:r>
          </w:p>
        </w:tc>
      </w:tr>
      <w:tr w:rsidR="00DE72CE"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DE72CE" w:rsidRPr="00DE72CE" w:rsidRDefault="00DE72CE" w:rsidP="00DE72CE">
            <w:pPr>
              <w:pStyle w:val="AERtabletextleft"/>
              <w:rPr>
                <w:rStyle w:val="AERtextsize8"/>
              </w:rPr>
            </w:pPr>
            <w:r>
              <w:rPr>
                <w:rStyle w:val="AERtextsize8"/>
              </w:rPr>
              <w:t>NER</w:t>
            </w:r>
          </w:p>
        </w:tc>
        <w:tc>
          <w:tcPr>
            <w:tcW w:w="4353" w:type="dxa"/>
          </w:tcPr>
          <w:p w:rsidR="00DE72CE" w:rsidRPr="00DE72CE" w:rsidRDefault="00DE72CE" w:rsidP="00DE72CE">
            <w:pPr>
              <w:pStyle w:val="AERtabletextleft"/>
              <w:rPr>
                <w:rStyle w:val="AERtextsize8"/>
              </w:rPr>
            </w:pPr>
            <w:r>
              <w:rPr>
                <w:rStyle w:val="AERtextsize8"/>
              </w:rPr>
              <w:t>N</w:t>
            </w:r>
            <w:r w:rsidRPr="00DE72CE">
              <w:rPr>
                <w:rStyle w:val="AERtextsize8"/>
              </w:rPr>
              <w:t>ational Electricity Rules</w:t>
            </w:r>
          </w:p>
        </w:tc>
      </w:tr>
      <w:tr w:rsidR="00A620EA" w:rsidTr="00755DFD">
        <w:tc>
          <w:tcPr>
            <w:tcW w:w="4340" w:type="dxa"/>
          </w:tcPr>
          <w:p w:rsidR="00A620EA" w:rsidRDefault="00A620EA" w:rsidP="00DE72CE">
            <w:pPr>
              <w:pStyle w:val="AERtabletextleft"/>
              <w:rPr>
                <w:rStyle w:val="AERtextsize8"/>
              </w:rPr>
            </w:pPr>
            <w:r>
              <w:rPr>
                <w:rStyle w:val="AERtextsize8"/>
              </w:rPr>
              <w:t>opex</w:t>
            </w:r>
          </w:p>
        </w:tc>
        <w:tc>
          <w:tcPr>
            <w:tcW w:w="4353" w:type="dxa"/>
          </w:tcPr>
          <w:p w:rsidR="00A620EA" w:rsidRDefault="00A620EA" w:rsidP="00DE72CE">
            <w:pPr>
              <w:pStyle w:val="AERtabletextleft"/>
              <w:rPr>
                <w:rStyle w:val="AERtextsize8"/>
              </w:rPr>
            </w:pPr>
            <w:r>
              <w:rPr>
                <w:rStyle w:val="AERtextsize8"/>
              </w:rPr>
              <w:t>operating expenditure</w:t>
            </w:r>
          </w:p>
        </w:tc>
      </w:tr>
      <w:tr w:rsidR="00DE72CE"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DE72CE" w:rsidRPr="00DE72CE" w:rsidRDefault="00DE72CE" w:rsidP="00DE72CE">
            <w:pPr>
              <w:pStyle w:val="AERtabletextleft"/>
              <w:rPr>
                <w:rStyle w:val="AERtextsize8"/>
              </w:rPr>
            </w:pPr>
            <w:r>
              <w:rPr>
                <w:rStyle w:val="AERtextsize8"/>
              </w:rPr>
              <w:t>RIT-D</w:t>
            </w:r>
          </w:p>
        </w:tc>
        <w:tc>
          <w:tcPr>
            <w:tcW w:w="4353" w:type="dxa"/>
          </w:tcPr>
          <w:p w:rsidR="00DE72CE" w:rsidRPr="00DE72CE" w:rsidRDefault="00DE72CE" w:rsidP="00DE72CE">
            <w:pPr>
              <w:pStyle w:val="AERtabletextleft"/>
              <w:rPr>
                <w:rStyle w:val="AERtextsize8"/>
              </w:rPr>
            </w:pPr>
            <w:r>
              <w:rPr>
                <w:rStyle w:val="AERtextsize8"/>
              </w:rPr>
              <w:t>Regulatory Investment Test for D</w:t>
            </w:r>
            <w:r w:rsidRPr="00DE72CE">
              <w:rPr>
                <w:rStyle w:val="AERtextsize8"/>
              </w:rPr>
              <w:t>istribution</w:t>
            </w:r>
          </w:p>
        </w:tc>
      </w:tr>
      <w:tr w:rsidR="00DE72CE" w:rsidTr="00755DFD">
        <w:tc>
          <w:tcPr>
            <w:tcW w:w="4340" w:type="dxa"/>
          </w:tcPr>
          <w:p w:rsidR="00DE72CE" w:rsidRPr="00DE72CE" w:rsidRDefault="00DE72CE" w:rsidP="00DE72CE">
            <w:pPr>
              <w:pStyle w:val="AERtabletextleft"/>
              <w:rPr>
                <w:rStyle w:val="AERtextsize8"/>
              </w:rPr>
            </w:pPr>
            <w:r>
              <w:rPr>
                <w:rStyle w:val="AERtextsize8"/>
              </w:rPr>
              <w:t>Scheme</w:t>
            </w:r>
          </w:p>
        </w:tc>
        <w:tc>
          <w:tcPr>
            <w:tcW w:w="4353" w:type="dxa"/>
          </w:tcPr>
          <w:p w:rsidR="00DE72CE" w:rsidRPr="00DE72CE" w:rsidRDefault="00DE72CE" w:rsidP="00DE72CE">
            <w:pPr>
              <w:pStyle w:val="AERtabletextleft"/>
              <w:rPr>
                <w:rStyle w:val="AERtextsize8"/>
              </w:rPr>
            </w:pPr>
            <w:r>
              <w:rPr>
                <w:rStyle w:val="AERtextsize8"/>
              </w:rPr>
              <w:t xml:space="preserve">Demand Management Incentive </w:t>
            </w:r>
            <w:r w:rsidRPr="00DE72CE">
              <w:rPr>
                <w:rStyle w:val="AERtextsize8"/>
              </w:rPr>
              <w:t>Scheme</w:t>
            </w:r>
          </w:p>
        </w:tc>
      </w:tr>
      <w:tr w:rsidR="00DE72CE"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DE72CE" w:rsidRPr="00DE72CE" w:rsidRDefault="00DE72CE" w:rsidP="00DE72CE">
            <w:pPr>
              <w:pStyle w:val="AERtabletextleft"/>
              <w:rPr>
                <w:rStyle w:val="AERtextsize8"/>
              </w:rPr>
            </w:pPr>
            <w:r>
              <w:rPr>
                <w:rStyle w:val="AERtextsize8"/>
              </w:rPr>
              <w:t>t</w:t>
            </w:r>
            <w:r w:rsidRPr="00DE72CE">
              <w:rPr>
                <w:rStyle w:val="AERtextsize8"/>
              </w:rPr>
              <w:t>he Scheme Objective</w:t>
            </w:r>
          </w:p>
        </w:tc>
        <w:tc>
          <w:tcPr>
            <w:tcW w:w="4353" w:type="dxa"/>
          </w:tcPr>
          <w:p w:rsidR="00DE72CE" w:rsidRPr="00DE72CE" w:rsidRDefault="00DE72CE" w:rsidP="00DE72CE">
            <w:pPr>
              <w:pStyle w:val="AERtabletextleft"/>
              <w:rPr>
                <w:rStyle w:val="AERtextsize8"/>
              </w:rPr>
            </w:pPr>
            <w:r>
              <w:rPr>
                <w:rStyle w:val="AERtextsize8"/>
              </w:rPr>
              <w:t>T</w:t>
            </w:r>
            <w:r w:rsidRPr="00DE72CE">
              <w:rPr>
                <w:rStyle w:val="AERtextsize8"/>
              </w:rPr>
              <w:t>he Demand Management Incentive Scheme objective</w:t>
            </w:r>
          </w:p>
        </w:tc>
      </w:tr>
      <w:tr w:rsidR="00DE72CE" w:rsidTr="00755DFD">
        <w:tc>
          <w:tcPr>
            <w:tcW w:w="4340" w:type="dxa"/>
          </w:tcPr>
          <w:p w:rsidR="00DE72CE" w:rsidRPr="00DE72CE" w:rsidRDefault="00DE72CE" w:rsidP="00DE72CE">
            <w:pPr>
              <w:pStyle w:val="AERtabletextleft"/>
              <w:rPr>
                <w:rStyle w:val="AERtextsize8"/>
              </w:rPr>
            </w:pPr>
            <w:r>
              <w:rPr>
                <w:rStyle w:val="AERtextsize8"/>
              </w:rPr>
              <w:t>STPIS</w:t>
            </w:r>
          </w:p>
        </w:tc>
        <w:tc>
          <w:tcPr>
            <w:tcW w:w="4353" w:type="dxa"/>
          </w:tcPr>
          <w:p w:rsidR="00DE72CE" w:rsidRPr="00DE72CE" w:rsidRDefault="00DE72CE" w:rsidP="00DE72CE">
            <w:pPr>
              <w:pStyle w:val="AERtabletextleft"/>
              <w:rPr>
                <w:rStyle w:val="AERtextsize8"/>
              </w:rPr>
            </w:pPr>
            <w:r>
              <w:rPr>
                <w:rStyle w:val="AERtextsize8"/>
              </w:rPr>
              <w:t>Service Target Performance Incentive Scheme</w:t>
            </w:r>
          </w:p>
        </w:tc>
      </w:tr>
    </w:tbl>
    <w:p w:rsidR="0044460C" w:rsidRPr="00A72B34" w:rsidRDefault="0044460C" w:rsidP="00584EA4">
      <w:pPr>
        <w:pStyle w:val="UnnumberedHeading"/>
      </w:pPr>
      <w:bookmarkStart w:id="4" w:name="_Toc403144133"/>
      <w:bookmarkStart w:id="5" w:name="_Toc491422167"/>
      <w:bookmarkStart w:id="6" w:name="_Toc432083534"/>
      <w:bookmarkStart w:id="7" w:name="_Toc433787709"/>
      <w:bookmarkStart w:id="8" w:name="_Toc404153950"/>
      <w:bookmarkStart w:id="9" w:name="_Toc404437593"/>
      <w:r>
        <w:lastRenderedPageBreak/>
        <w:t>Contents</w:t>
      </w:r>
      <w:bookmarkEnd w:id="4"/>
      <w:bookmarkEnd w:id="5"/>
    </w:p>
    <w:sdt>
      <w:sdtPr>
        <w:id w:val="1269200322"/>
        <w:docPartObj>
          <w:docPartGallery w:val="Table of Contents"/>
          <w:docPartUnique/>
        </w:docPartObj>
      </w:sdtPr>
      <w:sdtEndPr/>
      <w:sdtContent>
        <w:p w:rsidR="00101285" w:rsidRDefault="0044460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91422165" w:history="1">
            <w:r w:rsidR="00101285" w:rsidRPr="00207D34">
              <w:rPr>
                <w:rStyle w:val="Hyperlink"/>
              </w:rPr>
              <w:t>Request for submissions</w:t>
            </w:r>
            <w:r w:rsidR="00101285">
              <w:rPr>
                <w:webHidden/>
              </w:rPr>
              <w:tab/>
            </w:r>
            <w:r w:rsidR="00101285">
              <w:rPr>
                <w:webHidden/>
              </w:rPr>
              <w:fldChar w:fldCharType="begin"/>
            </w:r>
            <w:r w:rsidR="00101285">
              <w:rPr>
                <w:webHidden/>
              </w:rPr>
              <w:instrText xml:space="preserve"> PAGEREF _Toc491422165 \h </w:instrText>
            </w:r>
            <w:r w:rsidR="00101285">
              <w:rPr>
                <w:webHidden/>
              </w:rPr>
            </w:r>
            <w:r w:rsidR="00101285">
              <w:rPr>
                <w:webHidden/>
              </w:rPr>
              <w:fldChar w:fldCharType="separate"/>
            </w:r>
            <w:r w:rsidR="00FD1524">
              <w:rPr>
                <w:webHidden/>
              </w:rPr>
              <w:t>3</w:t>
            </w:r>
            <w:r w:rsidR="00101285">
              <w:rPr>
                <w:webHidden/>
              </w:rPr>
              <w:fldChar w:fldCharType="end"/>
            </w:r>
          </w:hyperlink>
        </w:p>
        <w:p w:rsidR="00101285" w:rsidRDefault="00726564">
          <w:pPr>
            <w:pStyle w:val="TOC1"/>
            <w:rPr>
              <w:rFonts w:asciiTheme="minorHAnsi" w:eastAsiaTheme="minorEastAsia" w:hAnsiTheme="minorHAnsi"/>
              <w:b w:val="0"/>
              <w:color w:val="auto"/>
              <w:sz w:val="22"/>
              <w:lang w:val="en-AU" w:eastAsia="en-AU"/>
            </w:rPr>
          </w:pPr>
          <w:hyperlink w:anchor="_Toc491422166" w:history="1">
            <w:r w:rsidR="00101285" w:rsidRPr="00207D34">
              <w:rPr>
                <w:rStyle w:val="Hyperlink"/>
              </w:rPr>
              <w:t>Shortened forms and glossary</w:t>
            </w:r>
            <w:r w:rsidR="00101285">
              <w:rPr>
                <w:webHidden/>
              </w:rPr>
              <w:tab/>
            </w:r>
            <w:r w:rsidR="00101285">
              <w:rPr>
                <w:webHidden/>
              </w:rPr>
              <w:fldChar w:fldCharType="begin"/>
            </w:r>
            <w:r w:rsidR="00101285">
              <w:rPr>
                <w:webHidden/>
              </w:rPr>
              <w:instrText xml:space="preserve"> PAGEREF _Toc491422166 \h </w:instrText>
            </w:r>
            <w:r w:rsidR="00101285">
              <w:rPr>
                <w:webHidden/>
              </w:rPr>
            </w:r>
            <w:r w:rsidR="00101285">
              <w:rPr>
                <w:webHidden/>
              </w:rPr>
              <w:fldChar w:fldCharType="separate"/>
            </w:r>
            <w:r w:rsidR="00FD1524">
              <w:rPr>
                <w:webHidden/>
              </w:rPr>
              <w:t>4</w:t>
            </w:r>
            <w:r w:rsidR="00101285">
              <w:rPr>
                <w:webHidden/>
              </w:rPr>
              <w:fldChar w:fldCharType="end"/>
            </w:r>
          </w:hyperlink>
        </w:p>
        <w:p w:rsidR="00101285" w:rsidRDefault="00726564">
          <w:pPr>
            <w:pStyle w:val="TOC1"/>
            <w:rPr>
              <w:rFonts w:asciiTheme="minorHAnsi" w:eastAsiaTheme="minorEastAsia" w:hAnsiTheme="minorHAnsi"/>
              <w:b w:val="0"/>
              <w:color w:val="auto"/>
              <w:sz w:val="22"/>
              <w:lang w:val="en-AU" w:eastAsia="en-AU"/>
            </w:rPr>
          </w:pPr>
          <w:hyperlink w:anchor="_Toc491422167" w:history="1">
            <w:r w:rsidR="00101285" w:rsidRPr="00207D34">
              <w:rPr>
                <w:rStyle w:val="Hyperlink"/>
              </w:rPr>
              <w:t>Contents</w:t>
            </w:r>
            <w:r w:rsidR="00101285">
              <w:rPr>
                <w:webHidden/>
              </w:rPr>
              <w:tab/>
            </w:r>
            <w:r w:rsidR="00101285">
              <w:rPr>
                <w:webHidden/>
              </w:rPr>
              <w:fldChar w:fldCharType="begin"/>
            </w:r>
            <w:r w:rsidR="00101285">
              <w:rPr>
                <w:webHidden/>
              </w:rPr>
              <w:instrText xml:space="preserve"> PAGEREF _Toc491422167 \h </w:instrText>
            </w:r>
            <w:r w:rsidR="00101285">
              <w:rPr>
                <w:webHidden/>
              </w:rPr>
            </w:r>
            <w:r w:rsidR="00101285">
              <w:rPr>
                <w:webHidden/>
              </w:rPr>
              <w:fldChar w:fldCharType="separate"/>
            </w:r>
            <w:r w:rsidR="00FD1524">
              <w:rPr>
                <w:webHidden/>
              </w:rPr>
              <w:t>5</w:t>
            </w:r>
            <w:r w:rsidR="00101285">
              <w:rPr>
                <w:webHidden/>
              </w:rPr>
              <w:fldChar w:fldCharType="end"/>
            </w:r>
          </w:hyperlink>
        </w:p>
        <w:p w:rsidR="00101285" w:rsidRDefault="00726564">
          <w:pPr>
            <w:pStyle w:val="TOC1"/>
            <w:rPr>
              <w:rFonts w:asciiTheme="minorHAnsi" w:eastAsiaTheme="minorEastAsia" w:hAnsiTheme="minorHAnsi"/>
              <w:b w:val="0"/>
              <w:color w:val="auto"/>
              <w:sz w:val="22"/>
              <w:lang w:val="en-AU" w:eastAsia="en-AU"/>
            </w:rPr>
          </w:pPr>
          <w:hyperlink w:anchor="_Toc491422168" w:history="1">
            <w:r w:rsidR="00101285" w:rsidRPr="00207D34">
              <w:rPr>
                <w:rStyle w:val="Hyperlink"/>
              </w:rPr>
              <w:t>1</w:t>
            </w:r>
            <w:r w:rsidR="00101285">
              <w:rPr>
                <w:rFonts w:asciiTheme="minorHAnsi" w:eastAsiaTheme="minorEastAsia" w:hAnsiTheme="minorHAnsi"/>
                <w:b w:val="0"/>
                <w:color w:val="auto"/>
                <w:sz w:val="22"/>
                <w:lang w:val="en-AU" w:eastAsia="en-AU"/>
              </w:rPr>
              <w:tab/>
            </w:r>
            <w:r w:rsidR="00101285" w:rsidRPr="00207D34">
              <w:rPr>
                <w:rStyle w:val="Hyperlink"/>
              </w:rPr>
              <w:t>Introduction</w:t>
            </w:r>
            <w:r w:rsidR="00101285">
              <w:rPr>
                <w:webHidden/>
              </w:rPr>
              <w:tab/>
            </w:r>
            <w:r w:rsidR="00101285">
              <w:rPr>
                <w:webHidden/>
              </w:rPr>
              <w:fldChar w:fldCharType="begin"/>
            </w:r>
            <w:r w:rsidR="00101285">
              <w:rPr>
                <w:webHidden/>
              </w:rPr>
              <w:instrText xml:space="preserve"> PAGEREF _Toc491422168 \h </w:instrText>
            </w:r>
            <w:r w:rsidR="00101285">
              <w:rPr>
                <w:webHidden/>
              </w:rPr>
            </w:r>
            <w:r w:rsidR="00101285">
              <w:rPr>
                <w:webHidden/>
              </w:rPr>
              <w:fldChar w:fldCharType="separate"/>
            </w:r>
            <w:r w:rsidR="00FD1524">
              <w:rPr>
                <w:webHidden/>
              </w:rPr>
              <w:t>6</w:t>
            </w:r>
            <w:r w:rsidR="00101285">
              <w:rPr>
                <w:webHidden/>
              </w:rPr>
              <w:fldChar w:fldCharType="end"/>
            </w:r>
          </w:hyperlink>
        </w:p>
        <w:p w:rsidR="00101285" w:rsidRDefault="00726564">
          <w:pPr>
            <w:pStyle w:val="TOC1"/>
            <w:rPr>
              <w:rFonts w:asciiTheme="minorHAnsi" w:eastAsiaTheme="minorEastAsia" w:hAnsiTheme="minorHAnsi"/>
              <w:b w:val="0"/>
              <w:color w:val="auto"/>
              <w:sz w:val="22"/>
              <w:lang w:val="en-AU" w:eastAsia="en-AU"/>
            </w:rPr>
          </w:pPr>
          <w:hyperlink w:anchor="_Toc491422169" w:history="1">
            <w:r w:rsidR="00101285" w:rsidRPr="00207D34">
              <w:rPr>
                <w:rStyle w:val="Hyperlink"/>
              </w:rPr>
              <w:t>2</w:t>
            </w:r>
            <w:r w:rsidR="00101285">
              <w:rPr>
                <w:rFonts w:asciiTheme="minorHAnsi" w:eastAsiaTheme="minorEastAsia" w:hAnsiTheme="minorHAnsi"/>
                <w:b w:val="0"/>
                <w:color w:val="auto"/>
                <w:sz w:val="22"/>
                <w:lang w:val="en-AU" w:eastAsia="en-AU"/>
              </w:rPr>
              <w:tab/>
            </w:r>
            <w:r w:rsidR="00101285" w:rsidRPr="00207D34">
              <w:rPr>
                <w:rStyle w:val="Hyperlink"/>
              </w:rPr>
              <w:t>Background to the new Scheme</w:t>
            </w:r>
            <w:r w:rsidR="00101285">
              <w:rPr>
                <w:webHidden/>
              </w:rPr>
              <w:tab/>
            </w:r>
            <w:r w:rsidR="00101285">
              <w:rPr>
                <w:webHidden/>
              </w:rPr>
              <w:fldChar w:fldCharType="begin"/>
            </w:r>
            <w:r w:rsidR="00101285">
              <w:rPr>
                <w:webHidden/>
              </w:rPr>
              <w:instrText xml:space="preserve"> PAGEREF _Toc491422169 \h </w:instrText>
            </w:r>
            <w:r w:rsidR="00101285">
              <w:rPr>
                <w:webHidden/>
              </w:rPr>
            </w:r>
            <w:r w:rsidR="00101285">
              <w:rPr>
                <w:webHidden/>
              </w:rPr>
              <w:fldChar w:fldCharType="separate"/>
            </w:r>
            <w:r w:rsidR="00FD1524">
              <w:rPr>
                <w:webHidden/>
              </w:rPr>
              <w:t>8</w:t>
            </w:r>
            <w:r w:rsidR="00101285">
              <w:rPr>
                <w:webHidden/>
              </w:rPr>
              <w:fldChar w:fldCharType="end"/>
            </w:r>
          </w:hyperlink>
        </w:p>
        <w:p w:rsidR="00101285" w:rsidRDefault="00726564">
          <w:pPr>
            <w:pStyle w:val="TOC2"/>
            <w:rPr>
              <w:rFonts w:asciiTheme="minorHAnsi" w:eastAsiaTheme="minorEastAsia" w:hAnsiTheme="minorHAnsi"/>
              <w:b w:val="0"/>
              <w:color w:val="auto"/>
              <w:sz w:val="22"/>
              <w:lang w:eastAsia="en-AU"/>
            </w:rPr>
          </w:pPr>
          <w:hyperlink w:anchor="_Toc491422170" w:history="1">
            <w:r w:rsidR="00101285" w:rsidRPr="00207D34">
              <w:rPr>
                <w:rStyle w:val="Hyperlink"/>
              </w:rPr>
              <w:t>2.1</w:t>
            </w:r>
            <w:r w:rsidR="00101285">
              <w:rPr>
                <w:rFonts w:asciiTheme="minorHAnsi" w:eastAsiaTheme="minorEastAsia" w:hAnsiTheme="minorHAnsi"/>
                <w:b w:val="0"/>
                <w:color w:val="auto"/>
                <w:sz w:val="22"/>
                <w:lang w:eastAsia="en-AU"/>
              </w:rPr>
              <w:tab/>
            </w:r>
            <w:r w:rsidR="00101285" w:rsidRPr="00207D34">
              <w:rPr>
                <w:rStyle w:val="Hyperlink"/>
              </w:rPr>
              <w:t>The design of the new Scheme</w:t>
            </w:r>
            <w:r w:rsidR="00101285">
              <w:rPr>
                <w:webHidden/>
              </w:rPr>
              <w:tab/>
            </w:r>
            <w:r w:rsidR="00101285">
              <w:rPr>
                <w:webHidden/>
              </w:rPr>
              <w:fldChar w:fldCharType="begin"/>
            </w:r>
            <w:r w:rsidR="00101285">
              <w:rPr>
                <w:webHidden/>
              </w:rPr>
              <w:instrText xml:space="preserve"> PAGEREF _Toc491422170 \h </w:instrText>
            </w:r>
            <w:r w:rsidR="00101285">
              <w:rPr>
                <w:webHidden/>
              </w:rPr>
            </w:r>
            <w:r w:rsidR="00101285">
              <w:rPr>
                <w:webHidden/>
              </w:rPr>
              <w:fldChar w:fldCharType="separate"/>
            </w:r>
            <w:r w:rsidR="00FD1524">
              <w:rPr>
                <w:webHidden/>
              </w:rPr>
              <w:t>9</w:t>
            </w:r>
            <w:r w:rsidR="00101285">
              <w:rPr>
                <w:webHidden/>
              </w:rPr>
              <w:fldChar w:fldCharType="end"/>
            </w:r>
          </w:hyperlink>
        </w:p>
        <w:p w:rsidR="00101285" w:rsidRDefault="00726564">
          <w:pPr>
            <w:pStyle w:val="TOC1"/>
            <w:rPr>
              <w:rFonts w:asciiTheme="minorHAnsi" w:eastAsiaTheme="minorEastAsia" w:hAnsiTheme="minorHAnsi"/>
              <w:b w:val="0"/>
              <w:color w:val="auto"/>
              <w:sz w:val="22"/>
              <w:lang w:val="en-AU" w:eastAsia="en-AU"/>
            </w:rPr>
          </w:pPr>
          <w:hyperlink w:anchor="_Toc491422171" w:history="1">
            <w:r w:rsidR="00101285" w:rsidRPr="00207D34">
              <w:rPr>
                <w:rStyle w:val="Hyperlink"/>
              </w:rPr>
              <w:t>3</w:t>
            </w:r>
            <w:r w:rsidR="00101285">
              <w:rPr>
                <w:rFonts w:asciiTheme="minorHAnsi" w:eastAsiaTheme="minorEastAsia" w:hAnsiTheme="minorHAnsi"/>
                <w:b w:val="0"/>
                <w:color w:val="auto"/>
                <w:sz w:val="22"/>
                <w:lang w:val="en-AU" w:eastAsia="en-AU"/>
              </w:rPr>
              <w:tab/>
            </w:r>
            <w:r w:rsidR="00101285" w:rsidRPr="00207D34">
              <w:rPr>
                <w:rStyle w:val="Hyperlink"/>
              </w:rPr>
              <w:t>Feedback from stakeholders</w:t>
            </w:r>
            <w:r w:rsidR="00101285">
              <w:rPr>
                <w:webHidden/>
              </w:rPr>
              <w:tab/>
            </w:r>
            <w:r w:rsidR="00101285">
              <w:rPr>
                <w:webHidden/>
              </w:rPr>
              <w:fldChar w:fldCharType="begin"/>
            </w:r>
            <w:r w:rsidR="00101285">
              <w:rPr>
                <w:webHidden/>
              </w:rPr>
              <w:instrText xml:space="preserve"> PAGEREF _Toc491422171 \h </w:instrText>
            </w:r>
            <w:r w:rsidR="00101285">
              <w:rPr>
                <w:webHidden/>
              </w:rPr>
            </w:r>
            <w:r w:rsidR="00101285">
              <w:rPr>
                <w:webHidden/>
              </w:rPr>
              <w:fldChar w:fldCharType="separate"/>
            </w:r>
            <w:r w:rsidR="00FD1524">
              <w:rPr>
                <w:webHidden/>
              </w:rPr>
              <w:t>11</w:t>
            </w:r>
            <w:r w:rsidR="00101285">
              <w:rPr>
                <w:webHidden/>
              </w:rPr>
              <w:fldChar w:fldCharType="end"/>
            </w:r>
          </w:hyperlink>
        </w:p>
        <w:p w:rsidR="00101285" w:rsidRDefault="00726564">
          <w:pPr>
            <w:pStyle w:val="TOC1"/>
            <w:rPr>
              <w:rFonts w:asciiTheme="minorHAnsi" w:eastAsiaTheme="minorEastAsia" w:hAnsiTheme="minorHAnsi"/>
              <w:b w:val="0"/>
              <w:color w:val="auto"/>
              <w:sz w:val="22"/>
              <w:lang w:val="en-AU" w:eastAsia="en-AU"/>
            </w:rPr>
          </w:pPr>
          <w:hyperlink w:anchor="_Toc491422172" w:history="1">
            <w:r w:rsidR="00101285" w:rsidRPr="00207D34">
              <w:rPr>
                <w:rStyle w:val="Hyperlink"/>
              </w:rPr>
              <w:t>4</w:t>
            </w:r>
            <w:r w:rsidR="00101285">
              <w:rPr>
                <w:rFonts w:asciiTheme="minorHAnsi" w:eastAsiaTheme="minorEastAsia" w:hAnsiTheme="minorHAnsi"/>
                <w:b w:val="0"/>
                <w:color w:val="auto"/>
                <w:sz w:val="22"/>
                <w:lang w:val="en-AU" w:eastAsia="en-AU"/>
              </w:rPr>
              <w:tab/>
            </w:r>
            <w:r w:rsidR="00101285" w:rsidRPr="00207D34">
              <w:rPr>
                <w:rStyle w:val="Hyperlink"/>
              </w:rPr>
              <w:t>Nature and scope of the rule change proposal</w:t>
            </w:r>
            <w:r w:rsidR="00101285">
              <w:rPr>
                <w:webHidden/>
              </w:rPr>
              <w:tab/>
            </w:r>
            <w:r w:rsidR="00101285">
              <w:rPr>
                <w:webHidden/>
              </w:rPr>
              <w:fldChar w:fldCharType="begin"/>
            </w:r>
            <w:r w:rsidR="00101285">
              <w:rPr>
                <w:webHidden/>
              </w:rPr>
              <w:instrText xml:space="preserve"> PAGEREF _Toc491422172 \h </w:instrText>
            </w:r>
            <w:r w:rsidR="00101285">
              <w:rPr>
                <w:webHidden/>
              </w:rPr>
            </w:r>
            <w:r w:rsidR="00101285">
              <w:rPr>
                <w:webHidden/>
              </w:rPr>
              <w:fldChar w:fldCharType="separate"/>
            </w:r>
            <w:r w:rsidR="00FD1524">
              <w:rPr>
                <w:webHidden/>
              </w:rPr>
              <w:t>13</w:t>
            </w:r>
            <w:r w:rsidR="00101285">
              <w:rPr>
                <w:webHidden/>
              </w:rPr>
              <w:fldChar w:fldCharType="end"/>
            </w:r>
          </w:hyperlink>
        </w:p>
        <w:p w:rsidR="00101285" w:rsidRDefault="00726564">
          <w:pPr>
            <w:pStyle w:val="TOC2"/>
            <w:rPr>
              <w:rFonts w:asciiTheme="minorHAnsi" w:eastAsiaTheme="minorEastAsia" w:hAnsiTheme="minorHAnsi"/>
              <w:b w:val="0"/>
              <w:color w:val="auto"/>
              <w:sz w:val="22"/>
              <w:lang w:eastAsia="en-AU"/>
            </w:rPr>
          </w:pPr>
          <w:hyperlink w:anchor="_Toc491422173" w:history="1">
            <w:r w:rsidR="00101285" w:rsidRPr="00207D34">
              <w:rPr>
                <w:rStyle w:val="Hyperlink"/>
              </w:rPr>
              <w:t>4.1</w:t>
            </w:r>
            <w:r w:rsidR="00101285">
              <w:rPr>
                <w:rFonts w:asciiTheme="minorHAnsi" w:eastAsiaTheme="minorEastAsia" w:hAnsiTheme="minorHAnsi"/>
                <w:b w:val="0"/>
                <w:color w:val="auto"/>
                <w:sz w:val="22"/>
                <w:lang w:eastAsia="en-AU"/>
              </w:rPr>
              <w:tab/>
            </w:r>
            <w:r w:rsidR="00101285" w:rsidRPr="00207D34">
              <w:rPr>
                <w:rStyle w:val="Hyperlink"/>
              </w:rPr>
              <w:t>Prior AER view about the scope of the rule</w:t>
            </w:r>
            <w:r w:rsidR="00101285">
              <w:rPr>
                <w:webHidden/>
              </w:rPr>
              <w:tab/>
            </w:r>
            <w:r w:rsidR="00101285">
              <w:rPr>
                <w:webHidden/>
              </w:rPr>
              <w:fldChar w:fldCharType="begin"/>
            </w:r>
            <w:r w:rsidR="00101285">
              <w:rPr>
                <w:webHidden/>
              </w:rPr>
              <w:instrText xml:space="preserve"> PAGEREF _Toc491422173 \h </w:instrText>
            </w:r>
            <w:r w:rsidR="00101285">
              <w:rPr>
                <w:webHidden/>
              </w:rPr>
            </w:r>
            <w:r w:rsidR="00101285">
              <w:rPr>
                <w:webHidden/>
              </w:rPr>
              <w:fldChar w:fldCharType="separate"/>
            </w:r>
            <w:r w:rsidR="00FD1524">
              <w:rPr>
                <w:webHidden/>
              </w:rPr>
              <w:t>15</w:t>
            </w:r>
            <w:r w:rsidR="00101285">
              <w:rPr>
                <w:webHidden/>
              </w:rPr>
              <w:fldChar w:fldCharType="end"/>
            </w:r>
          </w:hyperlink>
        </w:p>
        <w:p w:rsidR="00101285" w:rsidRDefault="00726564">
          <w:pPr>
            <w:pStyle w:val="TOC3"/>
            <w:rPr>
              <w:rFonts w:asciiTheme="minorHAnsi" w:eastAsiaTheme="minorEastAsia" w:hAnsiTheme="minorHAnsi"/>
              <w:lang w:eastAsia="en-AU"/>
            </w:rPr>
          </w:pPr>
          <w:hyperlink w:anchor="_Toc491422174" w:history="1">
            <w:r w:rsidR="00101285" w:rsidRPr="00207D34">
              <w:rPr>
                <w:rStyle w:val="Hyperlink"/>
              </w:rPr>
              <w:t>4.1.1</w:t>
            </w:r>
            <w:r w:rsidR="00101285">
              <w:rPr>
                <w:rFonts w:asciiTheme="minorHAnsi" w:eastAsiaTheme="minorEastAsia" w:hAnsiTheme="minorHAnsi"/>
                <w:lang w:eastAsia="en-AU"/>
              </w:rPr>
              <w:tab/>
            </w:r>
            <w:r w:rsidR="00101285" w:rsidRPr="00207D34">
              <w:rPr>
                <w:rStyle w:val="Hyperlink"/>
              </w:rPr>
              <w:t>Why we are not providing STPIS exemptions</w:t>
            </w:r>
            <w:r w:rsidR="00101285">
              <w:rPr>
                <w:webHidden/>
              </w:rPr>
              <w:tab/>
            </w:r>
            <w:r w:rsidR="00101285">
              <w:rPr>
                <w:webHidden/>
              </w:rPr>
              <w:fldChar w:fldCharType="begin"/>
            </w:r>
            <w:r w:rsidR="00101285">
              <w:rPr>
                <w:webHidden/>
              </w:rPr>
              <w:instrText xml:space="preserve"> PAGEREF _Toc491422174 \h </w:instrText>
            </w:r>
            <w:r w:rsidR="00101285">
              <w:rPr>
                <w:webHidden/>
              </w:rPr>
            </w:r>
            <w:r w:rsidR="00101285">
              <w:rPr>
                <w:webHidden/>
              </w:rPr>
              <w:fldChar w:fldCharType="separate"/>
            </w:r>
            <w:r w:rsidR="00FD1524">
              <w:rPr>
                <w:webHidden/>
              </w:rPr>
              <w:t>15</w:t>
            </w:r>
            <w:r w:rsidR="00101285">
              <w:rPr>
                <w:webHidden/>
              </w:rPr>
              <w:fldChar w:fldCharType="end"/>
            </w:r>
          </w:hyperlink>
        </w:p>
        <w:p w:rsidR="00101285" w:rsidRDefault="00726564">
          <w:pPr>
            <w:pStyle w:val="TOC3"/>
            <w:rPr>
              <w:rFonts w:asciiTheme="minorHAnsi" w:eastAsiaTheme="minorEastAsia" w:hAnsiTheme="minorHAnsi"/>
              <w:lang w:eastAsia="en-AU"/>
            </w:rPr>
          </w:pPr>
          <w:hyperlink w:anchor="_Toc491422175" w:history="1">
            <w:r w:rsidR="00101285" w:rsidRPr="00207D34">
              <w:rPr>
                <w:rStyle w:val="Hyperlink"/>
              </w:rPr>
              <w:t>4.1.2</w:t>
            </w:r>
            <w:r w:rsidR="00101285">
              <w:rPr>
                <w:rFonts w:asciiTheme="minorHAnsi" w:eastAsiaTheme="minorEastAsia" w:hAnsiTheme="minorHAnsi"/>
                <w:lang w:eastAsia="en-AU"/>
              </w:rPr>
              <w:tab/>
            </w:r>
            <w:r w:rsidR="00101285" w:rsidRPr="00207D34">
              <w:rPr>
                <w:rStyle w:val="Hyperlink"/>
              </w:rPr>
              <w:t>Why we are providing CESS and EBSS exemptions</w:t>
            </w:r>
            <w:r w:rsidR="00101285">
              <w:rPr>
                <w:webHidden/>
              </w:rPr>
              <w:tab/>
            </w:r>
            <w:r w:rsidR="00101285">
              <w:rPr>
                <w:webHidden/>
              </w:rPr>
              <w:fldChar w:fldCharType="begin"/>
            </w:r>
            <w:r w:rsidR="00101285">
              <w:rPr>
                <w:webHidden/>
              </w:rPr>
              <w:instrText xml:space="preserve"> PAGEREF _Toc491422175 \h </w:instrText>
            </w:r>
            <w:r w:rsidR="00101285">
              <w:rPr>
                <w:webHidden/>
              </w:rPr>
            </w:r>
            <w:r w:rsidR="00101285">
              <w:rPr>
                <w:webHidden/>
              </w:rPr>
              <w:fldChar w:fldCharType="separate"/>
            </w:r>
            <w:r w:rsidR="00FD1524">
              <w:rPr>
                <w:webHidden/>
              </w:rPr>
              <w:t>16</w:t>
            </w:r>
            <w:r w:rsidR="00101285">
              <w:rPr>
                <w:webHidden/>
              </w:rPr>
              <w:fldChar w:fldCharType="end"/>
            </w:r>
          </w:hyperlink>
        </w:p>
        <w:p w:rsidR="00101285" w:rsidRDefault="00726564">
          <w:pPr>
            <w:pStyle w:val="TOC3"/>
            <w:rPr>
              <w:rFonts w:asciiTheme="minorHAnsi" w:eastAsiaTheme="minorEastAsia" w:hAnsiTheme="minorHAnsi"/>
              <w:lang w:eastAsia="en-AU"/>
            </w:rPr>
          </w:pPr>
          <w:hyperlink w:anchor="_Toc491422176" w:history="1">
            <w:r w:rsidR="00101285" w:rsidRPr="00207D34">
              <w:rPr>
                <w:rStyle w:val="Hyperlink"/>
              </w:rPr>
              <w:t>4.1.3</w:t>
            </w:r>
            <w:r w:rsidR="00101285">
              <w:rPr>
                <w:rFonts w:asciiTheme="minorHAnsi" w:eastAsiaTheme="minorEastAsia" w:hAnsiTheme="minorHAnsi"/>
                <w:lang w:eastAsia="en-AU"/>
              </w:rPr>
              <w:tab/>
            </w:r>
            <w:r w:rsidR="00101285" w:rsidRPr="00207D34">
              <w:rPr>
                <w:rStyle w:val="Hyperlink"/>
              </w:rPr>
              <w:t>Conclusion</w:t>
            </w:r>
            <w:r w:rsidR="00101285">
              <w:rPr>
                <w:webHidden/>
              </w:rPr>
              <w:tab/>
            </w:r>
            <w:r w:rsidR="00101285">
              <w:rPr>
                <w:webHidden/>
              </w:rPr>
              <w:fldChar w:fldCharType="begin"/>
            </w:r>
            <w:r w:rsidR="00101285">
              <w:rPr>
                <w:webHidden/>
              </w:rPr>
              <w:instrText xml:space="preserve"> PAGEREF _Toc491422176 \h </w:instrText>
            </w:r>
            <w:r w:rsidR="00101285">
              <w:rPr>
                <w:webHidden/>
              </w:rPr>
            </w:r>
            <w:r w:rsidR="00101285">
              <w:rPr>
                <w:webHidden/>
              </w:rPr>
              <w:fldChar w:fldCharType="separate"/>
            </w:r>
            <w:r w:rsidR="00FD1524">
              <w:rPr>
                <w:webHidden/>
              </w:rPr>
              <w:t>16</w:t>
            </w:r>
            <w:r w:rsidR="00101285">
              <w:rPr>
                <w:webHidden/>
              </w:rPr>
              <w:fldChar w:fldCharType="end"/>
            </w:r>
          </w:hyperlink>
        </w:p>
        <w:p w:rsidR="00101285" w:rsidRDefault="00726564">
          <w:pPr>
            <w:pStyle w:val="TOC1"/>
            <w:rPr>
              <w:rFonts w:asciiTheme="minorHAnsi" w:eastAsiaTheme="minorEastAsia" w:hAnsiTheme="minorHAnsi"/>
              <w:b w:val="0"/>
              <w:color w:val="auto"/>
              <w:sz w:val="22"/>
              <w:lang w:val="en-AU" w:eastAsia="en-AU"/>
            </w:rPr>
          </w:pPr>
          <w:hyperlink w:anchor="_Toc491422177" w:history="1">
            <w:r w:rsidR="00101285" w:rsidRPr="00207D34">
              <w:rPr>
                <w:rStyle w:val="Hyperlink"/>
              </w:rPr>
              <w:t>5</w:t>
            </w:r>
            <w:r w:rsidR="00101285">
              <w:rPr>
                <w:rFonts w:asciiTheme="minorHAnsi" w:eastAsiaTheme="minorEastAsia" w:hAnsiTheme="minorHAnsi"/>
                <w:b w:val="0"/>
                <w:color w:val="auto"/>
                <w:sz w:val="22"/>
                <w:lang w:val="en-AU" w:eastAsia="en-AU"/>
              </w:rPr>
              <w:tab/>
            </w:r>
            <w:r w:rsidR="00101285" w:rsidRPr="00207D34">
              <w:rPr>
                <w:rStyle w:val="Hyperlink"/>
              </w:rPr>
              <w:t>Achieving the National Electricity Objective</w:t>
            </w:r>
            <w:r w:rsidR="00101285">
              <w:rPr>
                <w:webHidden/>
              </w:rPr>
              <w:tab/>
            </w:r>
            <w:r w:rsidR="00101285">
              <w:rPr>
                <w:webHidden/>
              </w:rPr>
              <w:fldChar w:fldCharType="begin"/>
            </w:r>
            <w:r w:rsidR="00101285">
              <w:rPr>
                <w:webHidden/>
              </w:rPr>
              <w:instrText xml:space="preserve"> PAGEREF _Toc491422177 \h </w:instrText>
            </w:r>
            <w:r w:rsidR="00101285">
              <w:rPr>
                <w:webHidden/>
              </w:rPr>
            </w:r>
            <w:r w:rsidR="00101285">
              <w:rPr>
                <w:webHidden/>
              </w:rPr>
              <w:fldChar w:fldCharType="separate"/>
            </w:r>
            <w:r w:rsidR="00FD1524">
              <w:rPr>
                <w:webHidden/>
              </w:rPr>
              <w:t>17</w:t>
            </w:r>
            <w:r w:rsidR="00101285">
              <w:rPr>
                <w:webHidden/>
              </w:rPr>
              <w:fldChar w:fldCharType="end"/>
            </w:r>
          </w:hyperlink>
        </w:p>
        <w:p w:rsidR="00101285" w:rsidRDefault="00726564">
          <w:pPr>
            <w:pStyle w:val="TOC2"/>
            <w:rPr>
              <w:rFonts w:asciiTheme="minorHAnsi" w:eastAsiaTheme="minorEastAsia" w:hAnsiTheme="minorHAnsi"/>
              <w:b w:val="0"/>
              <w:color w:val="auto"/>
              <w:sz w:val="22"/>
              <w:lang w:eastAsia="en-AU"/>
            </w:rPr>
          </w:pPr>
          <w:hyperlink w:anchor="_Toc491422178" w:history="1">
            <w:r w:rsidR="00101285" w:rsidRPr="00207D34">
              <w:rPr>
                <w:rStyle w:val="Hyperlink"/>
              </w:rPr>
              <w:t>5.1</w:t>
            </w:r>
            <w:r w:rsidR="00101285">
              <w:rPr>
                <w:rFonts w:asciiTheme="minorHAnsi" w:eastAsiaTheme="minorEastAsia" w:hAnsiTheme="minorHAnsi"/>
                <w:b w:val="0"/>
                <w:color w:val="auto"/>
                <w:sz w:val="22"/>
                <w:lang w:eastAsia="en-AU"/>
              </w:rPr>
              <w:tab/>
            </w:r>
            <w:r w:rsidR="00101285" w:rsidRPr="00207D34">
              <w:rPr>
                <w:rStyle w:val="Hyperlink"/>
              </w:rPr>
              <w:t>A bridge to a better framework</w:t>
            </w:r>
            <w:r w:rsidR="00101285">
              <w:rPr>
                <w:webHidden/>
              </w:rPr>
              <w:tab/>
            </w:r>
            <w:r w:rsidR="00101285">
              <w:rPr>
                <w:webHidden/>
              </w:rPr>
              <w:fldChar w:fldCharType="begin"/>
            </w:r>
            <w:r w:rsidR="00101285">
              <w:rPr>
                <w:webHidden/>
              </w:rPr>
              <w:instrText xml:space="preserve"> PAGEREF _Toc491422178 \h </w:instrText>
            </w:r>
            <w:r w:rsidR="00101285">
              <w:rPr>
                <w:webHidden/>
              </w:rPr>
            </w:r>
            <w:r w:rsidR="00101285">
              <w:rPr>
                <w:webHidden/>
              </w:rPr>
              <w:fldChar w:fldCharType="separate"/>
            </w:r>
            <w:r w:rsidR="00FD1524">
              <w:rPr>
                <w:webHidden/>
              </w:rPr>
              <w:t>17</w:t>
            </w:r>
            <w:r w:rsidR="00101285">
              <w:rPr>
                <w:webHidden/>
              </w:rPr>
              <w:fldChar w:fldCharType="end"/>
            </w:r>
          </w:hyperlink>
        </w:p>
        <w:p w:rsidR="00101285" w:rsidRDefault="00726564">
          <w:pPr>
            <w:pStyle w:val="TOC2"/>
            <w:rPr>
              <w:rFonts w:asciiTheme="minorHAnsi" w:eastAsiaTheme="minorEastAsia" w:hAnsiTheme="minorHAnsi"/>
              <w:b w:val="0"/>
              <w:color w:val="auto"/>
              <w:sz w:val="22"/>
              <w:lang w:eastAsia="en-AU"/>
            </w:rPr>
          </w:pPr>
          <w:hyperlink w:anchor="_Toc491422179" w:history="1">
            <w:r w:rsidR="00101285" w:rsidRPr="00207D34">
              <w:rPr>
                <w:rStyle w:val="Hyperlink"/>
              </w:rPr>
              <w:t>5.2</w:t>
            </w:r>
            <w:r w:rsidR="00101285">
              <w:rPr>
                <w:rFonts w:asciiTheme="minorHAnsi" w:eastAsiaTheme="minorEastAsia" w:hAnsiTheme="minorHAnsi"/>
                <w:b w:val="0"/>
                <w:color w:val="auto"/>
                <w:sz w:val="22"/>
                <w:lang w:eastAsia="en-AU"/>
              </w:rPr>
              <w:tab/>
            </w:r>
            <w:r w:rsidR="00101285" w:rsidRPr="00207D34">
              <w:rPr>
                <w:rStyle w:val="Hyperlink"/>
              </w:rPr>
              <w:t>Effect of the rule</w:t>
            </w:r>
            <w:r w:rsidR="00101285">
              <w:rPr>
                <w:webHidden/>
              </w:rPr>
              <w:tab/>
            </w:r>
            <w:r w:rsidR="00101285">
              <w:rPr>
                <w:webHidden/>
              </w:rPr>
              <w:fldChar w:fldCharType="begin"/>
            </w:r>
            <w:r w:rsidR="00101285">
              <w:rPr>
                <w:webHidden/>
              </w:rPr>
              <w:instrText xml:space="preserve"> PAGEREF _Toc491422179 \h </w:instrText>
            </w:r>
            <w:r w:rsidR="00101285">
              <w:rPr>
                <w:webHidden/>
              </w:rPr>
            </w:r>
            <w:r w:rsidR="00101285">
              <w:rPr>
                <w:webHidden/>
              </w:rPr>
              <w:fldChar w:fldCharType="separate"/>
            </w:r>
            <w:r w:rsidR="00FD1524">
              <w:rPr>
                <w:webHidden/>
              </w:rPr>
              <w:t>18</w:t>
            </w:r>
            <w:r w:rsidR="00101285">
              <w:rPr>
                <w:webHidden/>
              </w:rPr>
              <w:fldChar w:fldCharType="end"/>
            </w:r>
          </w:hyperlink>
        </w:p>
        <w:p w:rsidR="00101285" w:rsidRDefault="00726564">
          <w:pPr>
            <w:pStyle w:val="TOC1"/>
            <w:rPr>
              <w:rFonts w:asciiTheme="minorHAnsi" w:eastAsiaTheme="minorEastAsia" w:hAnsiTheme="minorHAnsi"/>
              <w:b w:val="0"/>
              <w:color w:val="auto"/>
              <w:sz w:val="22"/>
              <w:lang w:val="en-AU" w:eastAsia="en-AU"/>
            </w:rPr>
          </w:pPr>
          <w:hyperlink w:anchor="_Toc491422180" w:history="1">
            <w:r w:rsidR="00101285" w:rsidRPr="00207D34">
              <w:rPr>
                <w:rStyle w:val="Hyperlink"/>
              </w:rPr>
              <w:t>6</w:t>
            </w:r>
            <w:r w:rsidR="00101285">
              <w:rPr>
                <w:rFonts w:asciiTheme="minorHAnsi" w:eastAsiaTheme="minorEastAsia" w:hAnsiTheme="minorHAnsi"/>
                <w:b w:val="0"/>
                <w:color w:val="auto"/>
                <w:sz w:val="22"/>
                <w:lang w:val="en-AU" w:eastAsia="en-AU"/>
              </w:rPr>
              <w:tab/>
            </w:r>
            <w:r w:rsidR="00101285" w:rsidRPr="00207D34">
              <w:rPr>
                <w:rStyle w:val="Hyperlink"/>
              </w:rPr>
              <w:t>Costs and benefits of the proposed rule</w:t>
            </w:r>
            <w:r w:rsidR="00101285">
              <w:rPr>
                <w:webHidden/>
              </w:rPr>
              <w:tab/>
            </w:r>
            <w:r w:rsidR="00101285">
              <w:rPr>
                <w:webHidden/>
              </w:rPr>
              <w:fldChar w:fldCharType="begin"/>
            </w:r>
            <w:r w:rsidR="00101285">
              <w:rPr>
                <w:webHidden/>
              </w:rPr>
              <w:instrText xml:space="preserve"> PAGEREF _Toc491422180 \h </w:instrText>
            </w:r>
            <w:r w:rsidR="00101285">
              <w:rPr>
                <w:webHidden/>
              </w:rPr>
            </w:r>
            <w:r w:rsidR="00101285">
              <w:rPr>
                <w:webHidden/>
              </w:rPr>
              <w:fldChar w:fldCharType="separate"/>
            </w:r>
            <w:r w:rsidR="00FD1524">
              <w:rPr>
                <w:webHidden/>
              </w:rPr>
              <w:t>19</w:t>
            </w:r>
            <w:r w:rsidR="00101285">
              <w:rPr>
                <w:webHidden/>
              </w:rPr>
              <w:fldChar w:fldCharType="end"/>
            </w:r>
          </w:hyperlink>
        </w:p>
        <w:p w:rsidR="00101285" w:rsidRDefault="00726564">
          <w:pPr>
            <w:pStyle w:val="TOC1"/>
            <w:rPr>
              <w:rFonts w:asciiTheme="minorHAnsi" w:eastAsiaTheme="minorEastAsia" w:hAnsiTheme="minorHAnsi"/>
              <w:b w:val="0"/>
              <w:color w:val="auto"/>
              <w:sz w:val="22"/>
              <w:lang w:val="en-AU" w:eastAsia="en-AU"/>
            </w:rPr>
          </w:pPr>
          <w:hyperlink w:anchor="_Toc491422181" w:history="1">
            <w:r w:rsidR="00101285" w:rsidRPr="00207D34">
              <w:rPr>
                <w:rStyle w:val="Hyperlink"/>
              </w:rPr>
              <w:t>A The draft rule</w:t>
            </w:r>
            <w:r w:rsidR="00101285">
              <w:rPr>
                <w:webHidden/>
              </w:rPr>
              <w:tab/>
            </w:r>
            <w:r w:rsidR="00101285">
              <w:rPr>
                <w:webHidden/>
              </w:rPr>
              <w:fldChar w:fldCharType="begin"/>
            </w:r>
            <w:r w:rsidR="00101285">
              <w:rPr>
                <w:webHidden/>
              </w:rPr>
              <w:instrText xml:space="preserve"> PAGEREF _Toc491422181 \h </w:instrText>
            </w:r>
            <w:r w:rsidR="00101285">
              <w:rPr>
                <w:webHidden/>
              </w:rPr>
            </w:r>
            <w:r w:rsidR="00101285">
              <w:rPr>
                <w:webHidden/>
              </w:rPr>
              <w:fldChar w:fldCharType="separate"/>
            </w:r>
            <w:r w:rsidR="00FD1524">
              <w:rPr>
                <w:webHidden/>
              </w:rPr>
              <w:t>21</w:t>
            </w:r>
            <w:r w:rsidR="00101285">
              <w:rPr>
                <w:webHidden/>
              </w:rPr>
              <w:fldChar w:fldCharType="end"/>
            </w:r>
          </w:hyperlink>
        </w:p>
        <w:p w:rsidR="0044460C" w:rsidRPr="00CE2A23" w:rsidRDefault="0044460C" w:rsidP="0058776F">
          <w:pPr>
            <w:pStyle w:val="TOC1"/>
          </w:pPr>
          <w:r>
            <w:fldChar w:fldCharType="end"/>
          </w:r>
        </w:p>
      </w:sdtContent>
    </w:sdt>
    <w:p w:rsidR="0077568D" w:rsidRPr="00DE72CE" w:rsidRDefault="000F70BA" w:rsidP="00DE72CE">
      <w:pPr>
        <w:pStyle w:val="Heading1"/>
        <w:rPr>
          <w:rStyle w:val="Strong"/>
          <w:b/>
          <w:bCs/>
        </w:rPr>
      </w:pPr>
      <w:bookmarkStart w:id="10" w:name="_Toc491422168"/>
      <w:bookmarkEnd w:id="6"/>
      <w:bookmarkEnd w:id="7"/>
      <w:r w:rsidRPr="00DE72CE">
        <w:rPr>
          <w:rStyle w:val="Strong"/>
          <w:b/>
          <w:bCs/>
        </w:rPr>
        <w:lastRenderedPageBreak/>
        <w:t>Introduction</w:t>
      </w:r>
      <w:bookmarkEnd w:id="10"/>
    </w:p>
    <w:p w:rsidR="00AC428D" w:rsidRDefault="00933625" w:rsidP="00AC428D">
      <w:r>
        <w:t xml:space="preserve">We </w:t>
      </w:r>
      <w:r w:rsidR="00F67E9A">
        <w:t xml:space="preserve">are proposing a </w:t>
      </w:r>
      <w:r w:rsidR="00171787">
        <w:t xml:space="preserve">rule </w:t>
      </w:r>
      <w:r w:rsidR="00F67E9A">
        <w:t>change to the National Electricity Rules</w:t>
      </w:r>
      <w:r>
        <w:t xml:space="preserve"> </w:t>
      </w:r>
      <w:r w:rsidR="001331C2">
        <w:t>(NER)</w:t>
      </w:r>
      <w:r w:rsidR="00342C26">
        <w:t xml:space="preserve"> </w:t>
      </w:r>
      <w:r w:rsidR="00AC428D" w:rsidRPr="00933625">
        <w:t xml:space="preserve">to </w:t>
      </w:r>
      <w:r w:rsidR="00AC428D">
        <w:t>allow</w:t>
      </w:r>
      <w:r w:rsidR="00DE72CE">
        <w:t xml:space="preserve"> eligible distribution network service providers </w:t>
      </w:r>
      <w:r w:rsidR="00AC428D">
        <w:t>(distributors)</w:t>
      </w:r>
      <w:r w:rsidR="00AC428D" w:rsidRPr="00933625">
        <w:t xml:space="preserve"> to </w:t>
      </w:r>
      <w:r w:rsidR="0088286D">
        <w:t>request</w:t>
      </w:r>
      <w:r w:rsidR="00AC428D">
        <w:t xml:space="preserve"> approval to apply the demand management incentive scheme (the new Scheme) mid-way through an existing regulatory control period. Without the proposed rule,</w:t>
      </w:r>
      <w:r w:rsidR="00AC428D" w:rsidRPr="00933625">
        <w:t xml:space="preserve"> </w:t>
      </w:r>
      <w:r w:rsidR="00AC428D">
        <w:t>we would not be able to apply the new Scheme</w:t>
      </w:r>
      <w:r w:rsidR="00AC428D" w:rsidRPr="00933625">
        <w:t xml:space="preserve"> </w:t>
      </w:r>
      <w:r w:rsidR="00AC428D">
        <w:t xml:space="preserve">to a distributor </w:t>
      </w:r>
      <w:r w:rsidR="00AC428D" w:rsidRPr="00933625">
        <w:t xml:space="preserve">until the commencement of </w:t>
      </w:r>
      <w:r w:rsidR="00AC428D">
        <w:t>its</w:t>
      </w:r>
      <w:r w:rsidR="00AC428D" w:rsidRPr="00933625">
        <w:t xml:space="preserve"> </w:t>
      </w:r>
      <w:r w:rsidR="00AC428D">
        <w:t>next regulatory control period.</w:t>
      </w:r>
    </w:p>
    <w:p w:rsidR="00933625" w:rsidRDefault="00595CC7" w:rsidP="00933625">
      <w:r>
        <w:t>Early application</w:t>
      </w:r>
      <w:r w:rsidR="00BC3DAC">
        <w:t xml:space="preserve"> will </w:t>
      </w:r>
      <w:r w:rsidR="00A20AD7">
        <w:t>benefit</w:t>
      </w:r>
      <w:r w:rsidR="00BC3DAC">
        <w:t xml:space="preserve"> consumers </w:t>
      </w:r>
      <w:r w:rsidR="00A20AD7">
        <w:t>by</w:t>
      </w:r>
      <w:r w:rsidR="00224A65">
        <w:t xml:space="preserve"> </w:t>
      </w:r>
      <w:r w:rsidR="00253186">
        <w:t xml:space="preserve">providing </w:t>
      </w:r>
      <w:r w:rsidR="00A20AD7">
        <w:t xml:space="preserve">them </w:t>
      </w:r>
      <w:r w:rsidR="00253186">
        <w:t xml:space="preserve">with </w:t>
      </w:r>
      <w:r w:rsidR="00A20AD7">
        <w:t>access</w:t>
      </w:r>
      <w:r w:rsidR="00BC3DAC">
        <w:t xml:space="preserve"> </w:t>
      </w:r>
      <w:r w:rsidR="00253186">
        <w:t xml:space="preserve">to </w:t>
      </w:r>
      <w:r w:rsidR="00A20AD7">
        <w:t>the</w:t>
      </w:r>
      <w:r w:rsidR="00BC3DAC">
        <w:t xml:space="preserve"> </w:t>
      </w:r>
      <w:r w:rsidR="00F64A4E">
        <w:t xml:space="preserve">efficient </w:t>
      </w:r>
      <w:r w:rsidR="00BC3DAC">
        <w:t>demand management projects</w:t>
      </w:r>
      <w:r w:rsidR="00F64A4E">
        <w:t xml:space="preserve"> that the</w:t>
      </w:r>
      <w:r w:rsidR="00995493">
        <w:t xml:space="preserve"> </w:t>
      </w:r>
      <w:r w:rsidR="00E0655D">
        <w:t>new Scheme</w:t>
      </w:r>
      <w:r w:rsidR="00F64A4E">
        <w:t xml:space="preserve"> incentivises</w:t>
      </w:r>
      <w:r w:rsidR="00536337">
        <w:t xml:space="preserve"> more quickly</w:t>
      </w:r>
      <w:r w:rsidR="00A20AD7">
        <w:t>. This will help</w:t>
      </w:r>
      <w:r w:rsidR="00BC3DAC">
        <w:t xml:space="preserve"> to achieve the</w:t>
      </w:r>
      <w:r w:rsidR="00995493">
        <w:t xml:space="preserve"> </w:t>
      </w:r>
      <w:r w:rsidR="00E0655D">
        <w:t>new Scheme</w:t>
      </w:r>
      <w:r w:rsidR="0093456A">
        <w:t xml:space="preserve"> O</w:t>
      </w:r>
      <w:r w:rsidR="001331C2">
        <w:t>bjective</w:t>
      </w:r>
      <w:r w:rsidR="00BE1231">
        <w:t>, which in turn will help give effect to</w:t>
      </w:r>
      <w:r w:rsidR="001331C2">
        <w:t xml:space="preserve"> the</w:t>
      </w:r>
      <w:r w:rsidR="00BC3DAC">
        <w:t xml:space="preserve"> National Electricity Objective</w:t>
      </w:r>
      <w:r w:rsidR="001331C2">
        <w:t xml:space="preserve"> (NEO)</w:t>
      </w:r>
      <w:r w:rsidR="00224A65">
        <w:t>.</w:t>
      </w:r>
    </w:p>
    <w:p w:rsidR="00927AB6" w:rsidRDefault="00927AB6" w:rsidP="00927AB6">
      <w:r>
        <w:t>Under the NER, we</w:t>
      </w:r>
      <w:r w:rsidRPr="009977AC">
        <w:t xml:space="preserve"> may, from time to time and in accordance with the distribution consultation procedures amend, or replace the </w:t>
      </w:r>
      <w:r>
        <w:t>Scheme.</w:t>
      </w:r>
      <w:r w:rsidR="00BE1231" w:rsidRPr="009977AC">
        <w:rPr>
          <w:rStyle w:val="FootnoteReference"/>
        </w:rPr>
        <w:footnoteReference w:id="1"/>
      </w:r>
      <w:r>
        <w:t xml:space="preserve"> </w:t>
      </w:r>
      <w:r w:rsidRPr="009977AC">
        <w:t xml:space="preserve">However, no such amendment or replacement can change the application of the </w:t>
      </w:r>
      <w:r>
        <w:t>Scheme</w:t>
      </w:r>
      <w:r w:rsidRPr="009977AC">
        <w:t xml:space="preserve"> to a </w:t>
      </w:r>
      <w:r>
        <w:t>distributor</w:t>
      </w:r>
      <w:r w:rsidRPr="009977AC">
        <w:t xml:space="preserve"> in respect of a regulatory control period that has already commenced.</w:t>
      </w:r>
      <w:r>
        <w:t xml:space="preserve"> Therefore, this proposed rule change is necessary to allow us to be able to apply the new Scheme before the remaking o</w:t>
      </w:r>
      <w:r w:rsidR="00BE1231">
        <w:t>f a distribution determination.</w:t>
      </w:r>
    </w:p>
    <w:p w:rsidR="00927AB6" w:rsidRDefault="00595CC7" w:rsidP="00927AB6">
      <w:r>
        <w:t>T</w:t>
      </w:r>
      <w:r w:rsidR="00927AB6">
        <w:t>he r</w:t>
      </w:r>
      <w:r w:rsidR="00927AB6" w:rsidRPr="001415A4">
        <w:t xml:space="preserve">ule </w:t>
      </w:r>
      <w:r w:rsidR="00927AB6">
        <w:t xml:space="preserve">change </w:t>
      </w:r>
      <w:proofErr w:type="gramStart"/>
      <w:r>
        <w:t>is proposed</w:t>
      </w:r>
      <w:proofErr w:type="gramEnd"/>
      <w:r>
        <w:t xml:space="preserve"> as a </w:t>
      </w:r>
      <w:r w:rsidR="00927AB6">
        <w:t>new ru</w:t>
      </w:r>
      <w:r w:rsidR="00927AB6" w:rsidRPr="001415A4">
        <w:t xml:space="preserve">le in the savings and transitional provisions </w:t>
      </w:r>
      <w:r>
        <w:t>of</w:t>
      </w:r>
      <w:r w:rsidR="00927AB6" w:rsidRPr="001415A4">
        <w:t xml:space="preserve"> Chapter 11 of the NER. </w:t>
      </w:r>
      <w:r w:rsidR="00927AB6">
        <w:t xml:space="preserve">The proposed rule change is a 'one-off'. That is, </w:t>
      </w:r>
      <w:r>
        <w:t>it does not apply to any future revised Scheme, only the new Scheme to be finalised by December 2017.</w:t>
      </w:r>
    </w:p>
    <w:p w:rsidR="005F5219" w:rsidRPr="00933625" w:rsidRDefault="005F5219" w:rsidP="005F5219">
      <w:r>
        <w:t>This Consultation Paper discuss</w:t>
      </w:r>
      <w:r w:rsidR="000F70BA">
        <w:t>es</w:t>
      </w:r>
      <w:r>
        <w:t xml:space="preserve"> the elements of the proposed rule change</w:t>
      </w:r>
      <w:r w:rsidR="00595CC7">
        <w:t>. It explains the nature and scope of the rule change, how it contributes to achieving the NEO</w:t>
      </w:r>
      <w:r>
        <w:t xml:space="preserve"> </w:t>
      </w:r>
      <w:r w:rsidR="00595CC7">
        <w:t xml:space="preserve">and the costs and benefits </w:t>
      </w:r>
      <w:r>
        <w:t>of the proposed rule change. A draft of the prop</w:t>
      </w:r>
      <w:r w:rsidR="0031393A">
        <w:t>osed rule is included as</w:t>
      </w:r>
      <w:r>
        <w:t xml:space="preserve"> </w:t>
      </w:r>
      <w:r w:rsidR="00536337">
        <w:t>an Attachment to this paper</w:t>
      </w:r>
      <w:r w:rsidR="00595CC7">
        <w:t xml:space="preserve">. </w:t>
      </w:r>
      <w:r>
        <w:t xml:space="preserve">We consider that this information, taken together, should provide stakeholders with </w:t>
      </w:r>
      <w:r w:rsidR="00ED24C1">
        <w:t>an</w:t>
      </w:r>
      <w:r>
        <w:t xml:space="preserve"> opportunity to respond to </w:t>
      </w:r>
      <w:r w:rsidR="00595CC7">
        <w:t xml:space="preserve">us with a good understanding of </w:t>
      </w:r>
      <w:r>
        <w:t>the merits of the proposed rule change.</w:t>
      </w:r>
    </w:p>
    <w:p w:rsidR="00342C26" w:rsidRDefault="001415A4" w:rsidP="00342C26">
      <w:r>
        <w:t xml:space="preserve">We are also proposing to request that the Australian Energy Market Commission (AEMC) </w:t>
      </w:r>
      <w:r w:rsidR="00195627">
        <w:t>expedite</w:t>
      </w:r>
      <w:r>
        <w:t xml:space="preserve"> the rule change</w:t>
      </w:r>
      <w:r w:rsidR="00E41323">
        <w:t xml:space="preserve"> as non-controversial under section 96</w:t>
      </w:r>
      <w:r>
        <w:t xml:space="preserve"> of the Natio</w:t>
      </w:r>
      <w:r w:rsidR="00E41323">
        <w:t xml:space="preserve">nal Electricity Law. </w:t>
      </w:r>
      <w:r w:rsidR="007E27A4">
        <w:t>A</w:t>
      </w:r>
      <w:r w:rsidR="00BE1231">
        <w:t>s such, we have published this Consultation P</w:t>
      </w:r>
      <w:r w:rsidR="007E27A4">
        <w:t xml:space="preserve">aper alongside </w:t>
      </w:r>
      <w:r w:rsidR="009D5FEB">
        <w:t>our draft of the</w:t>
      </w:r>
      <w:r w:rsidR="00AC5595">
        <w:t xml:space="preserve"> </w:t>
      </w:r>
      <w:r w:rsidR="00E0655D">
        <w:t>new</w:t>
      </w:r>
      <w:r w:rsidR="00ED24C1">
        <w:t xml:space="preserve"> Scheme</w:t>
      </w:r>
      <w:r w:rsidR="00E0655D">
        <w:t xml:space="preserve"> </w:t>
      </w:r>
      <w:r w:rsidR="007E27A4">
        <w:t xml:space="preserve">and </w:t>
      </w:r>
      <w:r w:rsidR="009D5FEB">
        <w:t>its Explanatory Statement, and</w:t>
      </w:r>
      <w:r w:rsidR="007E27A4">
        <w:t xml:space="preserve"> </w:t>
      </w:r>
      <w:r w:rsidR="009D5FEB">
        <w:t xml:space="preserve">we </w:t>
      </w:r>
      <w:r>
        <w:t>welcom</w:t>
      </w:r>
      <w:r w:rsidR="009D5FEB">
        <w:t>e stakeholders'</w:t>
      </w:r>
      <w:r>
        <w:t xml:space="preserve"> comments on the nature </w:t>
      </w:r>
      <w:r w:rsidR="007E27A4">
        <w:t>a</w:t>
      </w:r>
      <w:r>
        <w:t xml:space="preserve">nd content of </w:t>
      </w:r>
      <w:r w:rsidR="00342C26">
        <w:t>our</w:t>
      </w:r>
      <w:r>
        <w:t xml:space="preserve"> proposed rule change.</w:t>
      </w:r>
    </w:p>
    <w:p w:rsidR="00CA5F00" w:rsidRDefault="00A8687F" w:rsidP="00933625">
      <w:r>
        <w:t>The proposed rule does not</w:t>
      </w:r>
      <w:r w:rsidR="00CA5F00">
        <w:t xml:space="preserve"> require any amendments to the distribution determinations of businesses that choose to participate</w:t>
      </w:r>
      <w:r>
        <w:t>. This is because, under the</w:t>
      </w:r>
      <w:r w:rsidR="007032E1">
        <w:t xml:space="preserve"> </w:t>
      </w:r>
      <w:r w:rsidR="00E0655D">
        <w:t>new Scheme</w:t>
      </w:r>
      <w:r>
        <w:t xml:space="preserve">, there will be a two-year period </w:t>
      </w:r>
      <w:r w:rsidR="00DA1907">
        <w:t xml:space="preserve">between </w:t>
      </w:r>
      <w:r w:rsidR="00594AAF">
        <w:t xml:space="preserve">the </w:t>
      </w:r>
      <w:r w:rsidR="00DA1907">
        <w:t>first</w:t>
      </w:r>
      <w:r>
        <w:t xml:space="preserve"> accrual of an incentive under the</w:t>
      </w:r>
      <w:r w:rsidR="007032E1">
        <w:t xml:space="preserve"> </w:t>
      </w:r>
      <w:r w:rsidR="00E0655D">
        <w:t>new Scheme</w:t>
      </w:r>
      <w:r>
        <w:t xml:space="preserve"> and the first inclusi</w:t>
      </w:r>
      <w:r w:rsidR="00487840">
        <w:t>on of that incentive as allowed</w:t>
      </w:r>
      <w:r>
        <w:t xml:space="preserve"> revenue</w:t>
      </w:r>
      <w:r w:rsidR="00487840">
        <w:t xml:space="preserve"> in a particular regulatory year.</w:t>
      </w:r>
    </w:p>
    <w:p w:rsidR="00694145" w:rsidRDefault="00CA5F00" w:rsidP="00933625">
      <w:r>
        <w:lastRenderedPageBreak/>
        <w:t xml:space="preserve">This means that the rule effectively has no </w:t>
      </w:r>
      <w:r w:rsidR="00E1625D">
        <w:t xml:space="preserve">revenue </w:t>
      </w:r>
      <w:r>
        <w:t xml:space="preserve">impact </w:t>
      </w:r>
      <w:r w:rsidR="00595CC7">
        <w:t xml:space="preserve">until we assess the applicable </w:t>
      </w:r>
      <w:r w:rsidR="0088286D">
        <w:t>r</w:t>
      </w:r>
      <w:r w:rsidR="00595CC7">
        <w:t xml:space="preserve">egulatory </w:t>
      </w:r>
      <w:r w:rsidR="0088286D">
        <w:t>p</w:t>
      </w:r>
      <w:r w:rsidR="00595CC7">
        <w:t>roposals</w:t>
      </w:r>
      <w:r w:rsidR="001272DC">
        <w:t xml:space="preserve"> at the time of writing the regulatory determination</w:t>
      </w:r>
      <w:r w:rsidR="00595CC7">
        <w:t xml:space="preserve">. </w:t>
      </w:r>
      <w:r w:rsidR="000F111C">
        <w:t xml:space="preserve">However, it provides </w:t>
      </w:r>
      <w:r>
        <w:t xml:space="preserve">certainty to distributors as they commit projects prior to the remaking of their </w:t>
      </w:r>
      <w:r w:rsidR="000F111C">
        <w:t xml:space="preserve">next distribution </w:t>
      </w:r>
      <w:r>
        <w:t>determinations.</w:t>
      </w:r>
    </w:p>
    <w:p w:rsidR="0034418D" w:rsidRDefault="000F111C" w:rsidP="00933625">
      <w:r>
        <w:t>In addition to this Consultation Paper, we have had extensive consultation with stakeholders in developing this Scheme</w:t>
      </w:r>
      <w:r w:rsidR="005F5219">
        <w:t xml:space="preserve">. </w:t>
      </w:r>
      <w:r w:rsidR="005F5219" w:rsidRPr="007D3D01">
        <w:t xml:space="preserve">Section 3 </w:t>
      </w:r>
      <w:r w:rsidR="00D83C5C">
        <w:t xml:space="preserve">of this Consultation Paper </w:t>
      </w:r>
      <w:r w:rsidR="005F5219" w:rsidRPr="007D3D01">
        <w:t xml:space="preserve">contains a summary of </w:t>
      </w:r>
      <w:r>
        <w:t xml:space="preserve">our </w:t>
      </w:r>
      <w:r w:rsidR="005F5219" w:rsidRPr="007D3D01">
        <w:t>stakeholder</w:t>
      </w:r>
      <w:r>
        <w:t xml:space="preserve"> engagement.</w:t>
      </w:r>
    </w:p>
    <w:p w:rsidR="002070A7" w:rsidRPr="00CD0D3F" w:rsidRDefault="000C7871" w:rsidP="00CD0D3F">
      <w:r>
        <w:t>The proposed rule is set out in appendix A.</w:t>
      </w:r>
    </w:p>
    <w:p w:rsidR="00150CC3" w:rsidRDefault="000724DA" w:rsidP="00150CC3">
      <w:pPr>
        <w:pStyle w:val="Heading1"/>
      </w:pPr>
      <w:bookmarkStart w:id="11" w:name="_Toc491422169"/>
      <w:r>
        <w:lastRenderedPageBreak/>
        <w:t>Background to</w:t>
      </w:r>
      <w:r w:rsidR="0052799E">
        <w:t xml:space="preserve"> the </w:t>
      </w:r>
      <w:r w:rsidR="003D484E">
        <w:t xml:space="preserve">new </w:t>
      </w:r>
      <w:r w:rsidR="00C3234C">
        <w:t>Scheme</w:t>
      </w:r>
      <w:bookmarkEnd w:id="11"/>
    </w:p>
    <w:p w:rsidR="00933625" w:rsidRPr="009668A0" w:rsidRDefault="00566718" w:rsidP="009668A0">
      <w:pPr>
        <w:rPr>
          <w:rStyle w:val="AERbody"/>
        </w:rPr>
      </w:pPr>
      <w:r w:rsidRPr="009668A0">
        <w:rPr>
          <w:rStyle w:val="AERbody"/>
        </w:rPr>
        <w:t>Chapters 5 and 6 of the NER govern t</w:t>
      </w:r>
      <w:r w:rsidR="00933625" w:rsidRPr="009668A0">
        <w:rPr>
          <w:rStyle w:val="AERbody"/>
        </w:rPr>
        <w:t xml:space="preserve">he </w:t>
      </w:r>
      <w:r w:rsidR="0088286D" w:rsidRPr="009668A0">
        <w:rPr>
          <w:rStyle w:val="AERbody"/>
        </w:rPr>
        <w:t xml:space="preserve">parts of the </w:t>
      </w:r>
      <w:r w:rsidR="00933625" w:rsidRPr="009668A0">
        <w:rPr>
          <w:rStyle w:val="AERbody"/>
        </w:rPr>
        <w:t xml:space="preserve">regulatory framework </w:t>
      </w:r>
      <w:r w:rsidR="0088286D" w:rsidRPr="009668A0">
        <w:rPr>
          <w:rStyle w:val="AERbody"/>
        </w:rPr>
        <w:t xml:space="preserve">that contain provisions </w:t>
      </w:r>
      <w:r w:rsidR="00933625" w:rsidRPr="009668A0">
        <w:rPr>
          <w:rStyle w:val="AERbody"/>
        </w:rPr>
        <w:t>relating to demand management</w:t>
      </w:r>
      <w:r w:rsidR="0088286D" w:rsidRPr="009668A0">
        <w:rPr>
          <w:rStyle w:val="AERbody"/>
        </w:rPr>
        <w:t xml:space="preserve"> incentives and obligations for</w:t>
      </w:r>
      <w:r w:rsidR="00933625" w:rsidRPr="009668A0">
        <w:rPr>
          <w:rStyle w:val="AERbody"/>
        </w:rPr>
        <w:t xml:space="preserve"> </w:t>
      </w:r>
      <w:r w:rsidR="000724DA" w:rsidRPr="009668A0">
        <w:rPr>
          <w:rStyle w:val="AERbody"/>
        </w:rPr>
        <w:t>d</w:t>
      </w:r>
      <w:r w:rsidR="00C3234C" w:rsidRPr="009668A0">
        <w:rPr>
          <w:rStyle w:val="AERbody"/>
        </w:rPr>
        <w:t>istributors</w:t>
      </w:r>
      <w:r w:rsidR="00933625" w:rsidRPr="009668A0">
        <w:rPr>
          <w:rStyle w:val="AERbody"/>
        </w:rPr>
        <w:t xml:space="preserve">. </w:t>
      </w:r>
      <w:r w:rsidR="00112AA3" w:rsidRPr="009668A0">
        <w:rPr>
          <w:rStyle w:val="AERbody"/>
        </w:rPr>
        <w:t>This framework</w:t>
      </w:r>
      <w:r w:rsidRPr="009668A0">
        <w:rPr>
          <w:rStyle w:val="AERbody"/>
        </w:rPr>
        <w:t xml:space="preserve"> </w:t>
      </w:r>
      <w:r w:rsidR="00933625" w:rsidRPr="009668A0">
        <w:rPr>
          <w:rStyle w:val="AERbody"/>
        </w:rPr>
        <w:t>encourage</w:t>
      </w:r>
      <w:r w:rsidR="00112AA3" w:rsidRPr="009668A0">
        <w:rPr>
          <w:rStyle w:val="AERbody"/>
        </w:rPr>
        <w:t>s</w:t>
      </w:r>
      <w:r w:rsidR="00933625" w:rsidRPr="009668A0">
        <w:rPr>
          <w:rStyle w:val="AERbody"/>
        </w:rPr>
        <w:t xml:space="preserve"> distribut</w:t>
      </w:r>
      <w:r w:rsidR="00D94D78" w:rsidRPr="009668A0">
        <w:rPr>
          <w:rStyle w:val="AERbody"/>
        </w:rPr>
        <w:t>ors</w:t>
      </w:r>
      <w:r w:rsidR="00933625" w:rsidRPr="009668A0">
        <w:rPr>
          <w:rStyle w:val="AERbody"/>
        </w:rPr>
        <w:t xml:space="preserve"> to generate outcomes that consumers need, want and are willing to pay for, and to do so efficiently in line with jurisdictional reliability standards.</w:t>
      </w:r>
    </w:p>
    <w:p w:rsidR="00933625" w:rsidRPr="00933625" w:rsidRDefault="00CE42F6" w:rsidP="00933625">
      <w:r>
        <w:t>For the purpose of the</w:t>
      </w:r>
      <w:r w:rsidR="007032E1">
        <w:t xml:space="preserve"> </w:t>
      </w:r>
      <w:r w:rsidR="00E0655D">
        <w:t>new Scheme</w:t>
      </w:r>
      <w:r>
        <w:t>, d</w:t>
      </w:r>
      <w:r w:rsidR="00933625" w:rsidRPr="00933625">
        <w:t xml:space="preserve">emand </w:t>
      </w:r>
      <w:r w:rsidR="001D674E">
        <w:t>m</w:t>
      </w:r>
      <w:r w:rsidR="00933625" w:rsidRPr="00933625">
        <w:t>anagement</w:t>
      </w:r>
      <w:r>
        <w:t xml:space="preserve"> refers to n</w:t>
      </w:r>
      <w:r w:rsidR="00933625" w:rsidRPr="00933625">
        <w:t xml:space="preserve">etwork demand management. This is the act of modifying the drivers of network </w:t>
      </w:r>
      <w:r w:rsidR="00566718">
        <w:t xml:space="preserve">demand </w:t>
      </w:r>
      <w:r w:rsidR="00933625" w:rsidRPr="00933625">
        <w:t xml:space="preserve">to remove a network constraint. Many stakeholders see demand management as vital to ensuring the grid remains responsive to innovative </w:t>
      </w:r>
      <w:r>
        <w:t xml:space="preserve">and new </w:t>
      </w:r>
      <w:r w:rsidR="00933625" w:rsidRPr="00933625">
        <w:t>technologies, such as Distributed Energy Resources and Internet of Things devices.</w:t>
      </w:r>
      <w:r w:rsidR="00933625" w:rsidRPr="00933625">
        <w:rPr>
          <w:rStyle w:val="FootnoteReference"/>
        </w:rPr>
        <w:footnoteReference w:id="2"/>
      </w:r>
    </w:p>
    <w:p w:rsidR="00580887" w:rsidRDefault="00933625" w:rsidP="00F07F74">
      <w:r w:rsidRPr="00933625">
        <w:t xml:space="preserve">In 2015, the AEMC </w:t>
      </w:r>
      <w:r w:rsidR="00CC70F7">
        <w:t xml:space="preserve">amended the NER </w:t>
      </w:r>
      <w:r w:rsidRPr="00933625">
        <w:t>in response to two separate rule change proposals ― submitted by COAG Energy Council an</w:t>
      </w:r>
      <w:r w:rsidR="009D5FEB">
        <w:t>d the Total Environment Centre.</w:t>
      </w:r>
    </w:p>
    <w:p w:rsidR="00EB3DF7" w:rsidRDefault="00EB3DF7" w:rsidP="00C77EF8">
      <w:r w:rsidRPr="00EB3DF7">
        <w:t xml:space="preserve">In making this rule change, the AEMC considered that the previous arrangements had created an insufficient incentive for distributors to engage in demand management.  The new </w:t>
      </w:r>
      <w:r w:rsidR="00E0655D">
        <w:t>Scheme</w:t>
      </w:r>
      <w:r w:rsidR="0093456A">
        <w:t xml:space="preserve"> O</w:t>
      </w:r>
      <w:r w:rsidRPr="00EB3DF7">
        <w:t>bjective is to ‘provide distribution businesses with an incentive to undertake efficient expenditure on relevant non-network options relating to demand management’.</w:t>
      </w:r>
      <w:r w:rsidR="009D5FEB">
        <w:rPr>
          <w:rStyle w:val="FootnoteReference"/>
        </w:rPr>
        <w:footnoteReference w:id="3"/>
      </w:r>
    </w:p>
    <w:p w:rsidR="00B964D2" w:rsidRDefault="00CA6625" w:rsidP="00C77EF8">
      <w:r>
        <w:t>A key</w:t>
      </w:r>
      <w:r w:rsidR="00B964D2" w:rsidRPr="00B964D2">
        <w:t xml:space="preserve"> </w:t>
      </w:r>
      <w:r>
        <w:t>objective</w:t>
      </w:r>
      <w:r w:rsidRPr="00B964D2">
        <w:t xml:space="preserve"> </w:t>
      </w:r>
      <w:r w:rsidR="00B964D2" w:rsidRPr="00B964D2">
        <w:t xml:space="preserve">of the AEMC's 2015 rule change was to help us balance the incentives for distributors seeking to engage in demand management against network options. The rule change aimed to accomplish this by strengthening the pre-existing rules pertaining to the current Scheme. The AEMC considered that this </w:t>
      </w:r>
      <w:proofErr w:type="gramStart"/>
      <w:r w:rsidR="00B964D2" w:rsidRPr="00B964D2">
        <w:t xml:space="preserve">was best </w:t>
      </w:r>
      <w:r w:rsidR="00AC5595" w:rsidRPr="00B964D2">
        <w:t>achieved</w:t>
      </w:r>
      <w:proofErr w:type="gramEnd"/>
      <w:r w:rsidR="00B964D2" w:rsidRPr="00B964D2">
        <w:t xml:space="preserve"> by providing greater clarity regarding the </w:t>
      </w:r>
      <w:r w:rsidR="00E0655D">
        <w:t>new Scheme</w:t>
      </w:r>
      <w:r w:rsidR="00B964D2" w:rsidRPr="00B964D2">
        <w:t xml:space="preserve">'s aims and allowing us the flexibility to implement it appropriately.  </w:t>
      </w:r>
    </w:p>
    <w:p w:rsidR="00C77EF8" w:rsidRDefault="00C77EF8" w:rsidP="006C33F6">
      <w:r w:rsidRPr="00933625">
        <w:t>The AEMC acknowledged in its final determination that changes in market conditions had an effect on the uptake of demand management projects</w:t>
      </w:r>
      <w:r>
        <w:t>. It also</w:t>
      </w:r>
      <w:r w:rsidRPr="00933625">
        <w:t xml:space="preserve"> noted other forthcoming regulatory </w:t>
      </w:r>
      <w:r>
        <w:t>reforms that aim</w:t>
      </w:r>
      <w:r w:rsidRPr="00933625">
        <w:t xml:space="preserve"> to redress the reward for non-network expenditure.</w:t>
      </w:r>
      <w:r w:rsidRPr="00933625">
        <w:rPr>
          <w:rStyle w:val="FootnoteReference"/>
        </w:rPr>
        <w:footnoteReference w:id="4"/>
      </w:r>
      <w:r w:rsidRPr="00933625">
        <w:t xml:space="preserve"> However, the </w:t>
      </w:r>
      <w:r>
        <w:t>AEMC ultimately</w:t>
      </w:r>
      <w:r w:rsidRPr="00933625">
        <w:t xml:space="preserve"> considered that there was a bias against non-network solutions and that a principles-based approach would help </w:t>
      </w:r>
      <w:r>
        <w:t>distributors</w:t>
      </w:r>
      <w:r w:rsidRPr="00933625">
        <w:t xml:space="preserve"> to redress this imbalance.</w:t>
      </w:r>
      <w:r w:rsidRPr="00933625">
        <w:rPr>
          <w:rStyle w:val="FootnoteReference"/>
        </w:rPr>
        <w:footnoteReference w:id="5"/>
      </w:r>
    </w:p>
    <w:p w:rsidR="00933625" w:rsidRPr="00933625" w:rsidRDefault="00D53F0A" w:rsidP="00C77EF8">
      <w:r>
        <w:lastRenderedPageBreak/>
        <w:t xml:space="preserve">Under </w:t>
      </w:r>
      <w:r w:rsidR="00592186">
        <w:t xml:space="preserve">clause </w:t>
      </w:r>
      <w:r w:rsidR="00E604CD">
        <w:t>6.6.3 of the</w:t>
      </w:r>
      <w:r w:rsidR="00DB7655">
        <w:t xml:space="preserve"> NER, </w:t>
      </w:r>
      <w:r w:rsidR="00C3234C">
        <w:t>we</w:t>
      </w:r>
      <w:r w:rsidR="00933625" w:rsidRPr="00933625">
        <w:t xml:space="preserve"> </w:t>
      </w:r>
      <w:r w:rsidR="00CC70F7">
        <w:t>must</w:t>
      </w:r>
      <w:r w:rsidR="00CE3089">
        <w:t xml:space="preserve"> </w:t>
      </w:r>
      <w:r>
        <w:t>deve</w:t>
      </w:r>
      <w:r w:rsidR="00CE3089">
        <w:t xml:space="preserve">lop a Scheme </w:t>
      </w:r>
      <w:r w:rsidR="00DB7655">
        <w:t xml:space="preserve">that </w:t>
      </w:r>
      <w:r w:rsidR="00E604CD">
        <w:t>is consistent with the Scheme</w:t>
      </w:r>
      <w:r w:rsidR="0093456A">
        <w:t xml:space="preserve"> O</w:t>
      </w:r>
      <w:r w:rsidR="00E604CD">
        <w:t>bjective in clause 6.6.3(b)</w:t>
      </w:r>
      <w:r w:rsidR="00592186">
        <w:t xml:space="preserve"> </w:t>
      </w:r>
      <w:r w:rsidR="00E604CD">
        <w:t>which is to provide distributors with an incentive to undertake efficient expenditure on relevant non-network options relating to demand management. We must also develop and apply the Scheme taking into account the following:</w:t>
      </w:r>
      <w:r w:rsidR="007753DC">
        <w:rPr>
          <w:rStyle w:val="FootnoteReference"/>
        </w:rPr>
        <w:footnoteReference w:id="6"/>
      </w:r>
      <w:r w:rsidR="00DB7655">
        <w:t xml:space="preserve"> </w:t>
      </w:r>
    </w:p>
    <w:p w:rsidR="00E604CD" w:rsidRDefault="00E604CD" w:rsidP="006C33F6">
      <w:pPr>
        <w:pStyle w:val="LegalNumbering"/>
      </w:pPr>
      <w:r>
        <w:t>the Scheme should be applied in a manner that contributes to the achievement of the Scheme</w:t>
      </w:r>
      <w:r w:rsidR="0093456A">
        <w:t xml:space="preserve"> O</w:t>
      </w:r>
      <w:r>
        <w:t>bjective;</w:t>
      </w:r>
    </w:p>
    <w:p w:rsidR="00933625" w:rsidRPr="00933625" w:rsidRDefault="00E604CD" w:rsidP="006C33F6">
      <w:pPr>
        <w:pStyle w:val="LegalNumbering"/>
      </w:pPr>
      <w:r>
        <w:t xml:space="preserve">the Scheme should </w:t>
      </w:r>
      <w:r w:rsidR="00933625" w:rsidRPr="00933625">
        <w:t xml:space="preserve">reward </w:t>
      </w:r>
      <w:r w:rsidR="00D94D78">
        <w:t>d</w:t>
      </w:r>
      <w:r w:rsidR="00C3234C">
        <w:t>istributors</w:t>
      </w:r>
      <w:r w:rsidR="00933625" w:rsidRPr="00933625">
        <w:t xml:space="preserve"> for implementing</w:t>
      </w:r>
      <w:r>
        <w:t xml:space="preserve"> relevant</w:t>
      </w:r>
      <w:r w:rsidR="00933625" w:rsidRPr="00933625">
        <w:t xml:space="preserve"> non-network </w:t>
      </w:r>
      <w:r>
        <w:t>options that deliver net cost savings to retail customers;</w:t>
      </w:r>
    </w:p>
    <w:p w:rsidR="00523913" w:rsidRPr="00933625" w:rsidRDefault="00E604CD" w:rsidP="006C33F6">
      <w:pPr>
        <w:pStyle w:val="LegalNumbering"/>
      </w:pPr>
      <w:proofErr w:type="gramStart"/>
      <w:r>
        <w:t>the</w:t>
      </w:r>
      <w:proofErr w:type="gramEnd"/>
      <w:r>
        <w:t xml:space="preserve"> Scheme should </w:t>
      </w:r>
      <w:r w:rsidR="00933625" w:rsidRPr="00933625">
        <w:t>balance the incentives between expenditure on network options</w:t>
      </w:r>
      <w:r>
        <w:t xml:space="preserve"> and non-network options</w:t>
      </w:r>
      <w:r w:rsidR="00933625" w:rsidRPr="00933625">
        <w:t xml:space="preserve"> relating to demand management</w:t>
      </w:r>
      <w:r>
        <w:t>. In doing so, we may take into account net economic benefits to all those who produce, consume and transport electricity to the market associated with implementing the relevant non-network option;</w:t>
      </w:r>
    </w:p>
    <w:p w:rsidR="00FF7046" w:rsidRDefault="00FF7046" w:rsidP="006C33F6">
      <w:pPr>
        <w:pStyle w:val="LegalNumbering"/>
      </w:pPr>
      <w:r>
        <w:t>the level of the incentive:</w:t>
      </w:r>
    </w:p>
    <w:p w:rsidR="00FF7046" w:rsidRDefault="00FF7046" w:rsidP="006C33F6">
      <w:pPr>
        <w:pStyle w:val="LegalNumbering"/>
        <w:numPr>
          <w:ilvl w:val="2"/>
          <w:numId w:val="21"/>
        </w:numPr>
      </w:pPr>
      <w:r>
        <w:t>should be reasonable, considering the long term benefit to retail customers;</w:t>
      </w:r>
    </w:p>
    <w:p w:rsidR="00FF7046" w:rsidRDefault="00FF7046" w:rsidP="006C33F6">
      <w:pPr>
        <w:pStyle w:val="LegalNumbering"/>
        <w:numPr>
          <w:ilvl w:val="2"/>
          <w:numId w:val="21"/>
        </w:numPr>
      </w:pPr>
      <w:r>
        <w:t>should not include costs that are otherwise recovered from any other source, including under a relevant distribution determination; and</w:t>
      </w:r>
    </w:p>
    <w:p w:rsidR="00FF7046" w:rsidRDefault="00FF7046" w:rsidP="006C33F6">
      <w:pPr>
        <w:pStyle w:val="LegalNumbering"/>
        <w:numPr>
          <w:ilvl w:val="2"/>
          <w:numId w:val="21"/>
        </w:numPr>
      </w:pPr>
      <w:r>
        <w:t>may vary by distributor and over time;</w:t>
      </w:r>
    </w:p>
    <w:p w:rsidR="00933625" w:rsidRPr="00933625" w:rsidRDefault="007A1A03" w:rsidP="006C33F6">
      <w:pPr>
        <w:pStyle w:val="LegalNumbering"/>
      </w:pPr>
      <w:r>
        <w:t>penalties should not be imposed on distributors under any Scheme</w:t>
      </w:r>
      <w:r w:rsidR="00DB7655">
        <w:t>;</w:t>
      </w:r>
    </w:p>
    <w:p w:rsidR="007A1A03" w:rsidRDefault="007A1A03" w:rsidP="006C33F6">
      <w:pPr>
        <w:pStyle w:val="LegalNumbering"/>
      </w:pPr>
      <w:r>
        <w:t>the incentive should not be limited by the length of a regulatory control period, if such limitation would not contribute to the achievement of the Scheme</w:t>
      </w:r>
      <w:r w:rsidR="0093456A">
        <w:t xml:space="preserve"> O</w:t>
      </w:r>
      <w:r>
        <w:t>bjective</w:t>
      </w:r>
      <w:r w:rsidR="00DB7655">
        <w:t>;</w:t>
      </w:r>
    </w:p>
    <w:p w:rsidR="007A1A03" w:rsidRDefault="007A1A03" w:rsidP="006C33F6">
      <w:pPr>
        <w:pStyle w:val="LegalNumbering"/>
      </w:pPr>
      <w:r>
        <w:t>the possible interaction between the Scheme and:</w:t>
      </w:r>
    </w:p>
    <w:p w:rsidR="007A1A03" w:rsidRDefault="007A1A03" w:rsidP="006C33F6">
      <w:pPr>
        <w:pStyle w:val="LegalNumbering"/>
        <w:numPr>
          <w:ilvl w:val="2"/>
          <w:numId w:val="21"/>
        </w:numPr>
      </w:pPr>
      <w:r>
        <w:t>any other incentive available to the distributor in relation to undertaking efficient expenditure on, or implementation of, relevant non-network options;</w:t>
      </w:r>
    </w:p>
    <w:p w:rsidR="007A1A03" w:rsidRDefault="007A1A03" w:rsidP="006C33F6">
      <w:pPr>
        <w:pStyle w:val="LegalNumbering"/>
        <w:numPr>
          <w:ilvl w:val="2"/>
          <w:numId w:val="21"/>
        </w:numPr>
      </w:pPr>
      <w:r>
        <w:t>particular control mechanisms and their effect on a distributor's available incentives referred to above; and</w:t>
      </w:r>
    </w:p>
    <w:p w:rsidR="007A1A03" w:rsidRDefault="007A1A03" w:rsidP="006C33F6">
      <w:pPr>
        <w:pStyle w:val="LegalNumbering"/>
        <w:numPr>
          <w:ilvl w:val="2"/>
          <w:numId w:val="21"/>
        </w:numPr>
      </w:pPr>
      <w:proofErr w:type="gramStart"/>
      <w:r>
        <w:t>meeting</w:t>
      </w:r>
      <w:proofErr w:type="gramEnd"/>
      <w:r>
        <w:t xml:space="preserve"> any regulatory obligation or requirements. </w:t>
      </w:r>
    </w:p>
    <w:p w:rsidR="0034418D" w:rsidRDefault="006C33F6" w:rsidP="00AE3198">
      <w:pPr>
        <w:pStyle w:val="Heading2"/>
      </w:pPr>
      <w:bookmarkStart w:id="12" w:name="_Toc491422170"/>
      <w:r>
        <w:t xml:space="preserve">The </w:t>
      </w:r>
      <w:r w:rsidR="003D484E">
        <w:t>d</w:t>
      </w:r>
      <w:r>
        <w:t xml:space="preserve">esign of the </w:t>
      </w:r>
      <w:r w:rsidR="00E0655D">
        <w:t>new Scheme</w:t>
      </w:r>
      <w:bookmarkEnd w:id="12"/>
    </w:p>
    <w:p w:rsidR="00145465" w:rsidRDefault="000C13DE" w:rsidP="0034418D">
      <w:r>
        <w:t xml:space="preserve">The </w:t>
      </w:r>
      <w:r w:rsidR="00E0655D">
        <w:t>new Scheme</w:t>
      </w:r>
      <w:r w:rsidR="0034418D">
        <w:t xml:space="preserve"> </w:t>
      </w:r>
      <w:r w:rsidR="00AE450A">
        <w:t>provides</w:t>
      </w:r>
      <w:r w:rsidR="0034418D">
        <w:t xml:space="preserve"> </w:t>
      </w:r>
      <w:proofErr w:type="gramStart"/>
      <w:r w:rsidR="0034418D">
        <w:t>an uplift</w:t>
      </w:r>
      <w:proofErr w:type="gramEnd"/>
      <w:r w:rsidR="0034418D">
        <w:t xml:space="preserve"> on the costs of demand management projects that have been assessed as efficient. </w:t>
      </w:r>
      <w:r w:rsidR="00D17DCA">
        <w:t xml:space="preserve">In the </w:t>
      </w:r>
      <w:r w:rsidR="00E0655D">
        <w:t>new Scheme</w:t>
      </w:r>
      <w:r>
        <w:t>,</w:t>
      </w:r>
      <w:r w:rsidR="00D17DCA">
        <w:t xml:space="preserve"> </w:t>
      </w:r>
      <w:r w:rsidR="00E33B42">
        <w:t>we are proposing to set this uplift at 50</w:t>
      </w:r>
      <w:r w:rsidR="00ED24C1">
        <w:t xml:space="preserve"> per cent</w:t>
      </w:r>
      <w:r w:rsidR="00E33B42">
        <w:t xml:space="preserve">. Projects </w:t>
      </w:r>
      <w:proofErr w:type="gramStart"/>
      <w:r w:rsidR="00E33B42">
        <w:t>must be assessed</w:t>
      </w:r>
      <w:proofErr w:type="gramEnd"/>
      <w:r w:rsidR="00E33B42">
        <w:t xml:space="preserve"> as efficient, either through </w:t>
      </w:r>
      <w:r>
        <w:t>conducting a regulatory investment test for distribution (</w:t>
      </w:r>
      <w:r w:rsidR="00E33B42">
        <w:t>RIT-D</w:t>
      </w:r>
      <w:r>
        <w:t>)</w:t>
      </w:r>
      <w:r w:rsidR="00E33B42">
        <w:t xml:space="preserve"> or through</w:t>
      </w:r>
      <w:r>
        <w:t xml:space="preserve"> following </w:t>
      </w:r>
      <w:r w:rsidR="0093456A">
        <w:t>alternative</w:t>
      </w:r>
      <w:r w:rsidR="00E33B42">
        <w:t xml:space="preserve"> </w:t>
      </w:r>
      <w:r w:rsidR="006C33F6">
        <w:t>requirements</w:t>
      </w:r>
      <w:r w:rsidR="00F0239F">
        <w:t xml:space="preserve"> specified in the </w:t>
      </w:r>
      <w:r>
        <w:t>S</w:t>
      </w:r>
      <w:r w:rsidR="00F0239F">
        <w:t>cheme</w:t>
      </w:r>
      <w:r w:rsidR="008F255B">
        <w:t xml:space="preserve">. </w:t>
      </w:r>
      <w:r w:rsidR="00AE450A">
        <w:t xml:space="preserve">We consider that this will provide distributors </w:t>
      </w:r>
      <w:r w:rsidR="00AE450A">
        <w:lastRenderedPageBreak/>
        <w:t xml:space="preserve">with a suitable incentive to </w:t>
      </w:r>
      <w:r w:rsidR="00F0239F">
        <w:t>invest in</w:t>
      </w:r>
      <w:r w:rsidR="00AE450A">
        <w:t xml:space="preserve"> demand management, but only where it is efficient and in the </w:t>
      </w:r>
      <w:r w:rsidR="00AB0448">
        <w:t>long-term</w:t>
      </w:r>
      <w:r w:rsidR="00A240BC">
        <w:t xml:space="preserve"> </w:t>
      </w:r>
      <w:r w:rsidR="00AE450A">
        <w:t>interests of consumers.</w:t>
      </w:r>
    </w:p>
    <w:p w:rsidR="0034418D" w:rsidRDefault="008F255B" w:rsidP="0034418D">
      <w:r>
        <w:t>The incentive is subject to two caps</w:t>
      </w:r>
      <w:r w:rsidR="000C13DE">
        <w:t>:</w:t>
      </w:r>
    </w:p>
    <w:p w:rsidR="00145465" w:rsidRDefault="00145465" w:rsidP="00145465">
      <w:pPr>
        <w:pStyle w:val="AERbulletlistfirststyle"/>
      </w:pPr>
      <w:r w:rsidRPr="00EC7769">
        <w:rPr>
          <w:rStyle w:val="AERtextitalic"/>
        </w:rPr>
        <w:t>The project cap</w:t>
      </w:r>
      <w:r>
        <w:t xml:space="preserve"> - </w:t>
      </w:r>
      <w:r w:rsidR="000C13DE">
        <w:t xml:space="preserve">this </w:t>
      </w:r>
      <w:r>
        <w:t xml:space="preserve">stipulates that the total incentive payable cannot exceed the </w:t>
      </w:r>
      <w:r w:rsidR="000C13DE">
        <w:t xml:space="preserve">expected </w:t>
      </w:r>
      <w:r>
        <w:t xml:space="preserve">net benefits of the project. This cap </w:t>
      </w:r>
      <w:r w:rsidR="0093456A">
        <w:t>aims to have every project that receives the</w:t>
      </w:r>
      <w:r w:rsidR="00E610C9">
        <w:t xml:space="preserve"> incentive deliver either a positive or a neutral benefit to </w:t>
      </w:r>
      <w:r w:rsidR="0093456A">
        <w:t xml:space="preserve">retail electricity </w:t>
      </w:r>
      <w:proofErr w:type="gramStart"/>
      <w:r w:rsidR="0093456A">
        <w:t>customers</w:t>
      </w:r>
      <w:proofErr w:type="gramEnd"/>
      <w:r w:rsidR="000C13DE">
        <w:t xml:space="preserve"> ex-ante</w:t>
      </w:r>
      <w:r w:rsidR="0093456A">
        <w:t>.</w:t>
      </w:r>
    </w:p>
    <w:p w:rsidR="008F255B" w:rsidRDefault="00145465" w:rsidP="00145465">
      <w:pPr>
        <w:pStyle w:val="AERbulletlistfirststyle"/>
      </w:pPr>
      <w:r w:rsidRPr="00EC7769">
        <w:rPr>
          <w:rStyle w:val="AERtextitalic"/>
        </w:rPr>
        <w:t>The overall cap</w:t>
      </w:r>
      <w:r>
        <w:t xml:space="preserve"> - this cap prevents a distributor</w:t>
      </w:r>
      <w:r w:rsidR="00AE450A">
        <w:t>'</w:t>
      </w:r>
      <w:r>
        <w:t>s total incentive for a regulatory year from exceeding 1</w:t>
      </w:r>
      <w:r w:rsidR="0093456A">
        <w:t>.0</w:t>
      </w:r>
      <w:r w:rsidR="00ED24C1">
        <w:t xml:space="preserve"> per cent</w:t>
      </w:r>
      <w:r>
        <w:t xml:space="preserve"> of maximum allowable revenue</w:t>
      </w:r>
      <w:r w:rsidR="00AE450A">
        <w:t xml:space="preserve"> for that year</w:t>
      </w:r>
      <w:r>
        <w:t xml:space="preserve">. </w:t>
      </w:r>
    </w:p>
    <w:p w:rsidR="00AE450A" w:rsidRPr="0034418D" w:rsidRDefault="00AE450A" w:rsidP="0034418D">
      <w:r>
        <w:t>Overall</w:t>
      </w:r>
      <w:r w:rsidR="00E610C9">
        <w:t>,</w:t>
      </w:r>
      <w:r>
        <w:t xml:space="preserve"> we </w:t>
      </w:r>
      <w:r w:rsidR="000C13DE">
        <w:t xml:space="preserve">consider </w:t>
      </w:r>
      <w:r>
        <w:t xml:space="preserve">this </w:t>
      </w:r>
      <w:r w:rsidR="00E0655D">
        <w:t>new Scheme</w:t>
      </w:r>
      <w:r>
        <w:t xml:space="preserve"> addresses the requirements </w:t>
      </w:r>
      <w:r w:rsidR="00ED24C1">
        <w:t>contained</w:t>
      </w:r>
      <w:r>
        <w:t xml:space="preserve"> in the </w:t>
      </w:r>
      <w:r w:rsidR="000C13DE">
        <w:t xml:space="preserve">NER </w:t>
      </w:r>
      <w:r>
        <w:t xml:space="preserve">and will serve to achieve the Scheme's </w:t>
      </w:r>
      <w:r w:rsidR="00ED24C1">
        <w:t xml:space="preserve">stated </w:t>
      </w:r>
      <w:r>
        <w:t xml:space="preserve">objective. </w:t>
      </w:r>
      <w:r w:rsidR="00E610C9">
        <w:t xml:space="preserve">The </w:t>
      </w:r>
      <w:r w:rsidR="0093456A">
        <w:t xml:space="preserve">Explanatory Statement accompanying the </w:t>
      </w:r>
      <w:r w:rsidR="00961953">
        <w:t>draft new</w:t>
      </w:r>
      <w:r w:rsidR="00E0655D">
        <w:t xml:space="preserve"> Scheme</w:t>
      </w:r>
      <w:r w:rsidR="00E610C9">
        <w:t xml:space="preserve">, published alongside this paper, explains </w:t>
      </w:r>
      <w:r w:rsidR="0093456A">
        <w:t>our proposal for the new</w:t>
      </w:r>
      <w:r w:rsidR="00E0655D">
        <w:t xml:space="preserve"> Scheme</w:t>
      </w:r>
      <w:r w:rsidR="00E610C9">
        <w:t xml:space="preserve"> in detail</w:t>
      </w:r>
      <w:r w:rsidR="00206246">
        <w:t>.</w:t>
      </w:r>
    </w:p>
    <w:p w:rsidR="00C4623B" w:rsidRDefault="006C33F6" w:rsidP="00C4623B">
      <w:pPr>
        <w:pStyle w:val="Heading1"/>
      </w:pPr>
      <w:bookmarkStart w:id="13" w:name="_Toc491422171"/>
      <w:bookmarkEnd w:id="1"/>
      <w:bookmarkEnd w:id="8"/>
      <w:bookmarkEnd w:id="9"/>
      <w:r>
        <w:lastRenderedPageBreak/>
        <w:t>Feedback</w:t>
      </w:r>
      <w:r w:rsidR="00C4623B">
        <w:t xml:space="preserve"> from stakeholders</w:t>
      </w:r>
      <w:bookmarkEnd w:id="13"/>
    </w:p>
    <w:p w:rsidR="00C4623B" w:rsidRDefault="00C36911" w:rsidP="00C4623B">
      <w:r>
        <w:t>T</w:t>
      </w:r>
      <w:r w:rsidR="00427AFB">
        <w:t>o date t</w:t>
      </w:r>
      <w:r>
        <w:t xml:space="preserve">here has been </w:t>
      </w:r>
      <w:r w:rsidR="00427AFB">
        <w:t xml:space="preserve">a large amount of </w:t>
      </w:r>
      <w:r>
        <w:t>stakeholder interes</w:t>
      </w:r>
      <w:r w:rsidR="00A20AD7">
        <w:t xml:space="preserve">t and engagement </w:t>
      </w:r>
      <w:r w:rsidR="00427AFB">
        <w:t>on</w:t>
      </w:r>
      <w:r w:rsidR="00E054E9">
        <w:t xml:space="preserve"> </w:t>
      </w:r>
      <w:r w:rsidR="00ED24C1">
        <w:t>the new Scheme</w:t>
      </w:r>
      <w:r w:rsidR="00A20AD7">
        <w:t>. A</w:t>
      </w:r>
      <w:r>
        <w:t xml:space="preserve"> </w:t>
      </w:r>
      <w:r w:rsidR="00427AFB">
        <w:t xml:space="preserve">number </w:t>
      </w:r>
      <w:r>
        <w:t>of stakeholders</w:t>
      </w:r>
      <w:r w:rsidR="00A20AD7">
        <w:t xml:space="preserve"> have</w:t>
      </w:r>
      <w:r>
        <w:t xml:space="preserve"> shared their</w:t>
      </w:r>
      <w:r w:rsidR="00427AFB">
        <w:t xml:space="preserve"> view</w:t>
      </w:r>
      <w:r>
        <w:t xml:space="preserve"> throughout the </w:t>
      </w:r>
      <w:r w:rsidR="000956E6">
        <w:t xml:space="preserve">Scheme </w:t>
      </w:r>
      <w:r>
        <w:t>development process. For instance:</w:t>
      </w:r>
    </w:p>
    <w:p w:rsidR="002B1507" w:rsidRDefault="002B1507" w:rsidP="002B1507">
      <w:pPr>
        <w:pStyle w:val="AERbulletlistfirststyle"/>
      </w:pPr>
      <w:r>
        <w:t>Prior to the Issues Day</w:t>
      </w:r>
      <w:r w:rsidR="00630BC5">
        <w:t>, 57</w:t>
      </w:r>
      <w:r>
        <w:t xml:space="preserve"> stakeholders responded to a pre-workshop survey by submitting to us their top three issues concerning network demand management and the development of the</w:t>
      </w:r>
      <w:r w:rsidR="007032E1">
        <w:t xml:space="preserve"> </w:t>
      </w:r>
      <w:r w:rsidR="00E0655D">
        <w:t>new Scheme</w:t>
      </w:r>
      <w:r w:rsidR="00A34C25">
        <w:t xml:space="preserve"> and </w:t>
      </w:r>
      <w:r w:rsidR="0093456A">
        <w:t>new demand management innovation allowance m</w:t>
      </w:r>
      <w:r w:rsidR="00A34C25">
        <w:t>echanism</w:t>
      </w:r>
      <w:r w:rsidR="0093456A">
        <w:t xml:space="preserve"> (Mechanism)</w:t>
      </w:r>
      <w:r>
        <w:t>.</w:t>
      </w:r>
    </w:p>
    <w:p w:rsidR="00C36911" w:rsidRDefault="00C36911" w:rsidP="002B1507">
      <w:pPr>
        <w:pStyle w:val="AERbulletlistfirststyle"/>
      </w:pPr>
      <w:proofErr w:type="gramStart"/>
      <w:r>
        <w:t>68</w:t>
      </w:r>
      <w:proofErr w:type="gramEnd"/>
      <w:r>
        <w:t xml:space="preserve"> stakeholders </w:t>
      </w:r>
      <w:r w:rsidR="002B1507">
        <w:t>attended</w:t>
      </w:r>
      <w:r>
        <w:t xml:space="preserve"> our demand management Issues Day</w:t>
      </w:r>
      <w:r w:rsidRPr="00C36911">
        <w:t xml:space="preserve"> </w:t>
      </w:r>
      <w:r>
        <w:t xml:space="preserve">on 20 September 2016. </w:t>
      </w:r>
      <w:r w:rsidR="002B1507">
        <w:t>Eight</w:t>
      </w:r>
      <w:r w:rsidR="002B1507" w:rsidRPr="002B1507">
        <w:t xml:space="preserve"> key stakeholders gave presentations and </w:t>
      </w:r>
      <w:r w:rsidR="002B1507">
        <w:t>all participants actively brainstormed views and solutions around key issues during</w:t>
      </w:r>
      <w:r w:rsidR="002B1507" w:rsidRPr="002B1507">
        <w:t xml:space="preserve"> </w:t>
      </w:r>
      <w:r w:rsidR="002B1507">
        <w:t>'</w:t>
      </w:r>
      <w:r w:rsidR="002B1507" w:rsidRPr="002B1507">
        <w:t>breakout sessions</w:t>
      </w:r>
      <w:r w:rsidR="002B1507">
        <w:t>'</w:t>
      </w:r>
      <w:r w:rsidR="002B1507" w:rsidRPr="002B1507">
        <w:t>.</w:t>
      </w:r>
    </w:p>
    <w:p w:rsidR="00C36911" w:rsidRDefault="00C36911" w:rsidP="00C36911">
      <w:pPr>
        <w:pStyle w:val="AERbulletlistfirststyle"/>
      </w:pPr>
      <w:proofErr w:type="gramStart"/>
      <w:r>
        <w:t>28</w:t>
      </w:r>
      <w:proofErr w:type="gramEnd"/>
      <w:r>
        <w:t xml:space="preserve"> stakeholders lodged detailed submissions on a Consultation Paper wi</w:t>
      </w:r>
      <w:r w:rsidR="0093456A">
        <w:t>th published on 4 January 2017.</w:t>
      </w:r>
    </w:p>
    <w:p w:rsidR="00C36911" w:rsidRDefault="00C36911" w:rsidP="00C36911">
      <w:pPr>
        <w:pStyle w:val="AERbulletlistfirststyle"/>
      </w:pPr>
      <w:proofErr w:type="gramStart"/>
      <w:r>
        <w:t>42</w:t>
      </w:r>
      <w:proofErr w:type="gramEnd"/>
      <w:r>
        <w:t xml:space="preserve"> stakeholders actively participated in a round table discussion at our demand management Options Day</w:t>
      </w:r>
      <w:r w:rsidRPr="00C36911">
        <w:t xml:space="preserve"> </w:t>
      </w:r>
      <w:r>
        <w:t>on 6 April 2017.</w:t>
      </w:r>
    </w:p>
    <w:p w:rsidR="00C36911" w:rsidRDefault="00C36911" w:rsidP="00C36911">
      <w:pPr>
        <w:pStyle w:val="AERbulletlistfirststyle"/>
      </w:pPr>
      <w:proofErr w:type="gramStart"/>
      <w:r>
        <w:t>1</w:t>
      </w:r>
      <w:r w:rsidR="00C12440">
        <w:t>2</w:t>
      </w:r>
      <w:proofErr w:type="gramEnd"/>
      <w:r w:rsidR="00F73394">
        <w:t xml:space="preserve"> </w:t>
      </w:r>
      <w:r w:rsidR="00630BC5">
        <w:t>s</w:t>
      </w:r>
      <w:r w:rsidR="002B1507">
        <w:t>takeholders that attended the Options Day lodged supplementary submissions following the Options Day.</w:t>
      </w:r>
    </w:p>
    <w:p w:rsidR="002B1507" w:rsidRDefault="00C12440" w:rsidP="00C36911">
      <w:pPr>
        <w:pStyle w:val="AERbulletlistfirststyle"/>
      </w:pPr>
      <w:proofErr w:type="gramStart"/>
      <w:r>
        <w:t>51</w:t>
      </w:r>
      <w:proofErr w:type="gramEnd"/>
      <w:r w:rsidR="002B1507">
        <w:t xml:space="preserve"> stakeholders attended a Direction</w:t>
      </w:r>
      <w:r>
        <w:t>s</w:t>
      </w:r>
      <w:r w:rsidR="002B1507">
        <w:t xml:space="preserve"> Forum v</w:t>
      </w:r>
      <w:r w:rsidR="0093456A">
        <w:t>ideoconference on 29 June 2017.</w:t>
      </w:r>
    </w:p>
    <w:p w:rsidR="000724DA" w:rsidRDefault="002B1507" w:rsidP="002B1507">
      <w:pPr>
        <w:pStyle w:val="AERbulletlistfirststyle"/>
        <w:numPr>
          <w:ilvl w:val="0"/>
          <w:numId w:val="0"/>
        </w:numPr>
      </w:pPr>
      <w:r>
        <w:t>Where possible, we have made the material that stakeholders provided to us publicly available on our website.</w:t>
      </w:r>
      <w:r>
        <w:rPr>
          <w:rStyle w:val="FootnoteReference"/>
        </w:rPr>
        <w:footnoteReference w:id="7"/>
      </w:r>
    </w:p>
    <w:p w:rsidR="000724DA" w:rsidRDefault="00592186" w:rsidP="002B1507">
      <w:pPr>
        <w:pStyle w:val="AERbulletlistfirststyle"/>
        <w:numPr>
          <w:ilvl w:val="0"/>
          <w:numId w:val="0"/>
        </w:numPr>
      </w:pPr>
      <w:r>
        <w:t xml:space="preserve">We raised this rule change proposal at our </w:t>
      </w:r>
      <w:r w:rsidR="00B84854">
        <w:t>Directions Forum videoconference</w:t>
      </w:r>
      <w:r>
        <w:t xml:space="preserve"> on</w:t>
      </w:r>
      <w:r w:rsidR="0093456A">
        <w:t xml:space="preserve"> 29</w:t>
      </w:r>
      <w:r w:rsidR="00AC5595">
        <w:t xml:space="preserve"> June 2017</w:t>
      </w:r>
      <w:r w:rsidR="00B84854">
        <w:t xml:space="preserve">. </w:t>
      </w:r>
      <w:r w:rsidR="000C63C7">
        <w:t xml:space="preserve">The proposal </w:t>
      </w:r>
      <w:r w:rsidR="00B84854">
        <w:t>received general support</w:t>
      </w:r>
      <w:r w:rsidR="0093456A">
        <w:t>,</w:t>
      </w:r>
      <w:r>
        <w:t xml:space="preserve"> with </w:t>
      </w:r>
      <w:r w:rsidR="00B84854">
        <w:t xml:space="preserve">some stakeholders </w:t>
      </w:r>
      <w:r>
        <w:t xml:space="preserve">wanting </w:t>
      </w:r>
      <w:r w:rsidR="00B84854">
        <w:t>clarification on</w:t>
      </w:r>
      <w:r w:rsidR="000724DA">
        <w:t xml:space="preserve"> the </w:t>
      </w:r>
      <w:r>
        <w:t xml:space="preserve">details surrounding the </w:t>
      </w:r>
      <w:r w:rsidR="000724DA">
        <w:t>legal mechanism</w:t>
      </w:r>
      <w:r w:rsidR="00C52425">
        <w:t xml:space="preserve"> for early implementation</w:t>
      </w:r>
      <w:r w:rsidR="000724DA">
        <w:t>.</w:t>
      </w:r>
      <w:r w:rsidR="00C52425">
        <w:rPr>
          <w:rStyle w:val="FootnoteReference"/>
        </w:rPr>
        <w:footnoteReference w:id="8"/>
      </w:r>
      <w:r w:rsidR="00D27E2D">
        <w:t xml:space="preserve"> </w:t>
      </w:r>
    </w:p>
    <w:p w:rsidR="00D27E2D" w:rsidRDefault="000724DA" w:rsidP="002B1507">
      <w:pPr>
        <w:pStyle w:val="AERbulletlistfirststyle"/>
        <w:numPr>
          <w:ilvl w:val="0"/>
          <w:numId w:val="0"/>
        </w:numPr>
      </w:pPr>
      <w:r>
        <w:t>In addition to this, the AEMC</w:t>
      </w:r>
      <w:r w:rsidR="000C63C7">
        <w:t>'s</w:t>
      </w:r>
      <w:r>
        <w:t xml:space="preserve"> consultation process on the </w:t>
      </w:r>
      <w:r w:rsidR="000C63C7">
        <w:t xml:space="preserve">2015 </w:t>
      </w:r>
      <w:r>
        <w:t xml:space="preserve">rule change </w:t>
      </w:r>
      <w:r w:rsidR="000C63C7">
        <w:t xml:space="preserve">included discussion </w:t>
      </w:r>
      <w:r>
        <w:t xml:space="preserve">on early implementation of the </w:t>
      </w:r>
      <w:r w:rsidR="000956E6">
        <w:t>S</w:t>
      </w:r>
      <w:r>
        <w:t>cheme</w:t>
      </w:r>
      <w:r w:rsidR="000C63C7">
        <w:t>. We note the following two submissions:</w:t>
      </w:r>
    </w:p>
    <w:p w:rsidR="00D27E2D" w:rsidRPr="00D27E2D" w:rsidRDefault="000724DA" w:rsidP="00D27E2D">
      <w:pPr>
        <w:pStyle w:val="AERbulletlistfirststyle"/>
      </w:pPr>
      <w:r w:rsidRPr="00D27E2D">
        <w:t xml:space="preserve">The Public Interest Advocacy Centre </w:t>
      </w:r>
      <w:r w:rsidR="00CF5595">
        <w:t>submitted</w:t>
      </w:r>
      <w:r w:rsidR="000956E6">
        <w:t xml:space="preserve"> </w:t>
      </w:r>
      <w:r w:rsidRPr="00D27E2D">
        <w:t xml:space="preserve">that </w:t>
      </w:r>
      <w:r w:rsidR="00961953">
        <w:t xml:space="preserve">it believed the benefits of mid </w:t>
      </w:r>
      <w:r w:rsidR="0093456A">
        <w:t xml:space="preserve">regulatory control </w:t>
      </w:r>
      <w:r w:rsidRPr="00D27E2D">
        <w:t xml:space="preserve">period commencement would outweigh the costs of early implementation. </w:t>
      </w:r>
      <w:r w:rsidR="000956E6">
        <w:t>It</w:t>
      </w:r>
      <w:r w:rsidRPr="00D27E2D">
        <w:t xml:space="preserve"> argued that customers have waited a long time for this rule change and further delay would be unnecessary.</w:t>
      </w:r>
      <w:r w:rsidR="00E33B42">
        <w:rPr>
          <w:rStyle w:val="FootnoteReference"/>
        </w:rPr>
        <w:footnoteReference w:id="9"/>
      </w:r>
    </w:p>
    <w:p w:rsidR="00B84854" w:rsidRDefault="000724DA" w:rsidP="00D27E2D">
      <w:pPr>
        <w:pStyle w:val="AERbulletlistfirststyle"/>
      </w:pPr>
      <w:r w:rsidRPr="00D27E2D">
        <w:lastRenderedPageBreak/>
        <w:t xml:space="preserve">Total Environment Centre </w:t>
      </w:r>
      <w:r w:rsidR="00494339">
        <w:t>submitted</w:t>
      </w:r>
      <w:r w:rsidR="00494339" w:rsidRPr="00D27E2D">
        <w:t xml:space="preserve"> </w:t>
      </w:r>
      <w:r w:rsidRPr="00D27E2D">
        <w:t>that if</w:t>
      </w:r>
      <w:r w:rsidR="00D43871">
        <w:t xml:space="preserve"> we advise distributors on the likely Scheme design during our consultation process, transitional arrangements could come into force earlier rather than later</w:t>
      </w:r>
      <w:r w:rsidRPr="00D27E2D">
        <w:t>.</w:t>
      </w:r>
      <w:r w:rsidR="00E33B42">
        <w:rPr>
          <w:rStyle w:val="FootnoteReference"/>
        </w:rPr>
        <w:footnoteReference w:id="10"/>
      </w:r>
    </w:p>
    <w:p w:rsidR="00C52425" w:rsidRDefault="00C52425" w:rsidP="00A05748">
      <w:pPr>
        <w:pStyle w:val="AERbulletlistfirststyle"/>
        <w:numPr>
          <w:ilvl w:val="0"/>
          <w:numId w:val="0"/>
        </w:numPr>
      </w:pPr>
      <w:r>
        <w:t>In our own submission on the</w:t>
      </w:r>
      <w:r w:rsidR="000C63C7">
        <w:t xml:space="preserve"> AEMC's 2015</w:t>
      </w:r>
      <w:r>
        <w:t xml:space="preserve"> </w:t>
      </w:r>
      <w:r w:rsidR="000C63C7">
        <w:t xml:space="preserve">proposed </w:t>
      </w:r>
      <w:r>
        <w:t>rule change, we</w:t>
      </w:r>
      <w:r w:rsidR="000956E6">
        <w:t xml:space="preserve"> </w:t>
      </w:r>
      <w:r w:rsidR="00594AAF">
        <w:t>raised</w:t>
      </w:r>
      <w:r w:rsidR="000956E6">
        <w:t xml:space="preserve"> a number of concerns</w:t>
      </w:r>
      <w:r>
        <w:t xml:space="preserve"> </w:t>
      </w:r>
      <w:r w:rsidR="000956E6">
        <w:t xml:space="preserve">regarding the </w:t>
      </w:r>
      <w:r>
        <w:t>early implementation of the</w:t>
      </w:r>
      <w:r w:rsidR="007032E1">
        <w:t xml:space="preserve"> </w:t>
      </w:r>
      <w:r w:rsidR="00E0655D">
        <w:t>new Scheme</w:t>
      </w:r>
      <w:r>
        <w:t xml:space="preserve">. </w:t>
      </w:r>
      <w:r w:rsidR="00AC5595">
        <w:t>We address these</w:t>
      </w:r>
      <w:r w:rsidR="000956E6">
        <w:t xml:space="preserve"> </w:t>
      </w:r>
      <w:r w:rsidR="0086180C">
        <w:t xml:space="preserve">concerns </w:t>
      </w:r>
      <w:r w:rsidR="000C63C7">
        <w:t>in section 4 of this Consultation Paper.</w:t>
      </w:r>
    </w:p>
    <w:p w:rsidR="00C4623B" w:rsidRDefault="00933625" w:rsidP="00C4623B">
      <w:pPr>
        <w:pStyle w:val="Heading1"/>
      </w:pPr>
      <w:bookmarkStart w:id="14" w:name="_Toc491422172"/>
      <w:r>
        <w:lastRenderedPageBreak/>
        <w:t xml:space="preserve">Nature and scope of the </w:t>
      </w:r>
      <w:r w:rsidR="000956E6">
        <w:t>rule change proposal</w:t>
      </w:r>
      <w:bookmarkEnd w:id="14"/>
    </w:p>
    <w:p w:rsidR="00594AAF" w:rsidRDefault="000956E6" w:rsidP="00933625">
      <w:r>
        <w:t xml:space="preserve">The objective of </w:t>
      </w:r>
      <w:r w:rsidR="00933625" w:rsidRPr="00933625">
        <w:t xml:space="preserve">the proposed </w:t>
      </w:r>
      <w:r w:rsidR="00A365A7">
        <w:t>r</w:t>
      </w:r>
      <w:r w:rsidR="00933625" w:rsidRPr="00933625">
        <w:t xml:space="preserve">ule is to </w:t>
      </w:r>
      <w:r>
        <w:t>allow</w:t>
      </w:r>
      <w:r w:rsidRPr="00933625">
        <w:t xml:space="preserve"> </w:t>
      </w:r>
      <w:r w:rsidR="00933625" w:rsidRPr="00933625">
        <w:t xml:space="preserve">eligible </w:t>
      </w:r>
      <w:r>
        <w:t>d</w:t>
      </w:r>
      <w:r w:rsidR="00C3234C">
        <w:t>istributors</w:t>
      </w:r>
      <w:r w:rsidR="00933625" w:rsidRPr="00933625">
        <w:t xml:space="preserve"> to </w:t>
      </w:r>
      <w:r w:rsidR="00C52425">
        <w:t xml:space="preserve">apply to us </w:t>
      </w:r>
      <w:r w:rsidR="00145486">
        <w:t xml:space="preserve">for approval to apply </w:t>
      </w:r>
      <w:r w:rsidR="00E0655D">
        <w:t>the new Scheme</w:t>
      </w:r>
      <w:r w:rsidR="00C52425">
        <w:t xml:space="preserve"> </w:t>
      </w:r>
      <w:r w:rsidR="00BD5DE2">
        <w:t>mid-way through</w:t>
      </w:r>
      <w:r w:rsidR="001D674E">
        <w:t xml:space="preserve"> an </w:t>
      </w:r>
      <w:r w:rsidR="00145486">
        <w:t>existing regulatory</w:t>
      </w:r>
      <w:r w:rsidR="001D674E">
        <w:t xml:space="preserve"> control period</w:t>
      </w:r>
      <w:r w:rsidR="00F0239F">
        <w:t>. W</w:t>
      </w:r>
      <w:r w:rsidR="00A83D5F">
        <w:t xml:space="preserve">ithout the proposed </w:t>
      </w:r>
      <w:r w:rsidR="00A365A7">
        <w:t>r</w:t>
      </w:r>
      <w:r w:rsidR="00A83D5F">
        <w:t>ule</w:t>
      </w:r>
      <w:r w:rsidR="00BD5DE2">
        <w:t>,</w:t>
      </w:r>
      <w:r w:rsidR="00933625" w:rsidRPr="00933625">
        <w:t xml:space="preserve"> </w:t>
      </w:r>
      <w:r w:rsidR="00A83D5F">
        <w:t xml:space="preserve">we would not be able </w:t>
      </w:r>
      <w:r w:rsidR="00F0239F">
        <w:t>to</w:t>
      </w:r>
      <w:r w:rsidR="00A83D5F">
        <w:t xml:space="preserve"> apply the</w:t>
      </w:r>
      <w:r w:rsidR="00E0655D">
        <w:t xml:space="preserve"> new</w:t>
      </w:r>
      <w:r w:rsidR="00A83D5F">
        <w:t xml:space="preserve"> </w:t>
      </w:r>
      <w:r w:rsidR="00BD5DE2">
        <w:t>S</w:t>
      </w:r>
      <w:r w:rsidR="00A83D5F">
        <w:t>cheme</w:t>
      </w:r>
      <w:r w:rsidR="00933625" w:rsidRPr="00933625">
        <w:t xml:space="preserve"> </w:t>
      </w:r>
      <w:r w:rsidR="009F3299">
        <w:t xml:space="preserve">to a distributor </w:t>
      </w:r>
      <w:r w:rsidR="00933625" w:rsidRPr="00933625">
        <w:t xml:space="preserve">until the commencement of </w:t>
      </w:r>
      <w:r w:rsidR="009F3299">
        <w:t>its</w:t>
      </w:r>
      <w:r w:rsidR="00933625" w:rsidRPr="00933625">
        <w:t xml:space="preserve"> </w:t>
      </w:r>
      <w:r w:rsidR="009F3299">
        <w:t>next regulatory control period.</w:t>
      </w:r>
    </w:p>
    <w:p w:rsidR="00933625" w:rsidRPr="00933625" w:rsidRDefault="00ED24C1" w:rsidP="00933625">
      <w:r>
        <w:t>We</w:t>
      </w:r>
      <w:r w:rsidR="00E33B42">
        <w:t xml:space="preserve"> consider that with a rule change, </w:t>
      </w:r>
      <w:r w:rsidR="00BD5DE2">
        <w:t xml:space="preserve">distributors </w:t>
      </w:r>
      <w:r w:rsidR="00E610C9">
        <w:t xml:space="preserve">could have the </w:t>
      </w:r>
      <w:r w:rsidR="00E0655D">
        <w:t>new Scheme</w:t>
      </w:r>
      <w:r w:rsidR="00E610C9">
        <w:t xml:space="preserve"> </w:t>
      </w:r>
      <w:r w:rsidR="00145486">
        <w:t>apply from as early as</w:t>
      </w:r>
      <w:r w:rsidR="00E33B42">
        <w:t xml:space="preserve"> 2019. </w:t>
      </w:r>
      <w:r w:rsidR="00E33B42" w:rsidRPr="00E33B42">
        <w:t xml:space="preserve">In some </w:t>
      </w:r>
      <w:r w:rsidR="00E610C9" w:rsidRPr="00E33B42">
        <w:t>cases,</w:t>
      </w:r>
      <w:r w:rsidR="00E33B42" w:rsidRPr="00E33B42">
        <w:t xml:space="preserve"> this </w:t>
      </w:r>
      <w:r w:rsidR="00E33B42">
        <w:t>avoids</w:t>
      </w:r>
      <w:r w:rsidR="00E33B42" w:rsidRPr="00E33B42">
        <w:t xml:space="preserve"> a </w:t>
      </w:r>
      <w:r w:rsidR="00E610C9">
        <w:t>t</w:t>
      </w:r>
      <w:r w:rsidR="00BD5DE2">
        <w:t>hree</w:t>
      </w:r>
      <w:r w:rsidR="00E610C9" w:rsidRPr="00E33B42">
        <w:t>-year</w:t>
      </w:r>
      <w:r w:rsidR="00E33B42" w:rsidRPr="00E33B42">
        <w:t xml:space="preserve"> </w:t>
      </w:r>
      <w:r w:rsidR="00E33B42">
        <w:t>delay</w:t>
      </w:r>
      <w:r w:rsidR="00E33B42" w:rsidRPr="00E33B42">
        <w:t>.</w:t>
      </w:r>
      <w:r w:rsidR="00E33B42">
        <w:t xml:space="preserve"> Determinations made</w:t>
      </w:r>
      <w:r w:rsidR="00F0239F">
        <w:t xml:space="preserve"> after</w:t>
      </w:r>
      <w:r w:rsidR="00E33B42">
        <w:t xml:space="preserve"> </w:t>
      </w:r>
      <w:r w:rsidR="00AB0448">
        <w:t xml:space="preserve">publication of </w:t>
      </w:r>
      <w:r w:rsidR="00E33B42">
        <w:t xml:space="preserve">the </w:t>
      </w:r>
      <w:r w:rsidR="007032E1">
        <w:t xml:space="preserve">final version of the </w:t>
      </w:r>
      <w:r w:rsidR="00E0655D">
        <w:t>new Scheme</w:t>
      </w:r>
      <w:r w:rsidR="00E33B42">
        <w:t xml:space="preserve"> (</w:t>
      </w:r>
      <w:r w:rsidR="00AC428D">
        <w:t xml:space="preserve">December </w:t>
      </w:r>
      <w:r w:rsidR="00E33B42">
        <w:t xml:space="preserve">2017) would </w:t>
      </w:r>
      <w:r w:rsidR="00E610C9">
        <w:t xml:space="preserve">apply the </w:t>
      </w:r>
      <w:r w:rsidR="00E0655D">
        <w:t>new Scheme</w:t>
      </w:r>
      <w:r w:rsidR="009F3299">
        <w:t>.</w:t>
      </w:r>
    </w:p>
    <w:p w:rsidR="00857E6B" w:rsidRDefault="00DB2D1C" w:rsidP="00857E6B">
      <w:r>
        <w:t>T</w:t>
      </w:r>
      <w:r w:rsidR="00933625" w:rsidRPr="00933625">
        <w:t xml:space="preserve">he proposed </w:t>
      </w:r>
      <w:r w:rsidR="00A365A7">
        <w:t>r</w:t>
      </w:r>
      <w:r w:rsidR="00933625" w:rsidRPr="00933625">
        <w:t>ule</w:t>
      </w:r>
      <w:r w:rsidR="000956E6">
        <w:t xml:space="preserve"> has a narrow scope</w:t>
      </w:r>
      <w:r w:rsidR="00145486">
        <w:t xml:space="preserve"> and </w:t>
      </w:r>
      <w:proofErr w:type="gramStart"/>
      <w:r w:rsidR="00933625" w:rsidRPr="00933625">
        <w:t>is confined</w:t>
      </w:r>
      <w:proofErr w:type="gramEnd"/>
      <w:r w:rsidR="00933625" w:rsidRPr="00933625">
        <w:t xml:space="preserve"> to permitting </w:t>
      </w:r>
      <w:r w:rsidR="00C3234C">
        <w:t>distributors</w:t>
      </w:r>
      <w:r w:rsidR="00933625" w:rsidRPr="00933625">
        <w:t xml:space="preserve"> to </w:t>
      </w:r>
      <w:r w:rsidR="00145486">
        <w:t>s</w:t>
      </w:r>
      <w:r w:rsidR="00933625" w:rsidRPr="00933625">
        <w:t xml:space="preserve">eek early application of the </w:t>
      </w:r>
      <w:r w:rsidR="000956E6">
        <w:t>S</w:t>
      </w:r>
      <w:r w:rsidR="00C3234C">
        <w:t>cheme</w:t>
      </w:r>
      <w:r w:rsidR="00145486">
        <w:t xml:space="preserve"> only</w:t>
      </w:r>
      <w:r w:rsidR="00933625" w:rsidRPr="00933625">
        <w:t xml:space="preserve">. The proposed </w:t>
      </w:r>
      <w:r w:rsidR="000956E6">
        <w:t>r</w:t>
      </w:r>
      <w:r w:rsidR="00933625" w:rsidRPr="00933625">
        <w:t xml:space="preserve">ule does not </w:t>
      </w:r>
      <w:r w:rsidR="00182CE2">
        <w:t>i</w:t>
      </w:r>
      <w:r w:rsidR="00857E6B" w:rsidRPr="00857E6B">
        <w:t xml:space="preserve">nclude any proposed changes to the NER provisions </w:t>
      </w:r>
      <w:r w:rsidR="00857E6B">
        <w:t>in relation to the Service Target Performance Incentive Scheme (STPIS), Capital Expenditure Sharing Scheme (CESS) or the Efficiency</w:t>
      </w:r>
      <w:r w:rsidR="009F3299">
        <w:t xml:space="preserve"> Benefit Sharing Scheme (EBSS).</w:t>
      </w:r>
    </w:p>
    <w:p w:rsidR="00CA5F00" w:rsidRDefault="004A5E7D" w:rsidP="004A5E7D">
      <w:pPr>
        <w:pStyle w:val="Caption"/>
      </w:pPr>
      <w:bookmarkStart w:id="15" w:name="_Ref490064178"/>
      <w:r>
        <w:t xml:space="preserve">Table </w:t>
      </w:r>
      <w:fldSimple w:instr=" SEQ Table \* ARABIC ">
        <w:r w:rsidR="00FD1524">
          <w:rPr>
            <w:noProof/>
          </w:rPr>
          <w:t>1</w:t>
        </w:r>
      </w:fldSimple>
      <w:bookmarkEnd w:id="15"/>
      <w:r>
        <w:t xml:space="preserve">: </w:t>
      </w:r>
      <w:r w:rsidR="00961953">
        <w:t>When the next distribution determinations apply</w:t>
      </w:r>
      <w:r w:rsidR="00D816F0">
        <w:t xml:space="preserve"> from</w:t>
      </w:r>
    </w:p>
    <w:tbl>
      <w:tblPr>
        <w:tblStyle w:val="AERtable-text0"/>
        <w:tblW w:w="0" w:type="auto"/>
        <w:tblLook w:val="04A0" w:firstRow="1" w:lastRow="0" w:firstColumn="1" w:lastColumn="0" w:noHBand="0" w:noVBand="1"/>
      </w:tblPr>
      <w:tblGrid>
        <w:gridCol w:w="4346"/>
        <w:gridCol w:w="4347"/>
      </w:tblGrid>
      <w:tr w:rsidR="004A5E7D" w:rsidTr="003D484E">
        <w:trPr>
          <w:cnfStyle w:val="100000000000" w:firstRow="1" w:lastRow="0" w:firstColumn="0" w:lastColumn="0" w:oddVBand="0" w:evenVBand="0" w:oddHBand="0" w:evenHBand="0" w:firstRowFirstColumn="0" w:firstRowLastColumn="0" w:lastRowFirstColumn="0" w:lastRowLastColumn="0"/>
        </w:trPr>
        <w:tc>
          <w:tcPr>
            <w:tcW w:w="4346" w:type="dxa"/>
          </w:tcPr>
          <w:p w:rsidR="004A5E7D" w:rsidRDefault="00961953" w:rsidP="00857E6B">
            <w:r>
              <w:t>Date</w:t>
            </w:r>
          </w:p>
        </w:tc>
        <w:tc>
          <w:tcPr>
            <w:tcW w:w="4347" w:type="dxa"/>
          </w:tcPr>
          <w:p w:rsidR="004A5E7D" w:rsidRDefault="004A5E7D" w:rsidP="00857E6B">
            <w:r>
              <w:t xml:space="preserve">Determinations Remade </w:t>
            </w:r>
          </w:p>
        </w:tc>
      </w:tr>
      <w:tr w:rsidR="004A5E7D" w:rsidTr="003D484E">
        <w:tc>
          <w:tcPr>
            <w:tcW w:w="4346" w:type="dxa"/>
          </w:tcPr>
          <w:p w:rsidR="004A5E7D" w:rsidRDefault="004A5E7D" w:rsidP="004A5E7D">
            <w:r>
              <w:t xml:space="preserve">1 July 2019 </w:t>
            </w:r>
          </w:p>
        </w:tc>
        <w:tc>
          <w:tcPr>
            <w:tcW w:w="4347" w:type="dxa"/>
          </w:tcPr>
          <w:p w:rsidR="004A5E7D" w:rsidRDefault="004A5E7D" w:rsidP="004A5E7D">
            <w:r>
              <w:t xml:space="preserve">Tasmania, New South Wales, ACT, Northern Territory, </w:t>
            </w:r>
          </w:p>
        </w:tc>
      </w:tr>
      <w:tr w:rsidR="004A5E7D" w:rsidTr="003D484E">
        <w:trPr>
          <w:cnfStyle w:val="000000010000" w:firstRow="0" w:lastRow="0" w:firstColumn="0" w:lastColumn="0" w:oddVBand="0" w:evenVBand="0" w:oddHBand="0" w:evenHBand="1" w:firstRowFirstColumn="0" w:firstRowLastColumn="0" w:lastRowFirstColumn="0" w:lastRowLastColumn="0"/>
        </w:trPr>
        <w:tc>
          <w:tcPr>
            <w:tcW w:w="4346" w:type="dxa"/>
          </w:tcPr>
          <w:p w:rsidR="004A5E7D" w:rsidRDefault="004A5E7D" w:rsidP="004A5E7D">
            <w:r>
              <w:t>1 July 2020</w:t>
            </w:r>
          </w:p>
        </w:tc>
        <w:tc>
          <w:tcPr>
            <w:tcW w:w="4347" w:type="dxa"/>
          </w:tcPr>
          <w:p w:rsidR="004A5E7D" w:rsidRDefault="004A5E7D" w:rsidP="00857E6B">
            <w:r w:rsidRPr="004A5E7D">
              <w:t>South Australia</w:t>
            </w:r>
            <w:r>
              <w:t>, Queensland</w:t>
            </w:r>
          </w:p>
        </w:tc>
      </w:tr>
      <w:tr w:rsidR="004A5E7D" w:rsidTr="003D484E">
        <w:tc>
          <w:tcPr>
            <w:tcW w:w="4346" w:type="dxa"/>
          </w:tcPr>
          <w:p w:rsidR="004A5E7D" w:rsidRDefault="004A5E7D" w:rsidP="004A5E7D">
            <w:r>
              <w:t>1 January 2021</w:t>
            </w:r>
          </w:p>
        </w:tc>
        <w:tc>
          <w:tcPr>
            <w:tcW w:w="4347" w:type="dxa"/>
          </w:tcPr>
          <w:p w:rsidR="004A5E7D" w:rsidRDefault="004A5E7D" w:rsidP="00857E6B">
            <w:r>
              <w:t>Victoria</w:t>
            </w:r>
          </w:p>
        </w:tc>
      </w:tr>
    </w:tbl>
    <w:p w:rsidR="004D4ACB" w:rsidRDefault="00E77D55" w:rsidP="00E70279">
      <w:r>
        <w:fldChar w:fldCharType="begin"/>
      </w:r>
      <w:r>
        <w:instrText xml:space="preserve"> REF _Ref490064178 \h </w:instrText>
      </w:r>
      <w:r>
        <w:fldChar w:fldCharType="separate"/>
      </w:r>
      <w:r w:rsidR="00FD1524">
        <w:t xml:space="preserve">Table </w:t>
      </w:r>
      <w:proofErr w:type="gramStart"/>
      <w:r w:rsidR="00FD1524">
        <w:rPr>
          <w:noProof/>
        </w:rPr>
        <w:t>1</w:t>
      </w:r>
      <w:r>
        <w:fldChar w:fldCharType="end"/>
      </w:r>
      <w:r w:rsidR="009668A0">
        <w:t xml:space="preserve"> </w:t>
      </w:r>
      <w:r w:rsidR="00E70279">
        <w:t>sets</w:t>
      </w:r>
      <w:proofErr w:type="gramEnd"/>
      <w:r w:rsidR="00E70279">
        <w:t xml:space="preserve"> out </w:t>
      </w:r>
      <w:r w:rsidR="00D816F0">
        <w:t>when the next electricity distribution determinations would apply from</w:t>
      </w:r>
      <w:r w:rsidR="00E70279">
        <w:t xml:space="preserve">. Without the rule change, we </w:t>
      </w:r>
      <w:r w:rsidR="0088286D">
        <w:t xml:space="preserve">would </w:t>
      </w:r>
      <w:r w:rsidR="00E70279">
        <w:t xml:space="preserve">apply the new Scheme to distributors from their next distribution determination. This means that distributors will need to wait until the start of the next regulatory control period to </w:t>
      </w:r>
      <w:r w:rsidR="00B22E68">
        <w:t xml:space="preserve">have certainty </w:t>
      </w:r>
      <w:r w:rsidR="00E70279">
        <w:t xml:space="preserve">that </w:t>
      </w:r>
      <w:r w:rsidR="00B22E68">
        <w:t xml:space="preserve">they </w:t>
      </w:r>
      <w:r w:rsidR="00E70279">
        <w:t>are eligible for the incentive payment.</w:t>
      </w:r>
    </w:p>
    <w:p w:rsidR="00E70279" w:rsidRDefault="00E70279" w:rsidP="00E70279">
      <w:r>
        <w:t>The rule change will provide distributors</w:t>
      </w:r>
      <w:r w:rsidR="004D4ACB">
        <w:t xml:space="preserve"> with</w:t>
      </w:r>
      <w:r>
        <w:t xml:space="preserve"> the confidence to undertake eligible projects </w:t>
      </w:r>
      <w:r w:rsidR="004D4ACB">
        <w:t>once</w:t>
      </w:r>
      <w:r>
        <w:t xml:space="preserve"> the rule is made and </w:t>
      </w:r>
      <w:proofErr w:type="gramStart"/>
      <w:r>
        <w:t>effective</w:t>
      </w:r>
      <w:r w:rsidR="004D4ACB">
        <w:t>,</w:t>
      </w:r>
      <w:proofErr w:type="gramEnd"/>
      <w:r w:rsidR="004D4ACB">
        <w:t xml:space="preserve"> and we have made a decision to apply the Scheme to that distributor during its current regulatory control period</w:t>
      </w:r>
      <w:r>
        <w:t>.</w:t>
      </w:r>
      <w:r w:rsidR="004D4ACB">
        <w:rPr>
          <w:rStyle w:val="FootnoteReference"/>
        </w:rPr>
        <w:footnoteReference w:id="11"/>
      </w:r>
      <w:r>
        <w:t xml:space="preserve"> </w:t>
      </w:r>
      <w:r w:rsidR="004D4ACB">
        <w:t>Once we make this decision</w:t>
      </w:r>
      <w:r>
        <w:t xml:space="preserve">, distributors can with confidence start to immediately identify and commit to efficient eligible projects. This certainty is consistent with the objective of incentivising efficient demand management in the long-term interest of consumers. Moreover, to the extent that the bias towards </w:t>
      </w:r>
      <w:r w:rsidR="00A620EA">
        <w:t>capital expenditure (</w:t>
      </w:r>
      <w:proofErr w:type="spellStart"/>
      <w:r w:rsidR="00A620EA">
        <w:t>capex</w:t>
      </w:r>
      <w:proofErr w:type="spellEnd"/>
      <w:r w:rsidR="00A620EA">
        <w:t>)</w:t>
      </w:r>
      <w:r>
        <w:t xml:space="preserve"> and any imbalance in incentives </w:t>
      </w:r>
      <w:r w:rsidR="004D4ACB">
        <w:t>affect</w:t>
      </w:r>
      <w:r>
        <w:t xml:space="preserve"> efficient network investment, the early application of the new Scheme will drive efficient outcomes.</w:t>
      </w:r>
    </w:p>
    <w:p w:rsidR="0024668C" w:rsidRDefault="00E70279" w:rsidP="0024668C">
      <w:r>
        <w:lastRenderedPageBreak/>
        <w:t xml:space="preserve">This rule will not require </w:t>
      </w:r>
      <w:r w:rsidR="00B22E68">
        <w:t>re-opening</w:t>
      </w:r>
      <w:r w:rsidR="00201A40">
        <w:t xml:space="preserve"> </w:t>
      </w:r>
      <w:r>
        <w:t xml:space="preserve">any existing distribution determination because the Scheme design results in revenue recovery from consumers only two years after the year in which eligible demand management costs </w:t>
      </w:r>
      <w:proofErr w:type="gramStart"/>
      <w:r>
        <w:t>are contracted</w:t>
      </w:r>
      <w:proofErr w:type="gramEnd"/>
      <w:r>
        <w:t xml:space="preserve">. This time lag is set out in more detail in the new Scheme. Essentially, the lag ensures proper reporting and compliance with the new Scheme by the distributors prior to the recovery of the incentive from consumers. </w:t>
      </w:r>
      <w:r w:rsidR="00101285">
        <w:fldChar w:fldCharType="begin"/>
      </w:r>
      <w:r w:rsidR="00101285">
        <w:instrText xml:space="preserve"> REF _Ref490137834 \h </w:instrText>
      </w:r>
      <w:r w:rsidR="00101285">
        <w:fldChar w:fldCharType="separate"/>
      </w:r>
      <w:r w:rsidR="00FD1524">
        <w:t xml:space="preserve">Figure </w:t>
      </w:r>
      <w:r w:rsidR="00FD1524">
        <w:rPr>
          <w:noProof/>
        </w:rPr>
        <w:t>1</w:t>
      </w:r>
      <w:r w:rsidR="00101285">
        <w:fldChar w:fldCharType="end"/>
      </w:r>
      <w:r w:rsidR="00101285">
        <w:t xml:space="preserve"> and </w:t>
      </w:r>
      <w:r w:rsidR="00101285">
        <w:fldChar w:fldCharType="begin"/>
      </w:r>
      <w:r w:rsidR="00101285">
        <w:instrText xml:space="preserve"> REF  _Ref490137860 \* Lower \h </w:instrText>
      </w:r>
      <w:r w:rsidR="00101285">
        <w:fldChar w:fldCharType="separate"/>
      </w:r>
      <w:r w:rsidR="00FD1524">
        <w:t xml:space="preserve">table </w:t>
      </w:r>
      <w:r w:rsidR="00FD1524">
        <w:rPr>
          <w:noProof/>
        </w:rPr>
        <w:t>2</w:t>
      </w:r>
      <w:r w:rsidR="00101285">
        <w:fldChar w:fldCharType="end"/>
      </w:r>
      <w:r w:rsidR="00101285">
        <w:t xml:space="preserve"> illustrate this</w:t>
      </w:r>
      <w:r w:rsidR="00713AD7">
        <w:t>.</w:t>
      </w:r>
    </w:p>
    <w:p w:rsidR="00713AD7" w:rsidRDefault="00713AD7" w:rsidP="00536337">
      <w:pPr>
        <w:pStyle w:val="Caption"/>
      </w:pPr>
      <w:bookmarkStart w:id="16" w:name="_Ref490137834"/>
      <w:r>
        <w:t xml:space="preserve">Figure </w:t>
      </w:r>
      <w:fldSimple w:instr=" SEQ Figure \* ARABIC ">
        <w:r w:rsidR="00FD1524">
          <w:rPr>
            <w:noProof/>
          </w:rPr>
          <w:t>1</w:t>
        </w:r>
      </w:fldSimple>
      <w:bookmarkEnd w:id="16"/>
      <w:r>
        <w:t>: Process for passing through</w:t>
      </w:r>
      <w:r w:rsidRPr="00675BD0">
        <w:t xml:space="preserve"> </w:t>
      </w:r>
      <w:r>
        <w:t>the total financial incentive in regulatory year t</w:t>
      </w:r>
    </w:p>
    <w:p w:rsidR="00713AD7" w:rsidRDefault="00713AD7" w:rsidP="0024668C">
      <w:r w:rsidRPr="00713AD7">
        <w:rPr>
          <w:rStyle w:val="PlaceholderText"/>
          <w:noProof/>
          <w:lang w:eastAsia="en-AU"/>
        </w:rPr>
        <w:drawing>
          <wp:inline distT="0" distB="0" distL="0" distR="0" wp14:anchorId="4BCFC995" wp14:editId="7D752D0C">
            <wp:extent cx="5313871" cy="3597215"/>
            <wp:effectExtent l="0" t="0" r="20320" b="228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13AD7" w:rsidRDefault="00536337" w:rsidP="00536337">
      <w:pPr>
        <w:pStyle w:val="Caption"/>
      </w:pPr>
      <w:bookmarkStart w:id="17" w:name="_Ref490137860"/>
      <w:r>
        <w:t xml:space="preserve">Table </w:t>
      </w:r>
      <w:fldSimple w:instr=" SEQ Table \* ARABIC ">
        <w:r w:rsidR="00FD1524">
          <w:rPr>
            <w:noProof/>
          </w:rPr>
          <w:t>2</w:t>
        </w:r>
      </w:fldSimple>
      <w:bookmarkEnd w:id="17"/>
      <w:r w:rsidR="00713AD7">
        <w:t xml:space="preserve">: </w:t>
      </w:r>
      <w:r>
        <w:t>How</w:t>
      </w:r>
      <w:r w:rsidR="00713AD7">
        <w:t xml:space="preserve"> the </w:t>
      </w:r>
      <w:r>
        <w:t>rule change</w:t>
      </w:r>
      <w:r w:rsidR="00713AD7">
        <w:t xml:space="preserve"> will </w:t>
      </w:r>
      <w:r>
        <w:t>affect</w:t>
      </w:r>
      <w:r w:rsidR="00713AD7">
        <w:t xml:space="preserve"> distributors in </w:t>
      </w:r>
      <w:r>
        <w:t>NSW and VIC</w:t>
      </w:r>
    </w:p>
    <w:tbl>
      <w:tblPr>
        <w:tblStyle w:val="AERtable-text0"/>
        <w:tblW w:w="5000" w:type="pct"/>
        <w:tblLook w:val="04A0" w:firstRow="1" w:lastRow="0" w:firstColumn="1" w:lastColumn="0" w:noHBand="0" w:noVBand="1"/>
      </w:tblPr>
      <w:tblGrid>
        <w:gridCol w:w="1694"/>
        <w:gridCol w:w="1694"/>
        <w:gridCol w:w="1693"/>
        <w:gridCol w:w="1693"/>
        <w:gridCol w:w="1919"/>
      </w:tblGrid>
      <w:tr w:rsidR="00E50EC9" w:rsidTr="003D484E">
        <w:trPr>
          <w:cnfStyle w:val="100000000000" w:firstRow="1" w:lastRow="0" w:firstColumn="0" w:lastColumn="0" w:oddVBand="0" w:evenVBand="0" w:oddHBand="0" w:evenHBand="0" w:firstRowFirstColumn="0" w:firstRowLastColumn="0" w:lastRowFirstColumn="0" w:lastRowLastColumn="0"/>
        </w:trPr>
        <w:tc>
          <w:tcPr>
            <w:tcW w:w="974" w:type="pct"/>
          </w:tcPr>
          <w:p w:rsidR="00E50EC9" w:rsidRDefault="00E50EC9" w:rsidP="00536337">
            <w:r>
              <w:t>Distributor</w:t>
            </w:r>
          </w:p>
        </w:tc>
        <w:tc>
          <w:tcPr>
            <w:tcW w:w="974" w:type="pct"/>
          </w:tcPr>
          <w:p w:rsidR="00E50EC9" w:rsidRDefault="00E50EC9" w:rsidP="00536337">
            <w:r>
              <w:t>2018/19</w:t>
            </w:r>
          </w:p>
        </w:tc>
        <w:tc>
          <w:tcPr>
            <w:tcW w:w="974" w:type="pct"/>
          </w:tcPr>
          <w:p w:rsidR="00E50EC9" w:rsidRDefault="00E50EC9" w:rsidP="00536337">
            <w:r>
              <w:t>2019/20</w:t>
            </w:r>
          </w:p>
        </w:tc>
        <w:tc>
          <w:tcPr>
            <w:tcW w:w="974" w:type="pct"/>
          </w:tcPr>
          <w:p w:rsidR="00E50EC9" w:rsidRDefault="00E50EC9" w:rsidP="00536337">
            <w:r>
              <w:t>2020/21</w:t>
            </w:r>
          </w:p>
        </w:tc>
        <w:tc>
          <w:tcPr>
            <w:tcW w:w="1105" w:type="pct"/>
          </w:tcPr>
          <w:p w:rsidR="00E50EC9" w:rsidRDefault="00E50EC9" w:rsidP="00536337">
            <w:r>
              <w:t>2021/22</w:t>
            </w:r>
          </w:p>
        </w:tc>
      </w:tr>
      <w:tr w:rsidR="00E50EC9" w:rsidTr="003D484E">
        <w:tc>
          <w:tcPr>
            <w:tcW w:w="974" w:type="pct"/>
          </w:tcPr>
          <w:p w:rsidR="00E50EC9" w:rsidRPr="00E50EC9" w:rsidRDefault="00E50EC9" w:rsidP="00536337">
            <w:r>
              <w:t>New South Wales with</w:t>
            </w:r>
            <w:r w:rsidRPr="00E50EC9">
              <w:t>out rule change</w:t>
            </w:r>
          </w:p>
        </w:tc>
        <w:tc>
          <w:tcPr>
            <w:tcW w:w="974" w:type="pct"/>
          </w:tcPr>
          <w:p w:rsidR="00E50EC9" w:rsidRPr="00E50EC9" w:rsidRDefault="00E50EC9" w:rsidP="00536337">
            <w:r>
              <w:t>No application of the scheme</w:t>
            </w:r>
          </w:p>
        </w:tc>
        <w:tc>
          <w:tcPr>
            <w:tcW w:w="974" w:type="pct"/>
          </w:tcPr>
          <w:p w:rsidR="00E50EC9" w:rsidRPr="00E50EC9" w:rsidRDefault="00E50EC9" w:rsidP="00536337">
            <w:r>
              <w:t>C</w:t>
            </w:r>
            <w:r w:rsidR="00E77D55">
              <w:t>an c</w:t>
            </w:r>
            <w:r>
              <w:t>ommit Eligible Projects</w:t>
            </w:r>
          </w:p>
        </w:tc>
        <w:tc>
          <w:tcPr>
            <w:tcW w:w="974" w:type="pct"/>
          </w:tcPr>
          <w:p w:rsidR="00E50EC9" w:rsidRPr="00E50EC9" w:rsidRDefault="00E50EC9" w:rsidP="00536337">
            <w:r>
              <w:t>C</w:t>
            </w:r>
            <w:r w:rsidR="00E77D55">
              <w:t>an c</w:t>
            </w:r>
            <w:r>
              <w:t>ommit Eligible Projects</w:t>
            </w:r>
          </w:p>
        </w:tc>
        <w:tc>
          <w:tcPr>
            <w:tcW w:w="1105" w:type="pct"/>
          </w:tcPr>
          <w:p w:rsidR="00E50EC9" w:rsidRPr="00E50EC9" w:rsidRDefault="00E50EC9" w:rsidP="00536337">
            <w:r>
              <w:t xml:space="preserve">Can </w:t>
            </w:r>
            <w:r w:rsidR="00536337">
              <w:t>recover</w:t>
            </w:r>
            <w:r>
              <w:t xml:space="preserve"> incentive for projects committed in 2019</w:t>
            </w:r>
          </w:p>
        </w:tc>
      </w:tr>
      <w:tr w:rsidR="00E77D55" w:rsidTr="003D484E">
        <w:trPr>
          <w:cnfStyle w:val="000000010000" w:firstRow="0" w:lastRow="0" w:firstColumn="0" w:lastColumn="0" w:oddVBand="0" w:evenVBand="0" w:oddHBand="0" w:evenHBand="1" w:firstRowFirstColumn="0" w:firstRowLastColumn="0" w:lastRowFirstColumn="0" w:lastRowLastColumn="0"/>
        </w:trPr>
        <w:tc>
          <w:tcPr>
            <w:tcW w:w="974" w:type="pct"/>
          </w:tcPr>
          <w:p w:rsidR="00E77D55" w:rsidRPr="00E77D55" w:rsidRDefault="00E77D55" w:rsidP="00E77D55">
            <w:r w:rsidRPr="00713AD7">
              <w:t>New South Wales with rule change</w:t>
            </w:r>
          </w:p>
        </w:tc>
        <w:tc>
          <w:tcPr>
            <w:tcW w:w="974" w:type="pct"/>
          </w:tcPr>
          <w:p w:rsidR="00E77D55" w:rsidRPr="00E77D55" w:rsidRDefault="00E77D55" w:rsidP="00E77D55">
            <w:r w:rsidRPr="00E50EC9">
              <w:t>No application of the scheme</w:t>
            </w:r>
          </w:p>
        </w:tc>
        <w:tc>
          <w:tcPr>
            <w:tcW w:w="974" w:type="pct"/>
          </w:tcPr>
          <w:p w:rsidR="00E77D55" w:rsidRPr="00E77D55" w:rsidRDefault="00E77D55" w:rsidP="00E77D55">
            <w:r>
              <w:t>C</w:t>
            </w:r>
            <w:r w:rsidRPr="00E77D55">
              <w:t>an commit Eligible Projects</w:t>
            </w:r>
          </w:p>
        </w:tc>
        <w:tc>
          <w:tcPr>
            <w:tcW w:w="974" w:type="pct"/>
          </w:tcPr>
          <w:p w:rsidR="00E77D55" w:rsidRPr="00E77D55" w:rsidRDefault="00E77D55" w:rsidP="00E77D55">
            <w:r>
              <w:t>C</w:t>
            </w:r>
            <w:r w:rsidRPr="00E77D55">
              <w:t>an commit Eligible Projects</w:t>
            </w:r>
          </w:p>
        </w:tc>
        <w:tc>
          <w:tcPr>
            <w:tcW w:w="1105" w:type="pct"/>
          </w:tcPr>
          <w:p w:rsidR="00E77D55" w:rsidRPr="00E77D55" w:rsidRDefault="00E77D55" w:rsidP="00E77D55">
            <w:r w:rsidRPr="00E50EC9">
              <w:t xml:space="preserve">Can </w:t>
            </w:r>
            <w:r w:rsidRPr="00E77D55">
              <w:t>recover incentive for projects committed in 2019</w:t>
            </w:r>
          </w:p>
        </w:tc>
      </w:tr>
      <w:tr w:rsidR="00E50EC9" w:rsidTr="003D484E">
        <w:tc>
          <w:tcPr>
            <w:tcW w:w="974" w:type="pct"/>
          </w:tcPr>
          <w:p w:rsidR="00E50EC9" w:rsidRPr="00E50EC9" w:rsidRDefault="00E50EC9" w:rsidP="00536337">
            <w:r>
              <w:t>Victoria with</w:t>
            </w:r>
            <w:r w:rsidRPr="00E50EC9">
              <w:t>out rule chang</w:t>
            </w:r>
            <w:r>
              <w:t>e*</w:t>
            </w:r>
            <w:r w:rsidRPr="00E50EC9">
              <w:t xml:space="preserve"> </w:t>
            </w:r>
          </w:p>
        </w:tc>
        <w:tc>
          <w:tcPr>
            <w:tcW w:w="974" w:type="pct"/>
          </w:tcPr>
          <w:p w:rsidR="00E50EC9" w:rsidRPr="00E50EC9" w:rsidRDefault="00E50EC9" w:rsidP="00536337">
            <w:r w:rsidRPr="00E50EC9">
              <w:t>No application of the scheme</w:t>
            </w:r>
          </w:p>
        </w:tc>
        <w:tc>
          <w:tcPr>
            <w:tcW w:w="974" w:type="pct"/>
          </w:tcPr>
          <w:p w:rsidR="00E50EC9" w:rsidRPr="00E50EC9" w:rsidRDefault="00E50EC9" w:rsidP="00536337">
            <w:r w:rsidRPr="00E50EC9">
              <w:t>No application of the scheme</w:t>
            </w:r>
          </w:p>
        </w:tc>
        <w:tc>
          <w:tcPr>
            <w:tcW w:w="974" w:type="pct"/>
          </w:tcPr>
          <w:p w:rsidR="00E50EC9" w:rsidRPr="00E50EC9" w:rsidRDefault="00E50EC9" w:rsidP="00536337">
            <w:r w:rsidRPr="00E50EC9">
              <w:t>No application of the scheme</w:t>
            </w:r>
          </w:p>
        </w:tc>
        <w:tc>
          <w:tcPr>
            <w:tcW w:w="1105" w:type="pct"/>
          </w:tcPr>
          <w:p w:rsidR="00E50EC9" w:rsidRPr="00E50EC9" w:rsidRDefault="00E50EC9" w:rsidP="00536337">
            <w:r>
              <w:t>Can commit eligible projects</w:t>
            </w:r>
          </w:p>
        </w:tc>
      </w:tr>
      <w:tr w:rsidR="00E77D55" w:rsidTr="003D484E">
        <w:trPr>
          <w:cnfStyle w:val="000000010000" w:firstRow="0" w:lastRow="0" w:firstColumn="0" w:lastColumn="0" w:oddVBand="0" w:evenVBand="0" w:oddHBand="0" w:evenHBand="1" w:firstRowFirstColumn="0" w:firstRowLastColumn="0" w:lastRowFirstColumn="0" w:lastRowLastColumn="0"/>
        </w:trPr>
        <w:tc>
          <w:tcPr>
            <w:tcW w:w="974" w:type="pct"/>
          </w:tcPr>
          <w:p w:rsidR="00E77D55" w:rsidRPr="00E77D55" w:rsidRDefault="00E77D55" w:rsidP="00E77D55">
            <w:r>
              <w:t xml:space="preserve">Victoria </w:t>
            </w:r>
            <w:r w:rsidRPr="00E77D55">
              <w:t>with rule change*</w:t>
            </w:r>
          </w:p>
        </w:tc>
        <w:tc>
          <w:tcPr>
            <w:tcW w:w="974" w:type="pct"/>
          </w:tcPr>
          <w:p w:rsidR="00E77D55" w:rsidRPr="00E77D55" w:rsidRDefault="00E77D55" w:rsidP="00E77D55">
            <w:r w:rsidRPr="00E50EC9">
              <w:t>No application of the scheme</w:t>
            </w:r>
          </w:p>
        </w:tc>
        <w:tc>
          <w:tcPr>
            <w:tcW w:w="974" w:type="pct"/>
          </w:tcPr>
          <w:p w:rsidR="00E77D55" w:rsidRPr="00E77D55" w:rsidRDefault="00E77D55" w:rsidP="00E77D55">
            <w:r>
              <w:t>C</w:t>
            </w:r>
            <w:r w:rsidRPr="00E77D55">
              <w:t>an commit Eligible Projects</w:t>
            </w:r>
          </w:p>
        </w:tc>
        <w:tc>
          <w:tcPr>
            <w:tcW w:w="974" w:type="pct"/>
          </w:tcPr>
          <w:p w:rsidR="00E77D55" w:rsidRPr="00E77D55" w:rsidRDefault="00E77D55" w:rsidP="00E77D55">
            <w:r>
              <w:t>C</w:t>
            </w:r>
            <w:r w:rsidRPr="00E77D55">
              <w:t>an commit Eligible Projects</w:t>
            </w:r>
          </w:p>
        </w:tc>
        <w:tc>
          <w:tcPr>
            <w:tcW w:w="1105" w:type="pct"/>
          </w:tcPr>
          <w:p w:rsidR="00E77D55" w:rsidRPr="00E77D55" w:rsidRDefault="00E77D55" w:rsidP="00E77D55">
            <w:r>
              <w:t>C</w:t>
            </w:r>
            <w:r w:rsidRPr="00E77D55">
              <w:t>an recover incentive for projects committed in 2019</w:t>
            </w:r>
          </w:p>
        </w:tc>
      </w:tr>
    </w:tbl>
    <w:p w:rsidR="00E50EC9" w:rsidRDefault="00E50EC9" w:rsidP="00536337">
      <w:pPr>
        <w:pStyle w:val="Footer"/>
      </w:pPr>
      <w:r>
        <w:t>*Victorian distributors operate on a calendar year basis</w:t>
      </w:r>
    </w:p>
    <w:p w:rsidR="00E70279" w:rsidRDefault="0024668C" w:rsidP="00E70279">
      <w:r>
        <w:lastRenderedPageBreak/>
        <w:t xml:space="preserve">While the rule change is significant, in that it is consistent with a rule change that allows for the re-opening of an existing distribution determination, it has no </w:t>
      </w:r>
      <w:r w:rsidR="004D4ACB">
        <w:t xml:space="preserve">financial </w:t>
      </w:r>
      <w:r>
        <w:t>impact</w:t>
      </w:r>
      <w:r w:rsidR="00201A40">
        <w:t xml:space="preserve"> until we assess the next regulatory proposals</w:t>
      </w:r>
      <w:r>
        <w:t>. This is due to the time lag noted above</w:t>
      </w:r>
      <w:r w:rsidR="00D816F0">
        <w:t>.</w:t>
      </w:r>
    </w:p>
    <w:p w:rsidR="00CA5F00" w:rsidRDefault="00E2623F" w:rsidP="00857E6B">
      <w:r>
        <w:t xml:space="preserve">We therefore consider that this rule change should be expedited under s96 of the </w:t>
      </w:r>
      <w:proofErr w:type="gramStart"/>
      <w:r>
        <w:t>NER</w:t>
      </w:r>
      <w:proofErr w:type="gramEnd"/>
      <w:r w:rsidR="00581F38">
        <w:t xml:space="preserve"> as it is non-controversial in nature</w:t>
      </w:r>
      <w:r w:rsidR="00D816F0">
        <w:t>.</w:t>
      </w:r>
    </w:p>
    <w:p w:rsidR="0086180C" w:rsidRPr="00933625" w:rsidRDefault="0086180C" w:rsidP="0086180C">
      <w:pPr>
        <w:pStyle w:val="Heading2"/>
      </w:pPr>
      <w:bookmarkStart w:id="18" w:name="_Toc491422173"/>
      <w:r>
        <w:t xml:space="preserve">Prior AER </w:t>
      </w:r>
      <w:r w:rsidR="000956E6">
        <w:t>view</w:t>
      </w:r>
      <w:r>
        <w:t xml:space="preserve"> about the</w:t>
      </w:r>
      <w:r w:rsidR="004A58B6">
        <w:t xml:space="preserve"> scope of the</w:t>
      </w:r>
      <w:r>
        <w:t xml:space="preserve"> rule</w:t>
      </w:r>
      <w:bookmarkEnd w:id="18"/>
    </w:p>
    <w:p w:rsidR="009F3299" w:rsidRDefault="00206246" w:rsidP="009F3299">
      <w:r>
        <w:t>We are not proposing to exempt</w:t>
      </w:r>
      <w:r w:rsidR="00995493">
        <w:t xml:space="preserve"> or exclude</w:t>
      </w:r>
      <w:r>
        <w:t xml:space="preserve"> projects using the </w:t>
      </w:r>
      <w:r w:rsidR="00E0655D">
        <w:t>new Scheme</w:t>
      </w:r>
      <w:r>
        <w:t xml:space="preserve"> from any existing </w:t>
      </w:r>
      <w:r w:rsidR="00BD5DE2">
        <w:t xml:space="preserve">incentive </w:t>
      </w:r>
      <w:r>
        <w:t>scheme</w:t>
      </w:r>
      <w:r w:rsidR="00BD5DE2">
        <w:t xml:space="preserve"> that applies to distributors</w:t>
      </w:r>
      <w:r w:rsidR="00B27632">
        <w:t xml:space="preserve">. </w:t>
      </w:r>
      <w:r w:rsidR="00933625" w:rsidRPr="00933625">
        <w:t>During the</w:t>
      </w:r>
      <w:r w:rsidR="00594AAF">
        <w:t xml:space="preserve"> 2015</w:t>
      </w:r>
      <w:r w:rsidR="00933625" w:rsidRPr="00933625">
        <w:t xml:space="preserve"> rule change process</w:t>
      </w:r>
      <w:r w:rsidR="000956E6">
        <w:t>,</w:t>
      </w:r>
      <w:r w:rsidR="00933625" w:rsidRPr="00933625">
        <w:t xml:space="preserve"> </w:t>
      </w:r>
      <w:r w:rsidR="000724DA">
        <w:t>we</w:t>
      </w:r>
      <w:r w:rsidR="00933625" w:rsidRPr="00933625">
        <w:t xml:space="preserve"> considered </w:t>
      </w:r>
      <w:r w:rsidR="005B2061">
        <w:t>the potential for exempting</w:t>
      </w:r>
      <w:r w:rsidR="00933625" w:rsidRPr="00933625">
        <w:t xml:space="preserve"> demand management projects from </w:t>
      </w:r>
      <w:r w:rsidR="005B2061">
        <w:t xml:space="preserve">other </w:t>
      </w:r>
      <w:r w:rsidR="00E00704">
        <w:t xml:space="preserve">incentive </w:t>
      </w:r>
      <w:r w:rsidR="005B2061">
        <w:t>schemes</w:t>
      </w:r>
      <w:r w:rsidR="00E00704">
        <w:t xml:space="preserve"> </w:t>
      </w:r>
      <w:r w:rsidR="00933625" w:rsidRPr="00933625">
        <w:t xml:space="preserve">to remove </w:t>
      </w:r>
      <w:r w:rsidR="00E00704" w:rsidRPr="00933625">
        <w:t>distributors</w:t>
      </w:r>
      <w:r w:rsidR="00E00704">
        <w:t>'</w:t>
      </w:r>
      <w:r w:rsidR="00E00704" w:rsidRPr="00933625">
        <w:t xml:space="preserve"> </w:t>
      </w:r>
      <w:r w:rsidR="00AB0448" w:rsidRPr="00933625">
        <w:t>disincentives</w:t>
      </w:r>
      <w:r w:rsidR="00AB0448">
        <w:t xml:space="preserve"> </w:t>
      </w:r>
      <w:r w:rsidR="00AB0448" w:rsidRPr="00933625">
        <w:t>to</w:t>
      </w:r>
      <w:r w:rsidR="00933625" w:rsidRPr="00933625">
        <w:t xml:space="preserve"> undertake </w:t>
      </w:r>
      <w:r w:rsidR="00933625" w:rsidRPr="009F3299">
        <w:t xml:space="preserve">demand management. </w:t>
      </w:r>
      <w:r w:rsidR="00C52425" w:rsidRPr="009F3299">
        <w:t xml:space="preserve">We raised </w:t>
      </w:r>
      <w:r w:rsidRPr="009F3299">
        <w:t xml:space="preserve">the challenges </w:t>
      </w:r>
      <w:r w:rsidR="00857E6B" w:rsidRPr="009F3299">
        <w:t>associated with</w:t>
      </w:r>
      <w:r w:rsidR="00995493" w:rsidRPr="009F3299">
        <w:t xml:space="preserve"> </w:t>
      </w:r>
      <w:r w:rsidRPr="009F3299">
        <w:t>this approach</w:t>
      </w:r>
      <w:r w:rsidR="00C52425" w:rsidRPr="009F3299">
        <w:t xml:space="preserve"> in our submission</w:t>
      </w:r>
      <w:r w:rsidR="00857E6B" w:rsidRPr="009F3299">
        <w:t>s</w:t>
      </w:r>
      <w:r w:rsidR="00857E6B">
        <w:t xml:space="preserve"> during </w:t>
      </w:r>
      <w:r w:rsidR="00C52425">
        <w:t>the AEMC</w:t>
      </w:r>
      <w:r w:rsidR="00E00704">
        <w:t>'s</w:t>
      </w:r>
      <w:r w:rsidR="00857E6B">
        <w:t xml:space="preserve"> 2015</w:t>
      </w:r>
      <w:r w:rsidR="00C52425">
        <w:t xml:space="preserve"> </w:t>
      </w:r>
      <w:r w:rsidR="00831EDC">
        <w:t>rule change</w:t>
      </w:r>
      <w:r w:rsidR="00857E6B">
        <w:t xml:space="preserve"> proposal</w:t>
      </w:r>
      <w:r w:rsidR="00C52425">
        <w:t>.</w:t>
      </w:r>
      <w:r w:rsidR="00B27632">
        <w:rPr>
          <w:rStyle w:val="FootnoteReference"/>
        </w:rPr>
        <w:footnoteReference w:id="12"/>
      </w:r>
    </w:p>
    <w:p w:rsidR="00594AAF" w:rsidRDefault="00857E6B" w:rsidP="009F3299">
      <w:r>
        <w:t xml:space="preserve">We considered that </w:t>
      </w:r>
      <w:r w:rsidRPr="009F3299">
        <w:rPr>
          <w:rStyle w:val="AERbody"/>
        </w:rPr>
        <w:t>p</w:t>
      </w:r>
      <w:r w:rsidR="00FC46FF" w:rsidRPr="009F3299">
        <w:rPr>
          <w:rStyle w:val="AERbody"/>
        </w:rPr>
        <w:t>otential exemptions</w:t>
      </w:r>
      <w:r w:rsidR="00FC46FF" w:rsidRPr="00FC46FF">
        <w:t xml:space="preserve"> </w:t>
      </w:r>
      <w:r w:rsidR="00FC46FF" w:rsidRPr="009F3299">
        <w:rPr>
          <w:rStyle w:val="AERbody"/>
        </w:rPr>
        <w:t>could</w:t>
      </w:r>
      <w:r w:rsidR="00206246" w:rsidRPr="009F3299">
        <w:rPr>
          <w:rStyle w:val="AERbody"/>
        </w:rPr>
        <w:t xml:space="preserve"> expand the scope of</w:t>
      </w:r>
      <w:r w:rsidR="00206246">
        <w:t xml:space="preserve"> this proposed</w:t>
      </w:r>
      <w:r w:rsidR="00FC46FF" w:rsidRPr="00FC46FF">
        <w:t xml:space="preserve"> rule change, as </w:t>
      </w:r>
      <w:r w:rsidR="00206246">
        <w:t>they</w:t>
      </w:r>
      <w:r w:rsidR="00FC46FF" w:rsidRPr="00FC46FF">
        <w:t xml:space="preserve"> would require us to amend a number of elements of the distribution</w:t>
      </w:r>
      <w:r w:rsidR="00206246">
        <w:t xml:space="preserve"> determination</w:t>
      </w:r>
      <w:r w:rsidR="00FC46FF" w:rsidRPr="00FC46FF">
        <w:t>.</w:t>
      </w:r>
      <w:r w:rsidR="0034418D">
        <w:t xml:space="preserve"> We explored this option in our </w:t>
      </w:r>
      <w:r w:rsidR="00995493">
        <w:t xml:space="preserve">September 2016 </w:t>
      </w:r>
      <w:r w:rsidR="00E00704">
        <w:t xml:space="preserve">demand management </w:t>
      </w:r>
      <w:r w:rsidR="0034418D">
        <w:t>consultation paper</w:t>
      </w:r>
      <w:r w:rsidR="00206246">
        <w:t>.</w:t>
      </w:r>
      <w:r w:rsidR="00A96CEC">
        <w:rPr>
          <w:rStyle w:val="FootnoteReference"/>
        </w:rPr>
        <w:footnoteReference w:id="13"/>
      </w:r>
      <w:r w:rsidR="00FC46FF" w:rsidRPr="00FC46FF">
        <w:t xml:space="preserve"> </w:t>
      </w:r>
      <w:r w:rsidR="0034418D">
        <w:t>However,</w:t>
      </w:r>
      <w:r w:rsidR="00F0239F">
        <w:t xml:space="preserve"> </w:t>
      </w:r>
      <w:r w:rsidR="0034418D">
        <w:t>we have decided</w:t>
      </w:r>
      <w:r w:rsidR="009F3299">
        <w:t xml:space="preserve"> to adopt</w:t>
      </w:r>
      <w:r w:rsidR="0034418D">
        <w:t xml:space="preserve"> </w:t>
      </w:r>
      <w:r>
        <w:t xml:space="preserve">a Scheme </w:t>
      </w:r>
      <w:r w:rsidR="009F3299">
        <w:t>design that does not</w:t>
      </w:r>
      <w:r>
        <w:t xml:space="preserve"> </w:t>
      </w:r>
      <w:r w:rsidR="009F3299">
        <w:t xml:space="preserve">pose implementation challenges associated with providing </w:t>
      </w:r>
      <w:r>
        <w:t>project exemptions</w:t>
      </w:r>
      <w:r w:rsidR="009F3299">
        <w:t>.</w:t>
      </w:r>
    </w:p>
    <w:p w:rsidR="000724DA" w:rsidRDefault="00857E6B" w:rsidP="00933625">
      <w:r>
        <w:t xml:space="preserve">We discuss in more detail below the </w:t>
      </w:r>
      <w:r w:rsidR="00F0239F">
        <w:t xml:space="preserve">impact of </w:t>
      </w:r>
      <w:r w:rsidR="0057771A">
        <w:t>our chosen</w:t>
      </w:r>
      <w:r w:rsidR="00F0239F">
        <w:t xml:space="preserve"> design on </w:t>
      </w:r>
      <w:r>
        <w:t xml:space="preserve">a </w:t>
      </w:r>
      <w:r w:rsidR="00E0655D">
        <w:t>distribution determination.</w:t>
      </w:r>
    </w:p>
    <w:p w:rsidR="00B27632" w:rsidRDefault="00FC46FF" w:rsidP="00B27632">
      <w:pPr>
        <w:pStyle w:val="Heading3"/>
      </w:pPr>
      <w:bookmarkStart w:id="19" w:name="_Toc491422174"/>
      <w:r>
        <w:t xml:space="preserve">Why we </w:t>
      </w:r>
      <w:r w:rsidR="00206246">
        <w:t>are</w:t>
      </w:r>
      <w:r w:rsidR="00E00704">
        <w:t xml:space="preserve"> not providing</w:t>
      </w:r>
      <w:r>
        <w:t xml:space="preserve"> STPIS </w:t>
      </w:r>
      <w:r w:rsidR="00E00704">
        <w:t>exemptions</w:t>
      </w:r>
      <w:bookmarkEnd w:id="19"/>
    </w:p>
    <w:p w:rsidR="00594AAF" w:rsidRDefault="00933625" w:rsidP="00933625">
      <w:r w:rsidRPr="00933625">
        <w:t xml:space="preserve">In </w:t>
      </w:r>
      <w:r w:rsidR="00C3234C">
        <w:t>our</w:t>
      </w:r>
      <w:r w:rsidRPr="00933625">
        <w:t xml:space="preserve"> view, </w:t>
      </w:r>
      <w:r w:rsidR="005B2061">
        <w:t>exempting projects</w:t>
      </w:r>
      <w:r w:rsidR="00206246">
        <w:t xml:space="preserve"> from the STPIS</w:t>
      </w:r>
      <w:r w:rsidRPr="00933625">
        <w:t xml:space="preserve"> would negativel</w:t>
      </w:r>
      <w:r w:rsidR="009F3299">
        <w:t>y affect consumers in two ways.</w:t>
      </w:r>
    </w:p>
    <w:p w:rsidR="00D27E2D" w:rsidRDefault="00933625" w:rsidP="00933625">
      <w:r w:rsidRPr="00933625">
        <w:t>First</w:t>
      </w:r>
      <w:r w:rsidR="005B2061">
        <w:t>ly</w:t>
      </w:r>
      <w:r w:rsidRPr="00933625">
        <w:t xml:space="preserve">, not applying the STPIS to demand management solutions would transfer the risk of solution failure onto consumers, who have little opportunity to mitigate that risk. Distributors </w:t>
      </w:r>
      <w:proofErr w:type="gramStart"/>
      <w:r w:rsidRPr="00933625">
        <w:t>are best placed</w:t>
      </w:r>
      <w:proofErr w:type="gramEnd"/>
      <w:r w:rsidRPr="00933625">
        <w:t xml:space="preserve"> to evaluate and mitigate such risks. Therefore</w:t>
      </w:r>
      <w:r w:rsidR="00E00704">
        <w:t>,</w:t>
      </w:r>
      <w:r w:rsidRPr="00933625">
        <w:t xml:space="preserve"> subjecting demand management projects to the same targets as </w:t>
      </w:r>
      <w:r w:rsidR="00CE3327">
        <w:t xml:space="preserve">other </w:t>
      </w:r>
      <w:r w:rsidR="00E00704">
        <w:t>projects</w:t>
      </w:r>
      <w:r w:rsidRPr="00933625">
        <w:t xml:space="preserve"> </w:t>
      </w:r>
      <w:r w:rsidR="00CE3327">
        <w:t>should promote investment signals that encourage prudent and efficient decisions</w:t>
      </w:r>
      <w:r w:rsidR="009F3299">
        <w:t>.</w:t>
      </w:r>
    </w:p>
    <w:p w:rsidR="00933625" w:rsidRDefault="00933625" w:rsidP="00933625">
      <w:r w:rsidRPr="00933625">
        <w:t xml:space="preserve">Additionally, </w:t>
      </w:r>
      <w:r w:rsidR="00D27E2D">
        <w:t>we</w:t>
      </w:r>
      <w:r w:rsidRPr="00933625">
        <w:t xml:space="preserve"> </w:t>
      </w:r>
      <w:r w:rsidR="00D27E2D">
        <w:t>consider</w:t>
      </w:r>
      <w:r w:rsidRPr="00933625">
        <w:t xml:space="preserve"> that exempting demand management </w:t>
      </w:r>
      <w:r w:rsidR="00D816F0">
        <w:t xml:space="preserve">solutions </w:t>
      </w:r>
      <w:r w:rsidRPr="00933625">
        <w:t xml:space="preserve">from performance </w:t>
      </w:r>
      <w:r w:rsidR="00175F6A">
        <w:t>targets</w:t>
      </w:r>
      <w:r w:rsidRPr="00933625">
        <w:t xml:space="preserve"> </w:t>
      </w:r>
      <w:r w:rsidR="00175F6A">
        <w:t>may</w:t>
      </w:r>
      <w:r w:rsidRPr="00933625">
        <w:t xml:space="preserve"> increase the perception that demand management is less reliable than network solution</w:t>
      </w:r>
      <w:r w:rsidR="009C6A1A">
        <w:t>s</w:t>
      </w:r>
      <w:r w:rsidRPr="00933625">
        <w:t>, furthering any potential cultural bias against demand management.</w:t>
      </w:r>
      <w:r w:rsidR="009C6A1A">
        <w:t xml:space="preserve"> This would not serve to further the </w:t>
      </w:r>
      <w:r w:rsidR="00CE3327">
        <w:t>S</w:t>
      </w:r>
      <w:r w:rsidR="009C6A1A">
        <w:t>cheme</w:t>
      </w:r>
      <w:r w:rsidR="009F3299">
        <w:t xml:space="preserve"> O</w:t>
      </w:r>
      <w:r w:rsidR="009C6A1A">
        <w:t xml:space="preserve">bjective of promoting </w:t>
      </w:r>
      <w:r w:rsidR="00E00704">
        <w:t xml:space="preserve">efficient </w:t>
      </w:r>
      <w:r w:rsidR="009C6A1A">
        <w:t xml:space="preserve">investment </w:t>
      </w:r>
      <w:r w:rsidR="009F3299">
        <w:t>in demand management solutions.</w:t>
      </w:r>
    </w:p>
    <w:p w:rsidR="00D816F0" w:rsidRDefault="00FC46FF" w:rsidP="00FC46FF">
      <w:pPr>
        <w:pStyle w:val="Heading3"/>
      </w:pPr>
      <w:bookmarkStart w:id="20" w:name="_Toc491422175"/>
      <w:r>
        <w:lastRenderedPageBreak/>
        <w:t xml:space="preserve">Why we </w:t>
      </w:r>
      <w:r w:rsidR="00206246">
        <w:t>are</w:t>
      </w:r>
      <w:r w:rsidR="00D816F0">
        <w:t xml:space="preserve"> providing CESS and EBSS exemptions</w:t>
      </w:r>
      <w:bookmarkEnd w:id="20"/>
    </w:p>
    <w:p w:rsidR="00594AAF" w:rsidRDefault="00DE2379" w:rsidP="00D816F0">
      <w:r>
        <w:t xml:space="preserve">We currently operate </w:t>
      </w:r>
      <w:r w:rsidR="00D17DCA">
        <w:t>two incentive schemes designed to encourage efficient decision making by distributors</w:t>
      </w:r>
      <w:r w:rsidR="00E00704" w:rsidRPr="00D816F0">
        <w:rPr>
          <w:rFonts w:cs="Arial"/>
        </w:rPr>
        <w:t>―</w:t>
      </w:r>
      <w:r w:rsidR="009F3299">
        <w:t>the CESS and EBSS.</w:t>
      </w:r>
    </w:p>
    <w:p w:rsidR="00922D9D" w:rsidRDefault="00D17DCA" w:rsidP="00FC46FF">
      <w:r>
        <w:t xml:space="preserve">These </w:t>
      </w:r>
      <w:r w:rsidR="00DE2379">
        <w:t xml:space="preserve">operate symmetrically </w:t>
      </w:r>
      <w:r w:rsidR="00E30F29">
        <w:t>to better</w:t>
      </w:r>
      <w:r>
        <w:t xml:space="preserve"> balance incentives between </w:t>
      </w:r>
      <w:proofErr w:type="spellStart"/>
      <w:r w:rsidR="00E00704">
        <w:t>capex</w:t>
      </w:r>
      <w:proofErr w:type="spellEnd"/>
      <w:r w:rsidR="00E00704">
        <w:t xml:space="preserve"> and operating expenditure (</w:t>
      </w:r>
      <w:r>
        <w:t>opex</w:t>
      </w:r>
      <w:r w:rsidR="00E00704">
        <w:t>)</w:t>
      </w:r>
      <w:r>
        <w:t xml:space="preserve">, </w:t>
      </w:r>
      <w:r w:rsidR="00DE2379">
        <w:t xml:space="preserve">by sharing the savings and risks of each kind of expenditure between </w:t>
      </w:r>
      <w:r w:rsidR="00E00704">
        <w:t xml:space="preserve">distributors </w:t>
      </w:r>
      <w:r w:rsidR="009F3299">
        <w:t>and consumers.</w:t>
      </w:r>
    </w:p>
    <w:p w:rsidR="00594AAF" w:rsidRDefault="00E30F29" w:rsidP="00FC46FF">
      <w:r>
        <w:t xml:space="preserve">We expect </w:t>
      </w:r>
      <w:r w:rsidR="00D17DCA">
        <w:t xml:space="preserve">the </w:t>
      </w:r>
      <w:r w:rsidR="00E0655D">
        <w:t>new Scheme</w:t>
      </w:r>
      <w:r w:rsidR="00D17DCA">
        <w:t xml:space="preserve"> </w:t>
      </w:r>
      <w:r>
        <w:t>will encourage distributors to undertake more demand management where</w:t>
      </w:r>
      <w:r w:rsidR="00A240BC">
        <w:t xml:space="preserve"> it is</w:t>
      </w:r>
      <w:r>
        <w:t xml:space="preserve"> efficient. Since demand management typically consists of opex rather than </w:t>
      </w:r>
      <w:proofErr w:type="spellStart"/>
      <w:r>
        <w:t>capex</w:t>
      </w:r>
      <w:proofErr w:type="spellEnd"/>
      <w:r>
        <w:t xml:space="preserve">, the Scheme might </w:t>
      </w:r>
      <w:r w:rsidR="00DE2379">
        <w:t xml:space="preserve">result in </w:t>
      </w:r>
      <w:r>
        <w:t xml:space="preserve">distributors receiving higher </w:t>
      </w:r>
      <w:r w:rsidR="00DE2379">
        <w:t>penalties</w:t>
      </w:r>
      <w:r>
        <w:t xml:space="preserve"> or lower rewards</w:t>
      </w:r>
      <w:r w:rsidR="009F3299">
        <w:t xml:space="preserve"> under the EBSS.</w:t>
      </w:r>
    </w:p>
    <w:p w:rsidR="00D17DCA" w:rsidRPr="00FC46FF" w:rsidRDefault="00DE2379" w:rsidP="00FC46FF">
      <w:r>
        <w:t xml:space="preserve">However, </w:t>
      </w:r>
      <w:r w:rsidR="00E30F29">
        <w:t>since the</w:t>
      </w:r>
      <w:r w:rsidR="007032E1">
        <w:t xml:space="preserve"> </w:t>
      </w:r>
      <w:r w:rsidR="00E0655D">
        <w:t>new Scheme</w:t>
      </w:r>
      <w:r w:rsidR="00E30F29">
        <w:t xml:space="preserve"> only incentive</w:t>
      </w:r>
      <w:r w:rsidR="007032E1">
        <w:t>s</w:t>
      </w:r>
      <w:r w:rsidR="00E30F29">
        <w:t xml:space="preserve"> efficient demand management projects, </w:t>
      </w:r>
      <w:r>
        <w:t>the</w:t>
      </w:r>
      <w:r w:rsidR="00E30F29">
        <w:t xml:space="preserve">se projects should </w:t>
      </w:r>
      <w:r>
        <w:t>result</w:t>
      </w:r>
      <w:r w:rsidR="00E30F29">
        <w:t xml:space="preserve"> in a commensurate or greater</w:t>
      </w:r>
      <w:r>
        <w:t xml:space="preserve"> decrease in </w:t>
      </w:r>
      <w:proofErr w:type="spellStart"/>
      <w:r w:rsidR="00E30F29">
        <w:t>capex</w:t>
      </w:r>
      <w:proofErr w:type="spellEnd"/>
      <w:r w:rsidR="00E30F29">
        <w:t xml:space="preserve">. This </w:t>
      </w:r>
      <w:r>
        <w:t>should deliver commensurate</w:t>
      </w:r>
      <w:r w:rsidR="00E30F29">
        <w:t xml:space="preserve"> or greater</w:t>
      </w:r>
      <w:r>
        <w:t xml:space="preserve"> rewards under the CESS. </w:t>
      </w:r>
      <w:r w:rsidR="00922D9D">
        <w:t>The</w:t>
      </w:r>
      <w:r>
        <w:t xml:space="preserve">refore, we consider </w:t>
      </w:r>
      <w:r w:rsidR="00D816F0">
        <w:t xml:space="preserve">it is prudent and effective to continue </w:t>
      </w:r>
      <w:r>
        <w:t xml:space="preserve">applying </w:t>
      </w:r>
      <w:r w:rsidR="00D816F0">
        <w:t>the CESS and EBSS, without providing exemptions relating to demand management</w:t>
      </w:r>
      <w:r>
        <w:t>.</w:t>
      </w:r>
    </w:p>
    <w:p w:rsidR="00FC46FF" w:rsidRPr="00933625" w:rsidRDefault="0034418D" w:rsidP="0034418D">
      <w:pPr>
        <w:pStyle w:val="Heading3"/>
      </w:pPr>
      <w:bookmarkStart w:id="21" w:name="_Toc487709535"/>
      <w:bookmarkStart w:id="22" w:name="_Toc491422176"/>
      <w:r>
        <w:t>Conclusion</w:t>
      </w:r>
      <w:bookmarkEnd w:id="21"/>
      <w:bookmarkEnd w:id="22"/>
    </w:p>
    <w:p w:rsidR="00933625" w:rsidRDefault="0034418D" w:rsidP="00933625">
      <w:r>
        <w:t>In light of the considerations outlined above</w:t>
      </w:r>
      <w:r w:rsidR="00E30F29">
        <w:t>,</w:t>
      </w:r>
      <w:r w:rsidR="00D17DCA">
        <w:t xml:space="preserve"> </w:t>
      </w:r>
      <w:r>
        <w:t>w</w:t>
      </w:r>
      <w:r w:rsidR="00CE3327">
        <w:t>e are</w:t>
      </w:r>
      <w:r w:rsidR="00933625" w:rsidRPr="00933625">
        <w:t xml:space="preserve"> not proposing </w:t>
      </w:r>
      <w:r w:rsidR="00175F6A">
        <w:t>to alter the way we apply</w:t>
      </w:r>
      <w:r w:rsidR="00D27E2D">
        <w:t xml:space="preserve"> other </w:t>
      </w:r>
      <w:r w:rsidR="00E30F29">
        <w:t xml:space="preserve">incentive </w:t>
      </w:r>
      <w:r w:rsidR="00D27E2D">
        <w:t>schemes to</w:t>
      </w:r>
      <w:r w:rsidR="00175F6A">
        <w:t xml:space="preserve"> projects </w:t>
      </w:r>
      <w:r w:rsidR="00933625" w:rsidRPr="00933625">
        <w:t xml:space="preserve">utilising the </w:t>
      </w:r>
      <w:r w:rsidR="00E30F29">
        <w:t>S</w:t>
      </w:r>
      <w:r w:rsidR="00C3234C">
        <w:t>cheme</w:t>
      </w:r>
      <w:r w:rsidR="00933625" w:rsidRPr="00933625">
        <w:t>.</w:t>
      </w:r>
      <w:r w:rsidR="00206246">
        <w:t xml:space="preserve"> </w:t>
      </w:r>
      <w:r w:rsidR="00933625" w:rsidRPr="00933625">
        <w:t xml:space="preserve">As such, </w:t>
      </w:r>
      <w:r w:rsidR="00E30F29">
        <w:t xml:space="preserve">when we apply the Scheme, </w:t>
      </w:r>
      <w:r w:rsidR="00933625" w:rsidRPr="00933625">
        <w:t xml:space="preserve">there will be no need to re-examine the assumptions </w:t>
      </w:r>
      <w:r w:rsidR="00F0239F">
        <w:t>and decisions made in relation to</w:t>
      </w:r>
      <w:r w:rsidR="00933625" w:rsidRPr="00933625">
        <w:t xml:space="preserve"> </w:t>
      </w:r>
      <w:r w:rsidR="00175F6A">
        <w:t xml:space="preserve">these </w:t>
      </w:r>
      <w:r w:rsidR="00933625" w:rsidRPr="00933625">
        <w:t xml:space="preserve">other elements of the distribution determination. This means that the process of applying the </w:t>
      </w:r>
      <w:r w:rsidR="00E0655D">
        <w:t>new Scheme</w:t>
      </w:r>
      <w:r w:rsidR="00933625" w:rsidRPr="00933625">
        <w:t xml:space="preserve"> is likely to be relatively simple</w:t>
      </w:r>
      <w:r w:rsidR="00175F6A">
        <w:t xml:space="preserve"> and its scope will remain narrow</w:t>
      </w:r>
      <w:r w:rsidR="009F3299">
        <w:t>.</w:t>
      </w:r>
    </w:p>
    <w:p w:rsidR="00D27E2D" w:rsidRDefault="004A58B6" w:rsidP="004A58B6">
      <w:pPr>
        <w:pStyle w:val="Caption"/>
      </w:pPr>
      <w:r w:rsidRPr="004A58B6">
        <w:t>Question 1</w:t>
      </w:r>
    </w:p>
    <w:p w:rsidR="004A58B6" w:rsidRPr="004A58B6" w:rsidRDefault="004A58B6" w:rsidP="00AC5595">
      <w:pPr>
        <w:pStyle w:val="BlockText"/>
      </w:pPr>
      <w:r w:rsidRPr="004A58B6">
        <w:t>What will be the effect of the proposed rule?</w:t>
      </w:r>
    </w:p>
    <w:p w:rsidR="00933625" w:rsidRPr="00933625" w:rsidRDefault="00933625" w:rsidP="00933625">
      <w:pPr>
        <w:pStyle w:val="Heading1"/>
      </w:pPr>
      <w:bookmarkStart w:id="23" w:name="_Toc491422177"/>
      <w:r>
        <w:lastRenderedPageBreak/>
        <w:t>Achieving the National Electricity Objective</w:t>
      </w:r>
      <w:bookmarkEnd w:id="23"/>
    </w:p>
    <w:p w:rsidR="00CE3327" w:rsidRDefault="00101285" w:rsidP="00933625">
      <w:r>
        <w:t>We</w:t>
      </w:r>
      <w:r w:rsidRPr="00CE0BE1">
        <w:t xml:space="preserve"> consider that the </w:t>
      </w:r>
      <w:r>
        <w:t xml:space="preserve">proposed rule </w:t>
      </w:r>
      <w:r w:rsidRPr="00CE0BE1">
        <w:t xml:space="preserve">will contribute to the achievement of </w:t>
      </w:r>
      <w:r>
        <w:t>t</w:t>
      </w:r>
      <w:r w:rsidR="00933625" w:rsidRPr="00933625">
        <w:t xml:space="preserve">he </w:t>
      </w:r>
      <w:r w:rsidR="00CE5FE8">
        <w:t>National Electricity Objective (NEO)</w:t>
      </w:r>
      <w:r w:rsidR="00CE5FE8" w:rsidRPr="00933625">
        <w:t xml:space="preserve"> </w:t>
      </w:r>
      <w:r>
        <w:t>because it will</w:t>
      </w:r>
      <w:r w:rsidRPr="00CE0BE1">
        <w:t xml:space="preserve"> promote non-network investment that is in the long-term interests of consumers in terms of both price and reliability</w:t>
      </w:r>
      <w:r>
        <w:t>. The NEO</w:t>
      </w:r>
      <w:r w:rsidRPr="00933625">
        <w:t xml:space="preserve"> </w:t>
      </w:r>
      <w:r w:rsidR="00933625" w:rsidRPr="00933625">
        <w:t>is</w:t>
      </w:r>
      <w:r w:rsidR="00CE3327">
        <w:t>:</w:t>
      </w:r>
    </w:p>
    <w:p w:rsidR="00933625" w:rsidRPr="00933625" w:rsidRDefault="00CE5FE8" w:rsidP="00B81311">
      <w:pPr>
        <w:pStyle w:val="AERquote"/>
      </w:pPr>
      <w:r>
        <w:t>…</w:t>
      </w:r>
      <w:r w:rsidR="00933625" w:rsidRPr="00933625">
        <w:t xml:space="preserve">to promote efficient investment in, and efficient operation and use of, electricity services for the </w:t>
      </w:r>
      <w:r w:rsidR="00AB0448" w:rsidRPr="00933625">
        <w:t>long-term</w:t>
      </w:r>
      <w:r w:rsidR="00933625" w:rsidRPr="00933625">
        <w:t xml:space="preserve"> interests of consumers of electricity with respect to— </w:t>
      </w:r>
    </w:p>
    <w:p w:rsidR="00933625" w:rsidRPr="00933625" w:rsidRDefault="00933625" w:rsidP="00B81311">
      <w:pPr>
        <w:pStyle w:val="AERquote"/>
      </w:pPr>
      <w:r w:rsidRPr="00933625">
        <w:t xml:space="preserve">(a) </w:t>
      </w:r>
      <w:proofErr w:type="gramStart"/>
      <w:r w:rsidRPr="00933625">
        <w:t>price</w:t>
      </w:r>
      <w:proofErr w:type="gramEnd"/>
      <w:r w:rsidRPr="00933625">
        <w:t xml:space="preserve">, quality, safety, reliability and security of supply of electricity; and </w:t>
      </w:r>
    </w:p>
    <w:p w:rsidR="00933625" w:rsidRPr="00933625" w:rsidRDefault="00933625" w:rsidP="00B81311">
      <w:pPr>
        <w:pStyle w:val="AERquote"/>
      </w:pPr>
      <w:r w:rsidRPr="00933625">
        <w:t xml:space="preserve">(b) </w:t>
      </w:r>
      <w:proofErr w:type="gramStart"/>
      <w:r w:rsidRPr="00933625">
        <w:t>the</w:t>
      </w:r>
      <w:proofErr w:type="gramEnd"/>
      <w:r w:rsidRPr="00933625">
        <w:t xml:space="preserve"> reliability, safety and security of the national electricity system.</w:t>
      </w:r>
      <w:r w:rsidR="00CE5FE8" w:rsidRPr="00CE5FE8">
        <w:rPr>
          <w:rStyle w:val="FootnoteReference"/>
        </w:rPr>
        <w:t xml:space="preserve"> </w:t>
      </w:r>
      <w:r w:rsidR="00CE5FE8" w:rsidRPr="00933625">
        <w:rPr>
          <w:rStyle w:val="FootnoteReference"/>
        </w:rPr>
        <w:footnoteReference w:id="14"/>
      </w:r>
      <w:r w:rsidR="00CE3327" w:rsidRPr="00933625" w:rsidDel="00CE3327">
        <w:rPr>
          <w:rStyle w:val="FootnoteReference"/>
        </w:rPr>
        <w:t xml:space="preserve"> </w:t>
      </w:r>
    </w:p>
    <w:p w:rsidR="0086180C" w:rsidRPr="00CE3327" w:rsidRDefault="0086180C" w:rsidP="00D816F0">
      <w:pPr>
        <w:pStyle w:val="Heading2"/>
      </w:pPr>
      <w:bookmarkStart w:id="24" w:name="_Toc491422178"/>
      <w:r w:rsidRPr="00CE3327">
        <w:t>A bridge to a better framework</w:t>
      </w:r>
      <w:bookmarkEnd w:id="24"/>
    </w:p>
    <w:p w:rsidR="00594AAF" w:rsidRDefault="00CE0BE1" w:rsidP="00933625">
      <w:r w:rsidRPr="00CE0BE1">
        <w:t xml:space="preserve">The </w:t>
      </w:r>
      <w:r w:rsidR="007032E1">
        <w:t>c</w:t>
      </w:r>
      <w:r w:rsidRPr="00CE0BE1">
        <w:t xml:space="preserve">urrent </w:t>
      </w:r>
      <w:r w:rsidR="00A365A7">
        <w:t>S</w:t>
      </w:r>
      <w:r w:rsidRPr="00CE0BE1">
        <w:t xml:space="preserve">cheme </w:t>
      </w:r>
      <w:r w:rsidR="00BD7ABB">
        <w:t>is effectively a modest i</w:t>
      </w:r>
      <w:r w:rsidR="00B81311">
        <w:t xml:space="preserve">nnovation allowance. It aims to encourage distributors to fund innovative demand management projects, rather than </w:t>
      </w:r>
      <w:r w:rsidR="00BD7ABB">
        <w:t>aim</w:t>
      </w:r>
      <w:r w:rsidR="00B81311">
        <w:t>ing</w:t>
      </w:r>
      <w:r w:rsidR="00BD7ABB">
        <w:t xml:space="preserve"> </w:t>
      </w:r>
      <w:r w:rsidR="00B81311">
        <w:t>to reward</w:t>
      </w:r>
      <w:r w:rsidR="00BD7ABB">
        <w:t xml:space="preserve"> efficient</w:t>
      </w:r>
      <w:r w:rsidRPr="00CE0BE1">
        <w:t xml:space="preserve"> expenditure on</w:t>
      </w:r>
      <w:r w:rsidR="00B81311">
        <w:t xml:space="preserve"> broader implementations of demand management</w:t>
      </w:r>
      <w:r w:rsidR="00BD7ABB">
        <w:t>.</w:t>
      </w:r>
      <w:r w:rsidR="00B81311">
        <w:t xml:space="preserve"> In its 2015 </w:t>
      </w:r>
      <w:r w:rsidR="00A365A7">
        <w:t>r</w:t>
      </w:r>
      <w:r w:rsidR="00B81311">
        <w:t xml:space="preserve">ule </w:t>
      </w:r>
      <w:r w:rsidR="00A365A7">
        <w:t>c</w:t>
      </w:r>
      <w:r w:rsidR="00B81311">
        <w:t xml:space="preserve">hange, the AEMC </w:t>
      </w:r>
      <w:r w:rsidR="00720FBA">
        <w:t>chose to retain an innovation allowance as a</w:t>
      </w:r>
      <w:r w:rsidR="00B81311">
        <w:t xml:space="preserve"> feature of the regulatory framework. The </w:t>
      </w:r>
      <w:r w:rsidR="00A365A7">
        <w:t xml:space="preserve">AEMC </w:t>
      </w:r>
      <w:r w:rsidR="00E610C9">
        <w:t>chose to supplement this allowance</w:t>
      </w:r>
      <w:r w:rsidR="00B81311">
        <w:t xml:space="preserve"> </w:t>
      </w:r>
      <w:r w:rsidR="009F3299">
        <w:t>by requiring that we separately develop the Scheme</w:t>
      </w:r>
      <w:r w:rsidR="00B81311">
        <w:t>.</w:t>
      </w:r>
    </w:p>
    <w:p w:rsidR="00CE0BE1" w:rsidRDefault="00BD7ABB" w:rsidP="00933625">
      <w:r>
        <w:t xml:space="preserve">We consider the </w:t>
      </w:r>
      <w:r w:rsidR="00E0655D">
        <w:t>new Scheme</w:t>
      </w:r>
      <w:r w:rsidR="00B81311">
        <w:t xml:space="preserve">, paired with </w:t>
      </w:r>
      <w:r w:rsidR="00F0239F">
        <w:t>a slightly modified</w:t>
      </w:r>
      <w:r w:rsidR="00B81311">
        <w:t xml:space="preserve"> innovation allowance</w:t>
      </w:r>
      <w:r w:rsidR="00D816F0">
        <w:t xml:space="preserve"> (the Mechanism)</w:t>
      </w:r>
      <w:proofErr w:type="gramStart"/>
      <w:r w:rsidR="00B81311">
        <w:t>,</w:t>
      </w:r>
      <w:proofErr w:type="gramEnd"/>
      <w:r w:rsidR="00B81311">
        <w:t xml:space="preserve"> </w:t>
      </w:r>
      <w:r>
        <w:t>will have a greater</w:t>
      </w:r>
      <w:r w:rsidR="00CE0BE1" w:rsidRPr="00CE0BE1">
        <w:t xml:space="preserve"> ability to contribute towards the NEO. It would </w:t>
      </w:r>
      <w:r>
        <w:t>there</w:t>
      </w:r>
      <w:r w:rsidR="00F0239F">
        <w:t>fore</w:t>
      </w:r>
      <w:r>
        <w:t xml:space="preserve"> be in</w:t>
      </w:r>
      <w:r w:rsidR="00CE0BE1" w:rsidRPr="00CE0BE1">
        <w:t xml:space="preserve"> consumers’ long-term interest</w:t>
      </w:r>
      <w:r w:rsidR="004D4ACB">
        <w:t>s</w:t>
      </w:r>
      <w:r w:rsidR="00CE0BE1" w:rsidRPr="00CE0BE1">
        <w:t xml:space="preserve"> to </w:t>
      </w:r>
      <w:r w:rsidR="00F0239F">
        <w:t>transition to</w:t>
      </w:r>
      <w:r>
        <w:t xml:space="preserve"> the </w:t>
      </w:r>
      <w:r w:rsidR="00E0655D">
        <w:t>new Scheme</w:t>
      </w:r>
      <w:r w:rsidR="00A36D9A">
        <w:t xml:space="preserve"> sooner</w:t>
      </w:r>
      <w:r>
        <w:t xml:space="preserve">, particularly as </w:t>
      </w:r>
      <w:r w:rsidR="00CE0BE1" w:rsidRPr="00CE0BE1">
        <w:t xml:space="preserve">there is little cost to allowing eligible distributors to apply for </w:t>
      </w:r>
      <w:r>
        <w:t xml:space="preserve">its </w:t>
      </w:r>
      <w:r w:rsidR="00CE0BE1" w:rsidRPr="00CE0BE1">
        <w:t>early application.</w:t>
      </w:r>
    </w:p>
    <w:p w:rsidR="00AF157A" w:rsidRDefault="00E1781E" w:rsidP="00933625">
      <w:r w:rsidRPr="00E1781E">
        <w:t xml:space="preserve">We acknowledge that there are ongoing reform efforts that aim to </w:t>
      </w:r>
      <w:r w:rsidR="00BD7ABB">
        <w:t>improve</w:t>
      </w:r>
      <w:r w:rsidR="009C6A1A">
        <w:t xml:space="preserve"> the broader regulatory framework</w:t>
      </w:r>
      <w:r w:rsidRPr="00E1781E">
        <w:t xml:space="preserve">. These include our ongoing implementation of cost reflective tariffs, metering competition and ring fencing guidelines. </w:t>
      </w:r>
      <w:r w:rsidR="00BD7ABB">
        <w:t xml:space="preserve">The </w:t>
      </w:r>
      <w:r w:rsidRPr="00E1781E">
        <w:t xml:space="preserve">AEMC is also currently consulting on similar questions following </w:t>
      </w:r>
      <w:proofErr w:type="gramStart"/>
      <w:r w:rsidR="00BD7ABB">
        <w:t>network contestability</w:t>
      </w:r>
      <w:r w:rsidRPr="00E1781E">
        <w:t xml:space="preserve"> rule change request</w:t>
      </w:r>
      <w:r w:rsidR="00BD7ABB">
        <w:t>s</w:t>
      </w:r>
      <w:proofErr w:type="gramEnd"/>
      <w:r w:rsidRPr="00E1781E">
        <w:t xml:space="preserve"> from the COAG Energy Council and Australian Energy Council</w:t>
      </w:r>
      <w:r w:rsidR="00BD7ABB">
        <w:t>,</w:t>
      </w:r>
      <w:r w:rsidR="00AF157A">
        <w:rPr>
          <w:rStyle w:val="FootnoteReference"/>
        </w:rPr>
        <w:footnoteReference w:id="15"/>
      </w:r>
      <w:r w:rsidRPr="00E1781E">
        <w:t xml:space="preserve"> and the review of the Distribution Market Model.</w:t>
      </w:r>
      <w:r w:rsidR="00AF157A">
        <w:rPr>
          <w:rStyle w:val="FootnoteReference"/>
        </w:rPr>
        <w:footnoteReference w:id="16"/>
      </w:r>
      <w:r w:rsidRPr="00E1781E">
        <w:t xml:space="preserve"> These reviews will necessarily undergo robust analysis and consultative processes, which wil</w:t>
      </w:r>
      <w:r w:rsidR="00A36D9A">
        <w:t>l take time to produce results.</w:t>
      </w:r>
    </w:p>
    <w:p w:rsidR="00E1781E" w:rsidRDefault="00E1781E" w:rsidP="00933625">
      <w:r w:rsidRPr="00E1781E">
        <w:t xml:space="preserve">The </w:t>
      </w:r>
      <w:r w:rsidR="00D816F0">
        <w:t xml:space="preserve">new </w:t>
      </w:r>
      <w:r w:rsidR="00BD7ABB">
        <w:t>S</w:t>
      </w:r>
      <w:r w:rsidRPr="00E1781E">
        <w:t>cheme</w:t>
      </w:r>
      <w:r w:rsidR="00BD7ABB">
        <w:t xml:space="preserve">, along with the </w:t>
      </w:r>
      <w:r w:rsidR="00A36D9A">
        <w:t>Mechanism</w:t>
      </w:r>
      <w:r w:rsidR="00BD7ABB">
        <w:t xml:space="preserve"> we are developing in tandem, </w:t>
      </w:r>
      <w:r w:rsidRPr="00E1781E">
        <w:t xml:space="preserve">will encourage efficient investment decisions, serving as a bridge to </w:t>
      </w:r>
      <w:r w:rsidR="002A3FA9">
        <w:t>a regulatory framework based on more cost-reflective pricing</w:t>
      </w:r>
      <w:r w:rsidR="00A36D9A">
        <w:t>.</w:t>
      </w:r>
    </w:p>
    <w:p w:rsidR="00AF157A" w:rsidRDefault="00E1781E" w:rsidP="00933625">
      <w:r>
        <w:lastRenderedPageBreak/>
        <w:t xml:space="preserve">This bridge is </w:t>
      </w:r>
      <w:r w:rsidR="00A36D9A">
        <w:t>beneficial</w:t>
      </w:r>
      <w:r>
        <w:t>, in part, because</w:t>
      </w:r>
      <w:r w:rsidR="00A36D9A">
        <w:t xml:space="preserve"> it will encourage distributors to make the most of</w:t>
      </w:r>
      <w:r>
        <w:t xml:space="preserve"> t</w:t>
      </w:r>
      <w:r w:rsidR="00933625" w:rsidRPr="00933625">
        <w:t xml:space="preserve">echnological innovations, such as decentralised generation and smart energy </w:t>
      </w:r>
      <w:r w:rsidR="00A36D9A" w:rsidRPr="00933625">
        <w:t xml:space="preserve">management, </w:t>
      </w:r>
      <w:r w:rsidR="00A36D9A">
        <w:t xml:space="preserve">which </w:t>
      </w:r>
      <w:r w:rsidR="00933625" w:rsidRPr="00933625">
        <w:t xml:space="preserve">are influencing the broader market at an increasing speed. These innovations have increased the potential efficiency gains from deferred expenditure initiatives. Without a sufficient incentive to undertake efficient demand management, </w:t>
      </w:r>
      <w:r>
        <w:t>d</w:t>
      </w:r>
      <w:r w:rsidR="00C3234C">
        <w:t>istributors</w:t>
      </w:r>
      <w:r w:rsidR="00933625" w:rsidRPr="00933625">
        <w:t xml:space="preserve"> may bypass these opportunities, making their chosen network </w:t>
      </w:r>
      <w:proofErr w:type="spellStart"/>
      <w:r w:rsidR="00933625" w:rsidRPr="00933625">
        <w:t>capex</w:t>
      </w:r>
      <w:proofErr w:type="spellEnd"/>
      <w:r w:rsidR="00933625" w:rsidRPr="00933625">
        <w:t xml:space="preserve"> solutions relatively more inefficient and costly to consumers.</w:t>
      </w:r>
      <w:r w:rsidR="00933625" w:rsidRPr="00933625">
        <w:rPr>
          <w:rStyle w:val="FootnoteReference"/>
        </w:rPr>
        <w:footnoteReference w:id="17"/>
      </w:r>
      <w:r w:rsidR="00933625" w:rsidRPr="00933625">
        <w:t xml:space="preserve"> Therefore, early application of the </w:t>
      </w:r>
      <w:r w:rsidR="00D816F0">
        <w:t xml:space="preserve">new </w:t>
      </w:r>
      <w:r w:rsidR="002A3FA9">
        <w:t>S</w:t>
      </w:r>
      <w:r w:rsidR="00C3234C">
        <w:t>cheme</w:t>
      </w:r>
      <w:r w:rsidR="00933625" w:rsidRPr="00933625">
        <w:t xml:space="preserve"> will help </w:t>
      </w:r>
      <w:r w:rsidR="002A3FA9">
        <w:t xml:space="preserve">achieve the NEO by assisting us in better </w:t>
      </w:r>
      <w:r w:rsidR="00134ABB">
        <w:t xml:space="preserve">encouraging </w:t>
      </w:r>
      <w:r w:rsidR="00134ABB" w:rsidRPr="00933625">
        <w:t>efficient</w:t>
      </w:r>
      <w:r w:rsidR="00933625" w:rsidRPr="00933625">
        <w:t xml:space="preserve"> investments</w:t>
      </w:r>
      <w:r w:rsidR="00AF157A">
        <w:t xml:space="preserve"> in both the short and mid-term</w:t>
      </w:r>
      <w:r w:rsidR="00933625" w:rsidRPr="00933625">
        <w:t>.</w:t>
      </w:r>
    </w:p>
    <w:p w:rsidR="0086180C" w:rsidRDefault="00F64EAC" w:rsidP="00933625">
      <w:r>
        <w:t xml:space="preserve">This rule </w:t>
      </w:r>
      <w:r w:rsidR="00AF157A">
        <w:t xml:space="preserve">will also promote </w:t>
      </w:r>
      <w:proofErr w:type="gramStart"/>
      <w:r>
        <w:t>concurrent  application</w:t>
      </w:r>
      <w:proofErr w:type="gramEnd"/>
      <w:r>
        <w:t xml:space="preserve">  </w:t>
      </w:r>
      <w:r w:rsidR="00AF157A">
        <w:t>across jurisdictions. Without the proposed rule change</w:t>
      </w:r>
      <w:r w:rsidR="00A36D9A">
        <w:t>,</w:t>
      </w:r>
      <w:r w:rsidR="00AF157A">
        <w:t xml:space="preserve"> some distributors will have access to the Scheme in 2019, while others will have to wait</w:t>
      </w:r>
      <w:r w:rsidR="00933625" w:rsidRPr="00933625">
        <w:t xml:space="preserve"> </w:t>
      </w:r>
      <w:r w:rsidR="00A36D9A">
        <w:t>until 2021.</w:t>
      </w:r>
    </w:p>
    <w:p w:rsidR="0086180C" w:rsidRDefault="0086180C" w:rsidP="009668A0">
      <w:pPr>
        <w:pStyle w:val="Heading2"/>
      </w:pPr>
      <w:bookmarkStart w:id="25" w:name="_Toc491422179"/>
      <w:r>
        <w:t>Effect of the rule</w:t>
      </w:r>
      <w:bookmarkEnd w:id="25"/>
    </w:p>
    <w:p w:rsidR="00AF157A" w:rsidRDefault="00933625" w:rsidP="00933625">
      <w:r w:rsidRPr="00933625">
        <w:t xml:space="preserve">Without the proposed </w:t>
      </w:r>
      <w:r w:rsidR="002A3FA9">
        <w:t>r</w:t>
      </w:r>
      <w:r w:rsidRPr="00933625">
        <w:t xml:space="preserve">ule, the </w:t>
      </w:r>
      <w:r w:rsidR="00E0655D">
        <w:t>new Scheme</w:t>
      </w:r>
      <w:r w:rsidRPr="00933625">
        <w:t xml:space="preserve"> </w:t>
      </w:r>
      <w:r w:rsidR="00E610C9">
        <w:t>could not be applied</w:t>
      </w:r>
      <w:r w:rsidRPr="00933625">
        <w:t xml:space="preserve"> until the start of the next regulatory</w:t>
      </w:r>
      <w:r w:rsidR="00A36D9A">
        <w:t xml:space="preserve"> control</w:t>
      </w:r>
      <w:r w:rsidRPr="00933625">
        <w:t xml:space="preserve"> period, which in some cases </w:t>
      </w:r>
      <w:r w:rsidR="002A3FA9">
        <w:t>commences in 2021</w:t>
      </w:r>
      <w:r w:rsidR="00A36D9A">
        <w:t>.</w:t>
      </w:r>
    </w:p>
    <w:p w:rsidR="00AF157A" w:rsidRDefault="00933625" w:rsidP="00933625">
      <w:r w:rsidRPr="00933625">
        <w:t xml:space="preserve">This delay will not significantly affect distributors in </w:t>
      </w:r>
      <w:r w:rsidR="00E9291E">
        <w:t>the Northern Territory</w:t>
      </w:r>
      <w:r w:rsidRPr="00933625">
        <w:t xml:space="preserve">, New South Wales, </w:t>
      </w:r>
      <w:r w:rsidR="00E9291E">
        <w:t xml:space="preserve">the </w:t>
      </w:r>
      <w:r w:rsidRPr="00933625">
        <w:t>ACT and Tasmania, as</w:t>
      </w:r>
      <w:r w:rsidR="002A3FA9">
        <w:t xml:space="preserve"> </w:t>
      </w:r>
      <w:r w:rsidR="00A365A7">
        <w:t xml:space="preserve">these next regulatory control periods will commence </w:t>
      </w:r>
      <w:r w:rsidRPr="00933625">
        <w:t xml:space="preserve">in July 2019. However, Victorian customers </w:t>
      </w:r>
      <w:r w:rsidR="002A3FA9">
        <w:t>will benefit from</w:t>
      </w:r>
      <w:r>
        <w:t xml:space="preserve"> this rule change</w:t>
      </w:r>
      <w:r w:rsidRPr="00933625">
        <w:t xml:space="preserve">, </w:t>
      </w:r>
      <w:r w:rsidR="00E610C9">
        <w:t>as</w:t>
      </w:r>
      <w:r w:rsidRPr="00933625">
        <w:t xml:space="preserve"> </w:t>
      </w:r>
      <w:r w:rsidR="00A365A7">
        <w:t xml:space="preserve">the next regulatory control period for Victorian distributors will not commence </w:t>
      </w:r>
      <w:r w:rsidR="00860DBD">
        <w:t xml:space="preserve">until </w:t>
      </w:r>
      <w:r w:rsidRPr="00933625">
        <w:t xml:space="preserve">January 2021. </w:t>
      </w:r>
      <w:r w:rsidR="00860DBD">
        <w:t xml:space="preserve">This rule may also affect the determinations we will make in July 2020, for </w:t>
      </w:r>
      <w:r w:rsidR="00A36D9A">
        <w:t xml:space="preserve">distributors </w:t>
      </w:r>
      <w:r w:rsidR="00860DBD">
        <w:t>in</w:t>
      </w:r>
      <w:r w:rsidRPr="00933625">
        <w:t xml:space="preserve"> Queensland</w:t>
      </w:r>
      <w:r w:rsidR="00860DBD">
        <w:t xml:space="preserve"> and South Australia</w:t>
      </w:r>
      <w:r w:rsidR="000724DA">
        <w:t>.</w:t>
      </w:r>
    </w:p>
    <w:p w:rsidR="00933625" w:rsidRDefault="00933625" w:rsidP="00933625">
      <w:r w:rsidRPr="00933625">
        <w:t xml:space="preserve">This delay </w:t>
      </w:r>
      <w:r w:rsidR="009C6A1A">
        <w:t xml:space="preserve">would defer </w:t>
      </w:r>
      <w:r w:rsidRPr="00933625">
        <w:t xml:space="preserve">the opportunity for </w:t>
      </w:r>
      <w:r w:rsidR="009C6A1A">
        <w:t>customers</w:t>
      </w:r>
      <w:r w:rsidRPr="00933625">
        <w:t xml:space="preserve"> across the different jurisdictions to benefit from efficient demand management solutions. We consider the removal of this delay is in the </w:t>
      </w:r>
      <w:r w:rsidR="00860DBD" w:rsidRPr="00933625">
        <w:t>long-term</w:t>
      </w:r>
      <w:r w:rsidRPr="00933625">
        <w:t xml:space="preserve"> interest of electricity consumers</w:t>
      </w:r>
      <w:r w:rsidR="00101285">
        <w:t>.</w:t>
      </w:r>
    </w:p>
    <w:p w:rsidR="00EA679B" w:rsidRPr="00EA679B" w:rsidRDefault="00EA679B" w:rsidP="00EA679B">
      <w:r w:rsidRPr="00EA679B">
        <w:t xml:space="preserve">We are not proposing to implement the </w:t>
      </w:r>
      <w:r w:rsidR="00DE72CE">
        <w:t>M</w:t>
      </w:r>
      <w:r w:rsidRPr="00EA679B">
        <w:t>echanism early, as it is a modest change to the</w:t>
      </w:r>
      <w:r w:rsidR="00DE72CE">
        <w:t xml:space="preserve"> current</w:t>
      </w:r>
      <w:r w:rsidRPr="00EA679B">
        <w:t xml:space="preserve"> demand management innovation allowance</w:t>
      </w:r>
      <w:r>
        <w:t xml:space="preserve"> (</w:t>
      </w:r>
      <w:r w:rsidR="00DE72CE">
        <w:t xml:space="preserve">current </w:t>
      </w:r>
      <w:r>
        <w:t>DMIA)</w:t>
      </w:r>
      <w:r w:rsidRPr="00EA679B">
        <w:t xml:space="preserve"> under which we have already provided an ex ante allowance</w:t>
      </w:r>
      <w:r>
        <w:t xml:space="preserve"> to distributors</w:t>
      </w:r>
      <w:r w:rsidRPr="00EA679B">
        <w:t>. Therefore</w:t>
      </w:r>
      <w:r w:rsidR="004D4ACB">
        <w:t>,</w:t>
      </w:r>
      <w:r w:rsidRPr="00EA679B">
        <w:t xml:space="preserve"> commencing it prior to the next regulatory period would have little effect and serve to c</w:t>
      </w:r>
      <w:r w:rsidR="00101285">
        <w:t xml:space="preserve">reate greater administrative costs </w:t>
      </w:r>
      <w:r w:rsidRPr="00EA679B">
        <w:t xml:space="preserve">than any benefit that </w:t>
      </w:r>
      <w:proofErr w:type="gramStart"/>
      <w:r w:rsidRPr="00EA679B">
        <w:t>might be gained</w:t>
      </w:r>
      <w:proofErr w:type="gramEnd"/>
      <w:r w:rsidRPr="00EA679B">
        <w:t xml:space="preserve">. The current DMIA will continue to operate as normal until the distribution determinations </w:t>
      </w:r>
      <w:proofErr w:type="gramStart"/>
      <w:r w:rsidRPr="00EA679B">
        <w:t>are remade</w:t>
      </w:r>
      <w:proofErr w:type="gramEnd"/>
      <w:r w:rsidRPr="00EA679B">
        <w:t xml:space="preserve"> on the </w:t>
      </w:r>
      <w:r w:rsidR="00101285">
        <w:t xml:space="preserve">current </w:t>
      </w:r>
      <w:r w:rsidRPr="00EA679B">
        <w:t>schedule</w:t>
      </w:r>
      <w:r>
        <w:t>.</w:t>
      </w:r>
    </w:p>
    <w:p w:rsidR="0086180C" w:rsidRDefault="004A58B6" w:rsidP="004A58B6">
      <w:pPr>
        <w:pStyle w:val="Caption"/>
      </w:pPr>
      <w:r>
        <w:t>Question 2</w:t>
      </w:r>
    </w:p>
    <w:p w:rsidR="004A58B6" w:rsidRPr="004A58B6" w:rsidRDefault="004A58B6" w:rsidP="00494FB2">
      <w:pPr>
        <w:pStyle w:val="BlockText"/>
      </w:pPr>
      <w:r w:rsidRPr="004A58B6">
        <w:t xml:space="preserve">Will the proposed rule contribute to the </w:t>
      </w:r>
      <w:r w:rsidR="00101285">
        <w:t>National Electricity Objective</w:t>
      </w:r>
      <w:r w:rsidRPr="004A58B6">
        <w:t>?</w:t>
      </w:r>
    </w:p>
    <w:p w:rsidR="00933625" w:rsidRDefault="00101285" w:rsidP="00933625">
      <w:pPr>
        <w:pStyle w:val="Heading1"/>
      </w:pPr>
      <w:bookmarkStart w:id="26" w:name="_Ref488309566"/>
      <w:bookmarkStart w:id="27" w:name="_Toc491422180"/>
      <w:r>
        <w:lastRenderedPageBreak/>
        <w:t>Costs and benefits of the p</w:t>
      </w:r>
      <w:r w:rsidR="00933625">
        <w:t>r</w:t>
      </w:r>
      <w:r>
        <w:t>oposed r</w:t>
      </w:r>
      <w:r w:rsidR="00933625">
        <w:t>ule</w:t>
      </w:r>
      <w:bookmarkEnd w:id="26"/>
      <w:bookmarkEnd w:id="27"/>
    </w:p>
    <w:p w:rsidR="00933625" w:rsidRDefault="00933625" w:rsidP="00933625">
      <w:r w:rsidRPr="00933625">
        <w:t xml:space="preserve">The benefit of this </w:t>
      </w:r>
      <w:r w:rsidR="002A3FA9">
        <w:t xml:space="preserve">proposed </w:t>
      </w:r>
      <w:r w:rsidRPr="00933625">
        <w:t xml:space="preserve">rule is that it will promote efficient investment, ultimately </w:t>
      </w:r>
      <w:r w:rsidR="00101285">
        <w:t>reducing costs to consumers. This is because the new</w:t>
      </w:r>
      <w:r w:rsidRPr="00933625">
        <w:t xml:space="preserve"> </w:t>
      </w:r>
      <w:r w:rsidR="002A3FA9">
        <w:t>S</w:t>
      </w:r>
      <w:r w:rsidR="00C3234C">
        <w:t>cheme</w:t>
      </w:r>
      <w:r w:rsidR="00D27E2D">
        <w:t xml:space="preserve"> only</w:t>
      </w:r>
      <w:r w:rsidRPr="00933625">
        <w:t xml:space="preserve"> allows </w:t>
      </w:r>
      <w:r w:rsidR="002A3FA9">
        <w:t>d</w:t>
      </w:r>
      <w:r w:rsidR="00C3234C">
        <w:t>istributors</w:t>
      </w:r>
      <w:r w:rsidR="00101285">
        <w:t xml:space="preserve"> to access </w:t>
      </w:r>
      <w:proofErr w:type="gramStart"/>
      <w:r w:rsidR="00101285">
        <w:t>a cost</w:t>
      </w:r>
      <w:proofErr w:type="gramEnd"/>
      <w:r w:rsidR="00101285">
        <w:t xml:space="preserve"> </w:t>
      </w:r>
      <w:r w:rsidR="00C52425">
        <w:t xml:space="preserve">uplift </w:t>
      </w:r>
      <w:r w:rsidRPr="00933625">
        <w:t>on efficient demand management projects that deliver a</w:t>
      </w:r>
      <w:r w:rsidR="00A365A7">
        <w:t>n expected</w:t>
      </w:r>
      <w:r w:rsidRPr="00933625">
        <w:t xml:space="preserve"> net be</w:t>
      </w:r>
      <w:r w:rsidR="00A36D9A">
        <w:t>nefit to electricity consumers.</w:t>
      </w:r>
    </w:p>
    <w:p w:rsidR="00CE0BE1" w:rsidRPr="00CE0BE1" w:rsidRDefault="00A36D9A" w:rsidP="00CE0BE1">
      <w:r>
        <w:t xml:space="preserve">Incentive payments </w:t>
      </w:r>
      <w:r w:rsidR="00CE0BE1" w:rsidRPr="00CE0BE1">
        <w:t>will be borne by the customers</w:t>
      </w:r>
      <w:r w:rsidR="00F64EAC">
        <w:t>.</w:t>
      </w:r>
      <w:r w:rsidR="00276E06">
        <w:t xml:space="preserve"> However, they also receive the benefits from demand management as a more efficient network is in their </w:t>
      </w:r>
      <w:proofErr w:type="gramStart"/>
      <w:r w:rsidR="00276E06">
        <w:t>long term</w:t>
      </w:r>
      <w:proofErr w:type="gramEnd"/>
      <w:r w:rsidR="00276E06">
        <w:t xml:space="preserve"> interest. </w:t>
      </w:r>
      <w:r w:rsidR="00860DBD">
        <w:t xml:space="preserve">We have </w:t>
      </w:r>
      <w:r w:rsidR="00276E06">
        <w:t xml:space="preserve">also </w:t>
      </w:r>
      <w:r w:rsidR="00860DBD">
        <w:t>reduced the</w:t>
      </w:r>
      <w:r w:rsidR="00CE0BE1" w:rsidRPr="00CE0BE1">
        <w:t xml:space="preserve"> risk of consumer</w:t>
      </w:r>
      <w:r w:rsidR="002A3FA9">
        <w:t>s</w:t>
      </w:r>
      <w:r w:rsidR="00CE0BE1" w:rsidRPr="00CE0BE1">
        <w:t xml:space="preserve"> receiving</w:t>
      </w:r>
      <w:r>
        <w:t xml:space="preserve"> a net-cost from the Scheme</w:t>
      </w:r>
      <w:r w:rsidR="00CE0BE1" w:rsidRPr="00CE0BE1">
        <w:t xml:space="preserve"> by:</w:t>
      </w:r>
    </w:p>
    <w:p w:rsidR="00A52215" w:rsidRDefault="00AD51DA" w:rsidP="00CE0BE1">
      <w:pPr>
        <w:pStyle w:val="AERbulletlistfirststyle"/>
      </w:pPr>
      <w:r>
        <w:t>a</w:t>
      </w:r>
      <w:r w:rsidR="00860DBD">
        <w:t xml:space="preserve">pplying the project cap, meaning that the incentive cannot exceed the project's </w:t>
      </w:r>
      <w:r>
        <w:t xml:space="preserve">expected </w:t>
      </w:r>
      <w:r w:rsidR="00860DBD">
        <w:t>net benefit</w:t>
      </w:r>
      <w:r w:rsidR="00A36D9A">
        <w:t>;</w:t>
      </w:r>
    </w:p>
    <w:p w:rsidR="00CE0BE1" w:rsidRPr="00CE0BE1" w:rsidRDefault="00860DBD" w:rsidP="00CE0BE1">
      <w:pPr>
        <w:pStyle w:val="AERbulletlistfirststyle"/>
      </w:pPr>
      <w:r>
        <w:t>applying the total cap, meaning that</w:t>
      </w:r>
      <w:r w:rsidR="00CE0BE1" w:rsidRPr="00CE0BE1">
        <w:t xml:space="preserve"> incentive payments made under the </w:t>
      </w:r>
      <w:r w:rsidR="002A3FA9">
        <w:t>S</w:t>
      </w:r>
      <w:r w:rsidR="00CE0BE1" w:rsidRPr="00CE0BE1">
        <w:t xml:space="preserve">cheme </w:t>
      </w:r>
      <w:r>
        <w:t xml:space="preserve">cannot exceed </w:t>
      </w:r>
      <w:r w:rsidR="00A52215">
        <w:t>1</w:t>
      </w:r>
      <w:r w:rsidR="00AD51DA">
        <w:t>.0</w:t>
      </w:r>
      <w:r w:rsidR="00ED24C1">
        <w:t xml:space="preserve"> per cent</w:t>
      </w:r>
      <w:r w:rsidR="00A52215">
        <w:t xml:space="preserve"> of total allowed revenue, and</w:t>
      </w:r>
    </w:p>
    <w:p w:rsidR="00CE0BE1" w:rsidRPr="00933625" w:rsidRDefault="00860DBD" w:rsidP="00CE0BE1">
      <w:pPr>
        <w:pStyle w:val="AERbulletlistfirststyle"/>
      </w:pPr>
      <w:proofErr w:type="gramStart"/>
      <w:r>
        <w:t>retaining</w:t>
      </w:r>
      <w:proofErr w:type="gramEnd"/>
      <w:r>
        <w:t xml:space="preserve"> </w:t>
      </w:r>
      <w:r w:rsidR="00CE0BE1" w:rsidRPr="00CE0BE1">
        <w:t xml:space="preserve">the ability to adjust the </w:t>
      </w:r>
      <w:r w:rsidR="002A3FA9">
        <w:t>S</w:t>
      </w:r>
      <w:r w:rsidR="00CE0BE1" w:rsidRPr="00CE0BE1">
        <w:t>cheme</w:t>
      </w:r>
      <w:r w:rsidR="00F50068">
        <w:t xml:space="preserve"> via the control mechanism (as briefly explained in section 2.2)</w:t>
      </w:r>
      <w:r w:rsidR="00976717">
        <w:t>.</w:t>
      </w:r>
    </w:p>
    <w:p w:rsidR="00CD4000" w:rsidRDefault="00E33B42" w:rsidP="00933625">
      <w:r>
        <w:t>The design</w:t>
      </w:r>
      <w:r w:rsidR="00F50068">
        <w:t xml:space="preserve"> of the </w:t>
      </w:r>
      <w:r w:rsidR="00E0655D">
        <w:t>new Scheme</w:t>
      </w:r>
      <w:r>
        <w:t xml:space="preserve"> limits the costs of implementation. </w:t>
      </w:r>
      <w:r w:rsidR="00C52425">
        <w:t>In</w:t>
      </w:r>
      <w:r w:rsidR="00933625" w:rsidRPr="00933625">
        <w:t xml:space="preserve"> </w:t>
      </w:r>
      <w:r w:rsidR="00C52425">
        <w:t>our</w:t>
      </w:r>
      <w:r w:rsidR="00933625" w:rsidRPr="00933625">
        <w:t xml:space="preserve"> submission on the draft of the National Electricity Amendment (Demand Management Incentive </w:t>
      </w:r>
      <w:r w:rsidR="00C3234C">
        <w:t>Scheme</w:t>
      </w:r>
      <w:r w:rsidR="00933625" w:rsidRPr="00933625">
        <w:t xml:space="preserve">) Rule 2015, </w:t>
      </w:r>
      <w:r w:rsidR="00D27E2D">
        <w:t>we</w:t>
      </w:r>
      <w:r w:rsidR="00933625" w:rsidRPr="00933625">
        <w:t xml:space="preserve"> </w:t>
      </w:r>
      <w:r w:rsidR="001D674E">
        <w:t>considered</w:t>
      </w:r>
      <w:r w:rsidR="001D674E" w:rsidRPr="00933625">
        <w:t xml:space="preserve"> </w:t>
      </w:r>
      <w:r w:rsidR="00C52425">
        <w:t>that the</w:t>
      </w:r>
      <w:r w:rsidR="00933625" w:rsidRPr="00933625">
        <w:t xml:space="preserve"> application of the </w:t>
      </w:r>
      <w:r w:rsidR="002A3FA9">
        <w:t>S</w:t>
      </w:r>
      <w:r w:rsidR="00C3234C">
        <w:t>cheme</w:t>
      </w:r>
      <w:r w:rsidR="00933625" w:rsidRPr="00933625">
        <w:t xml:space="preserve"> midway through a </w:t>
      </w:r>
      <w:r w:rsidR="00C52425">
        <w:t xml:space="preserve">regulatory </w:t>
      </w:r>
      <w:r w:rsidR="002A3FA9">
        <w:t xml:space="preserve">control </w:t>
      </w:r>
      <w:r w:rsidR="00C52425">
        <w:t xml:space="preserve">period </w:t>
      </w:r>
      <w:r w:rsidR="00860DBD">
        <w:t>might</w:t>
      </w:r>
      <w:r w:rsidR="00C52425">
        <w:t xml:space="preserve"> require significant alterations</w:t>
      </w:r>
      <w:r w:rsidR="00933625" w:rsidRPr="00933625">
        <w:t xml:space="preserve"> </w:t>
      </w:r>
      <w:r w:rsidR="00C52425">
        <w:t>to</w:t>
      </w:r>
      <w:r w:rsidR="00933625" w:rsidRPr="00933625">
        <w:t xml:space="preserve"> the distribution determination</w:t>
      </w:r>
      <w:r w:rsidR="00C52425">
        <w:t>s.</w:t>
      </w:r>
      <w:r w:rsidR="00933625" w:rsidRPr="00933625">
        <w:t xml:space="preserve"> </w:t>
      </w:r>
      <w:r w:rsidR="00F50068">
        <w:t>Such</w:t>
      </w:r>
      <w:r w:rsidR="00C52425">
        <w:t xml:space="preserve"> </w:t>
      </w:r>
      <w:r w:rsidR="00F50068">
        <w:t>changes</w:t>
      </w:r>
      <w:r w:rsidR="00C52425">
        <w:t xml:space="preserve"> to determinations </w:t>
      </w:r>
      <w:r w:rsidR="00F50068">
        <w:t>may</w:t>
      </w:r>
      <w:r w:rsidR="00933625" w:rsidRPr="00933625">
        <w:t xml:space="preserve"> impose considerable costs on distribut</w:t>
      </w:r>
      <w:r w:rsidR="002A3FA9">
        <w:t xml:space="preserve">ors and </w:t>
      </w:r>
      <w:r w:rsidR="00F50068">
        <w:t>us</w:t>
      </w:r>
      <w:r w:rsidR="00CE0BE1">
        <w:t xml:space="preserve">. </w:t>
      </w:r>
      <w:r w:rsidR="00C52425">
        <w:t>However</w:t>
      </w:r>
      <w:r w:rsidR="00860DBD">
        <w:t xml:space="preserve">, </w:t>
      </w:r>
      <w:r w:rsidR="00C52425">
        <w:t xml:space="preserve">we </w:t>
      </w:r>
      <w:r w:rsidR="00F50068">
        <w:t>have design</w:t>
      </w:r>
      <w:r w:rsidR="00860DBD">
        <w:t>ed</w:t>
      </w:r>
      <w:r>
        <w:t xml:space="preserve"> the </w:t>
      </w:r>
      <w:r w:rsidR="00AD51DA">
        <w:t>S</w:t>
      </w:r>
      <w:r>
        <w:t>cheme</w:t>
      </w:r>
      <w:r w:rsidR="00F50068">
        <w:t xml:space="preserve"> to operate without affecting other elements of the determination</w:t>
      </w:r>
      <w:r w:rsidR="00CD4000">
        <w:t xml:space="preserve"> as discussed in section 4 and therefore no longer consider this an undue burden</w:t>
      </w:r>
      <w:r w:rsidR="00C52425">
        <w:t>.</w:t>
      </w:r>
    </w:p>
    <w:p w:rsidR="00CD4000" w:rsidRDefault="00CD4000" w:rsidP="00933625">
      <w:r>
        <w:t>Additionally</w:t>
      </w:r>
      <w:r w:rsidR="00AF157A">
        <w:t xml:space="preserve"> </w:t>
      </w:r>
      <w:r>
        <w:t xml:space="preserve">no </w:t>
      </w:r>
      <w:r w:rsidRPr="00CD4000">
        <w:t>mid-</w:t>
      </w:r>
      <w:r w:rsidR="00A36D9A">
        <w:t xml:space="preserve">regulatory control </w:t>
      </w:r>
      <w:r w:rsidRPr="00CD4000">
        <w:t>period</w:t>
      </w:r>
      <w:r w:rsidR="00A36D9A">
        <w:t xml:space="preserve"> change to</w:t>
      </w:r>
      <w:r>
        <w:t xml:space="preserve"> </w:t>
      </w:r>
      <w:r w:rsidR="00F07F74">
        <w:t xml:space="preserve">control mechanisms in existing </w:t>
      </w:r>
      <w:r>
        <w:t>distribution determination</w:t>
      </w:r>
      <w:r w:rsidR="00A36D9A">
        <w:t>s</w:t>
      </w:r>
      <w:r>
        <w:t xml:space="preserve"> will be necessary. </w:t>
      </w:r>
      <w:r w:rsidRPr="00CD4000">
        <w:t>While the Scheme will need to be included in all distribution determinations, there is a two-year per</w:t>
      </w:r>
      <w:r w:rsidR="00A36D9A">
        <w:t>iod between first applying the S</w:t>
      </w:r>
      <w:r w:rsidRPr="00CD4000">
        <w:t xml:space="preserve">cheme and the pass through of </w:t>
      </w:r>
      <w:r w:rsidR="00A36D9A">
        <w:t xml:space="preserve">incentives </w:t>
      </w:r>
      <w:r w:rsidRPr="00CD4000">
        <w:t xml:space="preserve">to consumers. </w:t>
      </w:r>
      <w:r w:rsidR="00A36D9A">
        <w:t xml:space="preserve">Distributors </w:t>
      </w:r>
      <w:r w:rsidRPr="00CD4000">
        <w:t xml:space="preserve">can commit projects that are eligible for funding under the Scheme </w:t>
      </w:r>
      <w:r w:rsidR="00101285">
        <w:t>during their current regulatory control periods</w:t>
      </w:r>
      <w:r>
        <w:t>, but will not receive the increased revenue through their annual pricing proposal</w:t>
      </w:r>
      <w:r w:rsidRPr="00CD4000">
        <w:t xml:space="preserve">. </w:t>
      </w:r>
      <w:r>
        <w:t>This means that, if</w:t>
      </w:r>
      <w:r w:rsidRPr="00CD4000">
        <w:t xml:space="preserve"> we apply the Scheme in the 2019 regulatory year, the revenue will not pass through to consumers until the 2021 regulatory year. By this </w:t>
      </w:r>
      <w:proofErr w:type="gramStart"/>
      <w:r w:rsidR="00AC5595">
        <w:t>time</w:t>
      </w:r>
      <w:proofErr w:type="gramEnd"/>
      <w:r w:rsidR="00AF157A">
        <w:t xml:space="preserve"> </w:t>
      </w:r>
      <w:r w:rsidRPr="00CD4000">
        <w:t>all distribution determinations will have been remade</w:t>
      </w:r>
      <w:r w:rsidR="00DE391C">
        <w:t>,</w:t>
      </w:r>
      <w:r w:rsidR="00101285">
        <w:t xml:space="preserve"> on the current</w:t>
      </w:r>
      <w:r w:rsidRPr="00CD4000">
        <w:t xml:space="preserve"> schedule</w:t>
      </w:r>
      <w:r w:rsidR="00FA26B0">
        <w:t xml:space="preserve"> as outline</w:t>
      </w:r>
      <w:r w:rsidR="00A620EA">
        <w:t>d</w:t>
      </w:r>
      <w:r w:rsidR="00FA26B0">
        <w:t xml:space="preserve"> in </w:t>
      </w:r>
      <w:r w:rsidR="00101285">
        <w:fldChar w:fldCharType="begin"/>
      </w:r>
      <w:r w:rsidR="00101285">
        <w:instrText xml:space="preserve"> REF  _Ref490064178 \* Lower \h </w:instrText>
      </w:r>
      <w:r w:rsidR="00101285">
        <w:fldChar w:fldCharType="separate"/>
      </w:r>
      <w:r w:rsidR="00FD1524">
        <w:t xml:space="preserve">table </w:t>
      </w:r>
      <w:r w:rsidR="00FD1524">
        <w:rPr>
          <w:noProof/>
        </w:rPr>
        <w:t>1</w:t>
      </w:r>
      <w:r w:rsidR="00101285">
        <w:fldChar w:fldCharType="end"/>
      </w:r>
      <w:r w:rsidRPr="00CD4000">
        <w:t>, to include the Scheme.</w:t>
      </w:r>
      <w:r>
        <w:t xml:space="preserve"> Therefore</w:t>
      </w:r>
      <w:r w:rsidR="00DE391C">
        <w:t>,</w:t>
      </w:r>
      <w:r>
        <w:t xml:space="preserve"> there is no need to </w:t>
      </w:r>
      <w:r w:rsidR="00AC5595">
        <w:t>alter</w:t>
      </w:r>
      <w:r>
        <w:t xml:space="preserve"> the control mechanism</w:t>
      </w:r>
      <w:r w:rsidR="00F07F74">
        <w:t>s</w:t>
      </w:r>
      <w:r w:rsidR="00ED24C1">
        <w:t xml:space="preserve"> </w:t>
      </w:r>
      <w:r w:rsidR="00A36D9A">
        <w:t xml:space="preserve">in </w:t>
      </w:r>
      <w:r w:rsidR="00ED24C1">
        <w:t>current determinations</w:t>
      </w:r>
      <w:r>
        <w:t>.</w:t>
      </w:r>
      <w:r w:rsidR="00FA26B0">
        <w:t xml:space="preserve"> This also means that there is little </w:t>
      </w:r>
      <w:r w:rsidR="00A620EA">
        <w:t xml:space="preserve">financial </w:t>
      </w:r>
      <w:r w:rsidR="00FA26B0">
        <w:t>impact caused by early implementation, as no pass through of revenue will occur before the Scheme is included through a full distribution determination process.</w:t>
      </w:r>
    </w:p>
    <w:p w:rsidR="00CE0BE1" w:rsidRDefault="00CE0BE1" w:rsidP="00933625">
      <w:r w:rsidRPr="00CE0BE1">
        <w:t>The availability o</w:t>
      </w:r>
      <w:r>
        <w:t>f the incentive payment allows d</w:t>
      </w:r>
      <w:r w:rsidRPr="00CE0BE1">
        <w:t>istributors to ma</w:t>
      </w:r>
      <w:r>
        <w:t xml:space="preserve">ke investment decisions based </w:t>
      </w:r>
      <w:r w:rsidR="00AD51DA">
        <w:t xml:space="preserve">on a </w:t>
      </w:r>
      <w:r>
        <w:t>cost</w:t>
      </w:r>
      <w:r w:rsidR="00AD51DA">
        <w:rPr>
          <w:rFonts w:cs="Arial"/>
        </w:rPr>
        <w:t>–</w:t>
      </w:r>
      <w:r>
        <w:t>benefit analysis. As they would conduct such analysis regardless of the incentive, we consider the extra cost to be insignificant, compared with the benefit offered by the incentive</w:t>
      </w:r>
      <w:r w:rsidRPr="00CE0BE1">
        <w:t>. The adminis</w:t>
      </w:r>
      <w:r>
        <w:t xml:space="preserve">trative costs to us are relatively </w:t>
      </w:r>
      <w:r>
        <w:lastRenderedPageBreak/>
        <w:t>minor, given that we do not need to reconsider other elements of the distribution determination</w:t>
      </w:r>
      <w:r w:rsidR="00CD4000">
        <w:t xml:space="preserve"> or alter our determination process</w:t>
      </w:r>
      <w:r w:rsidR="00A36D9A">
        <w:t>.</w:t>
      </w:r>
    </w:p>
    <w:p w:rsidR="00AC5595" w:rsidRDefault="00DE391C" w:rsidP="00933625">
      <w:r>
        <w:t xml:space="preserve">We do not consider that there will be undue costs to distributors caused by this rule change. While there may be some burden in adhering to </w:t>
      </w:r>
      <w:r w:rsidR="00A36D9A">
        <w:t xml:space="preserve">compliance and reporting requirements under the Scheme, </w:t>
      </w:r>
      <w:r w:rsidR="00AC5595">
        <w:t xml:space="preserve">these will be minor when compared to the </w:t>
      </w:r>
      <w:r w:rsidR="00101285">
        <w:t xml:space="preserve">benefits </w:t>
      </w:r>
      <w:r w:rsidR="00AC5595">
        <w:t>available from the incentive itself.</w:t>
      </w:r>
    </w:p>
    <w:p w:rsidR="00CE0BE1" w:rsidRDefault="00DE391C" w:rsidP="00933625">
      <w:r>
        <w:t>The</w:t>
      </w:r>
      <w:r w:rsidR="00856946">
        <w:t xml:space="preserve"> </w:t>
      </w:r>
      <w:r w:rsidR="00E0655D">
        <w:t>new Scheme</w:t>
      </w:r>
      <w:r>
        <w:t xml:space="preserve"> only incentivises</w:t>
      </w:r>
      <w:r w:rsidR="00856946">
        <w:t xml:space="preserve"> </w:t>
      </w:r>
      <w:r w:rsidR="00CE0BE1" w:rsidRPr="00CE0BE1">
        <w:t xml:space="preserve">projects that have the highest </w:t>
      </w:r>
      <w:r w:rsidR="00AD51DA">
        <w:t xml:space="preserve">expected </w:t>
      </w:r>
      <w:r w:rsidR="00CE0BE1" w:rsidRPr="00CE0BE1">
        <w:t xml:space="preserve">net benefit </w:t>
      </w:r>
      <w:r w:rsidR="005B2EEF">
        <w:t>across the National Electricity Market</w:t>
      </w:r>
      <w:r w:rsidR="00CE0BE1" w:rsidRPr="00CE0BE1">
        <w:t xml:space="preserve">. </w:t>
      </w:r>
      <w:r w:rsidR="00856946">
        <w:t xml:space="preserve">Under this design, we also cap </w:t>
      </w:r>
      <w:r w:rsidR="00976717">
        <w:t>the incentive</w:t>
      </w:r>
      <w:r w:rsidR="00CE0BE1" w:rsidRPr="00CE0BE1">
        <w:t xml:space="preserve"> </w:t>
      </w:r>
      <w:r w:rsidR="00CE0BE1">
        <w:t xml:space="preserve">to allow consumers to receive value </w:t>
      </w:r>
      <w:r w:rsidR="005B2EEF">
        <w:t xml:space="preserve">(an expected net benefit) </w:t>
      </w:r>
      <w:r w:rsidR="00CE0BE1">
        <w:t>from every project</w:t>
      </w:r>
      <w:r w:rsidR="00CE0BE1" w:rsidRPr="00CE0BE1">
        <w:t>. In light of this</w:t>
      </w:r>
      <w:r w:rsidR="00CE0BE1">
        <w:t xml:space="preserve"> and the low administrative burden</w:t>
      </w:r>
      <w:r w:rsidR="00CE0BE1" w:rsidRPr="00CE0BE1">
        <w:t xml:space="preserve">, we consider that the benefits of having an early application of the </w:t>
      </w:r>
      <w:r w:rsidR="00856946">
        <w:t>S</w:t>
      </w:r>
      <w:r w:rsidR="00CE0BE1" w:rsidRPr="00CE0BE1">
        <w:t xml:space="preserve">cheme will outweigh the costs associated with </w:t>
      </w:r>
      <w:r w:rsidR="00856946">
        <w:t xml:space="preserve">its </w:t>
      </w:r>
      <w:r w:rsidR="00CE0BE1" w:rsidRPr="00CE0BE1">
        <w:t>early implementation.</w:t>
      </w:r>
    </w:p>
    <w:p w:rsidR="0086180C" w:rsidRDefault="004A58B6" w:rsidP="004A58B6">
      <w:pPr>
        <w:pStyle w:val="Caption"/>
      </w:pPr>
      <w:r>
        <w:t>Question 3</w:t>
      </w:r>
    </w:p>
    <w:p w:rsidR="0086180C" w:rsidRDefault="004A58B6" w:rsidP="00A96CEC">
      <w:pPr>
        <w:pStyle w:val="BlockText"/>
      </w:pPr>
      <w:r w:rsidRPr="004A58B6">
        <w:t>Do the benefits of early implementation outweigh the costs?</w:t>
      </w:r>
    </w:p>
    <w:p w:rsidR="000C7871" w:rsidRDefault="000C7871">
      <w:pPr>
        <w:spacing w:line="240" w:lineRule="auto"/>
      </w:pPr>
      <w:r>
        <w:br w:type="page"/>
      </w:r>
    </w:p>
    <w:p w:rsidR="007309D7" w:rsidRDefault="000C7871" w:rsidP="002B5072">
      <w:pPr>
        <w:pStyle w:val="Heading1"/>
        <w:numPr>
          <w:ilvl w:val="0"/>
          <w:numId w:val="0"/>
        </w:numPr>
        <w:ind w:left="432" w:hanging="432"/>
      </w:pPr>
      <w:bookmarkStart w:id="28" w:name="_Toc491422181"/>
      <w:r>
        <w:lastRenderedPageBreak/>
        <w:t>A The draft rule</w:t>
      </w:r>
      <w:bookmarkEnd w:id="28"/>
    </w:p>
    <w:p w:rsidR="00D76CB1" w:rsidRDefault="00D76CB1" w:rsidP="00D76CB1">
      <w:r w:rsidRPr="00D76CB1">
        <w:rPr>
          <w:noProof/>
          <w:lang w:eastAsia="en-AU"/>
        </w:rPr>
        <w:drawing>
          <wp:inline distT="0" distB="0" distL="0" distR="0" wp14:anchorId="134E0FFC" wp14:editId="34C7FC4E">
            <wp:extent cx="5382047" cy="7185803"/>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3027"/>
                    <a:stretch/>
                  </pic:blipFill>
                  <pic:spPr bwMode="auto">
                    <a:xfrm>
                      <a:off x="0" y="0"/>
                      <a:ext cx="5382895" cy="7186935"/>
                    </a:xfrm>
                    <a:prstGeom prst="rect">
                      <a:avLst/>
                    </a:prstGeom>
                    <a:ln>
                      <a:noFill/>
                    </a:ln>
                    <a:extLst>
                      <a:ext uri="{53640926-AAD7-44D8-BBD7-CCE9431645EC}">
                        <a14:shadowObscured xmlns:a14="http://schemas.microsoft.com/office/drawing/2010/main"/>
                      </a:ext>
                    </a:extLst>
                  </pic:spPr>
                </pic:pic>
              </a:graphicData>
            </a:graphic>
          </wp:inline>
        </w:drawing>
      </w:r>
    </w:p>
    <w:p w:rsidR="00D76CB1" w:rsidRDefault="00D76CB1" w:rsidP="00D76CB1">
      <w:r w:rsidRPr="00D76CB1">
        <w:rPr>
          <w:noProof/>
          <w:lang w:eastAsia="en-AU"/>
        </w:rPr>
        <w:lastRenderedPageBreak/>
        <w:drawing>
          <wp:inline distT="0" distB="0" distL="0" distR="0" wp14:anchorId="77271A4B" wp14:editId="3228A6E8">
            <wp:extent cx="5382895" cy="735646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82895" cy="7356469"/>
                    </a:xfrm>
                    <a:prstGeom prst="rect">
                      <a:avLst/>
                    </a:prstGeom>
                  </pic:spPr>
                </pic:pic>
              </a:graphicData>
            </a:graphic>
          </wp:inline>
        </w:drawing>
      </w:r>
    </w:p>
    <w:p w:rsidR="00D76CB1" w:rsidRDefault="00D76CB1" w:rsidP="00D76CB1"/>
    <w:p w:rsidR="00D76CB1" w:rsidRDefault="00D76CB1" w:rsidP="00D76CB1"/>
    <w:p w:rsidR="00D76CB1" w:rsidRPr="00D76CB1" w:rsidRDefault="00D76CB1" w:rsidP="00D76CB1">
      <w:pPr>
        <w:rPr>
          <w:lang w:val="en-US" w:eastAsia="ja-JP"/>
        </w:rPr>
      </w:pPr>
    </w:p>
    <w:sectPr w:rsidR="00D76CB1" w:rsidRPr="00D76CB1" w:rsidSect="00B35352">
      <w:headerReference w:type="even" r:id="rId21"/>
      <w:headerReference w:type="default" r:id="rId22"/>
      <w:footerReference w:type="even" r:id="rId23"/>
      <w:footerReference w:type="default" r:id="rId24"/>
      <w:headerReference w:type="first" r:id="rId25"/>
      <w:footerReference w:type="first" r:id="rId26"/>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EAC" w:rsidRPr="00290C63" w:rsidRDefault="00F64EAC" w:rsidP="00290C63">
      <w:r>
        <w:separator/>
      </w:r>
    </w:p>
    <w:p w:rsidR="00F64EAC" w:rsidRDefault="00F64EAC"/>
  </w:endnote>
  <w:endnote w:type="continuationSeparator" w:id="0">
    <w:p w:rsidR="00F64EAC" w:rsidRPr="00290C63" w:rsidRDefault="00F64EAC" w:rsidP="00290C63">
      <w:r>
        <w:continuationSeparator/>
      </w:r>
    </w:p>
    <w:p w:rsidR="00F64EAC" w:rsidRDefault="00F64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AC" w:rsidRPr="00290C63" w:rsidRDefault="00F64EA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64EAC" w:rsidRDefault="00F64EAC"/>
  <w:p w:rsidR="00F64EAC" w:rsidRDefault="00F64EAC"/>
  <w:p w:rsidR="00F64EAC" w:rsidRDefault="00F64EAC"/>
  <w:p w:rsidR="00F64EAC" w:rsidRDefault="00F64EAC"/>
  <w:p w:rsidR="00F64EAC" w:rsidRDefault="00F64EAC"/>
  <w:p w:rsidR="00F64EAC" w:rsidRDefault="00F64EAC"/>
  <w:p w:rsidR="00F64EAC" w:rsidRDefault="00F64E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270603"/>
      <w:docPartObj>
        <w:docPartGallery w:val="Page Numbers (Bottom of Page)"/>
        <w:docPartUnique/>
      </w:docPartObj>
    </w:sdtPr>
    <w:sdtEndPr/>
    <w:sdtContent>
      <w:p w:rsidR="00F4590A" w:rsidRPr="00F4590A" w:rsidRDefault="00F4590A">
        <w:pPr>
          <w:pStyle w:val="Footer"/>
        </w:pPr>
        <w:r w:rsidRPr="00F4590A">
          <w:fldChar w:fldCharType="begin"/>
        </w:r>
        <w:r w:rsidRPr="00F4590A">
          <w:instrText xml:space="preserve"> PAGE   \* MERGEFORMAT </w:instrText>
        </w:r>
        <w:r w:rsidRPr="00F4590A">
          <w:fldChar w:fldCharType="separate"/>
        </w:r>
        <w:r w:rsidR="00726564">
          <w:rPr>
            <w:noProof/>
          </w:rPr>
          <w:t>14</w:t>
        </w:r>
        <w:r w:rsidRPr="00F4590A">
          <w:fldChar w:fldCharType="end"/>
        </w:r>
        <w:r w:rsidR="008D22B0">
          <w:t xml:space="preserve">     Consultation p</w:t>
        </w:r>
        <w:r>
          <w:t xml:space="preserve">aper: </w:t>
        </w:r>
        <w:r w:rsidR="008D22B0">
          <w:t>Demand management incentive scheme early implementation rule change</w:t>
        </w:r>
        <w:r>
          <w:t xml:space="preserve"> </w:t>
        </w:r>
      </w:p>
    </w:sdtContent>
  </w:sdt>
  <w:p w:rsidR="00F64EAC" w:rsidRDefault="00F64E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AC" w:rsidRPr="00290C63" w:rsidRDefault="00F64EA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64EAC" w:rsidRDefault="00F64EAC">
    <w:pPr>
      <w:pStyle w:val="Footer"/>
    </w:pPr>
  </w:p>
  <w:p w:rsidR="00F64EAC" w:rsidRDefault="00F64EAC"/>
  <w:p w:rsidR="00F64EAC" w:rsidRDefault="00F64EAC"/>
  <w:p w:rsidR="00F64EAC" w:rsidRDefault="00F64EAC"/>
  <w:p w:rsidR="00F64EAC" w:rsidRDefault="00F64EAC"/>
  <w:p w:rsidR="00F64EAC" w:rsidRDefault="00F64EAC"/>
  <w:p w:rsidR="00F64EAC" w:rsidRDefault="00F64EAC"/>
  <w:p w:rsidR="00F64EAC" w:rsidRDefault="00F64E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EAC" w:rsidRPr="00290C63" w:rsidRDefault="00F64EAC" w:rsidP="00290C63">
      <w:r>
        <w:separator/>
      </w:r>
    </w:p>
    <w:p w:rsidR="00F64EAC" w:rsidRDefault="00F64EAC"/>
  </w:footnote>
  <w:footnote w:type="continuationSeparator" w:id="0">
    <w:p w:rsidR="00F64EAC" w:rsidRPr="00290C63" w:rsidRDefault="00F64EAC" w:rsidP="00290C63">
      <w:r>
        <w:continuationSeparator/>
      </w:r>
    </w:p>
    <w:p w:rsidR="00F64EAC" w:rsidRDefault="00F64EAC"/>
  </w:footnote>
  <w:footnote w:id="1">
    <w:p w:rsidR="00F64EAC" w:rsidRDefault="00F64EAC" w:rsidP="00BE1231">
      <w:pPr>
        <w:pStyle w:val="FootnoteText"/>
      </w:pPr>
      <w:r>
        <w:rPr>
          <w:rStyle w:val="FootnoteReference"/>
        </w:rPr>
        <w:footnoteRef/>
      </w:r>
      <w:r>
        <w:t xml:space="preserve"> </w:t>
      </w:r>
      <w:r>
        <w:tab/>
        <w:t>NER 6.6.3(d</w:t>
      </w:r>
      <w:proofErr w:type="gramStart"/>
      <w:r>
        <w:t>)(</w:t>
      </w:r>
      <w:proofErr w:type="gramEnd"/>
      <w:r w:rsidR="00E1625D">
        <w:t>2)</w:t>
      </w:r>
      <w:r>
        <w:t>.</w:t>
      </w:r>
    </w:p>
  </w:footnote>
  <w:footnote w:id="2">
    <w:p w:rsidR="00F64EAC" w:rsidRDefault="00F64EAC" w:rsidP="00195EB9">
      <w:pPr>
        <w:pStyle w:val="FootnoteText"/>
      </w:pPr>
      <w:r>
        <w:rPr>
          <w:rStyle w:val="FootnoteReference"/>
        </w:rPr>
        <w:footnoteRef/>
      </w:r>
      <w:r>
        <w:t xml:space="preserve"> </w:t>
      </w:r>
      <w:r>
        <w:tab/>
        <w:t xml:space="preserve">Institute for Sustainable Futures, </w:t>
      </w:r>
      <w:r w:rsidRPr="001D674E">
        <w:rPr>
          <w:rStyle w:val="AERtextitalic"/>
        </w:rPr>
        <w:t>Additional Submission following our Demand Management Options Day</w:t>
      </w:r>
      <w:r>
        <w:t xml:space="preserve">, 8 May 2017, </w:t>
      </w:r>
      <w:proofErr w:type="gramStart"/>
      <w:r>
        <w:t>p.1</w:t>
      </w:r>
      <w:proofErr w:type="gramEnd"/>
      <w:r>
        <w:t>. Examples of these technologies include rooftop solar, battery storage, smartphone control of household appliances, and Demand Response Enabling Devices.</w:t>
      </w:r>
    </w:p>
  </w:footnote>
  <w:footnote w:id="3">
    <w:p w:rsidR="00F64EAC" w:rsidRDefault="00F64EAC">
      <w:pPr>
        <w:pStyle w:val="FootnoteText"/>
      </w:pPr>
      <w:r>
        <w:rPr>
          <w:rStyle w:val="FootnoteReference"/>
        </w:rPr>
        <w:footnoteRef/>
      </w:r>
      <w:r>
        <w:t xml:space="preserve"> </w:t>
      </w:r>
      <w:r>
        <w:tab/>
      </w:r>
      <w:proofErr w:type="gramStart"/>
      <w:r>
        <w:t>NER 6.6.3(b).</w:t>
      </w:r>
      <w:proofErr w:type="gramEnd"/>
    </w:p>
  </w:footnote>
  <w:footnote w:id="4">
    <w:p w:rsidR="00F64EAC" w:rsidRDefault="00F64EAC" w:rsidP="00C77EF8">
      <w:pPr>
        <w:pStyle w:val="FootnoteText"/>
      </w:pPr>
      <w:r>
        <w:rPr>
          <w:rStyle w:val="FootnoteReference"/>
        </w:rPr>
        <w:footnoteRef/>
      </w:r>
      <w:r>
        <w:t xml:space="preserve"> </w:t>
      </w:r>
      <w:r>
        <w:tab/>
      </w:r>
      <w:proofErr w:type="gramStart"/>
      <w:r w:rsidRPr="005B122B">
        <w:t>AEMC</w:t>
      </w:r>
      <w:r>
        <w:t>,</w:t>
      </w:r>
      <w:r w:rsidRPr="005B122B">
        <w:t xml:space="preserve"> </w:t>
      </w:r>
      <w:r w:rsidRPr="00B81311">
        <w:rPr>
          <w:rStyle w:val="AERtextitalic"/>
        </w:rPr>
        <w:t>Rule Determination, National Electricity Amendment (Demand Management Incentive Scheme) Rule 2015</w:t>
      </w:r>
      <w:r w:rsidRPr="005B122B">
        <w:t>, August 2015,</w:t>
      </w:r>
      <w:r>
        <w:t xml:space="preserve"> p 23.</w:t>
      </w:r>
      <w:proofErr w:type="gramEnd"/>
    </w:p>
  </w:footnote>
  <w:footnote w:id="5">
    <w:p w:rsidR="00F64EAC" w:rsidRDefault="00F64EAC" w:rsidP="00C77EF8">
      <w:pPr>
        <w:pStyle w:val="FootnoteText"/>
      </w:pPr>
      <w:r>
        <w:rPr>
          <w:rStyle w:val="FootnoteReference"/>
        </w:rPr>
        <w:footnoteRef/>
      </w:r>
      <w:r>
        <w:t xml:space="preserve"> </w:t>
      </w:r>
      <w:r>
        <w:tab/>
      </w:r>
      <w:proofErr w:type="gramStart"/>
      <w:r w:rsidRPr="005B122B">
        <w:t>AEMC</w:t>
      </w:r>
      <w:r>
        <w:t>,</w:t>
      </w:r>
      <w:r w:rsidRPr="005B122B">
        <w:t xml:space="preserve"> </w:t>
      </w:r>
      <w:r w:rsidRPr="00B81311">
        <w:rPr>
          <w:rStyle w:val="AERtextitalic"/>
        </w:rPr>
        <w:t>Rule Determination, National Electricity Amendment (Demand Management Incentive Scheme) Rule 2015</w:t>
      </w:r>
      <w:r w:rsidRPr="005B122B">
        <w:t>, August 2015,</w:t>
      </w:r>
      <w:r>
        <w:t xml:space="preserve"> p 38.</w:t>
      </w:r>
      <w:proofErr w:type="gramEnd"/>
    </w:p>
  </w:footnote>
  <w:footnote w:id="6">
    <w:p w:rsidR="00F64EAC" w:rsidRDefault="00F64EAC">
      <w:pPr>
        <w:pStyle w:val="FootnoteText"/>
      </w:pPr>
      <w:r>
        <w:rPr>
          <w:rStyle w:val="FootnoteReference"/>
        </w:rPr>
        <w:footnoteRef/>
      </w:r>
      <w:r>
        <w:t xml:space="preserve"> </w:t>
      </w:r>
      <w:r>
        <w:tab/>
        <w:t>NER rr.6.6.3(c</w:t>
      </w:r>
      <w:proofErr w:type="gramStart"/>
      <w:r>
        <w:t>)(</w:t>
      </w:r>
      <w:proofErr w:type="gramEnd"/>
      <w:r>
        <w:t>1)-(7).</w:t>
      </w:r>
    </w:p>
  </w:footnote>
  <w:footnote w:id="7">
    <w:p w:rsidR="00F64EAC" w:rsidRDefault="00F64EAC">
      <w:pPr>
        <w:pStyle w:val="FootnoteText"/>
      </w:pPr>
      <w:r>
        <w:rPr>
          <w:rStyle w:val="FootnoteReference"/>
        </w:rPr>
        <w:footnoteRef/>
      </w:r>
      <w:r>
        <w:t xml:space="preserve"> </w:t>
      </w:r>
      <w:r>
        <w:tab/>
        <w:t xml:space="preserve">All submissions are available </w:t>
      </w:r>
      <w:proofErr w:type="gramStart"/>
      <w:r>
        <w:t>at:</w:t>
      </w:r>
      <w:proofErr w:type="gramEnd"/>
      <w:r>
        <w:t xml:space="preserve"> </w:t>
      </w:r>
      <w:hyperlink r:id="rId1" w:history="1">
        <w:r w:rsidRPr="008B12DA">
          <w:rPr>
            <w:rStyle w:val="Hyperlink"/>
            <w:sz w:val="16"/>
          </w:rPr>
          <w:t>https://www.aer.gov.au/networks-pipelines/guidelines-schemes-models-reviews/demand-management-incentive-scheme-and-innovation-allowance-mechanism/initiation</w:t>
        </w:r>
      </w:hyperlink>
      <w:r>
        <w:t>.</w:t>
      </w:r>
    </w:p>
  </w:footnote>
  <w:footnote w:id="8">
    <w:p w:rsidR="00F64EAC" w:rsidRDefault="00F64EAC">
      <w:pPr>
        <w:pStyle w:val="FootnoteText"/>
      </w:pPr>
      <w:r>
        <w:rPr>
          <w:rStyle w:val="FootnoteReference"/>
        </w:rPr>
        <w:footnoteRef/>
      </w:r>
      <w:r>
        <w:t xml:space="preserve"> </w:t>
      </w:r>
      <w:r>
        <w:tab/>
      </w:r>
      <w:proofErr w:type="gramStart"/>
      <w:r>
        <w:t xml:space="preserve">AER, </w:t>
      </w:r>
      <w:r w:rsidRPr="0093456A">
        <w:rPr>
          <w:rStyle w:val="AERtextitalic"/>
        </w:rPr>
        <w:t>Summary of Demand Management Options Day</w:t>
      </w:r>
      <w:r>
        <w:t xml:space="preserve">, 29 June 2017, Available at: </w:t>
      </w:r>
      <w:r w:rsidRPr="00A52215">
        <w:t>https://www.aer.gov.au/networks-pipelines/guidelines-schemes-models-reviews/demand-management-incentive-scheme-and-innovation-allowance-mechanism/initiation</w:t>
      </w:r>
      <w:r>
        <w:t>.</w:t>
      </w:r>
      <w:proofErr w:type="gramEnd"/>
    </w:p>
  </w:footnote>
  <w:footnote w:id="9">
    <w:p w:rsidR="00F64EAC" w:rsidRDefault="00F64EAC" w:rsidP="00EC7769">
      <w:pPr>
        <w:pStyle w:val="FootnoteText"/>
      </w:pPr>
      <w:r>
        <w:rPr>
          <w:rStyle w:val="FootnoteReference"/>
        </w:rPr>
        <w:footnoteRef/>
      </w:r>
      <w:r>
        <w:t xml:space="preserve">      Public Interest Advocacy Centre</w:t>
      </w:r>
      <w:r w:rsidRPr="00EC7769">
        <w:t xml:space="preserve">, </w:t>
      </w:r>
      <w:r w:rsidRPr="00EC7769">
        <w:rPr>
          <w:rStyle w:val="AERtextitalic"/>
        </w:rPr>
        <w:t>Submission on the Draft National Electricity Amendment (Demand Management Incentive Scheme) Rule 2015</w:t>
      </w:r>
      <w:r w:rsidRPr="00EC7769">
        <w:t xml:space="preserve">, </w:t>
      </w:r>
      <w:r>
        <w:t xml:space="preserve">July 2015, p. </w:t>
      </w:r>
      <w:r w:rsidRPr="00EC7769">
        <w:t>1.</w:t>
      </w:r>
    </w:p>
  </w:footnote>
  <w:footnote w:id="10">
    <w:p w:rsidR="00F64EAC" w:rsidRDefault="00F64EAC">
      <w:pPr>
        <w:pStyle w:val="FootnoteText"/>
      </w:pPr>
      <w:r>
        <w:rPr>
          <w:rStyle w:val="FootnoteReference"/>
        </w:rPr>
        <w:footnoteRef/>
      </w:r>
      <w:r>
        <w:t xml:space="preserve">     Total Environment Centre</w:t>
      </w:r>
      <w:r w:rsidRPr="00EC7769">
        <w:t xml:space="preserve">, </w:t>
      </w:r>
      <w:r w:rsidRPr="00EC7769">
        <w:rPr>
          <w:rStyle w:val="AERtextitalic"/>
        </w:rPr>
        <w:t>Submission on the Draft National Electricity Amendment (Demand Management Incentive Scheme) Rule 2015</w:t>
      </w:r>
      <w:r w:rsidRPr="00EC7769">
        <w:t xml:space="preserve">, July </w:t>
      </w:r>
      <w:r>
        <w:t>2015, p .4</w:t>
      </w:r>
      <w:r w:rsidRPr="00EC7769">
        <w:t>.</w:t>
      </w:r>
    </w:p>
  </w:footnote>
  <w:footnote w:id="11">
    <w:p w:rsidR="004D4ACB" w:rsidRDefault="004D4ACB">
      <w:pPr>
        <w:pStyle w:val="FootnoteText"/>
      </w:pPr>
      <w:r>
        <w:rPr>
          <w:rStyle w:val="FootnoteReference"/>
        </w:rPr>
        <w:footnoteRef/>
      </w:r>
      <w:r>
        <w:t xml:space="preserve"> </w:t>
      </w:r>
      <w:r>
        <w:tab/>
        <w:t>The AER will make a decision to apply the Scheme during a distributor's regulatory control period after the distributor has submitted a proposal to the AER requesting early application by a requested start that is no earlier than 60 business days after it submits the proposal.</w:t>
      </w:r>
    </w:p>
  </w:footnote>
  <w:footnote w:id="12">
    <w:p w:rsidR="00F64EAC" w:rsidRPr="00FC46FF" w:rsidRDefault="00F64EAC" w:rsidP="00FC46FF">
      <w:pPr>
        <w:pStyle w:val="FootnoteText"/>
        <w:rPr>
          <w:rStyle w:val="AERtextitalic"/>
          <w:i w:val="0"/>
        </w:rPr>
      </w:pPr>
      <w:r>
        <w:rPr>
          <w:rStyle w:val="FootnoteReference"/>
        </w:rPr>
        <w:footnoteRef/>
      </w:r>
      <w:r>
        <w:t xml:space="preserve"> </w:t>
      </w:r>
      <w:r>
        <w:tab/>
      </w:r>
      <w:proofErr w:type="gramStart"/>
      <w:r>
        <w:t xml:space="preserve">AER, </w:t>
      </w:r>
      <w:r>
        <w:rPr>
          <w:rStyle w:val="AERtextitalic"/>
        </w:rPr>
        <w:t xml:space="preserve">Submission on the AEMC Draft </w:t>
      </w:r>
      <w:r w:rsidRPr="00B27632">
        <w:rPr>
          <w:rStyle w:val="AERtextitalic"/>
        </w:rPr>
        <w:t>National Electricity Amendment (Demand Management Incentive Scheme) Rule 2015</w:t>
      </w:r>
      <w:r>
        <w:rPr>
          <w:rStyle w:val="AERtextitalic"/>
        </w:rPr>
        <w:t xml:space="preserve">, </w:t>
      </w:r>
      <w:r w:rsidRPr="00FC46FF">
        <w:rPr>
          <w:rStyle w:val="AERtextitalic"/>
          <w:i w:val="0"/>
        </w:rPr>
        <w:t>p</w:t>
      </w:r>
      <w:r>
        <w:rPr>
          <w:rStyle w:val="AERtextitalic"/>
        </w:rPr>
        <w:t>.</w:t>
      </w:r>
      <w:proofErr w:type="gramEnd"/>
      <w:r>
        <w:rPr>
          <w:rStyle w:val="AERtextitalic"/>
        </w:rPr>
        <w:t xml:space="preserve"> </w:t>
      </w:r>
      <w:r w:rsidRPr="00FC46FF">
        <w:rPr>
          <w:rStyle w:val="AERtextitalic"/>
          <w:i w:val="0"/>
        </w:rPr>
        <w:t xml:space="preserve"> 4.</w:t>
      </w:r>
    </w:p>
  </w:footnote>
  <w:footnote w:id="13">
    <w:p w:rsidR="00F64EAC" w:rsidRPr="00A96CEC" w:rsidRDefault="00F64EAC" w:rsidP="00A96CEC">
      <w:pPr>
        <w:pStyle w:val="FootnoteText"/>
        <w:rPr>
          <w:rStyle w:val="AERtextitalic"/>
          <w:i w:val="0"/>
        </w:rPr>
      </w:pPr>
      <w:r>
        <w:rPr>
          <w:rStyle w:val="FootnoteReference"/>
        </w:rPr>
        <w:footnoteRef/>
      </w:r>
      <w:r>
        <w:t xml:space="preserve">     AER, </w:t>
      </w:r>
      <w:r>
        <w:rPr>
          <w:rStyle w:val="AERtextitalic"/>
        </w:rPr>
        <w:t xml:space="preserve">Demand Management Incentive Scheme and Innovation Allowance Consultation Paper, </w:t>
      </w:r>
      <w:r w:rsidRPr="00A96CEC">
        <w:rPr>
          <w:rStyle w:val="AERtextitalic"/>
          <w:i w:val="0"/>
        </w:rPr>
        <w:t>January 2017</w:t>
      </w:r>
      <w:r>
        <w:rPr>
          <w:rStyle w:val="AERtextitalic"/>
        </w:rPr>
        <w:t xml:space="preserve">, </w:t>
      </w:r>
      <w:r w:rsidRPr="00A96CEC">
        <w:rPr>
          <w:rStyle w:val="AERtextitalic"/>
          <w:i w:val="0"/>
        </w:rPr>
        <w:t>Available at</w:t>
      </w:r>
      <w:r>
        <w:rPr>
          <w:rStyle w:val="AERtextitalic"/>
        </w:rPr>
        <w:t xml:space="preserve">: </w:t>
      </w:r>
      <w:hyperlink r:id="rId2" w:history="1">
        <w:r w:rsidRPr="0012277A">
          <w:rPr>
            <w:rStyle w:val="Hyperlink"/>
            <w:sz w:val="16"/>
          </w:rPr>
          <w:t>https://www.aer.gov.au/networks-pipelines/guidelines-schemes-models-reviews/demand-management-incentive-scheme-and-innovation-allowance-mechanism</w:t>
        </w:r>
      </w:hyperlink>
      <w:r>
        <w:rPr>
          <w:rStyle w:val="AERtextitalic"/>
        </w:rPr>
        <w:t xml:space="preserve">&gt;. </w:t>
      </w:r>
    </w:p>
  </w:footnote>
  <w:footnote w:id="14">
    <w:p w:rsidR="00F64EAC" w:rsidRDefault="00F64EAC" w:rsidP="00CE5FE8">
      <w:pPr>
        <w:pStyle w:val="FootnoteText"/>
      </w:pPr>
      <w:r>
        <w:rPr>
          <w:rStyle w:val="FootnoteReference"/>
        </w:rPr>
        <w:footnoteRef/>
      </w:r>
      <w:r>
        <w:t xml:space="preserve"> </w:t>
      </w:r>
      <w:r>
        <w:tab/>
        <w:t>Natio</w:t>
      </w:r>
      <w:r w:rsidR="00D816F0">
        <w:t>nal Electricity Law, Section 7.</w:t>
      </w:r>
    </w:p>
  </w:footnote>
  <w:footnote w:id="15">
    <w:p w:rsidR="00F64EAC" w:rsidRDefault="00F64EAC">
      <w:pPr>
        <w:pStyle w:val="FootnoteText"/>
      </w:pPr>
      <w:r>
        <w:rPr>
          <w:rStyle w:val="FootnoteReference"/>
        </w:rPr>
        <w:footnoteRef/>
      </w:r>
      <w:r>
        <w:t xml:space="preserve">     More information about this process is available </w:t>
      </w:r>
      <w:proofErr w:type="gramStart"/>
      <w:r>
        <w:t>at;</w:t>
      </w:r>
      <w:proofErr w:type="gramEnd"/>
      <w:r>
        <w:t xml:space="preserve">&lt; </w:t>
      </w:r>
      <w:r w:rsidRPr="00AF157A">
        <w:t>http://www.aemc.gov.au/Rule-Changes/Contestability-of-energy-services-demand-response</w:t>
      </w:r>
      <w:r>
        <w:t>&gt;.</w:t>
      </w:r>
    </w:p>
  </w:footnote>
  <w:footnote w:id="16">
    <w:p w:rsidR="00F64EAC" w:rsidRDefault="00F64EAC">
      <w:pPr>
        <w:pStyle w:val="FootnoteText"/>
      </w:pPr>
      <w:r>
        <w:rPr>
          <w:rStyle w:val="FootnoteReference"/>
        </w:rPr>
        <w:footnoteRef/>
      </w:r>
      <w:r>
        <w:t xml:space="preserve">     More information about this project is available at</w:t>
      </w:r>
      <w:proofErr w:type="gramStart"/>
      <w:r>
        <w:t>;</w:t>
      </w:r>
      <w:proofErr w:type="gramEnd"/>
      <w:r>
        <w:t xml:space="preserve"> </w:t>
      </w:r>
      <w:r w:rsidRPr="00AF157A">
        <w:t>http://www.aemc.gov.au/Markets-Reviews-Advice/Distribution-Market-Model</w:t>
      </w:r>
      <w:r>
        <w:t>&gt;.</w:t>
      </w:r>
    </w:p>
  </w:footnote>
  <w:footnote w:id="17">
    <w:p w:rsidR="00F64EAC" w:rsidRDefault="00F64EAC" w:rsidP="00933625">
      <w:pPr>
        <w:pStyle w:val="FootnoteText"/>
      </w:pPr>
      <w:r>
        <w:rPr>
          <w:rStyle w:val="FootnoteReference"/>
        </w:rPr>
        <w:footnoteRef/>
      </w:r>
      <w:r>
        <w:t xml:space="preserve"> </w:t>
      </w:r>
      <w:r>
        <w:tab/>
        <w:t xml:space="preserve">ISF, </w:t>
      </w:r>
      <w:r w:rsidRPr="00195EB9">
        <w:rPr>
          <w:rStyle w:val="AERtextitalic"/>
        </w:rPr>
        <w:t>Submission on AER's demand management consultation paper</w:t>
      </w:r>
      <w:r>
        <w:t xml:space="preserve">, 27 February 2017, 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564" w:rsidRDefault="00726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564" w:rsidRDefault="00726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564" w:rsidRDefault="00726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3479"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1248D6DA"/>
    <w:lvl w:ilvl="0" w:tplc="FE104C32">
      <w:start w:val="1"/>
      <w:numFmt w:val="lowerLetter"/>
      <w:pStyle w:val="AERnumberedlistsecondstyl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AB346424"/>
    <w:lvl w:ilvl="0">
      <w:start w:val="1"/>
      <w:numFmt w:val="decimal"/>
      <w:pStyle w:val="LegalNumbering"/>
      <w:isLgl/>
      <w:lvlText w:val="%1)"/>
      <w:lvlJc w:val="left"/>
      <w:pPr>
        <w:ind w:left="624"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2D3E24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1EBEE0E2"/>
    <w:lvl w:ilvl="0" w:tplc="ED488F34">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D2127208"/>
    <w:lvl w:ilvl="0" w:tplc="0F384976">
      <w:start w:val="1"/>
      <w:numFmt w:val="lowerRoman"/>
      <w:pStyle w:val="AERnumberedlistthirdstyle"/>
      <w:lvlText w:val="%1."/>
      <w:lvlJc w:val="right"/>
      <w:pPr>
        <w:ind w:left="135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lwarr\Desktop\Publications - draft scheme\AER - Consultation paper - Proposed demand management incentive scheme early application rule change - 28 August 2017.docx"/>
  </w:docVars>
  <w:rsids>
    <w:rsidRoot w:val="00961A4A"/>
    <w:rsid w:val="00000AE3"/>
    <w:rsid w:val="00000D4A"/>
    <w:rsid w:val="0000169E"/>
    <w:rsid w:val="00003A17"/>
    <w:rsid w:val="00003AE8"/>
    <w:rsid w:val="000051DC"/>
    <w:rsid w:val="0000658F"/>
    <w:rsid w:val="00006A25"/>
    <w:rsid w:val="00011248"/>
    <w:rsid w:val="000118A9"/>
    <w:rsid w:val="00011FBE"/>
    <w:rsid w:val="0001507B"/>
    <w:rsid w:val="00016320"/>
    <w:rsid w:val="0001770D"/>
    <w:rsid w:val="00017AA2"/>
    <w:rsid w:val="00020016"/>
    <w:rsid w:val="00020048"/>
    <w:rsid w:val="00020840"/>
    <w:rsid w:val="00021202"/>
    <w:rsid w:val="00021C2B"/>
    <w:rsid w:val="00021D94"/>
    <w:rsid w:val="0002219B"/>
    <w:rsid w:val="000224A2"/>
    <w:rsid w:val="000224DB"/>
    <w:rsid w:val="00022549"/>
    <w:rsid w:val="0002498B"/>
    <w:rsid w:val="00025142"/>
    <w:rsid w:val="0002517F"/>
    <w:rsid w:val="0002601E"/>
    <w:rsid w:val="00026187"/>
    <w:rsid w:val="000266FC"/>
    <w:rsid w:val="000273B3"/>
    <w:rsid w:val="000274A4"/>
    <w:rsid w:val="00027E2D"/>
    <w:rsid w:val="00030FD9"/>
    <w:rsid w:val="00031747"/>
    <w:rsid w:val="00033C5E"/>
    <w:rsid w:val="000351CF"/>
    <w:rsid w:val="0003578C"/>
    <w:rsid w:val="00036C2A"/>
    <w:rsid w:val="0003770C"/>
    <w:rsid w:val="000416AF"/>
    <w:rsid w:val="00042649"/>
    <w:rsid w:val="00042F31"/>
    <w:rsid w:val="00044A75"/>
    <w:rsid w:val="00044DA3"/>
    <w:rsid w:val="000462C0"/>
    <w:rsid w:val="000466E7"/>
    <w:rsid w:val="00046F83"/>
    <w:rsid w:val="000474DF"/>
    <w:rsid w:val="00051958"/>
    <w:rsid w:val="00053B8B"/>
    <w:rsid w:val="000544B8"/>
    <w:rsid w:val="00055993"/>
    <w:rsid w:val="00055A67"/>
    <w:rsid w:val="000562F3"/>
    <w:rsid w:val="00057482"/>
    <w:rsid w:val="000608BA"/>
    <w:rsid w:val="00061B75"/>
    <w:rsid w:val="00061D96"/>
    <w:rsid w:val="000624BC"/>
    <w:rsid w:val="00063247"/>
    <w:rsid w:val="00064688"/>
    <w:rsid w:val="00064C08"/>
    <w:rsid w:val="0006624E"/>
    <w:rsid w:val="00070F9F"/>
    <w:rsid w:val="0007137B"/>
    <w:rsid w:val="00071D7D"/>
    <w:rsid w:val="000724DA"/>
    <w:rsid w:val="00072D19"/>
    <w:rsid w:val="0007379A"/>
    <w:rsid w:val="00073B74"/>
    <w:rsid w:val="0007436C"/>
    <w:rsid w:val="00074B8D"/>
    <w:rsid w:val="00075B81"/>
    <w:rsid w:val="00075E26"/>
    <w:rsid w:val="00076410"/>
    <w:rsid w:val="00076416"/>
    <w:rsid w:val="000805A8"/>
    <w:rsid w:val="00080711"/>
    <w:rsid w:val="0008190B"/>
    <w:rsid w:val="0008290B"/>
    <w:rsid w:val="000836D9"/>
    <w:rsid w:val="00085663"/>
    <w:rsid w:val="00085EBF"/>
    <w:rsid w:val="00091B15"/>
    <w:rsid w:val="00091B2E"/>
    <w:rsid w:val="00091DDE"/>
    <w:rsid w:val="00095186"/>
    <w:rsid w:val="000956E6"/>
    <w:rsid w:val="000A0E71"/>
    <w:rsid w:val="000A1C0C"/>
    <w:rsid w:val="000A1D95"/>
    <w:rsid w:val="000A3020"/>
    <w:rsid w:val="000A4059"/>
    <w:rsid w:val="000A4840"/>
    <w:rsid w:val="000A4993"/>
    <w:rsid w:val="000A62C1"/>
    <w:rsid w:val="000A6A79"/>
    <w:rsid w:val="000A6C7B"/>
    <w:rsid w:val="000B0A45"/>
    <w:rsid w:val="000B0A7B"/>
    <w:rsid w:val="000B0B1A"/>
    <w:rsid w:val="000B0E59"/>
    <w:rsid w:val="000B1173"/>
    <w:rsid w:val="000B510D"/>
    <w:rsid w:val="000B54BD"/>
    <w:rsid w:val="000B5827"/>
    <w:rsid w:val="000B64A9"/>
    <w:rsid w:val="000B6BDA"/>
    <w:rsid w:val="000B7037"/>
    <w:rsid w:val="000C02D1"/>
    <w:rsid w:val="000C0C63"/>
    <w:rsid w:val="000C0CEB"/>
    <w:rsid w:val="000C13DE"/>
    <w:rsid w:val="000C174C"/>
    <w:rsid w:val="000C2B40"/>
    <w:rsid w:val="000C32D5"/>
    <w:rsid w:val="000C38C7"/>
    <w:rsid w:val="000C4CEB"/>
    <w:rsid w:val="000C5255"/>
    <w:rsid w:val="000C63C7"/>
    <w:rsid w:val="000C68E9"/>
    <w:rsid w:val="000C7871"/>
    <w:rsid w:val="000D07A7"/>
    <w:rsid w:val="000D0969"/>
    <w:rsid w:val="000D122C"/>
    <w:rsid w:val="000D41C6"/>
    <w:rsid w:val="000D555E"/>
    <w:rsid w:val="000D5838"/>
    <w:rsid w:val="000D5900"/>
    <w:rsid w:val="000D6488"/>
    <w:rsid w:val="000D75B0"/>
    <w:rsid w:val="000E1819"/>
    <w:rsid w:val="000E4821"/>
    <w:rsid w:val="000E4AA9"/>
    <w:rsid w:val="000E546C"/>
    <w:rsid w:val="000E58CE"/>
    <w:rsid w:val="000E6AEA"/>
    <w:rsid w:val="000E6C72"/>
    <w:rsid w:val="000E7025"/>
    <w:rsid w:val="000E7CE7"/>
    <w:rsid w:val="000E7F39"/>
    <w:rsid w:val="000F111C"/>
    <w:rsid w:val="000F2400"/>
    <w:rsid w:val="000F2A01"/>
    <w:rsid w:val="000F2ADA"/>
    <w:rsid w:val="000F54AA"/>
    <w:rsid w:val="000F70BA"/>
    <w:rsid w:val="00100024"/>
    <w:rsid w:val="001009EA"/>
    <w:rsid w:val="00100EA2"/>
    <w:rsid w:val="00101270"/>
    <w:rsid w:val="00101285"/>
    <w:rsid w:val="00101AA1"/>
    <w:rsid w:val="00102338"/>
    <w:rsid w:val="00104566"/>
    <w:rsid w:val="00104FF6"/>
    <w:rsid w:val="00105034"/>
    <w:rsid w:val="00106BEA"/>
    <w:rsid w:val="00110142"/>
    <w:rsid w:val="001114AA"/>
    <w:rsid w:val="001122D6"/>
    <w:rsid w:val="00112AA3"/>
    <w:rsid w:val="00112AF7"/>
    <w:rsid w:val="00115743"/>
    <w:rsid w:val="00115858"/>
    <w:rsid w:val="00116EB2"/>
    <w:rsid w:val="00117EC4"/>
    <w:rsid w:val="001202D3"/>
    <w:rsid w:val="00121204"/>
    <w:rsid w:val="0012132C"/>
    <w:rsid w:val="00123CC7"/>
    <w:rsid w:val="00124038"/>
    <w:rsid w:val="00124609"/>
    <w:rsid w:val="00124F4B"/>
    <w:rsid w:val="00125C8B"/>
    <w:rsid w:val="00126A4C"/>
    <w:rsid w:val="001270E3"/>
    <w:rsid w:val="001272DC"/>
    <w:rsid w:val="00132D43"/>
    <w:rsid w:val="001331C2"/>
    <w:rsid w:val="00133366"/>
    <w:rsid w:val="00133E63"/>
    <w:rsid w:val="00133F47"/>
    <w:rsid w:val="00134029"/>
    <w:rsid w:val="00134ABB"/>
    <w:rsid w:val="001355E0"/>
    <w:rsid w:val="00140472"/>
    <w:rsid w:val="001415A4"/>
    <w:rsid w:val="00142C2D"/>
    <w:rsid w:val="00143E4A"/>
    <w:rsid w:val="00144620"/>
    <w:rsid w:val="00144AE9"/>
    <w:rsid w:val="00144C96"/>
    <w:rsid w:val="00145465"/>
    <w:rsid w:val="00145486"/>
    <w:rsid w:val="0014573B"/>
    <w:rsid w:val="001463A3"/>
    <w:rsid w:val="0015073A"/>
    <w:rsid w:val="00150CC3"/>
    <w:rsid w:val="00152F8C"/>
    <w:rsid w:val="0015335E"/>
    <w:rsid w:val="00153EE8"/>
    <w:rsid w:val="001545A2"/>
    <w:rsid w:val="001566B2"/>
    <w:rsid w:val="001573E4"/>
    <w:rsid w:val="00160672"/>
    <w:rsid w:val="00160756"/>
    <w:rsid w:val="001617BE"/>
    <w:rsid w:val="00161DC8"/>
    <w:rsid w:val="00163121"/>
    <w:rsid w:val="00163384"/>
    <w:rsid w:val="00163F19"/>
    <w:rsid w:val="001647BC"/>
    <w:rsid w:val="00164AFC"/>
    <w:rsid w:val="00166760"/>
    <w:rsid w:val="00166C39"/>
    <w:rsid w:val="00171787"/>
    <w:rsid w:val="0017232E"/>
    <w:rsid w:val="00172E44"/>
    <w:rsid w:val="00173165"/>
    <w:rsid w:val="00173476"/>
    <w:rsid w:val="00174102"/>
    <w:rsid w:val="001754EE"/>
    <w:rsid w:val="00175F6A"/>
    <w:rsid w:val="00177217"/>
    <w:rsid w:val="001800F2"/>
    <w:rsid w:val="00180157"/>
    <w:rsid w:val="001802BF"/>
    <w:rsid w:val="001809BC"/>
    <w:rsid w:val="00180E97"/>
    <w:rsid w:val="00180EFE"/>
    <w:rsid w:val="001820B4"/>
    <w:rsid w:val="00182CE2"/>
    <w:rsid w:val="00183EF8"/>
    <w:rsid w:val="00184351"/>
    <w:rsid w:val="00184AC8"/>
    <w:rsid w:val="00185BA5"/>
    <w:rsid w:val="00185CB9"/>
    <w:rsid w:val="00185DBE"/>
    <w:rsid w:val="00186ADC"/>
    <w:rsid w:val="00186F77"/>
    <w:rsid w:val="001877A4"/>
    <w:rsid w:val="00187D1D"/>
    <w:rsid w:val="00190A30"/>
    <w:rsid w:val="001926A4"/>
    <w:rsid w:val="00192AD5"/>
    <w:rsid w:val="00192B13"/>
    <w:rsid w:val="001937F2"/>
    <w:rsid w:val="00193B59"/>
    <w:rsid w:val="00194094"/>
    <w:rsid w:val="00194120"/>
    <w:rsid w:val="00194597"/>
    <w:rsid w:val="00194E00"/>
    <w:rsid w:val="00195627"/>
    <w:rsid w:val="00195EB9"/>
    <w:rsid w:val="00196BD7"/>
    <w:rsid w:val="0019745E"/>
    <w:rsid w:val="00197B16"/>
    <w:rsid w:val="00197F40"/>
    <w:rsid w:val="001A4821"/>
    <w:rsid w:val="001A530D"/>
    <w:rsid w:val="001A5FB3"/>
    <w:rsid w:val="001A5FD1"/>
    <w:rsid w:val="001A6A4A"/>
    <w:rsid w:val="001A6C00"/>
    <w:rsid w:val="001A6C59"/>
    <w:rsid w:val="001A7155"/>
    <w:rsid w:val="001A7BC5"/>
    <w:rsid w:val="001B126C"/>
    <w:rsid w:val="001B2AF2"/>
    <w:rsid w:val="001B3755"/>
    <w:rsid w:val="001B45A0"/>
    <w:rsid w:val="001B4DF4"/>
    <w:rsid w:val="001B5DD9"/>
    <w:rsid w:val="001B680E"/>
    <w:rsid w:val="001C055B"/>
    <w:rsid w:val="001C0665"/>
    <w:rsid w:val="001C2661"/>
    <w:rsid w:val="001C3FAF"/>
    <w:rsid w:val="001C5A7E"/>
    <w:rsid w:val="001D055E"/>
    <w:rsid w:val="001D2503"/>
    <w:rsid w:val="001D5B65"/>
    <w:rsid w:val="001D674E"/>
    <w:rsid w:val="001E1B3F"/>
    <w:rsid w:val="001E202E"/>
    <w:rsid w:val="001E3AA8"/>
    <w:rsid w:val="001E417C"/>
    <w:rsid w:val="001E57BD"/>
    <w:rsid w:val="001E6CDE"/>
    <w:rsid w:val="001E6F0B"/>
    <w:rsid w:val="001E7161"/>
    <w:rsid w:val="001F05A4"/>
    <w:rsid w:val="001F18B8"/>
    <w:rsid w:val="001F262B"/>
    <w:rsid w:val="001F3209"/>
    <w:rsid w:val="001F3D4A"/>
    <w:rsid w:val="001F492E"/>
    <w:rsid w:val="001F5EA9"/>
    <w:rsid w:val="001F62B9"/>
    <w:rsid w:val="001F64EF"/>
    <w:rsid w:val="001F6DA3"/>
    <w:rsid w:val="002010BC"/>
    <w:rsid w:val="002016E7"/>
    <w:rsid w:val="00201A40"/>
    <w:rsid w:val="00202E03"/>
    <w:rsid w:val="002033B9"/>
    <w:rsid w:val="00203C71"/>
    <w:rsid w:val="002041BD"/>
    <w:rsid w:val="002043D0"/>
    <w:rsid w:val="0020492C"/>
    <w:rsid w:val="00204EC9"/>
    <w:rsid w:val="00204F97"/>
    <w:rsid w:val="002050D7"/>
    <w:rsid w:val="00206246"/>
    <w:rsid w:val="00206505"/>
    <w:rsid w:val="00206523"/>
    <w:rsid w:val="002070A7"/>
    <w:rsid w:val="0020716D"/>
    <w:rsid w:val="0020743F"/>
    <w:rsid w:val="0021004A"/>
    <w:rsid w:val="002102DE"/>
    <w:rsid w:val="00210466"/>
    <w:rsid w:val="00210543"/>
    <w:rsid w:val="00210648"/>
    <w:rsid w:val="00211C01"/>
    <w:rsid w:val="0021309C"/>
    <w:rsid w:val="0021339B"/>
    <w:rsid w:val="00214295"/>
    <w:rsid w:val="00215555"/>
    <w:rsid w:val="00216287"/>
    <w:rsid w:val="00216C93"/>
    <w:rsid w:val="00216DDE"/>
    <w:rsid w:val="00221F82"/>
    <w:rsid w:val="00223051"/>
    <w:rsid w:val="002244E4"/>
    <w:rsid w:val="00224A65"/>
    <w:rsid w:val="00224DB9"/>
    <w:rsid w:val="0022569A"/>
    <w:rsid w:val="00227CB1"/>
    <w:rsid w:val="0023005C"/>
    <w:rsid w:val="00231012"/>
    <w:rsid w:val="00233775"/>
    <w:rsid w:val="0023414B"/>
    <w:rsid w:val="00235540"/>
    <w:rsid w:val="00236F3F"/>
    <w:rsid w:val="00236F5B"/>
    <w:rsid w:val="00243573"/>
    <w:rsid w:val="00243635"/>
    <w:rsid w:val="00243DE0"/>
    <w:rsid w:val="0024409C"/>
    <w:rsid w:val="002449E4"/>
    <w:rsid w:val="00246589"/>
    <w:rsid w:val="0024668C"/>
    <w:rsid w:val="00246D32"/>
    <w:rsid w:val="00247079"/>
    <w:rsid w:val="00247F12"/>
    <w:rsid w:val="00250BBD"/>
    <w:rsid w:val="00251310"/>
    <w:rsid w:val="00251745"/>
    <w:rsid w:val="002519F5"/>
    <w:rsid w:val="00251A39"/>
    <w:rsid w:val="00252AFC"/>
    <w:rsid w:val="00253186"/>
    <w:rsid w:val="002552BA"/>
    <w:rsid w:val="002557E3"/>
    <w:rsid w:val="00260016"/>
    <w:rsid w:val="002605B5"/>
    <w:rsid w:val="00260E20"/>
    <w:rsid w:val="00262339"/>
    <w:rsid w:val="00262ACA"/>
    <w:rsid w:val="00263AC0"/>
    <w:rsid w:val="00264264"/>
    <w:rsid w:val="00264E91"/>
    <w:rsid w:val="00266212"/>
    <w:rsid w:val="0026689B"/>
    <w:rsid w:val="0026772D"/>
    <w:rsid w:val="0027263F"/>
    <w:rsid w:val="002730B2"/>
    <w:rsid w:val="002736EB"/>
    <w:rsid w:val="002737B9"/>
    <w:rsid w:val="0027487B"/>
    <w:rsid w:val="00274C7E"/>
    <w:rsid w:val="00275A6D"/>
    <w:rsid w:val="00276E06"/>
    <w:rsid w:val="002777CF"/>
    <w:rsid w:val="00277BFC"/>
    <w:rsid w:val="0028082F"/>
    <w:rsid w:val="002810F2"/>
    <w:rsid w:val="00283726"/>
    <w:rsid w:val="002850A5"/>
    <w:rsid w:val="00286874"/>
    <w:rsid w:val="00287F65"/>
    <w:rsid w:val="00290C63"/>
    <w:rsid w:val="00290F66"/>
    <w:rsid w:val="002911ED"/>
    <w:rsid w:val="002912C9"/>
    <w:rsid w:val="00291A99"/>
    <w:rsid w:val="00293B6D"/>
    <w:rsid w:val="00294B08"/>
    <w:rsid w:val="0029518C"/>
    <w:rsid w:val="00295FDE"/>
    <w:rsid w:val="002963DD"/>
    <w:rsid w:val="00296B65"/>
    <w:rsid w:val="002A3FA9"/>
    <w:rsid w:val="002A5157"/>
    <w:rsid w:val="002A549E"/>
    <w:rsid w:val="002A6B51"/>
    <w:rsid w:val="002A6BC3"/>
    <w:rsid w:val="002A7DEF"/>
    <w:rsid w:val="002B0696"/>
    <w:rsid w:val="002B087D"/>
    <w:rsid w:val="002B1507"/>
    <w:rsid w:val="002B18A8"/>
    <w:rsid w:val="002B35EC"/>
    <w:rsid w:val="002B4A73"/>
    <w:rsid w:val="002B5072"/>
    <w:rsid w:val="002B5546"/>
    <w:rsid w:val="002B59FE"/>
    <w:rsid w:val="002B67FB"/>
    <w:rsid w:val="002C0222"/>
    <w:rsid w:val="002C0927"/>
    <w:rsid w:val="002C0E70"/>
    <w:rsid w:val="002C1499"/>
    <w:rsid w:val="002C16E2"/>
    <w:rsid w:val="002C18F3"/>
    <w:rsid w:val="002C233C"/>
    <w:rsid w:val="002C26CB"/>
    <w:rsid w:val="002C3D7E"/>
    <w:rsid w:val="002C517B"/>
    <w:rsid w:val="002C6ECA"/>
    <w:rsid w:val="002D10B0"/>
    <w:rsid w:val="002D120A"/>
    <w:rsid w:val="002D2EB5"/>
    <w:rsid w:val="002D3509"/>
    <w:rsid w:val="002D359D"/>
    <w:rsid w:val="002D3C76"/>
    <w:rsid w:val="002D47D1"/>
    <w:rsid w:val="002D487B"/>
    <w:rsid w:val="002D50B9"/>
    <w:rsid w:val="002D5457"/>
    <w:rsid w:val="002D6D1B"/>
    <w:rsid w:val="002D714D"/>
    <w:rsid w:val="002D7184"/>
    <w:rsid w:val="002D72E8"/>
    <w:rsid w:val="002D73DE"/>
    <w:rsid w:val="002D79AD"/>
    <w:rsid w:val="002D7A0B"/>
    <w:rsid w:val="002D7F9E"/>
    <w:rsid w:val="002E0F17"/>
    <w:rsid w:val="002E134A"/>
    <w:rsid w:val="002E201A"/>
    <w:rsid w:val="002E268F"/>
    <w:rsid w:val="002E2693"/>
    <w:rsid w:val="002E4171"/>
    <w:rsid w:val="002E59D6"/>
    <w:rsid w:val="002E631E"/>
    <w:rsid w:val="002E68CE"/>
    <w:rsid w:val="002E78DD"/>
    <w:rsid w:val="002E7B22"/>
    <w:rsid w:val="002E7EA0"/>
    <w:rsid w:val="002F12EC"/>
    <w:rsid w:val="002F50D1"/>
    <w:rsid w:val="002F5184"/>
    <w:rsid w:val="002F51CC"/>
    <w:rsid w:val="002F5812"/>
    <w:rsid w:val="002F6AB0"/>
    <w:rsid w:val="002F7986"/>
    <w:rsid w:val="00300CC8"/>
    <w:rsid w:val="00300DDF"/>
    <w:rsid w:val="00301B40"/>
    <w:rsid w:val="00301C82"/>
    <w:rsid w:val="00302133"/>
    <w:rsid w:val="003029EE"/>
    <w:rsid w:val="00303CF4"/>
    <w:rsid w:val="00304840"/>
    <w:rsid w:val="00304D38"/>
    <w:rsid w:val="00304E1D"/>
    <w:rsid w:val="00305CC8"/>
    <w:rsid w:val="00306327"/>
    <w:rsid w:val="0030713D"/>
    <w:rsid w:val="003074A1"/>
    <w:rsid w:val="00307F6D"/>
    <w:rsid w:val="00313076"/>
    <w:rsid w:val="0031393A"/>
    <w:rsid w:val="00313D3E"/>
    <w:rsid w:val="00314794"/>
    <w:rsid w:val="00314D83"/>
    <w:rsid w:val="00315018"/>
    <w:rsid w:val="0031571F"/>
    <w:rsid w:val="00315A1D"/>
    <w:rsid w:val="0031692D"/>
    <w:rsid w:val="003177A2"/>
    <w:rsid w:val="00317E02"/>
    <w:rsid w:val="00322BE0"/>
    <w:rsid w:val="0032463C"/>
    <w:rsid w:val="003271B5"/>
    <w:rsid w:val="00327560"/>
    <w:rsid w:val="00327A1E"/>
    <w:rsid w:val="00327E28"/>
    <w:rsid w:val="003310EA"/>
    <w:rsid w:val="00331264"/>
    <w:rsid w:val="00333859"/>
    <w:rsid w:val="003342FC"/>
    <w:rsid w:val="00334C8D"/>
    <w:rsid w:val="00335B91"/>
    <w:rsid w:val="00335DCD"/>
    <w:rsid w:val="00336E62"/>
    <w:rsid w:val="003378BD"/>
    <w:rsid w:val="003379B3"/>
    <w:rsid w:val="00340AC0"/>
    <w:rsid w:val="00340DF2"/>
    <w:rsid w:val="003424EA"/>
    <w:rsid w:val="003426A5"/>
    <w:rsid w:val="00342C26"/>
    <w:rsid w:val="00342C2F"/>
    <w:rsid w:val="003436EB"/>
    <w:rsid w:val="00343A18"/>
    <w:rsid w:val="0034418D"/>
    <w:rsid w:val="00345744"/>
    <w:rsid w:val="00346736"/>
    <w:rsid w:val="00350091"/>
    <w:rsid w:val="003518B3"/>
    <w:rsid w:val="00351E7E"/>
    <w:rsid w:val="0035386D"/>
    <w:rsid w:val="00353E79"/>
    <w:rsid w:val="003545B2"/>
    <w:rsid w:val="003556C9"/>
    <w:rsid w:val="00356D3A"/>
    <w:rsid w:val="00357947"/>
    <w:rsid w:val="00360099"/>
    <w:rsid w:val="003615EE"/>
    <w:rsid w:val="00363085"/>
    <w:rsid w:val="00363F01"/>
    <w:rsid w:val="00364EA0"/>
    <w:rsid w:val="00366981"/>
    <w:rsid w:val="0036724E"/>
    <w:rsid w:val="003672E7"/>
    <w:rsid w:val="00370678"/>
    <w:rsid w:val="0037070A"/>
    <w:rsid w:val="0037214E"/>
    <w:rsid w:val="00372C85"/>
    <w:rsid w:val="00373845"/>
    <w:rsid w:val="003744E3"/>
    <w:rsid w:val="00375F71"/>
    <w:rsid w:val="00376219"/>
    <w:rsid w:val="0037663E"/>
    <w:rsid w:val="0037699E"/>
    <w:rsid w:val="00377A29"/>
    <w:rsid w:val="00377C69"/>
    <w:rsid w:val="00377DAC"/>
    <w:rsid w:val="00382E7C"/>
    <w:rsid w:val="0038415D"/>
    <w:rsid w:val="0038461C"/>
    <w:rsid w:val="003846F1"/>
    <w:rsid w:val="00385ED2"/>
    <w:rsid w:val="00386073"/>
    <w:rsid w:val="00390E6A"/>
    <w:rsid w:val="00391855"/>
    <w:rsid w:val="003918A6"/>
    <w:rsid w:val="00391F3E"/>
    <w:rsid w:val="00393ABE"/>
    <w:rsid w:val="00395DB6"/>
    <w:rsid w:val="00397398"/>
    <w:rsid w:val="003979F3"/>
    <w:rsid w:val="003A083C"/>
    <w:rsid w:val="003A21EF"/>
    <w:rsid w:val="003A371A"/>
    <w:rsid w:val="003A3B92"/>
    <w:rsid w:val="003A4E76"/>
    <w:rsid w:val="003A59CD"/>
    <w:rsid w:val="003A66B4"/>
    <w:rsid w:val="003A6B00"/>
    <w:rsid w:val="003B1139"/>
    <w:rsid w:val="003B30B2"/>
    <w:rsid w:val="003B3734"/>
    <w:rsid w:val="003B3C12"/>
    <w:rsid w:val="003B3C38"/>
    <w:rsid w:val="003B4767"/>
    <w:rsid w:val="003B484F"/>
    <w:rsid w:val="003B504B"/>
    <w:rsid w:val="003B50FB"/>
    <w:rsid w:val="003B5179"/>
    <w:rsid w:val="003B5A26"/>
    <w:rsid w:val="003B60F1"/>
    <w:rsid w:val="003B64F2"/>
    <w:rsid w:val="003B685C"/>
    <w:rsid w:val="003B7FBA"/>
    <w:rsid w:val="003C163A"/>
    <w:rsid w:val="003C17DA"/>
    <w:rsid w:val="003C404D"/>
    <w:rsid w:val="003C478C"/>
    <w:rsid w:val="003C5A87"/>
    <w:rsid w:val="003C6537"/>
    <w:rsid w:val="003C6A13"/>
    <w:rsid w:val="003C764A"/>
    <w:rsid w:val="003C78BA"/>
    <w:rsid w:val="003D1574"/>
    <w:rsid w:val="003D41F1"/>
    <w:rsid w:val="003D42AB"/>
    <w:rsid w:val="003D484E"/>
    <w:rsid w:val="003D5B94"/>
    <w:rsid w:val="003D6E12"/>
    <w:rsid w:val="003E0D3A"/>
    <w:rsid w:val="003E1E0B"/>
    <w:rsid w:val="003E2242"/>
    <w:rsid w:val="003E3AAB"/>
    <w:rsid w:val="003E55FE"/>
    <w:rsid w:val="003E6AEB"/>
    <w:rsid w:val="003E7FE9"/>
    <w:rsid w:val="003F0191"/>
    <w:rsid w:val="003F02CE"/>
    <w:rsid w:val="003F07D4"/>
    <w:rsid w:val="003F0886"/>
    <w:rsid w:val="003F174D"/>
    <w:rsid w:val="003F2329"/>
    <w:rsid w:val="003F2493"/>
    <w:rsid w:val="003F2ACB"/>
    <w:rsid w:val="003F4C38"/>
    <w:rsid w:val="003F4CB3"/>
    <w:rsid w:val="003F502D"/>
    <w:rsid w:val="003F6A04"/>
    <w:rsid w:val="003F6C31"/>
    <w:rsid w:val="003F70E3"/>
    <w:rsid w:val="003F7469"/>
    <w:rsid w:val="004001F7"/>
    <w:rsid w:val="00400426"/>
    <w:rsid w:val="00400BC1"/>
    <w:rsid w:val="00400FD2"/>
    <w:rsid w:val="00401E60"/>
    <w:rsid w:val="00403711"/>
    <w:rsid w:val="00403DAB"/>
    <w:rsid w:val="00404C52"/>
    <w:rsid w:val="00405E46"/>
    <w:rsid w:val="00407065"/>
    <w:rsid w:val="00407BAF"/>
    <w:rsid w:val="00407EAE"/>
    <w:rsid w:val="0041014B"/>
    <w:rsid w:val="00411B64"/>
    <w:rsid w:val="004125A0"/>
    <w:rsid w:val="004148AC"/>
    <w:rsid w:val="004156D5"/>
    <w:rsid w:val="00415BA9"/>
    <w:rsid w:val="00415F31"/>
    <w:rsid w:val="0041691D"/>
    <w:rsid w:val="0042000C"/>
    <w:rsid w:val="0042090E"/>
    <w:rsid w:val="00420DA2"/>
    <w:rsid w:val="00420ED1"/>
    <w:rsid w:val="00421F27"/>
    <w:rsid w:val="004238D8"/>
    <w:rsid w:val="00423A77"/>
    <w:rsid w:val="004253F5"/>
    <w:rsid w:val="00425762"/>
    <w:rsid w:val="00425ED7"/>
    <w:rsid w:val="004269CA"/>
    <w:rsid w:val="00427AFB"/>
    <w:rsid w:val="004301B6"/>
    <w:rsid w:val="004306C6"/>
    <w:rsid w:val="004324F4"/>
    <w:rsid w:val="00433082"/>
    <w:rsid w:val="00434544"/>
    <w:rsid w:val="00436082"/>
    <w:rsid w:val="0043616F"/>
    <w:rsid w:val="00441299"/>
    <w:rsid w:val="00441F4E"/>
    <w:rsid w:val="00444064"/>
    <w:rsid w:val="0044460C"/>
    <w:rsid w:val="00444EBC"/>
    <w:rsid w:val="0044585C"/>
    <w:rsid w:val="00445D43"/>
    <w:rsid w:val="00445F1A"/>
    <w:rsid w:val="0044695C"/>
    <w:rsid w:val="00446965"/>
    <w:rsid w:val="00446CD2"/>
    <w:rsid w:val="0044713F"/>
    <w:rsid w:val="00447390"/>
    <w:rsid w:val="00450706"/>
    <w:rsid w:val="00450A7F"/>
    <w:rsid w:val="0045131F"/>
    <w:rsid w:val="004523B2"/>
    <w:rsid w:val="00454A17"/>
    <w:rsid w:val="00454F79"/>
    <w:rsid w:val="00455D3D"/>
    <w:rsid w:val="0045708C"/>
    <w:rsid w:val="0045777E"/>
    <w:rsid w:val="00460D97"/>
    <w:rsid w:val="00461423"/>
    <w:rsid w:val="00462117"/>
    <w:rsid w:val="0046212C"/>
    <w:rsid w:val="00465258"/>
    <w:rsid w:val="00466B50"/>
    <w:rsid w:val="0047045B"/>
    <w:rsid w:val="004712F5"/>
    <w:rsid w:val="00471BC6"/>
    <w:rsid w:val="00472802"/>
    <w:rsid w:val="00473362"/>
    <w:rsid w:val="00473D76"/>
    <w:rsid w:val="0047496A"/>
    <w:rsid w:val="00476221"/>
    <w:rsid w:val="004766F5"/>
    <w:rsid w:val="00480B4B"/>
    <w:rsid w:val="004838D8"/>
    <w:rsid w:val="00485A23"/>
    <w:rsid w:val="00485DC4"/>
    <w:rsid w:val="004869F2"/>
    <w:rsid w:val="00487840"/>
    <w:rsid w:val="00492319"/>
    <w:rsid w:val="004926D5"/>
    <w:rsid w:val="0049279C"/>
    <w:rsid w:val="00494339"/>
    <w:rsid w:val="00494D04"/>
    <w:rsid w:val="00494FB2"/>
    <w:rsid w:val="00495427"/>
    <w:rsid w:val="00496893"/>
    <w:rsid w:val="004A03A9"/>
    <w:rsid w:val="004A0ED0"/>
    <w:rsid w:val="004A1754"/>
    <w:rsid w:val="004A1C67"/>
    <w:rsid w:val="004A23C1"/>
    <w:rsid w:val="004A40BA"/>
    <w:rsid w:val="004A43D1"/>
    <w:rsid w:val="004A492B"/>
    <w:rsid w:val="004A58B6"/>
    <w:rsid w:val="004A5E7D"/>
    <w:rsid w:val="004A76B3"/>
    <w:rsid w:val="004B26A5"/>
    <w:rsid w:val="004B4412"/>
    <w:rsid w:val="004B4A53"/>
    <w:rsid w:val="004B4BD8"/>
    <w:rsid w:val="004B6269"/>
    <w:rsid w:val="004B6589"/>
    <w:rsid w:val="004B6F6A"/>
    <w:rsid w:val="004B6F7A"/>
    <w:rsid w:val="004B72D8"/>
    <w:rsid w:val="004B76C4"/>
    <w:rsid w:val="004C0582"/>
    <w:rsid w:val="004C0650"/>
    <w:rsid w:val="004C19C6"/>
    <w:rsid w:val="004C1EAF"/>
    <w:rsid w:val="004C227C"/>
    <w:rsid w:val="004C23ED"/>
    <w:rsid w:val="004C248B"/>
    <w:rsid w:val="004C24FD"/>
    <w:rsid w:val="004C2942"/>
    <w:rsid w:val="004C3335"/>
    <w:rsid w:val="004C33B8"/>
    <w:rsid w:val="004C348C"/>
    <w:rsid w:val="004C438C"/>
    <w:rsid w:val="004C462E"/>
    <w:rsid w:val="004C4F52"/>
    <w:rsid w:val="004C6CA3"/>
    <w:rsid w:val="004C73EB"/>
    <w:rsid w:val="004C7F5E"/>
    <w:rsid w:val="004D1AC9"/>
    <w:rsid w:val="004D343C"/>
    <w:rsid w:val="004D372A"/>
    <w:rsid w:val="004D4ACB"/>
    <w:rsid w:val="004D55BA"/>
    <w:rsid w:val="004D6464"/>
    <w:rsid w:val="004D6612"/>
    <w:rsid w:val="004D720C"/>
    <w:rsid w:val="004D7B63"/>
    <w:rsid w:val="004E0FA7"/>
    <w:rsid w:val="004E22EC"/>
    <w:rsid w:val="004E41CB"/>
    <w:rsid w:val="004E71B8"/>
    <w:rsid w:val="004F070B"/>
    <w:rsid w:val="004F0BBA"/>
    <w:rsid w:val="004F0BFA"/>
    <w:rsid w:val="004F13DA"/>
    <w:rsid w:val="004F2309"/>
    <w:rsid w:val="004F29AA"/>
    <w:rsid w:val="004F31FA"/>
    <w:rsid w:val="004F4D69"/>
    <w:rsid w:val="004F5B8B"/>
    <w:rsid w:val="004F6883"/>
    <w:rsid w:val="004F6A0E"/>
    <w:rsid w:val="004F6BB3"/>
    <w:rsid w:val="005009CD"/>
    <w:rsid w:val="00502B42"/>
    <w:rsid w:val="00502EF4"/>
    <w:rsid w:val="005044AB"/>
    <w:rsid w:val="00504E5F"/>
    <w:rsid w:val="0051022C"/>
    <w:rsid w:val="00510A11"/>
    <w:rsid w:val="00510E17"/>
    <w:rsid w:val="005111A6"/>
    <w:rsid w:val="00511390"/>
    <w:rsid w:val="00511C7F"/>
    <w:rsid w:val="00512394"/>
    <w:rsid w:val="005123E8"/>
    <w:rsid w:val="0051337E"/>
    <w:rsid w:val="005134F0"/>
    <w:rsid w:val="00513FA7"/>
    <w:rsid w:val="00514E8A"/>
    <w:rsid w:val="0051768F"/>
    <w:rsid w:val="005178EC"/>
    <w:rsid w:val="00521512"/>
    <w:rsid w:val="00522DC2"/>
    <w:rsid w:val="00523913"/>
    <w:rsid w:val="005253B1"/>
    <w:rsid w:val="00525BF1"/>
    <w:rsid w:val="0052799E"/>
    <w:rsid w:val="00530128"/>
    <w:rsid w:val="005323A8"/>
    <w:rsid w:val="00532413"/>
    <w:rsid w:val="00532467"/>
    <w:rsid w:val="00532C2A"/>
    <w:rsid w:val="005332A9"/>
    <w:rsid w:val="00533422"/>
    <w:rsid w:val="00535E1D"/>
    <w:rsid w:val="0053603C"/>
    <w:rsid w:val="00536337"/>
    <w:rsid w:val="00537871"/>
    <w:rsid w:val="005402BE"/>
    <w:rsid w:val="00540C84"/>
    <w:rsid w:val="0054127C"/>
    <w:rsid w:val="005422D7"/>
    <w:rsid w:val="00542E97"/>
    <w:rsid w:val="00542F8C"/>
    <w:rsid w:val="00542FE9"/>
    <w:rsid w:val="0054330B"/>
    <w:rsid w:val="00544598"/>
    <w:rsid w:val="00544954"/>
    <w:rsid w:val="00544C8D"/>
    <w:rsid w:val="00544DFD"/>
    <w:rsid w:val="005466CE"/>
    <w:rsid w:val="005474A6"/>
    <w:rsid w:val="0055055D"/>
    <w:rsid w:val="00551C88"/>
    <w:rsid w:val="00552880"/>
    <w:rsid w:val="00554ACB"/>
    <w:rsid w:val="005559C4"/>
    <w:rsid w:val="00556B1E"/>
    <w:rsid w:val="00561410"/>
    <w:rsid w:val="00564A4D"/>
    <w:rsid w:val="00564B67"/>
    <w:rsid w:val="005653D1"/>
    <w:rsid w:val="0056598C"/>
    <w:rsid w:val="00566718"/>
    <w:rsid w:val="00566E0B"/>
    <w:rsid w:val="00567ADC"/>
    <w:rsid w:val="00567BA5"/>
    <w:rsid w:val="00571B35"/>
    <w:rsid w:val="00571B43"/>
    <w:rsid w:val="00571D57"/>
    <w:rsid w:val="005731C6"/>
    <w:rsid w:val="00573A3B"/>
    <w:rsid w:val="00573F48"/>
    <w:rsid w:val="005760C3"/>
    <w:rsid w:val="005767E2"/>
    <w:rsid w:val="00576C2D"/>
    <w:rsid w:val="0057720B"/>
    <w:rsid w:val="00577716"/>
    <w:rsid w:val="0057771A"/>
    <w:rsid w:val="00577A09"/>
    <w:rsid w:val="00577D3B"/>
    <w:rsid w:val="00580887"/>
    <w:rsid w:val="00581F38"/>
    <w:rsid w:val="005829C2"/>
    <w:rsid w:val="00583D10"/>
    <w:rsid w:val="00584D8F"/>
    <w:rsid w:val="00584EA4"/>
    <w:rsid w:val="0058776F"/>
    <w:rsid w:val="00587A18"/>
    <w:rsid w:val="00587ADE"/>
    <w:rsid w:val="00590E6E"/>
    <w:rsid w:val="00590E86"/>
    <w:rsid w:val="00591E38"/>
    <w:rsid w:val="00592186"/>
    <w:rsid w:val="00593800"/>
    <w:rsid w:val="00593CC2"/>
    <w:rsid w:val="00594AAF"/>
    <w:rsid w:val="00595CC7"/>
    <w:rsid w:val="0059630B"/>
    <w:rsid w:val="005A043F"/>
    <w:rsid w:val="005A0BEC"/>
    <w:rsid w:val="005A404D"/>
    <w:rsid w:val="005A5EE4"/>
    <w:rsid w:val="005A7990"/>
    <w:rsid w:val="005B10F9"/>
    <w:rsid w:val="005B1E3C"/>
    <w:rsid w:val="005B2061"/>
    <w:rsid w:val="005B2EEF"/>
    <w:rsid w:val="005B4E26"/>
    <w:rsid w:val="005B6518"/>
    <w:rsid w:val="005B704A"/>
    <w:rsid w:val="005B72D7"/>
    <w:rsid w:val="005C045F"/>
    <w:rsid w:val="005C0CB3"/>
    <w:rsid w:val="005C16FE"/>
    <w:rsid w:val="005C1FAB"/>
    <w:rsid w:val="005C21A4"/>
    <w:rsid w:val="005C26CC"/>
    <w:rsid w:val="005C2F9A"/>
    <w:rsid w:val="005C31F8"/>
    <w:rsid w:val="005C418D"/>
    <w:rsid w:val="005C4463"/>
    <w:rsid w:val="005C5BBE"/>
    <w:rsid w:val="005D2062"/>
    <w:rsid w:val="005D3D88"/>
    <w:rsid w:val="005D3EE4"/>
    <w:rsid w:val="005D420C"/>
    <w:rsid w:val="005D4692"/>
    <w:rsid w:val="005D48C4"/>
    <w:rsid w:val="005D515C"/>
    <w:rsid w:val="005D5B9A"/>
    <w:rsid w:val="005D6208"/>
    <w:rsid w:val="005D6366"/>
    <w:rsid w:val="005D672B"/>
    <w:rsid w:val="005D7BA2"/>
    <w:rsid w:val="005E137B"/>
    <w:rsid w:val="005E2B73"/>
    <w:rsid w:val="005E36C2"/>
    <w:rsid w:val="005E4926"/>
    <w:rsid w:val="005E4AF4"/>
    <w:rsid w:val="005F3608"/>
    <w:rsid w:val="005F387E"/>
    <w:rsid w:val="005F4576"/>
    <w:rsid w:val="005F519F"/>
    <w:rsid w:val="005F5219"/>
    <w:rsid w:val="006018C8"/>
    <w:rsid w:val="00601E0B"/>
    <w:rsid w:val="0060249C"/>
    <w:rsid w:val="0060258B"/>
    <w:rsid w:val="00610C32"/>
    <w:rsid w:val="00610EF9"/>
    <w:rsid w:val="00612998"/>
    <w:rsid w:val="00612B19"/>
    <w:rsid w:val="00612F4F"/>
    <w:rsid w:val="006142D1"/>
    <w:rsid w:val="00614EA0"/>
    <w:rsid w:val="006157F5"/>
    <w:rsid w:val="00615C6B"/>
    <w:rsid w:val="00617977"/>
    <w:rsid w:val="00617D4C"/>
    <w:rsid w:val="00621DCE"/>
    <w:rsid w:val="00621FC5"/>
    <w:rsid w:val="00623AD3"/>
    <w:rsid w:val="00624156"/>
    <w:rsid w:val="0062424C"/>
    <w:rsid w:val="00624F2C"/>
    <w:rsid w:val="006263EC"/>
    <w:rsid w:val="00627A0C"/>
    <w:rsid w:val="00627CED"/>
    <w:rsid w:val="00627D97"/>
    <w:rsid w:val="00630BC5"/>
    <w:rsid w:val="00630DAC"/>
    <w:rsid w:val="006323C1"/>
    <w:rsid w:val="00632D6D"/>
    <w:rsid w:val="00632EBA"/>
    <w:rsid w:val="00633A55"/>
    <w:rsid w:val="006342E4"/>
    <w:rsid w:val="006349D6"/>
    <w:rsid w:val="00636569"/>
    <w:rsid w:val="00636EF9"/>
    <w:rsid w:val="006370AB"/>
    <w:rsid w:val="00640F98"/>
    <w:rsid w:val="006424FD"/>
    <w:rsid w:val="0064256F"/>
    <w:rsid w:val="00642C3E"/>
    <w:rsid w:val="00643203"/>
    <w:rsid w:val="00644A01"/>
    <w:rsid w:val="00644E6E"/>
    <w:rsid w:val="0064544D"/>
    <w:rsid w:val="0065019C"/>
    <w:rsid w:val="00650666"/>
    <w:rsid w:val="00650E42"/>
    <w:rsid w:val="00651E2D"/>
    <w:rsid w:val="00652324"/>
    <w:rsid w:val="00654763"/>
    <w:rsid w:val="00655C19"/>
    <w:rsid w:val="00656A81"/>
    <w:rsid w:val="006577FB"/>
    <w:rsid w:val="0066104A"/>
    <w:rsid w:val="006619BD"/>
    <w:rsid w:val="006628A9"/>
    <w:rsid w:val="00663066"/>
    <w:rsid w:val="00663DAD"/>
    <w:rsid w:val="00664189"/>
    <w:rsid w:val="00664206"/>
    <w:rsid w:val="006649E7"/>
    <w:rsid w:val="00666634"/>
    <w:rsid w:val="00671692"/>
    <w:rsid w:val="00673921"/>
    <w:rsid w:val="00675223"/>
    <w:rsid w:val="00675E20"/>
    <w:rsid w:val="00676679"/>
    <w:rsid w:val="00677196"/>
    <w:rsid w:val="0068099B"/>
    <w:rsid w:val="00681894"/>
    <w:rsid w:val="006824C9"/>
    <w:rsid w:val="00682D1B"/>
    <w:rsid w:val="006839DE"/>
    <w:rsid w:val="00683C89"/>
    <w:rsid w:val="00685AE0"/>
    <w:rsid w:val="0068649D"/>
    <w:rsid w:val="00691A66"/>
    <w:rsid w:val="00691B53"/>
    <w:rsid w:val="006924C9"/>
    <w:rsid w:val="006924FA"/>
    <w:rsid w:val="00692A51"/>
    <w:rsid w:val="00694092"/>
    <w:rsid w:val="00694145"/>
    <w:rsid w:val="0069469E"/>
    <w:rsid w:val="00695FDE"/>
    <w:rsid w:val="00697D0B"/>
    <w:rsid w:val="006A07AA"/>
    <w:rsid w:val="006A083E"/>
    <w:rsid w:val="006A0BD1"/>
    <w:rsid w:val="006A0CC4"/>
    <w:rsid w:val="006A12BA"/>
    <w:rsid w:val="006A4209"/>
    <w:rsid w:val="006A4739"/>
    <w:rsid w:val="006A4906"/>
    <w:rsid w:val="006A5EDB"/>
    <w:rsid w:val="006A66A1"/>
    <w:rsid w:val="006B032D"/>
    <w:rsid w:val="006B0439"/>
    <w:rsid w:val="006B19B8"/>
    <w:rsid w:val="006B2395"/>
    <w:rsid w:val="006B2AFB"/>
    <w:rsid w:val="006B40AC"/>
    <w:rsid w:val="006B4CF9"/>
    <w:rsid w:val="006B62A4"/>
    <w:rsid w:val="006B7067"/>
    <w:rsid w:val="006B797C"/>
    <w:rsid w:val="006B7AC8"/>
    <w:rsid w:val="006C010D"/>
    <w:rsid w:val="006C0580"/>
    <w:rsid w:val="006C1736"/>
    <w:rsid w:val="006C2D76"/>
    <w:rsid w:val="006C2F3C"/>
    <w:rsid w:val="006C2F54"/>
    <w:rsid w:val="006C329B"/>
    <w:rsid w:val="006C33F6"/>
    <w:rsid w:val="006C4EC5"/>
    <w:rsid w:val="006C5032"/>
    <w:rsid w:val="006C6303"/>
    <w:rsid w:val="006C7F40"/>
    <w:rsid w:val="006D1F5F"/>
    <w:rsid w:val="006D37FC"/>
    <w:rsid w:val="006D550F"/>
    <w:rsid w:val="006D5F36"/>
    <w:rsid w:val="006D6146"/>
    <w:rsid w:val="006D6FE2"/>
    <w:rsid w:val="006D72D2"/>
    <w:rsid w:val="006D7F7E"/>
    <w:rsid w:val="006E0CFF"/>
    <w:rsid w:val="006E19AA"/>
    <w:rsid w:val="006E1A74"/>
    <w:rsid w:val="006E3AB7"/>
    <w:rsid w:val="006E4354"/>
    <w:rsid w:val="006F0C30"/>
    <w:rsid w:val="006F0D92"/>
    <w:rsid w:val="006F267D"/>
    <w:rsid w:val="006F3486"/>
    <w:rsid w:val="006F3E74"/>
    <w:rsid w:val="006F48D7"/>
    <w:rsid w:val="006F59E4"/>
    <w:rsid w:val="006F5C59"/>
    <w:rsid w:val="006F5DD0"/>
    <w:rsid w:val="006F66F0"/>
    <w:rsid w:val="006F779D"/>
    <w:rsid w:val="0070011E"/>
    <w:rsid w:val="00701009"/>
    <w:rsid w:val="00701CAB"/>
    <w:rsid w:val="007023BB"/>
    <w:rsid w:val="00702B30"/>
    <w:rsid w:val="00702BF5"/>
    <w:rsid w:val="007032E1"/>
    <w:rsid w:val="00704B63"/>
    <w:rsid w:val="00704DD7"/>
    <w:rsid w:val="007057F3"/>
    <w:rsid w:val="00705837"/>
    <w:rsid w:val="00706B29"/>
    <w:rsid w:val="00706D39"/>
    <w:rsid w:val="00707485"/>
    <w:rsid w:val="00707563"/>
    <w:rsid w:val="0071240B"/>
    <w:rsid w:val="00712B23"/>
    <w:rsid w:val="00713987"/>
    <w:rsid w:val="0071399F"/>
    <w:rsid w:val="00713AD7"/>
    <w:rsid w:val="0071556E"/>
    <w:rsid w:val="00715783"/>
    <w:rsid w:val="00715F61"/>
    <w:rsid w:val="00716DCA"/>
    <w:rsid w:val="00720FBA"/>
    <w:rsid w:val="00721508"/>
    <w:rsid w:val="00722132"/>
    <w:rsid w:val="007228F7"/>
    <w:rsid w:val="0072348C"/>
    <w:rsid w:val="00723A2C"/>
    <w:rsid w:val="00723CDC"/>
    <w:rsid w:val="00724A37"/>
    <w:rsid w:val="00726564"/>
    <w:rsid w:val="0072705A"/>
    <w:rsid w:val="007277EC"/>
    <w:rsid w:val="00727AD3"/>
    <w:rsid w:val="007303C3"/>
    <w:rsid w:val="007309D7"/>
    <w:rsid w:val="00731188"/>
    <w:rsid w:val="007325D7"/>
    <w:rsid w:val="00733E28"/>
    <w:rsid w:val="007356CC"/>
    <w:rsid w:val="007362E6"/>
    <w:rsid w:val="007368E6"/>
    <w:rsid w:val="007375DF"/>
    <w:rsid w:val="00741AE7"/>
    <w:rsid w:val="00741CA9"/>
    <w:rsid w:val="007429BE"/>
    <w:rsid w:val="007429FB"/>
    <w:rsid w:val="00743223"/>
    <w:rsid w:val="00743349"/>
    <w:rsid w:val="0074403A"/>
    <w:rsid w:val="007452FA"/>
    <w:rsid w:val="00746E01"/>
    <w:rsid w:val="007477B7"/>
    <w:rsid w:val="0075102A"/>
    <w:rsid w:val="00751DCD"/>
    <w:rsid w:val="00752491"/>
    <w:rsid w:val="007538F0"/>
    <w:rsid w:val="00753965"/>
    <w:rsid w:val="00755084"/>
    <w:rsid w:val="007554DB"/>
    <w:rsid w:val="00755DFD"/>
    <w:rsid w:val="00756BF5"/>
    <w:rsid w:val="00757364"/>
    <w:rsid w:val="00757A77"/>
    <w:rsid w:val="00757BDF"/>
    <w:rsid w:val="00757D1F"/>
    <w:rsid w:val="007609D0"/>
    <w:rsid w:val="00760A7C"/>
    <w:rsid w:val="00761454"/>
    <w:rsid w:val="0076193D"/>
    <w:rsid w:val="00762FF0"/>
    <w:rsid w:val="00763E5D"/>
    <w:rsid w:val="00766B88"/>
    <w:rsid w:val="00767740"/>
    <w:rsid w:val="00767B5E"/>
    <w:rsid w:val="00770064"/>
    <w:rsid w:val="007715E8"/>
    <w:rsid w:val="00772CCB"/>
    <w:rsid w:val="007753DC"/>
    <w:rsid w:val="00775460"/>
    <w:rsid w:val="007754F4"/>
    <w:rsid w:val="0077568D"/>
    <w:rsid w:val="00777EE6"/>
    <w:rsid w:val="00780D19"/>
    <w:rsid w:val="007814C7"/>
    <w:rsid w:val="00782EEA"/>
    <w:rsid w:val="00784BA1"/>
    <w:rsid w:val="00785A15"/>
    <w:rsid w:val="00786CA4"/>
    <w:rsid w:val="00790305"/>
    <w:rsid w:val="007909B4"/>
    <w:rsid w:val="00790E86"/>
    <w:rsid w:val="00790EAC"/>
    <w:rsid w:val="00791130"/>
    <w:rsid w:val="00791A99"/>
    <w:rsid w:val="007925FB"/>
    <w:rsid w:val="0079335B"/>
    <w:rsid w:val="00793CED"/>
    <w:rsid w:val="007949D7"/>
    <w:rsid w:val="00794DC4"/>
    <w:rsid w:val="00794EAF"/>
    <w:rsid w:val="0079769A"/>
    <w:rsid w:val="007A0143"/>
    <w:rsid w:val="007A1A03"/>
    <w:rsid w:val="007A2CE1"/>
    <w:rsid w:val="007A34C2"/>
    <w:rsid w:val="007A3507"/>
    <w:rsid w:val="007A3561"/>
    <w:rsid w:val="007A396C"/>
    <w:rsid w:val="007A441F"/>
    <w:rsid w:val="007A4B02"/>
    <w:rsid w:val="007A4B96"/>
    <w:rsid w:val="007A6E1C"/>
    <w:rsid w:val="007A7BEB"/>
    <w:rsid w:val="007A7DB1"/>
    <w:rsid w:val="007B0BE3"/>
    <w:rsid w:val="007B1816"/>
    <w:rsid w:val="007B186E"/>
    <w:rsid w:val="007B1A51"/>
    <w:rsid w:val="007B23A6"/>
    <w:rsid w:val="007B25DC"/>
    <w:rsid w:val="007B2A46"/>
    <w:rsid w:val="007B2C72"/>
    <w:rsid w:val="007B376B"/>
    <w:rsid w:val="007B3789"/>
    <w:rsid w:val="007B5AA9"/>
    <w:rsid w:val="007B651F"/>
    <w:rsid w:val="007B7924"/>
    <w:rsid w:val="007B7BB5"/>
    <w:rsid w:val="007C1C53"/>
    <w:rsid w:val="007C284C"/>
    <w:rsid w:val="007C4033"/>
    <w:rsid w:val="007C4B82"/>
    <w:rsid w:val="007C7156"/>
    <w:rsid w:val="007C74BB"/>
    <w:rsid w:val="007C774B"/>
    <w:rsid w:val="007C7F64"/>
    <w:rsid w:val="007D0A95"/>
    <w:rsid w:val="007D0D6F"/>
    <w:rsid w:val="007D0EB5"/>
    <w:rsid w:val="007D2478"/>
    <w:rsid w:val="007D2807"/>
    <w:rsid w:val="007D2BB1"/>
    <w:rsid w:val="007D2DEE"/>
    <w:rsid w:val="007D376D"/>
    <w:rsid w:val="007D3938"/>
    <w:rsid w:val="007D3D01"/>
    <w:rsid w:val="007D456E"/>
    <w:rsid w:val="007D504D"/>
    <w:rsid w:val="007D5837"/>
    <w:rsid w:val="007D5B8E"/>
    <w:rsid w:val="007E1A9B"/>
    <w:rsid w:val="007E1C6D"/>
    <w:rsid w:val="007E24FC"/>
    <w:rsid w:val="007E27A4"/>
    <w:rsid w:val="007E36BF"/>
    <w:rsid w:val="007E3730"/>
    <w:rsid w:val="007E42C9"/>
    <w:rsid w:val="007E4904"/>
    <w:rsid w:val="007E4CB5"/>
    <w:rsid w:val="007E4DAE"/>
    <w:rsid w:val="007E6851"/>
    <w:rsid w:val="007F066B"/>
    <w:rsid w:val="007F3196"/>
    <w:rsid w:val="007F438A"/>
    <w:rsid w:val="007F4EAB"/>
    <w:rsid w:val="007F541E"/>
    <w:rsid w:val="007F5B16"/>
    <w:rsid w:val="007F7C9D"/>
    <w:rsid w:val="008008B6"/>
    <w:rsid w:val="008024B8"/>
    <w:rsid w:val="008033C4"/>
    <w:rsid w:val="00806731"/>
    <w:rsid w:val="00806C88"/>
    <w:rsid w:val="0081034E"/>
    <w:rsid w:val="00810806"/>
    <w:rsid w:val="00811E6C"/>
    <w:rsid w:val="00814A31"/>
    <w:rsid w:val="00815882"/>
    <w:rsid w:val="00817022"/>
    <w:rsid w:val="008176FB"/>
    <w:rsid w:val="00820454"/>
    <w:rsid w:val="00820DBE"/>
    <w:rsid w:val="008213FA"/>
    <w:rsid w:val="00822AC7"/>
    <w:rsid w:val="00822E86"/>
    <w:rsid w:val="008261D7"/>
    <w:rsid w:val="00831EDC"/>
    <w:rsid w:val="00834142"/>
    <w:rsid w:val="008344F6"/>
    <w:rsid w:val="00834A1D"/>
    <w:rsid w:val="0083510F"/>
    <w:rsid w:val="00837BF3"/>
    <w:rsid w:val="0084089D"/>
    <w:rsid w:val="008415DE"/>
    <w:rsid w:val="00841F36"/>
    <w:rsid w:val="008420DE"/>
    <w:rsid w:val="0084540D"/>
    <w:rsid w:val="008456E4"/>
    <w:rsid w:val="00845865"/>
    <w:rsid w:val="00847709"/>
    <w:rsid w:val="0084799B"/>
    <w:rsid w:val="00850C90"/>
    <w:rsid w:val="00851209"/>
    <w:rsid w:val="0085171F"/>
    <w:rsid w:val="008518CD"/>
    <w:rsid w:val="00851DF7"/>
    <w:rsid w:val="00853A5A"/>
    <w:rsid w:val="0085538F"/>
    <w:rsid w:val="00856946"/>
    <w:rsid w:val="00856A93"/>
    <w:rsid w:val="00857203"/>
    <w:rsid w:val="00857E6B"/>
    <w:rsid w:val="008600DD"/>
    <w:rsid w:val="00860ADE"/>
    <w:rsid w:val="00860DBD"/>
    <w:rsid w:val="0086180C"/>
    <w:rsid w:val="00862E8A"/>
    <w:rsid w:val="008658A1"/>
    <w:rsid w:val="0086716A"/>
    <w:rsid w:val="008677BB"/>
    <w:rsid w:val="00870058"/>
    <w:rsid w:val="00870613"/>
    <w:rsid w:val="00871AF9"/>
    <w:rsid w:val="0087380F"/>
    <w:rsid w:val="008745F0"/>
    <w:rsid w:val="00875221"/>
    <w:rsid w:val="00875767"/>
    <w:rsid w:val="008759B1"/>
    <w:rsid w:val="008762FA"/>
    <w:rsid w:val="0087648F"/>
    <w:rsid w:val="00876612"/>
    <w:rsid w:val="0087718C"/>
    <w:rsid w:val="008808D0"/>
    <w:rsid w:val="00880C29"/>
    <w:rsid w:val="0088286D"/>
    <w:rsid w:val="00882BB1"/>
    <w:rsid w:val="008837AC"/>
    <w:rsid w:val="00883ACE"/>
    <w:rsid w:val="008846CD"/>
    <w:rsid w:val="00885700"/>
    <w:rsid w:val="008863CB"/>
    <w:rsid w:val="00886A0C"/>
    <w:rsid w:val="00887CCF"/>
    <w:rsid w:val="008909DC"/>
    <w:rsid w:val="008916AE"/>
    <w:rsid w:val="00892179"/>
    <w:rsid w:val="008923F8"/>
    <w:rsid w:val="00894255"/>
    <w:rsid w:val="008945AD"/>
    <w:rsid w:val="008A0645"/>
    <w:rsid w:val="008A1935"/>
    <w:rsid w:val="008A1C02"/>
    <w:rsid w:val="008A1D0E"/>
    <w:rsid w:val="008A2645"/>
    <w:rsid w:val="008A2DA1"/>
    <w:rsid w:val="008A3482"/>
    <w:rsid w:val="008A370D"/>
    <w:rsid w:val="008A3AB7"/>
    <w:rsid w:val="008A4DE4"/>
    <w:rsid w:val="008A587D"/>
    <w:rsid w:val="008B12B4"/>
    <w:rsid w:val="008B16B0"/>
    <w:rsid w:val="008B1BD5"/>
    <w:rsid w:val="008B28F1"/>
    <w:rsid w:val="008B2A0D"/>
    <w:rsid w:val="008B2D9E"/>
    <w:rsid w:val="008B35CD"/>
    <w:rsid w:val="008B4093"/>
    <w:rsid w:val="008B5A94"/>
    <w:rsid w:val="008B5EAB"/>
    <w:rsid w:val="008B5FCC"/>
    <w:rsid w:val="008B62F6"/>
    <w:rsid w:val="008B685E"/>
    <w:rsid w:val="008B6D48"/>
    <w:rsid w:val="008B7CDE"/>
    <w:rsid w:val="008B7F36"/>
    <w:rsid w:val="008C05DC"/>
    <w:rsid w:val="008C0DE8"/>
    <w:rsid w:val="008C160B"/>
    <w:rsid w:val="008C1864"/>
    <w:rsid w:val="008C1866"/>
    <w:rsid w:val="008C1A70"/>
    <w:rsid w:val="008C2042"/>
    <w:rsid w:val="008C2566"/>
    <w:rsid w:val="008C357F"/>
    <w:rsid w:val="008C4AAC"/>
    <w:rsid w:val="008C5486"/>
    <w:rsid w:val="008C5D3B"/>
    <w:rsid w:val="008C772A"/>
    <w:rsid w:val="008C778E"/>
    <w:rsid w:val="008C7D6F"/>
    <w:rsid w:val="008C7F37"/>
    <w:rsid w:val="008D1661"/>
    <w:rsid w:val="008D1E30"/>
    <w:rsid w:val="008D22B0"/>
    <w:rsid w:val="008D27E0"/>
    <w:rsid w:val="008D2A72"/>
    <w:rsid w:val="008D5F90"/>
    <w:rsid w:val="008D6800"/>
    <w:rsid w:val="008D72F1"/>
    <w:rsid w:val="008E097E"/>
    <w:rsid w:val="008E1691"/>
    <w:rsid w:val="008E21A8"/>
    <w:rsid w:val="008E267F"/>
    <w:rsid w:val="008E2F38"/>
    <w:rsid w:val="008E4089"/>
    <w:rsid w:val="008E5AFF"/>
    <w:rsid w:val="008E7031"/>
    <w:rsid w:val="008E77DE"/>
    <w:rsid w:val="008E79B8"/>
    <w:rsid w:val="008E7B0A"/>
    <w:rsid w:val="008F0205"/>
    <w:rsid w:val="008F040C"/>
    <w:rsid w:val="008F07A3"/>
    <w:rsid w:val="008F255B"/>
    <w:rsid w:val="008F3322"/>
    <w:rsid w:val="008F3519"/>
    <w:rsid w:val="008F3A0D"/>
    <w:rsid w:val="008F5A6E"/>
    <w:rsid w:val="009001B6"/>
    <w:rsid w:val="00900E1B"/>
    <w:rsid w:val="0090131F"/>
    <w:rsid w:val="00904C4B"/>
    <w:rsid w:val="00907683"/>
    <w:rsid w:val="00907C11"/>
    <w:rsid w:val="009104CB"/>
    <w:rsid w:val="009132B7"/>
    <w:rsid w:val="0091415B"/>
    <w:rsid w:val="00916A2C"/>
    <w:rsid w:val="00921E66"/>
    <w:rsid w:val="00922D9D"/>
    <w:rsid w:val="009233EE"/>
    <w:rsid w:val="009259BD"/>
    <w:rsid w:val="00926D14"/>
    <w:rsid w:val="00927AB6"/>
    <w:rsid w:val="00930B1A"/>
    <w:rsid w:val="00932612"/>
    <w:rsid w:val="009327DC"/>
    <w:rsid w:val="00933040"/>
    <w:rsid w:val="00933625"/>
    <w:rsid w:val="009338D9"/>
    <w:rsid w:val="009339BD"/>
    <w:rsid w:val="0093456A"/>
    <w:rsid w:val="009356CF"/>
    <w:rsid w:val="00940374"/>
    <w:rsid w:val="00940EA4"/>
    <w:rsid w:val="009410CD"/>
    <w:rsid w:val="00943652"/>
    <w:rsid w:val="00945E53"/>
    <w:rsid w:val="009460AA"/>
    <w:rsid w:val="00946CB5"/>
    <w:rsid w:val="00946F1D"/>
    <w:rsid w:val="009503F5"/>
    <w:rsid w:val="00950788"/>
    <w:rsid w:val="00951978"/>
    <w:rsid w:val="00951C84"/>
    <w:rsid w:val="00952C8B"/>
    <w:rsid w:val="009554DB"/>
    <w:rsid w:val="00956689"/>
    <w:rsid w:val="00956D1F"/>
    <w:rsid w:val="00956D83"/>
    <w:rsid w:val="009601BF"/>
    <w:rsid w:val="00960BA2"/>
    <w:rsid w:val="00961953"/>
    <w:rsid w:val="00961A4A"/>
    <w:rsid w:val="00961E95"/>
    <w:rsid w:val="00964A65"/>
    <w:rsid w:val="0096510D"/>
    <w:rsid w:val="009653F3"/>
    <w:rsid w:val="009661DE"/>
    <w:rsid w:val="009668A0"/>
    <w:rsid w:val="009668F2"/>
    <w:rsid w:val="00966C53"/>
    <w:rsid w:val="00971706"/>
    <w:rsid w:val="00972C7C"/>
    <w:rsid w:val="009765EF"/>
    <w:rsid w:val="00976717"/>
    <w:rsid w:val="009776F4"/>
    <w:rsid w:val="00981AB1"/>
    <w:rsid w:val="00982DA2"/>
    <w:rsid w:val="00983C25"/>
    <w:rsid w:val="00983CD8"/>
    <w:rsid w:val="00983D06"/>
    <w:rsid w:val="0098466D"/>
    <w:rsid w:val="009856B7"/>
    <w:rsid w:val="009859D6"/>
    <w:rsid w:val="00985C86"/>
    <w:rsid w:val="00986189"/>
    <w:rsid w:val="0098631B"/>
    <w:rsid w:val="009864A7"/>
    <w:rsid w:val="00990939"/>
    <w:rsid w:val="00995493"/>
    <w:rsid w:val="00995A4E"/>
    <w:rsid w:val="0099641B"/>
    <w:rsid w:val="009968B7"/>
    <w:rsid w:val="009977AC"/>
    <w:rsid w:val="009A2CB5"/>
    <w:rsid w:val="009A30C3"/>
    <w:rsid w:val="009A3DA8"/>
    <w:rsid w:val="009A4A25"/>
    <w:rsid w:val="009A5FC3"/>
    <w:rsid w:val="009A656E"/>
    <w:rsid w:val="009B6F84"/>
    <w:rsid w:val="009B73DE"/>
    <w:rsid w:val="009B74B0"/>
    <w:rsid w:val="009C0152"/>
    <w:rsid w:val="009C1A06"/>
    <w:rsid w:val="009C1A74"/>
    <w:rsid w:val="009C2407"/>
    <w:rsid w:val="009C27B1"/>
    <w:rsid w:val="009C3D42"/>
    <w:rsid w:val="009C44CE"/>
    <w:rsid w:val="009C491E"/>
    <w:rsid w:val="009C511D"/>
    <w:rsid w:val="009C523F"/>
    <w:rsid w:val="009C6A1A"/>
    <w:rsid w:val="009C7307"/>
    <w:rsid w:val="009D0DF1"/>
    <w:rsid w:val="009D22D6"/>
    <w:rsid w:val="009D2C84"/>
    <w:rsid w:val="009D30E0"/>
    <w:rsid w:val="009D3906"/>
    <w:rsid w:val="009D53BE"/>
    <w:rsid w:val="009D5E35"/>
    <w:rsid w:val="009D5FEB"/>
    <w:rsid w:val="009D6B46"/>
    <w:rsid w:val="009D77E1"/>
    <w:rsid w:val="009E35B6"/>
    <w:rsid w:val="009E42E3"/>
    <w:rsid w:val="009E5988"/>
    <w:rsid w:val="009E5ABC"/>
    <w:rsid w:val="009E6CA1"/>
    <w:rsid w:val="009F15F1"/>
    <w:rsid w:val="009F2715"/>
    <w:rsid w:val="009F3299"/>
    <w:rsid w:val="009F3BBA"/>
    <w:rsid w:val="009F43B4"/>
    <w:rsid w:val="009F490E"/>
    <w:rsid w:val="009F4940"/>
    <w:rsid w:val="009F5BA1"/>
    <w:rsid w:val="009F631B"/>
    <w:rsid w:val="009F6C8A"/>
    <w:rsid w:val="00A003D4"/>
    <w:rsid w:val="00A0146A"/>
    <w:rsid w:val="00A01B1A"/>
    <w:rsid w:val="00A026C4"/>
    <w:rsid w:val="00A02A88"/>
    <w:rsid w:val="00A04012"/>
    <w:rsid w:val="00A046FA"/>
    <w:rsid w:val="00A0562E"/>
    <w:rsid w:val="00A05748"/>
    <w:rsid w:val="00A06508"/>
    <w:rsid w:val="00A06CCA"/>
    <w:rsid w:val="00A0726D"/>
    <w:rsid w:val="00A073AE"/>
    <w:rsid w:val="00A12204"/>
    <w:rsid w:val="00A12750"/>
    <w:rsid w:val="00A13CB0"/>
    <w:rsid w:val="00A14CE9"/>
    <w:rsid w:val="00A1561F"/>
    <w:rsid w:val="00A16544"/>
    <w:rsid w:val="00A16C32"/>
    <w:rsid w:val="00A20AD7"/>
    <w:rsid w:val="00A20B54"/>
    <w:rsid w:val="00A20E74"/>
    <w:rsid w:val="00A21A30"/>
    <w:rsid w:val="00A2356C"/>
    <w:rsid w:val="00A240BC"/>
    <w:rsid w:val="00A244EE"/>
    <w:rsid w:val="00A25CFD"/>
    <w:rsid w:val="00A30BF5"/>
    <w:rsid w:val="00A31A9C"/>
    <w:rsid w:val="00A31BE6"/>
    <w:rsid w:val="00A32FBB"/>
    <w:rsid w:val="00A33138"/>
    <w:rsid w:val="00A33A3A"/>
    <w:rsid w:val="00A34C25"/>
    <w:rsid w:val="00A35982"/>
    <w:rsid w:val="00A365A7"/>
    <w:rsid w:val="00A368DD"/>
    <w:rsid w:val="00A36D9A"/>
    <w:rsid w:val="00A375A5"/>
    <w:rsid w:val="00A37855"/>
    <w:rsid w:val="00A40068"/>
    <w:rsid w:val="00A4090F"/>
    <w:rsid w:val="00A40BE9"/>
    <w:rsid w:val="00A41D10"/>
    <w:rsid w:val="00A428EE"/>
    <w:rsid w:val="00A443C2"/>
    <w:rsid w:val="00A4478A"/>
    <w:rsid w:val="00A44852"/>
    <w:rsid w:val="00A44BBF"/>
    <w:rsid w:val="00A47919"/>
    <w:rsid w:val="00A47B16"/>
    <w:rsid w:val="00A50502"/>
    <w:rsid w:val="00A5087B"/>
    <w:rsid w:val="00A52080"/>
    <w:rsid w:val="00A52215"/>
    <w:rsid w:val="00A53409"/>
    <w:rsid w:val="00A53796"/>
    <w:rsid w:val="00A53848"/>
    <w:rsid w:val="00A56121"/>
    <w:rsid w:val="00A56945"/>
    <w:rsid w:val="00A56A6E"/>
    <w:rsid w:val="00A571CB"/>
    <w:rsid w:val="00A57D04"/>
    <w:rsid w:val="00A60A26"/>
    <w:rsid w:val="00A60D01"/>
    <w:rsid w:val="00A61598"/>
    <w:rsid w:val="00A61777"/>
    <w:rsid w:val="00A61E7E"/>
    <w:rsid w:val="00A620EA"/>
    <w:rsid w:val="00A62D30"/>
    <w:rsid w:val="00A630D6"/>
    <w:rsid w:val="00A63646"/>
    <w:rsid w:val="00A63914"/>
    <w:rsid w:val="00A63B21"/>
    <w:rsid w:val="00A65184"/>
    <w:rsid w:val="00A662AF"/>
    <w:rsid w:val="00A7346B"/>
    <w:rsid w:val="00A739F7"/>
    <w:rsid w:val="00A73B59"/>
    <w:rsid w:val="00A7622D"/>
    <w:rsid w:val="00A77A23"/>
    <w:rsid w:val="00A77F55"/>
    <w:rsid w:val="00A8255A"/>
    <w:rsid w:val="00A83D5F"/>
    <w:rsid w:val="00A84A99"/>
    <w:rsid w:val="00A84F46"/>
    <w:rsid w:val="00A8521C"/>
    <w:rsid w:val="00A85E87"/>
    <w:rsid w:val="00A8687F"/>
    <w:rsid w:val="00A86AEA"/>
    <w:rsid w:val="00A871F4"/>
    <w:rsid w:val="00A90941"/>
    <w:rsid w:val="00A94085"/>
    <w:rsid w:val="00A9431A"/>
    <w:rsid w:val="00A95988"/>
    <w:rsid w:val="00A959DF"/>
    <w:rsid w:val="00A96CEC"/>
    <w:rsid w:val="00A97A1B"/>
    <w:rsid w:val="00AA096C"/>
    <w:rsid w:val="00AA0CF7"/>
    <w:rsid w:val="00AA0E4A"/>
    <w:rsid w:val="00AA15BF"/>
    <w:rsid w:val="00AA2927"/>
    <w:rsid w:val="00AA3F36"/>
    <w:rsid w:val="00AA4EE9"/>
    <w:rsid w:val="00AA5AB2"/>
    <w:rsid w:val="00AA5F33"/>
    <w:rsid w:val="00AA60B9"/>
    <w:rsid w:val="00AA7240"/>
    <w:rsid w:val="00AA73B2"/>
    <w:rsid w:val="00AB0448"/>
    <w:rsid w:val="00AB0C0F"/>
    <w:rsid w:val="00AB1C04"/>
    <w:rsid w:val="00AB251A"/>
    <w:rsid w:val="00AB2CB8"/>
    <w:rsid w:val="00AB2F66"/>
    <w:rsid w:val="00AB2F81"/>
    <w:rsid w:val="00AB38D1"/>
    <w:rsid w:val="00AB3AE5"/>
    <w:rsid w:val="00AB4160"/>
    <w:rsid w:val="00AB4617"/>
    <w:rsid w:val="00AB49F1"/>
    <w:rsid w:val="00AC0DFE"/>
    <w:rsid w:val="00AC1B2C"/>
    <w:rsid w:val="00AC3264"/>
    <w:rsid w:val="00AC3D02"/>
    <w:rsid w:val="00AC404C"/>
    <w:rsid w:val="00AC428D"/>
    <w:rsid w:val="00AC46AD"/>
    <w:rsid w:val="00AC4D2D"/>
    <w:rsid w:val="00AC5595"/>
    <w:rsid w:val="00AC58EC"/>
    <w:rsid w:val="00AC5F6B"/>
    <w:rsid w:val="00AC692A"/>
    <w:rsid w:val="00AC7282"/>
    <w:rsid w:val="00AC7961"/>
    <w:rsid w:val="00AC7E81"/>
    <w:rsid w:val="00AD0476"/>
    <w:rsid w:val="00AD0F84"/>
    <w:rsid w:val="00AD1BEB"/>
    <w:rsid w:val="00AD1CE5"/>
    <w:rsid w:val="00AD222E"/>
    <w:rsid w:val="00AD2367"/>
    <w:rsid w:val="00AD314E"/>
    <w:rsid w:val="00AD416B"/>
    <w:rsid w:val="00AD441F"/>
    <w:rsid w:val="00AD51DA"/>
    <w:rsid w:val="00AD5FCD"/>
    <w:rsid w:val="00AD6B48"/>
    <w:rsid w:val="00AD79A5"/>
    <w:rsid w:val="00AD7A3A"/>
    <w:rsid w:val="00AD7D63"/>
    <w:rsid w:val="00AE02B4"/>
    <w:rsid w:val="00AE1BF1"/>
    <w:rsid w:val="00AE20AD"/>
    <w:rsid w:val="00AE23AB"/>
    <w:rsid w:val="00AE3198"/>
    <w:rsid w:val="00AE450A"/>
    <w:rsid w:val="00AE48CF"/>
    <w:rsid w:val="00AE58FB"/>
    <w:rsid w:val="00AE5AF0"/>
    <w:rsid w:val="00AE5D1A"/>
    <w:rsid w:val="00AE5EB4"/>
    <w:rsid w:val="00AE663D"/>
    <w:rsid w:val="00AE73B3"/>
    <w:rsid w:val="00AF07E7"/>
    <w:rsid w:val="00AF0DD2"/>
    <w:rsid w:val="00AF157A"/>
    <w:rsid w:val="00AF2A7E"/>
    <w:rsid w:val="00AF31E1"/>
    <w:rsid w:val="00AF3BBA"/>
    <w:rsid w:val="00AF4231"/>
    <w:rsid w:val="00AF4DEA"/>
    <w:rsid w:val="00AF71E5"/>
    <w:rsid w:val="00B00AA0"/>
    <w:rsid w:val="00B00B0E"/>
    <w:rsid w:val="00B00B26"/>
    <w:rsid w:val="00B01589"/>
    <w:rsid w:val="00B01F77"/>
    <w:rsid w:val="00B02385"/>
    <w:rsid w:val="00B02F9D"/>
    <w:rsid w:val="00B04C8E"/>
    <w:rsid w:val="00B05766"/>
    <w:rsid w:val="00B11734"/>
    <w:rsid w:val="00B12FA9"/>
    <w:rsid w:val="00B13048"/>
    <w:rsid w:val="00B13883"/>
    <w:rsid w:val="00B138C5"/>
    <w:rsid w:val="00B13E35"/>
    <w:rsid w:val="00B14116"/>
    <w:rsid w:val="00B144C4"/>
    <w:rsid w:val="00B1716D"/>
    <w:rsid w:val="00B17A1D"/>
    <w:rsid w:val="00B207A0"/>
    <w:rsid w:val="00B21C21"/>
    <w:rsid w:val="00B22E68"/>
    <w:rsid w:val="00B22F54"/>
    <w:rsid w:val="00B23FC1"/>
    <w:rsid w:val="00B24A7E"/>
    <w:rsid w:val="00B24A85"/>
    <w:rsid w:val="00B24B02"/>
    <w:rsid w:val="00B25C0C"/>
    <w:rsid w:val="00B27632"/>
    <w:rsid w:val="00B27F61"/>
    <w:rsid w:val="00B304B5"/>
    <w:rsid w:val="00B308A9"/>
    <w:rsid w:val="00B31047"/>
    <w:rsid w:val="00B328F2"/>
    <w:rsid w:val="00B33148"/>
    <w:rsid w:val="00B33BA8"/>
    <w:rsid w:val="00B35352"/>
    <w:rsid w:val="00B35CDF"/>
    <w:rsid w:val="00B35F66"/>
    <w:rsid w:val="00B36701"/>
    <w:rsid w:val="00B36A00"/>
    <w:rsid w:val="00B36B2C"/>
    <w:rsid w:val="00B403C2"/>
    <w:rsid w:val="00B405A1"/>
    <w:rsid w:val="00B4184C"/>
    <w:rsid w:val="00B439A2"/>
    <w:rsid w:val="00B4438A"/>
    <w:rsid w:val="00B44702"/>
    <w:rsid w:val="00B45AA2"/>
    <w:rsid w:val="00B45E00"/>
    <w:rsid w:val="00B46601"/>
    <w:rsid w:val="00B479CA"/>
    <w:rsid w:val="00B5084F"/>
    <w:rsid w:val="00B50B10"/>
    <w:rsid w:val="00B514DD"/>
    <w:rsid w:val="00B52AF0"/>
    <w:rsid w:val="00B53D5F"/>
    <w:rsid w:val="00B54051"/>
    <w:rsid w:val="00B560A0"/>
    <w:rsid w:val="00B561BD"/>
    <w:rsid w:val="00B56E03"/>
    <w:rsid w:val="00B6154B"/>
    <w:rsid w:val="00B62765"/>
    <w:rsid w:val="00B634C6"/>
    <w:rsid w:val="00B6544B"/>
    <w:rsid w:val="00B65772"/>
    <w:rsid w:val="00B65DF5"/>
    <w:rsid w:val="00B67CD2"/>
    <w:rsid w:val="00B7472C"/>
    <w:rsid w:val="00B75176"/>
    <w:rsid w:val="00B7679F"/>
    <w:rsid w:val="00B77159"/>
    <w:rsid w:val="00B80020"/>
    <w:rsid w:val="00B8080B"/>
    <w:rsid w:val="00B81311"/>
    <w:rsid w:val="00B818AC"/>
    <w:rsid w:val="00B82223"/>
    <w:rsid w:val="00B83063"/>
    <w:rsid w:val="00B84854"/>
    <w:rsid w:val="00B85421"/>
    <w:rsid w:val="00B861D2"/>
    <w:rsid w:val="00B86881"/>
    <w:rsid w:val="00B87573"/>
    <w:rsid w:val="00B87BA5"/>
    <w:rsid w:val="00B87C39"/>
    <w:rsid w:val="00B90565"/>
    <w:rsid w:val="00B91239"/>
    <w:rsid w:val="00B91A85"/>
    <w:rsid w:val="00B923B0"/>
    <w:rsid w:val="00B92B4E"/>
    <w:rsid w:val="00B93891"/>
    <w:rsid w:val="00B93F36"/>
    <w:rsid w:val="00B9562D"/>
    <w:rsid w:val="00B964D2"/>
    <w:rsid w:val="00BA0D83"/>
    <w:rsid w:val="00BA160E"/>
    <w:rsid w:val="00BA21DA"/>
    <w:rsid w:val="00BA2575"/>
    <w:rsid w:val="00BA2B60"/>
    <w:rsid w:val="00BA3C93"/>
    <w:rsid w:val="00BA40E1"/>
    <w:rsid w:val="00BA42B8"/>
    <w:rsid w:val="00BA4665"/>
    <w:rsid w:val="00BA56F9"/>
    <w:rsid w:val="00BA57B8"/>
    <w:rsid w:val="00BA6601"/>
    <w:rsid w:val="00BA7FD7"/>
    <w:rsid w:val="00BB0814"/>
    <w:rsid w:val="00BB1681"/>
    <w:rsid w:val="00BB1803"/>
    <w:rsid w:val="00BB2A63"/>
    <w:rsid w:val="00BB2FB2"/>
    <w:rsid w:val="00BB3304"/>
    <w:rsid w:val="00BB3667"/>
    <w:rsid w:val="00BB421B"/>
    <w:rsid w:val="00BB6551"/>
    <w:rsid w:val="00BC26C5"/>
    <w:rsid w:val="00BC3DAC"/>
    <w:rsid w:val="00BC4A10"/>
    <w:rsid w:val="00BC5127"/>
    <w:rsid w:val="00BC5CEB"/>
    <w:rsid w:val="00BC6A3B"/>
    <w:rsid w:val="00BC6B92"/>
    <w:rsid w:val="00BD06BD"/>
    <w:rsid w:val="00BD17F5"/>
    <w:rsid w:val="00BD27D5"/>
    <w:rsid w:val="00BD30F4"/>
    <w:rsid w:val="00BD3156"/>
    <w:rsid w:val="00BD3446"/>
    <w:rsid w:val="00BD364F"/>
    <w:rsid w:val="00BD3AC7"/>
    <w:rsid w:val="00BD3EA6"/>
    <w:rsid w:val="00BD59CF"/>
    <w:rsid w:val="00BD59DC"/>
    <w:rsid w:val="00BD5DE2"/>
    <w:rsid w:val="00BD7ABB"/>
    <w:rsid w:val="00BD7D0B"/>
    <w:rsid w:val="00BE1231"/>
    <w:rsid w:val="00BE1312"/>
    <w:rsid w:val="00BE1F1B"/>
    <w:rsid w:val="00BE266B"/>
    <w:rsid w:val="00BE3F89"/>
    <w:rsid w:val="00BE47B5"/>
    <w:rsid w:val="00BE5FCE"/>
    <w:rsid w:val="00BE6425"/>
    <w:rsid w:val="00BF1B2E"/>
    <w:rsid w:val="00BF2098"/>
    <w:rsid w:val="00BF2417"/>
    <w:rsid w:val="00BF2A6F"/>
    <w:rsid w:val="00BF2FEB"/>
    <w:rsid w:val="00BF5528"/>
    <w:rsid w:val="00BF5830"/>
    <w:rsid w:val="00BF79F9"/>
    <w:rsid w:val="00C0079E"/>
    <w:rsid w:val="00C01595"/>
    <w:rsid w:val="00C01B13"/>
    <w:rsid w:val="00C033C4"/>
    <w:rsid w:val="00C0363E"/>
    <w:rsid w:val="00C04F08"/>
    <w:rsid w:val="00C0572A"/>
    <w:rsid w:val="00C06CD6"/>
    <w:rsid w:val="00C1039F"/>
    <w:rsid w:val="00C1092B"/>
    <w:rsid w:val="00C10B14"/>
    <w:rsid w:val="00C11BCA"/>
    <w:rsid w:val="00C12440"/>
    <w:rsid w:val="00C13EBD"/>
    <w:rsid w:val="00C157BA"/>
    <w:rsid w:val="00C1631B"/>
    <w:rsid w:val="00C163AB"/>
    <w:rsid w:val="00C16641"/>
    <w:rsid w:val="00C170F0"/>
    <w:rsid w:val="00C22003"/>
    <w:rsid w:val="00C2366A"/>
    <w:rsid w:val="00C239EF"/>
    <w:rsid w:val="00C23B0C"/>
    <w:rsid w:val="00C256A8"/>
    <w:rsid w:val="00C25962"/>
    <w:rsid w:val="00C25FA6"/>
    <w:rsid w:val="00C2754A"/>
    <w:rsid w:val="00C27F2E"/>
    <w:rsid w:val="00C3099D"/>
    <w:rsid w:val="00C31898"/>
    <w:rsid w:val="00C3234C"/>
    <w:rsid w:val="00C32A95"/>
    <w:rsid w:val="00C33011"/>
    <w:rsid w:val="00C3345D"/>
    <w:rsid w:val="00C33FEA"/>
    <w:rsid w:val="00C362C1"/>
    <w:rsid w:val="00C36911"/>
    <w:rsid w:val="00C36922"/>
    <w:rsid w:val="00C36F65"/>
    <w:rsid w:val="00C40F99"/>
    <w:rsid w:val="00C41950"/>
    <w:rsid w:val="00C41E21"/>
    <w:rsid w:val="00C42C3B"/>
    <w:rsid w:val="00C4623B"/>
    <w:rsid w:val="00C46C51"/>
    <w:rsid w:val="00C51672"/>
    <w:rsid w:val="00C52425"/>
    <w:rsid w:val="00C538A9"/>
    <w:rsid w:val="00C53B5A"/>
    <w:rsid w:val="00C53CB4"/>
    <w:rsid w:val="00C53E41"/>
    <w:rsid w:val="00C54909"/>
    <w:rsid w:val="00C54AF3"/>
    <w:rsid w:val="00C54F5A"/>
    <w:rsid w:val="00C565D5"/>
    <w:rsid w:val="00C569B4"/>
    <w:rsid w:val="00C57DDE"/>
    <w:rsid w:val="00C57E3E"/>
    <w:rsid w:val="00C61468"/>
    <w:rsid w:val="00C61A97"/>
    <w:rsid w:val="00C61E44"/>
    <w:rsid w:val="00C62AD4"/>
    <w:rsid w:val="00C63403"/>
    <w:rsid w:val="00C64FF3"/>
    <w:rsid w:val="00C662AD"/>
    <w:rsid w:val="00C66798"/>
    <w:rsid w:val="00C66A32"/>
    <w:rsid w:val="00C66C2C"/>
    <w:rsid w:val="00C67A92"/>
    <w:rsid w:val="00C67EB1"/>
    <w:rsid w:val="00C71280"/>
    <w:rsid w:val="00C717BF"/>
    <w:rsid w:val="00C71C00"/>
    <w:rsid w:val="00C71D03"/>
    <w:rsid w:val="00C75D89"/>
    <w:rsid w:val="00C76178"/>
    <w:rsid w:val="00C77EF8"/>
    <w:rsid w:val="00C84560"/>
    <w:rsid w:val="00C84E24"/>
    <w:rsid w:val="00C86679"/>
    <w:rsid w:val="00C8671B"/>
    <w:rsid w:val="00C86AD7"/>
    <w:rsid w:val="00C8792F"/>
    <w:rsid w:val="00C90472"/>
    <w:rsid w:val="00C91D6E"/>
    <w:rsid w:val="00C92B78"/>
    <w:rsid w:val="00C93D29"/>
    <w:rsid w:val="00C94AB0"/>
    <w:rsid w:val="00C9732C"/>
    <w:rsid w:val="00C97769"/>
    <w:rsid w:val="00CA05BA"/>
    <w:rsid w:val="00CA0E7F"/>
    <w:rsid w:val="00CA10EF"/>
    <w:rsid w:val="00CA13B8"/>
    <w:rsid w:val="00CA489E"/>
    <w:rsid w:val="00CA5E26"/>
    <w:rsid w:val="00CA5F00"/>
    <w:rsid w:val="00CA6352"/>
    <w:rsid w:val="00CA6625"/>
    <w:rsid w:val="00CA74C5"/>
    <w:rsid w:val="00CA7969"/>
    <w:rsid w:val="00CB0279"/>
    <w:rsid w:val="00CB0BBE"/>
    <w:rsid w:val="00CB1CB6"/>
    <w:rsid w:val="00CB233B"/>
    <w:rsid w:val="00CB666B"/>
    <w:rsid w:val="00CB710E"/>
    <w:rsid w:val="00CB734B"/>
    <w:rsid w:val="00CB74F6"/>
    <w:rsid w:val="00CC058C"/>
    <w:rsid w:val="00CC1FCE"/>
    <w:rsid w:val="00CC31C5"/>
    <w:rsid w:val="00CC41B6"/>
    <w:rsid w:val="00CC52D9"/>
    <w:rsid w:val="00CC5BAC"/>
    <w:rsid w:val="00CC70F7"/>
    <w:rsid w:val="00CC7102"/>
    <w:rsid w:val="00CC7585"/>
    <w:rsid w:val="00CC7638"/>
    <w:rsid w:val="00CC7ADA"/>
    <w:rsid w:val="00CC7F1D"/>
    <w:rsid w:val="00CD0A88"/>
    <w:rsid w:val="00CD0D3F"/>
    <w:rsid w:val="00CD125D"/>
    <w:rsid w:val="00CD283C"/>
    <w:rsid w:val="00CD2E86"/>
    <w:rsid w:val="00CD3641"/>
    <w:rsid w:val="00CD4000"/>
    <w:rsid w:val="00CD50D1"/>
    <w:rsid w:val="00CD5487"/>
    <w:rsid w:val="00CD66EA"/>
    <w:rsid w:val="00CD6FAE"/>
    <w:rsid w:val="00CD7432"/>
    <w:rsid w:val="00CE09F4"/>
    <w:rsid w:val="00CE0BE1"/>
    <w:rsid w:val="00CE0FA5"/>
    <w:rsid w:val="00CE2A23"/>
    <w:rsid w:val="00CE2AC4"/>
    <w:rsid w:val="00CE3089"/>
    <w:rsid w:val="00CE31C8"/>
    <w:rsid w:val="00CE3327"/>
    <w:rsid w:val="00CE42F6"/>
    <w:rsid w:val="00CE484B"/>
    <w:rsid w:val="00CE4EBC"/>
    <w:rsid w:val="00CE5FE8"/>
    <w:rsid w:val="00CE7CBA"/>
    <w:rsid w:val="00CF0DEE"/>
    <w:rsid w:val="00CF0DFE"/>
    <w:rsid w:val="00CF380B"/>
    <w:rsid w:val="00CF42AA"/>
    <w:rsid w:val="00CF5595"/>
    <w:rsid w:val="00CF5EAA"/>
    <w:rsid w:val="00CF6468"/>
    <w:rsid w:val="00CF66A4"/>
    <w:rsid w:val="00CF6AE3"/>
    <w:rsid w:val="00CF70B8"/>
    <w:rsid w:val="00CF77BB"/>
    <w:rsid w:val="00D006AE"/>
    <w:rsid w:val="00D00905"/>
    <w:rsid w:val="00D010C1"/>
    <w:rsid w:val="00D01CF0"/>
    <w:rsid w:val="00D01D61"/>
    <w:rsid w:val="00D0442A"/>
    <w:rsid w:val="00D04592"/>
    <w:rsid w:val="00D0734D"/>
    <w:rsid w:val="00D11F62"/>
    <w:rsid w:val="00D12A7B"/>
    <w:rsid w:val="00D12ADB"/>
    <w:rsid w:val="00D13069"/>
    <w:rsid w:val="00D134D8"/>
    <w:rsid w:val="00D13A5B"/>
    <w:rsid w:val="00D15E63"/>
    <w:rsid w:val="00D162A2"/>
    <w:rsid w:val="00D17DCA"/>
    <w:rsid w:val="00D20550"/>
    <w:rsid w:val="00D21FDC"/>
    <w:rsid w:val="00D23D85"/>
    <w:rsid w:val="00D24CC4"/>
    <w:rsid w:val="00D25A39"/>
    <w:rsid w:val="00D26106"/>
    <w:rsid w:val="00D26553"/>
    <w:rsid w:val="00D26821"/>
    <w:rsid w:val="00D27CFA"/>
    <w:rsid w:val="00D27E2D"/>
    <w:rsid w:val="00D310FA"/>
    <w:rsid w:val="00D321C7"/>
    <w:rsid w:val="00D325C6"/>
    <w:rsid w:val="00D32644"/>
    <w:rsid w:val="00D33124"/>
    <w:rsid w:val="00D33DDA"/>
    <w:rsid w:val="00D36638"/>
    <w:rsid w:val="00D37213"/>
    <w:rsid w:val="00D374B6"/>
    <w:rsid w:val="00D378AF"/>
    <w:rsid w:val="00D37DE1"/>
    <w:rsid w:val="00D410A7"/>
    <w:rsid w:val="00D41B02"/>
    <w:rsid w:val="00D42E74"/>
    <w:rsid w:val="00D42FF4"/>
    <w:rsid w:val="00D4354C"/>
    <w:rsid w:val="00D4360D"/>
    <w:rsid w:val="00D43871"/>
    <w:rsid w:val="00D45FC0"/>
    <w:rsid w:val="00D46374"/>
    <w:rsid w:val="00D525C3"/>
    <w:rsid w:val="00D53336"/>
    <w:rsid w:val="00D53528"/>
    <w:rsid w:val="00D53DC6"/>
    <w:rsid w:val="00D53EBC"/>
    <w:rsid w:val="00D53F0A"/>
    <w:rsid w:val="00D55B4A"/>
    <w:rsid w:val="00D5607F"/>
    <w:rsid w:val="00D56450"/>
    <w:rsid w:val="00D576DD"/>
    <w:rsid w:val="00D609C7"/>
    <w:rsid w:val="00D61388"/>
    <w:rsid w:val="00D61A54"/>
    <w:rsid w:val="00D62108"/>
    <w:rsid w:val="00D62759"/>
    <w:rsid w:val="00D63715"/>
    <w:rsid w:val="00D6426C"/>
    <w:rsid w:val="00D64AA4"/>
    <w:rsid w:val="00D64DEA"/>
    <w:rsid w:val="00D64F84"/>
    <w:rsid w:val="00D65EB9"/>
    <w:rsid w:val="00D660A2"/>
    <w:rsid w:val="00D663CD"/>
    <w:rsid w:val="00D6726A"/>
    <w:rsid w:val="00D7001B"/>
    <w:rsid w:val="00D7086B"/>
    <w:rsid w:val="00D7160D"/>
    <w:rsid w:val="00D7168E"/>
    <w:rsid w:val="00D71E57"/>
    <w:rsid w:val="00D72D27"/>
    <w:rsid w:val="00D73287"/>
    <w:rsid w:val="00D73307"/>
    <w:rsid w:val="00D73323"/>
    <w:rsid w:val="00D734B2"/>
    <w:rsid w:val="00D73787"/>
    <w:rsid w:val="00D74922"/>
    <w:rsid w:val="00D7553C"/>
    <w:rsid w:val="00D76C4B"/>
    <w:rsid w:val="00D76CB1"/>
    <w:rsid w:val="00D76CCF"/>
    <w:rsid w:val="00D77219"/>
    <w:rsid w:val="00D77484"/>
    <w:rsid w:val="00D7786B"/>
    <w:rsid w:val="00D77C96"/>
    <w:rsid w:val="00D80893"/>
    <w:rsid w:val="00D814BF"/>
    <w:rsid w:val="00D81568"/>
    <w:rsid w:val="00D816F0"/>
    <w:rsid w:val="00D82519"/>
    <w:rsid w:val="00D834C7"/>
    <w:rsid w:val="00D83C5C"/>
    <w:rsid w:val="00D84123"/>
    <w:rsid w:val="00D84854"/>
    <w:rsid w:val="00D852C0"/>
    <w:rsid w:val="00D858AD"/>
    <w:rsid w:val="00D876A2"/>
    <w:rsid w:val="00D90860"/>
    <w:rsid w:val="00D91BE6"/>
    <w:rsid w:val="00D924AE"/>
    <w:rsid w:val="00D925D3"/>
    <w:rsid w:val="00D92CF1"/>
    <w:rsid w:val="00D92D38"/>
    <w:rsid w:val="00D933D9"/>
    <w:rsid w:val="00D94D78"/>
    <w:rsid w:val="00D950F5"/>
    <w:rsid w:val="00D95C06"/>
    <w:rsid w:val="00D95FAD"/>
    <w:rsid w:val="00D97379"/>
    <w:rsid w:val="00DA0029"/>
    <w:rsid w:val="00DA1907"/>
    <w:rsid w:val="00DA3DC0"/>
    <w:rsid w:val="00DA4502"/>
    <w:rsid w:val="00DA4752"/>
    <w:rsid w:val="00DA4C09"/>
    <w:rsid w:val="00DA61F3"/>
    <w:rsid w:val="00DA6EA4"/>
    <w:rsid w:val="00DA7305"/>
    <w:rsid w:val="00DA7CB3"/>
    <w:rsid w:val="00DB0902"/>
    <w:rsid w:val="00DB0D00"/>
    <w:rsid w:val="00DB0F93"/>
    <w:rsid w:val="00DB1A67"/>
    <w:rsid w:val="00DB2D1C"/>
    <w:rsid w:val="00DB3721"/>
    <w:rsid w:val="00DB3C92"/>
    <w:rsid w:val="00DB5074"/>
    <w:rsid w:val="00DB5082"/>
    <w:rsid w:val="00DB7655"/>
    <w:rsid w:val="00DC0281"/>
    <w:rsid w:val="00DC0587"/>
    <w:rsid w:val="00DC1930"/>
    <w:rsid w:val="00DC1C76"/>
    <w:rsid w:val="00DC2A91"/>
    <w:rsid w:val="00DC2E9D"/>
    <w:rsid w:val="00DC33DC"/>
    <w:rsid w:val="00DC3411"/>
    <w:rsid w:val="00DC42BF"/>
    <w:rsid w:val="00DC4863"/>
    <w:rsid w:val="00DC4DBF"/>
    <w:rsid w:val="00DC4E19"/>
    <w:rsid w:val="00DC65FE"/>
    <w:rsid w:val="00DC7981"/>
    <w:rsid w:val="00DD3A2F"/>
    <w:rsid w:val="00DD4C07"/>
    <w:rsid w:val="00DD4F4A"/>
    <w:rsid w:val="00DD56A5"/>
    <w:rsid w:val="00DD577D"/>
    <w:rsid w:val="00DD5ADC"/>
    <w:rsid w:val="00DD61AB"/>
    <w:rsid w:val="00DD7928"/>
    <w:rsid w:val="00DE1093"/>
    <w:rsid w:val="00DE2379"/>
    <w:rsid w:val="00DE315A"/>
    <w:rsid w:val="00DE3604"/>
    <w:rsid w:val="00DE391C"/>
    <w:rsid w:val="00DE4C04"/>
    <w:rsid w:val="00DE4EFA"/>
    <w:rsid w:val="00DE53A8"/>
    <w:rsid w:val="00DE5449"/>
    <w:rsid w:val="00DE5520"/>
    <w:rsid w:val="00DE563D"/>
    <w:rsid w:val="00DE5F48"/>
    <w:rsid w:val="00DE72CE"/>
    <w:rsid w:val="00DE7AB5"/>
    <w:rsid w:val="00DF0152"/>
    <w:rsid w:val="00DF1958"/>
    <w:rsid w:val="00DF1D6D"/>
    <w:rsid w:val="00DF2209"/>
    <w:rsid w:val="00DF3498"/>
    <w:rsid w:val="00DF3667"/>
    <w:rsid w:val="00DF51C8"/>
    <w:rsid w:val="00DF5EE7"/>
    <w:rsid w:val="00E00704"/>
    <w:rsid w:val="00E02A19"/>
    <w:rsid w:val="00E046E3"/>
    <w:rsid w:val="00E04818"/>
    <w:rsid w:val="00E04B61"/>
    <w:rsid w:val="00E04E6D"/>
    <w:rsid w:val="00E04EDB"/>
    <w:rsid w:val="00E054E9"/>
    <w:rsid w:val="00E05E0D"/>
    <w:rsid w:val="00E06003"/>
    <w:rsid w:val="00E06211"/>
    <w:rsid w:val="00E06442"/>
    <w:rsid w:val="00E0655D"/>
    <w:rsid w:val="00E06952"/>
    <w:rsid w:val="00E10AD6"/>
    <w:rsid w:val="00E11E61"/>
    <w:rsid w:val="00E14A8C"/>
    <w:rsid w:val="00E14B35"/>
    <w:rsid w:val="00E154E4"/>
    <w:rsid w:val="00E157B2"/>
    <w:rsid w:val="00E16055"/>
    <w:rsid w:val="00E1625D"/>
    <w:rsid w:val="00E1781E"/>
    <w:rsid w:val="00E2332D"/>
    <w:rsid w:val="00E23993"/>
    <w:rsid w:val="00E23A14"/>
    <w:rsid w:val="00E2574F"/>
    <w:rsid w:val="00E25951"/>
    <w:rsid w:val="00E25B8C"/>
    <w:rsid w:val="00E2623F"/>
    <w:rsid w:val="00E27440"/>
    <w:rsid w:val="00E2793D"/>
    <w:rsid w:val="00E27A28"/>
    <w:rsid w:val="00E30BB4"/>
    <w:rsid w:val="00E30F29"/>
    <w:rsid w:val="00E3139F"/>
    <w:rsid w:val="00E31CF6"/>
    <w:rsid w:val="00E324F1"/>
    <w:rsid w:val="00E33B42"/>
    <w:rsid w:val="00E34A4A"/>
    <w:rsid w:val="00E35AFC"/>
    <w:rsid w:val="00E36A38"/>
    <w:rsid w:val="00E37DFD"/>
    <w:rsid w:val="00E408BC"/>
    <w:rsid w:val="00E412E9"/>
    <w:rsid w:val="00E41323"/>
    <w:rsid w:val="00E41D39"/>
    <w:rsid w:val="00E4232D"/>
    <w:rsid w:val="00E42AD2"/>
    <w:rsid w:val="00E438D9"/>
    <w:rsid w:val="00E441E9"/>
    <w:rsid w:val="00E442CD"/>
    <w:rsid w:val="00E44852"/>
    <w:rsid w:val="00E44982"/>
    <w:rsid w:val="00E45B4B"/>
    <w:rsid w:val="00E46B83"/>
    <w:rsid w:val="00E4794C"/>
    <w:rsid w:val="00E50A02"/>
    <w:rsid w:val="00E50EC9"/>
    <w:rsid w:val="00E54106"/>
    <w:rsid w:val="00E54697"/>
    <w:rsid w:val="00E5584C"/>
    <w:rsid w:val="00E569E0"/>
    <w:rsid w:val="00E57A08"/>
    <w:rsid w:val="00E604CD"/>
    <w:rsid w:val="00E610C9"/>
    <w:rsid w:val="00E61F7C"/>
    <w:rsid w:val="00E63248"/>
    <w:rsid w:val="00E632E3"/>
    <w:rsid w:val="00E63631"/>
    <w:rsid w:val="00E64B83"/>
    <w:rsid w:val="00E64C2A"/>
    <w:rsid w:val="00E65C85"/>
    <w:rsid w:val="00E66199"/>
    <w:rsid w:val="00E70279"/>
    <w:rsid w:val="00E70526"/>
    <w:rsid w:val="00E741CD"/>
    <w:rsid w:val="00E754B4"/>
    <w:rsid w:val="00E755EC"/>
    <w:rsid w:val="00E7624D"/>
    <w:rsid w:val="00E765AA"/>
    <w:rsid w:val="00E77D55"/>
    <w:rsid w:val="00E81724"/>
    <w:rsid w:val="00E819A4"/>
    <w:rsid w:val="00E81AD9"/>
    <w:rsid w:val="00E833FA"/>
    <w:rsid w:val="00E83725"/>
    <w:rsid w:val="00E84B74"/>
    <w:rsid w:val="00E85904"/>
    <w:rsid w:val="00E85963"/>
    <w:rsid w:val="00E85C92"/>
    <w:rsid w:val="00E86A11"/>
    <w:rsid w:val="00E87066"/>
    <w:rsid w:val="00E90210"/>
    <w:rsid w:val="00E90969"/>
    <w:rsid w:val="00E9291E"/>
    <w:rsid w:val="00E966BF"/>
    <w:rsid w:val="00E969A2"/>
    <w:rsid w:val="00EA0C04"/>
    <w:rsid w:val="00EA1600"/>
    <w:rsid w:val="00EA2275"/>
    <w:rsid w:val="00EA3371"/>
    <w:rsid w:val="00EA3D42"/>
    <w:rsid w:val="00EA4033"/>
    <w:rsid w:val="00EA405F"/>
    <w:rsid w:val="00EA45A5"/>
    <w:rsid w:val="00EA679B"/>
    <w:rsid w:val="00EA6B1B"/>
    <w:rsid w:val="00EA7E80"/>
    <w:rsid w:val="00EB1048"/>
    <w:rsid w:val="00EB1264"/>
    <w:rsid w:val="00EB1999"/>
    <w:rsid w:val="00EB1CBD"/>
    <w:rsid w:val="00EB2099"/>
    <w:rsid w:val="00EB22C0"/>
    <w:rsid w:val="00EB3A34"/>
    <w:rsid w:val="00EB3C3F"/>
    <w:rsid w:val="00EB3C51"/>
    <w:rsid w:val="00EB3DF7"/>
    <w:rsid w:val="00EC04F1"/>
    <w:rsid w:val="00EC06CA"/>
    <w:rsid w:val="00EC135B"/>
    <w:rsid w:val="00EC237F"/>
    <w:rsid w:val="00EC29C7"/>
    <w:rsid w:val="00EC4511"/>
    <w:rsid w:val="00EC573A"/>
    <w:rsid w:val="00EC59C1"/>
    <w:rsid w:val="00EC7769"/>
    <w:rsid w:val="00ED24C1"/>
    <w:rsid w:val="00ED35C8"/>
    <w:rsid w:val="00ED3968"/>
    <w:rsid w:val="00ED7323"/>
    <w:rsid w:val="00ED7C70"/>
    <w:rsid w:val="00EE03D2"/>
    <w:rsid w:val="00EE18F1"/>
    <w:rsid w:val="00EE2710"/>
    <w:rsid w:val="00EE28BF"/>
    <w:rsid w:val="00EE28F3"/>
    <w:rsid w:val="00EE31F2"/>
    <w:rsid w:val="00EE424F"/>
    <w:rsid w:val="00EE4769"/>
    <w:rsid w:val="00EE50D1"/>
    <w:rsid w:val="00EE7614"/>
    <w:rsid w:val="00EF023F"/>
    <w:rsid w:val="00EF1D53"/>
    <w:rsid w:val="00EF2B5B"/>
    <w:rsid w:val="00EF2EF9"/>
    <w:rsid w:val="00EF5110"/>
    <w:rsid w:val="00EF5890"/>
    <w:rsid w:val="00EF5ECF"/>
    <w:rsid w:val="00EF70B0"/>
    <w:rsid w:val="00EF76BA"/>
    <w:rsid w:val="00F003BA"/>
    <w:rsid w:val="00F0149E"/>
    <w:rsid w:val="00F01930"/>
    <w:rsid w:val="00F0231A"/>
    <w:rsid w:val="00F0239F"/>
    <w:rsid w:val="00F02F13"/>
    <w:rsid w:val="00F03463"/>
    <w:rsid w:val="00F036B7"/>
    <w:rsid w:val="00F0683C"/>
    <w:rsid w:val="00F0700F"/>
    <w:rsid w:val="00F07F1F"/>
    <w:rsid w:val="00F07F74"/>
    <w:rsid w:val="00F10411"/>
    <w:rsid w:val="00F10A9A"/>
    <w:rsid w:val="00F11B2D"/>
    <w:rsid w:val="00F11B39"/>
    <w:rsid w:val="00F121C2"/>
    <w:rsid w:val="00F1485B"/>
    <w:rsid w:val="00F14AAF"/>
    <w:rsid w:val="00F15882"/>
    <w:rsid w:val="00F16AC8"/>
    <w:rsid w:val="00F170C7"/>
    <w:rsid w:val="00F171E0"/>
    <w:rsid w:val="00F179C4"/>
    <w:rsid w:val="00F2066E"/>
    <w:rsid w:val="00F20BD3"/>
    <w:rsid w:val="00F2259F"/>
    <w:rsid w:val="00F22D65"/>
    <w:rsid w:val="00F2382D"/>
    <w:rsid w:val="00F26F66"/>
    <w:rsid w:val="00F2722C"/>
    <w:rsid w:val="00F275F0"/>
    <w:rsid w:val="00F301D3"/>
    <w:rsid w:val="00F30884"/>
    <w:rsid w:val="00F316CE"/>
    <w:rsid w:val="00F318FE"/>
    <w:rsid w:val="00F320CB"/>
    <w:rsid w:val="00F322E9"/>
    <w:rsid w:val="00F3231B"/>
    <w:rsid w:val="00F33321"/>
    <w:rsid w:val="00F33808"/>
    <w:rsid w:val="00F35F63"/>
    <w:rsid w:val="00F364A7"/>
    <w:rsid w:val="00F36676"/>
    <w:rsid w:val="00F373A5"/>
    <w:rsid w:val="00F37864"/>
    <w:rsid w:val="00F404F9"/>
    <w:rsid w:val="00F435A2"/>
    <w:rsid w:val="00F44B0A"/>
    <w:rsid w:val="00F44EA1"/>
    <w:rsid w:val="00F45584"/>
    <w:rsid w:val="00F45724"/>
    <w:rsid w:val="00F4590A"/>
    <w:rsid w:val="00F46B5A"/>
    <w:rsid w:val="00F47559"/>
    <w:rsid w:val="00F50068"/>
    <w:rsid w:val="00F50B30"/>
    <w:rsid w:val="00F51F5F"/>
    <w:rsid w:val="00F5201D"/>
    <w:rsid w:val="00F52342"/>
    <w:rsid w:val="00F52C6D"/>
    <w:rsid w:val="00F52D75"/>
    <w:rsid w:val="00F55582"/>
    <w:rsid w:val="00F57647"/>
    <w:rsid w:val="00F61D40"/>
    <w:rsid w:val="00F61ED5"/>
    <w:rsid w:val="00F62A14"/>
    <w:rsid w:val="00F63049"/>
    <w:rsid w:val="00F63D85"/>
    <w:rsid w:val="00F63F5A"/>
    <w:rsid w:val="00F644AB"/>
    <w:rsid w:val="00F64A4E"/>
    <w:rsid w:val="00F64C7B"/>
    <w:rsid w:val="00F64EAC"/>
    <w:rsid w:val="00F65D3B"/>
    <w:rsid w:val="00F66B69"/>
    <w:rsid w:val="00F670A9"/>
    <w:rsid w:val="00F673AE"/>
    <w:rsid w:val="00F676DD"/>
    <w:rsid w:val="00F67AB6"/>
    <w:rsid w:val="00F67E9A"/>
    <w:rsid w:val="00F70028"/>
    <w:rsid w:val="00F703AF"/>
    <w:rsid w:val="00F70434"/>
    <w:rsid w:val="00F73394"/>
    <w:rsid w:val="00F7435C"/>
    <w:rsid w:val="00F749D6"/>
    <w:rsid w:val="00F75A26"/>
    <w:rsid w:val="00F76224"/>
    <w:rsid w:val="00F76706"/>
    <w:rsid w:val="00F77641"/>
    <w:rsid w:val="00F77B4A"/>
    <w:rsid w:val="00F77D6D"/>
    <w:rsid w:val="00F80206"/>
    <w:rsid w:val="00F8254B"/>
    <w:rsid w:val="00F83034"/>
    <w:rsid w:val="00F83FAD"/>
    <w:rsid w:val="00F844C6"/>
    <w:rsid w:val="00F84C0D"/>
    <w:rsid w:val="00F85E40"/>
    <w:rsid w:val="00F86221"/>
    <w:rsid w:val="00F867C2"/>
    <w:rsid w:val="00F8720B"/>
    <w:rsid w:val="00F90405"/>
    <w:rsid w:val="00F909CB"/>
    <w:rsid w:val="00F92FA6"/>
    <w:rsid w:val="00F92FB7"/>
    <w:rsid w:val="00F9353B"/>
    <w:rsid w:val="00F937F1"/>
    <w:rsid w:val="00F946A9"/>
    <w:rsid w:val="00F948C5"/>
    <w:rsid w:val="00F952A0"/>
    <w:rsid w:val="00FA06EA"/>
    <w:rsid w:val="00FA1779"/>
    <w:rsid w:val="00FA1AC5"/>
    <w:rsid w:val="00FA26B0"/>
    <w:rsid w:val="00FA28B2"/>
    <w:rsid w:val="00FA31B1"/>
    <w:rsid w:val="00FA3320"/>
    <w:rsid w:val="00FA3C7F"/>
    <w:rsid w:val="00FA6246"/>
    <w:rsid w:val="00FB24ED"/>
    <w:rsid w:val="00FB3304"/>
    <w:rsid w:val="00FB5005"/>
    <w:rsid w:val="00FB53DA"/>
    <w:rsid w:val="00FB60FE"/>
    <w:rsid w:val="00FB7339"/>
    <w:rsid w:val="00FB74E2"/>
    <w:rsid w:val="00FB76DB"/>
    <w:rsid w:val="00FB778B"/>
    <w:rsid w:val="00FC1012"/>
    <w:rsid w:val="00FC3923"/>
    <w:rsid w:val="00FC3B2F"/>
    <w:rsid w:val="00FC46FF"/>
    <w:rsid w:val="00FC4F1F"/>
    <w:rsid w:val="00FC564E"/>
    <w:rsid w:val="00FD1524"/>
    <w:rsid w:val="00FD289C"/>
    <w:rsid w:val="00FD4633"/>
    <w:rsid w:val="00FD47BF"/>
    <w:rsid w:val="00FD5614"/>
    <w:rsid w:val="00FD5A1E"/>
    <w:rsid w:val="00FD5E78"/>
    <w:rsid w:val="00FD6F19"/>
    <w:rsid w:val="00FD7D29"/>
    <w:rsid w:val="00FD7DB2"/>
    <w:rsid w:val="00FE0359"/>
    <w:rsid w:val="00FE0BE1"/>
    <w:rsid w:val="00FE11BB"/>
    <w:rsid w:val="00FE1DE9"/>
    <w:rsid w:val="00FE36AF"/>
    <w:rsid w:val="00FE39C2"/>
    <w:rsid w:val="00FE3C32"/>
    <w:rsid w:val="00FE5081"/>
    <w:rsid w:val="00FE55A0"/>
    <w:rsid w:val="00FE64AE"/>
    <w:rsid w:val="00FF05E7"/>
    <w:rsid w:val="00FF0B2D"/>
    <w:rsid w:val="00FF137D"/>
    <w:rsid w:val="00FF2063"/>
    <w:rsid w:val="00FF3F8E"/>
    <w:rsid w:val="00FF4627"/>
    <w:rsid w:val="00FF5B87"/>
    <w:rsid w:val="00FF5F06"/>
    <w:rsid w:val="00FF6D71"/>
    <w:rsid w:val="00FF7046"/>
    <w:rsid w:val="00FF78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qFormat/>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197F40"/>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97F40"/>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7925FB"/>
    <w:pPr>
      <w:spacing w:before="0" w:line="240" w:lineRule="auto"/>
    </w:pPr>
  </w:style>
  <w:style w:type="character" w:customStyle="1" w:styleId="NoteHeadingChar">
    <w:name w:val="Note Heading Char"/>
    <w:basedOn w:val="DefaultParagraphFont"/>
    <w:link w:val="NoteHeading"/>
    <w:uiPriority w:val="99"/>
    <w:rsid w:val="007925FB"/>
    <w:rPr>
      <w:rFonts w:ascii="Arial" w:hAnsi="Arial"/>
    </w:rPr>
  </w:style>
  <w:style w:type="paragraph" w:styleId="BlockText">
    <w:name w:val="Block Text"/>
    <w:basedOn w:val="Normal"/>
    <w:uiPriority w:val="99"/>
    <w:unhideWhenUsed/>
    <w:rsid w:val="004A58B6"/>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 w:type="paragraph" w:styleId="BodyTextIndent3">
    <w:name w:val="Body Text Indent 3"/>
    <w:basedOn w:val="Normal"/>
    <w:link w:val="BodyTextIndent3Char"/>
    <w:uiPriority w:val="99"/>
    <w:unhideWhenUsed/>
    <w:rsid w:val="007309D7"/>
    <w:pPr>
      <w:spacing w:after="120"/>
      <w:ind w:left="283"/>
    </w:pPr>
    <w:rPr>
      <w:sz w:val="16"/>
      <w:szCs w:val="16"/>
    </w:rPr>
  </w:style>
  <w:style w:type="character" w:customStyle="1" w:styleId="BodyTextIndent3Char">
    <w:name w:val="Body Text Indent 3 Char"/>
    <w:basedOn w:val="DefaultParagraphFont"/>
    <w:link w:val="BodyTextIndent3"/>
    <w:uiPriority w:val="99"/>
    <w:rsid w:val="007309D7"/>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qFormat/>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197F40"/>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97F40"/>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7925FB"/>
    <w:pPr>
      <w:spacing w:before="0" w:line="240" w:lineRule="auto"/>
    </w:pPr>
  </w:style>
  <w:style w:type="character" w:customStyle="1" w:styleId="NoteHeadingChar">
    <w:name w:val="Note Heading Char"/>
    <w:basedOn w:val="DefaultParagraphFont"/>
    <w:link w:val="NoteHeading"/>
    <w:uiPriority w:val="99"/>
    <w:rsid w:val="007925FB"/>
    <w:rPr>
      <w:rFonts w:ascii="Arial" w:hAnsi="Arial"/>
    </w:rPr>
  </w:style>
  <w:style w:type="paragraph" w:styleId="BlockText">
    <w:name w:val="Block Text"/>
    <w:basedOn w:val="Normal"/>
    <w:uiPriority w:val="99"/>
    <w:unhideWhenUsed/>
    <w:rsid w:val="004A58B6"/>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 w:type="paragraph" w:styleId="BodyTextIndent3">
    <w:name w:val="Body Text Indent 3"/>
    <w:basedOn w:val="Normal"/>
    <w:link w:val="BodyTextIndent3Char"/>
    <w:uiPriority w:val="99"/>
    <w:unhideWhenUsed/>
    <w:rsid w:val="007309D7"/>
    <w:pPr>
      <w:spacing w:after="120"/>
      <w:ind w:left="283"/>
    </w:pPr>
    <w:rPr>
      <w:sz w:val="16"/>
      <w:szCs w:val="16"/>
    </w:rPr>
  </w:style>
  <w:style w:type="character" w:customStyle="1" w:styleId="BodyTextIndent3Char">
    <w:name w:val="Body Text Indent 3 Char"/>
    <w:basedOn w:val="DefaultParagraphFont"/>
    <w:link w:val="BodyTextIndent3"/>
    <w:uiPriority w:val="99"/>
    <w:rsid w:val="007309D7"/>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5497">
      <w:bodyDiv w:val="1"/>
      <w:marLeft w:val="0"/>
      <w:marRight w:val="0"/>
      <w:marTop w:val="0"/>
      <w:marBottom w:val="0"/>
      <w:divBdr>
        <w:top w:val="none" w:sz="0" w:space="0" w:color="auto"/>
        <w:left w:val="none" w:sz="0" w:space="0" w:color="auto"/>
        <w:bottom w:val="none" w:sz="0" w:space="0" w:color="auto"/>
        <w:right w:val="none" w:sz="0" w:space="0" w:color="auto"/>
      </w:divBdr>
      <w:divsChild>
        <w:div w:id="1744719854">
          <w:marLeft w:val="547"/>
          <w:marRight w:val="0"/>
          <w:marTop w:val="0"/>
          <w:marBottom w:val="0"/>
          <w:divBdr>
            <w:top w:val="none" w:sz="0" w:space="0" w:color="auto"/>
            <w:left w:val="none" w:sz="0" w:space="0" w:color="auto"/>
            <w:bottom w:val="none" w:sz="0" w:space="0" w:color="auto"/>
            <w:right w:val="none" w:sz="0" w:space="0" w:color="auto"/>
          </w:divBdr>
        </w:div>
      </w:divsChild>
    </w:div>
    <w:div w:id="159394480">
      <w:bodyDiv w:val="1"/>
      <w:marLeft w:val="0"/>
      <w:marRight w:val="0"/>
      <w:marTop w:val="0"/>
      <w:marBottom w:val="0"/>
      <w:divBdr>
        <w:top w:val="none" w:sz="0" w:space="0" w:color="auto"/>
        <w:left w:val="none" w:sz="0" w:space="0" w:color="auto"/>
        <w:bottom w:val="none" w:sz="0" w:space="0" w:color="auto"/>
        <w:right w:val="none" w:sz="0" w:space="0" w:color="auto"/>
      </w:divBdr>
      <w:divsChild>
        <w:div w:id="1842767819">
          <w:marLeft w:val="547"/>
          <w:marRight w:val="0"/>
          <w:marTop w:val="0"/>
          <w:marBottom w:val="0"/>
          <w:divBdr>
            <w:top w:val="none" w:sz="0" w:space="0" w:color="auto"/>
            <w:left w:val="none" w:sz="0" w:space="0" w:color="auto"/>
            <w:bottom w:val="none" w:sz="0" w:space="0" w:color="auto"/>
            <w:right w:val="none" w:sz="0" w:space="0" w:color="auto"/>
          </w:divBdr>
        </w:div>
      </w:divsChild>
    </w:div>
    <w:div w:id="159396514">
      <w:bodyDiv w:val="1"/>
      <w:marLeft w:val="0"/>
      <w:marRight w:val="0"/>
      <w:marTop w:val="0"/>
      <w:marBottom w:val="0"/>
      <w:divBdr>
        <w:top w:val="none" w:sz="0" w:space="0" w:color="auto"/>
        <w:left w:val="none" w:sz="0" w:space="0" w:color="auto"/>
        <w:bottom w:val="none" w:sz="0" w:space="0" w:color="auto"/>
        <w:right w:val="none" w:sz="0" w:space="0" w:color="auto"/>
      </w:divBdr>
      <w:divsChild>
        <w:div w:id="2024669241">
          <w:marLeft w:val="547"/>
          <w:marRight w:val="0"/>
          <w:marTop w:val="0"/>
          <w:marBottom w:val="0"/>
          <w:divBdr>
            <w:top w:val="none" w:sz="0" w:space="0" w:color="auto"/>
            <w:left w:val="none" w:sz="0" w:space="0" w:color="auto"/>
            <w:bottom w:val="none" w:sz="0" w:space="0" w:color="auto"/>
            <w:right w:val="none" w:sz="0" w:space="0" w:color="auto"/>
          </w:divBdr>
        </w:div>
      </w:divsChild>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356547210">
      <w:bodyDiv w:val="1"/>
      <w:marLeft w:val="0"/>
      <w:marRight w:val="0"/>
      <w:marTop w:val="0"/>
      <w:marBottom w:val="0"/>
      <w:divBdr>
        <w:top w:val="none" w:sz="0" w:space="0" w:color="auto"/>
        <w:left w:val="none" w:sz="0" w:space="0" w:color="auto"/>
        <w:bottom w:val="none" w:sz="0" w:space="0" w:color="auto"/>
        <w:right w:val="none" w:sz="0" w:space="0" w:color="auto"/>
      </w:divBdr>
      <w:divsChild>
        <w:div w:id="1615407080">
          <w:marLeft w:val="0"/>
          <w:marRight w:val="0"/>
          <w:marTop w:val="0"/>
          <w:marBottom w:val="0"/>
          <w:divBdr>
            <w:top w:val="none" w:sz="0" w:space="0" w:color="auto"/>
            <w:left w:val="none" w:sz="0" w:space="0" w:color="auto"/>
            <w:bottom w:val="none" w:sz="0" w:space="0" w:color="auto"/>
            <w:right w:val="none" w:sz="0" w:space="0" w:color="auto"/>
          </w:divBdr>
          <w:divsChild>
            <w:div w:id="1271471078">
              <w:marLeft w:val="0"/>
              <w:marRight w:val="0"/>
              <w:marTop w:val="0"/>
              <w:marBottom w:val="0"/>
              <w:divBdr>
                <w:top w:val="none" w:sz="0" w:space="0" w:color="auto"/>
                <w:left w:val="none" w:sz="0" w:space="0" w:color="auto"/>
                <w:bottom w:val="none" w:sz="0" w:space="0" w:color="auto"/>
                <w:right w:val="none" w:sz="0" w:space="0" w:color="auto"/>
              </w:divBdr>
              <w:divsChild>
                <w:div w:id="2020426215">
                  <w:marLeft w:val="0"/>
                  <w:marRight w:val="0"/>
                  <w:marTop w:val="0"/>
                  <w:marBottom w:val="0"/>
                  <w:divBdr>
                    <w:top w:val="none" w:sz="0" w:space="0" w:color="auto"/>
                    <w:left w:val="none" w:sz="0" w:space="0" w:color="auto"/>
                    <w:bottom w:val="none" w:sz="0" w:space="0" w:color="auto"/>
                    <w:right w:val="none" w:sz="0" w:space="0" w:color="auto"/>
                  </w:divBdr>
                  <w:divsChild>
                    <w:div w:id="838692127">
                      <w:marLeft w:val="0"/>
                      <w:marRight w:val="0"/>
                      <w:marTop w:val="0"/>
                      <w:marBottom w:val="0"/>
                      <w:divBdr>
                        <w:top w:val="none" w:sz="0" w:space="0" w:color="auto"/>
                        <w:left w:val="none" w:sz="0" w:space="0" w:color="auto"/>
                        <w:bottom w:val="none" w:sz="0" w:space="0" w:color="auto"/>
                        <w:right w:val="none" w:sz="0" w:space="0" w:color="auto"/>
                      </w:divBdr>
                      <w:divsChild>
                        <w:div w:id="1484855963">
                          <w:marLeft w:val="0"/>
                          <w:marRight w:val="0"/>
                          <w:marTop w:val="0"/>
                          <w:marBottom w:val="0"/>
                          <w:divBdr>
                            <w:top w:val="none" w:sz="0" w:space="0" w:color="auto"/>
                            <w:left w:val="none" w:sz="0" w:space="0" w:color="auto"/>
                            <w:bottom w:val="none" w:sz="0" w:space="0" w:color="auto"/>
                            <w:right w:val="none" w:sz="0" w:space="0" w:color="auto"/>
                          </w:divBdr>
                          <w:divsChild>
                            <w:div w:id="2014062667">
                              <w:marLeft w:val="0"/>
                              <w:marRight w:val="0"/>
                              <w:marTop w:val="0"/>
                              <w:marBottom w:val="0"/>
                              <w:divBdr>
                                <w:top w:val="none" w:sz="0" w:space="0" w:color="auto"/>
                                <w:left w:val="none" w:sz="0" w:space="0" w:color="auto"/>
                                <w:bottom w:val="none" w:sz="0" w:space="0" w:color="auto"/>
                                <w:right w:val="none" w:sz="0" w:space="0" w:color="auto"/>
                              </w:divBdr>
                              <w:divsChild>
                                <w:div w:id="1966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077738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79684206">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171424">
      <w:bodyDiv w:val="1"/>
      <w:marLeft w:val="0"/>
      <w:marRight w:val="0"/>
      <w:marTop w:val="0"/>
      <w:marBottom w:val="0"/>
      <w:divBdr>
        <w:top w:val="none" w:sz="0" w:space="0" w:color="auto"/>
        <w:left w:val="none" w:sz="0" w:space="0" w:color="auto"/>
        <w:bottom w:val="none" w:sz="0" w:space="0" w:color="auto"/>
        <w:right w:val="none" w:sz="0" w:space="0" w:color="auto"/>
      </w:divBdr>
      <w:divsChild>
        <w:div w:id="839735087">
          <w:marLeft w:val="0"/>
          <w:marRight w:val="0"/>
          <w:marTop w:val="0"/>
          <w:marBottom w:val="0"/>
          <w:divBdr>
            <w:top w:val="none" w:sz="0" w:space="0" w:color="auto"/>
            <w:left w:val="none" w:sz="0" w:space="0" w:color="auto"/>
            <w:bottom w:val="none" w:sz="0" w:space="0" w:color="auto"/>
            <w:right w:val="none" w:sz="0" w:space="0" w:color="auto"/>
          </w:divBdr>
          <w:divsChild>
            <w:div w:id="1818066677">
              <w:marLeft w:val="0"/>
              <w:marRight w:val="0"/>
              <w:marTop w:val="0"/>
              <w:marBottom w:val="0"/>
              <w:divBdr>
                <w:top w:val="none" w:sz="0" w:space="0" w:color="auto"/>
                <w:left w:val="none" w:sz="0" w:space="0" w:color="auto"/>
                <w:bottom w:val="none" w:sz="0" w:space="0" w:color="auto"/>
                <w:right w:val="none" w:sz="0" w:space="0" w:color="auto"/>
              </w:divBdr>
              <w:divsChild>
                <w:div w:id="1656182069">
                  <w:marLeft w:val="0"/>
                  <w:marRight w:val="0"/>
                  <w:marTop w:val="0"/>
                  <w:marBottom w:val="0"/>
                  <w:divBdr>
                    <w:top w:val="none" w:sz="0" w:space="0" w:color="auto"/>
                    <w:left w:val="none" w:sz="0" w:space="0" w:color="auto"/>
                    <w:bottom w:val="none" w:sz="0" w:space="0" w:color="auto"/>
                    <w:right w:val="none" w:sz="0" w:space="0" w:color="auto"/>
                  </w:divBdr>
                  <w:divsChild>
                    <w:div w:id="1739353362">
                      <w:marLeft w:val="0"/>
                      <w:marRight w:val="0"/>
                      <w:marTop w:val="0"/>
                      <w:marBottom w:val="0"/>
                      <w:divBdr>
                        <w:top w:val="none" w:sz="0" w:space="0" w:color="auto"/>
                        <w:left w:val="none" w:sz="0" w:space="0" w:color="auto"/>
                        <w:bottom w:val="none" w:sz="0" w:space="0" w:color="auto"/>
                        <w:right w:val="none" w:sz="0" w:space="0" w:color="auto"/>
                      </w:divBdr>
                      <w:divsChild>
                        <w:div w:id="246882893">
                          <w:marLeft w:val="0"/>
                          <w:marRight w:val="0"/>
                          <w:marTop w:val="0"/>
                          <w:marBottom w:val="0"/>
                          <w:divBdr>
                            <w:top w:val="none" w:sz="0" w:space="0" w:color="auto"/>
                            <w:left w:val="none" w:sz="0" w:space="0" w:color="auto"/>
                            <w:bottom w:val="none" w:sz="0" w:space="0" w:color="auto"/>
                            <w:right w:val="none" w:sz="0" w:space="0" w:color="auto"/>
                          </w:divBdr>
                          <w:divsChild>
                            <w:div w:id="1534613977">
                              <w:marLeft w:val="0"/>
                              <w:marRight w:val="0"/>
                              <w:marTop w:val="0"/>
                              <w:marBottom w:val="0"/>
                              <w:divBdr>
                                <w:top w:val="none" w:sz="0" w:space="0" w:color="auto"/>
                                <w:left w:val="none" w:sz="0" w:space="0" w:color="auto"/>
                                <w:bottom w:val="none" w:sz="0" w:space="0" w:color="auto"/>
                                <w:right w:val="none" w:sz="0" w:space="0" w:color="auto"/>
                              </w:divBdr>
                              <w:divsChild>
                                <w:div w:id="478424533">
                                  <w:marLeft w:val="0"/>
                                  <w:marRight w:val="0"/>
                                  <w:marTop w:val="0"/>
                                  <w:marBottom w:val="0"/>
                                  <w:divBdr>
                                    <w:top w:val="none" w:sz="0" w:space="0" w:color="auto"/>
                                    <w:left w:val="none" w:sz="0" w:space="0" w:color="auto"/>
                                    <w:bottom w:val="none" w:sz="0" w:space="0" w:color="auto"/>
                                    <w:right w:val="none" w:sz="0" w:space="0" w:color="auto"/>
                                  </w:divBdr>
                                  <w:divsChild>
                                    <w:div w:id="250091209">
                                      <w:marLeft w:val="0"/>
                                      <w:marRight w:val="0"/>
                                      <w:marTop w:val="0"/>
                                      <w:marBottom w:val="0"/>
                                      <w:divBdr>
                                        <w:top w:val="none" w:sz="0" w:space="0" w:color="auto"/>
                                        <w:left w:val="none" w:sz="0" w:space="0" w:color="auto"/>
                                        <w:bottom w:val="none" w:sz="0" w:space="0" w:color="auto"/>
                                        <w:right w:val="none" w:sz="0" w:space="0" w:color="auto"/>
                                      </w:divBdr>
                                      <w:divsChild>
                                        <w:div w:id="2025471631">
                                          <w:marLeft w:val="0"/>
                                          <w:marRight w:val="0"/>
                                          <w:marTop w:val="0"/>
                                          <w:marBottom w:val="0"/>
                                          <w:divBdr>
                                            <w:top w:val="none" w:sz="0" w:space="0" w:color="auto"/>
                                            <w:left w:val="none" w:sz="0" w:space="0" w:color="auto"/>
                                            <w:bottom w:val="none" w:sz="0" w:space="0" w:color="auto"/>
                                            <w:right w:val="none" w:sz="0" w:space="0" w:color="auto"/>
                                          </w:divBdr>
                                          <w:divsChild>
                                            <w:div w:id="945163428">
                                              <w:marLeft w:val="0"/>
                                              <w:marRight w:val="0"/>
                                              <w:marTop w:val="0"/>
                                              <w:marBottom w:val="0"/>
                                              <w:divBdr>
                                                <w:top w:val="none" w:sz="0" w:space="0" w:color="auto"/>
                                                <w:left w:val="none" w:sz="0" w:space="0" w:color="auto"/>
                                                <w:bottom w:val="none" w:sz="0" w:space="0" w:color="auto"/>
                                                <w:right w:val="none" w:sz="0" w:space="0" w:color="auto"/>
                                              </w:divBdr>
                                              <w:divsChild>
                                                <w:div w:id="358047302">
                                                  <w:marLeft w:val="0"/>
                                                  <w:marRight w:val="0"/>
                                                  <w:marTop w:val="0"/>
                                                  <w:marBottom w:val="0"/>
                                                  <w:divBdr>
                                                    <w:top w:val="none" w:sz="0" w:space="0" w:color="auto"/>
                                                    <w:left w:val="none" w:sz="0" w:space="0" w:color="auto"/>
                                                    <w:bottom w:val="none" w:sz="0" w:space="0" w:color="auto"/>
                                                    <w:right w:val="none" w:sz="0" w:space="0" w:color="auto"/>
                                                  </w:divBdr>
                                                  <w:divsChild>
                                                    <w:div w:id="11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783035">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675379699">
      <w:bodyDiv w:val="1"/>
      <w:marLeft w:val="0"/>
      <w:marRight w:val="0"/>
      <w:marTop w:val="0"/>
      <w:marBottom w:val="0"/>
      <w:divBdr>
        <w:top w:val="none" w:sz="0" w:space="0" w:color="auto"/>
        <w:left w:val="none" w:sz="0" w:space="0" w:color="auto"/>
        <w:bottom w:val="none" w:sz="0" w:space="0" w:color="auto"/>
        <w:right w:val="none" w:sz="0" w:space="0" w:color="auto"/>
      </w:divBdr>
      <w:divsChild>
        <w:div w:id="1733235252">
          <w:marLeft w:val="547"/>
          <w:marRight w:val="0"/>
          <w:marTop w:val="0"/>
          <w:marBottom w:val="0"/>
          <w:divBdr>
            <w:top w:val="none" w:sz="0" w:space="0" w:color="auto"/>
            <w:left w:val="none" w:sz="0" w:space="0" w:color="auto"/>
            <w:bottom w:val="none" w:sz="0" w:space="0" w:color="auto"/>
            <w:right w:val="none" w:sz="0" w:space="0" w:color="auto"/>
          </w:divBdr>
        </w:div>
      </w:divsChild>
    </w:div>
    <w:div w:id="1770201201">
      <w:bodyDiv w:val="1"/>
      <w:marLeft w:val="0"/>
      <w:marRight w:val="0"/>
      <w:marTop w:val="0"/>
      <w:marBottom w:val="0"/>
      <w:divBdr>
        <w:top w:val="none" w:sz="0" w:space="0" w:color="auto"/>
        <w:left w:val="none" w:sz="0" w:space="0" w:color="auto"/>
        <w:bottom w:val="none" w:sz="0" w:space="0" w:color="auto"/>
        <w:right w:val="none" w:sz="0" w:space="0" w:color="auto"/>
      </w:divBdr>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30960808">
      <w:bodyDiv w:val="1"/>
      <w:marLeft w:val="0"/>
      <w:marRight w:val="0"/>
      <w:marTop w:val="0"/>
      <w:marBottom w:val="0"/>
      <w:divBdr>
        <w:top w:val="none" w:sz="0" w:space="0" w:color="auto"/>
        <w:left w:val="none" w:sz="0" w:space="0" w:color="auto"/>
        <w:bottom w:val="none" w:sz="0" w:space="0" w:color="auto"/>
        <w:right w:val="none" w:sz="0" w:space="0" w:color="auto"/>
      </w:divBdr>
      <w:divsChild>
        <w:div w:id="1122382858">
          <w:marLeft w:val="0"/>
          <w:marRight w:val="0"/>
          <w:marTop w:val="0"/>
          <w:marBottom w:val="0"/>
          <w:divBdr>
            <w:top w:val="none" w:sz="0" w:space="0" w:color="auto"/>
            <w:left w:val="none" w:sz="0" w:space="0" w:color="auto"/>
            <w:bottom w:val="none" w:sz="0" w:space="0" w:color="auto"/>
            <w:right w:val="none" w:sz="0" w:space="0" w:color="auto"/>
          </w:divBdr>
          <w:divsChild>
            <w:div w:id="420685992">
              <w:marLeft w:val="0"/>
              <w:marRight w:val="0"/>
              <w:marTop w:val="0"/>
              <w:marBottom w:val="0"/>
              <w:divBdr>
                <w:top w:val="none" w:sz="0" w:space="0" w:color="auto"/>
                <w:left w:val="none" w:sz="0" w:space="0" w:color="auto"/>
                <w:bottom w:val="none" w:sz="0" w:space="0" w:color="auto"/>
                <w:right w:val="none" w:sz="0" w:space="0" w:color="auto"/>
              </w:divBdr>
              <w:divsChild>
                <w:div w:id="1853255682">
                  <w:marLeft w:val="0"/>
                  <w:marRight w:val="0"/>
                  <w:marTop w:val="0"/>
                  <w:marBottom w:val="0"/>
                  <w:divBdr>
                    <w:top w:val="none" w:sz="0" w:space="0" w:color="auto"/>
                    <w:left w:val="none" w:sz="0" w:space="0" w:color="auto"/>
                    <w:bottom w:val="none" w:sz="0" w:space="0" w:color="auto"/>
                    <w:right w:val="none" w:sz="0" w:space="0" w:color="auto"/>
                  </w:divBdr>
                  <w:divsChild>
                    <w:div w:id="81151657">
                      <w:marLeft w:val="0"/>
                      <w:marRight w:val="0"/>
                      <w:marTop w:val="0"/>
                      <w:marBottom w:val="0"/>
                      <w:divBdr>
                        <w:top w:val="none" w:sz="0" w:space="0" w:color="auto"/>
                        <w:left w:val="none" w:sz="0" w:space="0" w:color="auto"/>
                        <w:bottom w:val="none" w:sz="0" w:space="0" w:color="auto"/>
                        <w:right w:val="none" w:sz="0" w:space="0" w:color="auto"/>
                      </w:divBdr>
                      <w:divsChild>
                        <w:div w:id="888103773">
                          <w:marLeft w:val="0"/>
                          <w:marRight w:val="0"/>
                          <w:marTop w:val="0"/>
                          <w:marBottom w:val="0"/>
                          <w:divBdr>
                            <w:top w:val="none" w:sz="0" w:space="0" w:color="auto"/>
                            <w:left w:val="none" w:sz="0" w:space="0" w:color="auto"/>
                            <w:bottom w:val="none" w:sz="0" w:space="0" w:color="auto"/>
                            <w:right w:val="none" w:sz="0" w:space="0" w:color="auto"/>
                          </w:divBdr>
                          <w:divsChild>
                            <w:div w:id="429620464">
                              <w:marLeft w:val="0"/>
                              <w:marRight w:val="0"/>
                              <w:marTop w:val="0"/>
                              <w:marBottom w:val="0"/>
                              <w:divBdr>
                                <w:top w:val="none" w:sz="0" w:space="0" w:color="auto"/>
                                <w:left w:val="none" w:sz="0" w:space="0" w:color="auto"/>
                                <w:bottom w:val="none" w:sz="0" w:space="0" w:color="auto"/>
                                <w:right w:val="none" w:sz="0" w:space="0" w:color="auto"/>
                              </w:divBdr>
                              <w:divsChild>
                                <w:div w:id="876240133">
                                  <w:marLeft w:val="0"/>
                                  <w:marRight w:val="0"/>
                                  <w:marTop w:val="0"/>
                                  <w:marBottom w:val="0"/>
                                  <w:divBdr>
                                    <w:top w:val="none" w:sz="0" w:space="0" w:color="auto"/>
                                    <w:left w:val="none" w:sz="0" w:space="0" w:color="auto"/>
                                    <w:bottom w:val="none" w:sz="0" w:space="0" w:color="auto"/>
                                    <w:right w:val="none" w:sz="0" w:space="0" w:color="auto"/>
                                  </w:divBdr>
                                  <w:divsChild>
                                    <w:div w:id="614947427">
                                      <w:marLeft w:val="0"/>
                                      <w:marRight w:val="0"/>
                                      <w:marTop w:val="0"/>
                                      <w:marBottom w:val="0"/>
                                      <w:divBdr>
                                        <w:top w:val="none" w:sz="0" w:space="0" w:color="auto"/>
                                        <w:left w:val="none" w:sz="0" w:space="0" w:color="auto"/>
                                        <w:bottom w:val="none" w:sz="0" w:space="0" w:color="auto"/>
                                        <w:right w:val="none" w:sz="0" w:space="0" w:color="auto"/>
                                      </w:divBdr>
                                      <w:divsChild>
                                        <w:div w:id="987978809">
                                          <w:marLeft w:val="0"/>
                                          <w:marRight w:val="0"/>
                                          <w:marTop w:val="0"/>
                                          <w:marBottom w:val="0"/>
                                          <w:divBdr>
                                            <w:top w:val="none" w:sz="0" w:space="0" w:color="auto"/>
                                            <w:left w:val="none" w:sz="0" w:space="0" w:color="auto"/>
                                            <w:bottom w:val="none" w:sz="0" w:space="0" w:color="auto"/>
                                            <w:right w:val="none" w:sz="0" w:space="0" w:color="auto"/>
                                          </w:divBdr>
                                          <w:divsChild>
                                            <w:div w:id="306976901">
                                              <w:marLeft w:val="0"/>
                                              <w:marRight w:val="0"/>
                                              <w:marTop w:val="0"/>
                                              <w:marBottom w:val="0"/>
                                              <w:divBdr>
                                                <w:top w:val="none" w:sz="0" w:space="0" w:color="auto"/>
                                                <w:left w:val="none" w:sz="0" w:space="0" w:color="auto"/>
                                                <w:bottom w:val="none" w:sz="0" w:space="0" w:color="auto"/>
                                                <w:right w:val="none" w:sz="0" w:space="0" w:color="auto"/>
                                              </w:divBdr>
                                              <w:divsChild>
                                                <w:div w:id="1692759095">
                                                  <w:marLeft w:val="0"/>
                                                  <w:marRight w:val="0"/>
                                                  <w:marTop w:val="0"/>
                                                  <w:marBottom w:val="0"/>
                                                  <w:divBdr>
                                                    <w:top w:val="none" w:sz="0" w:space="0" w:color="auto"/>
                                                    <w:left w:val="none" w:sz="0" w:space="0" w:color="auto"/>
                                                    <w:bottom w:val="none" w:sz="0" w:space="0" w:color="auto"/>
                                                    <w:right w:val="none" w:sz="0" w:space="0" w:color="auto"/>
                                                  </w:divBdr>
                                                  <w:divsChild>
                                                    <w:div w:id="155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74967541">
      <w:bodyDiv w:val="1"/>
      <w:marLeft w:val="0"/>
      <w:marRight w:val="0"/>
      <w:marTop w:val="0"/>
      <w:marBottom w:val="0"/>
      <w:divBdr>
        <w:top w:val="none" w:sz="0" w:space="0" w:color="auto"/>
        <w:left w:val="none" w:sz="0" w:space="0" w:color="auto"/>
        <w:bottom w:val="none" w:sz="0" w:space="0" w:color="auto"/>
        <w:right w:val="none" w:sz="0" w:space="0" w:color="auto"/>
      </w:divBdr>
      <w:divsChild>
        <w:div w:id="1006446855">
          <w:marLeft w:val="547"/>
          <w:marRight w:val="0"/>
          <w:marTop w:val="0"/>
          <w:marBottom w:val="0"/>
          <w:divBdr>
            <w:top w:val="none" w:sz="0" w:space="0" w:color="auto"/>
            <w:left w:val="none" w:sz="0" w:space="0" w:color="auto"/>
            <w:bottom w:val="none" w:sz="0" w:space="0" w:color="auto"/>
            <w:right w:val="none" w:sz="0" w:space="0" w:color="auto"/>
          </w:divBdr>
        </w:div>
      </w:divsChild>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 w:id="21281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M@aer.gov.au" TargetMode="External"/><Relationship Id="rId18" Type="http://schemas.microsoft.com/office/2007/relationships/diagramDrawing" Target="diagrams/drawing1.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DM@aer.gov.au" TargetMode="External"/><Relationship Id="rId17" Type="http://schemas.openxmlformats.org/officeDocument/2006/relationships/diagramColors" Target="diagrams/colors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M@aer.gov.a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diagramLayout" Target="diagrams/layout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er.gov.au/networks-pipelines/guidelines-schemes-models-reviews/demand-management-incentive-scheme-and-innovation-allowance-mechanism" TargetMode="External"/><Relationship Id="rId1" Type="http://schemas.openxmlformats.org/officeDocument/2006/relationships/hyperlink" Target="https://www.aer.gov.au/networks-pipelines/guidelines-schemes-models-reviews/demand-management-incentive-scheme-and-innovation-allowance-mechanism/initiation"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B2EF63-1C5E-4D32-B3B4-6DC8641EB84C}" type="doc">
      <dgm:prSet loTypeId="urn:microsoft.com/office/officeart/2005/8/layout/process4" loCatId="process" qsTypeId="urn:microsoft.com/office/officeart/2005/8/quickstyle/simple1" qsCatId="simple" csTypeId="urn:microsoft.com/office/officeart/2005/8/colors/accent0_3" csCatId="mainScheme" phldr="1"/>
      <dgm:spPr/>
      <dgm:t>
        <a:bodyPr/>
        <a:lstStyle/>
        <a:p>
          <a:endParaRPr lang="en-AU"/>
        </a:p>
      </dgm:t>
    </dgm:pt>
    <mc:AlternateContent xmlns:mc="http://schemas.openxmlformats.org/markup-compatibility/2006" xmlns:a14="http://schemas.microsoft.com/office/drawing/2010/main">
      <mc:Choice Requires="a14">
        <dgm:pt modelId="{52B55C6E-707E-4442-A745-E467175ACDC4}">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𝟑</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52B55C6E-707E-4442-A745-E467175ACDC4}">
          <dgm:prSet phldrT="[Text]" custT="1"/>
          <dgm:spPr/>
          <dgm:t>
            <a:bodyPr/>
            <a:lstStyle/>
            <a:p>
              <a:pPr/>
              <a:r>
                <a:rPr lang="en-AU" sz="1100" b="1" i="0">
                  <a:latin typeface="Cambria Math"/>
                </a:rPr>
                <a:t>𝒕−𝟑 𝒎𝒐𝒏𝒕𝒉𝒔</a:t>
              </a:r>
              <a:endParaRPr lang="en-AU" sz="1100" b="1"/>
            </a:p>
          </dgm:t>
        </dgm:pt>
      </mc:Fallback>
    </mc:AlternateContent>
    <dgm:pt modelId="{B25FD626-6F46-4277-B753-F7F5D6D84849}" type="parTrans" cxnId="{6814C8C7-636B-4560-81F6-7F8610D7CCD1}">
      <dgm:prSet/>
      <dgm:spPr/>
      <dgm:t>
        <a:bodyPr/>
        <a:lstStyle/>
        <a:p>
          <a:endParaRPr lang="en-AU"/>
        </a:p>
      </dgm:t>
    </dgm:pt>
    <dgm:pt modelId="{E1AB9065-5FC9-41FB-8897-6AE87D6CA6AB}" type="sibTrans" cxnId="{6814C8C7-636B-4560-81F6-7F8610D7CCD1}">
      <dgm:prSet/>
      <dgm:spPr/>
      <dgm:t>
        <a:bodyPr/>
        <a:lstStyle/>
        <a:p>
          <a:endParaRPr lang="en-AU"/>
        </a:p>
      </dgm:t>
    </dgm:pt>
    <mc:AlternateContent xmlns:mc="http://schemas.openxmlformats.org/markup-compatibility/2006" xmlns:a14="http://schemas.microsoft.com/office/drawing/2010/main">
      <mc:Choice Requires="a14">
        <dgm:pt modelId="{9D25337D-BBA1-4E7D-84CD-2CD2FEA679D7}">
          <dgm:prSet phldrT="[Text]" custT="1"/>
          <dgm:spPr/>
          <dgm:t>
            <a:bodyPr/>
            <a:lstStyle/>
            <a:p>
              <a:r>
                <a:rPr lang="en-AU" sz="1000"/>
                <a:t>AER determines the total financial incentive it will pass through to the distributor in year </a:t>
              </a:r>
              <a14:m>
                <m:oMath xmlns:m="http://schemas.openxmlformats.org/officeDocument/2006/math">
                  <m:r>
                    <a:rPr lang="en-AU" sz="1000" b="0" i="1">
                      <a:latin typeface="Cambria Math"/>
                    </a:rPr>
                    <m:t>𝑡</m:t>
                  </m:r>
                </m:oMath>
              </a14:m>
              <a:r>
                <a:rPr lang="en-AU" sz="800"/>
                <a:t>.</a:t>
              </a:r>
            </a:p>
          </dgm:t>
        </dgm:pt>
      </mc:Choice>
      <mc:Fallback xmlns="">
        <dgm:pt modelId="{9D25337D-BBA1-4E7D-84CD-2CD2FEA679D7}">
          <dgm:prSet phldrT="[Text]" custT="1"/>
          <dgm:spPr/>
          <dgm:t>
            <a:bodyPr/>
            <a:lstStyle/>
            <a:p>
              <a:r>
                <a:rPr lang="en-AU" sz="1000"/>
                <a:t>AER determines the total financial incentive it will pass through to the distributor in year </a:t>
              </a:r>
              <a:r>
                <a:rPr lang="en-AU" sz="1000" b="0" i="0">
                  <a:latin typeface="Cambria Math"/>
                </a:rPr>
                <a:t>𝑡</a:t>
              </a:r>
              <a:r>
                <a:rPr lang="en-AU" sz="800"/>
                <a:t>.</a:t>
              </a:r>
            </a:p>
          </dgm:t>
        </dgm:pt>
      </mc:Fallback>
    </mc:AlternateContent>
    <dgm:pt modelId="{3E9B4331-2BFF-45DE-8523-10FE4ADA484F}" type="parTrans" cxnId="{267BDE9D-B025-4DB7-A62F-7EE924BD7D4B}">
      <dgm:prSet/>
      <dgm:spPr/>
      <dgm:t>
        <a:bodyPr/>
        <a:lstStyle/>
        <a:p>
          <a:endParaRPr lang="en-AU"/>
        </a:p>
      </dgm:t>
    </dgm:pt>
    <dgm:pt modelId="{09CAD0FA-1026-4423-A93B-ABDECD88704E}" type="sibTrans" cxnId="{267BDE9D-B025-4DB7-A62F-7EE924BD7D4B}">
      <dgm:prSet/>
      <dgm:spPr/>
      <dgm:t>
        <a:bodyPr/>
        <a:lstStyle/>
        <a:p>
          <a:endParaRPr lang="en-AU"/>
        </a:p>
      </dgm:t>
    </dgm:pt>
    <mc:AlternateContent xmlns:mc="http://schemas.openxmlformats.org/markup-compatibility/2006" xmlns:a14="http://schemas.microsoft.com/office/drawing/2010/main">
      <mc:Choice Requires="a14">
        <dgm:pt modelId="{FEA20742-7AFE-4CF6-AB67-264B3A082C34}">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𝟑</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FEA20742-7AFE-4CF6-AB67-264B3A082C34}">
          <dgm:prSet phldrT="[Text]" custT="1"/>
          <dgm:spPr/>
          <dgm:t>
            <a:bodyPr/>
            <a:lstStyle/>
            <a:p>
              <a:r>
                <a:rPr lang="en-AU" sz="1100" b="1" i="0">
                  <a:latin typeface="Cambria Math"/>
                </a:rPr>
                <a:t>𝒕−𝟑 𝒎𝒐𝒏𝒕𝒉𝒔</a:t>
              </a:r>
              <a:endParaRPr lang="en-AU" sz="1100" b="1"/>
            </a:p>
          </dgm:t>
        </dgm:pt>
      </mc:Fallback>
    </mc:AlternateContent>
    <dgm:pt modelId="{74563D5D-4D75-417D-84CE-0D5B791CE760}" type="parTrans" cxnId="{D3B473DA-B928-4619-AC2A-F46F1C52A2CE}">
      <dgm:prSet/>
      <dgm:spPr/>
      <dgm:t>
        <a:bodyPr/>
        <a:lstStyle/>
        <a:p>
          <a:endParaRPr lang="en-AU"/>
        </a:p>
      </dgm:t>
    </dgm:pt>
    <dgm:pt modelId="{373FD307-6158-4C0E-9E83-48461503614B}" type="sibTrans" cxnId="{D3B473DA-B928-4619-AC2A-F46F1C52A2CE}">
      <dgm:prSet/>
      <dgm:spPr/>
      <dgm:t>
        <a:bodyPr/>
        <a:lstStyle/>
        <a:p>
          <a:endParaRPr lang="en-AU"/>
        </a:p>
      </dgm:t>
    </dgm:pt>
    <mc:AlternateContent xmlns:mc="http://schemas.openxmlformats.org/markup-compatibility/2006" xmlns:a14="http://schemas.microsoft.com/office/drawing/2010/main">
      <mc:Choice Requires="a14">
        <dgm:pt modelId="{6B8F9FC1-1806-4D85-947C-16B15A0B8406}">
          <dgm:prSet phldrT="[Text]" custT="1"/>
          <dgm:spPr/>
          <dgm:t>
            <a:bodyPr/>
            <a:lstStyle/>
            <a:p>
              <a:r>
                <a:rPr lang="en-AU" sz="1000"/>
                <a:t>Distributor submits pricing proposal to the AER, which includes the AER's approved total financial incentive to be passed throughin year </a:t>
              </a:r>
              <a14:m>
                <m:oMath xmlns:m="http://schemas.openxmlformats.org/officeDocument/2006/math">
                  <m:r>
                    <a:rPr lang="en-AU" sz="1000" b="0" i="1">
                      <a:latin typeface="Cambria Math"/>
                    </a:rPr>
                    <m:t>𝑡</m:t>
                  </m:r>
                </m:oMath>
              </a14:m>
              <a:r>
                <a:rPr lang="en-AU" sz="1000"/>
                <a:t>.</a:t>
              </a:r>
            </a:p>
          </dgm:t>
        </dgm:pt>
      </mc:Choice>
      <mc:Fallback xmlns="">
        <dgm:pt modelId="{6B8F9FC1-1806-4D85-947C-16B15A0B8406}">
          <dgm:prSet phldrT="[Text]" custT="1"/>
          <dgm:spPr/>
          <dgm:t>
            <a:bodyPr/>
            <a:lstStyle/>
            <a:p>
              <a:r>
                <a:rPr lang="en-AU" sz="1000"/>
                <a:t>Distributor submits pricing proposal to the AER, which includes the AER's approved total financial incentive to be passed throughin year </a:t>
              </a:r>
              <a:r>
                <a:rPr lang="en-AU" sz="1000" b="0" i="0">
                  <a:latin typeface="Cambria Math"/>
                </a:rPr>
                <a:t>𝑡</a:t>
              </a:r>
              <a:r>
                <a:rPr lang="en-AU" sz="1000"/>
                <a:t>.</a:t>
              </a:r>
            </a:p>
          </dgm:t>
        </dgm:pt>
      </mc:Fallback>
    </mc:AlternateContent>
    <dgm:pt modelId="{D0D2FA50-BD47-4452-BDDF-440B6AD1862C}" type="parTrans" cxnId="{DB5A78A2-DE25-4D7F-991A-AEDAA7B87657}">
      <dgm:prSet/>
      <dgm:spPr/>
      <dgm:t>
        <a:bodyPr/>
        <a:lstStyle/>
        <a:p>
          <a:endParaRPr lang="en-AU"/>
        </a:p>
      </dgm:t>
    </dgm:pt>
    <dgm:pt modelId="{8BBA8C0B-1F90-4907-95CF-D84187F608E0}" type="sibTrans" cxnId="{DB5A78A2-DE25-4D7F-991A-AEDAA7B87657}">
      <dgm:prSet/>
      <dgm:spPr/>
      <dgm:t>
        <a:bodyPr/>
        <a:lstStyle/>
        <a:p>
          <a:endParaRPr lang="en-AU"/>
        </a:p>
      </dgm:t>
    </dgm:pt>
    <mc:AlternateContent xmlns:mc="http://schemas.openxmlformats.org/markup-compatibility/2006" xmlns:a14="http://schemas.microsoft.com/office/drawing/2010/main">
      <mc:Choice Requires="a14">
        <dgm:pt modelId="{39F09E03-95FE-4C7B-A16F-ED61D9EAC3AA}">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𝒚𝒆𝒂𝒓</m:t>
                    </m:r>
                    <m:r>
                      <a:rPr lang="en-AU" sz="1100" b="1" i="1">
                        <a:latin typeface="Cambria Math"/>
                      </a:rPr>
                      <m:t> </m:t>
                    </m:r>
                    <m:r>
                      <a:rPr lang="en-AU" sz="1100" b="1" i="1">
                        <a:latin typeface="Cambria Math"/>
                      </a:rPr>
                      <m:t>𝒕</m:t>
                    </m:r>
                  </m:oMath>
                </m:oMathPara>
              </a14:m>
              <a:endParaRPr lang="en-AU" sz="1100" b="1"/>
            </a:p>
          </dgm:t>
        </dgm:pt>
      </mc:Choice>
      <mc:Fallback xmlns="">
        <dgm:pt modelId="{39F09E03-95FE-4C7B-A16F-ED61D9EAC3AA}">
          <dgm:prSet phldrT="[Text]" custT="1"/>
          <dgm:spPr/>
          <dgm:t>
            <a:bodyPr/>
            <a:lstStyle/>
            <a:p>
              <a:r>
                <a:rPr lang="en-AU" sz="1100" b="1" i="0">
                  <a:latin typeface="Cambria Math"/>
                </a:rPr>
                <a:t>𝒚𝒆𝒂𝒓 𝒕</a:t>
              </a:r>
              <a:endParaRPr lang="en-AU" sz="1100" b="1"/>
            </a:p>
          </dgm:t>
        </dgm:pt>
      </mc:Fallback>
    </mc:AlternateContent>
    <dgm:pt modelId="{EA6DD085-92CF-451A-9A03-9AAF4B871B8C}" type="parTrans" cxnId="{A57498D7-A7E7-440B-AC9E-1F34CB2DD063}">
      <dgm:prSet/>
      <dgm:spPr/>
      <dgm:t>
        <a:bodyPr/>
        <a:lstStyle/>
        <a:p>
          <a:endParaRPr lang="en-AU"/>
        </a:p>
      </dgm:t>
    </dgm:pt>
    <dgm:pt modelId="{79F4ECC7-11A9-4C98-92E9-D9B0E3414436}" type="sibTrans" cxnId="{A57498D7-A7E7-440B-AC9E-1F34CB2DD063}">
      <dgm:prSet/>
      <dgm:spPr/>
      <dgm:t>
        <a:bodyPr/>
        <a:lstStyle/>
        <a:p>
          <a:endParaRPr lang="en-AU"/>
        </a:p>
      </dgm:t>
    </dgm:pt>
    <mc:AlternateContent xmlns:mc="http://schemas.openxmlformats.org/markup-compatibility/2006" xmlns:a14="http://schemas.microsoft.com/office/drawing/2010/main">
      <mc:Choice Requires="a14">
        <dgm:pt modelId="{5F05042B-8EFB-4E73-AA54-9480292B0930}">
          <dgm:prSe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𝟖</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5F05042B-8EFB-4E73-AA54-9480292B0930}">
          <dgm:prSet custT="1"/>
          <dgm:spPr/>
          <dgm:t>
            <a:bodyPr/>
            <a:lstStyle/>
            <a:p>
              <a:pPr/>
              <a:r>
                <a:rPr lang="en-AU" sz="1100" b="1" i="0">
                  <a:latin typeface="Cambria Math"/>
                </a:rPr>
                <a:t>𝒕−𝟖 𝒎𝒐𝒏𝒕𝒉𝒔</a:t>
              </a:r>
              <a:endParaRPr lang="en-AU" sz="1100" b="1"/>
            </a:p>
          </dgm:t>
        </dgm:pt>
      </mc:Fallback>
    </mc:AlternateContent>
    <dgm:pt modelId="{F895AF8F-8587-453D-AC4A-45DCCB3B588C}" type="parTrans" cxnId="{2E8F1020-7701-4038-A3A7-1758EA5D7366}">
      <dgm:prSet/>
      <dgm:spPr/>
      <dgm:t>
        <a:bodyPr/>
        <a:lstStyle/>
        <a:p>
          <a:endParaRPr lang="en-AU"/>
        </a:p>
      </dgm:t>
    </dgm:pt>
    <dgm:pt modelId="{CE078AD5-EEFF-415E-9466-14FB1F1EC720}" type="sibTrans" cxnId="{2E8F1020-7701-4038-A3A7-1758EA5D7366}">
      <dgm:prSet/>
      <dgm:spPr/>
      <dgm:t>
        <a:bodyPr/>
        <a:lstStyle/>
        <a:p>
          <a:endParaRPr lang="en-AU"/>
        </a:p>
      </dgm:t>
    </dgm:pt>
    <mc:AlternateContent xmlns:mc="http://schemas.openxmlformats.org/markup-compatibility/2006" xmlns:a14="http://schemas.microsoft.com/office/drawing/2010/main">
      <mc:Choice Requires="a14">
        <dgm:pt modelId="{535E93E3-C61F-4816-921C-1DBC230EDA3E}">
          <dgm:prSe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𝟐</m:t>
                    </m:r>
                    <m:r>
                      <a:rPr lang="en-AU" sz="1100" b="1" i="1">
                        <a:latin typeface="Cambria Math"/>
                      </a:rPr>
                      <m:t> </m:t>
                    </m:r>
                    <m:r>
                      <a:rPr lang="en-AU" sz="1100" b="1" i="1">
                        <a:latin typeface="Cambria Math"/>
                      </a:rPr>
                      <m:t>𝒚𝒆𝒂𝒓𝒔</m:t>
                    </m:r>
                  </m:oMath>
                </m:oMathPara>
              </a14:m>
              <a:endParaRPr lang="en-AU" sz="1100" b="1"/>
            </a:p>
          </dgm:t>
        </dgm:pt>
      </mc:Choice>
      <mc:Fallback xmlns="">
        <dgm:pt modelId="{535E93E3-C61F-4816-921C-1DBC230EDA3E}">
          <dgm:prSet custT="1"/>
          <dgm:spPr/>
          <dgm:t>
            <a:bodyPr/>
            <a:lstStyle/>
            <a:p>
              <a:r>
                <a:rPr lang="en-AU" sz="1100" b="1" i="0">
                  <a:latin typeface="Cambria Math"/>
                </a:rPr>
                <a:t>𝒕−𝟐 𝒚𝒆𝒂𝒓𝒔</a:t>
              </a:r>
              <a:endParaRPr lang="en-AU" sz="1100" b="1"/>
            </a:p>
          </dgm:t>
        </dgm:pt>
      </mc:Fallback>
    </mc:AlternateContent>
    <dgm:pt modelId="{827CD461-2DE2-463D-8F43-2ABAFBDFE826}" type="parTrans" cxnId="{892DFF7E-AA2E-4A02-9E3E-AE429A67AAF9}">
      <dgm:prSet/>
      <dgm:spPr/>
      <dgm:t>
        <a:bodyPr/>
        <a:lstStyle/>
        <a:p>
          <a:endParaRPr lang="en-AU"/>
        </a:p>
      </dgm:t>
    </dgm:pt>
    <dgm:pt modelId="{42826054-949D-4878-BBFA-726F63ADD19C}" type="sibTrans" cxnId="{892DFF7E-AA2E-4A02-9E3E-AE429A67AAF9}">
      <dgm:prSet/>
      <dgm:spPr/>
      <dgm:t>
        <a:bodyPr/>
        <a:lstStyle/>
        <a:p>
          <a:endParaRPr lang="en-AU"/>
        </a:p>
      </dgm:t>
    </dgm:pt>
    <mc:AlternateContent xmlns:mc="http://schemas.openxmlformats.org/markup-compatibility/2006" xmlns:a14="http://schemas.microsoft.com/office/drawing/2010/main">
      <mc:Choice Requires="a14">
        <dgm:pt modelId="{F33B10EF-B3FF-40E4-9002-6D6F3915B1F8}">
          <dgm:prSet custT="1"/>
          <dgm:spPr/>
          <dgm:t>
            <a:bodyPr/>
            <a:lstStyle/>
            <a:p>
              <a:r>
                <a:rPr lang="en-AU" sz="1000"/>
                <a:t>Distributor submits compliance report to the AER under the Scheme for year </a:t>
              </a:r>
              <a14:m>
                <m:oMath xmlns:m="http://schemas.openxmlformats.org/officeDocument/2006/math">
                  <m:r>
                    <a:rPr lang="en-AU" sz="1000" b="0" i="1">
                      <a:latin typeface="Cambria Math"/>
                    </a:rPr>
                    <m:t>𝑡</m:t>
                  </m:r>
                  <m:r>
                    <a:rPr lang="en-AU" sz="1000" b="0" i="1">
                      <a:latin typeface="Cambria Math"/>
                    </a:rPr>
                    <m:t>−2</m:t>
                  </m:r>
                </m:oMath>
              </a14:m>
              <a:r>
                <a:rPr lang="en-AU" sz="1000"/>
                <a:t>.</a:t>
              </a:r>
            </a:p>
          </dgm:t>
        </dgm:pt>
      </mc:Choice>
      <mc:Fallback xmlns="">
        <dgm:pt modelId="{F33B10EF-B3FF-40E4-9002-6D6F3915B1F8}">
          <dgm:prSet custT="1"/>
          <dgm:spPr/>
          <dgm:t>
            <a:bodyPr/>
            <a:lstStyle/>
            <a:p>
              <a:r>
                <a:rPr lang="en-AU" sz="1000"/>
                <a:t>Distributor submits compliance report to the AER under the Scheme for year </a:t>
              </a:r>
              <a:r>
                <a:rPr lang="en-AU" sz="1000" b="0" i="0">
                  <a:latin typeface="Cambria Math"/>
                </a:rPr>
                <a:t>𝑡−2</a:t>
              </a:r>
              <a:r>
                <a:rPr lang="en-AU" sz="1000"/>
                <a:t>.</a:t>
              </a:r>
            </a:p>
          </dgm:t>
        </dgm:pt>
      </mc:Fallback>
    </mc:AlternateContent>
    <dgm:pt modelId="{F66A9569-639C-47A7-87CE-D9B5B61DA32F}" type="parTrans" cxnId="{E6FB6393-DEE7-42F4-BAB9-139B9737C03D}">
      <dgm:prSet/>
      <dgm:spPr/>
      <dgm:t>
        <a:bodyPr/>
        <a:lstStyle/>
        <a:p>
          <a:endParaRPr lang="en-AU"/>
        </a:p>
      </dgm:t>
    </dgm:pt>
    <dgm:pt modelId="{F0FF9D16-6123-45C6-B667-0645E5359FBD}" type="sibTrans" cxnId="{E6FB6393-DEE7-42F4-BAB9-139B9737C03D}">
      <dgm:prSet/>
      <dgm:spPr/>
      <dgm:t>
        <a:bodyPr/>
        <a:lstStyle/>
        <a:p>
          <a:endParaRPr lang="en-AU"/>
        </a:p>
      </dgm:t>
    </dgm:pt>
    <mc:AlternateContent xmlns:mc="http://schemas.openxmlformats.org/markup-compatibility/2006" xmlns:a14="http://schemas.microsoft.com/office/drawing/2010/main">
      <mc:Choice Requires="a14">
        <dgm:pt modelId="{9DF4CDDA-7942-4229-AB70-863B3DA5C440}">
          <dgm:prSet custT="1"/>
          <dgm:spPr/>
          <dgm:t>
            <a:bodyPr/>
            <a:lstStyle/>
            <a:p>
              <a:r>
                <a:rPr lang="en-AU" sz="1000"/>
                <a:t>Distributor accrues the total financial incentive for year </a:t>
              </a:r>
              <a14:m>
                <m:oMath xmlns:m="http://schemas.openxmlformats.org/officeDocument/2006/math">
                  <m:r>
                    <a:rPr lang="en-AU" sz="1000" b="0" i="1">
                      <a:latin typeface="Cambria Math"/>
                    </a:rPr>
                    <m:t>𝑡</m:t>
                  </m:r>
                  <m:r>
                    <a:rPr lang="en-AU" sz="1000" b="0" i="1">
                      <a:latin typeface="Cambria Math"/>
                    </a:rPr>
                    <m:t>−2</m:t>
                  </m:r>
                </m:oMath>
              </a14:m>
              <a:r>
                <a:rPr lang="en-AU" sz="1000"/>
                <a:t>.</a:t>
              </a:r>
            </a:p>
          </dgm:t>
        </dgm:pt>
      </mc:Choice>
      <mc:Fallback xmlns="">
        <dgm:pt modelId="{9DF4CDDA-7942-4229-AB70-863B3DA5C440}">
          <dgm:prSet custT="1"/>
          <dgm:spPr/>
          <dgm:t>
            <a:bodyPr/>
            <a:lstStyle/>
            <a:p>
              <a:r>
                <a:rPr lang="en-AU" sz="1000"/>
                <a:t>Distributor accrues the total financial incentive for year </a:t>
              </a:r>
              <a:r>
                <a:rPr lang="en-AU" sz="1000" b="0" i="0">
                  <a:latin typeface="Cambria Math"/>
                </a:rPr>
                <a:t>𝑡−2</a:t>
              </a:r>
              <a:r>
                <a:rPr lang="en-AU" sz="1000"/>
                <a:t>.</a:t>
              </a:r>
            </a:p>
          </dgm:t>
        </dgm:pt>
      </mc:Fallback>
    </mc:AlternateContent>
    <dgm:pt modelId="{028E9700-1868-418F-BEF2-E7BC6936D5CC}" type="parTrans" cxnId="{D457FAE0-DF4A-4784-B553-D71A51FDEBBC}">
      <dgm:prSet/>
      <dgm:spPr/>
      <dgm:t>
        <a:bodyPr/>
        <a:lstStyle/>
        <a:p>
          <a:endParaRPr lang="en-AU"/>
        </a:p>
      </dgm:t>
    </dgm:pt>
    <dgm:pt modelId="{B141A5D3-ECC9-4C1D-B228-203DF06FA4DE}" type="sibTrans" cxnId="{D457FAE0-DF4A-4784-B553-D71A51FDEBBC}">
      <dgm:prSet/>
      <dgm:spPr/>
      <dgm:t>
        <a:bodyPr/>
        <a:lstStyle/>
        <a:p>
          <a:endParaRPr lang="en-AU"/>
        </a:p>
      </dgm:t>
    </dgm:pt>
    <dgm:pt modelId="{ED8C3539-F30A-4A7D-A3FF-87DD1B5A55B3}">
      <dgm:prSet custT="1"/>
      <dgm:spPr/>
      <dgm:t>
        <a:bodyPr/>
        <a:lstStyle/>
        <a:p>
          <a:r>
            <a:rPr lang="en-AU" sz="1000"/>
            <a:t>Distributor recovers total financial incentive from consumers in distribution use of system charges.</a:t>
          </a:r>
        </a:p>
      </dgm:t>
    </dgm:pt>
    <dgm:pt modelId="{8B92C7B6-5C53-4951-9D5E-023A6F5C33C7}" type="parTrans" cxnId="{9D877CD6-0603-4167-808C-BE6ADEA70B66}">
      <dgm:prSet/>
      <dgm:spPr/>
      <dgm:t>
        <a:bodyPr/>
        <a:lstStyle/>
        <a:p>
          <a:endParaRPr lang="en-AU"/>
        </a:p>
      </dgm:t>
    </dgm:pt>
    <dgm:pt modelId="{AB9230DF-798E-41B6-B24B-86944FC9D105}" type="sibTrans" cxnId="{9D877CD6-0603-4167-808C-BE6ADEA70B66}">
      <dgm:prSet/>
      <dgm:spPr/>
      <dgm:t>
        <a:bodyPr/>
        <a:lstStyle/>
        <a:p>
          <a:endParaRPr lang="en-AU"/>
        </a:p>
      </dgm:t>
    </dgm:pt>
    <dgm:pt modelId="{498E733F-13C1-48C8-83CC-7B122CD1B7F0}" type="pres">
      <dgm:prSet presAssocID="{87B2EF63-1C5E-4D32-B3B4-6DC8641EB84C}" presName="Name0" presStyleCnt="0">
        <dgm:presLayoutVars>
          <dgm:dir/>
          <dgm:animLvl val="lvl"/>
          <dgm:resizeHandles val="exact"/>
        </dgm:presLayoutVars>
      </dgm:prSet>
      <dgm:spPr/>
      <dgm:t>
        <a:bodyPr/>
        <a:lstStyle/>
        <a:p>
          <a:endParaRPr lang="en-AU"/>
        </a:p>
      </dgm:t>
    </dgm:pt>
    <dgm:pt modelId="{8B9E9B53-DB9A-4C4C-987C-C0B99E649E0F}" type="pres">
      <dgm:prSet presAssocID="{39F09E03-95FE-4C7B-A16F-ED61D9EAC3AA}" presName="boxAndChildren" presStyleCnt="0"/>
      <dgm:spPr/>
      <dgm:t>
        <a:bodyPr/>
        <a:lstStyle/>
        <a:p>
          <a:endParaRPr lang="en-AU"/>
        </a:p>
      </dgm:t>
    </dgm:pt>
    <dgm:pt modelId="{BA5DE4E3-11E3-4935-9C92-984AE31A14A7}" type="pres">
      <dgm:prSet presAssocID="{39F09E03-95FE-4C7B-A16F-ED61D9EAC3AA}" presName="parentTextBox" presStyleLbl="node1" presStyleIdx="0" presStyleCnt="5"/>
      <dgm:spPr/>
      <dgm:t>
        <a:bodyPr/>
        <a:lstStyle/>
        <a:p>
          <a:endParaRPr lang="en-AU"/>
        </a:p>
      </dgm:t>
    </dgm:pt>
    <dgm:pt modelId="{869B0C7E-6C17-41E0-8203-2CC923AA1D7C}" type="pres">
      <dgm:prSet presAssocID="{39F09E03-95FE-4C7B-A16F-ED61D9EAC3AA}" presName="entireBox" presStyleLbl="node1" presStyleIdx="0" presStyleCnt="5"/>
      <dgm:spPr/>
      <dgm:t>
        <a:bodyPr/>
        <a:lstStyle/>
        <a:p>
          <a:endParaRPr lang="en-AU"/>
        </a:p>
      </dgm:t>
    </dgm:pt>
    <dgm:pt modelId="{FBFE7035-5823-4ACC-9E48-CBAF580180CC}" type="pres">
      <dgm:prSet presAssocID="{39F09E03-95FE-4C7B-A16F-ED61D9EAC3AA}" presName="descendantBox" presStyleCnt="0"/>
      <dgm:spPr/>
      <dgm:t>
        <a:bodyPr/>
        <a:lstStyle/>
        <a:p>
          <a:endParaRPr lang="en-AU"/>
        </a:p>
      </dgm:t>
    </dgm:pt>
    <dgm:pt modelId="{589B3615-FBE1-4606-86BE-F34CB92F7FB7}" type="pres">
      <dgm:prSet presAssocID="{ED8C3539-F30A-4A7D-A3FF-87DD1B5A55B3}" presName="childTextBox" presStyleLbl="fgAccFollowNode1" presStyleIdx="0" presStyleCnt="5" custScaleY="117408" custLinFactNeighborY="-8538">
        <dgm:presLayoutVars>
          <dgm:bulletEnabled val="1"/>
        </dgm:presLayoutVars>
      </dgm:prSet>
      <dgm:spPr/>
      <dgm:t>
        <a:bodyPr/>
        <a:lstStyle/>
        <a:p>
          <a:endParaRPr lang="en-AU"/>
        </a:p>
      </dgm:t>
    </dgm:pt>
    <dgm:pt modelId="{560B3BA3-88FF-4832-BDA5-551DD56E08B4}" type="pres">
      <dgm:prSet presAssocID="{373FD307-6158-4C0E-9E83-48461503614B}" presName="sp" presStyleCnt="0"/>
      <dgm:spPr/>
      <dgm:t>
        <a:bodyPr/>
        <a:lstStyle/>
        <a:p>
          <a:endParaRPr lang="en-AU"/>
        </a:p>
      </dgm:t>
    </dgm:pt>
    <dgm:pt modelId="{DBD8B8A7-C58B-4F32-A09C-58FA781D665C}" type="pres">
      <dgm:prSet presAssocID="{FEA20742-7AFE-4CF6-AB67-264B3A082C34}" presName="arrowAndChildren" presStyleCnt="0"/>
      <dgm:spPr/>
      <dgm:t>
        <a:bodyPr/>
        <a:lstStyle/>
        <a:p>
          <a:endParaRPr lang="en-AU"/>
        </a:p>
      </dgm:t>
    </dgm:pt>
    <dgm:pt modelId="{A64F10E7-D1A5-4152-8B60-D954257A83E6}" type="pres">
      <dgm:prSet presAssocID="{FEA20742-7AFE-4CF6-AB67-264B3A082C34}" presName="parentTextArrow" presStyleLbl="node1" presStyleIdx="0" presStyleCnt="5"/>
      <dgm:spPr/>
      <dgm:t>
        <a:bodyPr/>
        <a:lstStyle/>
        <a:p>
          <a:endParaRPr lang="en-AU"/>
        </a:p>
      </dgm:t>
    </dgm:pt>
    <dgm:pt modelId="{914576FE-584C-44C5-9919-C4C800703DD5}" type="pres">
      <dgm:prSet presAssocID="{FEA20742-7AFE-4CF6-AB67-264B3A082C34}" presName="arrow" presStyleLbl="node1" presStyleIdx="1" presStyleCnt="5"/>
      <dgm:spPr/>
      <dgm:t>
        <a:bodyPr/>
        <a:lstStyle/>
        <a:p>
          <a:endParaRPr lang="en-AU"/>
        </a:p>
      </dgm:t>
    </dgm:pt>
    <dgm:pt modelId="{E7314968-EA6F-4F6C-9661-C85CBCFC0D79}" type="pres">
      <dgm:prSet presAssocID="{FEA20742-7AFE-4CF6-AB67-264B3A082C34}" presName="descendantArrow" presStyleCnt="0"/>
      <dgm:spPr/>
      <dgm:t>
        <a:bodyPr/>
        <a:lstStyle/>
        <a:p>
          <a:endParaRPr lang="en-AU"/>
        </a:p>
      </dgm:t>
    </dgm:pt>
    <dgm:pt modelId="{49E6B52A-7569-4CC5-9D95-61B6EDD194A5}" type="pres">
      <dgm:prSet presAssocID="{6B8F9FC1-1806-4D85-947C-16B15A0B8406}" presName="childTextArrow" presStyleLbl="fgAccFollowNode1" presStyleIdx="1" presStyleCnt="5" custScaleY="107760" custLinFactNeighborY="-3365">
        <dgm:presLayoutVars>
          <dgm:bulletEnabled val="1"/>
        </dgm:presLayoutVars>
      </dgm:prSet>
      <dgm:spPr/>
      <dgm:t>
        <a:bodyPr/>
        <a:lstStyle/>
        <a:p>
          <a:endParaRPr lang="en-AU"/>
        </a:p>
      </dgm:t>
    </dgm:pt>
    <dgm:pt modelId="{5587EA87-501C-4670-9BC5-C479C74BFF23}" type="pres">
      <dgm:prSet presAssocID="{E1AB9065-5FC9-41FB-8897-6AE87D6CA6AB}" presName="sp" presStyleCnt="0"/>
      <dgm:spPr/>
      <dgm:t>
        <a:bodyPr/>
        <a:lstStyle/>
        <a:p>
          <a:endParaRPr lang="en-AU"/>
        </a:p>
      </dgm:t>
    </dgm:pt>
    <dgm:pt modelId="{4A889D9A-01FF-422C-BF40-1EAE826DEBC9}" type="pres">
      <dgm:prSet presAssocID="{52B55C6E-707E-4442-A745-E467175ACDC4}" presName="arrowAndChildren" presStyleCnt="0"/>
      <dgm:spPr/>
      <dgm:t>
        <a:bodyPr/>
        <a:lstStyle/>
        <a:p>
          <a:endParaRPr lang="en-AU"/>
        </a:p>
      </dgm:t>
    </dgm:pt>
    <dgm:pt modelId="{8966AF8A-5AAF-4C16-83CA-8B243F147321}" type="pres">
      <dgm:prSet presAssocID="{52B55C6E-707E-4442-A745-E467175ACDC4}" presName="parentTextArrow" presStyleLbl="node1" presStyleIdx="1" presStyleCnt="5"/>
      <dgm:spPr/>
      <dgm:t>
        <a:bodyPr/>
        <a:lstStyle/>
        <a:p>
          <a:endParaRPr lang="en-AU"/>
        </a:p>
      </dgm:t>
    </dgm:pt>
    <dgm:pt modelId="{65C9D7D2-5F7E-4FC3-926B-9573AC37E08D}" type="pres">
      <dgm:prSet presAssocID="{52B55C6E-707E-4442-A745-E467175ACDC4}" presName="arrow" presStyleLbl="node1" presStyleIdx="2" presStyleCnt="5"/>
      <dgm:spPr/>
      <dgm:t>
        <a:bodyPr/>
        <a:lstStyle/>
        <a:p>
          <a:endParaRPr lang="en-AU"/>
        </a:p>
      </dgm:t>
    </dgm:pt>
    <dgm:pt modelId="{7CC4237A-9C3F-4C66-8193-BE350C6572C7}" type="pres">
      <dgm:prSet presAssocID="{52B55C6E-707E-4442-A745-E467175ACDC4}" presName="descendantArrow" presStyleCnt="0"/>
      <dgm:spPr/>
      <dgm:t>
        <a:bodyPr/>
        <a:lstStyle/>
        <a:p>
          <a:endParaRPr lang="en-AU"/>
        </a:p>
      </dgm:t>
    </dgm:pt>
    <dgm:pt modelId="{DE146BB8-63B0-4C44-A077-C9E7805DB542}" type="pres">
      <dgm:prSet presAssocID="{9D25337D-BBA1-4E7D-84CD-2CD2FEA679D7}" presName="childTextArrow" presStyleLbl="fgAccFollowNode1" presStyleIdx="2" presStyleCnt="5" custScaleY="121403" custLinFactNeighborY="-12499">
        <dgm:presLayoutVars>
          <dgm:bulletEnabled val="1"/>
        </dgm:presLayoutVars>
      </dgm:prSet>
      <dgm:spPr/>
      <dgm:t>
        <a:bodyPr/>
        <a:lstStyle/>
        <a:p>
          <a:endParaRPr lang="en-AU"/>
        </a:p>
      </dgm:t>
    </dgm:pt>
    <dgm:pt modelId="{D482346A-3084-4202-8EE1-C3F59D4D4F40}" type="pres">
      <dgm:prSet presAssocID="{CE078AD5-EEFF-415E-9466-14FB1F1EC720}" presName="sp" presStyleCnt="0"/>
      <dgm:spPr/>
      <dgm:t>
        <a:bodyPr/>
        <a:lstStyle/>
        <a:p>
          <a:endParaRPr lang="en-AU"/>
        </a:p>
      </dgm:t>
    </dgm:pt>
    <dgm:pt modelId="{5B7C766F-99A3-4DC8-86B0-68880DA6DDD2}" type="pres">
      <dgm:prSet presAssocID="{5F05042B-8EFB-4E73-AA54-9480292B0930}" presName="arrowAndChildren" presStyleCnt="0"/>
      <dgm:spPr/>
      <dgm:t>
        <a:bodyPr/>
        <a:lstStyle/>
        <a:p>
          <a:endParaRPr lang="en-AU"/>
        </a:p>
      </dgm:t>
    </dgm:pt>
    <dgm:pt modelId="{2A015A16-CBBE-4083-AEDF-FEBBA7D06741}" type="pres">
      <dgm:prSet presAssocID="{5F05042B-8EFB-4E73-AA54-9480292B0930}" presName="parentTextArrow" presStyleLbl="node1" presStyleIdx="2" presStyleCnt="5"/>
      <dgm:spPr/>
      <dgm:t>
        <a:bodyPr/>
        <a:lstStyle/>
        <a:p>
          <a:endParaRPr lang="en-AU"/>
        </a:p>
      </dgm:t>
    </dgm:pt>
    <dgm:pt modelId="{0CDE65D9-BE06-40A2-927B-9A7859CFEE35}" type="pres">
      <dgm:prSet presAssocID="{5F05042B-8EFB-4E73-AA54-9480292B0930}" presName="arrow" presStyleLbl="node1" presStyleIdx="3" presStyleCnt="5"/>
      <dgm:spPr/>
      <dgm:t>
        <a:bodyPr/>
        <a:lstStyle/>
        <a:p>
          <a:endParaRPr lang="en-AU"/>
        </a:p>
      </dgm:t>
    </dgm:pt>
    <dgm:pt modelId="{09370820-1E6D-4F29-9F7D-74D1FB719806}" type="pres">
      <dgm:prSet presAssocID="{5F05042B-8EFB-4E73-AA54-9480292B0930}" presName="descendantArrow" presStyleCnt="0"/>
      <dgm:spPr/>
      <dgm:t>
        <a:bodyPr/>
        <a:lstStyle/>
        <a:p>
          <a:endParaRPr lang="en-AU"/>
        </a:p>
      </dgm:t>
    </dgm:pt>
    <dgm:pt modelId="{ED641B63-ACDF-4726-989D-EA89A2BD6BDF}" type="pres">
      <dgm:prSet presAssocID="{F33B10EF-B3FF-40E4-9002-6D6F3915B1F8}" presName="childTextArrow" presStyleLbl="fgAccFollowNode1" presStyleIdx="3" presStyleCnt="5" custScaleY="110100" custLinFactNeighborY="-6489">
        <dgm:presLayoutVars>
          <dgm:bulletEnabled val="1"/>
        </dgm:presLayoutVars>
      </dgm:prSet>
      <dgm:spPr/>
      <dgm:t>
        <a:bodyPr/>
        <a:lstStyle/>
        <a:p>
          <a:endParaRPr lang="en-AU"/>
        </a:p>
      </dgm:t>
    </dgm:pt>
    <dgm:pt modelId="{4E6A1487-C553-4A9F-9314-8AFCA4093E0F}" type="pres">
      <dgm:prSet presAssocID="{42826054-949D-4878-BBFA-726F63ADD19C}" presName="sp" presStyleCnt="0"/>
      <dgm:spPr/>
      <dgm:t>
        <a:bodyPr/>
        <a:lstStyle/>
        <a:p>
          <a:endParaRPr lang="en-AU"/>
        </a:p>
      </dgm:t>
    </dgm:pt>
    <dgm:pt modelId="{59C3FFAF-C38B-4A1B-9539-3437B5DF7D50}" type="pres">
      <dgm:prSet presAssocID="{535E93E3-C61F-4816-921C-1DBC230EDA3E}" presName="arrowAndChildren" presStyleCnt="0"/>
      <dgm:spPr/>
      <dgm:t>
        <a:bodyPr/>
        <a:lstStyle/>
        <a:p>
          <a:endParaRPr lang="en-AU"/>
        </a:p>
      </dgm:t>
    </dgm:pt>
    <dgm:pt modelId="{F699A581-994B-4812-88DF-29DA64E1AE75}" type="pres">
      <dgm:prSet presAssocID="{535E93E3-C61F-4816-921C-1DBC230EDA3E}" presName="parentTextArrow" presStyleLbl="node1" presStyleIdx="3" presStyleCnt="5" custLinFactNeighborY="5606"/>
      <dgm:spPr/>
      <dgm:t>
        <a:bodyPr/>
        <a:lstStyle/>
        <a:p>
          <a:endParaRPr lang="en-AU"/>
        </a:p>
      </dgm:t>
    </dgm:pt>
    <dgm:pt modelId="{64A88903-925F-403B-BCBC-836AEF7C5D29}" type="pres">
      <dgm:prSet presAssocID="{535E93E3-C61F-4816-921C-1DBC230EDA3E}" presName="arrow" presStyleLbl="node1" presStyleIdx="4" presStyleCnt="5" custLinFactNeighborY="-265"/>
      <dgm:spPr/>
      <dgm:t>
        <a:bodyPr/>
        <a:lstStyle/>
        <a:p>
          <a:endParaRPr lang="en-AU"/>
        </a:p>
      </dgm:t>
    </dgm:pt>
    <dgm:pt modelId="{413DE2EF-8E84-4DC6-87EB-3CEBD0DCF010}" type="pres">
      <dgm:prSet presAssocID="{535E93E3-C61F-4816-921C-1DBC230EDA3E}" presName="descendantArrow" presStyleCnt="0"/>
      <dgm:spPr/>
      <dgm:t>
        <a:bodyPr/>
        <a:lstStyle/>
        <a:p>
          <a:endParaRPr lang="en-AU"/>
        </a:p>
      </dgm:t>
    </dgm:pt>
    <dgm:pt modelId="{EE624462-5438-426F-BE85-18B493F75B75}" type="pres">
      <dgm:prSet presAssocID="{9DF4CDDA-7942-4229-AB70-863B3DA5C440}" presName="childTextArrow" presStyleLbl="fgAccFollowNode1" presStyleIdx="4" presStyleCnt="5" custScaleY="103766" custLinFactNeighborY="-5190">
        <dgm:presLayoutVars>
          <dgm:bulletEnabled val="1"/>
        </dgm:presLayoutVars>
      </dgm:prSet>
      <dgm:spPr/>
      <dgm:t>
        <a:bodyPr/>
        <a:lstStyle/>
        <a:p>
          <a:endParaRPr lang="en-AU"/>
        </a:p>
      </dgm:t>
    </dgm:pt>
  </dgm:ptLst>
  <dgm:cxnLst>
    <dgm:cxn modelId="{DDF48AEE-E5F4-4859-BC72-820E5793C947}" type="presOf" srcId="{52B55C6E-707E-4442-A745-E467175ACDC4}" destId="{8966AF8A-5AAF-4C16-83CA-8B243F147321}" srcOrd="0" destOrd="0" presId="urn:microsoft.com/office/officeart/2005/8/layout/process4"/>
    <dgm:cxn modelId="{AE43267F-C41F-4429-959F-AB0B69987523}" type="presOf" srcId="{5F05042B-8EFB-4E73-AA54-9480292B0930}" destId="{2A015A16-CBBE-4083-AEDF-FEBBA7D06741}" srcOrd="0" destOrd="0" presId="urn:microsoft.com/office/officeart/2005/8/layout/process4"/>
    <dgm:cxn modelId="{A57498D7-A7E7-440B-AC9E-1F34CB2DD063}" srcId="{87B2EF63-1C5E-4D32-B3B4-6DC8641EB84C}" destId="{39F09E03-95FE-4C7B-A16F-ED61D9EAC3AA}" srcOrd="4" destOrd="0" parTransId="{EA6DD085-92CF-451A-9A03-9AAF4B871B8C}" sibTransId="{79F4ECC7-11A9-4C98-92E9-D9B0E3414436}"/>
    <dgm:cxn modelId="{F9FF8904-F1F0-4C3F-A5A2-CEF758FE00B0}" type="presOf" srcId="{39F09E03-95FE-4C7B-A16F-ED61D9EAC3AA}" destId="{869B0C7E-6C17-41E0-8203-2CC923AA1D7C}" srcOrd="1" destOrd="0" presId="urn:microsoft.com/office/officeart/2005/8/layout/process4"/>
    <dgm:cxn modelId="{D831A856-45B7-47B3-B338-8F5DDD1B37BC}" type="presOf" srcId="{52B55C6E-707E-4442-A745-E467175ACDC4}" destId="{65C9D7D2-5F7E-4FC3-926B-9573AC37E08D}" srcOrd="1" destOrd="0" presId="urn:microsoft.com/office/officeart/2005/8/layout/process4"/>
    <dgm:cxn modelId="{7B281EEC-DA6D-4ECB-ACE7-393A3CB132D3}" type="presOf" srcId="{ED8C3539-F30A-4A7D-A3FF-87DD1B5A55B3}" destId="{589B3615-FBE1-4606-86BE-F34CB92F7FB7}" srcOrd="0" destOrd="0" presId="urn:microsoft.com/office/officeart/2005/8/layout/process4"/>
    <dgm:cxn modelId="{FE975CF6-DD68-490B-9757-53DB8601778C}" type="presOf" srcId="{F33B10EF-B3FF-40E4-9002-6D6F3915B1F8}" destId="{ED641B63-ACDF-4726-989D-EA89A2BD6BDF}" srcOrd="0" destOrd="0" presId="urn:microsoft.com/office/officeart/2005/8/layout/process4"/>
    <dgm:cxn modelId="{892DFF7E-AA2E-4A02-9E3E-AE429A67AAF9}" srcId="{87B2EF63-1C5E-4D32-B3B4-6DC8641EB84C}" destId="{535E93E3-C61F-4816-921C-1DBC230EDA3E}" srcOrd="0" destOrd="0" parTransId="{827CD461-2DE2-463D-8F43-2ABAFBDFE826}" sibTransId="{42826054-949D-4878-BBFA-726F63ADD19C}"/>
    <dgm:cxn modelId="{962CC170-BF91-4C34-9758-481029275567}" type="presOf" srcId="{9DF4CDDA-7942-4229-AB70-863B3DA5C440}" destId="{EE624462-5438-426F-BE85-18B493F75B75}" srcOrd="0" destOrd="0" presId="urn:microsoft.com/office/officeart/2005/8/layout/process4"/>
    <dgm:cxn modelId="{DE40EE00-0A60-48E5-BBDA-E9AECC8A4F05}" type="presOf" srcId="{535E93E3-C61F-4816-921C-1DBC230EDA3E}" destId="{F699A581-994B-4812-88DF-29DA64E1AE75}" srcOrd="0" destOrd="0" presId="urn:microsoft.com/office/officeart/2005/8/layout/process4"/>
    <dgm:cxn modelId="{DB5A78A2-DE25-4D7F-991A-AEDAA7B87657}" srcId="{FEA20742-7AFE-4CF6-AB67-264B3A082C34}" destId="{6B8F9FC1-1806-4D85-947C-16B15A0B8406}" srcOrd="0" destOrd="0" parTransId="{D0D2FA50-BD47-4452-BDDF-440B6AD1862C}" sibTransId="{8BBA8C0B-1F90-4907-95CF-D84187F608E0}"/>
    <dgm:cxn modelId="{890D5ED5-4324-4DF4-9D4F-DC75CBAE87AB}" type="presOf" srcId="{39F09E03-95FE-4C7B-A16F-ED61D9EAC3AA}" destId="{BA5DE4E3-11E3-4935-9C92-984AE31A14A7}" srcOrd="0" destOrd="0" presId="urn:microsoft.com/office/officeart/2005/8/layout/process4"/>
    <dgm:cxn modelId="{218FFB2C-C296-464E-A2F6-B7BFCEF30999}" type="presOf" srcId="{FEA20742-7AFE-4CF6-AB67-264B3A082C34}" destId="{914576FE-584C-44C5-9919-C4C800703DD5}" srcOrd="1" destOrd="0" presId="urn:microsoft.com/office/officeart/2005/8/layout/process4"/>
    <dgm:cxn modelId="{D3B473DA-B928-4619-AC2A-F46F1C52A2CE}" srcId="{87B2EF63-1C5E-4D32-B3B4-6DC8641EB84C}" destId="{FEA20742-7AFE-4CF6-AB67-264B3A082C34}" srcOrd="3" destOrd="0" parTransId="{74563D5D-4D75-417D-84CE-0D5B791CE760}" sibTransId="{373FD307-6158-4C0E-9E83-48461503614B}"/>
    <dgm:cxn modelId="{2E8F1020-7701-4038-A3A7-1758EA5D7366}" srcId="{87B2EF63-1C5E-4D32-B3B4-6DC8641EB84C}" destId="{5F05042B-8EFB-4E73-AA54-9480292B0930}" srcOrd="1" destOrd="0" parTransId="{F895AF8F-8587-453D-AC4A-45DCCB3B588C}" sibTransId="{CE078AD5-EEFF-415E-9466-14FB1F1EC720}"/>
    <dgm:cxn modelId="{6814C8C7-636B-4560-81F6-7F8610D7CCD1}" srcId="{87B2EF63-1C5E-4D32-B3B4-6DC8641EB84C}" destId="{52B55C6E-707E-4442-A745-E467175ACDC4}" srcOrd="2" destOrd="0" parTransId="{B25FD626-6F46-4277-B753-F7F5D6D84849}" sibTransId="{E1AB9065-5FC9-41FB-8897-6AE87D6CA6AB}"/>
    <dgm:cxn modelId="{591F898B-1D6B-4042-BE8A-AAB5674E52E5}" type="presOf" srcId="{87B2EF63-1C5E-4D32-B3B4-6DC8641EB84C}" destId="{498E733F-13C1-48C8-83CC-7B122CD1B7F0}" srcOrd="0" destOrd="0" presId="urn:microsoft.com/office/officeart/2005/8/layout/process4"/>
    <dgm:cxn modelId="{9D877CD6-0603-4167-808C-BE6ADEA70B66}" srcId="{39F09E03-95FE-4C7B-A16F-ED61D9EAC3AA}" destId="{ED8C3539-F30A-4A7D-A3FF-87DD1B5A55B3}" srcOrd="0" destOrd="0" parTransId="{8B92C7B6-5C53-4951-9D5E-023A6F5C33C7}" sibTransId="{AB9230DF-798E-41B6-B24B-86944FC9D105}"/>
    <dgm:cxn modelId="{267BDE9D-B025-4DB7-A62F-7EE924BD7D4B}" srcId="{52B55C6E-707E-4442-A745-E467175ACDC4}" destId="{9D25337D-BBA1-4E7D-84CD-2CD2FEA679D7}" srcOrd="0" destOrd="0" parTransId="{3E9B4331-2BFF-45DE-8523-10FE4ADA484F}" sibTransId="{09CAD0FA-1026-4423-A93B-ABDECD88704E}"/>
    <dgm:cxn modelId="{98863669-E024-40F2-B1EE-A53BE5ED74A9}" type="presOf" srcId="{9D25337D-BBA1-4E7D-84CD-2CD2FEA679D7}" destId="{DE146BB8-63B0-4C44-A077-C9E7805DB542}" srcOrd="0" destOrd="0" presId="urn:microsoft.com/office/officeart/2005/8/layout/process4"/>
    <dgm:cxn modelId="{AC75A36F-8B4B-4228-BEA1-D5147E79B9A2}" type="presOf" srcId="{FEA20742-7AFE-4CF6-AB67-264B3A082C34}" destId="{A64F10E7-D1A5-4152-8B60-D954257A83E6}" srcOrd="0" destOrd="0" presId="urn:microsoft.com/office/officeart/2005/8/layout/process4"/>
    <dgm:cxn modelId="{A1192B88-E86D-4C00-BE9A-04D41B7C7EE3}" type="presOf" srcId="{535E93E3-C61F-4816-921C-1DBC230EDA3E}" destId="{64A88903-925F-403B-BCBC-836AEF7C5D29}" srcOrd="1" destOrd="0" presId="urn:microsoft.com/office/officeart/2005/8/layout/process4"/>
    <dgm:cxn modelId="{7DDD4926-8617-4152-981F-566BCD6B2ADA}" type="presOf" srcId="{6B8F9FC1-1806-4D85-947C-16B15A0B8406}" destId="{49E6B52A-7569-4CC5-9D95-61B6EDD194A5}" srcOrd="0" destOrd="0" presId="urn:microsoft.com/office/officeart/2005/8/layout/process4"/>
    <dgm:cxn modelId="{1CCB9B95-4F04-412B-93AD-B4087ABE7F1D}" type="presOf" srcId="{5F05042B-8EFB-4E73-AA54-9480292B0930}" destId="{0CDE65D9-BE06-40A2-927B-9A7859CFEE35}" srcOrd="1" destOrd="0" presId="urn:microsoft.com/office/officeart/2005/8/layout/process4"/>
    <dgm:cxn modelId="{E6FB6393-DEE7-42F4-BAB9-139B9737C03D}" srcId="{5F05042B-8EFB-4E73-AA54-9480292B0930}" destId="{F33B10EF-B3FF-40E4-9002-6D6F3915B1F8}" srcOrd="0" destOrd="0" parTransId="{F66A9569-639C-47A7-87CE-D9B5B61DA32F}" sibTransId="{F0FF9D16-6123-45C6-B667-0645E5359FBD}"/>
    <dgm:cxn modelId="{D457FAE0-DF4A-4784-B553-D71A51FDEBBC}" srcId="{535E93E3-C61F-4816-921C-1DBC230EDA3E}" destId="{9DF4CDDA-7942-4229-AB70-863B3DA5C440}" srcOrd="0" destOrd="0" parTransId="{028E9700-1868-418F-BEF2-E7BC6936D5CC}" sibTransId="{B141A5D3-ECC9-4C1D-B228-203DF06FA4DE}"/>
    <dgm:cxn modelId="{3B5CACC4-172D-4AED-A595-2A8A79CCDC17}" type="presParOf" srcId="{498E733F-13C1-48C8-83CC-7B122CD1B7F0}" destId="{8B9E9B53-DB9A-4C4C-987C-C0B99E649E0F}" srcOrd="0" destOrd="0" presId="urn:microsoft.com/office/officeart/2005/8/layout/process4"/>
    <dgm:cxn modelId="{B6445421-E943-49F2-9C3A-DCE75065C6F5}" type="presParOf" srcId="{8B9E9B53-DB9A-4C4C-987C-C0B99E649E0F}" destId="{BA5DE4E3-11E3-4935-9C92-984AE31A14A7}" srcOrd="0" destOrd="0" presId="urn:microsoft.com/office/officeart/2005/8/layout/process4"/>
    <dgm:cxn modelId="{404FB76C-CB97-4F84-9824-EFFA79F5E11B}" type="presParOf" srcId="{8B9E9B53-DB9A-4C4C-987C-C0B99E649E0F}" destId="{869B0C7E-6C17-41E0-8203-2CC923AA1D7C}" srcOrd="1" destOrd="0" presId="urn:microsoft.com/office/officeart/2005/8/layout/process4"/>
    <dgm:cxn modelId="{703CDF76-DD42-499E-91A9-E7535757463C}" type="presParOf" srcId="{8B9E9B53-DB9A-4C4C-987C-C0B99E649E0F}" destId="{FBFE7035-5823-4ACC-9E48-CBAF580180CC}" srcOrd="2" destOrd="0" presId="urn:microsoft.com/office/officeart/2005/8/layout/process4"/>
    <dgm:cxn modelId="{E2D6CC52-2885-4C25-B905-46A97F5B603A}" type="presParOf" srcId="{FBFE7035-5823-4ACC-9E48-CBAF580180CC}" destId="{589B3615-FBE1-4606-86BE-F34CB92F7FB7}" srcOrd="0" destOrd="0" presId="urn:microsoft.com/office/officeart/2005/8/layout/process4"/>
    <dgm:cxn modelId="{50464A38-2220-4F99-9EF6-D06316C111DB}" type="presParOf" srcId="{498E733F-13C1-48C8-83CC-7B122CD1B7F0}" destId="{560B3BA3-88FF-4832-BDA5-551DD56E08B4}" srcOrd="1" destOrd="0" presId="urn:microsoft.com/office/officeart/2005/8/layout/process4"/>
    <dgm:cxn modelId="{3C8391D7-A4BF-493E-9A24-7D8A168CB615}" type="presParOf" srcId="{498E733F-13C1-48C8-83CC-7B122CD1B7F0}" destId="{DBD8B8A7-C58B-4F32-A09C-58FA781D665C}" srcOrd="2" destOrd="0" presId="urn:microsoft.com/office/officeart/2005/8/layout/process4"/>
    <dgm:cxn modelId="{3AE22A47-5849-40B9-804A-44964DAA95ED}" type="presParOf" srcId="{DBD8B8A7-C58B-4F32-A09C-58FA781D665C}" destId="{A64F10E7-D1A5-4152-8B60-D954257A83E6}" srcOrd="0" destOrd="0" presId="urn:microsoft.com/office/officeart/2005/8/layout/process4"/>
    <dgm:cxn modelId="{B4961178-8E06-462D-8711-EEC0902BD9A0}" type="presParOf" srcId="{DBD8B8A7-C58B-4F32-A09C-58FA781D665C}" destId="{914576FE-584C-44C5-9919-C4C800703DD5}" srcOrd="1" destOrd="0" presId="urn:microsoft.com/office/officeart/2005/8/layout/process4"/>
    <dgm:cxn modelId="{04ACF26B-5A96-4ACB-A35E-17A9BC5D8DDE}" type="presParOf" srcId="{DBD8B8A7-C58B-4F32-A09C-58FA781D665C}" destId="{E7314968-EA6F-4F6C-9661-C85CBCFC0D79}" srcOrd="2" destOrd="0" presId="urn:microsoft.com/office/officeart/2005/8/layout/process4"/>
    <dgm:cxn modelId="{EC781A48-B041-4F7C-AF7A-7256B04B2F16}" type="presParOf" srcId="{E7314968-EA6F-4F6C-9661-C85CBCFC0D79}" destId="{49E6B52A-7569-4CC5-9D95-61B6EDD194A5}" srcOrd="0" destOrd="0" presId="urn:microsoft.com/office/officeart/2005/8/layout/process4"/>
    <dgm:cxn modelId="{AFB03851-17D4-43EE-A3BE-858788F764C1}" type="presParOf" srcId="{498E733F-13C1-48C8-83CC-7B122CD1B7F0}" destId="{5587EA87-501C-4670-9BC5-C479C74BFF23}" srcOrd="3" destOrd="0" presId="urn:microsoft.com/office/officeart/2005/8/layout/process4"/>
    <dgm:cxn modelId="{E037B2B9-C27A-4726-AF7A-B2385FC4EE27}" type="presParOf" srcId="{498E733F-13C1-48C8-83CC-7B122CD1B7F0}" destId="{4A889D9A-01FF-422C-BF40-1EAE826DEBC9}" srcOrd="4" destOrd="0" presId="urn:microsoft.com/office/officeart/2005/8/layout/process4"/>
    <dgm:cxn modelId="{3FF39361-56E2-4E28-B291-E1FF19418D48}" type="presParOf" srcId="{4A889D9A-01FF-422C-BF40-1EAE826DEBC9}" destId="{8966AF8A-5AAF-4C16-83CA-8B243F147321}" srcOrd="0" destOrd="0" presId="urn:microsoft.com/office/officeart/2005/8/layout/process4"/>
    <dgm:cxn modelId="{A3C303B7-1E39-4984-A35B-3B9808D89100}" type="presParOf" srcId="{4A889D9A-01FF-422C-BF40-1EAE826DEBC9}" destId="{65C9D7D2-5F7E-4FC3-926B-9573AC37E08D}" srcOrd="1" destOrd="0" presId="urn:microsoft.com/office/officeart/2005/8/layout/process4"/>
    <dgm:cxn modelId="{5C43BF7D-C484-4E7A-A3C3-0864ACC2F5A8}" type="presParOf" srcId="{4A889D9A-01FF-422C-BF40-1EAE826DEBC9}" destId="{7CC4237A-9C3F-4C66-8193-BE350C6572C7}" srcOrd="2" destOrd="0" presId="urn:microsoft.com/office/officeart/2005/8/layout/process4"/>
    <dgm:cxn modelId="{8EE79B80-B045-42F2-AD07-0EFC327A9662}" type="presParOf" srcId="{7CC4237A-9C3F-4C66-8193-BE350C6572C7}" destId="{DE146BB8-63B0-4C44-A077-C9E7805DB542}" srcOrd="0" destOrd="0" presId="urn:microsoft.com/office/officeart/2005/8/layout/process4"/>
    <dgm:cxn modelId="{3515D952-1968-4B4F-993D-407203773D06}" type="presParOf" srcId="{498E733F-13C1-48C8-83CC-7B122CD1B7F0}" destId="{D482346A-3084-4202-8EE1-C3F59D4D4F40}" srcOrd="5" destOrd="0" presId="urn:microsoft.com/office/officeart/2005/8/layout/process4"/>
    <dgm:cxn modelId="{0BC7D585-3A12-4F34-8AC4-F688B9C581E2}" type="presParOf" srcId="{498E733F-13C1-48C8-83CC-7B122CD1B7F0}" destId="{5B7C766F-99A3-4DC8-86B0-68880DA6DDD2}" srcOrd="6" destOrd="0" presId="urn:microsoft.com/office/officeart/2005/8/layout/process4"/>
    <dgm:cxn modelId="{90CFE55D-C573-463C-A35C-9B87847BFB10}" type="presParOf" srcId="{5B7C766F-99A3-4DC8-86B0-68880DA6DDD2}" destId="{2A015A16-CBBE-4083-AEDF-FEBBA7D06741}" srcOrd="0" destOrd="0" presId="urn:microsoft.com/office/officeart/2005/8/layout/process4"/>
    <dgm:cxn modelId="{061D43C4-4F3A-471D-9B25-B5CE5102EE5E}" type="presParOf" srcId="{5B7C766F-99A3-4DC8-86B0-68880DA6DDD2}" destId="{0CDE65D9-BE06-40A2-927B-9A7859CFEE35}" srcOrd="1" destOrd="0" presId="urn:microsoft.com/office/officeart/2005/8/layout/process4"/>
    <dgm:cxn modelId="{64135DFB-5501-41FF-8498-96EEC2D6DE36}" type="presParOf" srcId="{5B7C766F-99A3-4DC8-86B0-68880DA6DDD2}" destId="{09370820-1E6D-4F29-9F7D-74D1FB719806}" srcOrd="2" destOrd="0" presId="urn:microsoft.com/office/officeart/2005/8/layout/process4"/>
    <dgm:cxn modelId="{7F720213-6090-45D5-A640-B96DF46D8895}" type="presParOf" srcId="{09370820-1E6D-4F29-9F7D-74D1FB719806}" destId="{ED641B63-ACDF-4726-989D-EA89A2BD6BDF}" srcOrd="0" destOrd="0" presId="urn:microsoft.com/office/officeart/2005/8/layout/process4"/>
    <dgm:cxn modelId="{3BF01C2E-75F6-4629-90D9-33A2C3670913}" type="presParOf" srcId="{498E733F-13C1-48C8-83CC-7B122CD1B7F0}" destId="{4E6A1487-C553-4A9F-9314-8AFCA4093E0F}" srcOrd="7" destOrd="0" presId="urn:microsoft.com/office/officeart/2005/8/layout/process4"/>
    <dgm:cxn modelId="{FC32CD05-4286-4DBB-BACA-E7B2F48B78B2}" type="presParOf" srcId="{498E733F-13C1-48C8-83CC-7B122CD1B7F0}" destId="{59C3FFAF-C38B-4A1B-9539-3437B5DF7D50}" srcOrd="8" destOrd="0" presId="urn:microsoft.com/office/officeart/2005/8/layout/process4"/>
    <dgm:cxn modelId="{6EEFDE2D-67DA-4BFE-ACC4-1C57A4651EAD}" type="presParOf" srcId="{59C3FFAF-C38B-4A1B-9539-3437B5DF7D50}" destId="{F699A581-994B-4812-88DF-29DA64E1AE75}" srcOrd="0" destOrd="0" presId="urn:microsoft.com/office/officeart/2005/8/layout/process4"/>
    <dgm:cxn modelId="{197BD90C-68FE-499E-A6A6-CAD35D49A939}" type="presParOf" srcId="{59C3FFAF-C38B-4A1B-9539-3437B5DF7D50}" destId="{64A88903-925F-403B-BCBC-836AEF7C5D29}" srcOrd="1" destOrd="0" presId="urn:microsoft.com/office/officeart/2005/8/layout/process4"/>
    <dgm:cxn modelId="{BC01756E-BEDB-4E43-BED8-8162FCB22A92}" type="presParOf" srcId="{59C3FFAF-C38B-4A1B-9539-3437B5DF7D50}" destId="{413DE2EF-8E84-4DC6-87EB-3CEBD0DCF010}" srcOrd="2" destOrd="0" presId="urn:microsoft.com/office/officeart/2005/8/layout/process4"/>
    <dgm:cxn modelId="{01C178C4-5FBF-4977-A89D-F4FD4782976F}" type="presParOf" srcId="{413DE2EF-8E84-4DC6-87EB-3CEBD0DCF010}" destId="{EE624462-5438-426F-BE85-18B493F75B75}"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B0C7E-6C17-41E0-8203-2CC923AA1D7C}">
      <dsp:nvSpPr>
        <dsp:cNvPr id="0" name=""/>
        <dsp:cNvSpPr/>
      </dsp:nvSpPr>
      <dsp:spPr>
        <a:xfrm>
          <a:off x="0" y="3079227"/>
          <a:ext cx="5313871" cy="50498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𝒚𝒆𝒂𝒓</m:t>
                </m:r>
                <m:r>
                  <a:rPr lang="en-AU" sz="1100" b="1" i="1" kern="1200">
                    <a:latin typeface="Cambria Math"/>
                  </a:rPr>
                  <m:t> </m:t>
                </m:r>
                <m:r>
                  <a:rPr lang="en-AU" sz="1100" b="1" i="1" kern="1200">
                    <a:latin typeface="Cambria Math"/>
                  </a:rPr>
                  <m:t>𝒕</m:t>
                </m:r>
              </m:oMath>
            </m:oMathPara>
          </a14:m>
          <a:endParaRPr lang="en-AU" sz="1100" b="1" kern="1200"/>
        </a:p>
      </dsp:txBody>
      <dsp:txXfrm>
        <a:off x="0" y="3079227"/>
        <a:ext cx="5313871" cy="272689"/>
      </dsp:txXfrm>
    </dsp:sp>
    <dsp:sp modelId="{589B3615-FBE1-4606-86BE-F34CB92F7FB7}">
      <dsp:nvSpPr>
        <dsp:cNvPr id="0" name=""/>
        <dsp:cNvSpPr/>
      </dsp:nvSpPr>
      <dsp:spPr>
        <a:xfrm>
          <a:off x="0" y="3301765"/>
          <a:ext cx="5313871" cy="272728"/>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recovers total financial incentive from consumers in distribution use of system charges.</a:t>
          </a:r>
        </a:p>
      </dsp:txBody>
      <dsp:txXfrm>
        <a:off x="0" y="3301765"/>
        <a:ext cx="5313871" cy="272728"/>
      </dsp:txXfrm>
    </dsp:sp>
    <dsp:sp modelId="{914576FE-584C-44C5-9919-C4C800703DD5}">
      <dsp:nvSpPr>
        <dsp:cNvPr id="0" name=""/>
        <dsp:cNvSpPr/>
      </dsp:nvSpPr>
      <dsp:spPr>
        <a:xfrm rot="10800000">
          <a:off x="0" y="2310142"/>
          <a:ext cx="5313871" cy="776659"/>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𝟑</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2310142"/>
        <a:ext cx="5313871" cy="272607"/>
      </dsp:txXfrm>
    </dsp:sp>
    <dsp:sp modelId="{49E6B52A-7569-4CC5-9D95-61B6EDD194A5}">
      <dsp:nvSpPr>
        <dsp:cNvPr id="0" name=""/>
        <dsp:cNvSpPr/>
      </dsp:nvSpPr>
      <dsp:spPr>
        <a:xfrm>
          <a:off x="0" y="2565925"/>
          <a:ext cx="5313871" cy="250241"/>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submits pricing proposal to the AER, which includes the AER's approved total financial incentive to be passed throughin year </a:t>
          </a:r>
          <a14:m xmlns:a14="http://schemas.microsoft.com/office/drawing/2010/main">
            <m:oMath xmlns:m="http://schemas.openxmlformats.org/officeDocument/2006/math">
              <m:r>
                <a:rPr lang="en-AU" sz="1000" b="0" i="1" kern="1200">
                  <a:latin typeface="Cambria Math"/>
                </a:rPr>
                <m:t>𝑡</m:t>
              </m:r>
            </m:oMath>
          </a14:m>
          <a:r>
            <a:rPr lang="en-AU" sz="1000" kern="1200"/>
            <a:t>.</a:t>
          </a:r>
        </a:p>
      </dsp:txBody>
      <dsp:txXfrm>
        <a:off x="0" y="2565925"/>
        <a:ext cx="5313871" cy="250241"/>
      </dsp:txXfrm>
    </dsp:sp>
    <dsp:sp modelId="{65C9D7D2-5F7E-4FC3-926B-9573AC37E08D}">
      <dsp:nvSpPr>
        <dsp:cNvPr id="0" name=""/>
        <dsp:cNvSpPr/>
      </dsp:nvSpPr>
      <dsp:spPr>
        <a:xfrm rot="10800000">
          <a:off x="0" y="1541057"/>
          <a:ext cx="5313871" cy="776659"/>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𝟑</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1541057"/>
        <a:ext cx="5313871" cy="272607"/>
      </dsp:txXfrm>
    </dsp:sp>
    <dsp:sp modelId="{DE146BB8-63B0-4C44-A077-C9E7805DB542}">
      <dsp:nvSpPr>
        <dsp:cNvPr id="0" name=""/>
        <dsp:cNvSpPr/>
      </dsp:nvSpPr>
      <dsp:spPr>
        <a:xfrm>
          <a:off x="0" y="1759788"/>
          <a:ext cx="5313871" cy="281923"/>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 determines the total financial incentive it will pass through to the distributor in year </a:t>
          </a:r>
          <a14:m xmlns:a14="http://schemas.microsoft.com/office/drawing/2010/main">
            <m:oMath xmlns:m="http://schemas.openxmlformats.org/officeDocument/2006/math">
              <m:r>
                <a:rPr lang="en-AU" sz="1000" b="0" i="1" kern="1200">
                  <a:latin typeface="Cambria Math"/>
                </a:rPr>
                <m:t>𝑡</m:t>
              </m:r>
            </m:oMath>
          </a14:m>
          <a:r>
            <a:rPr lang="en-AU" sz="800" kern="1200"/>
            <a:t>.</a:t>
          </a:r>
        </a:p>
      </dsp:txBody>
      <dsp:txXfrm>
        <a:off x="0" y="1759788"/>
        <a:ext cx="5313871" cy="281923"/>
      </dsp:txXfrm>
    </dsp:sp>
    <dsp:sp modelId="{0CDE65D9-BE06-40A2-927B-9A7859CFEE35}">
      <dsp:nvSpPr>
        <dsp:cNvPr id="0" name=""/>
        <dsp:cNvSpPr/>
      </dsp:nvSpPr>
      <dsp:spPr>
        <a:xfrm rot="10800000">
          <a:off x="0" y="771973"/>
          <a:ext cx="5313871" cy="776659"/>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𝟖</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771973"/>
        <a:ext cx="5313871" cy="272607"/>
      </dsp:txXfrm>
    </dsp:sp>
    <dsp:sp modelId="{ED641B63-ACDF-4726-989D-EA89A2BD6BDF}">
      <dsp:nvSpPr>
        <dsp:cNvPr id="0" name=""/>
        <dsp:cNvSpPr/>
      </dsp:nvSpPr>
      <dsp:spPr>
        <a:xfrm>
          <a:off x="0" y="1017784"/>
          <a:ext cx="5313871" cy="255675"/>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submits compliance report to the AER under the Scheme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r>
            <a:rPr lang="en-AU" sz="1000" kern="1200"/>
            <a:t>.</a:t>
          </a:r>
        </a:p>
      </dsp:txBody>
      <dsp:txXfrm>
        <a:off x="0" y="1017784"/>
        <a:ext cx="5313871" cy="255675"/>
      </dsp:txXfrm>
    </dsp:sp>
    <dsp:sp modelId="{64A88903-925F-403B-BCBC-836AEF7C5D29}">
      <dsp:nvSpPr>
        <dsp:cNvPr id="0" name=""/>
        <dsp:cNvSpPr/>
      </dsp:nvSpPr>
      <dsp:spPr>
        <a:xfrm rot="10800000">
          <a:off x="0" y="830"/>
          <a:ext cx="5313871" cy="776659"/>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𝟐</m:t>
                </m:r>
                <m:r>
                  <a:rPr lang="en-AU" sz="1100" b="1" i="1" kern="1200">
                    <a:latin typeface="Cambria Math"/>
                  </a:rPr>
                  <m:t> </m:t>
                </m:r>
                <m:r>
                  <a:rPr lang="en-AU" sz="1100" b="1" i="1" kern="1200">
                    <a:latin typeface="Cambria Math"/>
                  </a:rPr>
                  <m:t>𝒚𝒆𝒂𝒓𝒔</m:t>
                </m:r>
              </m:oMath>
            </m:oMathPara>
          </a14:m>
          <a:endParaRPr lang="en-AU" sz="1100" b="1" kern="1200"/>
        </a:p>
      </dsp:txBody>
      <dsp:txXfrm rot="-10800000">
        <a:off x="0" y="830"/>
        <a:ext cx="5313871" cy="272607"/>
      </dsp:txXfrm>
    </dsp:sp>
    <dsp:sp modelId="{EE624462-5438-426F-BE85-18B493F75B75}">
      <dsp:nvSpPr>
        <dsp:cNvPr id="0" name=""/>
        <dsp:cNvSpPr/>
      </dsp:nvSpPr>
      <dsp:spPr>
        <a:xfrm>
          <a:off x="0" y="259070"/>
          <a:ext cx="5313871" cy="240966"/>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accrues the total financial incentive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r>
            <a:rPr lang="en-AU" sz="1000" kern="1200"/>
            <a:t>.</a:t>
          </a:r>
        </a:p>
      </dsp:txBody>
      <dsp:txXfrm>
        <a:off x="0" y="259070"/>
        <a:ext cx="5313871" cy="2409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7D4577-CF5A-4CAB-BD50-13D080EA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313B96BD</Template>
  <TotalTime>0</TotalTime>
  <Pages>22</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2017-08-25T03:02:00Z</dcterms:created>
  <dcterms:modified xsi:type="dcterms:W3CDTF">2017-08-25T03:08:00Z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