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668" w:rsidRDefault="00EB6809" w:rsidP="00C54668">
      <w:pPr>
        <w:rPr>
          <w:rFonts w:ascii="Calibri" w:hAnsi="Calibri"/>
          <w:b/>
          <w:sz w:val="32"/>
        </w:rPr>
      </w:pPr>
      <w:bookmarkStart w:id="0" w:name="_GoBack"/>
      <w:bookmarkEnd w:id="0"/>
      <w:r>
        <w:rPr>
          <w:b/>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76.4pt;margin-top:-86.3pt;width:313.5pt;height:97.8pt;z-index:251657728" filled="t">
            <v:imagedata r:id="rId9" o:title="AER" cropbottom="24944f"/>
          </v:shape>
        </w:pict>
      </w:r>
    </w:p>
    <w:p w:rsidR="00C54668" w:rsidRDefault="00C54668" w:rsidP="00C54668">
      <w:pPr>
        <w:jc w:val="center"/>
        <w:rPr>
          <w:rFonts w:ascii="Calibri" w:hAnsi="Calibri"/>
          <w:b/>
          <w:sz w:val="32"/>
        </w:rPr>
      </w:pPr>
    </w:p>
    <w:p w:rsidR="00B73BC0" w:rsidRDefault="00EB6809" w:rsidP="00C54668">
      <w:pPr>
        <w:jc w:val="center"/>
        <w:rPr>
          <w:rFonts w:ascii="Calibri" w:hAnsi="Calibri"/>
          <w:b/>
          <w:sz w:val="32"/>
        </w:rPr>
      </w:pPr>
      <w:r>
        <w:rPr>
          <w:rFonts w:ascii="Calibri" w:hAnsi="Calibri"/>
          <w:b/>
          <w:noProof/>
          <w:sz w:val="32"/>
        </w:rPr>
        <w:pict>
          <v:shape id="Picture 2" o:spid="_x0000_s1027" type="#_x0000_t75" alt="AER" style="position:absolute;left:0;text-align:left;margin-left:158.4pt;margin-top:-125.35pt;width:313.5pt;height:97.8pt;z-index:251658752;visibility:visible" filled="t">
            <v:imagedata r:id="rId9" o:title="AER" cropbottom="24944f"/>
          </v:shape>
        </w:pict>
      </w:r>
      <w:r w:rsidR="00B73BC0">
        <w:rPr>
          <w:rFonts w:ascii="Calibri" w:hAnsi="Calibri"/>
          <w:b/>
          <w:sz w:val="32"/>
        </w:rPr>
        <w:t>Summary of Meeting</w:t>
      </w:r>
    </w:p>
    <w:p w:rsidR="00B73BC0" w:rsidRDefault="00B73BC0" w:rsidP="00C54668">
      <w:pPr>
        <w:jc w:val="center"/>
        <w:rPr>
          <w:rFonts w:ascii="Calibri" w:hAnsi="Calibri"/>
          <w:b/>
          <w:sz w:val="32"/>
        </w:rPr>
      </w:pPr>
    </w:p>
    <w:p w:rsidR="00D8178B" w:rsidRDefault="00B73BC0" w:rsidP="00C54668">
      <w:pPr>
        <w:jc w:val="center"/>
        <w:rPr>
          <w:rFonts w:ascii="Calibri" w:hAnsi="Calibri"/>
          <w:b/>
          <w:sz w:val="32"/>
        </w:rPr>
      </w:pPr>
      <w:r>
        <w:rPr>
          <w:rFonts w:ascii="Calibri" w:hAnsi="Calibri"/>
          <w:b/>
          <w:sz w:val="32"/>
        </w:rPr>
        <w:t>Consumer Reference G</w:t>
      </w:r>
      <w:r w:rsidR="00D8178B" w:rsidRPr="00C54668">
        <w:rPr>
          <w:rFonts w:ascii="Calibri" w:hAnsi="Calibri"/>
          <w:b/>
          <w:sz w:val="32"/>
        </w:rPr>
        <w:t>roup (CRG) Meeting No</w:t>
      </w:r>
      <w:r>
        <w:rPr>
          <w:rFonts w:ascii="Calibri" w:hAnsi="Calibri"/>
          <w:b/>
          <w:sz w:val="32"/>
        </w:rPr>
        <w:t>.</w:t>
      </w:r>
      <w:r w:rsidR="00D8178B" w:rsidRPr="00C54668">
        <w:rPr>
          <w:rFonts w:ascii="Calibri" w:hAnsi="Calibri"/>
          <w:b/>
          <w:sz w:val="32"/>
        </w:rPr>
        <w:t xml:space="preserve"> </w:t>
      </w:r>
      <w:r w:rsidR="003A315B">
        <w:rPr>
          <w:rFonts w:ascii="Calibri" w:hAnsi="Calibri"/>
          <w:b/>
          <w:sz w:val="32"/>
        </w:rPr>
        <w:t>3</w:t>
      </w:r>
    </w:p>
    <w:p w:rsidR="00C54668" w:rsidRPr="00C54668" w:rsidRDefault="00C54668" w:rsidP="00C54668">
      <w:pPr>
        <w:jc w:val="center"/>
        <w:rPr>
          <w:rFonts w:ascii="Calibri" w:hAnsi="Calibri"/>
          <w:b/>
          <w:sz w:val="32"/>
        </w:rPr>
      </w:pPr>
    </w:p>
    <w:p w:rsidR="00D8178B" w:rsidRPr="00B73BC0" w:rsidRDefault="003A315B" w:rsidP="00C54668">
      <w:pPr>
        <w:jc w:val="center"/>
        <w:rPr>
          <w:rFonts w:ascii="Calibri" w:hAnsi="Calibri"/>
          <w:b/>
          <w:sz w:val="32"/>
        </w:rPr>
      </w:pPr>
      <w:r>
        <w:rPr>
          <w:rFonts w:ascii="Calibri" w:hAnsi="Calibri"/>
          <w:b/>
          <w:sz w:val="32"/>
        </w:rPr>
        <w:t>2</w:t>
      </w:r>
      <w:r w:rsidR="00B43A3C">
        <w:rPr>
          <w:rFonts w:ascii="Calibri" w:hAnsi="Calibri"/>
          <w:b/>
          <w:sz w:val="32"/>
        </w:rPr>
        <w:t xml:space="preserve">4 </w:t>
      </w:r>
      <w:r>
        <w:rPr>
          <w:rFonts w:ascii="Calibri" w:hAnsi="Calibri"/>
          <w:b/>
          <w:sz w:val="32"/>
        </w:rPr>
        <w:t>April</w:t>
      </w:r>
      <w:r w:rsidR="00B43A3C">
        <w:rPr>
          <w:rFonts w:ascii="Calibri" w:hAnsi="Calibri"/>
          <w:b/>
          <w:sz w:val="32"/>
        </w:rPr>
        <w:t xml:space="preserve"> </w:t>
      </w:r>
      <w:r w:rsidR="00D8178B" w:rsidRPr="00B73BC0">
        <w:rPr>
          <w:rFonts w:ascii="Calibri" w:hAnsi="Calibri"/>
          <w:b/>
          <w:sz w:val="32"/>
        </w:rPr>
        <w:t>2013</w:t>
      </w:r>
    </w:p>
    <w:p w:rsidR="00C54668" w:rsidRPr="00C54668" w:rsidRDefault="00C54668" w:rsidP="00C54668">
      <w:pPr>
        <w:jc w:val="center"/>
        <w:rPr>
          <w:rFonts w:ascii="Calibri" w:hAnsi="Calibri"/>
        </w:rPr>
      </w:pPr>
    </w:p>
    <w:p w:rsidR="00D8178B" w:rsidRDefault="00B73BC0" w:rsidP="00C54668">
      <w:pPr>
        <w:jc w:val="center"/>
        <w:rPr>
          <w:rFonts w:ascii="Calibri" w:hAnsi="Calibri"/>
          <w:i/>
        </w:rPr>
      </w:pPr>
      <w:r w:rsidRPr="00B73BC0">
        <w:rPr>
          <w:rFonts w:ascii="Calibri" w:hAnsi="Calibri"/>
          <w:i/>
        </w:rPr>
        <w:t>Held via video conference between</w:t>
      </w:r>
      <w:r w:rsidR="00D8178B" w:rsidRPr="00B73BC0">
        <w:rPr>
          <w:rFonts w:ascii="Calibri" w:hAnsi="Calibri"/>
          <w:i/>
        </w:rPr>
        <w:t xml:space="preserve"> AER offices </w:t>
      </w:r>
      <w:r w:rsidRPr="00B73BC0">
        <w:rPr>
          <w:rFonts w:ascii="Calibri" w:hAnsi="Calibri"/>
          <w:i/>
        </w:rPr>
        <w:t xml:space="preserve">in </w:t>
      </w:r>
      <w:r w:rsidR="00380BC6" w:rsidRPr="00B73BC0">
        <w:rPr>
          <w:rFonts w:ascii="Calibri" w:hAnsi="Calibri"/>
          <w:i/>
        </w:rPr>
        <w:t xml:space="preserve">Adelaide, </w:t>
      </w:r>
      <w:r w:rsidR="00C54668" w:rsidRPr="00B73BC0">
        <w:rPr>
          <w:rFonts w:ascii="Calibri" w:hAnsi="Calibri"/>
          <w:i/>
        </w:rPr>
        <w:t>Melbourne, Canberra, Sydney, Brisbane</w:t>
      </w:r>
      <w:r w:rsidR="00EE5F9D">
        <w:rPr>
          <w:rFonts w:ascii="Calibri" w:hAnsi="Calibri"/>
          <w:i/>
        </w:rPr>
        <w:t xml:space="preserve"> </w:t>
      </w:r>
    </w:p>
    <w:p w:rsidR="00EE5F9D" w:rsidRDefault="00EE5F9D" w:rsidP="00C54668">
      <w:pPr>
        <w:jc w:val="center"/>
        <w:rPr>
          <w:rFonts w:ascii="Calibri" w:hAnsi="Calibri"/>
          <w:i/>
        </w:rPr>
      </w:pPr>
    </w:p>
    <w:p w:rsidR="00EE5F9D" w:rsidRDefault="00EE5F9D" w:rsidP="00754781">
      <w:pPr>
        <w:jc w:val="center"/>
        <w:rPr>
          <w:rFonts w:ascii="Calibri" w:hAnsi="Calibri"/>
          <w:sz w:val="22"/>
          <w:szCs w:val="20"/>
        </w:rPr>
      </w:pPr>
      <w:r w:rsidRPr="00EE5F9D">
        <w:rPr>
          <w:rFonts w:ascii="Calibri" w:hAnsi="Calibri"/>
          <w:sz w:val="22"/>
          <w:szCs w:val="20"/>
        </w:rPr>
        <w:t xml:space="preserve">Apologies:  </w:t>
      </w:r>
      <w:r w:rsidR="003A315B">
        <w:rPr>
          <w:rFonts w:ascii="Calibri" w:hAnsi="Calibri"/>
          <w:sz w:val="22"/>
          <w:szCs w:val="20"/>
        </w:rPr>
        <w:t>Belinda Sandilands</w:t>
      </w:r>
      <w:r w:rsidR="00B43A3C" w:rsidRPr="00B43A3C">
        <w:rPr>
          <w:rFonts w:ascii="Calibri" w:hAnsi="Calibri"/>
          <w:sz w:val="22"/>
          <w:szCs w:val="20"/>
        </w:rPr>
        <w:t>, Sue Fraser, Alexandra Geddes</w:t>
      </w:r>
      <w:r w:rsidR="003A315B">
        <w:rPr>
          <w:rFonts w:ascii="Calibri" w:hAnsi="Calibri"/>
          <w:sz w:val="22"/>
          <w:szCs w:val="20"/>
        </w:rPr>
        <w:t xml:space="preserve">, </w:t>
      </w:r>
      <w:r w:rsidR="00904D2A">
        <w:rPr>
          <w:rFonts w:ascii="Calibri" w:hAnsi="Calibri"/>
          <w:sz w:val="22"/>
          <w:szCs w:val="20"/>
        </w:rPr>
        <w:t xml:space="preserve">Matt Helme, </w:t>
      </w:r>
      <w:r w:rsidR="003A315B">
        <w:rPr>
          <w:rFonts w:ascii="Calibri" w:hAnsi="Calibri"/>
          <w:sz w:val="22"/>
          <w:szCs w:val="20"/>
        </w:rPr>
        <w:t>Peter Strong, Angus Nardi</w:t>
      </w:r>
      <w:r w:rsidR="00904D2A">
        <w:rPr>
          <w:rFonts w:ascii="Calibri" w:hAnsi="Calibri"/>
          <w:sz w:val="22"/>
          <w:szCs w:val="20"/>
        </w:rPr>
        <w:t xml:space="preserve">, </w:t>
      </w:r>
      <w:r w:rsidR="00CE3D60">
        <w:rPr>
          <w:rFonts w:ascii="Calibri" w:hAnsi="Calibri"/>
          <w:sz w:val="22"/>
          <w:szCs w:val="20"/>
        </w:rPr>
        <w:t xml:space="preserve">Jonathan Pavetto, </w:t>
      </w:r>
      <w:r w:rsidR="00904D2A">
        <w:rPr>
          <w:rFonts w:ascii="Calibri" w:hAnsi="Calibri"/>
          <w:sz w:val="22"/>
          <w:szCs w:val="20"/>
        </w:rPr>
        <w:t>Tanja Warre</w:t>
      </w:r>
    </w:p>
    <w:p w:rsidR="007343FE" w:rsidRDefault="007343FE" w:rsidP="00754781">
      <w:pPr>
        <w:jc w:val="center"/>
        <w:rPr>
          <w:rFonts w:ascii="Calibri" w:hAnsi="Calibri"/>
          <w:sz w:val="22"/>
          <w:szCs w:val="20"/>
        </w:rPr>
      </w:pPr>
    </w:p>
    <w:p w:rsidR="00CE3D60" w:rsidRDefault="007343FE" w:rsidP="00754781">
      <w:pPr>
        <w:jc w:val="center"/>
        <w:rPr>
          <w:rFonts w:ascii="Calibri" w:hAnsi="Calibri"/>
          <w:sz w:val="22"/>
          <w:szCs w:val="20"/>
        </w:rPr>
      </w:pPr>
      <w:r>
        <w:rPr>
          <w:rFonts w:ascii="Calibri" w:hAnsi="Calibri"/>
          <w:sz w:val="22"/>
          <w:szCs w:val="20"/>
        </w:rPr>
        <w:t>Attendees: Tennant Reed, Gareth Shaw, Bruce Mountain, Deanna Foong, Damian Sulliv</w:t>
      </w:r>
      <w:r w:rsidR="00754781">
        <w:rPr>
          <w:rFonts w:ascii="Calibri" w:hAnsi="Calibri"/>
          <w:sz w:val="22"/>
          <w:szCs w:val="20"/>
        </w:rPr>
        <w:t xml:space="preserve">an, Heather </w:t>
      </w:r>
      <w:proofErr w:type="spellStart"/>
      <w:r w:rsidR="00754781">
        <w:rPr>
          <w:rFonts w:ascii="Calibri" w:hAnsi="Calibri"/>
          <w:sz w:val="22"/>
          <w:szCs w:val="20"/>
        </w:rPr>
        <w:t>I</w:t>
      </w:r>
      <w:r>
        <w:rPr>
          <w:rFonts w:ascii="Calibri" w:hAnsi="Calibri"/>
          <w:sz w:val="22"/>
          <w:szCs w:val="20"/>
        </w:rPr>
        <w:t>’Anson</w:t>
      </w:r>
      <w:proofErr w:type="spellEnd"/>
      <w:r>
        <w:rPr>
          <w:rFonts w:ascii="Calibri" w:hAnsi="Calibri"/>
          <w:sz w:val="22"/>
          <w:szCs w:val="20"/>
        </w:rPr>
        <w:t xml:space="preserve">, Mark Henley, </w:t>
      </w:r>
      <w:proofErr w:type="spellStart"/>
      <w:r>
        <w:rPr>
          <w:rFonts w:ascii="Calibri" w:hAnsi="Calibri"/>
          <w:sz w:val="22"/>
          <w:szCs w:val="20"/>
        </w:rPr>
        <w:t>Siwei</w:t>
      </w:r>
      <w:proofErr w:type="spellEnd"/>
      <w:r>
        <w:rPr>
          <w:rFonts w:ascii="Calibri" w:hAnsi="Calibri"/>
          <w:sz w:val="22"/>
          <w:szCs w:val="20"/>
        </w:rPr>
        <w:t xml:space="preserve"> Goo, Ro Evans, Katrina Lee, Caroline Hodge, Helen Scott, Graham Mawer, Carly Allen, Luke Berry</w:t>
      </w:r>
      <w:r w:rsidR="00CE3D60">
        <w:rPr>
          <w:rFonts w:ascii="Calibri" w:hAnsi="Calibri"/>
          <w:sz w:val="22"/>
          <w:szCs w:val="20"/>
        </w:rPr>
        <w:t>, David Headberry, Janine Rayner.</w:t>
      </w:r>
    </w:p>
    <w:p w:rsidR="007343FE" w:rsidRDefault="007343FE" w:rsidP="00754781">
      <w:pPr>
        <w:jc w:val="center"/>
        <w:rPr>
          <w:rFonts w:ascii="Calibri" w:hAnsi="Calibri"/>
          <w:sz w:val="22"/>
          <w:szCs w:val="20"/>
        </w:rPr>
      </w:pPr>
    </w:p>
    <w:p w:rsidR="00CE3D60" w:rsidRPr="00EE5F9D" w:rsidRDefault="00CE3D60" w:rsidP="00754781">
      <w:pPr>
        <w:jc w:val="center"/>
        <w:rPr>
          <w:rFonts w:ascii="Calibri" w:hAnsi="Calibri"/>
          <w:sz w:val="22"/>
          <w:szCs w:val="20"/>
        </w:rPr>
      </w:pPr>
      <w:r>
        <w:rPr>
          <w:rFonts w:ascii="Calibri" w:hAnsi="Calibri"/>
          <w:sz w:val="22"/>
          <w:szCs w:val="20"/>
        </w:rPr>
        <w:t>AER:</w:t>
      </w:r>
      <w:r w:rsidRPr="00CE3D60">
        <w:rPr>
          <w:rFonts w:ascii="Calibri" w:hAnsi="Calibri"/>
          <w:sz w:val="22"/>
          <w:szCs w:val="20"/>
        </w:rPr>
        <w:t xml:space="preserve"> </w:t>
      </w:r>
      <w:r>
        <w:rPr>
          <w:rFonts w:ascii="Calibri" w:hAnsi="Calibri"/>
          <w:sz w:val="22"/>
          <w:szCs w:val="20"/>
        </w:rPr>
        <w:t>Robyn Lowien, Dale Johansen, Moston Neck,</w:t>
      </w:r>
      <w:r w:rsidRPr="00CE3D60">
        <w:rPr>
          <w:rFonts w:ascii="Calibri" w:hAnsi="Calibri"/>
          <w:sz w:val="22"/>
          <w:szCs w:val="20"/>
        </w:rPr>
        <w:t xml:space="preserve"> </w:t>
      </w:r>
      <w:r>
        <w:rPr>
          <w:rFonts w:ascii="Calibri" w:hAnsi="Calibri"/>
          <w:sz w:val="22"/>
          <w:szCs w:val="20"/>
        </w:rPr>
        <w:t>John Skinner,</w:t>
      </w:r>
      <w:r w:rsidRPr="00CE3D60">
        <w:rPr>
          <w:rFonts w:ascii="Calibri" w:hAnsi="Calibri"/>
          <w:sz w:val="22"/>
          <w:szCs w:val="20"/>
        </w:rPr>
        <w:t xml:space="preserve"> </w:t>
      </w:r>
      <w:r>
        <w:rPr>
          <w:rFonts w:ascii="Calibri" w:hAnsi="Calibri"/>
          <w:sz w:val="22"/>
          <w:szCs w:val="20"/>
        </w:rPr>
        <w:t>Warwick Anderson,</w:t>
      </w:r>
      <w:r w:rsidRPr="00CE3D60">
        <w:rPr>
          <w:rFonts w:ascii="Calibri" w:hAnsi="Calibri"/>
          <w:sz w:val="22"/>
          <w:szCs w:val="20"/>
        </w:rPr>
        <w:t xml:space="preserve"> </w:t>
      </w:r>
      <w:r>
        <w:rPr>
          <w:rFonts w:ascii="Calibri" w:hAnsi="Calibri"/>
          <w:sz w:val="22"/>
          <w:szCs w:val="20"/>
        </w:rPr>
        <w:t>Lawrence Irlam, Blair Burkitt, Andrew Ley,</w:t>
      </w:r>
      <w:r w:rsidRPr="00CE3D60">
        <w:rPr>
          <w:rFonts w:ascii="Calibri" w:hAnsi="Calibri"/>
          <w:sz w:val="22"/>
          <w:szCs w:val="20"/>
        </w:rPr>
        <w:t xml:space="preserve"> </w:t>
      </w:r>
      <w:r>
        <w:rPr>
          <w:rFonts w:ascii="Calibri" w:hAnsi="Calibri"/>
          <w:sz w:val="22"/>
          <w:szCs w:val="20"/>
        </w:rPr>
        <w:t>Adam Petersen, Kurt Stevens, Jeevika Makani</w:t>
      </w:r>
      <w:r w:rsidRPr="00CE3D60">
        <w:rPr>
          <w:rFonts w:ascii="Calibri" w:hAnsi="Calibri"/>
          <w:sz w:val="22"/>
          <w:szCs w:val="20"/>
        </w:rPr>
        <w:t xml:space="preserve"> </w:t>
      </w:r>
      <w:r>
        <w:rPr>
          <w:rFonts w:ascii="Calibri" w:hAnsi="Calibri"/>
          <w:sz w:val="22"/>
          <w:szCs w:val="20"/>
        </w:rPr>
        <w:t>Andrew Reeves, Shalini Prasad</w:t>
      </w:r>
    </w:p>
    <w:p w:rsidR="00B73BC0" w:rsidRDefault="00B73BC0" w:rsidP="00754781">
      <w:pPr>
        <w:jc w:val="both"/>
        <w:rPr>
          <w:rFonts w:ascii="Calibri" w:hAnsi="Calibri"/>
        </w:rPr>
      </w:pPr>
    </w:p>
    <w:p w:rsidR="000B7311" w:rsidRPr="00904D2A" w:rsidRDefault="00B73BC0" w:rsidP="00754781">
      <w:pPr>
        <w:pStyle w:val="Default"/>
        <w:jc w:val="both"/>
        <w:rPr>
          <w:rFonts w:ascii="Calibri" w:hAnsi="Calibri"/>
          <w:color w:val="auto"/>
          <w:sz w:val="22"/>
        </w:rPr>
      </w:pPr>
      <w:r w:rsidRPr="00904D2A">
        <w:rPr>
          <w:rFonts w:ascii="Calibri" w:hAnsi="Calibri"/>
          <w:color w:val="auto"/>
          <w:sz w:val="22"/>
        </w:rPr>
        <w:t xml:space="preserve">On </w:t>
      </w:r>
      <w:r w:rsidR="003A315B" w:rsidRPr="00904D2A">
        <w:rPr>
          <w:rFonts w:ascii="Calibri" w:hAnsi="Calibri"/>
          <w:color w:val="auto"/>
          <w:sz w:val="22"/>
        </w:rPr>
        <w:t xml:space="preserve">24 April </w:t>
      </w:r>
      <w:r w:rsidR="000B7311" w:rsidRPr="00904D2A">
        <w:rPr>
          <w:rFonts w:ascii="Calibri" w:hAnsi="Calibri"/>
          <w:color w:val="auto"/>
          <w:sz w:val="22"/>
        </w:rPr>
        <w:t xml:space="preserve">2013, </w:t>
      </w:r>
      <w:r w:rsidR="00CD191D" w:rsidRPr="00904D2A">
        <w:rPr>
          <w:rFonts w:ascii="Calibri" w:hAnsi="Calibri"/>
          <w:color w:val="auto"/>
          <w:sz w:val="22"/>
        </w:rPr>
        <w:t xml:space="preserve">the AER held </w:t>
      </w:r>
      <w:r w:rsidR="00265FD8" w:rsidRPr="00904D2A">
        <w:rPr>
          <w:rFonts w:ascii="Calibri" w:hAnsi="Calibri"/>
          <w:color w:val="auto"/>
          <w:sz w:val="22"/>
        </w:rPr>
        <w:t xml:space="preserve">the </w:t>
      </w:r>
      <w:r w:rsidR="003A315B" w:rsidRPr="00904D2A">
        <w:rPr>
          <w:rFonts w:ascii="Calibri" w:hAnsi="Calibri"/>
          <w:color w:val="auto"/>
          <w:sz w:val="22"/>
        </w:rPr>
        <w:t>third</w:t>
      </w:r>
      <w:r w:rsidR="000B7311" w:rsidRPr="00904D2A">
        <w:rPr>
          <w:rFonts w:ascii="Calibri" w:hAnsi="Calibri"/>
          <w:color w:val="auto"/>
          <w:sz w:val="22"/>
        </w:rPr>
        <w:t xml:space="preserve"> meeting </w:t>
      </w:r>
      <w:r w:rsidR="004814F7" w:rsidRPr="00904D2A">
        <w:rPr>
          <w:rFonts w:ascii="Calibri" w:hAnsi="Calibri"/>
          <w:color w:val="auto"/>
          <w:sz w:val="22"/>
        </w:rPr>
        <w:t>of the CRG</w:t>
      </w:r>
      <w:r w:rsidR="002A7DB5" w:rsidRPr="00904D2A">
        <w:rPr>
          <w:rFonts w:ascii="Calibri" w:hAnsi="Calibri"/>
          <w:color w:val="auto"/>
          <w:sz w:val="22"/>
        </w:rPr>
        <w:t>.</w:t>
      </w:r>
      <w:r w:rsidR="00EE5F9D" w:rsidRPr="00904D2A">
        <w:rPr>
          <w:rFonts w:ascii="Calibri" w:hAnsi="Calibri"/>
          <w:color w:val="auto"/>
          <w:sz w:val="22"/>
        </w:rPr>
        <w:t xml:space="preserve"> </w:t>
      </w:r>
      <w:r w:rsidR="000B7311" w:rsidRPr="00904D2A">
        <w:rPr>
          <w:rFonts w:ascii="Calibri" w:hAnsi="Calibri"/>
          <w:color w:val="auto"/>
          <w:sz w:val="22"/>
        </w:rPr>
        <w:t xml:space="preserve">The meeting was chaired by AER </w:t>
      </w:r>
      <w:r w:rsidR="008C04CB" w:rsidRPr="00904D2A">
        <w:rPr>
          <w:rFonts w:ascii="Calibri" w:hAnsi="Calibri"/>
          <w:color w:val="auto"/>
          <w:sz w:val="22"/>
        </w:rPr>
        <w:t>C</w:t>
      </w:r>
      <w:r w:rsidR="000B7311" w:rsidRPr="00904D2A">
        <w:rPr>
          <w:rFonts w:ascii="Calibri" w:hAnsi="Calibri"/>
          <w:color w:val="auto"/>
          <w:sz w:val="22"/>
        </w:rPr>
        <w:t xml:space="preserve">hairman, Andrew Reeves, and was attended by AER staff members and CRG members who represent various </w:t>
      </w:r>
      <w:r w:rsidR="00CE3D60">
        <w:rPr>
          <w:rFonts w:ascii="Calibri" w:hAnsi="Calibri"/>
          <w:color w:val="auto"/>
          <w:sz w:val="22"/>
        </w:rPr>
        <w:t>consumer</w:t>
      </w:r>
      <w:r w:rsidR="00CE3D60" w:rsidRPr="00904D2A">
        <w:rPr>
          <w:rFonts w:ascii="Calibri" w:hAnsi="Calibri"/>
          <w:color w:val="auto"/>
          <w:sz w:val="22"/>
        </w:rPr>
        <w:t xml:space="preserve"> </w:t>
      </w:r>
      <w:r w:rsidR="000B7311" w:rsidRPr="00904D2A">
        <w:rPr>
          <w:rFonts w:ascii="Calibri" w:hAnsi="Calibri"/>
          <w:color w:val="auto"/>
          <w:sz w:val="22"/>
        </w:rPr>
        <w:t xml:space="preserve">groups. </w:t>
      </w:r>
    </w:p>
    <w:p w:rsidR="000B7311" w:rsidRPr="00904D2A" w:rsidRDefault="000B7311" w:rsidP="00754781">
      <w:pPr>
        <w:pStyle w:val="Default"/>
        <w:jc w:val="both"/>
        <w:rPr>
          <w:rFonts w:ascii="Calibri" w:hAnsi="Calibri"/>
          <w:color w:val="auto"/>
          <w:sz w:val="22"/>
        </w:rPr>
      </w:pPr>
    </w:p>
    <w:p w:rsidR="007343FE" w:rsidRPr="00904D2A" w:rsidRDefault="000B7311" w:rsidP="00754781">
      <w:pPr>
        <w:pStyle w:val="Default"/>
        <w:jc w:val="both"/>
        <w:rPr>
          <w:rFonts w:ascii="Calibri" w:hAnsi="Calibri"/>
          <w:color w:val="auto"/>
          <w:sz w:val="22"/>
        </w:rPr>
      </w:pPr>
      <w:r w:rsidRPr="00904D2A">
        <w:rPr>
          <w:rFonts w:ascii="Calibri" w:hAnsi="Calibri"/>
          <w:color w:val="auto"/>
          <w:sz w:val="22"/>
        </w:rPr>
        <w:t>This summary broadly covers the key topics</w:t>
      </w:r>
      <w:r w:rsidR="004814F7" w:rsidRPr="00904D2A">
        <w:rPr>
          <w:rFonts w:ascii="Calibri" w:hAnsi="Calibri"/>
          <w:color w:val="auto"/>
          <w:sz w:val="22"/>
        </w:rPr>
        <w:t xml:space="preserve"> and themes that were discussed. The outline follows that of the agenda. </w:t>
      </w:r>
    </w:p>
    <w:p w:rsidR="00D8178B" w:rsidRPr="00904D2A" w:rsidRDefault="00D8178B" w:rsidP="00754781">
      <w:pPr>
        <w:pBdr>
          <w:bottom w:val="single" w:sz="12" w:space="1" w:color="auto"/>
        </w:pBdr>
        <w:jc w:val="both"/>
        <w:rPr>
          <w:b/>
          <w:szCs w:val="28"/>
        </w:rPr>
      </w:pPr>
    </w:p>
    <w:p w:rsidR="00C54668" w:rsidRDefault="00C54668" w:rsidP="00FC3A56">
      <w:pPr>
        <w:jc w:val="both"/>
        <w:rPr>
          <w:b/>
          <w:sz w:val="28"/>
          <w:szCs w:val="28"/>
        </w:rPr>
      </w:pPr>
    </w:p>
    <w:p w:rsidR="009335E5" w:rsidRDefault="00904D2A" w:rsidP="00FC3A56">
      <w:pPr>
        <w:jc w:val="both"/>
        <w:rPr>
          <w:rFonts w:ascii="Calibri" w:hAnsi="Calibri"/>
          <w:szCs w:val="28"/>
        </w:rPr>
      </w:pPr>
      <w:r>
        <w:rPr>
          <w:rFonts w:ascii="Calibri" w:hAnsi="Calibri"/>
          <w:b/>
          <w:szCs w:val="28"/>
        </w:rPr>
        <w:t>1</w:t>
      </w:r>
      <w:r>
        <w:rPr>
          <w:rFonts w:ascii="Calibri" w:hAnsi="Calibri"/>
          <w:b/>
          <w:szCs w:val="28"/>
        </w:rPr>
        <w:tab/>
        <w:t xml:space="preserve">Welcome and update </w:t>
      </w:r>
    </w:p>
    <w:p w:rsidR="009335E5" w:rsidRDefault="009335E5" w:rsidP="00FC3A56">
      <w:pPr>
        <w:jc w:val="both"/>
        <w:rPr>
          <w:rFonts w:ascii="Calibri" w:hAnsi="Calibri"/>
          <w:szCs w:val="28"/>
        </w:rPr>
      </w:pPr>
    </w:p>
    <w:p w:rsidR="00904D2A" w:rsidRDefault="00754781" w:rsidP="00FC3A56">
      <w:pPr>
        <w:jc w:val="both"/>
        <w:rPr>
          <w:rFonts w:ascii="Calibri" w:hAnsi="Calibri"/>
          <w:sz w:val="22"/>
          <w:szCs w:val="28"/>
        </w:rPr>
      </w:pPr>
      <w:r>
        <w:rPr>
          <w:rFonts w:ascii="Calibri" w:hAnsi="Calibri"/>
          <w:sz w:val="22"/>
          <w:szCs w:val="28"/>
        </w:rPr>
        <w:t xml:space="preserve">The </w:t>
      </w:r>
      <w:r w:rsidR="00FC1CF3">
        <w:rPr>
          <w:rFonts w:ascii="Calibri" w:hAnsi="Calibri"/>
          <w:sz w:val="22"/>
          <w:szCs w:val="28"/>
        </w:rPr>
        <w:t>AER C</w:t>
      </w:r>
      <w:r>
        <w:rPr>
          <w:rFonts w:ascii="Calibri" w:hAnsi="Calibri"/>
          <w:sz w:val="22"/>
          <w:szCs w:val="28"/>
        </w:rPr>
        <w:t xml:space="preserve">hairman, Andrew Reeves, welcomed CRG members to the third CRG meeting. </w:t>
      </w:r>
    </w:p>
    <w:p w:rsidR="00754781" w:rsidRDefault="00754781" w:rsidP="00FC3A56">
      <w:pPr>
        <w:jc w:val="both"/>
        <w:rPr>
          <w:rFonts w:ascii="Calibri" w:hAnsi="Calibri"/>
          <w:sz w:val="22"/>
          <w:szCs w:val="28"/>
        </w:rPr>
      </w:pPr>
    </w:p>
    <w:p w:rsidR="00754781" w:rsidRPr="00904D2A" w:rsidRDefault="00FC1CF3" w:rsidP="00FC3A56">
      <w:pPr>
        <w:jc w:val="both"/>
        <w:rPr>
          <w:rFonts w:ascii="Calibri" w:hAnsi="Calibri"/>
          <w:sz w:val="22"/>
          <w:szCs w:val="28"/>
        </w:rPr>
      </w:pPr>
      <w:r>
        <w:rPr>
          <w:rFonts w:ascii="Calibri" w:hAnsi="Calibri"/>
          <w:sz w:val="22"/>
          <w:szCs w:val="28"/>
        </w:rPr>
        <w:t xml:space="preserve">The Chairman noted that the AER would like to encourage </w:t>
      </w:r>
      <w:r w:rsidR="00FF4C70">
        <w:rPr>
          <w:rFonts w:ascii="Calibri" w:hAnsi="Calibri"/>
          <w:sz w:val="22"/>
          <w:szCs w:val="28"/>
        </w:rPr>
        <w:t xml:space="preserve">CRG members to lead </w:t>
      </w:r>
      <w:r>
        <w:rPr>
          <w:rFonts w:ascii="Calibri" w:hAnsi="Calibri"/>
          <w:sz w:val="22"/>
          <w:szCs w:val="28"/>
        </w:rPr>
        <w:t xml:space="preserve">these </w:t>
      </w:r>
      <w:r w:rsidR="00FF4C70">
        <w:rPr>
          <w:rFonts w:ascii="Calibri" w:hAnsi="Calibri"/>
          <w:sz w:val="22"/>
          <w:szCs w:val="28"/>
        </w:rPr>
        <w:t>discussion</w:t>
      </w:r>
      <w:r>
        <w:rPr>
          <w:rFonts w:ascii="Calibri" w:hAnsi="Calibri"/>
          <w:sz w:val="22"/>
          <w:szCs w:val="28"/>
        </w:rPr>
        <w:t>s</w:t>
      </w:r>
      <w:r w:rsidR="00FF4C70">
        <w:rPr>
          <w:rFonts w:ascii="Calibri" w:hAnsi="Calibri"/>
          <w:sz w:val="22"/>
          <w:szCs w:val="28"/>
        </w:rPr>
        <w:t>.</w:t>
      </w:r>
      <w:r>
        <w:rPr>
          <w:rFonts w:ascii="Calibri" w:hAnsi="Calibri"/>
          <w:sz w:val="22"/>
          <w:szCs w:val="28"/>
        </w:rPr>
        <w:t xml:space="preserve"> Accordingly, the agenda for the CRG will not be based on presentations from AER directors. Rather, the CRG discussions will be based on the reports from the various subgroup meetings.</w:t>
      </w:r>
      <w:r w:rsidR="007B39D9">
        <w:rPr>
          <w:rFonts w:ascii="Calibri" w:hAnsi="Calibri"/>
          <w:sz w:val="22"/>
          <w:szCs w:val="28"/>
        </w:rPr>
        <w:t xml:space="preserve"> </w:t>
      </w:r>
      <w:r w:rsidR="00FF4C70">
        <w:rPr>
          <w:rFonts w:ascii="Calibri" w:hAnsi="Calibri"/>
          <w:sz w:val="22"/>
          <w:szCs w:val="28"/>
        </w:rPr>
        <w:t xml:space="preserve"> </w:t>
      </w:r>
    </w:p>
    <w:p w:rsidR="00904D2A" w:rsidRDefault="00904D2A" w:rsidP="00FC3A56">
      <w:pPr>
        <w:jc w:val="both"/>
        <w:rPr>
          <w:rFonts w:ascii="Calibri" w:hAnsi="Calibri"/>
          <w:sz w:val="22"/>
          <w:szCs w:val="28"/>
        </w:rPr>
      </w:pPr>
    </w:p>
    <w:p w:rsidR="00BD6CA5" w:rsidRPr="00904D2A" w:rsidRDefault="00BD6CA5" w:rsidP="00FC3A56">
      <w:pPr>
        <w:jc w:val="both"/>
        <w:rPr>
          <w:rFonts w:ascii="Calibri" w:hAnsi="Calibri"/>
          <w:sz w:val="22"/>
          <w:szCs w:val="28"/>
        </w:rPr>
      </w:pPr>
      <w:r>
        <w:rPr>
          <w:rFonts w:ascii="Calibri" w:hAnsi="Calibri"/>
          <w:sz w:val="22"/>
          <w:szCs w:val="28"/>
        </w:rPr>
        <w:t xml:space="preserve">The </w:t>
      </w:r>
      <w:r w:rsidR="00D528AA">
        <w:rPr>
          <w:rFonts w:ascii="Calibri" w:hAnsi="Calibri"/>
          <w:sz w:val="22"/>
          <w:szCs w:val="28"/>
        </w:rPr>
        <w:t>C</w:t>
      </w:r>
      <w:r>
        <w:rPr>
          <w:rFonts w:ascii="Calibri" w:hAnsi="Calibri"/>
          <w:sz w:val="22"/>
          <w:szCs w:val="28"/>
        </w:rPr>
        <w:t xml:space="preserve">hairman </w:t>
      </w:r>
      <w:r w:rsidR="00DC50DA">
        <w:rPr>
          <w:rFonts w:ascii="Calibri" w:hAnsi="Calibri"/>
          <w:sz w:val="22"/>
          <w:szCs w:val="28"/>
        </w:rPr>
        <w:t>provided a brief update on each of the work streams.</w:t>
      </w:r>
    </w:p>
    <w:p w:rsidR="00666752" w:rsidRDefault="00666752" w:rsidP="00666752">
      <w:pPr>
        <w:jc w:val="both"/>
        <w:rPr>
          <w:rFonts w:ascii="Calibri" w:hAnsi="Calibri"/>
          <w:sz w:val="22"/>
          <w:szCs w:val="28"/>
        </w:rPr>
      </w:pPr>
    </w:p>
    <w:p w:rsidR="004E4F11" w:rsidRDefault="007B39D9" w:rsidP="007B39D9">
      <w:pPr>
        <w:jc w:val="both"/>
        <w:rPr>
          <w:rFonts w:ascii="Calibri" w:hAnsi="Calibri"/>
          <w:sz w:val="22"/>
          <w:szCs w:val="28"/>
        </w:rPr>
      </w:pPr>
      <w:r>
        <w:rPr>
          <w:rFonts w:ascii="Calibri" w:hAnsi="Calibri"/>
          <w:sz w:val="22"/>
          <w:szCs w:val="28"/>
        </w:rPr>
        <w:t xml:space="preserve">The next CRG meeting on 23 May is an important peak in consumer engagement for the Better Regulation program. Following that meeting, </w:t>
      </w:r>
      <w:r w:rsidR="004E4F11">
        <w:rPr>
          <w:rFonts w:ascii="Calibri" w:hAnsi="Calibri"/>
          <w:sz w:val="22"/>
          <w:szCs w:val="28"/>
        </w:rPr>
        <w:t xml:space="preserve">AER staff will </w:t>
      </w:r>
      <w:r w:rsidR="00FC1CF3">
        <w:rPr>
          <w:rFonts w:ascii="Calibri" w:hAnsi="Calibri"/>
          <w:sz w:val="22"/>
          <w:szCs w:val="28"/>
        </w:rPr>
        <w:t>focus on</w:t>
      </w:r>
      <w:r w:rsidR="004E4F11">
        <w:rPr>
          <w:rFonts w:ascii="Calibri" w:hAnsi="Calibri"/>
          <w:sz w:val="22"/>
          <w:szCs w:val="28"/>
        </w:rPr>
        <w:t xml:space="preserve"> </w:t>
      </w:r>
      <w:r w:rsidR="009E1068">
        <w:rPr>
          <w:rFonts w:ascii="Calibri" w:hAnsi="Calibri"/>
          <w:sz w:val="22"/>
          <w:szCs w:val="28"/>
        </w:rPr>
        <w:t>writing our draft</w:t>
      </w:r>
      <w:r w:rsidR="004E4F11">
        <w:rPr>
          <w:rFonts w:ascii="Calibri" w:hAnsi="Calibri"/>
          <w:sz w:val="22"/>
          <w:szCs w:val="28"/>
        </w:rPr>
        <w:t xml:space="preserve"> guidelines</w:t>
      </w:r>
      <w:r w:rsidR="009E1068">
        <w:rPr>
          <w:rFonts w:ascii="Calibri" w:hAnsi="Calibri"/>
          <w:sz w:val="22"/>
          <w:szCs w:val="28"/>
        </w:rPr>
        <w:t xml:space="preserve"> for most </w:t>
      </w:r>
      <w:r w:rsidR="00DC50DA">
        <w:rPr>
          <w:rFonts w:ascii="Calibri" w:hAnsi="Calibri"/>
          <w:sz w:val="22"/>
          <w:szCs w:val="28"/>
        </w:rPr>
        <w:t>work streams</w:t>
      </w:r>
      <w:r w:rsidR="004E4F11">
        <w:rPr>
          <w:rFonts w:ascii="Calibri" w:hAnsi="Calibri"/>
          <w:sz w:val="22"/>
          <w:szCs w:val="28"/>
        </w:rPr>
        <w:t xml:space="preserve">. </w:t>
      </w:r>
      <w:r w:rsidR="009E1068">
        <w:rPr>
          <w:rFonts w:ascii="Calibri" w:hAnsi="Calibri"/>
          <w:sz w:val="22"/>
          <w:szCs w:val="28"/>
        </w:rPr>
        <w:t>In many ways, the draft guideline is the most important part of this process as it provides the direction, based on a vast amount of consultation, that the AER expects to head</w:t>
      </w:r>
      <w:r w:rsidR="00FD6637">
        <w:rPr>
          <w:rFonts w:ascii="Calibri" w:hAnsi="Calibri"/>
          <w:sz w:val="22"/>
          <w:szCs w:val="28"/>
        </w:rPr>
        <w:t>.</w:t>
      </w:r>
      <w:r w:rsidR="009E1068">
        <w:rPr>
          <w:rFonts w:ascii="Calibri" w:hAnsi="Calibri"/>
          <w:sz w:val="22"/>
          <w:szCs w:val="28"/>
        </w:rPr>
        <w:t xml:space="preserve"> The Chairman stressed that t</w:t>
      </w:r>
      <w:r w:rsidR="00FD6637">
        <w:rPr>
          <w:rFonts w:ascii="Calibri" w:hAnsi="Calibri"/>
          <w:sz w:val="22"/>
          <w:szCs w:val="28"/>
        </w:rPr>
        <w:t xml:space="preserve">o ensure </w:t>
      </w:r>
      <w:r w:rsidR="009E1068">
        <w:rPr>
          <w:rFonts w:ascii="Calibri" w:hAnsi="Calibri"/>
          <w:sz w:val="22"/>
          <w:szCs w:val="28"/>
        </w:rPr>
        <w:t xml:space="preserve">the </w:t>
      </w:r>
      <w:r w:rsidR="00FD6637">
        <w:rPr>
          <w:rFonts w:ascii="Calibri" w:hAnsi="Calibri"/>
          <w:sz w:val="22"/>
          <w:szCs w:val="28"/>
        </w:rPr>
        <w:t xml:space="preserve">views </w:t>
      </w:r>
      <w:r w:rsidR="009E1068">
        <w:rPr>
          <w:rFonts w:ascii="Calibri" w:hAnsi="Calibri"/>
          <w:sz w:val="22"/>
          <w:szCs w:val="28"/>
        </w:rPr>
        <w:t xml:space="preserve">of CRG members </w:t>
      </w:r>
      <w:r w:rsidR="00FD6637">
        <w:rPr>
          <w:rFonts w:ascii="Calibri" w:hAnsi="Calibri"/>
          <w:sz w:val="22"/>
          <w:szCs w:val="28"/>
        </w:rPr>
        <w:lastRenderedPageBreak/>
        <w:t xml:space="preserve">are incorporated in the guideline </w:t>
      </w:r>
      <w:proofErr w:type="gramStart"/>
      <w:r w:rsidR="00FD6637">
        <w:rPr>
          <w:rFonts w:ascii="Calibri" w:hAnsi="Calibri"/>
          <w:sz w:val="22"/>
          <w:szCs w:val="28"/>
        </w:rPr>
        <w:t>development,</w:t>
      </w:r>
      <w:proofErr w:type="gramEnd"/>
      <w:r w:rsidR="00FD6637">
        <w:rPr>
          <w:rFonts w:ascii="Calibri" w:hAnsi="Calibri"/>
          <w:sz w:val="22"/>
          <w:szCs w:val="28"/>
        </w:rPr>
        <w:t xml:space="preserve"> </w:t>
      </w:r>
      <w:r w:rsidR="009E1068">
        <w:rPr>
          <w:rFonts w:ascii="Calibri" w:hAnsi="Calibri"/>
          <w:sz w:val="22"/>
          <w:szCs w:val="28"/>
        </w:rPr>
        <w:t xml:space="preserve">the 23 May meeting will be </w:t>
      </w:r>
      <w:r w:rsidR="005C113C">
        <w:rPr>
          <w:rFonts w:ascii="Calibri" w:hAnsi="Calibri"/>
          <w:sz w:val="22"/>
          <w:szCs w:val="28"/>
        </w:rPr>
        <w:t>an important</w:t>
      </w:r>
      <w:r w:rsidR="009E1068">
        <w:rPr>
          <w:rFonts w:ascii="Calibri" w:hAnsi="Calibri"/>
          <w:sz w:val="22"/>
          <w:szCs w:val="28"/>
        </w:rPr>
        <w:t xml:space="preserve"> opportunity</w:t>
      </w:r>
      <w:r w:rsidR="00666752">
        <w:rPr>
          <w:rFonts w:ascii="Calibri" w:hAnsi="Calibri"/>
          <w:sz w:val="22"/>
          <w:szCs w:val="28"/>
        </w:rPr>
        <w:t xml:space="preserve">. </w:t>
      </w:r>
    </w:p>
    <w:p w:rsidR="00666752" w:rsidRDefault="00666752" w:rsidP="004E4F11">
      <w:pPr>
        <w:ind w:left="360"/>
        <w:jc w:val="both"/>
        <w:rPr>
          <w:rFonts w:ascii="Calibri" w:hAnsi="Calibri"/>
          <w:sz w:val="22"/>
          <w:szCs w:val="28"/>
        </w:rPr>
      </w:pPr>
    </w:p>
    <w:p w:rsidR="00DD4FE7" w:rsidRPr="009335E5" w:rsidRDefault="00DD4FE7" w:rsidP="00FC3A56">
      <w:pPr>
        <w:jc w:val="both"/>
        <w:rPr>
          <w:rFonts w:ascii="Calibri" w:hAnsi="Calibri"/>
          <w:b/>
          <w:szCs w:val="28"/>
        </w:rPr>
      </w:pPr>
      <w:r>
        <w:rPr>
          <w:rFonts w:ascii="Calibri" w:hAnsi="Calibri"/>
          <w:b/>
          <w:szCs w:val="28"/>
        </w:rPr>
        <w:t>2</w:t>
      </w:r>
      <w:r w:rsidRPr="009335E5">
        <w:rPr>
          <w:rFonts w:ascii="Calibri" w:hAnsi="Calibri"/>
          <w:b/>
          <w:szCs w:val="28"/>
        </w:rPr>
        <w:tab/>
      </w:r>
      <w:r w:rsidR="00904D2A">
        <w:rPr>
          <w:rFonts w:ascii="Calibri" w:hAnsi="Calibri"/>
          <w:b/>
          <w:szCs w:val="28"/>
        </w:rPr>
        <w:t>Introduction of Luke Berry</w:t>
      </w:r>
      <w:r>
        <w:rPr>
          <w:rFonts w:ascii="Calibri" w:hAnsi="Calibri"/>
          <w:b/>
          <w:szCs w:val="28"/>
        </w:rPr>
        <w:t xml:space="preserve"> </w:t>
      </w:r>
    </w:p>
    <w:p w:rsidR="009335E5" w:rsidRPr="00B43A3C" w:rsidRDefault="009335E5" w:rsidP="00FC3A56">
      <w:pPr>
        <w:jc w:val="both"/>
        <w:rPr>
          <w:rFonts w:ascii="Calibri" w:hAnsi="Calibri"/>
          <w:szCs w:val="28"/>
        </w:rPr>
      </w:pPr>
    </w:p>
    <w:p w:rsidR="009877DE" w:rsidRDefault="009877DE" w:rsidP="00522C56">
      <w:pPr>
        <w:jc w:val="both"/>
        <w:rPr>
          <w:rFonts w:ascii="Calibri" w:hAnsi="Calibri"/>
          <w:sz w:val="22"/>
          <w:szCs w:val="28"/>
        </w:rPr>
      </w:pPr>
      <w:r>
        <w:rPr>
          <w:rFonts w:ascii="Calibri" w:hAnsi="Calibri"/>
          <w:sz w:val="22"/>
          <w:szCs w:val="28"/>
        </w:rPr>
        <w:t xml:space="preserve">The Consumer Advocacy Panel </w:t>
      </w:r>
      <w:r w:rsidR="009E1068">
        <w:rPr>
          <w:rFonts w:ascii="Calibri" w:hAnsi="Calibri"/>
          <w:sz w:val="22"/>
          <w:szCs w:val="28"/>
        </w:rPr>
        <w:t xml:space="preserve">(CAP) </w:t>
      </w:r>
      <w:r>
        <w:rPr>
          <w:rFonts w:ascii="Calibri" w:hAnsi="Calibri"/>
          <w:sz w:val="22"/>
          <w:szCs w:val="28"/>
        </w:rPr>
        <w:t xml:space="preserve">has engaged consultant Luke Berry to help facilitate and co-ordinate consumer input into the Better Regulation program. </w:t>
      </w:r>
    </w:p>
    <w:p w:rsidR="009877DE" w:rsidRDefault="009877DE" w:rsidP="00522C56">
      <w:pPr>
        <w:jc w:val="both"/>
        <w:rPr>
          <w:rFonts w:ascii="Calibri" w:hAnsi="Calibri"/>
          <w:sz w:val="22"/>
          <w:szCs w:val="28"/>
        </w:rPr>
      </w:pPr>
    </w:p>
    <w:p w:rsidR="00522C56" w:rsidRDefault="009E1068" w:rsidP="00522C56">
      <w:pPr>
        <w:jc w:val="both"/>
        <w:rPr>
          <w:rFonts w:ascii="Calibri" w:hAnsi="Calibri"/>
          <w:sz w:val="22"/>
          <w:szCs w:val="28"/>
        </w:rPr>
      </w:pPr>
      <w:r>
        <w:rPr>
          <w:rFonts w:ascii="Calibri" w:hAnsi="Calibri"/>
          <w:sz w:val="22"/>
          <w:szCs w:val="28"/>
        </w:rPr>
        <w:t xml:space="preserve">Luke outlined that </w:t>
      </w:r>
      <w:r w:rsidR="00DC50DA">
        <w:rPr>
          <w:rFonts w:ascii="Calibri" w:hAnsi="Calibri"/>
          <w:sz w:val="22"/>
          <w:szCs w:val="28"/>
        </w:rPr>
        <w:t xml:space="preserve">as part of </w:t>
      </w:r>
      <w:r>
        <w:rPr>
          <w:rFonts w:ascii="Calibri" w:hAnsi="Calibri"/>
          <w:sz w:val="22"/>
          <w:szCs w:val="28"/>
        </w:rPr>
        <w:t>h</w:t>
      </w:r>
      <w:r w:rsidR="005C4B20">
        <w:rPr>
          <w:rFonts w:ascii="Calibri" w:hAnsi="Calibri"/>
          <w:sz w:val="22"/>
          <w:szCs w:val="28"/>
        </w:rPr>
        <w:t>is work</w:t>
      </w:r>
      <w:r w:rsidR="00DC50DA">
        <w:rPr>
          <w:rFonts w:ascii="Calibri" w:hAnsi="Calibri"/>
          <w:sz w:val="22"/>
          <w:szCs w:val="28"/>
        </w:rPr>
        <w:t>, he would like to:</w:t>
      </w:r>
    </w:p>
    <w:p w:rsidR="009877DE" w:rsidRPr="00BE44D0" w:rsidRDefault="00BE44D0" w:rsidP="009877DE">
      <w:pPr>
        <w:numPr>
          <w:ilvl w:val="0"/>
          <w:numId w:val="20"/>
        </w:numPr>
        <w:jc w:val="both"/>
        <w:rPr>
          <w:rFonts w:ascii="Calibri" w:hAnsi="Calibri"/>
          <w:sz w:val="22"/>
          <w:szCs w:val="28"/>
        </w:rPr>
      </w:pPr>
      <w:r>
        <w:rPr>
          <w:rFonts w:ascii="Calibri" w:hAnsi="Calibri"/>
          <w:sz w:val="22"/>
          <w:szCs w:val="28"/>
        </w:rPr>
        <w:t>s</w:t>
      </w:r>
      <w:r w:rsidR="009877DE">
        <w:rPr>
          <w:rFonts w:ascii="Calibri" w:hAnsi="Calibri"/>
          <w:sz w:val="22"/>
          <w:szCs w:val="28"/>
        </w:rPr>
        <w:t xml:space="preserve">et up a Google space (including </w:t>
      </w:r>
      <w:r w:rsidR="009877DE" w:rsidRPr="00BE44D0">
        <w:rPr>
          <w:rFonts w:ascii="Calibri" w:hAnsi="Calibri"/>
          <w:sz w:val="22"/>
          <w:szCs w:val="28"/>
        </w:rPr>
        <w:t>discussion threads for the different work</w:t>
      </w:r>
      <w:r w:rsidRPr="00BE44D0">
        <w:rPr>
          <w:rFonts w:ascii="Calibri" w:hAnsi="Calibri"/>
          <w:sz w:val="22"/>
          <w:szCs w:val="28"/>
        </w:rPr>
        <w:t xml:space="preserve"> </w:t>
      </w:r>
      <w:r w:rsidR="009877DE" w:rsidRPr="00BE44D0">
        <w:rPr>
          <w:rFonts w:ascii="Calibri" w:hAnsi="Calibri"/>
          <w:sz w:val="22"/>
          <w:szCs w:val="28"/>
        </w:rPr>
        <w:t>streams</w:t>
      </w:r>
      <w:r>
        <w:rPr>
          <w:rFonts w:ascii="Calibri" w:hAnsi="Calibri"/>
          <w:sz w:val="22"/>
          <w:szCs w:val="28"/>
        </w:rPr>
        <w:t>)</w:t>
      </w:r>
    </w:p>
    <w:p w:rsidR="009877DE" w:rsidRPr="00BE44D0" w:rsidRDefault="00BE44D0" w:rsidP="009877DE">
      <w:pPr>
        <w:numPr>
          <w:ilvl w:val="0"/>
          <w:numId w:val="20"/>
        </w:numPr>
        <w:jc w:val="both"/>
        <w:rPr>
          <w:rFonts w:ascii="Calibri" w:hAnsi="Calibri"/>
          <w:sz w:val="22"/>
          <w:szCs w:val="28"/>
        </w:rPr>
      </w:pPr>
      <w:r>
        <w:rPr>
          <w:rFonts w:ascii="Calibri" w:hAnsi="Calibri"/>
          <w:sz w:val="22"/>
          <w:szCs w:val="28"/>
        </w:rPr>
        <w:t>s</w:t>
      </w:r>
      <w:r w:rsidR="009877DE" w:rsidRPr="00BE44D0">
        <w:rPr>
          <w:rFonts w:ascii="Calibri" w:hAnsi="Calibri"/>
          <w:sz w:val="22"/>
          <w:szCs w:val="28"/>
        </w:rPr>
        <w:t>ummaris</w:t>
      </w:r>
      <w:r>
        <w:rPr>
          <w:rFonts w:ascii="Calibri" w:hAnsi="Calibri"/>
          <w:sz w:val="22"/>
          <w:szCs w:val="28"/>
        </w:rPr>
        <w:t>e</w:t>
      </w:r>
      <w:r w:rsidR="009877DE" w:rsidRPr="00BE44D0">
        <w:rPr>
          <w:rFonts w:ascii="Calibri" w:hAnsi="Calibri"/>
          <w:sz w:val="22"/>
          <w:szCs w:val="28"/>
        </w:rPr>
        <w:t xml:space="preserve"> and distribut</w:t>
      </w:r>
      <w:r>
        <w:rPr>
          <w:rFonts w:ascii="Calibri" w:hAnsi="Calibri"/>
          <w:sz w:val="22"/>
          <w:szCs w:val="28"/>
        </w:rPr>
        <w:t>e</w:t>
      </w:r>
      <w:r w:rsidR="009877DE" w:rsidRPr="00BE44D0">
        <w:rPr>
          <w:rFonts w:ascii="Calibri" w:hAnsi="Calibri"/>
          <w:sz w:val="22"/>
          <w:szCs w:val="28"/>
        </w:rPr>
        <w:t xml:space="preserve"> consultancy reports</w:t>
      </w:r>
    </w:p>
    <w:p w:rsidR="009877DE" w:rsidRDefault="00BE44D0" w:rsidP="009877DE">
      <w:pPr>
        <w:numPr>
          <w:ilvl w:val="0"/>
          <w:numId w:val="20"/>
        </w:numPr>
        <w:jc w:val="both"/>
        <w:rPr>
          <w:rFonts w:ascii="Calibri" w:hAnsi="Calibri"/>
          <w:sz w:val="22"/>
          <w:szCs w:val="28"/>
        </w:rPr>
      </w:pPr>
      <w:r>
        <w:rPr>
          <w:rFonts w:ascii="Calibri" w:hAnsi="Calibri"/>
          <w:sz w:val="22"/>
          <w:szCs w:val="28"/>
        </w:rPr>
        <w:t>s</w:t>
      </w:r>
      <w:r w:rsidR="009877DE" w:rsidRPr="00BE44D0">
        <w:rPr>
          <w:rFonts w:ascii="Calibri" w:hAnsi="Calibri"/>
          <w:sz w:val="22"/>
          <w:szCs w:val="28"/>
        </w:rPr>
        <w:t>ummarise is</w:t>
      </w:r>
      <w:r w:rsidR="009877DE">
        <w:rPr>
          <w:rFonts w:ascii="Calibri" w:hAnsi="Calibri"/>
          <w:sz w:val="22"/>
          <w:szCs w:val="28"/>
        </w:rPr>
        <w:t>sues and write meeting minutes</w:t>
      </w:r>
    </w:p>
    <w:p w:rsidR="00D97312" w:rsidRDefault="00D97312" w:rsidP="00522C56">
      <w:pPr>
        <w:jc w:val="both"/>
        <w:rPr>
          <w:rFonts w:ascii="Calibri" w:hAnsi="Calibri"/>
          <w:sz w:val="22"/>
          <w:szCs w:val="28"/>
        </w:rPr>
      </w:pPr>
    </w:p>
    <w:p w:rsidR="008F2450" w:rsidRDefault="008F2450" w:rsidP="008F2450">
      <w:pPr>
        <w:jc w:val="both"/>
        <w:rPr>
          <w:rFonts w:ascii="Calibri" w:hAnsi="Calibri"/>
          <w:b/>
          <w:szCs w:val="28"/>
        </w:rPr>
      </w:pPr>
      <w:r w:rsidRPr="00522C56">
        <w:rPr>
          <w:rFonts w:ascii="Calibri" w:hAnsi="Calibri"/>
          <w:b/>
          <w:szCs w:val="28"/>
        </w:rPr>
        <w:t>3</w:t>
      </w:r>
      <w:r w:rsidRPr="009335E5">
        <w:rPr>
          <w:rFonts w:ascii="Calibri" w:hAnsi="Calibri"/>
          <w:b/>
          <w:szCs w:val="28"/>
        </w:rPr>
        <w:tab/>
      </w:r>
      <w:r w:rsidR="00BE44D0">
        <w:rPr>
          <w:rFonts w:ascii="Calibri" w:hAnsi="Calibri"/>
          <w:b/>
          <w:szCs w:val="28"/>
        </w:rPr>
        <w:t xml:space="preserve">AER </w:t>
      </w:r>
      <w:r>
        <w:rPr>
          <w:rFonts w:ascii="Calibri" w:hAnsi="Calibri"/>
          <w:b/>
          <w:szCs w:val="28"/>
        </w:rPr>
        <w:t xml:space="preserve">Presentation: </w:t>
      </w:r>
      <w:r w:rsidR="00904D2A">
        <w:rPr>
          <w:rFonts w:ascii="Calibri" w:hAnsi="Calibri"/>
          <w:b/>
          <w:szCs w:val="28"/>
        </w:rPr>
        <w:t xml:space="preserve">Shared </w:t>
      </w:r>
      <w:r w:rsidR="00BE44D0">
        <w:rPr>
          <w:rFonts w:ascii="Calibri" w:hAnsi="Calibri"/>
          <w:b/>
          <w:szCs w:val="28"/>
        </w:rPr>
        <w:t>a</w:t>
      </w:r>
      <w:r w:rsidR="00904D2A">
        <w:rPr>
          <w:rFonts w:ascii="Calibri" w:hAnsi="Calibri"/>
          <w:b/>
          <w:szCs w:val="28"/>
        </w:rPr>
        <w:t xml:space="preserve">ssets </w:t>
      </w:r>
    </w:p>
    <w:p w:rsidR="008F2450" w:rsidRDefault="008F2450" w:rsidP="008F2450">
      <w:pPr>
        <w:jc w:val="both"/>
        <w:rPr>
          <w:rFonts w:ascii="Calibri" w:hAnsi="Calibri"/>
          <w:b/>
          <w:szCs w:val="28"/>
        </w:rPr>
      </w:pPr>
    </w:p>
    <w:p w:rsidR="000D7CAA" w:rsidRDefault="00D97312" w:rsidP="008F2450">
      <w:pPr>
        <w:jc w:val="both"/>
        <w:rPr>
          <w:rFonts w:ascii="Calibri" w:hAnsi="Calibri"/>
          <w:sz w:val="22"/>
          <w:szCs w:val="28"/>
        </w:rPr>
      </w:pPr>
      <w:r w:rsidRPr="00D97312">
        <w:rPr>
          <w:rFonts w:ascii="Calibri" w:hAnsi="Calibri"/>
          <w:sz w:val="22"/>
          <w:szCs w:val="28"/>
        </w:rPr>
        <w:t>Moston Neck</w:t>
      </w:r>
      <w:r w:rsidR="005C4B20">
        <w:rPr>
          <w:rFonts w:ascii="Calibri" w:hAnsi="Calibri"/>
          <w:sz w:val="22"/>
          <w:szCs w:val="28"/>
        </w:rPr>
        <w:t>, the A</w:t>
      </w:r>
      <w:r>
        <w:rPr>
          <w:rFonts w:ascii="Calibri" w:hAnsi="Calibri"/>
          <w:sz w:val="22"/>
          <w:szCs w:val="28"/>
        </w:rPr>
        <w:t>ER direct</w:t>
      </w:r>
      <w:r w:rsidR="005C4B20">
        <w:rPr>
          <w:rFonts w:ascii="Calibri" w:hAnsi="Calibri"/>
          <w:sz w:val="22"/>
          <w:szCs w:val="28"/>
        </w:rPr>
        <w:t>or in charge of this work</w:t>
      </w:r>
      <w:r w:rsidR="00BE44D0">
        <w:rPr>
          <w:rFonts w:ascii="Calibri" w:hAnsi="Calibri"/>
          <w:sz w:val="22"/>
          <w:szCs w:val="28"/>
        </w:rPr>
        <w:t xml:space="preserve"> </w:t>
      </w:r>
      <w:r w:rsidR="005C4B20">
        <w:rPr>
          <w:rFonts w:ascii="Calibri" w:hAnsi="Calibri"/>
          <w:sz w:val="22"/>
          <w:szCs w:val="28"/>
        </w:rPr>
        <w:t xml:space="preserve">stream, gave a presentation on </w:t>
      </w:r>
      <w:r w:rsidR="00BE44D0">
        <w:rPr>
          <w:rFonts w:ascii="Calibri" w:hAnsi="Calibri"/>
          <w:sz w:val="22"/>
          <w:szCs w:val="28"/>
        </w:rPr>
        <w:t>s</w:t>
      </w:r>
      <w:r w:rsidR="005C4B20">
        <w:rPr>
          <w:rFonts w:ascii="Calibri" w:hAnsi="Calibri"/>
          <w:sz w:val="22"/>
          <w:szCs w:val="28"/>
        </w:rPr>
        <w:t xml:space="preserve">hared </w:t>
      </w:r>
      <w:r w:rsidR="00BE44D0">
        <w:rPr>
          <w:rFonts w:ascii="Calibri" w:hAnsi="Calibri"/>
          <w:sz w:val="22"/>
          <w:szCs w:val="28"/>
        </w:rPr>
        <w:t>a</w:t>
      </w:r>
      <w:r w:rsidR="005C4B20">
        <w:rPr>
          <w:rFonts w:ascii="Calibri" w:hAnsi="Calibri"/>
          <w:sz w:val="22"/>
          <w:szCs w:val="28"/>
        </w:rPr>
        <w:t xml:space="preserve">ssets. </w:t>
      </w:r>
      <w:r>
        <w:rPr>
          <w:rFonts w:ascii="Calibri" w:hAnsi="Calibri"/>
          <w:sz w:val="22"/>
          <w:szCs w:val="28"/>
        </w:rPr>
        <w:t xml:space="preserve"> </w:t>
      </w:r>
    </w:p>
    <w:p w:rsidR="00D97312" w:rsidRDefault="00D97312" w:rsidP="008F2450">
      <w:pPr>
        <w:jc w:val="both"/>
        <w:rPr>
          <w:rFonts w:ascii="Calibri" w:hAnsi="Calibri"/>
          <w:sz w:val="22"/>
          <w:szCs w:val="28"/>
        </w:rPr>
      </w:pPr>
    </w:p>
    <w:p w:rsidR="00AE2E3C" w:rsidRDefault="00D97312" w:rsidP="008F2450">
      <w:pPr>
        <w:jc w:val="both"/>
        <w:rPr>
          <w:rFonts w:ascii="Calibri" w:hAnsi="Calibri"/>
          <w:sz w:val="22"/>
          <w:szCs w:val="28"/>
        </w:rPr>
      </w:pPr>
      <w:r>
        <w:rPr>
          <w:rFonts w:ascii="Calibri" w:hAnsi="Calibri"/>
          <w:sz w:val="22"/>
          <w:szCs w:val="28"/>
        </w:rPr>
        <w:t>Shared assets are</w:t>
      </w:r>
      <w:r w:rsidR="00D528AA">
        <w:rPr>
          <w:rFonts w:ascii="Calibri" w:hAnsi="Calibri"/>
          <w:sz w:val="22"/>
          <w:szCs w:val="28"/>
        </w:rPr>
        <w:t xml:space="preserve"> the</w:t>
      </w:r>
      <w:r>
        <w:rPr>
          <w:rFonts w:ascii="Calibri" w:hAnsi="Calibri"/>
          <w:sz w:val="22"/>
          <w:szCs w:val="28"/>
        </w:rPr>
        <w:t xml:space="preserve"> assets paid for by electricity customers but also used for other </w:t>
      </w:r>
      <w:r w:rsidR="005C4B20">
        <w:rPr>
          <w:rFonts w:ascii="Calibri" w:hAnsi="Calibri"/>
          <w:sz w:val="22"/>
          <w:szCs w:val="28"/>
        </w:rPr>
        <w:t>purposes</w:t>
      </w:r>
      <w:r>
        <w:rPr>
          <w:rFonts w:ascii="Calibri" w:hAnsi="Calibri"/>
          <w:sz w:val="22"/>
          <w:szCs w:val="28"/>
        </w:rPr>
        <w:t xml:space="preserve"> such as </w:t>
      </w:r>
      <w:r w:rsidR="005C4B20">
        <w:rPr>
          <w:rFonts w:ascii="Calibri" w:hAnsi="Calibri"/>
          <w:sz w:val="22"/>
          <w:szCs w:val="28"/>
        </w:rPr>
        <w:t xml:space="preserve">holding up </w:t>
      </w:r>
      <w:r>
        <w:rPr>
          <w:rFonts w:ascii="Calibri" w:hAnsi="Calibri"/>
          <w:sz w:val="22"/>
          <w:szCs w:val="28"/>
        </w:rPr>
        <w:t xml:space="preserve">public lights </w:t>
      </w:r>
      <w:r w:rsidR="005C4B20">
        <w:rPr>
          <w:rFonts w:ascii="Calibri" w:hAnsi="Calibri"/>
          <w:sz w:val="22"/>
          <w:szCs w:val="28"/>
        </w:rPr>
        <w:t xml:space="preserve">or stringing </w:t>
      </w:r>
      <w:r>
        <w:rPr>
          <w:rFonts w:ascii="Calibri" w:hAnsi="Calibri"/>
          <w:sz w:val="22"/>
          <w:szCs w:val="28"/>
        </w:rPr>
        <w:t>optic fibre</w:t>
      </w:r>
      <w:r w:rsidR="005C4B20">
        <w:rPr>
          <w:rFonts w:ascii="Calibri" w:hAnsi="Calibri"/>
          <w:sz w:val="22"/>
          <w:szCs w:val="28"/>
        </w:rPr>
        <w:t xml:space="preserve"> cables</w:t>
      </w:r>
      <w:r>
        <w:rPr>
          <w:rFonts w:ascii="Calibri" w:hAnsi="Calibri"/>
          <w:sz w:val="22"/>
          <w:szCs w:val="28"/>
        </w:rPr>
        <w:t>.</w:t>
      </w:r>
      <w:r w:rsidR="005C4B20">
        <w:rPr>
          <w:rFonts w:ascii="Calibri" w:hAnsi="Calibri"/>
          <w:sz w:val="22"/>
          <w:szCs w:val="28"/>
        </w:rPr>
        <w:t xml:space="preserve"> This guideline will cover how c</w:t>
      </w:r>
      <w:r w:rsidR="009E1068">
        <w:rPr>
          <w:rFonts w:ascii="Calibri" w:hAnsi="Calibri"/>
          <w:sz w:val="22"/>
          <w:szCs w:val="28"/>
        </w:rPr>
        <w:t>ons</w:t>
      </w:r>
      <w:r w:rsidR="005C4B20">
        <w:rPr>
          <w:rFonts w:ascii="Calibri" w:hAnsi="Calibri"/>
          <w:sz w:val="22"/>
          <w:szCs w:val="28"/>
        </w:rPr>
        <w:t>umers can share the benefit i</w:t>
      </w:r>
      <w:r w:rsidR="00AE2E3C">
        <w:rPr>
          <w:rFonts w:ascii="Calibri" w:hAnsi="Calibri"/>
          <w:sz w:val="22"/>
          <w:szCs w:val="28"/>
        </w:rPr>
        <w:t xml:space="preserve">f the </w:t>
      </w:r>
      <w:r w:rsidR="005C4B20">
        <w:rPr>
          <w:rFonts w:ascii="Calibri" w:hAnsi="Calibri"/>
          <w:sz w:val="22"/>
          <w:szCs w:val="28"/>
        </w:rPr>
        <w:t>use of a shared</w:t>
      </w:r>
      <w:r w:rsidR="00AE2E3C">
        <w:rPr>
          <w:rFonts w:ascii="Calibri" w:hAnsi="Calibri"/>
          <w:sz w:val="22"/>
          <w:szCs w:val="28"/>
        </w:rPr>
        <w:t xml:space="preserve"> asset generates revenue</w:t>
      </w:r>
      <w:r w:rsidR="005C4B20">
        <w:rPr>
          <w:rFonts w:ascii="Calibri" w:hAnsi="Calibri"/>
          <w:sz w:val="22"/>
          <w:szCs w:val="28"/>
        </w:rPr>
        <w:t xml:space="preserve"> for a network business.</w:t>
      </w:r>
    </w:p>
    <w:p w:rsidR="00AE2E3C" w:rsidRDefault="00AE2E3C" w:rsidP="008F2450">
      <w:pPr>
        <w:jc w:val="both"/>
        <w:rPr>
          <w:rFonts w:ascii="Calibri" w:hAnsi="Calibri"/>
          <w:sz w:val="22"/>
          <w:szCs w:val="28"/>
        </w:rPr>
      </w:pPr>
    </w:p>
    <w:p w:rsidR="00AE2E3C" w:rsidRDefault="005C4B20" w:rsidP="008F2450">
      <w:pPr>
        <w:jc w:val="both"/>
        <w:rPr>
          <w:rFonts w:ascii="Calibri" w:hAnsi="Calibri"/>
          <w:sz w:val="22"/>
          <w:szCs w:val="28"/>
        </w:rPr>
      </w:pPr>
      <w:r>
        <w:rPr>
          <w:rFonts w:ascii="Calibri" w:hAnsi="Calibri"/>
          <w:sz w:val="22"/>
          <w:szCs w:val="28"/>
        </w:rPr>
        <w:t>The rules impose some c</w:t>
      </w:r>
      <w:r w:rsidR="00AE2E3C">
        <w:rPr>
          <w:rFonts w:ascii="Calibri" w:hAnsi="Calibri"/>
          <w:sz w:val="22"/>
          <w:szCs w:val="28"/>
        </w:rPr>
        <w:t>onstraints on the guideline</w:t>
      </w:r>
      <w:r>
        <w:rPr>
          <w:rFonts w:ascii="Calibri" w:hAnsi="Calibri"/>
          <w:sz w:val="22"/>
          <w:szCs w:val="28"/>
        </w:rPr>
        <w:t>. For example, the benefit to customers cannot be more than the</w:t>
      </w:r>
      <w:r w:rsidR="00C67E72">
        <w:rPr>
          <w:rFonts w:ascii="Calibri" w:hAnsi="Calibri"/>
          <w:sz w:val="22"/>
          <w:szCs w:val="28"/>
        </w:rPr>
        <w:t xml:space="preserve"> initial cost to customers.</w:t>
      </w:r>
      <w:r w:rsidR="00C67E72" w:rsidRPr="00C67E72">
        <w:rPr>
          <w:rFonts w:ascii="Calibri" w:hAnsi="Calibri"/>
          <w:sz w:val="22"/>
          <w:szCs w:val="28"/>
        </w:rPr>
        <w:t xml:space="preserve"> </w:t>
      </w:r>
      <w:r w:rsidR="00C67E72">
        <w:rPr>
          <w:rFonts w:ascii="Calibri" w:hAnsi="Calibri"/>
          <w:sz w:val="22"/>
          <w:szCs w:val="28"/>
        </w:rPr>
        <w:t xml:space="preserve">The shared asset guideline has no say on access agreements, just on how the revenues should be shared. It should be a </w:t>
      </w:r>
      <w:r w:rsidR="00AE2E3C">
        <w:rPr>
          <w:rFonts w:ascii="Calibri" w:hAnsi="Calibri"/>
          <w:sz w:val="22"/>
          <w:szCs w:val="28"/>
        </w:rPr>
        <w:t>simple regulation</w:t>
      </w:r>
      <w:r>
        <w:rPr>
          <w:rFonts w:ascii="Calibri" w:hAnsi="Calibri"/>
          <w:sz w:val="22"/>
          <w:szCs w:val="28"/>
        </w:rPr>
        <w:t xml:space="preserve"> scheme; an onerous regulatory burden is not appropriate given the low value amounts being discussed. </w:t>
      </w:r>
    </w:p>
    <w:p w:rsidR="005C4B20" w:rsidRDefault="005C4B20" w:rsidP="008F2450">
      <w:pPr>
        <w:jc w:val="both"/>
        <w:rPr>
          <w:rFonts w:ascii="Calibri" w:hAnsi="Calibri"/>
          <w:sz w:val="22"/>
          <w:szCs w:val="28"/>
        </w:rPr>
      </w:pPr>
    </w:p>
    <w:p w:rsidR="00AE2E3C" w:rsidRDefault="005C4B20" w:rsidP="008F2450">
      <w:pPr>
        <w:jc w:val="both"/>
        <w:rPr>
          <w:rFonts w:ascii="Calibri" w:hAnsi="Calibri"/>
          <w:sz w:val="22"/>
          <w:szCs w:val="28"/>
        </w:rPr>
      </w:pPr>
      <w:r>
        <w:rPr>
          <w:rFonts w:ascii="Calibri" w:hAnsi="Calibri"/>
          <w:sz w:val="22"/>
          <w:szCs w:val="28"/>
        </w:rPr>
        <w:t xml:space="preserve">The guideline would only </w:t>
      </w:r>
      <w:r w:rsidR="00215848">
        <w:rPr>
          <w:rFonts w:ascii="Calibri" w:hAnsi="Calibri"/>
          <w:sz w:val="22"/>
          <w:szCs w:val="28"/>
        </w:rPr>
        <w:t>be applied</w:t>
      </w:r>
      <w:r>
        <w:rPr>
          <w:rFonts w:ascii="Calibri" w:hAnsi="Calibri"/>
          <w:sz w:val="22"/>
          <w:szCs w:val="28"/>
        </w:rPr>
        <w:t xml:space="preserve"> if the revenue generated is ‘material’ which is </w:t>
      </w:r>
      <w:r w:rsidR="009E1068">
        <w:rPr>
          <w:rFonts w:ascii="Calibri" w:hAnsi="Calibri"/>
          <w:sz w:val="22"/>
          <w:szCs w:val="28"/>
        </w:rPr>
        <w:t>generally considered to be around</w:t>
      </w:r>
      <w:r>
        <w:rPr>
          <w:rFonts w:ascii="Calibri" w:hAnsi="Calibri"/>
          <w:sz w:val="22"/>
          <w:szCs w:val="28"/>
        </w:rPr>
        <w:t xml:space="preserve"> </w:t>
      </w:r>
      <w:r w:rsidR="00215848">
        <w:rPr>
          <w:rFonts w:ascii="Calibri" w:hAnsi="Calibri"/>
          <w:sz w:val="22"/>
          <w:szCs w:val="28"/>
        </w:rPr>
        <w:t>one</w:t>
      </w:r>
      <w:r w:rsidR="009E1068">
        <w:rPr>
          <w:rFonts w:ascii="Calibri" w:hAnsi="Calibri"/>
          <w:sz w:val="22"/>
          <w:szCs w:val="28"/>
        </w:rPr>
        <w:t xml:space="preserve"> per cent</w:t>
      </w:r>
      <w:r w:rsidR="00AE2E3C">
        <w:rPr>
          <w:rFonts w:ascii="Calibri" w:hAnsi="Calibri"/>
          <w:sz w:val="22"/>
          <w:szCs w:val="28"/>
        </w:rPr>
        <w:t xml:space="preserve"> of</w:t>
      </w:r>
      <w:r w:rsidR="009E1068">
        <w:rPr>
          <w:rFonts w:ascii="Calibri" w:hAnsi="Calibri"/>
          <w:sz w:val="22"/>
          <w:szCs w:val="28"/>
        </w:rPr>
        <w:t xml:space="preserve"> an</w:t>
      </w:r>
      <w:r w:rsidR="00AE2E3C">
        <w:rPr>
          <w:rFonts w:ascii="Calibri" w:hAnsi="Calibri"/>
          <w:sz w:val="22"/>
          <w:szCs w:val="28"/>
        </w:rPr>
        <w:t xml:space="preserve"> NSP</w:t>
      </w:r>
      <w:r w:rsidR="009E1068">
        <w:rPr>
          <w:rFonts w:ascii="Calibri" w:hAnsi="Calibri"/>
          <w:sz w:val="22"/>
          <w:szCs w:val="28"/>
        </w:rPr>
        <w:t>’s</w:t>
      </w:r>
      <w:r w:rsidR="00AE2E3C">
        <w:rPr>
          <w:rFonts w:ascii="Calibri" w:hAnsi="Calibri"/>
          <w:sz w:val="22"/>
          <w:szCs w:val="28"/>
        </w:rPr>
        <w:t xml:space="preserve"> revenue allowance</w:t>
      </w:r>
      <w:r w:rsidR="009E1068">
        <w:rPr>
          <w:rFonts w:ascii="Calibri" w:hAnsi="Calibri"/>
          <w:sz w:val="22"/>
          <w:szCs w:val="28"/>
        </w:rPr>
        <w:t xml:space="preserve"> (although this is not specified)</w:t>
      </w:r>
      <w:r w:rsidR="00AE2E3C">
        <w:rPr>
          <w:rFonts w:ascii="Calibri" w:hAnsi="Calibri"/>
          <w:sz w:val="22"/>
          <w:szCs w:val="28"/>
        </w:rPr>
        <w:t xml:space="preserve">. Currently shared assets generate </w:t>
      </w:r>
      <w:r>
        <w:rPr>
          <w:rFonts w:ascii="Calibri" w:hAnsi="Calibri"/>
          <w:sz w:val="22"/>
          <w:szCs w:val="28"/>
        </w:rPr>
        <w:t xml:space="preserve">an average of </w:t>
      </w:r>
      <w:r w:rsidR="00AE2E3C">
        <w:rPr>
          <w:rFonts w:ascii="Calibri" w:hAnsi="Calibri"/>
          <w:sz w:val="22"/>
          <w:szCs w:val="28"/>
        </w:rPr>
        <w:t>0.5</w:t>
      </w:r>
      <w:r w:rsidR="00215848">
        <w:rPr>
          <w:rFonts w:ascii="Calibri" w:hAnsi="Calibri"/>
          <w:sz w:val="22"/>
          <w:szCs w:val="28"/>
        </w:rPr>
        <w:t xml:space="preserve"> per cent</w:t>
      </w:r>
      <w:r>
        <w:rPr>
          <w:rFonts w:ascii="Calibri" w:hAnsi="Calibri"/>
          <w:sz w:val="22"/>
          <w:szCs w:val="28"/>
        </w:rPr>
        <w:t xml:space="preserve"> of </w:t>
      </w:r>
      <w:r w:rsidR="009E1068">
        <w:rPr>
          <w:rFonts w:ascii="Calibri" w:hAnsi="Calibri"/>
          <w:sz w:val="22"/>
          <w:szCs w:val="28"/>
        </w:rPr>
        <w:t xml:space="preserve">an </w:t>
      </w:r>
      <w:r>
        <w:rPr>
          <w:rFonts w:ascii="Calibri" w:hAnsi="Calibri"/>
          <w:sz w:val="22"/>
          <w:szCs w:val="28"/>
        </w:rPr>
        <w:t>NSP</w:t>
      </w:r>
      <w:r w:rsidR="009E1068">
        <w:rPr>
          <w:rFonts w:ascii="Calibri" w:hAnsi="Calibri"/>
          <w:sz w:val="22"/>
          <w:szCs w:val="28"/>
        </w:rPr>
        <w:t>’s</w:t>
      </w:r>
      <w:r>
        <w:rPr>
          <w:rFonts w:ascii="Calibri" w:hAnsi="Calibri"/>
          <w:sz w:val="22"/>
          <w:szCs w:val="28"/>
        </w:rPr>
        <w:t xml:space="preserve"> revenue. This may increase as the NBN rolls out. </w:t>
      </w:r>
    </w:p>
    <w:p w:rsidR="00517944" w:rsidRDefault="00517944" w:rsidP="008F2450">
      <w:pPr>
        <w:jc w:val="both"/>
        <w:rPr>
          <w:rFonts w:ascii="Calibri" w:hAnsi="Calibri"/>
          <w:sz w:val="22"/>
          <w:szCs w:val="28"/>
        </w:rPr>
      </w:pPr>
    </w:p>
    <w:p w:rsidR="00517944" w:rsidRDefault="00517944" w:rsidP="00517944">
      <w:pPr>
        <w:jc w:val="both"/>
        <w:rPr>
          <w:rFonts w:ascii="Calibri" w:hAnsi="Calibri"/>
          <w:sz w:val="22"/>
          <w:szCs w:val="28"/>
        </w:rPr>
      </w:pPr>
      <w:r>
        <w:rPr>
          <w:rFonts w:ascii="Calibri" w:hAnsi="Calibri"/>
          <w:sz w:val="22"/>
          <w:szCs w:val="28"/>
        </w:rPr>
        <w:t>Moston clarified that calculations will be applied to an asset class, not an individual asset (so an asset will never be fully depreciated). It will be capped at the absolute value in the regulatory control period (not based on</w:t>
      </w:r>
      <w:r w:rsidR="00D528AA">
        <w:rPr>
          <w:rFonts w:ascii="Calibri" w:hAnsi="Calibri"/>
          <w:sz w:val="22"/>
          <w:szCs w:val="28"/>
        </w:rPr>
        <w:t xml:space="preserve"> the</w:t>
      </w:r>
      <w:r>
        <w:rPr>
          <w:rFonts w:ascii="Calibri" w:hAnsi="Calibri"/>
          <w:sz w:val="22"/>
          <w:szCs w:val="28"/>
        </w:rPr>
        <w:t xml:space="preserve"> written down value each year).</w:t>
      </w:r>
    </w:p>
    <w:p w:rsidR="00C67E72" w:rsidRDefault="00C67E72" w:rsidP="008F2450">
      <w:pPr>
        <w:jc w:val="both"/>
        <w:rPr>
          <w:rFonts w:ascii="Calibri" w:hAnsi="Calibri"/>
          <w:sz w:val="22"/>
          <w:szCs w:val="28"/>
        </w:rPr>
      </w:pPr>
    </w:p>
    <w:p w:rsidR="00C67E72" w:rsidRDefault="00517944" w:rsidP="008F2450">
      <w:pPr>
        <w:jc w:val="both"/>
        <w:rPr>
          <w:rFonts w:ascii="Calibri" w:hAnsi="Calibri"/>
          <w:sz w:val="22"/>
          <w:szCs w:val="28"/>
        </w:rPr>
      </w:pPr>
      <w:r>
        <w:rPr>
          <w:rFonts w:ascii="Calibri" w:hAnsi="Calibri"/>
          <w:sz w:val="22"/>
          <w:szCs w:val="28"/>
        </w:rPr>
        <w:t xml:space="preserve">CRG members raised the </w:t>
      </w:r>
      <w:r w:rsidR="00C67E72">
        <w:rPr>
          <w:rFonts w:ascii="Calibri" w:hAnsi="Calibri"/>
          <w:sz w:val="22"/>
          <w:szCs w:val="28"/>
        </w:rPr>
        <w:t xml:space="preserve">following </w:t>
      </w:r>
      <w:r>
        <w:rPr>
          <w:rFonts w:ascii="Calibri" w:hAnsi="Calibri"/>
          <w:sz w:val="22"/>
          <w:szCs w:val="28"/>
        </w:rPr>
        <w:t>concerns:</w:t>
      </w:r>
    </w:p>
    <w:p w:rsidR="00AE2E3C" w:rsidRDefault="00C67E72" w:rsidP="008F2450">
      <w:pPr>
        <w:numPr>
          <w:ilvl w:val="0"/>
          <w:numId w:val="21"/>
        </w:numPr>
        <w:jc w:val="both"/>
        <w:rPr>
          <w:rFonts w:ascii="Calibri" w:hAnsi="Calibri"/>
          <w:sz w:val="22"/>
          <w:szCs w:val="28"/>
        </w:rPr>
      </w:pPr>
      <w:r w:rsidRPr="00C67E72">
        <w:rPr>
          <w:rFonts w:ascii="Calibri" w:hAnsi="Calibri"/>
          <w:sz w:val="22"/>
          <w:szCs w:val="28"/>
        </w:rPr>
        <w:t xml:space="preserve">Uncertainty </w:t>
      </w:r>
      <w:r w:rsidR="00215848">
        <w:rPr>
          <w:rFonts w:ascii="Calibri" w:hAnsi="Calibri"/>
          <w:sz w:val="22"/>
          <w:szCs w:val="28"/>
        </w:rPr>
        <w:t xml:space="preserve">exists around </w:t>
      </w:r>
      <w:r w:rsidRPr="00C67E72">
        <w:rPr>
          <w:rFonts w:ascii="Calibri" w:hAnsi="Calibri"/>
          <w:sz w:val="22"/>
          <w:szCs w:val="28"/>
        </w:rPr>
        <w:t xml:space="preserve">whether calculations </w:t>
      </w:r>
      <w:r w:rsidR="00215848">
        <w:rPr>
          <w:rFonts w:ascii="Calibri" w:hAnsi="Calibri"/>
          <w:sz w:val="22"/>
          <w:szCs w:val="28"/>
        </w:rPr>
        <w:t xml:space="preserve">are </w:t>
      </w:r>
      <w:r w:rsidRPr="00C67E72">
        <w:rPr>
          <w:rFonts w:ascii="Calibri" w:hAnsi="Calibri"/>
          <w:sz w:val="22"/>
          <w:szCs w:val="28"/>
        </w:rPr>
        <w:t xml:space="preserve">made when the revenue is paid or when </w:t>
      </w:r>
      <w:r w:rsidR="00215848">
        <w:rPr>
          <w:rFonts w:ascii="Calibri" w:hAnsi="Calibri"/>
          <w:sz w:val="22"/>
          <w:szCs w:val="28"/>
        </w:rPr>
        <w:t xml:space="preserve">the asset is </w:t>
      </w:r>
      <w:r w:rsidRPr="00C67E72">
        <w:rPr>
          <w:rFonts w:ascii="Calibri" w:hAnsi="Calibri"/>
          <w:sz w:val="22"/>
          <w:szCs w:val="28"/>
        </w:rPr>
        <w:t xml:space="preserve">commissioned? </w:t>
      </w:r>
      <w:r w:rsidR="009E1068">
        <w:rPr>
          <w:rFonts w:ascii="Calibri" w:hAnsi="Calibri"/>
          <w:sz w:val="22"/>
          <w:szCs w:val="28"/>
        </w:rPr>
        <w:t>A</w:t>
      </w:r>
      <w:r w:rsidRPr="00C67E72">
        <w:rPr>
          <w:rFonts w:ascii="Calibri" w:hAnsi="Calibri"/>
          <w:sz w:val="22"/>
          <w:szCs w:val="28"/>
        </w:rPr>
        <w:t xml:space="preserve"> large payment for a shared asset use paid out in one go might be greater than the original </w:t>
      </w:r>
      <w:proofErr w:type="spellStart"/>
      <w:r w:rsidRPr="00C67E72">
        <w:rPr>
          <w:rFonts w:ascii="Calibri" w:hAnsi="Calibri"/>
          <w:sz w:val="22"/>
          <w:szCs w:val="28"/>
        </w:rPr>
        <w:t>capex</w:t>
      </w:r>
      <w:proofErr w:type="spellEnd"/>
      <w:r w:rsidRPr="00C67E72">
        <w:rPr>
          <w:rFonts w:ascii="Calibri" w:hAnsi="Calibri"/>
          <w:sz w:val="22"/>
          <w:szCs w:val="28"/>
        </w:rPr>
        <w:t xml:space="preserve"> value (and therefore </w:t>
      </w:r>
      <w:r w:rsidR="009E1068">
        <w:rPr>
          <w:rFonts w:ascii="Calibri" w:hAnsi="Calibri"/>
          <w:sz w:val="22"/>
          <w:szCs w:val="28"/>
        </w:rPr>
        <w:t>will not</w:t>
      </w:r>
      <w:r w:rsidR="009E1068" w:rsidRPr="00C67E72">
        <w:rPr>
          <w:rFonts w:ascii="Calibri" w:hAnsi="Calibri"/>
          <w:sz w:val="22"/>
          <w:szCs w:val="28"/>
        </w:rPr>
        <w:t xml:space="preserve"> </w:t>
      </w:r>
      <w:r w:rsidRPr="00C67E72">
        <w:rPr>
          <w:rFonts w:ascii="Calibri" w:hAnsi="Calibri"/>
          <w:sz w:val="22"/>
          <w:szCs w:val="28"/>
        </w:rPr>
        <w:t xml:space="preserve">be shared with customers). The AER will consider </w:t>
      </w:r>
      <w:r w:rsidR="00A767AC" w:rsidRPr="00C67E72">
        <w:rPr>
          <w:rFonts w:ascii="Calibri" w:hAnsi="Calibri"/>
          <w:sz w:val="22"/>
          <w:szCs w:val="28"/>
        </w:rPr>
        <w:t>alternat</w:t>
      </w:r>
      <w:r w:rsidR="009E1068">
        <w:rPr>
          <w:rFonts w:ascii="Calibri" w:hAnsi="Calibri"/>
          <w:sz w:val="22"/>
          <w:szCs w:val="28"/>
        </w:rPr>
        <w:t>ive</w:t>
      </w:r>
      <w:r w:rsidR="00A767AC" w:rsidRPr="00C67E72">
        <w:rPr>
          <w:rFonts w:ascii="Calibri" w:hAnsi="Calibri"/>
          <w:sz w:val="22"/>
          <w:szCs w:val="28"/>
        </w:rPr>
        <w:t xml:space="preserve"> </w:t>
      </w:r>
      <w:r w:rsidR="009E1068">
        <w:rPr>
          <w:rFonts w:ascii="Calibri" w:hAnsi="Calibri"/>
          <w:sz w:val="22"/>
          <w:szCs w:val="28"/>
        </w:rPr>
        <w:t>approaches for</w:t>
      </w:r>
      <w:r w:rsidR="00A767AC" w:rsidRPr="00C67E72">
        <w:rPr>
          <w:rFonts w:ascii="Calibri" w:hAnsi="Calibri"/>
          <w:sz w:val="22"/>
          <w:szCs w:val="28"/>
        </w:rPr>
        <w:t xml:space="preserve"> dealing with lump</w:t>
      </w:r>
      <w:r>
        <w:rPr>
          <w:rFonts w:ascii="Calibri" w:hAnsi="Calibri"/>
          <w:sz w:val="22"/>
          <w:szCs w:val="28"/>
        </w:rPr>
        <w:t xml:space="preserve"> sum</w:t>
      </w:r>
      <w:r w:rsidR="00A767AC" w:rsidRPr="00C67E72">
        <w:rPr>
          <w:rFonts w:ascii="Calibri" w:hAnsi="Calibri"/>
          <w:sz w:val="22"/>
          <w:szCs w:val="28"/>
        </w:rPr>
        <w:t xml:space="preserve"> payment</w:t>
      </w:r>
      <w:r>
        <w:rPr>
          <w:rFonts w:ascii="Calibri" w:hAnsi="Calibri"/>
          <w:sz w:val="22"/>
          <w:szCs w:val="28"/>
        </w:rPr>
        <w:t>s</w:t>
      </w:r>
    </w:p>
    <w:p w:rsidR="00C67E72" w:rsidRDefault="009E1068" w:rsidP="008F2450">
      <w:pPr>
        <w:numPr>
          <w:ilvl w:val="0"/>
          <w:numId w:val="21"/>
        </w:numPr>
        <w:jc w:val="both"/>
        <w:rPr>
          <w:rFonts w:ascii="Calibri" w:hAnsi="Calibri"/>
          <w:sz w:val="22"/>
          <w:szCs w:val="28"/>
        </w:rPr>
      </w:pPr>
      <w:r>
        <w:rPr>
          <w:rFonts w:ascii="Calibri" w:hAnsi="Calibri"/>
          <w:sz w:val="22"/>
          <w:szCs w:val="28"/>
        </w:rPr>
        <w:t>D</w:t>
      </w:r>
      <w:r w:rsidR="00C67E72">
        <w:rPr>
          <w:rFonts w:ascii="Calibri" w:hAnsi="Calibri"/>
          <w:sz w:val="22"/>
          <w:szCs w:val="28"/>
        </w:rPr>
        <w:t xml:space="preserve">emand for non-regulated use could </w:t>
      </w:r>
      <w:r w:rsidR="00B459C4">
        <w:rPr>
          <w:rFonts w:ascii="Calibri" w:hAnsi="Calibri"/>
          <w:sz w:val="22"/>
          <w:szCs w:val="28"/>
        </w:rPr>
        <w:t>provide</w:t>
      </w:r>
      <w:r w:rsidR="00C67E72">
        <w:rPr>
          <w:rFonts w:ascii="Calibri" w:hAnsi="Calibri"/>
          <w:sz w:val="22"/>
          <w:szCs w:val="28"/>
        </w:rPr>
        <w:t xml:space="preserve"> a</w:t>
      </w:r>
      <w:r>
        <w:rPr>
          <w:rFonts w:ascii="Calibri" w:hAnsi="Calibri"/>
          <w:sz w:val="22"/>
          <w:szCs w:val="28"/>
        </w:rPr>
        <w:t>n incentive to put</w:t>
      </w:r>
      <w:r w:rsidR="00C67E72">
        <w:rPr>
          <w:rFonts w:ascii="Calibri" w:hAnsi="Calibri"/>
          <w:sz w:val="22"/>
          <w:szCs w:val="28"/>
        </w:rPr>
        <w:t xml:space="preserve"> up extra poles and wires (paid for by electricity customers)</w:t>
      </w:r>
      <w:r w:rsidR="00517944">
        <w:rPr>
          <w:rFonts w:ascii="Calibri" w:hAnsi="Calibri"/>
          <w:sz w:val="22"/>
          <w:szCs w:val="28"/>
        </w:rPr>
        <w:t xml:space="preserve">. </w:t>
      </w:r>
      <w:r w:rsidR="00B459C4">
        <w:rPr>
          <w:rFonts w:ascii="Calibri" w:hAnsi="Calibri"/>
          <w:sz w:val="22"/>
          <w:szCs w:val="28"/>
        </w:rPr>
        <w:t>AER staff</w:t>
      </w:r>
      <w:r w:rsidR="00517944">
        <w:rPr>
          <w:rFonts w:ascii="Calibri" w:hAnsi="Calibri"/>
          <w:sz w:val="22"/>
          <w:szCs w:val="28"/>
        </w:rPr>
        <w:t xml:space="preserve"> noted the AER already has a Cost Allocation Method to make sure NSPs only receive allowance to cover costs of delivering regulated distribution/transmission services. </w:t>
      </w:r>
    </w:p>
    <w:p w:rsidR="00A767AC" w:rsidRPr="00517944" w:rsidRDefault="00B459C4" w:rsidP="008F2450">
      <w:pPr>
        <w:numPr>
          <w:ilvl w:val="0"/>
          <w:numId w:val="21"/>
        </w:numPr>
        <w:jc w:val="both"/>
        <w:rPr>
          <w:rFonts w:ascii="Calibri" w:hAnsi="Calibri"/>
          <w:sz w:val="22"/>
          <w:szCs w:val="28"/>
        </w:rPr>
      </w:pPr>
      <w:r>
        <w:rPr>
          <w:rFonts w:ascii="Calibri" w:hAnsi="Calibri"/>
          <w:sz w:val="22"/>
          <w:szCs w:val="28"/>
        </w:rPr>
        <w:t>C</w:t>
      </w:r>
      <w:r w:rsidR="00517944" w:rsidRPr="00517944">
        <w:rPr>
          <w:rFonts w:ascii="Calibri" w:hAnsi="Calibri"/>
          <w:sz w:val="22"/>
          <w:szCs w:val="28"/>
        </w:rPr>
        <w:t xml:space="preserve">ommercial </w:t>
      </w:r>
      <w:r w:rsidR="00A767AC" w:rsidRPr="00517944">
        <w:rPr>
          <w:rFonts w:ascii="Calibri" w:hAnsi="Calibri"/>
          <w:sz w:val="22"/>
          <w:szCs w:val="28"/>
        </w:rPr>
        <w:t>confidence</w:t>
      </w:r>
      <w:r>
        <w:rPr>
          <w:rFonts w:ascii="Calibri" w:hAnsi="Calibri"/>
          <w:sz w:val="22"/>
          <w:szCs w:val="28"/>
        </w:rPr>
        <w:t xml:space="preserve"> may</w:t>
      </w:r>
      <w:r w:rsidR="00A767AC" w:rsidRPr="00517944">
        <w:rPr>
          <w:rFonts w:ascii="Calibri" w:hAnsi="Calibri"/>
          <w:sz w:val="22"/>
          <w:szCs w:val="28"/>
        </w:rPr>
        <w:t xml:space="preserve"> inhibit </w:t>
      </w:r>
      <w:r w:rsidR="00215848">
        <w:rPr>
          <w:rFonts w:ascii="Calibri" w:hAnsi="Calibri"/>
          <w:sz w:val="22"/>
          <w:szCs w:val="28"/>
        </w:rPr>
        <w:t xml:space="preserve">the </w:t>
      </w:r>
      <w:r w:rsidR="00A767AC" w:rsidRPr="00517944">
        <w:rPr>
          <w:rFonts w:ascii="Calibri" w:hAnsi="Calibri"/>
          <w:sz w:val="22"/>
          <w:szCs w:val="28"/>
        </w:rPr>
        <w:t xml:space="preserve">AER getting </w:t>
      </w:r>
      <w:r w:rsidR="00517944">
        <w:rPr>
          <w:rFonts w:ascii="Calibri" w:hAnsi="Calibri"/>
          <w:sz w:val="22"/>
          <w:szCs w:val="28"/>
        </w:rPr>
        <w:t>the necessary information</w:t>
      </w:r>
      <w:r>
        <w:rPr>
          <w:rFonts w:ascii="Calibri" w:hAnsi="Calibri"/>
          <w:sz w:val="22"/>
          <w:szCs w:val="28"/>
        </w:rPr>
        <w:t>.</w:t>
      </w:r>
      <w:r w:rsidR="00517944">
        <w:rPr>
          <w:rFonts w:ascii="Calibri" w:hAnsi="Calibri"/>
          <w:sz w:val="22"/>
          <w:szCs w:val="28"/>
        </w:rPr>
        <w:t xml:space="preserve"> </w:t>
      </w:r>
      <w:r>
        <w:rPr>
          <w:rFonts w:ascii="Calibri" w:hAnsi="Calibri"/>
          <w:sz w:val="22"/>
          <w:szCs w:val="28"/>
        </w:rPr>
        <w:t>AER staff</w:t>
      </w:r>
      <w:r w:rsidR="00517944">
        <w:rPr>
          <w:rFonts w:ascii="Calibri" w:hAnsi="Calibri"/>
          <w:sz w:val="22"/>
          <w:szCs w:val="28"/>
        </w:rPr>
        <w:t xml:space="preserve"> noted that the AER has strong powers to obtain information under the NEL.</w:t>
      </w:r>
    </w:p>
    <w:p w:rsidR="00A767AC" w:rsidRDefault="00A767AC" w:rsidP="008F2450">
      <w:pPr>
        <w:jc w:val="both"/>
        <w:rPr>
          <w:rFonts w:ascii="Calibri" w:hAnsi="Calibri"/>
          <w:sz w:val="22"/>
          <w:szCs w:val="28"/>
        </w:rPr>
      </w:pPr>
    </w:p>
    <w:p w:rsidR="00157C41" w:rsidRDefault="00B459C4" w:rsidP="008F2450">
      <w:pPr>
        <w:jc w:val="both"/>
        <w:rPr>
          <w:rFonts w:ascii="Calibri" w:hAnsi="Calibri"/>
          <w:sz w:val="22"/>
          <w:szCs w:val="28"/>
        </w:rPr>
      </w:pPr>
      <w:r>
        <w:rPr>
          <w:rFonts w:ascii="Calibri" w:hAnsi="Calibri"/>
          <w:sz w:val="22"/>
          <w:szCs w:val="28"/>
        </w:rPr>
        <w:lastRenderedPageBreak/>
        <w:t>From a consumer’s perspective, a lower threshold is desirable as it would provide more opportunities to share the cost of providing services.</w:t>
      </w:r>
    </w:p>
    <w:p w:rsidR="00517944" w:rsidRDefault="00517944" w:rsidP="008F2450">
      <w:pPr>
        <w:jc w:val="both"/>
        <w:rPr>
          <w:rFonts w:ascii="Calibri" w:hAnsi="Calibri"/>
          <w:sz w:val="22"/>
          <w:szCs w:val="28"/>
        </w:rPr>
      </w:pPr>
    </w:p>
    <w:p w:rsidR="00517944" w:rsidRPr="00D97312" w:rsidRDefault="00B459C4" w:rsidP="008F2450">
      <w:pPr>
        <w:jc w:val="both"/>
        <w:rPr>
          <w:rFonts w:ascii="Calibri" w:hAnsi="Calibri"/>
          <w:sz w:val="22"/>
          <w:szCs w:val="28"/>
        </w:rPr>
      </w:pPr>
      <w:r>
        <w:rPr>
          <w:rFonts w:ascii="Calibri" w:hAnsi="Calibri"/>
          <w:sz w:val="22"/>
          <w:szCs w:val="28"/>
        </w:rPr>
        <w:t xml:space="preserve">Most members agreed that, at present, </w:t>
      </w:r>
      <w:r w:rsidR="00517944">
        <w:rPr>
          <w:rFonts w:ascii="Calibri" w:hAnsi="Calibri"/>
          <w:sz w:val="22"/>
          <w:szCs w:val="28"/>
        </w:rPr>
        <w:t>this area does not have</w:t>
      </w:r>
      <w:r w:rsidR="00D528AA">
        <w:rPr>
          <w:rFonts w:ascii="Calibri" w:hAnsi="Calibri"/>
          <w:sz w:val="22"/>
          <w:szCs w:val="28"/>
        </w:rPr>
        <w:t xml:space="preserve"> a</w:t>
      </w:r>
      <w:r w:rsidR="00517944">
        <w:rPr>
          <w:rFonts w:ascii="Calibri" w:hAnsi="Calibri"/>
          <w:sz w:val="22"/>
          <w:szCs w:val="28"/>
        </w:rPr>
        <w:t xml:space="preserve"> large impact on consumers</w:t>
      </w:r>
      <w:r>
        <w:rPr>
          <w:rFonts w:ascii="Calibri" w:hAnsi="Calibri"/>
          <w:sz w:val="22"/>
          <w:szCs w:val="28"/>
        </w:rPr>
        <w:t xml:space="preserve">. Accordingly, some consumer groups may consider it better to focus their resources </w:t>
      </w:r>
      <w:r w:rsidR="00517944">
        <w:rPr>
          <w:rFonts w:ascii="Calibri" w:hAnsi="Calibri"/>
          <w:sz w:val="22"/>
          <w:szCs w:val="28"/>
        </w:rPr>
        <w:t>on other work streams.</w:t>
      </w:r>
    </w:p>
    <w:p w:rsidR="000D7CAA" w:rsidRDefault="000D7CAA" w:rsidP="008F2450">
      <w:pPr>
        <w:jc w:val="both"/>
        <w:rPr>
          <w:rFonts w:ascii="Calibri" w:hAnsi="Calibri"/>
          <w:szCs w:val="28"/>
        </w:rPr>
      </w:pPr>
    </w:p>
    <w:p w:rsidR="000D7CAA" w:rsidRDefault="000D7CAA" w:rsidP="000D7CAA">
      <w:pPr>
        <w:jc w:val="both"/>
        <w:rPr>
          <w:rFonts w:ascii="Calibri" w:hAnsi="Calibri"/>
          <w:b/>
          <w:szCs w:val="28"/>
        </w:rPr>
      </w:pPr>
      <w:r>
        <w:rPr>
          <w:rFonts w:ascii="Calibri" w:hAnsi="Calibri"/>
          <w:b/>
          <w:szCs w:val="28"/>
        </w:rPr>
        <w:t>4</w:t>
      </w:r>
      <w:r w:rsidRPr="009335E5">
        <w:rPr>
          <w:rFonts w:ascii="Calibri" w:hAnsi="Calibri"/>
          <w:b/>
          <w:szCs w:val="28"/>
        </w:rPr>
        <w:tab/>
      </w:r>
      <w:r>
        <w:rPr>
          <w:rFonts w:ascii="Calibri" w:hAnsi="Calibri"/>
          <w:b/>
          <w:szCs w:val="28"/>
        </w:rPr>
        <w:t xml:space="preserve">Subgroup report: </w:t>
      </w:r>
      <w:r w:rsidR="00904D2A">
        <w:rPr>
          <w:rFonts w:ascii="Calibri" w:hAnsi="Calibri"/>
          <w:b/>
          <w:szCs w:val="28"/>
        </w:rPr>
        <w:t>Expenditure Incentives</w:t>
      </w:r>
      <w:r>
        <w:rPr>
          <w:rFonts w:ascii="Calibri" w:hAnsi="Calibri"/>
          <w:b/>
          <w:szCs w:val="28"/>
        </w:rPr>
        <w:t xml:space="preserve"> </w:t>
      </w:r>
    </w:p>
    <w:p w:rsidR="000D7CAA" w:rsidRDefault="000D7CAA" w:rsidP="000D7CAA">
      <w:pPr>
        <w:jc w:val="both"/>
        <w:rPr>
          <w:rFonts w:ascii="Calibri" w:hAnsi="Calibri"/>
          <w:b/>
          <w:szCs w:val="28"/>
        </w:rPr>
      </w:pPr>
    </w:p>
    <w:p w:rsidR="00EC6E07" w:rsidRDefault="00BA1207">
      <w:pPr>
        <w:jc w:val="both"/>
        <w:rPr>
          <w:rFonts w:ascii="Calibri" w:hAnsi="Calibri"/>
          <w:sz w:val="22"/>
          <w:szCs w:val="28"/>
        </w:rPr>
      </w:pPr>
      <w:r>
        <w:rPr>
          <w:rFonts w:ascii="Calibri" w:hAnsi="Calibri"/>
          <w:sz w:val="22"/>
          <w:szCs w:val="28"/>
        </w:rPr>
        <w:t>AER director</w:t>
      </w:r>
      <w:r w:rsidR="00B459C4">
        <w:rPr>
          <w:rFonts w:ascii="Calibri" w:hAnsi="Calibri"/>
          <w:sz w:val="22"/>
          <w:szCs w:val="28"/>
        </w:rPr>
        <w:t>,</w:t>
      </w:r>
      <w:r>
        <w:rPr>
          <w:rFonts w:ascii="Calibri" w:hAnsi="Calibri"/>
          <w:sz w:val="22"/>
          <w:szCs w:val="28"/>
        </w:rPr>
        <w:t xml:space="preserve"> </w:t>
      </w:r>
      <w:r w:rsidR="00157C41" w:rsidRPr="00157C41">
        <w:rPr>
          <w:rFonts w:ascii="Calibri" w:hAnsi="Calibri"/>
          <w:sz w:val="22"/>
          <w:szCs w:val="28"/>
        </w:rPr>
        <w:t>Blair Burkitt</w:t>
      </w:r>
      <w:r w:rsidR="00B459C4">
        <w:rPr>
          <w:rFonts w:ascii="Calibri" w:hAnsi="Calibri"/>
          <w:sz w:val="22"/>
          <w:szCs w:val="28"/>
        </w:rPr>
        <w:t>,</w:t>
      </w:r>
      <w:r>
        <w:rPr>
          <w:rFonts w:ascii="Calibri" w:hAnsi="Calibri"/>
          <w:sz w:val="22"/>
          <w:szCs w:val="28"/>
        </w:rPr>
        <w:t xml:space="preserve"> </w:t>
      </w:r>
      <w:r w:rsidR="00215848">
        <w:rPr>
          <w:rFonts w:ascii="Calibri" w:hAnsi="Calibri"/>
          <w:sz w:val="22"/>
          <w:szCs w:val="28"/>
        </w:rPr>
        <w:t xml:space="preserve">provided </w:t>
      </w:r>
      <w:r>
        <w:rPr>
          <w:rFonts w:ascii="Calibri" w:hAnsi="Calibri"/>
          <w:sz w:val="22"/>
          <w:szCs w:val="28"/>
        </w:rPr>
        <w:t>an update on the Expenditure Incentives work</w:t>
      </w:r>
      <w:r w:rsidR="00BE44D0">
        <w:rPr>
          <w:rFonts w:ascii="Calibri" w:hAnsi="Calibri"/>
          <w:sz w:val="22"/>
          <w:szCs w:val="28"/>
        </w:rPr>
        <w:t xml:space="preserve"> </w:t>
      </w:r>
      <w:r>
        <w:rPr>
          <w:rFonts w:ascii="Calibri" w:hAnsi="Calibri"/>
          <w:sz w:val="22"/>
          <w:szCs w:val="28"/>
        </w:rPr>
        <w:t>stream</w:t>
      </w:r>
      <w:r w:rsidR="004D027D">
        <w:rPr>
          <w:rFonts w:ascii="Calibri" w:hAnsi="Calibri"/>
          <w:sz w:val="22"/>
          <w:szCs w:val="28"/>
        </w:rPr>
        <w:t>. Blair noted upcoming dates and deadlines. Further, t</w:t>
      </w:r>
      <w:r w:rsidR="00945C86">
        <w:rPr>
          <w:rFonts w:ascii="Calibri" w:hAnsi="Calibri"/>
          <w:sz w:val="22"/>
          <w:szCs w:val="28"/>
        </w:rPr>
        <w:t>he AER will provide the models for</w:t>
      </w:r>
      <w:r w:rsidR="005C113C">
        <w:rPr>
          <w:rFonts w:ascii="Calibri" w:hAnsi="Calibri"/>
          <w:sz w:val="22"/>
          <w:szCs w:val="28"/>
        </w:rPr>
        <w:t xml:space="preserve"> the efficiency benefit sharing scheme (</w:t>
      </w:r>
      <w:r w:rsidR="00945C86">
        <w:rPr>
          <w:rFonts w:ascii="Calibri" w:hAnsi="Calibri"/>
          <w:sz w:val="22"/>
          <w:szCs w:val="28"/>
        </w:rPr>
        <w:t>EBSS</w:t>
      </w:r>
      <w:r w:rsidR="005C113C">
        <w:rPr>
          <w:rFonts w:ascii="Calibri" w:hAnsi="Calibri"/>
          <w:sz w:val="22"/>
          <w:szCs w:val="28"/>
        </w:rPr>
        <w:t>)</w:t>
      </w:r>
      <w:r w:rsidR="00945C86">
        <w:rPr>
          <w:rFonts w:ascii="Calibri" w:hAnsi="Calibri"/>
          <w:sz w:val="22"/>
          <w:szCs w:val="28"/>
        </w:rPr>
        <w:t xml:space="preserve"> and </w:t>
      </w:r>
      <w:proofErr w:type="spellStart"/>
      <w:r w:rsidR="003D4909">
        <w:rPr>
          <w:rFonts w:ascii="Calibri" w:hAnsi="Calibri"/>
          <w:sz w:val="22"/>
          <w:szCs w:val="28"/>
        </w:rPr>
        <w:t>capex</w:t>
      </w:r>
      <w:proofErr w:type="spellEnd"/>
      <w:r w:rsidR="003D4909">
        <w:rPr>
          <w:rFonts w:ascii="Calibri" w:hAnsi="Calibri"/>
          <w:sz w:val="22"/>
          <w:szCs w:val="28"/>
        </w:rPr>
        <w:t xml:space="preserve"> efficiency sharing scheme (</w:t>
      </w:r>
      <w:r w:rsidR="00945C86">
        <w:rPr>
          <w:rFonts w:ascii="Calibri" w:hAnsi="Calibri"/>
          <w:sz w:val="22"/>
          <w:szCs w:val="28"/>
        </w:rPr>
        <w:t>CESS</w:t>
      </w:r>
      <w:r w:rsidR="003D4909">
        <w:rPr>
          <w:rFonts w:ascii="Calibri" w:hAnsi="Calibri"/>
          <w:sz w:val="22"/>
          <w:szCs w:val="28"/>
        </w:rPr>
        <w:t>)</w:t>
      </w:r>
      <w:r w:rsidR="00945C86">
        <w:rPr>
          <w:rFonts w:ascii="Calibri" w:hAnsi="Calibri"/>
          <w:sz w:val="22"/>
          <w:szCs w:val="28"/>
        </w:rPr>
        <w:t xml:space="preserve"> once they are finalised. </w:t>
      </w:r>
    </w:p>
    <w:p w:rsidR="00BA1207" w:rsidRDefault="00BA1207" w:rsidP="00BA1207">
      <w:pPr>
        <w:jc w:val="both"/>
        <w:rPr>
          <w:rFonts w:ascii="Calibri" w:hAnsi="Calibri"/>
          <w:sz w:val="22"/>
          <w:szCs w:val="28"/>
        </w:rPr>
      </w:pPr>
    </w:p>
    <w:p w:rsidR="00945C86" w:rsidRDefault="00945C86" w:rsidP="00945C86">
      <w:pPr>
        <w:jc w:val="both"/>
        <w:rPr>
          <w:rFonts w:ascii="Calibri" w:hAnsi="Calibri"/>
          <w:sz w:val="22"/>
          <w:szCs w:val="28"/>
        </w:rPr>
      </w:pPr>
      <w:r>
        <w:rPr>
          <w:rFonts w:ascii="Calibri" w:hAnsi="Calibri"/>
          <w:sz w:val="22"/>
          <w:szCs w:val="28"/>
        </w:rPr>
        <w:t xml:space="preserve">The </w:t>
      </w:r>
      <w:r w:rsidR="004D027D">
        <w:rPr>
          <w:rFonts w:ascii="Calibri" w:hAnsi="Calibri"/>
          <w:sz w:val="22"/>
          <w:szCs w:val="28"/>
        </w:rPr>
        <w:t>C</w:t>
      </w:r>
      <w:r>
        <w:rPr>
          <w:rFonts w:ascii="Calibri" w:hAnsi="Calibri"/>
          <w:sz w:val="22"/>
          <w:szCs w:val="28"/>
        </w:rPr>
        <w:t xml:space="preserve">hairman noted that the two main </w:t>
      </w:r>
      <w:r w:rsidR="006A31FF">
        <w:rPr>
          <w:rFonts w:ascii="Calibri" w:hAnsi="Calibri"/>
          <w:sz w:val="22"/>
          <w:szCs w:val="28"/>
        </w:rPr>
        <w:t>issues</w:t>
      </w:r>
      <w:r w:rsidR="004D027D">
        <w:rPr>
          <w:rFonts w:ascii="Calibri" w:hAnsi="Calibri"/>
          <w:sz w:val="22"/>
          <w:szCs w:val="28"/>
        </w:rPr>
        <w:t xml:space="preserve"> for expenditure incentives</w:t>
      </w:r>
      <w:r w:rsidR="006A31FF">
        <w:rPr>
          <w:rFonts w:ascii="Calibri" w:hAnsi="Calibri"/>
          <w:sz w:val="22"/>
          <w:szCs w:val="28"/>
        </w:rPr>
        <w:t xml:space="preserve"> </w:t>
      </w:r>
      <w:r>
        <w:rPr>
          <w:rFonts w:ascii="Calibri" w:hAnsi="Calibri"/>
          <w:sz w:val="22"/>
          <w:szCs w:val="28"/>
        </w:rPr>
        <w:t>are:</w:t>
      </w:r>
    </w:p>
    <w:p w:rsidR="00945C86" w:rsidRDefault="00945C86" w:rsidP="00945C86">
      <w:pPr>
        <w:numPr>
          <w:ilvl w:val="0"/>
          <w:numId w:val="24"/>
        </w:numPr>
        <w:jc w:val="both"/>
        <w:rPr>
          <w:rFonts w:ascii="Calibri" w:hAnsi="Calibri"/>
          <w:sz w:val="22"/>
          <w:szCs w:val="28"/>
        </w:rPr>
      </w:pPr>
      <w:r>
        <w:rPr>
          <w:rFonts w:ascii="Calibri" w:hAnsi="Calibri"/>
          <w:sz w:val="22"/>
          <w:szCs w:val="28"/>
        </w:rPr>
        <w:t xml:space="preserve">NSPs defer </w:t>
      </w:r>
      <w:proofErr w:type="spellStart"/>
      <w:r>
        <w:rPr>
          <w:rFonts w:ascii="Calibri" w:hAnsi="Calibri"/>
          <w:sz w:val="22"/>
          <w:szCs w:val="28"/>
        </w:rPr>
        <w:t>capex</w:t>
      </w:r>
      <w:proofErr w:type="spellEnd"/>
      <w:r>
        <w:rPr>
          <w:rFonts w:ascii="Calibri" w:hAnsi="Calibri"/>
          <w:sz w:val="22"/>
          <w:szCs w:val="28"/>
        </w:rPr>
        <w:t xml:space="preserve"> until late in the regulatory control period </w:t>
      </w:r>
    </w:p>
    <w:p w:rsidR="00945C86" w:rsidRDefault="00B459C4" w:rsidP="00945C86">
      <w:pPr>
        <w:numPr>
          <w:ilvl w:val="0"/>
          <w:numId w:val="24"/>
        </w:numPr>
        <w:jc w:val="both"/>
        <w:rPr>
          <w:rFonts w:ascii="Calibri" w:hAnsi="Calibri"/>
          <w:sz w:val="22"/>
          <w:szCs w:val="28"/>
        </w:rPr>
      </w:pPr>
      <w:r>
        <w:rPr>
          <w:rFonts w:ascii="Calibri" w:hAnsi="Calibri"/>
          <w:sz w:val="22"/>
          <w:szCs w:val="28"/>
        </w:rPr>
        <w:t>T</w:t>
      </w:r>
      <w:r w:rsidR="00945C86">
        <w:rPr>
          <w:rFonts w:ascii="Calibri" w:hAnsi="Calibri"/>
          <w:sz w:val="22"/>
          <w:szCs w:val="28"/>
        </w:rPr>
        <w:t xml:space="preserve">he incentive to discourage </w:t>
      </w:r>
      <w:proofErr w:type="spellStart"/>
      <w:r w:rsidR="00945C86">
        <w:rPr>
          <w:rFonts w:ascii="Calibri" w:hAnsi="Calibri"/>
          <w:sz w:val="22"/>
          <w:szCs w:val="28"/>
        </w:rPr>
        <w:t>capex</w:t>
      </w:r>
      <w:proofErr w:type="spellEnd"/>
      <w:r w:rsidR="00945C86">
        <w:rPr>
          <w:rFonts w:ascii="Calibri" w:hAnsi="Calibri"/>
          <w:sz w:val="22"/>
          <w:szCs w:val="28"/>
        </w:rPr>
        <w:t xml:space="preserve"> overspending is not strong</w:t>
      </w:r>
    </w:p>
    <w:p w:rsidR="00945C86" w:rsidRDefault="00945C86" w:rsidP="00945C86">
      <w:pPr>
        <w:jc w:val="both"/>
        <w:rPr>
          <w:rFonts w:ascii="Calibri" w:hAnsi="Calibri"/>
          <w:sz w:val="22"/>
          <w:szCs w:val="28"/>
        </w:rPr>
      </w:pPr>
    </w:p>
    <w:p w:rsidR="00945C86" w:rsidRDefault="00945C86" w:rsidP="00945C86">
      <w:pPr>
        <w:jc w:val="both"/>
        <w:rPr>
          <w:rFonts w:ascii="Calibri" w:hAnsi="Calibri"/>
          <w:sz w:val="22"/>
          <w:szCs w:val="28"/>
        </w:rPr>
      </w:pPr>
      <w:r>
        <w:rPr>
          <w:rFonts w:ascii="Calibri" w:hAnsi="Calibri"/>
          <w:sz w:val="22"/>
          <w:szCs w:val="28"/>
        </w:rPr>
        <w:t xml:space="preserve">These </w:t>
      </w:r>
      <w:r w:rsidR="009A5AFB">
        <w:rPr>
          <w:rFonts w:ascii="Calibri" w:hAnsi="Calibri"/>
          <w:sz w:val="22"/>
          <w:szCs w:val="28"/>
        </w:rPr>
        <w:t xml:space="preserve">issues </w:t>
      </w:r>
      <w:r>
        <w:rPr>
          <w:rFonts w:ascii="Calibri" w:hAnsi="Calibri"/>
          <w:sz w:val="22"/>
          <w:szCs w:val="28"/>
        </w:rPr>
        <w:t xml:space="preserve">arise because all </w:t>
      </w:r>
      <w:proofErr w:type="spellStart"/>
      <w:r>
        <w:rPr>
          <w:rFonts w:ascii="Calibri" w:hAnsi="Calibri"/>
          <w:sz w:val="22"/>
          <w:szCs w:val="28"/>
        </w:rPr>
        <w:t>capex</w:t>
      </w:r>
      <w:proofErr w:type="spellEnd"/>
      <w:r>
        <w:rPr>
          <w:rFonts w:ascii="Calibri" w:hAnsi="Calibri"/>
          <w:sz w:val="22"/>
          <w:szCs w:val="28"/>
        </w:rPr>
        <w:t xml:space="preserve"> overspend is rolled into RAB at the start of the next regulatory control period. This means they only bear the cost of overspending for a maximum of five years</w:t>
      </w:r>
      <w:r w:rsidR="009A5AFB">
        <w:rPr>
          <w:rFonts w:ascii="Calibri" w:hAnsi="Calibri"/>
          <w:sz w:val="22"/>
          <w:szCs w:val="28"/>
        </w:rPr>
        <w:t>. T</w:t>
      </w:r>
      <w:r>
        <w:rPr>
          <w:rFonts w:ascii="Calibri" w:hAnsi="Calibri"/>
          <w:sz w:val="22"/>
          <w:szCs w:val="28"/>
        </w:rPr>
        <w:t xml:space="preserve">he longer </w:t>
      </w:r>
      <w:proofErr w:type="gramStart"/>
      <w:r w:rsidR="009A5AFB">
        <w:rPr>
          <w:rFonts w:ascii="Calibri" w:hAnsi="Calibri"/>
          <w:sz w:val="22"/>
          <w:szCs w:val="28"/>
        </w:rPr>
        <w:t>that</w:t>
      </w:r>
      <w:proofErr w:type="gramEnd"/>
      <w:r w:rsidR="009A5AFB">
        <w:rPr>
          <w:rFonts w:ascii="Calibri" w:hAnsi="Calibri"/>
          <w:sz w:val="22"/>
          <w:szCs w:val="28"/>
        </w:rPr>
        <w:t xml:space="preserve"> NSPs</w:t>
      </w:r>
      <w:r>
        <w:rPr>
          <w:rFonts w:ascii="Calibri" w:hAnsi="Calibri"/>
          <w:sz w:val="22"/>
          <w:szCs w:val="28"/>
        </w:rPr>
        <w:t xml:space="preserve"> defer</w:t>
      </w:r>
      <w:r w:rsidR="009A5AFB">
        <w:rPr>
          <w:rFonts w:ascii="Calibri" w:hAnsi="Calibri"/>
          <w:sz w:val="22"/>
          <w:szCs w:val="28"/>
        </w:rPr>
        <w:t xml:space="preserve"> spending </w:t>
      </w:r>
      <w:proofErr w:type="spellStart"/>
      <w:r w:rsidR="009A5AFB">
        <w:rPr>
          <w:rFonts w:ascii="Calibri" w:hAnsi="Calibri"/>
          <w:sz w:val="22"/>
          <w:szCs w:val="28"/>
        </w:rPr>
        <w:t>capex</w:t>
      </w:r>
      <w:proofErr w:type="spellEnd"/>
      <w:r>
        <w:rPr>
          <w:rFonts w:ascii="Calibri" w:hAnsi="Calibri"/>
          <w:sz w:val="22"/>
          <w:szCs w:val="28"/>
        </w:rPr>
        <w:t xml:space="preserve">, the shorter amount of time they are penalised. It is </w:t>
      </w:r>
      <w:r w:rsidR="00B459C4">
        <w:rPr>
          <w:rFonts w:ascii="Calibri" w:hAnsi="Calibri"/>
          <w:sz w:val="22"/>
          <w:szCs w:val="28"/>
        </w:rPr>
        <w:t>a low</w:t>
      </w:r>
      <w:r>
        <w:rPr>
          <w:rFonts w:ascii="Calibri" w:hAnsi="Calibri"/>
          <w:sz w:val="22"/>
          <w:szCs w:val="28"/>
        </w:rPr>
        <w:t xml:space="preserve"> incentive to stick to the allowance. </w:t>
      </w:r>
    </w:p>
    <w:p w:rsidR="00A734AA" w:rsidRDefault="00A734AA" w:rsidP="00945C86">
      <w:pPr>
        <w:jc w:val="both"/>
        <w:rPr>
          <w:rFonts w:ascii="Calibri" w:hAnsi="Calibri"/>
          <w:sz w:val="22"/>
          <w:szCs w:val="28"/>
        </w:rPr>
      </w:pPr>
    </w:p>
    <w:p w:rsidR="00A734AA" w:rsidRDefault="00A734AA" w:rsidP="00A734AA">
      <w:pPr>
        <w:jc w:val="both"/>
        <w:rPr>
          <w:rFonts w:ascii="Calibri" w:hAnsi="Calibri"/>
          <w:sz w:val="22"/>
          <w:szCs w:val="28"/>
        </w:rPr>
      </w:pPr>
      <w:r>
        <w:rPr>
          <w:rFonts w:ascii="Calibri" w:hAnsi="Calibri"/>
          <w:sz w:val="22"/>
          <w:szCs w:val="28"/>
        </w:rPr>
        <w:t>The AER’s objective is to minimise the potential for NSP</w:t>
      </w:r>
      <w:r w:rsidR="00D528AA">
        <w:rPr>
          <w:rFonts w:ascii="Calibri" w:hAnsi="Calibri"/>
          <w:sz w:val="22"/>
          <w:szCs w:val="28"/>
        </w:rPr>
        <w:t>s</w:t>
      </w:r>
      <w:r>
        <w:rPr>
          <w:rFonts w:ascii="Calibri" w:hAnsi="Calibri"/>
          <w:sz w:val="22"/>
          <w:szCs w:val="28"/>
        </w:rPr>
        <w:t xml:space="preserve"> to be rewarded for any inefficient overspend. </w:t>
      </w:r>
    </w:p>
    <w:p w:rsidR="00945C86" w:rsidRDefault="00945C86" w:rsidP="00945C86">
      <w:pPr>
        <w:jc w:val="both"/>
        <w:rPr>
          <w:rFonts w:ascii="Calibri" w:hAnsi="Calibri"/>
          <w:sz w:val="22"/>
          <w:szCs w:val="28"/>
        </w:rPr>
      </w:pPr>
    </w:p>
    <w:p w:rsidR="00EC6E07" w:rsidRDefault="00945C86">
      <w:pPr>
        <w:keepNext/>
        <w:jc w:val="both"/>
        <w:rPr>
          <w:rFonts w:ascii="Calibri" w:hAnsi="Calibri"/>
          <w:sz w:val="22"/>
          <w:szCs w:val="28"/>
        </w:rPr>
      </w:pPr>
      <w:r>
        <w:rPr>
          <w:rFonts w:ascii="Calibri" w:hAnsi="Calibri"/>
          <w:sz w:val="22"/>
          <w:szCs w:val="28"/>
        </w:rPr>
        <w:t>Possible solutions</w:t>
      </w:r>
      <w:r w:rsidR="006E5DC1">
        <w:rPr>
          <w:rFonts w:ascii="Calibri" w:hAnsi="Calibri"/>
          <w:sz w:val="22"/>
          <w:szCs w:val="28"/>
        </w:rPr>
        <w:t xml:space="preserve"> being considered by the AER</w:t>
      </w:r>
      <w:r>
        <w:rPr>
          <w:rFonts w:ascii="Calibri" w:hAnsi="Calibri"/>
          <w:sz w:val="22"/>
          <w:szCs w:val="28"/>
        </w:rPr>
        <w:t xml:space="preserve"> include</w:t>
      </w:r>
      <w:r w:rsidR="00A734AA">
        <w:rPr>
          <w:rFonts w:ascii="Calibri" w:hAnsi="Calibri"/>
          <w:sz w:val="22"/>
          <w:szCs w:val="28"/>
        </w:rPr>
        <w:t>:</w:t>
      </w:r>
    </w:p>
    <w:p w:rsidR="00EC6E07" w:rsidRDefault="003D4909">
      <w:pPr>
        <w:numPr>
          <w:ilvl w:val="0"/>
          <w:numId w:val="22"/>
        </w:numPr>
        <w:jc w:val="both"/>
        <w:rPr>
          <w:rFonts w:ascii="Calibri" w:hAnsi="Calibri"/>
          <w:sz w:val="22"/>
          <w:szCs w:val="28"/>
        </w:rPr>
      </w:pPr>
      <w:r>
        <w:rPr>
          <w:rFonts w:ascii="Calibri" w:hAnsi="Calibri"/>
          <w:sz w:val="22"/>
          <w:szCs w:val="28"/>
        </w:rPr>
        <w:t>CESS</w:t>
      </w:r>
    </w:p>
    <w:p w:rsidR="00EC6E07" w:rsidRDefault="00A734AA">
      <w:pPr>
        <w:numPr>
          <w:ilvl w:val="1"/>
          <w:numId w:val="22"/>
        </w:numPr>
        <w:jc w:val="both"/>
        <w:rPr>
          <w:rFonts w:ascii="Calibri" w:hAnsi="Calibri"/>
          <w:sz w:val="22"/>
          <w:szCs w:val="28"/>
        </w:rPr>
      </w:pPr>
      <w:proofErr w:type="gramStart"/>
      <w:r>
        <w:rPr>
          <w:rFonts w:ascii="Calibri" w:hAnsi="Calibri"/>
          <w:sz w:val="22"/>
          <w:szCs w:val="28"/>
        </w:rPr>
        <w:t>this</w:t>
      </w:r>
      <w:proofErr w:type="gramEnd"/>
      <w:r>
        <w:rPr>
          <w:rFonts w:ascii="Calibri" w:hAnsi="Calibri"/>
          <w:sz w:val="22"/>
          <w:szCs w:val="28"/>
        </w:rPr>
        <w:t xml:space="preserve"> will operate like the EBSS for </w:t>
      </w:r>
      <w:proofErr w:type="spellStart"/>
      <w:r>
        <w:rPr>
          <w:rFonts w:ascii="Calibri" w:hAnsi="Calibri"/>
          <w:sz w:val="22"/>
          <w:szCs w:val="28"/>
        </w:rPr>
        <w:t>opex</w:t>
      </w:r>
      <w:proofErr w:type="spellEnd"/>
      <w:r>
        <w:rPr>
          <w:rFonts w:ascii="Calibri" w:hAnsi="Calibri"/>
          <w:sz w:val="22"/>
          <w:szCs w:val="28"/>
        </w:rPr>
        <w:t>.</w:t>
      </w:r>
    </w:p>
    <w:p w:rsidR="00EC6E07" w:rsidRDefault="00A734AA">
      <w:pPr>
        <w:numPr>
          <w:ilvl w:val="1"/>
          <w:numId w:val="22"/>
        </w:numPr>
        <w:jc w:val="both"/>
        <w:rPr>
          <w:rFonts w:ascii="Calibri" w:hAnsi="Calibri"/>
          <w:sz w:val="22"/>
          <w:szCs w:val="28"/>
        </w:rPr>
      </w:pPr>
      <w:r>
        <w:rPr>
          <w:rFonts w:ascii="Calibri" w:hAnsi="Calibri"/>
          <w:sz w:val="22"/>
          <w:szCs w:val="28"/>
        </w:rPr>
        <w:t>s</w:t>
      </w:r>
      <w:r w:rsidRPr="00A734AA">
        <w:rPr>
          <w:rFonts w:ascii="Calibri" w:hAnsi="Calibri"/>
          <w:sz w:val="22"/>
          <w:szCs w:val="28"/>
        </w:rPr>
        <w:t>everal CRG members supported a continuous, asymmetric scheme that would stop the current declining incentive that NSPs face, and would penalise overspend more strongly than underspends are rewarded</w:t>
      </w:r>
    </w:p>
    <w:p w:rsidR="00EC6E07" w:rsidRDefault="00215848">
      <w:pPr>
        <w:numPr>
          <w:ilvl w:val="0"/>
          <w:numId w:val="22"/>
        </w:numPr>
        <w:jc w:val="both"/>
        <w:rPr>
          <w:rFonts w:ascii="Calibri" w:hAnsi="Calibri"/>
          <w:sz w:val="22"/>
          <w:szCs w:val="28"/>
        </w:rPr>
      </w:pPr>
      <w:proofErr w:type="gramStart"/>
      <w:r>
        <w:rPr>
          <w:rFonts w:ascii="Calibri" w:hAnsi="Calibri"/>
          <w:sz w:val="22"/>
          <w:szCs w:val="28"/>
        </w:rPr>
        <w:t>n</w:t>
      </w:r>
      <w:r w:rsidR="00945C86">
        <w:rPr>
          <w:rFonts w:ascii="Calibri" w:hAnsi="Calibri"/>
          <w:sz w:val="22"/>
          <w:szCs w:val="28"/>
        </w:rPr>
        <w:t>ot</w:t>
      </w:r>
      <w:proofErr w:type="gramEnd"/>
      <w:r w:rsidR="00945C86">
        <w:rPr>
          <w:rFonts w:ascii="Calibri" w:hAnsi="Calibri"/>
          <w:sz w:val="22"/>
          <w:szCs w:val="28"/>
        </w:rPr>
        <w:t xml:space="preserve"> </w:t>
      </w:r>
      <w:r w:rsidR="00A734AA">
        <w:rPr>
          <w:rFonts w:ascii="Calibri" w:hAnsi="Calibri"/>
          <w:sz w:val="22"/>
          <w:szCs w:val="28"/>
        </w:rPr>
        <w:t xml:space="preserve">allowing NSPs to </w:t>
      </w:r>
      <w:r w:rsidR="00945C86">
        <w:rPr>
          <w:rFonts w:ascii="Calibri" w:hAnsi="Calibri"/>
          <w:sz w:val="22"/>
          <w:szCs w:val="28"/>
        </w:rPr>
        <w:t>roll overspends into the RAB</w:t>
      </w:r>
      <w:r w:rsidR="00A734AA">
        <w:rPr>
          <w:rFonts w:ascii="Calibri" w:hAnsi="Calibri"/>
          <w:sz w:val="22"/>
          <w:szCs w:val="28"/>
        </w:rPr>
        <w:t>, or not allowing 100 per cent of overspends to be rolled into the RAB.</w:t>
      </w:r>
    </w:p>
    <w:p w:rsidR="00EC6E07" w:rsidRDefault="00215848">
      <w:pPr>
        <w:numPr>
          <w:ilvl w:val="1"/>
          <w:numId w:val="22"/>
        </w:numPr>
        <w:jc w:val="both"/>
        <w:rPr>
          <w:rFonts w:ascii="Calibri" w:hAnsi="Calibri"/>
          <w:sz w:val="22"/>
          <w:szCs w:val="28"/>
        </w:rPr>
      </w:pPr>
      <w:r>
        <w:rPr>
          <w:rFonts w:ascii="Calibri" w:hAnsi="Calibri"/>
          <w:sz w:val="22"/>
          <w:szCs w:val="28"/>
        </w:rPr>
        <w:t>e</w:t>
      </w:r>
      <w:r w:rsidR="00A734AA" w:rsidRPr="00A734AA">
        <w:rPr>
          <w:rFonts w:ascii="Calibri" w:hAnsi="Calibri"/>
          <w:sz w:val="22"/>
          <w:szCs w:val="28"/>
        </w:rPr>
        <w:t xml:space="preserve">x post reviews to allow only efficient </w:t>
      </w:r>
      <w:proofErr w:type="spellStart"/>
      <w:r w:rsidR="00A734AA" w:rsidRPr="00A734AA">
        <w:rPr>
          <w:rFonts w:ascii="Calibri" w:hAnsi="Calibri"/>
          <w:sz w:val="22"/>
          <w:szCs w:val="28"/>
        </w:rPr>
        <w:t>capex</w:t>
      </w:r>
      <w:proofErr w:type="spellEnd"/>
      <w:r w:rsidR="00A734AA" w:rsidRPr="00A734AA">
        <w:rPr>
          <w:rFonts w:ascii="Calibri" w:hAnsi="Calibri"/>
          <w:sz w:val="22"/>
          <w:szCs w:val="28"/>
        </w:rPr>
        <w:t xml:space="preserve"> to be rolled into the RAB</w:t>
      </w:r>
    </w:p>
    <w:p w:rsidR="00EC6E07" w:rsidRDefault="00215848">
      <w:pPr>
        <w:numPr>
          <w:ilvl w:val="1"/>
          <w:numId w:val="22"/>
        </w:numPr>
        <w:jc w:val="both"/>
        <w:rPr>
          <w:rFonts w:ascii="Calibri" w:hAnsi="Calibri"/>
          <w:sz w:val="22"/>
          <w:szCs w:val="28"/>
        </w:rPr>
      </w:pPr>
      <w:proofErr w:type="gramStart"/>
      <w:r>
        <w:rPr>
          <w:rFonts w:ascii="Calibri" w:hAnsi="Calibri"/>
          <w:sz w:val="22"/>
          <w:szCs w:val="28"/>
        </w:rPr>
        <w:t>t</w:t>
      </w:r>
      <w:r w:rsidR="004D027D" w:rsidRPr="004D027D">
        <w:rPr>
          <w:rFonts w:ascii="Calibri" w:hAnsi="Calibri"/>
          <w:sz w:val="22"/>
          <w:szCs w:val="28"/>
        </w:rPr>
        <w:t>he</w:t>
      </w:r>
      <w:proofErr w:type="gramEnd"/>
      <w:r w:rsidR="004D027D" w:rsidRPr="004D027D">
        <w:rPr>
          <w:rFonts w:ascii="Calibri" w:hAnsi="Calibri"/>
          <w:sz w:val="22"/>
          <w:szCs w:val="28"/>
        </w:rPr>
        <w:t xml:space="preserve"> AER considers that the ex post </w:t>
      </w:r>
      <w:proofErr w:type="spellStart"/>
      <w:r w:rsidR="004D027D" w:rsidRPr="004D027D">
        <w:rPr>
          <w:rFonts w:ascii="Calibri" w:hAnsi="Calibri"/>
          <w:sz w:val="22"/>
          <w:szCs w:val="28"/>
        </w:rPr>
        <w:t>capex</w:t>
      </w:r>
      <w:proofErr w:type="spellEnd"/>
      <w:r w:rsidR="004D027D" w:rsidRPr="004D027D">
        <w:rPr>
          <w:rFonts w:ascii="Calibri" w:hAnsi="Calibri"/>
          <w:sz w:val="22"/>
          <w:szCs w:val="28"/>
        </w:rPr>
        <w:t xml:space="preserve"> review will complement </w:t>
      </w:r>
      <w:r w:rsidR="00D528AA">
        <w:rPr>
          <w:rFonts w:ascii="Calibri" w:hAnsi="Calibri"/>
          <w:sz w:val="22"/>
          <w:szCs w:val="28"/>
        </w:rPr>
        <w:t xml:space="preserve"> the </w:t>
      </w:r>
      <w:r w:rsidR="004D027D" w:rsidRPr="004D027D">
        <w:rPr>
          <w:rFonts w:ascii="Calibri" w:hAnsi="Calibri"/>
          <w:sz w:val="22"/>
          <w:szCs w:val="28"/>
        </w:rPr>
        <w:t>ex</w:t>
      </w:r>
      <w:r w:rsidR="00D528AA">
        <w:rPr>
          <w:rFonts w:ascii="Calibri" w:hAnsi="Calibri"/>
          <w:sz w:val="22"/>
          <w:szCs w:val="28"/>
        </w:rPr>
        <w:t> </w:t>
      </w:r>
      <w:r w:rsidR="004D027D" w:rsidRPr="004D027D">
        <w:rPr>
          <w:rFonts w:ascii="Calibri" w:hAnsi="Calibri"/>
          <w:sz w:val="22"/>
          <w:szCs w:val="28"/>
        </w:rPr>
        <w:t xml:space="preserve">ante CESS incentives regime. The preference is to get </w:t>
      </w:r>
      <w:r w:rsidR="00D528AA">
        <w:rPr>
          <w:rFonts w:ascii="Calibri" w:hAnsi="Calibri"/>
          <w:sz w:val="22"/>
          <w:szCs w:val="28"/>
        </w:rPr>
        <w:t xml:space="preserve">the </w:t>
      </w:r>
      <w:r w:rsidR="004D027D" w:rsidRPr="004D027D">
        <w:rPr>
          <w:rFonts w:ascii="Calibri" w:hAnsi="Calibri"/>
          <w:sz w:val="22"/>
          <w:szCs w:val="28"/>
        </w:rPr>
        <w:t>ex ante incentive scheme right (not to rely on ex post review)</w:t>
      </w:r>
    </w:p>
    <w:p w:rsidR="00EC6E07" w:rsidRDefault="00215848">
      <w:pPr>
        <w:numPr>
          <w:ilvl w:val="0"/>
          <w:numId w:val="22"/>
        </w:numPr>
        <w:jc w:val="both"/>
        <w:rPr>
          <w:rFonts w:ascii="Calibri" w:hAnsi="Calibri"/>
          <w:sz w:val="22"/>
          <w:szCs w:val="28"/>
        </w:rPr>
      </w:pPr>
      <w:proofErr w:type="gramStart"/>
      <w:r>
        <w:rPr>
          <w:rFonts w:ascii="Calibri" w:hAnsi="Calibri"/>
          <w:sz w:val="22"/>
          <w:szCs w:val="28"/>
        </w:rPr>
        <w:t>i</w:t>
      </w:r>
      <w:r w:rsidR="00A734AA">
        <w:rPr>
          <w:rFonts w:ascii="Calibri" w:hAnsi="Calibri"/>
          <w:sz w:val="22"/>
          <w:szCs w:val="28"/>
        </w:rPr>
        <w:t>mplementing</w:t>
      </w:r>
      <w:proofErr w:type="gramEnd"/>
      <w:r w:rsidR="00945C86">
        <w:rPr>
          <w:rFonts w:ascii="Calibri" w:hAnsi="Calibri"/>
          <w:sz w:val="22"/>
          <w:szCs w:val="28"/>
        </w:rPr>
        <w:t xml:space="preserve"> stronger incentive scheme</w:t>
      </w:r>
      <w:r w:rsidR="00A734AA">
        <w:rPr>
          <w:rFonts w:ascii="Calibri" w:hAnsi="Calibri"/>
          <w:sz w:val="22"/>
          <w:szCs w:val="28"/>
        </w:rPr>
        <w:t>s</w:t>
      </w:r>
      <w:r w:rsidR="00945C86">
        <w:rPr>
          <w:rFonts w:ascii="Calibri" w:hAnsi="Calibri"/>
          <w:sz w:val="22"/>
          <w:szCs w:val="28"/>
        </w:rPr>
        <w:t xml:space="preserve"> for an overspend</w:t>
      </w:r>
      <w:r w:rsidR="00D528AA">
        <w:rPr>
          <w:rFonts w:ascii="Calibri" w:hAnsi="Calibri"/>
          <w:sz w:val="22"/>
          <w:szCs w:val="28"/>
        </w:rPr>
        <w:t>, rather</w:t>
      </w:r>
      <w:r w:rsidR="00945C86">
        <w:rPr>
          <w:rFonts w:ascii="Calibri" w:hAnsi="Calibri"/>
          <w:sz w:val="22"/>
          <w:szCs w:val="28"/>
        </w:rPr>
        <w:t xml:space="preserve"> than an underspend. </w:t>
      </w:r>
    </w:p>
    <w:p w:rsidR="00EC6E07" w:rsidRDefault="00EC6E07">
      <w:pPr>
        <w:jc w:val="both"/>
        <w:rPr>
          <w:rFonts w:ascii="Calibri" w:hAnsi="Calibri"/>
          <w:sz w:val="22"/>
          <w:szCs w:val="28"/>
        </w:rPr>
      </w:pPr>
    </w:p>
    <w:p w:rsidR="00BA1207" w:rsidRDefault="00945C86" w:rsidP="00BA1207">
      <w:pPr>
        <w:jc w:val="both"/>
        <w:rPr>
          <w:rFonts w:ascii="Calibri" w:hAnsi="Calibri"/>
          <w:sz w:val="22"/>
          <w:szCs w:val="28"/>
        </w:rPr>
      </w:pPr>
      <w:r>
        <w:rPr>
          <w:rFonts w:ascii="Calibri" w:hAnsi="Calibri"/>
          <w:sz w:val="22"/>
          <w:szCs w:val="28"/>
        </w:rPr>
        <w:t>T</w:t>
      </w:r>
      <w:r w:rsidR="0094362C">
        <w:rPr>
          <w:rFonts w:ascii="Calibri" w:hAnsi="Calibri"/>
          <w:sz w:val="22"/>
          <w:szCs w:val="28"/>
        </w:rPr>
        <w:t xml:space="preserve">he following issues were </w:t>
      </w:r>
      <w:r w:rsidR="00F42094">
        <w:rPr>
          <w:rFonts w:ascii="Calibri" w:hAnsi="Calibri"/>
          <w:sz w:val="22"/>
          <w:szCs w:val="28"/>
        </w:rPr>
        <w:t xml:space="preserve">also </w:t>
      </w:r>
      <w:r w:rsidR="0094362C">
        <w:rPr>
          <w:rFonts w:ascii="Calibri" w:hAnsi="Calibri"/>
          <w:sz w:val="22"/>
          <w:szCs w:val="28"/>
        </w:rPr>
        <w:t>raised:</w:t>
      </w:r>
    </w:p>
    <w:p w:rsidR="00157C41" w:rsidRDefault="00157C41" w:rsidP="005B4410">
      <w:pPr>
        <w:jc w:val="both"/>
        <w:rPr>
          <w:rFonts w:ascii="Calibri" w:hAnsi="Calibri"/>
          <w:sz w:val="22"/>
          <w:szCs w:val="28"/>
        </w:rPr>
      </w:pPr>
    </w:p>
    <w:p w:rsidR="00EC6E07" w:rsidRDefault="00215848">
      <w:pPr>
        <w:numPr>
          <w:ilvl w:val="0"/>
          <w:numId w:val="23"/>
        </w:numPr>
        <w:jc w:val="both"/>
        <w:rPr>
          <w:rFonts w:ascii="Calibri" w:hAnsi="Calibri"/>
          <w:sz w:val="22"/>
          <w:szCs w:val="28"/>
        </w:rPr>
      </w:pPr>
      <w:proofErr w:type="gramStart"/>
      <w:r>
        <w:rPr>
          <w:rFonts w:ascii="Calibri" w:hAnsi="Calibri"/>
          <w:sz w:val="22"/>
          <w:szCs w:val="28"/>
        </w:rPr>
        <w:t>t</w:t>
      </w:r>
      <w:r w:rsidR="00F42094">
        <w:rPr>
          <w:rFonts w:ascii="Calibri" w:hAnsi="Calibri"/>
          <w:sz w:val="22"/>
          <w:szCs w:val="28"/>
        </w:rPr>
        <w:t>he</w:t>
      </w:r>
      <w:proofErr w:type="gramEnd"/>
      <w:r w:rsidR="00F42094">
        <w:rPr>
          <w:rFonts w:ascii="Calibri" w:hAnsi="Calibri"/>
          <w:sz w:val="22"/>
          <w:szCs w:val="28"/>
        </w:rPr>
        <w:t xml:space="preserve"> NER already allows NSPs to minimise risks through the use of</w:t>
      </w:r>
      <w:r w:rsidR="00481424" w:rsidRPr="00481424">
        <w:rPr>
          <w:rFonts w:ascii="Calibri" w:hAnsi="Calibri"/>
          <w:sz w:val="22"/>
          <w:szCs w:val="28"/>
        </w:rPr>
        <w:t xml:space="preserve"> pass through</w:t>
      </w:r>
      <w:r w:rsidR="00481424">
        <w:rPr>
          <w:rFonts w:ascii="Calibri" w:hAnsi="Calibri"/>
          <w:sz w:val="22"/>
          <w:szCs w:val="28"/>
        </w:rPr>
        <w:t>s and contingen</w:t>
      </w:r>
      <w:r w:rsidR="00F42094">
        <w:rPr>
          <w:rFonts w:ascii="Calibri" w:hAnsi="Calibri"/>
          <w:sz w:val="22"/>
          <w:szCs w:val="28"/>
        </w:rPr>
        <w:t>t</w:t>
      </w:r>
      <w:r w:rsidR="00481424">
        <w:rPr>
          <w:rFonts w:ascii="Calibri" w:hAnsi="Calibri"/>
          <w:sz w:val="22"/>
          <w:szCs w:val="28"/>
        </w:rPr>
        <w:t xml:space="preserve"> projects</w:t>
      </w:r>
      <w:r w:rsidR="00481424" w:rsidRPr="00481424">
        <w:rPr>
          <w:rFonts w:ascii="Calibri" w:hAnsi="Calibri"/>
          <w:sz w:val="22"/>
          <w:szCs w:val="28"/>
        </w:rPr>
        <w:t xml:space="preserve">. </w:t>
      </w:r>
    </w:p>
    <w:p w:rsidR="00947FB0" w:rsidRDefault="00215848" w:rsidP="00947FB0">
      <w:pPr>
        <w:numPr>
          <w:ilvl w:val="0"/>
          <w:numId w:val="23"/>
        </w:numPr>
        <w:jc w:val="both"/>
        <w:rPr>
          <w:rFonts w:ascii="Calibri" w:hAnsi="Calibri"/>
          <w:sz w:val="22"/>
          <w:szCs w:val="28"/>
        </w:rPr>
      </w:pPr>
      <w:r>
        <w:rPr>
          <w:rFonts w:ascii="Calibri" w:hAnsi="Calibri"/>
          <w:sz w:val="22"/>
          <w:szCs w:val="28"/>
        </w:rPr>
        <w:t>t</w:t>
      </w:r>
      <w:r w:rsidR="00947FB0">
        <w:rPr>
          <w:rFonts w:ascii="Calibri" w:hAnsi="Calibri"/>
          <w:sz w:val="22"/>
          <w:szCs w:val="28"/>
        </w:rPr>
        <w:t xml:space="preserve">he difference between actual and </w:t>
      </w:r>
      <w:r w:rsidR="00C10ECC">
        <w:rPr>
          <w:rFonts w:ascii="Calibri" w:hAnsi="Calibri"/>
          <w:sz w:val="22"/>
          <w:szCs w:val="28"/>
        </w:rPr>
        <w:t xml:space="preserve">forecast </w:t>
      </w:r>
      <w:r w:rsidR="00947FB0">
        <w:rPr>
          <w:rFonts w:ascii="Calibri" w:hAnsi="Calibri"/>
          <w:sz w:val="22"/>
          <w:szCs w:val="28"/>
        </w:rPr>
        <w:t>WACC</w:t>
      </w:r>
      <w:r w:rsidR="00C10ECC">
        <w:rPr>
          <w:rFonts w:ascii="Calibri" w:hAnsi="Calibri"/>
          <w:sz w:val="22"/>
          <w:szCs w:val="28"/>
        </w:rPr>
        <w:t xml:space="preserve"> may</w:t>
      </w:r>
      <w:r w:rsidR="00947FB0">
        <w:rPr>
          <w:rFonts w:ascii="Calibri" w:hAnsi="Calibri"/>
          <w:sz w:val="22"/>
          <w:szCs w:val="28"/>
        </w:rPr>
        <w:t xml:space="preserve"> </w:t>
      </w:r>
      <w:r w:rsidR="00A734AA">
        <w:rPr>
          <w:rFonts w:ascii="Calibri" w:hAnsi="Calibri"/>
          <w:sz w:val="22"/>
          <w:szCs w:val="28"/>
        </w:rPr>
        <w:t xml:space="preserve">affect </w:t>
      </w:r>
      <w:proofErr w:type="spellStart"/>
      <w:r w:rsidR="00947FB0">
        <w:rPr>
          <w:rFonts w:ascii="Calibri" w:hAnsi="Calibri"/>
          <w:sz w:val="22"/>
          <w:szCs w:val="28"/>
        </w:rPr>
        <w:t>capex</w:t>
      </w:r>
      <w:proofErr w:type="spellEnd"/>
      <w:r w:rsidR="00947FB0">
        <w:rPr>
          <w:rFonts w:ascii="Calibri" w:hAnsi="Calibri"/>
          <w:sz w:val="22"/>
          <w:szCs w:val="28"/>
        </w:rPr>
        <w:t xml:space="preserve"> </w:t>
      </w:r>
      <w:r w:rsidR="00C10ECC">
        <w:rPr>
          <w:rFonts w:ascii="Calibri" w:hAnsi="Calibri"/>
          <w:sz w:val="22"/>
          <w:szCs w:val="28"/>
        </w:rPr>
        <w:t>incentives</w:t>
      </w:r>
    </w:p>
    <w:p w:rsidR="00947FB0" w:rsidRDefault="00215848" w:rsidP="00947FB0">
      <w:pPr>
        <w:numPr>
          <w:ilvl w:val="0"/>
          <w:numId w:val="23"/>
        </w:numPr>
        <w:jc w:val="both"/>
        <w:rPr>
          <w:rFonts w:ascii="Calibri" w:hAnsi="Calibri"/>
          <w:sz w:val="22"/>
          <w:szCs w:val="28"/>
        </w:rPr>
      </w:pPr>
      <w:proofErr w:type="gramStart"/>
      <w:r>
        <w:rPr>
          <w:rFonts w:ascii="Calibri" w:hAnsi="Calibri"/>
          <w:sz w:val="22"/>
          <w:szCs w:val="28"/>
        </w:rPr>
        <w:t>i</w:t>
      </w:r>
      <w:r w:rsidR="00947FB0">
        <w:rPr>
          <w:rFonts w:ascii="Calibri" w:hAnsi="Calibri"/>
          <w:sz w:val="22"/>
          <w:szCs w:val="28"/>
        </w:rPr>
        <w:t>s</w:t>
      </w:r>
      <w:proofErr w:type="gramEnd"/>
      <w:r w:rsidR="00947FB0">
        <w:rPr>
          <w:rFonts w:ascii="Calibri" w:hAnsi="Calibri"/>
          <w:sz w:val="22"/>
          <w:szCs w:val="28"/>
        </w:rPr>
        <w:t xml:space="preserve"> it possible </w:t>
      </w:r>
      <w:r>
        <w:rPr>
          <w:rFonts w:ascii="Calibri" w:hAnsi="Calibri"/>
          <w:sz w:val="22"/>
          <w:szCs w:val="28"/>
        </w:rPr>
        <w:t xml:space="preserve">for NSPs </w:t>
      </w:r>
      <w:r w:rsidR="00947FB0">
        <w:rPr>
          <w:rFonts w:ascii="Calibri" w:hAnsi="Calibri"/>
          <w:sz w:val="22"/>
          <w:szCs w:val="28"/>
        </w:rPr>
        <w:t xml:space="preserve">to be given </w:t>
      </w:r>
      <w:r>
        <w:rPr>
          <w:rFonts w:ascii="Calibri" w:hAnsi="Calibri"/>
          <w:sz w:val="22"/>
          <w:szCs w:val="28"/>
        </w:rPr>
        <w:t xml:space="preserve">an </w:t>
      </w:r>
      <w:r w:rsidR="00947FB0">
        <w:rPr>
          <w:rFonts w:ascii="Calibri" w:hAnsi="Calibri"/>
          <w:sz w:val="22"/>
          <w:szCs w:val="28"/>
        </w:rPr>
        <w:t>allowance for base demand, and then to come back to the AER if demand is higher</w:t>
      </w:r>
      <w:r w:rsidR="006E5DC1">
        <w:rPr>
          <w:rFonts w:ascii="Calibri" w:hAnsi="Calibri"/>
          <w:sz w:val="22"/>
          <w:szCs w:val="28"/>
        </w:rPr>
        <w:t xml:space="preserve"> than forecast</w:t>
      </w:r>
      <w:r w:rsidR="00947FB0">
        <w:rPr>
          <w:rFonts w:ascii="Calibri" w:hAnsi="Calibri"/>
          <w:sz w:val="22"/>
          <w:szCs w:val="28"/>
        </w:rPr>
        <w:t>?</w:t>
      </w:r>
    </w:p>
    <w:p w:rsidR="005017F7" w:rsidRDefault="00945C86" w:rsidP="0094362C">
      <w:pPr>
        <w:numPr>
          <w:ilvl w:val="0"/>
          <w:numId w:val="23"/>
        </w:numPr>
        <w:jc w:val="both"/>
        <w:rPr>
          <w:rFonts w:ascii="Calibri" w:hAnsi="Calibri"/>
          <w:sz w:val="22"/>
          <w:szCs w:val="28"/>
        </w:rPr>
      </w:pPr>
      <w:r>
        <w:rPr>
          <w:rFonts w:ascii="Calibri" w:hAnsi="Calibri"/>
          <w:sz w:val="22"/>
          <w:szCs w:val="28"/>
        </w:rPr>
        <w:t xml:space="preserve">CRG members stated a preference for more clarity and clear procedures to be outlined in the </w:t>
      </w:r>
      <w:proofErr w:type="gramStart"/>
      <w:r>
        <w:rPr>
          <w:rFonts w:ascii="Calibri" w:hAnsi="Calibri"/>
          <w:sz w:val="22"/>
          <w:szCs w:val="28"/>
        </w:rPr>
        <w:t>guideline,</w:t>
      </w:r>
      <w:proofErr w:type="gramEnd"/>
      <w:r>
        <w:rPr>
          <w:rFonts w:ascii="Calibri" w:hAnsi="Calibri"/>
          <w:sz w:val="22"/>
          <w:szCs w:val="28"/>
        </w:rPr>
        <w:t xml:space="preserve"> rather than relying on the AER’s discretion at the time of resets</w:t>
      </w:r>
      <w:r w:rsidR="00D528AA">
        <w:rPr>
          <w:rFonts w:ascii="Calibri" w:hAnsi="Calibri"/>
          <w:sz w:val="22"/>
          <w:szCs w:val="28"/>
        </w:rPr>
        <w:t>,</w:t>
      </w:r>
      <w:r>
        <w:rPr>
          <w:rFonts w:ascii="Calibri" w:hAnsi="Calibri"/>
          <w:sz w:val="22"/>
          <w:szCs w:val="28"/>
        </w:rPr>
        <w:t xml:space="preserve"> as </w:t>
      </w:r>
      <w:r w:rsidR="005017F7">
        <w:rPr>
          <w:rFonts w:ascii="Calibri" w:hAnsi="Calibri"/>
          <w:sz w:val="22"/>
          <w:szCs w:val="28"/>
        </w:rPr>
        <w:t>consumers are</w:t>
      </w:r>
      <w:r>
        <w:rPr>
          <w:rFonts w:ascii="Calibri" w:hAnsi="Calibri"/>
          <w:sz w:val="22"/>
          <w:szCs w:val="28"/>
        </w:rPr>
        <w:t xml:space="preserve"> no</w:t>
      </w:r>
      <w:r w:rsidR="005017F7">
        <w:rPr>
          <w:rFonts w:ascii="Calibri" w:hAnsi="Calibri"/>
          <w:sz w:val="22"/>
          <w:szCs w:val="28"/>
        </w:rPr>
        <w:t>t well</w:t>
      </w:r>
      <w:r>
        <w:rPr>
          <w:rFonts w:ascii="Calibri" w:hAnsi="Calibri"/>
          <w:sz w:val="22"/>
          <w:szCs w:val="28"/>
        </w:rPr>
        <w:t xml:space="preserve"> resourced enough to challenge each reset.</w:t>
      </w:r>
    </w:p>
    <w:p w:rsidR="005017F7" w:rsidRDefault="005017F7" w:rsidP="00F217D5">
      <w:pPr>
        <w:jc w:val="both"/>
        <w:rPr>
          <w:rFonts w:ascii="Calibri" w:hAnsi="Calibri"/>
          <w:sz w:val="22"/>
          <w:szCs w:val="28"/>
        </w:rPr>
      </w:pPr>
    </w:p>
    <w:p w:rsidR="005B4410" w:rsidRDefault="005B4410" w:rsidP="00215848">
      <w:pPr>
        <w:keepNext/>
        <w:jc w:val="both"/>
        <w:rPr>
          <w:rFonts w:ascii="Calibri" w:hAnsi="Calibri"/>
          <w:b/>
          <w:szCs w:val="28"/>
        </w:rPr>
      </w:pPr>
      <w:r>
        <w:rPr>
          <w:rFonts w:ascii="Calibri" w:hAnsi="Calibri"/>
          <w:b/>
          <w:szCs w:val="28"/>
        </w:rPr>
        <w:t>5</w:t>
      </w:r>
      <w:r w:rsidRPr="009335E5">
        <w:rPr>
          <w:rFonts w:ascii="Calibri" w:hAnsi="Calibri"/>
          <w:b/>
          <w:szCs w:val="28"/>
        </w:rPr>
        <w:tab/>
      </w:r>
      <w:r w:rsidR="00904D2A">
        <w:rPr>
          <w:rFonts w:ascii="Calibri" w:hAnsi="Calibri"/>
          <w:b/>
          <w:szCs w:val="28"/>
        </w:rPr>
        <w:t>Subgroup report</w:t>
      </w:r>
      <w:r>
        <w:rPr>
          <w:rFonts w:ascii="Calibri" w:hAnsi="Calibri"/>
          <w:b/>
          <w:szCs w:val="28"/>
        </w:rPr>
        <w:t xml:space="preserve">: </w:t>
      </w:r>
      <w:r w:rsidR="00904D2A">
        <w:rPr>
          <w:rFonts w:ascii="Calibri" w:hAnsi="Calibri"/>
          <w:b/>
          <w:szCs w:val="28"/>
        </w:rPr>
        <w:t>Expenditure Forecast Assessment</w:t>
      </w:r>
      <w:r>
        <w:rPr>
          <w:rFonts w:ascii="Calibri" w:hAnsi="Calibri"/>
          <w:b/>
          <w:szCs w:val="28"/>
        </w:rPr>
        <w:t xml:space="preserve"> </w:t>
      </w:r>
    </w:p>
    <w:p w:rsidR="005B4410" w:rsidRDefault="005B4410" w:rsidP="005B4410">
      <w:pPr>
        <w:jc w:val="both"/>
        <w:rPr>
          <w:rFonts w:ascii="Calibri" w:hAnsi="Calibri"/>
          <w:b/>
          <w:szCs w:val="28"/>
        </w:rPr>
      </w:pPr>
    </w:p>
    <w:p w:rsidR="005B4410" w:rsidRDefault="004D027D" w:rsidP="005B4410">
      <w:pPr>
        <w:jc w:val="both"/>
        <w:rPr>
          <w:rFonts w:ascii="Calibri" w:hAnsi="Calibri"/>
          <w:sz w:val="22"/>
          <w:szCs w:val="28"/>
        </w:rPr>
      </w:pPr>
      <w:r>
        <w:rPr>
          <w:rFonts w:ascii="Calibri" w:hAnsi="Calibri"/>
          <w:sz w:val="22"/>
          <w:szCs w:val="28"/>
        </w:rPr>
        <w:t>Lawrence Irlam noted that t</w:t>
      </w:r>
      <w:r w:rsidR="00D822B3">
        <w:rPr>
          <w:rFonts w:ascii="Calibri" w:hAnsi="Calibri"/>
          <w:sz w:val="22"/>
          <w:szCs w:val="28"/>
        </w:rPr>
        <w:t>he current focus of this work</w:t>
      </w:r>
      <w:r w:rsidR="008621FC">
        <w:rPr>
          <w:rFonts w:ascii="Calibri" w:hAnsi="Calibri"/>
          <w:sz w:val="22"/>
          <w:szCs w:val="28"/>
        </w:rPr>
        <w:t xml:space="preserve"> </w:t>
      </w:r>
      <w:r w:rsidR="00D822B3">
        <w:rPr>
          <w:rFonts w:ascii="Calibri" w:hAnsi="Calibri"/>
          <w:sz w:val="22"/>
          <w:szCs w:val="28"/>
        </w:rPr>
        <w:t xml:space="preserve">stream is looking at data requirements and output measures. </w:t>
      </w:r>
    </w:p>
    <w:p w:rsidR="00D822B3" w:rsidRDefault="00D822B3" w:rsidP="005B4410">
      <w:pPr>
        <w:jc w:val="both"/>
        <w:rPr>
          <w:rFonts w:ascii="Calibri" w:hAnsi="Calibri"/>
          <w:sz w:val="22"/>
          <w:szCs w:val="28"/>
        </w:rPr>
      </w:pPr>
    </w:p>
    <w:p w:rsidR="00D822B3" w:rsidRDefault="00D822B3" w:rsidP="005B4410">
      <w:pPr>
        <w:jc w:val="both"/>
        <w:rPr>
          <w:rFonts w:ascii="Calibri" w:hAnsi="Calibri"/>
          <w:sz w:val="22"/>
          <w:szCs w:val="28"/>
        </w:rPr>
      </w:pPr>
      <w:r>
        <w:rPr>
          <w:rFonts w:ascii="Calibri" w:hAnsi="Calibri"/>
          <w:sz w:val="22"/>
          <w:szCs w:val="28"/>
        </w:rPr>
        <w:t>CRG spokesperson</w:t>
      </w:r>
      <w:r w:rsidR="00DC50DA">
        <w:rPr>
          <w:rFonts w:ascii="Calibri" w:hAnsi="Calibri"/>
          <w:sz w:val="22"/>
          <w:szCs w:val="28"/>
        </w:rPr>
        <w:t>,</w:t>
      </w:r>
      <w:r>
        <w:rPr>
          <w:rFonts w:ascii="Calibri" w:hAnsi="Calibri"/>
          <w:sz w:val="22"/>
          <w:szCs w:val="28"/>
        </w:rPr>
        <w:t xml:space="preserve"> Tennan</w:t>
      </w:r>
      <w:r w:rsidR="00C8141F">
        <w:rPr>
          <w:rFonts w:ascii="Calibri" w:hAnsi="Calibri"/>
          <w:sz w:val="22"/>
          <w:szCs w:val="28"/>
        </w:rPr>
        <w:t>t Reed</w:t>
      </w:r>
      <w:r w:rsidR="00DC50DA">
        <w:rPr>
          <w:rFonts w:ascii="Calibri" w:hAnsi="Calibri"/>
          <w:sz w:val="22"/>
          <w:szCs w:val="28"/>
        </w:rPr>
        <w:t>,</w:t>
      </w:r>
      <w:r w:rsidR="00C8141F">
        <w:rPr>
          <w:rFonts w:ascii="Calibri" w:hAnsi="Calibri"/>
          <w:sz w:val="22"/>
          <w:szCs w:val="28"/>
        </w:rPr>
        <w:t xml:space="preserve"> </w:t>
      </w:r>
      <w:r w:rsidR="008621FC">
        <w:rPr>
          <w:rFonts w:ascii="Calibri" w:hAnsi="Calibri"/>
          <w:sz w:val="22"/>
          <w:szCs w:val="28"/>
        </w:rPr>
        <w:t xml:space="preserve">provided </w:t>
      </w:r>
      <w:r w:rsidR="00C8141F">
        <w:rPr>
          <w:rFonts w:ascii="Calibri" w:hAnsi="Calibri"/>
          <w:sz w:val="22"/>
          <w:szCs w:val="28"/>
        </w:rPr>
        <w:t>a summary of key points</w:t>
      </w:r>
      <w:r w:rsidR="006E5DC1">
        <w:rPr>
          <w:rFonts w:ascii="Calibri" w:hAnsi="Calibri"/>
          <w:sz w:val="22"/>
          <w:szCs w:val="28"/>
        </w:rPr>
        <w:t xml:space="preserve"> from the recent subgroup meeting</w:t>
      </w:r>
      <w:r>
        <w:rPr>
          <w:rFonts w:ascii="Calibri" w:hAnsi="Calibri"/>
          <w:sz w:val="22"/>
          <w:szCs w:val="28"/>
        </w:rPr>
        <w:t>:</w:t>
      </w:r>
    </w:p>
    <w:p w:rsidR="00C828C7" w:rsidRDefault="00215848" w:rsidP="00D822B3">
      <w:pPr>
        <w:numPr>
          <w:ilvl w:val="0"/>
          <w:numId w:val="26"/>
        </w:numPr>
        <w:jc w:val="both"/>
        <w:rPr>
          <w:rFonts w:ascii="Calibri" w:hAnsi="Calibri"/>
          <w:sz w:val="22"/>
          <w:szCs w:val="28"/>
        </w:rPr>
      </w:pPr>
      <w:r>
        <w:rPr>
          <w:rFonts w:ascii="Calibri" w:hAnsi="Calibri"/>
          <w:sz w:val="22"/>
          <w:szCs w:val="28"/>
        </w:rPr>
        <w:t>t</w:t>
      </w:r>
      <w:r w:rsidR="00C828C7" w:rsidRPr="00C828C7">
        <w:rPr>
          <w:rFonts w:ascii="Calibri" w:hAnsi="Calibri"/>
          <w:sz w:val="22"/>
          <w:szCs w:val="28"/>
        </w:rPr>
        <w:t xml:space="preserve">he more weight put on </w:t>
      </w:r>
      <w:r w:rsidR="00EC6E07">
        <w:rPr>
          <w:rFonts w:ascii="Calibri" w:hAnsi="Calibri"/>
          <w:sz w:val="22"/>
          <w:szCs w:val="28"/>
        </w:rPr>
        <w:t xml:space="preserve">getting </w:t>
      </w:r>
      <w:r w:rsidR="00C828C7" w:rsidRPr="00C828C7">
        <w:rPr>
          <w:rFonts w:ascii="Calibri" w:hAnsi="Calibri"/>
          <w:sz w:val="22"/>
          <w:szCs w:val="28"/>
        </w:rPr>
        <w:t xml:space="preserve">incentives </w:t>
      </w:r>
      <w:r w:rsidR="00EC6E07">
        <w:rPr>
          <w:rFonts w:ascii="Calibri" w:hAnsi="Calibri"/>
          <w:sz w:val="22"/>
          <w:szCs w:val="28"/>
        </w:rPr>
        <w:t>accurate</w:t>
      </w:r>
      <w:r w:rsidR="00EC6E07" w:rsidRPr="00C828C7">
        <w:rPr>
          <w:rFonts w:ascii="Calibri" w:hAnsi="Calibri"/>
          <w:sz w:val="22"/>
          <w:szCs w:val="28"/>
        </w:rPr>
        <w:t xml:space="preserve"> </w:t>
      </w:r>
      <w:r w:rsidR="00C828C7" w:rsidRPr="00C828C7">
        <w:rPr>
          <w:rFonts w:ascii="Calibri" w:hAnsi="Calibri"/>
          <w:sz w:val="22"/>
          <w:szCs w:val="28"/>
        </w:rPr>
        <w:t xml:space="preserve">the more important </w:t>
      </w:r>
      <w:r w:rsidR="00D528AA">
        <w:rPr>
          <w:rFonts w:ascii="Calibri" w:hAnsi="Calibri"/>
          <w:sz w:val="22"/>
          <w:szCs w:val="28"/>
        </w:rPr>
        <w:t xml:space="preserve">it is </w:t>
      </w:r>
      <w:r w:rsidR="00C828C7" w:rsidRPr="00C828C7">
        <w:rPr>
          <w:rFonts w:ascii="Calibri" w:hAnsi="Calibri"/>
          <w:sz w:val="22"/>
          <w:szCs w:val="28"/>
        </w:rPr>
        <w:t xml:space="preserve">to get </w:t>
      </w:r>
      <w:r w:rsidR="00EC6E07">
        <w:rPr>
          <w:rFonts w:ascii="Calibri" w:hAnsi="Calibri"/>
          <w:sz w:val="22"/>
          <w:szCs w:val="28"/>
        </w:rPr>
        <w:t xml:space="preserve">expenditure </w:t>
      </w:r>
      <w:r w:rsidR="00C828C7" w:rsidRPr="00C828C7">
        <w:rPr>
          <w:rFonts w:ascii="Calibri" w:hAnsi="Calibri"/>
          <w:sz w:val="22"/>
          <w:szCs w:val="28"/>
        </w:rPr>
        <w:t xml:space="preserve">forecast </w:t>
      </w:r>
      <w:r w:rsidR="00EC6E07">
        <w:rPr>
          <w:rFonts w:ascii="Calibri" w:hAnsi="Calibri"/>
          <w:sz w:val="22"/>
          <w:szCs w:val="28"/>
        </w:rPr>
        <w:t>accurate</w:t>
      </w:r>
    </w:p>
    <w:p w:rsidR="00C8141F" w:rsidRDefault="00C8141F" w:rsidP="00D822B3">
      <w:pPr>
        <w:numPr>
          <w:ilvl w:val="0"/>
          <w:numId w:val="26"/>
        </w:numPr>
        <w:jc w:val="both"/>
        <w:rPr>
          <w:rFonts w:ascii="Calibri" w:hAnsi="Calibri"/>
          <w:sz w:val="22"/>
          <w:szCs w:val="28"/>
        </w:rPr>
      </w:pPr>
      <w:r>
        <w:rPr>
          <w:rFonts w:ascii="Calibri" w:hAnsi="Calibri"/>
          <w:sz w:val="22"/>
          <w:szCs w:val="28"/>
        </w:rPr>
        <w:t>NSPs</w:t>
      </w:r>
      <w:r w:rsidR="00B0085B">
        <w:rPr>
          <w:rFonts w:ascii="Calibri" w:hAnsi="Calibri"/>
          <w:sz w:val="22"/>
          <w:szCs w:val="28"/>
        </w:rPr>
        <w:t xml:space="preserve"> are concerned that data requirements will be difficult and expensive to provide – but they should already be collecting the information</w:t>
      </w:r>
    </w:p>
    <w:p w:rsidR="00B0085B" w:rsidRDefault="00EC6E07" w:rsidP="00D822B3">
      <w:pPr>
        <w:numPr>
          <w:ilvl w:val="0"/>
          <w:numId w:val="26"/>
        </w:numPr>
        <w:jc w:val="both"/>
        <w:rPr>
          <w:rFonts w:ascii="Calibri" w:hAnsi="Calibri"/>
          <w:sz w:val="22"/>
          <w:szCs w:val="28"/>
        </w:rPr>
      </w:pPr>
      <w:r>
        <w:rPr>
          <w:rFonts w:ascii="Calibri" w:hAnsi="Calibri"/>
          <w:sz w:val="22"/>
          <w:szCs w:val="28"/>
        </w:rPr>
        <w:t>the expenditure forecast assessment team n</w:t>
      </w:r>
      <w:r w:rsidR="00B0085B">
        <w:rPr>
          <w:rFonts w:ascii="Calibri" w:hAnsi="Calibri"/>
          <w:sz w:val="22"/>
          <w:szCs w:val="28"/>
        </w:rPr>
        <w:t>eed</w:t>
      </w:r>
      <w:r>
        <w:rPr>
          <w:rFonts w:ascii="Calibri" w:hAnsi="Calibri"/>
          <w:sz w:val="22"/>
          <w:szCs w:val="28"/>
        </w:rPr>
        <w:t>s</w:t>
      </w:r>
      <w:r w:rsidR="00B0085B">
        <w:rPr>
          <w:rFonts w:ascii="Calibri" w:hAnsi="Calibri"/>
          <w:sz w:val="22"/>
          <w:szCs w:val="28"/>
        </w:rPr>
        <w:t xml:space="preserve"> to liaise with confidentiality </w:t>
      </w:r>
      <w:r w:rsidR="008621FC">
        <w:rPr>
          <w:rFonts w:ascii="Calibri" w:hAnsi="Calibri"/>
          <w:sz w:val="22"/>
          <w:szCs w:val="28"/>
        </w:rPr>
        <w:t>work stream</w:t>
      </w:r>
      <w:r w:rsidR="00B0085B">
        <w:rPr>
          <w:rFonts w:ascii="Calibri" w:hAnsi="Calibri"/>
          <w:sz w:val="22"/>
          <w:szCs w:val="28"/>
        </w:rPr>
        <w:t xml:space="preserve"> to ensure there are no roadblocks to obtaining the necessary information</w:t>
      </w:r>
    </w:p>
    <w:p w:rsidR="00B0085B" w:rsidRDefault="00215848" w:rsidP="00B0085B">
      <w:pPr>
        <w:numPr>
          <w:ilvl w:val="0"/>
          <w:numId w:val="26"/>
        </w:numPr>
        <w:jc w:val="both"/>
        <w:rPr>
          <w:rFonts w:ascii="Calibri" w:hAnsi="Calibri"/>
          <w:sz w:val="22"/>
          <w:szCs w:val="28"/>
        </w:rPr>
      </w:pPr>
      <w:proofErr w:type="gramStart"/>
      <w:r>
        <w:rPr>
          <w:rFonts w:ascii="Calibri" w:hAnsi="Calibri"/>
          <w:sz w:val="22"/>
          <w:szCs w:val="28"/>
        </w:rPr>
        <w:t>a</w:t>
      </w:r>
      <w:proofErr w:type="gramEnd"/>
      <w:r w:rsidR="00EC6E07">
        <w:rPr>
          <w:rFonts w:ascii="Calibri" w:hAnsi="Calibri"/>
          <w:sz w:val="22"/>
          <w:szCs w:val="28"/>
        </w:rPr>
        <w:t xml:space="preserve"> difficulty</w:t>
      </w:r>
      <w:r w:rsidR="00B0085B" w:rsidRPr="00B0085B">
        <w:rPr>
          <w:rFonts w:ascii="Calibri" w:hAnsi="Calibri"/>
          <w:sz w:val="22"/>
          <w:szCs w:val="28"/>
        </w:rPr>
        <w:t xml:space="preserve"> with benchmark</w:t>
      </w:r>
      <w:r w:rsidR="00B0085B">
        <w:rPr>
          <w:rFonts w:ascii="Calibri" w:hAnsi="Calibri"/>
          <w:sz w:val="22"/>
          <w:szCs w:val="28"/>
        </w:rPr>
        <w:t>ing</w:t>
      </w:r>
      <w:r w:rsidR="00EC6E07">
        <w:rPr>
          <w:rFonts w:ascii="Calibri" w:hAnsi="Calibri"/>
          <w:sz w:val="22"/>
          <w:szCs w:val="28"/>
        </w:rPr>
        <w:t xml:space="preserve"> is that not all businesses are the same. Differences include </w:t>
      </w:r>
      <w:r w:rsidR="00EC6E07" w:rsidRPr="00EC6E07">
        <w:rPr>
          <w:rFonts w:ascii="Calibri" w:hAnsi="Calibri"/>
          <w:sz w:val="22"/>
          <w:szCs w:val="28"/>
        </w:rPr>
        <w:t>urban/rural, customer and energy density, climate factors</w:t>
      </w:r>
      <w:r w:rsidR="00EC6E07">
        <w:rPr>
          <w:rFonts w:ascii="Calibri" w:hAnsi="Calibri"/>
          <w:sz w:val="22"/>
          <w:szCs w:val="28"/>
        </w:rPr>
        <w:t xml:space="preserve">. The AER needs to consider which differences </w:t>
      </w:r>
      <w:proofErr w:type="gramStart"/>
      <w:r w:rsidR="00EC6E07">
        <w:rPr>
          <w:rFonts w:ascii="Calibri" w:hAnsi="Calibri"/>
          <w:sz w:val="22"/>
          <w:szCs w:val="28"/>
        </w:rPr>
        <w:t>are material</w:t>
      </w:r>
      <w:proofErr w:type="gramEnd"/>
      <w:r w:rsidR="00EC6E07">
        <w:rPr>
          <w:rFonts w:ascii="Calibri" w:hAnsi="Calibri"/>
          <w:sz w:val="22"/>
          <w:szCs w:val="28"/>
        </w:rPr>
        <w:t>.</w:t>
      </w:r>
    </w:p>
    <w:p w:rsidR="00C828C7" w:rsidRDefault="00215848" w:rsidP="005B4410">
      <w:pPr>
        <w:numPr>
          <w:ilvl w:val="0"/>
          <w:numId w:val="26"/>
        </w:numPr>
        <w:jc w:val="both"/>
        <w:rPr>
          <w:rFonts w:ascii="Calibri" w:hAnsi="Calibri"/>
          <w:sz w:val="22"/>
          <w:szCs w:val="28"/>
        </w:rPr>
      </w:pPr>
      <w:proofErr w:type="gramStart"/>
      <w:r>
        <w:rPr>
          <w:rFonts w:ascii="Calibri" w:hAnsi="Calibri"/>
          <w:sz w:val="22"/>
          <w:szCs w:val="28"/>
        </w:rPr>
        <w:t>t</w:t>
      </w:r>
      <w:r w:rsidR="00EC6E07">
        <w:rPr>
          <w:rFonts w:ascii="Calibri" w:hAnsi="Calibri"/>
          <w:sz w:val="22"/>
          <w:szCs w:val="28"/>
        </w:rPr>
        <w:t>he</w:t>
      </w:r>
      <w:proofErr w:type="gramEnd"/>
      <w:r w:rsidR="00EC6E07">
        <w:rPr>
          <w:rFonts w:ascii="Calibri" w:hAnsi="Calibri"/>
          <w:sz w:val="22"/>
          <w:szCs w:val="28"/>
        </w:rPr>
        <w:t xml:space="preserve"> AER is looking for </w:t>
      </w:r>
      <w:r w:rsidR="00B0085B" w:rsidRPr="00B0085B">
        <w:rPr>
          <w:rFonts w:ascii="Calibri" w:hAnsi="Calibri"/>
          <w:sz w:val="22"/>
          <w:szCs w:val="28"/>
        </w:rPr>
        <w:t>feedback</w:t>
      </w:r>
      <w:r w:rsidR="00EC6E07">
        <w:rPr>
          <w:rFonts w:ascii="Calibri" w:hAnsi="Calibri"/>
          <w:sz w:val="22"/>
          <w:szCs w:val="28"/>
        </w:rPr>
        <w:t xml:space="preserve"> from consumers</w:t>
      </w:r>
      <w:r w:rsidR="00B0085B" w:rsidRPr="00B0085B">
        <w:rPr>
          <w:rFonts w:ascii="Calibri" w:hAnsi="Calibri"/>
          <w:sz w:val="22"/>
          <w:szCs w:val="28"/>
        </w:rPr>
        <w:t xml:space="preserve"> on</w:t>
      </w:r>
      <w:r w:rsidR="00EC6E07">
        <w:rPr>
          <w:rFonts w:ascii="Calibri" w:hAnsi="Calibri"/>
          <w:sz w:val="22"/>
          <w:szCs w:val="28"/>
        </w:rPr>
        <w:t xml:space="preserve"> the</w:t>
      </w:r>
      <w:r w:rsidR="00B0085B" w:rsidRPr="00B0085B">
        <w:rPr>
          <w:rFonts w:ascii="Calibri" w:hAnsi="Calibri"/>
          <w:sz w:val="22"/>
          <w:szCs w:val="28"/>
        </w:rPr>
        <w:t xml:space="preserve"> proposed outputs to be measured. </w:t>
      </w:r>
    </w:p>
    <w:p w:rsidR="0070318E" w:rsidRPr="00B0085B" w:rsidRDefault="00215848" w:rsidP="005B4410">
      <w:pPr>
        <w:numPr>
          <w:ilvl w:val="0"/>
          <w:numId w:val="26"/>
        </w:numPr>
        <w:jc w:val="both"/>
        <w:rPr>
          <w:rFonts w:ascii="Calibri" w:hAnsi="Calibri"/>
          <w:sz w:val="22"/>
          <w:szCs w:val="28"/>
        </w:rPr>
      </w:pPr>
      <w:proofErr w:type="gramStart"/>
      <w:r>
        <w:rPr>
          <w:rFonts w:ascii="Calibri" w:hAnsi="Calibri"/>
          <w:sz w:val="22"/>
          <w:szCs w:val="28"/>
        </w:rPr>
        <w:t>b</w:t>
      </w:r>
      <w:r w:rsidR="0070318E">
        <w:rPr>
          <w:rFonts w:ascii="Calibri" w:hAnsi="Calibri"/>
          <w:sz w:val="22"/>
          <w:szCs w:val="28"/>
        </w:rPr>
        <w:t>enchmarking</w:t>
      </w:r>
      <w:proofErr w:type="gramEnd"/>
      <w:r w:rsidR="0070318E">
        <w:rPr>
          <w:rFonts w:ascii="Calibri" w:hAnsi="Calibri"/>
          <w:sz w:val="22"/>
          <w:szCs w:val="28"/>
        </w:rPr>
        <w:t xml:space="preserve"> relies on data which NSPs provide which </w:t>
      </w:r>
      <w:r w:rsidR="00EC6E07">
        <w:rPr>
          <w:rFonts w:ascii="Calibri" w:hAnsi="Calibri"/>
          <w:sz w:val="22"/>
          <w:szCs w:val="28"/>
        </w:rPr>
        <w:t>raises issues around the reliability of the data.</w:t>
      </w:r>
    </w:p>
    <w:p w:rsidR="00FC3EEF" w:rsidRDefault="00FC3EEF" w:rsidP="005B4410">
      <w:pPr>
        <w:jc w:val="both"/>
        <w:rPr>
          <w:rFonts w:ascii="Calibri" w:hAnsi="Calibri"/>
          <w:sz w:val="22"/>
          <w:szCs w:val="28"/>
        </w:rPr>
      </w:pPr>
    </w:p>
    <w:p w:rsidR="00FC3EEF" w:rsidRDefault="00B0085B" w:rsidP="005B4410">
      <w:pPr>
        <w:jc w:val="both"/>
        <w:rPr>
          <w:rFonts w:ascii="Calibri" w:hAnsi="Calibri"/>
          <w:sz w:val="22"/>
          <w:szCs w:val="28"/>
        </w:rPr>
      </w:pPr>
      <w:r>
        <w:rPr>
          <w:rFonts w:ascii="Calibri" w:hAnsi="Calibri"/>
          <w:sz w:val="22"/>
          <w:szCs w:val="28"/>
        </w:rPr>
        <w:t>NSPs can always argue their revealed costs should be different going forward in a rese</w:t>
      </w:r>
      <w:r w:rsidR="00215848">
        <w:rPr>
          <w:rFonts w:ascii="Calibri" w:hAnsi="Calibri"/>
          <w:sz w:val="22"/>
          <w:szCs w:val="28"/>
        </w:rPr>
        <w:t>t—</w:t>
      </w:r>
      <w:r>
        <w:rPr>
          <w:rFonts w:ascii="Calibri" w:hAnsi="Calibri"/>
          <w:sz w:val="22"/>
          <w:szCs w:val="28"/>
        </w:rPr>
        <w:t>c</w:t>
      </w:r>
      <w:r w:rsidR="00FC3EEF">
        <w:rPr>
          <w:rFonts w:ascii="Calibri" w:hAnsi="Calibri"/>
          <w:sz w:val="22"/>
          <w:szCs w:val="28"/>
        </w:rPr>
        <w:t xml:space="preserve">omparison will </w:t>
      </w:r>
      <w:r w:rsidR="00215848">
        <w:rPr>
          <w:rFonts w:ascii="Calibri" w:hAnsi="Calibri"/>
          <w:sz w:val="22"/>
          <w:szCs w:val="28"/>
        </w:rPr>
        <w:t xml:space="preserve">be informative in </w:t>
      </w:r>
      <w:r w:rsidR="00FC3EEF">
        <w:rPr>
          <w:rFonts w:ascii="Calibri" w:hAnsi="Calibri"/>
          <w:sz w:val="22"/>
          <w:szCs w:val="28"/>
        </w:rPr>
        <w:t xml:space="preserve">this debate. </w:t>
      </w:r>
      <w:r w:rsidR="0070318E">
        <w:rPr>
          <w:rFonts w:ascii="Calibri" w:hAnsi="Calibri"/>
          <w:sz w:val="22"/>
          <w:szCs w:val="28"/>
        </w:rPr>
        <w:t xml:space="preserve">Benchmarking is difficult and may not be perfect, but it is a good way forward </w:t>
      </w:r>
      <w:r w:rsidR="00FC3EEF">
        <w:rPr>
          <w:rFonts w:ascii="Calibri" w:hAnsi="Calibri"/>
          <w:sz w:val="22"/>
          <w:szCs w:val="28"/>
        </w:rPr>
        <w:t xml:space="preserve">to get </w:t>
      </w:r>
      <w:r w:rsidR="00403A7C">
        <w:rPr>
          <w:rFonts w:ascii="Calibri" w:hAnsi="Calibri"/>
          <w:sz w:val="22"/>
          <w:szCs w:val="28"/>
        </w:rPr>
        <w:t>competition</w:t>
      </w:r>
      <w:r w:rsidR="00FC3EEF">
        <w:rPr>
          <w:rFonts w:ascii="Calibri" w:hAnsi="Calibri"/>
          <w:sz w:val="22"/>
          <w:szCs w:val="28"/>
        </w:rPr>
        <w:t xml:space="preserve"> by comparison</w:t>
      </w:r>
      <w:r w:rsidR="0070318E">
        <w:rPr>
          <w:rFonts w:ascii="Calibri" w:hAnsi="Calibri"/>
          <w:sz w:val="22"/>
          <w:szCs w:val="28"/>
        </w:rPr>
        <w:t xml:space="preserve">. Currently, </w:t>
      </w:r>
      <w:r w:rsidR="00215848">
        <w:rPr>
          <w:rFonts w:ascii="Calibri" w:hAnsi="Calibri"/>
          <w:sz w:val="22"/>
          <w:szCs w:val="28"/>
        </w:rPr>
        <w:t xml:space="preserve">NSPs </w:t>
      </w:r>
      <w:r w:rsidR="0070318E">
        <w:rPr>
          <w:rFonts w:ascii="Calibri" w:hAnsi="Calibri"/>
          <w:sz w:val="22"/>
          <w:szCs w:val="28"/>
        </w:rPr>
        <w:t xml:space="preserve">are rewarded for their performance relative to past performance but spending their allowance does not mean they are efficient. </w:t>
      </w:r>
    </w:p>
    <w:p w:rsidR="00FC3EEF" w:rsidRDefault="00FC3EEF" w:rsidP="005B4410">
      <w:pPr>
        <w:jc w:val="both"/>
        <w:rPr>
          <w:rFonts w:ascii="Calibri" w:hAnsi="Calibri"/>
          <w:sz w:val="22"/>
          <w:szCs w:val="28"/>
        </w:rPr>
      </w:pPr>
    </w:p>
    <w:p w:rsidR="00403A7C" w:rsidRDefault="0070318E" w:rsidP="005B4410">
      <w:pPr>
        <w:jc w:val="both"/>
        <w:rPr>
          <w:rFonts w:ascii="Calibri" w:hAnsi="Calibri"/>
          <w:sz w:val="22"/>
          <w:szCs w:val="28"/>
        </w:rPr>
      </w:pPr>
      <w:r>
        <w:rPr>
          <w:rFonts w:ascii="Calibri" w:hAnsi="Calibri"/>
          <w:sz w:val="22"/>
          <w:szCs w:val="28"/>
        </w:rPr>
        <w:t xml:space="preserve">The </w:t>
      </w:r>
      <w:r w:rsidR="00D528AA">
        <w:rPr>
          <w:rFonts w:ascii="Calibri" w:hAnsi="Calibri"/>
          <w:sz w:val="22"/>
          <w:szCs w:val="28"/>
        </w:rPr>
        <w:t>C</w:t>
      </w:r>
      <w:r>
        <w:rPr>
          <w:rFonts w:ascii="Calibri" w:hAnsi="Calibri"/>
          <w:sz w:val="22"/>
          <w:szCs w:val="28"/>
        </w:rPr>
        <w:t>hairman note</w:t>
      </w:r>
      <w:r w:rsidR="00215848">
        <w:rPr>
          <w:rFonts w:ascii="Calibri" w:hAnsi="Calibri"/>
          <w:sz w:val="22"/>
          <w:szCs w:val="28"/>
        </w:rPr>
        <w:t>d</w:t>
      </w:r>
      <w:r>
        <w:rPr>
          <w:rFonts w:ascii="Calibri" w:hAnsi="Calibri"/>
          <w:sz w:val="22"/>
          <w:szCs w:val="28"/>
        </w:rPr>
        <w:t xml:space="preserve"> that the AER will place more weight on revealed</w:t>
      </w:r>
      <w:r w:rsidR="00403A7C">
        <w:rPr>
          <w:rFonts w:ascii="Calibri" w:hAnsi="Calibri"/>
          <w:sz w:val="22"/>
          <w:szCs w:val="28"/>
        </w:rPr>
        <w:t xml:space="preserve"> costs if</w:t>
      </w:r>
      <w:r w:rsidR="00215848">
        <w:rPr>
          <w:rFonts w:ascii="Calibri" w:hAnsi="Calibri"/>
          <w:sz w:val="22"/>
          <w:szCs w:val="28"/>
        </w:rPr>
        <w:t xml:space="preserve"> the</w:t>
      </w:r>
      <w:r w:rsidR="00403A7C">
        <w:rPr>
          <w:rFonts w:ascii="Calibri" w:hAnsi="Calibri"/>
          <w:sz w:val="22"/>
          <w:szCs w:val="28"/>
        </w:rPr>
        <w:t xml:space="preserve"> starting point is </w:t>
      </w:r>
      <w:r>
        <w:rPr>
          <w:rFonts w:ascii="Calibri" w:hAnsi="Calibri"/>
          <w:sz w:val="22"/>
          <w:szCs w:val="28"/>
        </w:rPr>
        <w:t xml:space="preserve">considered </w:t>
      </w:r>
      <w:r w:rsidR="00403A7C">
        <w:rPr>
          <w:rFonts w:ascii="Calibri" w:hAnsi="Calibri"/>
          <w:sz w:val="22"/>
          <w:szCs w:val="28"/>
        </w:rPr>
        <w:t xml:space="preserve">efficient. If </w:t>
      </w:r>
      <w:r w:rsidR="00215848">
        <w:rPr>
          <w:rFonts w:ascii="Calibri" w:hAnsi="Calibri"/>
          <w:sz w:val="22"/>
          <w:szCs w:val="28"/>
        </w:rPr>
        <w:t xml:space="preserve">it is </w:t>
      </w:r>
      <w:r w:rsidR="00403A7C">
        <w:rPr>
          <w:rFonts w:ascii="Calibri" w:hAnsi="Calibri"/>
          <w:sz w:val="22"/>
          <w:szCs w:val="28"/>
        </w:rPr>
        <w:t xml:space="preserve">not </w:t>
      </w:r>
      <w:r w:rsidR="00215848">
        <w:rPr>
          <w:rFonts w:ascii="Calibri" w:hAnsi="Calibri"/>
          <w:sz w:val="22"/>
          <w:szCs w:val="28"/>
        </w:rPr>
        <w:t xml:space="preserve">considered to be </w:t>
      </w:r>
      <w:r w:rsidR="00403A7C">
        <w:rPr>
          <w:rFonts w:ascii="Calibri" w:hAnsi="Calibri"/>
          <w:sz w:val="22"/>
          <w:szCs w:val="28"/>
        </w:rPr>
        <w:t xml:space="preserve">efficient, </w:t>
      </w:r>
      <w:r w:rsidR="00215848">
        <w:rPr>
          <w:rFonts w:ascii="Calibri" w:hAnsi="Calibri"/>
          <w:sz w:val="22"/>
          <w:szCs w:val="28"/>
        </w:rPr>
        <w:t xml:space="preserve">then the AER will </w:t>
      </w:r>
      <w:r w:rsidR="00403A7C">
        <w:rPr>
          <w:rFonts w:ascii="Calibri" w:hAnsi="Calibri"/>
          <w:sz w:val="22"/>
          <w:szCs w:val="28"/>
        </w:rPr>
        <w:t xml:space="preserve">put more weight on benchmarking. </w:t>
      </w:r>
    </w:p>
    <w:p w:rsidR="00403A7C" w:rsidRDefault="00403A7C" w:rsidP="0033557A">
      <w:pPr>
        <w:jc w:val="both"/>
        <w:rPr>
          <w:rFonts w:ascii="Calibri" w:hAnsi="Calibri"/>
          <w:b/>
          <w:szCs w:val="28"/>
        </w:rPr>
      </w:pPr>
    </w:p>
    <w:p w:rsidR="0033557A" w:rsidRDefault="0033557A" w:rsidP="0033557A">
      <w:pPr>
        <w:jc w:val="both"/>
        <w:rPr>
          <w:rFonts w:ascii="Calibri" w:hAnsi="Calibri"/>
          <w:b/>
          <w:szCs w:val="28"/>
        </w:rPr>
      </w:pPr>
      <w:r>
        <w:rPr>
          <w:rFonts w:ascii="Calibri" w:hAnsi="Calibri"/>
          <w:b/>
          <w:szCs w:val="28"/>
        </w:rPr>
        <w:t>6</w:t>
      </w:r>
      <w:r w:rsidRPr="009335E5">
        <w:rPr>
          <w:rFonts w:ascii="Calibri" w:hAnsi="Calibri"/>
          <w:b/>
          <w:szCs w:val="28"/>
        </w:rPr>
        <w:tab/>
      </w:r>
      <w:r w:rsidR="00904D2A">
        <w:rPr>
          <w:rFonts w:ascii="Calibri" w:hAnsi="Calibri"/>
          <w:b/>
          <w:szCs w:val="28"/>
        </w:rPr>
        <w:t>Subgroup report</w:t>
      </w:r>
      <w:r>
        <w:rPr>
          <w:rFonts w:ascii="Calibri" w:hAnsi="Calibri"/>
          <w:b/>
          <w:szCs w:val="28"/>
        </w:rPr>
        <w:t xml:space="preserve">: </w:t>
      </w:r>
      <w:r w:rsidR="00904D2A">
        <w:rPr>
          <w:rFonts w:ascii="Calibri" w:hAnsi="Calibri"/>
          <w:b/>
          <w:szCs w:val="28"/>
        </w:rPr>
        <w:t xml:space="preserve">Confidentiality </w:t>
      </w:r>
    </w:p>
    <w:p w:rsidR="0033557A" w:rsidRDefault="0033557A" w:rsidP="0033557A">
      <w:pPr>
        <w:jc w:val="both"/>
        <w:rPr>
          <w:rFonts w:ascii="Calibri" w:hAnsi="Calibri"/>
          <w:b/>
          <w:szCs w:val="28"/>
        </w:rPr>
      </w:pPr>
    </w:p>
    <w:p w:rsidR="00026DEB" w:rsidRDefault="00EC6E07" w:rsidP="00403A7C">
      <w:pPr>
        <w:jc w:val="both"/>
        <w:rPr>
          <w:rFonts w:ascii="Calibri" w:hAnsi="Calibri"/>
          <w:sz w:val="22"/>
          <w:szCs w:val="28"/>
        </w:rPr>
      </w:pPr>
      <w:r>
        <w:rPr>
          <w:rFonts w:ascii="Calibri" w:hAnsi="Calibri"/>
          <w:sz w:val="22"/>
          <w:szCs w:val="28"/>
        </w:rPr>
        <w:t>T</w:t>
      </w:r>
      <w:r w:rsidR="00026DEB">
        <w:rPr>
          <w:rFonts w:ascii="Calibri" w:hAnsi="Calibri"/>
          <w:sz w:val="22"/>
          <w:szCs w:val="28"/>
        </w:rPr>
        <w:t>he confidentiality</w:t>
      </w:r>
      <w:r w:rsidR="00403A7C">
        <w:rPr>
          <w:rFonts w:ascii="Calibri" w:hAnsi="Calibri"/>
          <w:sz w:val="22"/>
          <w:szCs w:val="28"/>
        </w:rPr>
        <w:t xml:space="preserve"> guideline </w:t>
      </w:r>
      <w:r w:rsidR="00026DEB">
        <w:rPr>
          <w:rFonts w:ascii="Calibri" w:hAnsi="Calibri"/>
          <w:sz w:val="22"/>
          <w:szCs w:val="28"/>
        </w:rPr>
        <w:t xml:space="preserve">is binding, and applies to </w:t>
      </w:r>
      <w:r w:rsidR="00403A7C">
        <w:rPr>
          <w:rFonts w:ascii="Calibri" w:hAnsi="Calibri"/>
          <w:sz w:val="22"/>
          <w:szCs w:val="28"/>
        </w:rPr>
        <w:t xml:space="preserve">both transmission and distribution </w:t>
      </w:r>
      <w:r>
        <w:rPr>
          <w:rFonts w:ascii="Calibri" w:hAnsi="Calibri"/>
          <w:sz w:val="22"/>
          <w:szCs w:val="28"/>
        </w:rPr>
        <w:t>businesses</w:t>
      </w:r>
      <w:r w:rsidR="00403A7C">
        <w:rPr>
          <w:rFonts w:ascii="Calibri" w:hAnsi="Calibri"/>
          <w:sz w:val="22"/>
          <w:szCs w:val="28"/>
        </w:rPr>
        <w:t>.</w:t>
      </w:r>
      <w:r>
        <w:rPr>
          <w:rFonts w:ascii="Calibri" w:hAnsi="Calibri"/>
          <w:sz w:val="22"/>
          <w:szCs w:val="28"/>
        </w:rPr>
        <w:t xml:space="preserve"> There needs to be a balance between public accountability and business needs. Compared to the past, the AER expects more to be made public. The AER proposes to identify categories of information which will be</w:t>
      </w:r>
      <w:r w:rsidR="00D528AA">
        <w:rPr>
          <w:rFonts w:ascii="Calibri" w:hAnsi="Calibri"/>
          <w:sz w:val="22"/>
          <w:szCs w:val="28"/>
        </w:rPr>
        <w:t xml:space="preserve"> either</w:t>
      </w:r>
      <w:r>
        <w:rPr>
          <w:rFonts w:ascii="Calibri" w:hAnsi="Calibri"/>
          <w:sz w:val="22"/>
          <w:szCs w:val="28"/>
        </w:rPr>
        <w:t xml:space="preserve"> confidential or not confidential.</w:t>
      </w:r>
    </w:p>
    <w:p w:rsidR="00AE1AFE" w:rsidRDefault="00AE1AFE" w:rsidP="00403A7C">
      <w:pPr>
        <w:jc w:val="both"/>
        <w:rPr>
          <w:rFonts w:ascii="Calibri" w:hAnsi="Calibri"/>
          <w:sz w:val="22"/>
          <w:szCs w:val="28"/>
        </w:rPr>
      </w:pPr>
    </w:p>
    <w:p w:rsidR="00AE1AFE" w:rsidRDefault="00026DEB" w:rsidP="00403A7C">
      <w:pPr>
        <w:jc w:val="both"/>
        <w:rPr>
          <w:rFonts w:ascii="Calibri" w:hAnsi="Calibri"/>
          <w:sz w:val="22"/>
          <w:szCs w:val="28"/>
        </w:rPr>
      </w:pPr>
      <w:r>
        <w:rPr>
          <w:rFonts w:ascii="Calibri" w:hAnsi="Calibri"/>
          <w:sz w:val="22"/>
          <w:szCs w:val="28"/>
        </w:rPr>
        <w:t>Graham Mawer, the CRG spokesperson, raised the following issues as being important to consumers:</w:t>
      </w:r>
    </w:p>
    <w:p w:rsidR="00AE1AFE" w:rsidRDefault="00215848" w:rsidP="00AE1AFE">
      <w:pPr>
        <w:numPr>
          <w:ilvl w:val="0"/>
          <w:numId w:val="19"/>
        </w:numPr>
        <w:jc w:val="both"/>
        <w:rPr>
          <w:rFonts w:ascii="Calibri" w:hAnsi="Calibri"/>
          <w:sz w:val="22"/>
          <w:szCs w:val="28"/>
        </w:rPr>
      </w:pPr>
      <w:r>
        <w:rPr>
          <w:rFonts w:ascii="Calibri" w:hAnsi="Calibri"/>
          <w:sz w:val="22"/>
          <w:szCs w:val="28"/>
        </w:rPr>
        <w:t>t</w:t>
      </w:r>
      <w:r w:rsidR="00EC6E07">
        <w:rPr>
          <w:rFonts w:ascii="Calibri" w:hAnsi="Calibri"/>
          <w:sz w:val="22"/>
          <w:szCs w:val="28"/>
        </w:rPr>
        <w:t>he guideline m</w:t>
      </w:r>
      <w:r w:rsidR="00026DEB">
        <w:rPr>
          <w:rFonts w:ascii="Calibri" w:hAnsi="Calibri"/>
          <w:sz w:val="22"/>
          <w:szCs w:val="28"/>
        </w:rPr>
        <w:t>ust</w:t>
      </w:r>
      <w:r w:rsidR="00AE1AFE">
        <w:rPr>
          <w:rFonts w:ascii="Calibri" w:hAnsi="Calibri"/>
          <w:sz w:val="22"/>
          <w:szCs w:val="28"/>
        </w:rPr>
        <w:t xml:space="preserve"> consider impact on consumers</w:t>
      </w:r>
      <w:r w:rsidR="00026DEB">
        <w:rPr>
          <w:rFonts w:ascii="Calibri" w:hAnsi="Calibri"/>
          <w:sz w:val="22"/>
          <w:szCs w:val="28"/>
        </w:rPr>
        <w:t xml:space="preserve"> when assessing confidentiality claims</w:t>
      </w:r>
    </w:p>
    <w:p w:rsidR="00AE1AFE" w:rsidRDefault="00215848" w:rsidP="00AE1AFE">
      <w:pPr>
        <w:numPr>
          <w:ilvl w:val="0"/>
          <w:numId w:val="19"/>
        </w:numPr>
        <w:jc w:val="both"/>
        <w:rPr>
          <w:rFonts w:ascii="Calibri" w:hAnsi="Calibri"/>
          <w:sz w:val="22"/>
          <w:szCs w:val="28"/>
        </w:rPr>
      </w:pPr>
      <w:r>
        <w:rPr>
          <w:rFonts w:ascii="Calibri" w:hAnsi="Calibri"/>
          <w:sz w:val="22"/>
          <w:szCs w:val="28"/>
        </w:rPr>
        <w:t>t</w:t>
      </w:r>
      <w:r w:rsidR="00EC6E07">
        <w:rPr>
          <w:rFonts w:ascii="Calibri" w:hAnsi="Calibri"/>
          <w:sz w:val="22"/>
          <w:szCs w:val="28"/>
        </w:rPr>
        <w:t>he b</w:t>
      </w:r>
      <w:r w:rsidR="00AE1AFE">
        <w:rPr>
          <w:rFonts w:ascii="Calibri" w:hAnsi="Calibri"/>
          <w:sz w:val="22"/>
          <w:szCs w:val="28"/>
        </w:rPr>
        <w:t xml:space="preserve">urden of proof </w:t>
      </w:r>
      <w:r w:rsidR="00EC6E07">
        <w:rPr>
          <w:rFonts w:ascii="Calibri" w:hAnsi="Calibri"/>
          <w:sz w:val="22"/>
          <w:szCs w:val="28"/>
        </w:rPr>
        <w:t xml:space="preserve">should be </w:t>
      </w:r>
      <w:r w:rsidR="00026DEB">
        <w:rPr>
          <w:rFonts w:ascii="Calibri" w:hAnsi="Calibri"/>
          <w:sz w:val="22"/>
          <w:szCs w:val="28"/>
        </w:rPr>
        <w:t xml:space="preserve">on the </w:t>
      </w:r>
      <w:r>
        <w:rPr>
          <w:rFonts w:ascii="Calibri" w:hAnsi="Calibri"/>
          <w:sz w:val="22"/>
          <w:szCs w:val="28"/>
        </w:rPr>
        <w:t>NSP</w:t>
      </w:r>
      <w:r w:rsidR="00026DEB">
        <w:rPr>
          <w:rFonts w:ascii="Calibri" w:hAnsi="Calibri"/>
          <w:sz w:val="22"/>
          <w:szCs w:val="28"/>
        </w:rPr>
        <w:t xml:space="preserve"> (not the AER or consumers)</w:t>
      </w:r>
    </w:p>
    <w:p w:rsidR="00AE1AFE" w:rsidRDefault="00215848" w:rsidP="00AE1AFE">
      <w:pPr>
        <w:numPr>
          <w:ilvl w:val="0"/>
          <w:numId w:val="19"/>
        </w:numPr>
        <w:jc w:val="both"/>
        <w:rPr>
          <w:rFonts w:ascii="Calibri" w:hAnsi="Calibri"/>
          <w:sz w:val="22"/>
          <w:szCs w:val="28"/>
        </w:rPr>
      </w:pPr>
      <w:r>
        <w:rPr>
          <w:rFonts w:ascii="Calibri" w:hAnsi="Calibri"/>
          <w:sz w:val="22"/>
          <w:szCs w:val="28"/>
        </w:rPr>
        <w:t>c</w:t>
      </w:r>
      <w:r w:rsidR="00AE1AFE">
        <w:rPr>
          <w:rFonts w:ascii="Calibri" w:hAnsi="Calibri"/>
          <w:sz w:val="22"/>
          <w:szCs w:val="28"/>
        </w:rPr>
        <w:t xml:space="preserve">onsumers </w:t>
      </w:r>
      <w:r w:rsidR="00026DEB">
        <w:rPr>
          <w:rFonts w:ascii="Calibri" w:hAnsi="Calibri"/>
          <w:sz w:val="22"/>
          <w:szCs w:val="28"/>
        </w:rPr>
        <w:t xml:space="preserve">are wary of </w:t>
      </w:r>
      <w:r w:rsidR="00716C16">
        <w:rPr>
          <w:rFonts w:ascii="Calibri" w:hAnsi="Calibri"/>
          <w:sz w:val="22"/>
          <w:szCs w:val="28"/>
        </w:rPr>
        <w:t>allowing</w:t>
      </w:r>
      <w:r w:rsidR="00AE1AFE">
        <w:rPr>
          <w:rFonts w:ascii="Calibri" w:hAnsi="Calibri"/>
          <w:sz w:val="22"/>
          <w:szCs w:val="28"/>
        </w:rPr>
        <w:t xml:space="preserve"> broad categories</w:t>
      </w:r>
      <w:r w:rsidR="00716C16">
        <w:rPr>
          <w:rFonts w:ascii="Calibri" w:hAnsi="Calibri"/>
          <w:sz w:val="22"/>
          <w:szCs w:val="28"/>
        </w:rPr>
        <w:t xml:space="preserve"> that are per se confidential</w:t>
      </w:r>
    </w:p>
    <w:p w:rsidR="00AE1AFE" w:rsidRDefault="00215848" w:rsidP="00AE1AFE">
      <w:pPr>
        <w:numPr>
          <w:ilvl w:val="0"/>
          <w:numId w:val="19"/>
        </w:numPr>
        <w:jc w:val="both"/>
        <w:rPr>
          <w:rFonts w:ascii="Calibri" w:hAnsi="Calibri"/>
          <w:sz w:val="22"/>
          <w:szCs w:val="28"/>
        </w:rPr>
      </w:pPr>
      <w:r>
        <w:rPr>
          <w:rFonts w:ascii="Calibri" w:hAnsi="Calibri"/>
          <w:sz w:val="22"/>
          <w:szCs w:val="28"/>
        </w:rPr>
        <w:t>NSPs</w:t>
      </w:r>
      <w:r w:rsidR="00716C16">
        <w:rPr>
          <w:rFonts w:ascii="Calibri" w:hAnsi="Calibri"/>
          <w:sz w:val="22"/>
          <w:szCs w:val="28"/>
        </w:rPr>
        <w:t xml:space="preserve"> tend to </w:t>
      </w:r>
      <w:r w:rsidR="00EC6E07">
        <w:rPr>
          <w:rFonts w:ascii="Calibri" w:hAnsi="Calibri"/>
          <w:sz w:val="22"/>
          <w:szCs w:val="28"/>
        </w:rPr>
        <w:t xml:space="preserve">hide </w:t>
      </w:r>
      <w:r w:rsidR="00AE1AFE">
        <w:rPr>
          <w:rFonts w:ascii="Calibri" w:hAnsi="Calibri"/>
          <w:sz w:val="22"/>
          <w:szCs w:val="28"/>
        </w:rPr>
        <w:t>behind outsourcing and related parties</w:t>
      </w:r>
    </w:p>
    <w:p w:rsidR="00AE1AFE" w:rsidRDefault="00215848" w:rsidP="00AE1AFE">
      <w:pPr>
        <w:numPr>
          <w:ilvl w:val="0"/>
          <w:numId w:val="19"/>
        </w:numPr>
        <w:jc w:val="both"/>
        <w:rPr>
          <w:rFonts w:ascii="Calibri" w:hAnsi="Calibri"/>
          <w:sz w:val="22"/>
          <w:szCs w:val="28"/>
        </w:rPr>
      </w:pPr>
      <w:proofErr w:type="gramStart"/>
      <w:r>
        <w:rPr>
          <w:rFonts w:ascii="Calibri" w:hAnsi="Calibri"/>
          <w:sz w:val="22"/>
          <w:szCs w:val="28"/>
        </w:rPr>
        <w:t>t</w:t>
      </w:r>
      <w:r w:rsidR="00EC6E07">
        <w:rPr>
          <w:rFonts w:ascii="Calibri" w:hAnsi="Calibri"/>
          <w:sz w:val="22"/>
          <w:szCs w:val="28"/>
        </w:rPr>
        <w:t>he</w:t>
      </w:r>
      <w:proofErr w:type="gramEnd"/>
      <w:r w:rsidR="00EC6E07">
        <w:rPr>
          <w:rFonts w:ascii="Calibri" w:hAnsi="Calibri"/>
          <w:sz w:val="22"/>
          <w:szCs w:val="28"/>
        </w:rPr>
        <w:t xml:space="preserve"> AER n</w:t>
      </w:r>
      <w:r w:rsidR="00716C16">
        <w:rPr>
          <w:rFonts w:ascii="Calibri" w:hAnsi="Calibri"/>
          <w:sz w:val="22"/>
          <w:szCs w:val="28"/>
        </w:rPr>
        <w:t>eed</w:t>
      </w:r>
      <w:r w:rsidR="00EC6E07">
        <w:rPr>
          <w:rFonts w:ascii="Calibri" w:hAnsi="Calibri"/>
          <w:sz w:val="22"/>
          <w:szCs w:val="28"/>
        </w:rPr>
        <w:t>s</w:t>
      </w:r>
      <w:r w:rsidR="00716C16">
        <w:rPr>
          <w:rFonts w:ascii="Calibri" w:hAnsi="Calibri"/>
          <w:sz w:val="22"/>
          <w:szCs w:val="28"/>
        </w:rPr>
        <w:t xml:space="preserve"> to consider the t</w:t>
      </w:r>
      <w:r w:rsidR="00AE1AFE">
        <w:rPr>
          <w:rFonts w:ascii="Calibri" w:hAnsi="Calibri"/>
          <w:sz w:val="22"/>
          <w:szCs w:val="28"/>
        </w:rPr>
        <w:t>iming of</w:t>
      </w:r>
      <w:r w:rsidR="00D528AA">
        <w:rPr>
          <w:rFonts w:ascii="Calibri" w:hAnsi="Calibri"/>
          <w:sz w:val="22"/>
          <w:szCs w:val="28"/>
        </w:rPr>
        <w:t xml:space="preserve"> releasing</w:t>
      </w:r>
      <w:r w:rsidR="00AE1AFE">
        <w:rPr>
          <w:rFonts w:ascii="Calibri" w:hAnsi="Calibri"/>
          <w:sz w:val="22"/>
          <w:szCs w:val="28"/>
        </w:rPr>
        <w:t xml:space="preserve"> info</w:t>
      </w:r>
      <w:r w:rsidR="00716C16">
        <w:rPr>
          <w:rFonts w:ascii="Calibri" w:hAnsi="Calibri"/>
          <w:sz w:val="22"/>
          <w:szCs w:val="28"/>
        </w:rPr>
        <w:t xml:space="preserve">rmation; </w:t>
      </w:r>
      <w:r w:rsidR="00D528AA">
        <w:rPr>
          <w:rFonts w:ascii="Calibri" w:hAnsi="Calibri"/>
          <w:sz w:val="22"/>
          <w:szCs w:val="28"/>
        </w:rPr>
        <w:t xml:space="preserve">consumers would </w:t>
      </w:r>
      <w:r w:rsidR="00716C16">
        <w:rPr>
          <w:rFonts w:ascii="Calibri" w:hAnsi="Calibri"/>
          <w:sz w:val="22"/>
          <w:szCs w:val="28"/>
        </w:rPr>
        <w:t>prefer</w:t>
      </w:r>
      <w:r w:rsidR="00AE1AFE">
        <w:rPr>
          <w:rFonts w:ascii="Calibri" w:hAnsi="Calibri"/>
          <w:sz w:val="22"/>
          <w:szCs w:val="28"/>
        </w:rPr>
        <w:t xml:space="preserve"> partial release early, </w:t>
      </w:r>
      <w:r w:rsidR="00716C16">
        <w:rPr>
          <w:rFonts w:ascii="Calibri" w:hAnsi="Calibri"/>
          <w:sz w:val="22"/>
          <w:szCs w:val="28"/>
        </w:rPr>
        <w:t xml:space="preserve">rather than </w:t>
      </w:r>
      <w:r w:rsidR="00D528AA">
        <w:rPr>
          <w:rFonts w:ascii="Calibri" w:hAnsi="Calibri"/>
          <w:sz w:val="22"/>
          <w:szCs w:val="28"/>
        </w:rPr>
        <w:t>all of the information</w:t>
      </w:r>
      <w:r w:rsidR="00AE1AFE">
        <w:rPr>
          <w:rFonts w:ascii="Calibri" w:hAnsi="Calibri"/>
          <w:sz w:val="22"/>
          <w:szCs w:val="28"/>
        </w:rPr>
        <w:t xml:space="preserve"> at the end</w:t>
      </w:r>
      <w:r w:rsidR="00D528AA">
        <w:rPr>
          <w:rFonts w:ascii="Calibri" w:hAnsi="Calibri"/>
          <w:sz w:val="22"/>
          <w:szCs w:val="28"/>
        </w:rPr>
        <w:t xml:space="preserve"> of the process.</w:t>
      </w:r>
    </w:p>
    <w:p w:rsidR="00AE1AFE" w:rsidRDefault="00AE1AFE" w:rsidP="00AE1AFE">
      <w:pPr>
        <w:jc w:val="both"/>
        <w:rPr>
          <w:rFonts w:ascii="Calibri" w:hAnsi="Calibri"/>
          <w:sz w:val="22"/>
          <w:szCs w:val="28"/>
        </w:rPr>
      </w:pPr>
    </w:p>
    <w:p w:rsidR="00EC6E07" w:rsidRDefault="00EC6E07" w:rsidP="00972E09">
      <w:pPr>
        <w:keepNext/>
        <w:jc w:val="both"/>
        <w:rPr>
          <w:rFonts w:ascii="Calibri" w:hAnsi="Calibri"/>
          <w:sz w:val="22"/>
          <w:szCs w:val="28"/>
        </w:rPr>
      </w:pPr>
      <w:r>
        <w:rPr>
          <w:rFonts w:ascii="Calibri" w:hAnsi="Calibri"/>
          <w:sz w:val="22"/>
          <w:szCs w:val="28"/>
        </w:rPr>
        <w:lastRenderedPageBreak/>
        <w:t>Consumers noted:</w:t>
      </w:r>
    </w:p>
    <w:p w:rsidR="00EC6E07" w:rsidRDefault="00EC6E07" w:rsidP="00EC6E07">
      <w:pPr>
        <w:numPr>
          <w:ilvl w:val="0"/>
          <w:numId w:val="19"/>
        </w:numPr>
        <w:jc w:val="both"/>
        <w:rPr>
          <w:rFonts w:ascii="Calibri" w:hAnsi="Calibri"/>
          <w:sz w:val="22"/>
          <w:szCs w:val="28"/>
        </w:rPr>
      </w:pPr>
      <w:proofErr w:type="gramStart"/>
      <w:r>
        <w:rPr>
          <w:rFonts w:ascii="Calibri" w:hAnsi="Calibri"/>
          <w:sz w:val="22"/>
          <w:szCs w:val="28"/>
        </w:rPr>
        <w:t>a</w:t>
      </w:r>
      <w:proofErr w:type="gramEnd"/>
      <w:r w:rsidR="00716C16">
        <w:rPr>
          <w:rFonts w:ascii="Calibri" w:hAnsi="Calibri"/>
          <w:sz w:val="22"/>
          <w:szCs w:val="28"/>
        </w:rPr>
        <w:t xml:space="preserve"> confidentiality claim must be supported with reasoning and evidence. If not</w:t>
      </w:r>
      <w:r w:rsidR="00215848">
        <w:rPr>
          <w:rFonts w:ascii="Calibri" w:hAnsi="Calibri"/>
          <w:sz w:val="22"/>
          <w:szCs w:val="28"/>
        </w:rPr>
        <w:t>,</w:t>
      </w:r>
      <w:r w:rsidR="00716C16">
        <w:rPr>
          <w:rFonts w:ascii="Calibri" w:hAnsi="Calibri"/>
          <w:sz w:val="22"/>
          <w:szCs w:val="28"/>
        </w:rPr>
        <w:t xml:space="preserve"> </w:t>
      </w:r>
      <w:r w:rsidR="00215848">
        <w:rPr>
          <w:rFonts w:ascii="Calibri" w:hAnsi="Calibri"/>
          <w:sz w:val="22"/>
          <w:szCs w:val="28"/>
        </w:rPr>
        <w:t xml:space="preserve">the AER should place </w:t>
      </w:r>
      <w:r w:rsidR="00716C16">
        <w:rPr>
          <w:rFonts w:ascii="Calibri" w:hAnsi="Calibri"/>
          <w:sz w:val="22"/>
          <w:szCs w:val="28"/>
        </w:rPr>
        <w:t xml:space="preserve">less weight on that </w:t>
      </w:r>
      <w:r>
        <w:rPr>
          <w:rFonts w:ascii="Calibri" w:hAnsi="Calibri"/>
          <w:sz w:val="22"/>
          <w:szCs w:val="28"/>
        </w:rPr>
        <w:t>information</w:t>
      </w:r>
      <w:r w:rsidR="00716C16">
        <w:rPr>
          <w:rFonts w:ascii="Calibri" w:hAnsi="Calibri"/>
          <w:sz w:val="22"/>
          <w:szCs w:val="28"/>
        </w:rPr>
        <w:t xml:space="preserve">. </w:t>
      </w:r>
    </w:p>
    <w:p w:rsidR="00AE1AFE" w:rsidRPr="00403A7C" w:rsidRDefault="00716C16" w:rsidP="00EC6E07">
      <w:pPr>
        <w:numPr>
          <w:ilvl w:val="0"/>
          <w:numId w:val="19"/>
        </w:numPr>
        <w:jc w:val="both"/>
        <w:rPr>
          <w:rFonts w:ascii="Calibri" w:hAnsi="Calibri"/>
          <w:sz w:val="22"/>
          <w:szCs w:val="28"/>
        </w:rPr>
      </w:pPr>
      <w:proofErr w:type="gramStart"/>
      <w:r>
        <w:rPr>
          <w:rFonts w:ascii="Calibri" w:hAnsi="Calibri"/>
          <w:sz w:val="22"/>
          <w:szCs w:val="28"/>
        </w:rPr>
        <w:t>the</w:t>
      </w:r>
      <w:proofErr w:type="gramEnd"/>
      <w:r>
        <w:rPr>
          <w:rFonts w:ascii="Calibri" w:hAnsi="Calibri"/>
          <w:sz w:val="22"/>
          <w:szCs w:val="28"/>
        </w:rPr>
        <w:t xml:space="preserve"> AER </w:t>
      </w:r>
      <w:r w:rsidR="00AE1AFE">
        <w:rPr>
          <w:rFonts w:ascii="Calibri" w:hAnsi="Calibri"/>
          <w:sz w:val="22"/>
          <w:szCs w:val="28"/>
        </w:rPr>
        <w:t xml:space="preserve">may not always be best placed </w:t>
      </w:r>
      <w:r>
        <w:rPr>
          <w:rFonts w:ascii="Calibri" w:hAnsi="Calibri"/>
          <w:sz w:val="22"/>
          <w:szCs w:val="28"/>
        </w:rPr>
        <w:t xml:space="preserve">to decide the materiality of information from a consumer perspective. </w:t>
      </w:r>
    </w:p>
    <w:p w:rsidR="0033557A" w:rsidRDefault="0033557A" w:rsidP="005236FE">
      <w:pPr>
        <w:jc w:val="both"/>
        <w:rPr>
          <w:rFonts w:ascii="Calibri" w:hAnsi="Calibri"/>
        </w:rPr>
      </w:pPr>
    </w:p>
    <w:p w:rsidR="005236FE" w:rsidRDefault="005236FE" w:rsidP="005236FE">
      <w:pPr>
        <w:jc w:val="both"/>
        <w:rPr>
          <w:rFonts w:ascii="Calibri" w:hAnsi="Calibri"/>
          <w:b/>
          <w:szCs w:val="28"/>
        </w:rPr>
      </w:pPr>
      <w:r>
        <w:rPr>
          <w:rFonts w:ascii="Calibri" w:hAnsi="Calibri"/>
          <w:b/>
          <w:szCs w:val="28"/>
        </w:rPr>
        <w:t>7</w:t>
      </w:r>
      <w:r w:rsidRPr="009335E5">
        <w:rPr>
          <w:rFonts w:ascii="Calibri" w:hAnsi="Calibri"/>
          <w:b/>
          <w:szCs w:val="28"/>
        </w:rPr>
        <w:tab/>
      </w:r>
      <w:r w:rsidR="00904D2A">
        <w:rPr>
          <w:rFonts w:ascii="Calibri" w:hAnsi="Calibri"/>
          <w:b/>
          <w:szCs w:val="28"/>
        </w:rPr>
        <w:t>Subgroup report: Power of Choice</w:t>
      </w:r>
    </w:p>
    <w:p w:rsidR="00F054DB" w:rsidRDefault="00F054DB" w:rsidP="005236FE">
      <w:pPr>
        <w:jc w:val="both"/>
        <w:rPr>
          <w:rFonts w:ascii="Calibri" w:hAnsi="Calibri"/>
          <w:b/>
          <w:szCs w:val="28"/>
        </w:rPr>
      </w:pPr>
    </w:p>
    <w:p w:rsidR="00E40047" w:rsidRDefault="00E40047" w:rsidP="005236FE">
      <w:pPr>
        <w:jc w:val="both"/>
        <w:rPr>
          <w:rFonts w:ascii="Calibri" w:hAnsi="Calibri"/>
          <w:sz w:val="22"/>
          <w:szCs w:val="28"/>
        </w:rPr>
      </w:pPr>
      <w:r>
        <w:rPr>
          <w:rFonts w:ascii="Calibri" w:hAnsi="Calibri"/>
          <w:sz w:val="22"/>
          <w:szCs w:val="28"/>
        </w:rPr>
        <w:t>AER director</w:t>
      </w:r>
      <w:r w:rsidR="00972E09">
        <w:rPr>
          <w:rFonts w:ascii="Calibri" w:hAnsi="Calibri"/>
          <w:sz w:val="22"/>
          <w:szCs w:val="28"/>
        </w:rPr>
        <w:t>,</w:t>
      </w:r>
      <w:r>
        <w:rPr>
          <w:rFonts w:ascii="Calibri" w:hAnsi="Calibri"/>
          <w:sz w:val="22"/>
          <w:szCs w:val="28"/>
        </w:rPr>
        <w:t xml:space="preserve"> John Skinner</w:t>
      </w:r>
      <w:r w:rsidR="00972E09">
        <w:rPr>
          <w:rFonts w:ascii="Calibri" w:hAnsi="Calibri"/>
          <w:sz w:val="22"/>
          <w:szCs w:val="28"/>
        </w:rPr>
        <w:t>,</w:t>
      </w:r>
      <w:r>
        <w:rPr>
          <w:rFonts w:ascii="Calibri" w:hAnsi="Calibri"/>
          <w:sz w:val="22"/>
          <w:szCs w:val="28"/>
        </w:rPr>
        <w:t xml:space="preserve"> </w:t>
      </w:r>
      <w:r w:rsidR="00972E09">
        <w:rPr>
          <w:rFonts w:ascii="Calibri" w:hAnsi="Calibri"/>
          <w:sz w:val="22"/>
          <w:szCs w:val="28"/>
        </w:rPr>
        <w:t>provided</w:t>
      </w:r>
      <w:r>
        <w:rPr>
          <w:rFonts w:ascii="Calibri" w:hAnsi="Calibri"/>
          <w:sz w:val="22"/>
          <w:szCs w:val="28"/>
        </w:rPr>
        <w:t xml:space="preserve"> an update on the Power of Choice </w:t>
      </w:r>
      <w:r w:rsidR="00DC50DA">
        <w:rPr>
          <w:rFonts w:ascii="Calibri" w:hAnsi="Calibri"/>
          <w:sz w:val="22"/>
          <w:szCs w:val="28"/>
        </w:rPr>
        <w:t>work stream</w:t>
      </w:r>
      <w:r>
        <w:rPr>
          <w:rFonts w:ascii="Calibri" w:hAnsi="Calibri"/>
          <w:sz w:val="22"/>
          <w:szCs w:val="28"/>
        </w:rPr>
        <w:t xml:space="preserve">. The AER is currently in the process of developing </w:t>
      </w:r>
      <w:r w:rsidR="00F054DB">
        <w:rPr>
          <w:rFonts w:ascii="Calibri" w:hAnsi="Calibri"/>
          <w:sz w:val="22"/>
          <w:szCs w:val="28"/>
        </w:rPr>
        <w:t>RIT-D</w:t>
      </w:r>
      <w:r>
        <w:rPr>
          <w:rFonts w:ascii="Calibri" w:hAnsi="Calibri"/>
          <w:sz w:val="22"/>
          <w:szCs w:val="28"/>
        </w:rPr>
        <w:t xml:space="preserve"> guidelines. </w:t>
      </w:r>
      <w:r w:rsidR="00BE44D0">
        <w:rPr>
          <w:rFonts w:ascii="Calibri" w:hAnsi="Calibri"/>
          <w:sz w:val="22"/>
          <w:szCs w:val="28"/>
        </w:rPr>
        <w:t>The AER will be holding</w:t>
      </w:r>
      <w:r>
        <w:rPr>
          <w:rFonts w:ascii="Calibri" w:hAnsi="Calibri"/>
          <w:sz w:val="22"/>
          <w:szCs w:val="28"/>
        </w:rPr>
        <w:t xml:space="preserve"> workshops related to this guideline. </w:t>
      </w:r>
    </w:p>
    <w:p w:rsidR="00E40047" w:rsidRDefault="00E40047" w:rsidP="005236FE">
      <w:pPr>
        <w:jc w:val="both"/>
        <w:rPr>
          <w:rFonts w:ascii="Calibri" w:hAnsi="Calibri"/>
          <w:sz w:val="22"/>
          <w:szCs w:val="28"/>
        </w:rPr>
      </w:pPr>
    </w:p>
    <w:p w:rsidR="00F054DB" w:rsidRDefault="00E40047" w:rsidP="005236FE">
      <w:pPr>
        <w:jc w:val="both"/>
        <w:rPr>
          <w:rFonts w:ascii="Calibri" w:hAnsi="Calibri"/>
          <w:sz w:val="22"/>
          <w:szCs w:val="28"/>
        </w:rPr>
      </w:pPr>
      <w:r>
        <w:rPr>
          <w:rFonts w:ascii="Calibri" w:hAnsi="Calibri"/>
          <w:sz w:val="22"/>
          <w:szCs w:val="28"/>
        </w:rPr>
        <w:t xml:space="preserve">This </w:t>
      </w:r>
      <w:r w:rsidR="00DC50DA">
        <w:rPr>
          <w:rFonts w:ascii="Calibri" w:hAnsi="Calibri"/>
          <w:sz w:val="22"/>
          <w:szCs w:val="28"/>
        </w:rPr>
        <w:t>work stream</w:t>
      </w:r>
      <w:r>
        <w:rPr>
          <w:rFonts w:ascii="Calibri" w:hAnsi="Calibri"/>
          <w:sz w:val="22"/>
          <w:szCs w:val="28"/>
        </w:rPr>
        <w:t xml:space="preserve"> is also responsible for </w:t>
      </w:r>
      <w:r w:rsidR="00F054DB">
        <w:rPr>
          <w:rFonts w:ascii="Calibri" w:hAnsi="Calibri"/>
          <w:sz w:val="22"/>
          <w:szCs w:val="28"/>
        </w:rPr>
        <w:t>reviewing incentives to increase demand side participating and pricing changes</w:t>
      </w:r>
      <w:r>
        <w:rPr>
          <w:rFonts w:ascii="Calibri" w:hAnsi="Calibri"/>
          <w:sz w:val="22"/>
          <w:szCs w:val="28"/>
        </w:rPr>
        <w:t xml:space="preserve"> – but are awaiting AEMC rule changes. </w:t>
      </w:r>
    </w:p>
    <w:p w:rsidR="00F054DB" w:rsidRDefault="00F054DB" w:rsidP="005236FE">
      <w:pPr>
        <w:jc w:val="both"/>
        <w:rPr>
          <w:rFonts w:ascii="Calibri" w:hAnsi="Calibri"/>
          <w:sz w:val="22"/>
          <w:szCs w:val="28"/>
        </w:rPr>
      </w:pPr>
    </w:p>
    <w:p w:rsidR="00E40047" w:rsidRDefault="00E40047" w:rsidP="005236FE">
      <w:pPr>
        <w:jc w:val="both"/>
        <w:rPr>
          <w:rFonts w:ascii="Calibri" w:hAnsi="Calibri"/>
          <w:sz w:val="22"/>
          <w:szCs w:val="28"/>
        </w:rPr>
      </w:pPr>
      <w:r>
        <w:rPr>
          <w:rFonts w:ascii="Calibri" w:hAnsi="Calibri"/>
          <w:sz w:val="22"/>
          <w:szCs w:val="28"/>
        </w:rPr>
        <w:t xml:space="preserve">CRG </w:t>
      </w:r>
      <w:r w:rsidR="00591171">
        <w:rPr>
          <w:rFonts w:ascii="Calibri" w:hAnsi="Calibri"/>
          <w:sz w:val="22"/>
          <w:szCs w:val="28"/>
        </w:rPr>
        <w:t xml:space="preserve">members raised </w:t>
      </w:r>
      <w:r w:rsidR="00972E09">
        <w:rPr>
          <w:rFonts w:ascii="Calibri" w:hAnsi="Calibri"/>
          <w:sz w:val="22"/>
          <w:szCs w:val="28"/>
        </w:rPr>
        <w:t xml:space="preserve">the following </w:t>
      </w:r>
      <w:r w:rsidR="00591171">
        <w:rPr>
          <w:rFonts w:ascii="Calibri" w:hAnsi="Calibri"/>
          <w:sz w:val="22"/>
          <w:szCs w:val="28"/>
        </w:rPr>
        <w:t>issues</w:t>
      </w:r>
      <w:r>
        <w:rPr>
          <w:rFonts w:ascii="Calibri" w:hAnsi="Calibri"/>
          <w:sz w:val="22"/>
          <w:szCs w:val="28"/>
        </w:rPr>
        <w:t>:</w:t>
      </w:r>
    </w:p>
    <w:p w:rsidR="00E40047" w:rsidRDefault="00972E09" w:rsidP="00E40047">
      <w:pPr>
        <w:numPr>
          <w:ilvl w:val="0"/>
          <w:numId w:val="25"/>
        </w:numPr>
        <w:jc w:val="both"/>
        <w:rPr>
          <w:rFonts w:ascii="Calibri" w:hAnsi="Calibri"/>
          <w:sz w:val="22"/>
          <w:szCs w:val="28"/>
        </w:rPr>
      </w:pPr>
      <w:r>
        <w:rPr>
          <w:rFonts w:ascii="Calibri" w:hAnsi="Calibri"/>
          <w:sz w:val="22"/>
          <w:szCs w:val="28"/>
        </w:rPr>
        <w:t>T</w:t>
      </w:r>
      <w:r w:rsidR="00E40047">
        <w:rPr>
          <w:rFonts w:ascii="Calibri" w:hAnsi="Calibri"/>
          <w:sz w:val="22"/>
          <w:szCs w:val="28"/>
        </w:rPr>
        <w:t xml:space="preserve">he </w:t>
      </w:r>
      <w:r w:rsidR="006C580F">
        <w:rPr>
          <w:rFonts w:ascii="Calibri" w:hAnsi="Calibri"/>
          <w:sz w:val="22"/>
          <w:szCs w:val="28"/>
        </w:rPr>
        <w:t>current demand management</w:t>
      </w:r>
      <w:r w:rsidR="00E40047">
        <w:rPr>
          <w:rFonts w:ascii="Calibri" w:hAnsi="Calibri"/>
          <w:sz w:val="22"/>
          <w:szCs w:val="28"/>
        </w:rPr>
        <w:t xml:space="preserve"> incentives have not been </w:t>
      </w:r>
      <w:r w:rsidR="006C580F">
        <w:rPr>
          <w:rFonts w:ascii="Calibri" w:hAnsi="Calibri"/>
          <w:sz w:val="22"/>
          <w:szCs w:val="28"/>
        </w:rPr>
        <w:t xml:space="preserve">effective so far. </w:t>
      </w:r>
    </w:p>
    <w:p w:rsidR="00A2608B" w:rsidRDefault="00E40047" w:rsidP="00E40047">
      <w:pPr>
        <w:numPr>
          <w:ilvl w:val="0"/>
          <w:numId w:val="25"/>
        </w:numPr>
        <w:jc w:val="both"/>
        <w:rPr>
          <w:rFonts w:ascii="Calibri" w:hAnsi="Calibri"/>
          <w:sz w:val="22"/>
          <w:szCs w:val="28"/>
        </w:rPr>
      </w:pPr>
      <w:r>
        <w:rPr>
          <w:rFonts w:ascii="Calibri" w:hAnsi="Calibri"/>
          <w:sz w:val="22"/>
          <w:szCs w:val="28"/>
        </w:rPr>
        <w:t>A key barrier to effective pricing reform is the</w:t>
      </w:r>
      <w:r w:rsidR="006C580F">
        <w:rPr>
          <w:rFonts w:ascii="Calibri" w:hAnsi="Calibri"/>
          <w:sz w:val="22"/>
          <w:szCs w:val="28"/>
        </w:rPr>
        <w:t xml:space="preserve"> inability to engage with retailers. </w:t>
      </w:r>
      <w:r w:rsidR="00591171">
        <w:rPr>
          <w:rFonts w:ascii="Calibri" w:hAnsi="Calibri"/>
          <w:sz w:val="22"/>
          <w:szCs w:val="28"/>
        </w:rPr>
        <w:t>Without appropriate pricing signals to customers, it will be ineffective in changing behaviour.</w:t>
      </w:r>
    </w:p>
    <w:p w:rsidR="006C580F" w:rsidRDefault="00A2608B" w:rsidP="00E40047">
      <w:pPr>
        <w:numPr>
          <w:ilvl w:val="0"/>
          <w:numId w:val="25"/>
        </w:numPr>
        <w:jc w:val="both"/>
        <w:rPr>
          <w:rFonts w:ascii="Calibri" w:hAnsi="Calibri"/>
          <w:sz w:val="22"/>
          <w:szCs w:val="28"/>
        </w:rPr>
      </w:pPr>
      <w:r>
        <w:rPr>
          <w:rFonts w:ascii="Calibri" w:hAnsi="Calibri"/>
          <w:sz w:val="22"/>
          <w:szCs w:val="28"/>
        </w:rPr>
        <w:t>Demand management requires an institutional</w:t>
      </w:r>
      <w:r w:rsidR="00591171">
        <w:rPr>
          <w:rFonts w:ascii="Calibri" w:hAnsi="Calibri"/>
          <w:sz w:val="22"/>
          <w:szCs w:val="28"/>
        </w:rPr>
        <w:t>/</w:t>
      </w:r>
      <w:r>
        <w:rPr>
          <w:rFonts w:ascii="Calibri" w:hAnsi="Calibri"/>
          <w:sz w:val="22"/>
          <w:szCs w:val="28"/>
        </w:rPr>
        <w:t xml:space="preserve">cultural shift </w:t>
      </w:r>
      <w:r w:rsidR="00591171">
        <w:rPr>
          <w:rFonts w:ascii="Calibri" w:hAnsi="Calibri"/>
          <w:sz w:val="22"/>
          <w:szCs w:val="28"/>
        </w:rPr>
        <w:t xml:space="preserve">and a change in the business model </w:t>
      </w:r>
      <w:r>
        <w:rPr>
          <w:rFonts w:ascii="Calibri" w:hAnsi="Calibri"/>
          <w:sz w:val="22"/>
          <w:szCs w:val="28"/>
        </w:rPr>
        <w:t>on the part of network businesses</w:t>
      </w:r>
      <w:r w:rsidR="00591171">
        <w:rPr>
          <w:rFonts w:ascii="Calibri" w:hAnsi="Calibri"/>
          <w:sz w:val="22"/>
          <w:szCs w:val="28"/>
        </w:rPr>
        <w:t xml:space="preserve">. </w:t>
      </w:r>
    </w:p>
    <w:p w:rsidR="00904D2A" w:rsidRDefault="00904D2A" w:rsidP="005236FE">
      <w:pPr>
        <w:jc w:val="both"/>
        <w:rPr>
          <w:rFonts w:ascii="Calibri" w:hAnsi="Calibri"/>
          <w:b/>
          <w:szCs w:val="28"/>
        </w:rPr>
      </w:pPr>
    </w:p>
    <w:p w:rsidR="00904D2A" w:rsidRDefault="00904D2A" w:rsidP="005236FE">
      <w:pPr>
        <w:jc w:val="both"/>
        <w:rPr>
          <w:rFonts w:ascii="Calibri" w:hAnsi="Calibri"/>
          <w:b/>
          <w:szCs w:val="28"/>
        </w:rPr>
      </w:pPr>
      <w:r>
        <w:rPr>
          <w:rFonts w:ascii="Calibri" w:hAnsi="Calibri"/>
          <w:b/>
          <w:szCs w:val="28"/>
        </w:rPr>
        <w:t>8</w:t>
      </w:r>
      <w:r>
        <w:rPr>
          <w:rFonts w:ascii="Calibri" w:hAnsi="Calibri"/>
          <w:b/>
          <w:szCs w:val="28"/>
        </w:rPr>
        <w:tab/>
        <w:t>What’s next?</w:t>
      </w:r>
    </w:p>
    <w:p w:rsidR="00972E09" w:rsidRPr="00972E09" w:rsidRDefault="00972E09" w:rsidP="005236FE">
      <w:pPr>
        <w:jc w:val="both"/>
        <w:rPr>
          <w:rFonts w:ascii="Calibri" w:hAnsi="Calibri"/>
          <w:szCs w:val="28"/>
        </w:rPr>
      </w:pPr>
    </w:p>
    <w:p w:rsidR="00972E09" w:rsidRDefault="00972E09" w:rsidP="00972E09">
      <w:pPr>
        <w:jc w:val="both"/>
        <w:rPr>
          <w:rFonts w:ascii="Calibri" w:hAnsi="Calibri"/>
          <w:szCs w:val="28"/>
        </w:rPr>
      </w:pPr>
      <w:r>
        <w:rPr>
          <w:rFonts w:ascii="Calibri" w:hAnsi="Calibri"/>
          <w:szCs w:val="28"/>
        </w:rPr>
        <w:t xml:space="preserve">Kurt Stevens provided an update on upcoming Better regulation meetings. The focus of the next CRG meeting will be to bring together views </w:t>
      </w:r>
      <w:r w:rsidR="00D528AA">
        <w:rPr>
          <w:rFonts w:ascii="Calibri" w:hAnsi="Calibri"/>
          <w:szCs w:val="28"/>
        </w:rPr>
        <w:t xml:space="preserve">on </w:t>
      </w:r>
      <w:r>
        <w:rPr>
          <w:rFonts w:ascii="Calibri" w:hAnsi="Calibri"/>
          <w:szCs w:val="28"/>
        </w:rPr>
        <w:t xml:space="preserve">key recommendations. It will be an opportunity to take stock of the Better Regulation program as a whole, and to examine how we are tracking to address the problems that </w:t>
      </w:r>
      <w:r w:rsidR="00D528AA">
        <w:rPr>
          <w:rFonts w:ascii="Calibri" w:hAnsi="Calibri"/>
          <w:szCs w:val="28"/>
        </w:rPr>
        <w:t>brought about</w:t>
      </w:r>
      <w:r>
        <w:rPr>
          <w:rFonts w:ascii="Calibri" w:hAnsi="Calibri"/>
          <w:szCs w:val="28"/>
        </w:rPr>
        <w:t xml:space="preserve"> the need for rule changes. </w:t>
      </w:r>
    </w:p>
    <w:p w:rsidR="00972E09" w:rsidRDefault="00972E09" w:rsidP="00972E09">
      <w:pPr>
        <w:jc w:val="both"/>
        <w:rPr>
          <w:rFonts w:ascii="Calibri" w:hAnsi="Calibri"/>
          <w:szCs w:val="28"/>
        </w:rPr>
      </w:pPr>
    </w:p>
    <w:p w:rsidR="00972E09" w:rsidRDefault="00972E09" w:rsidP="00972E09">
      <w:pPr>
        <w:jc w:val="both"/>
        <w:rPr>
          <w:rFonts w:ascii="Calibri" w:hAnsi="Calibri"/>
          <w:szCs w:val="28"/>
        </w:rPr>
      </w:pPr>
      <w:r>
        <w:rPr>
          <w:rFonts w:ascii="Calibri" w:hAnsi="Calibri"/>
          <w:szCs w:val="28"/>
        </w:rPr>
        <w:t>Preparation is essential for a successful meeting on 23 May:</w:t>
      </w:r>
    </w:p>
    <w:p w:rsidR="00972E09" w:rsidRDefault="00215848" w:rsidP="00972E09">
      <w:pPr>
        <w:numPr>
          <w:ilvl w:val="0"/>
          <w:numId w:val="25"/>
        </w:numPr>
        <w:jc w:val="both"/>
        <w:rPr>
          <w:rFonts w:ascii="Calibri" w:hAnsi="Calibri"/>
          <w:sz w:val="22"/>
          <w:szCs w:val="28"/>
        </w:rPr>
      </w:pPr>
      <w:r>
        <w:rPr>
          <w:rFonts w:ascii="Calibri" w:hAnsi="Calibri"/>
          <w:sz w:val="22"/>
          <w:szCs w:val="28"/>
        </w:rPr>
        <w:t>t</w:t>
      </w:r>
      <w:r w:rsidR="00972E09">
        <w:rPr>
          <w:rFonts w:ascii="Calibri" w:hAnsi="Calibri"/>
          <w:sz w:val="22"/>
          <w:szCs w:val="28"/>
        </w:rPr>
        <w:t xml:space="preserve">he AER </w:t>
      </w:r>
      <w:r w:rsidR="00972E09" w:rsidRPr="00972E09">
        <w:rPr>
          <w:rFonts w:ascii="Calibri" w:hAnsi="Calibri"/>
          <w:sz w:val="22"/>
          <w:szCs w:val="28"/>
        </w:rPr>
        <w:t xml:space="preserve">will be sending out </w:t>
      </w:r>
      <w:r w:rsidR="00972E09">
        <w:rPr>
          <w:rFonts w:ascii="Calibri" w:hAnsi="Calibri"/>
          <w:sz w:val="22"/>
          <w:szCs w:val="28"/>
        </w:rPr>
        <w:t>one page documents</w:t>
      </w:r>
      <w:r w:rsidR="00972E09" w:rsidRPr="00972E09">
        <w:rPr>
          <w:rFonts w:ascii="Calibri" w:hAnsi="Calibri"/>
          <w:sz w:val="22"/>
          <w:szCs w:val="28"/>
        </w:rPr>
        <w:t xml:space="preserve"> with priority issues for each work stream</w:t>
      </w:r>
    </w:p>
    <w:p w:rsidR="00972E09" w:rsidRPr="00972E09" w:rsidRDefault="00972E09" w:rsidP="00972E09">
      <w:pPr>
        <w:numPr>
          <w:ilvl w:val="0"/>
          <w:numId w:val="25"/>
        </w:numPr>
        <w:jc w:val="both"/>
        <w:rPr>
          <w:rFonts w:ascii="Calibri" w:hAnsi="Calibri"/>
          <w:sz w:val="22"/>
          <w:szCs w:val="28"/>
        </w:rPr>
      </w:pPr>
      <w:r>
        <w:rPr>
          <w:rFonts w:ascii="Calibri" w:hAnsi="Calibri"/>
          <w:sz w:val="22"/>
          <w:szCs w:val="28"/>
        </w:rPr>
        <w:t>CRG members suggested that all consumer representatives should think about two or three objectives for the 23 May meeting.</w:t>
      </w:r>
    </w:p>
    <w:p w:rsidR="005236FE" w:rsidRDefault="005236FE" w:rsidP="005236FE">
      <w:pPr>
        <w:jc w:val="both"/>
        <w:rPr>
          <w:rFonts w:ascii="Calibri" w:hAnsi="Calibri"/>
          <w:b/>
          <w:szCs w:val="28"/>
        </w:rPr>
      </w:pPr>
    </w:p>
    <w:p w:rsidR="00972E09" w:rsidRDefault="00972E09" w:rsidP="00972E09">
      <w:pPr>
        <w:jc w:val="both"/>
        <w:rPr>
          <w:rFonts w:ascii="Calibri" w:hAnsi="Calibri"/>
          <w:b/>
          <w:szCs w:val="28"/>
        </w:rPr>
      </w:pPr>
    </w:p>
    <w:p w:rsidR="005236FE" w:rsidRDefault="003A315B" w:rsidP="00972E09">
      <w:pPr>
        <w:jc w:val="both"/>
        <w:rPr>
          <w:rFonts w:ascii="Calibri" w:hAnsi="Calibri"/>
          <w:b/>
          <w:szCs w:val="28"/>
        </w:rPr>
      </w:pPr>
      <w:r>
        <w:rPr>
          <w:rFonts w:ascii="Calibri" w:hAnsi="Calibri"/>
          <w:b/>
          <w:szCs w:val="28"/>
        </w:rPr>
        <w:t xml:space="preserve">Next CRG meeting - 23 May </w:t>
      </w:r>
    </w:p>
    <w:p w:rsidR="005236FE" w:rsidRDefault="005236FE" w:rsidP="005236FE">
      <w:pPr>
        <w:jc w:val="both"/>
        <w:rPr>
          <w:rFonts w:ascii="Calibri" w:hAnsi="Calibri"/>
          <w:b/>
          <w:szCs w:val="28"/>
        </w:rPr>
      </w:pPr>
    </w:p>
    <w:p w:rsidR="005847E5" w:rsidRDefault="005847E5" w:rsidP="005236FE">
      <w:pPr>
        <w:jc w:val="both"/>
        <w:rPr>
          <w:rFonts w:ascii="Calibri" w:hAnsi="Calibri"/>
          <w:szCs w:val="28"/>
        </w:rPr>
      </w:pPr>
    </w:p>
    <w:p w:rsidR="00BF21E0" w:rsidRDefault="00BF21E0" w:rsidP="005236FE">
      <w:pPr>
        <w:jc w:val="both"/>
        <w:rPr>
          <w:rFonts w:ascii="Calibri" w:hAnsi="Calibri"/>
          <w:szCs w:val="28"/>
        </w:rPr>
      </w:pPr>
    </w:p>
    <w:p w:rsidR="00BF21E0" w:rsidRDefault="00BF21E0" w:rsidP="005236FE">
      <w:pPr>
        <w:jc w:val="both"/>
        <w:rPr>
          <w:rFonts w:ascii="Calibri" w:hAnsi="Calibri"/>
          <w:szCs w:val="28"/>
        </w:rPr>
      </w:pPr>
    </w:p>
    <w:p w:rsidR="00BF21E0" w:rsidRDefault="00BF21E0" w:rsidP="005236FE">
      <w:pPr>
        <w:jc w:val="both"/>
        <w:rPr>
          <w:rFonts w:ascii="Calibri" w:hAnsi="Calibri"/>
          <w:szCs w:val="28"/>
        </w:rPr>
      </w:pPr>
    </w:p>
    <w:p w:rsidR="005236FE" w:rsidRPr="005236FE" w:rsidRDefault="005236FE" w:rsidP="005236FE">
      <w:pPr>
        <w:jc w:val="both"/>
        <w:rPr>
          <w:rFonts w:ascii="Calibri" w:hAnsi="Calibri"/>
          <w:szCs w:val="28"/>
        </w:rPr>
      </w:pPr>
    </w:p>
    <w:sectPr w:rsidR="005236FE" w:rsidRPr="005236FE" w:rsidSect="00B1717D">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13C" w:rsidRDefault="005C113C">
      <w:r>
        <w:separator/>
      </w:r>
    </w:p>
  </w:endnote>
  <w:endnote w:type="continuationSeparator" w:id="0">
    <w:p w:rsidR="005C113C" w:rsidRDefault="005C1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13C" w:rsidRDefault="00EB6809">
    <w:pPr>
      <w:pStyle w:val="Footer"/>
      <w:jc w:val="right"/>
    </w:pPr>
    <w:r>
      <w:fldChar w:fldCharType="begin"/>
    </w:r>
    <w:r>
      <w:instrText xml:space="preserve"> PAGE   \* MERGEFORMAT </w:instrText>
    </w:r>
    <w:r>
      <w:fldChar w:fldCharType="separate"/>
    </w:r>
    <w:r w:rsidR="000D5B3B">
      <w:rPr>
        <w:noProof/>
      </w:rPr>
      <w:t>5</w:t>
    </w:r>
    <w:r>
      <w:rPr>
        <w:noProof/>
      </w:rPr>
      <w:fldChar w:fldCharType="end"/>
    </w:r>
  </w:p>
  <w:p w:rsidR="005C113C" w:rsidRDefault="005C11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13C" w:rsidRDefault="005C113C">
      <w:r>
        <w:separator/>
      </w:r>
    </w:p>
  </w:footnote>
  <w:footnote w:type="continuationSeparator" w:id="0">
    <w:p w:rsidR="005C113C" w:rsidRDefault="005C11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6476"/>
    <w:multiLevelType w:val="hybridMultilevel"/>
    <w:tmpl w:val="7818BF0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nsid w:val="0A796E15"/>
    <w:multiLevelType w:val="hybridMultilevel"/>
    <w:tmpl w:val="B964A3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BBE3A06"/>
    <w:multiLevelType w:val="hybridMultilevel"/>
    <w:tmpl w:val="8C948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2C42BE8"/>
    <w:multiLevelType w:val="hybridMultilevel"/>
    <w:tmpl w:val="547A4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67C3DF3"/>
    <w:multiLevelType w:val="hybridMultilevel"/>
    <w:tmpl w:val="02CCCF4A"/>
    <w:lvl w:ilvl="0" w:tplc="3D36894E">
      <w:start w:val="6"/>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A3768E6"/>
    <w:multiLevelType w:val="hybridMultilevel"/>
    <w:tmpl w:val="093EF26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23A1FC1"/>
    <w:multiLevelType w:val="hybridMultilevel"/>
    <w:tmpl w:val="EF8459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70F0411"/>
    <w:multiLevelType w:val="hybridMultilevel"/>
    <w:tmpl w:val="668C8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84B6355"/>
    <w:multiLevelType w:val="hybridMultilevel"/>
    <w:tmpl w:val="6082EC1C"/>
    <w:lvl w:ilvl="0" w:tplc="C92AE1A6">
      <w:start w:val="1"/>
      <w:numFmt w:val="lowerLetter"/>
      <w:lvlText w:val="%1."/>
      <w:lvlJc w:val="left"/>
      <w:pPr>
        <w:ind w:left="720" w:hanging="360"/>
      </w:pPr>
      <w:rPr>
        <w:rFonts w:ascii="Calibri" w:hAnsi="Calibri" w:cs="Times New Roman" w:hint="default"/>
        <w:b w:val="0"/>
        <w:i w:val="0"/>
        <w:caps w:val="0"/>
        <w:strike w:val="0"/>
        <w:dstrike w:val="0"/>
        <w:outline w:val="0"/>
        <w:shadow w:val="0"/>
        <w:emboss w:val="0"/>
        <w:imprint w:val="0"/>
        <w:vanish w:val="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9203788"/>
    <w:multiLevelType w:val="hybridMultilevel"/>
    <w:tmpl w:val="216214F2"/>
    <w:lvl w:ilvl="0" w:tplc="0C090003">
      <w:start w:val="1"/>
      <w:numFmt w:val="bullet"/>
      <w:lvlText w:val="o"/>
      <w:lvlJc w:val="left"/>
      <w:pPr>
        <w:ind w:left="758" w:hanging="360"/>
      </w:pPr>
      <w:rPr>
        <w:rFonts w:ascii="Courier New" w:hAnsi="Courier New" w:cs="Courier New" w:hint="default"/>
      </w:rPr>
    </w:lvl>
    <w:lvl w:ilvl="1" w:tplc="0C090003" w:tentative="1">
      <w:start w:val="1"/>
      <w:numFmt w:val="bullet"/>
      <w:lvlText w:val="o"/>
      <w:lvlJc w:val="left"/>
      <w:pPr>
        <w:ind w:left="1478" w:hanging="360"/>
      </w:pPr>
      <w:rPr>
        <w:rFonts w:ascii="Courier New" w:hAnsi="Courier New" w:cs="Courier New" w:hint="default"/>
      </w:rPr>
    </w:lvl>
    <w:lvl w:ilvl="2" w:tplc="0C090005" w:tentative="1">
      <w:start w:val="1"/>
      <w:numFmt w:val="bullet"/>
      <w:lvlText w:val=""/>
      <w:lvlJc w:val="left"/>
      <w:pPr>
        <w:ind w:left="2198" w:hanging="360"/>
      </w:pPr>
      <w:rPr>
        <w:rFonts w:ascii="Wingdings" w:hAnsi="Wingdings" w:hint="default"/>
      </w:rPr>
    </w:lvl>
    <w:lvl w:ilvl="3" w:tplc="0C090001" w:tentative="1">
      <w:start w:val="1"/>
      <w:numFmt w:val="bullet"/>
      <w:lvlText w:val=""/>
      <w:lvlJc w:val="left"/>
      <w:pPr>
        <w:ind w:left="2918" w:hanging="360"/>
      </w:pPr>
      <w:rPr>
        <w:rFonts w:ascii="Symbol" w:hAnsi="Symbol" w:hint="default"/>
      </w:rPr>
    </w:lvl>
    <w:lvl w:ilvl="4" w:tplc="0C090003" w:tentative="1">
      <w:start w:val="1"/>
      <w:numFmt w:val="bullet"/>
      <w:lvlText w:val="o"/>
      <w:lvlJc w:val="left"/>
      <w:pPr>
        <w:ind w:left="3638" w:hanging="360"/>
      </w:pPr>
      <w:rPr>
        <w:rFonts w:ascii="Courier New" w:hAnsi="Courier New" w:cs="Courier New" w:hint="default"/>
      </w:rPr>
    </w:lvl>
    <w:lvl w:ilvl="5" w:tplc="0C090005" w:tentative="1">
      <w:start w:val="1"/>
      <w:numFmt w:val="bullet"/>
      <w:lvlText w:val=""/>
      <w:lvlJc w:val="left"/>
      <w:pPr>
        <w:ind w:left="4358" w:hanging="360"/>
      </w:pPr>
      <w:rPr>
        <w:rFonts w:ascii="Wingdings" w:hAnsi="Wingdings" w:hint="default"/>
      </w:rPr>
    </w:lvl>
    <w:lvl w:ilvl="6" w:tplc="0C090001" w:tentative="1">
      <w:start w:val="1"/>
      <w:numFmt w:val="bullet"/>
      <w:lvlText w:val=""/>
      <w:lvlJc w:val="left"/>
      <w:pPr>
        <w:ind w:left="5078" w:hanging="360"/>
      </w:pPr>
      <w:rPr>
        <w:rFonts w:ascii="Symbol" w:hAnsi="Symbol" w:hint="default"/>
      </w:rPr>
    </w:lvl>
    <w:lvl w:ilvl="7" w:tplc="0C090003" w:tentative="1">
      <w:start w:val="1"/>
      <w:numFmt w:val="bullet"/>
      <w:lvlText w:val="o"/>
      <w:lvlJc w:val="left"/>
      <w:pPr>
        <w:ind w:left="5798" w:hanging="360"/>
      </w:pPr>
      <w:rPr>
        <w:rFonts w:ascii="Courier New" w:hAnsi="Courier New" w:cs="Courier New" w:hint="default"/>
      </w:rPr>
    </w:lvl>
    <w:lvl w:ilvl="8" w:tplc="0C090005" w:tentative="1">
      <w:start w:val="1"/>
      <w:numFmt w:val="bullet"/>
      <w:lvlText w:val=""/>
      <w:lvlJc w:val="left"/>
      <w:pPr>
        <w:ind w:left="6518" w:hanging="360"/>
      </w:pPr>
      <w:rPr>
        <w:rFonts w:ascii="Wingdings" w:hAnsi="Wingdings" w:hint="default"/>
      </w:rPr>
    </w:lvl>
  </w:abstractNum>
  <w:abstractNum w:abstractNumId="10">
    <w:nsid w:val="39663F80"/>
    <w:multiLevelType w:val="hybridMultilevel"/>
    <w:tmpl w:val="8AFE9C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D1455B6"/>
    <w:multiLevelType w:val="hybridMultilevel"/>
    <w:tmpl w:val="D0B2C3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2770737"/>
    <w:multiLevelType w:val="hybridMultilevel"/>
    <w:tmpl w:val="100E3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5FD3C4E"/>
    <w:multiLevelType w:val="hybridMultilevel"/>
    <w:tmpl w:val="827A0D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6974D77"/>
    <w:multiLevelType w:val="hybridMultilevel"/>
    <w:tmpl w:val="6082EC1C"/>
    <w:lvl w:ilvl="0" w:tplc="C92AE1A6">
      <w:start w:val="1"/>
      <w:numFmt w:val="lowerLetter"/>
      <w:lvlText w:val="%1."/>
      <w:lvlJc w:val="left"/>
      <w:pPr>
        <w:ind w:left="720" w:hanging="360"/>
      </w:pPr>
      <w:rPr>
        <w:rFonts w:ascii="Calibri" w:hAnsi="Calibri" w:cs="Times New Roman" w:hint="default"/>
        <w:b w:val="0"/>
        <w:i w:val="0"/>
        <w:caps w:val="0"/>
        <w:strike w:val="0"/>
        <w:dstrike w:val="0"/>
        <w:outline w:val="0"/>
        <w:shadow w:val="0"/>
        <w:emboss w:val="0"/>
        <w:imprint w:val="0"/>
        <w:vanish w:val="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6A453A5"/>
    <w:multiLevelType w:val="hybridMultilevel"/>
    <w:tmpl w:val="4064B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9FD324E"/>
    <w:multiLevelType w:val="hybridMultilevel"/>
    <w:tmpl w:val="0A5A6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B703EC0"/>
    <w:multiLevelType w:val="hybridMultilevel"/>
    <w:tmpl w:val="2C504B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6217330"/>
    <w:multiLevelType w:val="hybridMultilevel"/>
    <w:tmpl w:val="7892FD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66766D9"/>
    <w:multiLevelType w:val="hybridMultilevel"/>
    <w:tmpl w:val="D08C3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B4D54CE"/>
    <w:multiLevelType w:val="hybridMultilevel"/>
    <w:tmpl w:val="C63EED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D35164E"/>
    <w:multiLevelType w:val="hybridMultilevel"/>
    <w:tmpl w:val="B49A2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C611C37"/>
    <w:multiLevelType w:val="hybridMultilevel"/>
    <w:tmpl w:val="1EB0C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EC673A4"/>
    <w:multiLevelType w:val="hybridMultilevel"/>
    <w:tmpl w:val="0512BCF4"/>
    <w:lvl w:ilvl="0" w:tplc="0C09000F">
      <w:start w:val="1"/>
      <w:numFmt w:val="deci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nsid w:val="73EB460D"/>
    <w:multiLevelType w:val="hybridMultilevel"/>
    <w:tmpl w:val="541AD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F7617B7"/>
    <w:multiLevelType w:val="multilevel"/>
    <w:tmpl w:val="7FB0EC0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3"/>
  </w:num>
  <w:num w:numId="2">
    <w:abstractNumId w:val="25"/>
  </w:num>
  <w:num w:numId="3">
    <w:abstractNumId w:val="14"/>
  </w:num>
  <w:num w:numId="4">
    <w:abstractNumId w:val="8"/>
  </w:num>
  <w:num w:numId="5">
    <w:abstractNumId w:val="11"/>
  </w:num>
  <w:num w:numId="6">
    <w:abstractNumId w:val="16"/>
  </w:num>
  <w:num w:numId="7">
    <w:abstractNumId w:val="4"/>
  </w:num>
  <w:num w:numId="8">
    <w:abstractNumId w:val="0"/>
  </w:num>
  <w:num w:numId="9">
    <w:abstractNumId w:val="2"/>
  </w:num>
  <w:num w:numId="10">
    <w:abstractNumId w:val="7"/>
  </w:num>
  <w:num w:numId="11">
    <w:abstractNumId w:val="15"/>
  </w:num>
  <w:num w:numId="12">
    <w:abstractNumId w:val="22"/>
  </w:num>
  <w:num w:numId="13">
    <w:abstractNumId w:val="10"/>
  </w:num>
  <w:num w:numId="14">
    <w:abstractNumId w:val="24"/>
  </w:num>
  <w:num w:numId="15">
    <w:abstractNumId w:val="3"/>
  </w:num>
  <w:num w:numId="16">
    <w:abstractNumId w:val="1"/>
  </w:num>
  <w:num w:numId="17">
    <w:abstractNumId w:val="5"/>
  </w:num>
  <w:num w:numId="18">
    <w:abstractNumId w:val="19"/>
  </w:num>
  <w:num w:numId="19">
    <w:abstractNumId w:val="6"/>
  </w:num>
  <w:num w:numId="20">
    <w:abstractNumId w:val="17"/>
  </w:num>
  <w:num w:numId="21">
    <w:abstractNumId w:val="21"/>
  </w:num>
  <w:num w:numId="22">
    <w:abstractNumId w:val="13"/>
  </w:num>
  <w:num w:numId="23">
    <w:abstractNumId w:val="20"/>
  </w:num>
  <w:num w:numId="24">
    <w:abstractNumId w:val="9"/>
  </w:num>
  <w:num w:numId="25">
    <w:abstractNumId w:val="12"/>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characterSpacingControl w:val="doNotCompress"/>
  <w:hdrShapeDefaults>
    <o:shapedefaults v:ext="edit" spidmax="6860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urrentname" w:val="\\cbrvpwxfs01\home$\smoff\CRG Meeting #3 (24 April) - Minutes.docx"/>
  </w:docVars>
  <w:rsids>
    <w:rsidRoot w:val="00E72396"/>
    <w:rsid w:val="00015549"/>
    <w:rsid w:val="0002060A"/>
    <w:rsid w:val="00020DC3"/>
    <w:rsid w:val="00022318"/>
    <w:rsid w:val="00024BF7"/>
    <w:rsid w:val="00024E81"/>
    <w:rsid w:val="00026DEB"/>
    <w:rsid w:val="00031E2A"/>
    <w:rsid w:val="00040916"/>
    <w:rsid w:val="00042170"/>
    <w:rsid w:val="00043A3C"/>
    <w:rsid w:val="0005134F"/>
    <w:rsid w:val="0005446E"/>
    <w:rsid w:val="00066504"/>
    <w:rsid w:val="00066D86"/>
    <w:rsid w:val="00074D70"/>
    <w:rsid w:val="000751FA"/>
    <w:rsid w:val="00080B24"/>
    <w:rsid w:val="000823B6"/>
    <w:rsid w:val="00085025"/>
    <w:rsid w:val="00085DF9"/>
    <w:rsid w:val="0009116E"/>
    <w:rsid w:val="000961EE"/>
    <w:rsid w:val="00096AE4"/>
    <w:rsid w:val="000A22C5"/>
    <w:rsid w:val="000A5BA1"/>
    <w:rsid w:val="000A5D57"/>
    <w:rsid w:val="000B7311"/>
    <w:rsid w:val="000C1AC2"/>
    <w:rsid w:val="000C47A9"/>
    <w:rsid w:val="000C5D70"/>
    <w:rsid w:val="000C6CC4"/>
    <w:rsid w:val="000D1291"/>
    <w:rsid w:val="000D16F7"/>
    <w:rsid w:val="000D5B3B"/>
    <w:rsid w:val="000D6373"/>
    <w:rsid w:val="000D7CAA"/>
    <w:rsid w:val="000E26FC"/>
    <w:rsid w:val="000E64F0"/>
    <w:rsid w:val="000F0013"/>
    <w:rsid w:val="000F012C"/>
    <w:rsid w:val="000F25D2"/>
    <w:rsid w:val="000F2B82"/>
    <w:rsid w:val="000F6F3A"/>
    <w:rsid w:val="000F7811"/>
    <w:rsid w:val="00102402"/>
    <w:rsid w:val="0011150B"/>
    <w:rsid w:val="0011182F"/>
    <w:rsid w:val="00113C6F"/>
    <w:rsid w:val="0011545D"/>
    <w:rsid w:val="00132713"/>
    <w:rsid w:val="00140F94"/>
    <w:rsid w:val="00146A73"/>
    <w:rsid w:val="0015024F"/>
    <w:rsid w:val="0015094C"/>
    <w:rsid w:val="00150C31"/>
    <w:rsid w:val="00152B06"/>
    <w:rsid w:val="00153FEE"/>
    <w:rsid w:val="001559E2"/>
    <w:rsid w:val="00157C41"/>
    <w:rsid w:val="00157E24"/>
    <w:rsid w:val="00162920"/>
    <w:rsid w:val="00164336"/>
    <w:rsid w:val="00165E8D"/>
    <w:rsid w:val="00180311"/>
    <w:rsid w:val="001807A8"/>
    <w:rsid w:val="00181ABD"/>
    <w:rsid w:val="00184F0F"/>
    <w:rsid w:val="00187494"/>
    <w:rsid w:val="00190517"/>
    <w:rsid w:val="00192988"/>
    <w:rsid w:val="00192EC7"/>
    <w:rsid w:val="00194CF2"/>
    <w:rsid w:val="00197FA7"/>
    <w:rsid w:val="001A20C1"/>
    <w:rsid w:val="001A28B6"/>
    <w:rsid w:val="001A2C91"/>
    <w:rsid w:val="001A76E3"/>
    <w:rsid w:val="001B6A22"/>
    <w:rsid w:val="001B7B91"/>
    <w:rsid w:val="001C19A2"/>
    <w:rsid w:val="001D5794"/>
    <w:rsid w:val="001D5D9A"/>
    <w:rsid w:val="001D74EA"/>
    <w:rsid w:val="001D7DAA"/>
    <w:rsid w:val="001E1CB4"/>
    <w:rsid w:val="001F2A2E"/>
    <w:rsid w:val="001F2B39"/>
    <w:rsid w:val="001F5126"/>
    <w:rsid w:val="001F7151"/>
    <w:rsid w:val="00200138"/>
    <w:rsid w:val="00205FFD"/>
    <w:rsid w:val="00214F55"/>
    <w:rsid w:val="00215848"/>
    <w:rsid w:val="00221E91"/>
    <w:rsid w:val="002260EF"/>
    <w:rsid w:val="00227154"/>
    <w:rsid w:val="002273E7"/>
    <w:rsid w:val="00231827"/>
    <w:rsid w:val="00236E82"/>
    <w:rsid w:val="00237BFA"/>
    <w:rsid w:val="00250816"/>
    <w:rsid w:val="002537F8"/>
    <w:rsid w:val="002545DC"/>
    <w:rsid w:val="00263B3B"/>
    <w:rsid w:val="00265FD8"/>
    <w:rsid w:val="002677C6"/>
    <w:rsid w:val="00267E3D"/>
    <w:rsid w:val="0027170D"/>
    <w:rsid w:val="0027217E"/>
    <w:rsid w:val="00276B32"/>
    <w:rsid w:val="00281F36"/>
    <w:rsid w:val="00286031"/>
    <w:rsid w:val="0029062E"/>
    <w:rsid w:val="00291326"/>
    <w:rsid w:val="00291C85"/>
    <w:rsid w:val="002A0034"/>
    <w:rsid w:val="002A1DBA"/>
    <w:rsid w:val="002A696D"/>
    <w:rsid w:val="002A7DB5"/>
    <w:rsid w:val="002B30B2"/>
    <w:rsid w:val="002B40E1"/>
    <w:rsid w:val="002C113B"/>
    <w:rsid w:val="002C65CA"/>
    <w:rsid w:val="002D11AA"/>
    <w:rsid w:val="002D2DE1"/>
    <w:rsid w:val="002D59D6"/>
    <w:rsid w:val="002E0C63"/>
    <w:rsid w:val="002E1238"/>
    <w:rsid w:val="002E1C85"/>
    <w:rsid w:val="002E3874"/>
    <w:rsid w:val="002E68AE"/>
    <w:rsid w:val="002F0DDB"/>
    <w:rsid w:val="002F4701"/>
    <w:rsid w:val="002F7E5C"/>
    <w:rsid w:val="00320EDC"/>
    <w:rsid w:val="00324995"/>
    <w:rsid w:val="0032597C"/>
    <w:rsid w:val="0033557A"/>
    <w:rsid w:val="00341F44"/>
    <w:rsid w:val="00344C1E"/>
    <w:rsid w:val="003462D3"/>
    <w:rsid w:val="00350161"/>
    <w:rsid w:val="00353C65"/>
    <w:rsid w:val="0036044E"/>
    <w:rsid w:val="003620AB"/>
    <w:rsid w:val="00364489"/>
    <w:rsid w:val="00366F70"/>
    <w:rsid w:val="00377468"/>
    <w:rsid w:val="00377736"/>
    <w:rsid w:val="00380BC6"/>
    <w:rsid w:val="00381258"/>
    <w:rsid w:val="00385AD5"/>
    <w:rsid w:val="00390CCF"/>
    <w:rsid w:val="00391663"/>
    <w:rsid w:val="00395692"/>
    <w:rsid w:val="003A315B"/>
    <w:rsid w:val="003B78E4"/>
    <w:rsid w:val="003C3571"/>
    <w:rsid w:val="003C4B62"/>
    <w:rsid w:val="003D17DA"/>
    <w:rsid w:val="003D1A19"/>
    <w:rsid w:val="003D4909"/>
    <w:rsid w:val="003D5645"/>
    <w:rsid w:val="003E48D6"/>
    <w:rsid w:val="003F0ACD"/>
    <w:rsid w:val="003F7F5F"/>
    <w:rsid w:val="00403A7C"/>
    <w:rsid w:val="00404A87"/>
    <w:rsid w:val="00406A67"/>
    <w:rsid w:val="00411434"/>
    <w:rsid w:val="0041417F"/>
    <w:rsid w:val="004147BB"/>
    <w:rsid w:val="00417170"/>
    <w:rsid w:val="00417F15"/>
    <w:rsid w:val="00422D99"/>
    <w:rsid w:val="0043030C"/>
    <w:rsid w:val="0043225D"/>
    <w:rsid w:val="004339C3"/>
    <w:rsid w:val="00437134"/>
    <w:rsid w:val="00437558"/>
    <w:rsid w:val="004378AA"/>
    <w:rsid w:val="00441ED7"/>
    <w:rsid w:val="00447785"/>
    <w:rsid w:val="00464382"/>
    <w:rsid w:val="00466AF9"/>
    <w:rsid w:val="004706A9"/>
    <w:rsid w:val="00481424"/>
    <w:rsid w:val="004814F7"/>
    <w:rsid w:val="00487CCD"/>
    <w:rsid w:val="004933F7"/>
    <w:rsid w:val="00497F7A"/>
    <w:rsid w:val="004A3497"/>
    <w:rsid w:val="004A4E5F"/>
    <w:rsid w:val="004B160D"/>
    <w:rsid w:val="004B161C"/>
    <w:rsid w:val="004B763E"/>
    <w:rsid w:val="004C5F47"/>
    <w:rsid w:val="004D027D"/>
    <w:rsid w:val="004D2F9A"/>
    <w:rsid w:val="004D5FF7"/>
    <w:rsid w:val="004D743E"/>
    <w:rsid w:val="004D7970"/>
    <w:rsid w:val="004E0EB1"/>
    <w:rsid w:val="004E4F11"/>
    <w:rsid w:val="004E73FD"/>
    <w:rsid w:val="004F5C67"/>
    <w:rsid w:val="0050130B"/>
    <w:rsid w:val="0050131D"/>
    <w:rsid w:val="005017F7"/>
    <w:rsid w:val="00517944"/>
    <w:rsid w:val="00520E88"/>
    <w:rsid w:val="00522C56"/>
    <w:rsid w:val="005230FF"/>
    <w:rsid w:val="00523273"/>
    <w:rsid w:val="005236FE"/>
    <w:rsid w:val="00530609"/>
    <w:rsid w:val="005320BE"/>
    <w:rsid w:val="00532593"/>
    <w:rsid w:val="00537E94"/>
    <w:rsid w:val="0054221D"/>
    <w:rsid w:val="005466AE"/>
    <w:rsid w:val="00551C02"/>
    <w:rsid w:val="00555884"/>
    <w:rsid w:val="00561DE3"/>
    <w:rsid w:val="00572A54"/>
    <w:rsid w:val="005747DE"/>
    <w:rsid w:val="0057506C"/>
    <w:rsid w:val="00575D98"/>
    <w:rsid w:val="00575E85"/>
    <w:rsid w:val="005847E5"/>
    <w:rsid w:val="0058736E"/>
    <w:rsid w:val="005904B6"/>
    <w:rsid w:val="00591171"/>
    <w:rsid w:val="00594253"/>
    <w:rsid w:val="005A5496"/>
    <w:rsid w:val="005A6594"/>
    <w:rsid w:val="005B4410"/>
    <w:rsid w:val="005B4C33"/>
    <w:rsid w:val="005C07B1"/>
    <w:rsid w:val="005C0FE7"/>
    <w:rsid w:val="005C113C"/>
    <w:rsid w:val="005C4B20"/>
    <w:rsid w:val="005C5D61"/>
    <w:rsid w:val="005C7BFE"/>
    <w:rsid w:val="005D6052"/>
    <w:rsid w:val="005D7E68"/>
    <w:rsid w:val="005E3421"/>
    <w:rsid w:val="005E5E32"/>
    <w:rsid w:val="005E7499"/>
    <w:rsid w:val="00602A5D"/>
    <w:rsid w:val="006042D7"/>
    <w:rsid w:val="00607824"/>
    <w:rsid w:val="006103C5"/>
    <w:rsid w:val="006119D9"/>
    <w:rsid w:val="00615158"/>
    <w:rsid w:val="00620B55"/>
    <w:rsid w:val="006224FC"/>
    <w:rsid w:val="006230E2"/>
    <w:rsid w:val="00627F85"/>
    <w:rsid w:val="00632E16"/>
    <w:rsid w:val="00633714"/>
    <w:rsid w:val="00633948"/>
    <w:rsid w:val="00634F60"/>
    <w:rsid w:val="00635F07"/>
    <w:rsid w:val="00636B51"/>
    <w:rsid w:val="006425FE"/>
    <w:rsid w:val="006465A6"/>
    <w:rsid w:val="00661F33"/>
    <w:rsid w:val="006620FC"/>
    <w:rsid w:val="00663FA0"/>
    <w:rsid w:val="00665784"/>
    <w:rsid w:val="00666752"/>
    <w:rsid w:val="0066715E"/>
    <w:rsid w:val="00667749"/>
    <w:rsid w:val="00677BEF"/>
    <w:rsid w:val="00680DD2"/>
    <w:rsid w:val="00686848"/>
    <w:rsid w:val="0069230C"/>
    <w:rsid w:val="006A2B22"/>
    <w:rsid w:val="006A31FF"/>
    <w:rsid w:val="006A3F55"/>
    <w:rsid w:val="006A455D"/>
    <w:rsid w:val="006B1D3A"/>
    <w:rsid w:val="006B1E93"/>
    <w:rsid w:val="006B3828"/>
    <w:rsid w:val="006B514A"/>
    <w:rsid w:val="006B7310"/>
    <w:rsid w:val="006C3026"/>
    <w:rsid w:val="006C537C"/>
    <w:rsid w:val="006C580F"/>
    <w:rsid w:val="006D13DB"/>
    <w:rsid w:val="006D310D"/>
    <w:rsid w:val="006D4835"/>
    <w:rsid w:val="006D4AB7"/>
    <w:rsid w:val="006D699B"/>
    <w:rsid w:val="006E5DC1"/>
    <w:rsid w:val="006F6BC8"/>
    <w:rsid w:val="006F74BA"/>
    <w:rsid w:val="00702234"/>
    <w:rsid w:val="0070318E"/>
    <w:rsid w:val="00703262"/>
    <w:rsid w:val="00703C6C"/>
    <w:rsid w:val="00706B5F"/>
    <w:rsid w:val="00710B74"/>
    <w:rsid w:val="007118E5"/>
    <w:rsid w:val="0071316B"/>
    <w:rsid w:val="00716C16"/>
    <w:rsid w:val="00720D60"/>
    <w:rsid w:val="00721AA2"/>
    <w:rsid w:val="00725F18"/>
    <w:rsid w:val="007343FE"/>
    <w:rsid w:val="00734BEC"/>
    <w:rsid w:val="00734D2D"/>
    <w:rsid w:val="0073575F"/>
    <w:rsid w:val="007406C7"/>
    <w:rsid w:val="0074173F"/>
    <w:rsid w:val="00746625"/>
    <w:rsid w:val="00746DC1"/>
    <w:rsid w:val="00753ACB"/>
    <w:rsid w:val="00754781"/>
    <w:rsid w:val="007566D9"/>
    <w:rsid w:val="0076461C"/>
    <w:rsid w:val="00765627"/>
    <w:rsid w:val="00771269"/>
    <w:rsid w:val="00776106"/>
    <w:rsid w:val="00790B8D"/>
    <w:rsid w:val="007910B5"/>
    <w:rsid w:val="007934D9"/>
    <w:rsid w:val="00794046"/>
    <w:rsid w:val="00795627"/>
    <w:rsid w:val="007968E7"/>
    <w:rsid w:val="007A2860"/>
    <w:rsid w:val="007A67A3"/>
    <w:rsid w:val="007B39D9"/>
    <w:rsid w:val="007C1CBF"/>
    <w:rsid w:val="007C204C"/>
    <w:rsid w:val="007C482D"/>
    <w:rsid w:val="007D1EFF"/>
    <w:rsid w:val="007D3163"/>
    <w:rsid w:val="007D3ED1"/>
    <w:rsid w:val="007D75C7"/>
    <w:rsid w:val="007E5796"/>
    <w:rsid w:val="007E7AE4"/>
    <w:rsid w:val="007F3767"/>
    <w:rsid w:val="00807E47"/>
    <w:rsid w:val="00812696"/>
    <w:rsid w:val="00820660"/>
    <w:rsid w:val="008241C6"/>
    <w:rsid w:val="00830DFF"/>
    <w:rsid w:val="00832009"/>
    <w:rsid w:val="00843145"/>
    <w:rsid w:val="00851741"/>
    <w:rsid w:val="008525B6"/>
    <w:rsid w:val="00857B12"/>
    <w:rsid w:val="0086169B"/>
    <w:rsid w:val="008621FC"/>
    <w:rsid w:val="008708C0"/>
    <w:rsid w:val="00881086"/>
    <w:rsid w:val="00881989"/>
    <w:rsid w:val="00882DAF"/>
    <w:rsid w:val="00886B95"/>
    <w:rsid w:val="00887438"/>
    <w:rsid w:val="00887884"/>
    <w:rsid w:val="008919CF"/>
    <w:rsid w:val="00893D6D"/>
    <w:rsid w:val="00897FF5"/>
    <w:rsid w:val="008C04CB"/>
    <w:rsid w:val="008C2DB7"/>
    <w:rsid w:val="008D0DF2"/>
    <w:rsid w:val="008D3560"/>
    <w:rsid w:val="008D3622"/>
    <w:rsid w:val="008D3E73"/>
    <w:rsid w:val="008F2450"/>
    <w:rsid w:val="008F48D9"/>
    <w:rsid w:val="00904D2A"/>
    <w:rsid w:val="00906F2B"/>
    <w:rsid w:val="009070BF"/>
    <w:rsid w:val="00910CB4"/>
    <w:rsid w:val="00913683"/>
    <w:rsid w:val="00921928"/>
    <w:rsid w:val="00922389"/>
    <w:rsid w:val="0092421C"/>
    <w:rsid w:val="009243D0"/>
    <w:rsid w:val="009300C5"/>
    <w:rsid w:val="009320C3"/>
    <w:rsid w:val="00932531"/>
    <w:rsid w:val="009335E5"/>
    <w:rsid w:val="00934515"/>
    <w:rsid w:val="00936060"/>
    <w:rsid w:val="0094028A"/>
    <w:rsid w:val="0094362C"/>
    <w:rsid w:val="00945C86"/>
    <w:rsid w:val="00947FB0"/>
    <w:rsid w:val="0095141B"/>
    <w:rsid w:val="00953D60"/>
    <w:rsid w:val="00972E09"/>
    <w:rsid w:val="00973611"/>
    <w:rsid w:val="009738B7"/>
    <w:rsid w:val="00981B2A"/>
    <w:rsid w:val="009877DE"/>
    <w:rsid w:val="009A4718"/>
    <w:rsid w:val="009A5AFB"/>
    <w:rsid w:val="009B40EF"/>
    <w:rsid w:val="009B61DD"/>
    <w:rsid w:val="009B7746"/>
    <w:rsid w:val="009B7B0D"/>
    <w:rsid w:val="009C415C"/>
    <w:rsid w:val="009D08BB"/>
    <w:rsid w:val="009D0E8E"/>
    <w:rsid w:val="009D330E"/>
    <w:rsid w:val="009E09D1"/>
    <w:rsid w:val="009E1068"/>
    <w:rsid w:val="009E6F8A"/>
    <w:rsid w:val="009F3B7B"/>
    <w:rsid w:val="009F3D30"/>
    <w:rsid w:val="009F6DA1"/>
    <w:rsid w:val="00A00408"/>
    <w:rsid w:val="00A038AF"/>
    <w:rsid w:val="00A14C05"/>
    <w:rsid w:val="00A175C4"/>
    <w:rsid w:val="00A2006C"/>
    <w:rsid w:val="00A23273"/>
    <w:rsid w:val="00A23C26"/>
    <w:rsid w:val="00A2608B"/>
    <w:rsid w:val="00A3009C"/>
    <w:rsid w:val="00A42474"/>
    <w:rsid w:val="00A42A71"/>
    <w:rsid w:val="00A5345A"/>
    <w:rsid w:val="00A55E8E"/>
    <w:rsid w:val="00A56EC4"/>
    <w:rsid w:val="00A65B2A"/>
    <w:rsid w:val="00A734AA"/>
    <w:rsid w:val="00A767AC"/>
    <w:rsid w:val="00A8122C"/>
    <w:rsid w:val="00A859CB"/>
    <w:rsid w:val="00A92BCA"/>
    <w:rsid w:val="00A972F5"/>
    <w:rsid w:val="00AA4C1C"/>
    <w:rsid w:val="00AA61D9"/>
    <w:rsid w:val="00AC2B82"/>
    <w:rsid w:val="00AD1584"/>
    <w:rsid w:val="00AD423B"/>
    <w:rsid w:val="00AD54C3"/>
    <w:rsid w:val="00AE067B"/>
    <w:rsid w:val="00AE1AFE"/>
    <w:rsid w:val="00AE2E3C"/>
    <w:rsid w:val="00AE51FA"/>
    <w:rsid w:val="00AF5CB3"/>
    <w:rsid w:val="00B0085B"/>
    <w:rsid w:val="00B0177E"/>
    <w:rsid w:val="00B074AA"/>
    <w:rsid w:val="00B10087"/>
    <w:rsid w:val="00B11BA2"/>
    <w:rsid w:val="00B16AE6"/>
    <w:rsid w:val="00B1717D"/>
    <w:rsid w:val="00B20ACD"/>
    <w:rsid w:val="00B210AE"/>
    <w:rsid w:val="00B3304D"/>
    <w:rsid w:val="00B33BD8"/>
    <w:rsid w:val="00B35F53"/>
    <w:rsid w:val="00B43A3C"/>
    <w:rsid w:val="00B459C4"/>
    <w:rsid w:val="00B51C74"/>
    <w:rsid w:val="00B554D6"/>
    <w:rsid w:val="00B56518"/>
    <w:rsid w:val="00B716E4"/>
    <w:rsid w:val="00B72965"/>
    <w:rsid w:val="00B73BC0"/>
    <w:rsid w:val="00B758A3"/>
    <w:rsid w:val="00B776C0"/>
    <w:rsid w:val="00B80889"/>
    <w:rsid w:val="00B827E2"/>
    <w:rsid w:val="00B867A7"/>
    <w:rsid w:val="00B9328D"/>
    <w:rsid w:val="00BA1207"/>
    <w:rsid w:val="00BA6675"/>
    <w:rsid w:val="00BA69DD"/>
    <w:rsid w:val="00BB262C"/>
    <w:rsid w:val="00BB38DB"/>
    <w:rsid w:val="00BB5037"/>
    <w:rsid w:val="00BB5D21"/>
    <w:rsid w:val="00BD011F"/>
    <w:rsid w:val="00BD151E"/>
    <w:rsid w:val="00BD191F"/>
    <w:rsid w:val="00BD33AF"/>
    <w:rsid w:val="00BD371E"/>
    <w:rsid w:val="00BD5AB5"/>
    <w:rsid w:val="00BD6CA5"/>
    <w:rsid w:val="00BD6D23"/>
    <w:rsid w:val="00BD7F28"/>
    <w:rsid w:val="00BE0B66"/>
    <w:rsid w:val="00BE2CEA"/>
    <w:rsid w:val="00BE44D0"/>
    <w:rsid w:val="00BF1661"/>
    <w:rsid w:val="00BF21E0"/>
    <w:rsid w:val="00C020AD"/>
    <w:rsid w:val="00C10184"/>
    <w:rsid w:val="00C10ECC"/>
    <w:rsid w:val="00C11CFC"/>
    <w:rsid w:val="00C1371E"/>
    <w:rsid w:val="00C1477F"/>
    <w:rsid w:val="00C17BD1"/>
    <w:rsid w:val="00C22900"/>
    <w:rsid w:val="00C41F81"/>
    <w:rsid w:val="00C42B96"/>
    <w:rsid w:val="00C45B5F"/>
    <w:rsid w:val="00C46AED"/>
    <w:rsid w:val="00C53CA2"/>
    <w:rsid w:val="00C5405D"/>
    <w:rsid w:val="00C54668"/>
    <w:rsid w:val="00C5652E"/>
    <w:rsid w:val="00C568D3"/>
    <w:rsid w:val="00C67E72"/>
    <w:rsid w:val="00C8141F"/>
    <w:rsid w:val="00C828C7"/>
    <w:rsid w:val="00C90B94"/>
    <w:rsid w:val="00C91F39"/>
    <w:rsid w:val="00C9795C"/>
    <w:rsid w:val="00C97C4D"/>
    <w:rsid w:val="00CA270F"/>
    <w:rsid w:val="00CA5249"/>
    <w:rsid w:val="00CB0FFB"/>
    <w:rsid w:val="00CB2704"/>
    <w:rsid w:val="00CB3E91"/>
    <w:rsid w:val="00CB77D7"/>
    <w:rsid w:val="00CC4191"/>
    <w:rsid w:val="00CC6725"/>
    <w:rsid w:val="00CC7BCB"/>
    <w:rsid w:val="00CD07C0"/>
    <w:rsid w:val="00CD191D"/>
    <w:rsid w:val="00CD2130"/>
    <w:rsid w:val="00CE163D"/>
    <w:rsid w:val="00CE3D60"/>
    <w:rsid w:val="00CE4C0E"/>
    <w:rsid w:val="00CE7B91"/>
    <w:rsid w:val="00CF1FD6"/>
    <w:rsid w:val="00CF3B0F"/>
    <w:rsid w:val="00CF5882"/>
    <w:rsid w:val="00CF74E9"/>
    <w:rsid w:val="00D00566"/>
    <w:rsid w:val="00D017AD"/>
    <w:rsid w:val="00D04C63"/>
    <w:rsid w:val="00D05753"/>
    <w:rsid w:val="00D05D76"/>
    <w:rsid w:val="00D06885"/>
    <w:rsid w:val="00D103F9"/>
    <w:rsid w:val="00D17DF5"/>
    <w:rsid w:val="00D240CF"/>
    <w:rsid w:val="00D44F6D"/>
    <w:rsid w:val="00D51C9A"/>
    <w:rsid w:val="00D528AA"/>
    <w:rsid w:val="00D536BC"/>
    <w:rsid w:val="00D62529"/>
    <w:rsid w:val="00D7358D"/>
    <w:rsid w:val="00D75A3F"/>
    <w:rsid w:val="00D80FBE"/>
    <w:rsid w:val="00D8178B"/>
    <w:rsid w:val="00D818A5"/>
    <w:rsid w:val="00D81906"/>
    <w:rsid w:val="00D822B3"/>
    <w:rsid w:val="00D87C48"/>
    <w:rsid w:val="00D96B50"/>
    <w:rsid w:val="00D97312"/>
    <w:rsid w:val="00DB46E7"/>
    <w:rsid w:val="00DB48CF"/>
    <w:rsid w:val="00DB732F"/>
    <w:rsid w:val="00DC10E0"/>
    <w:rsid w:val="00DC38A0"/>
    <w:rsid w:val="00DC3E13"/>
    <w:rsid w:val="00DC403B"/>
    <w:rsid w:val="00DC50DA"/>
    <w:rsid w:val="00DC6F04"/>
    <w:rsid w:val="00DD237F"/>
    <w:rsid w:val="00DD4FE7"/>
    <w:rsid w:val="00DE0826"/>
    <w:rsid w:val="00DF1366"/>
    <w:rsid w:val="00DF168B"/>
    <w:rsid w:val="00DF7793"/>
    <w:rsid w:val="00E06FEB"/>
    <w:rsid w:val="00E0712B"/>
    <w:rsid w:val="00E07885"/>
    <w:rsid w:val="00E10DFF"/>
    <w:rsid w:val="00E12FB8"/>
    <w:rsid w:val="00E20055"/>
    <w:rsid w:val="00E22B7A"/>
    <w:rsid w:val="00E23B93"/>
    <w:rsid w:val="00E27887"/>
    <w:rsid w:val="00E31258"/>
    <w:rsid w:val="00E40047"/>
    <w:rsid w:val="00E40557"/>
    <w:rsid w:val="00E4715B"/>
    <w:rsid w:val="00E532B9"/>
    <w:rsid w:val="00E62E50"/>
    <w:rsid w:val="00E67919"/>
    <w:rsid w:val="00E72396"/>
    <w:rsid w:val="00E75060"/>
    <w:rsid w:val="00E75C39"/>
    <w:rsid w:val="00E81325"/>
    <w:rsid w:val="00E81DFA"/>
    <w:rsid w:val="00E873C8"/>
    <w:rsid w:val="00E8760D"/>
    <w:rsid w:val="00E90F61"/>
    <w:rsid w:val="00E91B0F"/>
    <w:rsid w:val="00E93798"/>
    <w:rsid w:val="00EB21BF"/>
    <w:rsid w:val="00EB4137"/>
    <w:rsid w:val="00EB5704"/>
    <w:rsid w:val="00EB6809"/>
    <w:rsid w:val="00EC2AEF"/>
    <w:rsid w:val="00EC68B5"/>
    <w:rsid w:val="00EC6CB5"/>
    <w:rsid w:val="00EC6E07"/>
    <w:rsid w:val="00EE3543"/>
    <w:rsid w:val="00EE42CB"/>
    <w:rsid w:val="00EE4C0A"/>
    <w:rsid w:val="00EE5F9D"/>
    <w:rsid w:val="00EF087F"/>
    <w:rsid w:val="00EF4A95"/>
    <w:rsid w:val="00EF615F"/>
    <w:rsid w:val="00EF7DE8"/>
    <w:rsid w:val="00F054DB"/>
    <w:rsid w:val="00F10558"/>
    <w:rsid w:val="00F11C65"/>
    <w:rsid w:val="00F2008F"/>
    <w:rsid w:val="00F20EAF"/>
    <w:rsid w:val="00F21568"/>
    <w:rsid w:val="00F217D5"/>
    <w:rsid w:val="00F25F4A"/>
    <w:rsid w:val="00F37007"/>
    <w:rsid w:val="00F378FD"/>
    <w:rsid w:val="00F37FA6"/>
    <w:rsid w:val="00F40199"/>
    <w:rsid w:val="00F41439"/>
    <w:rsid w:val="00F42068"/>
    <w:rsid w:val="00F42094"/>
    <w:rsid w:val="00F45FCA"/>
    <w:rsid w:val="00F54CFB"/>
    <w:rsid w:val="00F55A36"/>
    <w:rsid w:val="00F57B33"/>
    <w:rsid w:val="00F6259A"/>
    <w:rsid w:val="00F63958"/>
    <w:rsid w:val="00F67D96"/>
    <w:rsid w:val="00F81976"/>
    <w:rsid w:val="00F831DD"/>
    <w:rsid w:val="00F83D30"/>
    <w:rsid w:val="00F84429"/>
    <w:rsid w:val="00F8791B"/>
    <w:rsid w:val="00F907AB"/>
    <w:rsid w:val="00F92ABE"/>
    <w:rsid w:val="00F95547"/>
    <w:rsid w:val="00F959D6"/>
    <w:rsid w:val="00FA135F"/>
    <w:rsid w:val="00FA59F4"/>
    <w:rsid w:val="00FB4700"/>
    <w:rsid w:val="00FB6F0C"/>
    <w:rsid w:val="00FC1CF3"/>
    <w:rsid w:val="00FC3A56"/>
    <w:rsid w:val="00FC3EEF"/>
    <w:rsid w:val="00FC6164"/>
    <w:rsid w:val="00FD0464"/>
    <w:rsid w:val="00FD0D3E"/>
    <w:rsid w:val="00FD18D2"/>
    <w:rsid w:val="00FD6637"/>
    <w:rsid w:val="00FE0F66"/>
    <w:rsid w:val="00FE6C11"/>
    <w:rsid w:val="00FF4C70"/>
    <w:rsid w:val="00FF55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717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59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75E85"/>
    <w:pPr>
      <w:tabs>
        <w:tab w:val="center" w:pos="4153"/>
        <w:tab w:val="right" w:pos="8306"/>
      </w:tabs>
    </w:pPr>
  </w:style>
  <w:style w:type="paragraph" w:styleId="Footer">
    <w:name w:val="footer"/>
    <w:basedOn w:val="Normal"/>
    <w:link w:val="FooterChar"/>
    <w:uiPriority w:val="99"/>
    <w:rsid w:val="00575E85"/>
    <w:pPr>
      <w:tabs>
        <w:tab w:val="center" w:pos="4153"/>
        <w:tab w:val="right" w:pos="8306"/>
      </w:tabs>
    </w:pPr>
  </w:style>
  <w:style w:type="paragraph" w:styleId="ListParagraph">
    <w:name w:val="List Paragraph"/>
    <w:basedOn w:val="Normal"/>
    <w:uiPriority w:val="34"/>
    <w:qFormat/>
    <w:rsid w:val="00753ACB"/>
    <w:pPr>
      <w:ind w:left="720"/>
    </w:pPr>
  </w:style>
  <w:style w:type="paragraph" w:styleId="BalloonText">
    <w:name w:val="Balloon Text"/>
    <w:basedOn w:val="Normal"/>
    <w:semiHidden/>
    <w:rsid w:val="00497F7A"/>
    <w:rPr>
      <w:rFonts w:ascii="Tahoma" w:hAnsi="Tahoma" w:cs="Tahoma"/>
      <w:sz w:val="16"/>
      <w:szCs w:val="16"/>
    </w:rPr>
  </w:style>
  <w:style w:type="character" w:styleId="CommentReference">
    <w:name w:val="annotation reference"/>
    <w:basedOn w:val="DefaultParagraphFont"/>
    <w:rsid w:val="00A42A71"/>
    <w:rPr>
      <w:sz w:val="16"/>
      <w:szCs w:val="16"/>
    </w:rPr>
  </w:style>
  <w:style w:type="paragraph" w:styleId="CommentText">
    <w:name w:val="annotation text"/>
    <w:basedOn w:val="Normal"/>
    <w:link w:val="CommentTextChar"/>
    <w:rsid w:val="00A42A71"/>
    <w:rPr>
      <w:sz w:val="20"/>
      <w:szCs w:val="20"/>
    </w:rPr>
  </w:style>
  <w:style w:type="character" w:customStyle="1" w:styleId="CommentTextChar">
    <w:name w:val="Comment Text Char"/>
    <w:basedOn w:val="DefaultParagraphFont"/>
    <w:link w:val="CommentText"/>
    <w:rsid w:val="00A42A71"/>
  </w:style>
  <w:style w:type="paragraph" w:styleId="CommentSubject">
    <w:name w:val="annotation subject"/>
    <w:basedOn w:val="CommentText"/>
    <w:next w:val="CommentText"/>
    <w:link w:val="CommentSubjectChar"/>
    <w:rsid w:val="00A42A71"/>
    <w:rPr>
      <w:b/>
      <w:bCs/>
    </w:rPr>
  </w:style>
  <w:style w:type="character" w:customStyle="1" w:styleId="CommentSubjectChar">
    <w:name w:val="Comment Subject Char"/>
    <w:basedOn w:val="CommentTextChar"/>
    <w:link w:val="CommentSubject"/>
    <w:rsid w:val="00A42A71"/>
    <w:rPr>
      <w:b/>
      <w:bCs/>
    </w:rPr>
  </w:style>
  <w:style w:type="paragraph" w:styleId="Revision">
    <w:name w:val="Revision"/>
    <w:hidden/>
    <w:uiPriority w:val="99"/>
    <w:semiHidden/>
    <w:rsid w:val="00A42A71"/>
    <w:rPr>
      <w:sz w:val="24"/>
      <w:szCs w:val="24"/>
    </w:rPr>
  </w:style>
  <w:style w:type="character" w:styleId="Hyperlink">
    <w:name w:val="Hyperlink"/>
    <w:basedOn w:val="DefaultParagraphFont"/>
    <w:rsid w:val="00380BC6"/>
    <w:rPr>
      <w:color w:val="0000FF"/>
      <w:u w:val="single"/>
    </w:rPr>
  </w:style>
  <w:style w:type="paragraph" w:styleId="NormalWeb">
    <w:name w:val="Normal (Web)"/>
    <w:basedOn w:val="Normal"/>
    <w:unhideWhenUsed/>
    <w:rsid w:val="00B716E4"/>
    <w:pPr>
      <w:spacing w:before="100" w:beforeAutospacing="1" w:after="100" w:afterAutospacing="1"/>
    </w:pPr>
  </w:style>
  <w:style w:type="character" w:customStyle="1" w:styleId="FooterChar">
    <w:name w:val="Footer Char"/>
    <w:basedOn w:val="DefaultParagraphFont"/>
    <w:link w:val="Footer"/>
    <w:uiPriority w:val="99"/>
    <w:rsid w:val="00F2008F"/>
    <w:rPr>
      <w:sz w:val="24"/>
      <w:szCs w:val="24"/>
    </w:rPr>
  </w:style>
  <w:style w:type="paragraph" w:customStyle="1" w:styleId="Default">
    <w:name w:val="Default"/>
    <w:rsid w:val="000B7311"/>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883744">
      <w:bodyDiv w:val="1"/>
      <w:marLeft w:val="0"/>
      <w:marRight w:val="0"/>
      <w:marTop w:val="0"/>
      <w:marBottom w:val="0"/>
      <w:divBdr>
        <w:top w:val="none" w:sz="0" w:space="0" w:color="auto"/>
        <w:left w:val="none" w:sz="0" w:space="0" w:color="auto"/>
        <w:bottom w:val="none" w:sz="0" w:space="0" w:color="auto"/>
        <w:right w:val="none" w:sz="0" w:space="0" w:color="auto"/>
      </w:divBdr>
    </w:div>
    <w:div w:id="920061499">
      <w:bodyDiv w:val="1"/>
      <w:marLeft w:val="0"/>
      <w:marRight w:val="0"/>
      <w:marTop w:val="0"/>
      <w:marBottom w:val="0"/>
      <w:divBdr>
        <w:top w:val="none" w:sz="0" w:space="0" w:color="auto"/>
        <w:left w:val="none" w:sz="0" w:space="0" w:color="auto"/>
        <w:bottom w:val="none" w:sz="0" w:space="0" w:color="auto"/>
        <w:right w:val="none" w:sz="0" w:space="0" w:color="auto"/>
      </w:divBdr>
    </w:div>
    <w:div w:id="1120145953">
      <w:bodyDiv w:val="1"/>
      <w:marLeft w:val="0"/>
      <w:marRight w:val="0"/>
      <w:marTop w:val="0"/>
      <w:marBottom w:val="0"/>
      <w:divBdr>
        <w:top w:val="none" w:sz="0" w:space="0" w:color="auto"/>
        <w:left w:val="none" w:sz="0" w:space="0" w:color="auto"/>
        <w:bottom w:val="none" w:sz="0" w:space="0" w:color="auto"/>
        <w:right w:val="none" w:sz="0" w:space="0" w:color="auto"/>
      </w:divBdr>
    </w:div>
    <w:div w:id="1312364225">
      <w:bodyDiv w:val="1"/>
      <w:marLeft w:val="0"/>
      <w:marRight w:val="0"/>
      <w:marTop w:val="0"/>
      <w:marBottom w:val="0"/>
      <w:divBdr>
        <w:top w:val="none" w:sz="0" w:space="0" w:color="auto"/>
        <w:left w:val="none" w:sz="0" w:space="0" w:color="auto"/>
        <w:bottom w:val="none" w:sz="0" w:space="0" w:color="auto"/>
        <w:right w:val="none" w:sz="0" w:space="0" w:color="auto"/>
      </w:divBdr>
    </w:div>
    <w:div w:id="142148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9CA00C-6730-4CCA-A936-00B6BE0F7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1897</Words>
  <Characters>9987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AGENDA</vt:lpstr>
    </vt:vector>
  </TitlesOfParts>
  <Company>ACCC</Company>
  <LinksUpToDate>false</LinksUpToDate>
  <CharactersWithSpaces>11861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jmaka</dc:creator>
  <cp:keywords/>
  <dc:description/>
  <cp:lastModifiedBy>smoff</cp:lastModifiedBy>
  <cp:revision>2</cp:revision>
  <dcterms:created xsi:type="dcterms:W3CDTF">2013-06-16T23:29:00Z</dcterms:created>
  <dcterms:modified xsi:type="dcterms:W3CDTF">2013-06-16T23:29:00Z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C:\Documents and Settings\smoff\Local Settings\Temporary Internet Files\Content.Outlook\21SC2G8F\CRG Meeting #3 (24 April) - Minutes.docx</vt:lpwstr>
  </property>
</Properties>
</file>