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bookmarkStart w:id="0" w:name="_GoBack" w:displacedByCustomXml="prev"/>
        <w:p w:rsidR="00DB723B" w:rsidRPr="00DB723B" w:rsidRDefault="00EE3E1C" w:rsidP="00951978">
          <w:r w:rsidRPr="00EE3E1C">
            <w:rPr>
              <w:noProof/>
              <w:lang w:eastAsia="en-AU"/>
            </w:rPr>
            <w:drawing>
              <wp:anchor distT="0" distB="0" distL="114300" distR="114300" simplePos="0" relativeHeight="251661312" behindDoc="1" locked="0" layoutInCell="1" allowOverlap="1" wp14:anchorId="18DCCCBF" wp14:editId="69A77647">
                <wp:simplePos x="0" y="0"/>
                <wp:positionH relativeFrom="column">
                  <wp:posOffset>-1097915</wp:posOffset>
                </wp:positionH>
                <wp:positionV relativeFrom="paragraph">
                  <wp:posOffset>-948906</wp:posOffset>
                </wp:positionV>
                <wp:extent cx="7884543" cy="11348184"/>
                <wp:effectExtent l="0" t="0" r="2540" b="5715"/>
                <wp:wrapNone/>
                <wp:docPr id="1" name="Picture 1"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1780" cy="1135860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F1B31"/>
        <w:p w:rsidR="00DB723B" w:rsidRPr="00DB723B" w:rsidRDefault="00DB723B" w:rsidP="001F1B31"/>
        <w:p w:rsidR="00DB723B" w:rsidRPr="00DB723B" w:rsidRDefault="00DB723B" w:rsidP="001F1B31"/>
        <w:p w:rsidR="00DB723B" w:rsidRPr="00DB723B" w:rsidRDefault="00DB723B" w:rsidP="001F1B31"/>
        <w:p w:rsidR="00DB723B" w:rsidRPr="00DB723B" w:rsidRDefault="00EE3E1C" w:rsidP="00327A1E">
          <w:pPr>
            <w:pStyle w:val="ReportTitle"/>
          </w:pPr>
          <w:r>
            <w:t xml:space="preserve">Final decision </w:t>
          </w:r>
        </w:p>
        <w:p w:rsidR="00FF2BA8" w:rsidRDefault="003E0C78" w:rsidP="00327A1E">
          <w:pPr>
            <w:pStyle w:val="ReportSubtitle"/>
          </w:pPr>
          <w:r>
            <w:t>Ergon Energy</w:t>
          </w:r>
          <w:r w:rsidR="00FF2BA8">
            <w:t xml:space="preserve"> </w:t>
          </w:r>
        </w:p>
        <w:p w:rsidR="00DB723B" w:rsidRDefault="004E1966" w:rsidP="00327A1E">
          <w:pPr>
            <w:pStyle w:val="ReportSubtitle"/>
          </w:pPr>
          <w:r>
            <w:t>Cost pass through</w:t>
          </w:r>
        </w:p>
        <w:p w:rsidR="004E1966" w:rsidRDefault="004E1966" w:rsidP="00327A1E">
          <w:pPr>
            <w:pStyle w:val="ReportSubtitle"/>
          </w:pPr>
        </w:p>
        <w:p w:rsidR="004E1966" w:rsidRDefault="004E1966" w:rsidP="00327A1E">
          <w:pPr>
            <w:pStyle w:val="ReportSubtitle"/>
          </w:pPr>
          <w:r w:rsidRPr="004E1966">
            <w:t xml:space="preserve">Qld Solar Bonus Scheme </w:t>
          </w:r>
        </w:p>
        <w:p w:rsidR="004E1966" w:rsidRPr="00DB723B" w:rsidRDefault="009F174E" w:rsidP="00327A1E">
          <w:pPr>
            <w:pStyle w:val="ReportSubtitle"/>
          </w:pPr>
          <w:r>
            <w:t>2014–15</w:t>
          </w:r>
        </w:p>
        <w:p w:rsidR="00DB723B" w:rsidRPr="00DB723B" w:rsidRDefault="00EE3E1C" w:rsidP="00327A1E">
          <w:pPr>
            <w:pStyle w:val="ReportDate"/>
          </w:pPr>
          <w:r>
            <w:t>December</w:t>
          </w:r>
          <w:r w:rsidR="00DB723B" w:rsidRPr="00DB723B">
            <w:t xml:space="preserve"> 201</w:t>
          </w:r>
          <w:r w:rsidR="00DB723B">
            <w:t>5</w:t>
          </w:r>
        </w:p>
        <w:p w:rsidR="00DB723B" w:rsidRPr="00DB723B" w:rsidRDefault="00DB723B" w:rsidP="00DB723B">
          <w:r w:rsidRPr="00DB723B">
            <w:br w:type="page"/>
          </w:r>
        </w:p>
        <w:p w:rsidR="00DB723B" w:rsidRDefault="003E117D">
          <w:pPr>
            <w:spacing w:line="240" w:lineRule="auto"/>
            <w:rPr>
              <w:rFonts w:eastAsiaTheme="majorEastAsia" w:cstheme="majorBidi"/>
              <w:b/>
              <w:noProof/>
              <w:sz w:val="72"/>
              <w:szCs w:val="72"/>
              <w:lang w:eastAsia="en-AU"/>
            </w:rPr>
          </w:pPr>
        </w:p>
      </w:sdtContent>
    </w:sdt>
    <w:p w:rsidR="000A6C7B" w:rsidRDefault="000A6C7B" w:rsidP="00583CC4">
      <w:pPr>
        <w:spacing w:line="240" w:lineRule="auto"/>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E3773E" w:rsidRPr="00E3773E">
        <w:t>47276</w:t>
      </w:r>
      <w:r w:rsidR="00E3773E">
        <w:t>/</w:t>
      </w:r>
      <w:r w:rsidR="00E236DC" w:rsidRPr="00E236DC">
        <w:t>184718</w:t>
      </w:r>
    </w:p>
    <w:p w:rsidR="000A6C7B" w:rsidRDefault="000A6C7B" w:rsidP="000A6C7B"/>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875BD6"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8118771" w:history="1">
        <w:r w:rsidR="00875BD6" w:rsidRPr="005C75B2">
          <w:rPr>
            <w:rStyle w:val="Hyperlink"/>
          </w:rPr>
          <w:t>Shortened forms</w:t>
        </w:r>
        <w:r w:rsidR="00875BD6">
          <w:rPr>
            <w:webHidden/>
          </w:rPr>
          <w:tab/>
        </w:r>
        <w:r w:rsidR="00875BD6">
          <w:rPr>
            <w:webHidden/>
          </w:rPr>
          <w:fldChar w:fldCharType="begin"/>
        </w:r>
        <w:r w:rsidR="00875BD6">
          <w:rPr>
            <w:webHidden/>
          </w:rPr>
          <w:instrText xml:space="preserve"> PAGEREF _Toc438118771 \h </w:instrText>
        </w:r>
        <w:r w:rsidR="00875BD6">
          <w:rPr>
            <w:webHidden/>
          </w:rPr>
        </w:r>
        <w:r w:rsidR="00875BD6">
          <w:rPr>
            <w:webHidden/>
          </w:rPr>
          <w:fldChar w:fldCharType="separate"/>
        </w:r>
        <w:r w:rsidR="00D04562">
          <w:rPr>
            <w:webHidden/>
          </w:rPr>
          <w:t>1</w:t>
        </w:r>
        <w:r w:rsidR="00875BD6">
          <w:rPr>
            <w:webHidden/>
          </w:rPr>
          <w:fldChar w:fldCharType="end"/>
        </w:r>
      </w:hyperlink>
    </w:p>
    <w:p w:rsidR="00875BD6" w:rsidRDefault="003E117D">
      <w:pPr>
        <w:pStyle w:val="TOC1"/>
        <w:rPr>
          <w:rFonts w:asciiTheme="minorHAnsi" w:eastAsiaTheme="minorEastAsia" w:hAnsiTheme="minorHAnsi"/>
          <w:b w:val="0"/>
          <w:color w:val="auto"/>
          <w:sz w:val="22"/>
          <w:lang w:val="en-AU" w:eastAsia="en-AU"/>
        </w:rPr>
      </w:pPr>
      <w:hyperlink w:anchor="_Toc438118772" w:history="1">
        <w:r w:rsidR="00875BD6" w:rsidRPr="005C75B2">
          <w:rPr>
            <w:rStyle w:val="Hyperlink"/>
          </w:rPr>
          <w:t>Overview</w:t>
        </w:r>
        <w:r w:rsidR="00875BD6">
          <w:rPr>
            <w:webHidden/>
          </w:rPr>
          <w:tab/>
        </w:r>
        <w:r w:rsidR="00875BD6">
          <w:rPr>
            <w:webHidden/>
          </w:rPr>
          <w:fldChar w:fldCharType="begin"/>
        </w:r>
        <w:r w:rsidR="00875BD6">
          <w:rPr>
            <w:webHidden/>
          </w:rPr>
          <w:instrText xml:space="preserve"> PAGEREF _Toc438118772 \h </w:instrText>
        </w:r>
        <w:r w:rsidR="00875BD6">
          <w:rPr>
            <w:webHidden/>
          </w:rPr>
        </w:r>
        <w:r w:rsidR="00875BD6">
          <w:rPr>
            <w:webHidden/>
          </w:rPr>
          <w:fldChar w:fldCharType="separate"/>
        </w:r>
        <w:r w:rsidR="00D04562">
          <w:rPr>
            <w:webHidden/>
          </w:rPr>
          <w:t>2</w:t>
        </w:r>
        <w:r w:rsidR="00875BD6">
          <w:rPr>
            <w:webHidden/>
          </w:rPr>
          <w:fldChar w:fldCharType="end"/>
        </w:r>
      </w:hyperlink>
    </w:p>
    <w:p w:rsidR="00875BD6" w:rsidRDefault="003E117D">
      <w:pPr>
        <w:pStyle w:val="TOC1"/>
        <w:rPr>
          <w:rFonts w:asciiTheme="minorHAnsi" w:eastAsiaTheme="minorEastAsia" w:hAnsiTheme="minorHAnsi"/>
          <w:b w:val="0"/>
          <w:color w:val="auto"/>
          <w:sz w:val="22"/>
          <w:lang w:val="en-AU" w:eastAsia="en-AU"/>
        </w:rPr>
      </w:pPr>
      <w:hyperlink w:anchor="_Toc438118773" w:history="1">
        <w:r w:rsidR="00875BD6" w:rsidRPr="005C75B2">
          <w:rPr>
            <w:rStyle w:val="Hyperlink"/>
          </w:rPr>
          <w:t>1</w:t>
        </w:r>
        <w:r w:rsidR="00875BD6">
          <w:rPr>
            <w:rFonts w:asciiTheme="minorHAnsi" w:eastAsiaTheme="minorEastAsia" w:hAnsiTheme="minorHAnsi"/>
            <w:b w:val="0"/>
            <w:color w:val="auto"/>
            <w:sz w:val="22"/>
            <w:lang w:val="en-AU" w:eastAsia="en-AU"/>
          </w:rPr>
          <w:tab/>
        </w:r>
        <w:r w:rsidR="00875BD6" w:rsidRPr="005C75B2">
          <w:rPr>
            <w:rStyle w:val="Hyperlink"/>
          </w:rPr>
          <w:t>Determination</w:t>
        </w:r>
        <w:r w:rsidR="00875BD6">
          <w:rPr>
            <w:webHidden/>
          </w:rPr>
          <w:tab/>
        </w:r>
        <w:r w:rsidR="00875BD6">
          <w:rPr>
            <w:webHidden/>
          </w:rPr>
          <w:fldChar w:fldCharType="begin"/>
        </w:r>
        <w:r w:rsidR="00875BD6">
          <w:rPr>
            <w:webHidden/>
          </w:rPr>
          <w:instrText xml:space="preserve"> PAGEREF _Toc438118773 \h </w:instrText>
        </w:r>
        <w:r w:rsidR="00875BD6">
          <w:rPr>
            <w:webHidden/>
          </w:rPr>
        </w:r>
        <w:r w:rsidR="00875BD6">
          <w:rPr>
            <w:webHidden/>
          </w:rPr>
          <w:fldChar w:fldCharType="separate"/>
        </w:r>
        <w:r w:rsidR="00D04562">
          <w:rPr>
            <w:webHidden/>
          </w:rPr>
          <w:t>5</w:t>
        </w:r>
        <w:r w:rsidR="00875BD6">
          <w:rPr>
            <w:webHidden/>
          </w:rPr>
          <w:fldChar w:fldCharType="end"/>
        </w:r>
      </w:hyperlink>
    </w:p>
    <w:p w:rsidR="00875BD6" w:rsidRDefault="003E117D">
      <w:pPr>
        <w:pStyle w:val="TOC1"/>
        <w:rPr>
          <w:rFonts w:asciiTheme="minorHAnsi" w:eastAsiaTheme="minorEastAsia" w:hAnsiTheme="minorHAnsi"/>
          <w:b w:val="0"/>
          <w:color w:val="auto"/>
          <w:sz w:val="22"/>
          <w:lang w:val="en-AU" w:eastAsia="en-AU"/>
        </w:rPr>
      </w:pPr>
      <w:hyperlink w:anchor="_Toc438118774" w:history="1">
        <w:r w:rsidR="00875BD6" w:rsidRPr="005C75B2">
          <w:rPr>
            <w:rStyle w:val="Hyperlink"/>
          </w:rPr>
          <w:t>2</w:t>
        </w:r>
        <w:r w:rsidR="00875BD6">
          <w:rPr>
            <w:rFonts w:asciiTheme="minorHAnsi" w:eastAsiaTheme="minorEastAsia" w:hAnsiTheme="minorHAnsi"/>
            <w:b w:val="0"/>
            <w:color w:val="auto"/>
            <w:sz w:val="22"/>
            <w:lang w:val="en-AU" w:eastAsia="en-AU"/>
          </w:rPr>
          <w:tab/>
        </w:r>
        <w:r w:rsidR="00875BD6" w:rsidRPr="005C75B2">
          <w:rPr>
            <w:rStyle w:val="Hyperlink"/>
          </w:rPr>
          <w:t>Ergon Energy’s pass through application</w:t>
        </w:r>
        <w:r w:rsidR="00875BD6">
          <w:rPr>
            <w:webHidden/>
          </w:rPr>
          <w:tab/>
        </w:r>
        <w:r w:rsidR="00875BD6">
          <w:rPr>
            <w:webHidden/>
          </w:rPr>
          <w:fldChar w:fldCharType="begin"/>
        </w:r>
        <w:r w:rsidR="00875BD6">
          <w:rPr>
            <w:webHidden/>
          </w:rPr>
          <w:instrText xml:space="preserve"> PAGEREF _Toc438118774 \h </w:instrText>
        </w:r>
        <w:r w:rsidR="00875BD6">
          <w:rPr>
            <w:webHidden/>
          </w:rPr>
        </w:r>
        <w:r w:rsidR="00875BD6">
          <w:rPr>
            <w:webHidden/>
          </w:rPr>
          <w:fldChar w:fldCharType="separate"/>
        </w:r>
        <w:r w:rsidR="00D04562">
          <w:rPr>
            <w:webHidden/>
          </w:rPr>
          <w:t>6</w:t>
        </w:r>
        <w:r w:rsidR="00875BD6">
          <w:rPr>
            <w:webHidden/>
          </w:rPr>
          <w:fldChar w:fldCharType="end"/>
        </w:r>
      </w:hyperlink>
    </w:p>
    <w:p w:rsidR="00875BD6" w:rsidRDefault="003E117D">
      <w:pPr>
        <w:pStyle w:val="TOC1"/>
        <w:rPr>
          <w:rFonts w:asciiTheme="minorHAnsi" w:eastAsiaTheme="minorEastAsia" w:hAnsiTheme="minorHAnsi"/>
          <w:b w:val="0"/>
          <w:color w:val="auto"/>
          <w:sz w:val="22"/>
          <w:lang w:val="en-AU" w:eastAsia="en-AU"/>
        </w:rPr>
      </w:pPr>
      <w:hyperlink w:anchor="_Toc438118775" w:history="1">
        <w:r w:rsidR="00875BD6" w:rsidRPr="005C75B2">
          <w:rPr>
            <w:rStyle w:val="Hyperlink"/>
          </w:rPr>
          <w:t>3</w:t>
        </w:r>
        <w:r w:rsidR="00875BD6">
          <w:rPr>
            <w:rFonts w:asciiTheme="minorHAnsi" w:eastAsiaTheme="minorEastAsia" w:hAnsiTheme="minorHAnsi"/>
            <w:b w:val="0"/>
            <w:color w:val="auto"/>
            <w:sz w:val="22"/>
            <w:lang w:val="en-AU" w:eastAsia="en-AU"/>
          </w:rPr>
          <w:tab/>
        </w:r>
        <w:r w:rsidR="00875BD6" w:rsidRPr="005C75B2">
          <w:rPr>
            <w:rStyle w:val="Hyperlink"/>
          </w:rPr>
          <w:t>Assessment approach</w:t>
        </w:r>
        <w:r w:rsidR="00875BD6">
          <w:rPr>
            <w:webHidden/>
          </w:rPr>
          <w:tab/>
        </w:r>
        <w:r w:rsidR="00875BD6">
          <w:rPr>
            <w:webHidden/>
          </w:rPr>
          <w:fldChar w:fldCharType="begin"/>
        </w:r>
        <w:r w:rsidR="00875BD6">
          <w:rPr>
            <w:webHidden/>
          </w:rPr>
          <w:instrText xml:space="preserve"> PAGEREF _Toc438118775 \h </w:instrText>
        </w:r>
        <w:r w:rsidR="00875BD6">
          <w:rPr>
            <w:webHidden/>
          </w:rPr>
        </w:r>
        <w:r w:rsidR="00875BD6">
          <w:rPr>
            <w:webHidden/>
          </w:rPr>
          <w:fldChar w:fldCharType="separate"/>
        </w:r>
        <w:r w:rsidR="00D04562">
          <w:rPr>
            <w:webHidden/>
          </w:rPr>
          <w:t>7</w:t>
        </w:r>
        <w:r w:rsidR="00875BD6">
          <w:rPr>
            <w:webHidden/>
          </w:rPr>
          <w:fldChar w:fldCharType="end"/>
        </w:r>
      </w:hyperlink>
    </w:p>
    <w:p w:rsidR="00875BD6" w:rsidRDefault="003E117D">
      <w:pPr>
        <w:pStyle w:val="TOC2"/>
        <w:rPr>
          <w:rFonts w:asciiTheme="minorHAnsi" w:eastAsiaTheme="minorEastAsia" w:hAnsiTheme="minorHAnsi"/>
          <w:b w:val="0"/>
          <w:color w:val="auto"/>
          <w:sz w:val="22"/>
          <w:lang w:eastAsia="en-AU"/>
        </w:rPr>
      </w:pPr>
      <w:hyperlink w:anchor="_Toc438118776" w:history="1">
        <w:r w:rsidR="00875BD6" w:rsidRPr="005C75B2">
          <w:rPr>
            <w:rStyle w:val="Hyperlink"/>
          </w:rPr>
          <w:t>3.1</w:t>
        </w:r>
        <w:r w:rsidR="00875BD6">
          <w:rPr>
            <w:rFonts w:asciiTheme="minorHAnsi" w:eastAsiaTheme="minorEastAsia" w:hAnsiTheme="minorHAnsi"/>
            <w:b w:val="0"/>
            <w:color w:val="auto"/>
            <w:sz w:val="22"/>
            <w:lang w:eastAsia="en-AU"/>
          </w:rPr>
          <w:tab/>
        </w:r>
        <w:r w:rsidR="00875BD6" w:rsidRPr="005C75B2">
          <w:rPr>
            <w:rStyle w:val="Hyperlink"/>
          </w:rPr>
          <w:t>Relevant regulatory requirements</w:t>
        </w:r>
        <w:r w:rsidR="00875BD6">
          <w:rPr>
            <w:webHidden/>
          </w:rPr>
          <w:tab/>
        </w:r>
        <w:r w:rsidR="00875BD6">
          <w:rPr>
            <w:webHidden/>
          </w:rPr>
          <w:fldChar w:fldCharType="begin"/>
        </w:r>
        <w:r w:rsidR="00875BD6">
          <w:rPr>
            <w:webHidden/>
          </w:rPr>
          <w:instrText xml:space="preserve"> PAGEREF _Toc438118776 \h </w:instrText>
        </w:r>
        <w:r w:rsidR="00875BD6">
          <w:rPr>
            <w:webHidden/>
          </w:rPr>
        </w:r>
        <w:r w:rsidR="00875BD6">
          <w:rPr>
            <w:webHidden/>
          </w:rPr>
          <w:fldChar w:fldCharType="separate"/>
        </w:r>
        <w:r w:rsidR="00D04562">
          <w:rPr>
            <w:webHidden/>
          </w:rPr>
          <w:t>7</w:t>
        </w:r>
        <w:r w:rsidR="00875BD6">
          <w:rPr>
            <w:webHidden/>
          </w:rPr>
          <w:fldChar w:fldCharType="end"/>
        </w:r>
      </w:hyperlink>
    </w:p>
    <w:p w:rsidR="00875BD6" w:rsidRDefault="003E117D">
      <w:pPr>
        <w:pStyle w:val="TOC2"/>
        <w:rPr>
          <w:rFonts w:asciiTheme="minorHAnsi" w:eastAsiaTheme="minorEastAsia" w:hAnsiTheme="minorHAnsi"/>
          <w:b w:val="0"/>
          <w:color w:val="auto"/>
          <w:sz w:val="22"/>
          <w:lang w:eastAsia="en-AU"/>
        </w:rPr>
      </w:pPr>
      <w:hyperlink w:anchor="_Toc438118777" w:history="1">
        <w:r w:rsidR="00875BD6" w:rsidRPr="005C75B2">
          <w:rPr>
            <w:rStyle w:val="Hyperlink"/>
          </w:rPr>
          <w:t>3.2</w:t>
        </w:r>
        <w:r w:rsidR="00875BD6">
          <w:rPr>
            <w:rFonts w:asciiTheme="minorHAnsi" w:eastAsiaTheme="minorEastAsia" w:hAnsiTheme="minorHAnsi"/>
            <w:b w:val="0"/>
            <w:color w:val="auto"/>
            <w:sz w:val="22"/>
            <w:lang w:eastAsia="en-AU"/>
          </w:rPr>
          <w:tab/>
        </w:r>
        <w:r w:rsidR="00875BD6" w:rsidRPr="005C75B2">
          <w:rPr>
            <w:rStyle w:val="Hyperlink"/>
          </w:rPr>
          <w:t>Assessment approach</w:t>
        </w:r>
        <w:r w:rsidR="00875BD6">
          <w:rPr>
            <w:webHidden/>
          </w:rPr>
          <w:tab/>
        </w:r>
        <w:r w:rsidR="00875BD6">
          <w:rPr>
            <w:webHidden/>
          </w:rPr>
          <w:fldChar w:fldCharType="begin"/>
        </w:r>
        <w:r w:rsidR="00875BD6">
          <w:rPr>
            <w:webHidden/>
          </w:rPr>
          <w:instrText xml:space="preserve"> PAGEREF _Toc438118777 \h </w:instrText>
        </w:r>
        <w:r w:rsidR="00875BD6">
          <w:rPr>
            <w:webHidden/>
          </w:rPr>
        </w:r>
        <w:r w:rsidR="00875BD6">
          <w:rPr>
            <w:webHidden/>
          </w:rPr>
          <w:fldChar w:fldCharType="separate"/>
        </w:r>
        <w:r w:rsidR="00D04562">
          <w:rPr>
            <w:webHidden/>
          </w:rPr>
          <w:t>8</w:t>
        </w:r>
        <w:r w:rsidR="00875BD6">
          <w:rPr>
            <w:webHidden/>
          </w:rPr>
          <w:fldChar w:fldCharType="end"/>
        </w:r>
      </w:hyperlink>
    </w:p>
    <w:p w:rsidR="00875BD6" w:rsidRDefault="003E117D">
      <w:pPr>
        <w:pStyle w:val="TOC2"/>
        <w:rPr>
          <w:rFonts w:asciiTheme="minorHAnsi" w:eastAsiaTheme="minorEastAsia" w:hAnsiTheme="minorHAnsi"/>
          <w:b w:val="0"/>
          <w:color w:val="auto"/>
          <w:sz w:val="22"/>
          <w:lang w:eastAsia="en-AU"/>
        </w:rPr>
      </w:pPr>
      <w:hyperlink w:anchor="_Toc438118778" w:history="1">
        <w:r w:rsidR="00875BD6" w:rsidRPr="005C75B2">
          <w:rPr>
            <w:rStyle w:val="Hyperlink"/>
          </w:rPr>
          <w:t>3.3</w:t>
        </w:r>
        <w:r w:rsidR="00875BD6">
          <w:rPr>
            <w:rFonts w:asciiTheme="minorHAnsi" w:eastAsiaTheme="minorEastAsia" w:hAnsiTheme="minorHAnsi"/>
            <w:b w:val="0"/>
            <w:color w:val="auto"/>
            <w:sz w:val="22"/>
            <w:lang w:eastAsia="en-AU"/>
          </w:rPr>
          <w:tab/>
        </w:r>
        <w:r w:rsidR="00875BD6" w:rsidRPr="005C75B2">
          <w:rPr>
            <w:rStyle w:val="Hyperlink"/>
          </w:rPr>
          <w:t>What we considered in making this determination</w:t>
        </w:r>
        <w:r w:rsidR="00875BD6">
          <w:rPr>
            <w:webHidden/>
          </w:rPr>
          <w:tab/>
        </w:r>
        <w:r w:rsidR="00875BD6">
          <w:rPr>
            <w:webHidden/>
          </w:rPr>
          <w:fldChar w:fldCharType="begin"/>
        </w:r>
        <w:r w:rsidR="00875BD6">
          <w:rPr>
            <w:webHidden/>
          </w:rPr>
          <w:instrText xml:space="preserve"> PAGEREF _Toc438118778 \h </w:instrText>
        </w:r>
        <w:r w:rsidR="00875BD6">
          <w:rPr>
            <w:webHidden/>
          </w:rPr>
        </w:r>
        <w:r w:rsidR="00875BD6">
          <w:rPr>
            <w:webHidden/>
          </w:rPr>
          <w:fldChar w:fldCharType="separate"/>
        </w:r>
        <w:r w:rsidR="00D04562">
          <w:rPr>
            <w:webHidden/>
          </w:rPr>
          <w:t>8</w:t>
        </w:r>
        <w:r w:rsidR="00875BD6">
          <w:rPr>
            <w:webHidden/>
          </w:rPr>
          <w:fldChar w:fldCharType="end"/>
        </w:r>
      </w:hyperlink>
    </w:p>
    <w:p w:rsidR="00875BD6" w:rsidRDefault="003E117D">
      <w:pPr>
        <w:pStyle w:val="TOC1"/>
        <w:rPr>
          <w:rFonts w:asciiTheme="minorHAnsi" w:eastAsiaTheme="minorEastAsia" w:hAnsiTheme="minorHAnsi"/>
          <w:b w:val="0"/>
          <w:color w:val="auto"/>
          <w:sz w:val="22"/>
          <w:lang w:val="en-AU" w:eastAsia="en-AU"/>
        </w:rPr>
      </w:pPr>
      <w:hyperlink w:anchor="_Toc438118779" w:history="1">
        <w:r w:rsidR="00875BD6" w:rsidRPr="005C75B2">
          <w:rPr>
            <w:rStyle w:val="Hyperlink"/>
          </w:rPr>
          <w:t>4</w:t>
        </w:r>
        <w:r w:rsidR="00875BD6">
          <w:rPr>
            <w:rFonts w:asciiTheme="minorHAnsi" w:eastAsiaTheme="minorEastAsia" w:hAnsiTheme="minorHAnsi"/>
            <w:b w:val="0"/>
            <w:color w:val="auto"/>
            <w:sz w:val="22"/>
            <w:lang w:val="en-AU" w:eastAsia="en-AU"/>
          </w:rPr>
          <w:tab/>
        </w:r>
        <w:r w:rsidR="00875BD6" w:rsidRPr="005C75B2">
          <w:rPr>
            <w:rStyle w:val="Hyperlink"/>
          </w:rPr>
          <w:t>Reasons for determination</w:t>
        </w:r>
        <w:r w:rsidR="00875BD6">
          <w:rPr>
            <w:webHidden/>
          </w:rPr>
          <w:tab/>
        </w:r>
        <w:r w:rsidR="00875BD6">
          <w:rPr>
            <w:webHidden/>
          </w:rPr>
          <w:fldChar w:fldCharType="begin"/>
        </w:r>
        <w:r w:rsidR="00875BD6">
          <w:rPr>
            <w:webHidden/>
          </w:rPr>
          <w:instrText xml:space="preserve"> PAGEREF _Toc438118779 \h </w:instrText>
        </w:r>
        <w:r w:rsidR="00875BD6">
          <w:rPr>
            <w:webHidden/>
          </w:rPr>
        </w:r>
        <w:r w:rsidR="00875BD6">
          <w:rPr>
            <w:webHidden/>
          </w:rPr>
          <w:fldChar w:fldCharType="separate"/>
        </w:r>
        <w:r w:rsidR="00D04562">
          <w:rPr>
            <w:webHidden/>
          </w:rPr>
          <w:t>9</w:t>
        </w:r>
        <w:r w:rsidR="00875BD6">
          <w:rPr>
            <w:webHidden/>
          </w:rPr>
          <w:fldChar w:fldCharType="end"/>
        </w:r>
      </w:hyperlink>
    </w:p>
    <w:p w:rsidR="00875BD6" w:rsidRDefault="003E117D">
      <w:pPr>
        <w:pStyle w:val="TOC2"/>
        <w:rPr>
          <w:rFonts w:asciiTheme="minorHAnsi" w:eastAsiaTheme="minorEastAsia" w:hAnsiTheme="minorHAnsi"/>
          <w:b w:val="0"/>
          <w:color w:val="auto"/>
          <w:sz w:val="22"/>
          <w:lang w:eastAsia="en-AU"/>
        </w:rPr>
      </w:pPr>
      <w:hyperlink w:anchor="_Toc438118780" w:history="1">
        <w:r w:rsidR="00875BD6" w:rsidRPr="005C75B2">
          <w:rPr>
            <w:rStyle w:val="Hyperlink"/>
          </w:rPr>
          <w:t>4.1</w:t>
        </w:r>
        <w:r w:rsidR="00875BD6">
          <w:rPr>
            <w:rFonts w:asciiTheme="minorHAnsi" w:eastAsiaTheme="minorEastAsia" w:hAnsiTheme="minorHAnsi"/>
            <w:b w:val="0"/>
            <w:color w:val="auto"/>
            <w:sz w:val="22"/>
            <w:lang w:eastAsia="en-AU"/>
          </w:rPr>
          <w:tab/>
        </w:r>
        <w:r w:rsidR="00875BD6" w:rsidRPr="005C75B2">
          <w:rPr>
            <w:rStyle w:val="Hyperlink"/>
          </w:rPr>
          <w:t>Occurrence of a pass through event</w:t>
        </w:r>
        <w:r w:rsidR="00875BD6">
          <w:rPr>
            <w:webHidden/>
          </w:rPr>
          <w:tab/>
        </w:r>
        <w:r w:rsidR="00875BD6">
          <w:rPr>
            <w:webHidden/>
          </w:rPr>
          <w:fldChar w:fldCharType="begin"/>
        </w:r>
        <w:r w:rsidR="00875BD6">
          <w:rPr>
            <w:webHidden/>
          </w:rPr>
          <w:instrText xml:space="preserve"> PAGEREF _Toc438118780 \h </w:instrText>
        </w:r>
        <w:r w:rsidR="00875BD6">
          <w:rPr>
            <w:webHidden/>
          </w:rPr>
        </w:r>
        <w:r w:rsidR="00875BD6">
          <w:rPr>
            <w:webHidden/>
          </w:rPr>
          <w:fldChar w:fldCharType="separate"/>
        </w:r>
        <w:r w:rsidR="00D04562">
          <w:rPr>
            <w:webHidden/>
          </w:rPr>
          <w:t>9</w:t>
        </w:r>
        <w:r w:rsidR="00875BD6">
          <w:rPr>
            <w:webHidden/>
          </w:rPr>
          <w:fldChar w:fldCharType="end"/>
        </w:r>
      </w:hyperlink>
    </w:p>
    <w:p w:rsidR="00875BD6" w:rsidRDefault="003E117D">
      <w:pPr>
        <w:pStyle w:val="TOC3"/>
        <w:rPr>
          <w:rFonts w:asciiTheme="minorHAnsi" w:eastAsiaTheme="minorEastAsia" w:hAnsiTheme="minorHAnsi"/>
          <w:lang w:eastAsia="en-AU"/>
        </w:rPr>
      </w:pPr>
      <w:hyperlink w:anchor="_Toc438118781" w:history="1">
        <w:r w:rsidR="00875BD6" w:rsidRPr="005C75B2">
          <w:rPr>
            <w:rStyle w:val="Hyperlink"/>
          </w:rPr>
          <w:t>4.1.1</w:t>
        </w:r>
        <w:r w:rsidR="00875BD6">
          <w:rPr>
            <w:rFonts w:asciiTheme="minorHAnsi" w:eastAsiaTheme="minorEastAsia" w:hAnsiTheme="minorHAnsi"/>
            <w:lang w:eastAsia="en-AU"/>
          </w:rPr>
          <w:tab/>
        </w:r>
        <w:r w:rsidR="00875BD6" w:rsidRPr="005C75B2">
          <w:rPr>
            <w:rStyle w:val="Hyperlink"/>
          </w:rPr>
          <w:t>Direct feed-in tariff payments</w:t>
        </w:r>
        <w:r w:rsidR="00875BD6">
          <w:rPr>
            <w:webHidden/>
          </w:rPr>
          <w:tab/>
        </w:r>
        <w:r w:rsidR="00875BD6">
          <w:rPr>
            <w:webHidden/>
          </w:rPr>
          <w:fldChar w:fldCharType="begin"/>
        </w:r>
        <w:r w:rsidR="00875BD6">
          <w:rPr>
            <w:webHidden/>
          </w:rPr>
          <w:instrText xml:space="preserve"> PAGEREF _Toc438118781 \h </w:instrText>
        </w:r>
        <w:r w:rsidR="00875BD6">
          <w:rPr>
            <w:webHidden/>
          </w:rPr>
        </w:r>
        <w:r w:rsidR="00875BD6">
          <w:rPr>
            <w:webHidden/>
          </w:rPr>
          <w:fldChar w:fldCharType="separate"/>
        </w:r>
        <w:r w:rsidR="00D04562">
          <w:rPr>
            <w:webHidden/>
          </w:rPr>
          <w:t>9</w:t>
        </w:r>
        <w:r w:rsidR="00875BD6">
          <w:rPr>
            <w:webHidden/>
          </w:rPr>
          <w:fldChar w:fldCharType="end"/>
        </w:r>
      </w:hyperlink>
    </w:p>
    <w:p w:rsidR="00875BD6" w:rsidRDefault="003E117D">
      <w:pPr>
        <w:pStyle w:val="TOC3"/>
        <w:rPr>
          <w:rFonts w:asciiTheme="minorHAnsi" w:eastAsiaTheme="minorEastAsia" w:hAnsiTheme="minorHAnsi"/>
          <w:lang w:eastAsia="en-AU"/>
        </w:rPr>
      </w:pPr>
      <w:hyperlink w:anchor="_Toc438118782" w:history="1">
        <w:r w:rsidR="00875BD6" w:rsidRPr="005C75B2">
          <w:rPr>
            <w:rStyle w:val="Hyperlink"/>
          </w:rPr>
          <w:t>4.1.2</w:t>
        </w:r>
        <w:r w:rsidR="00875BD6">
          <w:rPr>
            <w:rFonts w:asciiTheme="minorHAnsi" w:eastAsiaTheme="minorEastAsia" w:hAnsiTheme="minorHAnsi"/>
            <w:lang w:eastAsia="en-AU"/>
          </w:rPr>
          <w:tab/>
        </w:r>
        <w:r w:rsidR="00875BD6" w:rsidRPr="005C75B2">
          <w:rPr>
            <w:rStyle w:val="Hyperlink"/>
          </w:rPr>
          <w:t>Materiality</w:t>
        </w:r>
        <w:r w:rsidR="00875BD6">
          <w:rPr>
            <w:webHidden/>
          </w:rPr>
          <w:tab/>
        </w:r>
        <w:r w:rsidR="00875BD6">
          <w:rPr>
            <w:webHidden/>
          </w:rPr>
          <w:fldChar w:fldCharType="begin"/>
        </w:r>
        <w:r w:rsidR="00875BD6">
          <w:rPr>
            <w:webHidden/>
          </w:rPr>
          <w:instrText xml:space="preserve"> PAGEREF _Toc438118782 \h </w:instrText>
        </w:r>
        <w:r w:rsidR="00875BD6">
          <w:rPr>
            <w:webHidden/>
          </w:rPr>
        </w:r>
        <w:r w:rsidR="00875BD6">
          <w:rPr>
            <w:webHidden/>
          </w:rPr>
          <w:fldChar w:fldCharType="separate"/>
        </w:r>
        <w:r w:rsidR="00D04562">
          <w:rPr>
            <w:webHidden/>
          </w:rPr>
          <w:t>9</w:t>
        </w:r>
        <w:r w:rsidR="00875BD6">
          <w:rPr>
            <w:webHidden/>
          </w:rPr>
          <w:fldChar w:fldCharType="end"/>
        </w:r>
      </w:hyperlink>
    </w:p>
    <w:p w:rsidR="00875BD6" w:rsidRDefault="003E117D">
      <w:pPr>
        <w:pStyle w:val="TOC3"/>
        <w:rPr>
          <w:rFonts w:asciiTheme="minorHAnsi" w:eastAsiaTheme="minorEastAsia" w:hAnsiTheme="minorHAnsi"/>
          <w:lang w:eastAsia="en-AU"/>
        </w:rPr>
      </w:pPr>
      <w:hyperlink w:anchor="_Toc438118783" w:history="1">
        <w:r w:rsidR="00875BD6" w:rsidRPr="005C75B2">
          <w:rPr>
            <w:rStyle w:val="Hyperlink"/>
          </w:rPr>
          <w:t>4.1.3</w:t>
        </w:r>
        <w:r w:rsidR="00875BD6">
          <w:rPr>
            <w:rFonts w:asciiTheme="minorHAnsi" w:eastAsiaTheme="minorEastAsia" w:hAnsiTheme="minorHAnsi"/>
            <w:lang w:eastAsia="en-AU"/>
          </w:rPr>
          <w:tab/>
        </w:r>
        <w:r w:rsidR="00875BD6" w:rsidRPr="005C75B2">
          <w:rPr>
            <w:rStyle w:val="Hyperlink"/>
          </w:rPr>
          <w:t>Timing of Ergon Energy’s application</w:t>
        </w:r>
        <w:r w:rsidR="00875BD6">
          <w:rPr>
            <w:webHidden/>
          </w:rPr>
          <w:tab/>
        </w:r>
        <w:r w:rsidR="00875BD6">
          <w:rPr>
            <w:webHidden/>
          </w:rPr>
          <w:fldChar w:fldCharType="begin"/>
        </w:r>
        <w:r w:rsidR="00875BD6">
          <w:rPr>
            <w:webHidden/>
          </w:rPr>
          <w:instrText xml:space="preserve"> PAGEREF _Toc438118783 \h </w:instrText>
        </w:r>
        <w:r w:rsidR="00875BD6">
          <w:rPr>
            <w:webHidden/>
          </w:rPr>
        </w:r>
        <w:r w:rsidR="00875BD6">
          <w:rPr>
            <w:webHidden/>
          </w:rPr>
          <w:fldChar w:fldCharType="separate"/>
        </w:r>
        <w:r w:rsidR="00D04562">
          <w:rPr>
            <w:webHidden/>
          </w:rPr>
          <w:t>10</w:t>
        </w:r>
        <w:r w:rsidR="00875BD6">
          <w:rPr>
            <w:webHidden/>
          </w:rPr>
          <w:fldChar w:fldCharType="end"/>
        </w:r>
      </w:hyperlink>
    </w:p>
    <w:p w:rsidR="00875BD6" w:rsidRDefault="003E117D">
      <w:pPr>
        <w:pStyle w:val="TOC2"/>
        <w:rPr>
          <w:rFonts w:asciiTheme="minorHAnsi" w:eastAsiaTheme="minorEastAsia" w:hAnsiTheme="minorHAnsi"/>
          <w:b w:val="0"/>
          <w:color w:val="auto"/>
          <w:sz w:val="22"/>
          <w:lang w:eastAsia="en-AU"/>
        </w:rPr>
      </w:pPr>
      <w:hyperlink w:anchor="_Toc438118784" w:history="1">
        <w:r w:rsidR="00875BD6" w:rsidRPr="005C75B2">
          <w:rPr>
            <w:rStyle w:val="Hyperlink"/>
          </w:rPr>
          <w:t>4.2</w:t>
        </w:r>
        <w:r w:rsidR="00875BD6">
          <w:rPr>
            <w:rFonts w:asciiTheme="minorHAnsi" w:eastAsiaTheme="minorEastAsia" w:hAnsiTheme="minorHAnsi"/>
            <w:b w:val="0"/>
            <w:color w:val="auto"/>
            <w:sz w:val="22"/>
            <w:lang w:eastAsia="en-AU"/>
          </w:rPr>
          <w:tab/>
        </w:r>
        <w:r w:rsidR="00875BD6" w:rsidRPr="005C75B2">
          <w:rPr>
            <w:rStyle w:val="Hyperlink"/>
          </w:rPr>
          <w:t>Assessment of the pass through amount</w:t>
        </w:r>
        <w:r w:rsidR="00875BD6">
          <w:rPr>
            <w:webHidden/>
          </w:rPr>
          <w:tab/>
        </w:r>
        <w:r w:rsidR="00875BD6">
          <w:rPr>
            <w:webHidden/>
          </w:rPr>
          <w:fldChar w:fldCharType="begin"/>
        </w:r>
        <w:r w:rsidR="00875BD6">
          <w:rPr>
            <w:webHidden/>
          </w:rPr>
          <w:instrText xml:space="preserve"> PAGEREF _Toc438118784 \h </w:instrText>
        </w:r>
        <w:r w:rsidR="00875BD6">
          <w:rPr>
            <w:webHidden/>
          </w:rPr>
        </w:r>
        <w:r w:rsidR="00875BD6">
          <w:rPr>
            <w:webHidden/>
          </w:rPr>
          <w:fldChar w:fldCharType="separate"/>
        </w:r>
        <w:r w:rsidR="00D04562">
          <w:rPr>
            <w:webHidden/>
          </w:rPr>
          <w:t>10</w:t>
        </w:r>
        <w:r w:rsidR="00875BD6">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A618F" w:rsidRDefault="002A618F" w:rsidP="0020492C">
      <w:pPr>
        <w:sectPr w:rsidR="002A618F" w:rsidSect="007A4D1F">
          <w:footerReference w:type="default" r:id="rId11"/>
          <w:pgSz w:w="11906" w:h="16838" w:code="9"/>
          <w:pgMar w:top="1440" w:right="1700" w:bottom="1582" w:left="1729" w:header="720" w:footer="1009" w:gutter="0"/>
          <w:pgNumType w:fmt="lowerRoman"/>
          <w:cols w:space="720"/>
          <w:docGrid w:linePitch="326"/>
        </w:sectPr>
      </w:pPr>
    </w:p>
    <w:p w:rsidR="002A618F" w:rsidRDefault="002A618F" w:rsidP="002A618F">
      <w:pPr>
        <w:pStyle w:val="Heading1"/>
        <w:numPr>
          <w:ilvl w:val="0"/>
          <w:numId w:val="0"/>
        </w:numPr>
        <w:ind w:left="680" w:hanging="680"/>
      </w:pPr>
      <w:bookmarkStart w:id="2" w:name="_Toc438118771"/>
      <w:r>
        <w:lastRenderedPageBreak/>
        <w:t>Shortened forms</w:t>
      </w:r>
      <w:bookmarkEnd w:id="2"/>
    </w:p>
    <w:p w:rsidR="002A618F" w:rsidRDefault="002A618F" w:rsidP="002A618F"/>
    <w:tbl>
      <w:tblPr>
        <w:tblStyle w:val="AERTable-Text"/>
        <w:tblW w:w="0" w:type="auto"/>
        <w:tblLook w:val="01E0" w:firstRow="1" w:lastRow="1" w:firstColumn="1" w:lastColumn="1" w:noHBand="0" w:noVBand="0"/>
      </w:tblPr>
      <w:tblGrid>
        <w:gridCol w:w="3127"/>
        <w:gridCol w:w="5148"/>
      </w:tblGrid>
      <w:tr w:rsidR="002A618F" w:rsidRPr="002A618F" w:rsidTr="002A618F">
        <w:trPr>
          <w:cnfStyle w:val="100000000000" w:firstRow="1" w:lastRow="0" w:firstColumn="0" w:lastColumn="0" w:oddVBand="0" w:evenVBand="0" w:oddHBand="0" w:evenHBand="0" w:firstRowFirstColumn="0" w:firstRowLastColumn="0" w:lastRowFirstColumn="0" w:lastRowLastColumn="0"/>
        </w:trPr>
        <w:tc>
          <w:tcPr>
            <w:tcW w:w="3127" w:type="dxa"/>
            <w:noWrap/>
          </w:tcPr>
          <w:p w:rsidR="002A618F" w:rsidRPr="002A618F" w:rsidRDefault="002A618F" w:rsidP="002A618F">
            <w:r w:rsidRPr="002A618F">
              <w:t>Shortened form</w:t>
            </w:r>
          </w:p>
        </w:tc>
        <w:tc>
          <w:tcPr>
            <w:tcW w:w="5148" w:type="dxa"/>
            <w:noWrap/>
          </w:tcPr>
          <w:p w:rsidR="002A618F" w:rsidRPr="002A618F" w:rsidRDefault="002A618F" w:rsidP="002A618F">
            <w:r w:rsidRPr="002A618F">
              <w:t>Full title</w:t>
            </w:r>
          </w:p>
        </w:tc>
      </w:tr>
      <w:tr w:rsidR="002A618F" w:rsidRPr="002A618F" w:rsidTr="002A618F">
        <w:tc>
          <w:tcPr>
            <w:tcW w:w="3127" w:type="dxa"/>
            <w:noWrap/>
          </w:tcPr>
          <w:p w:rsidR="002A618F" w:rsidRPr="002A618F" w:rsidRDefault="002A618F" w:rsidP="002A618F">
            <w:r w:rsidRPr="002A618F">
              <w:t>AER</w:t>
            </w:r>
          </w:p>
        </w:tc>
        <w:tc>
          <w:tcPr>
            <w:tcW w:w="5148" w:type="dxa"/>
            <w:noWrap/>
          </w:tcPr>
          <w:p w:rsidR="002A618F" w:rsidRPr="002A618F" w:rsidRDefault="002A618F" w:rsidP="002A618F">
            <w:r w:rsidRPr="002A618F">
              <w:t>Australian Energy Regulator</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ACT</w:t>
            </w:r>
          </w:p>
        </w:tc>
        <w:tc>
          <w:tcPr>
            <w:tcW w:w="5148" w:type="dxa"/>
            <w:noWrap/>
          </w:tcPr>
          <w:p w:rsidR="002A618F" w:rsidRPr="002A618F" w:rsidRDefault="002A618F" w:rsidP="002A618F">
            <w:r w:rsidRPr="002A618F">
              <w:t>Australian Competition Tribunal</w:t>
            </w:r>
          </w:p>
        </w:tc>
      </w:tr>
      <w:tr w:rsidR="002A618F" w:rsidRPr="002A618F" w:rsidTr="002A618F">
        <w:tc>
          <w:tcPr>
            <w:tcW w:w="3127" w:type="dxa"/>
            <w:noWrap/>
          </w:tcPr>
          <w:p w:rsidR="002A618F" w:rsidRPr="002A618F" w:rsidRDefault="002A618F" w:rsidP="002A618F">
            <w:r w:rsidRPr="002A618F">
              <w:t>CPI</w:t>
            </w:r>
          </w:p>
        </w:tc>
        <w:tc>
          <w:tcPr>
            <w:tcW w:w="5148" w:type="dxa"/>
            <w:noWrap/>
          </w:tcPr>
          <w:p w:rsidR="002A618F" w:rsidRPr="002A618F" w:rsidRDefault="002A618F" w:rsidP="002A618F">
            <w:r w:rsidRPr="002A618F">
              <w:t>consumer price index</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DNSP</w:t>
            </w:r>
          </w:p>
        </w:tc>
        <w:tc>
          <w:tcPr>
            <w:tcW w:w="5148" w:type="dxa"/>
            <w:noWrap/>
          </w:tcPr>
          <w:p w:rsidR="002A618F" w:rsidRPr="002A618F" w:rsidRDefault="002A618F" w:rsidP="002A618F">
            <w:r w:rsidRPr="002A618F">
              <w:t>distribution network service provider</w:t>
            </w:r>
          </w:p>
        </w:tc>
      </w:tr>
      <w:tr w:rsidR="002A618F" w:rsidRPr="002A618F" w:rsidTr="002A618F">
        <w:tc>
          <w:tcPr>
            <w:tcW w:w="3127" w:type="dxa"/>
            <w:noWrap/>
          </w:tcPr>
          <w:p w:rsidR="002A618F" w:rsidRPr="002A618F" w:rsidRDefault="002A618F" w:rsidP="002A618F">
            <w:r w:rsidRPr="002A618F">
              <w:t>E</w:t>
            </w:r>
            <w:r w:rsidR="001F5EC5">
              <w:t>rgon Energy</w:t>
            </w:r>
          </w:p>
        </w:tc>
        <w:tc>
          <w:tcPr>
            <w:tcW w:w="5148" w:type="dxa"/>
            <w:noWrap/>
          </w:tcPr>
          <w:p w:rsidR="002A618F" w:rsidRPr="002A618F" w:rsidRDefault="002A618F" w:rsidP="002A618F">
            <w:r w:rsidRPr="002A618F">
              <w:t>E</w:t>
            </w:r>
            <w:r w:rsidR="001F5EC5">
              <w:t>rgon Energy Corporation Ltd</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FiT</w:t>
            </w:r>
          </w:p>
        </w:tc>
        <w:tc>
          <w:tcPr>
            <w:tcW w:w="5148" w:type="dxa"/>
            <w:noWrap/>
          </w:tcPr>
          <w:p w:rsidR="002A618F" w:rsidRPr="002A618F" w:rsidRDefault="002A618F" w:rsidP="002A618F">
            <w:r w:rsidRPr="002A618F">
              <w:t>feed-in tariff</w:t>
            </w:r>
          </w:p>
        </w:tc>
      </w:tr>
      <w:tr w:rsidR="002A618F" w:rsidRPr="002A618F" w:rsidTr="002A618F">
        <w:tc>
          <w:tcPr>
            <w:tcW w:w="3127" w:type="dxa"/>
            <w:noWrap/>
          </w:tcPr>
          <w:p w:rsidR="002A618F" w:rsidRPr="002A618F" w:rsidRDefault="002A618F" w:rsidP="002A618F">
            <w:r w:rsidRPr="002A618F">
              <w:t>NEL</w:t>
            </w:r>
          </w:p>
        </w:tc>
        <w:tc>
          <w:tcPr>
            <w:tcW w:w="5148" w:type="dxa"/>
            <w:noWrap/>
          </w:tcPr>
          <w:p w:rsidR="002A618F" w:rsidRPr="002A618F" w:rsidRDefault="002A618F" w:rsidP="002A618F">
            <w:r w:rsidRPr="002A618F">
              <w:t>National Electricity Law</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rules, NER</w:t>
            </w:r>
          </w:p>
        </w:tc>
        <w:tc>
          <w:tcPr>
            <w:tcW w:w="5148" w:type="dxa"/>
            <w:noWrap/>
          </w:tcPr>
          <w:p w:rsidR="002A618F" w:rsidRPr="002A618F" w:rsidRDefault="002A618F" w:rsidP="002A618F">
            <w:r w:rsidRPr="002A618F">
              <w:t>National Electricity Rules</w:t>
            </w:r>
          </w:p>
        </w:tc>
      </w:tr>
      <w:tr w:rsidR="002A618F" w:rsidRPr="002A618F" w:rsidTr="002A618F">
        <w:tc>
          <w:tcPr>
            <w:tcW w:w="3127" w:type="dxa"/>
            <w:noWrap/>
          </w:tcPr>
          <w:p w:rsidR="002A618F" w:rsidRPr="002A618F" w:rsidRDefault="002A618F" w:rsidP="002A618F">
            <w:r w:rsidRPr="002A618F">
              <w:t>QCA</w:t>
            </w:r>
          </w:p>
        </w:tc>
        <w:tc>
          <w:tcPr>
            <w:tcW w:w="5148" w:type="dxa"/>
            <w:noWrap/>
          </w:tcPr>
          <w:p w:rsidR="002A618F" w:rsidRPr="002A618F" w:rsidRDefault="002A618F" w:rsidP="002A618F">
            <w:r w:rsidRPr="002A618F">
              <w:t>Queensland Competition Authority</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RIN</w:t>
            </w:r>
          </w:p>
        </w:tc>
        <w:tc>
          <w:tcPr>
            <w:tcW w:w="5148" w:type="dxa"/>
            <w:noWrap/>
          </w:tcPr>
          <w:p w:rsidR="002A618F" w:rsidRPr="002A618F" w:rsidRDefault="002A618F" w:rsidP="002A618F">
            <w:r w:rsidRPr="002A618F">
              <w:t>regulatory information notice</w:t>
            </w:r>
          </w:p>
        </w:tc>
      </w:tr>
      <w:tr w:rsidR="002A618F" w:rsidRPr="002A618F" w:rsidTr="002A618F">
        <w:tc>
          <w:tcPr>
            <w:tcW w:w="3127" w:type="dxa"/>
            <w:noWrap/>
          </w:tcPr>
          <w:p w:rsidR="002A618F" w:rsidRPr="002A618F" w:rsidRDefault="002A618F" w:rsidP="002A618F">
            <w:r w:rsidRPr="002A618F">
              <w:t>SBS</w:t>
            </w:r>
          </w:p>
        </w:tc>
        <w:tc>
          <w:tcPr>
            <w:tcW w:w="5148" w:type="dxa"/>
            <w:noWrap/>
          </w:tcPr>
          <w:p w:rsidR="002A618F" w:rsidRPr="002A618F" w:rsidRDefault="002A618F" w:rsidP="002A618F">
            <w:r w:rsidRPr="002A618F">
              <w:t>Queensland Solar Bonus Scheme</w:t>
            </w:r>
          </w:p>
        </w:tc>
      </w:tr>
      <w:tr w:rsidR="002A618F" w:rsidRPr="002A618F" w:rsidTr="002A618F">
        <w:trPr>
          <w:cnfStyle w:val="000000010000" w:firstRow="0" w:lastRow="0" w:firstColumn="0" w:lastColumn="0" w:oddVBand="0" w:evenVBand="0" w:oddHBand="0" w:evenHBand="1" w:firstRowFirstColumn="0" w:firstRowLastColumn="0" w:lastRowFirstColumn="0" w:lastRowLastColumn="0"/>
        </w:trPr>
        <w:tc>
          <w:tcPr>
            <w:tcW w:w="3127" w:type="dxa"/>
            <w:noWrap/>
          </w:tcPr>
          <w:p w:rsidR="002A618F" w:rsidRPr="002A618F" w:rsidRDefault="002A618F" w:rsidP="002A618F">
            <w:r w:rsidRPr="002A618F">
              <w:t>WACC</w:t>
            </w:r>
          </w:p>
        </w:tc>
        <w:tc>
          <w:tcPr>
            <w:tcW w:w="5148" w:type="dxa"/>
            <w:noWrap/>
          </w:tcPr>
          <w:p w:rsidR="002A618F" w:rsidRPr="002A618F" w:rsidRDefault="002A618F" w:rsidP="002A618F">
            <w:r w:rsidRPr="002A618F">
              <w:t>weighted average cost of capital</w:t>
            </w:r>
          </w:p>
        </w:tc>
      </w:tr>
    </w:tbl>
    <w:p w:rsidR="002A618F" w:rsidRPr="002A618F" w:rsidRDefault="002A618F" w:rsidP="002A618F"/>
    <w:p w:rsidR="0020492C" w:rsidRDefault="002A618F" w:rsidP="002A618F">
      <w:pPr>
        <w:pStyle w:val="Heading1"/>
        <w:numPr>
          <w:ilvl w:val="0"/>
          <w:numId w:val="0"/>
        </w:numPr>
        <w:ind w:left="680" w:hanging="680"/>
      </w:pPr>
      <w:bookmarkStart w:id="3" w:name="_Toc438118772"/>
      <w:bookmarkEnd w:id="1"/>
      <w:r>
        <w:lastRenderedPageBreak/>
        <w:t>Overview</w:t>
      </w:r>
      <w:bookmarkEnd w:id="3"/>
    </w:p>
    <w:p w:rsidR="002A618F" w:rsidRDefault="002A618F" w:rsidP="002A618F">
      <w:r>
        <w:t xml:space="preserve">On </w:t>
      </w:r>
      <w:r w:rsidR="003E0C78">
        <w:t>26</w:t>
      </w:r>
      <w:r>
        <w:t xml:space="preserve"> October 2015</w:t>
      </w:r>
      <w:r w:rsidRPr="002A618F">
        <w:t xml:space="preserve"> E</w:t>
      </w:r>
      <w:r w:rsidR="003E0C78">
        <w:t>rgon Energy Corporation Ltd</w:t>
      </w:r>
      <w:r w:rsidRPr="002A618F">
        <w:t xml:space="preserve"> (E</w:t>
      </w:r>
      <w:r w:rsidR="003E0C78">
        <w:t>rgon Energy</w:t>
      </w:r>
      <w:r w:rsidRPr="002A618F">
        <w:t xml:space="preserve">) submitted a pass through application to us, the Australian Energy Regulator (AER), in respect of feed-in tariff (FiT) payments incurred under the Queensland (Qld) </w:t>
      </w:r>
      <w:r>
        <w:t>Solar Bonus Scheme (SBS) in 2014</w:t>
      </w:r>
      <w:r w:rsidRPr="002A618F">
        <w:t>–1</w:t>
      </w:r>
      <w:r>
        <w:t>5.</w:t>
      </w:r>
      <w:r w:rsidR="00DE4335">
        <w:t xml:space="preserve"> Ergon Energy s</w:t>
      </w:r>
      <w:r w:rsidR="00257FAD">
        <w:t>ubsequently submitted a revised</w:t>
      </w:r>
      <w:r w:rsidR="00DE4335">
        <w:t xml:space="preserve"> application on 8 December 2015.</w:t>
      </w:r>
      <w:r>
        <w:t xml:space="preserve"> In its</w:t>
      </w:r>
      <w:r w:rsidR="009D3FC4">
        <w:t xml:space="preserve"> revised</w:t>
      </w:r>
      <w:r>
        <w:t xml:space="preserve"> application</w:t>
      </w:r>
      <w:r w:rsidRPr="002A618F">
        <w:t xml:space="preserve"> E</w:t>
      </w:r>
      <w:r w:rsidR="003E0C78">
        <w:t>rgon Energy</w:t>
      </w:r>
      <w:r w:rsidRPr="002A618F">
        <w:t xml:space="preserve"> proposed a positive pass through amount </w:t>
      </w:r>
      <w:r w:rsidR="00573C9B">
        <w:t xml:space="preserve">of </w:t>
      </w:r>
      <w:r w:rsidR="001E6CD0">
        <w:t>$</w:t>
      </w:r>
      <w:r w:rsidR="009D3FC4">
        <w:t xml:space="preserve">125 884 </w:t>
      </w:r>
      <w:r w:rsidR="009D3FC4" w:rsidRPr="009D3FC4">
        <w:t>026</w:t>
      </w:r>
      <w:r>
        <w:t xml:space="preserve"> (</w:t>
      </w:r>
      <w:r w:rsidR="008B461E">
        <w:t>$2016</w:t>
      </w:r>
      <w:r w:rsidR="001E6CD0">
        <w:t>–17</w:t>
      </w:r>
      <w:r>
        <w:t>).</w:t>
      </w:r>
    </w:p>
    <w:p w:rsidR="000B390A" w:rsidRDefault="00FA479B" w:rsidP="000B390A">
      <w:r w:rsidRPr="0054221D">
        <w:t xml:space="preserve">The pass through mechanism of the National Electricity Rules (NER) recognises that a distributor can be exposed to risks beyond its control, which may have a material impact on its costs. A cost pass through enables a distributor to recover (or pass through) the costs of defined unpredictable, high cost events that are not built into our distribution determination. </w:t>
      </w:r>
      <w:r w:rsidR="000B390A" w:rsidRPr="000B390A">
        <w:t xml:space="preserve">The NER includes prescribed pass through events for all distributors but also allows distributors to nominate additional pass through events (nominated events), subject to our distribution determinations. </w:t>
      </w:r>
    </w:p>
    <w:p w:rsidR="00FA479B" w:rsidRPr="0054221D" w:rsidRDefault="00FA479B" w:rsidP="000B390A">
      <w:r w:rsidRPr="0054221D">
        <w:t xml:space="preserve">This decision relates to a nominated pass through event specified in </w:t>
      </w:r>
      <w:r w:rsidRPr="0059180C">
        <w:t xml:space="preserve">Final Decision: </w:t>
      </w:r>
      <w:r w:rsidRPr="0059180C">
        <w:rPr>
          <w:rStyle w:val="Emphasis"/>
        </w:rPr>
        <w:t>Queensland distribution determination 2010–11 to 2014–15</w:t>
      </w:r>
      <w:r w:rsidRPr="0054221D">
        <w:t>.</w:t>
      </w:r>
    </w:p>
    <w:p w:rsidR="00FA479B" w:rsidRPr="0054221D" w:rsidRDefault="00FA479B" w:rsidP="00FA479B">
      <w:r w:rsidRPr="0054221D">
        <w:t>Our discretion in assessing pass through events is limited in the NER under clause 6.6.1 (j) w</w:t>
      </w:r>
      <w:r w:rsidR="001759C0">
        <w:t>hich is replicated in section 3</w:t>
      </w:r>
      <w:r w:rsidRPr="0054221D">
        <w:t xml:space="preserve"> of this decision.</w:t>
      </w:r>
    </w:p>
    <w:p w:rsidR="002A618F" w:rsidRPr="002A618F" w:rsidRDefault="002A618F" w:rsidP="002A618F">
      <w:r w:rsidRPr="002A618F">
        <w:t>We consider E</w:t>
      </w:r>
      <w:r w:rsidR="003E0C78">
        <w:t>rgon Energy</w:t>
      </w:r>
      <w:r w:rsidRPr="002A618F">
        <w:t>’s pass thro</w:t>
      </w:r>
      <w:r w:rsidR="00573C9B">
        <w:t>ugh application establishes</w:t>
      </w:r>
      <w:r w:rsidRPr="002A618F">
        <w:t xml:space="preserve"> a pass through event occurred. E</w:t>
      </w:r>
      <w:r w:rsidR="003E0C78">
        <w:t>rgon Energy</w:t>
      </w:r>
      <w:r w:rsidRPr="002A618F">
        <w:t xml:space="preserve"> is obliged under the </w:t>
      </w:r>
      <w:r w:rsidRPr="00573C9B">
        <w:rPr>
          <w:rStyle w:val="Emphasis"/>
        </w:rPr>
        <w:t>Electricity Act 1994 (Qld)</w:t>
      </w:r>
      <w:r w:rsidRPr="002A618F">
        <w:t xml:space="preserve"> to incur FiT payments. We are satisfied the direct FiT paym</w:t>
      </w:r>
      <w:r w:rsidR="00573C9B">
        <w:t>ents incurred by E</w:t>
      </w:r>
      <w:r w:rsidR="003E0C78">
        <w:t>rgon Energy</w:t>
      </w:r>
      <w:r w:rsidR="00573C9B">
        <w:t xml:space="preserve"> in 2014</w:t>
      </w:r>
      <w:r w:rsidRPr="002A618F">
        <w:t>–1</w:t>
      </w:r>
      <w:r w:rsidR="00573C9B">
        <w:t>5</w:t>
      </w:r>
      <w:r w:rsidRPr="002A618F">
        <w:t xml:space="preserve"> were paid through the operation of the </w:t>
      </w:r>
      <w:r w:rsidRPr="00573C9B">
        <w:rPr>
          <w:rStyle w:val="Emphasis"/>
        </w:rPr>
        <w:t>Electricity Act 1994 (Qld)</w:t>
      </w:r>
      <w:r w:rsidRPr="002A618F">
        <w:t xml:space="preserve"> and materially increased E</w:t>
      </w:r>
      <w:r w:rsidR="00604742">
        <w:t>rgon Energy</w:t>
      </w:r>
      <w:r w:rsidRPr="002A618F">
        <w:t xml:space="preserve">’s costs in providing direct control services. </w:t>
      </w:r>
    </w:p>
    <w:p w:rsidR="00AA090C" w:rsidRPr="00AA090C" w:rsidRDefault="00AA090C" w:rsidP="00AA090C">
      <w:r w:rsidRPr="00AA090C">
        <w:t>Neither Energex nor the AER is able to influence the costs Energex incurs under the SBS.</w:t>
      </w:r>
      <w:r w:rsidRPr="009E0DFB">
        <w:rPr>
          <w:rStyle w:val="Superscript"/>
        </w:rPr>
        <w:footnoteReference w:id="2"/>
      </w:r>
      <w:r w:rsidRPr="009E0DFB">
        <w:rPr>
          <w:rStyle w:val="Superscript"/>
        </w:rPr>
        <w:t xml:space="preserve"> </w:t>
      </w:r>
      <w:r w:rsidRPr="00AA090C">
        <w:t xml:space="preserve">Costs associated with FiT payments under the SBS increased sharply between 2010 and 2015 and will diminish slowly over time.  </w:t>
      </w:r>
    </w:p>
    <w:p w:rsidR="002A618F" w:rsidRDefault="002A618F" w:rsidP="002A618F">
      <w:r w:rsidRPr="002A618F">
        <w:t>The rules require us to determine the amount to be passed through. Based on our assessment of the relevant factors in clause 6.6.1(j) of the rules, we conclude the approved pass through amount for E</w:t>
      </w:r>
      <w:r w:rsidR="003E0C78">
        <w:t>rgon Energy</w:t>
      </w:r>
      <w:r w:rsidRPr="002A618F">
        <w:t xml:space="preserve"> is $</w:t>
      </w:r>
      <w:r w:rsidR="00432B88" w:rsidRPr="00432B88">
        <w:t>125 884 026</w:t>
      </w:r>
      <w:r w:rsidR="008B461E">
        <w:t xml:space="preserve"> ($2016</w:t>
      </w:r>
      <w:r w:rsidR="001E6CD0">
        <w:t>–17</w:t>
      </w:r>
      <w:r w:rsidR="00573C9B" w:rsidRPr="00573C9B">
        <w:t>).</w:t>
      </w:r>
    </w:p>
    <w:p w:rsidR="00D61E0C" w:rsidRPr="002A618F" w:rsidRDefault="00D61E0C" w:rsidP="00D61E0C">
      <w:r>
        <w:t>This means in 2016–17</w:t>
      </w:r>
      <w:r w:rsidRPr="002A618F">
        <w:t xml:space="preserve"> Energex will increase its approved revenue by </w:t>
      </w:r>
      <w:r>
        <w:t>the approved pass through amount.</w:t>
      </w:r>
      <w:r w:rsidRPr="002A618F">
        <w:t xml:space="preserve"> Energex can recover this amount from customers through higher network charges.  </w:t>
      </w:r>
    </w:p>
    <w:p w:rsidR="002A618F" w:rsidRPr="002A618F" w:rsidRDefault="00B23784" w:rsidP="002A618F">
      <w:r>
        <w:t>The pass through of these amounts</w:t>
      </w:r>
      <w:r w:rsidR="00546DDD">
        <w:t xml:space="preserve"> </w:t>
      </w:r>
      <w:r w:rsidR="008B461E">
        <w:t>in 2016–17</w:t>
      </w:r>
      <w:r>
        <w:t xml:space="preserve"> means</w:t>
      </w:r>
      <w:r w:rsidR="002A618F" w:rsidRPr="002A618F">
        <w:t xml:space="preserve"> E</w:t>
      </w:r>
      <w:r w:rsidR="003E0C78">
        <w:t>rgon Energy</w:t>
      </w:r>
      <w:r w:rsidR="002A618F" w:rsidRPr="002A618F">
        <w:t xml:space="preserve"> revenue </w:t>
      </w:r>
      <w:r>
        <w:t xml:space="preserve">cap will be increased </w:t>
      </w:r>
      <w:r w:rsidR="002A618F" w:rsidRPr="002A618F">
        <w:t xml:space="preserve">by </w:t>
      </w:r>
      <w:r w:rsidR="00546DDD">
        <w:t>the approved pass through amount.</w:t>
      </w:r>
      <w:r w:rsidR="002A618F" w:rsidRPr="002A618F">
        <w:t xml:space="preserve"> </w:t>
      </w:r>
      <w:r>
        <w:t>While Ergon Energy's retail arm will be required to pay the higher network changes, these costs will not be subsequently passed onto consumers.</w:t>
      </w:r>
      <w:r w:rsidR="004D00B6">
        <w:t xml:space="preserve"> </w:t>
      </w:r>
      <w:r>
        <w:t xml:space="preserve">This is due to the operation of the uniform tariff policy across Queensland. </w:t>
      </w:r>
      <w:r w:rsidR="003E0C78">
        <w:t xml:space="preserve">Ergon Energy </w:t>
      </w:r>
      <w:r>
        <w:t xml:space="preserve">retail </w:t>
      </w:r>
      <w:r w:rsidR="003E0C78">
        <w:t>customers pay</w:t>
      </w:r>
      <w:r>
        <w:t xml:space="preserve"> the retail</w:t>
      </w:r>
      <w:r w:rsidR="003E0C78">
        <w:t xml:space="preserve"> tariffs </w:t>
      </w:r>
      <w:r>
        <w:t>as if the network charges of</w:t>
      </w:r>
      <w:r w:rsidR="00604742">
        <w:t xml:space="preserve"> </w:t>
      </w:r>
      <w:r>
        <w:t>Energex</w:t>
      </w:r>
      <w:r w:rsidR="003E0C78">
        <w:t xml:space="preserve"> </w:t>
      </w:r>
      <w:r>
        <w:lastRenderedPageBreak/>
        <w:t>were applied</w:t>
      </w:r>
      <w:r w:rsidR="003E0C78">
        <w:t xml:space="preserve">. This means the costs of this pass through decision will not impact </w:t>
      </w:r>
      <w:r w:rsidR="00D53CA2">
        <w:t xml:space="preserve">on the </w:t>
      </w:r>
      <w:r w:rsidR="003E0C78">
        <w:t xml:space="preserve">electricity bills paid by </w:t>
      </w:r>
      <w:r w:rsidR="00D53CA2">
        <w:t xml:space="preserve">customers in </w:t>
      </w:r>
      <w:r w:rsidR="003E0C78">
        <w:t>Ergon Energy</w:t>
      </w:r>
      <w:r w:rsidR="00D53CA2">
        <w:t>'s area</w:t>
      </w:r>
      <w:r w:rsidR="003E0C78">
        <w:t xml:space="preserve">. </w:t>
      </w:r>
    </w:p>
    <w:p w:rsidR="00694583" w:rsidRPr="00694583" w:rsidRDefault="00694583" w:rsidP="00694583">
      <w:pPr>
        <w:pStyle w:val="Caption"/>
      </w:pPr>
      <w:r w:rsidRPr="00694583">
        <w:t>Queensland solar bonus scheme</w:t>
      </w:r>
    </w:p>
    <w:p w:rsidR="00694583" w:rsidRPr="00694583" w:rsidRDefault="00694583" w:rsidP="00694583">
      <w:r w:rsidRPr="00694583">
        <w:t xml:space="preserve">The SBS is a Qld Government initiative that came into effect on 1 July 2008. It provides eligible customers with credit for the surplus electricity, generated by solar photovoltaic (PV) panel systems, that is exported into the Qld electricity grid. The SBS is available to small residential and business customers who consume less than 100MWh per year, with grid-connected PV panel systems not exceeding 5kW capacity. </w:t>
      </w:r>
    </w:p>
    <w:p w:rsidR="00694583" w:rsidRPr="00694583" w:rsidRDefault="00694583" w:rsidP="00694583">
      <w:r w:rsidRPr="00694583">
        <w:t xml:space="preserve">At </w:t>
      </w:r>
      <w:r w:rsidR="00AD6AC8">
        <w:t xml:space="preserve">the end of each billing period </w:t>
      </w:r>
      <w:r w:rsidRPr="00694583">
        <w:t xml:space="preserve">the customer's meter is read to determine the total amounts of surplus electricity exported to the grid. The DNSP provides this </w:t>
      </w:r>
      <w:r w:rsidR="00AD6AC8">
        <w:t>data to the customer’s retailer</w:t>
      </w:r>
      <w:r w:rsidRPr="00694583">
        <w:t xml:space="preserve"> which then calculates the amount of the 'solar bonus' by multiplying the number of kWh exported by the rate of the feed-in tariff. The solar bonus amount is deducted from the customer's consumption charge for imported electricity. If the value of the customer’s exports exceeds their consumption charge for imported electricity their retail account is credited. </w:t>
      </w:r>
    </w:p>
    <w:p w:rsidR="00694583" w:rsidRPr="00694583" w:rsidRDefault="00694583" w:rsidP="00694583">
      <w:r w:rsidRPr="00694583">
        <w:t xml:space="preserve">Section 44A of the Electricity Industry Act 1994 (Qld) imposes a condition on DNSPs to allow a credit, for electricity exported to the grid by small PV generators, at the prescribed amount. Accordingly, under the SBS the retailer recovers the cost of crediting customer accounts from the DNSPs. The DNSP then passes the cost onto customers more generally through its network pricing. </w:t>
      </w:r>
    </w:p>
    <w:p w:rsidR="00694583" w:rsidRPr="00694583" w:rsidRDefault="00694583" w:rsidP="00694583">
      <w:pPr>
        <w:rPr>
          <w:rStyle w:val="Strong"/>
        </w:rPr>
      </w:pPr>
      <w:r w:rsidRPr="00694583">
        <w:rPr>
          <w:rStyle w:val="Strong"/>
        </w:rPr>
        <w:t>Changes to the SBS</w:t>
      </w:r>
    </w:p>
    <w:p w:rsidR="00694583" w:rsidRPr="00694583" w:rsidRDefault="00694583" w:rsidP="00694583">
      <w:r w:rsidRPr="00694583">
        <w:t xml:space="preserve">Customers who lodged an application to participate in the SBS on or before 9 July 2012 receive a payment of 44c/kWh for surplus electricity fed into the grid. SBS participants who applied prior to midnight on 9 July 2012 continue to receive the 44c/kWh FiT as long as they continue to meet eligibility criteria. The </w:t>
      </w:r>
      <w:r w:rsidR="00A62645">
        <w:t xml:space="preserve">Queensland Government has now closed the </w:t>
      </w:r>
      <w:r w:rsidRPr="00694583">
        <w:t xml:space="preserve">44c rate to new applicants. </w:t>
      </w:r>
    </w:p>
    <w:p w:rsidR="00694583" w:rsidRPr="00694583" w:rsidRDefault="00694583" w:rsidP="00694583">
      <w:r w:rsidRPr="00694583">
        <w:t>A replacement FiT of 8c/kWh is paid to customers who applied between 10 July 2012 and 1 July 2014. Since 1 July 2014, customers in south east Qld (Energex customers) receive a FiT determined by the market. That is, as offered by electricity retailers.</w:t>
      </w:r>
    </w:p>
    <w:p w:rsidR="00694583" w:rsidRPr="00694583" w:rsidRDefault="00694583" w:rsidP="00694583">
      <w:r w:rsidRPr="00694583">
        <w:t xml:space="preserve">In regional Qld, customers of Ergon Energy receive a rate determined by the Qld Competition Authority (QCA). </w:t>
      </w:r>
      <w:r w:rsidR="00F6192E">
        <w:t>In the 2014–15 financial year that rate wa</w:t>
      </w:r>
      <w:r w:rsidRPr="00694583">
        <w:t>s 6.53</w:t>
      </w:r>
      <w:r w:rsidR="00F6192E">
        <w:t>4</w:t>
      </w:r>
      <w:r w:rsidRPr="00694583">
        <w:t xml:space="preserve">c/kWh. </w:t>
      </w:r>
      <w:r w:rsidR="00F6192E">
        <w:t>From 1 July 2015 the rate is 6.348c/kWh.</w:t>
      </w:r>
      <w:r w:rsidR="00F6192E">
        <w:rPr>
          <w:rStyle w:val="FootnoteReference"/>
        </w:rPr>
        <w:footnoteReference w:id="3"/>
      </w:r>
    </w:p>
    <w:p w:rsidR="00694583" w:rsidRPr="00694583" w:rsidRDefault="00694583" w:rsidP="00694583">
      <w:pPr>
        <w:pStyle w:val="Caption"/>
        <w:rPr>
          <w:rStyle w:val="Strong"/>
          <w:b/>
          <w:bCs/>
        </w:rPr>
      </w:pPr>
      <w:r w:rsidRPr="00694583">
        <w:rPr>
          <w:rStyle w:val="Strong"/>
          <w:b/>
          <w:bCs/>
        </w:rPr>
        <w:t>Determination document structure</w:t>
      </w:r>
    </w:p>
    <w:p w:rsidR="00694583" w:rsidRPr="00694583" w:rsidRDefault="00694583" w:rsidP="00694583">
      <w:r w:rsidRPr="00694583">
        <w:t>This determination is structured as follows:</w:t>
      </w:r>
    </w:p>
    <w:p w:rsidR="00694583" w:rsidRPr="00694583" w:rsidRDefault="00694583" w:rsidP="00694583">
      <w:pPr>
        <w:pStyle w:val="Bulletpoint"/>
      </w:pPr>
      <w:r w:rsidRPr="00694583">
        <w:t>Chapter 1 – sets out our determination on E</w:t>
      </w:r>
      <w:r w:rsidR="00604742">
        <w:t>rgon Energy</w:t>
      </w:r>
      <w:r w:rsidRPr="00694583">
        <w:t>’s pass through application</w:t>
      </w:r>
    </w:p>
    <w:p w:rsidR="00694583" w:rsidRPr="00694583" w:rsidRDefault="00694583" w:rsidP="00694583">
      <w:pPr>
        <w:pStyle w:val="Bulletpoint"/>
      </w:pPr>
      <w:r w:rsidRPr="00694583">
        <w:t>Chapter 2 – sets out E</w:t>
      </w:r>
      <w:r w:rsidR="00604742">
        <w:t>rgon Energy</w:t>
      </w:r>
      <w:r w:rsidRPr="00694583">
        <w:t xml:space="preserve">’s pass through application </w:t>
      </w:r>
    </w:p>
    <w:p w:rsidR="00694583" w:rsidRPr="00694583" w:rsidRDefault="00694583" w:rsidP="00694583">
      <w:pPr>
        <w:pStyle w:val="Bulletpoint"/>
      </w:pPr>
      <w:r w:rsidRPr="00694583">
        <w:lastRenderedPageBreak/>
        <w:t>Chapter 3 – sets out our assessment approach</w:t>
      </w:r>
    </w:p>
    <w:p w:rsidR="007466EE" w:rsidRDefault="00694583" w:rsidP="005955CC">
      <w:pPr>
        <w:pStyle w:val="Bulletpoint"/>
        <w:spacing w:line="240" w:lineRule="auto"/>
      </w:pPr>
      <w:r w:rsidRPr="00694583">
        <w:t>Chapter 4 – sets out our reasons for our determination.</w:t>
      </w:r>
      <w:r w:rsidR="007466EE">
        <w:br w:type="page"/>
      </w:r>
    </w:p>
    <w:p w:rsidR="0020492C" w:rsidRDefault="006C2B48" w:rsidP="006C2B48">
      <w:pPr>
        <w:pStyle w:val="Heading1"/>
      </w:pPr>
      <w:bookmarkStart w:id="4" w:name="_Toc438118773"/>
      <w:r>
        <w:lastRenderedPageBreak/>
        <w:t>Determination</w:t>
      </w:r>
      <w:bookmarkEnd w:id="4"/>
    </w:p>
    <w:p w:rsidR="006C2B48" w:rsidRPr="006C2B48" w:rsidRDefault="006C2B48" w:rsidP="006C2B48">
      <w:r w:rsidRPr="006C2B48">
        <w:t>We consider E</w:t>
      </w:r>
      <w:r w:rsidR="00FF12CB">
        <w:t>rgon Energy</w:t>
      </w:r>
      <w:r w:rsidRPr="006C2B48">
        <w:t>’s pass thro</w:t>
      </w:r>
      <w:r w:rsidR="00854938">
        <w:t>ugh application establishes</w:t>
      </w:r>
      <w:r w:rsidRPr="006C2B48">
        <w:t xml:space="preserve"> a pass through event occurred. We are satisfied the direct FiT paym</w:t>
      </w:r>
      <w:r>
        <w:t>ents incurred by E</w:t>
      </w:r>
      <w:r w:rsidR="00FF12CB">
        <w:t>rgon Energy</w:t>
      </w:r>
      <w:r>
        <w:t xml:space="preserve"> in 2014–15</w:t>
      </w:r>
      <w:r w:rsidRPr="006C2B48">
        <w:t xml:space="preserve"> were paid through the operation of the </w:t>
      </w:r>
      <w:r w:rsidRPr="006C2B48">
        <w:rPr>
          <w:rStyle w:val="Emphasis"/>
        </w:rPr>
        <w:t>Electricity Act 1994 (Qld)</w:t>
      </w:r>
      <w:r w:rsidRPr="006C2B48">
        <w:t xml:space="preserve"> and materially increase E</w:t>
      </w:r>
      <w:r w:rsidR="00FF12CB">
        <w:t>rgon Energy</w:t>
      </w:r>
      <w:r w:rsidRPr="006C2B48">
        <w:t xml:space="preserve">’s costs in providing direct control services in the regulatory control period.  </w:t>
      </w:r>
    </w:p>
    <w:p w:rsidR="006C2B48" w:rsidRDefault="006C2B48" w:rsidP="006C2B48">
      <w:r w:rsidRPr="006C2B48">
        <w:t xml:space="preserve">The rules require us to determine the amount </w:t>
      </w:r>
      <w:r w:rsidR="00EC37E1">
        <w:t>to</w:t>
      </w:r>
      <w:r w:rsidRPr="006C2B48">
        <w:t xml:space="preserve"> be passed through in each remaining year of the regulatory control period. Based on our assessment of the factors in clause 6.6.1(j) of the rules we conclude the approved pass through amount for E</w:t>
      </w:r>
      <w:r w:rsidR="00FF12CB">
        <w:t>rgon Energy</w:t>
      </w:r>
      <w:r w:rsidRPr="006C2B48">
        <w:t xml:space="preserve"> is </w:t>
      </w:r>
      <w:r w:rsidR="00EC37E1">
        <w:t>$</w:t>
      </w:r>
      <w:r w:rsidR="001C5DE4" w:rsidRPr="001C5DE4">
        <w:t xml:space="preserve">125 884 026 </w:t>
      </w:r>
      <w:r w:rsidR="00EC37E1">
        <w:t xml:space="preserve"> ($2016</w:t>
      </w:r>
      <w:r w:rsidR="00854938">
        <w:t>–17</w:t>
      </w:r>
      <w:r w:rsidRPr="006C2B48">
        <w:t xml:space="preserve">). </w:t>
      </w:r>
    </w:p>
    <w:p w:rsidR="006C2B48" w:rsidRDefault="006C2B48" w:rsidP="006C2B48"/>
    <w:p w:rsidR="000A1823" w:rsidRDefault="000A1823">
      <w:pPr>
        <w:spacing w:line="240" w:lineRule="auto"/>
      </w:pPr>
      <w:r>
        <w:br w:type="page"/>
      </w:r>
    </w:p>
    <w:p w:rsidR="009C716D" w:rsidRDefault="009C716D" w:rsidP="009C716D">
      <w:pPr>
        <w:pStyle w:val="Heading1"/>
      </w:pPr>
      <w:bookmarkStart w:id="5" w:name="_Toc438118774"/>
      <w:r w:rsidRPr="009C716D">
        <w:lastRenderedPageBreak/>
        <w:t>E</w:t>
      </w:r>
      <w:r w:rsidR="00FF12CB">
        <w:t>rgon Energy</w:t>
      </w:r>
      <w:r w:rsidRPr="009C716D">
        <w:t>’s pass through application</w:t>
      </w:r>
      <w:bookmarkEnd w:id="5"/>
    </w:p>
    <w:p w:rsidR="00710675" w:rsidRDefault="009C716D" w:rsidP="009C716D">
      <w:r>
        <w:t xml:space="preserve">On </w:t>
      </w:r>
      <w:r w:rsidR="00C96D43">
        <w:t>26</w:t>
      </w:r>
      <w:r w:rsidRPr="009C716D">
        <w:t xml:space="preserve"> October 201</w:t>
      </w:r>
      <w:r>
        <w:t>5</w:t>
      </w:r>
      <w:r w:rsidRPr="009C716D">
        <w:t xml:space="preserve"> we received a pass through application from E</w:t>
      </w:r>
      <w:r w:rsidR="00FF12CB">
        <w:t>rgon Energy</w:t>
      </w:r>
      <w:r w:rsidRPr="009C716D">
        <w:t xml:space="preserve"> relating to payments for the SBS.</w:t>
      </w:r>
      <w:r w:rsidR="00C45E0B">
        <w:rPr>
          <w:rStyle w:val="FootnoteReference"/>
        </w:rPr>
        <w:footnoteReference w:id="4"/>
      </w:r>
      <w:r w:rsidRPr="009C716D">
        <w:t xml:space="preserve"> </w:t>
      </w:r>
      <w:r w:rsidR="00C96D43">
        <w:t>A revised application with minimal changes was submitted on 8 December 2015.</w:t>
      </w:r>
      <w:r w:rsidR="00C96D43">
        <w:rPr>
          <w:rStyle w:val="FootnoteReference"/>
        </w:rPr>
        <w:footnoteReference w:id="5"/>
      </w:r>
    </w:p>
    <w:p w:rsidR="006E47A0" w:rsidRDefault="009C716D" w:rsidP="009C716D">
      <w:r w:rsidRPr="009C716D">
        <w:t>E</w:t>
      </w:r>
      <w:r w:rsidR="00FF12CB">
        <w:t>rgon Energy</w:t>
      </w:r>
      <w:r w:rsidRPr="009C716D">
        <w:t>’s applicati</w:t>
      </w:r>
      <w:r w:rsidR="00710675">
        <w:t>on says it incurred $</w:t>
      </w:r>
      <w:r w:rsidR="001A3923">
        <w:t xml:space="preserve">115 340 </w:t>
      </w:r>
      <w:r w:rsidR="00E17810" w:rsidRPr="00E17810">
        <w:t>395</w:t>
      </w:r>
      <w:r w:rsidR="002A267D">
        <w:t xml:space="preserve"> ($2014</w:t>
      </w:r>
      <w:r w:rsidR="00F3135A">
        <w:t>–15</w:t>
      </w:r>
      <w:r w:rsidR="002A267D">
        <w:t>) of FiT payments in 2014–15</w:t>
      </w:r>
      <w:r w:rsidRPr="009C716D">
        <w:t>. E</w:t>
      </w:r>
      <w:r w:rsidR="00FF12CB">
        <w:t>rgon Energy</w:t>
      </w:r>
      <w:r w:rsidRPr="009C716D">
        <w:t>’s a</w:t>
      </w:r>
      <w:r w:rsidR="002A267D">
        <w:t>pplication noted</w:t>
      </w:r>
      <w:r w:rsidR="009F15F5">
        <w:t xml:space="preserve"> </w:t>
      </w:r>
      <w:r w:rsidR="002A267D">
        <w:t>the forecast amount of 2014–15</w:t>
      </w:r>
      <w:r w:rsidRPr="009C716D">
        <w:t xml:space="preserve"> FiT payments included in foreca</w:t>
      </w:r>
      <w:r w:rsidR="00F3135A">
        <w:t>st operating expenditure was $</w:t>
      </w:r>
      <w:r w:rsidR="00E17810">
        <w:t>4.04</w:t>
      </w:r>
      <w:r w:rsidR="002A267D">
        <w:t xml:space="preserve"> million (</w:t>
      </w:r>
      <w:r w:rsidR="00F3135A">
        <w:t>$20</w:t>
      </w:r>
      <w:r w:rsidR="00E17810">
        <w:t>09–10</w:t>
      </w:r>
      <w:r w:rsidRPr="009C716D">
        <w:t>).</w:t>
      </w:r>
      <w:r w:rsidR="009F15F5">
        <w:rPr>
          <w:rStyle w:val="FootnoteReference"/>
        </w:rPr>
        <w:footnoteReference w:id="6"/>
      </w:r>
      <w:r w:rsidRPr="009C716D">
        <w:t xml:space="preserve">  </w:t>
      </w:r>
    </w:p>
    <w:p w:rsidR="009C716D" w:rsidRPr="009C716D" w:rsidRDefault="009C716D" w:rsidP="009C716D">
      <w:r w:rsidRPr="009C716D">
        <w:t>E</w:t>
      </w:r>
      <w:r w:rsidR="00FF12CB">
        <w:t>rgon Energy</w:t>
      </w:r>
      <w:r w:rsidRPr="009C716D">
        <w:t xml:space="preserve"> submitted:</w:t>
      </w:r>
      <w:r w:rsidR="008E444B">
        <w:rPr>
          <w:rStyle w:val="FootnoteReference"/>
        </w:rPr>
        <w:footnoteReference w:id="7"/>
      </w:r>
      <w:r w:rsidRPr="009C716D">
        <w:t xml:space="preserve"> </w:t>
      </w:r>
    </w:p>
    <w:p w:rsidR="009C716D" w:rsidRPr="009C716D" w:rsidRDefault="008E444B" w:rsidP="008E444B">
      <w:pPr>
        <w:pStyle w:val="Bulletpoint2"/>
        <w:numPr>
          <w:ilvl w:val="0"/>
          <w:numId w:val="0"/>
        </w:numPr>
        <w:ind w:left="998"/>
      </w:pPr>
      <w:r>
        <w:t>"</w:t>
      </w:r>
      <w:r w:rsidR="003121B0" w:rsidRPr="003121B0">
        <w:t>Adjustments to costs were first required, to account for the consumer price index (CPI) and the time value (refer Table 1 and 2). In addition, the amount of prescribed credit amount payments incurred as captured in the general ledger have been reduced (as per prior years) for those payments made for customers in Isolated Regions and any incorrect prescribed credit amount payments identified.</w:t>
      </w:r>
      <w:r>
        <w:t>"</w:t>
      </w:r>
    </w:p>
    <w:p w:rsidR="009C716D" w:rsidRPr="009C716D" w:rsidRDefault="009C716D" w:rsidP="009C716D">
      <w:r w:rsidRPr="009C716D">
        <w:t>E</w:t>
      </w:r>
      <w:r w:rsidR="00FF12CB">
        <w:t>rgon Energy</w:t>
      </w:r>
      <w:r w:rsidRPr="009C716D">
        <w:t xml:space="preserve"> submitted that when this figure is adjusted for inflatio</w:t>
      </w:r>
      <w:r w:rsidR="00544D48">
        <w:t>n,</w:t>
      </w:r>
      <w:r w:rsidRPr="009C716D">
        <w:t xml:space="preserve"> the time value of money</w:t>
      </w:r>
      <w:r w:rsidR="00544D48">
        <w:t xml:space="preserve"> and other corrections</w:t>
      </w:r>
      <w:r w:rsidRPr="009C716D">
        <w:t xml:space="preserve"> the total</w:t>
      </w:r>
      <w:r w:rsidR="00E30D5F">
        <w:t xml:space="preserve"> amount is $</w:t>
      </w:r>
      <w:r w:rsidR="00544D48">
        <w:t>125 884 026</w:t>
      </w:r>
      <w:r w:rsidR="00E30D5F">
        <w:t xml:space="preserve"> ($2016–</w:t>
      </w:r>
      <w:r w:rsidRPr="009C716D">
        <w:t>1</w:t>
      </w:r>
      <w:r w:rsidR="00E30D5F">
        <w:t>7</w:t>
      </w:r>
      <w:r w:rsidRPr="009C716D">
        <w:t>). E</w:t>
      </w:r>
      <w:r w:rsidR="00FF12CB">
        <w:t>rgon Energy</w:t>
      </w:r>
      <w:r w:rsidRPr="009C716D">
        <w:t xml:space="preserve"> applied to have this amount treated as a positive pass through amount under clause 6.6.1 of the rules.  </w:t>
      </w:r>
    </w:p>
    <w:p w:rsidR="009C716D" w:rsidRPr="009C716D" w:rsidRDefault="009C716D" w:rsidP="009C716D">
      <w:r w:rsidRPr="009C716D">
        <w:t>E</w:t>
      </w:r>
      <w:r w:rsidR="00FF12CB">
        <w:t>rgon Energy</w:t>
      </w:r>
      <w:r w:rsidRPr="009C716D">
        <w:t xml:space="preserve"> proposed the positive pass through amount be incorporated i</w:t>
      </w:r>
      <w:r w:rsidR="00E30D5F">
        <w:t>nto network charges for the 2016–17</w:t>
      </w:r>
      <w:r w:rsidRPr="009C716D">
        <w:t xml:space="preserve"> regulatory year.</w:t>
      </w:r>
      <w:r w:rsidR="00242474">
        <w:rPr>
          <w:rStyle w:val="FootnoteReference"/>
        </w:rPr>
        <w:footnoteReference w:id="8"/>
      </w:r>
      <w:r w:rsidRPr="009C716D">
        <w:t xml:space="preserve"> </w:t>
      </w:r>
    </w:p>
    <w:p w:rsidR="009C716D" w:rsidRDefault="009C716D" w:rsidP="009C716D">
      <w:r w:rsidRPr="009C716D">
        <w:t>The value of E</w:t>
      </w:r>
      <w:r w:rsidR="00FF12CB">
        <w:t>rgon Energy</w:t>
      </w:r>
      <w:r w:rsidRPr="009C716D">
        <w:t>'s SBS payments is subject to verification through the audit of its 201</w:t>
      </w:r>
      <w:r w:rsidR="00E30D5F">
        <w:t>4–15</w:t>
      </w:r>
      <w:r w:rsidRPr="009C716D">
        <w:t xml:space="preserve"> regulatory information notice (RIN). We rely on the audited RIN to verify the inputs to the calculation of the pass through amount.</w:t>
      </w:r>
    </w:p>
    <w:p w:rsidR="009C716D" w:rsidRDefault="009C716D" w:rsidP="009C716D"/>
    <w:p w:rsidR="009C716D" w:rsidRPr="009C716D" w:rsidRDefault="009C716D" w:rsidP="009C716D"/>
    <w:p w:rsidR="009F15F5" w:rsidRDefault="009F15F5">
      <w:pPr>
        <w:spacing w:line="240" w:lineRule="auto"/>
        <w:rPr>
          <w:b/>
          <w:bCs/>
          <w:color w:val="076A92" w:themeColor="text1"/>
          <w:sz w:val="24"/>
          <w:szCs w:val="18"/>
        </w:rPr>
      </w:pPr>
      <w:r>
        <w:br w:type="page"/>
      </w:r>
    </w:p>
    <w:p w:rsidR="00C67A92" w:rsidRDefault="00A73F91" w:rsidP="00A73F91">
      <w:pPr>
        <w:pStyle w:val="Heading1"/>
      </w:pPr>
      <w:bookmarkStart w:id="6" w:name="_Toc438118775"/>
      <w:r>
        <w:lastRenderedPageBreak/>
        <w:t>Assessment approach</w:t>
      </w:r>
      <w:bookmarkEnd w:id="6"/>
    </w:p>
    <w:p w:rsidR="00A73F91" w:rsidRDefault="00F8631C" w:rsidP="00A73F91">
      <w:r>
        <w:t xml:space="preserve">Our discretion in considering a </w:t>
      </w:r>
      <w:r w:rsidR="00A73F91" w:rsidRPr="00A73F91">
        <w:t>pass through application</w:t>
      </w:r>
      <w:r>
        <w:t xml:space="preserve"> is set out in clause 6.6.1(j) of the rules.</w:t>
      </w:r>
    </w:p>
    <w:p w:rsidR="00A73F91" w:rsidRDefault="00A73F91" w:rsidP="00A73F91">
      <w:pPr>
        <w:pStyle w:val="Heading2"/>
      </w:pPr>
      <w:bookmarkStart w:id="7" w:name="_Toc438118776"/>
      <w:r>
        <w:t>Relevant regulatory requirements</w:t>
      </w:r>
      <w:bookmarkEnd w:id="7"/>
    </w:p>
    <w:p w:rsidR="00A73F91" w:rsidRDefault="00A73F91" w:rsidP="00A73F91">
      <w:r w:rsidRPr="00A73F91">
        <w:t xml:space="preserve">The clauses of the rules we had regard to when making our determination are outlined in appendix A. In particular, the relevant factors in clause 6.6.1(j) of the rules we must take into account when making a pass through </w:t>
      </w:r>
      <w:r w:rsidR="00B6026D">
        <w:t>determination are set out below.</w:t>
      </w:r>
    </w:p>
    <w:p w:rsidR="00A73F91" w:rsidRDefault="00E37C85" w:rsidP="00E37C85">
      <w:pPr>
        <w:pStyle w:val="Caption"/>
      </w:pPr>
      <w:r>
        <w:t>Relevant factors</w:t>
      </w:r>
    </w:p>
    <w:p w:rsidR="00E37C85" w:rsidRPr="00E37C85" w:rsidRDefault="00E37C85" w:rsidP="00B53BFB">
      <w:pPr>
        <w:pStyle w:val="BodyText"/>
      </w:pPr>
      <w:r w:rsidRPr="00E37C85">
        <w:t xml:space="preserve">(j) </w:t>
      </w:r>
      <w:r w:rsidRPr="00E37C85">
        <w:tab/>
        <w:t>In making a determination under paragraph (d) or (g) in respect of a Distribution Network Service Provider, the AER must take into account:</w:t>
      </w:r>
    </w:p>
    <w:p w:rsidR="00E37C85" w:rsidRPr="00E37C85" w:rsidRDefault="00E37C85" w:rsidP="00B53BFB">
      <w:pPr>
        <w:pStyle w:val="BodyTextIndent"/>
      </w:pPr>
      <w:r w:rsidRPr="00E37C85">
        <w:t xml:space="preserve">(1)  the matters and proposals set out in any statement given to the AER by the provider under paragraph (c) or (f); and </w:t>
      </w:r>
    </w:p>
    <w:p w:rsidR="00E37C85" w:rsidRPr="00E37C85" w:rsidRDefault="00E37C85" w:rsidP="00B53BFB">
      <w:pPr>
        <w:pStyle w:val="BodyTextIndent"/>
      </w:pPr>
      <w:r w:rsidRPr="00E37C85">
        <w:t xml:space="preserve">(2)  in the case of a positive change event, the increase in costs in the provision of direct control services that, as a result of the positive change event, the provider has incurred and is likely to incur until: </w:t>
      </w:r>
    </w:p>
    <w:p w:rsidR="00E37C85" w:rsidRPr="00E37C85" w:rsidRDefault="00E37C85" w:rsidP="00B53BFB">
      <w:pPr>
        <w:pStyle w:val="NormalIndent"/>
      </w:pPr>
      <w:r w:rsidRPr="00E37C85">
        <w:t xml:space="preserve">(i) </w:t>
      </w:r>
      <w:r w:rsidRPr="00E37C85">
        <w:tab/>
        <w:t xml:space="preserve">unless subparagraph (ii) applies – the end of the regulatory control period in which the positive change event occurred; or </w:t>
      </w:r>
    </w:p>
    <w:p w:rsidR="00E37C85" w:rsidRPr="00E37C85" w:rsidRDefault="00E37C85" w:rsidP="00B53BFB">
      <w:pPr>
        <w:pStyle w:val="NormalIndent"/>
      </w:pPr>
      <w:r w:rsidRPr="00E37C85">
        <w:t>(ii)</w:t>
      </w:r>
      <w:r w:rsidRPr="00E37C85">
        <w:tab/>
        <w:t xml:space="preserve">if the distribution determination for the regulatory control period following that in which the positive change event occurred does not make any allowance for the recovery of that increase in costs – the end of the regulatory control period following that in which the positive change event occurred; and </w:t>
      </w:r>
    </w:p>
    <w:p w:rsidR="00E37C85" w:rsidRPr="00E37C85" w:rsidRDefault="00E37C85" w:rsidP="00B53BFB">
      <w:pPr>
        <w:pStyle w:val="BodyTextIndent"/>
      </w:pPr>
      <w:r w:rsidRPr="00E37C85">
        <w:t xml:space="preserve">(2A)  in the case of a negative change event, the costs in the provision of direct control services that, as a result of the negative change event, the provider has saved and is likely to save until: </w:t>
      </w:r>
    </w:p>
    <w:p w:rsidR="00E37C85" w:rsidRPr="00E37C85" w:rsidRDefault="00E37C85" w:rsidP="00B53BFB">
      <w:pPr>
        <w:pStyle w:val="BodyTextIndent"/>
      </w:pPr>
      <w:r w:rsidRPr="00E37C85">
        <w:t xml:space="preserve">unless subparagraph(ii) applies – the end of the regulatory control period in which the negative change event occurred; or </w:t>
      </w:r>
    </w:p>
    <w:p w:rsidR="00E37C85" w:rsidRPr="00E37C85" w:rsidRDefault="00E37C85" w:rsidP="00B53BFB">
      <w:pPr>
        <w:pStyle w:val="BodyTextIndent"/>
      </w:pPr>
      <w:r w:rsidRPr="00E37C85">
        <w:t xml:space="preserve">if the distribution determination for the regulatory control period following that in which the negative change event occurred does not make any allowance for the pass through of those cost savings to Distribution Network Users – the end of the regulatory control period following that in which the negative change event occurred; and </w:t>
      </w:r>
    </w:p>
    <w:p w:rsidR="00E37C85" w:rsidRPr="00E37C85" w:rsidRDefault="00E37C85" w:rsidP="00B53BFB">
      <w:pPr>
        <w:pStyle w:val="BodyTextIndent"/>
      </w:pPr>
      <w:r w:rsidRPr="00E37C85">
        <w:t xml:space="preserve">(3)  in the case of a positive change event, the efficiency of the provider's decisions and actions in relation to the risk of the positive change event, including whether the provider has failed to take any action that could reasonably be taken to reduce the magnitude of the eligible pass through amount in respect of that positive change event and whether the provider has taken or omitted to take any action where such action or omission has increased the magnitude of the amount in respect of that positive change event; and </w:t>
      </w:r>
    </w:p>
    <w:p w:rsidR="00E37C85" w:rsidRPr="00E37C85" w:rsidRDefault="00E37C85" w:rsidP="00B53BFB">
      <w:pPr>
        <w:pStyle w:val="BodyTextIndent"/>
      </w:pPr>
      <w:r w:rsidRPr="00E37C85">
        <w:lastRenderedPageBreak/>
        <w:t xml:space="preserve">(4) </w:t>
      </w:r>
      <w:r w:rsidRPr="00E37C85">
        <w:tab/>
        <w:t xml:space="preserve">the time cost of money based on the weighted average cost of capital for the provider for the regulatory control period in which the pass through event occurred; and </w:t>
      </w:r>
    </w:p>
    <w:p w:rsidR="00E37C85" w:rsidRPr="00E37C85" w:rsidRDefault="00E37C85" w:rsidP="00B53BFB">
      <w:pPr>
        <w:pStyle w:val="BodyTextIndent"/>
      </w:pPr>
      <w:r w:rsidRPr="00E37C85">
        <w:t xml:space="preserve">(5) </w:t>
      </w:r>
      <w:r w:rsidRPr="00E37C85">
        <w:tab/>
        <w:t xml:space="preserve">the need to ensure that the provider only recovers any actual or likely increment in costs under this paragraph (j) to the extent that such increment is solely as a consequence of a pass through event; and </w:t>
      </w:r>
    </w:p>
    <w:p w:rsidR="00E37C85" w:rsidRPr="00E37C85" w:rsidRDefault="00E37C85" w:rsidP="00B53BFB">
      <w:pPr>
        <w:pStyle w:val="BodyTextIndent"/>
      </w:pPr>
      <w:r w:rsidRPr="00E37C85">
        <w:t xml:space="preserve">(6) </w:t>
      </w:r>
      <w:r w:rsidRPr="00E37C85">
        <w:tab/>
        <w:t xml:space="preserve">in the case of a tax change event, any change in the way another tax is calculated, or the removal or imposition of another tax, which, in the AER's opinion, is complementary to the tax change event concerned; and </w:t>
      </w:r>
    </w:p>
    <w:p w:rsidR="00E37C85" w:rsidRPr="00E37C85" w:rsidRDefault="00E37C85" w:rsidP="00B53BFB">
      <w:pPr>
        <w:pStyle w:val="BodyTextIndent"/>
      </w:pPr>
      <w:r w:rsidRPr="00E37C85">
        <w:t xml:space="preserve">(7) whether the costs of the pass through event have already been factored into the calculation of the provider's annual revenue requirement for the regulatory control period in which the pass through event occurred or will be factored into the calculation of the provider's annual revenue requirement for a subsequent regulatory control period; and </w:t>
      </w:r>
    </w:p>
    <w:p w:rsidR="00E37C85" w:rsidRPr="00E37C85" w:rsidRDefault="00E37C85" w:rsidP="00B53BFB">
      <w:pPr>
        <w:pStyle w:val="BodyTextIndent"/>
      </w:pPr>
      <w:r w:rsidRPr="00E37C85">
        <w:t xml:space="preserve">(7A) the extent to which the costs that the provider has incurred and is likely to incur are the subject of a previous determination made by the AER under this clause 6.6.1; and </w:t>
      </w:r>
    </w:p>
    <w:p w:rsidR="00E37C85" w:rsidRDefault="00E37C85" w:rsidP="00B53BFB">
      <w:pPr>
        <w:pStyle w:val="BodyTextIndent"/>
      </w:pPr>
      <w:r w:rsidRPr="00E37C85">
        <w:t xml:space="preserve">(8) </w:t>
      </w:r>
      <w:r w:rsidRPr="00E37C85">
        <w:tab/>
        <w:t>any other factors that the AER considers relevant.</w:t>
      </w:r>
    </w:p>
    <w:p w:rsidR="00A73F91" w:rsidRDefault="00F031D7" w:rsidP="00F031D7">
      <w:pPr>
        <w:pStyle w:val="Heading2"/>
      </w:pPr>
      <w:bookmarkStart w:id="8" w:name="_Toc438118777"/>
      <w:r>
        <w:t>Assessment approach</w:t>
      </w:r>
      <w:bookmarkEnd w:id="8"/>
    </w:p>
    <w:p w:rsidR="00F031D7" w:rsidRPr="00F031D7" w:rsidRDefault="00F031D7" w:rsidP="00F031D7">
      <w:r w:rsidRPr="00F031D7">
        <w:t>When assessing E</w:t>
      </w:r>
      <w:r w:rsidR="00FF12CB">
        <w:t>rgon Energy</w:t>
      </w:r>
      <w:r w:rsidRPr="00F031D7">
        <w:t>’s po</w:t>
      </w:r>
      <w:r w:rsidR="00B6026D">
        <w:t>sitive pass through application</w:t>
      </w:r>
      <w:r w:rsidRPr="00F031D7">
        <w:t xml:space="preserve"> we must determine whether a ‘positive change event’ occurred. We do this assessment with reference to the rules and our current determination for E</w:t>
      </w:r>
      <w:r w:rsidR="00FF12CB">
        <w:t>rgon Energy</w:t>
      </w:r>
      <w:r w:rsidRPr="00F031D7">
        <w:t xml:space="preserve"> (that defines the pass through events E</w:t>
      </w:r>
      <w:r w:rsidR="00604742">
        <w:t>rgon Energy</w:t>
      </w:r>
      <w:r w:rsidRPr="00F031D7">
        <w:t xml:space="preserve"> can utilise during the regulatory control period). As part of this process we also determine the materiality of the proposed pass through amount. Chapter 10 of the rules defines a positive change event for a DNSP as: </w:t>
      </w:r>
    </w:p>
    <w:p w:rsidR="00F031D7" w:rsidRPr="00F031D7" w:rsidRDefault="00F031D7" w:rsidP="00F031D7">
      <w:pPr>
        <w:pStyle w:val="BodyTextIndent"/>
      </w:pPr>
      <w:r w:rsidRPr="00F031D7">
        <w:t>....a pass through event that materially increases the costs of providing direct control services.</w:t>
      </w:r>
    </w:p>
    <w:p w:rsidR="00F031D7" w:rsidRPr="00F031D7" w:rsidRDefault="00F031D7" w:rsidP="00F031D7">
      <w:r w:rsidRPr="00F031D7">
        <w:t>Once we determine a positive change event occurred we must then determine:</w:t>
      </w:r>
    </w:p>
    <w:p w:rsidR="00F031D7" w:rsidRPr="00F031D7" w:rsidRDefault="00F031D7" w:rsidP="00F031D7">
      <w:pPr>
        <w:pStyle w:val="Bulletpoint"/>
      </w:pPr>
      <w:r w:rsidRPr="00F031D7">
        <w:t>the approved pass through amount; and</w:t>
      </w:r>
    </w:p>
    <w:p w:rsidR="00F031D7" w:rsidRPr="00F031D7" w:rsidRDefault="00F031D7" w:rsidP="00F031D7">
      <w:pPr>
        <w:pStyle w:val="Bulletpoint"/>
      </w:pPr>
      <w:r w:rsidRPr="00F031D7">
        <w:t xml:space="preserve">the amount of that approved pass through amount that should be passed through to distribution network users in each regulatory year during the regulatory control period. </w:t>
      </w:r>
    </w:p>
    <w:p w:rsidR="00A73F91" w:rsidRDefault="00F031D7" w:rsidP="00F031D7">
      <w:r w:rsidRPr="00F031D7">
        <w:t>We make this determination taking into account those factors set out in clause 6.6.1(j) of the rules (quoted above).</w:t>
      </w:r>
    </w:p>
    <w:p w:rsidR="00A73F91" w:rsidRDefault="00F031D7" w:rsidP="00F031D7">
      <w:pPr>
        <w:pStyle w:val="Heading2"/>
      </w:pPr>
      <w:bookmarkStart w:id="9" w:name="_Toc438118778"/>
      <w:r w:rsidRPr="00F031D7">
        <w:t>What we considered in making this determination</w:t>
      </w:r>
      <w:bookmarkEnd w:id="9"/>
    </w:p>
    <w:p w:rsidR="00E077FD" w:rsidRPr="00E077FD" w:rsidRDefault="00E077FD" w:rsidP="00E077FD">
      <w:r w:rsidRPr="00E077FD">
        <w:t>We have made our determination in accordance with clause 6.6.1 of the rules. In forming our determinati</w:t>
      </w:r>
      <w:r w:rsidR="00B6026D">
        <w:t>on</w:t>
      </w:r>
      <w:r w:rsidRPr="00E077FD">
        <w:t xml:space="preserve"> we have:</w:t>
      </w:r>
    </w:p>
    <w:p w:rsidR="00E077FD" w:rsidRPr="00E077FD" w:rsidRDefault="00E077FD" w:rsidP="00E077FD">
      <w:pPr>
        <w:pStyle w:val="Bulletpoint"/>
      </w:pPr>
      <w:r w:rsidRPr="00E077FD">
        <w:t>considered the application and supporting information we received from E</w:t>
      </w:r>
      <w:r w:rsidR="00FF12CB">
        <w:t>rgon Energy</w:t>
      </w:r>
    </w:p>
    <w:p w:rsidR="00A73F91" w:rsidRDefault="00E077FD" w:rsidP="005955CC">
      <w:pPr>
        <w:pStyle w:val="Bulletpoint"/>
      </w:pPr>
      <w:r w:rsidRPr="00E077FD">
        <w:t>undertaken our own analysis to verify the information provided by E</w:t>
      </w:r>
      <w:r w:rsidR="00FF12CB">
        <w:t>rgon Energy</w:t>
      </w:r>
      <w:r w:rsidRPr="00E077FD">
        <w:t>.</w:t>
      </w:r>
    </w:p>
    <w:p w:rsidR="00A73F91" w:rsidRDefault="00CA49FD" w:rsidP="00CA49FD">
      <w:pPr>
        <w:pStyle w:val="Heading1"/>
      </w:pPr>
      <w:bookmarkStart w:id="10" w:name="_Toc438118779"/>
      <w:r>
        <w:lastRenderedPageBreak/>
        <w:t>Reasons for determination</w:t>
      </w:r>
      <w:bookmarkEnd w:id="10"/>
    </w:p>
    <w:p w:rsidR="00A73F91" w:rsidRDefault="00CA49FD" w:rsidP="00A73F91">
      <w:r w:rsidRPr="00CA49FD">
        <w:t>We are satisfied E</w:t>
      </w:r>
      <w:r w:rsidR="00FF12CB">
        <w:t>rgon Energy</w:t>
      </w:r>
      <w:r w:rsidRPr="00CA49FD">
        <w:t>’s pass through application establishe</w:t>
      </w:r>
      <w:r w:rsidR="005C52ED">
        <w:t xml:space="preserve">s </w:t>
      </w:r>
      <w:r w:rsidRPr="00CA49FD">
        <w:t>a pass through event occurred. We consider the direct FiT payments incurred by E</w:t>
      </w:r>
      <w:r w:rsidR="00FF12CB">
        <w:t>rgon Energy</w:t>
      </w:r>
      <w:r w:rsidRPr="00CA49FD">
        <w:t xml:space="preserve"> in 201</w:t>
      </w:r>
      <w:r>
        <w:t>4</w:t>
      </w:r>
      <w:r w:rsidRPr="00CA49FD">
        <w:t>–1</w:t>
      </w:r>
      <w:r>
        <w:t>5</w:t>
      </w:r>
      <w:r w:rsidRPr="00CA49FD">
        <w:t xml:space="preserve"> materially increase </w:t>
      </w:r>
      <w:r w:rsidR="00FF12CB">
        <w:t>Ergon Energy</w:t>
      </w:r>
      <w:r w:rsidRPr="00CA49FD">
        <w:t>’s costs in providing direct control</w:t>
      </w:r>
      <w:r w:rsidR="005C52ED">
        <w:t xml:space="preserve"> services</w:t>
      </w:r>
      <w:r w:rsidRPr="00CA49FD">
        <w:t xml:space="preserve">, as </w:t>
      </w:r>
      <w:r w:rsidR="007A44E0">
        <w:t>defined</w:t>
      </w:r>
      <w:r w:rsidRPr="00CA49FD">
        <w:t xml:space="preserve"> under clause 6.6.1(j)(2) of the rules.</w:t>
      </w:r>
    </w:p>
    <w:p w:rsidR="00CA49FD" w:rsidRDefault="00F94952" w:rsidP="00F94952">
      <w:pPr>
        <w:pStyle w:val="Heading2"/>
      </w:pPr>
      <w:bookmarkStart w:id="11" w:name="_Toc438118780"/>
      <w:r w:rsidRPr="00F94952">
        <w:t>Occurrence of a pass through event</w:t>
      </w:r>
      <w:bookmarkEnd w:id="11"/>
    </w:p>
    <w:p w:rsidR="00CA49FD" w:rsidRDefault="0079470A" w:rsidP="00A73F91">
      <w:r w:rsidRPr="0079470A">
        <w:t xml:space="preserve">Chapter 15 of our </w:t>
      </w:r>
      <w:r w:rsidRPr="005C52ED">
        <w:rPr>
          <w:rStyle w:val="Emphasis"/>
        </w:rPr>
        <w:t>Final Decision: Queensland distribution determination 2010–11 to 2014–15</w:t>
      </w:r>
      <w:r w:rsidRPr="0079470A">
        <w:t>, deals with pass through arrangements. In our determination we regard ‘Feed–in Tariff event’ as a nominated pass through event. A ‘Feed–in Tariff event’ is defined as:</w:t>
      </w:r>
      <w:r>
        <w:rPr>
          <w:rStyle w:val="FootnoteReference"/>
        </w:rPr>
        <w:footnoteReference w:id="9"/>
      </w:r>
    </w:p>
    <w:p w:rsidR="0079470A" w:rsidRPr="0079470A" w:rsidRDefault="0079470A" w:rsidP="0079470A">
      <w:pPr>
        <w:pStyle w:val="Quotes"/>
      </w:pPr>
      <w:r w:rsidRPr="0079470A">
        <w:t>‘a change in the total amount of direct feed–in tariff payments paid by a Qld DNSP in respect of the Qld feed–in tariff scheme. For the purposes of this definition, the change in the amount of the direct tariff payments paid by the DNSP must be calculated as the difference between:</w:t>
      </w:r>
    </w:p>
    <w:p w:rsidR="0079470A" w:rsidRPr="0079470A" w:rsidRDefault="0079470A" w:rsidP="0079470A">
      <w:pPr>
        <w:pStyle w:val="Quotes"/>
      </w:pPr>
      <w:r w:rsidRPr="0079470A">
        <w:t>a)</w:t>
      </w:r>
      <w:r w:rsidRPr="0079470A">
        <w:tab/>
        <w:t>the amount of direct tariff payments paid by the DNSP in each regulatory year of the next regulatory control period, derived from the metered output of generators subject to the scheme and the applicable feed–in tariff rate applying to the metered output; and</w:t>
      </w:r>
    </w:p>
    <w:p w:rsidR="0079470A" w:rsidRPr="0079470A" w:rsidRDefault="0079470A" w:rsidP="0079470A">
      <w:pPr>
        <w:pStyle w:val="Quotes"/>
      </w:pPr>
      <w:r w:rsidRPr="0079470A">
        <w:t>b)</w:t>
      </w:r>
      <w:r w:rsidRPr="0079470A">
        <w:tab/>
        <w:t>the amount of scheme direct tariff payments which were forecast for the purposes of and included in the Qld distribution determination for each regulatory year of the regulatory control period.</w:t>
      </w:r>
    </w:p>
    <w:p w:rsidR="00CA49FD" w:rsidRDefault="0079470A" w:rsidP="0079470A">
      <w:pPr>
        <w:pStyle w:val="Quotes"/>
      </w:pPr>
      <w:r w:rsidRPr="0079470A">
        <w:t>Relevant direct tariff payments under this pass through mechanism are those paid through the operation of the Electricity Act 1994 (Qld), and any amendments to this act.’</w:t>
      </w:r>
    </w:p>
    <w:p w:rsidR="0079470A" w:rsidRDefault="0077081F" w:rsidP="00A73F91">
      <w:r w:rsidRPr="0077081F">
        <w:t>The reference to ’the Qld feed–in tariff scheme’ in the definition above is a reference to the SBS.</w:t>
      </w:r>
    </w:p>
    <w:p w:rsidR="0079470A" w:rsidRDefault="0077081F" w:rsidP="0077081F">
      <w:pPr>
        <w:pStyle w:val="Heading3"/>
      </w:pPr>
      <w:bookmarkStart w:id="12" w:name="_Toc438118781"/>
      <w:r w:rsidRPr="0077081F">
        <w:t>Direct feed-in tariff payments</w:t>
      </w:r>
      <w:bookmarkEnd w:id="12"/>
    </w:p>
    <w:p w:rsidR="0079470A" w:rsidRDefault="0077081F" w:rsidP="00A73F91">
      <w:r>
        <w:t>We are satisfied</w:t>
      </w:r>
      <w:r w:rsidRPr="0077081F">
        <w:t xml:space="preserve"> the direct payments incurred by E</w:t>
      </w:r>
      <w:r w:rsidR="00FF12CB">
        <w:t>rgon Energy</w:t>
      </w:r>
      <w:r w:rsidRPr="0077081F">
        <w:t xml:space="preserve"> in 201</w:t>
      </w:r>
      <w:r>
        <w:t>4–15</w:t>
      </w:r>
      <w:r w:rsidRPr="0077081F">
        <w:t xml:space="preserve">, as set out in its pass through application, arise out of the operation of the SBS. The SBS is established under the </w:t>
      </w:r>
      <w:r w:rsidRPr="0077081F">
        <w:rPr>
          <w:rStyle w:val="Emphasis"/>
        </w:rPr>
        <w:t>Electricity Act 1994 (Qld)</w:t>
      </w:r>
      <w:r w:rsidRPr="0077081F">
        <w:t xml:space="preserve">. This legislation imposes a requirement on DNSPs to allow credit for electricity exported to the grid by small PV generators.  </w:t>
      </w:r>
    </w:p>
    <w:p w:rsidR="0079470A" w:rsidRDefault="0059180C" w:rsidP="0059180C">
      <w:pPr>
        <w:pStyle w:val="Heading3"/>
      </w:pPr>
      <w:bookmarkStart w:id="13" w:name="_Toc438118782"/>
      <w:r>
        <w:t>Materiality</w:t>
      </w:r>
      <w:bookmarkEnd w:id="13"/>
    </w:p>
    <w:p w:rsidR="0059180C" w:rsidRPr="0059180C" w:rsidRDefault="0059180C" w:rsidP="0059180C">
      <w:r w:rsidRPr="0059180C">
        <w:t xml:space="preserve">Chapter 10 of the NER defines a positive change event for a distribution network service provider as: </w:t>
      </w:r>
    </w:p>
    <w:p w:rsidR="0059180C" w:rsidRPr="0059180C" w:rsidRDefault="0059180C" w:rsidP="0059180C">
      <w:pPr>
        <w:pStyle w:val="Quotes"/>
      </w:pPr>
      <w:r w:rsidRPr="0059180C">
        <w:t>a pass through event that materially increases the costs of providing direct control services.</w:t>
      </w:r>
    </w:p>
    <w:p w:rsidR="0059180C" w:rsidRPr="0059180C" w:rsidRDefault="0059180C" w:rsidP="0059180C">
      <w:r w:rsidRPr="0059180C">
        <w:lastRenderedPageBreak/>
        <w:t xml:space="preserve">In our Final Decision: </w:t>
      </w:r>
      <w:r w:rsidRPr="0059180C">
        <w:rPr>
          <w:rStyle w:val="Emphasis"/>
        </w:rPr>
        <w:t>Queensland distribution determination 2010–11 to 2014–15</w:t>
      </w:r>
      <w:r>
        <w:t xml:space="preserve">, we stated </w:t>
      </w:r>
      <w:r w:rsidRPr="0059180C">
        <w:t xml:space="preserve">a pass through event will have a material impact if the costs associated with the event exceed one per cent of the annual smoothed revenue requirement. </w:t>
      </w:r>
    </w:p>
    <w:p w:rsidR="0079470A" w:rsidRDefault="0059180C" w:rsidP="0059180C">
      <w:r w:rsidRPr="0059180C">
        <w:t>However, in our draft determination we stated that a lower materiality threshold may be appropriate for specific nominated pass through events, such as the feed-in tariff pass through event, equivalent to the reasonable costs of assessing the pass through application.  We did not vary our position in our final determination.</w:t>
      </w:r>
    </w:p>
    <w:p w:rsidR="001E6CD0" w:rsidRPr="001E6CD0" w:rsidRDefault="001E6CD0" w:rsidP="001E6CD0">
      <w:r w:rsidRPr="001E6CD0">
        <w:t>Consistent with our final determination, we applied a materiality threshold for a specific nominated event that reflects the administrative costs of assessing the application. That is, the proposed pass through is to be considered material if the pass through amount is greater than the cost of assessing the application. The positive pass through a</w:t>
      </w:r>
      <w:r>
        <w:t>mount of $</w:t>
      </w:r>
      <w:r w:rsidR="004F67E8" w:rsidRPr="004F67E8">
        <w:t xml:space="preserve">125 884 026 </w:t>
      </w:r>
      <w:r>
        <w:t>($2016–</w:t>
      </w:r>
      <w:r w:rsidRPr="001E6CD0">
        <w:t>1</w:t>
      </w:r>
      <w:r>
        <w:t>7</w:t>
      </w:r>
      <w:r w:rsidRPr="001E6CD0">
        <w:t>) proposed by E</w:t>
      </w:r>
      <w:r w:rsidR="00FF12CB">
        <w:t>rgon Energy</w:t>
      </w:r>
      <w:r w:rsidRPr="001E6CD0">
        <w:t xml:space="preserve"> meets this threshold.</w:t>
      </w:r>
    </w:p>
    <w:p w:rsidR="0079470A" w:rsidRDefault="001E6CD0" w:rsidP="001E6CD0">
      <w:r w:rsidRPr="001E6CD0">
        <w:t>We consider the direct FiT payments incurred by E</w:t>
      </w:r>
      <w:r w:rsidR="00FF12CB">
        <w:t>rgon Energy</w:t>
      </w:r>
      <w:r w:rsidRPr="001E6CD0">
        <w:t xml:space="preserve"> under the SBS increased the costs of providing direct control services. This is because the activities E</w:t>
      </w:r>
      <w:r w:rsidR="00FF12CB">
        <w:t>rgon Energy</w:t>
      </w:r>
      <w:r w:rsidRPr="001E6CD0">
        <w:t xml:space="preserve"> undertakes to comply with its obligations under the SBS relate to direct control services as defined in s. 2B of the National Electricity Law. </w:t>
      </w:r>
    </w:p>
    <w:p w:rsidR="002F05E4" w:rsidRPr="002F05E4" w:rsidRDefault="002F05E4" w:rsidP="002F05E4">
      <w:pPr>
        <w:pStyle w:val="Heading3"/>
      </w:pPr>
      <w:bookmarkStart w:id="14" w:name="_Toc438118783"/>
      <w:r w:rsidRPr="002F05E4">
        <w:t>Timing of E</w:t>
      </w:r>
      <w:r w:rsidR="00FF12CB">
        <w:t>rgon Energy</w:t>
      </w:r>
      <w:r w:rsidRPr="002F05E4">
        <w:t>’s application</w:t>
      </w:r>
      <w:bookmarkEnd w:id="14"/>
    </w:p>
    <w:p w:rsidR="002F05E4" w:rsidRPr="002F05E4" w:rsidRDefault="002F05E4" w:rsidP="002F05E4">
      <w:r w:rsidRPr="002F05E4">
        <w:t xml:space="preserve">Clause 6.6.1 of the rules requires DNSPs to submit a pass through application to us within 90 business days of the positive change event occurring. </w:t>
      </w:r>
    </w:p>
    <w:p w:rsidR="002F05E4" w:rsidRPr="002F05E4" w:rsidRDefault="002F05E4" w:rsidP="002F05E4">
      <w:r w:rsidRPr="002F05E4">
        <w:t>We consider the feed-in tariff event occurred at the end of the 201</w:t>
      </w:r>
      <w:r>
        <w:t>4</w:t>
      </w:r>
      <w:r w:rsidRPr="002F05E4">
        <w:t>–1</w:t>
      </w:r>
      <w:r>
        <w:t>5</w:t>
      </w:r>
      <w:r w:rsidRPr="002F05E4">
        <w:t xml:space="preserve"> re</w:t>
      </w:r>
      <w:r>
        <w:t>gulatory year, i.e. 30 June 2015</w:t>
      </w:r>
      <w:r w:rsidRPr="002F05E4">
        <w:t>. This is the date when acc</w:t>
      </w:r>
      <w:r>
        <w:t>ounting journals are closed off</w:t>
      </w:r>
      <w:r w:rsidRPr="002F05E4">
        <w:t xml:space="preserve"> and an over or under recovery for the direct feed-in payment was realised. E</w:t>
      </w:r>
      <w:r w:rsidR="00FF12CB">
        <w:t>rgon Energy</w:t>
      </w:r>
      <w:r w:rsidRPr="002F05E4">
        <w:t xml:space="preserve"> submitted its positive pass</w:t>
      </w:r>
      <w:r>
        <w:t xml:space="preserve"> through application to us on </w:t>
      </w:r>
      <w:r w:rsidR="00FF12CB">
        <w:t>26</w:t>
      </w:r>
      <w:r>
        <w:t xml:space="preserve"> October 2015</w:t>
      </w:r>
      <w:r w:rsidRPr="002F05E4">
        <w:t>, within the 90 business day period.</w:t>
      </w:r>
    </w:p>
    <w:p w:rsidR="0079470A" w:rsidRDefault="002F05E4" w:rsidP="002F05E4">
      <w:r w:rsidRPr="002F05E4">
        <w:t>Also under clause 6.6.1 of the rules, we have 40 business days to consider E</w:t>
      </w:r>
      <w:r w:rsidR="00FF12CB">
        <w:t>rgon Energy</w:t>
      </w:r>
      <w:r w:rsidRPr="002F05E4">
        <w:t>'s pass through application. If, within that time, we have neither extended the time limit nor made our determination, then the pass through would be considered to have been approved at the conclusion of the 40 day period. The amount of the pass through would be as proposed by E</w:t>
      </w:r>
      <w:r w:rsidR="00FF12CB">
        <w:t>rgon Energy</w:t>
      </w:r>
      <w:r w:rsidRPr="002F05E4">
        <w:t>.</w:t>
      </w:r>
    </w:p>
    <w:p w:rsidR="002F05E4" w:rsidRPr="002F05E4" w:rsidRDefault="002F05E4" w:rsidP="002F05E4">
      <w:pPr>
        <w:pStyle w:val="Heading2"/>
      </w:pPr>
      <w:bookmarkStart w:id="15" w:name="_Toc438118784"/>
      <w:r w:rsidRPr="002F05E4">
        <w:t>Assessment of the pass through amount</w:t>
      </w:r>
      <w:bookmarkEnd w:id="15"/>
    </w:p>
    <w:p w:rsidR="002F05E4" w:rsidRPr="002F05E4" w:rsidRDefault="002F05E4" w:rsidP="002F05E4">
      <w:r w:rsidRPr="002F05E4">
        <w:t>In considering E</w:t>
      </w:r>
      <w:r w:rsidR="00FF12CB">
        <w:t>rgon Energy</w:t>
      </w:r>
      <w:r w:rsidRPr="002F05E4">
        <w:t>’s pass through application, we took into account factors in clause 6.6.1(j) of the rules. We discuss each of these factors below.</w:t>
      </w:r>
    </w:p>
    <w:p w:rsidR="002F05E4" w:rsidRPr="002F05E4" w:rsidRDefault="002F05E4" w:rsidP="002F05E4">
      <w:pPr>
        <w:pStyle w:val="Caption"/>
      </w:pPr>
      <w:r w:rsidRPr="002F05E4">
        <w:t>Matters and proposals set out by E</w:t>
      </w:r>
      <w:r w:rsidR="00FF12CB">
        <w:t>rgon Energy</w:t>
      </w:r>
    </w:p>
    <w:p w:rsidR="002F05E4" w:rsidRPr="002F05E4" w:rsidRDefault="002F05E4" w:rsidP="002F05E4">
      <w:r w:rsidRPr="002F05E4">
        <w:t>We reviewed E</w:t>
      </w:r>
      <w:r w:rsidR="00FF12CB">
        <w:t>rgon Energy</w:t>
      </w:r>
      <w:r w:rsidRPr="002F05E4">
        <w:t>’s application and supporting information. We made our determination based on the matters and proposals set out by E</w:t>
      </w:r>
      <w:r w:rsidR="00FF12CB">
        <w:t>rgon Energy</w:t>
      </w:r>
      <w:r w:rsidRPr="002F05E4">
        <w:t>.</w:t>
      </w:r>
    </w:p>
    <w:p w:rsidR="002F05E4" w:rsidRPr="002F05E4" w:rsidRDefault="002F05E4" w:rsidP="002F05E4">
      <w:pPr>
        <w:pStyle w:val="Caption"/>
      </w:pPr>
      <w:r w:rsidRPr="002F05E4">
        <w:t>The increase in costs incurred by E</w:t>
      </w:r>
      <w:r w:rsidR="00813E8B">
        <w:t>rgon Energy</w:t>
      </w:r>
    </w:p>
    <w:p w:rsidR="002F05E4" w:rsidRPr="002F05E4" w:rsidRDefault="002F05E4" w:rsidP="002F05E4">
      <w:r w:rsidRPr="002F05E4">
        <w:lastRenderedPageBreak/>
        <w:t>We substantiated the actual SBS payment values used to calculate the positive pass through amount sought by E</w:t>
      </w:r>
      <w:r w:rsidR="00FF12CB">
        <w:t>rgon Energy</w:t>
      </w:r>
      <w:r w:rsidRPr="002F05E4">
        <w:t xml:space="preserve"> by checking the proposed pass through amount against the FiT payments reported in E</w:t>
      </w:r>
      <w:r w:rsidR="00FF12CB">
        <w:t>rgon Energy</w:t>
      </w:r>
      <w:r w:rsidRPr="002F05E4">
        <w:t>’s</w:t>
      </w:r>
      <w:r w:rsidR="00813E8B">
        <w:t xml:space="preserve"> audited</w:t>
      </w:r>
      <w:r w:rsidRPr="002F05E4">
        <w:t xml:space="preserve"> 201</w:t>
      </w:r>
      <w:r>
        <w:t>4</w:t>
      </w:r>
      <w:r w:rsidRPr="002F05E4">
        <w:t>–1</w:t>
      </w:r>
      <w:r>
        <w:t>5</w:t>
      </w:r>
      <w:r w:rsidRPr="002F05E4">
        <w:t xml:space="preserve"> RIN.</w:t>
      </w:r>
    </w:p>
    <w:p w:rsidR="002F05E4" w:rsidRPr="002F05E4" w:rsidRDefault="002F05E4" w:rsidP="002F05E4">
      <w:pPr>
        <w:pStyle w:val="Caption"/>
      </w:pPr>
      <w:r w:rsidRPr="002F05E4">
        <w:t>Actions to reduce the magnitude of the pass through amount</w:t>
      </w:r>
    </w:p>
    <w:p w:rsidR="002F05E4" w:rsidRPr="002F05E4" w:rsidRDefault="002F05E4" w:rsidP="002F05E4">
      <w:r w:rsidRPr="002F05E4">
        <w:t xml:space="preserve">The SBS is a Queensland Government initiative. It is facilitated through provisions contained in the </w:t>
      </w:r>
      <w:r w:rsidRPr="00C63D6F">
        <w:rPr>
          <w:rStyle w:val="Emphasis"/>
        </w:rPr>
        <w:t>Electricity Act 1994 (Qld)</w:t>
      </w:r>
      <w:r w:rsidRPr="002F05E4">
        <w:t xml:space="preserve"> including a section </w:t>
      </w:r>
      <w:r w:rsidR="00C63D6F">
        <w:t>requiring</w:t>
      </w:r>
      <w:r w:rsidRPr="002F05E4">
        <w:t xml:space="preserve"> DNSPs to allow credit for electricity produced by small PV generators. </w:t>
      </w:r>
      <w:r w:rsidR="00C63D6F">
        <w:t>We consider</w:t>
      </w:r>
      <w:r w:rsidRPr="002F05E4">
        <w:t xml:space="preserve"> the legislative obligations imposed upon E</w:t>
      </w:r>
      <w:r w:rsidR="004874C3">
        <w:t>rgon Energy</w:t>
      </w:r>
      <w:r w:rsidRPr="002F05E4">
        <w:t xml:space="preserve"> mean it is unable to reduce the magnitude of the pas</w:t>
      </w:r>
      <w:r w:rsidR="00C63D6F">
        <w:t>s through amount. On this basis</w:t>
      </w:r>
      <w:r w:rsidRPr="002F05E4">
        <w:t xml:space="preserve"> we consider the event and the pass through amount are not within the control of the company. E</w:t>
      </w:r>
      <w:r w:rsidR="004874C3">
        <w:t>rgon Energy</w:t>
      </w:r>
      <w:r w:rsidRPr="002F05E4">
        <w:t xml:space="preserve"> has no ability to prevent the feed-in tariff </w:t>
      </w:r>
      <w:r w:rsidR="00C63D6F">
        <w:t xml:space="preserve">event from occurring or </w:t>
      </w:r>
      <w:r w:rsidR="00DC5974">
        <w:t xml:space="preserve">to </w:t>
      </w:r>
      <w:r w:rsidR="00C63D6F">
        <w:t>reduce</w:t>
      </w:r>
      <w:r w:rsidRPr="002F05E4">
        <w:t xml:space="preserve"> the magnitude of the pass through amount.</w:t>
      </w:r>
    </w:p>
    <w:p w:rsidR="002F05E4" w:rsidRPr="002F05E4" w:rsidRDefault="002F05E4" w:rsidP="007716C7">
      <w:pPr>
        <w:pStyle w:val="Caption"/>
      </w:pPr>
      <w:r w:rsidRPr="002F05E4">
        <w:t>Time value of money</w:t>
      </w:r>
    </w:p>
    <w:p w:rsidR="002F05E4" w:rsidRPr="002F05E4" w:rsidRDefault="00964373" w:rsidP="002F05E4">
      <w:r>
        <w:t>As specified in c</w:t>
      </w:r>
      <w:r w:rsidR="002F05E4" w:rsidRPr="002F05E4">
        <w:t xml:space="preserve">lause 6.6.1(j)(4) </w:t>
      </w:r>
      <w:r>
        <w:t>we</w:t>
      </w:r>
      <w:r w:rsidR="002F05E4" w:rsidRPr="002F05E4">
        <w:t xml:space="preserve"> take into account the time value of money based on the weighted average cost of capital (WACC) for the provider. In calculating the pass through amount we have made an allowance for the time cost of money. </w:t>
      </w:r>
    </w:p>
    <w:p w:rsidR="007716C7" w:rsidRDefault="002F05E4" w:rsidP="002F05E4">
      <w:r w:rsidRPr="002F05E4">
        <w:t xml:space="preserve">We based the time cost of money </w:t>
      </w:r>
      <w:r w:rsidR="007716C7">
        <w:t xml:space="preserve">firstly </w:t>
      </w:r>
      <w:r w:rsidRPr="002F05E4">
        <w:t xml:space="preserve">upon the WACC </w:t>
      </w:r>
      <w:r w:rsidR="00C53DCC">
        <w:t>for E</w:t>
      </w:r>
      <w:r w:rsidR="004874C3">
        <w:t>rgon Energy</w:t>
      </w:r>
      <w:r w:rsidRPr="002F05E4">
        <w:t xml:space="preserve"> as set out in our </w:t>
      </w:r>
      <w:r w:rsidRPr="007716C7">
        <w:rPr>
          <w:rStyle w:val="Emphasis"/>
        </w:rPr>
        <w:t>Final Decision: Queensland distribution determination 2010–11 to 2014–15</w:t>
      </w:r>
      <w:r w:rsidRPr="002F05E4">
        <w:t>. This is a nominal vanilla WACC of</w:t>
      </w:r>
      <w:r w:rsidR="007716C7">
        <w:t xml:space="preserve"> 9.72</w:t>
      </w:r>
      <w:r w:rsidR="00FB099E">
        <w:t xml:space="preserve"> per cent</w:t>
      </w:r>
      <w:r w:rsidR="007716C7">
        <w:t>.  We applied this WACC for 1</w:t>
      </w:r>
      <w:r w:rsidRPr="002F05E4">
        <w:t xml:space="preserve"> year</w:t>
      </w:r>
      <w:r w:rsidR="007716C7">
        <w:t xml:space="preserve"> representing 201</w:t>
      </w:r>
      <w:r w:rsidR="00C53DCC">
        <w:t>5</w:t>
      </w:r>
      <w:r w:rsidR="007716C7">
        <w:t>–1</w:t>
      </w:r>
      <w:r w:rsidR="00C53DCC">
        <w:t>6</w:t>
      </w:r>
      <w:r w:rsidR="007716C7">
        <w:t xml:space="preserve">. </w:t>
      </w:r>
    </w:p>
    <w:p w:rsidR="002F05E4" w:rsidRPr="002F05E4" w:rsidRDefault="007716C7" w:rsidP="00294127">
      <w:r>
        <w:t>We then applied a second WACC adjustment to inflate the pass through amount to Decembe</w:t>
      </w:r>
      <w:r w:rsidR="00C53DCC">
        <w:t>r 2016 values. This is because</w:t>
      </w:r>
      <w:r w:rsidR="00294127">
        <w:t xml:space="preserve"> t</w:t>
      </w:r>
      <w:r>
        <w:t>he</w:t>
      </w:r>
      <w:r w:rsidR="002F05E4" w:rsidRPr="002F05E4">
        <w:t xml:space="preserve"> revenue will be recouped, on average, halfway through the </w:t>
      </w:r>
      <w:r w:rsidR="00CD05E0">
        <w:t xml:space="preserve">2016–17 </w:t>
      </w:r>
      <w:r w:rsidR="002F05E4" w:rsidRPr="002F05E4">
        <w:t>year when the adjusted pri</w:t>
      </w:r>
      <w:r>
        <w:t>ces apply (i.e. 31 December 2016</w:t>
      </w:r>
      <w:r w:rsidR="002F05E4" w:rsidRPr="002F05E4">
        <w:t xml:space="preserve">). </w:t>
      </w:r>
      <w:r w:rsidR="00294127">
        <w:t xml:space="preserve">This WACC value of </w:t>
      </w:r>
      <w:r w:rsidR="00FB099E">
        <w:t xml:space="preserve">6.01 </w:t>
      </w:r>
      <w:r w:rsidR="00294127">
        <w:t xml:space="preserve">per cent was drawn from our </w:t>
      </w:r>
      <w:r w:rsidR="00294127" w:rsidRPr="00294127">
        <w:rPr>
          <w:rStyle w:val="Emphasis"/>
        </w:rPr>
        <w:t>Final Decision E</w:t>
      </w:r>
      <w:r w:rsidR="004874C3">
        <w:rPr>
          <w:rStyle w:val="Emphasis"/>
        </w:rPr>
        <w:t>rgon Energy</w:t>
      </w:r>
      <w:r w:rsidR="00294127" w:rsidRPr="00294127">
        <w:rPr>
          <w:rStyle w:val="Emphasis"/>
        </w:rPr>
        <w:t xml:space="preserve"> determination 2015−16 to 2019−20</w:t>
      </w:r>
      <w:r w:rsidR="00294127">
        <w:t>.</w:t>
      </w:r>
    </w:p>
    <w:p w:rsidR="002F05E4" w:rsidRPr="002F05E4" w:rsidRDefault="002F05E4" w:rsidP="007716C7">
      <w:pPr>
        <w:pStyle w:val="Caption"/>
      </w:pPr>
      <w:r w:rsidRPr="002F05E4">
        <w:t>Recovery of costs solely a consequence of the pass through event</w:t>
      </w:r>
    </w:p>
    <w:p w:rsidR="002F05E4" w:rsidRPr="002F05E4" w:rsidRDefault="00480F19" w:rsidP="002F05E4">
      <w:r>
        <w:t xml:space="preserve">We consider </w:t>
      </w:r>
      <w:r w:rsidR="002F05E4" w:rsidRPr="002F05E4">
        <w:t>E</w:t>
      </w:r>
      <w:r w:rsidR="00845F2D">
        <w:t>rgon Energy</w:t>
      </w:r>
      <w:r w:rsidR="002F05E4" w:rsidRPr="002F05E4">
        <w:t xml:space="preserve">’s proposed pass through amount only includes incremental costs </w:t>
      </w:r>
      <w:r>
        <w:t>solely attributed to</w:t>
      </w:r>
      <w:r w:rsidR="002F05E4" w:rsidRPr="002F05E4">
        <w:t xml:space="preserve"> direct </w:t>
      </w:r>
      <w:r>
        <w:t>FiT payments it</w:t>
      </w:r>
      <w:r w:rsidR="002F05E4" w:rsidRPr="002F05E4">
        <w:t xml:space="preserve"> incurred. </w:t>
      </w:r>
      <w:r w:rsidR="00D66177">
        <w:t xml:space="preserve">We verified </w:t>
      </w:r>
      <w:r w:rsidR="002F05E4" w:rsidRPr="002F05E4">
        <w:t>E</w:t>
      </w:r>
      <w:r w:rsidR="00845F2D">
        <w:t>rgon Energy</w:t>
      </w:r>
      <w:r w:rsidR="002F05E4" w:rsidRPr="002F05E4">
        <w:t xml:space="preserve">’s direct FiT payments </w:t>
      </w:r>
      <w:r w:rsidR="008056CD">
        <w:t>through its</w:t>
      </w:r>
      <w:r w:rsidR="00D66177">
        <w:t xml:space="preserve"> audited</w:t>
      </w:r>
      <w:r w:rsidR="008056CD">
        <w:t xml:space="preserve"> RIN for 2014</w:t>
      </w:r>
      <w:r w:rsidR="002F05E4" w:rsidRPr="002F05E4">
        <w:t>–1</w:t>
      </w:r>
      <w:r w:rsidR="008056CD">
        <w:t>5</w:t>
      </w:r>
      <w:r w:rsidR="002F05E4" w:rsidRPr="002F05E4">
        <w:t>.</w:t>
      </w:r>
    </w:p>
    <w:p w:rsidR="002F05E4" w:rsidRPr="002F05E4" w:rsidRDefault="002F05E4" w:rsidP="00C7528A">
      <w:pPr>
        <w:pStyle w:val="Caption"/>
      </w:pPr>
      <w:r w:rsidRPr="002F05E4">
        <w:t>Whether the costs have already been factored into E</w:t>
      </w:r>
      <w:r w:rsidR="00604742">
        <w:t>rgon Energy</w:t>
      </w:r>
      <w:r w:rsidRPr="002F05E4">
        <w:t>’s annual revenue requirement</w:t>
      </w:r>
    </w:p>
    <w:p w:rsidR="002F05E4" w:rsidRPr="002F05E4" w:rsidRDefault="002F05E4" w:rsidP="002F05E4">
      <w:r w:rsidRPr="002F05E4">
        <w:t xml:space="preserve">In our </w:t>
      </w:r>
      <w:r w:rsidRPr="00CD05E0">
        <w:rPr>
          <w:rStyle w:val="Emphasis"/>
        </w:rPr>
        <w:t>Final Decision: Queensland distribution determination 2010–11 to 2014–15</w:t>
      </w:r>
      <w:r w:rsidR="00534A00">
        <w:t xml:space="preserve"> </w:t>
      </w:r>
      <w:r w:rsidR="00C7528A">
        <w:t xml:space="preserve">we determined </w:t>
      </w:r>
      <w:r w:rsidRPr="002F05E4">
        <w:t>E</w:t>
      </w:r>
      <w:r w:rsidR="00845F2D">
        <w:t>rgon Energy</w:t>
      </w:r>
      <w:r w:rsidRPr="002F05E4">
        <w:t xml:space="preserve">’s forecast SBS operating expenditure for 2013–14 was $ million ($2009–10). </w:t>
      </w:r>
      <w:r w:rsidR="00C7528A">
        <w:t>This amount relates to</w:t>
      </w:r>
      <w:r w:rsidRPr="002F05E4">
        <w:t xml:space="preserve"> forecast feed-in tariffs for the SBS and does not include administration costs.</w:t>
      </w:r>
    </w:p>
    <w:p w:rsidR="002F05E4" w:rsidRPr="002F05E4" w:rsidRDefault="002F05E4" w:rsidP="002F05E4">
      <w:r w:rsidRPr="002F05E4">
        <w:t>E</w:t>
      </w:r>
      <w:r w:rsidR="00845F2D">
        <w:t>rgon Energy</w:t>
      </w:r>
      <w:r w:rsidRPr="002F05E4">
        <w:t xml:space="preserve">’s application identified the difference between the actual direct FiT payments it incurred and those forecast in our final determination as reflecting the significantly higher than expected take up of the SBS. </w:t>
      </w:r>
    </w:p>
    <w:p w:rsidR="002F05E4" w:rsidRPr="002F05E4" w:rsidRDefault="00691783" w:rsidP="002F05E4">
      <w:r>
        <w:lastRenderedPageBreak/>
        <w:t xml:space="preserve">We agree </w:t>
      </w:r>
      <w:r w:rsidR="002F05E4" w:rsidRPr="002F05E4">
        <w:t xml:space="preserve">we did not provide for the difference between the forecast and actual direct FiT in our </w:t>
      </w:r>
      <w:r w:rsidR="002F05E4" w:rsidRPr="004C40F7">
        <w:rPr>
          <w:rStyle w:val="Emphasis"/>
        </w:rPr>
        <w:t>Final Decision: Queensland distribution determination 2010–11 to 2014–15</w:t>
      </w:r>
      <w:r w:rsidR="002F05E4" w:rsidRPr="002F05E4">
        <w:t xml:space="preserve">. In our </w:t>
      </w:r>
      <w:r w:rsidR="002F05E4" w:rsidRPr="004C40F7">
        <w:rPr>
          <w:rStyle w:val="Emphasis"/>
        </w:rPr>
        <w:t>Draft Queensland distribution determination 2010–11 to 2014–15</w:t>
      </w:r>
      <w:r w:rsidR="002F05E4" w:rsidRPr="002F05E4">
        <w:t xml:space="preserve"> we considered it appropriate for Queensland DNSPs to recover or return to users any difference between forecast and actual direct tariff payments through a nominated pass through event. This was on the basis that the DNSPs may have insufficient historical data to reliably forecast the payments that they will be required to make under the SBS, thereby making the cost impact difficult to forecast.  </w:t>
      </w:r>
    </w:p>
    <w:p w:rsidR="002F05E4" w:rsidRPr="002F05E4" w:rsidRDefault="002F05E4" w:rsidP="004C40F7">
      <w:pPr>
        <w:pStyle w:val="Caption"/>
      </w:pPr>
      <w:r w:rsidRPr="002F05E4">
        <w:t>Extent the costs are subject of a previous determination made under the rules</w:t>
      </w:r>
    </w:p>
    <w:p w:rsidR="002F05E4" w:rsidRDefault="002F05E4" w:rsidP="002F05E4">
      <w:r w:rsidRPr="002F05E4">
        <w:t>We consider E</w:t>
      </w:r>
      <w:r w:rsidR="00845F2D">
        <w:t>rgon Energy</w:t>
      </w:r>
      <w:r w:rsidRPr="002F05E4">
        <w:t xml:space="preserve">’s proposed pass through amount is not part of a previous pass through determination by us under clause 6.6.1 of the rules. </w:t>
      </w:r>
      <w:r w:rsidR="00442257">
        <w:t>We note E</w:t>
      </w:r>
      <w:r w:rsidR="00845F2D">
        <w:t>rgon Energy</w:t>
      </w:r>
      <w:r w:rsidR="00442257">
        <w:t xml:space="preserve"> submitted</w:t>
      </w:r>
      <w:r w:rsidRPr="002F05E4">
        <w:t xml:space="preserve"> pass through applications associated with the occurrence of a feed-in</w:t>
      </w:r>
      <w:r w:rsidR="00442257">
        <w:t xml:space="preserve"> tariff event in 2011, 2012, </w:t>
      </w:r>
      <w:r w:rsidRPr="002F05E4">
        <w:t>2013</w:t>
      </w:r>
      <w:r w:rsidR="00442257">
        <w:t xml:space="preserve"> and 2014</w:t>
      </w:r>
      <w:r w:rsidRPr="002F05E4">
        <w:t>:</w:t>
      </w:r>
    </w:p>
    <w:p w:rsidR="004C5775" w:rsidRPr="004C5775" w:rsidRDefault="004C5775" w:rsidP="005955CC">
      <w:pPr>
        <w:pStyle w:val="Bulletpoint"/>
      </w:pPr>
      <w:r>
        <w:t xml:space="preserve">In December 2011 </w:t>
      </w:r>
      <w:r w:rsidRPr="004C5775">
        <w:t xml:space="preserve">we approved a positive pass through amount of $4 754 512 </w:t>
      </w:r>
      <w:r>
        <w:t xml:space="preserve">to be incorporated in </w:t>
      </w:r>
      <w:r w:rsidRPr="004C5775">
        <w:t xml:space="preserve">distribution charges for 2012–13. </w:t>
      </w:r>
    </w:p>
    <w:p w:rsidR="004C5775" w:rsidRPr="004C5775" w:rsidRDefault="004C5775" w:rsidP="005955CC">
      <w:pPr>
        <w:pStyle w:val="Bulletpoint"/>
      </w:pPr>
      <w:r>
        <w:t>In January 2013</w:t>
      </w:r>
      <w:r w:rsidRPr="004C5775">
        <w:t xml:space="preserve"> we approved a positive pass through amount of $27 808 270 </w:t>
      </w:r>
      <w:r>
        <w:t>to be incorporated in</w:t>
      </w:r>
      <w:r w:rsidRPr="004C5775">
        <w:t xml:space="preserve"> distribution charges for 2013–14. </w:t>
      </w:r>
    </w:p>
    <w:p w:rsidR="004C5775" w:rsidRPr="004C5775" w:rsidRDefault="004C5775" w:rsidP="005955CC">
      <w:pPr>
        <w:pStyle w:val="Bulletpoint"/>
      </w:pPr>
      <w:r>
        <w:t>In January 2014</w:t>
      </w:r>
      <w:r w:rsidRPr="004C5775">
        <w:t xml:space="preserve"> we approved a positive pass through amount of $84</w:t>
      </w:r>
      <w:r>
        <w:t> 020 873 to be incorporated in</w:t>
      </w:r>
      <w:r w:rsidRPr="004C5775">
        <w:t xml:space="preserve"> distribution charges for 2014–15.</w:t>
      </w:r>
    </w:p>
    <w:p w:rsidR="004C5775" w:rsidRPr="004C5775" w:rsidRDefault="004C5775" w:rsidP="005955CC">
      <w:pPr>
        <w:pStyle w:val="Bulletpoint"/>
      </w:pPr>
      <w:r>
        <w:t>In December 2014</w:t>
      </w:r>
      <w:r w:rsidRPr="004C5775">
        <w:t xml:space="preserve"> we approved a positive pa</w:t>
      </w:r>
      <w:r>
        <w:t>ss through amount of $</w:t>
      </w:r>
      <w:r w:rsidRPr="004C5775">
        <w:t>135 031 238</w:t>
      </w:r>
      <w:r>
        <w:t xml:space="preserve"> to be incorporated in distribution charges for 2015–16</w:t>
      </w:r>
      <w:r w:rsidRPr="004C5775">
        <w:t>.</w:t>
      </w:r>
    </w:p>
    <w:p w:rsidR="002F05E4" w:rsidRPr="002F05E4" w:rsidRDefault="002F05E4" w:rsidP="00C24CA9">
      <w:pPr>
        <w:pStyle w:val="Caption"/>
      </w:pPr>
      <w:r w:rsidRPr="002F05E4">
        <w:t>Any other factors we consider relevant</w:t>
      </w:r>
    </w:p>
    <w:p w:rsidR="0079470A" w:rsidRDefault="002F05E4" w:rsidP="002F05E4">
      <w:r w:rsidRPr="002F05E4">
        <w:t>There are no other factors we consider relevant in making our determination on the pass through amount.</w:t>
      </w:r>
    </w:p>
    <w:sectPr w:rsidR="0079470A" w:rsidSect="00E137FB">
      <w:footerReference w:type="even" r:id="rId12"/>
      <w:footerReference w:type="default" r:id="rId13"/>
      <w:footerReference w:type="first" r:id="rId14"/>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A6" w:rsidRDefault="009D6EA6" w:rsidP="004B4412">
      <w:pPr>
        <w:spacing w:before="0"/>
      </w:pPr>
      <w:r>
        <w:separator/>
      </w:r>
    </w:p>
    <w:p w:rsidR="009D6EA6" w:rsidRDefault="009D6EA6"/>
    <w:p w:rsidR="009D6EA6" w:rsidRDefault="009D6EA6"/>
  </w:endnote>
  <w:endnote w:type="continuationSeparator" w:id="0">
    <w:p w:rsidR="009D6EA6" w:rsidRDefault="009D6EA6" w:rsidP="004B4412">
      <w:pPr>
        <w:spacing w:before="0"/>
      </w:pPr>
      <w:r>
        <w:continuationSeparator/>
      </w:r>
    </w:p>
    <w:p w:rsidR="009D6EA6" w:rsidRDefault="009D6EA6"/>
    <w:p w:rsidR="009D6EA6" w:rsidRDefault="009D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1" w:rsidRPr="007A4D1F" w:rsidRDefault="001F1B31"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324263" w:rsidRPr="00324263">
      <w:rPr>
        <w:rFonts w:eastAsia="Arial" w:cs="Times New Roman"/>
        <w:b/>
        <w:bCs/>
        <w:noProof/>
        <w:color w:val="076A92" w:themeColor="text1"/>
        <w:sz w:val="18"/>
        <w:lang w:val="en-US"/>
      </w:rPr>
      <w:t>Final decision</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324263">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1F1B31" w:rsidRDefault="001F1B31"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1" w:rsidRPr="00A91A9E" w:rsidRDefault="001F1B31" w:rsidP="001F1B3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F1B31" w:rsidRDefault="001F1B31"/>
  <w:p w:rsidR="001F1B31" w:rsidRDefault="001F1B3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1" w:rsidRDefault="003E117D" w:rsidP="00CC7F1D">
    <w:pPr>
      <w:pStyle w:val="Footer"/>
      <w:tabs>
        <w:tab w:val="clear" w:pos="9026"/>
        <w:tab w:val="right" w:pos="8505"/>
      </w:tabs>
    </w:pPr>
    <w:r>
      <w:fldChar w:fldCharType="begin"/>
    </w:r>
    <w:r>
      <w:instrText xml:space="preserve"> STYLEREF  "Report Title"  \* MERGEFORMAT </w:instrText>
    </w:r>
    <w:r>
      <w:fldChar w:fldCharType="separate"/>
    </w:r>
    <w:r w:rsidR="00324263" w:rsidRPr="00324263">
      <w:rPr>
        <w:b/>
        <w:bCs/>
        <w:noProof/>
        <w:lang w:val="en-US"/>
      </w:rPr>
      <w:t>Final decision</w:t>
    </w:r>
    <w:r>
      <w:rPr>
        <w:b/>
        <w:bCs/>
        <w:noProof/>
        <w:lang w:val="en-US"/>
      </w:rPr>
      <w:fldChar w:fldCharType="end"/>
    </w:r>
    <w:r w:rsidR="001F1B31">
      <w:tab/>
    </w:r>
    <w:r w:rsidR="001F1B31">
      <w:tab/>
    </w:r>
    <w:r w:rsidR="001F1B31">
      <w:fldChar w:fldCharType="begin"/>
    </w:r>
    <w:r w:rsidR="001F1B31">
      <w:instrText xml:space="preserve"> PAGE   \* MERGEFORMAT </w:instrText>
    </w:r>
    <w:r w:rsidR="001F1B31">
      <w:fldChar w:fldCharType="separate"/>
    </w:r>
    <w:r w:rsidR="00324263">
      <w:rPr>
        <w:noProof/>
      </w:rPr>
      <w:t>12</w:t>
    </w:r>
    <w:r w:rsidR="001F1B31">
      <w:rPr>
        <w:noProof/>
      </w:rPr>
      <w:fldChar w:fldCharType="end"/>
    </w:r>
  </w:p>
  <w:p w:rsidR="001F1B31" w:rsidRDefault="001F1B31"/>
  <w:p w:rsidR="001F1B31" w:rsidRDefault="001F1B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1" w:rsidRDefault="003E117D" w:rsidP="00CC7F1D">
    <w:pPr>
      <w:pStyle w:val="Footer"/>
      <w:tabs>
        <w:tab w:val="clear" w:pos="9026"/>
        <w:tab w:val="right" w:pos="8505"/>
      </w:tabs>
    </w:pPr>
    <w:r>
      <w:fldChar w:fldCharType="begin"/>
    </w:r>
    <w:r>
      <w:instrText xml:space="preserve"> STYLEREF  "Report Title"  \* MERGEFORMAT </w:instrText>
    </w:r>
    <w:r>
      <w:fldChar w:fldCharType="separate"/>
    </w:r>
    <w:r w:rsidRPr="003E117D">
      <w:rPr>
        <w:b/>
        <w:bCs/>
        <w:noProof/>
        <w:lang w:val="en-US"/>
      </w:rPr>
      <w:t>Final decision</w:t>
    </w:r>
    <w:r>
      <w:rPr>
        <w:b/>
        <w:bCs/>
        <w:noProof/>
        <w:lang w:val="en-US"/>
      </w:rPr>
      <w:fldChar w:fldCharType="end"/>
    </w:r>
    <w:r w:rsidR="001F1B31">
      <w:tab/>
    </w:r>
    <w:r w:rsidR="001F1B31">
      <w:tab/>
    </w:r>
    <w:r w:rsidR="001F1B31">
      <w:fldChar w:fldCharType="begin"/>
    </w:r>
    <w:r w:rsidR="001F1B31">
      <w:instrText xml:space="preserve"> PAGE   \* MERGEFORMAT </w:instrText>
    </w:r>
    <w:r w:rsidR="001F1B31">
      <w:fldChar w:fldCharType="separate"/>
    </w:r>
    <w:r>
      <w:rPr>
        <w:noProof/>
      </w:rPr>
      <w:t>1</w:t>
    </w:r>
    <w:r w:rsidR="001F1B31">
      <w:fldChar w:fldCharType="end"/>
    </w:r>
  </w:p>
  <w:p w:rsidR="001F1B31" w:rsidRDefault="001F1B31">
    <w:pPr>
      <w:pStyle w:val="Footer"/>
    </w:pPr>
  </w:p>
  <w:p w:rsidR="001F1B31" w:rsidRDefault="001F1B31"/>
  <w:p w:rsidR="001F1B31" w:rsidRDefault="001F1B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A6" w:rsidRDefault="009D6EA6" w:rsidP="00182906">
      <w:pPr>
        <w:spacing w:before="0"/>
      </w:pPr>
      <w:r>
        <w:separator/>
      </w:r>
    </w:p>
  </w:footnote>
  <w:footnote w:type="continuationSeparator" w:id="0">
    <w:p w:rsidR="009D6EA6" w:rsidRDefault="009D6EA6" w:rsidP="00182906">
      <w:pPr>
        <w:spacing w:before="0"/>
      </w:pPr>
      <w:r>
        <w:continuationSeparator/>
      </w:r>
    </w:p>
  </w:footnote>
  <w:footnote w:type="continuationNotice" w:id="1">
    <w:p w:rsidR="009D6EA6" w:rsidRDefault="009D6EA6">
      <w:pPr>
        <w:spacing w:before="0" w:line="240" w:lineRule="auto"/>
      </w:pPr>
    </w:p>
  </w:footnote>
  <w:footnote w:id="2">
    <w:p w:rsidR="00AA090C" w:rsidRDefault="00AA090C" w:rsidP="00AA090C">
      <w:pPr>
        <w:pStyle w:val="FootnoteText"/>
      </w:pPr>
      <w:r>
        <w:rPr>
          <w:rStyle w:val="FootnoteReference"/>
        </w:rPr>
        <w:footnoteRef/>
      </w:r>
      <w:r>
        <w:t xml:space="preserve"> </w:t>
      </w:r>
      <w:r>
        <w:tab/>
        <w:t xml:space="preserve">AER, </w:t>
      </w:r>
      <w:r w:rsidRPr="008C2321">
        <w:rPr>
          <w:rStyle w:val="Emphasis"/>
        </w:rPr>
        <w:t>Draft Decision:</w:t>
      </w:r>
      <w:r w:rsidRPr="0059180C">
        <w:t xml:space="preserve"> </w:t>
      </w:r>
      <w:r w:rsidRPr="0059180C">
        <w:rPr>
          <w:rStyle w:val="Emphasis"/>
        </w:rPr>
        <w:t>Queensland distribution determination 2010–11 to 2014–15</w:t>
      </w:r>
      <w:r>
        <w:t>, November 2009, p. 339.</w:t>
      </w:r>
    </w:p>
  </w:footnote>
  <w:footnote w:id="3">
    <w:p w:rsidR="001F1B31" w:rsidRDefault="001F1B31" w:rsidP="00F6192E">
      <w:pPr>
        <w:pStyle w:val="FootnoteText"/>
      </w:pPr>
      <w:r>
        <w:rPr>
          <w:rStyle w:val="FootnoteReference"/>
        </w:rPr>
        <w:footnoteRef/>
      </w:r>
      <w:r>
        <w:t xml:space="preserve"> </w:t>
      </w:r>
      <w:r>
        <w:tab/>
        <w:t xml:space="preserve">QCA, </w:t>
      </w:r>
      <w:r w:rsidRPr="00F6192E">
        <w:rPr>
          <w:rStyle w:val="Emphasis"/>
        </w:rPr>
        <w:t>Solar feed-in tariff for regional Queensland for 2015–16</w:t>
      </w:r>
      <w:r>
        <w:t>, June 2015, p. 6.</w:t>
      </w:r>
    </w:p>
  </w:footnote>
  <w:footnote w:id="4">
    <w:p w:rsidR="001F1B31" w:rsidRDefault="001F1B31">
      <w:pPr>
        <w:pStyle w:val="FootnoteText"/>
      </w:pPr>
      <w:r>
        <w:rPr>
          <w:rStyle w:val="FootnoteReference"/>
        </w:rPr>
        <w:footnoteRef/>
      </w:r>
      <w:r>
        <w:t xml:space="preserve"> </w:t>
      </w:r>
      <w:r>
        <w:tab/>
      </w:r>
      <w:r w:rsidRPr="00C45E0B">
        <w:t>E</w:t>
      </w:r>
      <w:r w:rsidR="00AA706A">
        <w:t>rgon Energy</w:t>
      </w:r>
      <w:r w:rsidRPr="00C45E0B">
        <w:t xml:space="preserve">, </w:t>
      </w:r>
      <w:r w:rsidR="00AA706A" w:rsidRPr="005955CC">
        <w:rPr>
          <w:rStyle w:val="Emphasis"/>
        </w:rPr>
        <w:t xml:space="preserve">2014–15 </w:t>
      </w:r>
      <w:r w:rsidRPr="00AA706A">
        <w:rPr>
          <w:rStyle w:val="Emphasis"/>
        </w:rPr>
        <w:t>Pass</w:t>
      </w:r>
      <w:r w:rsidRPr="00C45E0B">
        <w:rPr>
          <w:rStyle w:val="Emphasis"/>
        </w:rPr>
        <w:t xml:space="preserve"> through application – Queensland Solar Bonus Scheme</w:t>
      </w:r>
      <w:r w:rsidRPr="00C45E0B">
        <w:t xml:space="preserve">, </w:t>
      </w:r>
      <w:r w:rsidR="00912353">
        <w:t>October</w:t>
      </w:r>
      <w:r w:rsidRPr="00C45E0B">
        <w:t xml:space="preserve"> 2015</w:t>
      </w:r>
      <w:r w:rsidR="00FF2CE6">
        <w:t>.</w:t>
      </w:r>
    </w:p>
  </w:footnote>
  <w:footnote w:id="5">
    <w:p w:rsidR="00C96D43" w:rsidRDefault="00C96D43">
      <w:pPr>
        <w:pStyle w:val="FootnoteText"/>
      </w:pPr>
      <w:r>
        <w:rPr>
          <w:rStyle w:val="FootnoteReference"/>
        </w:rPr>
        <w:footnoteRef/>
      </w:r>
      <w:r>
        <w:t xml:space="preserve"> </w:t>
      </w:r>
      <w:r>
        <w:tab/>
        <w:t>It is this iteration of the application which we have assessed and reflected in this decision paper.</w:t>
      </w:r>
    </w:p>
  </w:footnote>
  <w:footnote w:id="6">
    <w:p w:rsidR="001F1B31" w:rsidRDefault="001F1B31">
      <w:pPr>
        <w:pStyle w:val="FootnoteText"/>
      </w:pPr>
      <w:r>
        <w:rPr>
          <w:rStyle w:val="FootnoteReference"/>
        </w:rPr>
        <w:footnoteRef/>
      </w:r>
      <w:r>
        <w:t xml:space="preserve"> </w:t>
      </w:r>
      <w:r>
        <w:tab/>
      </w:r>
      <w:r w:rsidRPr="009F15F5">
        <w:t xml:space="preserve">AER, </w:t>
      </w:r>
      <w:r w:rsidRPr="009F15F5">
        <w:rPr>
          <w:rStyle w:val="Emphasis"/>
        </w:rPr>
        <w:t>Final Decision: Queensland distribution determination 2010–11 to 2014–15</w:t>
      </w:r>
      <w:r w:rsidRPr="009F15F5">
        <w:t>, May 2010, p. 184.</w:t>
      </w:r>
    </w:p>
  </w:footnote>
  <w:footnote w:id="7">
    <w:p w:rsidR="001F1B31" w:rsidRDefault="001F1B31">
      <w:pPr>
        <w:pStyle w:val="FootnoteText"/>
      </w:pPr>
      <w:r>
        <w:rPr>
          <w:rStyle w:val="FootnoteReference"/>
        </w:rPr>
        <w:footnoteRef/>
      </w:r>
      <w:r>
        <w:t xml:space="preserve"> </w:t>
      </w:r>
      <w:r>
        <w:tab/>
        <w:t>E</w:t>
      </w:r>
      <w:r w:rsidR="003121B0">
        <w:t>rgon Energy</w:t>
      </w:r>
      <w:r>
        <w:t xml:space="preserve">, </w:t>
      </w:r>
      <w:r w:rsidR="003121B0" w:rsidRPr="005955CC">
        <w:rPr>
          <w:rStyle w:val="Emphasis"/>
        </w:rPr>
        <w:t>2014–15</w:t>
      </w:r>
      <w:r w:rsidR="003121B0">
        <w:t xml:space="preserve"> </w:t>
      </w:r>
      <w:r w:rsidRPr="008E444B">
        <w:rPr>
          <w:rStyle w:val="Emphasis"/>
        </w:rPr>
        <w:t>Pass through application – Queensland Solar Bonus Scheme</w:t>
      </w:r>
      <w:r w:rsidR="003121B0">
        <w:t xml:space="preserve">, October </w:t>
      </w:r>
      <w:r>
        <w:t>2015, p.</w:t>
      </w:r>
      <w:r w:rsidR="003121B0">
        <w:t>4</w:t>
      </w:r>
      <w:r>
        <w:t>.</w:t>
      </w:r>
    </w:p>
  </w:footnote>
  <w:footnote w:id="8">
    <w:p w:rsidR="00242474" w:rsidRDefault="00242474">
      <w:pPr>
        <w:pStyle w:val="FootnoteText"/>
      </w:pPr>
      <w:r>
        <w:rPr>
          <w:rStyle w:val="FootnoteReference"/>
        </w:rPr>
        <w:footnoteRef/>
      </w:r>
      <w:r>
        <w:t xml:space="preserve"> </w:t>
      </w:r>
      <w:r>
        <w:tab/>
        <w:t xml:space="preserve">Ergon Energy, </w:t>
      </w:r>
      <w:r w:rsidRPr="0036083B">
        <w:rPr>
          <w:rStyle w:val="Emphasis"/>
        </w:rPr>
        <w:t>2014–15</w:t>
      </w:r>
      <w:r>
        <w:t xml:space="preserve"> </w:t>
      </w:r>
      <w:r w:rsidRPr="008E444B">
        <w:rPr>
          <w:rStyle w:val="Emphasis"/>
        </w:rPr>
        <w:t>Pass through application – Queensland Solar Bonus Scheme</w:t>
      </w:r>
      <w:r>
        <w:t>, October 2015, p.4.</w:t>
      </w:r>
    </w:p>
  </w:footnote>
  <w:footnote w:id="9">
    <w:p w:rsidR="001F1B31" w:rsidRDefault="001F1B31">
      <w:pPr>
        <w:pStyle w:val="FootnoteText"/>
      </w:pPr>
      <w:r>
        <w:rPr>
          <w:rStyle w:val="FootnoteReference"/>
        </w:rPr>
        <w:footnoteRef/>
      </w:r>
      <w:r>
        <w:t xml:space="preserve"> </w:t>
      </w:r>
      <w:r>
        <w:tab/>
      </w:r>
      <w:r w:rsidRPr="0079470A">
        <w:t xml:space="preserve">AER, </w:t>
      </w:r>
      <w:r w:rsidRPr="0079470A">
        <w:rPr>
          <w:rStyle w:val="Emphasis"/>
        </w:rPr>
        <w:t>Final Decision: Queensland distribution determination 2010–11 to 2014–15</w:t>
      </w:r>
      <w:r w:rsidRPr="0079470A">
        <w:t>, May 2010, p. 311.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XO9XF7B6\Ergon Solar Bonus Scheme pass through 2014-15 - AER decision paper.DOCX"/>
  </w:docVars>
  <w:rsids>
    <w:rsidRoot w:val="00EE3E1C"/>
    <w:rsid w:val="00006F80"/>
    <w:rsid w:val="00021202"/>
    <w:rsid w:val="0002517F"/>
    <w:rsid w:val="0003578C"/>
    <w:rsid w:val="00063247"/>
    <w:rsid w:val="00070F9F"/>
    <w:rsid w:val="0007137B"/>
    <w:rsid w:val="00073463"/>
    <w:rsid w:val="00074341"/>
    <w:rsid w:val="00085663"/>
    <w:rsid w:val="00085EBF"/>
    <w:rsid w:val="000A1823"/>
    <w:rsid w:val="000A6C7B"/>
    <w:rsid w:val="000B390A"/>
    <w:rsid w:val="000B4817"/>
    <w:rsid w:val="000D122C"/>
    <w:rsid w:val="000E1819"/>
    <w:rsid w:val="000E6C72"/>
    <w:rsid w:val="00107CC7"/>
    <w:rsid w:val="00116EB2"/>
    <w:rsid w:val="00124609"/>
    <w:rsid w:val="00130C3C"/>
    <w:rsid w:val="0014573B"/>
    <w:rsid w:val="001573E4"/>
    <w:rsid w:val="00160756"/>
    <w:rsid w:val="00170114"/>
    <w:rsid w:val="0017232E"/>
    <w:rsid w:val="00174102"/>
    <w:rsid w:val="001759C0"/>
    <w:rsid w:val="00180157"/>
    <w:rsid w:val="00182906"/>
    <w:rsid w:val="00185CB9"/>
    <w:rsid w:val="00186F77"/>
    <w:rsid w:val="001926A4"/>
    <w:rsid w:val="00192AD5"/>
    <w:rsid w:val="001A3923"/>
    <w:rsid w:val="001B45A0"/>
    <w:rsid w:val="001B4A80"/>
    <w:rsid w:val="001C5DE4"/>
    <w:rsid w:val="001D055E"/>
    <w:rsid w:val="001E6CD0"/>
    <w:rsid w:val="001F1B31"/>
    <w:rsid w:val="001F492E"/>
    <w:rsid w:val="001F5EC5"/>
    <w:rsid w:val="001F6DA3"/>
    <w:rsid w:val="002010BC"/>
    <w:rsid w:val="00202E03"/>
    <w:rsid w:val="0020492C"/>
    <w:rsid w:val="002061D9"/>
    <w:rsid w:val="00207FDC"/>
    <w:rsid w:val="002241E8"/>
    <w:rsid w:val="00224DB9"/>
    <w:rsid w:val="00233775"/>
    <w:rsid w:val="00242474"/>
    <w:rsid w:val="00251745"/>
    <w:rsid w:val="00253DD9"/>
    <w:rsid w:val="00257FAD"/>
    <w:rsid w:val="00263AC0"/>
    <w:rsid w:val="0026772D"/>
    <w:rsid w:val="00286874"/>
    <w:rsid w:val="00294127"/>
    <w:rsid w:val="00296B65"/>
    <w:rsid w:val="002A267D"/>
    <w:rsid w:val="002A618F"/>
    <w:rsid w:val="002A7DEF"/>
    <w:rsid w:val="002E1BE5"/>
    <w:rsid w:val="002E2BFC"/>
    <w:rsid w:val="002F05E4"/>
    <w:rsid w:val="002F7986"/>
    <w:rsid w:val="00301B40"/>
    <w:rsid w:val="00305CC8"/>
    <w:rsid w:val="00307F6D"/>
    <w:rsid w:val="003121B0"/>
    <w:rsid w:val="003177A2"/>
    <w:rsid w:val="00324263"/>
    <w:rsid w:val="003271B5"/>
    <w:rsid w:val="00327A1E"/>
    <w:rsid w:val="00331264"/>
    <w:rsid w:val="00334C8D"/>
    <w:rsid w:val="00345C88"/>
    <w:rsid w:val="003518B3"/>
    <w:rsid w:val="003846F1"/>
    <w:rsid w:val="003C30DD"/>
    <w:rsid w:val="003E0C78"/>
    <w:rsid w:val="003E117D"/>
    <w:rsid w:val="00432B88"/>
    <w:rsid w:val="00442257"/>
    <w:rsid w:val="00470FFB"/>
    <w:rsid w:val="00480B4B"/>
    <w:rsid w:val="00480F19"/>
    <w:rsid w:val="00485DC4"/>
    <w:rsid w:val="004874C3"/>
    <w:rsid w:val="004A43D1"/>
    <w:rsid w:val="004B4412"/>
    <w:rsid w:val="004C348C"/>
    <w:rsid w:val="004C40F7"/>
    <w:rsid w:val="004C5775"/>
    <w:rsid w:val="004D00B6"/>
    <w:rsid w:val="004D55BA"/>
    <w:rsid w:val="004E1966"/>
    <w:rsid w:val="004E22EC"/>
    <w:rsid w:val="004F2B27"/>
    <w:rsid w:val="004F67E8"/>
    <w:rsid w:val="00530128"/>
    <w:rsid w:val="00532467"/>
    <w:rsid w:val="00534A00"/>
    <w:rsid w:val="00544D48"/>
    <w:rsid w:val="00546120"/>
    <w:rsid w:val="00546DDD"/>
    <w:rsid w:val="0056080A"/>
    <w:rsid w:val="00562632"/>
    <w:rsid w:val="00564A4D"/>
    <w:rsid w:val="00567BA5"/>
    <w:rsid w:val="00571B35"/>
    <w:rsid w:val="00571D57"/>
    <w:rsid w:val="00572DB4"/>
    <w:rsid w:val="00573C9B"/>
    <w:rsid w:val="00577A09"/>
    <w:rsid w:val="005829C2"/>
    <w:rsid w:val="00583CC4"/>
    <w:rsid w:val="00584D8F"/>
    <w:rsid w:val="0059180C"/>
    <w:rsid w:val="005955CC"/>
    <w:rsid w:val="005A404D"/>
    <w:rsid w:val="005B1E3C"/>
    <w:rsid w:val="005C26CC"/>
    <w:rsid w:val="005C4261"/>
    <w:rsid w:val="005C52ED"/>
    <w:rsid w:val="00604742"/>
    <w:rsid w:val="00614529"/>
    <w:rsid w:val="00615C6B"/>
    <w:rsid w:val="00632D6D"/>
    <w:rsid w:val="00642C3E"/>
    <w:rsid w:val="00663DAD"/>
    <w:rsid w:val="00670957"/>
    <w:rsid w:val="00676679"/>
    <w:rsid w:val="00691783"/>
    <w:rsid w:val="00694583"/>
    <w:rsid w:val="006B4CF9"/>
    <w:rsid w:val="006B7AC8"/>
    <w:rsid w:val="006C1FEB"/>
    <w:rsid w:val="006C2380"/>
    <w:rsid w:val="006C2B48"/>
    <w:rsid w:val="006D550F"/>
    <w:rsid w:val="006E47A0"/>
    <w:rsid w:val="00701CAB"/>
    <w:rsid w:val="00707563"/>
    <w:rsid w:val="00710675"/>
    <w:rsid w:val="0072348C"/>
    <w:rsid w:val="00724A37"/>
    <w:rsid w:val="007303C3"/>
    <w:rsid w:val="00743223"/>
    <w:rsid w:val="007466EE"/>
    <w:rsid w:val="00746E01"/>
    <w:rsid w:val="00757BDF"/>
    <w:rsid w:val="007600CD"/>
    <w:rsid w:val="00763E5D"/>
    <w:rsid w:val="00767740"/>
    <w:rsid w:val="0077081F"/>
    <w:rsid w:val="007716C7"/>
    <w:rsid w:val="00777EE6"/>
    <w:rsid w:val="00782EEA"/>
    <w:rsid w:val="0079470A"/>
    <w:rsid w:val="007A44E0"/>
    <w:rsid w:val="007A4D1F"/>
    <w:rsid w:val="007B2C72"/>
    <w:rsid w:val="007C1B59"/>
    <w:rsid w:val="007C1C53"/>
    <w:rsid w:val="007C2EFB"/>
    <w:rsid w:val="007C3CFE"/>
    <w:rsid w:val="007C74BB"/>
    <w:rsid w:val="007E4904"/>
    <w:rsid w:val="007E4CB5"/>
    <w:rsid w:val="007F066B"/>
    <w:rsid w:val="008033C4"/>
    <w:rsid w:val="008056CD"/>
    <w:rsid w:val="00806C88"/>
    <w:rsid w:val="0081034E"/>
    <w:rsid w:val="00813E8B"/>
    <w:rsid w:val="008344F6"/>
    <w:rsid w:val="0083510F"/>
    <w:rsid w:val="00843704"/>
    <w:rsid w:val="00845F2D"/>
    <w:rsid w:val="00851209"/>
    <w:rsid w:val="00854938"/>
    <w:rsid w:val="00867120"/>
    <w:rsid w:val="00875BD6"/>
    <w:rsid w:val="008837AC"/>
    <w:rsid w:val="008A3E3C"/>
    <w:rsid w:val="008A587D"/>
    <w:rsid w:val="008B461E"/>
    <w:rsid w:val="008C5486"/>
    <w:rsid w:val="008D1661"/>
    <w:rsid w:val="008E444B"/>
    <w:rsid w:val="008E7031"/>
    <w:rsid w:val="008F2354"/>
    <w:rsid w:val="00912353"/>
    <w:rsid w:val="009233EE"/>
    <w:rsid w:val="009460AA"/>
    <w:rsid w:val="00951978"/>
    <w:rsid w:val="00964373"/>
    <w:rsid w:val="009661DE"/>
    <w:rsid w:val="009856B7"/>
    <w:rsid w:val="009877FB"/>
    <w:rsid w:val="009A5FC3"/>
    <w:rsid w:val="009B0E19"/>
    <w:rsid w:val="009B74B0"/>
    <w:rsid w:val="009C716D"/>
    <w:rsid w:val="009D0040"/>
    <w:rsid w:val="009D3FC4"/>
    <w:rsid w:val="009D6B46"/>
    <w:rsid w:val="009D6EA6"/>
    <w:rsid w:val="009E0DFB"/>
    <w:rsid w:val="009F15F5"/>
    <w:rsid w:val="009F174E"/>
    <w:rsid w:val="009F4940"/>
    <w:rsid w:val="009F5BA1"/>
    <w:rsid w:val="00A02A88"/>
    <w:rsid w:val="00A0562E"/>
    <w:rsid w:val="00A0726D"/>
    <w:rsid w:val="00A22495"/>
    <w:rsid w:val="00A32FBB"/>
    <w:rsid w:val="00A4478A"/>
    <w:rsid w:val="00A44852"/>
    <w:rsid w:val="00A51CF9"/>
    <w:rsid w:val="00A57D04"/>
    <w:rsid w:val="00A60023"/>
    <w:rsid w:val="00A60A26"/>
    <w:rsid w:val="00A61598"/>
    <w:rsid w:val="00A62645"/>
    <w:rsid w:val="00A73F91"/>
    <w:rsid w:val="00A75077"/>
    <w:rsid w:val="00A84F46"/>
    <w:rsid w:val="00A871F4"/>
    <w:rsid w:val="00AA090C"/>
    <w:rsid w:val="00AA706A"/>
    <w:rsid w:val="00AC1B2C"/>
    <w:rsid w:val="00AC3264"/>
    <w:rsid w:val="00AD585C"/>
    <w:rsid w:val="00AD6AC8"/>
    <w:rsid w:val="00AE1BF1"/>
    <w:rsid w:val="00AF0857"/>
    <w:rsid w:val="00AF0DD2"/>
    <w:rsid w:val="00AF1ED6"/>
    <w:rsid w:val="00B00757"/>
    <w:rsid w:val="00B13048"/>
    <w:rsid w:val="00B1716D"/>
    <w:rsid w:val="00B17A1D"/>
    <w:rsid w:val="00B207A0"/>
    <w:rsid w:val="00B23784"/>
    <w:rsid w:val="00B37E38"/>
    <w:rsid w:val="00B46D3C"/>
    <w:rsid w:val="00B514DD"/>
    <w:rsid w:val="00B522AA"/>
    <w:rsid w:val="00B52AF0"/>
    <w:rsid w:val="00B53BFB"/>
    <w:rsid w:val="00B56E03"/>
    <w:rsid w:val="00B6026D"/>
    <w:rsid w:val="00B8080B"/>
    <w:rsid w:val="00B87C39"/>
    <w:rsid w:val="00B927D8"/>
    <w:rsid w:val="00BA3C98"/>
    <w:rsid w:val="00BA4665"/>
    <w:rsid w:val="00BB2FB2"/>
    <w:rsid w:val="00BB3304"/>
    <w:rsid w:val="00BD3446"/>
    <w:rsid w:val="00BE1F1B"/>
    <w:rsid w:val="00BE47B5"/>
    <w:rsid w:val="00C24CA9"/>
    <w:rsid w:val="00C25FA6"/>
    <w:rsid w:val="00C34114"/>
    <w:rsid w:val="00C43323"/>
    <w:rsid w:val="00C45E0B"/>
    <w:rsid w:val="00C53039"/>
    <w:rsid w:val="00C538A9"/>
    <w:rsid w:val="00C53B5A"/>
    <w:rsid w:val="00C53DCC"/>
    <w:rsid w:val="00C54F5A"/>
    <w:rsid w:val="00C564EB"/>
    <w:rsid w:val="00C569B4"/>
    <w:rsid w:val="00C63D6F"/>
    <w:rsid w:val="00C67A92"/>
    <w:rsid w:val="00C7528A"/>
    <w:rsid w:val="00C838F7"/>
    <w:rsid w:val="00C86679"/>
    <w:rsid w:val="00C96D43"/>
    <w:rsid w:val="00CA489E"/>
    <w:rsid w:val="00CA49FD"/>
    <w:rsid w:val="00CB666B"/>
    <w:rsid w:val="00CC213C"/>
    <w:rsid w:val="00CC7F1D"/>
    <w:rsid w:val="00CD05E0"/>
    <w:rsid w:val="00CF6170"/>
    <w:rsid w:val="00D01CF0"/>
    <w:rsid w:val="00D0442A"/>
    <w:rsid w:val="00D04562"/>
    <w:rsid w:val="00D32302"/>
    <w:rsid w:val="00D53CA2"/>
    <w:rsid w:val="00D61388"/>
    <w:rsid w:val="00D61A54"/>
    <w:rsid w:val="00D61E0C"/>
    <w:rsid w:val="00D64DEA"/>
    <w:rsid w:val="00D66177"/>
    <w:rsid w:val="00D7168E"/>
    <w:rsid w:val="00D71E57"/>
    <w:rsid w:val="00D80893"/>
    <w:rsid w:val="00D81EF4"/>
    <w:rsid w:val="00D92CF1"/>
    <w:rsid w:val="00D92D38"/>
    <w:rsid w:val="00D950F5"/>
    <w:rsid w:val="00DA7ABD"/>
    <w:rsid w:val="00DB0F93"/>
    <w:rsid w:val="00DB1A67"/>
    <w:rsid w:val="00DB1C30"/>
    <w:rsid w:val="00DB5074"/>
    <w:rsid w:val="00DB723B"/>
    <w:rsid w:val="00DC5974"/>
    <w:rsid w:val="00DC7981"/>
    <w:rsid w:val="00DD6B47"/>
    <w:rsid w:val="00DE4335"/>
    <w:rsid w:val="00DE44F9"/>
    <w:rsid w:val="00DE4EFA"/>
    <w:rsid w:val="00DE5520"/>
    <w:rsid w:val="00E04818"/>
    <w:rsid w:val="00E06442"/>
    <w:rsid w:val="00E077FD"/>
    <w:rsid w:val="00E137FB"/>
    <w:rsid w:val="00E16751"/>
    <w:rsid w:val="00E17810"/>
    <w:rsid w:val="00E22820"/>
    <w:rsid w:val="00E236DC"/>
    <w:rsid w:val="00E23993"/>
    <w:rsid w:val="00E25B8C"/>
    <w:rsid w:val="00E30D5F"/>
    <w:rsid w:val="00E3773E"/>
    <w:rsid w:val="00E37C85"/>
    <w:rsid w:val="00E65C85"/>
    <w:rsid w:val="00E66199"/>
    <w:rsid w:val="00E755EC"/>
    <w:rsid w:val="00E7624D"/>
    <w:rsid w:val="00E83822"/>
    <w:rsid w:val="00EA3D42"/>
    <w:rsid w:val="00EA6B1B"/>
    <w:rsid w:val="00EB505D"/>
    <w:rsid w:val="00EC37E1"/>
    <w:rsid w:val="00EC7806"/>
    <w:rsid w:val="00EE28F3"/>
    <w:rsid w:val="00EE3E1C"/>
    <w:rsid w:val="00EF5110"/>
    <w:rsid w:val="00F031D7"/>
    <w:rsid w:val="00F15882"/>
    <w:rsid w:val="00F171E0"/>
    <w:rsid w:val="00F20BD3"/>
    <w:rsid w:val="00F3135A"/>
    <w:rsid w:val="00F373A5"/>
    <w:rsid w:val="00F47559"/>
    <w:rsid w:val="00F6192E"/>
    <w:rsid w:val="00F64C7B"/>
    <w:rsid w:val="00F676DD"/>
    <w:rsid w:val="00F71778"/>
    <w:rsid w:val="00F75A26"/>
    <w:rsid w:val="00F835C9"/>
    <w:rsid w:val="00F83FAD"/>
    <w:rsid w:val="00F8631C"/>
    <w:rsid w:val="00F94952"/>
    <w:rsid w:val="00F952A0"/>
    <w:rsid w:val="00FA3C7F"/>
    <w:rsid w:val="00FA479B"/>
    <w:rsid w:val="00FB099E"/>
    <w:rsid w:val="00FB74E2"/>
    <w:rsid w:val="00FD5614"/>
    <w:rsid w:val="00FE0BE1"/>
    <w:rsid w:val="00FE1DE9"/>
    <w:rsid w:val="00FE39C2"/>
    <w:rsid w:val="00FE3C32"/>
    <w:rsid w:val="00FE42C1"/>
    <w:rsid w:val="00FE64AE"/>
    <w:rsid w:val="00FF12CB"/>
    <w:rsid w:val="00FF2BA8"/>
    <w:rsid w:val="00FF2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B53BFB"/>
    <w:pPr>
      <w:spacing w:after="120" w:line="480" w:lineRule="auto"/>
      <w:ind w:left="283"/>
    </w:pPr>
  </w:style>
  <w:style w:type="character" w:customStyle="1" w:styleId="BodyTextIndent2Char">
    <w:name w:val="Body Text Indent 2 Char"/>
    <w:basedOn w:val="DefaultParagraphFont"/>
    <w:link w:val="BodyTextIndent2"/>
    <w:uiPriority w:val="99"/>
    <w:rsid w:val="00B53BFB"/>
    <w:rPr>
      <w:rFonts w:ascii="Arial" w:hAnsi="Arial"/>
    </w:rPr>
  </w:style>
  <w:style w:type="paragraph" w:styleId="BodyText">
    <w:name w:val="Body Text"/>
    <w:basedOn w:val="Normal"/>
    <w:link w:val="BodyTextChar"/>
    <w:uiPriority w:val="99"/>
    <w:unhideWhenUsed/>
    <w:rsid w:val="00B53BFB"/>
    <w:pPr>
      <w:spacing w:after="120"/>
    </w:pPr>
  </w:style>
  <w:style w:type="character" w:customStyle="1" w:styleId="BodyTextChar">
    <w:name w:val="Body Text Char"/>
    <w:basedOn w:val="DefaultParagraphFont"/>
    <w:link w:val="BodyText"/>
    <w:uiPriority w:val="99"/>
    <w:rsid w:val="00B53BFB"/>
    <w:rPr>
      <w:rFonts w:ascii="Arial" w:hAnsi="Arial"/>
    </w:rPr>
  </w:style>
  <w:style w:type="paragraph" w:styleId="BodyTextIndent3">
    <w:name w:val="Body Text Indent 3"/>
    <w:basedOn w:val="Normal"/>
    <w:link w:val="BodyTextIndent3Char"/>
    <w:uiPriority w:val="99"/>
    <w:unhideWhenUsed/>
    <w:rsid w:val="00B53BFB"/>
    <w:pPr>
      <w:spacing w:after="120"/>
      <w:ind w:left="283"/>
    </w:pPr>
    <w:rPr>
      <w:sz w:val="16"/>
      <w:szCs w:val="16"/>
    </w:rPr>
  </w:style>
  <w:style w:type="character" w:customStyle="1" w:styleId="BodyTextIndent3Char">
    <w:name w:val="Body Text Indent 3 Char"/>
    <w:basedOn w:val="DefaultParagraphFont"/>
    <w:link w:val="BodyTextIndent3"/>
    <w:uiPriority w:val="99"/>
    <w:rsid w:val="00B53BFB"/>
    <w:rPr>
      <w:rFonts w:ascii="Arial" w:hAnsi="Arial"/>
      <w:sz w:val="16"/>
      <w:szCs w:val="16"/>
    </w:rPr>
  </w:style>
  <w:style w:type="paragraph" w:styleId="CommentText">
    <w:name w:val="annotation text"/>
    <w:basedOn w:val="Normal"/>
    <w:link w:val="CommentTextChar"/>
    <w:uiPriority w:val="99"/>
    <w:semiHidden/>
    <w:unhideWhenUsed/>
    <w:rsid w:val="00DA7ABD"/>
    <w:pPr>
      <w:spacing w:line="240" w:lineRule="auto"/>
    </w:pPr>
    <w:rPr>
      <w:sz w:val="20"/>
      <w:szCs w:val="20"/>
    </w:rPr>
  </w:style>
  <w:style w:type="character" w:customStyle="1" w:styleId="CommentTextChar">
    <w:name w:val="Comment Text Char"/>
    <w:basedOn w:val="DefaultParagraphFont"/>
    <w:link w:val="CommentText"/>
    <w:uiPriority w:val="99"/>
    <w:semiHidden/>
    <w:rsid w:val="00DA7A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7ABD"/>
    <w:rPr>
      <w:b/>
      <w:bCs/>
    </w:rPr>
  </w:style>
  <w:style w:type="character" w:customStyle="1" w:styleId="CommentSubjectChar">
    <w:name w:val="Comment Subject Char"/>
    <w:basedOn w:val="CommentTextChar"/>
    <w:link w:val="CommentSubject"/>
    <w:uiPriority w:val="99"/>
    <w:semiHidden/>
    <w:rsid w:val="00DA7AB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B53BFB"/>
    <w:pPr>
      <w:spacing w:after="120" w:line="480" w:lineRule="auto"/>
      <w:ind w:left="283"/>
    </w:pPr>
  </w:style>
  <w:style w:type="character" w:customStyle="1" w:styleId="BodyTextIndent2Char">
    <w:name w:val="Body Text Indent 2 Char"/>
    <w:basedOn w:val="DefaultParagraphFont"/>
    <w:link w:val="BodyTextIndent2"/>
    <w:uiPriority w:val="99"/>
    <w:rsid w:val="00B53BFB"/>
    <w:rPr>
      <w:rFonts w:ascii="Arial" w:hAnsi="Arial"/>
    </w:rPr>
  </w:style>
  <w:style w:type="paragraph" w:styleId="BodyText">
    <w:name w:val="Body Text"/>
    <w:basedOn w:val="Normal"/>
    <w:link w:val="BodyTextChar"/>
    <w:uiPriority w:val="99"/>
    <w:unhideWhenUsed/>
    <w:rsid w:val="00B53BFB"/>
    <w:pPr>
      <w:spacing w:after="120"/>
    </w:pPr>
  </w:style>
  <w:style w:type="character" w:customStyle="1" w:styleId="BodyTextChar">
    <w:name w:val="Body Text Char"/>
    <w:basedOn w:val="DefaultParagraphFont"/>
    <w:link w:val="BodyText"/>
    <w:uiPriority w:val="99"/>
    <w:rsid w:val="00B53BFB"/>
    <w:rPr>
      <w:rFonts w:ascii="Arial" w:hAnsi="Arial"/>
    </w:rPr>
  </w:style>
  <w:style w:type="paragraph" w:styleId="BodyTextIndent3">
    <w:name w:val="Body Text Indent 3"/>
    <w:basedOn w:val="Normal"/>
    <w:link w:val="BodyTextIndent3Char"/>
    <w:uiPriority w:val="99"/>
    <w:unhideWhenUsed/>
    <w:rsid w:val="00B53BFB"/>
    <w:pPr>
      <w:spacing w:after="120"/>
      <w:ind w:left="283"/>
    </w:pPr>
    <w:rPr>
      <w:sz w:val="16"/>
      <w:szCs w:val="16"/>
    </w:rPr>
  </w:style>
  <w:style w:type="character" w:customStyle="1" w:styleId="BodyTextIndent3Char">
    <w:name w:val="Body Text Indent 3 Char"/>
    <w:basedOn w:val="DefaultParagraphFont"/>
    <w:link w:val="BodyTextIndent3"/>
    <w:uiPriority w:val="99"/>
    <w:rsid w:val="00B53BFB"/>
    <w:rPr>
      <w:rFonts w:ascii="Arial" w:hAnsi="Arial"/>
      <w:sz w:val="16"/>
      <w:szCs w:val="16"/>
    </w:rPr>
  </w:style>
  <w:style w:type="paragraph" w:styleId="CommentText">
    <w:name w:val="annotation text"/>
    <w:basedOn w:val="Normal"/>
    <w:link w:val="CommentTextChar"/>
    <w:uiPriority w:val="99"/>
    <w:semiHidden/>
    <w:unhideWhenUsed/>
    <w:rsid w:val="00DA7ABD"/>
    <w:pPr>
      <w:spacing w:line="240" w:lineRule="auto"/>
    </w:pPr>
    <w:rPr>
      <w:sz w:val="20"/>
      <w:szCs w:val="20"/>
    </w:rPr>
  </w:style>
  <w:style w:type="character" w:customStyle="1" w:styleId="CommentTextChar">
    <w:name w:val="Comment Text Char"/>
    <w:basedOn w:val="DefaultParagraphFont"/>
    <w:link w:val="CommentText"/>
    <w:uiPriority w:val="99"/>
    <w:semiHidden/>
    <w:rsid w:val="00DA7A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7ABD"/>
    <w:rPr>
      <w:b/>
      <w:bCs/>
    </w:rPr>
  </w:style>
  <w:style w:type="character" w:customStyle="1" w:styleId="CommentSubjectChar">
    <w:name w:val="Comment Subject Char"/>
    <w:basedOn w:val="CommentTextChar"/>
    <w:link w:val="CommentSubject"/>
    <w:uiPriority w:val="99"/>
    <w:semiHidden/>
    <w:rsid w:val="00DA7AB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64CCD248</Template>
  <TotalTime>0</TotalTime>
  <Pages>15</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2015-12-17T04:23:00Z</dcterms:created>
  <dcterms:modified xsi:type="dcterms:W3CDTF">2015-12-17T04:23:00Z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