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CB0443" w:rsidRPr="00290C63" w:rsidRDefault="00CB0443" w:rsidP="00CB0443">
          <w:r w:rsidRPr="00CB0443">
            <w:rPr>
              <w:noProof/>
              <w:lang w:eastAsia="en-AU"/>
            </w:rPr>
            <w:drawing>
              <wp:anchor distT="0" distB="0" distL="114300" distR="114300" simplePos="0" relativeHeight="251663360" behindDoc="1" locked="0" layoutInCell="1" allowOverlap="1" wp14:anchorId="7BA89EEB" wp14:editId="0EE593E9">
                <wp:simplePos x="0" y="0"/>
                <wp:positionH relativeFrom="column">
                  <wp:posOffset>-1250315</wp:posOffset>
                </wp:positionH>
                <wp:positionV relativeFrom="paragraph">
                  <wp:posOffset>-962024</wp:posOffset>
                </wp:positionV>
                <wp:extent cx="7891780" cy="11220450"/>
                <wp:effectExtent l="0" t="0" r="0" b="0"/>
                <wp:wrapNone/>
                <wp:docPr id="50" name="Picture 50"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91780" cy="11220450"/>
                        </a:xfrm>
                        <a:prstGeom prst="rect">
                          <a:avLst/>
                        </a:prstGeom>
                        <a:noFill/>
                      </pic:spPr>
                    </pic:pic>
                  </a:graphicData>
                </a:graphic>
                <wp14:sizeRelH relativeFrom="page">
                  <wp14:pctWidth>0</wp14:pctWidth>
                </wp14:sizeRelH>
                <wp14:sizeRelV relativeFrom="page">
                  <wp14:pctHeight>0</wp14:pctHeight>
                </wp14:sizeRelV>
              </wp:anchor>
            </w:drawing>
          </w:r>
        </w:p>
        <w:p w:rsidR="00CB0443" w:rsidRDefault="00CB0443" w:rsidP="00CB0443">
          <w:pPr>
            <w:pStyle w:val="ReportSubtitle"/>
          </w:pPr>
        </w:p>
        <w:p w:rsidR="00CB0443" w:rsidRDefault="00CB0443" w:rsidP="00CB0443">
          <w:pPr>
            <w:pStyle w:val="ReportSubtitle"/>
          </w:pPr>
        </w:p>
        <w:p w:rsidR="00CB0443" w:rsidRDefault="00CB0443" w:rsidP="00CB0443">
          <w:pPr>
            <w:pStyle w:val="ReportSubtitle"/>
          </w:pPr>
        </w:p>
        <w:p w:rsidR="00CB0443" w:rsidRDefault="00CB0443" w:rsidP="00CB0443">
          <w:pPr>
            <w:pStyle w:val="ReportSubtitle"/>
          </w:pPr>
        </w:p>
        <w:p w:rsidR="00CB0443" w:rsidRDefault="00CB0443" w:rsidP="00CB0443">
          <w:pPr>
            <w:pStyle w:val="ReportSubtitle"/>
          </w:pPr>
        </w:p>
        <w:p w:rsidR="00CB0443" w:rsidRDefault="005A3BCE" w:rsidP="00D4338A">
          <w:pPr>
            <w:pStyle w:val="ReportSubtitle"/>
          </w:pPr>
          <w:r>
            <w:t>Determination</w:t>
          </w:r>
        </w:p>
        <w:p w:rsidR="005A3BCE" w:rsidRDefault="005A3BCE" w:rsidP="00D4338A">
          <w:pPr>
            <w:pStyle w:val="ReportSubtitle"/>
          </w:pPr>
        </w:p>
        <w:p w:rsidR="00602D86" w:rsidRPr="00602D86" w:rsidRDefault="00602D86" w:rsidP="00602D86">
          <w:pPr>
            <w:pStyle w:val="ReportSubtitle"/>
          </w:pPr>
          <w:r>
            <w:t>Ausgrid</w:t>
          </w:r>
          <w:r w:rsidRPr="00602D86">
            <w:t xml:space="preserve"> cost pass through application </w:t>
          </w:r>
        </w:p>
        <w:p w:rsidR="00602D86" w:rsidRPr="00602D86" w:rsidRDefault="00602D86" w:rsidP="00602D86">
          <w:pPr>
            <w:pStyle w:val="ReportSubtitle"/>
          </w:pPr>
        </w:p>
        <w:p w:rsidR="00CB0443" w:rsidRDefault="00602D86" w:rsidP="00602D86">
          <w:pPr>
            <w:pStyle w:val="ReportSubtitle"/>
          </w:pPr>
          <w:r w:rsidRPr="00602D86">
            <w:t>April 2015 Storms</w:t>
          </w:r>
        </w:p>
        <w:p w:rsidR="00CB0443" w:rsidRPr="00327A1E" w:rsidRDefault="00602D86" w:rsidP="00CB0443">
          <w:pPr>
            <w:pStyle w:val="ReportDate"/>
          </w:pPr>
          <w:r>
            <w:t>December</w:t>
          </w:r>
          <w:r w:rsidR="00CB0443">
            <w:t xml:space="preserve"> 2015</w:t>
          </w:r>
        </w:p>
        <w:p w:rsidR="00CB0443" w:rsidRDefault="00CB0443" w:rsidP="00CB0443">
          <w:pPr>
            <w:pStyle w:val="Copyright"/>
          </w:pPr>
        </w:p>
        <w:p w:rsidR="00CB0443" w:rsidRDefault="00CB0443"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D4338A" w:rsidRDefault="00D4338A" w:rsidP="00CB0443">
          <w:pPr>
            <w:pStyle w:val="Copyright"/>
          </w:pPr>
        </w:p>
        <w:p w:rsidR="00CB0443" w:rsidRDefault="00CB0443" w:rsidP="00CB0443">
          <w:pPr>
            <w:pStyle w:val="Copyright"/>
          </w:pPr>
          <w:r>
            <w:t>© Commonwealth of Australia 2015</w:t>
          </w:r>
        </w:p>
        <w:p w:rsidR="00CB0443" w:rsidRDefault="00CB0443" w:rsidP="00CB0443">
          <w:pPr>
            <w:pStyle w:val="Copyright"/>
          </w:pPr>
          <w:r>
            <w:t>This work is copyright. In addition to any use permitted under the Copyright Act 1968, all material contained within this work is provided under a Creative Commons Attributions 3.0 Australia licence, with the exception of:</w:t>
          </w:r>
        </w:p>
        <w:p w:rsidR="00CB0443" w:rsidRPr="00D4338A" w:rsidRDefault="00CB0443" w:rsidP="00D4338A">
          <w:pPr>
            <w:pStyle w:val="AERbulletlistfirststyle"/>
            <w:rPr>
              <w:rStyle w:val="AERtextsize10"/>
            </w:rPr>
          </w:pPr>
          <w:r w:rsidRPr="00D4338A">
            <w:rPr>
              <w:rStyle w:val="AERtextsize10"/>
            </w:rPr>
            <w:t>the Commonwealth Coat of Arms</w:t>
          </w:r>
        </w:p>
        <w:p w:rsidR="00CB0443" w:rsidRPr="00D4338A" w:rsidRDefault="00CB0443" w:rsidP="00D4338A">
          <w:pPr>
            <w:pStyle w:val="AERbulletlistfirststyle"/>
            <w:rPr>
              <w:rStyle w:val="AERtextsize10"/>
            </w:rPr>
          </w:pPr>
          <w:r w:rsidRPr="00D4338A">
            <w:rPr>
              <w:rStyle w:val="AERtextsize10"/>
            </w:rPr>
            <w:t>the ACCC and AER logos</w:t>
          </w:r>
        </w:p>
        <w:p w:rsidR="00CB0443" w:rsidRPr="00D4338A" w:rsidRDefault="00CB0443" w:rsidP="00D4338A">
          <w:pPr>
            <w:pStyle w:val="AERbulletlistfirststyle"/>
            <w:rPr>
              <w:rStyle w:val="AERtextsize10"/>
            </w:rPr>
          </w:pPr>
          <w:r w:rsidRPr="00D4338A">
            <w:rPr>
              <w:rStyle w:val="AERtextsize10"/>
            </w:rPr>
            <w:t xml:space="preserve">any illustration, </w:t>
          </w:r>
        </w:p>
        <w:p w:rsidR="00CB0443" w:rsidRPr="00D4338A" w:rsidRDefault="00CB0443" w:rsidP="00D4338A">
          <w:pPr>
            <w:pStyle w:val="AERbulletlistfirststyle"/>
            <w:rPr>
              <w:rStyle w:val="AERtextsize10"/>
            </w:rPr>
          </w:pPr>
          <w:r w:rsidRPr="00D4338A">
            <w:rPr>
              <w:rStyle w:val="AERtextsize10"/>
            </w:rPr>
            <w:t>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B0443" w:rsidRDefault="00CB0443" w:rsidP="00CB0443">
          <w:pPr>
            <w:pStyle w:val="Copyright"/>
          </w:pPr>
          <w:r>
            <w:t>Requests and inquiries concerning reproduction and rights should be addressed to the Director, Corporate Communications,</w:t>
          </w:r>
          <w:r>
            <w:br/>
            <w:t xml:space="preserve">Australian Competition and Consumer Commission, </w:t>
          </w:r>
          <w:r>
            <w:br/>
            <w:t>GPO Box 4141, Canberra ACT 2601</w:t>
          </w:r>
          <w:r>
            <w:br/>
            <w:t>or publishing.unit@accc.gov.au.</w:t>
          </w:r>
        </w:p>
        <w:p w:rsidR="00CB0443" w:rsidRDefault="00CB0443" w:rsidP="00CB0443">
          <w:pPr>
            <w:pStyle w:val="Copyright"/>
          </w:pPr>
          <w:r>
            <w:t>Inquiries about this publication should be addressed to:</w:t>
          </w:r>
        </w:p>
        <w:p w:rsidR="00CB0443" w:rsidRDefault="00CB0443" w:rsidP="00CB0443">
          <w:pPr>
            <w:pStyle w:val="Copyright"/>
          </w:pPr>
          <w:r>
            <w:t xml:space="preserve">Australian Energy </w:t>
          </w:r>
          <w:r w:rsidRPr="00F171E0">
            <w:t>Regulator</w:t>
          </w:r>
          <w:r>
            <w:br/>
            <w:t>GPO Box 520</w:t>
          </w:r>
          <w:r>
            <w:br/>
            <w:t>Melbourne  Vic  3001</w:t>
          </w:r>
        </w:p>
        <w:p w:rsidR="00CB0443" w:rsidRDefault="00CB0443" w:rsidP="00CB0443">
          <w:pPr>
            <w:pStyle w:val="Copyright"/>
          </w:pPr>
          <w:r>
            <w:t>Tel: (03) 9290 1444</w:t>
          </w:r>
          <w:r>
            <w:br/>
            <w:t>Fax: (03) 9290 1457</w:t>
          </w:r>
        </w:p>
        <w:p w:rsidR="00CB0443" w:rsidRDefault="00CB0443" w:rsidP="00CB0443">
          <w:pPr>
            <w:rPr>
              <w:rStyle w:val="AERtextsize10"/>
            </w:rPr>
          </w:pPr>
          <w:r w:rsidRPr="00D4338A">
            <w:rPr>
              <w:rStyle w:val="AERtextsize10"/>
            </w:rPr>
            <w:t xml:space="preserve">Email: </w:t>
          </w:r>
          <w:hyperlink r:id="rId11" w:history="1">
            <w:r w:rsidRPr="00D4338A">
              <w:rPr>
                <w:rStyle w:val="AERtextsize10"/>
              </w:rPr>
              <w:t>AERInquiry@aer.gov.au</w:t>
            </w:r>
          </w:hyperlink>
        </w:p>
        <w:p w:rsidR="00CB0443" w:rsidRPr="00A72B34" w:rsidRDefault="00CB0443" w:rsidP="00D4338A">
          <w:pPr>
            <w:pStyle w:val="UnnumberedHeading"/>
            <w:numPr>
              <w:ilvl w:val="0"/>
              <w:numId w:val="23"/>
            </w:numPr>
          </w:pPr>
          <w:bookmarkStart w:id="0" w:name="_Toc436138690"/>
          <w:r>
            <w:lastRenderedPageBreak/>
            <w:t>Contents</w:t>
          </w:r>
          <w:bookmarkEnd w:id="0"/>
        </w:p>
        <w:p w:rsidR="00CB0443" w:rsidRDefault="00CB0443" w:rsidP="00CB0443"/>
        <w:sdt>
          <w:sdtPr>
            <w:id w:val="-396662589"/>
            <w:docPartObj>
              <w:docPartGallery w:val="Table of Contents"/>
              <w:docPartUnique/>
            </w:docPartObj>
          </w:sdtPr>
          <w:sdtEndPr/>
          <w:sdtContent>
            <w:p w:rsidR="00791CB5" w:rsidRDefault="00CB0443">
              <w:pPr>
                <w:pStyle w:val="TOC1"/>
                <w:rPr>
                  <w:rFonts w:asciiTheme="minorHAnsi" w:eastAsiaTheme="minorEastAsia" w:hAnsiTheme="minorHAnsi"/>
                  <w:b w:val="0"/>
                  <w:color w:val="auto"/>
                  <w:sz w:val="22"/>
                  <w:lang w:val="en-AU" w:eastAsia="en-AU"/>
                </w:rPr>
              </w:pPr>
              <w:r w:rsidRPr="00CB0443">
                <w:fldChar w:fldCharType="begin"/>
              </w:r>
              <w:r w:rsidRPr="00CB0443">
                <w:instrText xml:space="preserve"> TOC \o "1-3" \h \z \u \t "Heading 7,1,Heading 8,2,Heading 9,3" </w:instrText>
              </w:r>
              <w:r w:rsidRPr="00CB0443">
                <w:fldChar w:fldCharType="separate"/>
              </w:r>
              <w:hyperlink w:anchor="_Toc436138690" w:history="1">
                <w:r w:rsidR="00791CB5" w:rsidRPr="00AC43C1">
                  <w:rPr>
                    <w:rStyle w:val="Hyperlink"/>
                  </w:rPr>
                  <w:t>Contents</w:t>
                </w:r>
                <w:r w:rsidR="00791CB5">
                  <w:rPr>
                    <w:webHidden/>
                  </w:rPr>
                  <w:tab/>
                </w:r>
                <w:r w:rsidR="00791CB5">
                  <w:rPr>
                    <w:webHidden/>
                  </w:rPr>
                  <w:fldChar w:fldCharType="begin"/>
                </w:r>
                <w:r w:rsidR="00791CB5">
                  <w:rPr>
                    <w:webHidden/>
                  </w:rPr>
                  <w:instrText xml:space="preserve"> PAGEREF _Toc436138690 \h </w:instrText>
                </w:r>
                <w:r w:rsidR="00791CB5">
                  <w:rPr>
                    <w:webHidden/>
                  </w:rPr>
                </w:r>
                <w:r w:rsidR="00791CB5">
                  <w:rPr>
                    <w:webHidden/>
                  </w:rPr>
                  <w:fldChar w:fldCharType="separate"/>
                </w:r>
                <w:r w:rsidR="00D47B05">
                  <w:rPr>
                    <w:webHidden/>
                  </w:rPr>
                  <w:t>3</w:t>
                </w:r>
                <w:r w:rsidR="00791CB5">
                  <w:rPr>
                    <w:webHidden/>
                  </w:rPr>
                  <w:fldChar w:fldCharType="end"/>
                </w:r>
              </w:hyperlink>
            </w:p>
            <w:p w:rsidR="00791CB5" w:rsidRDefault="00D47B05">
              <w:pPr>
                <w:pStyle w:val="TOC1"/>
                <w:rPr>
                  <w:rFonts w:asciiTheme="minorHAnsi" w:eastAsiaTheme="minorEastAsia" w:hAnsiTheme="minorHAnsi"/>
                  <w:b w:val="0"/>
                  <w:color w:val="auto"/>
                  <w:sz w:val="22"/>
                  <w:lang w:val="en-AU" w:eastAsia="en-AU"/>
                </w:rPr>
              </w:pPr>
              <w:hyperlink w:anchor="_Toc436138691" w:history="1">
                <w:r w:rsidR="00791CB5" w:rsidRPr="00AC43C1">
                  <w:rPr>
                    <w:rStyle w:val="Hyperlink"/>
                  </w:rPr>
                  <w:t>Shortened forms</w:t>
                </w:r>
                <w:r w:rsidR="00791CB5">
                  <w:rPr>
                    <w:webHidden/>
                  </w:rPr>
                  <w:tab/>
                </w:r>
                <w:r w:rsidR="00791CB5">
                  <w:rPr>
                    <w:webHidden/>
                  </w:rPr>
                  <w:fldChar w:fldCharType="begin"/>
                </w:r>
                <w:r w:rsidR="00791CB5">
                  <w:rPr>
                    <w:webHidden/>
                  </w:rPr>
                  <w:instrText xml:space="preserve"> PAGEREF _Toc436138691 \h </w:instrText>
                </w:r>
                <w:r w:rsidR="00791CB5">
                  <w:rPr>
                    <w:webHidden/>
                  </w:rPr>
                </w:r>
                <w:r w:rsidR="00791CB5">
                  <w:rPr>
                    <w:webHidden/>
                  </w:rPr>
                  <w:fldChar w:fldCharType="separate"/>
                </w:r>
                <w:r>
                  <w:rPr>
                    <w:webHidden/>
                  </w:rPr>
                  <w:t>4</w:t>
                </w:r>
                <w:r w:rsidR="00791CB5">
                  <w:rPr>
                    <w:webHidden/>
                  </w:rPr>
                  <w:fldChar w:fldCharType="end"/>
                </w:r>
              </w:hyperlink>
            </w:p>
            <w:p w:rsidR="00791CB5" w:rsidRDefault="00D47B05">
              <w:pPr>
                <w:pStyle w:val="TOC1"/>
                <w:rPr>
                  <w:rFonts w:asciiTheme="minorHAnsi" w:eastAsiaTheme="minorEastAsia" w:hAnsiTheme="minorHAnsi"/>
                  <w:b w:val="0"/>
                  <w:color w:val="auto"/>
                  <w:sz w:val="22"/>
                  <w:lang w:val="en-AU" w:eastAsia="en-AU"/>
                </w:rPr>
              </w:pPr>
              <w:hyperlink w:anchor="_Toc436138692" w:history="1">
                <w:r w:rsidR="00791CB5" w:rsidRPr="00AC43C1">
                  <w:rPr>
                    <w:rStyle w:val="Hyperlink"/>
                  </w:rPr>
                  <w:t>1</w:t>
                </w:r>
                <w:r w:rsidR="00791CB5">
                  <w:rPr>
                    <w:rFonts w:asciiTheme="minorHAnsi" w:eastAsiaTheme="minorEastAsia" w:hAnsiTheme="minorHAnsi"/>
                    <w:b w:val="0"/>
                    <w:color w:val="auto"/>
                    <w:sz w:val="22"/>
                    <w:lang w:val="en-AU" w:eastAsia="en-AU"/>
                  </w:rPr>
                  <w:tab/>
                </w:r>
                <w:r w:rsidR="00791CB5" w:rsidRPr="00AC43C1">
                  <w:rPr>
                    <w:rStyle w:val="Hyperlink"/>
                  </w:rPr>
                  <w:t>Overview</w:t>
                </w:r>
                <w:r w:rsidR="00791CB5">
                  <w:rPr>
                    <w:webHidden/>
                  </w:rPr>
                  <w:tab/>
                </w:r>
                <w:r w:rsidR="00791CB5">
                  <w:rPr>
                    <w:webHidden/>
                  </w:rPr>
                  <w:fldChar w:fldCharType="begin"/>
                </w:r>
                <w:r w:rsidR="00791CB5">
                  <w:rPr>
                    <w:webHidden/>
                  </w:rPr>
                  <w:instrText xml:space="preserve"> PAGEREF _Toc436138692 \h </w:instrText>
                </w:r>
                <w:r w:rsidR="00791CB5">
                  <w:rPr>
                    <w:webHidden/>
                  </w:rPr>
                </w:r>
                <w:r w:rsidR="00791CB5">
                  <w:rPr>
                    <w:webHidden/>
                  </w:rPr>
                  <w:fldChar w:fldCharType="separate"/>
                </w:r>
                <w:r>
                  <w:rPr>
                    <w:webHidden/>
                  </w:rPr>
                  <w:t>5</w:t>
                </w:r>
                <w:r w:rsidR="00791CB5">
                  <w:rPr>
                    <w:webHidden/>
                  </w:rPr>
                  <w:fldChar w:fldCharType="end"/>
                </w:r>
              </w:hyperlink>
            </w:p>
            <w:p w:rsidR="00791CB5" w:rsidRDefault="00D47B05">
              <w:pPr>
                <w:pStyle w:val="TOC1"/>
                <w:rPr>
                  <w:rFonts w:asciiTheme="minorHAnsi" w:eastAsiaTheme="minorEastAsia" w:hAnsiTheme="minorHAnsi"/>
                  <w:b w:val="0"/>
                  <w:color w:val="auto"/>
                  <w:sz w:val="22"/>
                  <w:lang w:val="en-AU" w:eastAsia="en-AU"/>
                </w:rPr>
              </w:pPr>
              <w:hyperlink w:anchor="_Toc436138694" w:history="1">
                <w:r w:rsidR="00791CB5" w:rsidRPr="00AC43C1">
                  <w:rPr>
                    <w:rStyle w:val="Hyperlink"/>
                  </w:rPr>
                  <w:t>2</w:t>
                </w:r>
                <w:r w:rsidR="00791CB5">
                  <w:rPr>
                    <w:rFonts w:asciiTheme="minorHAnsi" w:eastAsiaTheme="minorEastAsia" w:hAnsiTheme="minorHAnsi"/>
                    <w:b w:val="0"/>
                    <w:color w:val="auto"/>
                    <w:sz w:val="22"/>
                    <w:lang w:val="en-AU" w:eastAsia="en-AU"/>
                  </w:rPr>
                  <w:tab/>
                </w:r>
                <w:r w:rsidR="00791CB5" w:rsidRPr="00AC43C1">
                  <w:rPr>
                    <w:rStyle w:val="Hyperlink"/>
                  </w:rPr>
                  <w:t>Determination</w:t>
                </w:r>
                <w:r w:rsidR="00791CB5">
                  <w:rPr>
                    <w:webHidden/>
                  </w:rPr>
                  <w:tab/>
                </w:r>
                <w:r w:rsidR="00791CB5">
                  <w:rPr>
                    <w:webHidden/>
                  </w:rPr>
                  <w:fldChar w:fldCharType="begin"/>
                </w:r>
                <w:r w:rsidR="00791CB5">
                  <w:rPr>
                    <w:webHidden/>
                  </w:rPr>
                  <w:instrText xml:space="preserve"> PAGEREF _Toc436138694 \h </w:instrText>
                </w:r>
                <w:r w:rsidR="00791CB5">
                  <w:rPr>
                    <w:webHidden/>
                  </w:rPr>
                </w:r>
                <w:r w:rsidR="00791CB5">
                  <w:rPr>
                    <w:webHidden/>
                  </w:rPr>
                  <w:fldChar w:fldCharType="separate"/>
                </w:r>
                <w:r>
                  <w:rPr>
                    <w:webHidden/>
                  </w:rPr>
                  <w:t>7</w:t>
                </w:r>
                <w:r w:rsidR="00791CB5">
                  <w:rPr>
                    <w:webHidden/>
                  </w:rPr>
                  <w:fldChar w:fldCharType="end"/>
                </w:r>
              </w:hyperlink>
            </w:p>
            <w:p w:rsidR="00791CB5" w:rsidRDefault="00D47B05">
              <w:pPr>
                <w:pStyle w:val="TOC1"/>
                <w:rPr>
                  <w:rFonts w:asciiTheme="minorHAnsi" w:eastAsiaTheme="minorEastAsia" w:hAnsiTheme="minorHAnsi"/>
                  <w:b w:val="0"/>
                  <w:color w:val="auto"/>
                  <w:sz w:val="22"/>
                  <w:lang w:val="en-AU" w:eastAsia="en-AU"/>
                </w:rPr>
              </w:pPr>
              <w:hyperlink w:anchor="_Toc436138695" w:history="1">
                <w:r w:rsidR="00791CB5" w:rsidRPr="00AC43C1">
                  <w:rPr>
                    <w:rStyle w:val="Hyperlink"/>
                  </w:rPr>
                  <w:t>3</w:t>
                </w:r>
                <w:r w:rsidR="00791CB5">
                  <w:rPr>
                    <w:rFonts w:asciiTheme="minorHAnsi" w:eastAsiaTheme="minorEastAsia" w:hAnsiTheme="minorHAnsi"/>
                    <w:b w:val="0"/>
                    <w:color w:val="auto"/>
                    <w:sz w:val="22"/>
                    <w:lang w:val="en-AU" w:eastAsia="en-AU"/>
                  </w:rPr>
                  <w:tab/>
                </w:r>
                <w:r w:rsidR="00791CB5" w:rsidRPr="00AC43C1">
                  <w:rPr>
                    <w:rStyle w:val="Hyperlink"/>
                  </w:rPr>
                  <w:t>Ausgrid's pass through application</w:t>
                </w:r>
                <w:r w:rsidR="00791CB5">
                  <w:rPr>
                    <w:webHidden/>
                  </w:rPr>
                  <w:tab/>
                </w:r>
                <w:r w:rsidR="00791CB5">
                  <w:rPr>
                    <w:webHidden/>
                  </w:rPr>
                  <w:fldChar w:fldCharType="begin"/>
                </w:r>
                <w:r w:rsidR="00791CB5">
                  <w:rPr>
                    <w:webHidden/>
                  </w:rPr>
                  <w:instrText xml:space="preserve"> PAGEREF _Toc436138695 \h </w:instrText>
                </w:r>
                <w:r w:rsidR="00791CB5">
                  <w:rPr>
                    <w:webHidden/>
                  </w:rPr>
                </w:r>
                <w:r w:rsidR="00791CB5">
                  <w:rPr>
                    <w:webHidden/>
                  </w:rPr>
                  <w:fldChar w:fldCharType="separate"/>
                </w:r>
                <w:r>
                  <w:rPr>
                    <w:webHidden/>
                  </w:rPr>
                  <w:t>8</w:t>
                </w:r>
                <w:r w:rsidR="00791CB5">
                  <w:rPr>
                    <w:webHidden/>
                  </w:rPr>
                  <w:fldChar w:fldCharType="end"/>
                </w:r>
              </w:hyperlink>
            </w:p>
            <w:p w:rsidR="00791CB5" w:rsidRDefault="00D47B05">
              <w:pPr>
                <w:pStyle w:val="TOC1"/>
                <w:rPr>
                  <w:rFonts w:asciiTheme="minorHAnsi" w:eastAsiaTheme="minorEastAsia" w:hAnsiTheme="minorHAnsi"/>
                  <w:b w:val="0"/>
                  <w:color w:val="auto"/>
                  <w:sz w:val="22"/>
                  <w:lang w:val="en-AU" w:eastAsia="en-AU"/>
                </w:rPr>
              </w:pPr>
              <w:hyperlink w:anchor="_Toc436138696" w:history="1">
                <w:r w:rsidR="00791CB5" w:rsidRPr="00AC43C1">
                  <w:rPr>
                    <w:rStyle w:val="Hyperlink"/>
                  </w:rPr>
                  <w:t>4</w:t>
                </w:r>
                <w:r w:rsidR="00791CB5">
                  <w:rPr>
                    <w:rFonts w:asciiTheme="minorHAnsi" w:eastAsiaTheme="minorEastAsia" w:hAnsiTheme="minorHAnsi"/>
                    <w:b w:val="0"/>
                    <w:color w:val="auto"/>
                    <w:sz w:val="22"/>
                    <w:lang w:val="en-AU" w:eastAsia="en-AU"/>
                  </w:rPr>
                  <w:tab/>
                </w:r>
                <w:r w:rsidR="00791CB5" w:rsidRPr="00AC43C1">
                  <w:rPr>
                    <w:rStyle w:val="Hyperlink"/>
                  </w:rPr>
                  <w:t>Relevant regulatory requirements</w:t>
                </w:r>
                <w:r w:rsidR="00791CB5">
                  <w:rPr>
                    <w:webHidden/>
                  </w:rPr>
                  <w:tab/>
                </w:r>
                <w:r w:rsidR="00791CB5">
                  <w:rPr>
                    <w:webHidden/>
                  </w:rPr>
                  <w:fldChar w:fldCharType="begin"/>
                </w:r>
                <w:r w:rsidR="00791CB5">
                  <w:rPr>
                    <w:webHidden/>
                  </w:rPr>
                  <w:instrText xml:space="preserve"> PAGEREF _Toc436138696 \h </w:instrText>
                </w:r>
                <w:r w:rsidR="00791CB5">
                  <w:rPr>
                    <w:webHidden/>
                  </w:rPr>
                </w:r>
                <w:r w:rsidR="00791CB5">
                  <w:rPr>
                    <w:webHidden/>
                  </w:rPr>
                  <w:fldChar w:fldCharType="separate"/>
                </w:r>
                <w:r>
                  <w:rPr>
                    <w:webHidden/>
                  </w:rPr>
                  <w:t>9</w:t>
                </w:r>
                <w:r w:rsidR="00791CB5">
                  <w:rPr>
                    <w:webHidden/>
                  </w:rPr>
                  <w:fldChar w:fldCharType="end"/>
                </w:r>
              </w:hyperlink>
            </w:p>
            <w:p w:rsidR="00791CB5" w:rsidRDefault="00D47B05">
              <w:pPr>
                <w:pStyle w:val="TOC2"/>
                <w:rPr>
                  <w:rFonts w:asciiTheme="minorHAnsi" w:eastAsiaTheme="minorEastAsia" w:hAnsiTheme="minorHAnsi"/>
                  <w:b w:val="0"/>
                  <w:color w:val="auto"/>
                  <w:sz w:val="22"/>
                  <w:lang w:eastAsia="en-AU"/>
                </w:rPr>
              </w:pPr>
              <w:hyperlink w:anchor="_Toc436138697" w:history="1">
                <w:r w:rsidR="00791CB5" w:rsidRPr="00AC43C1">
                  <w:rPr>
                    <w:rStyle w:val="Hyperlink"/>
                  </w:rPr>
                  <w:t>4.1</w:t>
                </w:r>
                <w:r w:rsidR="00791CB5">
                  <w:rPr>
                    <w:rFonts w:asciiTheme="minorHAnsi" w:eastAsiaTheme="minorEastAsia" w:hAnsiTheme="minorHAnsi"/>
                    <w:b w:val="0"/>
                    <w:color w:val="auto"/>
                    <w:sz w:val="22"/>
                    <w:lang w:eastAsia="en-AU"/>
                  </w:rPr>
                  <w:tab/>
                </w:r>
                <w:r w:rsidR="00791CB5" w:rsidRPr="00AC43C1">
                  <w:rPr>
                    <w:rStyle w:val="Hyperlink"/>
                  </w:rPr>
                  <w:t>Relevant factors</w:t>
                </w:r>
                <w:r w:rsidR="00791CB5">
                  <w:rPr>
                    <w:webHidden/>
                  </w:rPr>
                  <w:tab/>
                </w:r>
                <w:r w:rsidR="00791CB5">
                  <w:rPr>
                    <w:webHidden/>
                  </w:rPr>
                  <w:fldChar w:fldCharType="begin"/>
                </w:r>
                <w:r w:rsidR="00791CB5">
                  <w:rPr>
                    <w:webHidden/>
                  </w:rPr>
                  <w:instrText xml:space="preserve"> PAGEREF _Toc436138697 \h </w:instrText>
                </w:r>
                <w:r w:rsidR="00791CB5">
                  <w:rPr>
                    <w:webHidden/>
                  </w:rPr>
                </w:r>
                <w:r w:rsidR="00791CB5">
                  <w:rPr>
                    <w:webHidden/>
                  </w:rPr>
                  <w:fldChar w:fldCharType="separate"/>
                </w:r>
                <w:r>
                  <w:rPr>
                    <w:webHidden/>
                  </w:rPr>
                  <w:t>9</w:t>
                </w:r>
                <w:r w:rsidR="00791CB5">
                  <w:rPr>
                    <w:webHidden/>
                  </w:rPr>
                  <w:fldChar w:fldCharType="end"/>
                </w:r>
              </w:hyperlink>
            </w:p>
            <w:p w:rsidR="00791CB5" w:rsidRDefault="00D47B05">
              <w:pPr>
                <w:pStyle w:val="TOC2"/>
                <w:rPr>
                  <w:rFonts w:asciiTheme="minorHAnsi" w:eastAsiaTheme="minorEastAsia" w:hAnsiTheme="minorHAnsi"/>
                  <w:b w:val="0"/>
                  <w:color w:val="auto"/>
                  <w:sz w:val="22"/>
                  <w:lang w:eastAsia="en-AU"/>
                </w:rPr>
              </w:pPr>
              <w:hyperlink w:anchor="_Toc436138698" w:history="1">
                <w:r w:rsidR="00791CB5" w:rsidRPr="00AC43C1">
                  <w:rPr>
                    <w:rStyle w:val="Hyperlink"/>
                  </w:rPr>
                  <w:t>4.2</w:t>
                </w:r>
                <w:r w:rsidR="00791CB5">
                  <w:rPr>
                    <w:rFonts w:asciiTheme="minorHAnsi" w:eastAsiaTheme="minorEastAsia" w:hAnsiTheme="minorHAnsi"/>
                    <w:b w:val="0"/>
                    <w:color w:val="auto"/>
                    <w:sz w:val="22"/>
                    <w:lang w:eastAsia="en-AU"/>
                  </w:rPr>
                  <w:tab/>
                </w:r>
                <w:r w:rsidR="00791CB5" w:rsidRPr="00AC43C1">
                  <w:rPr>
                    <w:rStyle w:val="Hyperlink"/>
                  </w:rPr>
                  <w:t>Assessment approach</w:t>
                </w:r>
                <w:r w:rsidR="00791CB5">
                  <w:rPr>
                    <w:webHidden/>
                  </w:rPr>
                  <w:tab/>
                </w:r>
                <w:r w:rsidR="00791CB5">
                  <w:rPr>
                    <w:webHidden/>
                  </w:rPr>
                  <w:fldChar w:fldCharType="begin"/>
                </w:r>
                <w:r w:rsidR="00791CB5">
                  <w:rPr>
                    <w:webHidden/>
                  </w:rPr>
                  <w:instrText xml:space="preserve"> PAGEREF _Toc436138698 \h </w:instrText>
                </w:r>
                <w:r w:rsidR="00791CB5">
                  <w:rPr>
                    <w:webHidden/>
                  </w:rPr>
                </w:r>
                <w:r w:rsidR="00791CB5">
                  <w:rPr>
                    <w:webHidden/>
                  </w:rPr>
                  <w:fldChar w:fldCharType="separate"/>
                </w:r>
                <w:r>
                  <w:rPr>
                    <w:webHidden/>
                  </w:rPr>
                  <w:t>10</w:t>
                </w:r>
                <w:r w:rsidR="00791CB5">
                  <w:rPr>
                    <w:webHidden/>
                  </w:rPr>
                  <w:fldChar w:fldCharType="end"/>
                </w:r>
              </w:hyperlink>
            </w:p>
            <w:p w:rsidR="00791CB5" w:rsidRDefault="00D47B05">
              <w:pPr>
                <w:pStyle w:val="TOC2"/>
                <w:rPr>
                  <w:rFonts w:asciiTheme="minorHAnsi" w:eastAsiaTheme="minorEastAsia" w:hAnsiTheme="minorHAnsi"/>
                  <w:b w:val="0"/>
                  <w:color w:val="auto"/>
                  <w:sz w:val="22"/>
                  <w:lang w:eastAsia="en-AU"/>
                </w:rPr>
              </w:pPr>
              <w:hyperlink w:anchor="_Toc436138699" w:history="1">
                <w:r w:rsidR="00791CB5" w:rsidRPr="00AC43C1">
                  <w:rPr>
                    <w:rStyle w:val="Hyperlink"/>
                  </w:rPr>
                  <w:t>4.3</w:t>
                </w:r>
                <w:r w:rsidR="00791CB5">
                  <w:rPr>
                    <w:rFonts w:asciiTheme="minorHAnsi" w:eastAsiaTheme="minorEastAsia" w:hAnsiTheme="minorHAnsi"/>
                    <w:b w:val="0"/>
                    <w:color w:val="auto"/>
                    <w:sz w:val="22"/>
                    <w:lang w:eastAsia="en-AU"/>
                  </w:rPr>
                  <w:tab/>
                </w:r>
                <w:r w:rsidR="00791CB5" w:rsidRPr="00AC43C1">
                  <w:rPr>
                    <w:rStyle w:val="Hyperlink"/>
                  </w:rPr>
                  <w:t>What we considered in making this determination</w:t>
                </w:r>
                <w:r w:rsidR="00791CB5">
                  <w:rPr>
                    <w:webHidden/>
                  </w:rPr>
                  <w:tab/>
                </w:r>
                <w:r w:rsidR="00791CB5">
                  <w:rPr>
                    <w:webHidden/>
                  </w:rPr>
                  <w:fldChar w:fldCharType="begin"/>
                </w:r>
                <w:r w:rsidR="00791CB5">
                  <w:rPr>
                    <w:webHidden/>
                  </w:rPr>
                  <w:instrText xml:space="preserve"> PAGEREF _Toc436138699 \h </w:instrText>
                </w:r>
                <w:r w:rsidR="00791CB5">
                  <w:rPr>
                    <w:webHidden/>
                  </w:rPr>
                </w:r>
                <w:r w:rsidR="00791CB5">
                  <w:rPr>
                    <w:webHidden/>
                  </w:rPr>
                  <w:fldChar w:fldCharType="separate"/>
                </w:r>
                <w:r>
                  <w:rPr>
                    <w:webHidden/>
                  </w:rPr>
                  <w:t>10</w:t>
                </w:r>
                <w:r w:rsidR="00791CB5">
                  <w:rPr>
                    <w:webHidden/>
                  </w:rPr>
                  <w:fldChar w:fldCharType="end"/>
                </w:r>
              </w:hyperlink>
            </w:p>
            <w:p w:rsidR="00791CB5" w:rsidRDefault="00D47B05">
              <w:pPr>
                <w:pStyle w:val="TOC1"/>
                <w:rPr>
                  <w:rFonts w:asciiTheme="minorHAnsi" w:eastAsiaTheme="minorEastAsia" w:hAnsiTheme="minorHAnsi"/>
                  <w:b w:val="0"/>
                  <w:color w:val="auto"/>
                  <w:sz w:val="22"/>
                  <w:lang w:val="en-AU" w:eastAsia="en-AU"/>
                </w:rPr>
              </w:pPr>
              <w:hyperlink w:anchor="_Toc436138700" w:history="1">
                <w:r w:rsidR="00791CB5" w:rsidRPr="00AC43C1">
                  <w:rPr>
                    <w:rStyle w:val="Hyperlink"/>
                  </w:rPr>
                  <w:t>5</w:t>
                </w:r>
                <w:r w:rsidR="00791CB5">
                  <w:rPr>
                    <w:rFonts w:asciiTheme="minorHAnsi" w:eastAsiaTheme="minorEastAsia" w:hAnsiTheme="minorHAnsi"/>
                    <w:b w:val="0"/>
                    <w:color w:val="auto"/>
                    <w:sz w:val="22"/>
                    <w:lang w:val="en-AU" w:eastAsia="en-AU"/>
                  </w:rPr>
                  <w:tab/>
                </w:r>
                <w:r w:rsidR="00791CB5" w:rsidRPr="00AC43C1">
                  <w:rPr>
                    <w:rStyle w:val="Hyperlink"/>
                  </w:rPr>
                  <w:t>Reasons for determination</w:t>
                </w:r>
                <w:r w:rsidR="00791CB5">
                  <w:rPr>
                    <w:webHidden/>
                  </w:rPr>
                  <w:tab/>
                </w:r>
                <w:r w:rsidR="00791CB5">
                  <w:rPr>
                    <w:webHidden/>
                  </w:rPr>
                  <w:fldChar w:fldCharType="begin"/>
                </w:r>
                <w:r w:rsidR="00791CB5">
                  <w:rPr>
                    <w:webHidden/>
                  </w:rPr>
                  <w:instrText xml:space="preserve"> PAGEREF _Toc436138700 \h </w:instrText>
                </w:r>
                <w:r w:rsidR="00791CB5">
                  <w:rPr>
                    <w:webHidden/>
                  </w:rPr>
                </w:r>
                <w:r w:rsidR="00791CB5">
                  <w:rPr>
                    <w:webHidden/>
                  </w:rPr>
                  <w:fldChar w:fldCharType="separate"/>
                </w:r>
                <w:r>
                  <w:rPr>
                    <w:webHidden/>
                  </w:rPr>
                  <w:t>11</w:t>
                </w:r>
                <w:r w:rsidR="00791CB5">
                  <w:rPr>
                    <w:webHidden/>
                  </w:rPr>
                  <w:fldChar w:fldCharType="end"/>
                </w:r>
              </w:hyperlink>
            </w:p>
            <w:p w:rsidR="00791CB5" w:rsidRDefault="00D47B05">
              <w:pPr>
                <w:pStyle w:val="TOC2"/>
                <w:rPr>
                  <w:rFonts w:asciiTheme="minorHAnsi" w:eastAsiaTheme="minorEastAsia" w:hAnsiTheme="minorHAnsi"/>
                  <w:b w:val="0"/>
                  <w:color w:val="auto"/>
                  <w:sz w:val="22"/>
                  <w:lang w:eastAsia="en-AU"/>
                </w:rPr>
              </w:pPr>
              <w:hyperlink w:anchor="_Toc436138701" w:history="1">
                <w:r w:rsidR="00791CB5" w:rsidRPr="00AC43C1">
                  <w:rPr>
                    <w:rStyle w:val="Hyperlink"/>
                  </w:rPr>
                  <w:t>5.1</w:t>
                </w:r>
                <w:r w:rsidR="00791CB5">
                  <w:rPr>
                    <w:rFonts w:asciiTheme="minorHAnsi" w:eastAsiaTheme="minorEastAsia" w:hAnsiTheme="minorHAnsi"/>
                    <w:b w:val="0"/>
                    <w:color w:val="auto"/>
                    <w:sz w:val="22"/>
                    <w:lang w:eastAsia="en-AU"/>
                  </w:rPr>
                  <w:tab/>
                </w:r>
                <w:r w:rsidR="00791CB5" w:rsidRPr="00AC43C1">
                  <w:rPr>
                    <w:rStyle w:val="Hyperlink"/>
                  </w:rPr>
                  <w:t>Occurrence of a general nominated pass through event</w:t>
                </w:r>
                <w:r w:rsidR="00791CB5">
                  <w:rPr>
                    <w:webHidden/>
                  </w:rPr>
                  <w:tab/>
                </w:r>
                <w:r w:rsidR="00791CB5">
                  <w:rPr>
                    <w:webHidden/>
                  </w:rPr>
                  <w:fldChar w:fldCharType="begin"/>
                </w:r>
                <w:r w:rsidR="00791CB5">
                  <w:rPr>
                    <w:webHidden/>
                  </w:rPr>
                  <w:instrText xml:space="preserve"> PAGEREF _Toc436138701 \h </w:instrText>
                </w:r>
                <w:r w:rsidR="00791CB5">
                  <w:rPr>
                    <w:webHidden/>
                  </w:rPr>
                </w:r>
                <w:r w:rsidR="00791CB5">
                  <w:rPr>
                    <w:webHidden/>
                  </w:rPr>
                  <w:fldChar w:fldCharType="separate"/>
                </w:r>
                <w:r>
                  <w:rPr>
                    <w:webHidden/>
                  </w:rPr>
                  <w:t>11</w:t>
                </w:r>
                <w:r w:rsidR="00791CB5">
                  <w:rPr>
                    <w:webHidden/>
                  </w:rPr>
                  <w:fldChar w:fldCharType="end"/>
                </w:r>
              </w:hyperlink>
            </w:p>
            <w:p w:rsidR="00791CB5" w:rsidRDefault="00D47B05">
              <w:pPr>
                <w:pStyle w:val="TOC2"/>
                <w:rPr>
                  <w:rFonts w:asciiTheme="minorHAnsi" w:eastAsiaTheme="minorEastAsia" w:hAnsiTheme="minorHAnsi"/>
                  <w:b w:val="0"/>
                  <w:color w:val="auto"/>
                  <w:sz w:val="22"/>
                  <w:lang w:eastAsia="en-AU"/>
                </w:rPr>
              </w:pPr>
              <w:hyperlink w:anchor="_Toc436138706" w:history="1">
                <w:r w:rsidR="00791CB5" w:rsidRPr="00AC43C1">
                  <w:rPr>
                    <w:rStyle w:val="Hyperlink"/>
                  </w:rPr>
                  <w:t>5.2</w:t>
                </w:r>
                <w:r w:rsidR="00791CB5">
                  <w:rPr>
                    <w:rFonts w:asciiTheme="minorHAnsi" w:eastAsiaTheme="minorEastAsia" w:hAnsiTheme="minorHAnsi"/>
                    <w:b w:val="0"/>
                    <w:color w:val="auto"/>
                    <w:sz w:val="22"/>
                    <w:lang w:eastAsia="en-AU"/>
                  </w:rPr>
                  <w:tab/>
                </w:r>
                <w:r w:rsidR="00791CB5" w:rsidRPr="00AC43C1">
                  <w:rPr>
                    <w:rStyle w:val="Hyperlink"/>
                  </w:rPr>
                  <w:t>Assessment of costs likely to be incurred</w:t>
                </w:r>
                <w:r w:rsidR="00791CB5">
                  <w:rPr>
                    <w:webHidden/>
                  </w:rPr>
                  <w:tab/>
                </w:r>
                <w:r w:rsidR="00791CB5">
                  <w:rPr>
                    <w:webHidden/>
                  </w:rPr>
                  <w:fldChar w:fldCharType="begin"/>
                </w:r>
                <w:r w:rsidR="00791CB5">
                  <w:rPr>
                    <w:webHidden/>
                  </w:rPr>
                  <w:instrText xml:space="preserve"> PAGEREF _Toc436138706 \h </w:instrText>
                </w:r>
                <w:r w:rsidR="00791CB5">
                  <w:rPr>
                    <w:webHidden/>
                  </w:rPr>
                </w:r>
                <w:r w:rsidR="00791CB5">
                  <w:rPr>
                    <w:webHidden/>
                  </w:rPr>
                  <w:fldChar w:fldCharType="separate"/>
                </w:r>
                <w:r>
                  <w:rPr>
                    <w:webHidden/>
                  </w:rPr>
                  <w:t>14</w:t>
                </w:r>
                <w:r w:rsidR="00791CB5">
                  <w:rPr>
                    <w:webHidden/>
                  </w:rPr>
                  <w:fldChar w:fldCharType="end"/>
                </w:r>
              </w:hyperlink>
            </w:p>
            <w:p w:rsidR="00791CB5" w:rsidRDefault="00D47B05">
              <w:pPr>
                <w:pStyle w:val="TOC1"/>
                <w:rPr>
                  <w:rFonts w:asciiTheme="minorHAnsi" w:eastAsiaTheme="minorEastAsia" w:hAnsiTheme="minorHAnsi"/>
                  <w:b w:val="0"/>
                  <w:color w:val="auto"/>
                  <w:sz w:val="22"/>
                  <w:lang w:val="en-AU" w:eastAsia="en-AU"/>
                </w:rPr>
              </w:pPr>
              <w:hyperlink w:anchor="_Toc436138709" w:history="1">
                <w:r w:rsidR="00791CB5" w:rsidRPr="00AC43C1">
                  <w:rPr>
                    <w:rStyle w:val="Hyperlink"/>
                  </w:rPr>
                  <w:t>A</w:t>
                </w:r>
                <w:r w:rsidR="00791CB5">
                  <w:rPr>
                    <w:rFonts w:asciiTheme="minorHAnsi" w:eastAsiaTheme="minorEastAsia" w:hAnsiTheme="minorHAnsi"/>
                    <w:b w:val="0"/>
                    <w:color w:val="auto"/>
                    <w:sz w:val="22"/>
                    <w:lang w:val="en-AU" w:eastAsia="en-AU"/>
                  </w:rPr>
                  <w:tab/>
                </w:r>
                <w:r w:rsidR="00791CB5" w:rsidRPr="00AC43C1">
                  <w:rPr>
                    <w:rStyle w:val="Hyperlink"/>
                  </w:rPr>
                  <w:t>Excerpts from the NER</w:t>
                </w:r>
                <w:r w:rsidR="00791CB5">
                  <w:rPr>
                    <w:webHidden/>
                  </w:rPr>
                  <w:tab/>
                </w:r>
                <w:r w:rsidR="00791CB5">
                  <w:rPr>
                    <w:webHidden/>
                  </w:rPr>
                  <w:fldChar w:fldCharType="begin"/>
                </w:r>
                <w:r w:rsidR="00791CB5">
                  <w:rPr>
                    <w:webHidden/>
                  </w:rPr>
                  <w:instrText xml:space="preserve"> PAGEREF _Toc436138709 \h </w:instrText>
                </w:r>
                <w:r w:rsidR="00791CB5">
                  <w:rPr>
                    <w:webHidden/>
                  </w:rPr>
                </w:r>
                <w:r w:rsidR="00791CB5">
                  <w:rPr>
                    <w:webHidden/>
                  </w:rPr>
                  <w:fldChar w:fldCharType="separate"/>
                </w:r>
                <w:r>
                  <w:rPr>
                    <w:webHidden/>
                  </w:rPr>
                  <w:t>17</w:t>
                </w:r>
                <w:r w:rsidR="00791CB5">
                  <w:rPr>
                    <w:webHidden/>
                  </w:rPr>
                  <w:fldChar w:fldCharType="end"/>
                </w:r>
              </w:hyperlink>
            </w:p>
            <w:p w:rsidR="00CB0443" w:rsidRDefault="00CB0443" w:rsidP="00CB0443">
              <w:pPr>
                <w:pStyle w:val="TOC1"/>
              </w:pPr>
              <w:r w:rsidRPr="00CB0443">
                <w:fldChar w:fldCharType="end"/>
              </w:r>
            </w:p>
          </w:sdtContent>
        </w:sdt>
        <w:p w:rsidR="00CB0443" w:rsidRPr="00CB0443" w:rsidRDefault="00CB0443" w:rsidP="00CB0443"/>
        <w:p w:rsidR="00CB0443" w:rsidRPr="00CB0443" w:rsidRDefault="00CB0443" w:rsidP="00CB0443"/>
        <w:p w:rsidR="00CB0443" w:rsidRPr="00CB0443" w:rsidRDefault="00CB0443" w:rsidP="00CB0443"/>
        <w:p w:rsidR="00CB0443" w:rsidRPr="00CB0443" w:rsidRDefault="00CB0443" w:rsidP="00CB0443"/>
        <w:p w:rsidR="00CB0443" w:rsidRPr="00CB0443" w:rsidRDefault="00CB0443" w:rsidP="00CB0443"/>
        <w:p w:rsidR="00CB0443" w:rsidRPr="00CB0443" w:rsidRDefault="00CB0443" w:rsidP="00CB0443"/>
        <w:p w:rsidR="00CB0443" w:rsidRDefault="00CB0443" w:rsidP="00D4338A">
          <w:pPr>
            <w:pStyle w:val="UnnumberedHeading"/>
            <w:numPr>
              <w:ilvl w:val="0"/>
              <w:numId w:val="23"/>
            </w:numPr>
          </w:pPr>
          <w:bookmarkStart w:id="1" w:name="_Toc436138691"/>
          <w:r>
            <w:lastRenderedPageBreak/>
            <w:t>Shortened forms</w:t>
          </w:r>
          <w:bookmarkEnd w:id="1"/>
        </w:p>
        <w:tbl>
          <w:tblPr>
            <w:tblStyle w:val="AERtable-text0"/>
            <w:tblW w:w="0" w:type="auto"/>
            <w:tblLook w:val="04A0" w:firstRow="1" w:lastRow="0" w:firstColumn="1" w:lastColumn="0" w:noHBand="0" w:noVBand="1"/>
          </w:tblPr>
          <w:tblGrid>
            <w:gridCol w:w="4341"/>
            <w:gridCol w:w="4352"/>
          </w:tblGrid>
          <w:tr w:rsidR="00CB0443" w:rsidTr="00CB0443">
            <w:trPr>
              <w:cnfStyle w:val="100000000000" w:firstRow="1" w:lastRow="0" w:firstColumn="0" w:lastColumn="0" w:oddVBand="0" w:evenVBand="0" w:oddHBand="0" w:evenHBand="0" w:firstRowFirstColumn="0" w:firstRowLastColumn="0" w:lastRowFirstColumn="0" w:lastRowLastColumn="0"/>
              <w:tblHeader/>
            </w:trPr>
            <w:tc>
              <w:tcPr>
                <w:tcW w:w="4341" w:type="dxa"/>
              </w:tcPr>
              <w:p w:rsidR="00CB0443" w:rsidRPr="00E66CCE" w:rsidRDefault="00CB0443" w:rsidP="00CB0443">
                <w:pPr>
                  <w:pStyle w:val="AERtabletextleft"/>
                  <w:rPr>
                    <w:rStyle w:val="AERtextsize10"/>
                  </w:rPr>
                </w:pPr>
                <w:r w:rsidRPr="00E66CCE">
                  <w:rPr>
                    <w:rStyle w:val="AERtextsize10"/>
                  </w:rPr>
                  <w:t>Shortened form</w:t>
                </w:r>
              </w:p>
            </w:tc>
            <w:tc>
              <w:tcPr>
                <w:tcW w:w="4352" w:type="dxa"/>
              </w:tcPr>
              <w:p w:rsidR="00CB0443" w:rsidRPr="00E66CCE" w:rsidRDefault="00CB0443" w:rsidP="00CB0443">
                <w:pPr>
                  <w:pStyle w:val="AERtabletextleft"/>
                  <w:rPr>
                    <w:rStyle w:val="AERtextsize10"/>
                  </w:rPr>
                </w:pPr>
                <w:r w:rsidRPr="00E66CCE">
                  <w:rPr>
                    <w:rStyle w:val="AERtextsize10"/>
                  </w:rPr>
                  <w:t>Extended form</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AER</w:t>
                </w:r>
              </w:p>
            </w:tc>
            <w:tc>
              <w:tcPr>
                <w:tcW w:w="4352" w:type="dxa"/>
              </w:tcPr>
              <w:p w:rsidR="00CB0443" w:rsidRPr="00E66CCE" w:rsidRDefault="00CB0443" w:rsidP="00CB0443">
                <w:pPr>
                  <w:pStyle w:val="AERtabletextleft"/>
                  <w:rPr>
                    <w:rStyle w:val="AERtextsize10"/>
                  </w:rPr>
                </w:pPr>
                <w:r w:rsidRPr="00E66CCE">
                  <w:rPr>
                    <w:rStyle w:val="AERtextsize10"/>
                  </w:rPr>
                  <w:t>Australian Energy Regulator</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capex</w:t>
                </w:r>
              </w:p>
            </w:tc>
            <w:tc>
              <w:tcPr>
                <w:tcW w:w="4352" w:type="dxa"/>
              </w:tcPr>
              <w:p w:rsidR="00CB0443" w:rsidRPr="00E66CCE" w:rsidRDefault="00CB0443" w:rsidP="00CB0443">
                <w:pPr>
                  <w:pStyle w:val="AERtabletextleft"/>
                  <w:rPr>
                    <w:rStyle w:val="AERtextsize10"/>
                  </w:rPr>
                </w:pPr>
                <w:r w:rsidRPr="00E66CCE">
                  <w:rPr>
                    <w:rStyle w:val="AERtextsize10"/>
                  </w:rPr>
                  <w:t>capital expenditure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CPI</w:t>
                </w:r>
              </w:p>
            </w:tc>
            <w:tc>
              <w:tcPr>
                <w:tcW w:w="4352" w:type="dxa"/>
              </w:tcPr>
              <w:p w:rsidR="00CB0443" w:rsidRPr="00E66CCE" w:rsidRDefault="00CB0443" w:rsidP="00CB0443">
                <w:pPr>
                  <w:pStyle w:val="AERtabletextleft"/>
                  <w:rPr>
                    <w:rStyle w:val="AERtextsize10"/>
                  </w:rPr>
                </w:pPr>
                <w:r w:rsidRPr="00E66CCE">
                  <w:rPr>
                    <w:rStyle w:val="AERtextsize10"/>
                  </w:rPr>
                  <w:t>consumer price index</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distributor</w:t>
                </w:r>
              </w:p>
            </w:tc>
            <w:tc>
              <w:tcPr>
                <w:tcW w:w="4352" w:type="dxa"/>
              </w:tcPr>
              <w:p w:rsidR="00CB0443" w:rsidRPr="00E66CCE" w:rsidRDefault="00CB0443" w:rsidP="00CB0443">
                <w:pPr>
                  <w:pStyle w:val="AERtabletextleft"/>
                  <w:rPr>
                    <w:rStyle w:val="AERtextsize10"/>
                  </w:rPr>
                </w:pPr>
                <w:r w:rsidRPr="00E66CCE">
                  <w:rPr>
                    <w:rStyle w:val="AERtextsize10"/>
                  </w:rPr>
                  <w:t>distribution network service provider</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NEL</w:t>
                </w:r>
              </w:p>
            </w:tc>
            <w:tc>
              <w:tcPr>
                <w:tcW w:w="4352" w:type="dxa"/>
              </w:tcPr>
              <w:p w:rsidR="00CB0443" w:rsidRPr="00E66CCE" w:rsidRDefault="00CB0443" w:rsidP="00CB0443">
                <w:pPr>
                  <w:pStyle w:val="AERtabletextleft"/>
                  <w:rPr>
                    <w:rStyle w:val="AERtextsize10"/>
                  </w:rPr>
                </w:pPr>
                <w:r w:rsidRPr="00E66CCE">
                  <w:rPr>
                    <w:rStyle w:val="AERtextsize10"/>
                  </w:rPr>
                  <w:t>national electricity law</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NEO</w:t>
                </w:r>
              </w:p>
            </w:tc>
            <w:tc>
              <w:tcPr>
                <w:tcW w:w="4352" w:type="dxa"/>
              </w:tcPr>
              <w:p w:rsidR="00CB0443" w:rsidRPr="00E66CCE" w:rsidRDefault="00CB0443" w:rsidP="00CB0443">
                <w:pPr>
                  <w:pStyle w:val="AERtabletextleft"/>
                  <w:rPr>
                    <w:rStyle w:val="AERtextsize10"/>
                  </w:rPr>
                </w:pPr>
                <w:r w:rsidRPr="00E66CCE">
                  <w:rPr>
                    <w:rStyle w:val="AERtextsize10"/>
                  </w:rPr>
                  <w:t>national electricity objective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NER</w:t>
                </w:r>
              </w:p>
            </w:tc>
            <w:tc>
              <w:tcPr>
                <w:tcW w:w="4352" w:type="dxa"/>
              </w:tcPr>
              <w:p w:rsidR="00CB0443" w:rsidRPr="00E66CCE" w:rsidRDefault="00CB0443" w:rsidP="00CB0443">
                <w:pPr>
                  <w:pStyle w:val="AERtabletextleft"/>
                  <w:rPr>
                    <w:rStyle w:val="AERtextsize10"/>
                  </w:rPr>
                </w:pPr>
                <w:r w:rsidRPr="00E66CCE">
                  <w:rPr>
                    <w:rStyle w:val="AERtextsize10"/>
                  </w:rPr>
                  <w:t>national electricity rules</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opex</w:t>
                </w:r>
              </w:p>
            </w:tc>
            <w:tc>
              <w:tcPr>
                <w:tcW w:w="4352" w:type="dxa"/>
              </w:tcPr>
              <w:p w:rsidR="00CB0443" w:rsidRPr="00E66CCE" w:rsidRDefault="00CB0443" w:rsidP="00CB0443">
                <w:pPr>
                  <w:pStyle w:val="AERtabletextleft"/>
                  <w:rPr>
                    <w:rStyle w:val="AERtextsize10"/>
                  </w:rPr>
                </w:pPr>
                <w:r w:rsidRPr="00E66CCE">
                  <w:rPr>
                    <w:rStyle w:val="AERtextsize10"/>
                  </w:rPr>
                  <w:t>operating expenditure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PTRM</w:t>
                </w:r>
              </w:p>
            </w:tc>
            <w:tc>
              <w:tcPr>
                <w:tcW w:w="4352" w:type="dxa"/>
              </w:tcPr>
              <w:p w:rsidR="00CB0443" w:rsidRPr="00E66CCE" w:rsidRDefault="00CB0443" w:rsidP="00CB0443">
                <w:pPr>
                  <w:pStyle w:val="AERtabletextleft"/>
                  <w:rPr>
                    <w:rStyle w:val="AERtextsize10"/>
                  </w:rPr>
                </w:pPr>
                <w:r w:rsidRPr="00E66CCE">
                  <w:rPr>
                    <w:rStyle w:val="AERtextsize10"/>
                  </w:rPr>
                  <w:t>post-tax revenue model</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RAB</w:t>
                </w:r>
              </w:p>
            </w:tc>
            <w:tc>
              <w:tcPr>
                <w:tcW w:w="4352" w:type="dxa"/>
              </w:tcPr>
              <w:p w:rsidR="00CB0443" w:rsidRPr="00E66CCE" w:rsidRDefault="00CB0443" w:rsidP="00CB0443">
                <w:pPr>
                  <w:pStyle w:val="AERtabletextleft"/>
                  <w:rPr>
                    <w:rStyle w:val="AERtextsize10"/>
                  </w:rPr>
                </w:pPr>
                <w:r w:rsidRPr="00E66CCE">
                  <w:rPr>
                    <w:rStyle w:val="AERtextsize10"/>
                  </w:rPr>
                  <w:t>regulatory asset base</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repex</w:t>
                </w:r>
              </w:p>
            </w:tc>
            <w:tc>
              <w:tcPr>
                <w:tcW w:w="4352" w:type="dxa"/>
              </w:tcPr>
              <w:p w:rsidR="00CB0443" w:rsidRPr="00E66CCE" w:rsidRDefault="00CB0443" w:rsidP="00CB0443">
                <w:pPr>
                  <w:pStyle w:val="AERtabletextleft"/>
                  <w:rPr>
                    <w:rStyle w:val="AERtextsize10"/>
                  </w:rPr>
                </w:pPr>
                <w:r w:rsidRPr="00E66CCE">
                  <w:rPr>
                    <w:rStyle w:val="AERtextsize10"/>
                  </w:rPr>
                  <w:t>replacement expenditure</w:t>
                </w:r>
              </w:p>
            </w:tc>
          </w:tr>
          <w:tr w:rsidR="00CB0443" w:rsidTr="00CB0443">
            <w:trPr>
              <w:cnfStyle w:val="000000010000" w:firstRow="0" w:lastRow="0" w:firstColumn="0" w:lastColumn="0" w:oddVBand="0" w:evenVBand="0" w:oddHBand="0" w:evenHBand="1" w:firstRowFirstColumn="0" w:firstRowLastColumn="0" w:lastRowFirstColumn="0" w:lastRowLastColumn="0"/>
            </w:trPr>
            <w:tc>
              <w:tcPr>
                <w:tcW w:w="4341" w:type="dxa"/>
              </w:tcPr>
              <w:p w:rsidR="00CB0443" w:rsidRPr="00E66CCE" w:rsidRDefault="00CB0443" w:rsidP="00CB0443">
                <w:pPr>
                  <w:pStyle w:val="AERtabletextleft"/>
                  <w:rPr>
                    <w:rStyle w:val="AERtextsize10"/>
                  </w:rPr>
                </w:pPr>
                <w:r w:rsidRPr="00E66CCE">
                  <w:rPr>
                    <w:rStyle w:val="AERtextsize10"/>
                  </w:rPr>
                  <w:t>RFM</w:t>
                </w:r>
              </w:p>
            </w:tc>
            <w:tc>
              <w:tcPr>
                <w:tcW w:w="4352" w:type="dxa"/>
              </w:tcPr>
              <w:p w:rsidR="00CB0443" w:rsidRPr="00E66CCE" w:rsidRDefault="00CB0443" w:rsidP="00CB0443">
                <w:pPr>
                  <w:pStyle w:val="AERtabletextleft"/>
                  <w:rPr>
                    <w:rStyle w:val="AERtextsize10"/>
                  </w:rPr>
                </w:pPr>
                <w:r w:rsidRPr="00E66CCE">
                  <w:rPr>
                    <w:rStyle w:val="AERtextsize10"/>
                  </w:rPr>
                  <w:t>roll forward model</w:t>
                </w:r>
              </w:p>
            </w:tc>
          </w:tr>
          <w:tr w:rsidR="00CB0443" w:rsidTr="00CB0443">
            <w:tc>
              <w:tcPr>
                <w:tcW w:w="4341" w:type="dxa"/>
              </w:tcPr>
              <w:p w:rsidR="00CB0443" w:rsidRPr="00E66CCE" w:rsidRDefault="00CB0443" w:rsidP="00CB0443">
                <w:pPr>
                  <w:pStyle w:val="AERtabletextleft"/>
                  <w:rPr>
                    <w:rStyle w:val="AERtextsize10"/>
                  </w:rPr>
                </w:pPr>
                <w:r w:rsidRPr="00E66CCE">
                  <w:rPr>
                    <w:rStyle w:val="AERtextsize10"/>
                  </w:rPr>
                  <w:t>WACC</w:t>
                </w:r>
              </w:p>
            </w:tc>
            <w:tc>
              <w:tcPr>
                <w:tcW w:w="4352" w:type="dxa"/>
              </w:tcPr>
              <w:p w:rsidR="00CB0443" w:rsidRPr="00E66CCE" w:rsidRDefault="00CB0443" w:rsidP="00CB0443">
                <w:pPr>
                  <w:pStyle w:val="AERtabletextleft"/>
                  <w:rPr>
                    <w:rStyle w:val="AERtextsize10"/>
                  </w:rPr>
                </w:pPr>
                <w:r w:rsidRPr="00E66CCE">
                  <w:rPr>
                    <w:rStyle w:val="AERtextsize10"/>
                  </w:rPr>
                  <w:t>weighted average cost of capital</w:t>
                </w:r>
              </w:p>
            </w:tc>
          </w:tr>
        </w:tbl>
        <w:p w:rsidR="00CB0443" w:rsidRPr="00271F7C" w:rsidRDefault="00CB0443" w:rsidP="00D4338A">
          <w:pPr>
            <w:numPr>
              <w:ilvl w:val="0"/>
              <w:numId w:val="24"/>
            </w:numPr>
          </w:pPr>
        </w:p>
        <w:p w:rsidR="00CB0443" w:rsidRPr="00436A39" w:rsidRDefault="00CB0443" w:rsidP="00D4338A">
          <w:pPr>
            <w:numPr>
              <w:ilvl w:val="0"/>
              <w:numId w:val="24"/>
            </w:numPr>
          </w:pPr>
        </w:p>
        <w:p w:rsidR="00CB0443" w:rsidRDefault="00CB0443" w:rsidP="00CB0443"/>
        <w:p w:rsidR="00CB0443" w:rsidRDefault="00CB0443" w:rsidP="00CB0443"/>
        <w:p w:rsidR="00602D86" w:rsidRPr="00602D86" w:rsidRDefault="000A5973" w:rsidP="00602D86">
          <w:pPr>
            <w:pStyle w:val="Heading1"/>
          </w:pPr>
          <w:bookmarkStart w:id="2" w:name="_Toc436138692"/>
          <w:r>
            <w:lastRenderedPageBreak/>
            <w:t>Overview</w:t>
          </w:r>
          <w:bookmarkEnd w:id="2"/>
        </w:p>
        <w:p w:rsidR="0032279A" w:rsidRDefault="0032279A" w:rsidP="00662670">
          <w:r>
            <w:t xml:space="preserve">On 21 August 2015, we received a cost pass through application from Ausgrid for </w:t>
          </w:r>
          <w:r w:rsidR="00117D4E">
            <w:t xml:space="preserve">additional </w:t>
          </w:r>
          <w:r>
            <w:t>expenditure associated with restoring supply to the network from severe weather storm conditions in April 2015</w:t>
          </w:r>
          <w:r w:rsidR="00662670">
            <w:t xml:space="preserve"> (hereafter referred as the April storm event)</w:t>
          </w:r>
          <w:r>
            <w:t>.</w:t>
          </w:r>
        </w:p>
        <w:p w:rsidR="0049040C" w:rsidRDefault="00662670" w:rsidP="0032279A">
          <w:r>
            <w:t xml:space="preserve">The April </w:t>
          </w:r>
          <w:r w:rsidR="0049040C">
            <w:t xml:space="preserve">storm event damaged numerous assets and required a </w:t>
          </w:r>
          <w:r>
            <w:t>10</w:t>
          </w:r>
          <w:r w:rsidR="0049040C">
            <w:t xml:space="preserve"> day rectification effort by Ausgrid to restore supply to affected </w:t>
          </w:r>
          <w:r w:rsidR="004B41FD">
            <w:t>consumers</w:t>
          </w:r>
          <w:r w:rsidR="0049040C">
            <w:t xml:space="preserve"> and repair or replace damaged </w:t>
          </w:r>
          <w:r w:rsidR="004B41FD">
            <w:t>infrastructure</w:t>
          </w:r>
          <w:r w:rsidR="0049040C">
            <w:t>.</w:t>
          </w:r>
        </w:p>
        <w:p w:rsidR="002934EB" w:rsidRDefault="0032279A" w:rsidP="0032279A">
          <w:pPr>
            <w:numPr>
              <w:ilvl w:val="0"/>
              <w:numId w:val="24"/>
            </w:numPr>
          </w:pPr>
          <w:r w:rsidRPr="00161583">
            <w:t xml:space="preserve">The role of the AER as economic regulator of </w:t>
          </w:r>
          <w:r w:rsidR="002934EB">
            <w:t>d</w:t>
          </w:r>
          <w:r w:rsidRPr="00161583">
            <w:t xml:space="preserve">istribution </w:t>
          </w:r>
          <w:r w:rsidR="002934EB">
            <w:t>n</w:t>
          </w:r>
          <w:r w:rsidRPr="00161583">
            <w:t xml:space="preserve">etwork </w:t>
          </w:r>
          <w:r w:rsidR="002934EB">
            <w:t>s</w:t>
          </w:r>
          <w:r w:rsidRPr="00161583">
            <w:t xml:space="preserve">ervice </w:t>
          </w:r>
          <w:r w:rsidR="002934EB">
            <w:t>p</w:t>
          </w:r>
          <w:r w:rsidRPr="00161583">
            <w:t>roviders in the National Electricity Market</w:t>
          </w:r>
          <w:r w:rsidR="001F235D">
            <w:t>,</w:t>
          </w:r>
          <w:r w:rsidRPr="00161583">
            <w:t xml:space="preserve"> is to assess </w:t>
          </w:r>
          <w:r>
            <w:t>Ausgrid's</w:t>
          </w:r>
          <w:r w:rsidRPr="00161583">
            <w:t xml:space="preserve"> application against the cost pass through requirements in chapter 6 of the National Electricity Rules.</w:t>
          </w:r>
        </w:p>
        <w:p w:rsidR="002934EB" w:rsidRDefault="002934EB" w:rsidP="0032279A">
          <w:pPr>
            <w:numPr>
              <w:ilvl w:val="0"/>
              <w:numId w:val="24"/>
            </w:numPr>
          </w:pPr>
          <w:r>
            <w:t>Cost pass throughs permit distributors to recover additional costs incurred in dealing with an event by increasing customers' tariffs (or decreasing them in the case of a negative pass through).</w:t>
          </w:r>
        </w:p>
        <w:p w:rsidR="0032279A" w:rsidRDefault="0032279A" w:rsidP="0032279A">
          <w:pPr>
            <w:numPr>
              <w:ilvl w:val="0"/>
              <w:numId w:val="24"/>
            </w:numPr>
          </w:pPr>
          <w:r w:rsidRPr="00161583">
            <w:t>Specifically, if a</w:t>
          </w:r>
          <w:r w:rsidR="00BB1484">
            <w:t xml:space="preserve"> qualifying</w:t>
          </w:r>
          <w:r w:rsidRPr="00161583">
            <w:t xml:space="preserve"> </w:t>
          </w:r>
          <w:r w:rsidRPr="001F235D">
            <w:rPr>
              <w:rStyle w:val="Emphasis"/>
            </w:rPr>
            <w:t>positive change event</w:t>
          </w:r>
          <w:r w:rsidRPr="00161583">
            <w:t xml:space="preserve"> occurs, we must determine the required pass through amount and how much of that amount should be passed through to network users in each regulatory year.</w:t>
          </w:r>
          <w:r w:rsidRPr="0080531B">
            <w:t xml:space="preserve"> </w:t>
          </w:r>
          <w:r>
            <w:t>This decision addresses those requirements, which are set out in clause 6.6.1 of the NER. An extract of the relevant clauses is at attachment A.</w:t>
          </w:r>
        </w:p>
        <w:p w:rsidR="00CA741B" w:rsidRPr="00CA741B" w:rsidRDefault="00CA741B" w:rsidP="00814837">
          <w:r w:rsidRPr="00814837">
            <w:rPr>
              <w:rStyle w:val="AERbody"/>
            </w:rPr>
            <w:t xml:space="preserve">On </w:t>
          </w:r>
          <w:r w:rsidR="008D517C" w:rsidRPr="00814837">
            <w:rPr>
              <w:rStyle w:val="AERbody"/>
            </w:rPr>
            <w:t>26</w:t>
          </w:r>
          <w:r w:rsidRPr="00814837">
            <w:rPr>
              <w:rStyle w:val="AERbody"/>
            </w:rPr>
            <w:t xml:space="preserve"> August</w:t>
          </w:r>
          <w:r w:rsidRPr="00CA741B">
            <w:t xml:space="preserve"> 2015, we published </w:t>
          </w:r>
          <w:r>
            <w:t>Ausgrid's pass through application</w:t>
          </w:r>
          <w:r w:rsidRPr="00CA741B">
            <w:t xml:space="preserve"> for consultation. </w:t>
          </w:r>
          <w:r>
            <w:t>No</w:t>
          </w:r>
          <w:r w:rsidRPr="00CA741B">
            <w:t xml:space="preserve"> submission</w:t>
          </w:r>
          <w:r w:rsidR="005F60C2">
            <w:t>s</w:t>
          </w:r>
          <w:r w:rsidRPr="00CA741B">
            <w:t xml:space="preserve"> w</w:t>
          </w:r>
          <w:r w:rsidR="005F60C2">
            <w:t>ere</w:t>
          </w:r>
          <w:r w:rsidRPr="00CA741B">
            <w:t xml:space="preserve"> received</w:t>
          </w:r>
          <w:r>
            <w:t>.</w:t>
          </w:r>
        </w:p>
        <w:p w:rsidR="0032279A" w:rsidRPr="00161583" w:rsidRDefault="0032279A" w:rsidP="0032279A">
          <w:pPr>
            <w:numPr>
              <w:ilvl w:val="0"/>
              <w:numId w:val="24"/>
            </w:numPr>
          </w:pPr>
          <w:r w:rsidRPr="00161583">
            <w:t xml:space="preserve">We have determined that </w:t>
          </w:r>
          <w:r>
            <w:t>Ausgrid's</w:t>
          </w:r>
          <w:r w:rsidRPr="00161583">
            <w:t xml:space="preserve"> pass through application satisfies the requirements of a</w:t>
          </w:r>
          <w:r>
            <w:t xml:space="preserve"> </w:t>
          </w:r>
          <w:r w:rsidRPr="00602D86">
            <w:t>general nominated pass through event</w:t>
          </w:r>
          <w:r w:rsidRPr="00161583">
            <w:t xml:space="preserve">. </w:t>
          </w:r>
          <w:r w:rsidRPr="00AC1E90">
            <w:t xml:space="preserve">In particular, the </w:t>
          </w:r>
          <w:r w:rsidR="004A564B">
            <w:t xml:space="preserve">operating expenditure and capital expenditure associated with restoring supply to the distribution network </w:t>
          </w:r>
          <w:r w:rsidRPr="00161583">
            <w:t xml:space="preserve">does materially increase the </w:t>
          </w:r>
          <w:r w:rsidR="00F26DC2">
            <w:t xml:space="preserve">uncontrollable </w:t>
          </w:r>
          <w:r w:rsidRPr="00161583">
            <w:t xml:space="preserve">costs to </w:t>
          </w:r>
          <w:r w:rsidR="004A564B">
            <w:t>Ausgrid</w:t>
          </w:r>
          <w:r w:rsidRPr="00161583">
            <w:t xml:space="preserve"> of providing direct control services.</w:t>
          </w:r>
        </w:p>
        <w:p w:rsidR="004A564B" w:rsidRDefault="005F60C2" w:rsidP="004A564B">
          <w:pPr>
            <w:numPr>
              <w:ilvl w:val="0"/>
              <w:numId w:val="24"/>
            </w:numPr>
          </w:pPr>
          <w:r>
            <w:t xml:space="preserve">We first </w:t>
          </w:r>
          <w:r w:rsidR="002934EB">
            <w:t>establish</w:t>
          </w:r>
          <w:r>
            <w:t xml:space="preserve"> if</w:t>
          </w:r>
          <w:r w:rsidR="004A564B" w:rsidRPr="00161583">
            <w:t xml:space="preserve"> a </w:t>
          </w:r>
          <w:r w:rsidR="004A564B" w:rsidRPr="00602D86">
            <w:t>general nominated pass through event</w:t>
          </w:r>
          <w:r>
            <w:t xml:space="preserve"> has occurred. We then</w:t>
          </w:r>
          <w:r w:rsidR="004A564B" w:rsidRPr="00161583">
            <w:t xml:space="preserve"> consider </w:t>
          </w:r>
          <w:r w:rsidR="00E31932">
            <w:t xml:space="preserve">whether </w:t>
          </w:r>
          <w:r w:rsidR="004A564B" w:rsidRPr="00161583">
            <w:t>the proposed variations to capital and operating expenditures</w:t>
          </w:r>
          <w:r w:rsidR="00E31932">
            <w:t xml:space="preserve"> are prudent and efficient</w:t>
          </w:r>
          <w:r w:rsidR="004A564B" w:rsidRPr="00161583">
            <w:t xml:space="preserve">, </w:t>
          </w:r>
          <w:r>
            <w:t>and</w:t>
          </w:r>
          <w:r w:rsidR="004A564B" w:rsidRPr="00161583">
            <w:t xml:space="preserve"> material</w:t>
          </w:r>
          <w:r>
            <w:t>. I</w:t>
          </w:r>
          <w:r w:rsidRPr="00161583">
            <w:t>f</w:t>
          </w:r>
          <w:r w:rsidR="004A564B" w:rsidRPr="00161583">
            <w:t xml:space="preserve"> so, </w:t>
          </w:r>
          <w:r>
            <w:t xml:space="preserve">we </w:t>
          </w:r>
          <w:r w:rsidR="004A564B" w:rsidRPr="00161583">
            <w:t xml:space="preserve">determine a positive pass through amount to </w:t>
          </w:r>
          <w:r w:rsidR="00E31932">
            <w:t xml:space="preserve">be recovered from </w:t>
          </w:r>
          <w:r w:rsidR="002934EB">
            <w:t>customers</w:t>
          </w:r>
          <w:r w:rsidR="004A564B" w:rsidRPr="00161583">
            <w:t xml:space="preserve">. </w:t>
          </w:r>
        </w:p>
        <w:p w:rsidR="004A564B" w:rsidRDefault="004A564B" w:rsidP="003E5A8F">
          <w:r w:rsidRPr="004A564B">
            <w:t xml:space="preserve">For the reasons discussed in </w:t>
          </w:r>
          <w:r w:rsidRPr="003E5A8F">
            <w:rPr>
              <w:rStyle w:val="AERbody"/>
            </w:rPr>
            <w:t xml:space="preserve">Section </w:t>
          </w:r>
          <w:r w:rsidR="00967903" w:rsidRPr="003E5A8F">
            <w:rPr>
              <w:rStyle w:val="AERbody"/>
            </w:rPr>
            <w:t>5</w:t>
          </w:r>
          <w:r>
            <w:t xml:space="preserve">, and based on our assessment of the relevant factors listed in clause 6.6.1(j) of the NER, we </w:t>
          </w:r>
          <w:r w:rsidR="00135189">
            <w:t xml:space="preserve">determine </w:t>
          </w:r>
          <w:r>
            <w:t xml:space="preserve">the total approved pass through amount for Ausgrid </w:t>
          </w:r>
          <w:r w:rsidRPr="003E5A8F">
            <w:rPr>
              <w:rStyle w:val="AERbody"/>
            </w:rPr>
            <w:t>is $</w:t>
          </w:r>
          <w:r w:rsidR="00B5284A" w:rsidRPr="003E5A8F">
            <w:rPr>
              <w:rStyle w:val="AERbody"/>
            </w:rPr>
            <w:t>43.2</w:t>
          </w:r>
          <w:r>
            <w:t xml:space="preserve"> million </w:t>
          </w:r>
          <w:r w:rsidRPr="008B6D9B">
            <w:t>($</w:t>
          </w:r>
          <w:r w:rsidR="00F33670">
            <w:t>'</w:t>
          </w:r>
          <w:r>
            <w:t xml:space="preserve"> </w:t>
          </w:r>
          <w:r w:rsidR="00791291">
            <w:t>nominal</w:t>
          </w:r>
          <w:r>
            <w:t>).</w:t>
          </w:r>
        </w:p>
        <w:p w:rsidR="000C6D4E" w:rsidRDefault="0041104C" w:rsidP="004A564B">
          <w:pPr>
            <w:numPr>
              <w:ilvl w:val="0"/>
              <w:numId w:val="24"/>
            </w:numPr>
          </w:pPr>
          <w:r>
            <w:t>We c</w:t>
          </w:r>
          <w:r w:rsidR="005F60C2">
            <w:t>onsider the pass through amount</w:t>
          </w:r>
          <w:r>
            <w:t xml:space="preserve"> should be recovered through the remaining years of current regulatory control period</w:t>
          </w:r>
          <w:r w:rsidR="00177E38">
            <w:t>,</w:t>
          </w:r>
          <w:r>
            <w:t xml:space="preserve"> from 2016–17 to 2018–19</w:t>
          </w:r>
          <w:r w:rsidR="00F26DC2">
            <w:t>.</w:t>
          </w:r>
          <w:r>
            <w:t xml:space="preserve"> </w:t>
          </w:r>
          <w:r w:rsidR="00783638">
            <w:t>We consider this preferable to providing for recovery in a single year, as it will smooth the price effects for customers.</w:t>
          </w:r>
          <w:r w:rsidR="00177E38">
            <w:t xml:space="preserve"> </w:t>
          </w:r>
          <w:r>
            <w:t xml:space="preserve">We </w:t>
          </w:r>
          <w:r w:rsidR="003774A0">
            <w:t xml:space="preserve">set out </w:t>
          </w:r>
          <w:r w:rsidR="003774A0" w:rsidRPr="003774A0">
            <w:t>the revenue in the 2014</w:t>
          </w:r>
          <w:r w:rsidR="00135189">
            <w:t>–</w:t>
          </w:r>
          <w:r w:rsidR="003774A0" w:rsidRPr="003774A0">
            <w:t>19 decision</w:t>
          </w:r>
          <w:r w:rsidR="003774A0">
            <w:t xml:space="preserve"> for Ausgrid</w:t>
          </w:r>
          <w:r w:rsidR="003774A0" w:rsidRPr="003774A0">
            <w:t xml:space="preserve"> and the incremental amount</w:t>
          </w:r>
          <w:r w:rsidR="003774A0">
            <w:t xml:space="preserve"> of </w:t>
          </w:r>
          <w:r w:rsidR="003774A0" w:rsidRPr="003774A0">
            <w:t xml:space="preserve">the </w:t>
          </w:r>
          <w:r w:rsidR="003774A0">
            <w:t xml:space="preserve">approved </w:t>
          </w:r>
          <w:r w:rsidR="003774A0" w:rsidRPr="003774A0">
            <w:t>positive pass through</w:t>
          </w:r>
          <w:r w:rsidR="00135189">
            <w:t xml:space="preserve"> </w:t>
          </w:r>
          <w:r w:rsidR="00135189" w:rsidRPr="00135189">
            <w:t>in Table 1</w:t>
          </w:r>
          <w:r w:rsidR="003774A0">
            <w:t>. W</w:t>
          </w:r>
          <w:r w:rsidR="003774A0" w:rsidRPr="003774A0">
            <w:t xml:space="preserve">hile the pass through </w:t>
          </w:r>
          <w:r w:rsidR="003774A0">
            <w:t xml:space="preserve">amount </w:t>
          </w:r>
          <w:r w:rsidR="003774A0" w:rsidRPr="003774A0">
            <w:t>is material, the impact on customers’ bills is</w:t>
          </w:r>
          <w:r w:rsidR="00135189">
            <w:t xml:space="preserve"> </w:t>
          </w:r>
          <w:r w:rsidR="00135189" w:rsidRPr="00135189">
            <w:t>negligible</w:t>
          </w:r>
          <w:r w:rsidR="003774A0" w:rsidRPr="003774A0">
            <w:t>.</w:t>
          </w:r>
        </w:p>
        <w:p w:rsidR="0041104C" w:rsidRDefault="0041104C" w:rsidP="0041104C">
          <w:pPr>
            <w:pStyle w:val="Caption"/>
          </w:pPr>
          <w:r>
            <w:lastRenderedPageBreak/>
            <w:t xml:space="preserve">Table </w:t>
          </w:r>
          <w:r w:rsidRPr="00613F95">
            <w:fldChar w:fldCharType="begin"/>
          </w:r>
          <w:r>
            <w:instrText xml:space="preserve"> SEQ Table \* ARABIC </w:instrText>
          </w:r>
          <w:r w:rsidRPr="00613F95">
            <w:fldChar w:fldCharType="separate"/>
          </w:r>
          <w:r w:rsidR="00D47B05">
            <w:rPr>
              <w:noProof/>
            </w:rPr>
            <w:t>1</w:t>
          </w:r>
          <w:r w:rsidRPr="00613F95">
            <w:fldChar w:fldCharType="end"/>
          </w:r>
          <w:r w:rsidR="00791291">
            <w:tab/>
          </w:r>
          <w:r w:rsidR="002934EB">
            <w:t>Approved</w:t>
          </w:r>
          <w:r w:rsidR="00791291">
            <w:t xml:space="preserve"> </w:t>
          </w:r>
          <w:r w:rsidRPr="00602D86">
            <w:t xml:space="preserve">Ausgrid </w:t>
          </w:r>
          <w:r>
            <w:t xml:space="preserve">positive </w:t>
          </w:r>
          <w:r w:rsidRPr="00602D86">
            <w:t xml:space="preserve">pass through </w:t>
          </w:r>
          <w:r>
            <w:t>amounts</w:t>
          </w:r>
          <w:r w:rsidRPr="00602D86">
            <w:t xml:space="preserve"> </w:t>
          </w:r>
          <w:r w:rsidR="00967903">
            <w:t>($</w:t>
          </w:r>
          <w:r w:rsidR="00DA1874">
            <w:t>m</w:t>
          </w:r>
          <w:r w:rsidR="00A035B3">
            <w:t>'</w:t>
          </w:r>
          <w:r w:rsidR="00D028DF">
            <w:t xml:space="preserve"> </w:t>
          </w:r>
          <w:r w:rsidR="00791291">
            <w:t>nominal</w:t>
          </w:r>
          <w:r w:rsidR="00967903">
            <w:t>)</w:t>
          </w:r>
        </w:p>
        <w:tbl>
          <w:tblPr>
            <w:tblStyle w:val="AERtable-numbers"/>
            <w:tblW w:w="8693" w:type="dxa"/>
            <w:tblLayout w:type="fixed"/>
            <w:tblLook w:val="04A0" w:firstRow="1" w:lastRow="0" w:firstColumn="1" w:lastColumn="0" w:noHBand="0" w:noVBand="1"/>
          </w:tblPr>
          <w:tblGrid>
            <w:gridCol w:w="1241"/>
            <w:gridCol w:w="1242"/>
            <w:gridCol w:w="1242"/>
            <w:gridCol w:w="1242"/>
            <w:gridCol w:w="1242"/>
            <w:gridCol w:w="1242"/>
            <w:gridCol w:w="1242"/>
          </w:tblGrid>
          <w:tr w:rsidR="003774A0" w:rsidTr="00A900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3774A0" w:rsidRDefault="003774A0" w:rsidP="003E5A8F">
                <w:pPr>
                  <w:pStyle w:val="AERtabletextleft"/>
                </w:pPr>
              </w:p>
            </w:tc>
            <w:tc>
              <w:tcPr>
                <w:tcW w:w="1242" w:type="dxa"/>
              </w:tcPr>
              <w:p w:rsidR="003774A0" w:rsidRDefault="003774A0" w:rsidP="003E5A8F">
                <w:pPr>
                  <w:pStyle w:val="AERtabletextleft"/>
                  <w:cnfStyle w:val="100000000000" w:firstRow="1" w:lastRow="0" w:firstColumn="0" w:lastColumn="0" w:oddVBand="0" w:evenVBand="0" w:oddHBand="0" w:evenHBand="0" w:firstRowFirstColumn="0" w:firstRowLastColumn="0" w:lastRowFirstColumn="0" w:lastRowLastColumn="0"/>
                </w:pPr>
                <w:r>
                  <w:t>2014–15</w:t>
                </w:r>
              </w:p>
            </w:tc>
            <w:tc>
              <w:tcPr>
                <w:tcW w:w="1242" w:type="dxa"/>
              </w:tcPr>
              <w:p w:rsidR="003774A0" w:rsidRDefault="003774A0" w:rsidP="003E5A8F">
                <w:pPr>
                  <w:pStyle w:val="AERtabletextleft"/>
                  <w:cnfStyle w:val="100000000000" w:firstRow="1" w:lastRow="0" w:firstColumn="0" w:lastColumn="0" w:oddVBand="0" w:evenVBand="0" w:oddHBand="0" w:evenHBand="0" w:firstRowFirstColumn="0" w:firstRowLastColumn="0" w:lastRowFirstColumn="0" w:lastRowLastColumn="0"/>
                </w:pPr>
                <w:r>
                  <w:t>2015–16</w:t>
                </w:r>
              </w:p>
            </w:tc>
            <w:tc>
              <w:tcPr>
                <w:tcW w:w="1242" w:type="dxa"/>
              </w:tcPr>
              <w:p w:rsidR="003774A0" w:rsidRPr="00602D86" w:rsidRDefault="003774A0" w:rsidP="003E5A8F">
                <w:pPr>
                  <w:pStyle w:val="AERtabletextleft"/>
                  <w:cnfStyle w:val="100000000000" w:firstRow="1" w:lastRow="0" w:firstColumn="0" w:lastColumn="0" w:oddVBand="0" w:evenVBand="0" w:oddHBand="0" w:evenHBand="0" w:firstRowFirstColumn="0" w:firstRowLastColumn="0" w:lastRowFirstColumn="0" w:lastRowLastColumn="0"/>
                </w:pPr>
                <w:r>
                  <w:t>2016–17</w:t>
                </w:r>
              </w:p>
            </w:tc>
            <w:tc>
              <w:tcPr>
                <w:tcW w:w="1242" w:type="dxa"/>
              </w:tcPr>
              <w:p w:rsidR="003774A0" w:rsidRPr="0041104C" w:rsidRDefault="003774A0" w:rsidP="003E5A8F">
                <w:pPr>
                  <w:pStyle w:val="AERtabletextleft"/>
                  <w:cnfStyle w:val="100000000000" w:firstRow="1" w:lastRow="0" w:firstColumn="0" w:lastColumn="0" w:oddVBand="0" w:evenVBand="0" w:oddHBand="0" w:evenHBand="0" w:firstRowFirstColumn="0" w:firstRowLastColumn="0" w:lastRowFirstColumn="0" w:lastRowLastColumn="0"/>
                </w:pPr>
                <w:r>
                  <w:t>2017–18</w:t>
                </w:r>
              </w:p>
            </w:tc>
            <w:tc>
              <w:tcPr>
                <w:tcW w:w="1242" w:type="dxa"/>
              </w:tcPr>
              <w:p w:rsidR="003774A0" w:rsidRPr="00602D86" w:rsidRDefault="003774A0" w:rsidP="003E5A8F">
                <w:pPr>
                  <w:pStyle w:val="AERtabletextleft"/>
                  <w:cnfStyle w:val="100000000000" w:firstRow="1" w:lastRow="0" w:firstColumn="0" w:lastColumn="0" w:oddVBand="0" w:evenVBand="0" w:oddHBand="0" w:evenHBand="0" w:firstRowFirstColumn="0" w:firstRowLastColumn="0" w:lastRowFirstColumn="0" w:lastRowLastColumn="0"/>
                </w:pPr>
                <w:r>
                  <w:t>2018–19</w:t>
                </w:r>
              </w:p>
            </w:tc>
            <w:tc>
              <w:tcPr>
                <w:tcW w:w="1242" w:type="dxa"/>
              </w:tcPr>
              <w:p w:rsidR="003774A0" w:rsidRPr="00602D86" w:rsidRDefault="003774A0" w:rsidP="003E5A8F">
                <w:pPr>
                  <w:pStyle w:val="AERtabletextleft"/>
                  <w:cnfStyle w:val="100000000000" w:firstRow="1" w:lastRow="0" w:firstColumn="0" w:lastColumn="0" w:oddVBand="0" w:evenVBand="0" w:oddHBand="0" w:evenHBand="0" w:firstRowFirstColumn="0" w:firstRowLastColumn="0" w:lastRowFirstColumn="0" w:lastRowLastColumn="0"/>
                </w:pPr>
                <w:r>
                  <w:t>Total</w:t>
                </w:r>
              </w:p>
            </w:tc>
          </w:tr>
          <w:tr w:rsidR="00D23FB0" w:rsidTr="00A9005F">
            <w:tc>
              <w:tcPr>
                <w:cnfStyle w:val="001000000000" w:firstRow="0" w:lastRow="0" w:firstColumn="1" w:lastColumn="0" w:oddVBand="0" w:evenVBand="0" w:oddHBand="0" w:evenHBand="0" w:firstRowFirstColumn="0" w:firstRowLastColumn="0" w:lastRowFirstColumn="0" w:lastRowLastColumn="0"/>
                <w:tcW w:w="1241" w:type="dxa"/>
                <w:vAlign w:val="top"/>
              </w:tcPr>
              <w:p w:rsidR="00D23FB0" w:rsidRPr="00D23FB0" w:rsidRDefault="00D23FB0" w:rsidP="00D23FB0">
                <w:pPr>
                  <w:pStyle w:val="AERtabletextleft"/>
                </w:pPr>
                <w:r w:rsidRPr="00D23FB0">
                  <w:t>Revenue from</w:t>
                </w:r>
                <w:r>
                  <w:t xml:space="preserve"> final decision</w:t>
                </w:r>
                <w:r w:rsidRPr="00D23FB0">
                  <w:t xml:space="preserve"> (smoothed)</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b/>
                    <w:color w:val="FFFFFF"/>
                  </w:rPr>
                </w:pPr>
                <w:r w:rsidRPr="00D23FB0">
                  <w:t>2208.8</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b/>
                    <w:color w:val="FFFFFF"/>
                  </w:rPr>
                </w:pPr>
                <w:r w:rsidRPr="00D23FB0">
                  <w:t>1693.2</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b/>
                    <w:color w:val="FFFFFF"/>
                  </w:rPr>
                </w:pPr>
                <w:r w:rsidRPr="00D23FB0">
                  <w:t>1637.1</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b/>
                    <w:color w:val="FFFFFF"/>
                  </w:rPr>
                </w:pPr>
                <w:r w:rsidRPr="00D23FB0">
                  <w:t>1627.7</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b/>
                    <w:color w:val="FFFFFF"/>
                  </w:rPr>
                </w:pPr>
                <w:r w:rsidRPr="00D23FB0">
                  <w:t>1618.4</w:t>
                </w:r>
              </w:p>
            </w:tc>
            <w:tc>
              <w:tcPr>
                <w:tcW w:w="1242" w:type="dxa"/>
                <w:vAlign w:val="top"/>
              </w:tcPr>
              <w:p w:rsidR="00D23FB0" w:rsidRPr="00A9005F"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shd w:val="clear" w:color="auto" w:fill="auto"/>
                  </w:rPr>
                </w:pPr>
                <w:r w:rsidRPr="000D0D17">
                  <w:rPr>
                    <w:rStyle w:val="AERtexthighlight"/>
                    <w:shd w:val="clear" w:color="auto" w:fill="auto"/>
                  </w:rPr>
                  <w:t>8785.2</w:t>
                </w:r>
              </w:p>
            </w:tc>
          </w:tr>
          <w:tr w:rsidR="003774A0" w:rsidTr="00A900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vAlign w:val="top"/>
              </w:tcPr>
              <w:p w:rsidR="003774A0" w:rsidRPr="00967903" w:rsidRDefault="003774A0" w:rsidP="003E5A8F">
                <w:pPr>
                  <w:pStyle w:val="AERtabletextleft"/>
                </w:pPr>
                <w:r>
                  <w:t>P</w:t>
                </w:r>
                <w:r w:rsidRPr="00967903">
                  <w:t>ass through amounts</w:t>
                </w:r>
              </w:p>
            </w:tc>
            <w:tc>
              <w:tcPr>
                <w:tcW w:w="1242" w:type="dxa"/>
              </w:tcPr>
              <w:p w:rsidR="003774A0" w:rsidRPr="003E5A8F" w:rsidRDefault="003774A0" w:rsidP="00A9005F">
                <w:pPr>
                  <w:pStyle w:val="AERtabletextright"/>
                  <w:cnfStyle w:val="000000010000" w:firstRow="0" w:lastRow="0" w:firstColumn="0" w:lastColumn="0" w:oddVBand="0" w:evenVBand="0" w:oddHBand="0" w:evenHBand="1" w:firstRowFirstColumn="0" w:firstRowLastColumn="0" w:lastRowFirstColumn="0" w:lastRowLastColumn="0"/>
                  <w:rPr>
                    <w:rStyle w:val="AERtexthighlight"/>
                    <w:shd w:val="clear" w:color="auto" w:fill="auto"/>
                  </w:rPr>
                </w:pPr>
              </w:p>
            </w:tc>
            <w:tc>
              <w:tcPr>
                <w:tcW w:w="1242" w:type="dxa"/>
              </w:tcPr>
              <w:p w:rsidR="003774A0" w:rsidRPr="003E5A8F" w:rsidRDefault="003774A0" w:rsidP="00A9005F">
                <w:pPr>
                  <w:pStyle w:val="AERtabletextright"/>
                  <w:cnfStyle w:val="000000010000" w:firstRow="0" w:lastRow="0" w:firstColumn="0" w:lastColumn="0" w:oddVBand="0" w:evenVBand="0" w:oddHBand="0" w:evenHBand="1" w:firstRowFirstColumn="0" w:firstRowLastColumn="0" w:lastRowFirstColumn="0" w:lastRowLastColumn="0"/>
                  <w:rPr>
                    <w:rStyle w:val="AERtexthighlight"/>
                    <w:shd w:val="clear" w:color="auto" w:fill="auto"/>
                  </w:rPr>
                </w:pPr>
              </w:p>
            </w:tc>
            <w:tc>
              <w:tcPr>
                <w:tcW w:w="1242" w:type="dxa"/>
                <w:vAlign w:val="top"/>
              </w:tcPr>
              <w:p w:rsidR="003774A0" w:rsidRPr="003E5A8F" w:rsidRDefault="003774A0" w:rsidP="00A9005F">
                <w:pPr>
                  <w:pStyle w:val="AERtabletextright"/>
                  <w:cnfStyle w:val="000000010000" w:firstRow="0" w:lastRow="0" w:firstColumn="0" w:lastColumn="0" w:oddVBand="0" w:evenVBand="0" w:oddHBand="0" w:evenHBand="1" w:firstRowFirstColumn="0" w:firstRowLastColumn="0" w:lastRowFirstColumn="0" w:lastRowLastColumn="0"/>
                  <w:rPr>
                    <w:rStyle w:val="AERtexthighlight"/>
                    <w:shd w:val="clear" w:color="auto" w:fill="auto"/>
                  </w:rPr>
                </w:pPr>
                <w:r w:rsidRPr="003E5A8F">
                  <w:rPr>
                    <w:rStyle w:val="AERtexthighlight"/>
                    <w:shd w:val="clear" w:color="auto" w:fill="auto"/>
                  </w:rPr>
                  <w:t xml:space="preserve"> 14.49 </w:t>
                </w:r>
              </w:p>
            </w:tc>
            <w:tc>
              <w:tcPr>
                <w:tcW w:w="1242" w:type="dxa"/>
                <w:vAlign w:val="top"/>
              </w:tcPr>
              <w:p w:rsidR="003774A0" w:rsidRPr="003E5A8F" w:rsidRDefault="003774A0" w:rsidP="00A9005F">
                <w:pPr>
                  <w:pStyle w:val="AERtabletextright"/>
                  <w:cnfStyle w:val="000000010000" w:firstRow="0" w:lastRow="0" w:firstColumn="0" w:lastColumn="0" w:oddVBand="0" w:evenVBand="0" w:oddHBand="0" w:evenHBand="1" w:firstRowFirstColumn="0" w:firstRowLastColumn="0" w:lastRowFirstColumn="0" w:lastRowLastColumn="0"/>
                  <w:rPr>
                    <w:rStyle w:val="AERtexthighlight"/>
                    <w:shd w:val="clear" w:color="auto" w:fill="auto"/>
                  </w:rPr>
                </w:pPr>
                <w:r w:rsidRPr="003E5A8F">
                  <w:rPr>
                    <w:rStyle w:val="AERtexthighlight"/>
                    <w:shd w:val="clear" w:color="auto" w:fill="auto"/>
                  </w:rPr>
                  <w:t xml:space="preserve"> 14.39 </w:t>
                </w:r>
              </w:p>
            </w:tc>
            <w:tc>
              <w:tcPr>
                <w:tcW w:w="1242" w:type="dxa"/>
                <w:vAlign w:val="top"/>
              </w:tcPr>
              <w:p w:rsidR="003774A0" w:rsidRPr="003E5A8F" w:rsidRDefault="003774A0" w:rsidP="00A9005F">
                <w:pPr>
                  <w:pStyle w:val="AERtabletextright"/>
                  <w:cnfStyle w:val="000000010000" w:firstRow="0" w:lastRow="0" w:firstColumn="0" w:lastColumn="0" w:oddVBand="0" w:evenVBand="0" w:oddHBand="0" w:evenHBand="1" w:firstRowFirstColumn="0" w:firstRowLastColumn="0" w:lastRowFirstColumn="0" w:lastRowLastColumn="0"/>
                  <w:rPr>
                    <w:rStyle w:val="AERtexthighlight"/>
                    <w:shd w:val="clear" w:color="auto" w:fill="auto"/>
                  </w:rPr>
                </w:pPr>
                <w:r w:rsidRPr="003E5A8F">
                  <w:rPr>
                    <w:rStyle w:val="AERtexthighlight"/>
                    <w:shd w:val="clear" w:color="auto" w:fill="auto"/>
                  </w:rPr>
                  <w:t xml:space="preserve"> 14.29 </w:t>
                </w:r>
              </w:p>
            </w:tc>
            <w:tc>
              <w:tcPr>
                <w:tcW w:w="1242" w:type="dxa"/>
                <w:vAlign w:val="top"/>
              </w:tcPr>
              <w:p w:rsidR="003774A0" w:rsidRPr="0017798F" w:rsidRDefault="003774A0" w:rsidP="0017798F">
                <w:pPr>
                  <w:pStyle w:val="AERtabletextright"/>
                  <w:cnfStyle w:val="000000010000" w:firstRow="0" w:lastRow="0" w:firstColumn="0" w:lastColumn="0" w:oddVBand="0" w:evenVBand="0" w:oddHBand="0" w:evenHBand="1" w:firstRowFirstColumn="0" w:firstRowLastColumn="0" w:lastRowFirstColumn="0" w:lastRowLastColumn="0"/>
                  <w:rPr>
                    <w:rStyle w:val="AERtexthighlight"/>
                    <w:shd w:val="clear" w:color="auto" w:fill="auto"/>
                  </w:rPr>
                </w:pPr>
                <w:r w:rsidRPr="0017798F">
                  <w:rPr>
                    <w:rStyle w:val="AERtexthighlight"/>
                    <w:shd w:val="clear" w:color="auto" w:fill="auto"/>
                  </w:rPr>
                  <w:t>43.2</w:t>
                </w:r>
                <w:r w:rsidR="0017798F" w:rsidRPr="0017798F">
                  <w:rPr>
                    <w:rStyle w:val="AERtexthighlight"/>
                    <w:shd w:val="clear" w:color="auto" w:fill="auto"/>
                  </w:rPr>
                  <w:t>0</w:t>
                </w:r>
              </w:p>
            </w:tc>
          </w:tr>
          <w:tr w:rsidR="00D23FB0" w:rsidRPr="00D23FB0" w:rsidTr="00A9005F">
            <w:tc>
              <w:tcPr>
                <w:cnfStyle w:val="001000000000" w:firstRow="0" w:lastRow="0" w:firstColumn="1" w:lastColumn="0" w:oddVBand="0" w:evenVBand="0" w:oddHBand="0" w:evenHBand="0" w:firstRowFirstColumn="0" w:firstRowLastColumn="0" w:lastRowFirstColumn="0" w:lastRowLastColumn="0"/>
                <w:tcW w:w="1241" w:type="dxa"/>
                <w:vAlign w:val="top"/>
              </w:tcPr>
              <w:p w:rsidR="00D23FB0" w:rsidRPr="00D23FB0" w:rsidRDefault="00D23FB0" w:rsidP="00D23FB0">
                <w:pPr>
                  <w:pStyle w:val="AERtabletextleft"/>
                </w:pPr>
                <w:r w:rsidRPr="00D23FB0">
                  <w:t>Total to be recovered from customers</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rPr>
                </w:pPr>
                <w:r w:rsidRPr="00D23FB0">
                  <w:t>2208.8</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rPr>
                </w:pPr>
                <w:r w:rsidRPr="00D23FB0">
                  <w:t>1693.2</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rPr>
                </w:pPr>
                <w:r w:rsidRPr="00D23FB0">
                  <w:t>1651.6</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rPr>
                </w:pPr>
                <w:r w:rsidRPr="00D23FB0">
                  <w:t>1642.1</w:t>
                </w:r>
              </w:p>
            </w:tc>
            <w:tc>
              <w:tcPr>
                <w:tcW w:w="1242" w:type="dxa"/>
                <w:vAlign w:val="top"/>
              </w:tcPr>
              <w:p w:rsidR="00D23FB0" w:rsidRPr="00D23FB0"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rPr>
                </w:pPr>
                <w:r w:rsidRPr="00D23FB0">
                  <w:t>1632.7</w:t>
                </w:r>
              </w:p>
            </w:tc>
            <w:tc>
              <w:tcPr>
                <w:tcW w:w="1242" w:type="dxa"/>
                <w:vAlign w:val="top"/>
              </w:tcPr>
              <w:p w:rsidR="00D23FB0" w:rsidRPr="000D0D17" w:rsidRDefault="00D23FB0" w:rsidP="00A9005F">
                <w:pPr>
                  <w:pStyle w:val="AERtabletextright"/>
                  <w:cnfStyle w:val="000000000000" w:firstRow="0" w:lastRow="0" w:firstColumn="0" w:lastColumn="0" w:oddVBand="0" w:evenVBand="0" w:oddHBand="0" w:evenHBand="0" w:firstRowFirstColumn="0" w:firstRowLastColumn="0" w:lastRowFirstColumn="0" w:lastRowLastColumn="0"/>
                  <w:rPr>
                    <w:rStyle w:val="AERtexthighlight"/>
                    <w:shd w:val="clear" w:color="auto" w:fill="auto"/>
                  </w:rPr>
                </w:pPr>
                <w:r w:rsidRPr="000D0D17">
                  <w:rPr>
                    <w:rStyle w:val="AERtexthighlight"/>
                    <w:shd w:val="clear" w:color="auto" w:fill="auto"/>
                  </w:rPr>
                  <w:t>8828.4</w:t>
                </w:r>
              </w:p>
            </w:tc>
          </w:tr>
        </w:tbl>
        <w:p w:rsidR="0041104C" w:rsidRDefault="0041104C" w:rsidP="0041104C">
          <w:pPr>
            <w:pStyle w:val="AERtablesource"/>
          </w:pPr>
          <w:r>
            <w:t>Source:</w:t>
          </w:r>
          <w:r w:rsidR="00C43606">
            <w:t xml:space="preserve"> </w:t>
          </w:r>
          <w:r>
            <w:t xml:space="preserve">AER Analysis. </w:t>
          </w:r>
          <w:r w:rsidR="005A3BCE">
            <w:t xml:space="preserve">Numbers may not add due to rounding.  </w:t>
          </w:r>
          <w:r w:rsidRPr="00136D11">
            <w:t xml:space="preserve"> </w:t>
          </w:r>
        </w:p>
        <w:p w:rsidR="00045C26" w:rsidRPr="00045C26" w:rsidRDefault="00045C26" w:rsidP="00045C26">
          <w:r w:rsidRPr="00045C26">
            <w:t xml:space="preserve">We have undertaken </w:t>
          </w:r>
          <w:r>
            <w:t xml:space="preserve">extensive </w:t>
          </w:r>
          <w:r w:rsidRPr="00045C26">
            <w:t xml:space="preserve">consultation with Ausgrid where necessary to seek clarification on the information provided in its application and </w:t>
          </w:r>
          <w:r w:rsidR="00551DF1">
            <w:t>our</w:t>
          </w:r>
          <w:r w:rsidR="00551DF1" w:rsidRPr="00045C26">
            <w:t xml:space="preserve"> </w:t>
          </w:r>
          <w:r w:rsidR="00EA261F">
            <w:t xml:space="preserve">additional </w:t>
          </w:r>
          <w:r w:rsidRPr="00045C26">
            <w:t xml:space="preserve">information </w:t>
          </w:r>
          <w:r w:rsidR="00551DF1">
            <w:t>request</w:t>
          </w:r>
          <w:r w:rsidR="00EA261F">
            <w:t>s</w:t>
          </w:r>
          <w:r w:rsidR="00551DF1">
            <w:t xml:space="preserve"> </w:t>
          </w:r>
          <w:r w:rsidRPr="00045C26">
            <w:t>as part of our assessment. This includes:</w:t>
          </w:r>
        </w:p>
        <w:p w:rsidR="00045C26" w:rsidRDefault="00045C26" w:rsidP="00FE4DBB">
          <w:pPr>
            <w:pStyle w:val="AERbulletlistfirststyle"/>
          </w:pPr>
          <w:r w:rsidRPr="00045C26">
            <w:t xml:space="preserve">On 21 September 2015, we requested additional information from Ausgrid, to seek further clarification on </w:t>
          </w:r>
          <w:r w:rsidR="00FE4DBB" w:rsidRPr="00FE4DBB">
            <w:t>any supporting information that provides the assumptions and methodology used to determine the annual pass through amounts</w:t>
          </w:r>
          <w:r w:rsidR="00FE4DBB">
            <w:t>.</w:t>
          </w:r>
        </w:p>
        <w:p w:rsidR="00045C26" w:rsidRDefault="00045C26" w:rsidP="00023C20">
          <w:pPr>
            <w:pStyle w:val="AERbulletlistfirststyle"/>
          </w:pPr>
          <w:r w:rsidRPr="00045C26">
            <w:t>On 16 October, Ausgrid submitted additional information to support its pass through application</w:t>
          </w:r>
          <w:r w:rsidR="00FE4DBB">
            <w:t xml:space="preserve">, including a detailed breakdown of </w:t>
          </w:r>
          <w:r w:rsidR="006647D1">
            <w:t>proposed costs</w:t>
          </w:r>
          <w:r w:rsidR="00177E38">
            <w:t>.</w:t>
          </w:r>
          <w:r w:rsidR="00FE4DBB">
            <w:t xml:space="preserve"> </w:t>
          </w:r>
          <w:r w:rsidRPr="00045C26">
            <w:t xml:space="preserve"> </w:t>
          </w:r>
        </w:p>
        <w:p w:rsidR="00045C26" w:rsidRPr="00045C26" w:rsidRDefault="00045C26" w:rsidP="00023C20">
          <w:pPr>
            <w:pStyle w:val="AERbulletlistfirststyle"/>
          </w:pPr>
          <w:r w:rsidRPr="00045C26">
            <w:t xml:space="preserve">On 27 October and 4 November, </w:t>
          </w:r>
          <w:r w:rsidR="00551DF1">
            <w:t>we</w:t>
          </w:r>
          <w:r w:rsidR="00551DF1" w:rsidRPr="00045C26">
            <w:t xml:space="preserve"> </w:t>
          </w:r>
          <w:r w:rsidRPr="00045C26">
            <w:t xml:space="preserve">sought further clarification and requested additional information in relation to </w:t>
          </w:r>
          <w:r w:rsidR="0010225B">
            <w:t>the proposed capital and operating expenditure</w:t>
          </w:r>
          <w:r w:rsidR="006647D1">
            <w:t>s</w:t>
          </w:r>
          <w:r w:rsidR="00177E38">
            <w:t xml:space="preserve"> from that</w:t>
          </w:r>
          <w:r w:rsidR="0010225B">
            <w:t xml:space="preserve"> </w:t>
          </w:r>
          <w:r w:rsidRPr="00045C26">
            <w:t xml:space="preserve">provided in Ausgrid’s 16 October response. </w:t>
          </w:r>
        </w:p>
        <w:p w:rsidR="00045C26" w:rsidRPr="00045C26" w:rsidRDefault="00045C26" w:rsidP="00023C20">
          <w:pPr>
            <w:pStyle w:val="AERbulletlistfirststyle"/>
          </w:pPr>
          <w:r w:rsidRPr="00045C26">
            <w:t xml:space="preserve">On 6 </w:t>
          </w:r>
          <w:r>
            <w:t xml:space="preserve">and 12 </w:t>
          </w:r>
          <w:r w:rsidRPr="00045C26">
            <w:t xml:space="preserve">November Ausgrid submitted additional information to support its pass through application. </w:t>
          </w:r>
        </w:p>
        <w:p w:rsidR="005A3BCE" w:rsidRPr="00161583" w:rsidRDefault="005A3BCE" w:rsidP="005A3BCE">
          <w:pPr>
            <w:pStyle w:val="HeadingBoldBlue"/>
            <w:numPr>
              <w:ilvl w:val="0"/>
              <w:numId w:val="24"/>
            </w:numPr>
          </w:pPr>
          <w:bookmarkStart w:id="3" w:name="_Toc435796157"/>
          <w:bookmarkStart w:id="4" w:name="_Toc436138693"/>
          <w:r w:rsidRPr="00161583">
            <w:t>Structure of determination</w:t>
          </w:r>
          <w:bookmarkEnd w:id="3"/>
          <w:bookmarkEnd w:id="4"/>
        </w:p>
        <w:p w:rsidR="005A3BCE" w:rsidRDefault="005A3BCE" w:rsidP="005A3BCE">
          <w:pPr>
            <w:numPr>
              <w:ilvl w:val="0"/>
              <w:numId w:val="24"/>
            </w:numPr>
          </w:pPr>
          <w:r>
            <w:t>This determination is structured as follows:</w:t>
          </w:r>
        </w:p>
        <w:p w:rsidR="005A3BCE" w:rsidRPr="005A3BCE" w:rsidRDefault="005A3BCE" w:rsidP="005A3BCE">
          <w:pPr>
            <w:pStyle w:val="AERbulletlistfirststyle"/>
          </w:pPr>
          <w:r>
            <w:t xml:space="preserve">Chapter </w:t>
          </w:r>
          <w:r w:rsidR="000A5973">
            <w:t>2</w:t>
          </w:r>
          <w:r w:rsidR="00791291">
            <w:t xml:space="preserve"> </w:t>
          </w:r>
          <w:r>
            <w:t xml:space="preserve">sets out </w:t>
          </w:r>
          <w:r w:rsidRPr="005A3BCE">
            <w:t xml:space="preserve">our determination on </w:t>
          </w:r>
          <w:r w:rsidR="000A5973">
            <w:t>Ausgrid's</w:t>
          </w:r>
          <w:r w:rsidRPr="005A3BCE">
            <w:t xml:space="preserve"> pass through application</w:t>
          </w:r>
        </w:p>
        <w:p w:rsidR="005A3BCE" w:rsidRPr="005A3BCE" w:rsidRDefault="005A3BCE" w:rsidP="005A3BCE">
          <w:pPr>
            <w:pStyle w:val="AERbulletlistfirststyle"/>
          </w:pPr>
          <w:r>
            <w:t xml:space="preserve">Chapter </w:t>
          </w:r>
          <w:r w:rsidR="000A5973">
            <w:t>3</w:t>
          </w:r>
          <w:r>
            <w:t xml:space="preserve"> sets out </w:t>
          </w:r>
          <w:r w:rsidR="000A5973">
            <w:t>Ausgrid's</w:t>
          </w:r>
          <w:r w:rsidR="000A5973" w:rsidRPr="005A3BCE">
            <w:t xml:space="preserve"> </w:t>
          </w:r>
          <w:r w:rsidRPr="005A3BCE">
            <w:t xml:space="preserve">pass through application </w:t>
          </w:r>
        </w:p>
        <w:p w:rsidR="005A3BCE" w:rsidRPr="005A3BCE" w:rsidRDefault="005A3BCE" w:rsidP="00791291">
          <w:pPr>
            <w:pStyle w:val="AERbulletlistfirststyle"/>
          </w:pPr>
          <w:r>
            <w:t xml:space="preserve">Chapter </w:t>
          </w:r>
          <w:r w:rsidR="00791291">
            <w:t>4</w:t>
          </w:r>
          <w:r>
            <w:t xml:space="preserve"> sets out </w:t>
          </w:r>
          <w:r w:rsidR="00791291">
            <w:t>r</w:t>
          </w:r>
          <w:r w:rsidR="00791291" w:rsidRPr="00791291">
            <w:t>elevant regulatory requirements</w:t>
          </w:r>
          <w:r w:rsidR="00791291">
            <w:t xml:space="preserve"> and </w:t>
          </w:r>
          <w:r w:rsidRPr="005A3BCE">
            <w:t>our assessment approach</w:t>
          </w:r>
        </w:p>
        <w:p w:rsidR="005A3BCE" w:rsidRPr="005A3BCE" w:rsidRDefault="005A3BCE" w:rsidP="005A3BCE">
          <w:pPr>
            <w:pStyle w:val="AERbulletlistfirststyle"/>
          </w:pPr>
          <w:r>
            <w:t xml:space="preserve">Chapter </w:t>
          </w:r>
          <w:r w:rsidR="00791291">
            <w:t>5</w:t>
          </w:r>
          <w:r>
            <w:t xml:space="preserve"> sets out </w:t>
          </w:r>
          <w:r w:rsidRPr="005A3BCE">
            <w:t>our reasons for determination.</w:t>
          </w:r>
        </w:p>
        <w:p w:rsidR="004A564B" w:rsidRDefault="004A564B" w:rsidP="004A564B">
          <w:pPr>
            <w:numPr>
              <w:ilvl w:val="0"/>
              <w:numId w:val="24"/>
            </w:numPr>
          </w:pPr>
          <w:r w:rsidRPr="0084176F">
            <w:t xml:space="preserve">  </w:t>
          </w:r>
        </w:p>
        <w:p w:rsidR="00D94DAD" w:rsidRPr="00D94DAD" w:rsidRDefault="00D94DAD" w:rsidP="00D94DAD">
          <w:pPr>
            <w:pStyle w:val="Heading1"/>
          </w:pPr>
          <w:bookmarkStart w:id="5" w:name="_Toc436138694"/>
          <w:bookmarkStart w:id="6" w:name="_Toc414977510"/>
          <w:bookmarkStart w:id="7" w:name="_Toc417978945"/>
          <w:r w:rsidRPr="00D94DAD">
            <w:lastRenderedPageBreak/>
            <w:t>Determination</w:t>
          </w:r>
          <w:bookmarkEnd w:id="5"/>
        </w:p>
        <w:bookmarkEnd w:id="6"/>
        <w:bookmarkEnd w:id="7"/>
        <w:p w:rsidR="007811D4" w:rsidRPr="007811D4" w:rsidRDefault="007811D4" w:rsidP="007811D4">
          <w:r w:rsidRPr="007811D4">
            <w:t xml:space="preserve">The pass through mechanism of the </w:t>
          </w:r>
          <w:r w:rsidR="00662670">
            <w:t>National Electricity Rules</w:t>
          </w:r>
          <w:r w:rsidRPr="007811D4">
            <w:t xml:space="preserve"> recognises that a distributor can be exposed to risks beyond its control, which may have a material impact on its costs. A cost pass through enables a distributor to recover (or pass through) the costs of defined unpredictable, high cost events that are not built into our distribution determination. The NER includes the following prescribed pass through events for all distributors: </w:t>
          </w:r>
        </w:p>
        <w:p w:rsidR="007811D4" w:rsidRPr="007811D4" w:rsidRDefault="007811D4" w:rsidP="00A9005F">
          <w:pPr>
            <w:pStyle w:val="AERbulletlistfirststyle"/>
          </w:pPr>
          <w:r w:rsidRPr="007811D4">
            <w:t xml:space="preserve">a regulatory change event </w:t>
          </w:r>
        </w:p>
        <w:p w:rsidR="007811D4" w:rsidRPr="007811D4" w:rsidRDefault="007811D4" w:rsidP="00A9005F">
          <w:pPr>
            <w:pStyle w:val="AERbulletlistfirststyle"/>
          </w:pPr>
          <w:r w:rsidRPr="007811D4">
            <w:t xml:space="preserve">a service standard event </w:t>
          </w:r>
        </w:p>
        <w:p w:rsidR="007811D4" w:rsidRPr="007811D4" w:rsidRDefault="007811D4" w:rsidP="00A9005F">
          <w:pPr>
            <w:pStyle w:val="AERbulletlistfirststyle"/>
          </w:pPr>
          <w:r w:rsidRPr="007811D4">
            <w:t xml:space="preserve">a tax change event </w:t>
          </w:r>
        </w:p>
        <w:p w:rsidR="007811D4" w:rsidRPr="007811D4" w:rsidRDefault="007811D4" w:rsidP="00A9005F">
          <w:pPr>
            <w:pStyle w:val="AERbulletlistfirststyle"/>
          </w:pPr>
          <w:r w:rsidRPr="007811D4">
            <w:t xml:space="preserve">a retailer insolvency event </w:t>
          </w:r>
        </w:p>
        <w:p w:rsidR="007811D4" w:rsidRPr="007811D4" w:rsidRDefault="007811D4" w:rsidP="00A9005F">
          <w:pPr>
            <w:pStyle w:val="AERbulletlistfirststyle"/>
          </w:pPr>
          <w:r w:rsidRPr="007811D4">
            <w:t>any other event specified in a determination as a pass through event (nominated pass through event).</w:t>
          </w:r>
        </w:p>
        <w:p w:rsidR="007811D4" w:rsidRPr="007811D4" w:rsidRDefault="007811D4" w:rsidP="007811D4">
          <w:r w:rsidRPr="007811D4">
            <w:t>This decision relates to a general nominated pass through ev</w:t>
          </w:r>
          <w:r w:rsidR="00662670">
            <w:t>ent specified in Ausgrid’s 2014–</w:t>
          </w:r>
          <w:r w:rsidRPr="007811D4">
            <w:t>15 transitional distribution determination.</w:t>
          </w:r>
        </w:p>
        <w:p w:rsidR="007811D4" w:rsidRPr="007811D4" w:rsidRDefault="007811D4" w:rsidP="007811D4">
          <w:r w:rsidRPr="007811D4">
            <w:t>Our discretion in assessing pass through events is limited in the NER under clause 6.6.1 (j) which is replicated in section 4.1 of this decision.</w:t>
          </w:r>
        </w:p>
        <w:p w:rsidR="00EA261F" w:rsidRDefault="00D94DAD" w:rsidP="009E285A">
          <w:pPr>
            <w:numPr>
              <w:ilvl w:val="0"/>
              <w:numId w:val="24"/>
            </w:numPr>
          </w:pPr>
          <w:r>
            <w:t xml:space="preserve">We </w:t>
          </w:r>
          <w:r w:rsidR="009E285A">
            <w:t>are</w:t>
          </w:r>
          <w:r w:rsidRPr="005A6FDF">
            <w:t xml:space="preserve"> satisfied that a </w:t>
          </w:r>
          <w:r w:rsidRPr="00602D86">
            <w:t xml:space="preserve">general nominated pass through </w:t>
          </w:r>
          <w:r w:rsidR="00551DF1">
            <w:t xml:space="preserve">event </w:t>
          </w:r>
          <w:r w:rsidRPr="005A6FDF">
            <w:t xml:space="preserve">as </w:t>
          </w:r>
          <w:r w:rsidR="00D91C9A">
            <w:t>specified in</w:t>
          </w:r>
          <w:r w:rsidR="002A687E">
            <w:t xml:space="preserve"> Ausgrid</w:t>
          </w:r>
          <w:r w:rsidR="00D91C9A">
            <w:t>'s</w:t>
          </w:r>
          <w:r w:rsidR="002A687E">
            <w:t xml:space="preserve"> 2014–15 transitional </w:t>
          </w:r>
          <w:r w:rsidR="00D91C9A">
            <w:t xml:space="preserve">distribution </w:t>
          </w:r>
          <w:r>
            <w:t xml:space="preserve">determination </w:t>
          </w:r>
          <w:r w:rsidRPr="005A6FDF">
            <w:t>ha</w:t>
          </w:r>
          <w:r w:rsidR="00551DF1">
            <w:t>d</w:t>
          </w:r>
          <w:r w:rsidRPr="005A6FDF">
            <w:t xml:space="preserve"> occurred.</w:t>
          </w:r>
        </w:p>
        <w:p w:rsidR="00EA261F" w:rsidRDefault="00D94DAD" w:rsidP="009E285A">
          <w:pPr>
            <w:numPr>
              <w:ilvl w:val="0"/>
              <w:numId w:val="24"/>
            </w:numPr>
          </w:pPr>
          <w:r w:rsidRPr="005A6FDF">
            <w:t xml:space="preserve">We are satisfied that the </w:t>
          </w:r>
          <w:r w:rsidR="00DF78F4">
            <w:t xml:space="preserve">total capital expenditure and operating expenditure </w:t>
          </w:r>
          <w:r w:rsidRPr="005A6FDF">
            <w:t xml:space="preserve"> determined</w:t>
          </w:r>
          <w:r w:rsidR="006E63CD">
            <w:t xml:space="preserve"> in Table </w:t>
          </w:r>
          <w:r w:rsidR="001C7790">
            <w:t>3</w:t>
          </w:r>
          <w:r w:rsidRPr="005A6FDF">
            <w:t xml:space="preserve"> are the prudent and e</w:t>
          </w:r>
          <w:r w:rsidR="002A687E">
            <w:t>fficient amounts that have been</w:t>
          </w:r>
          <w:r w:rsidRPr="005A6FDF">
            <w:t xml:space="preserve"> incurred by </w:t>
          </w:r>
          <w:r w:rsidR="002A687E">
            <w:t>Ausgrid</w:t>
          </w:r>
          <w:r w:rsidR="00D91C9A">
            <w:t xml:space="preserve"> for restoring supply to </w:t>
          </w:r>
          <w:r w:rsidR="00EA261F">
            <w:t xml:space="preserve">its </w:t>
          </w:r>
          <w:r w:rsidR="00D91C9A">
            <w:t>distribution network</w:t>
          </w:r>
          <w:r w:rsidRPr="005A6FDF">
            <w:t>.</w:t>
          </w:r>
          <w:r w:rsidR="00746B96">
            <w:t xml:space="preserve"> </w:t>
          </w:r>
          <w:r w:rsidR="00746B96" w:rsidRPr="00746B96">
            <w:t xml:space="preserve">This amount has been used to derive the approved pass through amounts using the </w:t>
          </w:r>
          <w:r w:rsidR="00662670">
            <w:t xml:space="preserve">post-tax revenue model </w:t>
          </w:r>
          <w:r w:rsidR="00746B96" w:rsidRPr="00746B96">
            <w:t>for Ausgrid, as set out in our Final Decision.</w:t>
          </w:r>
          <w:r w:rsidR="00746B96" w:rsidRPr="00746B96">
            <w:rPr>
              <w:rStyle w:val="FootnoteReference"/>
            </w:rPr>
            <w:footnoteReference w:id="1"/>
          </w:r>
        </w:p>
        <w:p w:rsidR="00EA261F" w:rsidRDefault="00D94DAD" w:rsidP="009E285A">
          <w:pPr>
            <w:numPr>
              <w:ilvl w:val="0"/>
              <w:numId w:val="24"/>
            </w:numPr>
          </w:pPr>
          <w:r w:rsidRPr="005A6FDF">
            <w:t xml:space="preserve">We are satisfied that </w:t>
          </w:r>
          <w:r w:rsidR="00EA261F">
            <w:t xml:space="preserve">these costs represent </w:t>
          </w:r>
          <w:r w:rsidRPr="005A6FDF">
            <w:t>a material increase</w:t>
          </w:r>
          <w:r w:rsidR="00EA261F">
            <w:t>,</w:t>
          </w:r>
          <w:r w:rsidR="002A687E">
            <w:t xml:space="preserve"> </w:t>
          </w:r>
          <w:r w:rsidR="00EA261F">
            <w:t xml:space="preserve">incurred </w:t>
          </w:r>
          <w:r w:rsidR="002A687E">
            <w:t>in the 201</w:t>
          </w:r>
          <w:r w:rsidR="00D91C9A">
            <w:t>4–15</w:t>
          </w:r>
          <w:r w:rsidRPr="005A6FDF">
            <w:t xml:space="preserve"> </w:t>
          </w:r>
          <w:r w:rsidR="00D91C9A">
            <w:t xml:space="preserve">regulatory </w:t>
          </w:r>
          <w:r w:rsidRPr="005A6FDF">
            <w:t xml:space="preserve">year. </w:t>
          </w:r>
          <w:r>
            <w:t>In making this determination</w:t>
          </w:r>
          <w:r w:rsidR="00551DF1">
            <w:t>,</w:t>
          </w:r>
          <w:r>
            <w:t xml:space="preserve"> we have considered the factors set out in clause 6.6.1(j) of the NER.</w:t>
          </w:r>
        </w:p>
        <w:p w:rsidR="00D94DAD" w:rsidRDefault="00EA261F" w:rsidP="00602D86">
          <w:r>
            <w:t xml:space="preserve">Finally, </w:t>
          </w:r>
          <w:r w:rsidR="00D94DAD" w:rsidRPr="005A6FDF">
            <w:t xml:space="preserve">we have determined the </w:t>
          </w:r>
          <w:r w:rsidR="00D94DAD">
            <w:t xml:space="preserve">approved </w:t>
          </w:r>
          <w:r w:rsidR="00DF78F4">
            <w:t xml:space="preserve">positive </w:t>
          </w:r>
          <w:r w:rsidR="00D94DAD" w:rsidRPr="005A6FDF">
            <w:t xml:space="preserve">pass through amount to be </w:t>
          </w:r>
          <w:r w:rsidR="00D94DAD" w:rsidRPr="003E5A8F">
            <w:rPr>
              <w:rStyle w:val="AERbody"/>
            </w:rPr>
            <w:t>$</w:t>
          </w:r>
          <w:r w:rsidR="009E285A" w:rsidRPr="003E5A8F">
            <w:rPr>
              <w:rStyle w:val="AERbody"/>
            </w:rPr>
            <w:t>43.2</w:t>
          </w:r>
          <w:r w:rsidR="002A687E">
            <w:t xml:space="preserve"> </w:t>
          </w:r>
          <w:r w:rsidR="00D94DAD" w:rsidRPr="005A6FDF">
            <w:t>m</w:t>
          </w:r>
          <w:r w:rsidR="00D94DAD">
            <w:t>illion</w:t>
          </w:r>
          <w:r w:rsidR="00D94DAD" w:rsidRPr="005A6FDF">
            <w:t xml:space="preserve"> ($</w:t>
          </w:r>
          <w:r w:rsidR="003241DD">
            <w:t>'</w:t>
          </w:r>
          <w:r w:rsidR="00D028DF">
            <w:t xml:space="preserve"> </w:t>
          </w:r>
          <w:r w:rsidR="00791291">
            <w:t>nominal</w:t>
          </w:r>
          <w:r w:rsidR="00D94DAD" w:rsidRPr="005A6FDF">
            <w:t>)</w:t>
          </w:r>
          <w:r>
            <w:t>. This is the amount that Ausgrid wil</w:t>
          </w:r>
          <w:r w:rsidR="002B2039">
            <w:t>l</w:t>
          </w:r>
          <w:r>
            <w:t xml:space="preserve"> </w:t>
          </w:r>
          <w:r w:rsidR="00BB1484">
            <w:t xml:space="preserve">recover </w:t>
          </w:r>
          <w:r>
            <w:t>from customers</w:t>
          </w:r>
          <w:r w:rsidR="006D44A0">
            <w:t xml:space="preserve"> over the </w:t>
          </w:r>
          <w:r>
            <w:t xml:space="preserve">three </w:t>
          </w:r>
          <w:r w:rsidR="006D44A0">
            <w:t xml:space="preserve">years commencing </w:t>
          </w:r>
          <w:r w:rsidR="00BB1484">
            <w:t>1</w:t>
          </w:r>
          <w:r w:rsidR="00A9005F" w:rsidRPr="00A9005F">
            <w:t xml:space="preserve"> </w:t>
          </w:r>
          <w:r w:rsidR="00A9005F">
            <w:t>July</w:t>
          </w:r>
          <w:r w:rsidR="00BB1484">
            <w:t xml:space="preserve"> </w:t>
          </w:r>
          <w:r w:rsidR="006D44A0">
            <w:t>2016</w:t>
          </w:r>
          <w:r w:rsidR="00791CB5">
            <w:t>.</w:t>
          </w:r>
          <w:r w:rsidR="00C208CC" w:rsidRPr="00C208CC">
            <w:t xml:space="preserve"> </w:t>
          </w:r>
          <w:r w:rsidR="00AB6C69">
            <w:t>This</w:t>
          </w:r>
          <w:r w:rsidR="00C208CC">
            <w:t xml:space="preserve"> </w:t>
          </w:r>
          <w:r w:rsidR="00C208CC" w:rsidRPr="00C208CC">
            <w:t xml:space="preserve">is different from the </w:t>
          </w:r>
          <w:r w:rsidR="007400F8">
            <w:t xml:space="preserve">building block </w:t>
          </w:r>
          <w:r w:rsidR="00C208CC" w:rsidRPr="00C208CC">
            <w:t>amount of $37.9</w:t>
          </w:r>
          <w:r w:rsidR="00177E38">
            <w:t> </w:t>
          </w:r>
          <w:r w:rsidR="00C208CC" w:rsidRPr="00C208CC">
            <w:t xml:space="preserve">million ($' nominal) proposed by Ausgrid. We identified some errors in Ausgrid's financial modelling </w:t>
          </w:r>
          <w:r w:rsidR="00177E38">
            <w:t>which we have corrected. This</w:t>
          </w:r>
          <w:r w:rsidR="00177E38" w:rsidRPr="00C208CC">
            <w:t xml:space="preserve"> results</w:t>
          </w:r>
          <w:r w:rsidR="00C208CC" w:rsidRPr="00C208CC">
            <w:t xml:space="preserve"> in </w:t>
          </w:r>
          <w:r w:rsidR="0052176A">
            <w:t xml:space="preserve">a </w:t>
          </w:r>
          <w:r w:rsidR="00C208CC" w:rsidRPr="00C208CC">
            <w:t>higher amount</w:t>
          </w:r>
          <w:r w:rsidR="00E10571">
            <w:t xml:space="preserve"> being approved</w:t>
          </w:r>
          <w:r w:rsidR="00177E38">
            <w:t xml:space="preserve"> than was proposed</w:t>
          </w:r>
          <w:r w:rsidR="00C208CC" w:rsidRPr="00C208CC">
            <w:t>.</w:t>
          </w:r>
          <w:r w:rsidR="00A9005F" w:rsidDel="00A9005F">
            <w:t xml:space="preserve"> </w:t>
          </w:r>
        </w:p>
        <w:p w:rsidR="00E60731" w:rsidRDefault="00D91C9A" w:rsidP="00E60731">
          <w:pPr>
            <w:pStyle w:val="Heading1"/>
          </w:pPr>
          <w:bookmarkStart w:id="8" w:name="_Toc436138695"/>
          <w:bookmarkStart w:id="9" w:name="_Toc390936279"/>
          <w:bookmarkStart w:id="10" w:name="_Toc404437129"/>
          <w:bookmarkStart w:id="11" w:name="_Toc411428029"/>
          <w:r>
            <w:lastRenderedPageBreak/>
            <w:t>Ausgrid's</w:t>
          </w:r>
          <w:r w:rsidR="00E60731" w:rsidRPr="00E60731">
            <w:t xml:space="preserve"> pass through application</w:t>
          </w:r>
          <w:bookmarkEnd w:id="8"/>
        </w:p>
        <w:p w:rsidR="006D44A0" w:rsidRDefault="00D91C9A" w:rsidP="00F341EF">
          <w:r>
            <w:t>On 21 August 2015, we received a cost pass through application from Ausgrid for additional</w:t>
          </w:r>
          <w:r w:rsidRPr="00F50064">
            <w:t xml:space="preserve"> </w:t>
          </w:r>
          <w:r w:rsidR="006E63CD">
            <w:t xml:space="preserve">capital </w:t>
          </w:r>
          <w:r>
            <w:t>expenditure</w:t>
          </w:r>
          <w:r w:rsidRPr="00F50064">
            <w:t xml:space="preserve"> </w:t>
          </w:r>
          <w:r w:rsidR="006E63CD">
            <w:t xml:space="preserve">and operating expenditure </w:t>
          </w:r>
          <w:r>
            <w:t xml:space="preserve">in the current regulatory control period associated with supply </w:t>
          </w:r>
          <w:r w:rsidRPr="00494AE9">
            <w:t xml:space="preserve">restoration in response to the </w:t>
          </w:r>
          <w:r>
            <w:t xml:space="preserve">April 2015 </w:t>
          </w:r>
          <w:r w:rsidRPr="00494AE9">
            <w:t>storms</w:t>
          </w:r>
          <w:r>
            <w:t>.</w:t>
          </w:r>
        </w:p>
        <w:p w:rsidR="00117D4E" w:rsidRDefault="00D91C9A" w:rsidP="00F341EF">
          <w:r>
            <w:t>The expenditure</w:t>
          </w:r>
          <w:r w:rsidRPr="003E53DC">
            <w:t xml:space="preserve"> </w:t>
          </w:r>
          <w:r>
            <w:t>results from</w:t>
          </w:r>
          <w:r w:rsidRPr="00E333A9">
            <w:t xml:space="preserve"> providing distribution</w:t>
          </w:r>
          <w:r>
            <w:t xml:space="preserve"> </w:t>
          </w:r>
          <w:r w:rsidRPr="00E333A9">
            <w:t>services to remedy the damage done to Ausgrid’s distribution network from the severe weather conditions caused by the</w:t>
          </w:r>
          <w:r>
            <w:t xml:space="preserve"> </w:t>
          </w:r>
          <w:r w:rsidRPr="00E333A9">
            <w:t>East Coast Low in April 2015</w:t>
          </w:r>
          <w:r w:rsidR="00662670">
            <w:t xml:space="preserve"> (</w:t>
          </w:r>
          <w:r>
            <w:t>the</w:t>
          </w:r>
          <w:r w:rsidR="00662670">
            <w:t xml:space="preserve"> April storm event</w:t>
          </w:r>
          <w:r>
            <w:t>)</w:t>
          </w:r>
          <w:r w:rsidRPr="00E333A9">
            <w:t>.</w:t>
          </w:r>
        </w:p>
        <w:p w:rsidR="00F341EF" w:rsidRDefault="00F341EF" w:rsidP="00F341EF">
          <w:r>
            <w:t xml:space="preserve">Ausgrid </w:t>
          </w:r>
          <w:r w:rsidR="00063482">
            <w:t xml:space="preserve">stated </w:t>
          </w:r>
          <w:r>
            <w:t>that t</w:t>
          </w:r>
          <w:r w:rsidRPr="00E60731">
            <w:t>he damage sustained from the</w:t>
          </w:r>
          <w:r w:rsidR="006D44A0" w:rsidRPr="006D44A0">
            <w:t xml:space="preserve"> </w:t>
          </w:r>
          <w:r w:rsidR="006D44A0">
            <w:t>April storm event</w:t>
          </w:r>
          <w:r w:rsidR="006D44A0" w:rsidRPr="00E60731">
            <w:t xml:space="preserve"> </w:t>
          </w:r>
          <w:r w:rsidRPr="00E60731">
            <w:t xml:space="preserve">was unprecedented and resulted in a total of 22 local government areas being declared natural disaster </w:t>
          </w:r>
          <w:r w:rsidR="00662670">
            <w:t>zones;</w:t>
          </w:r>
          <w:r w:rsidR="006D44A0">
            <w:t xml:space="preserve"> </w:t>
          </w:r>
          <w:r w:rsidRPr="00E60731">
            <w:t xml:space="preserve">16 of </w:t>
          </w:r>
          <w:r w:rsidR="006D44A0">
            <w:t>these were</w:t>
          </w:r>
          <w:r w:rsidR="006D44A0" w:rsidRPr="00E60731">
            <w:t xml:space="preserve"> </w:t>
          </w:r>
          <w:r w:rsidRPr="00E60731">
            <w:t>within Ausgrid’s network area</w:t>
          </w:r>
          <w:r>
            <w:t xml:space="preserve">. </w:t>
          </w:r>
          <w:r w:rsidR="00BB1484">
            <w:t>The</w:t>
          </w:r>
          <w:r w:rsidR="00BB1484" w:rsidRPr="009662D1">
            <w:t xml:space="preserve"> </w:t>
          </w:r>
          <w:r w:rsidRPr="009662D1">
            <w:t xml:space="preserve">restoration took </w:t>
          </w:r>
          <w:r>
            <w:t xml:space="preserve">more than </w:t>
          </w:r>
          <w:r w:rsidRPr="009662D1">
            <w:t xml:space="preserve">10 days to </w:t>
          </w:r>
          <w:r>
            <w:t>complete and affected around 20 per cent</w:t>
          </w:r>
          <w:r w:rsidRPr="009662D1">
            <w:t xml:space="preserve"> </w:t>
          </w:r>
          <w:r w:rsidR="006D44A0">
            <w:t xml:space="preserve">(300,000) </w:t>
          </w:r>
          <w:r w:rsidRPr="009662D1">
            <w:t>of Ausgrid’s customers</w:t>
          </w:r>
          <w:r>
            <w:t>.</w:t>
          </w:r>
          <w:r>
            <w:rPr>
              <w:rStyle w:val="FootnoteReference"/>
            </w:rPr>
            <w:footnoteReference w:id="2"/>
          </w:r>
        </w:p>
        <w:p w:rsidR="006D44A0" w:rsidRDefault="00D91C9A" w:rsidP="00117D4E">
          <w:r>
            <w:t>Ausgrid submitted that</w:t>
          </w:r>
          <w:r w:rsidR="006D44A0">
            <w:t>:</w:t>
          </w:r>
        </w:p>
        <w:p w:rsidR="006D44A0" w:rsidRDefault="003D57CC" w:rsidP="00791291">
          <w:pPr>
            <w:pStyle w:val="AERbulletlistfirststyle"/>
          </w:pPr>
          <w:r>
            <w:t>the April storm event</w:t>
          </w:r>
          <w:r w:rsidR="00F341EF">
            <w:t xml:space="preserve"> </w:t>
          </w:r>
          <w:r w:rsidR="00D91C9A" w:rsidRPr="00DA3089">
            <w:t>me</w:t>
          </w:r>
          <w:r w:rsidR="006D44A0">
            <w:t>t</w:t>
          </w:r>
          <w:r w:rsidR="00D91C9A" w:rsidRPr="00DA3089">
            <w:t xml:space="preserve"> the relevan</w:t>
          </w:r>
          <w:r w:rsidR="00662670">
            <w:t xml:space="preserve">t requirements to qualify as a </w:t>
          </w:r>
          <w:r w:rsidR="00D91C9A" w:rsidRPr="00DA3089">
            <w:t>genera</w:t>
          </w:r>
          <w:r w:rsidR="00D91C9A" w:rsidRPr="00E60731">
            <w:t>l nominated pass through event</w:t>
          </w:r>
          <w:r w:rsidR="00481775">
            <w:rPr>
              <w:rStyle w:val="FootnoteReference"/>
            </w:rPr>
            <w:footnoteReference w:id="3"/>
          </w:r>
        </w:p>
        <w:p w:rsidR="006D44A0" w:rsidRDefault="003D57CC" w:rsidP="00224BB4">
          <w:pPr>
            <w:pStyle w:val="AERbulletlistfirststyle"/>
          </w:pPr>
          <w:r>
            <w:t xml:space="preserve">the </w:t>
          </w:r>
          <w:r w:rsidR="00D91C9A" w:rsidRPr="00DA3089">
            <w:t xml:space="preserve">costs incurred </w:t>
          </w:r>
          <w:r w:rsidR="00F341EF">
            <w:t>amount</w:t>
          </w:r>
          <w:r>
            <w:t>ed</w:t>
          </w:r>
          <w:r w:rsidR="00F341EF">
            <w:t xml:space="preserve"> to 1.6 per cent</w:t>
          </w:r>
          <w:r w:rsidR="00D91C9A" w:rsidRPr="00DA3089">
            <w:t xml:space="preserve"> of Ausgrid’s </w:t>
          </w:r>
          <w:r w:rsidR="00224BB4" w:rsidRPr="00224BB4">
            <w:t>annual revenue requirement</w:t>
          </w:r>
          <w:r w:rsidR="00224BB4">
            <w:t xml:space="preserve"> </w:t>
          </w:r>
          <w:r w:rsidR="00D91C9A" w:rsidRPr="00DA3089">
            <w:t>for the</w:t>
          </w:r>
          <w:r w:rsidR="00117D4E">
            <w:t xml:space="preserve"> 2014–</w:t>
          </w:r>
          <w:r w:rsidR="00D91C9A" w:rsidRPr="00E60731">
            <w:t>15 regulatory year</w:t>
          </w:r>
          <w:r w:rsidR="00830213">
            <w:t xml:space="preserve"> thereby </w:t>
          </w:r>
          <w:r w:rsidR="00830213" w:rsidRPr="00E60731">
            <w:t>satisfying the</w:t>
          </w:r>
          <w:r w:rsidR="00830213">
            <w:t xml:space="preserve"> </w:t>
          </w:r>
          <w:r w:rsidR="00830213" w:rsidRPr="00E60731">
            <w:t>materiality requirement</w:t>
          </w:r>
          <w:r w:rsidR="00830213">
            <w:rPr>
              <w:rStyle w:val="FootnoteReference"/>
            </w:rPr>
            <w:footnoteReference w:id="4"/>
          </w:r>
        </w:p>
        <w:p w:rsidR="00830213" w:rsidRDefault="003D57CC" w:rsidP="00791291">
          <w:pPr>
            <w:pStyle w:val="AERbulletlistfirststyle"/>
          </w:pPr>
          <w:r>
            <w:t xml:space="preserve">the </w:t>
          </w:r>
          <w:r w:rsidR="00830213">
            <w:t xml:space="preserve">application was </w:t>
          </w:r>
          <w:r w:rsidR="00830213" w:rsidRPr="00117D4E">
            <w:t xml:space="preserve">submitted within </w:t>
          </w:r>
          <w:r w:rsidR="00830213" w:rsidRPr="00830213">
            <w:t xml:space="preserve">the 90 business days timeframe for making a pass through </w:t>
          </w:r>
          <w:r w:rsidR="00830213">
            <w:t>request</w:t>
          </w:r>
          <w:r w:rsidR="00830213" w:rsidRPr="00830213">
            <w:rPr>
              <w:rStyle w:val="FootnoteReference"/>
            </w:rPr>
            <w:footnoteReference w:id="5"/>
          </w:r>
        </w:p>
        <w:p w:rsidR="00830213" w:rsidRPr="00830213" w:rsidRDefault="003D57CC" w:rsidP="00830213">
          <w:pPr>
            <w:pStyle w:val="AERbulletlistfirststyle"/>
          </w:pPr>
          <w:r>
            <w:t xml:space="preserve">it should be permitted to recover </w:t>
          </w:r>
          <w:r w:rsidR="00830213">
            <w:t>a</w:t>
          </w:r>
          <w:r w:rsidR="00830213" w:rsidRPr="00830213">
            <w:t xml:space="preserve"> positive pass through amount</w:t>
          </w:r>
          <w:r w:rsidR="00830213">
            <w:t xml:space="preserve"> of</w:t>
          </w:r>
          <w:r w:rsidR="00791291">
            <w:t xml:space="preserve"> </w:t>
          </w:r>
          <w:r w:rsidR="00830213" w:rsidRPr="00830213">
            <w:t>$37.9 million ($</w:t>
          </w:r>
          <w:r w:rsidR="003241DD">
            <w:t>'</w:t>
          </w:r>
          <w:r w:rsidR="00830213" w:rsidRPr="00830213">
            <w:t xml:space="preserve"> </w:t>
          </w:r>
          <w:r w:rsidR="00791291">
            <w:t>nominal</w:t>
          </w:r>
          <w:r w:rsidR="00830213" w:rsidRPr="00830213">
            <w:t>)</w:t>
          </w:r>
          <w:r w:rsidR="00830213" w:rsidRPr="00830213">
            <w:rPr>
              <w:rStyle w:val="FootnoteReference"/>
            </w:rPr>
            <w:footnoteReference w:id="6"/>
          </w:r>
          <w:r w:rsidR="00830213" w:rsidRPr="00830213">
            <w:t xml:space="preserve"> in the regulatory year 2016–17.</w:t>
          </w:r>
          <w:r w:rsidR="00830213" w:rsidRPr="00830213">
            <w:rPr>
              <w:rStyle w:val="FootnoteReference"/>
            </w:rPr>
            <w:footnoteReference w:id="7"/>
          </w:r>
        </w:p>
        <w:p w:rsidR="00A9005F" w:rsidRDefault="00A9005F">
          <w:pPr>
            <w:spacing w:line="240" w:lineRule="auto"/>
          </w:pPr>
          <w:r>
            <w:br w:type="page"/>
          </w:r>
        </w:p>
        <w:p w:rsidR="002401BF" w:rsidRPr="002401BF" w:rsidRDefault="002401BF" w:rsidP="007A36BA">
          <w:pPr>
            <w:pStyle w:val="Heading1"/>
          </w:pPr>
          <w:bookmarkStart w:id="12" w:name="_Toc397521225"/>
          <w:bookmarkStart w:id="13" w:name="_Toc435796161"/>
          <w:bookmarkStart w:id="14" w:name="_Toc436138696"/>
          <w:bookmarkEnd w:id="9"/>
          <w:bookmarkEnd w:id="10"/>
          <w:bookmarkEnd w:id="11"/>
          <w:r>
            <w:lastRenderedPageBreak/>
            <w:t>Relevant regulatory requirements</w:t>
          </w:r>
          <w:bookmarkEnd w:id="12"/>
          <w:bookmarkEnd w:id="13"/>
          <w:bookmarkEnd w:id="14"/>
        </w:p>
        <w:p w:rsidR="00551DF1" w:rsidRDefault="0052176A" w:rsidP="00551DF1">
          <w:pPr>
            <w:numPr>
              <w:ilvl w:val="0"/>
              <w:numId w:val="24"/>
            </w:numPr>
          </w:pPr>
          <w:r>
            <w:t>The</w:t>
          </w:r>
          <w:r w:rsidR="00551DF1">
            <w:t xml:space="preserve"> NER </w:t>
          </w:r>
          <w:r>
            <w:t xml:space="preserve">sets out the regulatory requirements for </w:t>
          </w:r>
          <w:r w:rsidR="00551DF1">
            <w:t>this pass through determination (see appendix A). In particular, we took into account clause 6.6.1(j) of the NER as set out below</w:t>
          </w:r>
          <w:r w:rsidR="00830213">
            <w:t>.</w:t>
          </w:r>
        </w:p>
        <w:p w:rsidR="002401BF" w:rsidRPr="00DA35DF" w:rsidRDefault="002401BF" w:rsidP="007A36BA">
          <w:pPr>
            <w:pStyle w:val="Heading2"/>
          </w:pPr>
          <w:bookmarkStart w:id="15" w:name="_Toc435796162"/>
          <w:bookmarkStart w:id="16" w:name="_Toc436138697"/>
          <w:r w:rsidRPr="00DA35DF">
            <w:t>Relevant factors</w:t>
          </w:r>
          <w:bookmarkEnd w:id="15"/>
          <w:bookmarkEnd w:id="16"/>
        </w:p>
        <w:p w:rsidR="002401BF" w:rsidRPr="00DA35DF" w:rsidRDefault="002401BF" w:rsidP="002401BF">
          <w:pPr>
            <w:numPr>
              <w:ilvl w:val="0"/>
              <w:numId w:val="24"/>
            </w:numPr>
          </w:pPr>
          <w:r w:rsidRPr="006344C8">
            <w:t xml:space="preserve">(j) </w:t>
          </w:r>
          <w:r>
            <w:tab/>
          </w:r>
          <w:r w:rsidRPr="006344C8">
            <w:t xml:space="preserve">In </w:t>
          </w:r>
          <w:r w:rsidRPr="00DA35DF">
            <w:t>making a determination under paragraph (d) or (g) in respect of a Distribution Network Service Provider, the AER must take into account:</w:t>
          </w:r>
        </w:p>
        <w:p w:rsidR="002401BF" w:rsidRPr="00DA35DF" w:rsidRDefault="002401BF" w:rsidP="002401BF">
          <w:pPr>
            <w:pStyle w:val="ListContinue2"/>
          </w:pPr>
          <w:r>
            <w:t xml:space="preserve">(1)  the matters and proposals set out in any statement given to the </w:t>
          </w:r>
          <w:r w:rsidRPr="00DA35DF">
            <w:t xml:space="preserve">AER by the provider under paragraph (c) or (f); and </w:t>
          </w:r>
        </w:p>
        <w:p w:rsidR="002401BF" w:rsidRPr="00DA35DF" w:rsidRDefault="002401BF" w:rsidP="002401BF">
          <w:pPr>
            <w:pStyle w:val="ListContinue2"/>
          </w:pPr>
          <w:r>
            <w:t xml:space="preserve">(2)  in the case of a </w:t>
          </w:r>
          <w:r w:rsidRPr="00DA35DF">
            <w:t xml:space="preserve">positive change event, the increase in costs in the provision of direct control services that, as a result of the positive change event, the provider has incurred and is likely to incur until: </w:t>
          </w:r>
        </w:p>
        <w:p w:rsidR="002401BF" w:rsidRDefault="002401BF" w:rsidP="002401BF">
          <w:pPr>
            <w:pStyle w:val="ListContinue3"/>
          </w:pPr>
          <w:r>
            <w:t xml:space="preserve">(i) </w:t>
          </w:r>
          <w:r>
            <w:tab/>
            <w:t xml:space="preserve">unless subparagraph (ii) applies – the end of the regulatory control period in which the positive change event occurred; or </w:t>
          </w:r>
        </w:p>
        <w:p w:rsidR="002401BF" w:rsidRPr="00DA35DF" w:rsidRDefault="002401BF" w:rsidP="002401BF">
          <w:pPr>
            <w:pStyle w:val="ListContinue3"/>
          </w:pPr>
          <w:r>
            <w:t>(ii)</w:t>
          </w:r>
          <w:r>
            <w:tab/>
            <w:t xml:space="preserve">if the distribution determination for the </w:t>
          </w:r>
          <w:r w:rsidRPr="00DA35DF">
            <w:t xml:space="preserve">regulatory control period following that in which the positive change event occurred does not make any allowance for the recovery of that increase in costs – the end of the regulatory control period following that in which the positive change event occurred; and </w:t>
          </w:r>
        </w:p>
        <w:p w:rsidR="002401BF" w:rsidRPr="00DA35DF" w:rsidRDefault="004965CC" w:rsidP="002401BF">
          <w:pPr>
            <w:pStyle w:val="ListContinue3"/>
          </w:pPr>
          <w:r>
            <w:t>…</w:t>
          </w:r>
        </w:p>
        <w:p w:rsidR="002401BF" w:rsidRPr="00DA35DF" w:rsidRDefault="002401BF" w:rsidP="002401BF">
          <w:pPr>
            <w:pStyle w:val="ListContinue2"/>
          </w:pPr>
          <w:r>
            <w:t xml:space="preserve">(3)  in the case of a </w:t>
          </w:r>
          <w:r w:rsidRPr="00DA35DF">
            <w:t xml:space="preserve">positive change event, the efficiency of the provider's decisions and actions in relation to the risk of the positive change event, including whether the provider has failed to take any action that could reasonably be taken to reduce the magnitude of the eligible pass through amount in respect of that positive change event and whether the provider has taken or omitted to take any action where such action or omission has increased the magnitude of the amount in respect of that positive change event; and </w:t>
          </w:r>
        </w:p>
        <w:p w:rsidR="002401BF" w:rsidRPr="00DA35DF" w:rsidRDefault="002401BF" w:rsidP="003241DD">
          <w:pPr>
            <w:pStyle w:val="ListContinue2"/>
          </w:pPr>
          <w:r>
            <w:t xml:space="preserve">(4) </w:t>
          </w:r>
          <w:r>
            <w:tab/>
            <w:t xml:space="preserve">the time cost of money based on the </w:t>
          </w:r>
          <w:r w:rsidRPr="00DA35DF">
            <w:t xml:space="preserve">weighted average cost of capital for the provider for the regulatory control period in which the pass through event occurred; and </w:t>
          </w:r>
        </w:p>
        <w:p w:rsidR="002401BF" w:rsidRPr="00DA35DF" w:rsidRDefault="002401BF" w:rsidP="003241DD">
          <w:pPr>
            <w:pStyle w:val="ListContinue2"/>
          </w:pPr>
          <w:r>
            <w:t xml:space="preserve">(5) </w:t>
          </w:r>
          <w:r>
            <w:tab/>
            <w:t xml:space="preserve">the need to ensure that the provider only recovers any actual or likely increment in costs under this paragraph (j) to the extent that such increment is solely as a consequence of a </w:t>
          </w:r>
          <w:r w:rsidRPr="00DA35DF">
            <w:t xml:space="preserve">pass through event; and </w:t>
          </w:r>
        </w:p>
        <w:p w:rsidR="002401BF" w:rsidRPr="00DA35DF" w:rsidRDefault="004965CC" w:rsidP="003241DD">
          <w:pPr>
            <w:pStyle w:val="ListContinue2"/>
          </w:pPr>
          <w:r>
            <w:t>…</w:t>
          </w:r>
        </w:p>
        <w:p w:rsidR="002401BF" w:rsidRPr="00DA35DF" w:rsidRDefault="002401BF" w:rsidP="003241DD">
          <w:pPr>
            <w:pStyle w:val="ListContinue2"/>
          </w:pPr>
          <w:r>
            <w:t xml:space="preserve">(7)  </w:t>
          </w:r>
          <w:r w:rsidRPr="00DA35DF">
            <w:t xml:space="preserve">whether the costs of the pass through event have already been factored into the calculation of the provider's annual revenue requirement for the regulatory control period in which the pass through event occurred or will be </w:t>
          </w:r>
          <w:r w:rsidRPr="00DA35DF">
            <w:lastRenderedPageBreak/>
            <w:t xml:space="preserve">factored into the calculation of the provider's annual revenue requirement for a subsequent regulatory control period; and </w:t>
          </w:r>
        </w:p>
        <w:p w:rsidR="002401BF" w:rsidRPr="00DA35DF" w:rsidRDefault="002401BF" w:rsidP="003241DD">
          <w:pPr>
            <w:pStyle w:val="ListContinue2"/>
          </w:pPr>
          <w:r>
            <w:t xml:space="preserve">(7A) </w:t>
          </w:r>
          <w:r w:rsidRPr="00DA35DF">
            <w:t xml:space="preserve">the extent to which the costs that the provider has incurred and is likely to incur are the subject of a previous determination made by the AER under this clause 6.6.1; and </w:t>
          </w:r>
        </w:p>
        <w:p w:rsidR="002401BF" w:rsidRPr="00DA35DF" w:rsidRDefault="002401BF" w:rsidP="003241DD">
          <w:pPr>
            <w:pStyle w:val="ListContinue2"/>
          </w:pPr>
          <w:r>
            <w:t xml:space="preserve">(8) </w:t>
          </w:r>
          <w:r>
            <w:tab/>
            <w:t>any other factors</w:t>
          </w:r>
          <w:r w:rsidRPr="00DA35DF">
            <w:t xml:space="preserve"> that the AER considers relevant.</w:t>
          </w:r>
        </w:p>
        <w:p w:rsidR="002401BF" w:rsidRPr="002401BF" w:rsidRDefault="002401BF" w:rsidP="002401BF">
          <w:pPr>
            <w:pStyle w:val="Heading2"/>
          </w:pPr>
          <w:bookmarkStart w:id="17" w:name="_Toc397521226"/>
          <w:bookmarkStart w:id="18" w:name="_Toc435796163"/>
          <w:bookmarkStart w:id="19" w:name="_Toc436138698"/>
          <w:r>
            <w:t>Assessment approach</w:t>
          </w:r>
          <w:bookmarkEnd w:id="17"/>
          <w:bookmarkEnd w:id="18"/>
          <w:bookmarkEnd w:id="19"/>
        </w:p>
        <w:p w:rsidR="00830213" w:rsidRDefault="002401BF" w:rsidP="002401BF">
          <w:pPr>
            <w:numPr>
              <w:ilvl w:val="0"/>
              <w:numId w:val="24"/>
            </w:numPr>
          </w:pPr>
          <w:r>
            <w:t>When assessing Ausgrid's pass through application, we must first determine whether a ‘positive change event’ occurred.</w:t>
          </w:r>
        </w:p>
        <w:p w:rsidR="00830213" w:rsidRDefault="002401BF" w:rsidP="002401BF">
          <w:pPr>
            <w:numPr>
              <w:ilvl w:val="0"/>
              <w:numId w:val="24"/>
            </w:numPr>
          </w:pPr>
          <w:r>
            <w:t>This assessment is done with refe</w:t>
          </w:r>
          <w:r w:rsidR="007B6DAE">
            <w:t>rence to the NER and</w:t>
          </w:r>
          <w:r>
            <w:t xml:space="preserve"> </w:t>
          </w:r>
          <w:r w:rsidR="006D3C25">
            <w:t xml:space="preserve">the </w:t>
          </w:r>
          <w:r w:rsidR="007B6DAE">
            <w:t xml:space="preserve">2014–15 transitional distribution </w:t>
          </w:r>
          <w:r>
            <w:t xml:space="preserve">determination </w:t>
          </w:r>
          <w:r w:rsidR="006D3C25">
            <w:t xml:space="preserve">for Ausgrid </w:t>
          </w:r>
          <w:r>
            <w:t>(</w:t>
          </w:r>
          <w:r w:rsidR="00661964">
            <w:t>which</w:t>
          </w:r>
          <w:r>
            <w:t xml:space="preserve"> defines the general pass through events </w:t>
          </w:r>
          <w:r w:rsidR="007B6DAE">
            <w:t>Ausgrid</w:t>
          </w:r>
          <w:r>
            <w:t xml:space="preserve"> can utilise during the </w:t>
          </w:r>
          <w:r w:rsidR="00830213">
            <w:t>2014–1</w:t>
          </w:r>
          <w:r w:rsidR="0010225B">
            <w:t>5</w:t>
          </w:r>
          <w:r w:rsidR="00605FFA">
            <w:t xml:space="preserve"> </w:t>
          </w:r>
          <w:r>
            <w:t xml:space="preserve">regulatory control period). </w:t>
          </w:r>
          <w:r w:rsidR="00551DF1">
            <w:t>W</w:t>
          </w:r>
          <w:r>
            <w:t>e also determine the materiality of the proposed pas</w:t>
          </w:r>
          <w:r w:rsidR="00661964">
            <w:t>s</w:t>
          </w:r>
          <w:r>
            <w:t xml:space="preserve"> through amount</w:t>
          </w:r>
          <w:r w:rsidR="00551DF1">
            <w:t xml:space="preserve"> as part of this process</w:t>
          </w:r>
          <w:r>
            <w:t>.</w:t>
          </w:r>
        </w:p>
        <w:p w:rsidR="002401BF" w:rsidRDefault="002401BF" w:rsidP="002401BF">
          <w:pPr>
            <w:numPr>
              <w:ilvl w:val="0"/>
              <w:numId w:val="24"/>
            </w:numPr>
          </w:pPr>
          <w:r>
            <w:t xml:space="preserve">Under the NER a positive change event for a </w:t>
          </w:r>
          <w:r w:rsidR="00CD5C47">
            <w:t>distributor</w:t>
          </w:r>
          <w:r>
            <w:t xml:space="preserve"> is defined as: </w:t>
          </w:r>
        </w:p>
        <w:p w:rsidR="002401BF" w:rsidRDefault="002401BF" w:rsidP="002401BF">
          <w:pPr>
            <w:pStyle w:val="AERquote"/>
          </w:pPr>
          <w:r>
            <w:t>....a pass through event that materially increases the costs of providing direct control services.</w:t>
          </w:r>
        </w:p>
        <w:p w:rsidR="002401BF" w:rsidRDefault="002401BF" w:rsidP="002401BF">
          <w:pPr>
            <w:numPr>
              <w:ilvl w:val="0"/>
              <w:numId w:val="24"/>
            </w:numPr>
          </w:pPr>
          <w:r>
            <w:t>Once we determine a positive change event occurred we must then determine:</w:t>
          </w:r>
        </w:p>
        <w:p w:rsidR="002401BF" w:rsidRPr="002401BF" w:rsidRDefault="002401BF" w:rsidP="002401BF">
          <w:pPr>
            <w:pStyle w:val="AERbulletlistfirststyle"/>
          </w:pPr>
          <w:r>
            <w:t xml:space="preserve">the approved pass through amount </w:t>
          </w:r>
        </w:p>
        <w:p w:rsidR="002401BF" w:rsidRPr="002401BF" w:rsidRDefault="002401BF" w:rsidP="002401BF">
          <w:pPr>
            <w:pStyle w:val="AERbulletlistfirststyle"/>
          </w:pPr>
          <w:r>
            <w:t xml:space="preserve">the amount of that approved pass through amount that </w:t>
          </w:r>
          <w:r w:rsidRPr="002401BF">
            <w:t>should be passed through to Distribution Network Users in each regulatory year during the regulatory control period.</w:t>
          </w:r>
          <w:r w:rsidRPr="002401BF">
            <w:rPr>
              <w:rStyle w:val="FootnoteReference"/>
            </w:rPr>
            <w:footnoteReference w:id="8"/>
          </w:r>
        </w:p>
        <w:p w:rsidR="002401BF" w:rsidRDefault="002401BF" w:rsidP="002401BF">
          <w:pPr>
            <w:numPr>
              <w:ilvl w:val="0"/>
              <w:numId w:val="24"/>
            </w:numPr>
          </w:pPr>
          <w:r>
            <w:t xml:space="preserve">We make this determination taking into account those factors set out in clause 6.6.1(j) of the NER (quoted above). </w:t>
          </w:r>
        </w:p>
        <w:p w:rsidR="002401BF" w:rsidRPr="002401BF" w:rsidRDefault="002401BF" w:rsidP="002401BF">
          <w:pPr>
            <w:pStyle w:val="Heading2"/>
          </w:pPr>
          <w:bookmarkStart w:id="20" w:name="_Toc397521227"/>
          <w:bookmarkStart w:id="21" w:name="_Toc435796164"/>
          <w:bookmarkStart w:id="22" w:name="_Toc436138699"/>
          <w:r>
            <w:t>What we</w:t>
          </w:r>
          <w:r w:rsidRPr="002401BF">
            <w:t xml:space="preserve"> considered in making this determination</w:t>
          </w:r>
          <w:bookmarkEnd w:id="20"/>
          <w:bookmarkEnd w:id="21"/>
          <w:bookmarkEnd w:id="22"/>
        </w:p>
        <w:p w:rsidR="002401BF" w:rsidRDefault="002401BF" w:rsidP="002401BF">
          <w:pPr>
            <w:numPr>
              <w:ilvl w:val="0"/>
              <w:numId w:val="24"/>
            </w:numPr>
          </w:pPr>
          <w:r>
            <w:t xml:space="preserve">In </w:t>
          </w:r>
          <w:r w:rsidR="00661750">
            <w:t xml:space="preserve">making </w:t>
          </w:r>
          <w:r>
            <w:t>our determination</w:t>
          </w:r>
          <w:r w:rsidR="008E4154">
            <w:t xml:space="preserve"> on the eligible pass through amount</w:t>
          </w:r>
          <w:r w:rsidR="00661750" w:rsidRPr="00661750">
            <w:t xml:space="preserve"> </w:t>
          </w:r>
          <w:r w:rsidR="00661750">
            <w:t>in clause 6.6.1</w:t>
          </w:r>
          <w:r>
            <w:t>, we have:</w:t>
          </w:r>
        </w:p>
        <w:p w:rsidR="002401BF" w:rsidRPr="002401BF" w:rsidRDefault="002401BF" w:rsidP="002401BF">
          <w:pPr>
            <w:pStyle w:val="AERbulletlistfirststyle"/>
          </w:pPr>
          <w:r>
            <w:t xml:space="preserve">considered </w:t>
          </w:r>
          <w:r w:rsidR="00551DF1">
            <w:t xml:space="preserve">the </w:t>
          </w:r>
          <w:r>
            <w:t xml:space="preserve">application and supporting information </w:t>
          </w:r>
          <w:r w:rsidRPr="002401BF">
            <w:t xml:space="preserve">we received from </w:t>
          </w:r>
          <w:r w:rsidR="007B6DAE">
            <w:t>Ausgrid</w:t>
          </w:r>
        </w:p>
        <w:p w:rsidR="002401BF" w:rsidRDefault="002401BF" w:rsidP="002401BF">
          <w:pPr>
            <w:pStyle w:val="AERbulletlistfirststyle"/>
          </w:pPr>
          <w:r>
            <w:t xml:space="preserve">undertaken </w:t>
          </w:r>
          <w:r w:rsidRPr="002401BF">
            <w:t xml:space="preserve">our own analysis to verify the information </w:t>
          </w:r>
          <w:r w:rsidR="00661964">
            <w:t>Ausgrid</w:t>
          </w:r>
          <w:r w:rsidR="00661964" w:rsidRPr="002401BF">
            <w:t xml:space="preserve"> </w:t>
          </w:r>
          <w:r w:rsidR="00661964">
            <w:t>provided</w:t>
          </w:r>
        </w:p>
        <w:p w:rsidR="00004C01" w:rsidRDefault="00004C01" w:rsidP="00004C01">
          <w:pPr>
            <w:pStyle w:val="AERbulletlistfirststyle"/>
          </w:pPr>
          <w:r w:rsidRPr="00004C01">
            <w:t xml:space="preserve">where the material Ausgrid submitted was unclear or incomplete, </w:t>
          </w:r>
          <w:r w:rsidR="00551DF1">
            <w:t>we</w:t>
          </w:r>
          <w:r w:rsidRPr="00004C01">
            <w:t xml:space="preserve"> sought clarification from Ausgrid and had regard to its responses. In some instances this involved asking further follow-up queries and a consideration </w:t>
          </w:r>
          <w:r>
            <w:t>of Ausgrid's responses</w:t>
          </w:r>
          <w:r w:rsidR="00B75752">
            <w:t>.</w:t>
          </w:r>
        </w:p>
        <w:p w:rsidR="007B6DAE" w:rsidRDefault="007B6DAE" w:rsidP="007B6DAE">
          <w:pPr>
            <w:pStyle w:val="Heading1"/>
          </w:pPr>
          <w:bookmarkStart w:id="23" w:name="_Toc436138700"/>
          <w:r w:rsidRPr="007B6DAE">
            <w:lastRenderedPageBreak/>
            <w:t>Reasons for determination</w:t>
          </w:r>
          <w:bookmarkEnd w:id="23"/>
        </w:p>
        <w:p w:rsidR="00661750" w:rsidRDefault="007B6DAE" w:rsidP="007B6DAE">
          <w:pPr>
            <w:numPr>
              <w:ilvl w:val="0"/>
              <w:numId w:val="24"/>
            </w:numPr>
          </w:pPr>
          <w:r>
            <w:t>We are satisfied that Ausgrid</w:t>
          </w:r>
          <w:r w:rsidR="004965CC">
            <w:t>'s</w:t>
          </w:r>
          <w:r>
            <w:t xml:space="preserve"> pass through application establishes that a </w:t>
          </w:r>
          <w:r w:rsidR="00E10571">
            <w:t xml:space="preserve">general nominated </w:t>
          </w:r>
          <w:r>
            <w:t xml:space="preserve">pass through event </w:t>
          </w:r>
          <w:r w:rsidR="00661750">
            <w:t xml:space="preserve">has </w:t>
          </w:r>
          <w:r>
            <w:t>occurred.</w:t>
          </w:r>
        </w:p>
        <w:p w:rsidR="007B6DAE" w:rsidRDefault="007B6DAE" w:rsidP="007B6DAE">
          <w:pPr>
            <w:numPr>
              <w:ilvl w:val="0"/>
              <w:numId w:val="24"/>
            </w:numPr>
          </w:pPr>
          <w:r>
            <w:t xml:space="preserve">We consider the additional </w:t>
          </w:r>
          <w:r w:rsidR="000F3B89">
            <w:t xml:space="preserve">capital </w:t>
          </w:r>
          <w:r>
            <w:t xml:space="preserve">expenditure </w:t>
          </w:r>
          <w:r w:rsidR="000F3B89">
            <w:t xml:space="preserve">and operating expenditure </w:t>
          </w:r>
          <w:r>
            <w:t>incurred by Au</w:t>
          </w:r>
          <w:r w:rsidR="00E31932">
            <w:t>s</w:t>
          </w:r>
          <w:r>
            <w:t>grid</w:t>
          </w:r>
          <w:r w:rsidR="009E285A">
            <w:t xml:space="preserve"> in 2014–15 materially increase</w:t>
          </w:r>
          <w:r>
            <w:t>d Ausgrid's costs in providing direct control services in the regulatory control period</w:t>
          </w:r>
          <w:r w:rsidR="007A36BA">
            <w:t>.</w:t>
          </w:r>
          <w:r w:rsidR="00551DF1">
            <w:rPr>
              <w:rStyle w:val="FootnoteReference"/>
            </w:rPr>
            <w:footnoteReference w:id="9"/>
          </w:r>
          <w:r>
            <w:t xml:space="preserve"> This section details the reasons that have led us to these conclusions.</w:t>
          </w:r>
        </w:p>
        <w:p w:rsidR="00862F4B" w:rsidRDefault="00862F4B" w:rsidP="007B6DAE">
          <w:pPr>
            <w:pStyle w:val="Heading2"/>
          </w:pPr>
          <w:bookmarkStart w:id="24" w:name="_Toc436138701"/>
          <w:r w:rsidRPr="00862F4B">
            <w:t>Occurrence of a general nominated pass through event</w:t>
          </w:r>
          <w:bookmarkEnd w:id="24"/>
        </w:p>
        <w:p w:rsidR="00400E68" w:rsidRDefault="00D1137E" w:rsidP="00400E68">
          <w:pPr>
            <w:numPr>
              <w:ilvl w:val="0"/>
              <w:numId w:val="24"/>
            </w:numPr>
          </w:pPr>
          <w:r>
            <w:t>We are</w:t>
          </w:r>
          <w:r w:rsidR="00400E68">
            <w:t xml:space="preserve"> satisfied that a general nominated pass through event has occurred.</w:t>
          </w:r>
          <w:r w:rsidR="00A0321B">
            <w:rPr>
              <w:rStyle w:val="FootnoteReference"/>
            </w:rPr>
            <w:footnoteReference w:id="10"/>
          </w:r>
          <w:r w:rsidR="00400E68">
            <w:t xml:space="preserve"> All the necessary circumstances have been met</w:t>
          </w:r>
          <w:r w:rsidR="00661750">
            <w:t>, being:</w:t>
          </w:r>
        </w:p>
        <w:p w:rsidR="00400E68" w:rsidRPr="00400E68" w:rsidRDefault="00400E68" w:rsidP="00400E68">
          <w:pPr>
            <w:pStyle w:val="AERbulletlistfirststyle"/>
          </w:pPr>
          <w:r>
            <w:t xml:space="preserve">an </w:t>
          </w:r>
          <w:r w:rsidR="00890728">
            <w:t>uncontrollable and unforeseeable</w:t>
          </w:r>
          <w:r w:rsidRPr="00400E68">
            <w:t xml:space="preserve"> event has occurred during the course of the regulatory control period, the effect of which could not have been prevented or mitigated by prudent operational risk management</w:t>
          </w:r>
        </w:p>
        <w:p w:rsidR="00400E68" w:rsidRPr="00400E68" w:rsidRDefault="00400E68" w:rsidP="00400E68">
          <w:pPr>
            <w:pStyle w:val="AERbulletlistfirststyle"/>
          </w:pPr>
          <w:r>
            <w:t>the change in costs of providing distribution services as a result of the event is material</w:t>
          </w:r>
        </w:p>
        <w:p w:rsidR="00400E68" w:rsidRPr="00400E68" w:rsidRDefault="00400E68" w:rsidP="00400E68">
          <w:pPr>
            <w:pStyle w:val="AERbulletlistfirststyle"/>
          </w:pPr>
          <w:r>
            <w:t>th</w:t>
          </w:r>
          <w:bookmarkStart w:id="25" w:name="_GoBack"/>
          <w:bookmarkEnd w:id="25"/>
          <w:r>
            <w:t xml:space="preserve">e event does not fall within the definition of </w:t>
          </w:r>
          <w:r w:rsidRPr="00400E68">
            <w:t xml:space="preserve">any of the pass through events defined in </w:t>
          </w:r>
          <w:r w:rsidR="00661750">
            <w:t>clause</w:t>
          </w:r>
          <w:r w:rsidRPr="00400E68">
            <w:t xml:space="preserve"> 6.6.1</w:t>
          </w:r>
          <w:r w:rsidR="00661964">
            <w:t>,</w:t>
          </w:r>
          <w:r w:rsidRPr="00400E68">
            <w:t xml:space="preserve"> or any other pass through event specified in </w:t>
          </w:r>
          <w:r w:rsidR="007B6DAE">
            <w:t>Ausgrid</w:t>
          </w:r>
          <w:r w:rsidRPr="00400E68">
            <w:t>'</w:t>
          </w:r>
          <w:r w:rsidR="007B6DAE">
            <w:t>s 2014–15 transitional</w:t>
          </w:r>
          <w:r w:rsidRPr="00400E68">
            <w:t xml:space="preserve"> distribution determination.</w:t>
          </w:r>
        </w:p>
        <w:p w:rsidR="00400E68" w:rsidRDefault="00106021" w:rsidP="00400E68">
          <w:pPr>
            <w:numPr>
              <w:ilvl w:val="0"/>
              <w:numId w:val="24"/>
            </w:numPr>
          </w:pPr>
          <w:r>
            <w:t xml:space="preserve">In addition, the application meets the other requirements for a pass through set out in the NER. </w:t>
          </w:r>
          <w:r w:rsidR="00D1137E">
            <w:t>Our</w:t>
          </w:r>
          <w:r w:rsidR="00400E68">
            <w:t xml:space="preserve"> considerations are discussed in the following section.</w:t>
          </w:r>
        </w:p>
        <w:p w:rsidR="00400E68" w:rsidRPr="00400E68" w:rsidRDefault="0057354D" w:rsidP="00400E68">
          <w:pPr>
            <w:pStyle w:val="Heading3"/>
          </w:pPr>
          <w:bookmarkStart w:id="26" w:name="_Toc435523717"/>
          <w:bookmarkStart w:id="27" w:name="_Toc435796167"/>
          <w:bookmarkStart w:id="28" w:name="_Toc436138702"/>
          <w:r>
            <w:t>Uncontrollable and unforeseeable</w:t>
          </w:r>
          <w:r w:rsidR="00400E68">
            <w:t xml:space="preserve"> event</w:t>
          </w:r>
          <w:bookmarkEnd w:id="26"/>
          <w:bookmarkEnd w:id="27"/>
          <w:bookmarkEnd w:id="28"/>
        </w:p>
        <w:p w:rsidR="00347F58" w:rsidRDefault="00D1137E" w:rsidP="00D1137E">
          <w:r>
            <w:t>Ausgrid</w:t>
          </w:r>
          <w:r w:rsidR="00400E68">
            <w:t xml:space="preserve"> described </w:t>
          </w:r>
          <w:r>
            <w:t>t</w:t>
          </w:r>
          <w:r w:rsidRPr="00D1137E">
            <w:t>he East Coast Low of 20</w:t>
          </w:r>
          <w:r w:rsidR="00F26DC2">
            <w:t>–</w:t>
          </w:r>
          <w:r w:rsidRPr="00D1137E">
            <w:t xml:space="preserve">22 April 2015, which generated severe weather conditions throughout NSW, </w:t>
          </w:r>
          <w:r w:rsidR="00551DF1">
            <w:t>as</w:t>
          </w:r>
          <w:r w:rsidR="00551DF1" w:rsidRPr="00D1137E">
            <w:t xml:space="preserve"> </w:t>
          </w:r>
          <w:r w:rsidRPr="00D1137E">
            <w:t>an</w:t>
          </w:r>
          <w:r>
            <w:t xml:space="preserve"> </w:t>
          </w:r>
          <w:r w:rsidRPr="00D1137E">
            <w:t>uncontrollable and unforeseeable event.</w:t>
          </w:r>
          <w:r>
            <w:rPr>
              <w:rStyle w:val="FootnoteReference"/>
            </w:rPr>
            <w:footnoteReference w:id="11"/>
          </w:r>
          <w:r>
            <w:t xml:space="preserve"> Ausgrid provided</w:t>
          </w:r>
          <w:r w:rsidRPr="00D1137E">
            <w:t xml:space="preserve"> a detailed account of the circumstances relating to the April storms, particularly the characteristics</w:t>
          </w:r>
          <w:r>
            <w:t xml:space="preserve"> of East Coast Lows.</w:t>
          </w:r>
          <w:r>
            <w:rPr>
              <w:rStyle w:val="FootnoteReference"/>
            </w:rPr>
            <w:footnoteReference w:id="12"/>
          </w:r>
          <w:r w:rsidRPr="00D1137E">
            <w:t xml:space="preserve"> </w:t>
          </w:r>
        </w:p>
        <w:p w:rsidR="00D1137E" w:rsidRDefault="00551DF1" w:rsidP="00D1137E">
          <w:r>
            <w:lastRenderedPageBreak/>
            <w:t xml:space="preserve">The </w:t>
          </w:r>
          <w:r w:rsidR="00D1137E" w:rsidRPr="00D1137E">
            <w:t xml:space="preserve">storms’ development and </w:t>
          </w:r>
          <w:r w:rsidR="00605FFA">
            <w:t>the</w:t>
          </w:r>
          <w:r w:rsidR="00D1137E" w:rsidRPr="00D1137E">
            <w:t xml:space="preserve"> severity highlight how this event was an extreme weather event</w:t>
          </w:r>
          <w:r w:rsidR="00D1137E">
            <w:t xml:space="preserve"> </w:t>
          </w:r>
          <w:r w:rsidR="00D1137E" w:rsidRPr="00D1137E">
            <w:t xml:space="preserve">(subsequently labelled a natural disaster </w:t>
          </w:r>
          <w:r w:rsidR="00DC74A1">
            <w:t>by the NSW Government</w:t>
          </w:r>
          <w:r w:rsidR="00D1137E" w:rsidRPr="00D1137E">
            <w:t>)</w:t>
          </w:r>
          <w:r>
            <w:t>.</w:t>
          </w:r>
          <w:r w:rsidR="00DC74A1">
            <w:rPr>
              <w:rStyle w:val="FootnoteReference"/>
            </w:rPr>
            <w:footnoteReference w:id="13"/>
          </w:r>
          <w:r w:rsidR="00D1137E" w:rsidRPr="00D1137E">
            <w:t xml:space="preserve"> </w:t>
          </w:r>
          <w:r w:rsidR="00661750">
            <w:t xml:space="preserve">The </w:t>
          </w:r>
          <w:r>
            <w:t xml:space="preserve">event was </w:t>
          </w:r>
          <w:r w:rsidR="00D1137E" w:rsidRPr="00D1137E">
            <w:t>outside of Ausgrid’s control</w:t>
          </w:r>
          <w:r>
            <w:t xml:space="preserve"> and</w:t>
          </w:r>
          <w:r w:rsidR="00347F58">
            <w:t xml:space="preserve"> unforeseeable</w:t>
          </w:r>
          <w:r w:rsidR="00D1137E" w:rsidRPr="00D1137E">
            <w:t>.</w:t>
          </w:r>
          <w:r w:rsidR="00697B30">
            <w:rPr>
              <w:rStyle w:val="FootnoteReference"/>
            </w:rPr>
            <w:footnoteReference w:id="14"/>
          </w:r>
        </w:p>
        <w:p w:rsidR="00400E68" w:rsidRPr="00400E68" w:rsidRDefault="00400E68" w:rsidP="00400E68">
          <w:pPr>
            <w:pStyle w:val="Heading3"/>
          </w:pPr>
          <w:bookmarkStart w:id="29" w:name="_Toc435523718"/>
          <w:bookmarkStart w:id="30" w:name="_Toc435796168"/>
          <w:bookmarkStart w:id="31" w:name="_Toc436138703"/>
          <w:r>
            <w:t>Effect of the event could not be prevented or mitigated</w:t>
          </w:r>
          <w:bookmarkEnd w:id="29"/>
          <w:bookmarkEnd w:id="30"/>
          <w:bookmarkEnd w:id="31"/>
        </w:p>
        <w:p w:rsidR="00400E68" w:rsidRDefault="006B55C7" w:rsidP="00400E68">
          <w:pPr>
            <w:numPr>
              <w:ilvl w:val="0"/>
              <w:numId w:val="24"/>
            </w:numPr>
          </w:pPr>
          <w:r>
            <w:t>We consider</w:t>
          </w:r>
          <w:r w:rsidR="00400E68">
            <w:t xml:space="preserve"> </w:t>
          </w:r>
          <w:r w:rsidR="006D3C25">
            <w:t>the decisions and actions of</w:t>
          </w:r>
          <w:r w:rsidR="00400E68">
            <w:t xml:space="preserve"> </w:t>
          </w:r>
          <w:r>
            <w:t>Ausgrid</w:t>
          </w:r>
          <w:r w:rsidR="00400E68">
            <w:t xml:space="preserve"> </w:t>
          </w:r>
          <w:r w:rsidR="00783638">
            <w:t xml:space="preserve">in response to the event </w:t>
          </w:r>
          <w:r w:rsidR="006D3C25">
            <w:t>were efficient</w:t>
          </w:r>
          <w:r w:rsidR="005B7AAF">
            <w:rPr>
              <w:rStyle w:val="FootnoteReference"/>
            </w:rPr>
            <w:footnoteReference w:id="15"/>
          </w:r>
          <w:r w:rsidR="005B7AAF">
            <w:t xml:space="preserve"> and that the event could not have been prevented or mitigated through prudent risk operational management</w:t>
          </w:r>
          <w:r w:rsidR="00661750">
            <w:t>.</w:t>
          </w:r>
          <w:r w:rsidR="00E10571">
            <w:rPr>
              <w:rStyle w:val="FootnoteReference"/>
            </w:rPr>
            <w:footnoteReference w:id="16"/>
          </w:r>
          <w:r w:rsidR="00661750">
            <w:t xml:space="preserve"> Although </w:t>
          </w:r>
          <w:r>
            <w:t>Ausgrid</w:t>
          </w:r>
          <w:r w:rsidR="00400E68">
            <w:t xml:space="preserve"> has </w:t>
          </w:r>
          <w:r w:rsidR="00661750">
            <w:t xml:space="preserve">measures in place to deal with inclement weather more generally, severe storms can and do have impacts on the </w:t>
          </w:r>
          <w:r w:rsidR="003F6369">
            <w:t xml:space="preserve">network </w:t>
          </w:r>
          <w:r w:rsidR="00661750">
            <w:t>that cannot readily be mitigated beforehand.</w:t>
          </w:r>
          <w:r w:rsidR="00400E68">
            <w:t xml:space="preserve"> </w:t>
          </w:r>
        </w:p>
        <w:p w:rsidR="00106021" w:rsidRDefault="003F6369" w:rsidP="00106021">
          <w:pPr>
            <w:numPr>
              <w:ilvl w:val="0"/>
              <w:numId w:val="24"/>
            </w:numPr>
          </w:pPr>
          <w:r>
            <w:t xml:space="preserve">The NSW government has declared </w:t>
          </w:r>
          <w:r w:rsidR="008E4154">
            <w:t xml:space="preserve">the </w:t>
          </w:r>
          <w:r w:rsidR="00F0106C" w:rsidRPr="00F0106C">
            <w:t xml:space="preserve">effects of </w:t>
          </w:r>
          <w:r w:rsidR="000D0D17">
            <w:t xml:space="preserve">the </w:t>
          </w:r>
          <w:r w:rsidR="00DC74A1">
            <w:t>April storm event</w:t>
          </w:r>
          <w:r w:rsidR="00F0106C" w:rsidRPr="00F0106C">
            <w:t xml:space="preserve"> </w:t>
          </w:r>
          <w:r w:rsidR="008E4154">
            <w:t>as</w:t>
          </w:r>
          <w:r w:rsidR="00F0106C" w:rsidRPr="00F0106C">
            <w:t xml:space="preserve"> </w:t>
          </w:r>
          <w:r w:rsidR="00551DF1">
            <w:t xml:space="preserve">a </w:t>
          </w:r>
          <w:r w:rsidR="00F0106C" w:rsidRPr="00F0106C">
            <w:t>natural disaster</w:t>
          </w:r>
          <w:r w:rsidR="008C67DB">
            <w:t>, as discussed in section 5.1.1</w:t>
          </w:r>
          <w:r w:rsidR="00F0106C" w:rsidRPr="00F0106C">
            <w:t>.</w:t>
          </w:r>
          <w:r w:rsidR="00106021">
            <w:t xml:space="preserve"> </w:t>
          </w:r>
          <w:r w:rsidR="008E4154">
            <w:t xml:space="preserve">We accept that </w:t>
          </w:r>
          <w:r w:rsidR="00F0106C" w:rsidRPr="00F0106C">
            <w:t xml:space="preserve">prudent operational risk management </w:t>
          </w:r>
          <w:r w:rsidR="008E4154">
            <w:t>may</w:t>
          </w:r>
          <w:r w:rsidR="00F0106C" w:rsidRPr="00F0106C">
            <w:t xml:space="preserve"> </w:t>
          </w:r>
          <w:r w:rsidR="008E4154">
            <w:t xml:space="preserve">not </w:t>
          </w:r>
          <w:r w:rsidR="00F0106C" w:rsidRPr="00F0106C">
            <w:t>prevent or</w:t>
          </w:r>
          <w:r w:rsidR="00F0106C">
            <w:t xml:space="preserve"> </w:t>
          </w:r>
          <w:r w:rsidR="00F0106C" w:rsidRPr="00F0106C">
            <w:t>mitigate an event of this nature from occurring</w:t>
          </w:r>
          <w:r w:rsidR="00152EBE">
            <w:t>.</w:t>
          </w:r>
          <w:r w:rsidR="00661750">
            <w:t xml:space="preserve"> </w:t>
          </w:r>
        </w:p>
        <w:p w:rsidR="00661750" w:rsidRDefault="00F0106C" w:rsidP="00106021">
          <w:pPr>
            <w:numPr>
              <w:ilvl w:val="0"/>
              <w:numId w:val="24"/>
            </w:numPr>
          </w:pPr>
          <w:r w:rsidRPr="00F0106C">
            <w:t xml:space="preserve">Ausgrid </w:t>
          </w:r>
          <w:r>
            <w:t xml:space="preserve">submitted that it </w:t>
          </w:r>
          <w:r w:rsidRPr="00F0106C">
            <w:t>has a Risk Management Framework to prudently and efficiently manage its exposure to risks that it faces as an</w:t>
          </w:r>
          <w:r w:rsidR="00057F6E">
            <w:t xml:space="preserve"> </w:t>
          </w:r>
          <w:r w:rsidRPr="00F0106C">
            <w:t>owner and operator of a distribution network</w:t>
          </w:r>
          <w:r w:rsidR="00057F6E">
            <w:t>.</w:t>
          </w:r>
          <w:r w:rsidR="00057F6E">
            <w:rPr>
              <w:rStyle w:val="FootnoteReference"/>
            </w:rPr>
            <w:footnoteReference w:id="17"/>
          </w:r>
        </w:p>
        <w:p w:rsidR="00057F6E" w:rsidRDefault="00152EBE" w:rsidP="00661750">
          <w:pPr>
            <w:numPr>
              <w:ilvl w:val="0"/>
              <w:numId w:val="24"/>
            </w:numPr>
          </w:pPr>
          <w:r>
            <w:t xml:space="preserve">In particular, </w:t>
          </w:r>
          <w:r w:rsidR="00057F6E" w:rsidRPr="00057F6E">
            <w:t xml:space="preserve">Ausgrid </w:t>
          </w:r>
          <w:r w:rsidR="00057F6E">
            <w:t xml:space="preserve">submitted it </w:t>
          </w:r>
          <w:r w:rsidR="00057F6E" w:rsidRPr="00057F6E">
            <w:t>has in pla</w:t>
          </w:r>
          <w:r w:rsidR="00057F6E">
            <w:t xml:space="preserve">ce preventative and </w:t>
          </w:r>
          <w:r w:rsidR="00057F6E" w:rsidRPr="00057F6E">
            <w:t>mitigation controls aimed at reducing t</w:t>
          </w:r>
          <w:r w:rsidR="00057F6E">
            <w:t>he consequences of storm events, mainly through:</w:t>
          </w:r>
          <w:r w:rsidR="00697B30">
            <w:rPr>
              <w:rStyle w:val="FootnoteReference"/>
            </w:rPr>
            <w:footnoteReference w:id="18"/>
          </w:r>
        </w:p>
        <w:p w:rsidR="00057F6E" w:rsidRDefault="00551DF1" w:rsidP="00057F6E">
          <w:pPr>
            <w:pStyle w:val="AERbulletlistfirststyle"/>
          </w:pPr>
          <w:r>
            <w:t>A</w:t>
          </w:r>
          <w:r w:rsidR="00057F6E" w:rsidRPr="00057F6E">
            <w:t>sset and vegetation management</w:t>
          </w:r>
        </w:p>
        <w:p w:rsidR="00057F6E" w:rsidRDefault="004241D0" w:rsidP="00057F6E">
          <w:pPr>
            <w:pStyle w:val="AERbulletlistfirststyle"/>
          </w:pPr>
          <w:r>
            <w:t>An i</w:t>
          </w:r>
          <w:r w:rsidR="00057F6E" w:rsidRPr="00057F6E">
            <w:t xml:space="preserve">ncident </w:t>
          </w:r>
          <w:r w:rsidR="00347F58">
            <w:t>m</w:t>
          </w:r>
          <w:r w:rsidR="00057F6E" w:rsidRPr="00057F6E">
            <w:t xml:space="preserve">anagement </w:t>
          </w:r>
          <w:r w:rsidR="00347F58">
            <w:t>s</w:t>
          </w:r>
          <w:r w:rsidR="00057F6E" w:rsidRPr="00057F6E">
            <w:t>ystem</w:t>
          </w:r>
        </w:p>
        <w:p w:rsidR="00057F6E" w:rsidRDefault="00057F6E" w:rsidP="00057F6E">
          <w:pPr>
            <w:pStyle w:val="AERbulletlistfirststyle"/>
          </w:pPr>
          <w:r w:rsidRPr="00057F6E">
            <w:t xml:space="preserve">Storm </w:t>
          </w:r>
          <w:r w:rsidR="00B10FC4">
            <w:t>r</w:t>
          </w:r>
          <w:r w:rsidRPr="00057F6E">
            <w:t xml:space="preserve">esponse </w:t>
          </w:r>
          <w:r w:rsidR="00B10FC4">
            <w:t>p</w:t>
          </w:r>
          <w:r w:rsidRPr="00057F6E">
            <w:t>lan</w:t>
          </w:r>
          <w:r w:rsidR="00152EBE">
            <w:t>.</w:t>
          </w:r>
        </w:p>
        <w:p w:rsidR="004241D0" w:rsidRDefault="00C50B2D" w:rsidP="00023C20">
          <w:r>
            <w:t>T</w:t>
          </w:r>
          <w:r w:rsidR="004241D0">
            <w:t>he above</w:t>
          </w:r>
          <w:r w:rsidR="00347F58">
            <w:t xml:space="preserve"> measures</w:t>
          </w:r>
          <w:r w:rsidR="00057F6E" w:rsidRPr="00057F6E">
            <w:t xml:space="preserve"> formed the </w:t>
          </w:r>
          <w:r w:rsidR="00057F6E">
            <w:t xml:space="preserve">response </w:t>
          </w:r>
          <w:r w:rsidR="00057F6E" w:rsidRPr="00057F6E">
            <w:t xml:space="preserve">framework </w:t>
          </w:r>
          <w:r w:rsidR="004241D0">
            <w:t>by which</w:t>
          </w:r>
          <w:r w:rsidR="007A36BA">
            <w:t xml:space="preserve"> </w:t>
          </w:r>
          <w:r w:rsidR="00057F6E" w:rsidRPr="00057F6E">
            <w:t>Ausgrid coordinated and prioritised</w:t>
          </w:r>
          <w:r w:rsidR="00057F6E">
            <w:t xml:space="preserve"> </w:t>
          </w:r>
          <w:r w:rsidR="00057F6E" w:rsidRPr="00057F6E">
            <w:t>activities across its network to restore customer supply in response to the April storm event</w:t>
          </w:r>
          <w:r w:rsidR="00057F6E">
            <w:t>.</w:t>
          </w:r>
          <w:r w:rsidR="0043087D" w:rsidRPr="0043087D">
            <w:rPr>
              <w:rStyle w:val="FootnoteReference"/>
            </w:rPr>
            <w:footnoteReference w:id="19"/>
          </w:r>
        </w:p>
        <w:p w:rsidR="009643CB" w:rsidRDefault="009643CB" w:rsidP="00023C20">
          <w:r w:rsidRPr="009643CB">
            <w:t>We are satisfied that these actions, decisions and measures were efficient to mitigate the cost impact from the April storm event</w:t>
          </w:r>
          <w:r>
            <w:t>.</w:t>
          </w:r>
          <w:r w:rsidRPr="009643CB">
            <w:rPr>
              <w:rStyle w:val="FootnoteReference"/>
            </w:rPr>
            <w:t xml:space="preserve"> </w:t>
          </w:r>
          <w:r w:rsidRPr="009643CB">
            <w:rPr>
              <w:rStyle w:val="FootnoteReference"/>
            </w:rPr>
            <w:footnoteReference w:id="20"/>
          </w:r>
        </w:p>
        <w:p w:rsidR="00400E68" w:rsidRPr="00400E68" w:rsidRDefault="00400E68" w:rsidP="00400E68">
          <w:pPr>
            <w:pStyle w:val="Heading3"/>
          </w:pPr>
          <w:bookmarkStart w:id="32" w:name="_Toc435523719"/>
          <w:bookmarkStart w:id="33" w:name="_Toc435796169"/>
          <w:bookmarkStart w:id="34" w:name="_Toc436138704"/>
          <w:r>
            <w:lastRenderedPageBreak/>
            <w:t>Material change in costs</w:t>
          </w:r>
          <w:bookmarkEnd w:id="32"/>
          <w:bookmarkEnd w:id="33"/>
          <w:bookmarkEnd w:id="34"/>
        </w:p>
        <w:p w:rsidR="00106021" w:rsidRDefault="00063482" w:rsidP="00400E68">
          <w:pPr>
            <w:numPr>
              <w:ilvl w:val="0"/>
              <w:numId w:val="24"/>
            </w:numPr>
          </w:pPr>
          <w:r>
            <w:t>All pass through events must pass a materiality test.</w:t>
          </w:r>
          <w:r w:rsidR="00480089">
            <w:rPr>
              <w:rStyle w:val="FootnoteReference"/>
            </w:rPr>
            <w:footnoteReference w:id="21"/>
          </w:r>
          <w:r>
            <w:t xml:space="preserve"> </w:t>
          </w:r>
          <w:r w:rsidR="00480089">
            <w:t>That is, the costs incurred as a result of the event must exceed 1</w:t>
          </w:r>
          <w:r w:rsidR="006166EB">
            <w:t xml:space="preserve"> per cent</w:t>
          </w:r>
          <w:r w:rsidR="00480089">
            <w:t xml:space="preserve"> of the annual revenue requirement </w:t>
          </w:r>
          <w:r w:rsidR="00106021">
            <w:t>in</w:t>
          </w:r>
          <w:r w:rsidR="00480089">
            <w:t xml:space="preserve"> the regulatory year in which the event occurs.</w:t>
          </w:r>
        </w:p>
        <w:p w:rsidR="00400E68" w:rsidRDefault="00480089" w:rsidP="00400E68">
          <w:pPr>
            <w:numPr>
              <w:ilvl w:val="0"/>
              <w:numId w:val="24"/>
            </w:numPr>
          </w:pPr>
          <w:r>
            <w:t xml:space="preserve">In addition, </w:t>
          </w:r>
          <w:r w:rsidR="00400E68">
            <w:t xml:space="preserve">the </w:t>
          </w:r>
          <w:r w:rsidR="005B7AAF">
            <w:t xml:space="preserve">definition of </w:t>
          </w:r>
          <w:r w:rsidR="00400E68">
            <w:t>general nominated pass through event</w:t>
          </w:r>
          <w:r>
            <w:t xml:space="preserve"> imposes an additional materiality requirement</w:t>
          </w:r>
          <w:r w:rsidR="00106021">
            <w:t xml:space="preserve"> for this particular type of pass through event</w:t>
          </w:r>
          <w:r w:rsidR="00C7580F">
            <w:t xml:space="preserve"> </w:t>
          </w:r>
          <w:r w:rsidR="00A9005F">
            <w:t>(</w:t>
          </w:r>
          <w:r w:rsidR="00C7580F">
            <w:t>in relation to the smoothed forecast revenue</w:t>
          </w:r>
          <w:r w:rsidR="00A9005F">
            <w:t>)</w:t>
          </w:r>
          <w:r>
            <w:t>. In that definition</w:t>
          </w:r>
          <w:r w:rsidR="00400E68">
            <w:t xml:space="preserve"> 'material' means: </w:t>
          </w:r>
        </w:p>
        <w:p w:rsidR="00400E68" w:rsidRDefault="00400E68" w:rsidP="00400E68">
          <w:pPr>
            <w:pStyle w:val="AERquote"/>
          </w:pPr>
          <w:r>
            <w:t>the costs associated with the event would exceed 1 per cent of the smoothed forecast revenue specified in the final decision in the years of the regulatory control period that the costs are incurred.</w:t>
          </w:r>
          <w:r w:rsidR="00063482">
            <w:rPr>
              <w:rStyle w:val="FootnoteReference"/>
            </w:rPr>
            <w:footnoteReference w:id="22"/>
          </w:r>
        </w:p>
        <w:p w:rsidR="00063482" w:rsidRDefault="009E285A" w:rsidP="0058737E">
          <w:r>
            <w:t>Table 2</w:t>
          </w:r>
          <w:r w:rsidR="002F6C3A">
            <w:t xml:space="preserve"> shows Ausgrid's </w:t>
          </w:r>
          <w:r w:rsidR="00F165CB">
            <w:t xml:space="preserve">annual </w:t>
          </w:r>
          <w:r w:rsidR="002F6C3A">
            <w:t>revenue requirement</w:t>
          </w:r>
          <w:r w:rsidR="00783638">
            <w:t xml:space="preserve"> and</w:t>
          </w:r>
          <w:r w:rsidR="00480089">
            <w:t xml:space="preserve"> smoothed revenue</w:t>
          </w:r>
          <w:r w:rsidR="00783638">
            <w:t xml:space="preserve"> for 2014</w:t>
          </w:r>
          <w:r w:rsidR="006166EB">
            <w:t>–</w:t>
          </w:r>
          <w:r w:rsidR="00783638">
            <w:t>15</w:t>
          </w:r>
          <w:r w:rsidR="00783638" w:rsidRPr="00783638">
            <w:t xml:space="preserve"> </w:t>
          </w:r>
          <w:r w:rsidR="004A235A">
            <w:t>to 2018–19</w:t>
          </w:r>
          <w:r w:rsidR="002F6C3A">
            <w:t xml:space="preserve">, </w:t>
          </w:r>
          <w:r w:rsidR="00AD36D0">
            <w:t xml:space="preserve">our determined </w:t>
          </w:r>
          <w:r w:rsidR="002F6C3A">
            <w:t>pass through amount</w:t>
          </w:r>
          <w:r w:rsidR="00480089">
            <w:t xml:space="preserve"> and </w:t>
          </w:r>
          <w:r w:rsidR="00106021">
            <w:t xml:space="preserve">each of </w:t>
          </w:r>
          <w:r w:rsidR="00480089">
            <w:t xml:space="preserve">the </w:t>
          </w:r>
          <w:r w:rsidR="00783638">
            <w:t xml:space="preserve">relevant </w:t>
          </w:r>
          <w:r w:rsidR="00480089">
            <w:t xml:space="preserve">materiality </w:t>
          </w:r>
          <w:r w:rsidR="00106021">
            <w:t>percentages</w:t>
          </w:r>
          <w:r w:rsidR="002F6C3A">
            <w:t>.</w:t>
          </w:r>
        </w:p>
        <w:p w:rsidR="00063482" w:rsidRDefault="009643CB" w:rsidP="0058737E">
          <w:r>
            <w:t>T</w:t>
          </w:r>
          <w:r w:rsidR="0058737E" w:rsidRPr="0058737E">
            <w:t xml:space="preserve">he cost impact of the April storm </w:t>
          </w:r>
          <w:r w:rsidR="00063482">
            <w:t xml:space="preserve">event </w:t>
          </w:r>
          <w:r>
            <w:t>is</w:t>
          </w:r>
          <w:r w:rsidR="00551DF1" w:rsidRPr="0058737E">
            <w:t xml:space="preserve"> </w:t>
          </w:r>
          <w:r w:rsidR="0058737E" w:rsidRPr="0058737E">
            <w:t>1.</w:t>
          </w:r>
          <w:r w:rsidR="00AD36D0">
            <w:t>9</w:t>
          </w:r>
          <w:r w:rsidR="006166EB">
            <w:t>5</w:t>
          </w:r>
          <w:r w:rsidR="00152EBE">
            <w:t xml:space="preserve"> per cent</w:t>
          </w:r>
          <w:r w:rsidR="0058737E" w:rsidRPr="0058737E">
            <w:t xml:space="preserve"> </w:t>
          </w:r>
          <w:r w:rsidR="00063482">
            <w:t>of</w:t>
          </w:r>
          <w:r w:rsidR="00063482" w:rsidRPr="00063482">
            <w:t xml:space="preserve"> </w:t>
          </w:r>
          <w:r w:rsidR="00063482">
            <w:t>its</w:t>
          </w:r>
          <w:r w:rsidR="00AD36D0">
            <w:t xml:space="preserve"> annual</w:t>
          </w:r>
          <w:r w:rsidR="00063482">
            <w:t xml:space="preserve"> revenue </w:t>
          </w:r>
          <w:r w:rsidR="00AD36D0">
            <w:t xml:space="preserve">requirement </w:t>
          </w:r>
          <w:r w:rsidR="0058737E" w:rsidRPr="0058737E">
            <w:t xml:space="preserve">and </w:t>
          </w:r>
          <w:r w:rsidR="006166EB">
            <w:t>1.53</w:t>
          </w:r>
          <w:r w:rsidR="00480089">
            <w:t xml:space="preserve"> per cent of the smoothed revenue </w:t>
          </w:r>
          <w:r w:rsidR="004A235A">
            <w:t xml:space="preserve">in 2014–15 </w:t>
          </w:r>
          <w:r w:rsidR="00480089">
            <w:t xml:space="preserve">and </w:t>
          </w:r>
          <w:r w:rsidR="0058737E" w:rsidRPr="0058737E">
            <w:t xml:space="preserve">therefore exceeds </w:t>
          </w:r>
          <w:r w:rsidR="00480089">
            <w:t>both the materiality</w:t>
          </w:r>
          <w:r w:rsidR="0058737E" w:rsidRPr="0058737E">
            <w:t xml:space="preserve"> </w:t>
          </w:r>
          <w:r w:rsidR="00063482">
            <w:t>hurdle</w:t>
          </w:r>
          <w:r w:rsidR="00480089">
            <w:t>s</w:t>
          </w:r>
          <w:r w:rsidR="00106021">
            <w:t xml:space="preserve"> contained in the NER and the definition of general nominated pass through event</w:t>
          </w:r>
          <w:r w:rsidR="0058737E" w:rsidRPr="0058737E">
            <w:t>.</w:t>
          </w:r>
          <w:r w:rsidR="00AD36D0" w:rsidRPr="00AD36D0">
            <w:rPr>
              <w:rStyle w:val="FootnoteReference"/>
            </w:rPr>
            <w:footnoteReference w:id="23"/>
          </w:r>
        </w:p>
        <w:p w:rsidR="00647A6B" w:rsidRDefault="00647A6B">
          <w:pPr>
            <w:spacing w:line="240" w:lineRule="auto"/>
          </w:pPr>
          <w:r>
            <w:br w:type="page"/>
          </w:r>
        </w:p>
        <w:p w:rsidR="00A444EB" w:rsidRDefault="009E285A" w:rsidP="00A71B78">
          <w:pPr>
            <w:pStyle w:val="Caption"/>
          </w:pPr>
          <w:r>
            <w:lastRenderedPageBreak/>
            <w:t>Table 2</w:t>
          </w:r>
          <w:r w:rsidR="002F6C3A">
            <w:tab/>
          </w:r>
          <w:r w:rsidR="00A444EB">
            <w:tab/>
            <w:t>Materiality of pass through costs</w:t>
          </w:r>
          <w:r w:rsidR="00DC74A1">
            <w:t xml:space="preserve"> ($m</w:t>
          </w:r>
          <w:r w:rsidR="00DA1874">
            <w:t>'</w:t>
          </w:r>
          <w:r w:rsidR="00DC74A1">
            <w:t xml:space="preserve"> nominal)</w:t>
          </w:r>
        </w:p>
        <w:tbl>
          <w:tblPr>
            <w:tblStyle w:val="AERtable-numbers"/>
            <w:tblW w:w="8613" w:type="dxa"/>
            <w:tblLayout w:type="fixed"/>
            <w:tblLook w:val="01E0" w:firstRow="1" w:lastRow="1" w:firstColumn="1" w:lastColumn="1" w:noHBand="0" w:noVBand="0"/>
          </w:tblPr>
          <w:tblGrid>
            <w:gridCol w:w="1435"/>
            <w:gridCol w:w="1436"/>
            <w:gridCol w:w="1435"/>
            <w:gridCol w:w="1436"/>
            <w:gridCol w:w="1435"/>
            <w:gridCol w:w="1436"/>
          </w:tblGrid>
          <w:tr w:rsidR="004A235A" w:rsidRPr="00153813" w:rsidTr="00F37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noWrap/>
              </w:tcPr>
              <w:p w:rsidR="004A235A" w:rsidRPr="00A444EB" w:rsidRDefault="004A235A" w:rsidP="003E5A8F">
                <w:pPr>
                  <w:pStyle w:val="AERtabletextleft"/>
                </w:pPr>
              </w:p>
            </w:tc>
            <w:tc>
              <w:tcPr>
                <w:tcW w:w="1436" w:type="dxa"/>
                <w:noWrap/>
              </w:tcPr>
              <w:p w:rsidR="004A235A" w:rsidRPr="009744C7" w:rsidRDefault="004A235A" w:rsidP="003E5A8F">
                <w:pPr>
                  <w:pStyle w:val="AERtabletextleft"/>
                  <w:cnfStyle w:val="100000000000" w:firstRow="1" w:lastRow="0" w:firstColumn="0" w:lastColumn="0" w:oddVBand="0" w:evenVBand="0" w:oddHBand="0" w:evenHBand="0" w:firstRowFirstColumn="0" w:firstRowLastColumn="0" w:lastRowFirstColumn="0" w:lastRowLastColumn="0"/>
                </w:pPr>
                <w:r w:rsidRPr="009744C7">
                  <w:t>2014–</w:t>
                </w:r>
                <w:r w:rsidRPr="00FA3B40">
                  <w:t>15</w:t>
                </w:r>
              </w:p>
            </w:tc>
            <w:tc>
              <w:tcPr>
                <w:tcW w:w="1435" w:type="dxa"/>
              </w:tcPr>
              <w:p w:rsidR="004A235A" w:rsidRPr="009744C7" w:rsidRDefault="004A235A">
                <w:pPr>
                  <w:pStyle w:val="AERtabletextleft"/>
                  <w:cnfStyle w:val="100000000000" w:firstRow="1" w:lastRow="0" w:firstColumn="0" w:lastColumn="0" w:oddVBand="0" w:evenVBand="0" w:oddHBand="0" w:evenHBand="0" w:firstRowFirstColumn="0" w:firstRowLastColumn="0" w:lastRowFirstColumn="0" w:lastRowLastColumn="0"/>
                </w:pPr>
                <w:r w:rsidRPr="009744C7">
                  <w:t>2015–16</w:t>
                </w:r>
              </w:p>
            </w:tc>
            <w:tc>
              <w:tcPr>
                <w:tcW w:w="1436" w:type="dxa"/>
              </w:tcPr>
              <w:p w:rsidR="004A235A" w:rsidRPr="009744C7" w:rsidRDefault="004A235A">
                <w:pPr>
                  <w:pStyle w:val="AERtabletextleft"/>
                  <w:cnfStyle w:val="100000000000" w:firstRow="1" w:lastRow="0" w:firstColumn="0" w:lastColumn="0" w:oddVBand="0" w:evenVBand="0" w:oddHBand="0" w:evenHBand="0" w:firstRowFirstColumn="0" w:firstRowLastColumn="0" w:lastRowFirstColumn="0" w:lastRowLastColumn="0"/>
                </w:pPr>
                <w:r w:rsidRPr="009744C7">
                  <w:t>2016–17</w:t>
                </w:r>
              </w:p>
            </w:tc>
            <w:tc>
              <w:tcPr>
                <w:tcW w:w="1435" w:type="dxa"/>
              </w:tcPr>
              <w:p w:rsidR="004A235A" w:rsidRPr="009744C7" w:rsidRDefault="004A235A">
                <w:pPr>
                  <w:pStyle w:val="AERtabletextleft"/>
                  <w:cnfStyle w:val="100000000000" w:firstRow="1" w:lastRow="0" w:firstColumn="0" w:lastColumn="0" w:oddVBand="0" w:evenVBand="0" w:oddHBand="0" w:evenHBand="0" w:firstRowFirstColumn="0" w:firstRowLastColumn="0" w:lastRowFirstColumn="0" w:lastRowLastColumn="0"/>
                </w:pPr>
                <w:r w:rsidRPr="009744C7">
                  <w:t>2017–18</w:t>
                </w:r>
              </w:p>
            </w:tc>
            <w:tc>
              <w:tcPr>
                <w:tcW w:w="1436" w:type="dxa"/>
              </w:tcPr>
              <w:p w:rsidR="004A235A" w:rsidRPr="009744C7" w:rsidRDefault="004A235A">
                <w:pPr>
                  <w:pStyle w:val="AERtabletextleft"/>
                  <w:cnfStyle w:val="100000000000" w:firstRow="1" w:lastRow="0" w:firstColumn="0" w:lastColumn="0" w:oddVBand="0" w:evenVBand="0" w:oddHBand="0" w:evenHBand="0" w:firstRowFirstColumn="0" w:firstRowLastColumn="0" w:lastRowFirstColumn="0" w:lastRowLastColumn="0"/>
                </w:pPr>
                <w:r w:rsidRPr="009744C7">
                  <w:t>2018–19</w:t>
                </w:r>
              </w:p>
            </w:tc>
          </w:tr>
          <w:tr w:rsidR="004A235A" w:rsidRPr="00852303" w:rsidTr="00F3772C">
            <w:tc>
              <w:tcPr>
                <w:cnfStyle w:val="001000000000" w:firstRow="0" w:lastRow="0" w:firstColumn="1" w:lastColumn="0" w:oddVBand="0" w:evenVBand="0" w:oddHBand="0" w:evenHBand="0" w:firstRowFirstColumn="0" w:firstRowLastColumn="0" w:lastRowFirstColumn="0" w:lastRowLastColumn="0"/>
                <w:tcW w:w="1435" w:type="dxa"/>
                <w:noWrap/>
              </w:tcPr>
              <w:p w:rsidR="004A235A" w:rsidRPr="004A235A" w:rsidRDefault="004A235A" w:rsidP="004A235A">
                <w:pPr>
                  <w:pStyle w:val="AERtabletextleft"/>
                </w:pPr>
                <w:r w:rsidRPr="004A235A">
                  <w:t>Annual revenue requirement</w:t>
                </w:r>
              </w:p>
            </w:tc>
            <w:tc>
              <w:tcPr>
                <w:tcW w:w="1436" w:type="dxa"/>
                <w:noWrap/>
                <w:vAlign w:val="top"/>
              </w:tcPr>
              <w:p w:rsidR="004A235A" w:rsidRPr="00FA3B40" w:rsidRDefault="004A235A" w:rsidP="003E5A8F">
                <w:pPr>
                  <w:pStyle w:val="AERtabletextleft"/>
                  <w:cnfStyle w:val="000000000000" w:firstRow="0" w:lastRow="0" w:firstColumn="0" w:lastColumn="0" w:oddVBand="0" w:evenVBand="0" w:oddHBand="0" w:evenHBand="0" w:firstRowFirstColumn="0" w:firstRowLastColumn="0" w:lastRowFirstColumn="0" w:lastRowLastColumn="0"/>
                </w:pPr>
                <w:r w:rsidRPr="009744C7">
                  <w:t>1738.8</w:t>
                </w:r>
              </w:p>
            </w:tc>
            <w:tc>
              <w:tcPr>
                <w:tcW w:w="1435" w:type="dxa"/>
                <w:vAlign w:val="top"/>
              </w:tcPr>
              <w:p w:rsidR="004A235A" w:rsidRPr="009744C7"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1738.2</w:t>
                </w:r>
              </w:p>
            </w:tc>
            <w:tc>
              <w:tcPr>
                <w:tcW w:w="1436" w:type="dxa"/>
                <w:vAlign w:val="top"/>
              </w:tcPr>
              <w:p w:rsidR="004A235A" w:rsidRPr="009744C7"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1808.7</w:t>
                </w:r>
              </w:p>
            </w:tc>
            <w:tc>
              <w:tcPr>
                <w:tcW w:w="1435" w:type="dxa"/>
                <w:vAlign w:val="top"/>
              </w:tcPr>
              <w:p w:rsidR="004A235A" w:rsidRPr="009744C7"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1796.7</w:t>
                </w:r>
              </w:p>
            </w:tc>
            <w:tc>
              <w:tcPr>
                <w:tcW w:w="1436" w:type="dxa"/>
                <w:vAlign w:val="top"/>
              </w:tcPr>
              <w:p w:rsidR="004A235A" w:rsidRPr="009744C7"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1797.0</w:t>
                </w:r>
              </w:p>
            </w:tc>
          </w:tr>
          <w:tr w:rsidR="004A235A" w:rsidRPr="00852303" w:rsidTr="00F37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noWrap/>
              </w:tcPr>
              <w:p w:rsidR="004A235A" w:rsidRPr="004A235A" w:rsidRDefault="004A235A" w:rsidP="004A235A">
                <w:pPr>
                  <w:pStyle w:val="AERtabletextleft"/>
                </w:pPr>
                <w:r w:rsidRPr="004A235A">
                  <w:t>Smoothed revenue requirement</w:t>
                </w:r>
              </w:p>
            </w:tc>
            <w:tc>
              <w:tcPr>
                <w:tcW w:w="1436" w:type="dxa"/>
                <w:noWrap/>
                <w:vAlign w:val="top"/>
              </w:tcPr>
              <w:p w:rsidR="004A235A" w:rsidRPr="009744C7" w:rsidRDefault="004A235A" w:rsidP="009744C7">
                <w:pPr>
                  <w:pStyle w:val="AERtabletextleft"/>
                  <w:cnfStyle w:val="000000010000" w:firstRow="0" w:lastRow="0" w:firstColumn="0" w:lastColumn="0" w:oddVBand="0" w:evenVBand="0" w:oddHBand="0" w:evenHBand="1" w:firstRowFirstColumn="0" w:firstRowLastColumn="0" w:lastRowFirstColumn="0" w:lastRowLastColumn="0"/>
                </w:pPr>
                <w:r w:rsidRPr="009744C7">
                  <w:t>2208.8</w:t>
                </w:r>
              </w:p>
            </w:tc>
            <w:tc>
              <w:tcPr>
                <w:tcW w:w="1435" w:type="dxa"/>
                <w:vAlign w:val="top"/>
              </w:tcPr>
              <w:p w:rsidR="004A235A" w:rsidRPr="00FA3B40" w:rsidDel="006166EB" w:rsidRDefault="004A235A" w:rsidP="00FA3B40">
                <w:pPr>
                  <w:pStyle w:val="AERtabletextleft"/>
                  <w:cnfStyle w:val="000000010000" w:firstRow="0" w:lastRow="0" w:firstColumn="0" w:lastColumn="0" w:oddVBand="0" w:evenVBand="0" w:oddHBand="0" w:evenHBand="1" w:firstRowFirstColumn="0" w:firstRowLastColumn="0" w:lastRowFirstColumn="0" w:lastRowLastColumn="0"/>
                </w:pPr>
                <w:r w:rsidRPr="00FA3B40">
                  <w:t>1693.2</w:t>
                </w:r>
              </w:p>
            </w:tc>
            <w:tc>
              <w:tcPr>
                <w:tcW w:w="1436" w:type="dxa"/>
                <w:vAlign w:val="top"/>
              </w:tcPr>
              <w:p w:rsidR="004A235A" w:rsidRPr="009744C7" w:rsidDel="006166EB" w:rsidRDefault="004A235A">
                <w:pPr>
                  <w:pStyle w:val="AERtabletextleft"/>
                  <w:cnfStyle w:val="000000010000" w:firstRow="0" w:lastRow="0" w:firstColumn="0" w:lastColumn="0" w:oddVBand="0" w:evenVBand="0" w:oddHBand="0" w:evenHBand="1" w:firstRowFirstColumn="0" w:firstRowLastColumn="0" w:lastRowFirstColumn="0" w:lastRowLastColumn="0"/>
                </w:pPr>
                <w:r w:rsidRPr="009744C7">
                  <w:t>1637.1</w:t>
                </w:r>
              </w:p>
            </w:tc>
            <w:tc>
              <w:tcPr>
                <w:tcW w:w="1435" w:type="dxa"/>
                <w:vAlign w:val="top"/>
              </w:tcPr>
              <w:p w:rsidR="004A235A" w:rsidRPr="009744C7" w:rsidDel="006166EB" w:rsidRDefault="004A235A">
                <w:pPr>
                  <w:pStyle w:val="AERtabletextleft"/>
                  <w:cnfStyle w:val="000000010000" w:firstRow="0" w:lastRow="0" w:firstColumn="0" w:lastColumn="0" w:oddVBand="0" w:evenVBand="0" w:oddHBand="0" w:evenHBand="1" w:firstRowFirstColumn="0" w:firstRowLastColumn="0" w:lastRowFirstColumn="0" w:lastRowLastColumn="0"/>
                </w:pPr>
                <w:r w:rsidRPr="009744C7">
                  <w:t>1627.7</w:t>
                </w:r>
              </w:p>
            </w:tc>
            <w:tc>
              <w:tcPr>
                <w:tcW w:w="1436" w:type="dxa"/>
                <w:vAlign w:val="top"/>
              </w:tcPr>
              <w:p w:rsidR="004A235A" w:rsidRPr="009744C7" w:rsidDel="006166EB" w:rsidRDefault="004A235A">
                <w:pPr>
                  <w:pStyle w:val="AERtabletextleft"/>
                  <w:cnfStyle w:val="000000010000" w:firstRow="0" w:lastRow="0" w:firstColumn="0" w:lastColumn="0" w:oddVBand="0" w:evenVBand="0" w:oddHBand="0" w:evenHBand="1" w:firstRowFirstColumn="0" w:firstRowLastColumn="0" w:lastRowFirstColumn="0" w:lastRowLastColumn="0"/>
                </w:pPr>
                <w:r w:rsidRPr="009744C7">
                  <w:t>1618.4</w:t>
                </w:r>
              </w:p>
            </w:tc>
          </w:tr>
          <w:tr w:rsidR="004A235A" w:rsidRPr="00153813" w:rsidTr="00F3772C">
            <w:tc>
              <w:tcPr>
                <w:cnfStyle w:val="001000000000" w:firstRow="0" w:lastRow="0" w:firstColumn="1" w:lastColumn="0" w:oddVBand="0" w:evenVBand="0" w:oddHBand="0" w:evenHBand="0" w:firstRowFirstColumn="0" w:firstRowLastColumn="0" w:lastRowFirstColumn="0" w:lastRowLastColumn="0"/>
                <w:tcW w:w="1435" w:type="dxa"/>
                <w:noWrap/>
              </w:tcPr>
              <w:p w:rsidR="004A235A" w:rsidRPr="004A235A" w:rsidRDefault="004A235A" w:rsidP="004A235A">
                <w:pPr>
                  <w:pStyle w:val="AERtabletextleft"/>
                </w:pPr>
                <w:r w:rsidRPr="004A235A">
                  <w:t>Pass through amount</w:t>
                </w:r>
              </w:p>
            </w:tc>
            <w:tc>
              <w:tcPr>
                <w:tcW w:w="1436" w:type="dxa"/>
                <w:noWrap/>
                <w:vAlign w:val="top"/>
              </w:tcPr>
              <w:p w:rsidR="004A235A" w:rsidRPr="00FA3B40" w:rsidRDefault="004A235A" w:rsidP="003E5A8F">
                <w:pPr>
                  <w:pStyle w:val="AERtabletextleft"/>
                  <w:cnfStyle w:val="000000000000" w:firstRow="0" w:lastRow="0" w:firstColumn="0" w:lastColumn="0" w:oddVBand="0" w:evenVBand="0" w:oddHBand="0" w:evenHBand="0" w:firstRowFirstColumn="0" w:firstRowLastColumn="0" w:lastRowFirstColumn="0" w:lastRowLastColumn="0"/>
                </w:pPr>
                <w:r w:rsidRPr="009744C7">
                  <w:t>33.90</w:t>
                </w:r>
              </w:p>
            </w:tc>
            <w:tc>
              <w:tcPr>
                <w:tcW w:w="1435" w:type="dxa"/>
                <w:vAlign w:val="top"/>
              </w:tcPr>
              <w:p w:rsidR="004A235A" w:rsidRPr="009744C7" w:rsidDel="006166EB"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0.88</w:t>
                </w:r>
              </w:p>
            </w:tc>
            <w:tc>
              <w:tcPr>
                <w:tcW w:w="1436" w:type="dxa"/>
                <w:vAlign w:val="top"/>
              </w:tcPr>
              <w:p w:rsidR="004A235A" w:rsidRPr="009744C7" w:rsidDel="006166EB"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0.35</w:t>
                </w:r>
              </w:p>
            </w:tc>
            <w:tc>
              <w:tcPr>
                <w:tcW w:w="1435" w:type="dxa"/>
                <w:vAlign w:val="top"/>
              </w:tcPr>
              <w:p w:rsidR="004A235A" w:rsidRPr="009744C7" w:rsidDel="006166EB"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0.36</w:t>
                </w:r>
              </w:p>
            </w:tc>
            <w:tc>
              <w:tcPr>
                <w:tcW w:w="1436" w:type="dxa"/>
                <w:vAlign w:val="top"/>
              </w:tcPr>
              <w:p w:rsidR="004A235A" w:rsidRPr="009744C7" w:rsidDel="006166EB"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0.36</w:t>
                </w:r>
              </w:p>
            </w:tc>
          </w:tr>
          <w:tr w:rsidR="004A235A" w:rsidRPr="00153813" w:rsidTr="00F377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noWrap/>
              </w:tcPr>
              <w:p w:rsidR="004A235A" w:rsidRPr="004A235A" w:rsidRDefault="004A235A" w:rsidP="004A235A">
                <w:pPr>
                  <w:pStyle w:val="AERtabletextleft"/>
                </w:pPr>
                <w:r w:rsidRPr="004A235A">
                  <w:t>Materiality against annual revenue requirement (per cent)</w:t>
                </w:r>
              </w:p>
            </w:tc>
            <w:tc>
              <w:tcPr>
                <w:tcW w:w="1436" w:type="dxa"/>
                <w:noWrap/>
                <w:vAlign w:val="top"/>
              </w:tcPr>
              <w:p w:rsidR="004A235A" w:rsidRPr="009744C7" w:rsidRDefault="004A235A" w:rsidP="003E5A8F">
                <w:pPr>
                  <w:pStyle w:val="AERtabletextleft"/>
                  <w:cnfStyle w:val="000000010000" w:firstRow="0" w:lastRow="0" w:firstColumn="0" w:lastColumn="0" w:oddVBand="0" w:evenVBand="0" w:oddHBand="0" w:evenHBand="1" w:firstRowFirstColumn="0" w:firstRowLastColumn="0" w:lastRowFirstColumn="0" w:lastRowLastColumn="0"/>
                </w:pPr>
                <w:r w:rsidRPr="009744C7">
                  <w:t>1.95</w:t>
                </w:r>
              </w:p>
            </w:tc>
            <w:tc>
              <w:tcPr>
                <w:tcW w:w="1435" w:type="dxa"/>
                <w:vAlign w:val="top"/>
              </w:tcPr>
              <w:p w:rsidR="004A235A" w:rsidRPr="00FA3B40" w:rsidRDefault="004A235A">
                <w:pPr>
                  <w:pStyle w:val="AERtabletextleft"/>
                  <w:cnfStyle w:val="000000010000" w:firstRow="0" w:lastRow="0" w:firstColumn="0" w:lastColumn="0" w:oddVBand="0" w:evenVBand="0" w:oddHBand="0" w:evenHBand="1" w:firstRowFirstColumn="0" w:firstRowLastColumn="0" w:lastRowFirstColumn="0" w:lastRowLastColumn="0"/>
                </w:pPr>
                <w:r w:rsidRPr="00FA3B40">
                  <w:t>0.05</w:t>
                </w:r>
              </w:p>
            </w:tc>
            <w:tc>
              <w:tcPr>
                <w:tcW w:w="1436" w:type="dxa"/>
                <w:vAlign w:val="top"/>
              </w:tcPr>
              <w:p w:rsidR="004A235A" w:rsidRPr="009744C7" w:rsidRDefault="004A235A">
                <w:pPr>
                  <w:pStyle w:val="AERtabletextleft"/>
                  <w:cnfStyle w:val="000000010000" w:firstRow="0" w:lastRow="0" w:firstColumn="0" w:lastColumn="0" w:oddVBand="0" w:evenVBand="0" w:oddHBand="0" w:evenHBand="1" w:firstRowFirstColumn="0" w:firstRowLastColumn="0" w:lastRowFirstColumn="0" w:lastRowLastColumn="0"/>
                </w:pPr>
                <w:r w:rsidRPr="009744C7">
                  <w:t>0.02</w:t>
                </w:r>
              </w:p>
            </w:tc>
            <w:tc>
              <w:tcPr>
                <w:tcW w:w="1435" w:type="dxa"/>
                <w:vAlign w:val="top"/>
              </w:tcPr>
              <w:p w:rsidR="004A235A" w:rsidRPr="009744C7" w:rsidRDefault="004A235A">
                <w:pPr>
                  <w:pStyle w:val="AERtabletextleft"/>
                  <w:cnfStyle w:val="000000010000" w:firstRow="0" w:lastRow="0" w:firstColumn="0" w:lastColumn="0" w:oddVBand="0" w:evenVBand="0" w:oddHBand="0" w:evenHBand="1" w:firstRowFirstColumn="0" w:firstRowLastColumn="0" w:lastRowFirstColumn="0" w:lastRowLastColumn="0"/>
                </w:pPr>
                <w:r w:rsidRPr="009744C7">
                  <w:t>0.02</w:t>
                </w:r>
              </w:p>
            </w:tc>
            <w:tc>
              <w:tcPr>
                <w:tcW w:w="1436" w:type="dxa"/>
                <w:vAlign w:val="top"/>
              </w:tcPr>
              <w:p w:rsidR="004A235A" w:rsidRPr="009744C7" w:rsidRDefault="004A235A">
                <w:pPr>
                  <w:pStyle w:val="AERtabletextleft"/>
                  <w:cnfStyle w:val="000000010000" w:firstRow="0" w:lastRow="0" w:firstColumn="0" w:lastColumn="0" w:oddVBand="0" w:evenVBand="0" w:oddHBand="0" w:evenHBand="1" w:firstRowFirstColumn="0" w:firstRowLastColumn="0" w:lastRowFirstColumn="0" w:lastRowLastColumn="0"/>
                </w:pPr>
                <w:r w:rsidRPr="009744C7">
                  <w:t>0.02</w:t>
                </w:r>
              </w:p>
            </w:tc>
          </w:tr>
          <w:tr w:rsidR="004A235A" w:rsidRPr="00153813" w:rsidTr="00F3772C">
            <w:tc>
              <w:tcPr>
                <w:cnfStyle w:val="001000000000" w:firstRow="0" w:lastRow="0" w:firstColumn="1" w:lastColumn="0" w:oddVBand="0" w:evenVBand="0" w:oddHBand="0" w:evenHBand="0" w:firstRowFirstColumn="0" w:firstRowLastColumn="0" w:lastRowFirstColumn="0" w:lastRowLastColumn="0"/>
                <w:tcW w:w="1435" w:type="dxa"/>
                <w:noWrap/>
              </w:tcPr>
              <w:p w:rsidR="004A235A" w:rsidRPr="004A235A" w:rsidRDefault="004A235A" w:rsidP="004A235A">
                <w:pPr>
                  <w:pStyle w:val="AERtabletextleft"/>
                </w:pPr>
                <w:r w:rsidRPr="004A235A">
                  <w:t xml:space="preserve">Materiality against smoothed revenue requirement (per cent) </w:t>
                </w:r>
              </w:p>
            </w:tc>
            <w:tc>
              <w:tcPr>
                <w:tcW w:w="1436" w:type="dxa"/>
                <w:noWrap/>
                <w:vAlign w:val="top"/>
              </w:tcPr>
              <w:p w:rsidR="004A235A" w:rsidRPr="009744C7" w:rsidRDefault="004A235A" w:rsidP="009744C7">
                <w:pPr>
                  <w:pStyle w:val="AERtabletextleft"/>
                  <w:cnfStyle w:val="000000000000" w:firstRow="0" w:lastRow="0" w:firstColumn="0" w:lastColumn="0" w:oddVBand="0" w:evenVBand="0" w:oddHBand="0" w:evenHBand="0" w:firstRowFirstColumn="0" w:firstRowLastColumn="0" w:lastRowFirstColumn="0" w:lastRowLastColumn="0"/>
                </w:pPr>
                <w:r w:rsidRPr="009744C7">
                  <w:t>1.53</w:t>
                </w:r>
              </w:p>
            </w:tc>
            <w:tc>
              <w:tcPr>
                <w:tcW w:w="1435" w:type="dxa"/>
                <w:vAlign w:val="top"/>
              </w:tcPr>
              <w:p w:rsidR="004A235A" w:rsidRPr="00FA3B40" w:rsidRDefault="004A235A" w:rsidP="00FA3B40">
                <w:pPr>
                  <w:pStyle w:val="AERtabletextleft"/>
                  <w:cnfStyle w:val="000000000000" w:firstRow="0" w:lastRow="0" w:firstColumn="0" w:lastColumn="0" w:oddVBand="0" w:evenVBand="0" w:oddHBand="0" w:evenHBand="0" w:firstRowFirstColumn="0" w:firstRowLastColumn="0" w:lastRowFirstColumn="0" w:lastRowLastColumn="0"/>
                </w:pPr>
                <w:r w:rsidRPr="00FA3B40">
                  <w:t>0.05</w:t>
                </w:r>
              </w:p>
            </w:tc>
            <w:tc>
              <w:tcPr>
                <w:tcW w:w="1436" w:type="dxa"/>
                <w:vAlign w:val="top"/>
              </w:tcPr>
              <w:p w:rsidR="004A235A" w:rsidRPr="009744C7"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0.02</w:t>
                </w:r>
              </w:p>
            </w:tc>
            <w:tc>
              <w:tcPr>
                <w:tcW w:w="1435" w:type="dxa"/>
                <w:vAlign w:val="top"/>
              </w:tcPr>
              <w:p w:rsidR="004A235A" w:rsidRPr="009744C7"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0.02</w:t>
                </w:r>
              </w:p>
            </w:tc>
            <w:tc>
              <w:tcPr>
                <w:tcW w:w="1436" w:type="dxa"/>
                <w:vAlign w:val="top"/>
              </w:tcPr>
              <w:p w:rsidR="004A235A" w:rsidRPr="009744C7" w:rsidRDefault="004A235A">
                <w:pPr>
                  <w:pStyle w:val="AERtabletextleft"/>
                  <w:cnfStyle w:val="000000000000" w:firstRow="0" w:lastRow="0" w:firstColumn="0" w:lastColumn="0" w:oddVBand="0" w:evenVBand="0" w:oddHBand="0" w:evenHBand="0" w:firstRowFirstColumn="0" w:firstRowLastColumn="0" w:lastRowFirstColumn="0" w:lastRowLastColumn="0"/>
                </w:pPr>
                <w:r w:rsidRPr="009744C7">
                  <w:t>0.02</w:t>
                </w:r>
              </w:p>
            </w:tc>
          </w:tr>
        </w:tbl>
        <w:p w:rsidR="009E285A" w:rsidRDefault="009E285A" w:rsidP="009E285A">
          <w:pPr>
            <w:pStyle w:val="AERtablesource"/>
          </w:pPr>
          <w:bookmarkStart w:id="35" w:name="_Toc435796170"/>
          <w:r>
            <w:t xml:space="preserve">Source: </w:t>
          </w:r>
          <w:r w:rsidR="009643CB">
            <w:t xml:space="preserve">AER analysis. </w:t>
          </w:r>
          <w:r w:rsidR="00B61877" w:rsidRPr="00B61877">
            <w:t xml:space="preserve">Numbers may not add due to rounding.   </w:t>
          </w:r>
        </w:p>
        <w:p w:rsidR="006E63CD" w:rsidRDefault="006E63CD" w:rsidP="006E63CD">
          <w:r>
            <w:t xml:space="preserve">We </w:t>
          </w:r>
          <w:r w:rsidR="00AD36D0">
            <w:t xml:space="preserve">are satisfied </w:t>
          </w:r>
          <w:r>
            <w:t>that t</w:t>
          </w:r>
          <w:r w:rsidRPr="0058737E">
            <w:t xml:space="preserve">he costs associated with the </w:t>
          </w:r>
          <w:r>
            <w:t xml:space="preserve">April </w:t>
          </w:r>
          <w:r w:rsidRPr="0058737E">
            <w:t xml:space="preserve">storm </w:t>
          </w:r>
          <w:r>
            <w:t xml:space="preserve">event </w:t>
          </w:r>
          <w:r w:rsidRPr="0058737E">
            <w:t>(i.e. the change in</w:t>
          </w:r>
          <w:r>
            <w:t xml:space="preserve"> </w:t>
          </w:r>
          <w:r w:rsidRPr="0058737E">
            <w:t xml:space="preserve">costs </w:t>
          </w:r>
          <w:r>
            <w:t>directly attributable to this act of nature</w:t>
          </w:r>
          <w:r w:rsidRPr="0058737E">
            <w:t xml:space="preserve">) are therefore material within the </w:t>
          </w:r>
          <w:r>
            <w:t>meaning given to the term by</w:t>
          </w:r>
          <w:r w:rsidRPr="0058737E">
            <w:t xml:space="preserve"> </w:t>
          </w:r>
          <w:r>
            <w:t>our</w:t>
          </w:r>
          <w:r w:rsidRPr="0058737E">
            <w:t xml:space="preserve"> </w:t>
          </w:r>
          <w:r>
            <w:t xml:space="preserve">2014–15 transitional </w:t>
          </w:r>
          <w:r w:rsidRPr="0058737E">
            <w:t>distribution</w:t>
          </w:r>
          <w:r>
            <w:t xml:space="preserve"> </w:t>
          </w:r>
          <w:r w:rsidRPr="0058737E">
            <w:t>determination</w:t>
          </w:r>
          <w:r w:rsidR="00480089">
            <w:t xml:space="preserve"> and the NER</w:t>
          </w:r>
          <w:r w:rsidRPr="0058737E">
            <w:t>.</w:t>
          </w:r>
        </w:p>
        <w:p w:rsidR="0058737E" w:rsidRDefault="0058737E" w:rsidP="0058737E">
          <w:pPr>
            <w:pStyle w:val="Heading3"/>
          </w:pPr>
          <w:bookmarkStart w:id="36" w:name="_Toc436138705"/>
          <w:r w:rsidRPr="0058737E">
            <w:t xml:space="preserve">Timing of </w:t>
          </w:r>
          <w:r>
            <w:t>Ausgrid's</w:t>
          </w:r>
          <w:r w:rsidRPr="0058737E">
            <w:t xml:space="preserve"> application</w:t>
          </w:r>
          <w:bookmarkEnd w:id="35"/>
          <w:bookmarkEnd w:id="36"/>
        </w:p>
        <w:p w:rsidR="0058737E" w:rsidRPr="0058737E" w:rsidRDefault="0058737E" w:rsidP="0058737E">
          <w:pPr>
            <w:numPr>
              <w:ilvl w:val="0"/>
              <w:numId w:val="24"/>
            </w:numPr>
          </w:pPr>
          <w:r w:rsidRPr="0058737E">
            <w:t>Claus</w:t>
          </w:r>
          <w:r>
            <w:t>e 6.6.1 of the NER requires distributor</w:t>
          </w:r>
          <w:r w:rsidRPr="0058737E">
            <w:t xml:space="preserve">s to submit a pass through application to us within 90 business days of the positive change event occurring. We consider that the effective date of </w:t>
          </w:r>
          <w:r>
            <w:t>the positive change event was 20 April 2015</w:t>
          </w:r>
          <w:r w:rsidRPr="0058737E">
            <w:t>. We received the application on 2</w:t>
          </w:r>
          <w:r>
            <w:t>1 August 2015</w:t>
          </w:r>
          <w:r w:rsidRPr="0058737E">
            <w:t>. This requirement has been met.</w:t>
          </w:r>
        </w:p>
        <w:p w:rsidR="0058737E" w:rsidRDefault="0058737E" w:rsidP="0058737E">
          <w:pPr>
            <w:pStyle w:val="Heading2"/>
          </w:pPr>
          <w:bookmarkStart w:id="37" w:name="_Toc397521233"/>
          <w:bookmarkStart w:id="38" w:name="_Toc436138706"/>
          <w:r w:rsidRPr="0058737E">
            <w:t>Assessment</w:t>
          </w:r>
          <w:bookmarkEnd w:id="37"/>
          <w:r w:rsidR="0078175D" w:rsidRPr="0078175D">
            <w:t xml:space="preserve"> of costs likely to be incurred</w:t>
          </w:r>
          <w:bookmarkEnd w:id="38"/>
        </w:p>
        <w:p w:rsidR="0078175D" w:rsidRDefault="0078175D" w:rsidP="0078175D">
          <w:pPr>
            <w:numPr>
              <w:ilvl w:val="0"/>
              <w:numId w:val="24"/>
            </w:numPr>
          </w:pPr>
          <w:r w:rsidRPr="0078175D">
            <w:t xml:space="preserve">The AER has determined </w:t>
          </w:r>
          <w:r w:rsidR="00A9005F">
            <w:t>in</w:t>
          </w:r>
          <w:r w:rsidRPr="0078175D">
            <w:t xml:space="preserve"> </w:t>
          </w:r>
          <w:r w:rsidRPr="003E5A8F">
            <w:rPr>
              <w:rStyle w:val="AERbody"/>
            </w:rPr>
            <w:t xml:space="preserve">Table </w:t>
          </w:r>
          <w:r w:rsidR="00AD36D0" w:rsidRPr="003E5A8F">
            <w:rPr>
              <w:rStyle w:val="AERbody"/>
            </w:rPr>
            <w:t>3</w:t>
          </w:r>
          <w:r w:rsidRPr="0078175D">
            <w:t xml:space="preserve"> the approved incremental </w:t>
          </w:r>
          <w:r w:rsidR="006C6368">
            <w:t xml:space="preserve">capital </w:t>
          </w:r>
          <w:r w:rsidR="00A9005F">
            <w:t xml:space="preserve">and operating </w:t>
          </w:r>
          <w:r w:rsidR="006C6368">
            <w:t xml:space="preserve">expenditure </w:t>
          </w:r>
          <w:r w:rsidR="00A9005F">
            <w:t>for the April storm event</w:t>
          </w:r>
          <w:r w:rsidRPr="0078175D">
            <w:t>.</w:t>
          </w:r>
        </w:p>
        <w:p w:rsidR="0078175D" w:rsidRPr="003E5A8F" w:rsidRDefault="0078175D" w:rsidP="003E5A8F">
          <w:pPr>
            <w:pStyle w:val="Caption"/>
          </w:pPr>
          <w:r w:rsidRPr="003E5A8F">
            <w:rPr>
              <w:rStyle w:val="AERbody"/>
              <w:color w:val="076A92" w:themeColor="text1"/>
              <w:sz w:val="24"/>
            </w:rPr>
            <w:lastRenderedPageBreak/>
            <w:t xml:space="preserve">Table </w:t>
          </w:r>
          <w:r w:rsidR="00AD36D0" w:rsidRPr="003E5A8F">
            <w:rPr>
              <w:rStyle w:val="AERbody"/>
              <w:color w:val="076A92" w:themeColor="text1"/>
              <w:sz w:val="24"/>
            </w:rPr>
            <w:t>3</w:t>
          </w:r>
          <w:r w:rsidRPr="003E5A8F">
            <w:tab/>
            <w:t xml:space="preserve">Approved incremental </w:t>
          </w:r>
          <w:r w:rsidR="006C6368" w:rsidRPr="003E5A8F">
            <w:t xml:space="preserve">expenditure </w:t>
          </w:r>
          <w:r w:rsidRPr="003E5A8F">
            <w:t>($</w:t>
          </w:r>
          <w:r w:rsidR="000F3B89" w:rsidRPr="003E5A8F">
            <w:t>'</w:t>
          </w:r>
          <w:r w:rsidR="00A71B78" w:rsidRPr="003E5A8F">
            <w:t xml:space="preserve"> </w:t>
          </w:r>
          <w:r w:rsidR="00791CB5" w:rsidRPr="003E5A8F">
            <w:t>nominal</w:t>
          </w:r>
          <w:r w:rsidRPr="003E5A8F">
            <w:t>)</w:t>
          </w:r>
        </w:p>
        <w:tbl>
          <w:tblPr>
            <w:tblStyle w:val="AERtable-text0"/>
            <w:tblW w:w="0" w:type="auto"/>
            <w:tblLook w:val="04A0" w:firstRow="1" w:lastRow="0" w:firstColumn="1" w:lastColumn="0" w:noHBand="0" w:noVBand="1"/>
          </w:tblPr>
          <w:tblGrid>
            <w:gridCol w:w="2118"/>
            <w:gridCol w:w="2118"/>
            <w:gridCol w:w="2118"/>
            <w:gridCol w:w="2118"/>
          </w:tblGrid>
          <w:tr w:rsidR="006C6368" w:rsidTr="00F3772C">
            <w:trPr>
              <w:cnfStyle w:val="100000000000" w:firstRow="1" w:lastRow="0" w:firstColumn="0" w:lastColumn="0" w:oddVBand="0" w:evenVBand="0" w:oddHBand="0" w:evenHBand="0" w:firstRowFirstColumn="0" w:firstRowLastColumn="0" w:lastRowFirstColumn="0" w:lastRowLastColumn="0"/>
            </w:trPr>
            <w:tc>
              <w:tcPr>
                <w:tcW w:w="2118" w:type="dxa"/>
              </w:tcPr>
              <w:p w:rsidR="0078175D" w:rsidRPr="0078175D" w:rsidRDefault="0078175D" w:rsidP="003E5A8F">
                <w:pPr>
                  <w:pStyle w:val="AERtabletextleft"/>
                </w:pPr>
              </w:p>
            </w:tc>
            <w:tc>
              <w:tcPr>
                <w:tcW w:w="2118" w:type="dxa"/>
              </w:tcPr>
              <w:p w:rsidR="0078175D" w:rsidRPr="0078175D" w:rsidRDefault="006C6368" w:rsidP="003E5A8F">
                <w:pPr>
                  <w:pStyle w:val="AERtabletextleft"/>
                </w:pPr>
                <w:r>
                  <w:t>2014</w:t>
                </w:r>
                <w:r w:rsidR="0078175D" w:rsidRPr="0078175D">
                  <w:t>-1</w:t>
                </w:r>
                <w:r>
                  <w:t>5</w:t>
                </w:r>
              </w:p>
            </w:tc>
            <w:tc>
              <w:tcPr>
                <w:tcW w:w="2118" w:type="dxa"/>
              </w:tcPr>
              <w:p w:rsidR="0078175D" w:rsidRPr="0078175D" w:rsidRDefault="006C6368" w:rsidP="003E5A8F">
                <w:pPr>
                  <w:pStyle w:val="AERtabletextleft"/>
                </w:pPr>
                <w:r>
                  <w:t>2015</w:t>
                </w:r>
                <w:r w:rsidR="0078175D" w:rsidRPr="0078175D">
                  <w:t>-1</w:t>
                </w:r>
                <w:r>
                  <w:t>6</w:t>
                </w:r>
              </w:p>
            </w:tc>
            <w:tc>
              <w:tcPr>
                <w:tcW w:w="2118" w:type="dxa"/>
              </w:tcPr>
              <w:p w:rsidR="0078175D" w:rsidRPr="0078175D" w:rsidRDefault="006C6368" w:rsidP="003E5A8F">
                <w:pPr>
                  <w:pStyle w:val="AERtabletextleft"/>
                </w:pPr>
                <w:r>
                  <w:t>Total</w:t>
                </w:r>
              </w:p>
            </w:tc>
          </w:tr>
          <w:tr w:rsidR="006C6368" w:rsidTr="00F3772C">
            <w:tc>
              <w:tcPr>
                <w:tcW w:w="2118" w:type="dxa"/>
              </w:tcPr>
              <w:p w:rsidR="0078175D" w:rsidRPr="0078175D" w:rsidRDefault="006C6368">
                <w:pPr>
                  <w:pStyle w:val="AERtabletextleft"/>
                </w:pPr>
                <w:r>
                  <w:t>Capital expenditure</w:t>
                </w:r>
              </w:p>
            </w:tc>
            <w:tc>
              <w:tcPr>
                <w:tcW w:w="2118" w:type="dxa"/>
              </w:tcPr>
              <w:p w:rsidR="0078175D" w:rsidRPr="0078175D" w:rsidRDefault="00DF5EBB" w:rsidP="003E5A8F">
                <w:pPr>
                  <w:pStyle w:val="AERtabletextleft"/>
                </w:pPr>
                <w:r>
                  <w:t>5.34</w:t>
                </w:r>
              </w:p>
            </w:tc>
            <w:tc>
              <w:tcPr>
                <w:tcW w:w="2118" w:type="dxa"/>
              </w:tcPr>
              <w:p w:rsidR="0078175D" w:rsidRPr="0078175D" w:rsidRDefault="00B4650B" w:rsidP="003E5A8F">
                <w:pPr>
                  <w:pStyle w:val="AERtabletextleft"/>
                </w:pPr>
                <w:r>
                  <w:t>-</w:t>
                </w:r>
              </w:p>
            </w:tc>
            <w:tc>
              <w:tcPr>
                <w:tcW w:w="2118" w:type="dxa"/>
              </w:tcPr>
              <w:p w:rsidR="0078175D" w:rsidRPr="0078175D" w:rsidRDefault="00DF5EBB" w:rsidP="003E5A8F">
                <w:pPr>
                  <w:pStyle w:val="AERtabletextleft"/>
                </w:pPr>
                <w:r>
                  <w:t>5.34</w:t>
                </w:r>
              </w:p>
            </w:tc>
          </w:tr>
          <w:tr w:rsidR="006C6368" w:rsidTr="00F3772C">
            <w:trPr>
              <w:cnfStyle w:val="000000010000" w:firstRow="0" w:lastRow="0" w:firstColumn="0" w:lastColumn="0" w:oddVBand="0" w:evenVBand="0" w:oddHBand="0" w:evenHBand="1" w:firstRowFirstColumn="0" w:firstRowLastColumn="0" w:lastRowFirstColumn="0" w:lastRowLastColumn="0"/>
            </w:trPr>
            <w:tc>
              <w:tcPr>
                <w:tcW w:w="2118" w:type="dxa"/>
              </w:tcPr>
              <w:p w:rsidR="0078175D" w:rsidRPr="0078175D" w:rsidRDefault="006C6368">
                <w:pPr>
                  <w:pStyle w:val="AERtabletextleft"/>
                </w:pPr>
                <w:r>
                  <w:t>Operating expenditure</w:t>
                </w:r>
              </w:p>
            </w:tc>
            <w:tc>
              <w:tcPr>
                <w:tcW w:w="2118" w:type="dxa"/>
              </w:tcPr>
              <w:p w:rsidR="0078175D" w:rsidRPr="0078175D" w:rsidRDefault="006C6368" w:rsidP="003E5A8F">
                <w:pPr>
                  <w:pStyle w:val="AERtabletextleft"/>
                </w:pPr>
                <w:r w:rsidRPr="006C6368">
                  <w:t>33.9</w:t>
                </w:r>
                <w:r w:rsidR="00DF5EBB">
                  <w:t>0</w:t>
                </w:r>
              </w:p>
            </w:tc>
            <w:tc>
              <w:tcPr>
                <w:tcW w:w="2118" w:type="dxa"/>
              </w:tcPr>
              <w:p w:rsidR="0078175D" w:rsidRPr="0078175D" w:rsidRDefault="006C6368" w:rsidP="003E5A8F">
                <w:pPr>
                  <w:pStyle w:val="AERtabletextleft"/>
                </w:pPr>
                <w:r w:rsidRPr="006C6368">
                  <w:t>0.5</w:t>
                </w:r>
                <w:r w:rsidR="00DF5EBB">
                  <w:t>2</w:t>
                </w:r>
              </w:p>
            </w:tc>
            <w:tc>
              <w:tcPr>
                <w:tcW w:w="2118" w:type="dxa"/>
              </w:tcPr>
              <w:p w:rsidR="0078175D" w:rsidRPr="0078175D" w:rsidRDefault="006C6368" w:rsidP="003E5A8F">
                <w:pPr>
                  <w:pStyle w:val="AERtabletextleft"/>
                </w:pPr>
                <w:r>
                  <w:t>34.</w:t>
                </w:r>
                <w:r w:rsidR="00DF5EBB">
                  <w:t>42</w:t>
                </w:r>
              </w:p>
            </w:tc>
          </w:tr>
          <w:tr w:rsidR="006C6368" w:rsidTr="00F3772C">
            <w:tc>
              <w:tcPr>
                <w:tcW w:w="2118" w:type="dxa"/>
              </w:tcPr>
              <w:p w:rsidR="006C6368" w:rsidRDefault="006C6368">
                <w:pPr>
                  <w:pStyle w:val="AERtabletextleft"/>
                </w:pPr>
                <w:r>
                  <w:t xml:space="preserve">Total </w:t>
                </w:r>
              </w:p>
            </w:tc>
            <w:tc>
              <w:tcPr>
                <w:tcW w:w="2118" w:type="dxa"/>
              </w:tcPr>
              <w:p w:rsidR="006C6368" w:rsidRPr="006C6368" w:rsidRDefault="00DF5EBB" w:rsidP="003E5A8F">
                <w:pPr>
                  <w:pStyle w:val="AERtabletextleft"/>
                </w:pPr>
                <w:r>
                  <w:t>39.24</w:t>
                </w:r>
              </w:p>
            </w:tc>
            <w:tc>
              <w:tcPr>
                <w:tcW w:w="2118" w:type="dxa"/>
              </w:tcPr>
              <w:p w:rsidR="006C6368" w:rsidRPr="0078175D" w:rsidRDefault="00DF5EBB" w:rsidP="003E5A8F">
                <w:pPr>
                  <w:pStyle w:val="AERtabletextleft"/>
                </w:pPr>
                <w:r>
                  <w:t>0.52</w:t>
                </w:r>
              </w:p>
            </w:tc>
            <w:tc>
              <w:tcPr>
                <w:tcW w:w="2118" w:type="dxa"/>
              </w:tcPr>
              <w:p w:rsidR="006C6368" w:rsidRPr="0078175D" w:rsidRDefault="00DF5EBB" w:rsidP="003E5A8F">
                <w:pPr>
                  <w:pStyle w:val="AERtabletextleft"/>
                </w:pPr>
                <w:r>
                  <w:t>39.76</w:t>
                </w:r>
              </w:p>
            </w:tc>
          </w:tr>
        </w:tbl>
        <w:p w:rsidR="00391F06" w:rsidRDefault="00391F06" w:rsidP="00391F06">
          <w:pPr>
            <w:pStyle w:val="AERtablesource"/>
          </w:pPr>
          <w:bookmarkStart w:id="39" w:name="_Toc435796172"/>
          <w:r>
            <w:t xml:space="preserve">Source: AER analysis. </w:t>
          </w:r>
          <w:r w:rsidR="00B61877" w:rsidRPr="00B61877">
            <w:t xml:space="preserve">Numbers may not add due to rounding.   </w:t>
          </w:r>
        </w:p>
        <w:p w:rsidR="00045C26" w:rsidRDefault="00045C26" w:rsidP="00045C26">
          <w:pPr>
            <w:pStyle w:val="Heading3"/>
          </w:pPr>
          <w:bookmarkStart w:id="40" w:name="_Toc436138707"/>
          <w:r>
            <w:t>Replacement capital expenditure</w:t>
          </w:r>
          <w:bookmarkEnd w:id="39"/>
          <w:bookmarkEnd w:id="40"/>
        </w:p>
        <w:p w:rsidR="0017055F" w:rsidRPr="0017055F" w:rsidRDefault="0017055F" w:rsidP="0017055F">
          <w:r w:rsidRPr="0017055F">
            <w:t>Ausgrid proposed $5.3</w:t>
          </w:r>
          <w:r>
            <w:t>4 million for capital expenditure</w:t>
          </w:r>
          <w:r w:rsidRPr="0017055F">
            <w:t>, to replace network assets damaged by the storm, including the poles, pole top transformers and kiosks, conductors and ABC service wires.</w:t>
          </w:r>
          <w:r w:rsidRPr="0017055F">
            <w:rPr>
              <w:rStyle w:val="FootnoteReference"/>
            </w:rPr>
            <w:footnoteReference w:id="24"/>
          </w:r>
          <w:r w:rsidR="009457B1">
            <w:t xml:space="preserve"> </w:t>
          </w:r>
          <w:r w:rsidRPr="0017055F">
            <w:t xml:space="preserve">Ausgrid </w:t>
          </w:r>
          <w:r w:rsidR="00B4650B">
            <w:t>advised</w:t>
          </w:r>
          <w:r w:rsidR="00B4650B" w:rsidRPr="0017055F">
            <w:t xml:space="preserve"> </w:t>
          </w:r>
          <w:r w:rsidRPr="0017055F">
            <w:t>that it does not insure against damage to its poles and wires, noting that external insurance is unavailable on commercial terms.</w:t>
          </w:r>
          <w:r w:rsidRPr="0017055F">
            <w:rPr>
              <w:rStyle w:val="FootnoteReference"/>
            </w:rPr>
            <w:footnoteReference w:id="25"/>
          </w:r>
          <w:r w:rsidR="00E152DE" w:rsidRPr="00E152DE">
            <w:t xml:space="preserve"> </w:t>
          </w:r>
          <w:r w:rsidR="008D6CA7">
            <w:t xml:space="preserve">This means no insurance premium is being funded by customers. </w:t>
          </w:r>
          <w:r w:rsidR="00E152DE">
            <w:t>We are satisfied this is efficient and reasonable.</w:t>
          </w:r>
        </w:p>
        <w:p w:rsidR="00746B96" w:rsidRPr="00A9005F" w:rsidRDefault="00746B96" w:rsidP="00A9005F">
          <w:pPr>
            <w:rPr>
              <w:rStyle w:val="AERbody"/>
            </w:rPr>
          </w:pPr>
          <w:r w:rsidRPr="00A9005F">
            <w:rPr>
              <w:rStyle w:val="AERbody"/>
            </w:rPr>
            <w:t>Ausgrid provided supporting evidence that this replacement amount is an incremental cost incurred solely due to the April storm event.</w:t>
          </w:r>
          <w:r w:rsidR="00013E27" w:rsidRPr="00013E27">
            <w:rPr>
              <w:rStyle w:val="FootnoteReference"/>
            </w:rPr>
            <w:t xml:space="preserve"> </w:t>
          </w:r>
          <w:r w:rsidR="00013E27" w:rsidRPr="00013E27">
            <w:rPr>
              <w:rStyle w:val="FootnoteReference"/>
            </w:rPr>
            <w:footnoteReference w:id="26"/>
          </w:r>
          <w:r w:rsidRPr="00A9005F">
            <w:rPr>
              <w:rStyle w:val="AERbody"/>
            </w:rPr>
            <w:t xml:space="preserve"> These costs have not been included in either the 2014–15 (transitional period) or 2015–19 distribution determinations given that these assets were not part of the planned replacement program for those periods. On the basis of the information before us, we are satisfied that these costs have been incurred in relation to </w:t>
          </w:r>
          <w:r w:rsidR="00A9005F">
            <w:rPr>
              <w:rStyle w:val="AERbody"/>
            </w:rPr>
            <w:t>repairin</w:t>
          </w:r>
          <w:r w:rsidRPr="00A9005F">
            <w:rPr>
              <w:rStyle w:val="AERbody"/>
            </w:rPr>
            <w:t xml:space="preserve">g the damage caused by the </w:t>
          </w:r>
          <w:r w:rsidR="00A9005F">
            <w:rPr>
              <w:rStyle w:val="AERbody"/>
            </w:rPr>
            <w:t xml:space="preserve">April </w:t>
          </w:r>
          <w:r w:rsidRPr="00A9005F">
            <w:rPr>
              <w:rStyle w:val="AERbody"/>
            </w:rPr>
            <w:t>storm</w:t>
          </w:r>
          <w:r w:rsidR="00A9005F">
            <w:rPr>
              <w:rStyle w:val="AERbody"/>
            </w:rPr>
            <w:t xml:space="preserve"> event</w:t>
          </w:r>
          <w:r w:rsidRPr="00A9005F">
            <w:rPr>
              <w:rStyle w:val="AERbody"/>
            </w:rPr>
            <w:t xml:space="preserve">. </w:t>
          </w:r>
        </w:p>
        <w:p w:rsidR="00EE42E5" w:rsidRPr="00EE42E5" w:rsidRDefault="00201B07">
          <w:pPr>
            <w:pStyle w:val="ListParagraph"/>
            <w:numPr>
              <w:ilvl w:val="0"/>
              <w:numId w:val="24"/>
            </w:numPr>
          </w:pPr>
          <w:r>
            <w:t xml:space="preserve">When we roll forward </w:t>
          </w:r>
          <w:r w:rsidR="00EE42E5">
            <w:t>Ausg</w:t>
          </w:r>
          <w:r>
            <w:t>r</w:t>
          </w:r>
          <w:r w:rsidR="00EE42E5">
            <w:t>id's regulator</w:t>
          </w:r>
          <w:r w:rsidR="001F6A1B">
            <w:t>y</w:t>
          </w:r>
          <w:r w:rsidR="00EE42E5">
            <w:t xml:space="preserve"> asset base (RAB) </w:t>
          </w:r>
          <w:r>
            <w:t>to 1 July 2019 at the next regulatory determination</w:t>
          </w:r>
          <w:r w:rsidR="00B4650B">
            <w:t xml:space="preserve">, </w:t>
          </w:r>
          <w:r>
            <w:t>w</w:t>
          </w:r>
          <w:r w:rsidR="007C6E18">
            <w:t xml:space="preserve">e will take account </w:t>
          </w:r>
          <w:r>
            <w:t xml:space="preserve">of this pass through capex </w:t>
          </w:r>
          <w:r w:rsidR="007C6E18">
            <w:t>as required by the NER</w:t>
          </w:r>
          <w:r w:rsidR="00791CB5">
            <w:t>.</w:t>
          </w:r>
          <w:r w:rsidR="00424FB4" w:rsidRPr="00697B30">
            <w:rPr>
              <w:rStyle w:val="FootnoteReference"/>
            </w:rPr>
            <w:footnoteReference w:id="27"/>
          </w:r>
        </w:p>
        <w:p w:rsidR="00D31E9C" w:rsidRPr="00D31E9C" w:rsidRDefault="00D31E9C" w:rsidP="00D31E9C">
          <w:pPr>
            <w:pStyle w:val="Heading3"/>
          </w:pPr>
          <w:bookmarkStart w:id="41" w:name="_Toc435796173"/>
          <w:bookmarkStart w:id="42" w:name="_Toc436138708"/>
          <w:r>
            <w:t>Operating expenditure</w:t>
          </w:r>
          <w:bookmarkEnd w:id="41"/>
          <w:bookmarkEnd w:id="42"/>
        </w:p>
        <w:p w:rsidR="00EB5B41" w:rsidRDefault="00EB5B41" w:rsidP="00EB5B41">
          <w:r>
            <w:t>Ausgrid proposed $34.4 million for operating</w:t>
          </w:r>
          <w:r w:rsidRPr="00EB5B41">
            <w:t xml:space="preserve"> expenditure</w:t>
          </w:r>
          <w:r>
            <w:t xml:space="preserve"> for storm restoration activities including </w:t>
          </w:r>
          <w:r w:rsidR="00C929CE">
            <w:t xml:space="preserve">internal costs </w:t>
          </w:r>
          <w:r>
            <w:t xml:space="preserve">and </w:t>
          </w:r>
          <w:r w:rsidR="00C929CE">
            <w:t>external costs</w:t>
          </w:r>
          <w:r>
            <w:t xml:space="preserve">, </w:t>
          </w:r>
          <w:r w:rsidR="00442B9A">
            <w:t>the latter from</w:t>
          </w:r>
          <w:r>
            <w:t xml:space="preserve"> third party assistance from Endeavour Energy, Essential Energy and Energex.</w:t>
          </w:r>
          <w:r w:rsidRPr="00EB5B41">
            <w:rPr>
              <w:rStyle w:val="FootnoteReference"/>
            </w:rPr>
            <w:footnoteReference w:id="28"/>
          </w:r>
        </w:p>
        <w:p w:rsidR="009844C6" w:rsidRDefault="00EB5B41" w:rsidP="00EB5B41">
          <w:r>
            <w:t>As the operating expenditure</w:t>
          </w:r>
          <w:r w:rsidRPr="00EB5B41">
            <w:t xml:space="preserve"> </w:t>
          </w:r>
          <w:r>
            <w:t xml:space="preserve">for the </w:t>
          </w:r>
          <w:r w:rsidRPr="00EB5B41">
            <w:t xml:space="preserve">third party assistance </w:t>
          </w:r>
          <w:r w:rsidR="001F6A1B">
            <w:t>is</w:t>
          </w:r>
          <w:r w:rsidR="001F6A1B" w:rsidRPr="00EB5B41">
            <w:t xml:space="preserve"> </w:t>
          </w:r>
          <w:r w:rsidRPr="00EB5B41">
            <w:t>directly attributable to the April storm</w:t>
          </w:r>
          <w:r w:rsidR="00442B9A">
            <w:t xml:space="preserve"> event, was </w:t>
          </w:r>
          <w:r w:rsidR="009844C6" w:rsidRPr="009844C6">
            <w:t>corroborated by invoices</w:t>
          </w:r>
          <w:r w:rsidR="00442B9A">
            <w:t xml:space="preserve"> and was not provided for in the 2014</w:t>
          </w:r>
          <w:r w:rsidR="00791CB5">
            <w:t>–</w:t>
          </w:r>
          <w:r w:rsidR="000F3B89">
            <w:lastRenderedPageBreak/>
            <w:t>15 and 2015–</w:t>
          </w:r>
          <w:r w:rsidR="00442B9A">
            <w:t>19 distribution determination</w:t>
          </w:r>
          <w:r w:rsidR="001F6A1B">
            <w:t>s</w:t>
          </w:r>
          <w:r w:rsidR="00442B9A">
            <w:t xml:space="preserve">, </w:t>
          </w:r>
          <w:r>
            <w:t xml:space="preserve">we are satisfied </w:t>
          </w:r>
          <w:r w:rsidR="00442B9A">
            <w:t>that it should be approved.</w:t>
          </w:r>
        </w:p>
        <w:p w:rsidR="00316F7E" w:rsidRDefault="00261D62" w:rsidP="00EB5B41">
          <w:r>
            <w:t xml:space="preserve">As part of our assessment we have considered </w:t>
          </w:r>
          <w:r w:rsidR="009844C6">
            <w:t>Ausgrid</w:t>
          </w:r>
          <w:r w:rsidR="00CD56E7">
            <w:t>'s</w:t>
          </w:r>
          <w:r w:rsidR="009844C6">
            <w:t xml:space="preserve"> inter</w:t>
          </w:r>
          <w:r w:rsidR="00CD56E7">
            <w:t>n</w:t>
          </w:r>
          <w:r w:rsidR="009844C6">
            <w:t>al labour</w:t>
          </w:r>
          <w:r w:rsidR="00CD56E7">
            <w:t xml:space="preserve"> </w:t>
          </w:r>
          <w:r w:rsidR="00F652B2">
            <w:t>costs</w:t>
          </w:r>
          <w:r>
            <w:t>.</w:t>
          </w:r>
          <w:r w:rsidR="00CD56E7">
            <w:t xml:space="preserve"> </w:t>
          </w:r>
          <w:r>
            <w:t>I</w:t>
          </w:r>
          <w:r w:rsidR="00CD56E7">
            <w:t xml:space="preserve">n particular </w:t>
          </w:r>
          <w:r>
            <w:t xml:space="preserve">we have considered </w:t>
          </w:r>
          <w:r w:rsidR="00CD56E7">
            <w:t xml:space="preserve">the </w:t>
          </w:r>
          <w:r>
            <w:t xml:space="preserve">proposed </w:t>
          </w:r>
          <w:r w:rsidR="00CD56E7">
            <w:t>expenditure for normal labour hour</w:t>
          </w:r>
          <w:r w:rsidR="00EB7DFF">
            <w:t>s</w:t>
          </w:r>
          <w:r w:rsidR="00316F7E">
            <w:t xml:space="preserve"> </w:t>
          </w:r>
          <w:r w:rsidR="00316F7E" w:rsidRPr="00316F7E">
            <w:t xml:space="preserve">as to whether these costs meet the pass </w:t>
          </w:r>
          <w:r w:rsidR="00316F7E">
            <w:t>through requirements in the NER</w:t>
          </w:r>
          <w:r w:rsidR="00F652B2">
            <w:t xml:space="preserve"> </w:t>
          </w:r>
          <w:r w:rsidR="000B13C4">
            <w:t>for</w:t>
          </w:r>
          <w:r w:rsidR="00F652B2">
            <w:t xml:space="preserve"> costs </w:t>
          </w:r>
          <w:r w:rsidR="000B13C4">
            <w:t xml:space="preserve">to </w:t>
          </w:r>
          <w:r w:rsidR="00F652B2">
            <w:t>be prudent and efficient</w:t>
          </w:r>
          <w:r w:rsidR="00CD56E7">
            <w:t xml:space="preserve">. </w:t>
          </w:r>
        </w:p>
        <w:p w:rsidR="00316F7E" w:rsidRPr="00316F7E" w:rsidRDefault="00551DF1" w:rsidP="00316F7E">
          <w:r w:rsidRPr="00316F7E">
            <w:t xml:space="preserve">We </w:t>
          </w:r>
          <w:r>
            <w:t>asked</w:t>
          </w:r>
          <w:r w:rsidRPr="00316F7E">
            <w:t xml:space="preserve"> Ausgrid </w:t>
          </w:r>
          <w:r>
            <w:t xml:space="preserve">to </w:t>
          </w:r>
          <w:r w:rsidRPr="00316F7E">
            <w:t xml:space="preserve">explain why internal labour costs </w:t>
          </w:r>
          <w:r>
            <w:t xml:space="preserve">that it included as part of its pass through application should be </w:t>
          </w:r>
          <w:r w:rsidRPr="00316F7E">
            <w:t>considered incremental costs</w:t>
          </w:r>
          <w:r>
            <w:t xml:space="preserve">. </w:t>
          </w:r>
          <w:r w:rsidR="00EB7DFF">
            <w:t>This is because only</w:t>
          </w:r>
          <w:r>
            <w:t xml:space="preserve"> incremental labour costs and not business as usual labour costs </w:t>
          </w:r>
          <w:r w:rsidR="00EB7DFF">
            <w:t xml:space="preserve">should be </w:t>
          </w:r>
          <w:r>
            <w:t>pass</w:t>
          </w:r>
          <w:r w:rsidR="00EB7DFF">
            <w:t>ed</w:t>
          </w:r>
          <w:r>
            <w:t xml:space="preserve"> through to customers in a positive pass through event</w:t>
          </w:r>
          <w:r w:rsidR="00EB7DFF">
            <w:t>.</w:t>
          </w:r>
          <w:r w:rsidR="00316F7E" w:rsidRPr="00316F7E">
            <w:t xml:space="preserve"> </w:t>
          </w:r>
          <w:r w:rsidR="0004281D" w:rsidRPr="0004281D">
            <w:t>We also requested the methodology including the assumptions and modelling of the proposed pass through costs.</w:t>
          </w:r>
          <w:r w:rsidR="0004281D" w:rsidRPr="0004281D">
            <w:rPr>
              <w:rStyle w:val="FootnoteReference"/>
            </w:rPr>
            <w:footnoteReference w:id="29"/>
          </w:r>
          <w:r w:rsidR="0004281D" w:rsidRPr="0004281D">
            <w:t xml:space="preserve">   </w:t>
          </w:r>
          <w:r w:rsidR="00316F7E" w:rsidRPr="00316F7E">
            <w:t xml:space="preserve"> </w:t>
          </w:r>
        </w:p>
        <w:p w:rsidR="00B5284A" w:rsidRDefault="005C16D4" w:rsidP="00EB5B41">
          <w:r>
            <w:t>In response, A</w:t>
          </w:r>
          <w:r w:rsidR="00B5284A">
            <w:t xml:space="preserve">usgrid </w:t>
          </w:r>
          <w:r w:rsidR="009563D1">
            <w:t>provided</w:t>
          </w:r>
          <w:r w:rsidR="00B5284A">
            <w:t xml:space="preserve"> supporting evidence </w:t>
          </w:r>
          <w:r w:rsidR="009563D1">
            <w:t xml:space="preserve">to demonstrate </w:t>
          </w:r>
          <w:r w:rsidR="00B5284A">
            <w:t>that:</w:t>
          </w:r>
          <w:r w:rsidR="00B5284A" w:rsidRPr="00B5284A">
            <w:rPr>
              <w:rStyle w:val="FootnoteReference"/>
            </w:rPr>
            <w:footnoteReference w:id="30"/>
          </w:r>
          <w:r w:rsidR="00B5284A" w:rsidRPr="00B5284A">
            <w:t xml:space="preserve">  </w:t>
          </w:r>
        </w:p>
        <w:p w:rsidR="00B5284A" w:rsidRDefault="009563D1" w:rsidP="00B5284A">
          <w:pPr>
            <w:pStyle w:val="AERbulletlistfirststyle"/>
          </w:pPr>
          <w:r>
            <w:t xml:space="preserve">The proposed internal labour costs are </w:t>
          </w:r>
          <w:r w:rsidR="00EB7DFF">
            <w:t>expenditures associated</w:t>
          </w:r>
          <w:r w:rsidR="00EB7DFF" w:rsidRPr="00B5284A">
            <w:t xml:space="preserve"> </w:t>
          </w:r>
          <w:r w:rsidR="00EB7DFF">
            <w:t>with</w:t>
          </w:r>
          <w:r w:rsidR="00EB7DFF" w:rsidRPr="00B5284A">
            <w:t xml:space="preserve"> </w:t>
          </w:r>
          <w:r w:rsidR="00B5284A" w:rsidRPr="00B5284A">
            <w:t xml:space="preserve">responding to and repairing the damage cause by the </w:t>
          </w:r>
          <w:r w:rsidR="004753EA">
            <w:t xml:space="preserve">April </w:t>
          </w:r>
          <w:r w:rsidR="00B5284A" w:rsidRPr="00B5284A">
            <w:t xml:space="preserve">storm </w:t>
          </w:r>
          <w:r w:rsidR="004753EA">
            <w:t xml:space="preserve">event and therefore </w:t>
          </w:r>
          <w:r w:rsidR="00B5284A" w:rsidRPr="00B5284A">
            <w:t xml:space="preserve">are actual increases in the costs of providing direct control services, and these increases were the sole consequence of the </w:t>
          </w:r>
          <w:r w:rsidR="004753EA">
            <w:t>event.</w:t>
          </w:r>
        </w:p>
        <w:p w:rsidR="00B5284A" w:rsidRPr="00B5284A" w:rsidRDefault="00B5284A" w:rsidP="00B5284A">
          <w:pPr>
            <w:pStyle w:val="AERbulletlistfirststyle"/>
          </w:pPr>
          <w:r w:rsidRPr="00B5284A">
            <w:t>Costs of responding to the April storm</w:t>
          </w:r>
          <w:r w:rsidR="000B13C4">
            <w:t xml:space="preserve"> event were not included in the 2014–15 </w:t>
          </w:r>
          <w:r w:rsidRPr="00B5284A">
            <w:t xml:space="preserve">or 2015–19 </w:t>
          </w:r>
          <w:r w:rsidR="001F6A1B">
            <w:t>distribution determinations of</w:t>
          </w:r>
          <w:r w:rsidR="009B0291">
            <w:t xml:space="preserve"> the AER</w:t>
          </w:r>
        </w:p>
        <w:p w:rsidR="00B5284A" w:rsidRPr="00B5284A" w:rsidRDefault="00B5284A" w:rsidP="00B5284A">
          <w:pPr>
            <w:pStyle w:val="AERbulletlistfirststyle"/>
          </w:pPr>
          <w:r w:rsidRPr="00B5284A">
            <w:t>Ausgrid incurred significantly higher emergency response costs in 2014–15, largely attributable to the April storm</w:t>
          </w:r>
          <w:r w:rsidR="009B0291">
            <w:t xml:space="preserve"> event</w:t>
          </w:r>
          <w:r w:rsidR="00684B02">
            <w:t>,</w:t>
          </w:r>
          <w:r w:rsidRPr="00B5284A">
            <w:t xml:space="preserve"> </w:t>
          </w:r>
          <w:r w:rsidR="00684B02">
            <w:t>compared to a much lower historical</w:t>
          </w:r>
          <w:r w:rsidRPr="00B5284A">
            <w:t xml:space="preserve"> average annual expenditure for emergency response</w:t>
          </w:r>
          <w:r w:rsidR="00F652B2">
            <w:t>, which was included in its base opex</w:t>
          </w:r>
          <w:r w:rsidRPr="00B5284A">
            <w:t>.</w:t>
          </w:r>
        </w:p>
        <w:p w:rsidR="00013E27" w:rsidRDefault="00A9005F" w:rsidP="009563D1">
          <w:r w:rsidRPr="00A9005F">
            <w:rPr>
              <w:rStyle w:val="AERbody"/>
            </w:rPr>
            <w:t xml:space="preserve">On the basis of the information before us, we are satisfied that these costs have been incurred in relation to </w:t>
          </w:r>
          <w:r>
            <w:rPr>
              <w:rStyle w:val="AERbody"/>
            </w:rPr>
            <w:t>repairin</w:t>
          </w:r>
          <w:r w:rsidRPr="00A9005F">
            <w:rPr>
              <w:rStyle w:val="AERbody"/>
            </w:rPr>
            <w:t xml:space="preserve">g the damage caused by the </w:t>
          </w:r>
          <w:r>
            <w:rPr>
              <w:rStyle w:val="AERbody"/>
            </w:rPr>
            <w:t xml:space="preserve">April </w:t>
          </w:r>
          <w:r w:rsidRPr="00A9005F">
            <w:rPr>
              <w:rStyle w:val="AERbody"/>
            </w:rPr>
            <w:t>storm</w:t>
          </w:r>
          <w:r>
            <w:rPr>
              <w:rStyle w:val="AERbody"/>
            </w:rPr>
            <w:t xml:space="preserve"> event</w:t>
          </w:r>
          <w:r w:rsidRPr="00A9005F">
            <w:rPr>
              <w:rStyle w:val="AERbody"/>
            </w:rPr>
            <w:t>.</w:t>
          </w:r>
        </w:p>
        <w:p w:rsidR="00FA3B40" w:rsidRDefault="00FA3B40" w:rsidP="00FA3B40">
          <w:pPr>
            <w:pStyle w:val="Heading2"/>
          </w:pPr>
          <w:r>
            <w:t>Time cost of money</w:t>
          </w:r>
        </w:p>
        <w:p w:rsidR="000D0D17" w:rsidRDefault="00FA3B40" w:rsidP="003E5A8F">
          <w:r w:rsidRPr="00FA3B40">
            <w:t xml:space="preserve">Clause 6.6.1(j)(4) of the NER requires us to take into account the time cost of money based on the </w:t>
          </w:r>
          <w:r w:rsidR="00DE579E">
            <w:t>rate of return</w:t>
          </w:r>
          <w:r w:rsidRPr="00FA3B40">
            <w:t xml:space="preserve"> for the provider. In calculating the </w:t>
          </w:r>
          <w:r w:rsidR="000D0D17">
            <w:t xml:space="preserve">total </w:t>
          </w:r>
          <w:r w:rsidRPr="00FA3B40">
            <w:t xml:space="preserve">pass through amount, we have made an allowance for </w:t>
          </w:r>
          <w:r w:rsidR="002B699A">
            <w:t>this</w:t>
          </w:r>
          <w:r w:rsidRPr="00FA3B40">
            <w:t xml:space="preserve">. The time cost of money has been based </w:t>
          </w:r>
          <w:r w:rsidR="002B699A">
            <w:t>on</w:t>
          </w:r>
          <w:r w:rsidRPr="00FA3B40">
            <w:t xml:space="preserve"> the</w:t>
          </w:r>
          <w:r w:rsidR="00DE579E">
            <w:t xml:space="preserve"> </w:t>
          </w:r>
          <w:r w:rsidR="00C219F5">
            <w:t xml:space="preserve">most recent </w:t>
          </w:r>
          <w:r w:rsidR="00DE579E">
            <w:t>rate of return</w:t>
          </w:r>
          <w:r w:rsidRPr="00FA3B40">
            <w:t xml:space="preserve"> for </w:t>
          </w:r>
          <w:r>
            <w:t>Ausgrid</w:t>
          </w:r>
          <w:r w:rsidRPr="00FA3B40">
            <w:t xml:space="preserve">, as set out in our </w:t>
          </w:r>
          <w:r w:rsidR="00C219F5">
            <w:t>2014</w:t>
          </w:r>
          <w:r w:rsidR="001844C7">
            <w:t>–</w:t>
          </w:r>
          <w:r w:rsidR="00C219F5">
            <w:t xml:space="preserve">19 </w:t>
          </w:r>
          <w:r>
            <w:t>Final Decision.</w:t>
          </w:r>
          <w:r>
            <w:rPr>
              <w:rStyle w:val="FootnoteReference"/>
            </w:rPr>
            <w:footnoteReference w:id="31"/>
          </w:r>
          <w:r w:rsidR="000D0D17">
            <w:t xml:space="preserve"> </w:t>
          </w:r>
        </w:p>
        <w:p w:rsidR="00FA3B40" w:rsidRPr="00FA3B40" w:rsidRDefault="000D0D17" w:rsidP="003E5A8F">
          <w:r>
            <w:t xml:space="preserve">After incorporating this time cost of money factor, we determine the total approved pass through amount for Ausgrid </w:t>
          </w:r>
          <w:r w:rsidRPr="003E5A8F">
            <w:rPr>
              <w:rStyle w:val="AERbody"/>
            </w:rPr>
            <w:t>is $43.2</w:t>
          </w:r>
          <w:r>
            <w:t xml:space="preserve"> million </w:t>
          </w:r>
          <w:r w:rsidRPr="008B6D9B">
            <w:t>($</w:t>
          </w:r>
          <w:r>
            <w:t>' nominal).</w:t>
          </w:r>
        </w:p>
        <w:p w:rsidR="00647A6B" w:rsidRDefault="00647A6B">
          <w:pPr>
            <w:spacing w:line="240" w:lineRule="auto"/>
          </w:pPr>
          <w:r>
            <w:br w:type="page"/>
          </w:r>
        </w:p>
        <w:p w:rsidR="00FB6AC0" w:rsidRDefault="0078175D" w:rsidP="0078175D">
          <w:pPr>
            <w:pStyle w:val="Heading7"/>
          </w:pPr>
          <w:bookmarkStart w:id="43" w:name="_Toc436138709"/>
          <w:r w:rsidRPr="0078175D">
            <w:lastRenderedPageBreak/>
            <w:t>Excerpts from the NER</w:t>
          </w:r>
          <w:bookmarkEnd w:id="43"/>
        </w:p>
        <w:p w:rsidR="006C6368" w:rsidRPr="006C6368" w:rsidRDefault="003A5953" w:rsidP="006C6368">
          <w:pPr>
            <w:numPr>
              <w:ilvl w:val="0"/>
              <w:numId w:val="24"/>
            </w:numPr>
            <w:rPr>
              <w:rFonts w:eastAsiaTheme="majorEastAsia" w:cstheme="majorBidi"/>
              <w:noProof/>
              <w:sz w:val="36"/>
              <w:szCs w:val="36"/>
              <w:lang w:eastAsia="en-AU"/>
            </w:rPr>
          </w:pPr>
          <w:r>
            <w:rPr>
              <w:rStyle w:val="Strong"/>
            </w:rPr>
            <w:t>Excerpt from version 71</w:t>
          </w:r>
          <w:r w:rsidRPr="003A5953">
            <w:rPr>
              <w:rStyle w:val="Strong"/>
            </w:rPr>
            <w:t xml:space="preserve"> of the NER – clause 6.6.1:</w:t>
          </w:r>
        </w:p>
      </w:sdtContent>
    </w:sdt>
    <w:bookmarkStart w:id="44" w:name="Elkera_Print_TOC15361" w:displacedByCustomXml="prev"/>
    <w:bookmarkStart w:id="45" w:name="id252d4e01_3f62_42ef_b249_6df7dc22c1e2_a" w:displacedByCustomXml="prev"/>
    <w:p w:rsidR="006C6368" w:rsidRPr="006C6368" w:rsidRDefault="006C6368" w:rsidP="006C6368">
      <w:pPr>
        <w:pStyle w:val="AERquote"/>
      </w:pPr>
      <w:r w:rsidRPr="006C6368">
        <w:t>6.6.1</w:t>
      </w:r>
      <w:r w:rsidRPr="006C6368">
        <w:tab/>
        <w:t>Cost pass through</w:t>
      </w:r>
      <w:bookmarkEnd w:id="45"/>
      <w:bookmarkEnd w:id="44"/>
    </w:p>
    <w:p w:rsidR="006C6368" w:rsidRPr="006C6368" w:rsidRDefault="006C6368" w:rsidP="006C6368">
      <w:pPr>
        <w:pStyle w:val="AERquote"/>
      </w:pPr>
      <w:r w:rsidRPr="006C6368">
        <w:t>(a1)</w:t>
      </w:r>
      <w:r w:rsidRPr="006C6368">
        <w:tab/>
        <w:t>Any of the following is a pass through event for a distribution determination:</w:t>
      </w:r>
    </w:p>
    <w:p w:rsidR="006C6368" w:rsidRPr="006C6368" w:rsidRDefault="006C6368" w:rsidP="006C6368">
      <w:pPr>
        <w:pStyle w:val="AERquote"/>
      </w:pPr>
      <w:bookmarkStart w:id="46" w:name="idcd3c3b27_6270_46d5_8062_6cf85ba1b70c_0"/>
      <w:bookmarkEnd w:id="46"/>
      <w:r w:rsidRPr="006C6368">
        <w:t>(1)</w:t>
      </w:r>
      <w:r w:rsidRPr="006C6368">
        <w:tab/>
        <w:t>a regulatory change event;</w:t>
      </w:r>
    </w:p>
    <w:p w:rsidR="006C6368" w:rsidRPr="006C6368" w:rsidRDefault="006C6368" w:rsidP="006C6368">
      <w:pPr>
        <w:pStyle w:val="AERquote"/>
      </w:pPr>
      <w:r w:rsidRPr="006C6368">
        <w:t>(2)</w:t>
      </w:r>
      <w:r w:rsidRPr="006C6368">
        <w:tab/>
        <w:t>a service standard event;</w:t>
      </w:r>
    </w:p>
    <w:p w:rsidR="006C6368" w:rsidRPr="006C6368" w:rsidRDefault="006C6368" w:rsidP="006C6368">
      <w:pPr>
        <w:pStyle w:val="AERquote"/>
      </w:pPr>
      <w:r w:rsidRPr="006C6368">
        <w:t>(3)</w:t>
      </w:r>
      <w:r w:rsidRPr="006C6368">
        <w:tab/>
        <w:t>a tax change event;</w:t>
      </w:r>
    </w:p>
    <w:p w:rsidR="006C6368" w:rsidRPr="006C6368" w:rsidRDefault="006C6368" w:rsidP="006C6368">
      <w:pPr>
        <w:pStyle w:val="AERquote"/>
      </w:pPr>
      <w:r w:rsidRPr="006C6368">
        <w:t>(4)</w:t>
      </w:r>
      <w:r w:rsidRPr="006C6368">
        <w:tab/>
        <w:t xml:space="preserve">a retailer insolvency event; and </w:t>
      </w:r>
    </w:p>
    <w:p w:rsidR="006C6368" w:rsidRPr="006C6368" w:rsidRDefault="006C6368" w:rsidP="006C6368">
      <w:pPr>
        <w:pStyle w:val="AERquote"/>
      </w:pPr>
      <w:bookmarkStart w:id="47" w:name="id3b8a4dc5_95f5_4006_b58d_9c2697d9c2c5_a"/>
      <w:bookmarkEnd w:id="47"/>
      <w:r w:rsidRPr="006C6368">
        <w:t>(5)</w:t>
      </w:r>
      <w:r w:rsidRPr="006C6368">
        <w:tab/>
        <w:t>any other event specified in a distribution determination as a pass through event for the determination.</w:t>
      </w:r>
    </w:p>
    <w:p w:rsidR="006C6368" w:rsidRPr="006C6368" w:rsidRDefault="006C6368" w:rsidP="006C6368">
      <w:pPr>
        <w:pStyle w:val="AERquote"/>
      </w:pPr>
      <w:r w:rsidRPr="006C6368">
        <w:t>(a)</w:t>
      </w:r>
      <w:r w:rsidRPr="006C6368">
        <w:tab/>
        <w:t>If a positive change event occurs, a Distribution Network Service Provider may seek the approval of the AER to pass through to Distribution Network Users a positive pass through amount.</w:t>
      </w:r>
    </w:p>
    <w:p w:rsidR="006C6368" w:rsidRPr="006C6368" w:rsidRDefault="006C6368" w:rsidP="006C6368">
      <w:pPr>
        <w:pStyle w:val="AERquote"/>
      </w:pPr>
      <w:bookmarkStart w:id="48" w:name="id4b136ee7_d498_44f7_a2c3_d5614bf9416f_b"/>
      <w:bookmarkEnd w:id="48"/>
      <w:r w:rsidRPr="006C6368">
        <w:t>(b)</w:t>
      </w:r>
      <w:r w:rsidRPr="006C6368">
        <w:tab/>
        <w:t>If a negative change event occurs, the AER may require the Distribution Network Service Provider to pass through to Distribution Network Users a negative pass through amount as determined by the AER under paragraph (g).</w:t>
      </w:r>
    </w:p>
    <w:p w:rsidR="006C6368" w:rsidRPr="006C6368" w:rsidRDefault="006C6368" w:rsidP="006C6368">
      <w:pPr>
        <w:pStyle w:val="AERquote"/>
      </w:pPr>
      <w:r w:rsidRPr="006C6368">
        <w:t>Positive pass through</w:t>
      </w:r>
    </w:p>
    <w:p w:rsidR="006C6368" w:rsidRPr="006C6368" w:rsidRDefault="006C6368" w:rsidP="006C6368">
      <w:pPr>
        <w:pStyle w:val="AERquote"/>
      </w:pPr>
      <w:bookmarkStart w:id="49" w:name="id679f7d35_715d_4620_b537_a12e3b39acb6_a"/>
      <w:bookmarkEnd w:id="49"/>
      <w:r w:rsidRPr="006C6368">
        <w:t>(c)</w:t>
      </w:r>
      <w:r w:rsidRPr="006C6368">
        <w:tab/>
        <w:t>To seek the approval of the AER to pass through a positive pass through amount, a Distribution Network Service Provider must submit to the AER, within 90 business days of the relevant positive change event occurring, a written statement which specifies:</w:t>
      </w:r>
    </w:p>
    <w:p w:rsidR="006C6368" w:rsidRPr="006C6368" w:rsidRDefault="006C6368" w:rsidP="006C6368">
      <w:pPr>
        <w:pStyle w:val="AERquote"/>
      </w:pPr>
      <w:r w:rsidRPr="006C6368">
        <w:t>(1)</w:t>
      </w:r>
      <w:r w:rsidRPr="006C6368">
        <w:tab/>
        <w:t>the details of the positive change event;</w:t>
      </w:r>
    </w:p>
    <w:p w:rsidR="006C6368" w:rsidRPr="006C6368" w:rsidRDefault="006C6368" w:rsidP="006C6368">
      <w:pPr>
        <w:pStyle w:val="AERquote"/>
      </w:pPr>
      <w:r w:rsidRPr="006C6368">
        <w:t>(2)</w:t>
      </w:r>
      <w:r w:rsidRPr="006C6368">
        <w:tab/>
        <w:t>the date on which the positive change event occurred;</w:t>
      </w:r>
    </w:p>
    <w:p w:rsidR="006C6368" w:rsidRPr="006C6368" w:rsidRDefault="006C6368" w:rsidP="006C6368">
      <w:pPr>
        <w:pStyle w:val="AERquote"/>
      </w:pPr>
      <w:bookmarkStart w:id="50" w:name="idc71faede_9a4b_40f8_a297_fcc5012700e6_1"/>
      <w:bookmarkEnd w:id="50"/>
      <w:r w:rsidRPr="006C6368">
        <w:t>(3)</w:t>
      </w:r>
      <w:r w:rsidRPr="006C6368">
        <w:tab/>
        <w:t>the eligible pass through amount in respect of that positive change event;</w:t>
      </w:r>
    </w:p>
    <w:p w:rsidR="006C6368" w:rsidRPr="006C6368" w:rsidRDefault="006C6368" w:rsidP="006C6368">
      <w:pPr>
        <w:pStyle w:val="AERquote"/>
      </w:pPr>
      <w:r w:rsidRPr="006C6368">
        <w:t>(4)</w:t>
      </w:r>
      <w:r w:rsidRPr="006C6368">
        <w:tab/>
        <w:t>the positive pass through amount the Distribution Network Service Provider proposes in relation to the positive change event;</w:t>
      </w:r>
    </w:p>
    <w:p w:rsidR="006C6368" w:rsidRPr="006C6368" w:rsidRDefault="006C6368" w:rsidP="006C6368">
      <w:pPr>
        <w:pStyle w:val="AERquote"/>
      </w:pPr>
      <w:r w:rsidRPr="006C6368">
        <w:t>(5)</w:t>
      </w:r>
      <w:r w:rsidRPr="006C6368">
        <w:tab/>
        <w:t>the amount of the positive pass through amount that the Distribution Network Service Provider proposes should be passed through to Distribution Network Users in the regulatory year in which, and each regulatory year after that in which, the positive change event occurred;</w:t>
      </w:r>
    </w:p>
    <w:p w:rsidR="006C6368" w:rsidRPr="006C6368" w:rsidRDefault="006C6368" w:rsidP="006C6368">
      <w:pPr>
        <w:pStyle w:val="AERquote"/>
      </w:pPr>
      <w:r w:rsidRPr="006C6368">
        <w:t>(6)</w:t>
      </w:r>
      <w:r w:rsidRPr="006C6368">
        <w:tab/>
        <w:t>evidence:</w:t>
      </w:r>
    </w:p>
    <w:p w:rsidR="006C6368" w:rsidRPr="006C6368" w:rsidRDefault="006C6368" w:rsidP="006C6368">
      <w:pPr>
        <w:pStyle w:val="AERquote"/>
      </w:pPr>
      <w:r w:rsidRPr="006C6368">
        <w:t>(i)</w:t>
      </w:r>
      <w:r w:rsidRPr="006C6368">
        <w:tab/>
        <w:t>of the actual and likely increase in costs referred to in subparagraph (3);</w:t>
      </w:r>
    </w:p>
    <w:p w:rsidR="006C6368" w:rsidRPr="006C6368" w:rsidRDefault="006C6368" w:rsidP="006C6368">
      <w:pPr>
        <w:pStyle w:val="AERquote"/>
      </w:pPr>
      <w:r w:rsidRPr="006C6368">
        <w:lastRenderedPageBreak/>
        <w:t>(ii)</w:t>
      </w:r>
      <w:r w:rsidRPr="006C6368">
        <w:tab/>
        <w:t>that such costs occur solely as a consequence of the positive change event; and</w:t>
      </w:r>
    </w:p>
    <w:p w:rsidR="006C6368" w:rsidRPr="006C6368" w:rsidRDefault="006C6368" w:rsidP="006C6368">
      <w:pPr>
        <w:pStyle w:val="AERquote"/>
      </w:pPr>
      <w:r w:rsidRPr="006C6368">
        <w:t>(iii)</w:t>
      </w:r>
      <w:r w:rsidRPr="006C6368">
        <w:tab/>
        <w:t>in relation to a retailer insolvency event, of :</w:t>
      </w:r>
    </w:p>
    <w:p w:rsidR="006C6368" w:rsidRPr="006C6368" w:rsidRDefault="006C6368" w:rsidP="006C6368">
      <w:pPr>
        <w:pStyle w:val="AERquote"/>
      </w:pPr>
      <w:r w:rsidRPr="006C6368">
        <w:t>(A)</w:t>
      </w:r>
      <w:r w:rsidRPr="006C6368">
        <w:tab/>
        <w:t>the amount to which the Distribution Network Service Provider is entitled under any relevant credit support;</w:t>
      </w:r>
    </w:p>
    <w:p w:rsidR="006C6368" w:rsidRPr="006C6368" w:rsidRDefault="006C6368" w:rsidP="006C6368">
      <w:pPr>
        <w:pStyle w:val="AERquote"/>
      </w:pPr>
      <w:r w:rsidRPr="006C6368">
        <w:t>(B)</w:t>
      </w:r>
      <w:r w:rsidRPr="006C6368">
        <w:tab/>
        <w:t>the maximum amount of credit support (if any) that the Distribution Network Service Provider was entitled to request the retailer to provide under the credit support rules; and</w:t>
      </w:r>
    </w:p>
    <w:p w:rsidR="006C6368" w:rsidRPr="006C6368" w:rsidRDefault="006C6368" w:rsidP="006C6368">
      <w:pPr>
        <w:pStyle w:val="AERquote"/>
      </w:pPr>
      <w:r w:rsidRPr="006C6368">
        <w:t>(C)</w:t>
      </w:r>
      <w:r w:rsidRPr="006C6368">
        <w:tab/>
        <w:t>any amount that the Distribution Network Service Provider is likely to receive on a winding-up of the retailer; and</w:t>
      </w:r>
    </w:p>
    <w:p w:rsidR="006C6368" w:rsidRPr="006C6368" w:rsidRDefault="006C6368" w:rsidP="006C6368">
      <w:pPr>
        <w:pStyle w:val="AERquote"/>
      </w:pPr>
      <w:r w:rsidRPr="006C6368">
        <w:t>(7)</w:t>
      </w:r>
      <w:r w:rsidRPr="006C6368">
        <w:tab/>
        <w:t>such other information as may be required under any relevant regulatory information instrument.</w:t>
      </w:r>
    </w:p>
    <w:p w:rsidR="006C6368" w:rsidRPr="006C6368" w:rsidRDefault="006C6368" w:rsidP="006C6368">
      <w:pPr>
        <w:pStyle w:val="AERquote"/>
      </w:pPr>
      <w:bookmarkStart w:id="51" w:name="id982c2f42_a716_4b60_8688_32f740b8bcbc_b"/>
      <w:bookmarkEnd w:id="51"/>
      <w:r w:rsidRPr="006C6368">
        <w:t>(d)</w:t>
      </w:r>
      <w:r w:rsidRPr="006C6368">
        <w:tab/>
        <w:t>If the AER determines that a positive change event has occurred in respect of a statement under paragraph (c), the AER must determine:</w:t>
      </w:r>
    </w:p>
    <w:p w:rsidR="006C6368" w:rsidRPr="006C6368" w:rsidRDefault="006C6368" w:rsidP="006C6368">
      <w:pPr>
        <w:pStyle w:val="AERquote"/>
      </w:pPr>
      <w:r w:rsidRPr="006C6368">
        <w:t>(1)</w:t>
      </w:r>
      <w:r w:rsidRPr="006C6368">
        <w:tab/>
        <w:t>the approved pass through amount; and</w:t>
      </w:r>
    </w:p>
    <w:p w:rsidR="006C6368" w:rsidRPr="006C6368" w:rsidRDefault="006C6368" w:rsidP="006C6368">
      <w:pPr>
        <w:pStyle w:val="AERquote"/>
      </w:pPr>
      <w:bookmarkStart w:id="52" w:name="id1a9eb352_6250_46d1_9ace_516ad169aec9_4"/>
      <w:bookmarkEnd w:id="52"/>
      <w:r w:rsidRPr="006C6368">
        <w:t>(2)</w:t>
      </w:r>
      <w:r w:rsidRPr="006C6368">
        <w:tab/>
        <w:t>the amount of that approved pass through amount that should be passed through to Distribution Network Users in the regulatory year in which, and each regulatory year after that in which, the positive change event occurred,</w:t>
      </w:r>
    </w:p>
    <w:p w:rsidR="006C6368" w:rsidRPr="006C6368" w:rsidRDefault="006C6368" w:rsidP="006C6368">
      <w:pPr>
        <w:pStyle w:val="AERquote"/>
      </w:pPr>
      <w:r w:rsidRPr="006C6368">
        <w:t>taking into account the matters referred to in paragraph (j).</w:t>
      </w:r>
    </w:p>
    <w:p w:rsidR="006C6368" w:rsidRPr="006C6368" w:rsidRDefault="006C6368" w:rsidP="006C6368">
      <w:pPr>
        <w:pStyle w:val="AERquote"/>
      </w:pPr>
      <w:r w:rsidRPr="006C6368">
        <w:t>(e)</w:t>
      </w:r>
      <w:r w:rsidRPr="006C6368">
        <w:tab/>
        <w:t>Subject to paragraph (k1), if the AER does not make the determinations referred to in paragraph (d) within 40 business days from the later of the date it receives the Distribution Network Service Provider's statement and accompanying evidence under paragraph (c), and the date it receives any additional information required under paragraph (e1), then, on the expiry of that period, the AER is taken to have determined that:</w:t>
      </w:r>
    </w:p>
    <w:p w:rsidR="006C6368" w:rsidRPr="006C6368" w:rsidRDefault="006C6368" w:rsidP="006C6368">
      <w:pPr>
        <w:pStyle w:val="AERquote"/>
      </w:pPr>
      <w:r w:rsidRPr="006C6368">
        <w:t>(1)</w:t>
      </w:r>
      <w:r w:rsidRPr="006C6368">
        <w:tab/>
        <w:t>the positive pass through amount as proposed in the Distribution Network Service Provider's statement under paragraph (c) is the approved pass through amount in respect of that positive change event; and</w:t>
      </w:r>
    </w:p>
    <w:p w:rsidR="006C6368" w:rsidRPr="006C6368" w:rsidRDefault="006C6368" w:rsidP="006C6368">
      <w:pPr>
        <w:pStyle w:val="AERquote"/>
      </w:pPr>
      <w:r w:rsidRPr="006C6368">
        <w:t>(2)</w:t>
      </w:r>
      <w:r w:rsidRPr="006C6368">
        <w:tab/>
        <w:t>the amount of that positive pass through amount that the Distribution Network Service Provider proposes in its statement under paragraph(c) should be passed through to Distribution Network Users in the regulatory year in which, and each regulatory year after that in which, the positive change event occurred, is the amount that should be so passed through in each such regulatory year.</w:t>
      </w:r>
    </w:p>
    <w:p w:rsidR="006C6368" w:rsidRPr="006C6368" w:rsidRDefault="006C6368" w:rsidP="006C6368">
      <w:pPr>
        <w:pStyle w:val="AERquote"/>
      </w:pPr>
      <w:r w:rsidRPr="006C6368">
        <w:t>(e1)</w:t>
      </w:r>
      <w:r w:rsidRPr="006C6368">
        <w:tab/>
        <w:t>A Distribution Network Service Provider must provide the AER with such additional information as the AER requires for the purpose of making a determination under paragraph (d) within the time specified by the AER in a notice provided to the Distribution Network Service Provider by the AER for that purpose.</w:t>
      </w:r>
    </w:p>
    <w:p w:rsidR="006C6368" w:rsidRPr="006C6368" w:rsidRDefault="006C6368" w:rsidP="006C6368">
      <w:pPr>
        <w:pStyle w:val="AERquote"/>
      </w:pPr>
      <w:r w:rsidRPr="006C6368">
        <w:t>Negative pass through</w:t>
      </w:r>
    </w:p>
    <w:p w:rsidR="006C6368" w:rsidRPr="006C6368" w:rsidRDefault="006C6368" w:rsidP="006C6368">
      <w:pPr>
        <w:pStyle w:val="AERquote"/>
      </w:pPr>
      <w:bookmarkStart w:id="53" w:name="idd2860fb9_89c1_4d6a_abc9_9581efa9d7d1_e"/>
      <w:bookmarkEnd w:id="53"/>
      <w:r w:rsidRPr="006C6368">
        <w:lastRenderedPageBreak/>
        <w:t>(f)</w:t>
      </w:r>
      <w:r w:rsidRPr="006C6368">
        <w:tab/>
        <w:t>A Distribution Network Service Provider must submit to the AER, within 90 business days of becoming aware of the occurrence of a negative change event for the Distribution Network Service Provider, a written statement which specifies:</w:t>
      </w:r>
    </w:p>
    <w:p w:rsidR="006C6368" w:rsidRPr="006C6368" w:rsidRDefault="006C6368" w:rsidP="006C6368">
      <w:pPr>
        <w:pStyle w:val="AERquote"/>
      </w:pPr>
      <w:r w:rsidRPr="006C6368">
        <w:t>(1)</w:t>
      </w:r>
      <w:r w:rsidRPr="006C6368">
        <w:tab/>
        <w:t>the details of the negative change event concerned;</w:t>
      </w:r>
    </w:p>
    <w:p w:rsidR="006C6368" w:rsidRPr="006C6368" w:rsidRDefault="006C6368" w:rsidP="006C6368">
      <w:pPr>
        <w:pStyle w:val="AERquote"/>
      </w:pPr>
      <w:r w:rsidRPr="006C6368">
        <w:t>(2)</w:t>
      </w:r>
      <w:r w:rsidRPr="006C6368">
        <w:tab/>
        <w:t>the date the negative change event occurred;</w:t>
      </w:r>
    </w:p>
    <w:p w:rsidR="006C6368" w:rsidRPr="006C6368" w:rsidRDefault="006C6368" w:rsidP="006C6368">
      <w:pPr>
        <w:pStyle w:val="AERquote"/>
      </w:pPr>
      <w:r w:rsidRPr="006C6368">
        <w:t>(3)</w:t>
      </w:r>
      <w:r w:rsidRPr="006C6368">
        <w:tab/>
        <w:t>the costs in the provision of direct control services that the Distribution Network Service Provider has saved and is likely to save as a result of the negative change event until:</w:t>
      </w:r>
    </w:p>
    <w:p w:rsidR="006C6368" w:rsidRPr="006C6368" w:rsidRDefault="006C6368" w:rsidP="006C6368">
      <w:pPr>
        <w:pStyle w:val="AERquote"/>
      </w:pPr>
      <w:r w:rsidRPr="006C6368">
        <w:t>(i)</w:t>
      </w:r>
      <w:r w:rsidRPr="006C6368">
        <w:tab/>
        <w:t xml:space="preserve">unless subparagraph (ii) applies – the end of the regulatory control period in which the negative change event occurred; or </w:t>
      </w:r>
    </w:p>
    <w:p w:rsidR="006C6368" w:rsidRPr="006C6368" w:rsidRDefault="006C6368" w:rsidP="006C6368">
      <w:pPr>
        <w:pStyle w:val="AERquote"/>
      </w:pPr>
      <w:bookmarkStart w:id="54" w:name="id964c1342_e1b0_41d1_b52a_e65a79edcadb_3"/>
      <w:bookmarkEnd w:id="54"/>
      <w:r w:rsidRPr="006C6368">
        <w:t>(ii)</w:t>
      </w:r>
      <w:r w:rsidRPr="006C6368">
        <w:tab/>
        <w:t xml:space="preserve">if the distribution determination for the regulatory control period following that in which the negative change event occurred does not make any allowance for the pass through of those cost savings - the end of the regulatory control period following that in which the negative change event occurred; </w:t>
      </w:r>
    </w:p>
    <w:p w:rsidR="006C6368" w:rsidRPr="006C6368" w:rsidRDefault="006C6368" w:rsidP="006C6368">
      <w:pPr>
        <w:pStyle w:val="AERquote"/>
      </w:pPr>
      <w:bookmarkStart w:id="55" w:name="idb1c82c86_17b1_4a2f_991c_bdfe84eda324_3"/>
      <w:bookmarkEnd w:id="55"/>
      <w:r w:rsidRPr="006C6368">
        <w:t>(4)</w:t>
      </w:r>
      <w:r w:rsidRPr="006C6368">
        <w:tab/>
        <w:t>the aggregate amount of those saved costs that the Distribution Network Service Provider proposes should be passed through to Distribution Network Users;</w:t>
      </w:r>
    </w:p>
    <w:p w:rsidR="006C6368" w:rsidRPr="006C6368" w:rsidRDefault="006C6368" w:rsidP="006C6368">
      <w:pPr>
        <w:pStyle w:val="AERquote"/>
      </w:pPr>
      <w:r w:rsidRPr="006C6368">
        <w:t>(5)</w:t>
      </w:r>
      <w:r w:rsidRPr="006C6368">
        <w:tab/>
        <w:t>the amount of the costs referred to in subparagraph (4) the Distribution Network Service Provider proposes should be passed through to Distribution Network Users in the regulatory year in which, and each regulatory year after that in which, the negative change event occurred; and</w:t>
      </w:r>
    </w:p>
    <w:p w:rsidR="006C6368" w:rsidRPr="006C6368" w:rsidRDefault="006C6368" w:rsidP="006C6368">
      <w:pPr>
        <w:pStyle w:val="AERquote"/>
      </w:pPr>
      <w:r w:rsidRPr="006C6368">
        <w:t>(6)</w:t>
      </w:r>
      <w:r w:rsidRPr="006C6368">
        <w:tab/>
        <w:t>such other information as may be required under any relevant regulatory information instrument.</w:t>
      </w:r>
    </w:p>
    <w:p w:rsidR="006C6368" w:rsidRPr="006C6368" w:rsidRDefault="006C6368" w:rsidP="006C6368">
      <w:pPr>
        <w:pStyle w:val="AERquote"/>
      </w:pPr>
      <w:r w:rsidRPr="006C6368">
        <w:t>(f1)</w:t>
      </w:r>
      <w:r w:rsidRPr="006C6368">
        <w:tab/>
        <w:t>If the occurrence of the negative change event is not notified by the Distribution Network Service Provider to the AER under paragraph (f) then, as soon as is reasonably practicable and before making a determination referred to in paragraph (g), the AER must notify the Distribution Network Service Provider of the occurrence of that negative change event.</w:t>
      </w:r>
    </w:p>
    <w:p w:rsidR="006C6368" w:rsidRPr="006C6368" w:rsidRDefault="006C6368" w:rsidP="006C6368">
      <w:pPr>
        <w:pStyle w:val="AERquote"/>
      </w:pPr>
      <w:bookmarkStart w:id="56" w:name="id4227c975_0e1d_42f7_9b3f_6aded5a70268_8"/>
      <w:bookmarkEnd w:id="56"/>
      <w:r w:rsidRPr="006C6368">
        <w:t>(g)</w:t>
      </w:r>
      <w:r w:rsidRPr="006C6368">
        <w:tab/>
        <w:t>If a negative change event occurs (whether or not the occurrence of that negative change event is notified by the Distribution Network Service Provider to the AER under paragraph (f)) and the AER determines to impose a requirement on the provider in relation to that negative change event as described in paragraph (b), the AER must determine:</w:t>
      </w:r>
    </w:p>
    <w:p w:rsidR="006C6368" w:rsidRPr="006C6368" w:rsidRDefault="006C6368" w:rsidP="006C6368">
      <w:pPr>
        <w:pStyle w:val="AERquote"/>
      </w:pPr>
      <w:r w:rsidRPr="006C6368">
        <w:t>(1)</w:t>
      </w:r>
      <w:r w:rsidRPr="006C6368">
        <w:tab/>
        <w:t>the required pass through amount; and</w:t>
      </w:r>
    </w:p>
    <w:p w:rsidR="006C6368" w:rsidRPr="006C6368" w:rsidRDefault="006C6368" w:rsidP="006C6368">
      <w:pPr>
        <w:pStyle w:val="AERquote"/>
      </w:pPr>
      <w:r w:rsidRPr="006C6368">
        <w:t>(2)</w:t>
      </w:r>
      <w:r w:rsidRPr="006C6368">
        <w:tab/>
        <w:t>taking into account the matters referred to in paragraph (j):</w:t>
      </w:r>
    </w:p>
    <w:p w:rsidR="006C6368" w:rsidRPr="006C6368" w:rsidRDefault="006C6368" w:rsidP="006C6368">
      <w:pPr>
        <w:pStyle w:val="AERquote"/>
      </w:pPr>
      <w:r w:rsidRPr="006C6368">
        <w:t>(i)</w:t>
      </w:r>
      <w:r w:rsidRPr="006C6368">
        <w:tab/>
        <w:t>how much of that required pass through amount should be passed through to Distribution Network Users (the "</w:t>
      </w:r>
      <w:bookmarkStart w:id="57" w:name="id88119ba3_5ff8_4225_8050_88e0d7bdb731_d"/>
      <w:r w:rsidRPr="006C6368">
        <w:t>negative pass through amount</w:t>
      </w:r>
      <w:bookmarkEnd w:id="57"/>
      <w:r w:rsidRPr="006C6368">
        <w:t>"); and</w:t>
      </w:r>
    </w:p>
    <w:p w:rsidR="006C6368" w:rsidRPr="006C6368" w:rsidRDefault="006C6368" w:rsidP="006C6368">
      <w:pPr>
        <w:pStyle w:val="AERquote"/>
      </w:pPr>
      <w:r w:rsidRPr="006C6368">
        <w:lastRenderedPageBreak/>
        <w:t>(ii)</w:t>
      </w:r>
      <w:r w:rsidRPr="006C6368">
        <w:tab/>
        <w:t>the amount of that negative pass through amount that should be passed through to Distribution Network Users in the regulatory year in which, and each regulatory year after that in which, the negative change event occurred.</w:t>
      </w:r>
    </w:p>
    <w:p w:rsidR="006C6368" w:rsidRPr="006C6368" w:rsidRDefault="006C6368" w:rsidP="006C6368">
      <w:pPr>
        <w:pStyle w:val="AERquote"/>
      </w:pPr>
      <w:r w:rsidRPr="006C6368">
        <w:t>(g1)</w:t>
      </w:r>
      <w:r w:rsidRPr="006C6368">
        <w:tab/>
        <w:t>Subject to paragraph (k1), if the AER does not make the determinations referred to in paragraph (g) within 40 business days from:</w:t>
      </w:r>
    </w:p>
    <w:p w:rsidR="006C6368" w:rsidRPr="006C6368" w:rsidRDefault="006C6368" w:rsidP="006C6368">
      <w:pPr>
        <w:pStyle w:val="AERquote"/>
      </w:pPr>
      <w:r w:rsidRPr="006C6368">
        <w:t>(1)</w:t>
      </w:r>
      <w:r w:rsidRPr="006C6368">
        <w:tab/>
        <w:t>where the Distribution Network Service Provider notifies the AER of the occurrence of the negative change event under paragraph (f) - the later of the date the AER receives the Distribution Network Service Provider's statement under paragraph (f) and the date the AER receives any information required by the AER under paragraph (h); or</w:t>
      </w:r>
    </w:p>
    <w:p w:rsidR="006C6368" w:rsidRPr="006C6368" w:rsidRDefault="006C6368" w:rsidP="006C6368">
      <w:pPr>
        <w:pStyle w:val="AERquote"/>
      </w:pPr>
      <w:r w:rsidRPr="006C6368">
        <w:t>(2)</w:t>
      </w:r>
      <w:r w:rsidRPr="006C6368">
        <w:tab/>
        <w:t>where the Distribution Network Service Provider does not notify the AER of the occurrence of the negative change event under paragraph (f) – the later of the date the AER notifies the Distribution Network Service Provider under paragraph (g1) and the date the AER receives any information required by the AER under paragraph (h),</w:t>
      </w:r>
    </w:p>
    <w:p w:rsidR="006C6368" w:rsidRPr="006C6368" w:rsidRDefault="006C6368" w:rsidP="006C6368">
      <w:pPr>
        <w:pStyle w:val="AERquote"/>
      </w:pPr>
      <w:r w:rsidRPr="006C6368">
        <w:t>then the AER is taken to have determined that the required pass through amount is zero.</w:t>
      </w:r>
    </w:p>
    <w:p w:rsidR="006C6368" w:rsidRPr="006C6368" w:rsidRDefault="006C6368" w:rsidP="006C6368">
      <w:pPr>
        <w:pStyle w:val="AERquote"/>
      </w:pPr>
      <w:r w:rsidRPr="006C6368">
        <w:t>(h)</w:t>
      </w:r>
      <w:r w:rsidRPr="006C6368">
        <w:tab/>
        <w:t>A Distribution Network Service Provider must provide the AER with such information as the AER requires for the purpose of making a determination under paragraph (g) within the time specified by the AER in a notice provided to the Distribution Network Service Provider by the AER for that purpose.</w:t>
      </w:r>
    </w:p>
    <w:p w:rsidR="006C6368" w:rsidRPr="006C6368" w:rsidRDefault="006C6368" w:rsidP="006C6368">
      <w:pPr>
        <w:pStyle w:val="AERquote"/>
      </w:pPr>
      <w:r w:rsidRPr="006C6368">
        <w:t>Consultation</w:t>
      </w:r>
    </w:p>
    <w:p w:rsidR="006C6368" w:rsidRPr="006C6368" w:rsidRDefault="006C6368" w:rsidP="006C6368">
      <w:pPr>
        <w:pStyle w:val="AERquote"/>
      </w:pPr>
      <w:r w:rsidRPr="006C6368">
        <w:t>(i)</w:t>
      </w:r>
      <w:r w:rsidRPr="006C6368">
        <w:tab/>
        <w:t>Before making a determination under paragraph (d) or (g), the AER may consult with the relevant Distribution Network Service Provider and such other persons as the AER considers appropriate, on any matters arising out of the relevant pass through event the AER considers appropriate.</w:t>
      </w:r>
    </w:p>
    <w:p w:rsidR="006C6368" w:rsidRPr="006C6368" w:rsidRDefault="006C6368" w:rsidP="006C6368">
      <w:pPr>
        <w:pStyle w:val="AERquote"/>
      </w:pPr>
      <w:r w:rsidRPr="006C6368">
        <w:t>Relevant factors</w:t>
      </w:r>
    </w:p>
    <w:p w:rsidR="006C6368" w:rsidRPr="006C6368" w:rsidRDefault="006C6368" w:rsidP="006C6368">
      <w:pPr>
        <w:pStyle w:val="AERquote"/>
      </w:pPr>
      <w:bookmarkStart w:id="58" w:name="ida1037f3e_132a_4faa_b13c_35bd45f478dd_8"/>
      <w:bookmarkEnd w:id="58"/>
      <w:r w:rsidRPr="006C6368">
        <w:t>(j)</w:t>
      </w:r>
      <w:r w:rsidRPr="006C6368">
        <w:tab/>
        <w:t>In making a determination under paragraph (d) or (g) in respect of a Distribution Network Service Provider, the AER must take into account:</w:t>
      </w:r>
    </w:p>
    <w:p w:rsidR="006C6368" w:rsidRPr="006C6368" w:rsidRDefault="006C6368" w:rsidP="006C6368">
      <w:pPr>
        <w:pStyle w:val="AERquote"/>
      </w:pPr>
      <w:r w:rsidRPr="006C6368">
        <w:t>(1)</w:t>
      </w:r>
      <w:r w:rsidRPr="006C6368">
        <w:tab/>
        <w:t>the matters and proposals set out in any statement given to the AER by the Distribution Network Service Provider under paragraph (c) or (f); and</w:t>
      </w:r>
    </w:p>
    <w:p w:rsidR="006C6368" w:rsidRPr="006C6368" w:rsidRDefault="006C6368" w:rsidP="006C6368">
      <w:pPr>
        <w:pStyle w:val="AERquote"/>
      </w:pPr>
      <w:r w:rsidRPr="006C6368">
        <w:t>(2)</w:t>
      </w:r>
      <w:r w:rsidRPr="006C6368">
        <w:tab/>
        <w:t>in the case of a positive change event, the increase in costs in the provision of direct control services that, as a result of the positive change event, the Distribution Network Service Provider has incurred and is likely to incur until:</w:t>
      </w:r>
    </w:p>
    <w:p w:rsidR="006C6368" w:rsidRPr="006C6368" w:rsidRDefault="006C6368" w:rsidP="006C6368">
      <w:pPr>
        <w:pStyle w:val="AERquote"/>
      </w:pPr>
      <w:r w:rsidRPr="006C6368">
        <w:t>(i)</w:t>
      </w:r>
      <w:r w:rsidRPr="006C6368">
        <w:tab/>
        <w:t>unless subparagraph(ii) applies – the end of the regulatory control period in which the positive change event occurred; or</w:t>
      </w:r>
    </w:p>
    <w:p w:rsidR="006C6368" w:rsidRPr="006C6368" w:rsidRDefault="006C6368" w:rsidP="006C6368">
      <w:pPr>
        <w:pStyle w:val="AERquote"/>
      </w:pPr>
      <w:bookmarkStart w:id="59" w:name="id7d503809_5462_4eec_bc62_1e394d5c9fe5_b"/>
      <w:bookmarkEnd w:id="59"/>
      <w:r w:rsidRPr="006C6368">
        <w:t>(ii)</w:t>
      </w:r>
      <w:r w:rsidRPr="006C6368">
        <w:tab/>
        <w:t>if the distribution determination for the regulatory control period following that in which the positive change event occurred does not make any allowance for the recovery of that increase in costs – the end of the regulatory control period following that in which the positive change event occurred;</w:t>
      </w:r>
    </w:p>
    <w:p w:rsidR="006C6368" w:rsidRPr="006C6368" w:rsidRDefault="006C6368" w:rsidP="006C6368">
      <w:pPr>
        <w:pStyle w:val="AERquote"/>
      </w:pPr>
      <w:r w:rsidRPr="006C6368">
        <w:lastRenderedPageBreak/>
        <w:t>(2A)</w:t>
      </w:r>
      <w:r w:rsidRPr="006C6368">
        <w:tab/>
        <w:t>in the case of a negative change event, the costs in the provision of direct control services that, as a result of the negative change event, the Distribution Network Service Provider has saved and is likely to save until:</w:t>
      </w:r>
    </w:p>
    <w:p w:rsidR="006C6368" w:rsidRPr="006C6368" w:rsidRDefault="006C6368" w:rsidP="006C6368">
      <w:pPr>
        <w:pStyle w:val="AERquote"/>
      </w:pPr>
      <w:r w:rsidRPr="006C6368">
        <w:t>(i)</w:t>
      </w:r>
      <w:r w:rsidRPr="006C6368">
        <w:tab/>
        <w:t>unless subparagraph(ii) applies – the end of the regulatory control period in which the negative change event occurred; or</w:t>
      </w:r>
    </w:p>
    <w:p w:rsidR="006C6368" w:rsidRPr="006C6368" w:rsidRDefault="006C6368" w:rsidP="006C6368">
      <w:pPr>
        <w:pStyle w:val="AERquote"/>
      </w:pPr>
      <w:bookmarkStart w:id="60" w:name="id39989905_a7e9_44e4_b114_347799af89eb_5"/>
      <w:bookmarkEnd w:id="60"/>
      <w:r w:rsidRPr="006C6368">
        <w:t>(ii)</w:t>
      </w:r>
      <w:r w:rsidRPr="006C6368">
        <w:tab/>
        <w:t>if the distribution determination for the regulatory control period following that in which the negative change event occurred does not make any allowance for the pass through of those cost savings to Distribution Network Users – the end of the regulatory control period following that in which the negative change event occurred;</w:t>
      </w:r>
    </w:p>
    <w:p w:rsidR="006C6368" w:rsidRPr="006C6368" w:rsidRDefault="006C6368" w:rsidP="006C6368">
      <w:pPr>
        <w:pStyle w:val="AERquote"/>
      </w:pPr>
      <w:r w:rsidRPr="006C6368">
        <w:t>(3)</w:t>
      </w:r>
      <w:r w:rsidRPr="006C6368">
        <w:tab/>
        <w:t>in the case of a positive change event, the efficiency of the Distribution Network Service Provider's decisions and actions in relation to the risk of the positive change event, including whether the Distribution Network Service Provider has failed to take any action that could reasonably be taken to reduce the magnitude of the eligible pass through amount in respect of that positive change event and whether the Distribution Network Service Provider has taken or omitted to take any action where such action or omission has increased the magnitude of the amount in respect of that positive change event;</w:t>
      </w:r>
    </w:p>
    <w:p w:rsidR="006C6368" w:rsidRPr="006C6368" w:rsidRDefault="006C6368" w:rsidP="006C6368">
      <w:pPr>
        <w:pStyle w:val="AERquote"/>
      </w:pPr>
      <w:r w:rsidRPr="006C6368">
        <w:t>(4)</w:t>
      </w:r>
      <w:r w:rsidRPr="006C6368">
        <w:tab/>
        <w:t>the time cost of money based on the allowed rate of return for the Distribution Network Service Provider for the regulatory control period in which the pass through event occurred;</w:t>
      </w:r>
    </w:p>
    <w:p w:rsidR="006C6368" w:rsidRPr="006C6368" w:rsidRDefault="006C6368" w:rsidP="006C6368">
      <w:pPr>
        <w:pStyle w:val="AERquote"/>
      </w:pPr>
      <w:r w:rsidRPr="006C6368">
        <w:t>(5)</w:t>
      </w:r>
      <w:r w:rsidRPr="006C6368">
        <w:tab/>
        <w:t>the need to ensure that the Distribution Network Service Provider only recovers any actual or likely increment in costs under this paragraph (j) to the extent that such increment is solely as a consequence of a pass through event;</w:t>
      </w:r>
    </w:p>
    <w:p w:rsidR="006C6368" w:rsidRPr="006C6368" w:rsidRDefault="006C6368" w:rsidP="006C6368">
      <w:pPr>
        <w:pStyle w:val="AERquote"/>
      </w:pPr>
      <w:r w:rsidRPr="006C6368">
        <w:t>(6)</w:t>
      </w:r>
      <w:r w:rsidRPr="006C6368">
        <w:tab/>
        <w:t>in the case of a tax change event, any change in the way another tax is calculated, or the removal or imposition of another tax, which, in the AER's opinion, is complementary to the tax change event concerned;</w:t>
      </w:r>
    </w:p>
    <w:p w:rsidR="006C6368" w:rsidRPr="006C6368" w:rsidRDefault="006C6368" w:rsidP="006C6368">
      <w:pPr>
        <w:pStyle w:val="AERquote"/>
      </w:pPr>
      <w:r w:rsidRPr="006C6368">
        <w:t>(7)</w:t>
      </w:r>
      <w:r w:rsidRPr="006C6368">
        <w:tab/>
        <w:t>whether the costs of the pass through event have already been factored into the calculation of the Distribution Network Service Provider's annual revenue requirement for the regulatory control period in which the pass through event occurred or will be factored into the calculation of the Distribution Network Service Provider's annual revenue requirement for a subsequent regulatory control period;</w:t>
      </w:r>
    </w:p>
    <w:p w:rsidR="006C6368" w:rsidRPr="006C6368" w:rsidRDefault="006C6368" w:rsidP="006C6368">
      <w:pPr>
        <w:pStyle w:val="AERquote"/>
      </w:pPr>
      <w:r w:rsidRPr="006C6368">
        <w:t>(7A)</w:t>
      </w:r>
      <w:r w:rsidRPr="006C6368">
        <w:tab/>
        <w:t>the extent to which the costs that the Distribution Network Service Provider has incurred and is likely to incur are the subject of a previous determination made by the AER under this clause 6.6.1; and</w:t>
      </w:r>
    </w:p>
    <w:p w:rsidR="006C6368" w:rsidRPr="006C6368" w:rsidRDefault="006C6368" w:rsidP="006C6368">
      <w:pPr>
        <w:pStyle w:val="AERquote"/>
      </w:pPr>
      <w:r w:rsidRPr="006C6368">
        <w:t>(8)</w:t>
      </w:r>
      <w:r w:rsidRPr="006C6368">
        <w:tab/>
        <w:t>any other factors that the AER considers relevant.</w:t>
      </w:r>
    </w:p>
    <w:p w:rsidR="006C6368" w:rsidRPr="006C6368" w:rsidRDefault="006C6368" w:rsidP="006C6368">
      <w:pPr>
        <w:pStyle w:val="AERquote"/>
      </w:pPr>
      <w:r w:rsidRPr="006C6368">
        <w:t>Extension of time limits</w:t>
      </w:r>
    </w:p>
    <w:p w:rsidR="006C6368" w:rsidRPr="006C6368" w:rsidRDefault="006C6368" w:rsidP="006C6368">
      <w:pPr>
        <w:pStyle w:val="AERquote"/>
      </w:pPr>
      <w:r w:rsidRPr="006C6368">
        <w:t>(k)</w:t>
      </w:r>
      <w:r w:rsidRPr="006C6368">
        <w:tab/>
        <w:t>The AER must, by written notice to a Distribution Network Service Provider, extend a time limit fixed in paragraph (c) or (f) if the AER is satisfied that the difficulty of assessing or quantifying the effect of the relevant pass through event justifies the extension.</w:t>
      </w:r>
    </w:p>
    <w:p w:rsidR="006C6368" w:rsidRPr="006C6368" w:rsidRDefault="006C6368" w:rsidP="006C6368">
      <w:pPr>
        <w:pStyle w:val="AERquote"/>
      </w:pPr>
      <w:r w:rsidRPr="006C6368">
        <w:lastRenderedPageBreak/>
        <w:t>(k1)</w:t>
      </w:r>
      <w:r w:rsidRPr="006C6368">
        <w:tab/>
        <w:t>If the AER is satisfied that the making of a determination under paragraph (d) or (g) involves issues of such complexity or difficulty that the time limit fixed in paragraph (e) or (g1) should be extended, the AER may extend that time limit by a further period of up to 60 business days, provided that it gives written notice to the Distribution Network Service Provider of that extension not later than 10 business days before the expiry of that time limit.</w:t>
      </w:r>
    </w:p>
    <w:p w:rsidR="006C6368" w:rsidRPr="006C6368" w:rsidRDefault="006C6368" w:rsidP="006C6368">
      <w:pPr>
        <w:pStyle w:val="AERquote"/>
      </w:pPr>
      <w:r w:rsidRPr="006C6368">
        <w:t>(k2)</w:t>
      </w:r>
      <w:r w:rsidRPr="006C6368">
        <w:tab/>
        <w:t>If the AER extends a time limit under paragraph (k1), it must make available on its website a notice of that extension as soon as is reasonably practicable.</w:t>
      </w:r>
    </w:p>
    <w:p w:rsidR="006C6368" w:rsidRPr="006C6368" w:rsidRDefault="006C6368" w:rsidP="006C6368">
      <w:pPr>
        <w:pStyle w:val="AERquote"/>
      </w:pPr>
      <w:r w:rsidRPr="006C6368">
        <w:t>(k3)</w:t>
      </w:r>
      <w:r w:rsidRPr="006C6368">
        <w:tab/>
        <w:t>Subject to paragraph (k6), if the AER gives a written notice to the Distribution Network Service Provider stating that it requires information from an Authority in order to make a determination under paragraph (d) or (g) then, for the purpose of calculating elapsed time, the period between when the AER gives that notice to the Distribution Network Service Provider and when the AER receives that information from that Authority is to be disregarded.</w:t>
      </w:r>
    </w:p>
    <w:p w:rsidR="006C6368" w:rsidRPr="006C6368" w:rsidRDefault="006C6368" w:rsidP="006C6368">
      <w:pPr>
        <w:pStyle w:val="AERquote"/>
      </w:pPr>
      <w:r w:rsidRPr="006C6368">
        <w:t>(k4)</w:t>
      </w:r>
      <w:r w:rsidRPr="006C6368">
        <w:tab/>
        <w:t>Subject to paragraph (k6), if the AER gives a written notice to the Distribution Network Service Provider stating that, in order to make a determination under paragraph (d) or (g), it requires information that it anticipates will be made publicly available by a judicial body or royal commission then, for the purpose of calculating elapsed time, the period between when the AER gives that notice to the Distribution Network Service Provider and when that information is made publicly available is to be disregarded.</w:t>
      </w:r>
    </w:p>
    <w:p w:rsidR="006C6368" w:rsidRPr="006C6368" w:rsidRDefault="006C6368" w:rsidP="006C6368">
      <w:pPr>
        <w:pStyle w:val="AERquote"/>
      </w:pPr>
      <w:r w:rsidRPr="006C6368">
        <w:t>(k5)</w:t>
      </w:r>
      <w:r w:rsidRPr="006C6368">
        <w:tab/>
        <w:t>Where the AER gives a notice to the Distribution Network Service Provider under paragraph (k3) or (k4), it must:</w:t>
      </w:r>
    </w:p>
    <w:p w:rsidR="006C6368" w:rsidRPr="006C6368" w:rsidRDefault="006C6368" w:rsidP="006C6368">
      <w:pPr>
        <w:pStyle w:val="AERquote"/>
      </w:pPr>
      <w:r w:rsidRPr="006C6368">
        <w:t>(1)</w:t>
      </w:r>
      <w:r w:rsidRPr="006C6368">
        <w:tab/>
        <w:t xml:space="preserve">as soon as is reasonably practicable make available on its website a notice stating when the period referred to in paragraph (k3) or (k4), as the case may be, has commenced; </w:t>
      </w:r>
    </w:p>
    <w:p w:rsidR="006C6368" w:rsidRPr="006C6368" w:rsidRDefault="006C6368" w:rsidP="006C6368">
      <w:pPr>
        <w:pStyle w:val="AERquote"/>
      </w:pPr>
      <w:r w:rsidRPr="006C6368">
        <w:t>(2)</w:t>
      </w:r>
      <w:r w:rsidRPr="006C6368">
        <w:tab/>
        <w:t xml:space="preserve">as soon as is reasonably practicable make available on its website a notice stating when the period referred to in paragraph (k3) or (k4), as the case may be, has ended; and </w:t>
      </w:r>
    </w:p>
    <w:p w:rsidR="006C6368" w:rsidRPr="006C6368" w:rsidRDefault="006C6368" w:rsidP="006C6368">
      <w:pPr>
        <w:pStyle w:val="AERquote"/>
      </w:pPr>
      <w:r w:rsidRPr="006C6368">
        <w:t>(3)</w:t>
      </w:r>
      <w:r w:rsidRPr="006C6368">
        <w:tab/>
        <w:t>if the information specified in that notice is required from an Authority, promptly request that information from the relevant Authority.</w:t>
      </w:r>
    </w:p>
    <w:p w:rsidR="006C6368" w:rsidRPr="006C6368" w:rsidRDefault="006C6368" w:rsidP="006C6368">
      <w:pPr>
        <w:pStyle w:val="AERquote"/>
      </w:pPr>
      <w:r w:rsidRPr="006C6368">
        <w:t>(k6)</w:t>
      </w:r>
      <w:r w:rsidRPr="006C6368">
        <w:tab/>
        <w:t>Paragraphs (k3) and (k4) do not apply if the AER gives the notice specified in those paragraphs to the Distribution Network Service Provider later than 10 business days before the expiry of the time limit fixed in paragraphs (e) or (g1).</w:t>
      </w:r>
    </w:p>
    <w:p w:rsidR="00FB6AC0" w:rsidRPr="00FB6AC0" w:rsidRDefault="00FB6AC0" w:rsidP="00FB6AC0"/>
    <w:sectPr w:rsidR="00FB6AC0" w:rsidRPr="00FB6AC0" w:rsidSect="0078175D">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7D1" w:rsidRPr="00290C63" w:rsidRDefault="006647D1" w:rsidP="00290C63">
      <w:r>
        <w:separator/>
      </w:r>
    </w:p>
    <w:p w:rsidR="006647D1" w:rsidRDefault="006647D1"/>
  </w:endnote>
  <w:endnote w:type="continuationSeparator" w:id="0">
    <w:p w:rsidR="006647D1" w:rsidRPr="00290C63" w:rsidRDefault="006647D1" w:rsidP="00290C63">
      <w:r>
        <w:continuationSeparator/>
      </w:r>
    </w:p>
    <w:p w:rsidR="006647D1" w:rsidRDefault="00664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05" w:rsidRDefault="00D47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9856033"/>
      <w:docPartObj>
        <w:docPartGallery w:val="Page Numbers (Bottom of Page)"/>
        <w:docPartUnique/>
      </w:docPartObj>
    </w:sdtPr>
    <w:sdtEndPr/>
    <w:sdtContent>
      <w:p w:rsidR="006647D1" w:rsidRPr="005852CB" w:rsidRDefault="006647D1">
        <w:pPr>
          <w:pStyle w:val="Footer"/>
        </w:pPr>
        <w:r w:rsidRPr="005852CB">
          <w:fldChar w:fldCharType="begin"/>
        </w:r>
        <w:r w:rsidRPr="005852CB">
          <w:instrText xml:space="preserve"> PAGE   \* MERGEFORMAT </w:instrText>
        </w:r>
        <w:r w:rsidRPr="005852CB">
          <w:fldChar w:fldCharType="separate"/>
        </w:r>
        <w:r w:rsidR="00D47B05">
          <w:rPr>
            <w:noProof/>
          </w:rPr>
          <w:t>20</w:t>
        </w:r>
        <w:r w:rsidRPr="005852CB">
          <w:fldChar w:fldCharType="end"/>
        </w:r>
      </w:p>
    </w:sdtContent>
  </w:sdt>
  <w:p w:rsidR="006647D1" w:rsidRDefault="006647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934326"/>
      <w:docPartObj>
        <w:docPartGallery w:val="Page Numbers (Bottom of Page)"/>
        <w:docPartUnique/>
      </w:docPartObj>
    </w:sdtPr>
    <w:sdtEndPr>
      <w:rPr>
        <w:noProof/>
      </w:rPr>
    </w:sdtEndPr>
    <w:sdtContent>
      <w:p w:rsidR="006647D1" w:rsidRDefault="006647D1">
        <w:pPr>
          <w:pStyle w:val="Footer"/>
        </w:pPr>
        <w:r>
          <w:fldChar w:fldCharType="begin"/>
        </w:r>
        <w:r>
          <w:instrText xml:space="preserve"> PAGE   \* MERGEFORMAT </w:instrText>
        </w:r>
        <w:r>
          <w:fldChar w:fldCharType="separate"/>
        </w:r>
        <w:r>
          <w:rPr>
            <w:noProof/>
          </w:rPr>
          <w:t>1</w:t>
        </w:r>
        <w:r>
          <w:rPr>
            <w:noProof/>
          </w:rPr>
          <w:fldChar w:fldCharType="end"/>
        </w:r>
      </w:p>
    </w:sdtContent>
  </w:sdt>
  <w:p w:rsidR="006647D1" w:rsidRDefault="00664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7D1" w:rsidRPr="00290C63" w:rsidRDefault="006647D1" w:rsidP="00290C63">
      <w:r>
        <w:separator/>
      </w:r>
    </w:p>
    <w:p w:rsidR="006647D1" w:rsidRDefault="006647D1"/>
  </w:footnote>
  <w:footnote w:type="continuationSeparator" w:id="0">
    <w:p w:rsidR="006647D1" w:rsidRPr="00290C63" w:rsidRDefault="006647D1" w:rsidP="00290C63">
      <w:r>
        <w:continuationSeparator/>
      </w:r>
    </w:p>
    <w:p w:rsidR="006647D1" w:rsidRDefault="006647D1"/>
  </w:footnote>
  <w:footnote w:id="1">
    <w:p w:rsidR="006647D1" w:rsidRDefault="006647D1" w:rsidP="00746B96">
      <w:pPr>
        <w:pStyle w:val="FootnoteText"/>
      </w:pPr>
      <w:r>
        <w:rPr>
          <w:rStyle w:val="FootnoteReference"/>
        </w:rPr>
        <w:footnoteRef/>
      </w:r>
      <w:r>
        <w:t xml:space="preserve"> </w:t>
      </w:r>
      <w:r>
        <w:tab/>
      </w:r>
      <w:r w:rsidRPr="00FA3B40">
        <w:t>AER, Final Decision</w:t>
      </w:r>
      <w:r>
        <w:t xml:space="preserve"> -</w:t>
      </w:r>
      <w:r w:rsidRPr="00B64252">
        <w:t xml:space="preserve"> Ausgrid distribution determination - Ausgrid 2015 - PTRM - Distribution</w:t>
      </w:r>
      <w:r>
        <w:t xml:space="preserve">, </w:t>
      </w:r>
      <w:r w:rsidRPr="00FA3B40">
        <w:t>April 2015</w:t>
      </w:r>
      <w:r>
        <w:t>.</w:t>
      </w:r>
    </w:p>
  </w:footnote>
  <w:footnote w:id="2">
    <w:p w:rsidR="006647D1" w:rsidRDefault="006647D1" w:rsidP="00F341EF">
      <w:pPr>
        <w:pStyle w:val="FootnoteText"/>
      </w:pPr>
      <w:r>
        <w:rPr>
          <w:rStyle w:val="FootnoteReference"/>
        </w:rPr>
        <w:footnoteRef/>
      </w:r>
      <w:r>
        <w:t xml:space="preserve"> </w:t>
      </w:r>
      <w:r>
        <w:tab/>
        <w:t xml:space="preserve">Ausgrid, Cost pass through application - April 2015 storms, August 2015, p. 1. </w:t>
      </w:r>
    </w:p>
  </w:footnote>
  <w:footnote w:id="3">
    <w:p w:rsidR="006647D1" w:rsidRDefault="006647D1" w:rsidP="00481775">
      <w:pPr>
        <w:pStyle w:val="FootnoteText"/>
      </w:pPr>
      <w:r>
        <w:rPr>
          <w:rStyle w:val="FootnoteReference"/>
        </w:rPr>
        <w:footnoteRef/>
      </w:r>
      <w:r>
        <w:t xml:space="preserve"> </w:t>
      </w:r>
      <w:r>
        <w:tab/>
        <w:t xml:space="preserve">Ausgrid, Cost pass through application - April 2015 storms, August 2015, p. 1. </w:t>
      </w:r>
    </w:p>
  </w:footnote>
  <w:footnote w:id="4">
    <w:p w:rsidR="006647D1" w:rsidRDefault="006647D1" w:rsidP="00830213">
      <w:pPr>
        <w:pStyle w:val="FootnoteText"/>
      </w:pPr>
      <w:r>
        <w:rPr>
          <w:rStyle w:val="FootnoteReference"/>
        </w:rPr>
        <w:footnoteRef/>
      </w:r>
      <w:r>
        <w:t xml:space="preserve"> </w:t>
      </w:r>
      <w:r>
        <w:tab/>
        <w:t xml:space="preserve">Ausgrid, Cost pass through application - April 2015 storms, August 2015, p. 1. </w:t>
      </w:r>
    </w:p>
  </w:footnote>
  <w:footnote w:id="5">
    <w:p w:rsidR="006647D1" w:rsidRDefault="006647D1" w:rsidP="00830213">
      <w:pPr>
        <w:pStyle w:val="FootnoteText"/>
      </w:pPr>
      <w:r>
        <w:rPr>
          <w:rStyle w:val="FootnoteReference"/>
        </w:rPr>
        <w:footnoteRef/>
      </w:r>
      <w:r>
        <w:t xml:space="preserve"> </w:t>
      </w:r>
      <w:r>
        <w:tab/>
        <w:t xml:space="preserve">Ausgrid, Cost pass through application - April 2015 storms, August 2015, p. 1. </w:t>
      </w:r>
    </w:p>
  </w:footnote>
  <w:footnote w:id="6">
    <w:p w:rsidR="006647D1" w:rsidRDefault="006647D1" w:rsidP="0052176A">
      <w:pPr>
        <w:pStyle w:val="FootnoteText"/>
      </w:pPr>
      <w:r>
        <w:rPr>
          <w:rStyle w:val="FootnoteReference"/>
        </w:rPr>
        <w:footnoteRef/>
      </w:r>
      <w:r>
        <w:t xml:space="preserve"> </w:t>
      </w:r>
      <w:r>
        <w:tab/>
        <w:t xml:space="preserve">Ausgrid, Cost pass through application - April 2015 storms, August 2015, p. 3.  The AER </w:t>
      </w:r>
      <w:r w:rsidRPr="00C208CC">
        <w:t>identified some errors i</w:t>
      </w:r>
      <w:r>
        <w:t xml:space="preserve">n Ausgrid's financial modelling. After remodelling, the pass through amount claimed as a result of the event </w:t>
      </w:r>
      <w:r w:rsidRPr="0052176A">
        <w:t xml:space="preserve">is </w:t>
      </w:r>
      <w:r w:rsidRPr="005B7AAF">
        <w:rPr>
          <w:rStyle w:val="AERtexthighlight"/>
          <w:shd w:val="clear" w:color="auto" w:fill="auto"/>
        </w:rPr>
        <w:t>$43.2</w:t>
      </w:r>
      <w:r>
        <w:t xml:space="preserve"> </w:t>
      </w:r>
      <w:r w:rsidRPr="005A6FDF">
        <w:t>m</w:t>
      </w:r>
      <w:r>
        <w:t>illion</w:t>
      </w:r>
      <w:r w:rsidRPr="005A6FDF">
        <w:t xml:space="preserve"> ($</w:t>
      </w:r>
      <w:r>
        <w:t>' nominal</w:t>
      </w:r>
      <w:r w:rsidRPr="005A6FDF">
        <w:t>)</w:t>
      </w:r>
      <w:r w:rsidRPr="00C208CC">
        <w:t>.</w:t>
      </w:r>
    </w:p>
  </w:footnote>
  <w:footnote w:id="7">
    <w:p w:rsidR="006647D1" w:rsidRDefault="006647D1" w:rsidP="00830213">
      <w:pPr>
        <w:pStyle w:val="FootnoteText"/>
      </w:pPr>
      <w:r>
        <w:rPr>
          <w:rStyle w:val="FootnoteReference"/>
        </w:rPr>
        <w:footnoteRef/>
      </w:r>
      <w:r>
        <w:t xml:space="preserve"> </w:t>
      </w:r>
      <w:r>
        <w:tab/>
        <w:t>Ausgrid, Cost pass through application - April 2015 storms, August 2015, p. 1. This amount means the building block revenue components resulting from the application of the capex and opex in the PTRM.</w:t>
      </w:r>
    </w:p>
  </w:footnote>
  <w:footnote w:id="8">
    <w:p w:rsidR="006647D1" w:rsidRPr="00787CCD" w:rsidRDefault="006647D1" w:rsidP="002401BF">
      <w:pPr>
        <w:pStyle w:val="FootnoteText"/>
      </w:pPr>
      <w:r w:rsidRPr="00787CCD">
        <w:rPr>
          <w:rStyle w:val="FootnoteReference"/>
          <w:rFonts w:cs="Gautami"/>
          <w:szCs w:val="16"/>
        </w:rPr>
        <w:footnoteRef/>
      </w:r>
      <w:r w:rsidRPr="00787CCD">
        <w:t xml:space="preserve"> </w:t>
      </w:r>
      <w:r w:rsidRPr="00787CCD">
        <w:tab/>
        <w:t>NER, clause 6.6.1(d).</w:t>
      </w:r>
    </w:p>
  </w:footnote>
  <w:footnote w:id="9">
    <w:p w:rsidR="006647D1" w:rsidRDefault="006647D1">
      <w:pPr>
        <w:pStyle w:val="FootnoteText"/>
      </w:pPr>
      <w:r>
        <w:rPr>
          <w:rStyle w:val="FootnoteReference"/>
        </w:rPr>
        <w:footnoteRef/>
      </w:r>
      <w:r>
        <w:t xml:space="preserve"> </w:t>
      </w:r>
      <w:r>
        <w:tab/>
        <w:t>NER, clause 6.6.1(j)(2).</w:t>
      </w:r>
    </w:p>
  </w:footnote>
  <w:footnote w:id="10">
    <w:p w:rsidR="006647D1" w:rsidRDefault="006647D1" w:rsidP="005B7AAF">
      <w:pPr>
        <w:pStyle w:val="FootnoteText"/>
      </w:pPr>
      <w:r>
        <w:rPr>
          <w:rStyle w:val="FootnoteReference"/>
        </w:rPr>
        <w:footnoteRef/>
      </w:r>
      <w:r>
        <w:t xml:space="preserve"> </w:t>
      </w:r>
      <w:r>
        <w:tab/>
        <w:t>The term 'general nominated pass through event' is defined at pp.295-296 of the '</w:t>
      </w:r>
      <w:r w:rsidRPr="00A0321B">
        <w:t>New South Wales</w:t>
      </w:r>
      <w:r>
        <w:t xml:space="preserve"> D</w:t>
      </w:r>
      <w:r w:rsidRPr="00A0321B">
        <w:t xml:space="preserve">istribution </w:t>
      </w:r>
      <w:r>
        <w:t>D</w:t>
      </w:r>
      <w:r w:rsidRPr="00A0321B">
        <w:t>etermination</w:t>
      </w:r>
      <w:r>
        <w:t xml:space="preserve"> </w:t>
      </w:r>
      <w:r w:rsidRPr="00A0321B">
        <w:t>2009–10 to 2013–14</w:t>
      </w:r>
      <w:r>
        <w:t>'. This pass through event continued to apply as a transitional meas</w:t>
      </w:r>
      <w:r w:rsidR="00661964">
        <w:t>ure in the regulatory year 2014–</w:t>
      </w:r>
      <w:r>
        <w:t>15 because of clause 11.56.3(a)(8) of the NER and item 1.7 of the '</w:t>
      </w:r>
      <w:r w:rsidRPr="005B7AAF">
        <w:t>Ausgrid</w:t>
      </w:r>
      <w:r>
        <w:t xml:space="preserve"> </w:t>
      </w:r>
      <w:r w:rsidRPr="005B7AAF">
        <w:t>Placeholder determination for the transitional regulatory control period 2014–15</w:t>
      </w:r>
      <w:r>
        <w:t>'.</w:t>
      </w:r>
    </w:p>
  </w:footnote>
  <w:footnote w:id="11">
    <w:p w:rsidR="006647D1" w:rsidRDefault="006647D1" w:rsidP="00D1137E">
      <w:pPr>
        <w:pStyle w:val="FootnoteText"/>
      </w:pPr>
      <w:r>
        <w:rPr>
          <w:rStyle w:val="FootnoteReference"/>
        </w:rPr>
        <w:footnoteRef/>
      </w:r>
      <w:r>
        <w:t xml:space="preserve"> </w:t>
      </w:r>
      <w:r>
        <w:tab/>
        <w:t xml:space="preserve">Ausgrid, Cost pass through application - April 2015 storms, August 2015, pp. 7–10. </w:t>
      </w:r>
    </w:p>
  </w:footnote>
  <w:footnote w:id="12">
    <w:p w:rsidR="006647D1" w:rsidRDefault="006647D1" w:rsidP="00D1137E">
      <w:pPr>
        <w:pStyle w:val="FootnoteText"/>
      </w:pPr>
      <w:r>
        <w:rPr>
          <w:rStyle w:val="FootnoteReference"/>
        </w:rPr>
        <w:footnoteRef/>
      </w:r>
      <w:r>
        <w:t xml:space="preserve"> </w:t>
      </w:r>
      <w:r>
        <w:tab/>
        <w:t xml:space="preserve">Ausgrid, Cost pass through application - April 2015 storms, Appendix A, August 2015. </w:t>
      </w:r>
    </w:p>
  </w:footnote>
  <w:footnote w:id="13">
    <w:p w:rsidR="006647D1" w:rsidRDefault="006647D1">
      <w:pPr>
        <w:pStyle w:val="FootnoteText"/>
      </w:pPr>
      <w:r>
        <w:rPr>
          <w:rStyle w:val="FootnoteReference"/>
        </w:rPr>
        <w:footnoteRef/>
      </w:r>
      <w:r>
        <w:t xml:space="preserve"> </w:t>
      </w:r>
      <w:r>
        <w:tab/>
        <w:t xml:space="preserve">Emergency NSW, </w:t>
      </w:r>
      <w:r w:rsidRPr="00DC74A1">
        <w:t>Natural Disaster Declarations 2014-2015</w:t>
      </w:r>
      <w:r>
        <w:t xml:space="preserve">, </w:t>
      </w:r>
      <w:r w:rsidRPr="00DC74A1">
        <w:t>https://www.emergency.nsw.gov.au/publications/natural-disaster-declarations/2014-2015.html</w:t>
      </w:r>
      <w:r>
        <w:t>.</w:t>
      </w:r>
    </w:p>
  </w:footnote>
  <w:footnote w:id="14">
    <w:p w:rsidR="006647D1" w:rsidRDefault="006647D1">
      <w:pPr>
        <w:pStyle w:val="FootnoteText"/>
      </w:pPr>
      <w:r>
        <w:rPr>
          <w:rStyle w:val="FootnoteReference"/>
        </w:rPr>
        <w:footnoteRef/>
      </w:r>
      <w:r>
        <w:t xml:space="preserve"> </w:t>
      </w:r>
      <w:r>
        <w:tab/>
      </w:r>
      <w:r w:rsidRPr="00697B30">
        <w:t xml:space="preserve">In the context of the general nominated pass through event that applies in Ausgrid's distribution determination, the AER considers an event to be 'unforeseeable' if, at the time the </w:t>
      </w:r>
      <w:r w:rsidR="00661964">
        <w:t>distributor</w:t>
      </w:r>
      <w:r w:rsidRPr="00697B30">
        <w:t xml:space="preserve"> lodged its regulatory proposal, despite the occurrence of the event being a possibility there was no reason to consider that the event was more likely to occur than not to occur during the regulatory control period.</w:t>
      </w:r>
    </w:p>
  </w:footnote>
  <w:footnote w:id="15">
    <w:p w:rsidR="006647D1" w:rsidRDefault="006647D1">
      <w:pPr>
        <w:pStyle w:val="FootnoteText"/>
      </w:pPr>
      <w:r>
        <w:rPr>
          <w:rStyle w:val="FootnoteReference"/>
        </w:rPr>
        <w:footnoteRef/>
      </w:r>
      <w:r>
        <w:t xml:space="preserve"> </w:t>
      </w:r>
      <w:r>
        <w:tab/>
        <w:t>This is a factor we must take into account when assessing the application under NER, cl 6.6.1(j)(3).</w:t>
      </w:r>
    </w:p>
  </w:footnote>
  <w:footnote w:id="16">
    <w:p w:rsidR="006647D1" w:rsidRDefault="006647D1">
      <w:pPr>
        <w:pStyle w:val="FootnoteText"/>
      </w:pPr>
      <w:r>
        <w:rPr>
          <w:rStyle w:val="FootnoteReference"/>
        </w:rPr>
        <w:footnoteRef/>
      </w:r>
      <w:r>
        <w:t xml:space="preserve"> </w:t>
      </w:r>
      <w:r>
        <w:tab/>
        <w:t>This is a requirement in the definition of 'general nominated pass through event' (see pp.295-6 of the '</w:t>
      </w:r>
      <w:r w:rsidRPr="00A0321B">
        <w:t>New South Wales</w:t>
      </w:r>
      <w:r>
        <w:t xml:space="preserve"> D</w:t>
      </w:r>
      <w:r w:rsidRPr="00A0321B">
        <w:t xml:space="preserve">istribution </w:t>
      </w:r>
      <w:r>
        <w:t>D</w:t>
      </w:r>
      <w:r w:rsidRPr="00A0321B">
        <w:t>etermination</w:t>
      </w:r>
      <w:r>
        <w:t xml:space="preserve"> </w:t>
      </w:r>
      <w:r w:rsidRPr="00A0321B">
        <w:t>2009–10 to 2013–14</w:t>
      </w:r>
      <w:r>
        <w:t>' which continues to ap</w:t>
      </w:r>
      <w:r w:rsidR="00661964">
        <w:t>ply in the regulatory year 2014–</w:t>
      </w:r>
      <w:r>
        <w:t>15 because of clause 11.56.3(a)(8) of the NER and item 1.7 of the '</w:t>
      </w:r>
      <w:r w:rsidRPr="005B7AAF">
        <w:t>Ausgrid</w:t>
      </w:r>
      <w:r>
        <w:t xml:space="preserve"> </w:t>
      </w:r>
      <w:r w:rsidRPr="005B7AAF">
        <w:t>Placeholder determination for the transitional regulatory control period 2014–15</w:t>
      </w:r>
      <w:r>
        <w:t>').</w:t>
      </w:r>
    </w:p>
  </w:footnote>
  <w:footnote w:id="17">
    <w:p w:rsidR="006647D1" w:rsidRDefault="006647D1" w:rsidP="00057F6E">
      <w:pPr>
        <w:pStyle w:val="FootnoteText"/>
      </w:pPr>
      <w:r>
        <w:rPr>
          <w:rStyle w:val="FootnoteReference"/>
        </w:rPr>
        <w:footnoteRef/>
      </w:r>
      <w:r>
        <w:t xml:space="preserve"> </w:t>
      </w:r>
      <w:r>
        <w:tab/>
        <w:t xml:space="preserve">Ausgrid, Cost pass through application - April 2015 storms, August 2015, pp. 9–10. </w:t>
      </w:r>
    </w:p>
  </w:footnote>
  <w:footnote w:id="18">
    <w:p w:rsidR="006647D1" w:rsidRDefault="006647D1" w:rsidP="00697B30">
      <w:pPr>
        <w:pStyle w:val="FootnoteText"/>
      </w:pPr>
      <w:r>
        <w:rPr>
          <w:rStyle w:val="FootnoteReference"/>
        </w:rPr>
        <w:footnoteRef/>
      </w:r>
      <w:r>
        <w:t xml:space="preserve"> </w:t>
      </w:r>
      <w:r>
        <w:tab/>
        <w:t xml:space="preserve">Ausgrid, Cost pass through application - April 2015 storms, August 2015, pp. 9–11. </w:t>
      </w:r>
    </w:p>
  </w:footnote>
  <w:footnote w:id="19">
    <w:p w:rsidR="006647D1" w:rsidRDefault="006647D1" w:rsidP="0043087D">
      <w:pPr>
        <w:pStyle w:val="FootnoteText"/>
      </w:pPr>
      <w:r>
        <w:rPr>
          <w:rStyle w:val="FootnoteReference"/>
        </w:rPr>
        <w:footnoteRef/>
      </w:r>
      <w:r>
        <w:t xml:space="preserve"> </w:t>
      </w:r>
      <w:r>
        <w:tab/>
        <w:t xml:space="preserve">Ausgrid, Cost pass through application - April 2015 storms, August 2015, pp. 10–11. </w:t>
      </w:r>
    </w:p>
  </w:footnote>
  <w:footnote w:id="20">
    <w:p w:rsidR="006647D1" w:rsidRDefault="006647D1" w:rsidP="00A0321B">
      <w:pPr>
        <w:pStyle w:val="FootnoteText"/>
      </w:pPr>
      <w:r>
        <w:rPr>
          <w:rStyle w:val="FootnoteReference"/>
        </w:rPr>
        <w:footnoteRef/>
      </w:r>
      <w:r>
        <w:t xml:space="preserve"> </w:t>
      </w:r>
      <w:r>
        <w:tab/>
        <w:t>NER, clause 6.6.1(j)(3).</w:t>
      </w:r>
    </w:p>
  </w:footnote>
  <w:footnote w:id="21">
    <w:p w:rsidR="006647D1" w:rsidRDefault="006647D1">
      <w:pPr>
        <w:pStyle w:val="FootnoteText"/>
      </w:pPr>
      <w:r>
        <w:rPr>
          <w:rStyle w:val="FootnoteReference"/>
        </w:rPr>
        <w:footnoteRef/>
      </w:r>
      <w:r>
        <w:t xml:space="preserve"> </w:t>
      </w:r>
      <w:r>
        <w:tab/>
        <w:t>NER chapter 10, definitions of 'positive change event' and 'materially'.</w:t>
      </w:r>
    </w:p>
  </w:footnote>
  <w:footnote w:id="22">
    <w:p w:rsidR="006647D1" w:rsidRDefault="006647D1" w:rsidP="00063482">
      <w:pPr>
        <w:pStyle w:val="FootnoteText"/>
      </w:pPr>
      <w:r>
        <w:rPr>
          <w:rStyle w:val="FootnoteReference"/>
        </w:rPr>
        <w:footnoteRef/>
      </w:r>
      <w:r>
        <w:t xml:space="preserve"> </w:t>
      </w:r>
      <w:r>
        <w:tab/>
        <w:t xml:space="preserve">AER, </w:t>
      </w:r>
      <w:r w:rsidRPr="00AA3F85">
        <w:t>AER statement on updates for NSW DNSPs distribution determination</w:t>
      </w:r>
      <w:r>
        <w:t>, 25 November 2009, p.14.</w:t>
      </w:r>
    </w:p>
  </w:footnote>
  <w:footnote w:id="23">
    <w:p w:rsidR="006647D1" w:rsidRDefault="006647D1" w:rsidP="00AD36D0">
      <w:pPr>
        <w:pStyle w:val="FootnoteText"/>
      </w:pPr>
      <w:r>
        <w:rPr>
          <w:rStyle w:val="FootnoteReference"/>
        </w:rPr>
        <w:footnoteRef/>
      </w:r>
      <w:r>
        <w:t xml:space="preserve"> </w:t>
      </w:r>
      <w:r>
        <w:tab/>
        <w:t>NER, chapter 10 definition of 'positive pass through event' and definition of 'materially'.</w:t>
      </w:r>
    </w:p>
  </w:footnote>
  <w:footnote w:id="24">
    <w:p w:rsidR="006647D1" w:rsidRDefault="006647D1" w:rsidP="0017055F">
      <w:pPr>
        <w:pStyle w:val="FootnoteText"/>
      </w:pPr>
      <w:r>
        <w:rPr>
          <w:rStyle w:val="FootnoteReference"/>
        </w:rPr>
        <w:footnoteRef/>
      </w:r>
      <w:r>
        <w:t xml:space="preserve"> </w:t>
      </w:r>
      <w:r>
        <w:tab/>
        <w:t xml:space="preserve">Ausgrid, Cost pass through application - April 2015 storms, August 2015, p. 17. </w:t>
      </w:r>
    </w:p>
  </w:footnote>
  <w:footnote w:id="25">
    <w:p w:rsidR="006647D1" w:rsidRDefault="006647D1" w:rsidP="0017055F">
      <w:pPr>
        <w:pStyle w:val="FootnoteText"/>
      </w:pPr>
      <w:r>
        <w:rPr>
          <w:rStyle w:val="FootnoteReference"/>
        </w:rPr>
        <w:footnoteRef/>
      </w:r>
      <w:r>
        <w:t xml:space="preserve"> </w:t>
      </w:r>
      <w:r>
        <w:tab/>
        <w:t xml:space="preserve">Ausgrid, Cost pass through application - April 2015 storms, August 2015, p. 11. </w:t>
      </w:r>
    </w:p>
  </w:footnote>
  <w:footnote w:id="26">
    <w:p w:rsidR="006647D1" w:rsidRDefault="006647D1" w:rsidP="00013E27">
      <w:pPr>
        <w:pStyle w:val="FootnoteText"/>
      </w:pPr>
      <w:r>
        <w:rPr>
          <w:rStyle w:val="FootnoteReference"/>
        </w:rPr>
        <w:footnoteRef/>
      </w:r>
      <w:r>
        <w:t xml:space="preserve"> </w:t>
      </w:r>
      <w:r>
        <w:tab/>
        <w:t xml:space="preserve">Ausgrid, response to the AER's information request of 27 October 2015, 6 November </w:t>
      </w:r>
      <w:r w:rsidRPr="00A25529">
        <w:t>2015</w:t>
      </w:r>
      <w:r>
        <w:t xml:space="preserve">, pp.14–15.   </w:t>
      </w:r>
    </w:p>
  </w:footnote>
  <w:footnote w:id="27">
    <w:p w:rsidR="006647D1" w:rsidRDefault="006647D1" w:rsidP="00424FB4">
      <w:pPr>
        <w:pStyle w:val="FootnoteText"/>
      </w:pPr>
      <w:r>
        <w:rPr>
          <w:rStyle w:val="FootnoteReference"/>
        </w:rPr>
        <w:footnoteRef/>
      </w:r>
      <w:r>
        <w:t xml:space="preserve"> </w:t>
      </w:r>
      <w:r>
        <w:tab/>
        <w:t xml:space="preserve">NER, Clause </w:t>
      </w:r>
      <w:r w:rsidRPr="00424FB4">
        <w:t>S6.2.1(e)(1)(ii)</w:t>
      </w:r>
      <w:r>
        <w:t>.</w:t>
      </w:r>
    </w:p>
  </w:footnote>
  <w:footnote w:id="28">
    <w:p w:rsidR="006647D1" w:rsidRDefault="006647D1" w:rsidP="00EB5B41">
      <w:pPr>
        <w:pStyle w:val="FootnoteText"/>
      </w:pPr>
      <w:r>
        <w:rPr>
          <w:rStyle w:val="FootnoteReference"/>
        </w:rPr>
        <w:footnoteRef/>
      </w:r>
      <w:r>
        <w:t xml:space="preserve"> </w:t>
      </w:r>
      <w:r>
        <w:tab/>
        <w:t xml:space="preserve">Ausgrid, Cost pass through application - April 2015 storms, August 2015, pp. 17–19. </w:t>
      </w:r>
    </w:p>
  </w:footnote>
  <w:footnote w:id="29">
    <w:p w:rsidR="006647D1" w:rsidRDefault="006647D1" w:rsidP="0004281D">
      <w:pPr>
        <w:pStyle w:val="FootnoteText"/>
      </w:pPr>
      <w:r>
        <w:rPr>
          <w:rStyle w:val="FootnoteReference"/>
        </w:rPr>
        <w:footnoteRef/>
      </w:r>
      <w:r>
        <w:t xml:space="preserve"> </w:t>
      </w:r>
      <w:r>
        <w:tab/>
        <w:t>AER made</w:t>
      </w:r>
      <w:r w:rsidRPr="00A25529">
        <w:t xml:space="preserve"> </w:t>
      </w:r>
      <w:r>
        <w:t xml:space="preserve">multiple </w:t>
      </w:r>
      <w:r w:rsidRPr="00A25529">
        <w:t>information reques</w:t>
      </w:r>
      <w:r>
        <w:t>ts on 21</w:t>
      </w:r>
      <w:r w:rsidRPr="00A25529">
        <w:t xml:space="preserve"> September</w:t>
      </w:r>
      <w:r w:rsidR="000B13C4">
        <w:t>, 27 October</w:t>
      </w:r>
      <w:r>
        <w:t xml:space="preserve"> and 4 November</w:t>
      </w:r>
      <w:r w:rsidRPr="00A25529">
        <w:t xml:space="preserve"> 2015</w:t>
      </w:r>
      <w:r>
        <w:t xml:space="preserve">.   </w:t>
      </w:r>
    </w:p>
  </w:footnote>
  <w:footnote w:id="30">
    <w:p w:rsidR="006647D1" w:rsidRDefault="006647D1" w:rsidP="00B5284A">
      <w:pPr>
        <w:pStyle w:val="FootnoteText"/>
      </w:pPr>
      <w:r>
        <w:rPr>
          <w:rStyle w:val="FootnoteReference"/>
        </w:rPr>
        <w:footnoteRef/>
      </w:r>
      <w:r>
        <w:t xml:space="preserve"> </w:t>
      </w:r>
      <w:r>
        <w:tab/>
        <w:t>Ausgrid provided information response on 16 October, 6 November and 12 November</w:t>
      </w:r>
      <w:r w:rsidRPr="00A25529">
        <w:t xml:space="preserve"> 2015</w:t>
      </w:r>
      <w:r>
        <w:t xml:space="preserve">.   </w:t>
      </w:r>
    </w:p>
  </w:footnote>
  <w:footnote w:id="31">
    <w:p w:rsidR="006647D1" w:rsidRDefault="006647D1">
      <w:pPr>
        <w:pStyle w:val="FootnoteText"/>
      </w:pPr>
      <w:r>
        <w:rPr>
          <w:rStyle w:val="FootnoteReference"/>
        </w:rPr>
        <w:footnoteRef/>
      </w:r>
      <w:r>
        <w:t xml:space="preserve"> </w:t>
      </w:r>
      <w:r>
        <w:tab/>
      </w:r>
      <w:r w:rsidRPr="00FA3B40">
        <w:t>AER, Final Decision</w:t>
      </w:r>
      <w:r>
        <w:t xml:space="preserve"> - </w:t>
      </w:r>
      <w:r w:rsidRPr="00FA3B40">
        <w:t>Ausgrid d</w:t>
      </w:r>
      <w:r>
        <w:t xml:space="preserve">istribution determination - </w:t>
      </w:r>
      <w:r w:rsidRPr="00FA3B40">
        <w:t>Attachment 3 - Rate of Return</w:t>
      </w:r>
      <w:r>
        <w:t>,</w:t>
      </w:r>
      <w:r w:rsidRPr="00FA3B40">
        <w:t xml:space="preserve"> April 2015</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05" w:rsidRDefault="00D47B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05" w:rsidRDefault="00D47B0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B05" w:rsidRDefault="00D47B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4">
    <w:nsid w:val="26AA0DA7"/>
    <w:multiLevelType w:val="multilevel"/>
    <w:tmpl w:val="07E65150"/>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9"/>
      <w:lvlText w:val="%1.%2.%3"/>
      <w:lvlJc w:val="left"/>
      <w:pPr>
        <w:ind w:left="1146"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28544747"/>
    <w:multiLevelType w:val="hybridMultilevel"/>
    <w:tmpl w:val="48FC41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1AA058E"/>
    <w:multiLevelType w:val="hybridMultilevel"/>
    <w:tmpl w:val="3C70101E"/>
    <w:lvl w:ilvl="0" w:tplc="B336B1FC">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84026CE"/>
    <w:multiLevelType w:val="hybridMultilevel"/>
    <w:tmpl w:val="CA2EC1B4"/>
    <w:lvl w:ilvl="0" w:tplc="BFB8AE3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AF336BC"/>
    <w:multiLevelType w:val="hybridMultilevel"/>
    <w:tmpl w:val="955A02CC"/>
    <w:lvl w:ilvl="0" w:tplc="C90C7928">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C721288"/>
    <w:multiLevelType w:val="multilevel"/>
    <w:tmpl w:val="1492709C"/>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24">
    <w:nsid w:val="407D3C4C"/>
    <w:multiLevelType w:val="hybridMultilevel"/>
    <w:tmpl w:val="056A17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6">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A3E73A8"/>
    <w:multiLevelType w:val="multilevel"/>
    <w:tmpl w:val="2084C646"/>
    <w:lvl w:ilvl="0">
      <w:start w:val="1"/>
      <w:numFmt w:val="none"/>
      <w:suff w:val="nothing"/>
      <w:lvlText w:val="%1"/>
      <w:lvlJc w:val="left"/>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lowerLetter"/>
      <w:lvlText w:val="(%3)"/>
      <w:lvlJc w:val="left"/>
      <w:pPr>
        <w:tabs>
          <w:tab w:val="num" w:pos="1134"/>
        </w:tabs>
        <w:ind w:left="1134" w:hanging="567"/>
      </w:pPr>
      <w:rPr>
        <w:rFonts w:cs="Times New Roman" w:hint="default"/>
      </w:rPr>
    </w:lvl>
    <w:lvl w:ilvl="3">
      <w:start w:val="1"/>
      <w:numFmt w:val="lowerRoman"/>
      <w:lvlText w:val="(%4)"/>
      <w:lvlJc w:val="left"/>
      <w:pPr>
        <w:tabs>
          <w:tab w:val="num" w:pos="1701"/>
        </w:tabs>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29">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2">
    <w:nsid w:val="5ECE4384"/>
    <w:multiLevelType w:val="multilevel"/>
    <w:tmpl w:val="D132F5C8"/>
    <w:lvl w:ilvl="0">
      <w:start w:val="1"/>
      <w:numFmt w:val="decimal"/>
      <w:pStyle w:val="Heading1"/>
      <w:lvlText w:val="%1"/>
      <w:lvlJc w:val="left"/>
      <w:pPr>
        <w:ind w:left="432" w:hanging="432"/>
      </w:pPr>
    </w:lvl>
    <w:lvl w:ilvl="1">
      <w:start w:val="1"/>
      <w:numFmt w:val="decimal"/>
      <w:pStyle w:val="Heading2"/>
      <w:lvlText w:val="%1.%2"/>
      <w:lvlJc w:val="left"/>
      <w:pPr>
        <w:ind w:left="4688" w:hanging="576"/>
      </w:pPr>
    </w:lvl>
    <w:lvl w:ilvl="2">
      <w:start w:val="1"/>
      <w:numFmt w:val="decimal"/>
      <w:pStyle w:val="Heading3"/>
      <w:lvlText w:val="%1.%2.%3"/>
      <w:lvlJc w:val="left"/>
      <w:pPr>
        <w:ind w:left="720" w:hanging="720"/>
      </w:pPr>
    </w:lvl>
    <w:lvl w:ilvl="3">
      <w:start w:val="1"/>
      <w:numFmt w:val="decimal"/>
      <w:pStyle w:val="Heading4"/>
      <w:lvlText w:val="%1.%2.%3.%4"/>
      <w:lvlJc w:val="left"/>
      <w:pPr>
        <w:ind w:left="3133"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4">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CDA0F5F"/>
    <w:multiLevelType w:val="multilevel"/>
    <w:tmpl w:val="950A1C52"/>
    <w:numStyleLink w:val="AERHeadings"/>
  </w:abstractNum>
  <w:abstractNum w:abstractNumId="37">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3"/>
  </w:num>
  <w:num w:numId="13">
    <w:abstractNumId w:val="21"/>
  </w:num>
  <w:num w:numId="14">
    <w:abstractNumId w:val="10"/>
  </w:num>
  <w:num w:numId="15">
    <w:abstractNumId w:val="13"/>
  </w:num>
  <w:num w:numId="16">
    <w:abstractNumId w:val="26"/>
  </w:num>
  <w:num w:numId="17">
    <w:abstractNumId w:val="9"/>
  </w:num>
  <w:num w:numId="18">
    <w:abstractNumId w:val="16"/>
  </w:num>
  <w:num w:numId="19">
    <w:abstractNumId w:val="27"/>
  </w:num>
  <w:num w:numId="20">
    <w:abstractNumId w:val="34"/>
  </w:num>
  <w:num w:numId="21">
    <w:abstractNumId w:val="31"/>
  </w:num>
  <w:num w:numId="22">
    <w:abstractNumId w:val="29"/>
  </w:num>
  <w:num w:numId="23">
    <w:abstractNumId w:val="17"/>
  </w:num>
  <w:num w:numId="24">
    <w:abstractNumId w:val="30"/>
  </w:num>
  <w:num w:numId="25">
    <w:abstractNumId w:val="32"/>
  </w:num>
  <w:num w:numId="26">
    <w:abstractNumId w:val="19"/>
  </w:num>
  <w:num w:numId="27">
    <w:abstractNumId w:val="14"/>
  </w:num>
  <w:num w:numId="28">
    <w:abstractNumId w:val="20"/>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12"/>
  </w:num>
  <w:num w:numId="32">
    <w:abstractNumId w:val="25"/>
  </w:num>
  <w:num w:numId="33">
    <w:abstractNumId w:val="22"/>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3"/>
  </w:num>
  <w:num w:numId="37">
    <w:abstractNumId w:val="18"/>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ychDY78weUsfEWzStjrwwyVLJnStOsAbh/VkdbrfilM=" w:saltValue="0+3RQpGRSTp8jdki7V3Etg==" w:algorithmName="SHA-256"/>
  <w:defaultTabStop w:val="34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404\AER - Determination - Ausgrid Pass Through Application for April 2015 Storms - December 2015.docx"/>
  </w:docVars>
  <w:rsids>
    <w:rsidRoot w:val="00961A4A"/>
    <w:rsid w:val="00000E54"/>
    <w:rsid w:val="000018D1"/>
    <w:rsid w:val="000022B4"/>
    <w:rsid w:val="0000386D"/>
    <w:rsid w:val="00004C01"/>
    <w:rsid w:val="000051BC"/>
    <w:rsid w:val="000068B9"/>
    <w:rsid w:val="00006B6D"/>
    <w:rsid w:val="00012781"/>
    <w:rsid w:val="000128CC"/>
    <w:rsid w:val="00013447"/>
    <w:rsid w:val="00013E27"/>
    <w:rsid w:val="00014240"/>
    <w:rsid w:val="00016A75"/>
    <w:rsid w:val="000201AB"/>
    <w:rsid w:val="000206BD"/>
    <w:rsid w:val="00021202"/>
    <w:rsid w:val="00023BD1"/>
    <w:rsid w:val="00023C20"/>
    <w:rsid w:val="00023CE5"/>
    <w:rsid w:val="0002478A"/>
    <w:rsid w:val="0002517F"/>
    <w:rsid w:val="00030A6E"/>
    <w:rsid w:val="00030CF1"/>
    <w:rsid w:val="0003578C"/>
    <w:rsid w:val="00035C0B"/>
    <w:rsid w:val="00040537"/>
    <w:rsid w:val="000412C3"/>
    <w:rsid w:val="0004247B"/>
    <w:rsid w:val="0004281D"/>
    <w:rsid w:val="00043E5B"/>
    <w:rsid w:val="0004462F"/>
    <w:rsid w:val="00045C26"/>
    <w:rsid w:val="00046F1C"/>
    <w:rsid w:val="00047514"/>
    <w:rsid w:val="00050691"/>
    <w:rsid w:val="00054824"/>
    <w:rsid w:val="00054EE5"/>
    <w:rsid w:val="00055080"/>
    <w:rsid w:val="00057F6E"/>
    <w:rsid w:val="00057FC6"/>
    <w:rsid w:val="00063247"/>
    <w:rsid w:val="00063482"/>
    <w:rsid w:val="00067218"/>
    <w:rsid w:val="00067398"/>
    <w:rsid w:val="00070F9F"/>
    <w:rsid w:val="0007137B"/>
    <w:rsid w:val="000715FD"/>
    <w:rsid w:val="00071718"/>
    <w:rsid w:val="00075F48"/>
    <w:rsid w:val="00077616"/>
    <w:rsid w:val="00081FB6"/>
    <w:rsid w:val="0008340B"/>
    <w:rsid w:val="000835AF"/>
    <w:rsid w:val="00083C24"/>
    <w:rsid w:val="00084AD3"/>
    <w:rsid w:val="00085663"/>
    <w:rsid w:val="00085EBF"/>
    <w:rsid w:val="0008616F"/>
    <w:rsid w:val="00093C1F"/>
    <w:rsid w:val="000963D1"/>
    <w:rsid w:val="00097F4C"/>
    <w:rsid w:val="000A06BC"/>
    <w:rsid w:val="000A2CE2"/>
    <w:rsid w:val="000A3020"/>
    <w:rsid w:val="000A5973"/>
    <w:rsid w:val="000A6C7B"/>
    <w:rsid w:val="000B049A"/>
    <w:rsid w:val="000B13C4"/>
    <w:rsid w:val="000B49AC"/>
    <w:rsid w:val="000B553C"/>
    <w:rsid w:val="000B738C"/>
    <w:rsid w:val="000B7708"/>
    <w:rsid w:val="000B78BF"/>
    <w:rsid w:val="000C1B07"/>
    <w:rsid w:val="000C4453"/>
    <w:rsid w:val="000C668B"/>
    <w:rsid w:val="000C6C4B"/>
    <w:rsid w:val="000C6D4E"/>
    <w:rsid w:val="000C786A"/>
    <w:rsid w:val="000C7D19"/>
    <w:rsid w:val="000D0D17"/>
    <w:rsid w:val="000D122C"/>
    <w:rsid w:val="000D257F"/>
    <w:rsid w:val="000D3DFE"/>
    <w:rsid w:val="000D545F"/>
    <w:rsid w:val="000D667E"/>
    <w:rsid w:val="000E0148"/>
    <w:rsid w:val="000E1819"/>
    <w:rsid w:val="000E33DB"/>
    <w:rsid w:val="000E4821"/>
    <w:rsid w:val="000E5EE1"/>
    <w:rsid w:val="000E675B"/>
    <w:rsid w:val="000E6C72"/>
    <w:rsid w:val="000E71C4"/>
    <w:rsid w:val="000F04A8"/>
    <w:rsid w:val="000F3B89"/>
    <w:rsid w:val="000F4042"/>
    <w:rsid w:val="000F5B95"/>
    <w:rsid w:val="0010225B"/>
    <w:rsid w:val="00105617"/>
    <w:rsid w:val="00105CD8"/>
    <w:rsid w:val="00106021"/>
    <w:rsid w:val="00112BF8"/>
    <w:rsid w:val="00112D17"/>
    <w:rsid w:val="00113E76"/>
    <w:rsid w:val="00115D44"/>
    <w:rsid w:val="00116AF9"/>
    <w:rsid w:val="00116EB2"/>
    <w:rsid w:val="0011756A"/>
    <w:rsid w:val="00117925"/>
    <w:rsid w:val="00117D4E"/>
    <w:rsid w:val="00120E3B"/>
    <w:rsid w:val="00121347"/>
    <w:rsid w:val="00124609"/>
    <w:rsid w:val="00126826"/>
    <w:rsid w:val="00126A4C"/>
    <w:rsid w:val="00130632"/>
    <w:rsid w:val="00131AE8"/>
    <w:rsid w:val="00132135"/>
    <w:rsid w:val="00135189"/>
    <w:rsid w:val="001364D6"/>
    <w:rsid w:val="00136EC9"/>
    <w:rsid w:val="001379C8"/>
    <w:rsid w:val="00137A33"/>
    <w:rsid w:val="00141898"/>
    <w:rsid w:val="0014471B"/>
    <w:rsid w:val="0014573B"/>
    <w:rsid w:val="00151620"/>
    <w:rsid w:val="00152A06"/>
    <w:rsid w:val="00152A16"/>
    <w:rsid w:val="00152EBE"/>
    <w:rsid w:val="00153EC0"/>
    <w:rsid w:val="00154127"/>
    <w:rsid w:val="00154407"/>
    <w:rsid w:val="00154571"/>
    <w:rsid w:val="00155B30"/>
    <w:rsid w:val="00155F61"/>
    <w:rsid w:val="001573E4"/>
    <w:rsid w:val="00160756"/>
    <w:rsid w:val="0016198B"/>
    <w:rsid w:val="00165C09"/>
    <w:rsid w:val="0017055F"/>
    <w:rsid w:val="0017232E"/>
    <w:rsid w:val="00174102"/>
    <w:rsid w:val="001748E3"/>
    <w:rsid w:val="00174D8E"/>
    <w:rsid w:val="0017772C"/>
    <w:rsid w:val="0017798F"/>
    <w:rsid w:val="00177E38"/>
    <w:rsid w:val="00180157"/>
    <w:rsid w:val="00182B02"/>
    <w:rsid w:val="00183F34"/>
    <w:rsid w:val="001844C7"/>
    <w:rsid w:val="0018532D"/>
    <w:rsid w:val="00185CB9"/>
    <w:rsid w:val="00186632"/>
    <w:rsid w:val="00186F77"/>
    <w:rsid w:val="0019142D"/>
    <w:rsid w:val="001926A4"/>
    <w:rsid w:val="0019270C"/>
    <w:rsid w:val="00192AD5"/>
    <w:rsid w:val="00193666"/>
    <w:rsid w:val="00194984"/>
    <w:rsid w:val="001A2CE1"/>
    <w:rsid w:val="001A4AAA"/>
    <w:rsid w:val="001A5A80"/>
    <w:rsid w:val="001A6379"/>
    <w:rsid w:val="001B17FF"/>
    <w:rsid w:val="001B45A0"/>
    <w:rsid w:val="001B49DE"/>
    <w:rsid w:val="001C2560"/>
    <w:rsid w:val="001C7790"/>
    <w:rsid w:val="001D055E"/>
    <w:rsid w:val="001D0D81"/>
    <w:rsid w:val="001D18B9"/>
    <w:rsid w:val="001D23ED"/>
    <w:rsid w:val="001D604D"/>
    <w:rsid w:val="001E2B99"/>
    <w:rsid w:val="001E65EA"/>
    <w:rsid w:val="001F235D"/>
    <w:rsid w:val="001F3ED8"/>
    <w:rsid w:val="001F492E"/>
    <w:rsid w:val="001F6A1B"/>
    <w:rsid w:val="001F6DA3"/>
    <w:rsid w:val="0020091D"/>
    <w:rsid w:val="002010BC"/>
    <w:rsid w:val="00201B07"/>
    <w:rsid w:val="00201DAD"/>
    <w:rsid w:val="00201F77"/>
    <w:rsid w:val="00202315"/>
    <w:rsid w:val="00202514"/>
    <w:rsid w:val="00202E03"/>
    <w:rsid w:val="002034C3"/>
    <w:rsid w:val="0020492C"/>
    <w:rsid w:val="002053FB"/>
    <w:rsid w:val="002056BD"/>
    <w:rsid w:val="00212034"/>
    <w:rsid w:val="00213038"/>
    <w:rsid w:val="00213E7F"/>
    <w:rsid w:val="00214944"/>
    <w:rsid w:val="00215265"/>
    <w:rsid w:val="002156B2"/>
    <w:rsid w:val="00215E6B"/>
    <w:rsid w:val="0021601C"/>
    <w:rsid w:val="002207A7"/>
    <w:rsid w:val="00221724"/>
    <w:rsid w:val="00222367"/>
    <w:rsid w:val="002231E1"/>
    <w:rsid w:val="00224BB4"/>
    <w:rsid w:val="00224DB9"/>
    <w:rsid w:val="00225DD4"/>
    <w:rsid w:val="002260F4"/>
    <w:rsid w:val="00230630"/>
    <w:rsid w:val="00232478"/>
    <w:rsid w:val="00233775"/>
    <w:rsid w:val="0023463A"/>
    <w:rsid w:val="00236FEC"/>
    <w:rsid w:val="00237691"/>
    <w:rsid w:val="002401BF"/>
    <w:rsid w:val="0024021F"/>
    <w:rsid w:val="00242B95"/>
    <w:rsid w:val="0024313A"/>
    <w:rsid w:val="00244038"/>
    <w:rsid w:val="002440D6"/>
    <w:rsid w:val="00246470"/>
    <w:rsid w:val="00247761"/>
    <w:rsid w:val="00251745"/>
    <w:rsid w:val="00255A8A"/>
    <w:rsid w:val="00256C7D"/>
    <w:rsid w:val="0025769C"/>
    <w:rsid w:val="00261D62"/>
    <w:rsid w:val="0026327F"/>
    <w:rsid w:val="00263AC0"/>
    <w:rsid w:val="00263D44"/>
    <w:rsid w:val="00264264"/>
    <w:rsid w:val="002651F3"/>
    <w:rsid w:val="00265447"/>
    <w:rsid w:val="00266224"/>
    <w:rsid w:val="002674F3"/>
    <w:rsid w:val="0026772D"/>
    <w:rsid w:val="00270BDF"/>
    <w:rsid w:val="00273F94"/>
    <w:rsid w:val="00275FED"/>
    <w:rsid w:val="00277598"/>
    <w:rsid w:val="00277707"/>
    <w:rsid w:val="00280505"/>
    <w:rsid w:val="00285F19"/>
    <w:rsid w:val="00286874"/>
    <w:rsid w:val="00290C63"/>
    <w:rsid w:val="00291625"/>
    <w:rsid w:val="00291C14"/>
    <w:rsid w:val="00292E79"/>
    <w:rsid w:val="00292F1C"/>
    <w:rsid w:val="00293430"/>
    <w:rsid w:val="002934EB"/>
    <w:rsid w:val="00293DD1"/>
    <w:rsid w:val="00294299"/>
    <w:rsid w:val="00294F96"/>
    <w:rsid w:val="00295EA7"/>
    <w:rsid w:val="00296B65"/>
    <w:rsid w:val="00297DD0"/>
    <w:rsid w:val="002A0806"/>
    <w:rsid w:val="002A2382"/>
    <w:rsid w:val="002A61E8"/>
    <w:rsid w:val="002A687E"/>
    <w:rsid w:val="002A7660"/>
    <w:rsid w:val="002A76E6"/>
    <w:rsid w:val="002A7DEF"/>
    <w:rsid w:val="002B0BC3"/>
    <w:rsid w:val="002B1905"/>
    <w:rsid w:val="002B1A95"/>
    <w:rsid w:val="002B2039"/>
    <w:rsid w:val="002B27CA"/>
    <w:rsid w:val="002B45BD"/>
    <w:rsid w:val="002B699A"/>
    <w:rsid w:val="002C0418"/>
    <w:rsid w:val="002C0E63"/>
    <w:rsid w:val="002C12D8"/>
    <w:rsid w:val="002C4E32"/>
    <w:rsid w:val="002C6721"/>
    <w:rsid w:val="002C6D16"/>
    <w:rsid w:val="002C74C3"/>
    <w:rsid w:val="002D0F31"/>
    <w:rsid w:val="002D69F8"/>
    <w:rsid w:val="002E4783"/>
    <w:rsid w:val="002E652A"/>
    <w:rsid w:val="002E7B22"/>
    <w:rsid w:val="002F3024"/>
    <w:rsid w:val="002F46A2"/>
    <w:rsid w:val="002F6952"/>
    <w:rsid w:val="002F6C3A"/>
    <w:rsid w:val="002F7986"/>
    <w:rsid w:val="0030183E"/>
    <w:rsid w:val="00301B40"/>
    <w:rsid w:val="003029EE"/>
    <w:rsid w:val="00305CC8"/>
    <w:rsid w:val="00307F6D"/>
    <w:rsid w:val="00311762"/>
    <w:rsid w:val="00313DCA"/>
    <w:rsid w:val="003166C0"/>
    <w:rsid w:val="00316F7E"/>
    <w:rsid w:val="003177A2"/>
    <w:rsid w:val="00322007"/>
    <w:rsid w:val="0032279A"/>
    <w:rsid w:val="003241DD"/>
    <w:rsid w:val="003271B5"/>
    <w:rsid w:val="00327A1E"/>
    <w:rsid w:val="00330587"/>
    <w:rsid w:val="00331264"/>
    <w:rsid w:val="00331FD6"/>
    <w:rsid w:val="00333F92"/>
    <w:rsid w:val="00334C8D"/>
    <w:rsid w:val="003353D6"/>
    <w:rsid w:val="00335A42"/>
    <w:rsid w:val="003409AA"/>
    <w:rsid w:val="00340A6C"/>
    <w:rsid w:val="00343122"/>
    <w:rsid w:val="00343A18"/>
    <w:rsid w:val="0034441E"/>
    <w:rsid w:val="003478C2"/>
    <w:rsid w:val="00347F58"/>
    <w:rsid w:val="003509A2"/>
    <w:rsid w:val="00350D0B"/>
    <w:rsid w:val="00351418"/>
    <w:rsid w:val="003518B3"/>
    <w:rsid w:val="003549C7"/>
    <w:rsid w:val="003549E1"/>
    <w:rsid w:val="00355076"/>
    <w:rsid w:val="0036083B"/>
    <w:rsid w:val="00361E7C"/>
    <w:rsid w:val="003636EE"/>
    <w:rsid w:val="00364B43"/>
    <w:rsid w:val="00367927"/>
    <w:rsid w:val="00370058"/>
    <w:rsid w:val="00371DEF"/>
    <w:rsid w:val="00376832"/>
    <w:rsid w:val="00376D78"/>
    <w:rsid w:val="003774A0"/>
    <w:rsid w:val="00380699"/>
    <w:rsid w:val="003846F1"/>
    <w:rsid w:val="00387580"/>
    <w:rsid w:val="00391F06"/>
    <w:rsid w:val="00393CC3"/>
    <w:rsid w:val="003A0AFB"/>
    <w:rsid w:val="003A0E03"/>
    <w:rsid w:val="003A2766"/>
    <w:rsid w:val="003A40E9"/>
    <w:rsid w:val="003A57F7"/>
    <w:rsid w:val="003A5953"/>
    <w:rsid w:val="003B31C2"/>
    <w:rsid w:val="003B484F"/>
    <w:rsid w:val="003B55C5"/>
    <w:rsid w:val="003B6D2B"/>
    <w:rsid w:val="003B704F"/>
    <w:rsid w:val="003C322D"/>
    <w:rsid w:val="003C574C"/>
    <w:rsid w:val="003C5FA6"/>
    <w:rsid w:val="003C757A"/>
    <w:rsid w:val="003D134B"/>
    <w:rsid w:val="003D2EBB"/>
    <w:rsid w:val="003D4915"/>
    <w:rsid w:val="003D57CC"/>
    <w:rsid w:val="003E0F17"/>
    <w:rsid w:val="003E3121"/>
    <w:rsid w:val="003E3873"/>
    <w:rsid w:val="003E4816"/>
    <w:rsid w:val="003E5A8F"/>
    <w:rsid w:val="003E5E70"/>
    <w:rsid w:val="003E6832"/>
    <w:rsid w:val="003F0BCB"/>
    <w:rsid w:val="003F174D"/>
    <w:rsid w:val="003F1F4A"/>
    <w:rsid w:val="003F2E11"/>
    <w:rsid w:val="003F4666"/>
    <w:rsid w:val="003F6369"/>
    <w:rsid w:val="003F699C"/>
    <w:rsid w:val="00400E68"/>
    <w:rsid w:val="00402568"/>
    <w:rsid w:val="00405361"/>
    <w:rsid w:val="00410D57"/>
    <w:rsid w:val="0041104C"/>
    <w:rsid w:val="004173D7"/>
    <w:rsid w:val="004206D2"/>
    <w:rsid w:val="00421F4A"/>
    <w:rsid w:val="00422016"/>
    <w:rsid w:val="004241D0"/>
    <w:rsid w:val="00424FB4"/>
    <w:rsid w:val="00427EA3"/>
    <w:rsid w:val="0043087D"/>
    <w:rsid w:val="00430AE8"/>
    <w:rsid w:val="00430DEC"/>
    <w:rsid w:val="004329A6"/>
    <w:rsid w:val="00434C1D"/>
    <w:rsid w:val="0043616E"/>
    <w:rsid w:val="00441888"/>
    <w:rsid w:val="00442B9A"/>
    <w:rsid w:val="00442D75"/>
    <w:rsid w:val="004439DB"/>
    <w:rsid w:val="00444162"/>
    <w:rsid w:val="00445727"/>
    <w:rsid w:val="004513DF"/>
    <w:rsid w:val="004554EE"/>
    <w:rsid w:val="00455BD7"/>
    <w:rsid w:val="0045777E"/>
    <w:rsid w:val="00460D43"/>
    <w:rsid w:val="00464DE5"/>
    <w:rsid w:val="004705B9"/>
    <w:rsid w:val="004739C0"/>
    <w:rsid w:val="004753EA"/>
    <w:rsid w:val="004775A2"/>
    <w:rsid w:val="00477E7F"/>
    <w:rsid w:val="00480089"/>
    <w:rsid w:val="00480B4B"/>
    <w:rsid w:val="004810FA"/>
    <w:rsid w:val="00481775"/>
    <w:rsid w:val="00483883"/>
    <w:rsid w:val="004838BA"/>
    <w:rsid w:val="00484482"/>
    <w:rsid w:val="00485DC4"/>
    <w:rsid w:val="0049040C"/>
    <w:rsid w:val="00490425"/>
    <w:rsid w:val="0049148C"/>
    <w:rsid w:val="0049346B"/>
    <w:rsid w:val="004940A1"/>
    <w:rsid w:val="004942DC"/>
    <w:rsid w:val="00494748"/>
    <w:rsid w:val="0049504F"/>
    <w:rsid w:val="00495155"/>
    <w:rsid w:val="004965CC"/>
    <w:rsid w:val="004973A9"/>
    <w:rsid w:val="00497480"/>
    <w:rsid w:val="00497F95"/>
    <w:rsid w:val="004A01A6"/>
    <w:rsid w:val="004A0E40"/>
    <w:rsid w:val="004A21E1"/>
    <w:rsid w:val="004A235A"/>
    <w:rsid w:val="004A2DBB"/>
    <w:rsid w:val="004A3167"/>
    <w:rsid w:val="004A3E31"/>
    <w:rsid w:val="004A3E59"/>
    <w:rsid w:val="004A43D1"/>
    <w:rsid w:val="004A44C5"/>
    <w:rsid w:val="004A4D49"/>
    <w:rsid w:val="004A4FA9"/>
    <w:rsid w:val="004A564B"/>
    <w:rsid w:val="004B1187"/>
    <w:rsid w:val="004B3199"/>
    <w:rsid w:val="004B4100"/>
    <w:rsid w:val="004B41FD"/>
    <w:rsid w:val="004B4412"/>
    <w:rsid w:val="004C088B"/>
    <w:rsid w:val="004C348C"/>
    <w:rsid w:val="004D0A84"/>
    <w:rsid w:val="004D2343"/>
    <w:rsid w:val="004D28B4"/>
    <w:rsid w:val="004D4160"/>
    <w:rsid w:val="004D55BA"/>
    <w:rsid w:val="004D65F6"/>
    <w:rsid w:val="004E207F"/>
    <w:rsid w:val="004E22EC"/>
    <w:rsid w:val="004E2514"/>
    <w:rsid w:val="004E45AC"/>
    <w:rsid w:val="004E4912"/>
    <w:rsid w:val="004E4F12"/>
    <w:rsid w:val="004E63FA"/>
    <w:rsid w:val="004E7168"/>
    <w:rsid w:val="004E75A8"/>
    <w:rsid w:val="004F0601"/>
    <w:rsid w:val="004F37A8"/>
    <w:rsid w:val="004F407D"/>
    <w:rsid w:val="004F50F6"/>
    <w:rsid w:val="004F5B62"/>
    <w:rsid w:val="004F66C0"/>
    <w:rsid w:val="004F6B34"/>
    <w:rsid w:val="004F77EF"/>
    <w:rsid w:val="004F78A3"/>
    <w:rsid w:val="004F7E7D"/>
    <w:rsid w:val="00501778"/>
    <w:rsid w:val="005023EA"/>
    <w:rsid w:val="00503553"/>
    <w:rsid w:val="00503E74"/>
    <w:rsid w:val="00504275"/>
    <w:rsid w:val="0050513A"/>
    <w:rsid w:val="00506030"/>
    <w:rsid w:val="0051364F"/>
    <w:rsid w:val="00516D57"/>
    <w:rsid w:val="005175C8"/>
    <w:rsid w:val="00521204"/>
    <w:rsid w:val="0052176A"/>
    <w:rsid w:val="00522723"/>
    <w:rsid w:val="00523FE1"/>
    <w:rsid w:val="00525367"/>
    <w:rsid w:val="00526442"/>
    <w:rsid w:val="0052789A"/>
    <w:rsid w:val="00527B44"/>
    <w:rsid w:val="00527E2D"/>
    <w:rsid w:val="00530128"/>
    <w:rsid w:val="00532467"/>
    <w:rsid w:val="00533FB7"/>
    <w:rsid w:val="00535305"/>
    <w:rsid w:val="00537405"/>
    <w:rsid w:val="00537E8B"/>
    <w:rsid w:val="005434DE"/>
    <w:rsid w:val="00551DF1"/>
    <w:rsid w:val="00552CEC"/>
    <w:rsid w:val="00553AC4"/>
    <w:rsid w:val="00553D45"/>
    <w:rsid w:val="00554360"/>
    <w:rsid w:val="00557821"/>
    <w:rsid w:val="00563FF9"/>
    <w:rsid w:val="0056451C"/>
    <w:rsid w:val="00564A4D"/>
    <w:rsid w:val="00565887"/>
    <w:rsid w:val="005663F6"/>
    <w:rsid w:val="00567BA5"/>
    <w:rsid w:val="00567D0B"/>
    <w:rsid w:val="0057058F"/>
    <w:rsid w:val="00571B35"/>
    <w:rsid w:val="00571D57"/>
    <w:rsid w:val="0057354D"/>
    <w:rsid w:val="00576589"/>
    <w:rsid w:val="00577A09"/>
    <w:rsid w:val="005828D2"/>
    <w:rsid w:val="005829C2"/>
    <w:rsid w:val="00583029"/>
    <w:rsid w:val="00584D8F"/>
    <w:rsid w:val="00584E68"/>
    <w:rsid w:val="005852CB"/>
    <w:rsid w:val="005865F5"/>
    <w:rsid w:val="0058687D"/>
    <w:rsid w:val="0058737E"/>
    <w:rsid w:val="00587506"/>
    <w:rsid w:val="00590215"/>
    <w:rsid w:val="00592DF6"/>
    <w:rsid w:val="00592E02"/>
    <w:rsid w:val="00596985"/>
    <w:rsid w:val="005A2DF9"/>
    <w:rsid w:val="005A3BCE"/>
    <w:rsid w:val="005A404D"/>
    <w:rsid w:val="005A59B6"/>
    <w:rsid w:val="005A62CA"/>
    <w:rsid w:val="005A62D1"/>
    <w:rsid w:val="005A6432"/>
    <w:rsid w:val="005B1E3C"/>
    <w:rsid w:val="005B21D5"/>
    <w:rsid w:val="005B22E7"/>
    <w:rsid w:val="005B7AAF"/>
    <w:rsid w:val="005C16D4"/>
    <w:rsid w:val="005C26CC"/>
    <w:rsid w:val="005C389D"/>
    <w:rsid w:val="005C44BA"/>
    <w:rsid w:val="005D3EF8"/>
    <w:rsid w:val="005D4341"/>
    <w:rsid w:val="005D44B3"/>
    <w:rsid w:val="005D5111"/>
    <w:rsid w:val="005D7BA2"/>
    <w:rsid w:val="005E0DE6"/>
    <w:rsid w:val="005E12E1"/>
    <w:rsid w:val="005E15A1"/>
    <w:rsid w:val="005E36C2"/>
    <w:rsid w:val="005E44CB"/>
    <w:rsid w:val="005E58E8"/>
    <w:rsid w:val="005E5B3B"/>
    <w:rsid w:val="005E6437"/>
    <w:rsid w:val="005E6D4D"/>
    <w:rsid w:val="005F074E"/>
    <w:rsid w:val="005F60C2"/>
    <w:rsid w:val="005F6C07"/>
    <w:rsid w:val="006010E3"/>
    <w:rsid w:val="00602539"/>
    <w:rsid w:val="00602D86"/>
    <w:rsid w:val="00603BB4"/>
    <w:rsid w:val="00605FFA"/>
    <w:rsid w:val="00610EF2"/>
    <w:rsid w:val="00613C17"/>
    <w:rsid w:val="00615C6B"/>
    <w:rsid w:val="006166EB"/>
    <w:rsid w:val="0062119B"/>
    <w:rsid w:val="0062178F"/>
    <w:rsid w:val="00621DCE"/>
    <w:rsid w:val="00621E44"/>
    <w:rsid w:val="0062309E"/>
    <w:rsid w:val="00623BB0"/>
    <w:rsid w:val="00625169"/>
    <w:rsid w:val="006268E3"/>
    <w:rsid w:val="00630BB1"/>
    <w:rsid w:val="00632D6D"/>
    <w:rsid w:val="00642C3E"/>
    <w:rsid w:val="00647515"/>
    <w:rsid w:val="00647962"/>
    <w:rsid w:val="00647A6B"/>
    <w:rsid w:val="006507D9"/>
    <w:rsid w:val="00650825"/>
    <w:rsid w:val="00654A9B"/>
    <w:rsid w:val="00655A96"/>
    <w:rsid w:val="0065624B"/>
    <w:rsid w:val="0065639C"/>
    <w:rsid w:val="006563DF"/>
    <w:rsid w:val="00656E18"/>
    <w:rsid w:val="0066104A"/>
    <w:rsid w:val="00661750"/>
    <w:rsid w:val="00661964"/>
    <w:rsid w:val="00662670"/>
    <w:rsid w:val="00663DAD"/>
    <w:rsid w:val="006647D1"/>
    <w:rsid w:val="006661DE"/>
    <w:rsid w:val="00670E6B"/>
    <w:rsid w:val="00671269"/>
    <w:rsid w:val="00671529"/>
    <w:rsid w:val="0067159E"/>
    <w:rsid w:val="006721F5"/>
    <w:rsid w:val="0067276C"/>
    <w:rsid w:val="0067447D"/>
    <w:rsid w:val="00675E20"/>
    <w:rsid w:val="00676679"/>
    <w:rsid w:val="00683192"/>
    <w:rsid w:val="00683C89"/>
    <w:rsid w:val="00683CA1"/>
    <w:rsid w:val="006840AF"/>
    <w:rsid w:val="00684B02"/>
    <w:rsid w:val="006868C9"/>
    <w:rsid w:val="0068731F"/>
    <w:rsid w:val="00687F34"/>
    <w:rsid w:val="00692F6A"/>
    <w:rsid w:val="00694591"/>
    <w:rsid w:val="00695995"/>
    <w:rsid w:val="00696DB0"/>
    <w:rsid w:val="00697B30"/>
    <w:rsid w:val="006A135A"/>
    <w:rsid w:val="006A2559"/>
    <w:rsid w:val="006A51AF"/>
    <w:rsid w:val="006A52CE"/>
    <w:rsid w:val="006A55D6"/>
    <w:rsid w:val="006A5B13"/>
    <w:rsid w:val="006A7340"/>
    <w:rsid w:val="006A7ABB"/>
    <w:rsid w:val="006B144E"/>
    <w:rsid w:val="006B2395"/>
    <w:rsid w:val="006B4CF9"/>
    <w:rsid w:val="006B4DEF"/>
    <w:rsid w:val="006B521B"/>
    <w:rsid w:val="006B55C7"/>
    <w:rsid w:val="006B6D5C"/>
    <w:rsid w:val="006B7AC8"/>
    <w:rsid w:val="006C3F84"/>
    <w:rsid w:val="006C4307"/>
    <w:rsid w:val="006C6368"/>
    <w:rsid w:val="006D3C25"/>
    <w:rsid w:val="006D44A0"/>
    <w:rsid w:val="006D550F"/>
    <w:rsid w:val="006D6A52"/>
    <w:rsid w:val="006D6C0B"/>
    <w:rsid w:val="006E01A2"/>
    <w:rsid w:val="006E0F7B"/>
    <w:rsid w:val="006E2F10"/>
    <w:rsid w:val="006E38F7"/>
    <w:rsid w:val="006E43DB"/>
    <w:rsid w:val="006E5A4D"/>
    <w:rsid w:val="006E63CD"/>
    <w:rsid w:val="006E7C24"/>
    <w:rsid w:val="006F49FB"/>
    <w:rsid w:val="006F559A"/>
    <w:rsid w:val="006F5EEA"/>
    <w:rsid w:val="00700D98"/>
    <w:rsid w:val="00701418"/>
    <w:rsid w:val="00701CAB"/>
    <w:rsid w:val="007033D0"/>
    <w:rsid w:val="00705B0B"/>
    <w:rsid w:val="007070F0"/>
    <w:rsid w:val="00707433"/>
    <w:rsid w:val="00707563"/>
    <w:rsid w:val="00710B1E"/>
    <w:rsid w:val="00711B99"/>
    <w:rsid w:val="00717EFB"/>
    <w:rsid w:val="00720480"/>
    <w:rsid w:val="0072348C"/>
    <w:rsid w:val="00724778"/>
    <w:rsid w:val="00724A37"/>
    <w:rsid w:val="00724AF6"/>
    <w:rsid w:val="0072575F"/>
    <w:rsid w:val="00727670"/>
    <w:rsid w:val="007303C3"/>
    <w:rsid w:val="0073312F"/>
    <w:rsid w:val="007342DE"/>
    <w:rsid w:val="00734FB2"/>
    <w:rsid w:val="00736F78"/>
    <w:rsid w:val="0073747F"/>
    <w:rsid w:val="00737799"/>
    <w:rsid w:val="00737E90"/>
    <w:rsid w:val="007400F8"/>
    <w:rsid w:val="00742333"/>
    <w:rsid w:val="007429BE"/>
    <w:rsid w:val="00743223"/>
    <w:rsid w:val="00744175"/>
    <w:rsid w:val="00745DD1"/>
    <w:rsid w:val="0074637F"/>
    <w:rsid w:val="00746B96"/>
    <w:rsid w:val="00746E01"/>
    <w:rsid w:val="00751EA9"/>
    <w:rsid w:val="00752421"/>
    <w:rsid w:val="007560AB"/>
    <w:rsid w:val="0075793A"/>
    <w:rsid w:val="00757BDF"/>
    <w:rsid w:val="00757FAF"/>
    <w:rsid w:val="00760CB5"/>
    <w:rsid w:val="00762E8C"/>
    <w:rsid w:val="00763443"/>
    <w:rsid w:val="00763E5D"/>
    <w:rsid w:val="00765770"/>
    <w:rsid w:val="00765773"/>
    <w:rsid w:val="00765FEE"/>
    <w:rsid w:val="00766D86"/>
    <w:rsid w:val="007673C7"/>
    <w:rsid w:val="007675AE"/>
    <w:rsid w:val="00767740"/>
    <w:rsid w:val="00767A2D"/>
    <w:rsid w:val="00767B13"/>
    <w:rsid w:val="007749D3"/>
    <w:rsid w:val="00776D88"/>
    <w:rsid w:val="00776F49"/>
    <w:rsid w:val="00777595"/>
    <w:rsid w:val="00777EE6"/>
    <w:rsid w:val="007811D4"/>
    <w:rsid w:val="0078175D"/>
    <w:rsid w:val="00782EEA"/>
    <w:rsid w:val="00783638"/>
    <w:rsid w:val="0078431C"/>
    <w:rsid w:val="00785438"/>
    <w:rsid w:val="00785863"/>
    <w:rsid w:val="00790C92"/>
    <w:rsid w:val="00791291"/>
    <w:rsid w:val="0079150E"/>
    <w:rsid w:val="00791C96"/>
    <w:rsid w:val="00791CB5"/>
    <w:rsid w:val="0079296C"/>
    <w:rsid w:val="0079753A"/>
    <w:rsid w:val="007A162D"/>
    <w:rsid w:val="007A18FD"/>
    <w:rsid w:val="007A265E"/>
    <w:rsid w:val="007A36BA"/>
    <w:rsid w:val="007A408F"/>
    <w:rsid w:val="007A4C1E"/>
    <w:rsid w:val="007A57C1"/>
    <w:rsid w:val="007A64F2"/>
    <w:rsid w:val="007A6C68"/>
    <w:rsid w:val="007B15F6"/>
    <w:rsid w:val="007B2C72"/>
    <w:rsid w:val="007B2E13"/>
    <w:rsid w:val="007B3503"/>
    <w:rsid w:val="007B3A54"/>
    <w:rsid w:val="007B54CE"/>
    <w:rsid w:val="007B6DAE"/>
    <w:rsid w:val="007C0C0D"/>
    <w:rsid w:val="007C1C53"/>
    <w:rsid w:val="007C2951"/>
    <w:rsid w:val="007C5EBB"/>
    <w:rsid w:val="007C6BE8"/>
    <w:rsid w:val="007C6E18"/>
    <w:rsid w:val="007C6F0F"/>
    <w:rsid w:val="007C74BB"/>
    <w:rsid w:val="007D1506"/>
    <w:rsid w:val="007E002D"/>
    <w:rsid w:val="007E0756"/>
    <w:rsid w:val="007E4904"/>
    <w:rsid w:val="007E4BDB"/>
    <w:rsid w:val="007E4CB5"/>
    <w:rsid w:val="007E623F"/>
    <w:rsid w:val="007E7FD8"/>
    <w:rsid w:val="007F066B"/>
    <w:rsid w:val="007F3EA4"/>
    <w:rsid w:val="007F476E"/>
    <w:rsid w:val="008033C4"/>
    <w:rsid w:val="00804CE2"/>
    <w:rsid w:val="00805FB3"/>
    <w:rsid w:val="00806C88"/>
    <w:rsid w:val="00807715"/>
    <w:rsid w:val="0081005F"/>
    <w:rsid w:val="0081034E"/>
    <w:rsid w:val="008112A8"/>
    <w:rsid w:val="00814837"/>
    <w:rsid w:val="00817DFA"/>
    <w:rsid w:val="0082311A"/>
    <w:rsid w:val="008279BC"/>
    <w:rsid w:val="00830213"/>
    <w:rsid w:val="0083090C"/>
    <w:rsid w:val="00830A66"/>
    <w:rsid w:val="00830DE2"/>
    <w:rsid w:val="008310EE"/>
    <w:rsid w:val="008323F9"/>
    <w:rsid w:val="008340EB"/>
    <w:rsid w:val="008344F6"/>
    <w:rsid w:val="00834B23"/>
    <w:rsid w:val="0083510F"/>
    <w:rsid w:val="0083784D"/>
    <w:rsid w:val="008430A9"/>
    <w:rsid w:val="00844699"/>
    <w:rsid w:val="008504B2"/>
    <w:rsid w:val="00851209"/>
    <w:rsid w:val="00854231"/>
    <w:rsid w:val="00854C67"/>
    <w:rsid w:val="008628A8"/>
    <w:rsid w:val="00862F4B"/>
    <w:rsid w:val="0086573C"/>
    <w:rsid w:val="008753F6"/>
    <w:rsid w:val="0087679E"/>
    <w:rsid w:val="00880096"/>
    <w:rsid w:val="00882B95"/>
    <w:rsid w:val="008837AC"/>
    <w:rsid w:val="00884C67"/>
    <w:rsid w:val="00885180"/>
    <w:rsid w:val="00886D63"/>
    <w:rsid w:val="00890728"/>
    <w:rsid w:val="00891536"/>
    <w:rsid w:val="00891D25"/>
    <w:rsid w:val="00891DF8"/>
    <w:rsid w:val="00892912"/>
    <w:rsid w:val="00893040"/>
    <w:rsid w:val="008957B5"/>
    <w:rsid w:val="00895CE0"/>
    <w:rsid w:val="008A4406"/>
    <w:rsid w:val="008A453E"/>
    <w:rsid w:val="008A4C83"/>
    <w:rsid w:val="008A587D"/>
    <w:rsid w:val="008A7B5F"/>
    <w:rsid w:val="008B0558"/>
    <w:rsid w:val="008B06C5"/>
    <w:rsid w:val="008B18CA"/>
    <w:rsid w:val="008B29B5"/>
    <w:rsid w:val="008B35CD"/>
    <w:rsid w:val="008B5FCC"/>
    <w:rsid w:val="008C330F"/>
    <w:rsid w:val="008C3676"/>
    <w:rsid w:val="008C3C95"/>
    <w:rsid w:val="008C45BE"/>
    <w:rsid w:val="008C5486"/>
    <w:rsid w:val="008C67DB"/>
    <w:rsid w:val="008D1661"/>
    <w:rsid w:val="008D517C"/>
    <w:rsid w:val="008D6581"/>
    <w:rsid w:val="008D6CA7"/>
    <w:rsid w:val="008E09DC"/>
    <w:rsid w:val="008E2A71"/>
    <w:rsid w:val="008E4154"/>
    <w:rsid w:val="008E7031"/>
    <w:rsid w:val="008E77DE"/>
    <w:rsid w:val="008F075D"/>
    <w:rsid w:val="008F07A3"/>
    <w:rsid w:val="008F1982"/>
    <w:rsid w:val="008F3574"/>
    <w:rsid w:val="008F3879"/>
    <w:rsid w:val="008F5F04"/>
    <w:rsid w:val="00900E1B"/>
    <w:rsid w:val="009020C0"/>
    <w:rsid w:val="00902CE5"/>
    <w:rsid w:val="00903069"/>
    <w:rsid w:val="00905BC8"/>
    <w:rsid w:val="0090632E"/>
    <w:rsid w:val="0090672D"/>
    <w:rsid w:val="00907759"/>
    <w:rsid w:val="009113FC"/>
    <w:rsid w:val="00912EC2"/>
    <w:rsid w:val="009149D4"/>
    <w:rsid w:val="00921363"/>
    <w:rsid w:val="009233EE"/>
    <w:rsid w:val="00927220"/>
    <w:rsid w:val="0092775B"/>
    <w:rsid w:val="009330F9"/>
    <w:rsid w:val="0093343A"/>
    <w:rsid w:val="00933E00"/>
    <w:rsid w:val="009400D3"/>
    <w:rsid w:val="00940F85"/>
    <w:rsid w:val="00942522"/>
    <w:rsid w:val="009457B1"/>
    <w:rsid w:val="009460AA"/>
    <w:rsid w:val="00947EF7"/>
    <w:rsid w:val="00950447"/>
    <w:rsid w:val="00951978"/>
    <w:rsid w:val="00952285"/>
    <w:rsid w:val="009523CD"/>
    <w:rsid w:val="00953CF0"/>
    <w:rsid w:val="00955DC4"/>
    <w:rsid w:val="009561CE"/>
    <w:rsid w:val="009563D1"/>
    <w:rsid w:val="00957ED5"/>
    <w:rsid w:val="00961A4A"/>
    <w:rsid w:val="0096282C"/>
    <w:rsid w:val="00964146"/>
    <w:rsid w:val="0096433A"/>
    <w:rsid w:val="009643CB"/>
    <w:rsid w:val="00964C00"/>
    <w:rsid w:val="009652BA"/>
    <w:rsid w:val="009661DE"/>
    <w:rsid w:val="00967467"/>
    <w:rsid w:val="0096789D"/>
    <w:rsid w:val="00967903"/>
    <w:rsid w:val="00970FF7"/>
    <w:rsid w:val="00972E0B"/>
    <w:rsid w:val="00973F83"/>
    <w:rsid w:val="009744C7"/>
    <w:rsid w:val="0097492C"/>
    <w:rsid w:val="009749B8"/>
    <w:rsid w:val="009761DD"/>
    <w:rsid w:val="00983C25"/>
    <w:rsid w:val="009844C6"/>
    <w:rsid w:val="00984CE4"/>
    <w:rsid w:val="009856B7"/>
    <w:rsid w:val="00985C86"/>
    <w:rsid w:val="009900CB"/>
    <w:rsid w:val="009970C9"/>
    <w:rsid w:val="009A0E3D"/>
    <w:rsid w:val="009A26A2"/>
    <w:rsid w:val="009A3AC0"/>
    <w:rsid w:val="009A5FC3"/>
    <w:rsid w:val="009B0291"/>
    <w:rsid w:val="009B06A3"/>
    <w:rsid w:val="009B0CD8"/>
    <w:rsid w:val="009B0EDD"/>
    <w:rsid w:val="009B135B"/>
    <w:rsid w:val="009B41FE"/>
    <w:rsid w:val="009B4A0A"/>
    <w:rsid w:val="009B5008"/>
    <w:rsid w:val="009B74B0"/>
    <w:rsid w:val="009C07C2"/>
    <w:rsid w:val="009C0E07"/>
    <w:rsid w:val="009C1E52"/>
    <w:rsid w:val="009C59A9"/>
    <w:rsid w:val="009C6461"/>
    <w:rsid w:val="009D060D"/>
    <w:rsid w:val="009D1304"/>
    <w:rsid w:val="009D25E2"/>
    <w:rsid w:val="009D29BC"/>
    <w:rsid w:val="009D3285"/>
    <w:rsid w:val="009D3504"/>
    <w:rsid w:val="009D652D"/>
    <w:rsid w:val="009D6B46"/>
    <w:rsid w:val="009D75D1"/>
    <w:rsid w:val="009E11D9"/>
    <w:rsid w:val="009E285A"/>
    <w:rsid w:val="009F00D2"/>
    <w:rsid w:val="009F16E5"/>
    <w:rsid w:val="009F1B4F"/>
    <w:rsid w:val="009F435E"/>
    <w:rsid w:val="009F4940"/>
    <w:rsid w:val="009F5263"/>
    <w:rsid w:val="009F5BA1"/>
    <w:rsid w:val="009F5C1D"/>
    <w:rsid w:val="00A01941"/>
    <w:rsid w:val="00A02A88"/>
    <w:rsid w:val="00A03008"/>
    <w:rsid w:val="00A0321B"/>
    <w:rsid w:val="00A035B3"/>
    <w:rsid w:val="00A0496A"/>
    <w:rsid w:val="00A0562E"/>
    <w:rsid w:val="00A05DF7"/>
    <w:rsid w:val="00A0726D"/>
    <w:rsid w:val="00A112B9"/>
    <w:rsid w:val="00A1204C"/>
    <w:rsid w:val="00A14757"/>
    <w:rsid w:val="00A14FB0"/>
    <w:rsid w:val="00A22790"/>
    <w:rsid w:val="00A2318E"/>
    <w:rsid w:val="00A24ACB"/>
    <w:rsid w:val="00A26F36"/>
    <w:rsid w:val="00A3018C"/>
    <w:rsid w:val="00A328E1"/>
    <w:rsid w:val="00A32FBB"/>
    <w:rsid w:val="00A35BB1"/>
    <w:rsid w:val="00A428EE"/>
    <w:rsid w:val="00A42C94"/>
    <w:rsid w:val="00A43D39"/>
    <w:rsid w:val="00A44270"/>
    <w:rsid w:val="00A444EB"/>
    <w:rsid w:val="00A4466A"/>
    <w:rsid w:val="00A4478A"/>
    <w:rsid w:val="00A44852"/>
    <w:rsid w:val="00A50919"/>
    <w:rsid w:val="00A5494D"/>
    <w:rsid w:val="00A549C8"/>
    <w:rsid w:val="00A57CB3"/>
    <w:rsid w:val="00A57D04"/>
    <w:rsid w:val="00A60A26"/>
    <w:rsid w:val="00A61598"/>
    <w:rsid w:val="00A6175D"/>
    <w:rsid w:val="00A638CE"/>
    <w:rsid w:val="00A661AC"/>
    <w:rsid w:val="00A67697"/>
    <w:rsid w:val="00A703FE"/>
    <w:rsid w:val="00A7120D"/>
    <w:rsid w:val="00A718A6"/>
    <w:rsid w:val="00A718B6"/>
    <w:rsid w:val="00A71B78"/>
    <w:rsid w:val="00A7380A"/>
    <w:rsid w:val="00A82B1D"/>
    <w:rsid w:val="00A83439"/>
    <w:rsid w:val="00A834D1"/>
    <w:rsid w:val="00A84A99"/>
    <w:rsid w:val="00A84F46"/>
    <w:rsid w:val="00A84FB8"/>
    <w:rsid w:val="00A852AA"/>
    <w:rsid w:val="00A86902"/>
    <w:rsid w:val="00A871F4"/>
    <w:rsid w:val="00A9005F"/>
    <w:rsid w:val="00A9010F"/>
    <w:rsid w:val="00A904D8"/>
    <w:rsid w:val="00A974C9"/>
    <w:rsid w:val="00AA0CA5"/>
    <w:rsid w:val="00AA3511"/>
    <w:rsid w:val="00AA7AE5"/>
    <w:rsid w:val="00AA7B08"/>
    <w:rsid w:val="00AB41B7"/>
    <w:rsid w:val="00AB4BA1"/>
    <w:rsid w:val="00AB561F"/>
    <w:rsid w:val="00AB5A36"/>
    <w:rsid w:val="00AB68E8"/>
    <w:rsid w:val="00AB6C69"/>
    <w:rsid w:val="00AC1B2C"/>
    <w:rsid w:val="00AC3264"/>
    <w:rsid w:val="00AC667E"/>
    <w:rsid w:val="00AD00E5"/>
    <w:rsid w:val="00AD1391"/>
    <w:rsid w:val="00AD36D0"/>
    <w:rsid w:val="00AD3AF1"/>
    <w:rsid w:val="00AD41C7"/>
    <w:rsid w:val="00AD5B12"/>
    <w:rsid w:val="00AE1875"/>
    <w:rsid w:val="00AE1BF1"/>
    <w:rsid w:val="00AE1CD5"/>
    <w:rsid w:val="00AE1CD6"/>
    <w:rsid w:val="00AE249B"/>
    <w:rsid w:val="00AE666E"/>
    <w:rsid w:val="00AE735C"/>
    <w:rsid w:val="00AF046B"/>
    <w:rsid w:val="00AF0DD2"/>
    <w:rsid w:val="00AF2305"/>
    <w:rsid w:val="00AF5D1B"/>
    <w:rsid w:val="00AF63D6"/>
    <w:rsid w:val="00AF7513"/>
    <w:rsid w:val="00AF762B"/>
    <w:rsid w:val="00B00D02"/>
    <w:rsid w:val="00B02E9F"/>
    <w:rsid w:val="00B0533A"/>
    <w:rsid w:val="00B10FC4"/>
    <w:rsid w:val="00B1183E"/>
    <w:rsid w:val="00B13048"/>
    <w:rsid w:val="00B132FF"/>
    <w:rsid w:val="00B14255"/>
    <w:rsid w:val="00B1582C"/>
    <w:rsid w:val="00B1644A"/>
    <w:rsid w:val="00B1716D"/>
    <w:rsid w:val="00B17A1D"/>
    <w:rsid w:val="00B207A0"/>
    <w:rsid w:val="00B21852"/>
    <w:rsid w:val="00B27595"/>
    <w:rsid w:val="00B276EF"/>
    <w:rsid w:val="00B30218"/>
    <w:rsid w:val="00B30336"/>
    <w:rsid w:val="00B30B3C"/>
    <w:rsid w:val="00B32F62"/>
    <w:rsid w:val="00B33869"/>
    <w:rsid w:val="00B4033D"/>
    <w:rsid w:val="00B405AC"/>
    <w:rsid w:val="00B43C5F"/>
    <w:rsid w:val="00B44946"/>
    <w:rsid w:val="00B452D8"/>
    <w:rsid w:val="00B45EE3"/>
    <w:rsid w:val="00B4650B"/>
    <w:rsid w:val="00B4790E"/>
    <w:rsid w:val="00B514DD"/>
    <w:rsid w:val="00B5284A"/>
    <w:rsid w:val="00B52AF0"/>
    <w:rsid w:val="00B53798"/>
    <w:rsid w:val="00B561BD"/>
    <w:rsid w:val="00B56E03"/>
    <w:rsid w:val="00B6037E"/>
    <w:rsid w:val="00B61877"/>
    <w:rsid w:val="00B64252"/>
    <w:rsid w:val="00B6528C"/>
    <w:rsid w:val="00B67BC6"/>
    <w:rsid w:val="00B701E6"/>
    <w:rsid w:val="00B72136"/>
    <w:rsid w:val="00B75752"/>
    <w:rsid w:val="00B8080B"/>
    <w:rsid w:val="00B82780"/>
    <w:rsid w:val="00B86E66"/>
    <w:rsid w:val="00B87BA5"/>
    <w:rsid w:val="00B87C39"/>
    <w:rsid w:val="00B90043"/>
    <w:rsid w:val="00B97C24"/>
    <w:rsid w:val="00BA0FB3"/>
    <w:rsid w:val="00BA4665"/>
    <w:rsid w:val="00BA5AB7"/>
    <w:rsid w:val="00BA5F39"/>
    <w:rsid w:val="00BA68F3"/>
    <w:rsid w:val="00BB1027"/>
    <w:rsid w:val="00BB1484"/>
    <w:rsid w:val="00BB2FB2"/>
    <w:rsid w:val="00BB317C"/>
    <w:rsid w:val="00BB3304"/>
    <w:rsid w:val="00BB7CD2"/>
    <w:rsid w:val="00BC07C3"/>
    <w:rsid w:val="00BD2E47"/>
    <w:rsid w:val="00BD3446"/>
    <w:rsid w:val="00BE0E73"/>
    <w:rsid w:val="00BE1F1B"/>
    <w:rsid w:val="00BE28FF"/>
    <w:rsid w:val="00BE470C"/>
    <w:rsid w:val="00BE47B5"/>
    <w:rsid w:val="00BE6EE7"/>
    <w:rsid w:val="00BF0231"/>
    <w:rsid w:val="00BF2B24"/>
    <w:rsid w:val="00BF419C"/>
    <w:rsid w:val="00BF6ED8"/>
    <w:rsid w:val="00BF7A91"/>
    <w:rsid w:val="00C00229"/>
    <w:rsid w:val="00C00A11"/>
    <w:rsid w:val="00C016B9"/>
    <w:rsid w:val="00C05551"/>
    <w:rsid w:val="00C07FA6"/>
    <w:rsid w:val="00C12A4E"/>
    <w:rsid w:val="00C13D23"/>
    <w:rsid w:val="00C14580"/>
    <w:rsid w:val="00C16F28"/>
    <w:rsid w:val="00C179B7"/>
    <w:rsid w:val="00C208CC"/>
    <w:rsid w:val="00C2180A"/>
    <w:rsid w:val="00C219F5"/>
    <w:rsid w:val="00C22030"/>
    <w:rsid w:val="00C229E1"/>
    <w:rsid w:val="00C23131"/>
    <w:rsid w:val="00C23910"/>
    <w:rsid w:val="00C24EBE"/>
    <w:rsid w:val="00C25536"/>
    <w:rsid w:val="00C25592"/>
    <w:rsid w:val="00C25FA6"/>
    <w:rsid w:val="00C31090"/>
    <w:rsid w:val="00C32AD2"/>
    <w:rsid w:val="00C333AE"/>
    <w:rsid w:val="00C37435"/>
    <w:rsid w:val="00C4309E"/>
    <w:rsid w:val="00C43224"/>
    <w:rsid w:val="00C4341A"/>
    <w:rsid w:val="00C43606"/>
    <w:rsid w:val="00C43E71"/>
    <w:rsid w:val="00C46EBD"/>
    <w:rsid w:val="00C50B2D"/>
    <w:rsid w:val="00C511A0"/>
    <w:rsid w:val="00C51220"/>
    <w:rsid w:val="00C538A9"/>
    <w:rsid w:val="00C53B5A"/>
    <w:rsid w:val="00C54F5A"/>
    <w:rsid w:val="00C551F2"/>
    <w:rsid w:val="00C569B4"/>
    <w:rsid w:val="00C6395F"/>
    <w:rsid w:val="00C650B9"/>
    <w:rsid w:val="00C67A92"/>
    <w:rsid w:val="00C704E8"/>
    <w:rsid w:val="00C72D9A"/>
    <w:rsid w:val="00C74434"/>
    <w:rsid w:val="00C7580F"/>
    <w:rsid w:val="00C8222B"/>
    <w:rsid w:val="00C83285"/>
    <w:rsid w:val="00C8398D"/>
    <w:rsid w:val="00C86679"/>
    <w:rsid w:val="00C929CE"/>
    <w:rsid w:val="00C9360F"/>
    <w:rsid w:val="00C946AD"/>
    <w:rsid w:val="00C960AF"/>
    <w:rsid w:val="00CA013B"/>
    <w:rsid w:val="00CA1D52"/>
    <w:rsid w:val="00CA1EB5"/>
    <w:rsid w:val="00CA3411"/>
    <w:rsid w:val="00CA489E"/>
    <w:rsid w:val="00CA49C6"/>
    <w:rsid w:val="00CA62A2"/>
    <w:rsid w:val="00CA6D5E"/>
    <w:rsid w:val="00CA741B"/>
    <w:rsid w:val="00CB0279"/>
    <w:rsid w:val="00CB0443"/>
    <w:rsid w:val="00CB05CF"/>
    <w:rsid w:val="00CB11B1"/>
    <w:rsid w:val="00CB1368"/>
    <w:rsid w:val="00CB4A75"/>
    <w:rsid w:val="00CB666B"/>
    <w:rsid w:val="00CB723D"/>
    <w:rsid w:val="00CB72B2"/>
    <w:rsid w:val="00CB7F2E"/>
    <w:rsid w:val="00CC02E9"/>
    <w:rsid w:val="00CC5DB6"/>
    <w:rsid w:val="00CC7F1D"/>
    <w:rsid w:val="00CD2B8B"/>
    <w:rsid w:val="00CD4C19"/>
    <w:rsid w:val="00CD4C1B"/>
    <w:rsid w:val="00CD565C"/>
    <w:rsid w:val="00CD56E7"/>
    <w:rsid w:val="00CD5C47"/>
    <w:rsid w:val="00CE0819"/>
    <w:rsid w:val="00CE0869"/>
    <w:rsid w:val="00CF1635"/>
    <w:rsid w:val="00CF180C"/>
    <w:rsid w:val="00CF1A09"/>
    <w:rsid w:val="00CF5010"/>
    <w:rsid w:val="00CF55C0"/>
    <w:rsid w:val="00D006AE"/>
    <w:rsid w:val="00D006E8"/>
    <w:rsid w:val="00D014AE"/>
    <w:rsid w:val="00D01CF0"/>
    <w:rsid w:val="00D025B8"/>
    <w:rsid w:val="00D028DF"/>
    <w:rsid w:val="00D02CC9"/>
    <w:rsid w:val="00D0442A"/>
    <w:rsid w:val="00D04FAE"/>
    <w:rsid w:val="00D1109B"/>
    <w:rsid w:val="00D1137E"/>
    <w:rsid w:val="00D114C1"/>
    <w:rsid w:val="00D114FC"/>
    <w:rsid w:val="00D14A09"/>
    <w:rsid w:val="00D16082"/>
    <w:rsid w:val="00D203D2"/>
    <w:rsid w:val="00D213CD"/>
    <w:rsid w:val="00D23FB0"/>
    <w:rsid w:val="00D27AD2"/>
    <w:rsid w:val="00D27B2A"/>
    <w:rsid w:val="00D30015"/>
    <w:rsid w:val="00D30DB5"/>
    <w:rsid w:val="00D31E9C"/>
    <w:rsid w:val="00D33E7C"/>
    <w:rsid w:val="00D358B7"/>
    <w:rsid w:val="00D35D2F"/>
    <w:rsid w:val="00D416FE"/>
    <w:rsid w:val="00D4338A"/>
    <w:rsid w:val="00D447B9"/>
    <w:rsid w:val="00D47B05"/>
    <w:rsid w:val="00D53784"/>
    <w:rsid w:val="00D54AC1"/>
    <w:rsid w:val="00D5634F"/>
    <w:rsid w:val="00D6091C"/>
    <w:rsid w:val="00D60A9B"/>
    <w:rsid w:val="00D60FE3"/>
    <w:rsid w:val="00D61388"/>
    <w:rsid w:val="00D61A54"/>
    <w:rsid w:val="00D63117"/>
    <w:rsid w:val="00D64DEA"/>
    <w:rsid w:val="00D65088"/>
    <w:rsid w:val="00D67D71"/>
    <w:rsid w:val="00D7168E"/>
    <w:rsid w:val="00D71CC6"/>
    <w:rsid w:val="00D71E57"/>
    <w:rsid w:val="00D768A9"/>
    <w:rsid w:val="00D77C73"/>
    <w:rsid w:val="00D80893"/>
    <w:rsid w:val="00D8099B"/>
    <w:rsid w:val="00D80AD6"/>
    <w:rsid w:val="00D82A73"/>
    <w:rsid w:val="00D83857"/>
    <w:rsid w:val="00D84854"/>
    <w:rsid w:val="00D87B63"/>
    <w:rsid w:val="00D906B3"/>
    <w:rsid w:val="00D915DD"/>
    <w:rsid w:val="00D91C9A"/>
    <w:rsid w:val="00D921D3"/>
    <w:rsid w:val="00D92CF1"/>
    <w:rsid w:val="00D92D38"/>
    <w:rsid w:val="00D941BB"/>
    <w:rsid w:val="00D941D2"/>
    <w:rsid w:val="00D94DAD"/>
    <w:rsid w:val="00D950F5"/>
    <w:rsid w:val="00D969B4"/>
    <w:rsid w:val="00D979E8"/>
    <w:rsid w:val="00D97C98"/>
    <w:rsid w:val="00D97EF6"/>
    <w:rsid w:val="00DA0ED6"/>
    <w:rsid w:val="00DA1874"/>
    <w:rsid w:val="00DA1C52"/>
    <w:rsid w:val="00DA473E"/>
    <w:rsid w:val="00DA4752"/>
    <w:rsid w:val="00DA61F3"/>
    <w:rsid w:val="00DB0F93"/>
    <w:rsid w:val="00DB1A67"/>
    <w:rsid w:val="00DB1DDE"/>
    <w:rsid w:val="00DB23EF"/>
    <w:rsid w:val="00DB255D"/>
    <w:rsid w:val="00DB41A7"/>
    <w:rsid w:val="00DB4527"/>
    <w:rsid w:val="00DB5074"/>
    <w:rsid w:val="00DB795F"/>
    <w:rsid w:val="00DC043E"/>
    <w:rsid w:val="00DC318F"/>
    <w:rsid w:val="00DC32A8"/>
    <w:rsid w:val="00DC34ED"/>
    <w:rsid w:val="00DC3CC8"/>
    <w:rsid w:val="00DC4EE8"/>
    <w:rsid w:val="00DC6E05"/>
    <w:rsid w:val="00DC74A1"/>
    <w:rsid w:val="00DC7981"/>
    <w:rsid w:val="00DD0BA1"/>
    <w:rsid w:val="00DD3E8B"/>
    <w:rsid w:val="00DD50D2"/>
    <w:rsid w:val="00DE0799"/>
    <w:rsid w:val="00DE0AD9"/>
    <w:rsid w:val="00DE0E16"/>
    <w:rsid w:val="00DE1093"/>
    <w:rsid w:val="00DE1EA5"/>
    <w:rsid w:val="00DE1EE2"/>
    <w:rsid w:val="00DE3B43"/>
    <w:rsid w:val="00DE4EFA"/>
    <w:rsid w:val="00DE5520"/>
    <w:rsid w:val="00DE563D"/>
    <w:rsid w:val="00DE579E"/>
    <w:rsid w:val="00DE57B0"/>
    <w:rsid w:val="00DE5EE5"/>
    <w:rsid w:val="00DF064A"/>
    <w:rsid w:val="00DF06A5"/>
    <w:rsid w:val="00DF46AA"/>
    <w:rsid w:val="00DF5D0A"/>
    <w:rsid w:val="00DF5EBB"/>
    <w:rsid w:val="00DF78F4"/>
    <w:rsid w:val="00DF7CCA"/>
    <w:rsid w:val="00E030B5"/>
    <w:rsid w:val="00E031AA"/>
    <w:rsid w:val="00E03A60"/>
    <w:rsid w:val="00E04818"/>
    <w:rsid w:val="00E06442"/>
    <w:rsid w:val="00E0765B"/>
    <w:rsid w:val="00E1002B"/>
    <w:rsid w:val="00E10571"/>
    <w:rsid w:val="00E105E6"/>
    <w:rsid w:val="00E1146E"/>
    <w:rsid w:val="00E145FB"/>
    <w:rsid w:val="00E1469B"/>
    <w:rsid w:val="00E152DE"/>
    <w:rsid w:val="00E20B76"/>
    <w:rsid w:val="00E232CE"/>
    <w:rsid w:val="00E23993"/>
    <w:rsid w:val="00E252E8"/>
    <w:rsid w:val="00E25825"/>
    <w:rsid w:val="00E25B8C"/>
    <w:rsid w:val="00E261C2"/>
    <w:rsid w:val="00E31779"/>
    <w:rsid w:val="00E31932"/>
    <w:rsid w:val="00E322B1"/>
    <w:rsid w:val="00E32658"/>
    <w:rsid w:val="00E327A0"/>
    <w:rsid w:val="00E34D7E"/>
    <w:rsid w:val="00E35A69"/>
    <w:rsid w:val="00E36607"/>
    <w:rsid w:val="00E37486"/>
    <w:rsid w:val="00E419A2"/>
    <w:rsid w:val="00E4251C"/>
    <w:rsid w:val="00E426A2"/>
    <w:rsid w:val="00E427CE"/>
    <w:rsid w:val="00E44700"/>
    <w:rsid w:val="00E47542"/>
    <w:rsid w:val="00E52E10"/>
    <w:rsid w:val="00E53289"/>
    <w:rsid w:val="00E53FB8"/>
    <w:rsid w:val="00E54A59"/>
    <w:rsid w:val="00E60731"/>
    <w:rsid w:val="00E65A3A"/>
    <w:rsid w:val="00E65C85"/>
    <w:rsid w:val="00E66199"/>
    <w:rsid w:val="00E66CCE"/>
    <w:rsid w:val="00E738EE"/>
    <w:rsid w:val="00E75311"/>
    <w:rsid w:val="00E755EC"/>
    <w:rsid w:val="00E7624D"/>
    <w:rsid w:val="00E77248"/>
    <w:rsid w:val="00E810C8"/>
    <w:rsid w:val="00E81E8D"/>
    <w:rsid w:val="00E840BD"/>
    <w:rsid w:val="00E87134"/>
    <w:rsid w:val="00E8768B"/>
    <w:rsid w:val="00E907CF"/>
    <w:rsid w:val="00E91BD7"/>
    <w:rsid w:val="00E934D3"/>
    <w:rsid w:val="00E94FB6"/>
    <w:rsid w:val="00E964CE"/>
    <w:rsid w:val="00E9661A"/>
    <w:rsid w:val="00E96C7D"/>
    <w:rsid w:val="00E96D54"/>
    <w:rsid w:val="00E97837"/>
    <w:rsid w:val="00EA030E"/>
    <w:rsid w:val="00EA0B78"/>
    <w:rsid w:val="00EA2027"/>
    <w:rsid w:val="00EA261F"/>
    <w:rsid w:val="00EA3D42"/>
    <w:rsid w:val="00EA44F0"/>
    <w:rsid w:val="00EA630E"/>
    <w:rsid w:val="00EA6B1B"/>
    <w:rsid w:val="00EA77BF"/>
    <w:rsid w:val="00EB1E0F"/>
    <w:rsid w:val="00EB297A"/>
    <w:rsid w:val="00EB41C0"/>
    <w:rsid w:val="00EB4FD4"/>
    <w:rsid w:val="00EB4FEE"/>
    <w:rsid w:val="00EB5B41"/>
    <w:rsid w:val="00EB7DFF"/>
    <w:rsid w:val="00EC04DB"/>
    <w:rsid w:val="00EC2ECA"/>
    <w:rsid w:val="00EC34C6"/>
    <w:rsid w:val="00EC387C"/>
    <w:rsid w:val="00EC451C"/>
    <w:rsid w:val="00EC45A9"/>
    <w:rsid w:val="00EC536C"/>
    <w:rsid w:val="00EC606B"/>
    <w:rsid w:val="00ED3A67"/>
    <w:rsid w:val="00ED7323"/>
    <w:rsid w:val="00EE28F3"/>
    <w:rsid w:val="00EE42E5"/>
    <w:rsid w:val="00EE46A4"/>
    <w:rsid w:val="00EE4730"/>
    <w:rsid w:val="00EE50C7"/>
    <w:rsid w:val="00EF223E"/>
    <w:rsid w:val="00EF407C"/>
    <w:rsid w:val="00EF5110"/>
    <w:rsid w:val="00EF7305"/>
    <w:rsid w:val="00EF7A35"/>
    <w:rsid w:val="00EF7C60"/>
    <w:rsid w:val="00F0054B"/>
    <w:rsid w:val="00F0106C"/>
    <w:rsid w:val="00F02F3B"/>
    <w:rsid w:val="00F030C3"/>
    <w:rsid w:val="00F04784"/>
    <w:rsid w:val="00F0731B"/>
    <w:rsid w:val="00F0746E"/>
    <w:rsid w:val="00F07C30"/>
    <w:rsid w:val="00F10411"/>
    <w:rsid w:val="00F104E7"/>
    <w:rsid w:val="00F1167F"/>
    <w:rsid w:val="00F1192C"/>
    <w:rsid w:val="00F12EA2"/>
    <w:rsid w:val="00F14240"/>
    <w:rsid w:val="00F15223"/>
    <w:rsid w:val="00F15882"/>
    <w:rsid w:val="00F162DF"/>
    <w:rsid w:val="00F165CB"/>
    <w:rsid w:val="00F171E0"/>
    <w:rsid w:val="00F179ED"/>
    <w:rsid w:val="00F20BD3"/>
    <w:rsid w:val="00F21296"/>
    <w:rsid w:val="00F21A3A"/>
    <w:rsid w:val="00F225E3"/>
    <w:rsid w:val="00F26DC2"/>
    <w:rsid w:val="00F2786E"/>
    <w:rsid w:val="00F27E69"/>
    <w:rsid w:val="00F3078E"/>
    <w:rsid w:val="00F3122D"/>
    <w:rsid w:val="00F328C7"/>
    <w:rsid w:val="00F33670"/>
    <w:rsid w:val="00F341EF"/>
    <w:rsid w:val="00F35A58"/>
    <w:rsid w:val="00F373A5"/>
    <w:rsid w:val="00F3772C"/>
    <w:rsid w:val="00F41D42"/>
    <w:rsid w:val="00F42262"/>
    <w:rsid w:val="00F42A9B"/>
    <w:rsid w:val="00F43C19"/>
    <w:rsid w:val="00F43CD6"/>
    <w:rsid w:val="00F47559"/>
    <w:rsid w:val="00F47DD3"/>
    <w:rsid w:val="00F54B82"/>
    <w:rsid w:val="00F5558F"/>
    <w:rsid w:val="00F566BD"/>
    <w:rsid w:val="00F60D0D"/>
    <w:rsid w:val="00F6123C"/>
    <w:rsid w:val="00F644B3"/>
    <w:rsid w:val="00F64C7B"/>
    <w:rsid w:val="00F652B2"/>
    <w:rsid w:val="00F65E05"/>
    <w:rsid w:val="00F676DD"/>
    <w:rsid w:val="00F7010D"/>
    <w:rsid w:val="00F7104C"/>
    <w:rsid w:val="00F73B92"/>
    <w:rsid w:val="00F74582"/>
    <w:rsid w:val="00F74B90"/>
    <w:rsid w:val="00F75251"/>
    <w:rsid w:val="00F75A26"/>
    <w:rsid w:val="00F76706"/>
    <w:rsid w:val="00F77291"/>
    <w:rsid w:val="00F77C2C"/>
    <w:rsid w:val="00F837F4"/>
    <w:rsid w:val="00F83FAD"/>
    <w:rsid w:val="00F86A91"/>
    <w:rsid w:val="00F8718A"/>
    <w:rsid w:val="00F952A0"/>
    <w:rsid w:val="00F958CC"/>
    <w:rsid w:val="00FA2C6F"/>
    <w:rsid w:val="00FA3B40"/>
    <w:rsid w:val="00FA3C7F"/>
    <w:rsid w:val="00FA5704"/>
    <w:rsid w:val="00FA68B9"/>
    <w:rsid w:val="00FA6D21"/>
    <w:rsid w:val="00FA751C"/>
    <w:rsid w:val="00FA7E74"/>
    <w:rsid w:val="00FB29D4"/>
    <w:rsid w:val="00FB69D7"/>
    <w:rsid w:val="00FB6AC0"/>
    <w:rsid w:val="00FB6B2D"/>
    <w:rsid w:val="00FB70B5"/>
    <w:rsid w:val="00FB74E2"/>
    <w:rsid w:val="00FC0B65"/>
    <w:rsid w:val="00FC10C4"/>
    <w:rsid w:val="00FC6F26"/>
    <w:rsid w:val="00FD07A4"/>
    <w:rsid w:val="00FD284E"/>
    <w:rsid w:val="00FD3AFB"/>
    <w:rsid w:val="00FD5614"/>
    <w:rsid w:val="00FE03C2"/>
    <w:rsid w:val="00FE08B1"/>
    <w:rsid w:val="00FE0BE1"/>
    <w:rsid w:val="00FE0FA6"/>
    <w:rsid w:val="00FE169C"/>
    <w:rsid w:val="00FE17C4"/>
    <w:rsid w:val="00FE1DE9"/>
    <w:rsid w:val="00FE31B1"/>
    <w:rsid w:val="00FE36AF"/>
    <w:rsid w:val="00FE39C2"/>
    <w:rsid w:val="00FE3C32"/>
    <w:rsid w:val="00FE4DBB"/>
    <w:rsid w:val="00FE5E94"/>
    <w:rsid w:val="00FE64AE"/>
    <w:rsid w:val="00FF1673"/>
    <w:rsid w:val="00FF171B"/>
    <w:rsid w:val="00FF1D25"/>
    <w:rsid w:val="00FF31D5"/>
    <w:rsid w:val="00FF3688"/>
    <w:rsid w:val="00FF4C94"/>
    <w:rsid w:val="00FF7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E45A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4E45AC"/>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ind w:left="1021" w:hanging="102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D7BA2"/>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8C3676"/>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8C3676"/>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8C3676"/>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8C3676"/>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8C3676"/>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03223">
      <w:bodyDiv w:val="1"/>
      <w:marLeft w:val="0"/>
      <w:marRight w:val="0"/>
      <w:marTop w:val="0"/>
      <w:marBottom w:val="0"/>
      <w:divBdr>
        <w:top w:val="none" w:sz="0" w:space="0" w:color="auto"/>
        <w:left w:val="none" w:sz="0" w:space="0" w:color="auto"/>
        <w:bottom w:val="none" w:sz="0" w:space="0" w:color="auto"/>
        <w:right w:val="none" w:sz="0" w:space="0" w:color="auto"/>
      </w:divBdr>
    </w:div>
    <w:div w:id="188031920">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562570146">
      <w:bodyDiv w:val="1"/>
      <w:marLeft w:val="0"/>
      <w:marRight w:val="0"/>
      <w:marTop w:val="0"/>
      <w:marBottom w:val="0"/>
      <w:divBdr>
        <w:top w:val="none" w:sz="0" w:space="0" w:color="auto"/>
        <w:left w:val="none" w:sz="0" w:space="0" w:color="auto"/>
        <w:bottom w:val="none" w:sz="0" w:space="0" w:color="auto"/>
        <w:right w:val="none" w:sz="0" w:space="0" w:color="auto"/>
      </w:divBdr>
    </w:div>
    <w:div w:id="581253933">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656421665">
      <w:bodyDiv w:val="1"/>
      <w:marLeft w:val="0"/>
      <w:marRight w:val="0"/>
      <w:marTop w:val="0"/>
      <w:marBottom w:val="0"/>
      <w:divBdr>
        <w:top w:val="none" w:sz="0" w:space="0" w:color="auto"/>
        <w:left w:val="none" w:sz="0" w:space="0" w:color="auto"/>
        <w:bottom w:val="none" w:sz="0" w:space="0" w:color="auto"/>
        <w:right w:val="none" w:sz="0" w:space="0" w:color="auto"/>
      </w:divBdr>
    </w:div>
    <w:div w:id="896359378">
      <w:bodyDiv w:val="1"/>
      <w:marLeft w:val="0"/>
      <w:marRight w:val="0"/>
      <w:marTop w:val="0"/>
      <w:marBottom w:val="0"/>
      <w:divBdr>
        <w:top w:val="none" w:sz="0" w:space="0" w:color="auto"/>
        <w:left w:val="none" w:sz="0" w:space="0" w:color="auto"/>
        <w:bottom w:val="none" w:sz="0" w:space="0" w:color="auto"/>
        <w:right w:val="none" w:sz="0" w:space="0" w:color="auto"/>
      </w:divBdr>
    </w:div>
    <w:div w:id="970400598">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130438336">
      <w:bodyDiv w:val="1"/>
      <w:marLeft w:val="0"/>
      <w:marRight w:val="0"/>
      <w:marTop w:val="0"/>
      <w:marBottom w:val="0"/>
      <w:divBdr>
        <w:top w:val="none" w:sz="0" w:space="0" w:color="auto"/>
        <w:left w:val="none" w:sz="0" w:space="0" w:color="auto"/>
        <w:bottom w:val="none" w:sz="0" w:space="0" w:color="auto"/>
        <w:right w:val="none" w:sz="0" w:space="0" w:color="auto"/>
      </w:divBdr>
    </w:div>
    <w:div w:id="1437409902">
      <w:bodyDiv w:val="1"/>
      <w:marLeft w:val="0"/>
      <w:marRight w:val="0"/>
      <w:marTop w:val="0"/>
      <w:marBottom w:val="0"/>
      <w:divBdr>
        <w:top w:val="none" w:sz="0" w:space="0" w:color="auto"/>
        <w:left w:val="none" w:sz="0" w:space="0" w:color="auto"/>
        <w:bottom w:val="none" w:sz="0" w:space="0" w:color="auto"/>
        <w:right w:val="none" w:sz="0" w:space="0" w:color="auto"/>
      </w:divBdr>
    </w:div>
    <w:div w:id="1469516817">
      <w:bodyDiv w:val="1"/>
      <w:marLeft w:val="0"/>
      <w:marRight w:val="0"/>
      <w:marTop w:val="0"/>
      <w:marBottom w:val="0"/>
      <w:divBdr>
        <w:top w:val="none" w:sz="0" w:space="0" w:color="auto"/>
        <w:left w:val="none" w:sz="0" w:space="0" w:color="auto"/>
        <w:bottom w:val="none" w:sz="0" w:space="0" w:color="auto"/>
        <w:right w:val="none" w:sz="0" w:space="0" w:color="auto"/>
      </w:divBdr>
    </w:div>
    <w:div w:id="1553691637">
      <w:bodyDiv w:val="1"/>
      <w:marLeft w:val="0"/>
      <w:marRight w:val="0"/>
      <w:marTop w:val="0"/>
      <w:marBottom w:val="0"/>
      <w:divBdr>
        <w:top w:val="none" w:sz="0" w:space="0" w:color="auto"/>
        <w:left w:val="none" w:sz="0" w:space="0" w:color="auto"/>
        <w:bottom w:val="none" w:sz="0" w:space="0" w:color="auto"/>
        <w:right w:val="none" w:sz="0" w:space="0" w:color="auto"/>
      </w:divBdr>
    </w:div>
    <w:div w:id="1691683986">
      <w:bodyDiv w:val="1"/>
      <w:marLeft w:val="0"/>
      <w:marRight w:val="0"/>
      <w:marTop w:val="0"/>
      <w:marBottom w:val="0"/>
      <w:divBdr>
        <w:top w:val="none" w:sz="0" w:space="0" w:color="auto"/>
        <w:left w:val="none" w:sz="0" w:space="0" w:color="auto"/>
        <w:bottom w:val="none" w:sz="0" w:space="0" w:color="auto"/>
        <w:right w:val="none" w:sz="0" w:space="0" w:color="auto"/>
      </w:divBdr>
    </w:div>
    <w:div w:id="1851525272">
      <w:bodyDiv w:val="1"/>
      <w:marLeft w:val="0"/>
      <w:marRight w:val="0"/>
      <w:marTop w:val="0"/>
      <w:marBottom w:val="0"/>
      <w:divBdr>
        <w:top w:val="none" w:sz="0" w:space="0" w:color="auto"/>
        <w:left w:val="none" w:sz="0" w:space="0" w:color="auto"/>
        <w:bottom w:val="none" w:sz="0" w:space="0" w:color="auto"/>
        <w:right w:val="none" w:sz="0" w:space="0" w:color="auto"/>
      </w:divBdr>
    </w:div>
    <w:div w:id="19886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C81F7D-503F-4432-8415-3C10EBA6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8994D658</Template>
  <TotalTime>0</TotalTime>
  <Pages>22</Pages>
  <Words>5928</Words>
  <Characters>33796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2015-12-06T22:50:00Z</dcterms:created>
  <dcterms:modified xsi:type="dcterms:W3CDTF">2015-12-06T22:50:00Z</dcterms:modified>
</cp:coreProperties>
</file>