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CC49D4" w:rsidP="00F97CD9">
      <w:pPr>
        <w:pStyle w:val="HeadingOrange"/>
      </w:pPr>
      <w:bookmarkStart w:id="0" w:name="_GoBack"/>
      <w:bookmarkEnd w:id="0"/>
      <w:r w:rsidRPr="00824CC8">
        <w:rPr>
          <w:noProof/>
          <w:lang w:eastAsia="en-AU"/>
        </w:rPr>
        <w:drawing>
          <wp:anchor distT="0" distB="0" distL="114300" distR="114300" simplePos="0" relativeHeight="251661312" behindDoc="1" locked="0" layoutInCell="1" allowOverlap="1" wp14:anchorId="22F937A4" wp14:editId="4DD85576">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EF0E19" w:rsidRPr="00824CC8">
        <w:rPr>
          <w:noProof/>
          <w:lang w:eastAsia="en-AU"/>
        </w:rPr>
        <w:drawing>
          <wp:anchor distT="0" distB="0" distL="114300" distR="114300" simplePos="0" relativeHeight="251663360" behindDoc="1" locked="0" layoutInCell="1" allowOverlap="1" wp14:anchorId="7F536342" wp14:editId="3D13E18C">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r w:rsidR="005E44FA">
        <w:t>For</w:t>
      </w:r>
    </w:p>
    <w:p w:rsidR="00EF0E19" w:rsidRDefault="00EF0E19" w:rsidP="00EF0E19"/>
    <w:p w:rsidR="00EF0E19" w:rsidRDefault="00EF0E19" w:rsidP="00EF0E19"/>
    <w:p w:rsidR="00EF0E19" w:rsidRDefault="00EF0E19" w:rsidP="00EF0E19">
      <w:bookmarkStart w:id="1" w:name="OLE_LINK1"/>
      <w:bookmarkStart w:id="2" w:name="OLE_LINK2"/>
    </w:p>
    <w:p w:rsidR="00EF0E19" w:rsidRDefault="00EF0E19" w:rsidP="00EF0E19"/>
    <w:p w:rsidR="00EF0E19" w:rsidRDefault="00EF0E19" w:rsidP="00EF0E19"/>
    <w:p w:rsidR="00EF0E19" w:rsidRDefault="00EF0E19" w:rsidP="00EF0E19"/>
    <w:p w:rsidR="00EF0E19" w:rsidRDefault="00EF0E19" w:rsidP="00EF0E19"/>
    <w:p w:rsidR="00EF0E19" w:rsidRDefault="00EF0E19" w:rsidP="00EF0E19">
      <w:pPr>
        <w:pStyle w:val="AERtitle1"/>
      </w:pPr>
    </w:p>
    <w:p w:rsidR="00EF0E19" w:rsidRDefault="00C50E31" w:rsidP="00EF0E19">
      <w:pPr>
        <w:pStyle w:val="AERtitle1"/>
      </w:pPr>
      <w:r>
        <w:t>Determination</w:t>
      </w:r>
    </w:p>
    <w:p w:rsidR="00EF0E19" w:rsidRDefault="003E08A7" w:rsidP="00EF0E19">
      <w:pPr>
        <w:pStyle w:val="AERtitle1"/>
      </w:pPr>
      <w:r w:rsidRPr="003E08A7">
        <w:t xml:space="preserve">ActewAGL Distribution’s request for </w:t>
      </w:r>
      <w:r>
        <w:t>schemes</w:t>
      </w:r>
      <w:r w:rsidRPr="003E08A7">
        <w:t xml:space="preserve"> to be determined as jurisdictional schemes </w:t>
      </w:r>
    </w:p>
    <w:p w:rsidR="00EF0E19" w:rsidRDefault="00EF0E19" w:rsidP="00EF0E19"/>
    <w:p w:rsidR="00EF0E19" w:rsidRDefault="00EF0E19" w:rsidP="00EF0E19"/>
    <w:p w:rsidR="00EF0E19" w:rsidRPr="00F6235D" w:rsidRDefault="00EF0E19" w:rsidP="00EF0E19"/>
    <w:bookmarkEnd w:id="1"/>
    <w:bookmarkEnd w:id="2"/>
    <w:p w:rsidR="00EF0E19" w:rsidRDefault="003E08A7" w:rsidP="00EF0E19">
      <w:pPr>
        <w:pStyle w:val="AERtitle2"/>
      </w:pPr>
      <w:r>
        <w:t>January</w:t>
      </w:r>
      <w:r w:rsidR="003F2E0F">
        <w:t xml:space="preserve"> 201</w:t>
      </w:r>
      <w:r>
        <w:t>4</w:t>
      </w:r>
    </w:p>
    <w:p w:rsidR="00EF0E19" w:rsidRPr="00824CC8" w:rsidRDefault="00EF0E19" w:rsidP="00824CC8">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xml:space="preserve">© Commonwealth of Australia </w:t>
      </w:r>
      <w:r w:rsidR="00DA35DF">
        <w:rPr>
          <w:rStyle w:val="AERtextbold"/>
        </w:rPr>
        <w:t>201</w:t>
      </w:r>
      <w:r w:rsidR="003E08A7">
        <w:rPr>
          <w:rStyle w:val="AERtextbold"/>
        </w:rPr>
        <w:t>4</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9" w:history="1">
        <w:r w:rsidRPr="003E184A">
          <w:rPr>
            <w:rStyle w:val="Hyperlink"/>
          </w:rPr>
          <w:t>AERInquiry@aer.gov.au</w:t>
        </w:r>
      </w:hyperlink>
    </w:p>
    <w:p w:rsidR="00EF0E19" w:rsidRPr="008F1A4A" w:rsidRDefault="00EF0E19" w:rsidP="00EF0E19"/>
    <w:p w:rsidR="00DA35DF" w:rsidRDefault="00EF0E19" w:rsidP="00DA35DF">
      <w:r>
        <w:t xml:space="preserve">AER reference:   </w:t>
      </w:r>
      <w:r w:rsidR="003E08A7">
        <w:t>53600</w:t>
      </w:r>
    </w:p>
    <w:p w:rsidR="00EF0E19" w:rsidRPr="00F6235D" w:rsidRDefault="00EF0E19" w:rsidP="00EF0E19">
      <w:pPr>
        <w:pStyle w:val="AERtitle2"/>
      </w:pPr>
    </w:p>
    <w:p w:rsidR="00EF0E19" w:rsidRPr="00F6235D" w:rsidRDefault="00EF0E19" w:rsidP="00EF0E19">
      <w:r w:rsidRPr="00F6235D">
        <w:t xml:space="preserve"> </w:t>
      </w:r>
    </w:p>
    <w:p w:rsidR="00EF0E19" w:rsidRDefault="00EF0E19" w:rsidP="00EF0E19">
      <w:pPr>
        <w:sectPr w:rsidR="00EF0E19" w:rsidSect="00535F81">
          <w:footerReference w:type="even" r:id="rId10"/>
          <w:footerReference w:type="default" r:id="rId11"/>
          <w:pgSz w:w="11906" w:h="16838" w:code="9"/>
          <w:pgMar w:top="1440" w:right="1440" w:bottom="1440" w:left="1440" w:header="709" w:footer="709" w:gutter="0"/>
          <w:pgNumType w:fmt="lowerRoman"/>
          <w:cols w:space="708"/>
          <w:docGrid w:linePitch="360"/>
        </w:sectPr>
      </w:pPr>
    </w:p>
    <w:p w:rsidR="003F2E0F" w:rsidRDefault="00DA35DF" w:rsidP="00DA35DF">
      <w:pPr>
        <w:pStyle w:val="UnnumberedHeading"/>
      </w:pPr>
      <w:bookmarkStart w:id="3" w:name="_Toc317520245"/>
      <w:bookmarkStart w:id="4" w:name="_Toc377723838"/>
      <w:r w:rsidRPr="00DA35DF">
        <w:lastRenderedPageBreak/>
        <w:t>Contents</w:t>
      </w:r>
      <w:bookmarkEnd w:id="3"/>
      <w:bookmarkEnd w:id="4"/>
    </w:p>
    <w:sdt>
      <w:sdtPr>
        <w:rPr>
          <w:rFonts w:ascii="Gautami" w:eastAsia="Calibri" w:hAnsi="Gautami"/>
          <w:b w:val="0"/>
          <w:bCs w:val="0"/>
          <w:color w:val="auto"/>
          <w:sz w:val="20"/>
          <w:szCs w:val="20"/>
          <w:lang w:val="en-AU"/>
        </w:rPr>
        <w:id w:val="776982464"/>
        <w:docPartObj>
          <w:docPartGallery w:val="Table of Contents"/>
          <w:docPartUnique/>
        </w:docPartObj>
      </w:sdtPr>
      <w:sdtEndPr/>
      <w:sdtContent>
        <w:p w:rsidR="003F2E0F" w:rsidRPr="003F2E0F" w:rsidRDefault="003F2E0F">
          <w:pPr>
            <w:pStyle w:val="TOCHeading"/>
          </w:pPr>
        </w:p>
        <w:p w:rsidR="00447D31" w:rsidRDefault="003F2E0F">
          <w:pPr>
            <w:pStyle w:val="TOC1"/>
            <w:tabs>
              <w:tab w:val="right" w:leader="dot" w:pos="9016"/>
            </w:tabs>
            <w:rPr>
              <w:rFonts w:asciiTheme="minorHAnsi" w:eastAsiaTheme="minorEastAsia" w:hAnsiTheme="minorHAnsi" w:cstheme="minorBidi"/>
              <w:b w:val="0"/>
              <w:bCs w:val="0"/>
              <w:noProof/>
              <w:sz w:val="22"/>
              <w:szCs w:val="22"/>
              <w:lang w:eastAsia="en-AU"/>
            </w:rPr>
          </w:pPr>
          <w:r w:rsidRPr="003F2E0F">
            <w:fldChar w:fldCharType="begin"/>
          </w:r>
          <w:r w:rsidRPr="003F2E0F">
            <w:instrText xml:space="preserve"> TOC \o "1-3" \h \z \u </w:instrText>
          </w:r>
          <w:r w:rsidRPr="003F2E0F">
            <w:fldChar w:fldCharType="separate"/>
          </w:r>
          <w:hyperlink w:anchor="_Toc377723838" w:history="1">
            <w:r w:rsidR="00447D31" w:rsidRPr="002C6F6D">
              <w:rPr>
                <w:rStyle w:val="Hyperlink"/>
                <w:noProof/>
              </w:rPr>
              <w:t>Contents</w:t>
            </w:r>
            <w:r w:rsidR="00447D31">
              <w:rPr>
                <w:noProof/>
                <w:webHidden/>
              </w:rPr>
              <w:tab/>
            </w:r>
            <w:r w:rsidR="00447D31">
              <w:rPr>
                <w:noProof/>
                <w:webHidden/>
              </w:rPr>
              <w:fldChar w:fldCharType="begin"/>
            </w:r>
            <w:r w:rsidR="00447D31">
              <w:rPr>
                <w:noProof/>
                <w:webHidden/>
              </w:rPr>
              <w:instrText xml:space="preserve"> PAGEREF _Toc377723838 \h </w:instrText>
            </w:r>
            <w:r w:rsidR="00447D31">
              <w:rPr>
                <w:noProof/>
                <w:webHidden/>
              </w:rPr>
            </w:r>
            <w:r w:rsidR="00447D31">
              <w:rPr>
                <w:noProof/>
                <w:webHidden/>
              </w:rPr>
              <w:fldChar w:fldCharType="separate"/>
            </w:r>
            <w:r w:rsidR="00A46800">
              <w:rPr>
                <w:noProof/>
                <w:webHidden/>
              </w:rPr>
              <w:t>3</w:t>
            </w:r>
            <w:r w:rsidR="00447D31">
              <w:rPr>
                <w:noProof/>
                <w:webHidden/>
              </w:rPr>
              <w:fldChar w:fldCharType="end"/>
            </w:r>
          </w:hyperlink>
        </w:p>
        <w:p w:rsidR="00447D31" w:rsidRDefault="00BF697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7723839" w:history="1">
            <w:r w:rsidR="00447D31" w:rsidRPr="002C6F6D">
              <w:rPr>
                <w:rStyle w:val="Hyperlink"/>
                <w:noProof/>
              </w:rPr>
              <w:t>Shortened forms</w:t>
            </w:r>
            <w:r w:rsidR="00447D31">
              <w:rPr>
                <w:noProof/>
                <w:webHidden/>
              </w:rPr>
              <w:tab/>
            </w:r>
            <w:r w:rsidR="00447D31">
              <w:rPr>
                <w:noProof/>
                <w:webHidden/>
              </w:rPr>
              <w:fldChar w:fldCharType="begin"/>
            </w:r>
            <w:r w:rsidR="00447D31">
              <w:rPr>
                <w:noProof/>
                <w:webHidden/>
              </w:rPr>
              <w:instrText xml:space="preserve"> PAGEREF _Toc377723839 \h </w:instrText>
            </w:r>
            <w:r w:rsidR="00447D31">
              <w:rPr>
                <w:noProof/>
                <w:webHidden/>
              </w:rPr>
            </w:r>
            <w:r w:rsidR="00447D31">
              <w:rPr>
                <w:noProof/>
                <w:webHidden/>
              </w:rPr>
              <w:fldChar w:fldCharType="separate"/>
            </w:r>
            <w:r w:rsidR="00A46800">
              <w:rPr>
                <w:noProof/>
                <w:webHidden/>
              </w:rPr>
              <w:t>4</w:t>
            </w:r>
            <w:r w:rsidR="00447D31">
              <w:rPr>
                <w:noProof/>
                <w:webHidden/>
              </w:rPr>
              <w:fldChar w:fldCharType="end"/>
            </w:r>
          </w:hyperlink>
        </w:p>
        <w:p w:rsidR="00447D31" w:rsidRDefault="00BF697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7723840" w:history="1">
            <w:r w:rsidR="00447D31" w:rsidRPr="002C6F6D">
              <w:rPr>
                <w:rStyle w:val="Hyperlink"/>
                <w:noProof/>
              </w:rPr>
              <w:t>Overview</w:t>
            </w:r>
            <w:r w:rsidR="00447D31">
              <w:rPr>
                <w:noProof/>
                <w:webHidden/>
              </w:rPr>
              <w:tab/>
            </w:r>
            <w:r w:rsidR="00447D31">
              <w:rPr>
                <w:noProof/>
                <w:webHidden/>
              </w:rPr>
              <w:fldChar w:fldCharType="begin"/>
            </w:r>
            <w:r w:rsidR="00447D31">
              <w:rPr>
                <w:noProof/>
                <w:webHidden/>
              </w:rPr>
              <w:instrText xml:space="preserve"> PAGEREF _Toc377723840 \h </w:instrText>
            </w:r>
            <w:r w:rsidR="00447D31">
              <w:rPr>
                <w:noProof/>
                <w:webHidden/>
              </w:rPr>
            </w:r>
            <w:r w:rsidR="00447D31">
              <w:rPr>
                <w:noProof/>
                <w:webHidden/>
              </w:rPr>
              <w:fldChar w:fldCharType="separate"/>
            </w:r>
            <w:r w:rsidR="00A46800">
              <w:rPr>
                <w:noProof/>
                <w:webHidden/>
              </w:rPr>
              <w:t>5</w:t>
            </w:r>
            <w:r w:rsidR="00447D31">
              <w:rPr>
                <w:noProof/>
                <w:webHidden/>
              </w:rPr>
              <w:fldChar w:fldCharType="end"/>
            </w:r>
          </w:hyperlink>
        </w:p>
        <w:p w:rsidR="00447D31" w:rsidRDefault="00BF697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7723841" w:history="1">
            <w:r w:rsidR="00447D31" w:rsidRPr="002C6F6D">
              <w:rPr>
                <w:rStyle w:val="Hyperlink"/>
                <w:noProof/>
              </w:rPr>
              <w:t>1</w:t>
            </w:r>
            <w:r w:rsidR="00447D31">
              <w:rPr>
                <w:rFonts w:asciiTheme="minorHAnsi" w:eastAsiaTheme="minorEastAsia" w:hAnsiTheme="minorHAnsi" w:cstheme="minorBidi"/>
                <w:b w:val="0"/>
                <w:bCs w:val="0"/>
                <w:noProof/>
                <w:sz w:val="22"/>
                <w:szCs w:val="22"/>
                <w:lang w:eastAsia="en-AU"/>
              </w:rPr>
              <w:tab/>
            </w:r>
            <w:r w:rsidR="00447D31" w:rsidRPr="002C6F6D">
              <w:rPr>
                <w:rStyle w:val="Hyperlink"/>
                <w:noProof/>
              </w:rPr>
              <w:t>Determination</w:t>
            </w:r>
            <w:r w:rsidR="00447D31">
              <w:rPr>
                <w:noProof/>
                <w:webHidden/>
              </w:rPr>
              <w:tab/>
            </w:r>
            <w:r w:rsidR="00447D31">
              <w:rPr>
                <w:noProof/>
                <w:webHidden/>
              </w:rPr>
              <w:fldChar w:fldCharType="begin"/>
            </w:r>
            <w:r w:rsidR="00447D31">
              <w:rPr>
                <w:noProof/>
                <w:webHidden/>
              </w:rPr>
              <w:instrText xml:space="preserve"> PAGEREF _Toc377723841 \h </w:instrText>
            </w:r>
            <w:r w:rsidR="00447D31">
              <w:rPr>
                <w:noProof/>
                <w:webHidden/>
              </w:rPr>
            </w:r>
            <w:r w:rsidR="00447D31">
              <w:rPr>
                <w:noProof/>
                <w:webHidden/>
              </w:rPr>
              <w:fldChar w:fldCharType="separate"/>
            </w:r>
            <w:r w:rsidR="00A46800">
              <w:rPr>
                <w:noProof/>
                <w:webHidden/>
              </w:rPr>
              <w:t>7</w:t>
            </w:r>
            <w:r w:rsidR="00447D31">
              <w:rPr>
                <w:noProof/>
                <w:webHidden/>
              </w:rPr>
              <w:fldChar w:fldCharType="end"/>
            </w:r>
          </w:hyperlink>
        </w:p>
        <w:p w:rsidR="00447D31" w:rsidRDefault="00BF697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7723842" w:history="1">
            <w:r w:rsidR="00447D31" w:rsidRPr="002C6F6D">
              <w:rPr>
                <w:rStyle w:val="Hyperlink"/>
                <w:noProof/>
              </w:rPr>
              <w:t>2</w:t>
            </w:r>
            <w:r w:rsidR="00447D31">
              <w:rPr>
                <w:rFonts w:asciiTheme="minorHAnsi" w:eastAsiaTheme="minorEastAsia" w:hAnsiTheme="minorHAnsi" w:cstheme="minorBidi"/>
                <w:b w:val="0"/>
                <w:bCs w:val="0"/>
                <w:noProof/>
                <w:sz w:val="22"/>
                <w:szCs w:val="22"/>
                <w:lang w:eastAsia="en-AU"/>
              </w:rPr>
              <w:tab/>
            </w:r>
            <w:r w:rsidR="00447D31" w:rsidRPr="002C6F6D">
              <w:rPr>
                <w:rStyle w:val="Hyperlink"/>
                <w:noProof/>
              </w:rPr>
              <w:t>ActewAGL Distribution's request</w:t>
            </w:r>
            <w:r w:rsidR="00447D31">
              <w:rPr>
                <w:noProof/>
                <w:webHidden/>
              </w:rPr>
              <w:tab/>
            </w:r>
            <w:r w:rsidR="00447D31">
              <w:rPr>
                <w:noProof/>
                <w:webHidden/>
              </w:rPr>
              <w:fldChar w:fldCharType="begin"/>
            </w:r>
            <w:r w:rsidR="00447D31">
              <w:rPr>
                <w:noProof/>
                <w:webHidden/>
              </w:rPr>
              <w:instrText xml:space="preserve"> PAGEREF _Toc377723842 \h </w:instrText>
            </w:r>
            <w:r w:rsidR="00447D31">
              <w:rPr>
                <w:noProof/>
                <w:webHidden/>
              </w:rPr>
            </w:r>
            <w:r w:rsidR="00447D31">
              <w:rPr>
                <w:noProof/>
                <w:webHidden/>
              </w:rPr>
              <w:fldChar w:fldCharType="separate"/>
            </w:r>
            <w:r w:rsidR="00A46800">
              <w:rPr>
                <w:noProof/>
                <w:webHidden/>
              </w:rPr>
              <w:t>8</w:t>
            </w:r>
            <w:r w:rsidR="00447D31">
              <w:rPr>
                <w:noProof/>
                <w:webHidden/>
              </w:rPr>
              <w:fldChar w:fldCharType="end"/>
            </w:r>
          </w:hyperlink>
        </w:p>
        <w:p w:rsidR="00447D31" w:rsidRDefault="00BF697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7723843" w:history="1">
            <w:r w:rsidR="00447D31" w:rsidRPr="002C6F6D">
              <w:rPr>
                <w:rStyle w:val="Hyperlink"/>
                <w:noProof/>
              </w:rPr>
              <w:t>2.1</w:t>
            </w:r>
            <w:r w:rsidR="00447D31">
              <w:rPr>
                <w:rFonts w:asciiTheme="minorHAnsi" w:eastAsiaTheme="minorEastAsia" w:hAnsiTheme="minorHAnsi" w:cstheme="minorBidi"/>
                <w:iCs w:val="0"/>
                <w:noProof/>
                <w:sz w:val="22"/>
                <w:szCs w:val="22"/>
                <w:lang w:eastAsia="en-AU"/>
              </w:rPr>
              <w:tab/>
            </w:r>
            <w:r w:rsidR="00447D31" w:rsidRPr="002C6F6D">
              <w:rPr>
                <w:rStyle w:val="Hyperlink"/>
                <w:noProof/>
              </w:rPr>
              <w:t>The name and address of the person making the request</w:t>
            </w:r>
            <w:r w:rsidR="00447D31">
              <w:rPr>
                <w:noProof/>
                <w:webHidden/>
              </w:rPr>
              <w:tab/>
            </w:r>
            <w:r w:rsidR="00447D31">
              <w:rPr>
                <w:noProof/>
                <w:webHidden/>
              </w:rPr>
              <w:fldChar w:fldCharType="begin"/>
            </w:r>
            <w:r w:rsidR="00447D31">
              <w:rPr>
                <w:noProof/>
                <w:webHidden/>
              </w:rPr>
              <w:instrText xml:space="preserve"> PAGEREF _Toc377723843 \h </w:instrText>
            </w:r>
            <w:r w:rsidR="00447D31">
              <w:rPr>
                <w:noProof/>
                <w:webHidden/>
              </w:rPr>
            </w:r>
            <w:r w:rsidR="00447D31">
              <w:rPr>
                <w:noProof/>
                <w:webHidden/>
              </w:rPr>
              <w:fldChar w:fldCharType="separate"/>
            </w:r>
            <w:r w:rsidR="00A46800">
              <w:rPr>
                <w:noProof/>
                <w:webHidden/>
              </w:rPr>
              <w:t>8</w:t>
            </w:r>
            <w:r w:rsidR="00447D31">
              <w:rPr>
                <w:noProof/>
                <w:webHidden/>
              </w:rPr>
              <w:fldChar w:fldCharType="end"/>
            </w:r>
          </w:hyperlink>
        </w:p>
        <w:p w:rsidR="00447D31" w:rsidRDefault="00BF697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7723844" w:history="1">
            <w:r w:rsidR="00447D31" w:rsidRPr="002C6F6D">
              <w:rPr>
                <w:rStyle w:val="Hyperlink"/>
                <w:noProof/>
              </w:rPr>
              <w:t>2.2</w:t>
            </w:r>
            <w:r w:rsidR="00447D31">
              <w:rPr>
                <w:rFonts w:asciiTheme="minorHAnsi" w:eastAsiaTheme="minorEastAsia" w:hAnsiTheme="minorHAnsi" w:cstheme="minorBidi"/>
                <w:iCs w:val="0"/>
                <w:noProof/>
                <w:sz w:val="22"/>
                <w:szCs w:val="22"/>
                <w:lang w:eastAsia="en-AU"/>
              </w:rPr>
              <w:tab/>
            </w:r>
            <w:r w:rsidR="00447D31" w:rsidRPr="002C6F6D">
              <w:rPr>
                <w:rStyle w:val="Hyperlink"/>
                <w:noProof/>
              </w:rPr>
              <w:t>Information provided on each scheme</w:t>
            </w:r>
            <w:r w:rsidR="00447D31">
              <w:rPr>
                <w:noProof/>
                <w:webHidden/>
              </w:rPr>
              <w:tab/>
            </w:r>
            <w:r w:rsidR="00447D31">
              <w:rPr>
                <w:noProof/>
                <w:webHidden/>
              </w:rPr>
              <w:fldChar w:fldCharType="begin"/>
            </w:r>
            <w:r w:rsidR="00447D31">
              <w:rPr>
                <w:noProof/>
                <w:webHidden/>
              </w:rPr>
              <w:instrText xml:space="preserve"> PAGEREF _Toc377723844 \h </w:instrText>
            </w:r>
            <w:r w:rsidR="00447D31">
              <w:rPr>
                <w:noProof/>
                <w:webHidden/>
              </w:rPr>
            </w:r>
            <w:r w:rsidR="00447D31">
              <w:rPr>
                <w:noProof/>
                <w:webHidden/>
              </w:rPr>
              <w:fldChar w:fldCharType="separate"/>
            </w:r>
            <w:r w:rsidR="00A46800">
              <w:rPr>
                <w:noProof/>
                <w:webHidden/>
              </w:rPr>
              <w:t>8</w:t>
            </w:r>
            <w:r w:rsidR="00447D31">
              <w:rPr>
                <w:noProof/>
                <w:webHidden/>
              </w:rPr>
              <w:fldChar w:fldCharType="end"/>
            </w:r>
          </w:hyperlink>
        </w:p>
        <w:p w:rsidR="00447D31" w:rsidRDefault="00BF697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7723845" w:history="1">
            <w:r w:rsidR="00447D31" w:rsidRPr="002C6F6D">
              <w:rPr>
                <w:rStyle w:val="Hyperlink"/>
                <w:noProof/>
              </w:rPr>
              <w:t>3</w:t>
            </w:r>
            <w:r w:rsidR="00447D31">
              <w:rPr>
                <w:rFonts w:asciiTheme="minorHAnsi" w:eastAsiaTheme="minorEastAsia" w:hAnsiTheme="minorHAnsi" w:cstheme="minorBidi"/>
                <w:b w:val="0"/>
                <w:bCs w:val="0"/>
                <w:noProof/>
                <w:sz w:val="22"/>
                <w:szCs w:val="22"/>
                <w:lang w:eastAsia="en-AU"/>
              </w:rPr>
              <w:tab/>
            </w:r>
            <w:r w:rsidR="00447D31" w:rsidRPr="002C6F6D">
              <w:rPr>
                <w:rStyle w:val="Hyperlink"/>
                <w:noProof/>
              </w:rPr>
              <w:t>Regulatory requirements</w:t>
            </w:r>
            <w:r w:rsidR="00447D31">
              <w:rPr>
                <w:noProof/>
                <w:webHidden/>
              </w:rPr>
              <w:tab/>
            </w:r>
            <w:r w:rsidR="00447D31">
              <w:rPr>
                <w:noProof/>
                <w:webHidden/>
              </w:rPr>
              <w:fldChar w:fldCharType="begin"/>
            </w:r>
            <w:r w:rsidR="00447D31">
              <w:rPr>
                <w:noProof/>
                <w:webHidden/>
              </w:rPr>
              <w:instrText xml:space="preserve"> PAGEREF _Toc377723845 \h </w:instrText>
            </w:r>
            <w:r w:rsidR="00447D31">
              <w:rPr>
                <w:noProof/>
                <w:webHidden/>
              </w:rPr>
            </w:r>
            <w:r w:rsidR="00447D31">
              <w:rPr>
                <w:noProof/>
                <w:webHidden/>
              </w:rPr>
              <w:fldChar w:fldCharType="separate"/>
            </w:r>
            <w:r w:rsidR="00A46800">
              <w:rPr>
                <w:noProof/>
                <w:webHidden/>
              </w:rPr>
              <w:t>9</w:t>
            </w:r>
            <w:r w:rsidR="00447D31">
              <w:rPr>
                <w:noProof/>
                <w:webHidden/>
              </w:rPr>
              <w:fldChar w:fldCharType="end"/>
            </w:r>
          </w:hyperlink>
        </w:p>
        <w:p w:rsidR="00447D31" w:rsidRDefault="00BF697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7723846" w:history="1">
            <w:r w:rsidR="00447D31" w:rsidRPr="002C6F6D">
              <w:rPr>
                <w:rStyle w:val="Hyperlink"/>
                <w:noProof/>
              </w:rPr>
              <w:t>4</w:t>
            </w:r>
            <w:r w:rsidR="00447D31">
              <w:rPr>
                <w:rFonts w:asciiTheme="minorHAnsi" w:eastAsiaTheme="minorEastAsia" w:hAnsiTheme="minorHAnsi" w:cstheme="minorBidi"/>
                <w:b w:val="0"/>
                <w:bCs w:val="0"/>
                <w:noProof/>
                <w:sz w:val="22"/>
                <w:szCs w:val="22"/>
                <w:lang w:eastAsia="en-AU"/>
              </w:rPr>
              <w:tab/>
            </w:r>
            <w:r w:rsidR="00447D31" w:rsidRPr="002C6F6D">
              <w:rPr>
                <w:rStyle w:val="Hyperlink"/>
                <w:noProof/>
              </w:rPr>
              <w:t>Reasons for determination</w:t>
            </w:r>
            <w:r w:rsidR="00447D31">
              <w:rPr>
                <w:noProof/>
                <w:webHidden/>
              </w:rPr>
              <w:tab/>
            </w:r>
            <w:r w:rsidR="00447D31">
              <w:rPr>
                <w:noProof/>
                <w:webHidden/>
              </w:rPr>
              <w:fldChar w:fldCharType="begin"/>
            </w:r>
            <w:r w:rsidR="00447D31">
              <w:rPr>
                <w:noProof/>
                <w:webHidden/>
              </w:rPr>
              <w:instrText xml:space="preserve"> PAGEREF _Toc377723846 \h </w:instrText>
            </w:r>
            <w:r w:rsidR="00447D31">
              <w:rPr>
                <w:noProof/>
                <w:webHidden/>
              </w:rPr>
            </w:r>
            <w:r w:rsidR="00447D31">
              <w:rPr>
                <w:noProof/>
                <w:webHidden/>
              </w:rPr>
              <w:fldChar w:fldCharType="separate"/>
            </w:r>
            <w:r w:rsidR="00A46800">
              <w:rPr>
                <w:noProof/>
                <w:webHidden/>
              </w:rPr>
              <w:t>10</w:t>
            </w:r>
            <w:r w:rsidR="00447D31">
              <w:rPr>
                <w:noProof/>
                <w:webHidden/>
              </w:rPr>
              <w:fldChar w:fldCharType="end"/>
            </w:r>
          </w:hyperlink>
        </w:p>
        <w:p w:rsidR="00447D31" w:rsidRDefault="00BF697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7723847" w:history="1">
            <w:r w:rsidR="00447D31" w:rsidRPr="002C6F6D">
              <w:rPr>
                <w:rStyle w:val="Hyperlink"/>
                <w:noProof/>
              </w:rPr>
              <w:t>4.1</w:t>
            </w:r>
            <w:r w:rsidR="00447D31">
              <w:rPr>
                <w:rFonts w:asciiTheme="minorHAnsi" w:eastAsiaTheme="minorEastAsia" w:hAnsiTheme="minorHAnsi" w:cstheme="minorBidi"/>
                <w:iCs w:val="0"/>
                <w:noProof/>
                <w:sz w:val="22"/>
                <w:szCs w:val="22"/>
                <w:lang w:eastAsia="en-AU"/>
              </w:rPr>
              <w:tab/>
            </w:r>
            <w:r w:rsidR="00447D31" w:rsidRPr="002C6F6D">
              <w:rPr>
                <w:rStyle w:val="Hyperlink"/>
                <w:noProof/>
              </w:rPr>
              <w:t>Matters in clause 6.18.7A(g) of the NER</w:t>
            </w:r>
            <w:r w:rsidR="00447D31">
              <w:rPr>
                <w:noProof/>
                <w:webHidden/>
              </w:rPr>
              <w:tab/>
            </w:r>
            <w:r w:rsidR="00447D31">
              <w:rPr>
                <w:noProof/>
                <w:webHidden/>
              </w:rPr>
              <w:fldChar w:fldCharType="begin"/>
            </w:r>
            <w:r w:rsidR="00447D31">
              <w:rPr>
                <w:noProof/>
                <w:webHidden/>
              </w:rPr>
              <w:instrText xml:space="preserve"> PAGEREF _Toc377723847 \h </w:instrText>
            </w:r>
            <w:r w:rsidR="00447D31">
              <w:rPr>
                <w:noProof/>
                <w:webHidden/>
              </w:rPr>
            </w:r>
            <w:r w:rsidR="00447D31">
              <w:rPr>
                <w:noProof/>
                <w:webHidden/>
              </w:rPr>
              <w:fldChar w:fldCharType="separate"/>
            </w:r>
            <w:r w:rsidR="00A46800">
              <w:rPr>
                <w:noProof/>
                <w:webHidden/>
              </w:rPr>
              <w:t>10</w:t>
            </w:r>
            <w:r w:rsidR="00447D31">
              <w:rPr>
                <w:noProof/>
                <w:webHidden/>
              </w:rPr>
              <w:fldChar w:fldCharType="end"/>
            </w:r>
          </w:hyperlink>
        </w:p>
        <w:p w:rsidR="00447D31" w:rsidRDefault="00BF697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7723848" w:history="1">
            <w:r w:rsidR="00447D31" w:rsidRPr="002C6F6D">
              <w:rPr>
                <w:rStyle w:val="Hyperlink"/>
                <w:noProof/>
              </w:rPr>
              <w:t>4.2</w:t>
            </w:r>
            <w:r w:rsidR="00447D31">
              <w:rPr>
                <w:rFonts w:asciiTheme="minorHAnsi" w:eastAsiaTheme="minorEastAsia" w:hAnsiTheme="minorHAnsi" w:cstheme="minorBidi"/>
                <w:iCs w:val="0"/>
                <w:noProof/>
                <w:sz w:val="22"/>
                <w:szCs w:val="22"/>
                <w:lang w:eastAsia="en-AU"/>
              </w:rPr>
              <w:tab/>
            </w:r>
            <w:r w:rsidR="00447D31" w:rsidRPr="002C6F6D">
              <w:rPr>
                <w:rStyle w:val="Hyperlink"/>
                <w:noProof/>
              </w:rPr>
              <w:t>Assessment against the jurisdictional scheme eligibility criteria</w:t>
            </w:r>
            <w:r w:rsidR="00447D31">
              <w:rPr>
                <w:noProof/>
                <w:webHidden/>
              </w:rPr>
              <w:tab/>
            </w:r>
            <w:r w:rsidR="00447D31">
              <w:rPr>
                <w:noProof/>
                <w:webHidden/>
              </w:rPr>
              <w:fldChar w:fldCharType="begin"/>
            </w:r>
            <w:r w:rsidR="00447D31">
              <w:rPr>
                <w:noProof/>
                <w:webHidden/>
              </w:rPr>
              <w:instrText xml:space="preserve"> PAGEREF _Toc377723848 \h </w:instrText>
            </w:r>
            <w:r w:rsidR="00447D31">
              <w:rPr>
                <w:noProof/>
                <w:webHidden/>
              </w:rPr>
            </w:r>
            <w:r w:rsidR="00447D31">
              <w:rPr>
                <w:noProof/>
                <w:webHidden/>
              </w:rPr>
              <w:fldChar w:fldCharType="separate"/>
            </w:r>
            <w:r w:rsidR="00A46800">
              <w:rPr>
                <w:noProof/>
                <w:webHidden/>
              </w:rPr>
              <w:t>10</w:t>
            </w:r>
            <w:r w:rsidR="00447D31">
              <w:rPr>
                <w:noProof/>
                <w:webHidden/>
              </w:rPr>
              <w:fldChar w:fldCharType="end"/>
            </w:r>
          </w:hyperlink>
        </w:p>
        <w:p w:rsidR="00447D31" w:rsidRDefault="00BF697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7723849" w:history="1">
            <w:r w:rsidR="00447D31" w:rsidRPr="002C6F6D">
              <w:rPr>
                <w:rStyle w:val="Hyperlink"/>
                <w:noProof/>
              </w:rPr>
              <w:t>4.2.1</w:t>
            </w:r>
            <w:r w:rsidR="00447D31">
              <w:rPr>
                <w:rFonts w:asciiTheme="minorHAnsi" w:eastAsiaTheme="minorEastAsia" w:hAnsiTheme="minorHAnsi" w:cstheme="minorBidi"/>
                <w:noProof/>
                <w:sz w:val="22"/>
                <w:szCs w:val="22"/>
                <w:lang w:eastAsia="en-AU"/>
              </w:rPr>
              <w:tab/>
            </w:r>
            <w:r w:rsidR="00447D31" w:rsidRPr="002C6F6D">
              <w:rPr>
                <w:rStyle w:val="Hyperlink"/>
                <w:noProof/>
              </w:rPr>
              <w:t>Energy Industry Levy</w:t>
            </w:r>
            <w:r w:rsidR="00447D31">
              <w:rPr>
                <w:noProof/>
                <w:webHidden/>
              </w:rPr>
              <w:tab/>
            </w:r>
            <w:r w:rsidR="00447D31">
              <w:rPr>
                <w:noProof/>
                <w:webHidden/>
              </w:rPr>
              <w:fldChar w:fldCharType="begin"/>
            </w:r>
            <w:r w:rsidR="00447D31">
              <w:rPr>
                <w:noProof/>
                <w:webHidden/>
              </w:rPr>
              <w:instrText xml:space="preserve"> PAGEREF _Toc377723849 \h </w:instrText>
            </w:r>
            <w:r w:rsidR="00447D31">
              <w:rPr>
                <w:noProof/>
                <w:webHidden/>
              </w:rPr>
            </w:r>
            <w:r w:rsidR="00447D31">
              <w:rPr>
                <w:noProof/>
                <w:webHidden/>
              </w:rPr>
              <w:fldChar w:fldCharType="separate"/>
            </w:r>
            <w:r w:rsidR="00A46800">
              <w:rPr>
                <w:noProof/>
                <w:webHidden/>
              </w:rPr>
              <w:t>10</w:t>
            </w:r>
            <w:r w:rsidR="00447D31">
              <w:rPr>
                <w:noProof/>
                <w:webHidden/>
              </w:rPr>
              <w:fldChar w:fldCharType="end"/>
            </w:r>
          </w:hyperlink>
        </w:p>
        <w:p w:rsidR="00447D31" w:rsidRDefault="00BF697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7723850" w:history="1">
            <w:r w:rsidR="00447D31" w:rsidRPr="002C6F6D">
              <w:rPr>
                <w:rStyle w:val="Hyperlink"/>
                <w:noProof/>
              </w:rPr>
              <w:t>4.2.2</w:t>
            </w:r>
            <w:r w:rsidR="00447D31">
              <w:rPr>
                <w:rFonts w:asciiTheme="minorHAnsi" w:eastAsiaTheme="minorEastAsia" w:hAnsiTheme="minorHAnsi" w:cstheme="minorBidi"/>
                <w:noProof/>
                <w:sz w:val="22"/>
                <w:szCs w:val="22"/>
                <w:lang w:eastAsia="en-AU"/>
              </w:rPr>
              <w:tab/>
            </w:r>
            <w:r w:rsidR="00447D31" w:rsidRPr="002C6F6D">
              <w:rPr>
                <w:rStyle w:val="Hyperlink"/>
                <w:noProof/>
              </w:rPr>
              <w:t>Utilities Network facilities Tax</w:t>
            </w:r>
            <w:r w:rsidR="00447D31">
              <w:rPr>
                <w:noProof/>
                <w:webHidden/>
              </w:rPr>
              <w:tab/>
            </w:r>
            <w:r w:rsidR="00447D31">
              <w:rPr>
                <w:noProof/>
                <w:webHidden/>
              </w:rPr>
              <w:fldChar w:fldCharType="begin"/>
            </w:r>
            <w:r w:rsidR="00447D31">
              <w:rPr>
                <w:noProof/>
                <w:webHidden/>
              </w:rPr>
              <w:instrText xml:space="preserve"> PAGEREF _Toc377723850 \h </w:instrText>
            </w:r>
            <w:r w:rsidR="00447D31">
              <w:rPr>
                <w:noProof/>
                <w:webHidden/>
              </w:rPr>
            </w:r>
            <w:r w:rsidR="00447D31">
              <w:rPr>
                <w:noProof/>
                <w:webHidden/>
              </w:rPr>
              <w:fldChar w:fldCharType="separate"/>
            </w:r>
            <w:r w:rsidR="00A46800">
              <w:rPr>
                <w:noProof/>
                <w:webHidden/>
              </w:rPr>
              <w:t>11</w:t>
            </w:r>
            <w:r w:rsidR="00447D31">
              <w:rPr>
                <w:noProof/>
                <w:webHidden/>
              </w:rPr>
              <w:fldChar w:fldCharType="end"/>
            </w:r>
          </w:hyperlink>
        </w:p>
        <w:p w:rsidR="00447D31" w:rsidRDefault="00BF697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7723851" w:history="1">
            <w:r w:rsidR="00447D31" w:rsidRPr="002C6F6D">
              <w:rPr>
                <w:rStyle w:val="Hyperlink"/>
                <w:noProof/>
              </w:rPr>
              <w:t>4.2.3</w:t>
            </w:r>
            <w:r w:rsidR="00447D31">
              <w:rPr>
                <w:rFonts w:asciiTheme="minorHAnsi" w:eastAsiaTheme="minorEastAsia" w:hAnsiTheme="minorHAnsi" w:cstheme="minorBidi"/>
                <w:noProof/>
                <w:sz w:val="22"/>
                <w:szCs w:val="22"/>
                <w:lang w:eastAsia="en-AU"/>
              </w:rPr>
              <w:tab/>
            </w:r>
            <w:r w:rsidR="00447D31" w:rsidRPr="002C6F6D">
              <w:rPr>
                <w:rStyle w:val="Hyperlink"/>
                <w:noProof/>
              </w:rPr>
              <w:t>Feed-in Tariff (Large-scale)</w:t>
            </w:r>
            <w:r w:rsidR="00447D31">
              <w:rPr>
                <w:noProof/>
                <w:webHidden/>
              </w:rPr>
              <w:tab/>
            </w:r>
            <w:r w:rsidR="00447D31">
              <w:rPr>
                <w:noProof/>
                <w:webHidden/>
              </w:rPr>
              <w:fldChar w:fldCharType="begin"/>
            </w:r>
            <w:r w:rsidR="00447D31">
              <w:rPr>
                <w:noProof/>
                <w:webHidden/>
              </w:rPr>
              <w:instrText xml:space="preserve"> PAGEREF _Toc377723851 \h </w:instrText>
            </w:r>
            <w:r w:rsidR="00447D31">
              <w:rPr>
                <w:noProof/>
                <w:webHidden/>
              </w:rPr>
            </w:r>
            <w:r w:rsidR="00447D31">
              <w:rPr>
                <w:noProof/>
                <w:webHidden/>
              </w:rPr>
              <w:fldChar w:fldCharType="separate"/>
            </w:r>
            <w:r w:rsidR="00A46800">
              <w:rPr>
                <w:noProof/>
                <w:webHidden/>
              </w:rPr>
              <w:t>11</w:t>
            </w:r>
            <w:r w:rsidR="00447D31">
              <w:rPr>
                <w:noProof/>
                <w:webHidden/>
              </w:rPr>
              <w:fldChar w:fldCharType="end"/>
            </w:r>
          </w:hyperlink>
        </w:p>
        <w:p w:rsidR="003F2E0F" w:rsidRPr="003F2E0F" w:rsidRDefault="003F2E0F">
          <w:r w:rsidRPr="003F2E0F">
            <w:fldChar w:fldCharType="end"/>
          </w:r>
        </w:p>
      </w:sdtContent>
    </w:sdt>
    <w:p w:rsidR="00DA35DF" w:rsidRPr="003F2E0F" w:rsidRDefault="00DA35DF" w:rsidP="003F2E0F">
      <w:pPr>
        <w:ind w:firstLine="720"/>
      </w:pPr>
    </w:p>
    <w:p w:rsidR="00DA35DF" w:rsidRPr="00DA35DF" w:rsidRDefault="00DA35DF" w:rsidP="00DA35DF">
      <w:pPr>
        <w:pStyle w:val="UnnumberedHeading"/>
        <w:numPr>
          <w:ilvl w:val="0"/>
          <w:numId w:val="0"/>
        </w:numPr>
      </w:pPr>
      <w:r w:rsidRPr="00DA35DF">
        <w:lastRenderedPageBreak/>
        <w:fldChar w:fldCharType="begin"/>
      </w:r>
      <w:r w:rsidRPr="00DA35DF">
        <w:instrText xml:space="preserve"> TOC \o "2-2" \h \z \t "Heading 1,1,AER heading 1,1,2,AER unnumbered heading,1" </w:instrText>
      </w:r>
      <w:r w:rsidRPr="00DA35DF">
        <w:fldChar w:fldCharType="end"/>
      </w:r>
      <w:bookmarkStart w:id="5" w:name="_Toc377723839"/>
      <w:r w:rsidRPr="00DA35DF">
        <w:t>Shortened forms</w:t>
      </w:r>
      <w:bookmarkEnd w:id="5"/>
    </w:p>
    <w:tbl>
      <w:tblPr>
        <w:tblStyle w:val="AERtable-numbers"/>
        <w:tblW w:w="0" w:type="auto"/>
        <w:tblLook w:val="01E0" w:firstRow="1" w:lastRow="1" w:firstColumn="1" w:lastColumn="1" w:noHBand="0" w:noVBand="0"/>
      </w:tblPr>
      <w:tblGrid>
        <w:gridCol w:w="3127"/>
        <w:gridCol w:w="5148"/>
      </w:tblGrid>
      <w:tr w:rsidR="00DA35DF" w:rsidRPr="00BA1378" w:rsidTr="00DA3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DA35DF" w:rsidRDefault="00DA35DF" w:rsidP="00DA35DF">
            <w:r w:rsidRPr="00DA35DF">
              <w:t>Shortened form</w:t>
            </w:r>
          </w:p>
        </w:tc>
        <w:tc>
          <w:tcPr>
            <w:tcW w:w="5148" w:type="dxa"/>
            <w:noWrap/>
          </w:tcPr>
          <w:p w:rsidR="00DA35DF" w:rsidRPr="00DA35DF" w:rsidRDefault="00DA35DF" w:rsidP="00DA35DF">
            <w:pPr>
              <w:cnfStyle w:val="100000000000" w:firstRow="1" w:lastRow="0" w:firstColumn="0" w:lastColumn="0" w:oddVBand="0" w:evenVBand="0" w:oddHBand="0" w:evenHBand="0" w:firstRowFirstColumn="0" w:firstRowLastColumn="0" w:lastRowFirstColumn="0" w:lastRowLastColumn="0"/>
            </w:pPr>
            <w:r w:rsidRPr="00DA35DF">
              <w:t>Full title</w:t>
            </w:r>
          </w:p>
        </w:tc>
      </w:tr>
      <w:tr w:rsidR="00DA35DF" w:rsidRPr="00BA1378"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DA35DF" w:rsidRDefault="00DA35DF" w:rsidP="00DA35DF">
            <w:r w:rsidRPr="00BA1378">
              <w:t>AER</w:t>
            </w:r>
          </w:p>
        </w:tc>
        <w:tc>
          <w:tcPr>
            <w:tcW w:w="5148" w:type="dxa"/>
            <w:noWrap/>
          </w:tcPr>
          <w:p w:rsidR="00DA35DF" w:rsidRPr="00DA35DF" w:rsidRDefault="00DA35DF" w:rsidP="00DA35DF">
            <w:pPr>
              <w:cnfStyle w:val="000000000000" w:firstRow="0" w:lastRow="0" w:firstColumn="0" w:lastColumn="0" w:oddVBand="0" w:evenVBand="0" w:oddHBand="0" w:evenHBand="0" w:firstRowFirstColumn="0" w:firstRowLastColumn="0" w:lastRowFirstColumn="0" w:lastRowLastColumn="0"/>
            </w:pPr>
            <w:r w:rsidRPr="00BA1378">
              <w:t>Australian Energy Regulator</w:t>
            </w:r>
          </w:p>
        </w:tc>
      </w:tr>
      <w:tr w:rsidR="00DA35DF" w:rsidRPr="00BA1378"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DA35DF" w:rsidRDefault="00DA35DF" w:rsidP="00DA35DF">
            <w:r>
              <w:t>ACT</w:t>
            </w:r>
          </w:p>
        </w:tc>
        <w:tc>
          <w:tcPr>
            <w:tcW w:w="5148" w:type="dxa"/>
            <w:noWrap/>
          </w:tcPr>
          <w:p w:rsidR="00DA35DF" w:rsidRPr="00DA35DF" w:rsidRDefault="00DA35DF" w:rsidP="003E08A7">
            <w:pPr>
              <w:cnfStyle w:val="000000010000" w:firstRow="0" w:lastRow="0" w:firstColumn="0" w:lastColumn="0" w:oddVBand="0" w:evenVBand="0" w:oddHBand="0" w:evenHBand="1" w:firstRowFirstColumn="0" w:firstRowLastColumn="0" w:lastRowFirstColumn="0" w:lastRowLastColumn="0"/>
            </w:pPr>
            <w:r>
              <w:t xml:space="preserve">Australian </w:t>
            </w:r>
            <w:r w:rsidR="003E08A7">
              <w:t xml:space="preserve">Capital Territory </w:t>
            </w:r>
          </w:p>
        </w:tc>
      </w:tr>
      <w:tr w:rsidR="003E08A7" w:rsidRPr="00BA1378" w:rsidTr="00DA35DF">
        <w:tc>
          <w:tcPr>
            <w:cnfStyle w:val="001000000000" w:firstRow="0" w:lastRow="0" w:firstColumn="1" w:lastColumn="0" w:oddVBand="0" w:evenVBand="0" w:oddHBand="0" w:evenHBand="0" w:firstRowFirstColumn="0" w:firstRowLastColumn="0" w:lastRowFirstColumn="0" w:lastRowLastColumn="0"/>
            <w:tcW w:w="3127" w:type="dxa"/>
            <w:noWrap/>
          </w:tcPr>
          <w:p w:rsidR="003E08A7" w:rsidRPr="003E08A7" w:rsidRDefault="003E08A7" w:rsidP="003E08A7">
            <w:r>
              <w:t xml:space="preserve">ActewAGL Distribution </w:t>
            </w:r>
          </w:p>
        </w:tc>
        <w:tc>
          <w:tcPr>
            <w:tcW w:w="5148" w:type="dxa"/>
            <w:noWrap/>
          </w:tcPr>
          <w:p w:rsidR="003E08A7" w:rsidRPr="003E08A7" w:rsidRDefault="003E08A7" w:rsidP="003E08A7">
            <w:pPr>
              <w:cnfStyle w:val="000000000000" w:firstRow="0" w:lastRow="0" w:firstColumn="0" w:lastColumn="0" w:oddVBand="0" w:evenVBand="0" w:oddHBand="0" w:evenHBand="0" w:firstRowFirstColumn="0" w:firstRowLastColumn="0" w:lastRowFirstColumn="0" w:lastRowLastColumn="0"/>
            </w:pPr>
            <w:r>
              <w:t xml:space="preserve">ActewAGL Distribution </w:t>
            </w:r>
            <w:r w:rsidRPr="003E08A7">
              <w:t>(ABN: 76 670 568 688)</w:t>
            </w:r>
          </w:p>
        </w:tc>
      </w:tr>
      <w:tr w:rsidR="003E08A7" w:rsidRPr="00BA1378"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3E08A7" w:rsidRPr="003E08A7" w:rsidRDefault="003E08A7" w:rsidP="003E08A7">
            <w:r>
              <w:t>D</w:t>
            </w:r>
            <w:r w:rsidRPr="003E08A7">
              <w:t>NSP</w:t>
            </w:r>
          </w:p>
        </w:tc>
        <w:tc>
          <w:tcPr>
            <w:tcW w:w="5148" w:type="dxa"/>
            <w:noWrap/>
          </w:tcPr>
          <w:p w:rsidR="003E08A7" w:rsidRPr="003E08A7" w:rsidRDefault="003E08A7" w:rsidP="003E08A7">
            <w:pPr>
              <w:cnfStyle w:val="000000010000" w:firstRow="0" w:lastRow="0" w:firstColumn="0" w:lastColumn="0" w:oddVBand="0" w:evenVBand="0" w:oddHBand="0" w:evenHBand="1" w:firstRowFirstColumn="0" w:firstRowLastColumn="0" w:lastRowFirstColumn="0" w:lastRowLastColumn="0"/>
            </w:pPr>
            <w:r>
              <w:t>distribution</w:t>
            </w:r>
            <w:r w:rsidRPr="003E08A7">
              <w:t xml:space="preserve"> network service provider</w:t>
            </w:r>
          </w:p>
        </w:tc>
      </w:tr>
      <w:tr w:rsidR="003E08A7" w:rsidRPr="00BA1378" w:rsidTr="00DA35DF">
        <w:tc>
          <w:tcPr>
            <w:cnfStyle w:val="001000000000" w:firstRow="0" w:lastRow="0" w:firstColumn="1" w:lastColumn="0" w:oddVBand="0" w:evenVBand="0" w:oddHBand="0" w:evenHBand="0" w:firstRowFirstColumn="0" w:firstRowLastColumn="0" w:lastRowFirstColumn="0" w:lastRowLastColumn="0"/>
            <w:tcW w:w="3127" w:type="dxa"/>
            <w:noWrap/>
          </w:tcPr>
          <w:p w:rsidR="003E08A7" w:rsidRPr="003E08A7" w:rsidRDefault="003E08A7" w:rsidP="003E08A7">
            <w:r>
              <w:t>FiT</w:t>
            </w:r>
          </w:p>
        </w:tc>
        <w:tc>
          <w:tcPr>
            <w:tcW w:w="5148" w:type="dxa"/>
            <w:noWrap/>
          </w:tcPr>
          <w:p w:rsidR="003E08A7" w:rsidRPr="003E08A7" w:rsidRDefault="003E08A7" w:rsidP="003E08A7">
            <w:pPr>
              <w:cnfStyle w:val="000000000000" w:firstRow="0" w:lastRow="0" w:firstColumn="0" w:lastColumn="0" w:oddVBand="0" w:evenVBand="0" w:oddHBand="0" w:evenHBand="0" w:firstRowFirstColumn="0" w:firstRowLastColumn="0" w:lastRowFirstColumn="0" w:lastRowLastColumn="0"/>
            </w:pPr>
            <w:r>
              <w:t>feed-in tariff</w:t>
            </w:r>
          </w:p>
        </w:tc>
      </w:tr>
      <w:tr w:rsidR="003E08A7" w:rsidRPr="00BA1378"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3E08A7" w:rsidRPr="003E08A7" w:rsidRDefault="003E08A7" w:rsidP="003E08A7">
            <w:r>
              <w:t>NEL</w:t>
            </w:r>
          </w:p>
        </w:tc>
        <w:tc>
          <w:tcPr>
            <w:tcW w:w="5148" w:type="dxa"/>
            <w:noWrap/>
          </w:tcPr>
          <w:p w:rsidR="003E08A7" w:rsidRPr="003E08A7" w:rsidRDefault="003E08A7" w:rsidP="003E08A7">
            <w:pPr>
              <w:cnfStyle w:val="000000010000" w:firstRow="0" w:lastRow="0" w:firstColumn="0" w:lastColumn="0" w:oddVBand="0" w:evenVBand="0" w:oddHBand="0" w:evenHBand="1" w:firstRowFirstColumn="0" w:firstRowLastColumn="0" w:lastRowFirstColumn="0" w:lastRowLastColumn="0"/>
            </w:pPr>
            <w:r w:rsidRPr="001722BC">
              <w:t xml:space="preserve">National </w:t>
            </w:r>
            <w:r w:rsidRPr="003E08A7">
              <w:t>Electricity Law</w:t>
            </w:r>
          </w:p>
        </w:tc>
      </w:tr>
      <w:tr w:rsidR="003E08A7" w:rsidRPr="00BA1378" w:rsidTr="00DA35DF">
        <w:tc>
          <w:tcPr>
            <w:cnfStyle w:val="001000000000" w:firstRow="0" w:lastRow="0" w:firstColumn="1" w:lastColumn="0" w:oddVBand="0" w:evenVBand="0" w:oddHBand="0" w:evenHBand="0" w:firstRowFirstColumn="0" w:firstRowLastColumn="0" w:lastRowFirstColumn="0" w:lastRowLastColumn="0"/>
            <w:tcW w:w="3127" w:type="dxa"/>
            <w:noWrap/>
          </w:tcPr>
          <w:p w:rsidR="003E08A7" w:rsidRPr="003E08A7" w:rsidRDefault="003E08A7" w:rsidP="003E08A7">
            <w:r>
              <w:t>NER</w:t>
            </w:r>
          </w:p>
        </w:tc>
        <w:tc>
          <w:tcPr>
            <w:tcW w:w="5148" w:type="dxa"/>
            <w:noWrap/>
          </w:tcPr>
          <w:p w:rsidR="003E08A7" w:rsidRPr="003E08A7" w:rsidRDefault="003E08A7" w:rsidP="003E08A7">
            <w:pPr>
              <w:cnfStyle w:val="000000000000" w:firstRow="0" w:lastRow="0" w:firstColumn="0" w:lastColumn="0" w:oddVBand="0" w:evenVBand="0" w:oddHBand="0" w:evenHBand="0" w:firstRowFirstColumn="0" w:firstRowLastColumn="0" w:lastRowFirstColumn="0" w:lastRowLastColumn="0"/>
            </w:pPr>
            <w:r w:rsidRPr="001722BC">
              <w:t xml:space="preserve">National </w:t>
            </w:r>
            <w:r w:rsidRPr="003E08A7">
              <w:t>Electricity Rules</w:t>
            </w:r>
          </w:p>
        </w:tc>
      </w:tr>
    </w:tbl>
    <w:p w:rsidR="00DA35DF" w:rsidRDefault="00DA35DF" w:rsidP="00DA35DF">
      <w:bookmarkStart w:id="6" w:name="_Toc316978870"/>
      <w:bookmarkStart w:id="7" w:name="_Toc317520246"/>
      <w:bookmarkStart w:id="8" w:name="_Toc305751931"/>
      <w:bookmarkStart w:id="9" w:name="_Toc308601044"/>
    </w:p>
    <w:p w:rsidR="00DA35DF" w:rsidRDefault="00DA35DF" w:rsidP="00DA35DF">
      <w:pPr>
        <w:pStyle w:val="UnnumberedHeading"/>
      </w:pPr>
      <w:bookmarkStart w:id="10" w:name="_Toc377723840"/>
      <w:r>
        <w:lastRenderedPageBreak/>
        <w:t>Overview</w:t>
      </w:r>
      <w:bookmarkEnd w:id="6"/>
      <w:bookmarkEnd w:id="7"/>
      <w:bookmarkEnd w:id="10"/>
    </w:p>
    <w:p w:rsidR="00E82A47" w:rsidRPr="00992AA6" w:rsidRDefault="003E08A7" w:rsidP="00E82A47">
      <w:pPr>
        <w:pStyle w:val="AERbodytext"/>
      </w:pPr>
      <w:bookmarkStart w:id="11" w:name="OLE_LINK28"/>
      <w:bookmarkStart w:id="12" w:name="OLE_LINK43"/>
      <w:r w:rsidRPr="003E08A7">
        <w:t>On 6 January 2014, ActewAGL Distribution (ABN: 76 670 568 688) requested the Australian Energy Regulator (AER) to determine the following schemes to be jurisdictional schemes (ActewAGL Distribution's request).</w:t>
      </w:r>
      <w:r w:rsidR="00E82A47">
        <w:rPr>
          <w:rStyle w:val="FootnoteReference"/>
        </w:rPr>
        <w:footnoteReference w:id="1"/>
      </w:r>
      <w:r w:rsidR="00E82A47" w:rsidRPr="00992AA6">
        <w:t xml:space="preserve"> </w:t>
      </w:r>
    </w:p>
    <w:p w:rsidR="003E08A7" w:rsidRPr="003E08A7" w:rsidRDefault="00E82A47" w:rsidP="003E08A7">
      <w:pPr>
        <w:pStyle w:val="AERbulletlistsecondstyle"/>
      </w:pPr>
      <w:r>
        <w:t>ACT Energy Industry Levy</w:t>
      </w:r>
    </w:p>
    <w:p w:rsidR="003E08A7" w:rsidRPr="003E08A7" w:rsidRDefault="003E08A7" w:rsidP="003E08A7">
      <w:pPr>
        <w:pStyle w:val="AERbulletlistsecondstyle"/>
      </w:pPr>
      <w:r w:rsidRPr="003E08A7">
        <w:t>Ut</w:t>
      </w:r>
      <w:r w:rsidR="00E82A47">
        <w:t>ilities Network Facilities Ta</w:t>
      </w:r>
      <w:r w:rsidR="00C30349">
        <w:t>x</w:t>
      </w:r>
      <w:r w:rsidRPr="003E08A7">
        <w:t xml:space="preserve"> </w:t>
      </w:r>
    </w:p>
    <w:p w:rsidR="003E08A7" w:rsidRPr="003E08A7" w:rsidRDefault="003E08A7" w:rsidP="003E08A7">
      <w:pPr>
        <w:pStyle w:val="AERbulletlistsecondstyle"/>
      </w:pPr>
      <w:r w:rsidRPr="003E08A7">
        <w:t>Feed-in Tariff (Large-scale).</w:t>
      </w:r>
    </w:p>
    <w:p w:rsidR="00E82A47" w:rsidRDefault="003E08A7" w:rsidP="003E08A7">
      <w:pPr>
        <w:pStyle w:val="AERbodytext"/>
      </w:pPr>
      <w:r w:rsidRPr="003E08A7">
        <w:t>ActewAGL Distribution is the service provider for the electricity distribution network in the Australian Capital Territory (ACT).</w:t>
      </w:r>
      <w:r>
        <w:rPr>
          <w:rStyle w:val="FootnoteReference"/>
        </w:rPr>
        <w:footnoteReference w:id="2"/>
      </w:r>
      <w:r w:rsidRPr="003E08A7">
        <w:t xml:space="preserve">  ActewAGL Distribution currently recovers costs associated with the ACT Energy Industry Levy and Utiliti</w:t>
      </w:r>
      <w:r w:rsidR="00E82A47">
        <w:t xml:space="preserve">es Network Facilities Tax </w:t>
      </w:r>
      <w:r w:rsidR="00C30349">
        <w:t>via</w:t>
      </w:r>
      <w:r w:rsidR="00C30349" w:rsidRPr="003E08A7">
        <w:t xml:space="preserve"> </w:t>
      </w:r>
      <w:r w:rsidRPr="003E08A7">
        <w:t xml:space="preserve">the expenditure </w:t>
      </w:r>
      <w:r w:rsidR="00C30349">
        <w:t xml:space="preserve">allowances </w:t>
      </w:r>
      <w:r w:rsidR="00E82A47">
        <w:t>approved for the 2009–</w:t>
      </w:r>
      <w:r w:rsidRPr="003E08A7">
        <w:t xml:space="preserve">14 </w:t>
      </w:r>
      <w:r w:rsidR="00C30349">
        <w:t>distribution determination</w:t>
      </w:r>
      <w:r w:rsidRPr="003E08A7">
        <w:t xml:space="preserve">. </w:t>
      </w:r>
    </w:p>
    <w:p w:rsidR="003E08A7" w:rsidRPr="003E08A7" w:rsidRDefault="003E08A7" w:rsidP="003E08A7">
      <w:pPr>
        <w:pStyle w:val="AERbodytext"/>
      </w:pPr>
      <w:r w:rsidRPr="003E08A7">
        <w:t xml:space="preserve">ActewAGL Distribution may also apply to us to pass through to their network users the difference between the actual amounts </w:t>
      </w:r>
      <w:r w:rsidR="00E82A47">
        <w:t xml:space="preserve">incurred under </w:t>
      </w:r>
      <w:r w:rsidR="00C30349">
        <w:t xml:space="preserve">each </w:t>
      </w:r>
      <w:r w:rsidR="00E82A47">
        <w:t>scheme</w:t>
      </w:r>
      <w:r w:rsidRPr="003E08A7">
        <w:t xml:space="preserve"> and the </w:t>
      </w:r>
      <w:r w:rsidR="00C30349">
        <w:t>approved</w:t>
      </w:r>
      <w:r w:rsidR="00C30349" w:rsidRPr="003E08A7">
        <w:t xml:space="preserve"> </w:t>
      </w:r>
      <w:r w:rsidRPr="003E08A7">
        <w:t xml:space="preserve">allowance. We determine whether or not to pass through the costs by assessing ActewAGL Distribution's application against the cost pass through requirements in the </w:t>
      </w:r>
      <w:r w:rsidR="00251386" w:rsidRPr="003E08A7">
        <w:t xml:space="preserve">National Electricity Rules </w:t>
      </w:r>
      <w:r w:rsidR="00251386">
        <w:t>(</w:t>
      </w:r>
      <w:r w:rsidRPr="003E08A7">
        <w:t>NER</w:t>
      </w:r>
      <w:r w:rsidR="00251386">
        <w:t>)</w:t>
      </w:r>
      <w:r w:rsidRPr="003E08A7">
        <w:t xml:space="preserve">. </w:t>
      </w:r>
    </w:p>
    <w:p w:rsidR="003E08A7" w:rsidRPr="003E08A7" w:rsidRDefault="003E08A7" w:rsidP="003E08A7">
      <w:pPr>
        <w:pStyle w:val="AERbodytext"/>
      </w:pPr>
      <w:r w:rsidRPr="003E08A7">
        <w:t>In our 2009 distribution determination for ActewAGL</w:t>
      </w:r>
      <w:r w:rsidR="00251386">
        <w:t xml:space="preserve"> Distribution</w:t>
      </w:r>
      <w:r w:rsidRPr="003E08A7">
        <w:t xml:space="preserve"> we did not determine an allowance for costs associated with obligations under the FiT (Large-scale) scheme</w:t>
      </w:r>
      <w:r w:rsidR="00C30349">
        <w:t xml:space="preserve"> because the scheme had not been implemented</w:t>
      </w:r>
      <w:r w:rsidRPr="003E08A7">
        <w:t xml:space="preserve">. Under the FiT (Large-scale) scheme, the Minister may grant a person a FiT entitlement. The scheme requires ActewAGL Distribution to pay a FiT support payment to each FiT entitlement holder for the holder's eligible electricity. The term of the first FiT (Large-scale) entitlement commences on 31 March 2014. </w:t>
      </w:r>
      <w:r w:rsidR="00451E3C">
        <w:t>Therefore</w:t>
      </w:r>
      <w:r w:rsidRPr="003E08A7">
        <w:t xml:space="preserve">, ActewAGL Distribution has not yet made any FiT (Large-scale) payments. </w:t>
      </w:r>
    </w:p>
    <w:p w:rsidR="00206264" w:rsidRDefault="003E08A7" w:rsidP="004960DF">
      <w:pPr>
        <w:pStyle w:val="AERbodytext"/>
      </w:pPr>
      <w:r w:rsidRPr="003E08A7">
        <w:t>The NER allows any person to request the AER to determine whether a scheme is a jurisdictional scheme.</w:t>
      </w:r>
      <w:r>
        <w:rPr>
          <w:rStyle w:val="FootnoteReference"/>
        </w:rPr>
        <w:footnoteReference w:id="3"/>
      </w:r>
      <w:r>
        <w:t xml:space="preserve"> </w:t>
      </w:r>
      <w:r w:rsidRPr="003E08A7">
        <w:t xml:space="preserve">Approval of a scheme as a jurisdictional scheme </w:t>
      </w:r>
      <w:r w:rsidR="004960DF">
        <w:t>reduces the steps</w:t>
      </w:r>
      <w:r w:rsidR="004960DF" w:rsidRPr="003E08A7">
        <w:t xml:space="preserve"> </w:t>
      </w:r>
      <w:r w:rsidRPr="003E08A7">
        <w:t>a Distribution Network Service Provider (DNSP)</w:t>
      </w:r>
      <w:r w:rsidR="00B2645E">
        <w:t xml:space="preserve"> </w:t>
      </w:r>
      <w:r w:rsidR="004960DF">
        <w:t xml:space="preserve">needs to undergo </w:t>
      </w:r>
      <w:r w:rsidR="00B2645E">
        <w:t>to recover the actual costs associated with the jurisdictional scheme obligations</w:t>
      </w:r>
      <w:r w:rsidR="004960DF">
        <w:t xml:space="preserve">. This is because instead of giving the DNSP an allowance for the scheme's costs at each regulatory determination and </w:t>
      </w:r>
      <w:r w:rsidR="00206264">
        <w:t>having them apply to us to</w:t>
      </w:r>
      <w:r w:rsidR="004960DF">
        <w:t xml:space="preserve"> pass through </w:t>
      </w:r>
      <w:r w:rsidR="00206264">
        <w:t xml:space="preserve">any under/over recovery of </w:t>
      </w:r>
      <w:r w:rsidR="004960DF">
        <w:t xml:space="preserve">costs, </w:t>
      </w:r>
      <w:r w:rsidR="00206264">
        <w:t xml:space="preserve">the DNSP can now recover both the scheme's allowance and under/over cost recovery through the </w:t>
      </w:r>
      <w:r w:rsidR="004960DF">
        <w:t xml:space="preserve">annual pricing </w:t>
      </w:r>
      <w:r w:rsidR="00206264">
        <w:t>review. The scheme's allowance will</w:t>
      </w:r>
      <w:r w:rsidR="00073445">
        <w:t xml:space="preserve"> be</w:t>
      </w:r>
      <w:r w:rsidR="00206264">
        <w:t xml:space="preserve"> determined according to a cost methodology</w:t>
      </w:r>
      <w:r w:rsidR="00073445">
        <w:t xml:space="preserve"> to be determined by us</w:t>
      </w:r>
      <w:r w:rsidR="00206264">
        <w:t xml:space="preserve">. Overall, this </w:t>
      </w:r>
      <w:r w:rsidR="00073445">
        <w:t xml:space="preserve">jurisdictional scheme </w:t>
      </w:r>
      <w:r w:rsidR="00206264">
        <w:t xml:space="preserve">determination aims to reduce administrative burden for </w:t>
      </w:r>
      <w:proofErr w:type="spellStart"/>
      <w:r w:rsidR="00206264">
        <w:t>ActewAGL</w:t>
      </w:r>
      <w:proofErr w:type="spellEnd"/>
      <w:r w:rsidR="00206264">
        <w:t xml:space="preserve"> Distribution and</w:t>
      </w:r>
      <w:r w:rsidR="003F40AB">
        <w:t xml:space="preserve"> the AER</w:t>
      </w:r>
      <w:r w:rsidR="00206264">
        <w:t xml:space="preserve">. </w:t>
      </w:r>
    </w:p>
    <w:p w:rsidR="003E08A7" w:rsidRPr="003E08A7" w:rsidRDefault="003E08A7" w:rsidP="003F40AB">
      <w:pPr>
        <w:pStyle w:val="AERbodytext"/>
      </w:pPr>
      <w:r w:rsidRPr="003E08A7">
        <w:t>We are required to determine whether or not a scheme is a jurisdictional scheme within 20 business days of receiving ActewAGL Distribution's request.</w:t>
      </w:r>
      <w:r w:rsidR="000D58DA">
        <w:rPr>
          <w:rStyle w:val="FootnoteReference"/>
        </w:rPr>
        <w:footnoteReference w:id="4"/>
      </w:r>
      <w:r w:rsidR="000D58DA">
        <w:t xml:space="preserve"> </w:t>
      </w:r>
      <w:r w:rsidRPr="003E08A7">
        <w:t xml:space="preserve">We must determine that a scheme is a </w:t>
      </w:r>
      <w:r w:rsidRPr="003E08A7">
        <w:lastRenderedPageBreak/>
        <w:t>jurisdictional scheme if we consider that the scheme meets the jurisdictional scheme eligibility criteria set out in the NER.</w:t>
      </w:r>
      <w:r w:rsidR="005567E9">
        <w:rPr>
          <w:rStyle w:val="FootnoteReference"/>
        </w:rPr>
        <w:footnoteReference w:id="5"/>
      </w:r>
      <w:r w:rsidRPr="003E08A7">
        <w:t xml:space="preserve">  </w:t>
      </w:r>
    </w:p>
    <w:p w:rsidR="003E08A7" w:rsidRPr="003E08A7" w:rsidRDefault="003E08A7" w:rsidP="003E08A7">
      <w:pPr>
        <w:pStyle w:val="AERbodytext"/>
      </w:pPr>
      <w:r w:rsidRPr="003E08A7">
        <w:t>We have determined that the following schemes listed in ActewAGL Distribution's request satisfy the requirements of the jurisdictional scheme eligibility criteria. Therefore we determine</w:t>
      </w:r>
      <w:r w:rsidR="00E82A47">
        <w:t xml:space="preserve"> that the</w:t>
      </w:r>
      <w:r w:rsidRPr="003E08A7">
        <w:t xml:space="preserve"> schemes listed below </w:t>
      </w:r>
      <w:r w:rsidR="00E82A47">
        <w:t>are</w:t>
      </w:r>
      <w:r w:rsidRPr="003E08A7">
        <w:t xml:space="preserve"> jurisdictional schemes: </w:t>
      </w:r>
    </w:p>
    <w:p w:rsidR="003E08A7" w:rsidRPr="003E08A7" w:rsidRDefault="003E08A7" w:rsidP="005567E9">
      <w:pPr>
        <w:pStyle w:val="AERbulletlistfirststyle"/>
      </w:pPr>
      <w:r w:rsidRPr="003E08A7">
        <w:t xml:space="preserve">ACT Energy Industry Levy </w:t>
      </w:r>
    </w:p>
    <w:p w:rsidR="003E08A7" w:rsidRPr="003E08A7" w:rsidRDefault="003E08A7" w:rsidP="005567E9">
      <w:pPr>
        <w:pStyle w:val="AERbulletlistfirststyle"/>
      </w:pPr>
      <w:r w:rsidRPr="003E08A7">
        <w:t xml:space="preserve">Utilities Network Facilities Tax </w:t>
      </w:r>
    </w:p>
    <w:p w:rsidR="003E08A7" w:rsidRPr="003E08A7" w:rsidRDefault="003E08A7" w:rsidP="005567E9">
      <w:pPr>
        <w:pStyle w:val="AERbulletlistfirststyle"/>
      </w:pPr>
      <w:r w:rsidRPr="003E08A7">
        <w:t xml:space="preserve">Feed-in Tariff (Large-scale). </w:t>
      </w:r>
    </w:p>
    <w:p w:rsidR="00DA35DF" w:rsidRPr="00DA35DF" w:rsidRDefault="00DA35DF" w:rsidP="00DA35DF">
      <w:pPr>
        <w:pStyle w:val="Heading1"/>
      </w:pPr>
      <w:bookmarkStart w:id="13" w:name="_Toc319054244"/>
      <w:bookmarkStart w:id="14" w:name="_Toc377723841"/>
      <w:bookmarkStart w:id="15" w:name="_Toc316978871"/>
      <w:bookmarkStart w:id="16" w:name="_Toc317520247"/>
      <w:bookmarkEnd w:id="11"/>
      <w:bookmarkEnd w:id="12"/>
      <w:bookmarkEnd w:id="13"/>
      <w:r>
        <w:lastRenderedPageBreak/>
        <w:t>D</w:t>
      </w:r>
      <w:r w:rsidRPr="00DA35DF">
        <w:t>etermination</w:t>
      </w:r>
      <w:bookmarkEnd w:id="14"/>
    </w:p>
    <w:p w:rsidR="00992AA6" w:rsidRPr="00992AA6" w:rsidRDefault="00992AA6" w:rsidP="00992AA6">
      <w:pPr>
        <w:pStyle w:val="AERbodytext"/>
      </w:pPr>
      <w:r w:rsidRPr="00992AA6">
        <w:t xml:space="preserve">The AER has determined under sub-clause 6.18.7A(n) of the NER that the following schemes are jurisdictional schemes: </w:t>
      </w:r>
    </w:p>
    <w:p w:rsidR="00992AA6" w:rsidRPr="00992AA6" w:rsidRDefault="00992AA6" w:rsidP="00992AA6">
      <w:pPr>
        <w:pStyle w:val="AERbulletlistsecondstyle"/>
      </w:pPr>
      <w:r w:rsidRPr="00992AA6">
        <w:t xml:space="preserve">Utilities Network Facilities Tax </w:t>
      </w:r>
    </w:p>
    <w:p w:rsidR="00992AA6" w:rsidRPr="00992AA6" w:rsidRDefault="00992AA6" w:rsidP="00992AA6">
      <w:pPr>
        <w:pStyle w:val="AERbulletlistsecondstyle"/>
      </w:pPr>
      <w:r w:rsidRPr="00992AA6">
        <w:t xml:space="preserve">Energy Industry Levy </w:t>
      </w:r>
    </w:p>
    <w:p w:rsidR="00992AA6" w:rsidRPr="00992AA6" w:rsidRDefault="00992AA6" w:rsidP="00992AA6">
      <w:pPr>
        <w:pStyle w:val="AERbulletlistsecondstyle"/>
      </w:pPr>
      <w:r w:rsidRPr="00992AA6">
        <w:t xml:space="preserve">Feed-in Tariff (large-scale). </w:t>
      </w:r>
    </w:p>
    <w:p w:rsidR="00992AA6" w:rsidRPr="00992AA6" w:rsidRDefault="00BF568B" w:rsidP="00992AA6">
      <w:pPr>
        <w:pStyle w:val="AERbodytext"/>
      </w:pPr>
      <w:r>
        <w:t>E</w:t>
      </w:r>
      <w:r w:rsidR="00992AA6" w:rsidRPr="00992AA6">
        <w:t xml:space="preserve">ach </w:t>
      </w:r>
      <w:r w:rsidR="00251386">
        <w:t xml:space="preserve">of these </w:t>
      </w:r>
      <w:r w:rsidR="00992AA6" w:rsidRPr="00992AA6">
        <w:t>scheme</w:t>
      </w:r>
      <w:r w:rsidR="00251386">
        <w:t>s</w:t>
      </w:r>
      <w:r w:rsidR="00992AA6" w:rsidRPr="00992AA6">
        <w:t xml:space="preserve"> meets the jurisdictional scheme eligibility criteria set out in sub-clause 6.18.7A(x) of the NER. </w:t>
      </w:r>
    </w:p>
    <w:p w:rsidR="00DA35DF" w:rsidRDefault="00DA35DF" w:rsidP="00DA35DF">
      <w:pPr>
        <w:pStyle w:val="AERbodytext"/>
      </w:pPr>
    </w:p>
    <w:p w:rsidR="00DA35DF" w:rsidRDefault="00DA35DF" w:rsidP="00DA35DF">
      <w:pPr>
        <w:pStyle w:val="AERbodytext"/>
      </w:pPr>
    </w:p>
    <w:p w:rsidR="00DA35DF" w:rsidRDefault="00992AA6" w:rsidP="00DA35DF">
      <w:pPr>
        <w:pStyle w:val="Heading1"/>
      </w:pPr>
      <w:bookmarkStart w:id="17" w:name="_Toc377723842"/>
      <w:r>
        <w:lastRenderedPageBreak/>
        <w:t>ActewAGL Distribution's request</w:t>
      </w:r>
      <w:bookmarkEnd w:id="17"/>
      <w:r>
        <w:t xml:space="preserve"> </w:t>
      </w:r>
    </w:p>
    <w:p w:rsidR="00992AA6" w:rsidRDefault="00992AA6" w:rsidP="00202DE2">
      <w:pPr>
        <w:pStyle w:val="AERbodytext"/>
      </w:pPr>
      <w:r>
        <w:t xml:space="preserve">On 6 January 2014, we received ActewAGL Distribution’s request for </w:t>
      </w:r>
      <w:r w:rsidR="00C748E2">
        <w:t xml:space="preserve">three </w:t>
      </w:r>
      <w:r>
        <w:t xml:space="preserve">schemes to be determined as jurisdictional schemes. </w:t>
      </w:r>
      <w:r w:rsidR="00202DE2">
        <w:t>As required under s</w:t>
      </w:r>
      <w:r w:rsidR="00202DE2" w:rsidRPr="00202DE2">
        <w:t>ub-clause 6.18.7A(g) of the NER</w:t>
      </w:r>
      <w:r w:rsidR="00202DE2">
        <w:t>, ActewAGL</w:t>
      </w:r>
      <w:r w:rsidR="00B75DFA">
        <w:t xml:space="preserve"> Distribution</w:t>
      </w:r>
      <w:r w:rsidR="00202DE2">
        <w:t xml:space="preserve">'s </w:t>
      </w:r>
      <w:r w:rsidR="00000D8A">
        <w:t>request contain</w:t>
      </w:r>
      <w:r w:rsidR="00202DE2">
        <w:t>ed</w:t>
      </w:r>
      <w:r w:rsidR="00000D8A">
        <w:t xml:space="preserve"> the following information:</w:t>
      </w:r>
      <w:r w:rsidR="003C01C4">
        <w:rPr>
          <w:rStyle w:val="FootnoteReference"/>
        </w:rPr>
        <w:footnoteReference w:id="6"/>
      </w:r>
    </w:p>
    <w:p w:rsidR="00000D8A" w:rsidRPr="00000D8A" w:rsidRDefault="00000D8A" w:rsidP="00000D8A">
      <w:pPr>
        <w:pStyle w:val="AERquote"/>
      </w:pPr>
      <w:r w:rsidRPr="00000D8A">
        <w:t xml:space="preserve">(1) </w:t>
      </w:r>
      <w:proofErr w:type="gramStart"/>
      <w:r w:rsidRPr="00000D8A">
        <w:t>the</w:t>
      </w:r>
      <w:proofErr w:type="gramEnd"/>
      <w:r w:rsidRPr="00000D8A">
        <w:t xml:space="preserve"> name and address of the person making the request;</w:t>
      </w:r>
    </w:p>
    <w:p w:rsidR="00000D8A" w:rsidRPr="00000D8A" w:rsidRDefault="00000D8A" w:rsidP="00000D8A">
      <w:pPr>
        <w:pStyle w:val="AERquote"/>
      </w:pPr>
      <w:r w:rsidRPr="00000D8A">
        <w:t xml:space="preserve">(2) </w:t>
      </w:r>
      <w:proofErr w:type="gramStart"/>
      <w:r w:rsidRPr="00000D8A">
        <w:t>details</w:t>
      </w:r>
      <w:proofErr w:type="gramEnd"/>
      <w:r w:rsidRPr="00000D8A">
        <w:t xml:space="preserve"> of the law of a participating jurisdiction under which the relevant scheme is established;</w:t>
      </w:r>
    </w:p>
    <w:p w:rsidR="00000D8A" w:rsidRPr="00000D8A" w:rsidRDefault="00000D8A" w:rsidP="00000D8A">
      <w:pPr>
        <w:pStyle w:val="AERquote"/>
      </w:pPr>
      <w:r w:rsidRPr="00000D8A">
        <w:t xml:space="preserve">(3) </w:t>
      </w:r>
      <w:proofErr w:type="gramStart"/>
      <w:r w:rsidRPr="00000D8A">
        <w:t>the</w:t>
      </w:r>
      <w:proofErr w:type="gramEnd"/>
      <w:r w:rsidRPr="00000D8A">
        <w:t xml:space="preserve"> commencement date of the relevant scheme; and</w:t>
      </w:r>
    </w:p>
    <w:p w:rsidR="00000D8A" w:rsidRPr="00000D8A" w:rsidRDefault="00000D8A" w:rsidP="00000D8A">
      <w:pPr>
        <w:pStyle w:val="AERquote"/>
      </w:pPr>
      <w:r w:rsidRPr="00000D8A">
        <w:t xml:space="preserve">(4) </w:t>
      </w:r>
      <w:proofErr w:type="gramStart"/>
      <w:r w:rsidRPr="00000D8A">
        <w:t>an</w:t>
      </w:r>
      <w:proofErr w:type="gramEnd"/>
      <w:r w:rsidRPr="00000D8A">
        <w:t xml:space="preserve"> explanation of how the relevant scheme meets the jurisdictional scheme eligibility criteria.</w:t>
      </w:r>
    </w:p>
    <w:p w:rsidR="00992AA6" w:rsidRPr="00992AA6" w:rsidRDefault="00992AA6" w:rsidP="00E67AF6">
      <w:pPr>
        <w:pStyle w:val="Heading2"/>
      </w:pPr>
      <w:bookmarkStart w:id="18" w:name="_Toc377476702"/>
      <w:bookmarkStart w:id="19" w:name="_Toc377723843"/>
      <w:r w:rsidRPr="00992AA6">
        <w:t>The name and address of the person making the request</w:t>
      </w:r>
      <w:bookmarkEnd w:id="18"/>
      <w:bookmarkEnd w:id="19"/>
    </w:p>
    <w:p w:rsidR="00B75DFA" w:rsidRPr="009A141A" w:rsidRDefault="00992AA6" w:rsidP="00992AA6">
      <w:pPr>
        <w:pStyle w:val="AERbodytext"/>
      </w:pPr>
      <w:r>
        <w:t xml:space="preserve">The person who made the request is ActewAGL Distribution. </w:t>
      </w:r>
      <w:r w:rsidR="00E67AF6">
        <w:t>The</w:t>
      </w:r>
      <w:r>
        <w:t xml:space="preserve"> addresses of this person are provided in ActewAGL Distribution’s request document. </w:t>
      </w:r>
      <w:r w:rsidR="00B75DFA" w:rsidRPr="00F00246">
        <w:t>Part 3 (Terms and references) of the National Electricity Act 1996 (South Australia) defines a “person” to include a body politic or body corporate as well as an individual.</w:t>
      </w:r>
      <w:r w:rsidR="00B75DFA">
        <w:rPr>
          <w:rStyle w:val="FootnoteReference"/>
        </w:rPr>
        <w:footnoteReference w:id="7"/>
      </w:r>
    </w:p>
    <w:p w:rsidR="00992AA6" w:rsidRDefault="00992AA6" w:rsidP="00E67AF6">
      <w:pPr>
        <w:pStyle w:val="Heading2"/>
      </w:pPr>
      <w:bookmarkStart w:id="20" w:name="_Toc377476703"/>
      <w:bookmarkStart w:id="21" w:name="_Toc377723844"/>
      <w:r w:rsidRPr="00992AA6">
        <w:t>Information provided on each scheme</w:t>
      </w:r>
      <w:bookmarkEnd w:id="20"/>
      <w:bookmarkEnd w:id="21"/>
      <w:r w:rsidRPr="00992AA6">
        <w:t xml:space="preserve"> </w:t>
      </w:r>
    </w:p>
    <w:p w:rsidR="00992AA6" w:rsidRDefault="00202DE2" w:rsidP="00992AA6">
      <w:pPr>
        <w:pStyle w:val="AERbodytext"/>
      </w:pPr>
      <w:r>
        <w:t xml:space="preserve">Information provided on each scheme is </w:t>
      </w:r>
      <w:r w:rsidR="00992AA6">
        <w:t xml:space="preserve">summarised in table </w:t>
      </w:r>
      <w:r w:rsidR="00E67AF6">
        <w:t xml:space="preserve">2.1 </w:t>
      </w:r>
      <w:r w:rsidR="00992AA6">
        <w:t xml:space="preserve">below.  </w:t>
      </w:r>
    </w:p>
    <w:p w:rsidR="00992AA6" w:rsidRDefault="00992AA6" w:rsidP="00B5497B">
      <w:pPr>
        <w:pStyle w:val="Caption"/>
        <w:rPr>
          <w:rStyle w:val="AERtextbold"/>
        </w:rPr>
      </w:pPr>
      <w:r w:rsidRPr="00F70B3E">
        <w:rPr>
          <w:rStyle w:val="AERtextbold"/>
          <w:b/>
        </w:rPr>
        <w:t xml:space="preserve">Table 2.1 </w:t>
      </w:r>
      <w:r w:rsidRPr="00F70B3E">
        <w:rPr>
          <w:rStyle w:val="AERtextbold"/>
          <w:b/>
        </w:rPr>
        <w:tab/>
      </w:r>
      <w:r w:rsidR="00000D8A" w:rsidRPr="00B5497B">
        <w:rPr>
          <w:rStyle w:val="AERtextbold"/>
          <w:b/>
        </w:rPr>
        <w:t>S</w:t>
      </w:r>
      <w:r w:rsidRPr="00F70B3E">
        <w:rPr>
          <w:rStyle w:val="AERtextbold"/>
          <w:b/>
        </w:rPr>
        <w:t xml:space="preserve">ummary of ActewAGL Distribution's request </w:t>
      </w:r>
    </w:p>
    <w:tbl>
      <w:tblPr>
        <w:tblStyle w:val="AERtable-text"/>
        <w:tblW w:w="9464" w:type="dxa"/>
        <w:tblLook w:val="04A0" w:firstRow="1" w:lastRow="0" w:firstColumn="1" w:lastColumn="0" w:noHBand="0" w:noVBand="1"/>
      </w:tblPr>
      <w:tblGrid>
        <w:gridCol w:w="1526"/>
        <w:gridCol w:w="2716"/>
        <w:gridCol w:w="2552"/>
        <w:gridCol w:w="2670"/>
      </w:tblGrid>
      <w:tr w:rsidR="00086EC3" w:rsidRPr="000C052F" w:rsidTr="00447D31">
        <w:trPr>
          <w:cnfStyle w:val="100000000000" w:firstRow="1" w:lastRow="0" w:firstColumn="0" w:lastColumn="0" w:oddVBand="0" w:evenVBand="0" w:oddHBand="0" w:evenHBand="0" w:firstRowFirstColumn="0" w:firstRowLastColumn="0" w:lastRowFirstColumn="0" w:lastRowLastColumn="0"/>
        </w:trPr>
        <w:tc>
          <w:tcPr>
            <w:tcW w:w="1526" w:type="dxa"/>
            <w:noWrap/>
          </w:tcPr>
          <w:p w:rsidR="00086EC3" w:rsidRPr="00086EC3" w:rsidRDefault="00086EC3" w:rsidP="00086EC3">
            <w:pPr>
              <w:pStyle w:val="AERtabletextleft"/>
              <w:rPr>
                <w:b w:val="0"/>
              </w:rPr>
            </w:pPr>
          </w:p>
        </w:tc>
        <w:tc>
          <w:tcPr>
            <w:tcW w:w="2716" w:type="dxa"/>
          </w:tcPr>
          <w:p w:rsidR="00086EC3" w:rsidRPr="00086EC3" w:rsidRDefault="00086EC3" w:rsidP="00086EC3">
            <w:pPr>
              <w:pStyle w:val="AERtabletextleft"/>
            </w:pPr>
            <w:r>
              <w:t xml:space="preserve">Details of the law establishing the schemes </w:t>
            </w:r>
          </w:p>
        </w:tc>
        <w:tc>
          <w:tcPr>
            <w:tcW w:w="2552" w:type="dxa"/>
            <w:noWrap/>
          </w:tcPr>
          <w:p w:rsidR="00086EC3" w:rsidRPr="00086EC3" w:rsidRDefault="00086EC3" w:rsidP="00086EC3">
            <w:pPr>
              <w:pStyle w:val="AERtabletextleft"/>
              <w:rPr>
                <w:b w:val="0"/>
              </w:rPr>
            </w:pPr>
            <w:r>
              <w:t xml:space="preserve">Commencement date of the scheme </w:t>
            </w:r>
          </w:p>
        </w:tc>
        <w:tc>
          <w:tcPr>
            <w:tcW w:w="2670" w:type="dxa"/>
          </w:tcPr>
          <w:p w:rsidR="00086EC3" w:rsidRPr="00086EC3" w:rsidRDefault="00086EC3" w:rsidP="00086EC3">
            <w:pPr>
              <w:pStyle w:val="AERtabletextleft"/>
            </w:pPr>
            <w:r>
              <w:t xml:space="preserve">How the scheme meets the jurisdictional scheme criteria </w:t>
            </w:r>
          </w:p>
        </w:tc>
      </w:tr>
      <w:tr w:rsidR="00086EC3" w:rsidRPr="000C052F" w:rsidTr="00447D31">
        <w:tc>
          <w:tcPr>
            <w:tcW w:w="1526" w:type="dxa"/>
            <w:noWrap/>
          </w:tcPr>
          <w:p w:rsidR="00086EC3" w:rsidRPr="00086EC3" w:rsidRDefault="00086EC3" w:rsidP="00086EC3">
            <w:pPr>
              <w:pStyle w:val="AERtabletextleft"/>
              <w:rPr>
                <w:rStyle w:val="AERtextbold"/>
              </w:rPr>
            </w:pPr>
            <w:r w:rsidRPr="00086EC3">
              <w:rPr>
                <w:rStyle w:val="AERtextbold"/>
              </w:rPr>
              <w:t>Energy Industry Levy</w:t>
            </w:r>
          </w:p>
        </w:tc>
        <w:tc>
          <w:tcPr>
            <w:tcW w:w="2716" w:type="dxa"/>
            <w:vAlign w:val="top"/>
          </w:tcPr>
          <w:p w:rsidR="00086EC3" w:rsidRPr="00086EC3" w:rsidRDefault="00086EC3" w:rsidP="00086EC3">
            <w:pPr>
              <w:pStyle w:val="AERtabletextleft"/>
            </w:pPr>
            <w:r>
              <w:t xml:space="preserve">Part 3A of the Utilities Act 2000 (ACT) imposes a levy on energy utilities to recover the amount of the ACT’s national regulatory costs, and local regulations costs, in relation </w:t>
            </w:r>
            <w:r w:rsidRPr="00086EC3">
              <w:t>to the energy industry sectors.</w:t>
            </w:r>
          </w:p>
        </w:tc>
        <w:tc>
          <w:tcPr>
            <w:tcW w:w="2552" w:type="dxa"/>
            <w:noWrap/>
            <w:vAlign w:val="top"/>
          </w:tcPr>
          <w:p w:rsidR="00086EC3" w:rsidRPr="00086EC3" w:rsidRDefault="00086EC3" w:rsidP="00086EC3">
            <w:pPr>
              <w:pStyle w:val="AERtabletextleft"/>
            </w:pPr>
            <w:r>
              <w:t xml:space="preserve">The </w:t>
            </w:r>
            <w:r w:rsidRPr="00086EC3">
              <w:t>Utilities (Energy Industry Levy) Amendment Bill 2007 (ACT), which established the Energy Industry Levy12, was passed by the ACT Legislative Assembly on 29 May 2007 and was notified on 13 June 2007.</w:t>
            </w:r>
          </w:p>
        </w:tc>
        <w:tc>
          <w:tcPr>
            <w:tcW w:w="2670" w:type="dxa"/>
            <w:vMerge w:val="restart"/>
          </w:tcPr>
          <w:p w:rsidR="00B5497B" w:rsidRDefault="00086EC3" w:rsidP="00086EC3">
            <w:pPr>
              <w:pStyle w:val="AERtabletextleft"/>
            </w:pPr>
            <w:r w:rsidRPr="0054061C">
              <w:t>The jurisdictional scheme obligations under each scheme require ActewAGL Distribution to pay a person.</w:t>
            </w:r>
            <w:r w:rsidR="00B5497B">
              <w:t xml:space="preserve"> </w:t>
            </w:r>
          </w:p>
          <w:p w:rsidR="00086EC3" w:rsidRPr="0054061C" w:rsidRDefault="00086EC3" w:rsidP="00086EC3">
            <w:pPr>
              <w:pStyle w:val="AERtabletextleft"/>
            </w:pPr>
            <w:r w:rsidRPr="0054061C">
              <w:t>The amounts payable are determined in accordance with the jurisdictional scheme obligations.</w:t>
            </w:r>
          </w:p>
          <w:p w:rsidR="00086EC3" w:rsidRPr="0054061C" w:rsidRDefault="00086EC3" w:rsidP="00086EC3">
            <w:pPr>
              <w:pStyle w:val="AERtabletextleft"/>
            </w:pPr>
            <w:r w:rsidRPr="0054061C">
              <w:t xml:space="preserve">The amounts are not in the nature of a fine, penalty or incentive payment. </w:t>
            </w:r>
          </w:p>
          <w:p w:rsidR="00086EC3" w:rsidRPr="00086EC3" w:rsidRDefault="00086EC3" w:rsidP="00C748E2">
            <w:pPr>
              <w:pStyle w:val="AERtabletextleft"/>
            </w:pPr>
            <w:r w:rsidRPr="0054061C">
              <w:t xml:space="preserve">ActewAGL Distribution currently recovers amounts for the Energy Industry Levy and the Utilities Network Facilities Tax through revenue allowance determined by the AER </w:t>
            </w:r>
            <w:r w:rsidR="00C748E2">
              <w:t>in its</w:t>
            </w:r>
            <w:r w:rsidR="00C748E2" w:rsidRPr="0054061C">
              <w:t xml:space="preserve"> </w:t>
            </w:r>
            <w:r w:rsidRPr="0054061C">
              <w:t>2009</w:t>
            </w:r>
            <w:r w:rsidR="00C748E2">
              <w:t xml:space="preserve"> distribution determination</w:t>
            </w:r>
            <w:r w:rsidRPr="0054061C">
              <w:t>. ActewAGL Distribution has not yet made a Feed-in Tariff (Large-scale) payment.</w:t>
            </w:r>
          </w:p>
        </w:tc>
      </w:tr>
      <w:tr w:rsidR="00086EC3" w:rsidRPr="000C052F" w:rsidTr="00447D31">
        <w:trPr>
          <w:cnfStyle w:val="000000010000" w:firstRow="0" w:lastRow="0" w:firstColumn="0" w:lastColumn="0" w:oddVBand="0" w:evenVBand="0" w:oddHBand="0" w:evenHBand="1" w:firstRowFirstColumn="0" w:firstRowLastColumn="0" w:lastRowFirstColumn="0" w:lastRowLastColumn="0"/>
        </w:trPr>
        <w:tc>
          <w:tcPr>
            <w:tcW w:w="1526" w:type="dxa"/>
            <w:noWrap/>
          </w:tcPr>
          <w:p w:rsidR="00086EC3" w:rsidRPr="0054061C" w:rsidRDefault="00086EC3" w:rsidP="00086EC3">
            <w:pPr>
              <w:pStyle w:val="AERtabletextleft"/>
              <w:rPr>
                <w:rStyle w:val="AERtextbold"/>
              </w:rPr>
            </w:pPr>
            <w:r w:rsidRPr="0054061C">
              <w:rPr>
                <w:rStyle w:val="AERtextbold"/>
              </w:rPr>
              <w:t>Utilities Network Facilities Tax</w:t>
            </w:r>
          </w:p>
        </w:tc>
        <w:tc>
          <w:tcPr>
            <w:tcW w:w="2716" w:type="dxa"/>
            <w:vAlign w:val="top"/>
          </w:tcPr>
          <w:p w:rsidR="00086EC3" w:rsidRPr="00086EC3" w:rsidRDefault="00086EC3" w:rsidP="00086EC3">
            <w:pPr>
              <w:pStyle w:val="AERtabletextleft"/>
            </w:pPr>
            <w:r w:rsidRPr="0018063E">
              <w:t>The Utilities (Network Facilities Tax) Act 2006 (ACT) imposes a tax on owners of utility network facilities on land in the ACT.</w:t>
            </w:r>
            <w:r w:rsidRPr="00086EC3">
              <w:rPr>
                <w:rStyle w:val="FootnoteReference"/>
              </w:rPr>
              <w:t xml:space="preserve"> </w:t>
            </w:r>
          </w:p>
        </w:tc>
        <w:tc>
          <w:tcPr>
            <w:tcW w:w="2552" w:type="dxa"/>
            <w:noWrap/>
            <w:vAlign w:val="top"/>
          </w:tcPr>
          <w:p w:rsidR="00086EC3" w:rsidRPr="00086EC3" w:rsidRDefault="00086EC3" w:rsidP="00086EC3">
            <w:pPr>
              <w:pStyle w:val="AERtabletextleft"/>
            </w:pPr>
            <w:r w:rsidRPr="0018063E">
              <w:t>The Utilities (Network Facilities Tax) Bill 2006 (ACT) passed the ACT Legislative Assembly on 14 December 2006 and was no</w:t>
            </w:r>
            <w:r w:rsidRPr="00086EC3">
              <w:t>tified on 20 December 2006.</w:t>
            </w:r>
          </w:p>
        </w:tc>
        <w:tc>
          <w:tcPr>
            <w:tcW w:w="2670" w:type="dxa"/>
            <w:vMerge/>
          </w:tcPr>
          <w:p w:rsidR="00086EC3" w:rsidRPr="00086EC3" w:rsidRDefault="00086EC3" w:rsidP="00086EC3">
            <w:pPr>
              <w:pStyle w:val="AERtabletextleft"/>
            </w:pPr>
          </w:p>
        </w:tc>
      </w:tr>
      <w:tr w:rsidR="00086EC3" w:rsidRPr="000C052F" w:rsidTr="00447D31">
        <w:tc>
          <w:tcPr>
            <w:tcW w:w="1526" w:type="dxa"/>
            <w:noWrap/>
          </w:tcPr>
          <w:p w:rsidR="00086EC3" w:rsidRPr="0054061C" w:rsidRDefault="00086EC3" w:rsidP="00086EC3">
            <w:pPr>
              <w:pStyle w:val="AERtabletextleft"/>
              <w:rPr>
                <w:rStyle w:val="AERtextbold"/>
              </w:rPr>
            </w:pPr>
            <w:r w:rsidRPr="0054061C">
              <w:rPr>
                <w:rStyle w:val="AERtextbold"/>
              </w:rPr>
              <w:t>Feed-in tariff large-scale</w:t>
            </w:r>
          </w:p>
        </w:tc>
        <w:tc>
          <w:tcPr>
            <w:tcW w:w="2716" w:type="dxa"/>
          </w:tcPr>
          <w:p w:rsidR="00086EC3" w:rsidRPr="00086EC3" w:rsidRDefault="00086EC3" w:rsidP="00086EC3">
            <w:pPr>
              <w:pStyle w:val="AERtabletextleft"/>
            </w:pPr>
            <w:r>
              <w:t xml:space="preserve">Under the </w:t>
            </w:r>
            <w:r w:rsidRPr="00086EC3">
              <w:t>Electricity Feed-in (Large-scale Renewable Energy Generation) Act 2011 (ACT), ActewAGL Distribution is required to pay a FiT support payment to the holder of a FiT entitlement for the holder’s eligible electricity.</w:t>
            </w:r>
            <w:r w:rsidRPr="00086EC3">
              <w:rPr>
                <w:rStyle w:val="FootnoteReference"/>
              </w:rPr>
              <w:t xml:space="preserve"> </w:t>
            </w:r>
          </w:p>
        </w:tc>
        <w:tc>
          <w:tcPr>
            <w:tcW w:w="2552" w:type="dxa"/>
            <w:noWrap/>
          </w:tcPr>
          <w:p w:rsidR="00086EC3" w:rsidRPr="00086EC3" w:rsidRDefault="00086EC3" w:rsidP="00086EC3">
            <w:pPr>
              <w:pStyle w:val="AERtabletextleft"/>
            </w:pPr>
            <w:r w:rsidRPr="0018063E">
              <w:t xml:space="preserve">The Electricity Feed-in (Large-scale Renewable Energy Generation) Bill 2011 (ACT) passed the ACT Legislative Assembly on 8 December 2011 and was notified on 14 </w:t>
            </w:r>
            <w:r w:rsidRPr="00086EC3">
              <w:t>December 2011.</w:t>
            </w:r>
          </w:p>
        </w:tc>
        <w:tc>
          <w:tcPr>
            <w:tcW w:w="2670" w:type="dxa"/>
            <w:vMerge/>
          </w:tcPr>
          <w:p w:rsidR="00086EC3" w:rsidRPr="00086EC3" w:rsidRDefault="00086EC3" w:rsidP="00086EC3">
            <w:pPr>
              <w:pStyle w:val="AERtabletextleft"/>
            </w:pPr>
          </w:p>
        </w:tc>
      </w:tr>
    </w:tbl>
    <w:p w:rsidR="00DA35DF" w:rsidRDefault="00C748E2" w:rsidP="00DA35DF">
      <w:pPr>
        <w:pStyle w:val="Heading1"/>
      </w:pPr>
      <w:bookmarkStart w:id="22" w:name="_Toc377723845"/>
      <w:r>
        <w:lastRenderedPageBreak/>
        <w:t>Regulatory requirements</w:t>
      </w:r>
      <w:bookmarkEnd w:id="22"/>
      <w:r>
        <w:t xml:space="preserve"> </w:t>
      </w:r>
    </w:p>
    <w:p w:rsidR="00E67AF6" w:rsidRDefault="00202DE2" w:rsidP="0045467E">
      <w:pPr>
        <w:pStyle w:val="AERbodytext"/>
      </w:pPr>
      <w:r>
        <w:t xml:space="preserve">This section sets out the applicable regulatory requirements </w:t>
      </w:r>
      <w:r w:rsidR="00C748E2">
        <w:t>that must be met in order for the AER to determine a scheme to be a jurisdictional scheme</w:t>
      </w:r>
      <w:r>
        <w:t>.</w:t>
      </w:r>
    </w:p>
    <w:p w:rsidR="00E67AF6" w:rsidRDefault="00E67AF6" w:rsidP="00E67AF6">
      <w:pPr>
        <w:pStyle w:val="AERbodytext"/>
      </w:pPr>
      <w:r>
        <w:t xml:space="preserve">Sub-clause </w:t>
      </w:r>
      <w:proofErr w:type="gramStart"/>
      <w:r>
        <w:t>6.18.7A(</w:t>
      </w:r>
      <w:proofErr w:type="gramEnd"/>
      <w:r>
        <w:t xml:space="preserve">d) of the NER defines a jurisdictional scheme as follows. </w:t>
      </w:r>
    </w:p>
    <w:p w:rsidR="00E67AF6" w:rsidRDefault="00E67AF6" w:rsidP="00E67AF6">
      <w:pPr>
        <w:pStyle w:val="AERquote"/>
      </w:pPr>
      <w:r>
        <w:t>A scheme is a jurisdictional scheme if:</w:t>
      </w:r>
    </w:p>
    <w:p w:rsidR="00E67AF6" w:rsidRDefault="00E67AF6" w:rsidP="00E67AF6">
      <w:pPr>
        <w:pStyle w:val="AERquote"/>
      </w:pPr>
      <w:r>
        <w:t xml:space="preserve">(1) </w:t>
      </w:r>
      <w:proofErr w:type="gramStart"/>
      <w:r>
        <w:t>the</w:t>
      </w:r>
      <w:proofErr w:type="gramEnd"/>
      <w:r>
        <w:t xml:space="preserve"> scheme is specified in paragraph (e); or</w:t>
      </w:r>
    </w:p>
    <w:p w:rsidR="00E67AF6" w:rsidRDefault="00E67AF6" w:rsidP="00E67AF6">
      <w:pPr>
        <w:pStyle w:val="AERquote"/>
      </w:pPr>
      <w:r>
        <w:t xml:space="preserve">(2) </w:t>
      </w:r>
      <w:proofErr w:type="gramStart"/>
      <w:r>
        <w:t>the</w:t>
      </w:r>
      <w:proofErr w:type="gramEnd"/>
      <w:r>
        <w:t xml:space="preserve"> AER has determined under clause paragraph (l) that the scheme is a jurisdictional scheme,</w:t>
      </w:r>
    </w:p>
    <w:p w:rsidR="00E67AF6" w:rsidRDefault="00E67AF6" w:rsidP="00E67AF6">
      <w:pPr>
        <w:pStyle w:val="AERquote"/>
      </w:pPr>
      <w:proofErr w:type="gramStart"/>
      <w:r>
        <w:t>and</w:t>
      </w:r>
      <w:proofErr w:type="gramEnd"/>
      <w:r>
        <w:t xml:space="preserve"> the AER has not determined under paragraph (u) that the scheme has ceased to be a jurisdictional scheme.</w:t>
      </w:r>
    </w:p>
    <w:p w:rsidR="00E67AF6" w:rsidRDefault="00E67AF6" w:rsidP="00E67AF6">
      <w:pPr>
        <w:pStyle w:val="AERbodytext"/>
      </w:pPr>
      <w:r>
        <w:t>We must only determine that a scheme is a jurisdictional scheme if we consider that the scheme meets the jurisdictional scheme eligibility criteria.</w:t>
      </w:r>
      <w:r>
        <w:rPr>
          <w:rStyle w:val="FootnoteReference"/>
        </w:rPr>
        <w:footnoteReference w:id="8"/>
      </w:r>
    </w:p>
    <w:p w:rsidR="00E67AF6" w:rsidRDefault="00E67AF6" w:rsidP="00E67AF6">
      <w:pPr>
        <w:pStyle w:val="AERbodytext"/>
      </w:pPr>
      <w:r>
        <w:t xml:space="preserve">The jurisdictional scheme eligibility criteria are set out in sub-clause 6.18.7A(x) of the NER: </w:t>
      </w:r>
    </w:p>
    <w:p w:rsidR="00E67AF6" w:rsidRPr="00E67AF6" w:rsidRDefault="00E67AF6" w:rsidP="00E67AF6">
      <w:pPr>
        <w:pStyle w:val="AERquote"/>
      </w:pPr>
      <w:r w:rsidRPr="00E67AF6">
        <w:t>Jurisdictional scheme eligibility criteria</w:t>
      </w:r>
    </w:p>
    <w:p w:rsidR="00E67AF6" w:rsidRPr="00E67AF6" w:rsidRDefault="00E67AF6" w:rsidP="00E67AF6">
      <w:pPr>
        <w:pStyle w:val="AERquote"/>
      </w:pPr>
      <w:r>
        <w:t>(x) The following are the jurisdictional scheme eligibility criteria:</w:t>
      </w:r>
    </w:p>
    <w:p w:rsidR="00E67AF6" w:rsidRPr="00E67AF6" w:rsidRDefault="00E67AF6" w:rsidP="001F093B">
      <w:pPr>
        <w:pStyle w:val="AERquoteindent1"/>
      </w:pPr>
      <w:r>
        <w:t xml:space="preserve">(1) </w:t>
      </w:r>
      <w:proofErr w:type="gramStart"/>
      <w:r>
        <w:t>the</w:t>
      </w:r>
      <w:proofErr w:type="gramEnd"/>
      <w:r>
        <w:t xml:space="preserve"> jurisdictional scheme obligations require a Distribution Network Service Provider to:</w:t>
      </w:r>
    </w:p>
    <w:p w:rsidR="00E67AF6" w:rsidRPr="00E67AF6" w:rsidRDefault="00E67AF6" w:rsidP="001F093B">
      <w:pPr>
        <w:pStyle w:val="AERquoteindent2"/>
      </w:pPr>
      <w:r>
        <w:t>(</w:t>
      </w:r>
      <w:proofErr w:type="gramStart"/>
      <w:r>
        <w:t>i</w:t>
      </w:r>
      <w:proofErr w:type="gramEnd"/>
      <w:r>
        <w:t>) pay a person;</w:t>
      </w:r>
    </w:p>
    <w:p w:rsidR="00E67AF6" w:rsidRPr="00E67AF6" w:rsidRDefault="00E67AF6" w:rsidP="001F093B">
      <w:pPr>
        <w:pStyle w:val="AERquoteindent2"/>
      </w:pPr>
      <w:r>
        <w:t xml:space="preserve">(ii) </w:t>
      </w:r>
      <w:proofErr w:type="gramStart"/>
      <w:r>
        <w:t>pay</w:t>
      </w:r>
      <w:proofErr w:type="gramEnd"/>
      <w:r>
        <w:t xml:space="preserve"> into a fund established under an Act of a participating jurisdiction;</w:t>
      </w:r>
    </w:p>
    <w:p w:rsidR="00E67AF6" w:rsidRPr="00E67AF6" w:rsidRDefault="00E67AF6" w:rsidP="001F093B">
      <w:pPr>
        <w:pStyle w:val="AERquoteindent2"/>
      </w:pPr>
      <w:r>
        <w:t xml:space="preserve">(iii) </w:t>
      </w:r>
      <w:proofErr w:type="gramStart"/>
      <w:r>
        <w:t>credit</w:t>
      </w:r>
      <w:proofErr w:type="gramEnd"/>
      <w:r>
        <w:t xml:space="preserve"> against charges payable by a person; or</w:t>
      </w:r>
    </w:p>
    <w:p w:rsidR="00E67AF6" w:rsidRPr="00E67AF6" w:rsidRDefault="00E67AF6" w:rsidP="001F093B">
      <w:pPr>
        <w:pStyle w:val="AERquoteindent2"/>
      </w:pPr>
      <w:r>
        <w:t xml:space="preserve">(iv) </w:t>
      </w:r>
      <w:proofErr w:type="gramStart"/>
      <w:r>
        <w:t>reimburse</w:t>
      </w:r>
      <w:proofErr w:type="gramEnd"/>
      <w:r>
        <w:t xml:space="preserve"> a person,</w:t>
      </w:r>
    </w:p>
    <w:p w:rsidR="00E67AF6" w:rsidRPr="00E67AF6" w:rsidRDefault="00E67AF6" w:rsidP="001F093B">
      <w:pPr>
        <w:pStyle w:val="AERquoteindent2"/>
      </w:pPr>
      <w:proofErr w:type="gramStart"/>
      <w:r>
        <w:t>an</w:t>
      </w:r>
      <w:proofErr w:type="gramEnd"/>
      <w:r>
        <w:t xml:space="preserve"> amount specified in, or determined in accordance with, the jurisdictional scheme obligations;</w:t>
      </w:r>
    </w:p>
    <w:p w:rsidR="00E67AF6" w:rsidRPr="00E67AF6" w:rsidRDefault="00E67AF6" w:rsidP="001F093B">
      <w:pPr>
        <w:pStyle w:val="AERquoteindent1"/>
      </w:pPr>
      <w:r>
        <w:t xml:space="preserve">(2) </w:t>
      </w:r>
      <w:proofErr w:type="gramStart"/>
      <w:r>
        <w:t>the</w:t>
      </w:r>
      <w:proofErr w:type="gramEnd"/>
      <w:r>
        <w:t xml:space="preserve"> jurisdictional scheme obligations are imposed on a Distribution Network Service Provider in its capacity as a Distribution Network Service Provider;</w:t>
      </w:r>
    </w:p>
    <w:p w:rsidR="00E67AF6" w:rsidRPr="00E67AF6" w:rsidRDefault="00E67AF6" w:rsidP="001F093B">
      <w:pPr>
        <w:pStyle w:val="AERquoteindent1"/>
      </w:pPr>
      <w:r>
        <w:t xml:space="preserve">(3) </w:t>
      </w:r>
      <w:proofErr w:type="gramStart"/>
      <w:r>
        <w:t>the</w:t>
      </w:r>
      <w:proofErr w:type="gramEnd"/>
      <w:r>
        <w:t xml:space="preserve"> amount referred to in subparagraph (1) is not in the nature of a fine, penalty or incentive payment for the Distribution Network Service Provider; and</w:t>
      </w:r>
    </w:p>
    <w:p w:rsidR="00E67AF6" w:rsidRPr="00E67AF6" w:rsidRDefault="00E67AF6" w:rsidP="001F093B">
      <w:pPr>
        <w:pStyle w:val="AERquoteindent1"/>
      </w:pPr>
      <w:r>
        <w:t xml:space="preserve">(4) </w:t>
      </w:r>
      <w:proofErr w:type="gramStart"/>
      <w:r>
        <w:t>except</w:t>
      </w:r>
      <w:proofErr w:type="gramEnd"/>
      <w:r>
        <w:t xml:space="preserve"> as provided in these Rules, the Distribution Network Service Provider has no right to recover the amount referred to in subparagraph (1) from any person.</w:t>
      </w:r>
    </w:p>
    <w:p w:rsidR="00E67AF6" w:rsidRPr="00E67AF6" w:rsidRDefault="00E67AF6" w:rsidP="00E67AF6">
      <w:pPr>
        <w:pStyle w:val="AERbodytext"/>
      </w:pPr>
      <w:r>
        <w:t xml:space="preserve">Chapter 10 of the NER defines </w:t>
      </w:r>
      <w:r w:rsidRPr="00617962">
        <w:t>jurisdictional scheme obligations</w:t>
      </w:r>
      <w:r>
        <w:t xml:space="preserve"> as follows. </w:t>
      </w:r>
    </w:p>
    <w:p w:rsidR="00E67AF6" w:rsidRPr="00E67AF6" w:rsidRDefault="00E67AF6" w:rsidP="0045467E">
      <w:pPr>
        <w:pStyle w:val="AERquote"/>
      </w:pPr>
      <w:r w:rsidRPr="00E67AF6">
        <w:t>Obligations imposed on a Distribution Network Service Provider under:</w:t>
      </w:r>
    </w:p>
    <w:p w:rsidR="00E67AF6" w:rsidRPr="00E67AF6" w:rsidRDefault="00E67AF6" w:rsidP="0045467E">
      <w:pPr>
        <w:pStyle w:val="AERquote"/>
      </w:pPr>
      <w:r w:rsidRPr="00E67AF6">
        <w:t xml:space="preserve">(a) </w:t>
      </w:r>
      <w:proofErr w:type="gramStart"/>
      <w:r w:rsidRPr="00E67AF6">
        <w:t>an</w:t>
      </w:r>
      <w:proofErr w:type="gramEnd"/>
      <w:r w:rsidRPr="00E67AF6">
        <w:t xml:space="preserve"> Act of a participating jurisdiction or an instrument, direction or order made under an Act of a participating jurisdiction (other than the National Electricity Law and these Rules); or</w:t>
      </w:r>
    </w:p>
    <w:p w:rsidR="00E67AF6" w:rsidRPr="00E67AF6" w:rsidRDefault="00E67AF6" w:rsidP="0045467E">
      <w:pPr>
        <w:pStyle w:val="AERquote"/>
      </w:pPr>
      <w:r w:rsidRPr="00E67AF6">
        <w:t xml:space="preserve">(b) </w:t>
      </w:r>
      <w:proofErr w:type="gramStart"/>
      <w:r w:rsidRPr="00E67AF6">
        <w:t>a</w:t>
      </w:r>
      <w:proofErr w:type="gramEnd"/>
      <w:r w:rsidRPr="00E67AF6">
        <w:t xml:space="preserve"> condition of a distribution licence or authority held by a Distribution Network Service Provider in a participating jurisdiction.</w:t>
      </w:r>
    </w:p>
    <w:p w:rsidR="00E67AF6" w:rsidRPr="00E67AF6" w:rsidRDefault="00E67AF6" w:rsidP="00E67AF6">
      <w:pPr>
        <w:pStyle w:val="AERbodytext"/>
      </w:pPr>
    </w:p>
    <w:p w:rsidR="00DA35DF" w:rsidRDefault="00DA35DF" w:rsidP="00DA35DF">
      <w:pPr>
        <w:pStyle w:val="Heading1"/>
      </w:pPr>
      <w:bookmarkStart w:id="23" w:name="_Toc377723846"/>
      <w:bookmarkEnd w:id="8"/>
      <w:bookmarkEnd w:id="9"/>
      <w:bookmarkEnd w:id="15"/>
      <w:bookmarkEnd w:id="16"/>
      <w:r>
        <w:lastRenderedPageBreak/>
        <w:t>Reasons for determination</w:t>
      </w:r>
      <w:bookmarkEnd w:id="23"/>
    </w:p>
    <w:p w:rsidR="00633619" w:rsidRDefault="00633619" w:rsidP="00633619">
      <w:pPr>
        <w:pStyle w:val="AERbodytext"/>
      </w:pPr>
      <w:r>
        <w:t xml:space="preserve">Following our assessment, we determined that schemes listed in ActewAGL Distribution’s request are jurisdictional schemes. </w:t>
      </w:r>
      <w:r w:rsidR="001F436B">
        <w:t xml:space="preserve">The AER’s determination has been made in accordance with sub-clause </w:t>
      </w:r>
      <w:proofErr w:type="gramStart"/>
      <w:r w:rsidR="001F436B">
        <w:t>6.18.7A(</w:t>
      </w:r>
      <w:proofErr w:type="gramEnd"/>
      <w:r w:rsidR="001F436B">
        <w:t xml:space="preserve">n) of the NER. </w:t>
      </w:r>
      <w:r>
        <w:t>Our reasons for this determination are set out below.</w:t>
      </w:r>
    </w:p>
    <w:p w:rsidR="00633619" w:rsidRPr="00633619" w:rsidRDefault="00633619" w:rsidP="00633619">
      <w:pPr>
        <w:pStyle w:val="Heading2"/>
      </w:pPr>
      <w:bookmarkStart w:id="24" w:name="_Toc377723847"/>
      <w:r>
        <w:t>Matters in</w:t>
      </w:r>
      <w:r w:rsidRPr="00633619">
        <w:t xml:space="preserve"> clause </w:t>
      </w:r>
      <w:proofErr w:type="gramStart"/>
      <w:r w:rsidRPr="00633619">
        <w:t>6.18.7A(</w:t>
      </w:r>
      <w:proofErr w:type="gramEnd"/>
      <w:r w:rsidRPr="00633619">
        <w:t>g) of the NER</w:t>
      </w:r>
      <w:bookmarkEnd w:id="24"/>
    </w:p>
    <w:p w:rsidR="00633619" w:rsidRDefault="00633619" w:rsidP="00633619">
      <w:pPr>
        <w:pStyle w:val="AERbodytext"/>
      </w:pPr>
      <w:bookmarkStart w:id="25" w:name="_Toc364689206"/>
      <w:r>
        <w:t xml:space="preserve">ActewAGL Distribution’s request has been summarised in section 2.2 of this determination. </w:t>
      </w:r>
      <w:r w:rsidR="00C748E2">
        <w:t xml:space="preserve">It </w:t>
      </w:r>
      <w:r>
        <w:t xml:space="preserve">contains the information required to be provided under sub-clause </w:t>
      </w:r>
      <w:proofErr w:type="gramStart"/>
      <w:r>
        <w:t>6.18.7A(</w:t>
      </w:r>
      <w:proofErr w:type="gramEnd"/>
      <w:r>
        <w:t xml:space="preserve">g) of the NER. Therefore, we consider that ActewAGL Distribution’s request meets the requirements </w:t>
      </w:r>
      <w:r w:rsidR="00316191">
        <w:t xml:space="preserve">of </w:t>
      </w:r>
      <w:r>
        <w:t xml:space="preserve">this rule. </w:t>
      </w:r>
    </w:p>
    <w:p w:rsidR="00633619" w:rsidRPr="00633619" w:rsidRDefault="00633619" w:rsidP="00633619">
      <w:pPr>
        <w:pStyle w:val="Heading2"/>
      </w:pPr>
      <w:bookmarkStart w:id="26" w:name="_Toc377723848"/>
      <w:r>
        <w:t>Assessment against the jurisdictional scheme eligibility criteria</w:t>
      </w:r>
      <w:bookmarkEnd w:id="26"/>
      <w:r>
        <w:t xml:space="preserve"> </w:t>
      </w:r>
    </w:p>
    <w:p w:rsidR="00633619" w:rsidRPr="00633619" w:rsidRDefault="00633619" w:rsidP="00633619">
      <w:pPr>
        <w:pStyle w:val="Heading3"/>
      </w:pPr>
      <w:bookmarkStart w:id="27" w:name="_Toc377723849"/>
      <w:r>
        <w:t>Energy Industry Levy</w:t>
      </w:r>
      <w:bookmarkEnd w:id="27"/>
      <w:r>
        <w:t xml:space="preserve"> </w:t>
      </w:r>
    </w:p>
    <w:p w:rsidR="005260A0" w:rsidRDefault="005260A0" w:rsidP="00FD1D1E">
      <w:pPr>
        <w:pStyle w:val="AERtabletextleft"/>
        <w:rPr>
          <w:rStyle w:val="AERtextbold"/>
        </w:rPr>
      </w:pPr>
    </w:p>
    <w:tbl>
      <w:tblPr>
        <w:tblStyle w:val="AERtable-text"/>
        <w:tblW w:w="0" w:type="auto"/>
        <w:tblLook w:val="04A0" w:firstRow="1" w:lastRow="0" w:firstColumn="1" w:lastColumn="0" w:noHBand="0" w:noVBand="1"/>
      </w:tblPr>
      <w:tblGrid>
        <w:gridCol w:w="3510"/>
        <w:gridCol w:w="5670"/>
      </w:tblGrid>
      <w:tr w:rsidR="00FD1D1E" w:rsidRPr="000C052F" w:rsidTr="00FD1D1E">
        <w:trPr>
          <w:cnfStyle w:val="100000000000" w:firstRow="1" w:lastRow="0" w:firstColumn="0" w:lastColumn="0" w:oddVBand="0" w:evenVBand="0" w:oddHBand="0" w:evenHBand="0" w:firstRowFirstColumn="0" w:firstRowLastColumn="0" w:lastRowFirstColumn="0" w:lastRowLastColumn="0"/>
        </w:trPr>
        <w:tc>
          <w:tcPr>
            <w:tcW w:w="3510" w:type="dxa"/>
            <w:noWrap/>
          </w:tcPr>
          <w:p w:rsidR="00FD1D1E" w:rsidRPr="00FD1D1E" w:rsidRDefault="00FD1D1E" w:rsidP="00FD1D1E">
            <w:pPr>
              <w:pStyle w:val="AERtabletextleft"/>
            </w:pPr>
            <w:r>
              <w:t xml:space="preserve">Criterion </w:t>
            </w:r>
          </w:p>
        </w:tc>
        <w:tc>
          <w:tcPr>
            <w:tcW w:w="5670" w:type="dxa"/>
            <w:noWrap/>
          </w:tcPr>
          <w:p w:rsidR="00FD1D1E" w:rsidRPr="00FD1D1E" w:rsidRDefault="00FD1D1E" w:rsidP="00FD1D1E">
            <w:pPr>
              <w:pStyle w:val="AERtabletextleft"/>
            </w:pPr>
            <w:r>
              <w:t xml:space="preserve">AER Assessment </w:t>
            </w:r>
          </w:p>
        </w:tc>
      </w:tr>
      <w:tr w:rsidR="00FD1D1E" w:rsidRPr="000C052F" w:rsidTr="00FD1D1E">
        <w:tc>
          <w:tcPr>
            <w:tcW w:w="3510" w:type="dxa"/>
            <w:noWrap/>
          </w:tcPr>
          <w:p w:rsidR="00FD1D1E" w:rsidRPr="00FD1D1E" w:rsidRDefault="00FD1D1E" w:rsidP="00FD1D1E">
            <w:pPr>
              <w:pStyle w:val="AERtabletextleft"/>
            </w:pPr>
            <w:r w:rsidRPr="005260A0">
              <w:t>A DNSP is required to pay a person an amount specified in, or determined in accordance with, the jurisdictional scheme obligations</w:t>
            </w:r>
            <w:r w:rsidRPr="00FD1D1E">
              <w:rPr>
                <w:rStyle w:val="FootnoteReference"/>
              </w:rPr>
              <w:footnoteReference w:id="9"/>
            </w:r>
          </w:p>
        </w:tc>
        <w:tc>
          <w:tcPr>
            <w:tcW w:w="5670" w:type="dxa"/>
            <w:noWrap/>
          </w:tcPr>
          <w:p w:rsidR="00FD1D1E" w:rsidRPr="00FD1D1E" w:rsidRDefault="00FD1D1E" w:rsidP="00956999">
            <w:pPr>
              <w:pStyle w:val="AERtabletextleft"/>
            </w:pPr>
            <w:r>
              <w:t xml:space="preserve">We have verified that </w:t>
            </w:r>
            <w:r w:rsidRPr="00FD1D1E">
              <w:t xml:space="preserve">section </w:t>
            </w:r>
            <w:proofErr w:type="gramStart"/>
            <w:r w:rsidRPr="00FD1D1E">
              <w:t>54B,</w:t>
            </w:r>
            <w:proofErr w:type="gramEnd"/>
            <w:r w:rsidRPr="00FD1D1E">
              <w:t xml:space="preserve"> part 3A of the Utilities Act 2000 requires ActewAGL</w:t>
            </w:r>
            <w:r w:rsidR="00B75DFA">
              <w:t xml:space="preserve"> Distribution</w:t>
            </w:r>
            <w:r w:rsidRPr="00FD1D1E">
              <w:t xml:space="preserve"> to pay a levy to recover the amount of the ACT’s national regulatory costs and local regulations costs, in relation to the energy industry sectors. Therefore, this requirement is met.</w:t>
            </w:r>
          </w:p>
        </w:tc>
      </w:tr>
      <w:tr w:rsidR="00FD1D1E" w:rsidRPr="000C052F" w:rsidTr="00FD1D1E">
        <w:trPr>
          <w:cnfStyle w:val="000000010000" w:firstRow="0" w:lastRow="0" w:firstColumn="0" w:lastColumn="0" w:oddVBand="0" w:evenVBand="0" w:oddHBand="0" w:evenHBand="1" w:firstRowFirstColumn="0" w:firstRowLastColumn="0" w:lastRowFirstColumn="0" w:lastRowLastColumn="0"/>
        </w:trPr>
        <w:tc>
          <w:tcPr>
            <w:tcW w:w="3510" w:type="dxa"/>
            <w:noWrap/>
            <w:vAlign w:val="top"/>
          </w:tcPr>
          <w:p w:rsidR="00FD1D1E" w:rsidRDefault="00FD1D1E" w:rsidP="00FD1D1E">
            <w:r>
              <w:t>T</w:t>
            </w:r>
            <w:r w:rsidRPr="005260A0">
              <w:t>he jurisdictional scheme obligations are imposed on a DNSP in its capacity as a DNSP</w:t>
            </w:r>
            <w:r>
              <w:rPr>
                <w:rStyle w:val="FootnoteReference"/>
              </w:rPr>
              <w:footnoteReference w:id="10"/>
            </w:r>
          </w:p>
        </w:tc>
        <w:tc>
          <w:tcPr>
            <w:tcW w:w="5670" w:type="dxa"/>
            <w:noWrap/>
          </w:tcPr>
          <w:p w:rsidR="00FD1D1E" w:rsidRPr="00FD1D1E" w:rsidRDefault="00FD1D1E" w:rsidP="00FD1D1E">
            <w:pPr>
              <w:pStyle w:val="AERtabletextleft"/>
            </w:pPr>
            <w:r>
              <w:t xml:space="preserve">Sections </w:t>
            </w:r>
            <w:proofErr w:type="gramStart"/>
            <w:r>
              <w:t>54E(</w:t>
            </w:r>
            <w:proofErr w:type="gramEnd"/>
            <w:r w:rsidRPr="00FD1D1E">
              <w:t xml:space="preserve">3) and F(2) of the Utilities ACT 2000 (ACT) requires the ACT Government’s levy administrator to determine the national and local regulatory costs for </w:t>
            </w:r>
            <w:proofErr w:type="spellStart"/>
            <w:r w:rsidR="00B75DFA" w:rsidRPr="00FD1D1E">
              <w:t>ActewAGL</w:t>
            </w:r>
            <w:proofErr w:type="spellEnd"/>
            <w:r w:rsidR="00B75DFA" w:rsidRPr="00B75DFA">
              <w:t xml:space="preserve"> Distribution</w:t>
            </w:r>
            <w:r w:rsidRPr="00FD1D1E">
              <w:t xml:space="preserve"> each year. Section 54M of the Utilities ACT 2000 (ACT) requires </w:t>
            </w:r>
            <w:proofErr w:type="spellStart"/>
            <w:r w:rsidR="00B75DFA" w:rsidRPr="00FD1D1E">
              <w:t>ActewAGL</w:t>
            </w:r>
            <w:proofErr w:type="spellEnd"/>
            <w:r w:rsidR="00B75DFA" w:rsidRPr="00B75DFA">
              <w:t xml:space="preserve"> Distribution</w:t>
            </w:r>
            <w:r w:rsidRPr="00FD1D1E">
              <w:t xml:space="preserve"> to lodge a return (with the ACT Revenue Office) by 31 October each year. Therefore, this requirement is met.</w:t>
            </w:r>
          </w:p>
        </w:tc>
      </w:tr>
      <w:tr w:rsidR="00FD1D1E" w:rsidRPr="000C052F" w:rsidTr="00FD1D1E">
        <w:tc>
          <w:tcPr>
            <w:tcW w:w="3510" w:type="dxa"/>
            <w:noWrap/>
          </w:tcPr>
          <w:p w:rsidR="00FD1D1E" w:rsidRDefault="00FD1D1E" w:rsidP="00FD1D1E">
            <w:pPr>
              <w:pStyle w:val="AERtabletextleft"/>
            </w:pPr>
            <w:r>
              <w:t>The payments required are not in the nature of a fine, penalty or incentive payment</w:t>
            </w:r>
            <w:r w:rsidRPr="00FD1D1E">
              <w:rPr>
                <w:rStyle w:val="FootnoteReference"/>
              </w:rPr>
              <w:footnoteReference w:id="11"/>
            </w:r>
          </w:p>
          <w:p w:rsidR="00A46800" w:rsidRPr="00FD1D1E" w:rsidRDefault="00A46800" w:rsidP="00FD1D1E">
            <w:pPr>
              <w:pStyle w:val="AERtabletextleft"/>
            </w:pPr>
          </w:p>
        </w:tc>
        <w:tc>
          <w:tcPr>
            <w:tcW w:w="5670" w:type="dxa"/>
            <w:noWrap/>
          </w:tcPr>
          <w:p w:rsidR="00FD1D1E" w:rsidRPr="00FD1D1E" w:rsidRDefault="00FD1D1E" w:rsidP="00FD1D1E">
            <w:pPr>
              <w:pStyle w:val="AERtabletextleft"/>
            </w:pPr>
            <w:r>
              <w:t xml:space="preserve">The amount </w:t>
            </w:r>
            <w:proofErr w:type="spellStart"/>
            <w:r w:rsidR="00B75DFA" w:rsidRPr="00FD1D1E">
              <w:t>ActewAGL</w:t>
            </w:r>
            <w:proofErr w:type="spellEnd"/>
            <w:r w:rsidR="00B75DFA" w:rsidRPr="00B75DFA">
              <w:t xml:space="preserve"> Distribution </w:t>
            </w:r>
            <w:r>
              <w:t>is required to pay under the Utilities ACT 2000 (ACT) is a sum of the ACT Government’s national and local regulatory costs and is not in the nature of a fine, penalty or incentive payment.</w:t>
            </w:r>
            <w:r w:rsidRPr="00FD1D1E">
              <w:t xml:space="preserve"> Therefore, this requirement is met.</w:t>
            </w:r>
          </w:p>
        </w:tc>
      </w:tr>
      <w:tr w:rsidR="00FD1D1E" w:rsidRPr="000C052F" w:rsidTr="00FD1D1E">
        <w:trPr>
          <w:cnfStyle w:val="000000010000" w:firstRow="0" w:lastRow="0" w:firstColumn="0" w:lastColumn="0" w:oddVBand="0" w:evenVBand="0" w:oddHBand="0" w:evenHBand="1" w:firstRowFirstColumn="0" w:firstRowLastColumn="0" w:lastRowFirstColumn="0" w:lastRowLastColumn="0"/>
        </w:trPr>
        <w:tc>
          <w:tcPr>
            <w:tcW w:w="3510" w:type="dxa"/>
            <w:noWrap/>
          </w:tcPr>
          <w:p w:rsidR="00FD1D1E" w:rsidRPr="00FD1D1E" w:rsidRDefault="00FD1D1E" w:rsidP="00FD1D1E">
            <w:pPr>
              <w:pStyle w:val="AERtabletextleft"/>
            </w:pPr>
            <w:r>
              <w:t>Except as provided for in the NER, the DNSP has no right to recover the amounts from any person</w:t>
            </w:r>
            <w:r w:rsidRPr="00FD1D1E">
              <w:rPr>
                <w:rStyle w:val="FootnoteReference"/>
              </w:rPr>
              <w:footnoteReference w:id="12"/>
            </w:r>
          </w:p>
        </w:tc>
        <w:tc>
          <w:tcPr>
            <w:tcW w:w="5670" w:type="dxa"/>
            <w:noWrap/>
          </w:tcPr>
          <w:p w:rsidR="00FD1D1E" w:rsidRPr="00FD1D1E" w:rsidRDefault="00B75DFA" w:rsidP="00820D76">
            <w:pPr>
              <w:pStyle w:val="AERtabletextleft"/>
            </w:pPr>
            <w:proofErr w:type="spellStart"/>
            <w:r w:rsidRPr="00FD1D1E">
              <w:t>ActewAGL</w:t>
            </w:r>
            <w:proofErr w:type="spellEnd"/>
            <w:r w:rsidRPr="00B75DFA">
              <w:t xml:space="preserve"> Distribution</w:t>
            </w:r>
            <w:r w:rsidR="00FD1D1E">
              <w:t xml:space="preserve"> does not</w:t>
            </w:r>
            <w:r w:rsidR="00820D76">
              <w:t xml:space="preserve"> have the right to</w:t>
            </w:r>
            <w:r w:rsidR="00FD1D1E">
              <w:t xml:space="preserve"> recover costs associated with the </w:t>
            </w:r>
            <w:r w:rsidR="00FD1D1E" w:rsidRPr="00FD1D1E">
              <w:t>Energy Industry Levy from any person, other than arising through provisions of the NER. Therefore, this requirement is met.</w:t>
            </w:r>
          </w:p>
        </w:tc>
      </w:tr>
    </w:tbl>
    <w:p w:rsidR="00410260" w:rsidRDefault="00410260" w:rsidP="00410260">
      <w:pPr>
        <w:pStyle w:val="AERbodytext"/>
        <w:numPr>
          <w:ilvl w:val="0"/>
          <w:numId w:val="0"/>
        </w:numPr>
        <w:rPr>
          <w:rStyle w:val="AERtextbold"/>
        </w:rPr>
      </w:pPr>
    </w:p>
    <w:p w:rsidR="00BF568B" w:rsidRDefault="00BF568B" w:rsidP="00410260">
      <w:pPr>
        <w:pStyle w:val="AERbodytext"/>
        <w:numPr>
          <w:ilvl w:val="0"/>
          <w:numId w:val="0"/>
        </w:numPr>
        <w:rPr>
          <w:rStyle w:val="AERtextbold"/>
        </w:rPr>
      </w:pPr>
    </w:p>
    <w:p w:rsidR="00BF568B" w:rsidRDefault="00BF568B" w:rsidP="00410260">
      <w:pPr>
        <w:pStyle w:val="AERbodytext"/>
        <w:numPr>
          <w:ilvl w:val="0"/>
          <w:numId w:val="0"/>
        </w:numPr>
        <w:rPr>
          <w:rStyle w:val="AERtextbold"/>
        </w:rPr>
      </w:pPr>
    </w:p>
    <w:p w:rsidR="00BF568B" w:rsidRDefault="00BF568B" w:rsidP="00410260">
      <w:pPr>
        <w:pStyle w:val="AERbodytext"/>
        <w:numPr>
          <w:ilvl w:val="0"/>
          <w:numId w:val="0"/>
        </w:numPr>
        <w:rPr>
          <w:rStyle w:val="AERtextbold"/>
        </w:rPr>
      </w:pPr>
    </w:p>
    <w:p w:rsidR="00BF568B" w:rsidRDefault="00BF568B" w:rsidP="00410260">
      <w:pPr>
        <w:pStyle w:val="AERbodytext"/>
        <w:numPr>
          <w:ilvl w:val="0"/>
          <w:numId w:val="0"/>
        </w:numPr>
        <w:rPr>
          <w:rStyle w:val="AERtextbold"/>
        </w:rPr>
      </w:pPr>
    </w:p>
    <w:p w:rsidR="00633619" w:rsidRDefault="00633619" w:rsidP="00633619">
      <w:pPr>
        <w:pStyle w:val="Heading3"/>
      </w:pPr>
      <w:bookmarkStart w:id="28" w:name="_Toc377723850"/>
      <w:r>
        <w:lastRenderedPageBreak/>
        <w:t>Utilities Network facilities Tax</w:t>
      </w:r>
      <w:bookmarkEnd w:id="28"/>
      <w:r>
        <w:t xml:space="preserve"> </w:t>
      </w:r>
    </w:p>
    <w:tbl>
      <w:tblPr>
        <w:tblStyle w:val="AERtable-text"/>
        <w:tblW w:w="0" w:type="auto"/>
        <w:tblLook w:val="04A0" w:firstRow="1" w:lastRow="0" w:firstColumn="1" w:lastColumn="0" w:noHBand="0" w:noVBand="1"/>
      </w:tblPr>
      <w:tblGrid>
        <w:gridCol w:w="3510"/>
        <w:gridCol w:w="5670"/>
      </w:tblGrid>
      <w:tr w:rsidR="00FD1D1E" w:rsidRPr="000C052F" w:rsidTr="00FD1D1E">
        <w:trPr>
          <w:cnfStyle w:val="100000000000" w:firstRow="1" w:lastRow="0" w:firstColumn="0" w:lastColumn="0" w:oddVBand="0" w:evenVBand="0" w:oddHBand="0" w:evenHBand="0" w:firstRowFirstColumn="0" w:firstRowLastColumn="0" w:lastRowFirstColumn="0" w:lastRowLastColumn="0"/>
        </w:trPr>
        <w:tc>
          <w:tcPr>
            <w:tcW w:w="3510" w:type="dxa"/>
            <w:noWrap/>
          </w:tcPr>
          <w:p w:rsidR="00FD1D1E" w:rsidRPr="00FD1D1E" w:rsidRDefault="00FD1D1E" w:rsidP="00A46800">
            <w:pPr>
              <w:pStyle w:val="AERtabletextleft"/>
            </w:pPr>
            <w:r>
              <w:t>C</w:t>
            </w:r>
            <w:r w:rsidRPr="00FD1D1E">
              <w:t xml:space="preserve">riterion </w:t>
            </w:r>
          </w:p>
        </w:tc>
        <w:tc>
          <w:tcPr>
            <w:tcW w:w="5670" w:type="dxa"/>
            <w:noWrap/>
          </w:tcPr>
          <w:p w:rsidR="00FD1D1E" w:rsidRPr="00FD1D1E" w:rsidRDefault="00FD1D1E" w:rsidP="00A46800">
            <w:pPr>
              <w:pStyle w:val="AERtabletextleft"/>
            </w:pPr>
            <w:r>
              <w:t xml:space="preserve">AER Assessment </w:t>
            </w:r>
          </w:p>
        </w:tc>
      </w:tr>
      <w:tr w:rsidR="00FD1D1E" w:rsidRPr="000C052F" w:rsidTr="00FD1D1E">
        <w:tc>
          <w:tcPr>
            <w:tcW w:w="3510" w:type="dxa"/>
            <w:noWrap/>
          </w:tcPr>
          <w:p w:rsidR="00FD1D1E" w:rsidRPr="00FD1D1E" w:rsidRDefault="00FD1D1E" w:rsidP="00A46800">
            <w:pPr>
              <w:pStyle w:val="AERtabletextleft"/>
            </w:pPr>
            <w:r w:rsidRPr="005260A0">
              <w:t>A DNSP is required to pay a person an amount specified in, or determined in accordance with, the jurisdictional scheme obligations</w:t>
            </w:r>
            <w:r w:rsidRPr="00FD1D1E">
              <w:rPr>
                <w:rStyle w:val="FootnoteReference"/>
              </w:rPr>
              <w:footnoteReference w:id="13"/>
            </w:r>
          </w:p>
        </w:tc>
        <w:tc>
          <w:tcPr>
            <w:tcW w:w="5670" w:type="dxa"/>
            <w:noWrap/>
          </w:tcPr>
          <w:p w:rsidR="00A46800" w:rsidRPr="00A46800" w:rsidRDefault="00FD1D1E" w:rsidP="00A46800">
            <w:pPr>
              <w:pStyle w:val="AERtabletextleft"/>
            </w:pPr>
            <w:r w:rsidRPr="00A46800">
              <w:t xml:space="preserve">We have verified that section 8 of the Utilities Network Facilities Tax ACT 2006 (ACT) requires </w:t>
            </w:r>
            <w:proofErr w:type="spellStart"/>
            <w:r w:rsidRPr="00A46800">
              <w:t>ActewAGL</w:t>
            </w:r>
            <w:proofErr w:type="spellEnd"/>
            <w:r w:rsidRPr="00A46800">
              <w:t xml:space="preserve"> Distribution to pay the ACT Tax Commissioner a tax on its ownership of utility network facilities in the ACT. Therefore, this requirement is met.</w:t>
            </w:r>
          </w:p>
        </w:tc>
      </w:tr>
      <w:tr w:rsidR="00FD1D1E" w:rsidRPr="000C052F" w:rsidTr="00FD1D1E">
        <w:trPr>
          <w:cnfStyle w:val="000000010000" w:firstRow="0" w:lastRow="0" w:firstColumn="0" w:lastColumn="0" w:oddVBand="0" w:evenVBand="0" w:oddHBand="0" w:evenHBand="1" w:firstRowFirstColumn="0" w:firstRowLastColumn="0" w:lastRowFirstColumn="0" w:lastRowLastColumn="0"/>
        </w:trPr>
        <w:tc>
          <w:tcPr>
            <w:tcW w:w="3510" w:type="dxa"/>
            <w:noWrap/>
            <w:vAlign w:val="top"/>
          </w:tcPr>
          <w:p w:rsidR="00FD1D1E" w:rsidRPr="00FD1D1E" w:rsidRDefault="00FD1D1E" w:rsidP="00A46800">
            <w:pPr>
              <w:pStyle w:val="AERtabletextleft"/>
            </w:pPr>
            <w:r>
              <w:t>T</w:t>
            </w:r>
            <w:r w:rsidRPr="00FD1D1E">
              <w:t>he jurisdictional scheme obligations are imposed on a DNSP in its capacity as a DNSP</w:t>
            </w:r>
            <w:r w:rsidRPr="00FD1D1E">
              <w:rPr>
                <w:rStyle w:val="FootnoteReference"/>
              </w:rPr>
              <w:footnoteReference w:id="14"/>
            </w:r>
          </w:p>
        </w:tc>
        <w:tc>
          <w:tcPr>
            <w:tcW w:w="5670" w:type="dxa"/>
            <w:noWrap/>
          </w:tcPr>
          <w:p w:rsidR="00FD1D1E" w:rsidRPr="00FD1D1E" w:rsidRDefault="00FD1D1E" w:rsidP="00A46800">
            <w:pPr>
              <w:pStyle w:val="AERtabletextleft"/>
            </w:pPr>
            <w:r>
              <w:t>Section 8 of the</w:t>
            </w:r>
            <w:r w:rsidRPr="00FD1D1E">
              <w:t xml:space="preserve"> Utilities Network Facilities Tax ACT 2006 (ACT) determines the amount of tax payable by </w:t>
            </w:r>
            <w:proofErr w:type="spellStart"/>
            <w:r w:rsidR="00B75DFA" w:rsidRPr="00FD1D1E">
              <w:t>ActewAGL</w:t>
            </w:r>
            <w:proofErr w:type="spellEnd"/>
            <w:r w:rsidR="00B75DFA" w:rsidRPr="00B75DFA">
              <w:t xml:space="preserve"> Distribution</w:t>
            </w:r>
            <w:r w:rsidRPr="00FD1D1E">
              <w:t xml:space="preserve"> for being an owner of electricity network facility land in the ACT. Therefore, this requirement is met.</w:t>
            </w:r>
          </w:p>
        </w:tc>
      </w:tr>
      <w:tr w:rsidR="00FD1D1E" w:rsidRPr="000C052F" w:rsidTr="00FD1D1E">
        <w:tc>
          <w:tcPr>
            <w:tcW w:w="3510" w:type="dxa"/>
            <w:noWrap/>
          </w:tcPr>
          <w:p w:rsidR="00A46800" w:rsidRDefault="00FD1D1E" w:rsidP="00A46800">
            <w:pPr>
              <w:pStyle w:val="AERtabletextleft"/>
            </w:pPr>
            <w:r>
              <w:t>The payments required are not in the nature of a fine, penalty or incentive payment</w:t>
            </w:r>
            <w:r w:rsidRPr="00FD1D1E">
              <w:rPr>
                <w:rStyle w:val="FootnoteReference"/>
              </w:rPr>
              <w:footnoteReference w:id="15"/>
            </w:r>
          </w:p>
          <w:p w:rsidR="00A46800" w:rsidRPr="00FD1D1E" w:rsidRDefault="00A46800" w:rsidP="00A46800">
            <w:pPr>
              <w:pStyle w:val="AERtabletextleft"/>
            </w:pPr>
          </w:p>
        </w:tc>
        <w:tc>
          <w:tcPr>
            <w:tcW w:w="5670" w:type="dxa"/>
            <w:noWrap/>
          </w:tcPr>
          <w:p w:rsidR="00FD1D1E" w:rsidRPr="00FD1D1E" w:rsidRDefault="00FD1D1E" w:rsidP="00A46800">
            <w:pPr>
              <w:pStyle w:val="AERtabletextleft"/>
            </w:pPr>
            <w:r>
              <w:t>The Utilities Network Facilities Tax is a tax on network infrastructure on ACT land and is not in the nature of a fine, penalty or incentive payment. Therefore, this requirement is met.</w:t>
            </w:r>
          </w:p>
        </w:tc>
      </w:tr>
      <w:tr w:rsidR="00FD1D1E" w:rsidRPr="000C052F" w:rsidTr="00A46800">
        <w:trPr>
          <w:cnfStyle w:val="000000010000" w:firstRow="0" w:lastRow="0" w:firstColumn="0" w:lastColumn="0" w:oddVBand="0" w:evenVBand="0" w:oddHBand="0" w:evenHBand="1" w:firstRowFirstColumn="0" w:firstRowLastColumn="0" w:lastRowFirstColumn="0" w:lastRowLastColumn="0"/>
          <w:trHeight w:val="748"/>
        </w:trPr>
        <w:tc>
          <w:tcPr>
            <w:tcW w:w="3510" w:type="dxa"/>
            <w:noWrap/>
          </w:tcPr>
          <w:p w:rsidR="00A46800" w:rsidRDefault="00FD1D1E" w:rsidP="00A46800">
            <w:pPr>
              <w:pStyle w:val="AERtabletextleft"/>
            </w:pPr>
            <w:r>
              <w:t>Except as provided for in the NER, the DNSP has no right to recover the amounts from any person</w:t>
            </w:r>
            <w:r w:rsidRPr="00FD1D1E">
              <w:rPr>
                <w:rStyle w:val="FootnoteReference"/>
              </w:rPr>
              <w:footnoteReference w:id="16"/>
            </w:r>
          </w:p>
          <w:p w:rsidR="00A46800" w:rsidRPr="00FD1D1E" w:rsidRDefault="00A46800" w:rsidP="00A46800">
            <w:pPr>
              <w:pStyle w:val="AERtabletextleft"/>
            </w:pPr>
          </w:p>
        </w:tc>
        <w:tc>
          <w:tcPr>
            <w:tcW w:w="5670" w:type="dxa"/>
            <w:noWrap/>
          </w:tcPr>
          <w:p w:rsidR="00A46800" w:rsidRDefault="00820D76" w:rsidP="00A46800">
            <w:pPr>
              <w:pStyle w:val="AERtabletextleft"/>
            </w:pPr>
            <w:proofErr w:type="spellStart"/>
            <w:r w:rsidRPr="00FD1D1E">
              <w:t>ActewAGL</w:t>
            </w:r>
            <w:proofErr w:type="spellEnd"/>
            <w:r w:rsidRPr="00820D76">
              <w:t xml:space="preserve"> Distribution does not have the right to recover costs associated with the </w:t>
            </w:r>
            <w:r>
              <w:t>Utilities Network Facilities Tax</w:t>
            </w:r>
            <w:r w:rsidRPr="00820D76">
              <w:t xml:space="preserve"> from any person, other than arising through provisions of the NER. Therefore, this requirement is met.</w:t>
            </w:r>
          </w:p>
          <w:p w:rsidR="00A46800" w:rsidRPr="00FD1D1E" w:rsidRDefault="00A46800" w:rsidP="00A46800">
            <w:pPr>
              <w:pStyle w:val="AERtabletextleft"/>
            </w:pPr>
          </w:p>
        </w:tc>
      </w:tr>
    </w:tbl>
    <w:p w:rsidR="00633619" w:rsidRDefault="00633619" w:rsidP="00633619">
      <w:pPr>
        <w:pStyle w:val="Heading3"/>
      </w:pPr>
      <w:bookmarkStart w:id="29" w:name="_Toc377723851"/>
      <w:r>
        <w:t xml:space="preserve">Feed-in </w:t>
      </w:r>
      <w:r w:rsidR="009844BC">
        <w:t>Tariff (Large</w:t>
      </w:r>
      <w:r>
        <w:t>-scale</w:t>
      </w:r>
      <w:r w:rsidR="009844BC">
        <w:t>)</w:t>
      </w:r>
      <w:bookmarkEnd w:id="29"/>
      <w:r>
        <w:t xml:space="preserve"> </w:t>
      </w:r>
    </w:p>
    <w:tbl>
      <w:tblPr>
        <w:tblStyle w:val="AERtable-text"/>
        <w:tblW w:w="0" w:type="auto"/>
        <w:tblLook w:val="04A0" w:firstRow="1" w:lastRow="0" w:firstColumn="1" w:lastColumn="0" w:noHBand="0" w:noVBand="1"/>
      </w:tblPr>
      <w:tblGrid>
        <w:gridCol w:w="3794"/>
        <w:gridCol w:w="5386"/>
      </w:tblGrid>
      <w:tr w:rsidR="00BF568B" w:rsidRPr="000C052F" w:rsidTr="00A46800">
        <w:trPr>
          <w:cnfStyle w:val="100000000000" w:firstRow="1" w:lastRow="0" w:firstColumn="0" w:lastColumn="0" w:oddVBand="0" w:evenVBand="0" w:oddHBand="0" w:evenHBand="0" w:firstRowFirstColumn="0" w:firstRowLastColumn="0" w:lastRowFirstColumn="0" w:lastRowLastColumn="0"/>
        </w:trPr>
        <w:tc>
          <w:tcPr>
            <w:tcW w:w="3794" w:type="dxa"/>
            <w:noWrap/>
          </w:tcPr>
          <w:bookmarkEnd w:id="25"/>
          <w:p w:rsidR="00BF568B" w:rsidRPr="00FD1D1E" w:rsidRDefault="00BF568B" w:rsidP="00BF568B">
            <w:pPr>
              <w:pStyle w:val="AERtabletextleft"/>
              <w:tabs>
                <w:tab w:val="num" w:pos="0"/>
              </w:tabs>
            </w:pPr>
            <w:r>
              <w:t>C</w:t>
            </w:r>
            <w:r w:rsidRPr="00FD1D1E">
              <w:t xml:space="preserve">riterion </w:t>
            </w:r>
          </w:p>
        </w:tc>
        <w:tc>
          <w:tcPr>
            <w:tcW w:w="5386" w:type="dxa"/>
            <w:noWrap/>
          </w:tcPr>
          <w:p w:rsidR="00BF568B" w:rsidRPr="00FD1D1E" w:rsidRDefault="00BF568B" w:rsidP="00BF568B">
            <w:pPr>
              <w:pStyle w:val="AERtabletextleft"/>
              <w:tabs>
                <w:tab w:val="num" w:pos="0"/>
              </w:tabs>
            </w:pPr>
            <w:r>
              <w:t xml:space="preserve">AER Assessment </w:t>
            </w:r>
          </w:p>
        </w:tc>
      </w:tr>
      <w:tr w:rsidR="00BF568B" w:rsidRPr="000C052F" w:rsidTr="00A46800">
        <w:tc>
          <w:tcPr>
            <w:tcW w:w="3794" w:type="dxa"/>
            <w:noWrap/>
          </w:tcPr>
          <w:p w:rsidR="00A46800" w:rsidRPr="00FD1D1E" w:rsidRDefault="00BF568B" w:rsidP="00BF568B">
            <w:pPr>
              <w:pStyle w:val="AERtabletextleft"/>
              <w:tabs>
                <w:tab w:val="num" w:pos="0"/>
              </w:tabs>
            </w:pPr>
            <w:r w:rsidRPr="005260A0">
              <w:t>A DNSP is required to pay a person an amount specified in, or determined in accordance with, the jurisdictional scheme obligations</w:t>
            </w:r>
            <w:r w:rsidRPr="00FD1D1E">
              <w:rPr>
                <w:rStyle w:val="FootnoteReference"/>
              </w:rPr>
              <w:footnoteReference w:id="17"/>
            </w:r>
          </w:p>
        </w:tc>
        <w:tc>
          <w:tcPr>
            <w:tcW w:w="5386" w:type="dxa"/>
            <w:noWrap/>
          </w:tcPr>
          <w:p w:rsidR="00A46800" w:rsidRPr="00FD1D1E" w:rsidRDefault="00BF568B" w:rsidP="00BF568B">
            <w:pPr>
              <w:pStyle w:val="AERtabletextleft"/>
              <w:tabs>
                <w:tab w:val="num" w:pos="0"/>
              </w:tabs>
            </w:pPr>
            <w:r>
              <w:t xml:space="preserve">We have verified that </w:t>
            </w:r>
            <w:r w:rsidRPr="00FD1D1E">
              <w:t>the Electricity Feed-in (large-scale renewable energy generation) Act 2011 (ACT</w:t>
            </w:r>
            <w:proofErr w:type="gramStart"/>
            <w:r w:rsidRPr="00FD1D1E">
              <w:t>),</w:t>
            </w:r>
            <w:proofErr w:type="gramEnd"/>
            <w:r w:rsidRPr="00FD1D1E">
              <w:t xml:space="preserve"> requires</w:t>
            </w:r>
            <w:r>
              <w:t xml:space="preserve"> </w:t>
            </w:r>
            <w:proofErr w:type="spellStart"/>
            <w:r w:rsidRPr="00FD1D1E">
              <w:t>ActewAGL</w:t>
            </w:r>
            <w:proofErr w:type="spellEnd"/>
            <w:r w:rsidRPr="00FD1D1E">
              <w:t xml:space="preserve"> Distribution to make a </w:t>
            </w:r>
            <w:proofErr w:type="spellStart"/>
            <w:r w:rsidRPr="00FD1D1E">
              <w:t>FiT</w:t>
            </w:r>
            <w:proofErr w:type="spellEnd"/>
            <w:r w:rsidRPr="00FD1D1E">
              <w:t xml:space="preserve"> support payment to a </w:t>
            </w:r>
            <w:proofErr w:type="spellStart"/>
            <w:r w:rsidRPr="00FD1D1E">
              <w:t>FiT</w:t>
            </w:r>
            <w:proofErr w:type="spellEnd"/>
            <w:r w:rsidRPr="00FD1D1E">
              <w:t xml:space="preserve"> entitlement holder for their electricity. Therefore, this requirement is met.</w:t>
            </w:r>
          </w:p>
        </w:tc>
      </w:tr>
      <w:tr w:rsidR="00BF568B" w:rsidRPr="000C052F" w:rsidTr="00A46800">
        <w:trPr>
          <w:cnfStyle w:val="000000010000" w:firstRow="0" w:lastRow="0" w:firstColumn="0" w:lastColumn="0" w:oddVBand="0" w:evenVBand="0" w:oddHBand="0" w:evenHBand="1" w:firstRowFirstColumn="0" w:firstRowLastColumn="0" w:lastRowFirstColumn="0" w:lastRowLastColumn="0"/>
        </w:trPr>
        <w:tc>
          <w:tcPr>
            <w:tcW w:w="3794" w:type="dxa"/>
            <w:noWrap/>
            <w:vAlign w:val="top"/>
          </w:tcPr>
          <w:p w:rsidR="00BF568B" w:rsidRPr="00FD1D1E" w:rsidRDefault="00BF568B" w:rsidP="00BF568B">
            <w:pPr>
              <w:tabs>
                <w:tab w:val="num" w:pos="0"/>
              </w:tabs>
            </w:pPr>
            <w:r>
              <w:t>T</w:t>
            </w:r>
            <w:r w:rsidRPr="00FD1D1E">
              <w:t>he jurisdictional scheme obligations are imposed on a DNSP in its capacity as a DNSP</w:t>
            </w:r>
            <w:r w:rsidRPr="00FD1D1E">
              <w:rPr>
                <w:rStyle w:val="FootnoteReference"/>
              </w:rPr>
              <w:footnoteReference w:id="18"/>
            </w:r>
          </w:p>
        </w:tc>
        <w:tc>
          <w:tcPr>
            <w:tcW w:w="5386" w:type="dxa"/>
            <w:noWrap/>
          </w:tcPr>
          <w:p w:rsidR="00BF568B" w:rsidRPr="00FD1D1E" w:rsidRDefault="00BF568B" w:rsidP="00BF568B">
            <w:pPr>
              <w:pStyle w:val="AERtabletextleft"/>
              <w:tabs>
                <w:tab w:val="num" w:pos="0"/>
              </w:tabs>
            </w:pPr>
            <w:r>
              <w:t>Section 18 of the</w:t>
            </w:r>
            <w:r w:rsidRPr="00FD1D1E">
              <w:t xml:space="preserve"> Electricity Feed-in (large-scale renewable energy generation) Act 2011 (ACT) sets </w:t>
            </w:r>
            <w:proofErr w:type="gramStart"/>
            <w:r w:rsidRPr="00FD1D1E">
              <w:t xml:space="preserve">out  </w:t>
            </w:r>
            <w:proofErr w:type="spellStart"/>
            <w:r w:rsidRPr="00FD1D1E">
              <w:t>ActewAGL</w:t>
            </w:r>
            <w:proofErr w:type="spellEnd"/>
            <w:proofErr w:type="gramEnd"/>
            <w:r w:rsidRPr="00B75DFA">
              <w:t xml:space="preserve"> Distribution</w:t>
            </w:r>
            <w:r w:rsidRPr="00FD1D1E">
              <w:t xml:space="preserve">’s obligations, as an electricity distributor, to make a </w:t>
            </w:r>
            <w:proofErr w:type="spellStart"/>
            <w:r w:rsidRPr="00FD1D1E">
              <w:t>FiT</w:t>
            </w:r>
            <w:proofErr w:type="spellEnd"/>
            <w:r w:rsidRPr="00FD1D1E">
              <w:t xml:space="preserve"> support payment. Therefore, this requirement is met.</w:t>
            </w:r>
          </w:p>
        </w:tc>
      </w:tr>
      <w:tr w:rsidR="00BF568B" w:rsidRPr="000C052F" w:rsidTr="00A46800">
        <w:tc>
          <w:tcPr>
            <w:tcW w:w="3794" w:type="dxa"/>
            <w:noWrap/>
          </w:tcPr>
          <w:p w:rsidR="00BF568B" w:rsidRDefault="00BF568B" w:rsidP="00BF568B">
            <w:pPr>
              <w:pStyle w:val="AERtabletextleft"/>
              <w:tabs>
                <w:tab w:val="num" w:pos="0"/>
              </w:tabs>
            </w:pPr>
            <w:r>
              <w:t>The payments required are not in the nature of a fine, penalty or incentive payment</w:t>
            </w:r>
            <w:r w:rsidRPr="00FD1D1E">
              <w:rPr>
                <w:rStyle w:val="FootnoteReference"/>
              </w:rPr>
              <w:footnoteReference w:id="19"/>
            </w:r>
          </w:p>
          <w:p w:rsidR="00A46800" w:rsidRDefault="00A46800" w:rsidP="00BF568B">
            <w:pPr>
              <w:pStyle w:val="AERtabletextleft"/>
              <w:tabs>
                <w:tab w:val="num" w:pos="0"/>
              </w:tabs>
            </w:pPr>
          </w:p>
          <w:p w:rsidR="00BF568B" w:rsidRPr="00FD1D1E" w:rsidRDefault="00BF568B" w:rsidP="00BF568B">
            <w:pPr>
              <w:pStyle w:val="AERtabletextleft"/>
              <w:tabs>
                <w:tab w:val="num" w:pos="0"/>
              </w:tabs>
            </w:pPr>
          </w:p>
        </w:tc>
        <w:tc>
          <w:tcPr>
            <w:tcW w:w="5386" w:type="dxa"/>
            <w:noWrap/>
          </w:tcPr>
          <w:p w:rsidR="00BF568B" w:rsidRPr="00FD1D1E" w:rsidRDefault="00BF568B" w:rsidP="00BF568B">
            <w:pPr>
              <w:pStyle w:val="AERtabletextleft"/>
              <w:tabs>
                <w:tab w:val="num" w:pos="0"/>
              </w:tabs>
            </w:pPr>
            <w:r>
              <w:t xml:space="preserve">The amount </w:t>
            </w:r>
            <w:r w:rsidRPr="00FD1D1E">
              <w:t xml:space="preserve"> </w:t>
            </w:r>
            <w:proofErr w:type="spellStart"/>
            <w:r w:rsidRPr="00FD1D1E">
              <w:t>ActewAGL</w:t>
            </w:r>
            <w:proofErr w:type="spellEnd"/>
            <w:r w:rsidRPr="00B75DFA">
              <w:t xml:space="preserve"> Distribution</w:t>
            </w:r>
            <w:r>
              <w:t xml:space="preserve"> is required to pay under the Electricity Feed-in (large-scale renewable energy generation) Act 2011 (ACT) is a payment to support the development of large-scale renewable energy generation and is not in the nature of a fine, penalty or incentive payment. Therefore, this requirement is met.</w:t>
            </w:r>
          </w:p>
        </w:tc>
      </w:tr>
      <w:tr w:rsidR="00BF568B" w:rsidRPr="000C052F" w:rsidTr="00A46800">
        <w:trPr>
          <w:cnfStyle w:val="000000010000" w:firstRow="0" w:lastRow="0" w:firstColumn="0" w:lastColumn="0" w:oddVBand="0" w:evenVBand="0" w:oddHBand="0" w:evenHBand="1" w:firstRowFirstColumn="0" w:firstRowLastColumn="0" w:lastRowFirstColumn="0" w:lastRowLastColumn="0"/>
          <w:trHeight w:val="95"/>
        </w:trPr>
        <w:tc>
          <w:tcPr>
            <w:tcW w:w="3794" w:type="dxa"/>
            <w:noWrap/>
          </w:tcPr>
          <w:p w:rsidR="00BF568B" w:rsidRDefault="00BF568B" w:rsidP="00BF568B">
            <w:pPr>
              <w:pStyle w:val="AERtabletextleft"/>
              <w:tabs>
                <w:tab w:val="num" w:pos="0"/>
              </w:tabs>
            </w:pPr>
            <w:r>
              <w:t>Except as provided for in the NER, the DNSP has no right to recover the amounts from any person</w:t>
            </w:r>
            <w:r w:rsidRPr="00FD1D1E">
              <w:rPr>
                <w:rStyle w:val="FootnoteReference"/>
              </w:rPr>
              <w:footnoteReference w:id="20"/>
            </w:r>
          </w:p>
          <w:p w:rsidR="00BF568B" w:rsidRPr="00FD1D1E" w:rsidRDefault="00BF568B" w:rsidP="00BF568B">
            <w:pPr>
              <w:pStyle w:val="AERtabletextleft"/>
              <w:tabs>
                <w:tab w:val="num" w:pos="0"/>
              </w:tabs>
            </w:pPr>
          </w:p>
        </w:tc>
        <w:tc>
          <w:tcPr>
            <w:tcW w:w="5386" w:type="dxa"/>
            <w:noWrap/>
          </w:tcPr>
          <w:p w:rsidR="00BF568B" w:rsidRPr="00FD1D1E" w:rsidRDefault="00BF568B" w:rsidP="00BF568B">
            <w:pPr>
              <w:pStyle w:val="AERtabletextleft"/>
              <w:tabs>
                <w:tab w:val="num" w:pos="0"/>
              </w:tabs>
            </w:pPr>
            <w:proofErr w:type="spellStart"/>
            <w:r w:rsidRPr="00FD1D1E">
              <w:t>ActewAGL</w:t>
            </w:r>
            <w:proofErr w:type="spellEnd"/>
            <w:r w:rsidRPr="00820D76">
              <w:t xml:space="preserve"> Distribution does not have the right to recover costs associated with the </w:t>
            </w:r>
            <w:proofErr w:type="spellStart"/>
            <w:r>
              <w:t>FiT</w:t>
            </w:r>
            <w:proofErr w:type="spellEnd"/>
            <w:r>
              <w:t xml:space="preserve"> (Large-Scale) payment</w:t>
            </w:r>
            <w:r w:rsidRPr="00820D76">
              <w:t xml:space="preserve"> from any person, other than arising through provisions of the NER. Therefore, this requirement is met.</w:t>
            </w:r>
          </w:p>
        </w:tc>
      </w:tr>
    </w:tbl>
    <w:p w:rsidR="00FD1D1E" w:rsidRDefault="00FD1D1E" w:rsidP="00385C71">
      <w:pPr>
        <w:pStyle w:val="AERbodytext"/>
        <w:numPr>
          <w:ilvl w:val="0"/>
          <w:numId w:val="0"/>
        </w:numPr>
      </w:pPr>
    </w:p>
    <w:sectPr w:rsidR="00FD1D1E" w:rsidSect="0045608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00" w:rsidRPr="00AB4345" w:rsidRDefault="00A46800" w:rsidP="00AB4345">
      <w:r>
        <w:separator/>
      </w:r>
    </w:p>
  </w:endnote>
  <w:endnote w:type="continuationSeparator" w:id="0">
    <w:p w:rsidR="00A46800" w:rsidRPr="00AB4345" w:rsidRDefault="00A4680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00" w:rsidRPr="00824CC8" w:rsidRDefault="00A46800" w:rsidP="00EB5CDF">
    <w:pPr>
      <w:pStyle w:val="Footer"/>
      <w:tabs>
        <w:tab w:val="clear" w:pos="4513"/>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F6970">
      <w:rPr>
        <w:rStyle w:val="AERbody"/>
        <w:noProof/>
      </w:rPr>
      <w:t>ii</w:t>
    </w:r>
    <w:r w:rsidRPr="00824CC8">
      <w:rPr>
        <w:rStyle w:val="AERbody"/>
      </w:rPr>
      <w:fldChar w:fldCharType="end"/>
    </w:r>
    <w:r w:rsidRPr="00824CC8">
      <w:rPr>
        <w:rStyle w:val="AERbody"/>
      </w:rPr>
      <w:tab/>
    </w:r>
    <w:r>
      <w:rPr>
        <w:rStyle w:val="AERbody"/>
      </w:rPr>
      <w:t>A</w:t>
    </w:r>
    <w:r w:rsidRPr="003F2E0F">
      <w:rPr>
        <w:rStyle w:val="AERbody"/>
      </w:rPr>
      <w:t xml:space="preserve">ER Determination | </w:t>
    </w:r>
    <w:r>
      <w:rPr>
        <w:rStyle w:val="AERbody"/>
      </w:rPr>
      <w:t>ActewAGL Distribution's jurisdictional scheme determination request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00" w:rsidRPr="00824CC8" w:rsidRDefault="00A46800" w:rsidP="00EB5CDF">
    <w:pPr>
      <w:pStyle w:val="Footer"/>
      <w:tabs>
        <w:tab w:val="clear" w:pos="4513"/>
      </w:tabs>
    </w:pPr>
    <w:r>
      <w:rPr>
        <w:rStyle w:val="AERbody"/>
      </w:rPr>
      <w:t>A</w:t>
    </w:r>
    <w:r w:rsidRPr="00DA35DF">
      <w:rPr>
        <w:rStyle w:val="AERbody"/>
      </w:rPr>
      <w:t xml:space="preserve">ER Determination | </w:t>
    </w:r>
    <w:r>
      <w:rPr>
        <w:rStyle w:val="AERbody"/>
      </w:rPr>
      <w:t xml:space="preserve">Energex - </w:t>
    </w:r>
    <w:r w:rsidRPr="00DA35DF">
      <w:rPr>
        <w:rStyle w:val="AERbody"/>
      </w:rPr>
      <w:t>Queensland solar bonus scheme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F6970">
      <w:rPr>
        <w:rStyle w:val="AERbody"/>
        <w:noProof/>
      </w:rPr>
      <w:t>i</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A46800" w:rsidRPr="004E27B4" w:rsidRDefault="00A46800" w:rsidP="004E27B4">
        <w:pPr>
          <w:pStyle w:val="Footer"/>
        </w:pPr>
        <w:r w:rsidRPr="00824CC8">
          <w:fldChar w:fldCharType="begin"/>
        </w:r>
        <w:r w:rsidRPr="00824CC8">
          <w:instrText xml:space="preserve"> PAGE   \* MERGEFORMAT </w:instrText>
        </w:r>
        <w:r w:rsidRPr="00824CC8">
          <w:fldChar w:fldCharType="separate"/>
        </w:r>
        <w:r w:rsidR="00BF6970">
          <w:rPr>
            <w:noProof/>
          </w:rPr>
          <w:t>10</w:t>
        </w:r>
        <w:r w:rsidRPr="00824CC8">
          <w:fldChar w:fldCharType="end"/>
        </w:r>
        <w:r w:rsidRPr="00824CC8">
          <w:tab/>
        </w:r>
        <w:r>
          <w:rPr>
            <w:rStyle w:val="AERbody"/>
          </w:rPr>
          <w:t>A</w:t>
        </w:r>
        <w:r w:rsidRPr="004E27B4">
          <w:rPr>
            <w:rStyle w:val="AERbody"/>
          </w:rPr>
          <w:t>ER Determination | ActewAGL Distribution's jurisdictional scheme determination request</w:t>
        </w:r>
      </w:p>
      <w:p w:rsidR="00A46800" w:rsidRPr="00824CC8" w:rsidRDefault="00BF6970" w:rsidP="00824CC8">
        <w:pPr>
          <w:pStyle w:val="Foo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00" w:rsidRPr="004E27B4" w:rsidRDefault="00A46800" w:rsidP="004E27B4">
    <w:pPr>
      <w:pStyle w:val="Footer"/>
    </w:pPr>
    <w:r>
      <w:rPr>
        <w:rStyle w:val="AERbody"/>
      </w:rPr>
      <w:t>A</w:t>
    </w:r>
    <w:r w:rsidRPr="004E27B4">
      <w:rPr>
        <w:rStyle w:val="AERbody"/>
      </w:rPr>
      <w:t>ER Determination | ActewAGL Distribution's jurisdictional scheme determination request</w:t>
    </w:r>
  </w:p>
  <w:p w:rsidR="00A46800" w:rsidRPr="00824CC8" w:rsidRDefault="00A46800" w:rsidP="00824CC8">
    <w:pPr>
      <w:pStyle w:val="Footer"/>
      <w:rPr>
        <w:rStyle w:val="AERbody"/>
      </w:rPr>
    </w:pPr>
    <w:r w:rsidRPr="00210880">
      <w:rPr>
        <w:rStyle w:val="AERbody"/>
      </w:rPr>
      <w:tab/>
    </w:r>
    <w:r>
      <w:rPr>
        <w:rStyle w:val="AERbody"/>
      </w:rPr>
      <w:t xml:space="preserve"> </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F6970">
      <w:rPr>
        <w:rStyle w:val="AERbody"/>
        <w:noProof/>
      </w:rPr>
      <w:t>11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00" w:rsidRPr="00AB4345" w:rsidRDefault="00A46800" w:rsidP="00AB4345">
      <w:r>
        <w:separator/>
      </w:r>
    </w:p>
  </w:footnote>
  <w:footnote w:type="continuationSeparator" w:id="0">
    <w:p w:rsidR="00A46800" w:rsidRPr="00AB4345" w:rsidRDefault="00A46800" w:rsidP="00AB4345">
      <w:r>
        <w:continuationSeparator/>
      </w:r>
    </w:p>
  </w:footnote>
  <w:footnote w:id="1">
    <w:p w:rsidR="00A46800" w:rsidRDefault="00A46800">
      <w:pPr>
        <w:pStyle w:val="FootnoteText"/>
      </w:pPr>
      <w:r>
        <w:rPr>
          <w:rStyle w:val="FootnoteReference"/>
        </w:rPr>
        <w:footnoteRef/>
      </w:r>
      <w:r>
        <w:t xml:space="preserve"> </w:t>
      </w:r>
      <w:r>
        <w:tab/>
        <w:t>We</w:t>
      </w:r>
      <w:r w:rsidRPr="00992AA6">
        <w:t xml:space="preserve"> published the request on our website </w:t>
      </w:r>
      <w:r>
        <w:t>in accordance with</w:t>
      </w:r>
      <w:r w:rsidRPr="00992AA6">
        <w:t xml:space="preserve"> the requirement </w:t>
      </w:r>
      <w:r>
        <w:t>of</w:t>
      </w:r>
      <w:r w:rsidRPr="00992AA6">
        <w:t xml:space="preserve"> s</w:t>
      </w:r>
      <w:r>
        <w:t xml:space="preserve">ub-clause 6.18.8A(h) of the NER: </w:t>
      </w:r>
      <w:r w:rsidRPr="00251386">
        <w:t>http://www.aer.gov.au/node/23256</w:t>
      </w:r>
    </w:p>
  </w:footnote>
  <w:footnote w:id="2">
    <w:p w:rsidR="00A46800" w:rsidRDefault="00A46800" w:rsidP="003E08A7">
      <w:pPr>
        <w:pStyle w:val="FootnoteText"/>
      </w:pPr>
      <w:r>
        <w:rPr>
          <w:rStyle w:val="FootnoteReference"/>
        </w:rPr>
        <w:footnoteRef/>
      </w:r>
      <w:r>
        <w:t xml:space="preserve"> </w:t>
      </w:r>
      <w:r>
        <w:tab/>
      </w:r>
      <w:proofErr w:type="gramStart"/>
      <w:r>
        <w:t>ActewAGL Distribution’s annual report 2010–11, p. 3.</w:t>
      </w:r>
      <w:proofErr w:type="gramEnd"/>
      <w:r>
        <w:tab/>
        <w:t xml:space="preserve"> Accessed online on 9 January 2014 at:</w:t>
      </w:r>
    </w:p>
    <w:p w:rsidR="00A46800" w:rsidRDefault="00A46800" w:rsidP="003E08A7">
      <w:pPr>
        <w:pStyle w:val="FootnoteText"/>
      </w:pPr>
      <w:r>
        <w:tab/>
      </w:r>
      <w:hyperlink r:id="rId1" w:history="1">
        <w:r w:rsidRPr="004E693D">
          <w:rPr>
            <w:rStyle w:val="Hyperlink"/>
          </w:rPr>
          <w:t>http://www.actewagl.com.au/~/media/ActewAGL/ActewAGL-Files/About-us/Publications/Corporate%20and%20legal%20PDFs/Annual-Report-2010-11.ashx</w:t>
        </w:r>
      </w:hyperlink>
      <w:r>
        <w:t xml:space="preserve"> </w:t>
      </w:r>
    </w:p>
  </w:footnote>
  <w:footnote w:id="3">
    <w:p w:rsidR="00A46800" w:rsidRDefault="00A46800" w:rsidP="003E08A7">
      <w:pPr>
        <w:pStyle w:val="FootnoteText"/>
      </w:pPr>
      <w:r>
        <w:rPr>
          <w:rStyle w:val="FootnoteReference"/>
        </w:rPr>
        <w:footnoteRef/>
      </w:r>
      <w:r>
        <w:t xml:space="preserve"> </w:t>
      </w:r>
      <w:r>
        <w:tab/>
        <w:t xml:space="preserve">Clause </w:t>
      </w:r>
      <w:proofErr w:type="gramStart"/>
      <w:r>
        <w:t>6.18.7A(</w:t>
      </w:r>
      <w:proofErr w:type="gramEnd"/>
      <w:r>
        <w:t xml:space="preserve">f) of the NER. </w:t>
      </w:r>
    </w:p>
  </w:footnote>
  <w:footnote w:id="4">
    <w:p w:rsidR="00A46800" w:rsidRDefault="00A46800" w:rsidP="000D58DA">
      <w:pPr>
        <w:pStyle w:val="FootnoteText"/>
      </w:pPr>
      <w:r>
        <w:rPr>
          <w:rStyle w:val="FootnoteReference"/>
        </w:rPr>
        <w:footnoteRef/>
      </w:r>
      <w:r>
        <w:t xml:space="preserve"> </w:t>
      </w:r>
      <w:r>
        <w:tab/>
        <w:t xml:space="preserve">Clause </w:t>
      </w:r>
      <w:proofErr w:type="gramStart"/>
      <w:r>
        <w:t>6.18.7A(</w:t>
      </w:r>
      <w:proofErr w:type="gramEnd"/>
      <w:r>
        <w:t>l) of the NER.</w:t>
      </w:r>
    </w:p>
  </w:footnote>
  <w:footnote w:id="5">
    <w:p w:rsidR="00A46800" w:rsidRDefault="00A46800" w:rsidP="005567E9">
      <w:pPr>
        <w:pStyle w:val="FootnoteText"/>
      </w:pPr>
      <w:r>
        <w:rPr>
          <w:rStyle w:val="FootnoteReference"/>
        </w:rPr>
        <w:footnoteRef/>
      </w:r>
      <w:r>
        <w:t xml:space="preserve"> </w:t>
      </w:r>
      <w:r>
        <w:tab/>
      </w:r>
      <w:proofErr w:type="gramStart"/>
      <w:r>
        <w:t>Clause 6.18.7A(x) of the NER.</w:t>
      </w:r>
      <w:proofErr w:type="gramEnd"/>
      <w:r>
        <w:t xml:space="preserve"> </w:t>
      </w:r>
    </w:p>
  </w:footnote>
  <w:footnote w:id="6">
    <w:p w:rsidR="00A46800" w:rsidRDefault="00A46800" w:rsidP="003C01C4">
      <w:pPr>
        <w:pStyle w:val="FootnoteText"/>
      </w:pPr>
      <w:r>
        <w:rPr>
          <w:rStyle w:val="FootnoteReference"/>
        </w:rPr>
        <w:footnoteRef/>
      </w:r>
      <w:r>
        <w:t xml:space="preserve"> </w:t>
      </w:r>
      <w:r>
        <w:tab/>
        <w:t xml:space="preserve">Email from ActewAGL Distribution to the AER, 6 January 2014, ActewAGL Distribution’s Jurisdictional Scheme Determination Request, p. 3-8. </w:t>
      </w:r>
    </w:p>
  </w:footnote>
  <w:footnote w:id="7">
    <w:p w:rsidR="00A46800" w:rsidRDefault="00A46800" w:rsidP="00B75DFA">
      <w:pPr>
        <w:pStyle w:val="FootnoteText"/>
      </w:pPr>
      <w:r>
        <w:rPr>
          <w:rStyle w:val="FootnoteReference"/>
        </w:rPr>
        <w:footnoteRef/>
      </w:r>
      <w:r>
        <w:t xml:space="preserve"> </w:t>
      </w:r>
      <w:r>
        <w:tab/>
      </w:r>
      <w:r w:rsidRPr="00F70B3E">
        <w:t xml:space="preserve">National Electricity Act 1996 (South Australia) </w:t>
      </w:r>
      <w:r>
        <w:t xml:space="preserve">, accessed online on 10 January 2014 at: </w:t>
      </w:r>
      <w:hyperlink r:id="rId2" w:history="1">
        <w:r w:rsidRPr="00B43266">
          <w:rPr>
            <w:rStyle w:val="Hyperlink"/>
          </w:rPr>
          <w:t>http://www.legislation.sa.gov.au/lz/c/a/national%20electricity%20(south%20australia)%20act%201996/current/1996.44.un.pdf</w:t>
        </w:r>
      </w:hyperlink>
      <w:r>
        <w:t xml:space="preserve"> </w:t>
      </w:r>
    </w:p>
  </w:footnote>
  <w:footnote w:id="8">
    <w:p w:rsidR="00A46800" w:rsidRDefault="00A46800" w:rsidP="00E67AF6">
      <w:pPr>
        <w:pStyle w:val="FootnoteText"/>
      </w:pPr>
      <w:r>
        <w:rPr>
          <w:rStyle w:val="FootnoteReference"/>
        </w:rPr>
        <w:footnoteRef/>
      </w:r>
      <w:r>
        <w:t xml:space="preserve"> </w:t>
      </w:r>
      <w:r>
        <w:tab/>
        <w:t xml:space="preserve">Sub-clause </w:t>
      </w:r>
      <w:proofErr w:type="gramStart"/>
      <w:r>
        <w:t>6.18.7A(</w:t>
      </w:r>
      <w:proofErr w:type="gramEnd"/>
      <w:r>
        <w:t>n) of the NER.</w:t>
      </w:r>
    </w:p>
  </w:footnote>
  <w:footnote w:id="9">
    <w:p w:rsidR="00A46800" w:rsidRDefault="00A46800" w:rsidP="00FD1D1E">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1) of the NER</w:t>
      </w:r>
      <w:r>
        <w:t>.</w:t>
      </w:r>
    </w:p>
  </w:footnote>
  <w:footnote w:id="10">
    <w:p w:rsidR="00A46800" w:rsidRDefault="00A46800" w:rsidP="00FD1D1E">
      <w:pPr>
        <w:pStyle w:val="FootnoteText"/>
        <w:ind w:left="0" w:firstLine="0"/>
      </w:pPr>
      <w:r>
        <w:rPr>
          <w:rStyle w:val="FootnoteReference"/>
        </w:rPr>
        <w:footnoteRef/>
      </w:r>
      <w:r>
        <w:tab/>
      </w:r>
      <w:r w:rsidRPr="008D1E63">
        <w:t>Requirement in sub-clause 6.18.7A(x</w:t>
      </w:r>
      <w:proofErr w:type="gramStart"/>
      <w:r w:rsidRPr="008D1E63">
        <w:t>)(</w:t>
      </w:r>
      <w:proofErr w:type="gramEnd"/>
      <w:r w:rsidRPr="008D1E63">
        <w:t>2) of the NER</w:t>
      </w:r>
      <w:r>
        <w:t>.</w:t>
      </w:r>
    </w:p>
  </w:footnote>
  <w:footnote w:id="11">
    <w:p w:rsidR="00A46800" w:rsidRDefault="00A46800" w:rsidP="00FD1D1E">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3) of the NER</w:t>
      </w:r>
      <w:r>
        <w:t>.</w:t>
      </w:r>
    </w:p>
  </w:footnote>
  <w:footnote w:id="12">
    <w:p w:rsidR="00A46800" w:rsidRDefault="00A46800" w:rsidP="00FD1D1E">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4) of the NER</w:t>
      </w:r>
      <w:r>
        <w:t>.</w:t>
      </w:r>
    </w:p>
  </w:footnote>
  <w:footnote w:id="13">
    <w:p w:rsidR="00A46800" w:rsidRDefault="00A46800" w:rsidP="00FD1D1E">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1) of the NER</w:t>
      </w:r>
      <w:r>
        <w:t>.</w:t>
      </w:r>
    </w:p>
  </w:footnote>
  <w:footnote w:id="14">
    <w:p w:rsidR="00A46800" w:rsidRDefault="00A46800" w:rsidP="00FD1D1E">
      <w:pPr>
        <w:pStyle w:val="FootnoteText"/>
        <w:ind w:left="0" w:firstLine="0"/>
      </w:pPr>
      <w:r>
        <w:rPr>
          <w:rStyle w:val="FootnoteReference"/>
        </w:rPr>
        <w:footnoteRef/>
      </w:r>
      <w:r>
        <w:tab/>
      </w:r>
      <w:r w:rsidRPr="008D1E63">
        <w:t>Requirement in sub-clause 6.18.7A(x</w:t>
      </w:r>
      <w:proofErr w:type="gramStart"/>
      <w:r w:rsidRPr="008D1E63">
        <w:t>)(</w:t>
      </w:r>
      <w:proofErr w:type="gramEnd"/>
      <w:r w:rsidRPr="008D1E63">
        <w:t>2) of the NER</w:t>
      </w:r>
      <w:r>
        <w:t>.</w:t>
      </w:r>
    </w:p>
  </w:footnote>
  <w:footnote w:id="15">
    <w:p w:rsidR="00A46800" w:rsidRDefault="00A46800" w:rsidP="00FD1D1E">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3) of the NER</w:t>
      </w:r>
      <w:r>
        <w:t>.</w:t>
      </w:r>
    </w:p>
  </w:footnote>
  <w:footnote w:id="16">
    <w:p w:rsidR="00A46800" w:rsidRDefault="00A46800" w:rsidP="00FD1D1E">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4) of the NER</w:t>
      </w:r>
      <w:r>
        <w:t>.</w:t>
      </w:r>
    </w:p>
  </w:footnote>
  <w:footnote w:id="17">
    <w:p w:rsidR="00A46800" w:rsidRDefault="00A46800" w:rsidP="00BF568B">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1) of the NER</w:t>
      </w:r>
      <w:r>
        <w:t>.</w:t>
      </w:r>
    </w:p>
  </w:footnote>
  <w:footnote w:id="18">
    <w:p w:rsidR="00A46800" w:rsidRDefault="00A46800" w:rsidP="00BF568B">
      <w:pPr>
        <w:pStyle w:val="FootnoteText"/>
        <w:ind w:left="0" w:firstLine="0"/>
      </w:pPr>
      <w:r>
        <w:rPr>
          <w:rStyle w:val="FootnoteReference"/>
        </w:rPr>
        <w:footnoteRef/>
      </w:r>
      <w:r>
        <w:tab/>
      </w:r>
      <w:r w:rsidRPr="008D1E63">
        <w:t>Requirement in sub-clause 6.18.7A(x</w:t>
      </w:r>
      <w:proofErr w:type="gramStart"/>
      <w:r w:rsidRPr="008D1E63">
        <w:t>)(</w:t>
      </w:r>
      <w:proofErr w:type="gramEnd"/>
      <w:r w:rsidRPr="008D1E63">
        <w:t>2) of the NER</w:t>
      </w:r>
      <w:r>
        <w:t>.</w:t>
      </w:r>
    </w:p>
  </w:footnote>
  <w:footnote w:id="19">
    <w:p w:rsidR="00A46800" w:rsidRDefault="00A46800" w:rsidP="00BF568B">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3) of the NER</w:t>
      </w:r>
      <w:r>
        <w:t>.</w:t>
      </w:r>
    </w:p>
  </w:footnote>
  <w:footnote w:id="20">
    <w:p w:rsidR="00A46800" w:rsidRDefault="00A46800" w:rsidP="00BF568B">
      <w:pPr>
        <w:pStyle w:val="FootnoteText"/>
      </w:pPr>
      <w:r>
        <w:rPr>
          <w:rStyle w:val="FootnoteReference"/>
        </w:rPr>
        <w:footnoteRef/>
      </w:r>
      <w:r>
        <w:t xml:space="preserve"> </w:t>
      </w:r>
      <w:r>
        <w:tab/>
      </w:r>
      <w:r w:rsidRPr="008D1E63">
        <w:t>Requirement in sub-clause 6.18.7A(x</w:t>
      </w:r>
      <w:proofErr w:type="gramStart"/>
      <w:r w:rsidRPr="008D1E63">
        <w:t>)(</w:t>
      </w:r>
      <w:proofErr w:type="gramEnd"/>
      <w:r w:rsidRPr="008D1E63">
        <w:t>4) of the NER</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A3A6266"/>
    <w:multiLevelType w:val="multilevel"/>
    <w:tmpl w:val="A93864D8"/>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25B557CF"/>
    <w:multiLevelType w:val="hybridMultilevel"/>
    <w:tmpl w:val="F604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AC6DD7"/>
    <w:multiLevelType w:val="multilevel"/>
    <w:tmpl w:val="950A1C52"/>
    <w:numStyleLink w:val="AERHeadings"/>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3"/>
  </w:num>
  <w:num w:numId="2">
    <w:abstractNumId w:val="6"/>
  </w:num>
  <w:num w:numId="3">
    <w:abstractNumId w:val="4"/>
  </w:num>
  <w:num w:numId="4">
    <w:abstractNumId w:val="9"/>
  </w:num>
  <w:num w:numId="5">
    <w:abstractNumId w:val="0"/>
  </w:num>
  <w:num w:numId="6">
    <w:abstractNumId w:val="7"/>
  </w:num>
  <w:num w:numId="7">
    <w:abstractNumId w:val="5"/>
  </w:num>
  <w:num w:numId="8">
    <w:abstractNumId w:val="8"/>
  </w:num>
  <w:num w:numId="9">
    <w:abstractNumId w:val="10"/>
  </w:num>
  <w:num w:numId="10">
    <w:abstractNumId w:val="1"/>
  </w:num>
  <w:num w:numId="11">
    <w:abstractNumId w:val="8"/>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formatting="1" w:enforcement="1" w:cryptProviderType="rsaFull" w:cryptAlgorithmClass="hash" w:cryptAlgorithmType="typeAny" w:cryptAlgorithmSid="4" w:cryptSpinCount="100000" w:hash="XbKrjc+OK8pcsxC8Tr0X+N6ptzQ=" w:salt="REliLWc8yRvU5hrgJa3XHA=="/>
  <w:defaultTabStop w:val="720"/>
  <w:evenAndOddHeaders/>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484\D14 3760  3.5.1 -attachment 1 - AER determination on ActewAGL Distribution’s Jurisdictional Scheme Determination Request.DOCX"/>
  </w:docVars>
  <w:rsids>
    <w:rsidRoot w:val="000C052F"/>
    <w:rsid w:val="00000D8A"/>
    <w:rsid w:val="00011129"/>
    <w:rsid w:val="00022606"/>
    <w:rsid w:val="00030DC0"/>
    <w:rsid w:val="00040599"/>
    <w:rsid w:val="00040749"/>
    <w:rsid w:val="00073445"/>
    <w:rsid w:val="00086EC3"/>
    <w:rsid w:val="000A1CC2"/>
    <w:rsid w:val="000A5342"/>
    <w:rsid w:val="000B15CA"/>
    <w:rsid w:val="000C052F"/>
    <w:rsid w:val="000C3430"/>
    <w:rsid w:val="000D03C2"/>
    <w:rsid w:val="000D04B1"/>
    <w:rsid w:val="000D401F"/>
    <w:rsid w:val="000D58DA"/>
    <w:rsid w:val="000E1A25"/>
    <w:rsid w:val="000F3A6A"/>
    <w:rsid w:val="001033B3"/>
    <w:rsid w:val="00105636"/>
    <w:rsid w:val="0013022D"/>
    <w:rsid w:val="00153172"/>
    <w:rsid w:val="001543D2"/>
    <w:rsid w:val="00174026"/>
    <w:rsid w:val="001856EE"/>
    <w:rsid w:val="00194C3C"/>
    <w:rsid w:val="001C12E5"/>
    <w:rsid w:val="001C6D40"/>
    <w:rsid w:val="001F093B"/>
    <w:rsid w:val="001F436B"/>
    <w:rsid w:val="00202DE2"/>
    <w:rsid w:val="00206264"/>
    <w:rsid w:val="0020711E"/>
    <w:rsid w:val="00210880"/>
    <w:rsid w:val="0021603D"/>
    <w:rsid w:val="00224D4D"/>
    <w:rsid w:val="002257B9"/>
    <w:rsid w:val="0023137D"/>
    <w:rsid w:val="00251386"/>
    <w:rsid w:val="00266710"/>
    <w:rsid w:val="002805B8"/>
    <w:rsid w:val="002938CE"/>
    <w:rsid w:val="002B521F"/>
    <w:rsid w:val="002B6640"/>
    <w:rsid w:val="002D61AC"/>
    <w:rsid w:val="002E4720"/>
    <w:rsid w:val="00303452"/>
    <w:rsid w:val="00316191"/>
    <w:rsid w:val="00320B3B"/>
    <w:rsid w:val="00331772"/>
    <w:rsid w:val="003324F7"/>
    <w:rsid w:val="00334F88"/>
    <w:rsid w:val="00347FE0"/>
    <w:rsid w:val="003707DB"/>
    <w:rsid w:val="00371B61"/>
    <w:rsid w:val="00375AEC"/>
    <w:rsid w:val="00376236"/>
    <w:rsid w:val="0037652C"/>
    <w:rsid w:val="003800E4"/>
    <w:rsid w:val="00380FF5"/>
    <w:rsid w:val="00385C71"/>
    <w:rsid w:val="00386969"/>
    <w:rsid w:val="003A6174"/>
    <w:rsid w:val="003B391F"/>
    <w:rsid w:val="003C01C4"/>
    <w:rsid w:val="003E08A7"/>
    <w:rsid w:val="003F144A"/>
    <w:rsid w:val="003F2E0F"/>
    <w:rsid w:val="003F40AB"/>
    <w:rsid w:val="004030AB"/>
    <w:rsid w:val="00410260"/>
    <w:rsid w:val="00412282"/>
    <w:rsid w:val="004256BA"/>
    <w:rsid w:val="00431999"/>
    <w:rsid w:val="00435682"/>
    <w:rsid w:val="00447D31"/>
    <w:rsid w:val="00451E3C"/>
    <w:rsid w:val="0045467E"/>
    <w:rsid w:val="00456081"/>
    <w:rsid w:val="00464F5D"/>
    <w:rsid w:val="00474FBD"/>
    <w:rsid w:val="00491D7D"/>
    <w:rsid w:val="004960DF"/>
    <w:rsid w:val="004A4562"/>
    <w:rsid w:val="004C3F45"/>
    <w:rsid w:val="004D1F18"/>
    <w:rsid w:val="004E27B4"/>
    <w:rsid w:val="004E40EF"/>
    <w:rsid w:val="004E73F7"/>
    <w:rsid w:val="004F76A0"/>
    <w:rsid w:val="00500E7F"/>
    <w:rsid w:val="0052179D"/>
    <w:rsid w:val="005260A0"/>
    <w:rsid w:val="00535F81"/>
    <w:rsid w:val="0054061C"/>
    <w:rsid w:val="005456A9"/>
    <w:rsid w:val="00555D52"/>
    <w:rsid w:val="005566D7"/>
    <w:rsid w:val="005567E9"/>
    <w:rsid w:val="00561F7F"/>
    <w:rsid w:val="00566B35"/>
    <w:rsid w:val="005732CC"/>
    <w:rsid w:val="00575422"/>
    <w:rsid w:val="005938C6"/>
    <w:rsid w:val="00596186"/>
    <w:rsid w:val="005A0431"/>
    <w:rsid w:val="005B3752"/>
    <w:rsid w:val="005B61C2"/>
    <w:rsid w:val="005D26B7"/>
    <w:rsid w:val="005D4AA1"/>
    <w:rsid w:val="005E44FA"/>
    <w:rsid w:val="005F0911"/>
    <w:rsid w:val="0060146C"/>
    <w:rsid w:val="0060207D"/>
    <w:rsid w:val="006039F2"/>
    <w:rsid w:val="006061B0"/>
    <w:rsid w:val="0060732E"/>
    <w:rsid w:val="006076A9"/>
    <w:rsid w:val="00627C06"/>
    <w:rsid w:val="00633619"/>
    <w:rsid w:val="006515EF"/>
    <w:rsid w:val="006544EA"/>
    <w:rsid w:val="0066569F"/>
    <w:rsid w:val="0069004B"/>
    <w:rsid w:val="00693313"/>
    <w:rsid w:val="006A6D3B"/>
    <w:rsid w:val="006B08EB"/>
    <w:rsid w:val="006B481F"/>
    <w:rsid w:val="006F638E"/>
    <w:rsid w:val="00703E42"/>
    <w:rsid w:val="00724AAB"/>
    <w:rsid w:val="007368AD"/>
    <w:rsid w:val="00747A3C"/>
    <w:rsid w:val="00751D2A"/>
    <w:rsid w:val="00755095"/>
    <w:rsid w:val="00796A07"/>
    <w:rsid w:val="007F10E3"/>
    <w:rsid w:val="007F2C0E"/>
    <w:rsid w:val="00804AEB"/>
    <w:rsid w:val="00820D76"/>
    <w:rsid w:val="00824CC8"/>
    <w:rsid w:val="00836D17"/>
    <w:rsid w:val="00840A55"/>
    <w:rsid w:val="00841E25"/>
    <w:rsid w:val="008464CD"/>
    <w:rsid w:val="008515EE"/>
    <w:rsid w:val="0085438C"/>
    <w:rsid w:val="00861C4E"/>
    <w:rsid w:val="00866D21"/>
    <w:rsid w:val="00872D85"/>
    <w:rsid w:val="00883DDA"/>
    <w:rsid w:val="00891FF9"/>
    <w:rsid w:val="00893367"/>
    <w:rsid w:val="00893D07"/>
    <w:rsid w:val="008B0F8E"/>
    <w:rsid w:val="008B7956"/>
    <w:rsid w:val="008C3722"/>
    <w:rsid w:val="008C3B67"/>
    <w:rsid w:val="008C3F48"/>
    <w:rsid w:val="008D038D"/>
    <w:rsid w:val="008D1E63"/>
    <w:rsid w:val="008D49B4"/>
    <w:rsid w:val="008D7498"/>
    <w:rsid w:val="008F661A"/>
    <w:rsid w:val="008F67F6"/>
    <w:rsid w:val="0092050E"/>
    <w:rsid w:val="00922C8E"/>
    <w:rsid w:val="00932E96"/>
    <w:rsid w:val="009418E6"/>
    <w:rsid w:val="0094235F"/>
    <w:rsid w:val="0094279F"/>
    <w:rsid w:val="00946B98"/>
    <w:rsid w:val="0095052A"/>
    <w:rsid w:val="00956999"/>
    <w:rsid w:val="009658F0"/>
    <w:rsid w:val="00971655"/>
    <w:rsid w:val="00971C63"/>
    <w:rsid w:val="009844BC"/>
    <w:rsid w:val="00992AA6"/>
    <w:rsid w:val="009A4AE9"/>
    <w:rsid w:val="009C71D5"/>
    <w:rsid w:val="009F7CE4"/>
    <w:rsid w:val="00A11162"/>
    <w:rsid w:val="00A34B69"/>
    <w:rsid w:val="00A43227"/>
    <w:rsid w:val="00A46800"/>
    <w:rsid w:val="00A46CCD"/>
    <w:rsid w:val="00A65133"/>
    <w:rsid w:val="00A652C5"/>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15FE9"/>
    <w:rsid w:val="00B2645E"/>
    <w:rsid w:val="00B27542"/>
    <w:rsid w:val="00B51883"/>
    <w:rsid w:val="00B53D8C"/>
    <w:rsid w:val="00B5497B"/>
    <w:rsid w:val="00B61FD4"/>
    <w:rsid w:val="00B674DB"/>
    <w:rsid w:val="00B75DFA"/>
    <w:rsid w:val="00B82E8D"/>
    <w:rsid w:val="00B9264D"/>
    <w:rsid w:val="00B933D6"/>
    <w:rsid w:val="00B94D99"/>
    <w:rsid w:val="00BB3FA1"/>
    <w:rsid w:val="00BB62BB"/>
    <w:rsid w:val="00BC05C5"/>
    <w:rsid w:val="00BD04BE"/>
    <w:rsid w:val="00BE6F28"/>
    <w:rsid w:val="00BF29FA"/>
    <w:rsid w:val="00BF568B"/>
    <w:rsid w:val="00BF6970"/>
    <w:rsid w:val="00C04D2B"/>
    <w:rsid w:val="00C30349"/>
    <w:rsid w:val="00C35866"/>
    <w:rsid w:val="00C50E31"/>
    <w:rsid w:val="00C565FC"/>
    <w:rsid w:val="00C737C5"/>
    <w:rsid w:val="00C748E2"/>
    <w:rsid w:val="00C90D27"/>
    <w:rsid w:val="00CA3540"/>
    <w:rsid w:val="00CA6DED"/>
    <w:rsid w:val="00CC49D4"/>
    <w:rsid w:val="00CE6F5A"/>
    <w:rsid w:val="00CF42CF"/>
    <w:rsid w:val="00D102E9"/>
    <w:rsid w:val="00D1688F"/>
    <w:rsid w:val="00D2117F"/>
    <w:rsid w:val="00D25317"/>
    <w:rsid w:val="00D66E8B"/>
    <w:rsid w:val="00D847BC"/>
    <w:rsid w:val="00D85715"/>
    <w:rsid w:val="00D8706C"/>
    <w:rsid w:val="00D912E2"/>
    <w:rsid w:val="00D95395"/>
    <w:rsid w:val="00DA35DF"/>
    <w:rsid w:val="00DA4C62"/>
    <w:rsid w:val="00DB6A17"/>
    <w:rsid w:val="00DD17E1"/>
    <w:rsid w:val="00DD4E84"/>
    <w:rsid w:val="00DD5520"/>
    <w:rsid w:val="00DE7586"/>
    <w:rsid w:val="00DF16C2"/>
    <w:rsid w:val="00E00F76"/>
    <w:rsid w:val="00E21E75"/>
    <w:rsid w:val="00E519DC"/>
    <w:rsid w:val="00E67AF6"/>
    <w:rsid w:val="00E807DA"/>
    <w:rsid w:val="00E82A47"/>
    <w:rsid w:val="00E84E3A"/>
    <w:rsid w:val="00EA05AF"/>
    <w:rsid w:val="00EB5CDF"/>
    <w:rsid w:val="00EC43B9"/>
    <w:rsid w:val="00ED4D69"/>
    <w:rsid w:val="00EE362F"/>
    <w:rsid w:val="00EF0E19"/>
    <w:rsid w:val="00F1093E"/>
    <w:rsid w:val="00F114AE"/>
    <w:rsid w:val="00F43CA0"/>
    <w:rsid w:val="00F55030"/>
    <w:rsid w:val="00F70B3E"/>
    <w:rsid w:val="00F7309A"/>
    <w:rsid w:val="00F7696F"/>
    <w:rsid w:val="00F8209B"/>
    <w:rsid w:val="00F97CD9"/>
    <w:rsid w:val="00FA0576"/>
    <w:rsid w:val="00FB50B4"/>
    <w:rsid w:val="00FD1D1E"/>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annotation text" w:uiPriority="0"/>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0"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semiHidden/>
    <w:unhideWhenUsed/>
    <w:rsid w:val="00BE6F28"/>
    <w:rPr>
      <w:sz w:val="16"/>
      <w:szCs w:val="16"/>
    </w:rPr>
  </w:style>
  <w:style w:type="paragraph" w:styleId="CommentText">
    <w:name w:val="annotation text"/>
    <w:basedOn w:val="Normal"/>
    <w:link w:val="CommentTextChar"/>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sa.gov.au/lz/c/a/national%20electricity%20(south%20australia)%20act%201996/current/1996.44.un.pdf" TargetMode="External"/><Relationship Id="rId1" Type="http://schemas.openxmlformats.org/officeDocument/2006/relationships/hyperlink" Target="http://www.actewagl.com.au/~/media/ActewAGL/ActewAGL-Files/About-us/Publications/Corporate%20and%20legal%20PDFs/Annual-Report-2010-11.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2500</Words>
  <Characters>13928</Characters>
  <Application>Microsoft Office Word</Application>
  <DocSecurity>0</DocSecurity>
  <Lines>386</Lines>
  <Paragraphs>195</Paragraphs>
  <ScaleCrop>false</ScaleCrop>
  <Company/>
  <LinksUpToDate>false</LinksUpToDate>
  <CharactersWithSpaces>16233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2014-01-28T00:40:00Z</dcterms:created>
  <dcterms:modified xsi:type="dcterms:W3CDTF">2014-01-28T00:40:00Z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8128311</vt:lpwstr>
  </property>
</Properties>
</file>