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B19" w:rsidRPr="00E34F1F" w:rsidRDefault="00010791" w:rsidP="00790672">
      <w:pPr>
        <w:pStyle w:val="Title"/>
        <w:spacing w:before="400" w:after="360" w:line="240" w:lineRule="auto"/>
        <w:rPr>
          <w:b/>
          <w:sz w:val="40"/>
          <w:szCs w:val="40"/>
        </w:rPr>
      </w:pPr>
      <w:r w:rsidRPr="00E34F1F">
        <w:rPr>
          <w:b/>
          <w:sz w:val="40"/>
          <w:szCs w:val="40"/>
        </w:rPr>
        <w:t>AE</w:t>
      </w:r>
      <w:bookmarkStart w:id="0" w:name="_GoBack"/>
      <w:bookmarkEnd w:id="0"/>
      <w:r w:rsidRPr="00E34F1F">
        <w:rPr>
          <w:b/>
          <w:sz w:val="40"/>
          <w:szCs w:val="40"/>
        </w:rPr>
        <w:t>R’s Practice Guide for Compliance A</w:t>
      </w:r>
      <w:r w:rsidR="00C026A7" w:rsidRPr="00E34F1F">
        <w:rPr>
          <w:b/>
          <w:sz w:val="40"/>
          <w:szCs w:val="40"/>
        </w:rPr>
        <w:t>udits</w:t>
      </w:r>
    </w:p>
    <w:p w:rsidR="00BB7556" w:rsidRDefault="00BB7556" w:rsidP="00ED56D9">
      <w:pPr>
        <w:pStyle w:val="Heading1"/>
      </w:pPr>
      <w:r>
        <w:t>Introduction</w:t>
      </w:r>
    </w:p>
    <w:p w:rsidR="00C026A7" w:rsidRDefault="00C026A7" w:rsidP="00C026A7">
      <w:r>
        <w:t xml:space="preserve">The Australian Energy Regulator (AER) is responsible for energy market regulation. Among </w:t>
      </w:r>
      <w:r w:rsidR="00BB7556">
        <w:t xml:space="preserve">our </w:t>
      </w:r>
      <w:r>
        <w:t xml:space="preserve">functions, </w:t>
      </w:r>
      <w:r w:rsidR="00BB7556">
        <w:t>we</w:t>
      </w:r>
      <w:r>
        <w:t xml:space="preserve"> monitor, investigate and enforce compliance with the </w:t>
      </w:r>
      <w:r>
        <w:rPr>
          <w:i/>
        </w:rPr>
        <w:t xml:space="preserve">National Energy Retail Law </w:t>
      </w:r>
      <w:r>
        <w:t xml:space="preserve">(Retail Law), the </w:t>
      </w:r>
      <w:r>
        <w:rPr>
          <w:i/>
        </w:rPr>
        <w:t>National Energy Retail Rules</w:t>
      </w:r>
      <w:r>
        <w:t xml:space="preserve"> (Retail Rules) and applicable</w:t>
      </w:r>
      <w:r w:rsidR="005427D9">
        <w:t xml:space="preserve"> National</w:t>
      </w:r>
      <w:r>
        <w:t xml:space="preserve"> Regulations</w:t>
      </w:r>
      <w:r w:rsidR="005427D9">
        <w:t xml:space="preserve"> (Regulations)</w:t>
      </w:r>
      <w:r>
        <w:t xml:space="preserve">. </w:t>
      </w:r>
    </w:p>
    <w:p w:rsidR="0035108E" w:rsidRDefault="00DF2DC9" w:rsidP="0035108E">
      <w:r>
        <w:t>As part of our compliance and enforcement activities</w:t>
      </w:r>
      <w:r w:rsidR="003E3FBD">
        <w:t>, the Retail Law</w:t>
      </w:r>
      <w:r w:rsidR="00713628">
        <w:t xml:space="preserve"> </w:t>
      </w:r>
      <w:r>
        <w:t xml:space="preserve">permits the </w:t>
      </w:r>
      <w:r w:rsidR="00BB7556">
        <w:t>carrying out of</w:t>
      </w:r>
      <w:r>
        <w:t xml:space="preserve"> </w:t>
      </w:r>
      <w:r w:rsidR="00892701">
        <w:t>compliance audits.</w:t>
      </w:r>
      <w:r w:rsidR="00892701" w:rsidRPr="0081793A">
        <w:rPr>
          <w:vertAlign w:val="superscript"/>
        </w:rPr>
        <w:footnoteReference w:id="1"/>
      </w:r>
      <w:r w:rsidR="00892701">
        <w:t xml:space="preserve"> </w:t>
      </w:r>
      <w:r>
        <w:t>C</w:t>
      </w:r>
      <w:r w:rsidR="00DC27F1">
        <w:t xml:space="preserve">ompliance audits </w:t>
      </w:r>
      <w:r w:rsidR="00C02687">
        <w:t>are a valuable tool for</w:t>
      </w:r>
      <w:r w:rsidR="0035108E">
        <w:t xml:space="preserve"> assess</w:t>
      </w:r>
      <w:r w:rsidR="00C02687">
        <w:t>ing</w:t>
      </w:r>
      <w:r w:rsidR="00B60649">
        <w:t xml:space="preserve"> the compliance systems</w:t>
      </w:r>
      <w:r w:rsidR="00683718">
        <w:t xml:space="preserve"> </w:t>
      </w:r>
      <w:r w:rsidR="00C20B54">
        <w:t xml:space="preserve">a </w:t>
      </w:r>
      <w:r w:rsidR="00683718">
        <w:t>business</w:t>
      </w:r>
      <w:r w:rsidR="0035108E">
        <w:t xml:space="preserve"> use</w:t>
      </w:r>
      <w:r w:rsidR="00B60649">
        <w:t>s</w:t>
      </w:r>
      <w:r w:rsidR="0035108E">
        <w:t xml:space="preserve"> to moni</w:t>
      </w:r>
      <w:r w:rsidR="00C02687">
        <w:t>tor</w:t>
      </w:r>
      <w:r w:rsidR="00C83FF3">
        <w:t>,</w:t>
      </w:r>
      <w:r w:rsidR="00C02687">
        <w:t xml:space="preserve"> identify </w:t>
      </w:r>
      <w:r w:rsidR="0035108E" w:rsidRPr="00B24855">
        <w:t>and report</w:t>
      </w:r>
      <w:r w:rsidR="00C02687">
        <w:t xml:space="preserve"> </w:t>
      </w:r>
      <w:r w:rsidR="0035108E" w:rsidRPr="00B24855">
        <w:t xml:space="preserve">on potential breaches of key consumer protection provisions in the Retail Law and Retail Rules. In doing so, </w:t>
      </w:r>
      <w:r w:rsidR="00B60649">
        <w:t>an audit</w:t>
      </w:r>
      <w:r w:rsidR="0035108E" w:rsidRPr="00B24855">
        <w:t xml:space="preserve"> allow</w:t>
      </w:r>
      <w:r w:rsidR="00C02687">
        <w:t>s</w:t>
      </w:r>
      <w:r w:rsidR="0035108E" w:rsidRPr="00B24855">
        <w:t xml:space="preserve"> any deficiencies to be identified and fixed, improving the </w:t>
      </w:r>
      <w:r w:rsidR="00C02687">
        <w:t>quality of the</w:t>
      </w:r>
      <w:r w:rsidR="00C02687" w:rsidRPr="00B24855">
        <w:t xml:space="preserve"> </w:t>
      </w:r>
      <w:r w:rsidR="0035108E" w:rsidRPr="00B24855">
        <w:t>compliance system.</w:t>
      </w:r>
      <w:r w:rsidR="0035108E">
        <w:t xml:space="preserve"> Compliance audits complement and </w:t>
      </w:r>
      <w:r>
        <w:t>maintain the</w:t>
      </w:r>
      <w:r w:rsidR="0035108E">
        <w:t xml:space="preserve"> integrity of the AER’s reporting framework </w:t>
      </w:r>
      <w:r w:rsidR="00C02687">
        <w:t>established under</w:t>
      </w:r>
      <w:r w:rsidR="005D3B7E">
        <w:t xml:space="preserve"> </w:t>
      </w:r>
      <w:r w:rsidR="005D3B7E" w:rsidRPr="00DC27F1">
        <w:rPr>
          <w:i/>
        </w:rPr>
        <w:t xml:space="preserve">Compliance procedures and guidelines </w:t>
      </w:r>
      <w:r w:rsidR="005D3B7E">
        <w:t>(the Guidelines)</w:t>
      </w:r>
      <w:r w:rsidR="0035108E">
        <w:t xml:space="preserve">. </w:t>
      </w:r>
    </w:p>
    <w:p w:rsidR="00B54B19" w:rsidRDefault="005427D9" w:rsidP="00ED56D9">
      <w:pPr>
        <w:pStyle w:val="Heading1"/>
      </w:pPr>
      <w:r>
        <w:t>Purpose of this guide</w:t>
      </w:r>
    </w:p>
    <w:p w:rsidR="00B12034" w:rsidRDefault="00B12034" w:rsidP="005427D9">
      <w:r>
        <w:t>This practice guide supplement</w:t>
      </w:r>
      <w:r w:rsidR="004523C2">
        <w:t>s</w:t>
      </w:r>
      <w:r>
        <w:t xml:space="preserve"> the </w:t>
      </w:r>
      <w:r w:rsidR="004C33EE">
        <w:t>information</w:t>
      </w:r>
      <w:r>
        <w:t xml:space="preserve"> in the Guidelines</w:t>
      </w:r>
      <w:r w:rsidR="004523C2" w:rsidRPr="004523C2">
        <w:t xml:space="preserve"> </w:t>
      </w:r>
      <w:r w:rsidR="00D4563A">
        <w:t>by</w:t>
      </w:r>
      <w:r w:rsidR="004523C2">
        <w:t xml:space="preserve"> </w:t>
      </w:r>
      <w:r w:rsidR="00B60649">
        <w:t>explaining</w:t>
      </w:r>
      <w:r w:rsidR="004523C2">
        <w:t xml:space="preserve"> our</w:t>
      </w:r>
      <w:r>
        <w:t xml:space="preserve"> approach to using compliance audits</w:t>
      </w:r>
      <w:r w:rsidR="00D4563A">
        <w:t>,</w:t>
      </w:r>
      <w:r w:rsidR="00252E2F" w:rsidRPr="00252E2F">
        <w:t xml:space="preserve"> </w:t>
      </w:r>
      <w:r w:rsidR="00252E2F">
        <w:t>and should be read in conjunction with the Guidelines</w:t>
      </w:r>
      <w:r w:rsidR="004523C2">
        <w:t>. It also</w:t>
      </w:r>
      <w:r w:rsidR="008712F2">
        <w:t xml:space="preserve"> </w:t>
      </w:r>
      <w:r w:rsidR="004523C2">
        <w:t>contributes to ensuring</w:t>
      </w:r>
      <w:r w:rsidR="00F96CCC">
        <w:t xml:space="preserve"> our r</w:t>
      </w:r>
      <w:r w:rsidR="008712F2">
        <w:t>egulatory activities are consistent and transparent</w:t>
      </w:r>
      <w:r w:rsidR="004C33EE">
        <w:t xml:space="preserve">. </w:t>
      </w:r>
    </w:p>
    <w:p w:rsidR="00406BA8" w:rsidRDefault="004523C2" w:rsidP="00406BA8">
      <w:r>
        <w:t xml:space="preserve">The guide </w:t>
      </w:r>
      <w:r w:rsidR="00252E2F">
        <w:t>outlines the factors we</w:t>
      </w:r>
      <w:r w:rsidR="009307E9">
        <w:t xml:space="preserve"> will consider in making </w:t>
      </w:r>
      <w:r w:rsidR="00DF2DC9">
        <w:t xml:space="preserve">a </w:t>
      </w:r>
      <w:r w:rsidR="009307E9">
        <w:t>decision</w:t>
      </w:r>
      <w:r w:rsidR="00550A9A">
        <w:t xml:space="preserve"> to</w:t>
      </w:r>
      <w:r w:rsidR="00B12034">
        <w:t xml:space="preserve"> </w:t>
      </w:r>
      <w:r w:rsidR="000437D9">
        <w:t xml:space="preserve">use </w:t>
      </w:r>
      <w:r w:rsidR="00DF2DC9">
        <w:t xml:space="preserve">our </w:t>
      </w:r>
      <w:r w:rsidR="00B12034">
        <w:t>compliance audit</w:t>
      </w:r>
      <w:r w:rsidR="000437D9">
        <w:t xml:space="preserve"> powers</w:t>
      </w:r>
      <w:r w:rsidR="000E6583">
        <w:t xml:space="preserve"> under the Retail Law</w:t>
      </w:r>
      <w:r w:rsidR="00F643D2">
        <w:t xml:space="preserve"> and</w:t>
      </w:r>
      <w:r w:rsidR="004C33EE">
        <w:t xml:space="preserve"> set</w:t>
      </w:r>
      <w:r w:rsidR="00406BA8">
        <w:t>s</w:t>
      </w:r>
      <w:r w:rsidR="004C33EE">
        <w:t xml:space="preserve"> out</w:t>
      </w:r>
      <w:r w:rsidR="002A165A">
        <w:t xml:space="preserve"> </w:t>
      </w:r>
      <w:r w:rsidR="00C02687">
        <w:t xml:space="preserve">our expectations for the </w:t>
      </w:r>
      <w:r w:rsidR="00406BA8">
        <w:t xml:space="preserve">standard </w:t>
      </w:r>
      <w:r w:rsidR="00C02687">
        <w:t xml:space="preserve">and quality </w:t>
      </w:r>
      <w:r w:rsidR="00406BA8">
        <w:t xml:space="preserve">of compliance audit reports. </w:t>
      </w:r>
    </w:p>
    <w:p w:rsidR="00C44646" w:rsidRDefault="00C44646">
      <w:pPr>
        <w:spacing w:before="200" w:after="0" w:line="240" w:lineRule="auto"/>
        <w:rPr>
          <w:rFonts w:eastAsiaTheme="majorEastAsia" w:cstheme="majorBidi"/>
          <w:b/>
          <w:bCs/>
          <w:color w:val="70635A" w:themeColor="text2"/>
          <w:sz w:val="36"/>
          <w:szCs w:val="28"/>
        </w:rPr>
      </w:pPr>
      <w:r>
        <w:br w:type="page"/>
      </w:r>
    </w:p>
    <w:p w:rsidR="00B54995" w:rsidRPr="00D4563A" w:rsidRDefault="0012225F" w:rsidP="00ED56D9">
      <w:pPr>
        <w:pStyle w:val="Heading1"/>
      </w:pPr>
      <w:r w:rsidRPr="00D4563A">
        <w:t>C</w:t>
      </w:r>
      <w:r w:rsidR="00C61F0A" w:rsidRPr="00D4563A">
        <w:t>ompliance audits</w:t>
      </w:r>
    </w:p>
    <w:p w:rsidR="0035108E" w:rsidRPr="00BD78AB" w:rsidRDefault="00C61F0A" w:rsidP="0035108E">
      <w:r>
        <w:t xml:space="preserve">Compliance audits are a tool available </w:t>
      </w:r>
      <w:r w:rsidR="008065AC">
        <w:t>to the AER</w:t>
      </w:r>
      <w:r w:rsidR="00CC24D4">
        <w:t xml:space="preserve"> to assess</w:t>
      </w:r>
      <w:r w:rsidR="008065AC">
        <w:t xml:space="preserve"> business compliance with obligations under </w:t>
      </w:r>
      <w:r w:rsidR="002A165A">
        <w:t>the Retail Law and Retail Rules</w:t>
      </w:r>
      <w:r w:rsidR="0089667F">
        <w:t>.</w:t>
      </w:r>
      <w:r w:rsidR="00D4563A">
        <w:t xml:space="preserve"> Clause 4.3</w:t>
      </w:r>
      <w:r w:rsidR="00CC24D4">
        <w:t xml:space="preserve"> of the Guidelines requires compliance audits to be an </w:t>
      </w:r>
      <w:r w:rsidR="0067681B">
        <w:t>i</w:t>
      </w:r>
      <w:r w:rsidR="0035108E" w:rsidRPr="00BD78AB">
        <w:t>mpartial and comprehensive assessmen</w:t>
      </w:r>
      <w:r w:rsidR="00CC24D4">
        <w:t>t</w:t>
      </w:r>
      <w:r w:rsidR="00252E2F">
        <w:t xml:space="preserve"> of a business’s compliance systems</w:t>
      </w:r>
      <w:r w:rsidR="00F643D2">
        <w:t>. This requires knowledge of:</w:t>
      </w:r>
    </w:p>
    <w:p w:rsidR="0067681B" w:rsidRPr="00BD78AB" w:rsidRDefault="00252E2F" w:rsidP="00BD78AB">
      <w:pPr>
        <w:pStyle w:val="ListParagraph"/>
        <w:numPr>
          <w:ilvl w:val="0"/>
          <w:numId w:val="37"/>
        </w:numPr>
      </w:pPr>
      <w:r>
        <w:t>the current b</w:t>
      </w:r>
      <w:r w:rsidR="0067681B" w:rsidRPr="00BD78AB">
        <w:t>usiness and compliance environment</w:t>
      </w:r>
    </w:p>
    <w:p w:rsidR="0067681B" w:rsidRPr="00BD78AB" w:rsidRDefault="00252E2F" w:rsidP="00BD78AB">
      <w:pPr>
        <w:pStyle w:val="ListParagraph"/>
        <w:numPr>
          <w:ilvl w:val="0"/>
          <w:numId w:val="37"/>
        </w:numPr>
      </w:pPr>
      <w:r>
        <w:t>t</w:t>
      </w:r>
      <w:r w:rsidR="00CC24D4">
        <w:t>he c</w:t>
      </w:r>
      <w:r w:rsidR="0067681B" w:rsidRPr="00BD78AB">
        <w:t>ontext in which the businesses internal compliance system operates</w:t>
      </w:r>
      <w:r w:rsidR="00CC24D4">
        <w:t>; and</w:t>
      </w:r>
    </w:p>
    <w:p w:rsidR="0067681B" w:rsidRPr="002B78FE" w:rsidRDefault="00CC24D4" w:rsidP="00BD78AB">
      <w:pPr>
        <w:pStyle w:val="ListParagraph"/>
        <w:numPr>
          <w:ilvl w:val="0"/>
          <w:numId w:val="37"/>
        </w:numPr>
      </w:pPr>
      <w:r>
        <w:t>b</w:t>
      </w:r>
      <w:r w:rsidR="0067681B" w:rsidRPr="00BD78AB">
        <w:t xml:space="preserve">roader market issues </w:t>
      </w:r>
      <w:r>
        <w:t xml:space="preserve">impacting on the </w:t>
      </w:r>
      <w:r w:rsidRPr="002B78FE">
        <w:t>compliance system</w:t>
      </w:r>
    </w:p>
    <w:p w:rsidR="0035108E" w:rsidRDefault="00F643D2" w:rsidP="0035108E">
      <w:r>
        <w:t>Any</w:t>
      </w:r>
      <w:r w:rsidR="0035108E">
        <w:t xml:space="preserve"> person or persons carrying out the compliance</w:t>
      </w:r>
      <w:r w:rsidR="007F6CEB">
        <w:t xml:space="preserve"> audit</w:t>
      </w:r>
      <w:r w:rsidR="0035108E">
        <w:t xml:space="preserve"> </w:t>
      </w:r>
      <w:r w:rsidR="00C578D3">
        <w:t>should</w:t>
      </w:r>
      <w:r w:rsidR="00BD78AB">
        <w:t xml:space="preserve"> therefore</w:t>
      </w:r>
      <w:r w:rsidR="0035108E">
        <w:t xml:space="preserve">: </w:t>
      </w:r>
    </w:p>
    <w:p w:rsidR="0035108E" w:rsidRPr="004A4C14" w:rsidRDefault="0035108E" w:rsidP="0035108E">
      <w:pPr>
        <w:pStyle w:val="ListParagraph"/>
        <w:numPr>
          <w:ilvl w:val="0"/>
          <w:numId w:val="34"/>
        </w:numPr>
        <w:tabs>
          <w:tab w:val="clear" w:pos="340"/>
        </w:tabs>
        <w:spacing w:after="120"/>
        <w:ind w:left="1134"/>
        <w:contextualSpacing/>
        <w:rPr>
          <w:i/>
        </w:rPr>
      </w:pPr>
      <w:r w:rsidRPr="004A4C14">
        <w:rPr>
          <w:i/>
        </w:rPr>
        <w:t xml:space="preserve">be able to act without bias and without any actual or potential conflicts of interest; </w:t>
      </w:r>
    </w:p>
    <w:p w:rsidR="0035108E" w:rsidRPr="004A4C14" w:rsidRDefault="0035108E" w:rsidP="0035108E">
      <w:pPr>
        <w:pStyle w:val="ListParagraph"/>
        <w:numPr>
          <w:ilvl w:val="0"/>
          <w:numId w:val="34"/>
        </w:numPr>
        <w:tabs>
          <w:tab w:val="clear" w:pos="340"/>
        </w:tabs>
        <w:spacing w:after="120"/>
        <w:ind w:left="1134"/>
        <w:contextualSpacing/>
        <w:rPr>
          <w:i/>
        </w:rPr>
      </w:pPr>
      <w:r w:rsidRPr="004A4C14">
        <w:rPr>
          <w:i/>
        </w:rPr>
        <w:t xml:space="preserve">have professional competence to apply established audit standards, techniques to carry out the compliance audit to a high standard; </w:t>
      </w:r>
    </w:p>
    <w:p w:rsidR="0035108E" w:rsidRPr="004A4C14" w:rsidRDefault="0035108E" w:rsidP="0035108E">
      <w:pPr>
        <w:pStyle w:val="ListParagraph"/>
        <w:numPr>
          <w:ilvl w:val="0"/>
          <w:numId w:val="34"/>
        </w:numPr>
        <w:tabs>
          <w:tab w:val="clear" w:pos="340"/>
        </w:tabs>
        <w:spacing w:after="120"/>
        <w:ind w:left="1134"/>
        <w:contextualSpacing/>
        <w:rPr>
          <w:i/>
        </w:rPr>
      </w:pPr>
      <w:r w:rsidRPr="004A4C14">
        <w:rPr>
          <w:i/>
        </w:rPr>
        <w:t xml:space="preserve">have a system of quality controls to ensure audit reports are of a professional standard; </w:t>
      </w:r>
    </w:p>
    <w:p w:rsidR="0035108E" w:rsidRPr="004A4C14" w:rsidRDefault="0035108E" w:rsidP="0035108E">
      <w:pPr>
        <w:pStyle w:val="ListParagraph"/>
        <w:numPr>
          <w:ilvl w:val="0"/>
          <w:numId w:val="34"/>
        </w:numPr>
        <w:tabs>
          <w:tab w:val="clear" w:pos="340"/>
        </w:tabs>
        <w:spacing w:after="120"/>
        <w:ind w:left="1134"/>
        <w:contextualSpacing/>
        <w:rPr>
          <w:i/>
        </w:rPr>
      </w:pPr>
      <w:r w:rsidRPr="004A4C14">
        <w:rPr>
          <w:i/>
        </w:rPr>
        <w:t xml:space="preserve">have </w:t>
      </w:r>
      <w:r w:rsidR="0089667F">
        <w:rPr>
          <w:i/>
        </w:rPr>
        <w:t xml:space="preserve">relevant </w:t>
      </w:r>
      <w:r w:rsidRPr="004A4C14">
        <w:rPr>
          <w:i/>
        </w:rPr>
        <w:t xml:space="preserve">expertise </w:t>
      </w:r>
      <w:r w:rsidR="0089667F">
        <w:rPr>
          <w:i/>
        </w:rPr>
        <w:t>including experience in the</w:t>
      </w:r>
      <w:r w:rsidRPr="004A4C14">
        <w:rPr>
          <w:i/>
        </w:rPr>
        <w:t xml:space="preserve"> energy sector; and </w:t>
      </w:r>
    </w:p>
    <w:p w:rsidR="0035108E" w:rsidRPr="004A4C14" w:rsidRDefault="00B60649" w:rsidP="0035108E">
      <w:pPr>
        <w:pStyle w:val="ListParagraph"/>
        <w:numPr>
          <w:ilvl w:val="0"/>
          <w:numId w:val="34"/>
        </w:numPr>
        <w:tabs>
          <w:tab w:val="clear" w:pos="340"/>
        </w:tabs>
        <w:spacing w:after="120"/>
        <w:ind w:left="1134"/>
        <w:contextualSpacing/>
        <w:rPr>
          <w:i/>
        </w:rPr>
      </w:pPr>
      <w:r>
        <w:rPr>
          <w:i/>
        </w:rPr>
        <w:t>be</w:t>
      </w:r>
      <w:r w:rsidR="00D4563A">
        <w:rPr>
          <w:i/>
        </w:rPr>
        <w:t xml:space="preserve"> able to comply with any specifications in the Terms of Reference, which the AER determines are necessary in relation to the compliance audit matter in question</w:t>
      </w:r>
      <w:r w:rsidR="0035108E" w:rsidRPr="004A4C14">
        <w:rPr>
          <w:i/>
        </w:rPr>
        <w:t>.</w:t>
      </w:r>
    </w:p>
    <w:p w:rsidR="00FC7C87" w:rsidRDefault="00FC7C87" w:rsidP="00FC7C87">
      <w:r>
        <w:t xml:space="preserve">As discussed further below, </w:t>
      </w:r>
      <w:r w:rsidR="00F96CCC">
        <w:t xml:space="preserve">on a case by case basis </w:t>
      </w:r>
      <w:r w:rsidR="00252E2F">
        <w:t>we</w:t>
      </w:r>
      <w:r>
        <w:t xml:space="preserve"> will </w:t>
      </w:r>
      <w:r w:rsidR="00293966">
        <w:t xml:space="preserve">apply a risk based framework </w:t>
      </w:r>
      <w:r w:rsidR="00F96CCC">
        <w:t>to determine</w:t>
      </w:r>
      <w:r w:rsidR="00293966">
        <w:t xml:space="preserve"> </w:t>
      </w:r>
      <w:r w:rsidR="00F96CCC">
        <w:t>when to use</w:t>
      </w:r>
      <w:r>
        <w:t xml:space="preserve"> compliance audits</w:t>
      </w:r>
      <w:r w:rsidR="00293966">
        <w:t>. This determination will include</w:t>
      </w:r>
      <w:r>
        <w:t xml:space="preserve">, amongst other </w:t>
      </w:r>
      <w:r w:rsidR="00293966">
        <w:t>things</w:t>
      </w:r>
      <w:r>
        <w:t xml:space="preserve">, the relevant specifications and expertise of the person or persons carrying out the compliance audit.  </w:t>
      </w:r>
    </w:p>
    <w:p w:rsidR="0012225F" w:rsidRDefault="009F1193" w:rsidP="00ED56D9">
      <w:pPr>
        <w:pStyle w:val="Heading1"/>
      </w:pPr>
      <w:r>
        <w:t xml:space="preserve">Decision to use compliance audits </w:t>
      </w:r>
    </w:p>
    <w:p w:rsidR="000631F1" w:rsidRDefault="00C02687" w:rsidP="00876D18">
      <w:r>
        <w:t xml:space="preserve">As set out in </w:t>
      </w:r>
      <w:r w:rsidR="000509A6">
        <w:t>the</w:t>
      </w:r>
      <w:r w:rsidR="00264BE8">
        <w:t xml:space="preserve"> Guidelines, </w:t>
      </w:r>
      <w:r>
        <w:t>when making</w:t>
      </w:r>
      <w:r w:rsidR="00BD78AB">
        <w:t xml:space="preserve"> a</w:t>
      </w:r>
      <w:r w:rsidR="00F9130D">
        <w:t xml:space="preserve"> determination </w:t>
      </w:r>
      <w:r w:rsidR="009F1193">
        <w:t>t</w:t>
      </w:r>
      <w:r w:rsidR="003A47F7">
        <w:t xml:space="preserve">o </w:t>
      </w:r>
      <w:r w:rsidR="00550A9A">
        <w:t xml:space="preserve">carry out a compliance audit or require </w:t>
      </w:r>
      <w:r w:rsidR="00F643D2">
        <w:t xml:space="preserve">a business to carry out </w:t>
      </w:r>
      <w:r w:rsidR="00E81448">
        <w:t>a compliance</w:t>
      </w:r>
      <w:r w:rsidR="00550A9A">
        <w:t xml:space="preserve"> audit </w:t>
      </w:r>
      <w:r w:rsidR="00B63CF0">
        <w:t>we</w:t>
      </w:r>
      <w:r w:rsidR="00282391">
        <w:t xml:space="preserve"> will</w:t>
      </w:r>
      <w:r w:rsidR="000631F1">
        <w:t>:</w:t>
      </w:r>
    </w:p>
    <w:p w:rsidR="000631F1" w:rsidRDefault="000509A6" w:rsidP="00BD78AB">
      <w:pPr>
        <w:pStyle w:val="ListParagraph"/>
        <w:numPr>
          <w:ilvl w:val="0"/>
          <w:numId w:val="35"/>
        </w:numPr>
        <w:spacing w:after="120" w:line="240" w:lineRule="auto"/>
      </w:pPr>
      <w:r>
        <w:t>apply a risk based framework</w:t>
      </w:r>
      <w:r w:rsidR="0035108E">
        <w:t xml:space="preserve">; and </w:t>
      </w:r>
    </w:p>
    <w:p w:rsidR="000631F1" w:rsidRDefault="000509A6" w:rsidP="00BD78AB">
      <w:pPr>
        <w:pStyle w:val="ListParagraph"/>
        <w:numPr>
          <w:ilvl w:val="0"/>
          <w:numId w:val="35"/>
        </w:numPr>
        <w:spacing w:after="120"/>
      </w:pPr>
      <w:r>
        <w:t xml:space="preserve">consider </w:t>
      </w:r>
      <w:r w:rsidR="00183E7E">
        <w:t xml:space="preserve">all other options available to the </w:t>
      </w:r>
      <w:r>
        <w:t>AER</w:t>
      </w:r>
      <w:r w:rsidR="00183E7E">
        <w:t xml:space="preserve"> </w:t>
      </w:r>
      <w:r>
        <w:t>under the Retail Law</w:t>
      </w:r>
      <w:r w:rsidR="00805BF5">
        <w:t xml:space="preserve"> </w:t>
      </w:r>
    </w:p>
    <w:p w:rsidR="004B6F6F" w:rsidRDefault="008C2D49" w:rsidP="0071239F">
      <w:pPr>
        <w:spacing w:after="120"/>
      </w:pPr>
      <w:r>
        <w:t xml:space="preserve">The use of </w:t>
      </w:r>
      <w:r w:rsidR="00183E7E">
        <w:t xml:space="preserve">our </w:t>
      </w:r>
      <w:r>
        <w:t xml:space="preserve">compliance audit powers </w:t>
      </w:r>
      <w:r w:rsidR="00183E7E">
        <w:t xml:space="preserve">will be decided </w:t>
      </w:r>
      <w:r>
        <w:t>on a case by case basis</w:t>
      </w:r>
      <w:r w:rsidR="00525FA0">
        <w:t xml:space="preserve">. </w:t>
      </w:r>
    </w:p>
    <w:p w:rsidR="000631F1" w:rsidRDefault="000631F1" w:rsidP="00E242C0">
      <w:pPr>
        <w:pStyle w:val="ListParagraph"/>
        <w:numPr>
          <w:ilvl w:val="0"/>
          <w:numId w:val="36"/>
        </w:numPr>
        <w:tabs>
          <w:tab w:val="clear" w:pos="340"/>
        </w:tabs>
        <w:spacing w:after="120"/>
        <w:ind w:left="426" w:hanging="426"/>
      </w:pPr>
      <w:r w:rsidRPr="00BD78AB">
        <w:rPr>
          <w:b/>
        </w:rPr>
        <w:t>Risk based framework</w:t>
      </w:r>
    </w:p>
    <w:p w:rsidR="000631F1" w:rsidRDefault="00B60649" w:rsidP="000631F1">
      <w:pPr>
        <w:spacing w:after="120"/>
        <w:contextualSpacing/>
      </w:pPr>
      <w:r>
        <w:t>C</w:t>
      </w:r>
      <w:r w:rsidR="00805BF5">
        <w:t xml:space="preserve">lauses </w:t>
      </w:r>
      <w:r w:rsidR="000631F1">
        <w:t>4.</w:t>
      </w:r>
      <w:r w:rsidR="008E1126">
        <w:t>4</w:t>
      </w:r>
      <w:r w:rsidR="000631F1">
        <w:t>(a) and (b) of the Guidelines:</w:t>
      </w:r>
    </w:p>
    <w:p w:rsidR="00550A9A" w:rsidRPr="00550A9A" w:rsidRDefault="00550A9A" w:rsidP="0035108E">
      <w:pPr>
        <w:pStyle w:val="ListParagraph"/>
        <w:numPr>
          <w:ilvl w:val="0"/>
          <w:numId w:val="30"/>
        </w:numPr>
        <w:tabs>
          <w:tab w:val="clear" w:pos="340"/>
        </w:tabs>
        <w:spacing w:after="120"/>
        <w:contextualSpacing/>
        <w:rPr>
          <w:i/>
        </w:rPr>
      </w:pPr>
      <w:r w:rsidRPr="00550A9A">
        <w:rPr>
          <w:i/>
        </w:rPr>
        <w:t>concerns with compliance by regulated entities of their obligations under the Retail Law and Retail Rules, including possible breaches or the risk of future breaches</w:t>
      </w:r>
    </w:p>
    <w:p w:rsidR="00550A9A" w:rsidRPr="00550A9A" w:rsidRDefault="00550A9A" w:rsidP="0035108E">
      <w:pPr>
        <w:pStyle w:val="ListParagraph"/>
        <w:numPr>
          <w:ilvl w:val="0"/>
          <w:numId w:val="30"/>
        </w:numPr>
        <w:tabs>
          <w:tab w:val="clear" w:pos="340"/>
        </w:tabs>
        <w:spacing w:after="120"/>
        <w:contextualSpacing/>
        <w:rPr>
          <w:i/>
        </w:rPr>
      </w:pPr>
      <w:r w:rsidRPr="00550A9A">
        <w:rPr>
          <w:i/>
        </w:rPr>
        <w:t>the level of risk and potential impact of a breach of the requirements of the Retail Law and Retail Rules to which the compliance audit relates</w:t>
      </w:r>
    </w:p>
    <w:p w:rsidR="000631F1" w:rsidRDefault="00BB7556" w:rsidP="00406BA8">
      <w:r>
        <w:t>We will use a targeted</w:t>
      </w:r>
      <w:r w:rsidR="00B60649">
        <w:t>,</w:t>
      </w:r>
      <w:r>
        <w:t xml:space="preserve"> risk based approach to</w:t>
      </w:r>
      <w:r w:rsidR="00525FA0">
        <w:t xml:space="preserve"> c</w:t>
      </w:r>
      <w:r w:rsidR="000631F1">
        <w:t>ompliance audits</w:t>
      </w:r>
      <w:r w:rsidR="00525FA0">
        <w:t xml:space="preserve"> informed</w:t>
      </w:r>
      <w:r w:rsidR="00183E7E">
        <w:t xml:space="preserve"> </w:t>
      </w:r>
      <w:r w:rsidR="00525FA0">
        <w:t xml:space="preserve">by </w:t>
      </w:r>
      <w:r w:rsidR="000631F1">
        <w:t xml:space="preserve">a </w:t>
      </w:r>
      <w:r>
        <w:t xml:space="preserve">business’ </w:t>
      </w:r>
      <w:r w:rsidR="000631F1">
        <w:t xml:space="preserve">compliance with all </w:t>
      </w:r>
      <w:r w:rsidR="00525FA0">
        <w:t xml:space="preserve">its </w:t>
      </w:r>
      <w:r w:rsidR="000631F1">
        <w:t xml:space="preserve">obligations under the Retail Law and Retail Rules. </w:t>
      </w:r>
      <w:r w:rsidR="00525FA0">
        <w:t xml:space="preserve">In </w:t>
      </w:r>
      <w:r>
        <w:t>determining the level of</w:t>
      </w:r>
      <w:r w:rsidR="00525FA0">
        <w:t xml:space="preserve"> risk we will consider the</w:t>
      </w:r>
      <w:r w:rsidR="00DB2D8A">
        <w:t xml:space="preserve"> potential consequences of non-compliance</w:t>
      </w:r>
      <w:r w:rsidR="00525FA0">
        <w:t xml:space="preserve">; consumer </w:t>
      </w:r>
      <w:r w:rsidR="00525FA0">
        <w:lastRenderedPageBreak/>
        <w:t>detriment an</w:t>
      </w:r>
      <w:r w:rsidR="00CC24D4">
        <w:t>d broader market impacts</w:t>
      </w:r>
      <w:r w:rsidR="00525FA0">
        <w:t>.</w:t>
      </w:r>
      <w:r w:rsidR="00DB2D8A">
        <w:t xml:space="preserve"> </w:t>
      </w:r>
      <w:r w:rsidR="00525FA0">
        <w:t xml:space="preserve">For example, </w:t>
      </w:r>
      <w:r w:rsidR="00F96CCC">
        <w:t xml:space="preserve">compliance audits may be warranted as a proportionate response </w:t>
      </w:r>
      <w:r w:rsidR="00525FA0">
        <w:t>if</w:t>
      </w:r>
      <w:r w:rsidR="00DB2D8A">
        <w:t xml:space="preserve"> the consequences of non-compliance </w:t>
      </w:r>
      <w:r>
        <w:t>cause broader market impacts</w:t>
      </w:r>
      <w:r w:rsidR="00F96CCC">
        <w:t>;</w:t>
      </w:r>
      <w:r>
        <w:t xml:space="preserve"> indicate </w:t>
      </w:r>
      <w:r w:rsidR="00B63CF0">
        <w:t xml:space="preserve">significant deficiencies in a business’ </w:t>
      </w:r>
      <w:r w:rsidR="00DB2D8A">
        <w:t>compliance system and processes (i.e. an inability to identify and report on potential breaches) and/or may c</w:t>
      </w:r>
      <w:r w:rsidR="00F96CCC">
        <w:t>ause detriment to the consumer.</w:t>
      </w:r>
    </w:p>
    <w:p w:rsidR="009F1193" w:rsidRPr="00683718" w:rsidRDefault="009F1193" w:rsidP="00E242C0">
      <w:pPr>
        <w:pStyle w:val="ListParagraph"/>
        <w:numPr>
          <w:ilvl w:val="0"/>
          <w:numId w:val="36"/>
        </w:numPr>
        <w:tabs>
          <w:tab w:val="clear" w:pos="340"/>
          <w:tab w:val="left" w:pos="426"/>
        </w:tabs>
        <w:spacing w:after="120"/>
        <w:ind w:left="426" w:hanging="426"/>
        <w:rPr>
          <w:b/>
        </w:rPr>
      </w:pPr>
      <w:r w:rsidRPr="00683718">
        <w:rPr>
          <w:b/>
        </w:rPr>
        <w:t>Other means of obtaining information</w:t>
      </w:r>
    </w:p>
    <w:p w:rsidR="000631F1" w:rsidRDefault="000631F1" w:rsidP="000631F1">
      <w:pPr>
        <w:spacing w:after="120"/>
        <w:contextualSpacing/>
      </w:pPr>
      <w:r>
        <w:t>Clause 4.</w:t>
      </w:r>
      <w:r w:rsidR="008E1126">
        <w:t>4</w:t>
      </w:r>
      <w:r>
        <w:t xml:space="preserve">(c) of the Guidelines provides that </w:t>
      </w:r>
      <w:r w:rsidR="00BB7556">
        <w:t>we</w:t>
      </w:r>
      <w:r>
        <w:t xml:space="preserve"> </w:t>
      </w:r>
      <w:r w:rsidR="00AE7C2A">
        <w:t xml:space="preserve">will </w:t>
      </w:r>
      <w:r>
        <w:t>consider the availability and effectiveness of its other powers under the Retail Law</w:t>
      </w:r>
      <w:r w:rsidR="00AE7C2A">
        <w:t xml:space="preserve"> in making a determination on the use of compliance audits:</w:t>
      </w:r>
    </w:p>
    <w:p w:rsidR="000631F1" w:rsidRPr="000631F1" w:rsidRDefault="000631F1" w:rsidP="0035108E">
      <w:pPr>
        <w:pStyle w:val="ListParagraph"/>
        <w:numPr>
          <w:ilvl w:val="0"/>
          <w:numId w:val="30"/>
        </w:numPr>
        <w:tabs>
          <w:tab w:val="clear" w:pos="340"/>
        </w:tabs>
        <w:spacing w:after="120"/>
        <w:contextualSpacing/>
        <w:rPr>
          <w:i/>
        </w:rPr>
      </w:pPr>
      <w:r w:rsidRPr="000631F1">
        <w:rPr>
          <w:i/>
        </w:rPr>
        <w:t xml:space="preserve">the ability of the AER to assess the regulated entity’s compliance with requirements under the Retail Law and Retail Rules via other monitoring activities </w:t>
      </w:r>
      <w:r w:rsidR="00DB2D8A">
        <w:rPr>
          <w:i/>
        </w:rPr>
        <w:t>including voluntary information</w:t>
      </w:r>
      <w:r w:rsidRPr="000631F1">
        <w:rPr>
          <w:i/>
        </w:rPr>
        <w:t xml:space="preserve"> from regulated entities</w:t>
      </w:r>
    </w:p>
    <w:p w:rsidR="009F1193" w:rsidRDefault="002B78FE" w:rsidP="00406BA8">
      <w:r>
        <w:t>Our</w:t>
      </w:r>
      <w:r w:rsidR="009F1193">
        <w:t xml:space="preserve"> powers under the Retail Law </w:t>
      </w:r>
      <w:r>
        <w:t xml:space="preserve">allow us </w:t>
      </w:r>
      <w:r w:rsidR="009F1193">
        <w:t xml:space="preserve">to monitor </w:t>
      </w:r>
      <w:r>
        <w:t xml:space="preserve">and </w:t>
      </w:r>
      <w:r w:rsidR="009F1193">
        <w:t>investigate compliance issue</w:t>
      </w:r>
      <w:r>
        <w:t>s</w:t>
      </w:r>
      <w:r w:rsidR="009F1193">
        <w:t xml:space="preserve">. At first instance, </w:t>
      </w:r>
      <w:r>
        <w:t>we</w:t>
      </w:r>
      <w:r w:rsidR="009F1193">
        <w:t xml:space="preserve"> will generally seek voluntary information from </w:t>
      </w:r>
      <w:r w:rsidR="00681700">
        <w:t>businesses</w:t>
      </w:r>
      <w:r w:rsidR="00B60649">
        <w:t>, but</w:t>
      </w:r>
      <w:r w:rsidR="009F1193">
        <w:t xml:space="preserve"> </w:t>
      </w:r>
      <w:r>
        <w:t xml:space="preserve">where necessary </w:t>
      </w:r>
      <w:r w:rsidR="00B60649">
        <w:t xml:space="preserve">we can </w:t>
      </w:r>
      <w:r>
        <w:t>use</w:t>
      </w:r>
      <w:r w:rsidR="009F1193">
        <w:t xml:space="preserve"> compulsory information notices to compel an entity to provide certain information and data.</w:t>
      </w:r>
      <w:r w:rsidR="009F1193" w:rsidRPr="00805BF5">
        <w:rPr>
          <w:vertAlign w:val="superscript"/>
        </w:rPr>
        <w:footnoteReference w:id="2"/>
      </w:r>
      <w:r w:rsidR="009F1193">
        <w:t xml:space="preserve"> </w:t>
      </w:r>
      <w:r w:rsidR="000631F1">
        <w:t xml:space="preserve">The reporting framework under the Guidelines </w:t>
      </w:r>
      <w:r w:rsidR="000B50EE">
        <w:t xml:space="preserve">is also </w:t>
      </w:r>
      <w:r>
        <w:t xml:space="preserve">a valuable </w:t>
      </w:r>
      <w:r w:rsidR="000B50EE">
        <w:t>monitoring tool available to the AER.</w:t>
      </w:r>
    </w:p>
    <w:p w:rsidR="000B50EE" w:rsidRDefault="009F1193" w:rsidP="00406BA8">
      <w:r>
        <w:t xml:space="preserve">Before using compliance audits, </w:t>
      </w:r>
      <w:r w:rsidR="00681700">
        <w:t>we</w:t>
      </w:r>
      <w:r>
        <w:t xml:space="preserve"> will consider whether information can be obtained through other means and the effectiveness of the information obtained through </w:t>
      </w:r>
      <w:r w:rsidR="00681700">
        <w:t xml:space="preserve">our </w:t>
      </w:r>
      <w:r>
        <w:t xml:space="preserve">other powers to address </w:t>
      </w:r>
      <w:r w:rsidR="00E34F1F">
        <w:t>our</w:t>
      </w:r>
      <w:r>
        <w:t xml:space="preserve"> compliance concerns. </w:t>
      </w:r>
      <w:r w:rsidR="000B50EE">
        <w:t xml:space="preserve">As discussed further below, there may be instances where information obtained from </w:t>
      </w:r>
      <w:r w:rsidR="00681700">
        <w:t>businesses</w:t>
      </w:r>
      <w:r w:rsidR="000B50EE">
        <w:t xml:space="preserve"> </w:t>
      </w:r>
      <w:r w:rsidR="00B60649">
        <w:t xml:space="preserve">does </w:t>
      </w:r>
      <w:r w:rsidR="000B50EE">
        <w:t xml:space="preserve">not achieve this purpose. </w:t>
      </w:r>
    </w:p>
    <w:p w:rsidR="00A90F40" w:rsidRPr="00A90F40" w:rsidRDefault="00A90F40" w:rsidP="00A90F40">
      <w:pPr>
        <w:rPr>
          <w:b/>
        </w:rPr>
      </w:pPr>
      <w:r>
        <w:rPr>
          <w:b/>
        </w:rPr>
        <w:t>AER’s powers to carry out or require compliance audits</w:t>
      </w:r>
    </w:p>
    <w:p w:rsidR="00FD428E" w:rsidRDefault="00FD428E" w:rsidP="00FD428E">
      <w:r>
        <w:t>Clauses 4.1 summarises our compliance audit powers under the Retail Law.</w:t>
      </w:r>
      <w:r w:rsidRPr="00681700">
        <w:t xml:space="preserve"> </w:t>
      </w:r>
      <w:r>
        <w:t>The Retail Law provides that a compliance audit may be conducted by the business or the AER.</w:t>
      </w:r>
    </w:p>
    <w:p w:rsidR="00A90F40" w:rsidRDefault="00A90F40" w:rsidP="00A90F40">
      <w:r>
        <w:t>When a decision is made to use the compliance audit powers, we may choose to carry out the compliance audit ourselves or ask a business to submit an audit proposal d</w:t>
      </w:r>
      <w:r w:rsidR="00FD428E">
        <w:t xml:space="preserve">emonstrating how they intend </w:t>
      </w:r>
      <w:r>
        <w:t xml:space="preserve">to provide an impartial and comprehensive assessment and to satisfy the Terms of Reference. </w:t>
      </w:r>
    </w:p>
    <w:p w:rsidR="00FE1766" w:rsidRDefault="00FE1766">
      <w:pPr>
        <w:spacing w:before="200" w:after="0" w:line="240" w:lineRule="auto"/>
        <w:rPr>
          <w:b/>
        </w:rPr>
      </w:pPr>
      <w:r>
        <w:rPr>
          <w:b/>
        </w:rPr>
        <w:br w:type="page"/>
      </w:r>
    </w:p>
    <w:p w:rsidR="00FE1766" w:rsidRDefault="00FE1766" w:rsidP="00FE1766">
      <w:r>
        <w:rPr>
          <w:b/>
        </w:rPr>
        <w:lastRenderedPageBreak/>
        <w:t xml:space="preserve">Summary of the AER’s </w:t>
      </w:r>
      <w:r w:rsidRPr="00D377D0">
        <w:rPr>
          <w:b/>
        </w:rPr>
        <w:t>compliance audit decision making process</w:t>
      </w:r>
      <w:r>
        <w:t xml:space="preserve"> </w:t>
      </w:r>
      <w:r>
        <w:rPr>
          <w:noProof/>
        </w:rPr>
        <w:drawing>
          <wp:anchor distT="0" distB="0" distL="114300" distR="114300" simplePos="0" relativeHeight="251662336" behindDoc="1" locked="0" layoutInCell="1" allowOverlap="1" wp14:anchorId="1D751DC0" wp14:editId="31030466">
            <wp:simplePos x="0" y="0"/>
            <wp:positionH relativeFrom="margin">
              <wp:posOffset>-1270</wp:posOffset>
            </wp:positionH>
            <wp:positionV relativeFrom="margin">
              <wp:posOffset>316865</wp:posOffset>
            </wp:positionV>
            <wp:extent cx="5582920" cy="8653145"/>
            <wp:effectExtent l="0" t="0" r="0" b="0"/>
            <wp:wrapTight wrapText="bothSides">
              <wp:wrapPolygon edited="0">
                <wp:start x="0" y="0"/>
                <wp:lineTo x="0" y="21541"/>
                <wp:lineTo x="21521" y="21541"/>
                <wp:lineTo x="2152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
                    <pic:cNvPicPr>
                      <a:picLocks noChangeAspect="1" noChangeArrowheads="1"/>
                    </pic:cNvPicPr>
                  </pic:nvPicPr>
                  <pic:blipFill rotWithShape="1">
                    <a:blip r:embed="rId10">
                      <a:extLst>
                        <a:ext uri="{28A0092B-C50C-407E-A947-70E740481C1C}">
                          <a14:useLocalDpi xmlns:a14="http://schemas.microsoft.com/office/drawing/2010/main" val="0"/>
                        </a:ext>
                      </a:extLst>
                    </a:blip>
                    <a:srcRect l="11258" t="6751" r="10883" b="7976"/>
                    <a:stretch/>
                  </pic:blipFill>
                  <pic:spPr bwMode="auto">
                    <a:xfrm>
                      <a:off x="0" y="0"/>
                      <a:ext cx="5582920" cy="8653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83FF3" w:rsidRDefault="00C83FF3" w:rsidP="00ED56D9">
      <w:pPr>
        <w:pStyle w:val="Heading1"/>
      </w:pPr>
      <w:r>
        <w:lastRenderedPageBreak/>
        <w:t xml:space="preserve">Terms of reference </w:t>
      </w:r>
    </w:p>
    <w:p w:rsidR="00C83FF3" w:rsidRDefault="00C83FF3" w:rsidP="00C83FF3">
      <w:r>
        <w:t>If we decide to use our compliance audit powers, we will work with the business to determine the Terms of Reference. The Terms of Reference will include:</w:t>
      </w:r>
    </w:p>
    <w:p w:rsidR="00C83FF3" w:rsidRDefault="00C83FF3" w:rsidP="00C83FF3">
      <w:pPr>
        <w:pStyle w:val="ListParagraph"/>
        <w:numPr>
          <w:ilvl w:val="0"/>
          <w:numId w:val="33"/>
        </w:numPr>
      </w:pPr>
      <w:r w:rsidRPr="00A704E7">
        <w:rPr>
          <w:i/>
        </w:rPr>
        <w:t>The scope of the compliance audit</w:t>
      </w:r>
      <w:r>
        <w:t xml:space="preserve"> – this includes details on the terms of engagement, i.e. involvement of third parties, personnel and expertise requirements. We may also specify the appropriate design and sources of evidence, for example, propose scenarios to test a business’ compliance with specific obligations. </w:t>
      </w:r>
    </w:p>
    <w:p w:rsidR="00C83FF3" w:rsidRDefault="00C83FF3" w:rsidP="00C83FF3">
      <w:pPr>
        <w:pStyle w:val="ListParagraph"/>
        <w:numPr>
          <w:ilvl w:val="0"/>
          <w:numId w:val="33"/>
        </w:numPr>
      </w:pPr>
      <w:r>
        <w:rPr>
          <w:i/>
        </w:rPr>
        <w:t xml:space="preserve">Coverage of the compliance audit – </w:t>
      </w:r>
      <w:r>
        <w:t>detail on the purpose and subject matter of the audit. This includes</w:t>
      </w:r>
      <w:r w:rsidR="002D1AFE">
        <w:t>,</w:t>
      </w:r>
      <w:r>
        <w:t xml:space="preserve"> for example, the characteristic or criteria of the regulatory obligation and the criteria for which an entity may not be compliant. </w:t>
      </w:r>
    </w:p>
    <w:p w:rsidR="00C83FF3" w:rsidRPr="00A704E7" w:rsidRDefault="00C83FF3" w:rsidP="00C83FF3">
      <w:pPr>
        <w:pStyle w:val="ListParagraph"/>
        <w:numPr>
          <w:ilvl w:val="0"/>
          <w:numId w:val="33"/>
        </w:numPr>
        <w:rPr>
          <w:i/>
        </w:rPr>
      </w:pPr>
      <w:r w:rsidRPr="00A704E7">
        <w:rPr>
          <w:i/>
        </w:rPr>
        <w:t>A timeline for the audit process</w:t>
      </w:r>
      <w:r>
        <w:rPr>
          <w:i/>
        </w:rPr>
        <w:t xml:space="preserve"> – </w:t>
      </w:r>
      <w:r>
        <w:t xml:space="preserve">this will detail the timing of the audit process, including when we expect to receive a draft and final audit report. </w:t>
      </w:r>
    </w:p>
    <w:p w:rsidR="00520C51" w:rsidRDefault="00C83FF3" w:rsidP="00FD428E">
      <w:r>
        <w:t xml:space="preserve">The business to be audited will be given at least 20 business days to provide submissions on the draft </w:t>
      </w:r>
      <w:r w:rsidR="001243D3">
        <w:t>Terms of R</w:t>
      </w:r>
      <w:r>
        <w:t>eference. We will c</w:t>
      </w:r>
      <w:r w:rsidR="001243D3">
        <w:t xml:space="preserve">onsider any submissions </w:t>
      </w:r>
      <w:r>
        <w:t>provided by the business during this period be</w:t>
      </w:r>
      <w:r w:rsidR="001243D3">
        <w:t>fore finalising the applicable Terms of R</w:t>
      </w:r>
      <w:r>
        <w:t xml:space="preserve">eference. </w:t>
      </w:r>
    </w:p>
    <w:tbl>
      <w:tblPr>
        <w:tblStyle w:val="TableGrid"/>
        <w:tblW w:w="0" w:type="auto"/>
        <w:shd w:val="clear" w:color="auto" w:fill="D4E2FF" w:themeFill="accent3" w:themeFillTint="1A"/>
        <w:tblLook w:val="04A0" w:firstRow="1" w:lastRow="0" w:firstColumn="1" w:lastColumn="0" w:noHBand="0" w:noVBand="1"/>
      </w:tblPr>
      <w:tblGrid>
        <w:gridCol w:w="9242"/>
      </w:tblGrid>
      <w:tr w:rsidR="00520C51" w:rsidTr="00C44646">
        <w:trPr>
          <w:cnfStyle w:val="100000000000" w:firstRow="1" w:lastRow="0" w:firstColumn="0" w:lastColumn="0" w:oddVBand="0" w:evenVBand="0" w:oddHBand="0" w:evenHBand="0" w:firstRowFirstColumn="0" w:firstRowLastColumn="0" w:lastRowFirstColumn="0" w:lastRowLastColumn="0"/>
          <w:trHeight w:val="2721"/>
        </w:trPr>
        <w:tc>
          <w:tcPr>
            <w:cnfStyle w:val="001000000000" w:firstRow="0" w:lastRow="0" w:firstColumn="1" w:lastColumn="0" w:oddVBand="0" w:evenVBand="0" w:oddHBand="0" w:evenHBand="0" w:firstRowFirstColumn="0" w:firstRowLastColumn="0" w:lastRowFirstColumn="0" w:lastRowLastColumn="0"/>
            <w:tcW w:w="9242" w:type="dxa"/>
            <w:shd w:val="clear" w:color="auto" w:fill="D4E2FF" w:themeFill="accent3" w:themeFillTint="1A"/>
          </w:tcPr>
          <w:p w:rsidR="00520C51" w:rsidRPr="00C44646" w:rsidRDefault="00520C51" w:rsidP="00C44646">
            <w:pPr>
              <w:spacing w:before="200"/>
              <w:rPr>
                <w:sz w:val="22"/>
              </w:rPr>
            </w:pPr>
            <w:r w:rsidRPr="00C44646">
              <w:rPr>
                <w:sz w:val="22"/>
              </w:rPr>
              <w:t xml:space="preserve">Use of third party auditors </w:t>
            </w:r>
          </w:p>
          <w:p w:rsidR="00520C51" w:rsidRPr="00C44646" w:rsidRDefault="00520C51" w:rsidP="00C44646">
            <w:pPr>
              <w:spacing w:before="200"/>
              <w:rPr>
                <w:b w:val="0"/>
                <w:sz w:val="22"/>
              </w:rPr>
            </w:pPr>
            <w:r w:rsidRPr="00C44646">
              <w:rPr>
                <w:b w:val="0"/>
                <w:sz w:val="22"/>
              </w:rPr>
              <w:t>The application of a risk based framework may mean that the level of risk and harm associated with a compliance matter will influence our decision of whether a third party auditor is necessary to ensure an impartial and comprehensive assessment can be made.</w:t>
            </w:r>
          </w:p>
          <w:p w:rsidR="00520C51" w:rsidRPr="00C44646" w:rsidRDefault="00520C51" w:rsidP="00C44646">
            <w:pPr>
              <w:spacing w:before="200"/>
              <w:rPr>
                <w:b w:val="0"/>
                <w:sz w:val="22"/>
              </w:rPr>
            </w:pPr>
            <w:r w:rsidRPr="00C44646">
              <w:rPr>
                <w:b w:val="0"/>
                <w:sz w:val="22"/>
              </w:rPr>
              <w:t>Using third party auditors assures that a compliance audit is conducted competently with a level of professional scepticism, and carried out according to established auditing standards. Moreover, where the audit involves an assessment of the adequacy of an entity’s systems or processes</w:t>
            </w:r>
            <w:r w:rsidR="00B60649" w:rsidRPr="00C44646">
              <w:rPr>
                <w:b w:val="0"/>
                <w:sz w:val="22"/>
              </w:rPr>
              <w:t>,</w:t>
            </w:r>
            <w:r w:rsidRPr="00C44646">
              <w:rPr>
                <w:b w:val="0"/>
                <w:sz w:val="22"/>
              </w:rPr>
              <w:t xml:space="preserve"> a third party auditor can provide a different perspective and identify any discrepancies or areas of improvement. This ensures we can be confident that the audit is impartial and objective. We consider that a compliance audit may at times be best carried out by a third party auditor</w:t>
            </w:r>
          </w:p>
        </w:tc>
      </w:tr>
    </w:tbl>
    <w:p w:rsidR="00C83FF3" w:rsidRDefault="001243D3" w:rsidP="00ED56D9">
      <w:pPr>
        <w:pStyle w:val="Heading1"/>
      </w:pPr>
      <w:r>
        <w:t xml:space="preserve">Compliance audits carried out by the AER </w:t>
      </w:r>
    </w:p>
    <w:p w:rsidR="00DE21D3" w:rsidRDefault="00FD428E" w:rsidP="00FD428E">
      <w:r>
        <w:t>Section 275 of t</w:t>
      </w:r>
      <w:r w:rsidR="00CB0F33">
        <w:t xml:space="preserve">he Retail Law provides that we </w:t>
      </w:r>
      <w:r w:rsidR="00DE21D3">
        <w:t>can</w:t>
      </w:r>
      <w:r>
        <w:t xml:space="preserve"> carry out compliance audits or arrange for a third party auditor to carry out a compliance audit on </w:t>
      </w:r>
      <w:r w:rsidR="00CB0F33">
        <w:t>our</w:t>
      </w:r>
      <w:r>
        <w:t xml:space="preserve"> behalf. A compliance audit can be in relation to any or all activities of a business for the purpose of assessing the business’ compliance with the relevant energy retail framework.</w:t>
      </w:r>
      <w:r w:rsidR="00DE21D3">
        <w:rPr>
          <w:rStyle w:val="FootnoteReference"/>
        </w:rPr>
        <w:footnoteReference w:id="3"/>
      </w:r>
      <w:r>
        <w:t xml:space="preserve"> </w:t>
      </w:r>
    </w:p>
    <w:p w:rsidR="000758B1" w:rsidRDefault="000758B1" w:rsidP="00FD428E">
      <w:r>
        <w:t xml:space="preserve">When a decision is made to use our powers under section 275 of the Retail Law, we will seek a third party auditor to carry out a compliance audit on our behalf. We consider that use of a third party auditor best achieves the Guidelines’ criteria that compliance audits be a regulatory tool that provides an impartial and comprehensive assessment. </w:t>
      </w:r>
    </w:p>
    <w:p w:rsidR="002F0647" w:rsidRPr="002F0647" w:rsidRDefault="002F0647" w:rsidP="00FD428E">
      <w:r>
        <w:lastRenderedPageBreak/>
        <w:t xml:space="preserve">We will procure the services of a third party auditor in accordance with the </w:t>
      </w:r>
      <w:r>
        <w:rPr>
          <w:i/>
        </w:rPr>
        <w:t>Public Governance, Performance and Accountability Act 2013</w:t>
      </w:r>
      <w:r>
        <w:t xml:space="preserve"> (Cth) and the Commonwealth Procurement Guidelines. </w:t>
      </w:r>
      <w:r w:rsidR="00ED56D9">
        <w:t xml:space="preserve">All reasonable costs incurred in conducting the compliance audit is recoverable from the business.  </w:t>
      </w:r>
    </w:p>
    <w:p w:rsidR="00C467A5" w:rsidRDefault="00ED56D9" w:rsidP="00ED56D9">
      <w:pPr>
        <w:pStyle w:val="Heading1"/>
      </w:pPr>
      <w:r>
        <w:t>Compliance audits carried out by regulated entities</w:t>
      </w:r>
    </w:p>
    <w:p w:rsidR="00CB0F33" w:rsidRDefault="00CB0F33" w:rsidP="00DF2AB3">
      <w:r>
        <w:t>Section 276 of the Retail Law allows us to require a business to carry out a compliance audit</w:t>
      </w:r>
      <w:r w:rsidR="008C6DD2">
        <w:t xml:space="preserve"> in connection with specified aspects of the activities of the business in relation to its compliance with the relevant energy retail framework. </w:t>
      </w:r>
      <w:r w:rsidR="00AA36DE">
        <w:t xml:space="preserve">The business may choose to carry out the compliance audit </w:t>
      </w:r>
      <w:r w:rsidR="008E1126">
        <w:t>itself</w:t>
      </w:r>
      <w:r w:rsidR="00AA36DE">
        <w:t xml:space="preserve"> or arrange for a third party auditor to carry out the audit on its behalf. </w:t>
      </w:r>
    </w:p>
    <w:p w:rsidR="00AA36DE" w:rsidRDefault="00DF2AB3" w:rsidP="00DF2AB3">
      <w:r>
        <w:t xml:space="preserve">Where we require a business to carry out a compliance audit </w:t>
      </w:r>
      <w:r w:rsidR="00AA36DE">
        <w:t>under this power</w:t>
      </w:r>
      <w:r>
        <w:t xml:space="preserve">, a business must submit an audit proposal within 10 business days of receiving the AER’s </w:t>
      </w:r>
      <w:r w:rsidR="00C83FF3">
        <w:t>final Terms of Reference</w:t>
      </w:r>
      <w:r>
        <w:t xml:space="preserve">. </w:t>
      </w:r>
    </w:p>
    <w:p w:rsidR="00DF2AB3" w:rsidRDefault="00AA36DE" w:rsidP="00DF2AB3">
      <w:r w:rsidRPr="008E1126">
        <w:t>Clause 4.2</w:t>
      </w:r>
      <w:r w:rsidR="008E1126" w:rsidRPr="008E1126">
        <w:t>5</w:t>
      </w:r>
      <w:r>
        <w:t xml:space="preserve"> of the Guidelines provides that a business must demonstrate in its audit proposal how the person or persons carrying out the compliance audit (i.e. the business or third party auditors) will be able </w:t>
      </w:r>
      <w:r w:rsidR="00C20801">
        <w:t xml:space="preserve">to satisfy the criteria in the Guideline for auditors (under </w:t>
      </w:r>
      <w:r w:rsidR="00C20801" w:rsidRPr="008E1126">
        <w:t>clause 4.3</w:t>
      </w:r>
      <w:r w:rsidR="00C20801">
        <w:t xml:space="preserve">) and for the compliance audit to be able to address the matters in the Terms of Reference. </w:t>
      </w:r>
      <w:r w:rsidR="00DF2AB3">
        <w:t xml:space="preserve">The proposal should </w:t>
      </w:r>
      <w:r w:rsidR="00C20801">
        <w:t xml:space="preserve">therefore </w:t>
      </w:r>
      <w:r w:rsidR="00DF2AB3">
        <w:t xml:space="preserve">contain sufficient details about the person or persons who will carry out the audit and their role. </w:t>
      </w:r>
    </w:p>
    <w:p w:rsidR="00DF2AB3" w:rsidRDefault="00DF2AB3" w:rsidP="00DF2AB3">
      <w:r>
        <w:t xml:space="preserve">If we are satisfied with the audit proposal submitted by the business, we will proceed with the audit process. </w:t>
      </w:r>
    </w:p>
    <w:p w:rsidR="00B2018F" w:rsidRDefault="00DF2AB3" w:rsidP="00B2018F">
      <w:r>
        <w:t xml:space="preserve">If we are not satisfied with the audit proposal, we may reject the business’ proposal and consider the use of our powers under </w:t>
      </w:r>
      <w:r w:rsidR="00C20801">
        <w:t>section 275 of the Retail Law as discussed above</w:t>
      </w:r>
      <w:r>
        <w:t xml:space="preserve">. </w:t>
      </w:r>
    </w:p>
    <w:p w:rsidR="00B454BB" w:rsidRDefault="00CE3694" w:rsidP="00ED56D9">
      <w:pPr>
        <w:pStyle w:val="Heading1"/>
      </w:pPr>
      <w:r>
        <w:t xml:space="preserve">Compliance audit reports </w:t>
      </w:r>
    </w:p>
    <w:p w:rsidR="00B454BB" w:rsidRDefault="00B63CF0" w:rsidP="00B454BB">
      <w:r>
        <w:t>We</w:t>
      </w:r>
      <w:r w:rsidR="00CE3694">
        <w:t xml:space="preserve"> require that compliance audit reports</w:t>
      </w:r>
      <w:r w:rsidR="00284349">
        <w:t xml:space="preserve"> are:</w:t>
      </w:r>
    </w:p>
    <w:p w:rsidR="00CE3694" w:rsidRDefault="00853278" w:rsidP="0035108E">
      <w:pPr>
        <w:pStyle w:val="ListParagraph"/>
        <w:numPr>
          <w:ilvl w:val="0"/>
          <w:numId w:val="32"/>
        </w:numPr>
        <w:spacing w:after="120"/>
        <w:ind w:left="714" w:hanging="357"/>
      </w:pPr>
      <w:r>
        <w:t>c</w:t>
      </w:r>
      <w:r w:rsidR="00284349">
        <w:t xml:space="preserve">omprehensive and address the terms of reference </w:t>
      </w:r>
    </w:p>
    <w:p w:rsidR="00284349" w:rsidRDefault="00853278" w:rsidP="0035108E">
      <w:pPr>
        <w:pStyle w:val="ListParagraph"/>
        <w:numPr>
          <w:ilvl w:val="0"/>
          <w:numId w:val="32"/>
        </w:numPr>
        <w:spacing w:after="120"/>
        <w:ind w:left="714" w:hanging="357"/>
      </w:pPr>
      <w:r>
        <w:t>c</w:t>
      </w:r>
      <w:r w:rsidR="00284349">
        <w:t xml:space="preserve">lear in its findings, that is </w:t>
      </w:r>
      <w:r w:rsidR="00511653">
        <w:t>the report is written in plain E</w:t>
      </w:r>
      <w:r w:rsidR="00284349">
        <w:t xml:space="preserve">nglish and is </w:t>
      </w:r>
      <w:r w:rsidR="00406BA8">
        <w:t>un</w:t>
      </w:r>
      <w:r w:rsidR="00284349">
        <w:t>ambiguous</w:t>
      </w:r>
    </w:p>
    <w:p w:rsidR="00284349" w:rsidRDefault="00853278" w:rsidP="0035108E">
      <w:pPr>
        <w:pStyle w:val="ListParagraph"/>
        <w:numPr>
          <w:ilvl w:val="0"/>
          <w:numId w:val="32"/>
        </w:numPr>
        <w:spacing w:after="120"/>
        <w:ind w:left="714" w:hanging="357"/>
      </w:pPr>
      <w:r>
        <w:t>e</w:t>
      </w:r>
      <w:r w:rsidR="00284349">
        <w:t xml:space="preserve">vidence based and include findings that can be substantiated; and </w:t>
      </w:r>
    </w:p>
    <w:p w:rsidR="00284349" w:rsidRDefault="00853278" w:rsidP="0035108E">
      <w:pPr>
        <w:pStyle w:val="ListParagraph"/>
        <w:numPr>
          <w:ilvl w:val="0"/>
          <w:numId w:val="32"/>
        </w:numPr>
        <w:spacing w:after="120"/>
        <w:ind w:left="714" w:hanging="357"/>
      </w:pPr>
      <w:r>
        <w:t>f</w:t>
      </w:r>
      <w:r w:rsidR="00284349">
        <w:t>ree from errors.</w:t>
      </w:r>
    </w:p>
    <w:p w:rsidR="00FE1766" w:rsidRDefault="00406BA8" w:rsidP="00B454BB">
      <w:r>
        <w:t>Where a comp</w:t>
      </w:r>
      <w:r w:rsidR="00853278">
        <w:t xml:space="preserve">liance audit is conducted by a third party </w:t>
      </w:r>
      <w:r w:rsidR="0071073A">
        <w:t xml:space="preserve">auditor, </w:t>
      </w:r>
      <w:r w:rsidR="00B63CF0">
        <w:t>we</w:t>
      </w:r>
      <w:r w:rsidR="0071073A">
        <w:t xml:space="preserve"> can </w:t>
      </w:r>
      <w:r>
        <w:t xml:space="preserve">require that the final </w:t>
      </w:r>
      <w:r w:rsidR="00C20801">
        <w:t>audit</w:t>
      </w:r>
      <w:r>
        <w:t xml:space="preserve"> reports be prepared with professional rigour and in accordance with professional auditing standards. </w:t>
      </w:r>
    </w:p>
    <w:p w:rsidR="00B35570" w:rsidRDefault="00C20801" w:rsidP="00B454BB">
      <w:r>
        <w:lastRenderedPageBreak/>
        <w:t xml:space="preserve">We </w:t>
      </w:r>
      <w:r w:rsidR="000557B4">
        <w:t xml:space="preserve">can </w:t>
      </w:r>
      <w:r w:rsidR="00CE3694">
        <w:t>refuse to accept receipt of audit reports that do not comply with these requ</w:t>
      </w:r>
      <w:r w:rsidR="00594AF0">
        <w:t xml:space="preserve">irements. Failure to provide </w:t>
      </w:r>
      <w:r w:rsidR="00CE3694">
        <w:t>audit report</w:t>
      </w:r>
      <w:r w:rsidR="00594AF0">
        <w:t>s</w:t>
      </w:r>
      <w:r w:rsidR="00CE3694">
        <w:t xml:space="preserve"> within the period specified </w:t>
      </w:r>
      <w:r>
        <w:t>in the T</w:t>
      </w:r>
      <w:r w:rsidR="000B4342">
        <w:t xml:space="preserve">erms of </w:t>
      </w:r>
      <w:r>
        <w:t>R</w:t>
      </w:r>
      <w:r w:rsidR="000B4342">
        <w:t xml:space="preserve">eference </w:t>
      </w:r>
      <w:r w:rsidR="00CE3694">
        <w:t>is a breach of a civil penalty provision under the Retail Law.</w:t>
      </w:r>
      <w:r w:rsidR="00CE3694">
        <w:rPr>
          <w:rStyle w:val="FootnoteReference"/>
        </w:rPr>
        <w:footnoteReference w:id="4"/>
      </w:r>
    </w:p>
    <w:p w:rsidR="00586A21" w:rsidRDefault="008712F2" w:rsidP="00ED56D9">
      <w:pPr>
        <w:pStyle w:val="Heading1"/>
      </w:pPr>
      <w:r>
        <w:t xml:space="preserve">Post audit </w:t>
      </w:r>
    </w:p>
    <w:p w:rsidR="008712F2" w:rsidRDefault="00406BA8" w:rsidP="008712F2">
      <w:r>
        <w:t>In order to promote transparency</w:t>
      </w:r>
      <w:r w:rsidR="008712F2">
        <w:t xml:space="preserve">, </w:t>
      </w:r>
      <w:r w:rsidR="00252E2F">
        <w:t>we</w:t>
      </w:r>
      <w:r w:rsidR="000557B4">
        <w:t xml:space="preserve"> may report on the findings in the audit reports and require that the </w:t>
      </w:r>
      <w:r w:rsidR="008712F2">
        <w:t xml:space="preserve">relevant audit reports be published.  </w:t>
      </w:r>
    </w:p>
    <w:p w:rsidR="008712F2" w:rsidRDefault="008712F2" w:rsidP="008712F2">
      <w:r>
        <w:t xml:space="preserve">If </w:t>
      </w:r>
      <w:r w:rsidR="00252E2F">
        <w:t xml:space="preserve">we conduct </w:t>
      </w:r>
      <w:r>
        <w:t xml:space="preserve">a compliance audit the </w:t>
      </w:r>
      <w:r w:rsidR="00252E2F">
        <w:t>business</w:t>
      </w:r>
      <w:r>
        <w:t xml:space="preserve"> will have a reasonable opportunity to provide </w:t>
      </w:r>
      <w:r w:rsidR="00252E2F">
        <w:t xml:space="preserve">us </w:t>
      </w:r>
      <w:r>
        <w:t xml:space="preserve">comments on any factual errors it identifies in the final </w:t>
      </w:r>
      <w:r w:rsidR="00477E79">
        <w:t xml:space="preserve">audit </w:t>
      </w:r>
      <w:r>
        <w:t xml:space="preserve">report. If these factual errors are accepted, the </w:t>
      </w:r>
      <w:r w:rsidR="00477E79">
        <w:t xml:space="preserve">audit </w:t>
      </w:r>
      <w:r>
        <w:t xml:space="preserve">report will be rectified before </w:t>
      </w:r>
      <w:r w:rsidR="004A15C0">
        <w:t>the report or the findings in the a</w:t>
      </w:r>
      <w:r w:rsidR="00C20B54">
        <w:t>udit report</w:t>
      </w:r>
      <w:r>
        <w:t xml:space="preserve"> is made publicly available. </w:t>
      </w:r>
    </w:p>
    <w:p w:rsidR="00C33C03" w:rsidRDefault="00C33C03" w:rsidP="00406BA8">
      <w:pPr>
        <w:rPr>
          <w:b/>
        </w:rPr>
      </w:pPr>
      <w:r w:rsidRPr="000148CB">
        <w:rPr>
          <w:b/>
        </w:rPr>
        <w:t>Proportionate re</w:t>
      </w:r>
      <w:r>
        <w:rPr>
          <w:b/>
        </w:rPr>
        <w:t>s</w:t>
      </w:r>
      <w:r w:rsidRPr="000148CB">
        <w:rPr>
          <w:b/>
        </w:rPr>
        <w:t xml:space="preserve">ponse </w:t>
      </w:r>
    </w:p>
    <w:p w:rsidR="008712F2" w:rsidRDefault="008712F2" w:rsidP="00406BA8">
      <w:r>
        <w:t xml:space="preserve">After the final </w:t>
      </w:r>
      <w:r w:rsidR="004A15C0">
        <w:t xml:space="preserve">audit </w:t>
      </w:r>
      <w:r w:rsidR="000B4342">
        <w:t>report, we</w:t>
      </w:r>
      <w:r>
        <w:t xml:space="preserve"> will seek a response from the relevant </w:t>
      </w:r>
      <w:r w:rsidR="000B4342">
        <w:t>business</w:t>
      </w:r>
      <w:r>
        <w:t xml:space="preserve"> in relation to the findings of the report. This may include any proposed corrective actions and timeframes to rectify any non-compliance. </w:t>
      </w:r>
    </w:p>
    <w:p w:rsidR="00004D17" w:rsidRPr="00853278" w:rsidRDefault="000B4342" w:rsidP="00406BA8">
      <w:r>
        <w:t xml:space="preserve">We </w:t>
      </w:r>
      <w:r w:rsidR="008712F2">
        <w:t xml:space="preserve">will </w:t>
      </w:r>
      <w:r w:rsidR="00317770">
        <w:t>consider the information in</w:t>
      </w:r>
      <w:r w:rsidR="008712F2">
        <w:t xml:space="preserve"> the final audit report and </w:t>
      </w:r>
      <w:r w:rsidR="00317770">
        <w:t>any submissions</w:t>
      </w:r>
      <w:r w:rsidR="008712F2">
        <w:t xml:space="preserve"> </w:t>
      </w:r>
      <w:r w:rsidR="00317770">
        <w:t>from</w:t>
      </w:r>
      <w:r w:rsidR="008712F2">
        <w:t xml:space="preserve"> the </w:t>
      </w:r>
      <w:r>
        <w:t>business</w:t>
      </w:r>
      <w:r w:rsidR="008712F2">
        <w:t xml:space="preserve"> </w:t>
      </w:r>
      <w:r w:rsidR="00317770">
        <w:t xml:space="preserve">and respond in a proportionate manner to any non-compliance identified through the audit process. </w:t>
      </w:r>
    </w:p>
    <w:sectPr w:rsidR="00004D17" w:rsidRPr="00853278" w:rsidSect="00691616">
      <w:headerReference w:type="default" r:id="rId11"/>
      <w:footerReference w:type="default" r:id="rId12"/>
      <w:footerReference w:type="first" r:id="rId13"/>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D7F" w:rsidRDefault="00461D7F" w:rsidP="004B4412">
      <w:r>
        <w:separator/>
      </w:r>
    </w:p>
  </w:endnote>
  <w:endnote w:type="continuationSeparator" w:id="0">
    <w:p w:rsidR="00461D7F" w:rsidRDefault="00461D7F" w:rsidP="004B4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443676844"/>
      <w:docPartObj>
        <w:docPartGallery w:val="Page Numbers (Bottom of Page)"/>
        <w:docPartUnique/>
      </w:docPartObj>
    </w:sdtPr>
    <w:sdtEndPr>
      <w:rPr>
        <w:noProof/>
      </w:rPr>
    </w:sdtEndPr>
    <w:sdtContent>
      <w:p w:rsidR="00461D7F" w:rsidRPr="00054C77" w:rsidRDefault="00461D7F" w:rsidP="00054C77">
        <w:pPr>
          <w:pStyle w:val="Footer"/>
          <w:spacing w:before="120"/>
          <w:jc w:val="center"/>
          <w:rPr>
            <w:b w:val="0"/>
            <w:color w:val="auto"/>
            <w:sz w:val="22"/>
          </w:rPr>
        </w:pPr>
        <w:r w:rsidRPr="0034245A">
          <w:rPr>
            <w:b w:val="0"/>
            <w:noProof w:val="0"/>
            <w:color w:val="auto"/>
            <w:sz w:val="22"/>
          </w:rPr>
          <w:fldChar w:fldCharType="begin"/>
        </w:r>
        <w:r w:rsidRPr="0034245A">
          <w:rPr>
            <w:b w:val="0"/>
            <w:color w:val="auto"/>
            <w:sz w:val="22"/>
          </w:rPr>
          <w:instrText xml:space="preserve"> PAGE   \* MERGEFORMAT </w:instrText>
        </w:r>
        <w:r w:rsidRPr="0034245A">
          <w:rPr>
            <w:b w:val="0"/>
            <w:noProof w:val="0"/>
            <w:color w:val="auto"/>
            <w:sz w:val="22"/>
          </w:rPr>
          <w:fldChar w:fldCharType="separate"/>
        </w:r>
        <w:r w:rsidR="00235CF0">
          <w:rPr>
            <w:b w:val="0"/>
            <w:color w:val="auto"/>
            <w:sz w:val="22"/>
          </w:rPr>
          <w:t>2</w:t>
        </w:r>
        <w:r w:rsidRPr="0034245A">
          <w:rPr>
            <w:b w:val="0"/>
            <w:color w:val="auto"/>
            <w:sz w:val="2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934326"/>
      <w:docPartObj>
        <w:docPartGallery w:val="Page Numbers (Bottom of Page)"/>
        <w:docPartUnique/>
      </w:docPartObj>
    </w:sdtPr>
    <w:sdtEndPr/>
    <w:sdtContent>
      <w:p w:rsidR="00461D7F" w:rsidRDefault="00461D7F" w:rsidP="00C21B0E">
        <w:pPr>
          <w:pStyle w:val="Footer"/>
        </w:pPr>
        <w:r>
          <w:rPr>
            <w:noProof w:val="0"/>
          </w:rPr>
          <w:fldChar w:fldCharType="begin"/>
        </w:r>
        <w:r>
          <w:instrText xml:space="preserve"> PAGE   \* MERGEFORMAT </w:instrText>
        </w:r>
        <w:r>
          <w:rPr>
            <w:noProof w:val="0"/>
          </w:rPr>
          <w:fldChar w:fldCharType="separate"/>
        </w:r>
        <w:r>
          <w:t>1</w:t>
        </w:r>
        <w:r>
          <w:fldChar w:fldCharType="end"/>
        </w:r>
      </w:p>
    </w:sdtContent>
  </w:sdt>
  <w:p w:rsidR="00461D7F" w:rsidRDefault="00461D7F" w:rsidP="00C21B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D7F" w:rsidRDefault="00461D7F" w:rsidP="004B4412">
      <w:r>
        <w:separator/>
      </w:r>
    </w:p>
  </w:footnote>
  <w:footnote w:type="continuationSeparator" w:id="0">
    <w:p w:rsidR="00461D7F" w:rsidRDefault="00461D7F" w:rsidP="004B4412">
      <w:r>
        <w:continuationSeparator/>
      </w:r>
    </w:p>
  </w:footnote>
  <w:footnote w:id="1">
    <w:p w:rsidR="00892701" w:rsidRDefault="00892701" w:rsidP="00C44646">
      <w:pPr>
        <w:pStyle w:val="FootnoteText"/>
        <w:spacing w:before="0" w:after="0" w:line="240" w:lineRule="auto"/>
      </w:pPr>
      <w:r>
        <w:rPr>
          <w:rStyle w:val="FootnoteReference"/>
        </w:rPr>
        <w:footnoteRef/>
      </w:r>
      <w:r>
        <w:t xml:space="preserve"> ss. 275 and 276</w:t>
      </w:r>
      <w:r w:rsidRPr="00073365">
        <w:t xml:space="preserve"> National Energy Retail Law.</w:t>
      </w:r>
    </w:p>
  </w:footnote>
  <w:footnote w:id="2">
    <w:p w:rsidR="009F1193" w:rsidRDefault="009F1193" w:rsidP="00C44646">
      <w:pPr>
        <w:pStyle w:val="FootnoteText"/>
        <w:spacing w:before="0" w:after="0" w:line="240" w:lineRule="auto"/>
      </w:pPr>
      <w:r>
        <w:rPr>
          <w:rStyle w:val="FootnoteReference"/>
        </w:rPr>
        <w:footnoteRef/>
      </w:r>
      <w:r>
        <w:t xml:space="preserve"> </w:t>
      </w:r>
      <w:r w:rsidR="004B6F6F">
        <w:t xml:space="preserve">Section 206, Retail Law. </w:t>
      </w:r>
    </w:p>
  </w:footnote>
  <w:footnote w:id="3">
    <w:p w:rsidR="00DE21D3" w:rsidRDefault="00DE21D3" w:rsidP="00C44646">
      <w:pPr>
        <w:pStyle w:val="FootnoteText"/>
        <w:spacing w:before="0" w:after="0" w:line="240" w:lineRule="auto"/>
      </w:pPr>
      <w:r>
        <w:rPr>
          <w:rStyle w:val="FootnoteReference"/>
        </w:rPr>
        <w:footnoteRef/>
      </w:r>
      <w:r>
        <w:t xml:space="preserve"> Section 275(1)</w:t>
      </w:r>
      <w:r w:rsidR="00C44646">
        <w:t xml:space="preserve">, Retail Law. </w:t>
      </w:r>
    </w:p>
  </w:footnote>
  <w:footnote w:id="4">
    <w:p w:rsidR="00CE3694" w:rsidRDefault="00CE3694" w:rsidP="00C44646">
      <w:pPr>
        <w:pStyle w:val="FootnoteText"/>
        <w:spacing w:before="0" w:after="0" w:line="240" w:lineRule="auto"/>
      </w:pPr>
      <w:r>
        <w:rPr>
          <w:rStyle w:val="FootnoteReference"/>
        </w:rPr>
        <w:footnoteRef/>
      </w:r>
      <w:r>
        <w:t xml:space="preserve"> Section 276</w:t>
      </w:r>
      <w:r w:rsidR="006B346E">
        <w:t xml:space="preserve">(4), Retail Law.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77" w:rsidRPr="00054C77" w:rsidRDefault="00054C77" w:rsidP="00054C77">
    <w:pPr>
      <w:pStyle w:val="Footer"/>
      <w:jc w:val="center"/>
      <w:rPr>
        <w:color w:val="C00000" w:themeColor="accent4"/>
        <w:sz w:val="20"/>
      </w:rPr>
    </w:pPr>
    <w:r w:rsidRPr="00054C77">
      <w:rPr>
        <w:color w:val="C00000" w:themeColor="accent4"/>
        <w:sz w:val="20"/>
      </w:rPr>
      <w:t xml:space="preserve">This is a draft document prepared for consultation purposes only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nsid w:val="00E44DDE"/>
    <w:multiLevelType w:val="multilevel"/>
    <w:tmpl w:val="19201FDC"/>
    <w:lvl w:ilvl="0">
      <w:start w:val="4"/>
      <w:numFmt w:val="decimal"/>
      <w:lvlText w:val="%1."/>
      <w:lvlJc w:val="left"/>
      <w:pPr>
        <w:ind w:left="360" w:hanging="36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02E06F27"/>
    <w:multiLevelType w:val="hybridMultilevel"/>
    <w:tmpl w:val="11D6B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7127025"/>
    <w:multiLevelType w:val="hybridMultilevel"/>
    <w:tmpl w:val="B7E8DED6"/>
    <w:lvl w:ilvl="0" w:tplc="64F81006">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2">
    <w:nsid w:val="0BB3724C"/>
    <w:multiLevelType w:val="hybridMultilevel"/>
    <w:tmpl w:val="16006204"/>
    <w:lvl w:ilvl="0" w:tplc="0C090001">
      <w:start w:val="1"/>
      <w:numFmt w:val="bullet"/>
      <w:lvlText w:val=""/>
      <w:lvlJc w:val="left"/>
      <w:pPr>
        <w:ind w:left="1778" w:hanging="360"/>
      </w:pPr>
      <w:rPr>
        <w:rFonts w:ascii="Symbol" w:hAnsi="Symbol"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3">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12C67463"/>
    <w:multiLevelType w:val="hybridMultilevel"/>
    <w:tmpl w:val="B7E8DED6"/>
    <w:lvl w:ilvl="0" w:tplc="64F81006">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5">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6">
    <w:nsid w:val="13E743D2"/>
    <w:multiLevelType w:val="hybridMultilevel"/>
    <w:tmpl w:val="A01862EE"/>
    <w:lvl w:ilvl="0" w:tplc="5C46866A">
      <w:start w:val="1"/>
      <w:numFmt w:val="lowerLetter"/>
      <w:lvlText w:val="(%1)"/>
      <w:lvlJc w:val="left"/>
      <w:pPr>
        <w:ind w:left="700" w:hanging="360"/>
      </w:pPr>
      <w:rPr>
        <w:rFonts w:hint="default"/>
      </w:rPr>
    </w:lvl>
    <w:lvl w:ilvl="1" w:tplc="0C09001B">
      <w:start w:val="1"/>
      <w:numFmt w:val="lowerRoman"/>
      <w:lvlText w:val="%2."/>
      <w:lvlJc w:val="righ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7">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8">
    <w:nsid w:val="1AA565CB"/>
    <w:multiLevelType w:val="hybridMultilevel"/>
    <w:tmpl w:val="E342F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20">
    <w:nsid w:val="2B964484"/>
    <w:multiLevelType w:val="hybridMultilevel"/>
    <w:tmpl w:val="4E50B48A"/>
    <w:lvl w:ilvl="0" w:tplc="0C090015">
      <w:start w:val="1"/>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2">
    <w:nsid w:val="36290FAC"/>
    <w:multiLevelType w:val="hybridMultilevel"/>
    <w:tmpl w:val="0C4E65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4">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6">
    <w:nsid w:val="46C9412C"/>
    <w:multiLevelType w:val="hybridMultilevel"/>
    <w:tmpl w:val="3D287434"/>
    <w:lvl w:ilvl="0" w:tplc="0C09000F">
      <w:start w:val="1"/>
      <w:numFmt w:val="decimal"/>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FDB57B7"/>
    <w:multiLevelType w:val="hybridMultilevel"/>
    <w:tmpl w:val="E1CE173A"/>
    <w:lvl w:ilvl="0" w:tplc="0C090015">
      <w:start w:val="1"/>
      <w:numFmt w:val="upp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0BD3243"/>
    <w:multiLevelType w:val="hybridMultilevel"/>
    <w:tmpl w:val="C0340B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1DF2617"/>
    <w:multiLevelType w:val="hybridMultilevel"/>
    <w:tmpl w:val="7B481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3053D67"/>
    <w:multiLevelType w:val="hybridMultilevel"/>
    <w:tmpl w:val="B7E8DED6"/>
    <w:lvl w:ilvl="0" w:tplc="64F81006">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3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3">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nsid w:val="63F742F9"/>
    <w:multiLevelType w:val="hybridMultilevel"/>
    <w:tmpl w:val="25F8F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37">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38">
    <w:nsid w:val="71495531"/>
    <w:multiLevelType w:val="hybridMultilevel"/>
    <w:tmpl w:val="DF50B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40">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41">
    <w:nsid w:val="7A4A32D5"/>
    <w:multiLevelType w:val="hybridMultilevel"/>
    <w:tmpl w:val="BFD25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43">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43"/>
  </w:num>
  <w:num w:numId="3">
    <w:abstractNumId w:val="7"/>
  </w:num>
  <w:num w:numId="4">
    <w:abstractNumId w:val="6"/>
  </w:num>
  <w:num w:numId="5">
    <w:abstractNumId w:val="5"/>
  </w:num>
  <w:num w:numId="6">
    <w:abstractNumId w:val="4"/>
  </w:num>
  <w:num w:numId="7">
    <w:abstractNumId w:val="1"/>
  </w:num>
  <w:num w:numId="8">
    <w:abstractNumId w:val="0"/>
  </w:num>
  <w:num w:numId="9">
    <w:abstractNumId w:val="36"/>
  </w:num>
  <w:num w:numId="10">
    <w:abstractNumId w:val="24"/>
  </w:num>
  <w:num w:numId="11">
    <w:abstractNumId w:val="13"/>
  </w:num>
  <w:num w:numId="12">
    <w:abstractNumId w:val="19"/>
  </w:num>
  <w:num w:numId="13">
    <w:abstractNumId w:val="23"/>
  </w:num>
  <w:num w:numId="14">
    <w:abstractNumId w:val="2"/>
  </w:num>
  <w:num w:numId="15">
    <w:abstractNumId w:val="37"/>
  </w:num>
  <w:num w:numId="16">
    <w:abstractNumId w:val="42"/>
  </w:num>
  <w:num w:numId="17">
    <w:abstractNumId w:val="40"/>
  </w:num>
  <w:num w:numId="18">
    <w:abstractNumId w:val="32"/>
  </w:num>
  <w:num w:numId="19">
    <w:abstractNumId w:val="21"/>
  </w:num>
  <w:num w:numId="20">
    <w:abstractNumId w:val="25"/>
  </w:num>
  <w:num w:numId="21">
    <w:abstractNumId w:val="39"/>
  </w:num>
  <w:num w:numId="22">
    <w:abstractNumId w:val="33"/>
  </w:num>
  <w:num w:numId="23">
    <w:abstractNumId w:val="8"/>
  </w:num>
  <w:num w:numId="24">
    <w:abstractNumId w:val="3"/>
  </w:num>
  <w:num w:numId="25">
    <w:abstractNumId w:val="27"/>
  </w:num>
  <w:num w:numId="26">
    <w:abstractNumId w:val="17"/>
  </w:num>
  <w:num w:numId="27">
    <w:abstractNumId w:val="35"/>
  </w:num>
  <w:num w:numId="28">
    <w:abstractNumId w:val="29"/>
  </w:num>
  <w:num w:numId="29">
    <w:abstractNumId w:val="26"/>
  </w:num>
  <w:num w:numId="30">
    <w:abstractNumId w:val="16"/>
  </w:num>
  <w:num w:numId="31">
    <w:abstractNumId w:val="30"/>
  </w:num>
  <w:num w:numId="32">
    <w:abstractNumId w:val="10"/>
  </w:num>
  <w:num w:numId="33">
    <w:abstractNumId w:val="38"/>
  </w:num>
  <w:num w:numId="34">
    <w:abstractNumId w:val="31"/>
  </w:num>
  <w:num w:numId="35">
    <w:abstractNumId w:val="28"/>
  </w:num>
  <w:num w:numId="36">
    <w:abstractNumId w:val="20"/>
  </w:num>
  <w:num w:numId="37">
    <w:abstractNumId w:val="18"/>
  </w:num>
  <w:num w:numId="38">
    <w:abstractNumId w:val="22"/>
  </w:num>
  <w:num w:numId="39">
    <w:abstractNumId w:val="41"/>
  </w:num>
  <w:num w:numId="40">
    <w:abstractNumId w:val="34"/>
  </w:num>
  <w:num w:numId="41">
    <w:abstractNumId w:val="14"/>
  </w:num>
  <w:num w:numId="42">
    <w:abstractNumId w:val="9"/>
  </w:num>
  <w:num w:numId="43">
    <w:abstractNumId w:val="11"/>
  </w:num>
  <w:num w:numId="44">
    <w:abstractNumId w:val="1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ewong\attachment c - the aers practice guide for compliance audits (D2016-00135709).docx"/>
  </w:docVars>
  <w:rsids>
    <w:rsidRoot w:val="00371CF4"/>
    <w:rsid w:val="00004D17"/>
    <w:rsid w:val="00010791"/>
    <w:rsid w:val="000148CB"/>
    <w:rsid w:val="0002115F"/>
    <w:rsid w:val="00021202"/>
    <w:rsid w:val="000225C4"/>
    <w:rsid w:val="00026B43"/>
    <w:rsid w:val="0003578C"/>
    <w:rsid w:val="00040DAC"/>
    <w:rsid w:val="000437D9"/>
    <w:rsid w:val="000463C3"/>
    <w:rsid w:val="000509A6"/>
    <w:rsid w:val="00054C77"/>
    <w:rsid w:val="000557B4"/>
    <w:rsid w:val="000631F1"/>
    <w:rsid w:val="00063247"/>
    <w:rsid w:val="00070F9F"/>
    <w:rsid w:val="0007137B"/>
    <w:rsid w:val="000758B1"/>
    <w:rsid w:val="00085663"/>
    <w:rsid w:val="00085EBF"/>
    <w:rsid w:val="0009785A"/>
    <w:rsid w:val="000A20A9"/>
    <w:rsid w:val="000A211D"/>
    <w:rsid w:val="000B4342"/>
    <w:rsid w:val="000B50EE"/>
    <w:rsid w:val="000D122C"/>
    <w:rsid w:val="000E1819"/>
    <w:rsid w:val="000E6583"/>
    <w:rsid w:val="000E6C72"/>
    <w:rsid w:val="000E7F94"/>
    <w:rsid w:val="000F2368"/>
    <w:rsid w:val="000F7AF6"/>
    <w:rsid w:val="00100349"/>
    <w:rsid w:val="001020BC"/>
    <w:rsid w:val="00116EB2"/>
    <w:rsid w:val="0012225F"/>
    <w:rsid w:val="00122B53"/>
    <w:rsid w:val="001243D3"/>
    <w:rsid w:val="00124609"/>
    <w:rsid w:val="00132CC6"/>
    <w:rsid w:val="00146B02"/>
    <w:rsid w:val="001573E4"/>
    <w:rsid w:val="00160756"/>
    <w:rsid w:val="0016299B"/>
    <w:rsid w:val="0017232E"/>
    <w:rsid w:val="00174102"/>
    <w:rsid w:val="00177F64"/>
    <w:rsid w:val="00180157"/>
    <w:rsid w:val="00181223"/>
    <w:rsid w:val="00183E7E"/>
    <w:rsid w:val="00186F77"/>
    <w:rsid w:val="001926A4"/>
    <w:rsid w:val="001A2DE0"/>
    <w:rsid w:val="001A3A19"/>
    <w:rsid w:val="001A44FB"/>
    <w:rsid w:val="001B246B"/>
    <w:rsid w:val="001B2561"/>
    <w:rsid w:val="001B45A0"/>
    <w:rsid w:val="001B6D9C"/>
    <w:rsid w:val="001C18EE"/>
    <w:rsid w:val="001C4D88"/>
    <w:rsid w:val="001C79E3"/>
    <w:rsid w:val="001D055E"/>
    <w:rsid w:val="001D2443"/>
    <w:rsid w:val="001F492E"/>
    <w:rsid w:val="001F6DA3"/>
    <w:rsid w:val="002014BE"/>
    <w:rsid w:val="00201CB1"/>
    <w:rsid w:val="00203AB3"/>
    <w:rsid w:val="0020739F"/>
    <w:rsid w:val="00212737"/>
    <w:rsid w:val="002216B0"/>
    <w:rsid w:val="00224DB9"/>
    <w:rsid w:val="00235AB9"/>
    <w:rsid w:val="00235CF0"/>
    <w:rsid w:val="00236A79"/>
    <w:rsid w:val="00251745"/>
    <w:rsid w:val="00252E2F"/>
    <w:rsid w:val="00255A44"/>
    <w:rsid w:val="0026102A"/>
    <w:rsid w:val="00262A87"/>
    <w:rsid w:val="00262CD5"/>
    <w:rsid w:val="00263AC0"/>
    <w:rsid w:val="00264BE8"/>
    <w:rsid w:val="0026772D"/>
    <w:rsid w:val="00282391"/>
    <w:rsid w:val="00284349"/>
    <w:rsid w:val="00285080"/>
    <w:rsid w:val="00286874"/>
    <w:rsid w:val="00293966"/>
    <w:rsid w:val="00293BCE"/>
    <w:rsid w:val="00296B65"/>
    <w:rsid w:val="00297C72"/>
    <w:rsid w:val="002A165A"/>
    <w:rsid w:val="002A7DEF"/>
    <w:rsid w:val="002B78FE"/>
    <w:rsid w:val="002C05FB"/>
    <w:rsid w:val="002C2BE0"/>
    <w:rsid w:val="002D1AFE"/>
    <w:rsid w:val="002D3656"/>
    <w:rsid w:val="002D7381"/>
    <w:rsid w:val="002E1148"/>
    <w:rsid w:val="002F0647"/>
    <w:rsid w:val="002F14EB"/>
    <w:rsid w:val="002F7986"/>
    <w:rsid w:val="00302324"/>
    <w:rsid w:val="00303C4A"/>
    <w:rsid w:val="00307F6D"/>
    <w:rsid w:val="00317770"/>
    <w:rsid w:val="003177A2"/>
    <w:rsid w:val="003271B5"/>
    <w:rsid w:val="003301BA"/>
    <w:rsid w:val="003305FA"/>
    <w:rsid w:val="00330CA0"/>
    <w:rsid w:val="00331264"/>
    <w:rsid w:val="00334C8D"/>
    <w:rsid w:val="00340655"/>
    <w:rsid w:val="0034245A"/>
    <w:rsid w:val="003459E6"/>
    <w:rsid w:val="0035094F"/>
    <w:rsid w:val="0035108E"/>
    <w:rsid w:val="003518B3"/>
    <w:rsid w:val="00351F50"/>
    <w:rsid w:val="003528F5"/>
    <w:rsid w:val="00367CAE"/>
    <w:rsid w:val="00371641"/>
    <w:rsid w:val="00371CF4"/>
    <w:rsid w:val="00380E45"/>
    <w:rsid w:val="003832C0"/>
    <w:rsid w:val="003846F1"/>
    <w:rsid w:val="003A2935"/>
    <w:rsid w:val="003A47F7"/>
    <w:rsid w:val="003A673F"/>
    <w:rsid w:val="003B5A70"/>
    <w:rsid w:val="003C592F"/>
    <w:rsid w:val="003C6DB4"/>
    <w:rsid w:val="003D2956"/>
    <w:rsid w:val="003E2BB5"/>
    <w:rsid w:val="003E3FBD"/>
    <w:rsid w:val="003F3A21"/>
    <w:rsid w:val="00406BA8"/>
    <w:rsid w:val="004316C3"/>
    <w:rsid w:val="004523C2"/>
    <w:rsid w:val="00461D7F"/>
    <w:rsid w:val="00475DDE"/>
    <w:rsid w:val="00477E79"/>
    <w:rsid w:val="00480B4B"/>
    <w:rsid w:val="00485DC4"/>
    <w:rsid w:val="004A15C0"/>
    <w:rsid w:val="004A4C14"/>
    <w:rsid w:val="004B4412"/>
    <w:rsid w:val="004B6F6F"/>
    <w:rsid w:val="004C33EE"/>
    <w:rsid w:val="004C348C"/>
    <w:rsid w:val="004D3301"/>
    <w:rsid w:val="004D55BA"/>
    <w:rsid w:val="004D6095"/>
    <w:rsid w:val="004D7824"/>
    <w:rsid w:val="004E13B1"/>
    <w:rsid w:val="004E2629"/>
    <w:rsid w:val="004E51A5"/>
    <w:rsid w:val="004F2545"/>
    <w:rsid w:val="005038DB"/>
    <w:rsid w:val="00511653"/>
    <w:rsid w:val="00520C51"/>
    <w:rsid w:val="0052379B"/>
    <w:rsid w:val="00525FA0"/>
    <w:rsid w:val="00530128"/>
    <w:rsid w:val="00532467"/>
    <w:rsid w:val="005427D9"/>
    <w:rsid w:val="0054754F"/>
    <w:rsid w:val="00547BA2"/>
    <w:rsid w:val="00547CCF"/>
    <w:rsid w:val="00550A9A"/>
    <w:rsid w:val="00555AF2"/>
    <w:rsid w:val="00564A4D"/>
    <w:rsid w:val="00571B35"/>
    <w:rsid w:val="00571C9F"/>
    <w:rsid w:val="00572B7C"/>
    <w:rsid w:val="00577A09"/>
    <w:rsid w:val="00580B78"/>
    <w:rsid w:val="00584D8F"/>
    <w:rsid w:val="00586A21"/>
    <w:rsid w:val="0058756C"/>
    <w:rsid w:val="00594AF0"/>
    <w:rsid w:val="00596D42"/>
    <w:rsid w:val="005A133E"/>
    <w:rsid w:val="005A404D"/>
    <w:rsid w:val="005B1359"/>
    <w:rsid w:val="005B1E3C"/>
    <w:rsid w:val="005C24AC"/>
    <w:rsid w:val="005C26CC"/>
    <w:rsid w:val="005C5E54"/>
    <w:rsid w:val="005D3B7E"/>
    <w:rsid w:val="005E6C0E"/>
    <w:rsid w:val="00615C6B"/>
    <w:rsid w:val="00632D6D"/>
    <w:rsid w:val="00636306"/>
    <w:rsid w:val="00642C3E"/>
    <w:rsid w:val="00646025"/>
    <w:rsid w:val="00663DAD"/>
    <w:rsid w:val="00676679"/>
    <w:rsid w:val="0067681B"/>
    <w:rsid w:val="00680963"/>
    <w:rsid w:val="00681700"/>
    <w:rsid w:val="00683718"/>
    <w:rsid w:val="00683B61"/>
    <w:rsid w:val="00691616"/>
    <w:rsid w:val="006947A1"/>
    <w:rsid w:val="006A6B19"/>
    <w:rsid w:val="006B0DA1"/>
    <w:rsid w:val="006B19D8"/>
    <w:rsid w:val="006B346E"/>
    <w:rsid w:val="006B4CF9"/>
    <w:rsid w:val="006B7AC8"/>
    <w:rsid w:val="006D550F"/>
    <w:rsid w:val="006D77F3"/>
    <w:rsid w:val="00701CAB"/>
    <w:rsid w:val="00707563"/>
    <w:rsid w:val="0071073A"/>
    <w:rsid w:val="0071239F"/>
    <w:rsid w:val="00713628"/>
    <w:rsid w:val="0071656F"/>
    <w:rsid w:val="00716C50"/>
    <w:rsid w:val="0072348C"/>
    <w:rsid w:val="00724A37"/>
    <w:rsid w:val="007303C3"/>
    <w:rsid w:val="00743223"/>
    <w:rsid w:val="0074627D"/>
    <w:rsid w:val="00746E01"/>
    <w:rsid w:val="00755085"/>
    <w:rsid w:val="00763E5D"/>
    <w:rsid w:val="00767740"/>
    <w:rsid w:val="00777EE6"/>
    <w:rsid w:val="00782EEA"/>
    <w:rsid w:val="00786AF8"/>
    <w:rsid w:val="00787B0B"/>
    <w:rsid w:val="00790672"/>
    <w:rsid w:val="007A01AF"/>
    <w:rsid w:val="007A25B7"/>
    <w:rsid w:val="007B2C72"/>
    <w:rsid w:val="007C1C53"/>
    <w:rsid w:val="007D27FB"/>
    <w:rsid w:val="007E19A3"/>
    <w:rsid w:val="007E26A9"/>
    <w:rsid w:val="007E4904"/>
    <w:rsid w:val="007E4CB5"/>
    <w:rsid w:val="007F066B"/>
    <w:rsid w:val="007F6CEB"/>
    <w:rsid w:val="008033C4"/>
    <w:rsid w:val="00805BF5"/>
    <w:rsid w:val="008065AC"/>
    <w:rsid w:val="00806C88"/>
    <w:rsid w:val="0081034E"/>
    <w:rsid w:val="008344F6"/>
    <w:rsid w:val="0083510F"/>
    <w:rsid w:val="00851209"/>
    <w:rsid w:val="00853278"/>
    <w:rsid w:val="00863F8C"/>
    <w:rsid w:val="008701BD"/>
    <w:rsid w:val="008712F2"/>
    <w:rsid w:val="00876D18"/>
    <w:rsid w:val="0088007E"/>
    <w:rsid w:val="008837AC"/>
    <w:rsid w:val="00892701"/>
    <w:rsid w:val="0089352C"/>
    <w:rsid w:val="008945B4"/>
    <w:rsid w:val="0089667F"/>
    <w:rsid w:val="008A3F51"/>
    <w:rsid w:val="008A587D"/>
    <w:rsid w:val="008C2D49"/>
    <w:rsid w:val="008C5486"/>
    <w:rsid w:val="008C6DD2"/>
    <w:rsid w:val="008C7CA5"/>
    <w:rsid w:val="008D38BF"/>
    <w:rsid w:val="008E1126"/>
    <w:rsid w:val="008E7031"/>
    <w:rsid w:val="008F40A9"/>
    <w:rsid w:val="00901409"/>
    <w:rsid w:val="00922C95"/>
    <w:rsid w:val="009233EE"/>
    <w:rsid w:val="009307E9"/>
    <w:rsid w:val="0095335C"/>
    <w:rsid w:val="00963CFE"/>
    <w:rsid w:val="009661DE"/>
    <w:rsid w:val="009856B7"/>
    <w:rsid w:val="0098602B"/>
    <w:rsid w:val="00991B3B"/>
    <w:rsid w:val="009962BA"/>
    <w:rsid w:val="009B4002"/>
    <w:rsid w:val="009B74B0"/>
    <w:rsid w:val="009C5337"/>
    <w:rsid w:val="009D2410"/>
    <w:rsid w:val="009D4414"/>
    <w:rsid w:val="009D6B46"/>
    <w:rsid w:val="009E0F43"/>
    <w:rsid w:val="009E4C63"/>
    <w:rsid w:val="009F1193"/>
    <w:rsid w:val="009F289E"/>
    <w:rsid w:val="009F4940"/>
    <w:rsid w:val="00A14E9D"/>
    <w:rsid w:val="00A1665B"/>
    <w:rsid w:val="00A22E9F"/>
    <w:rsid w:val="00A4478A"/>
    <w:rsid w:val="00A44852"/>
    <w:rsid w:val="00A44AC7"/>
    <w:rsid w:val="00A57D04"/>
    <w:rsid w:val="00A60A26"/>
    <w:rsid w:val="00A61598"/>
    <w:rsid w:val="00A657FD"/>
    <w:rsid w:val="00A704E7"/>
    <w:rsid w:val="00A7355D"/>
    <w:rsid w:val="00A73FF7"/>
    <w:rsid w:val="00A84F46"/>
    <w:rsid w:val="00A871B7"/>
    <w:rsid w:val="00A871F4"/>
    <w:rsid w:val="00A90F40"/>
    <w:rsid w:val="00AA36DE"/>
    <w:rsid w:val="00AA5394"/>
    <w:rsid w:val="00AA7435"/>
    <w:rsid w:val="00AC1B2C"/>
    <w:rsid w:val="00AC3264"/>
    <w:rsid w:val="00AC6F01"/>
    <w:rsid w:val="00AE0FE2"/>
    <w:rsid w:val="00AE1BF1"/>
    <w:rsid w:val="00AE7C2A"/>
    <w:rsid w:val="00AF0DD2"/>
    <w:rsid w:val="00B07EF6"/>
    <w:rsid w:val="00B10314"/>
    <w:rsid w:val="00B12034"/>
    <w:rsid w:val="00B13048"/>
    <w:rsid w:val="00B1517C"/>
    <w:rsid w:val="00B15998"/>
    <w:rsid w:val="00B1716D"/>
    <w:rsid w:val="00B17A1D"/>
    <w:rsid w:val="00B2018F"/>
    <w:rsid w:val="00B207A0"/>
    <w:rsid w:val="00B24855"/>
    <w:rsid w:val="00B252D1"/>
    <w:rsid w:val="00B321AF"/>
    <w:rsid w:val="00B35570"/>
    <w:rsid w:val="00B454BB"/>
    <w:rsid w:val="00B52CF0"/>
    <w:rsid w:val="00B53E60"/>
    <w:rsid w:val="00B54995"/>
    <w:rsid w:val="00B54B19"/>
    <w:rsid w:val="00B56E03"/>
    <w:rsid w:val="00B60649"/>
    <w:rsid w:val="00B60F5D"/>
    <w:rsid w:val="00B63CF0"/>
    <w:rsid w:val="00B67E91"/>
    <w:rsid w:val="00B8080B"/>
    <w:rsid w:val="00B87C39"/>
    <w:rsid w:val="00BA4665"/>
    <w:rsid w:val="00BB2FB2"/>
    <w:rsid w:val="00BB3304"/>
    <w:rsid w:val="00BB5F6B"/>
    <w:rsid w:val="00BB7556"/>
    <w:rsid w:val="00BD3446"/>
    <w:rsid w:val="00BD78AB"/>
    <w:rsid w:val="00BE1F1B"/>
    <w:rsid w:val="00BE47B5"/>
    <w:rsid w:val="00BE4C99"/>
    <w:rsid w:val="00BF2E6B"/>
    <w:rsid w:val="00C02687"/>
    <w:rsid w:val="00C026A7"/>
    <w:rsid w:val="00C058AB"/>
    <w:rsid w:val="00C06739"/>
    <w:rsid w:val="00C20801"/>
    <w:rsid w:val="00C20B54"/>
    <w:rsid w:val="00C21B0E"/>
    <w:rsid w:val="00C311EF"/>
    <w:rsid w:val="00C33C03"/>
    <w:rsid w:val="00C36BD3"/>
    <w:rsid w:val="00C44646"/>
    <w:rsid w:val="00C467A5"/>
    <w:rsid w:val="00C538A9"/>
    <w:rsid w:val="00C53B5A"/>
    <w:rsid w:val="00C54F5A"/>
    <w:rsid w:val="00C578D3"/>
    <w:rsid w:val="00C61F0A"/>
    <w:rsid w:val="00C71BE1"/>
    <w:rsid w:val="00C755AD"/>
    <w:rsid w:val="00C80E0D"/>
    <w:rsid w:val="00C83FF3"/>
    <w:rsid w:val="00C86679"/>
    <w:rsid w:val="00CB0F33"/>
    <w:rsid w:val="00CB44FC"/>
    <w:rsid w:val="00CB666B"/>
    <w:rsid w:val="00CC24D4"/>
    <w:rsid w:val="00CE14FA"/>
    <w:rsid w:val="00CE3694"/>
    <w:rsid w:val="00CF1300"/>
    <w:rsid w:val="00CF799E"/>
    <w:rsid w:val="00D01CF0"/>
    <w:rsid w:val="00D0442A"/>
    <w:rsid w:val="00D203E1"/>
    <w:rsid w:val="00D36127"/>
    <w:rsid w:val="00D377D0"/>
    <w:rsid w:val="00D4563A"/>
    <w:rsid w:val="00D544B8"/>
    <w:rsid w:val="00D57A06"/>
    <w:rsid w:val="00D612F8"/>
    <w:rsid w:val="00D61388"/>
    <w:rsid w:val="00D61A54"/>
    <w:rsid w:val="00D64DEA"/>
    <w:rsid w:val="00D80893"/>
    <w:rsid w:val="00D813FA"/>
    <w:rsid w:val="00D92CF1"/>
    <w:rsid w:val="00D92D38"/>
    <w:rsid w:val="00D9453A"/>
    <w:rsid w:val="00D950F5"/>
    <w:rsid w:val="00DA3F56"/>
    <w:rsid w:val="00DB0F93"/>
    <w:rsid w:val="00DB1262"/>
    <w:rsid w:val="00DB2D8A"/>
    <w:rsid w:val="00DB49FA"/>
    <w:rsid w:val="00DC27F1"/>
    <w:rsid w:val="00DC344B"/>
    <w:rsid w:val="00DC542F"/>
    <w:rsid w:val="00DC77DB"/>
    <w:rsid w:val="00DC7981"/>
    <w:rsid w:val="00DD6809"/>
    <w:rsid w:val="00DD6941"/>
    <w:rsid w:val="00DE21D3"/>
    <w:rsid w:val="00DE4EFA"/>
    <w:rsid w:val="00DE5520"/>
    <w:rsid w:val="00DF2AB3"/>
    <w:rsid w:val="00DF2DC9"/>
    <w:rsid w:val="00E00459"/>
    <w:rsid w:val="00E033ED"/>
    <w:rsid w:val="00E04818"/>
    <w:rsid w:val="00E06442"/>
    <w:rsid w:val="00E23993"/>
    <w:rsid w:val="00E242C0"/>
    <w:rsid w:val="00E25B8C"/>
    <w:rsid w:val="00E34F1F"/>
    <w:rsid w:val="00E4064F"/>
    <w:rsid w:val="00E4674F"/>
    <w:rsid w:val="00E51BA7"/>
    <w:rsid w:val="00E65C85"/>
    <w:rsid w:val="00E66199"/>
    <w:rsid w:val="00E67FA7"/>
    <w:rsid w:val="00E755EC"/>
    <w:rsid w:val="00E7624D"/>
    <w:rsid w:val="00E81448"/>
    <w:rsid w:val="00EA3D42"/>
    <w:rsid w:val="00EA4C89"/>
    <w:rsid w:val="00EA6B1B"/>
    <w:rsid w:val="00ED56D9"/>
    <w:rsid w:val="00EE1DF0"/>
    <w:rsid w:val="00EE28F3"/>
    <w:rsid w:val="00EE7506"/>
    <w:rsid w:val="00EF5110"/>
    <w:rsid w:val="00F14E49"/>
    <w:rsid w:val="00F15882"/>
    <w:rsid w:val="00F20BD3"/>
    <w:rsid w:val="00F373A5"/>
    <w:rsid w:val="00F40F02"/>
    <w:rsid w:val="00F47559"/>
    <w:rsid w:val="00F54701"/>
    <w:rsid w:val="00F60BE4"/>
    <w:rsid w:val="00F61B84"/>
    <w:rsid w:val="00F61BBD"/>
    <w:rsid w:val="00F63795"/>
    <w:rsid w:val="00F643D2"/>
    <w:rsid w:val="00F64C7B"/>
    <w:rsid w:val="00F676DD"/>
    <w:rsid w:val="00F75A26"/>
    <w:rsid w:val="00F76BA0"/>
    <w:rsid w:val="00F83FAD"/>
    <w:rsid w:val="00F8587A"/>
    <w:rsid w:val="00F9130D"/>
    <w:rsid w:val="00F91DC6"/>
    <w:rsid w:val="00F91F4A"/>
    <w:rsid w:val="00F952A0"/>
    <w:rsid w:val="00F96CCC"/>
    <w:rsid w:val="00FA273E"/>
    <w:rsid w:val="00FA3C7F"/>
    <w:rsid w:val="00FB52D7"/>
    <w:rsid w:val="00FB74E2"/>
    <w:rsid w:val="00FC7C87"/>
    <w:rsid w:val="00FD0D49"/>
    <w:rsid w:val="00FD428E"/>
    <w:rsid w:val="00FD5614"/>
    <w:rsid w:val="00FE0BE1"/>
    <w:rsid w:val="00FE1766"/>
    <w:rsid w:val="00FE1DE9"/>
    <w:rsid w:val="00FE39C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B54B19"/>
    <w:pPr>
      <w:spacing w:before="0" w:after="200" w:line="276" w:lineRule="auto"/>
    </w:pPr>
    <w:rPr>
      <w:rFonts w:eastAsiaTheme="minorEastAsia"/>
      <w:lang w:eastAsia="en-AU"/>
    </w:rPr>
  </w:style>
  <w:style w:type="paragraph" w:styleId="Heading1">
    <w:name w:val="heading 1"/>
    <w:basedOn w:val="Normal"/>
    <w:next w:val="Normal"/>
    <w:link w:val="Heading1Char"/>
    <w:qFormat/>
    <w:rsid w:val="00371CF4"/>
    <w:pPr>
      <w:spacing w:before="240"/>
      <w:outlineLvl w:val="0"/>
    </w:pPr>
    <w:rPr>
      <w:rFonts w:eastAsiaTheme="majorEastAsia" w:cstheme="majorBidi"/>
      <w:b/>
      <w:bCs/>
      <w:color w:val="70635A" w:themeColor="text2"/>
      <w:sz w:val="36"/>
      <w:szCs w:val="28"/>
    </w:rPr>
  </w:style>
  <w:style w:type="paragraph" w:styleId="Heading2">
    <w:name w:val="heading 2"/>
    <w:next w:val="Normal"/>
    <w:link w:val="Heading2Char"/>
    <w:qFormat/>
    <w:rsid w:val="0054754F"/>
    <w:pPr>
      <w:spacing w:before="240" w:after="200"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54754F"/>
    <w:pPr>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7E19A3"/>
    <w:pPr>
      <w:spacing w:before="240"/>
      <w:outlineLvl w:val="3"/>
    </w:pPr>
    <w:rPr>
      <w:rFonts w:eastAsiaTheme="majorEastAsia" w:cstheme="majorBidi"/>
      <w:b/>
      <w:bCs/>
      <w:iCs/>
      <w:color w:val="51626F"/>
      <w:sz w:val="24"/>
    </w:rPr>
  </w:style>
  <w:style w:type="paragraph" w:styleId="Heading5">
    <w:name w:val="heading 5"/>
    <w:next w:val="Normal"/>
    <w:link w:val="Heading5Char"/>
    <w:uiPriority w:val="2"/>
    <w:qFormat/>
    <w:rsid w:val="00371CF4"/>
    <w:pPr>
      <w:spacing w:line="240" w:lineRule="atLeast"/>
      <w:outlineLvl w:val="4"/>
    </w:pPr>
    <w:rPr>
      <w:rFonts w:ascii="Arial" w:eastAsiaTheme="majorEastAsia" w:hAnsi="Arial" w:cstheme="majorBidi"/>
      <w:b/>
      <w:color w:val="38312D" w:themeColor="text2" w:themeShade="80"/>
    </w:rPr>
  </w:style>
  <w:style w:type="paragraph" w:styleId="Heading6">
    <w:name w:val="heading 6"/>
    <w:basedOn w:val="Normal"/>
    <w:next w:val="Normal"/>
    <w:link w:val="Heading6Char"/>
    <w:uiPriority w:val="2"/>
    <w:qFormat/>
    <w:rsid w:val="00371CF4"/>
    <w:pPr>
      <w:spacing w:before="240"/>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371CF4"/>
    <w:pPr>
      <w:spacing w:before="240"/>
      <w:outlineLvl w:val="6"/>
    </w:pPr>
    <w:rPr>
      <w:rFonts w:eastAsiaTheme="majorEastAsia" w:cstheme="majorBidi"/>
      <w:i/>
      <w:iCs/>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2F002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76A92"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1CF4"/>
    <w:rPr>
      <w:rFonts w:ascii="Arial" w:eastAsiaTheme="majorEastAsia" w:hAnsi="Arial" w:cstheme="majorBidi"/>
      <w:b/>
      <w:bCs/>
      <w:color w:val="70635A" w:themeColor="text2"/>
      <w:sz w:val="36"/>
      <w:szCs w:val="28"/>
    </w:rPr>
  </w:style>
  <w:style w:type="character" w:customStyle="1" w:styleId="Heading2Char">
    <w:name w:val="Heading 2 Char"/>
    <w:basedOn w:val="DefaultParagraphFont"/>
    <w:link w:val="Heading2"/>
    <w:rsid w:val="0054754F"/>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54754F"/>
    <w:rPr>
      <w:rFonts w:eastAsiaTheme="majorEastAsia" w:cstheme="majorBidi"/>
      <w:b/>
      <w:bCs/>
      <w:color w:val="70635A" w:themeColor="text2"/>
      <w:sz w:val="28"/>
      <w:lang w:eastAsia="en-AU"/>
    </w:rPr>
  </w:style>
  <w:style w:type="character" w:customStyle="1" w:styleId="Heading4Char">
    <w:name w:val="Heading 4 Char"/>
    <w:basedOn w:val="DefaultParagraphFont"/>
    <w:link w:val="Heading4"/>
    <w:rsid w:val="007E19A3"/>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371CF4"/>
    <w:rPr>
      <w:rFonts w:ascii="Arial" w:eastAsiaTheme="majorEastAsia" w:hAnsi="Arial" w:cstheme="majorBidi"/>
      <w:b/>
      <w:color w:val="38312D" w:themeColor="text2" w:themeShade="80"/>
    </w:rPr>
  </w:style>
  <w:style w:type="character" w:customStyle="1" w:styleId="Heading6Char">
    <w:name w:val="Heading 6 Char"/>
    <w:basedOn w:val="DefaultParagraphFont"/>
    <w:link w:val="Heading6"/>
    <w:uiPriority w:val="2"/>
    <w:rsid w:val="00371CF4"/>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C21B0E"/>
    <w:pPr>
      <w:tabs>
        <w:tab w:val="center" w:pos="4598"/>
        <w:tab w:val="right" w:pos="9026"/>
      </w:tabs>
      <w:spacing w:before="240"/>
      <w:contextualSpacing/>
      <w:jc w:val="center"/>
    </w:pPr>
    <w:rPr>
      <w:rFonts w:eastAsiaTheme="majorEastAsia" w:cstheme="majorBidi"/>
      <w:b/>
      <w:noProof/>
      <w:sz w:val="72"/>
      <w:szCs w:val="72"/>
    </w:rPr>
  </w:style>
  <w:style w:type="character" w:customStyle="1" w:styleId="ChaptertitleChar">
    <w:name w:val="Chapter title Char"/>
    <w:basedOn w:val="DefaultParagraphFont"/>
    <w:link w:val="Chaptertitle"/>
    <w:rsid w:val="00C21B0E"/>
    <w:rPr>
      <w:rFonts w:ascii="Arial" w:eastAsiaTheme="majorEastAsia" w:hAnsi="Arial" w:cstheme="majorBidi"/>
      <w:b/>
      <w:noProof/>
      <w:sz w:val="72"/>
      <w:szCs w:val="72"/>
      <w:lang w:eastAsia="en-AU"/>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2F002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2F002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76A92" w:themeColor="text1"/>
    </w:rPr>
  </w:style>
  <w:style w:type="character" w:customStyle="1" w:styleId="QuoteChar">
    <w:name w:val="Quote Char"/>
    <w:basedOn w:val="DefaultParagraphFont"/>
    <w:link w:val="Quote"/>
    <w:uiPriority w:val="29"/>
    <w:rsid w:val="001D055E"/>
    <w:rPr>
      <w:rFonts w:ascii="Arial" w:hAnsi="Arial"/>
      <w:i/>
      <w:iCs/>
      <w:color w:val="076A92"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54E6D"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C21B0E"/>
    <w:pPr>
      <w:tabs>
        <w:tab w:val="left" w:pos="1623"/>
        <w:tab w:val="center" w:pos="4513"/>
        <w:tab w:val="right" w:pos="9026"/>
      </w:tabs>
      <w:spacing w:after="120"/>
    </w:pPr>
    <w:rPr>
      <w:rFonts w:eastAsia="Arial" w:cs="Times New Roman"/>
      <w:b/>
      <w:bCs/>
      <w:noProof/>
      <w:color w:val="076A92" w:themeColor="text1"/>
      <w:sz w:val="18"/>
      <w:lang w:val="en-US"/>
    </w:rPr>
  </w:style>
  <w:style w:type="character" w:customStyle="1" w:styleId="FooterChar">
    <w:name w:val="Footer Char"/>
    <w:basedOn w:val="DefaultParagraphFont"/>
    <w:link w:val="Footer"/>
    <w:uiPriority w:val="99"/>
    <w:rsid w:val="00C21B0E"/>
    <w:rPr>
      <w:rFonts w:ascii="Arial" w:eastAsia="Arial" w:hAnsi="Arial" w:cs="Times New Roman"/>
      <w:b/>
      <w:bCs/>
      <w:noProof/>
      <w:color w:val="076A92" w:themeColor="text1"/>
      <w:sz w:val="18"/>
      <w:lang w:val="en-US"/>
    </w:rPr>
  </w:style>
  <w:style w:type="paragraph" w:styleId="ListParagraph">
    <w:name w:val="List Paragraph"/>
    <w:basedOn w:val="Normal"/>
    <w:link w:val="ListParagraphChar"/>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371CF4"/>
    <w:rPr>
      <w:rFonts w:ascii="Arial" w:eastAsiaTheme="majorEastAsia" w:hAnsi="Arial" w:cstheme="majorBidi"/>
      <w:i/>
      <w:iCs/>
    </w:rPr>
  </w:style>
  <w:style w:type="character" w:customStyle="1" w:styleId="Heading8Char">
    <w:name w:val="Heading 8 Char"/>
    <w:basedOn w:val="DefaultParagraphFont"/>
    <w:link w:val="Heading8"/>
    <w:uiPriority w:val="2"/>
    <w:rsid w:val="009D6B46"/>
    <w:rPr>
      <w:rFonts w:ascii="Arial" w:eastAsiaTheme="majorEastAsia" w:hAnsi="Arial" w:cstheme="majorBidi"/>
      <w:color w:val="2F002F" w:themeColor="accent1"/>
      <w:szCs w:val="20"/>
    </w:rPr>
  </w:style>
  <w:style w:type="character" w:customStyle="1" w:styleId="Heading9Char">
    <w:name w:val="Heading 9 Char"/>
    <w:aliases w:val="Numbered Table Char"/>
    <w:basedOn w:val="DefaultParagraphFont"/>
    <w:link w:val="Heading9"/>
    <w:uiPriority w:val="2"/>
    <w:rsid w:val="00646025"/>
    <w:rPr>
      <w:rFonts w:eastAsiaTheme="majorEastAsia" w:cstheme="majorBidi"/>
      <w:b/>
      <w:iCs/>
      <w:color w:val="076A92" w:themeColor="text1"/>
      <w:sz w:val="24"/>
      <w:szCs w:val="20"/>
      <w:lang w:eastAsia="en-AU"/>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paragraph" w:customStyle="1" w:styleId="CoverDate">
    <w:name w:val="Cover Date"/>
    <w:basedOn w:val="Normal"/>
    <w:rsid w:val="00C21B0E"/>
    <w:pPr>
      <w:tabs>
        <w:tab w:val="center" w:pos="4598"/>
        <w:tab w:val="right" w:pos="9026"/>
      </w:tabs>
      <w:spacing w:before="240"/>
      <w:contextualSpacing/>
      <w:jc w:val="center"/>
    </w:pPr>
    <w:rPr>
      <w:rFonts w:eastAsiaTheme="majorEastAsia" w:cstheme="majorBidi"/>
      <w:noProof/>
      <w:sz w:val="36"/>
      <w:szCs w:val="36"/>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Footnote"/>
    <w:basedOn w:val="Normal"/>
    <w:link w:val="FootnoteTextChar"/>
    <w:uiPriority w:val="99"/>
    <w:qFormat/>
    <w:rsid w:val="003A673F"/>
    <w:pPr>
      <w:tabs>
        <w:tab w:val="left" w:pos="340"/>
      </w:tabs>
      <w:spacing w:before="60"/>
      <w:ind w:left="340" w:hanging="340"/>
    </w:pPr>
    <w:rPr>
      <w:sz w:val="16"/>
      <w:szCs w:val="20"/>
    </w:rPr>
  </w:style>
  <w:style w:type="character" w:customStyle="1" w:styleId="FootnoteTextChar">
    <w:name w:val="Footnote Text Char"/>
    <w:aliases w:val="Footnote Char"/>
    <w:basedOn w:val="DefaultParagraphFont"/>
    <w:link w:val="FootnoteText"/>
    <w:uiPriority w:val="99"/>
    <w:rsid w:val="003A673F"/>
    <w:rPr>
      <w:rFonts w:ascii="Arial" w:hAnsi="Arial"/>
      <w:sz w:val="16"/>
      <w:szCs w:val="20"/>
    </w:rPr>
  </w:style>
  <w:style w:type="character" w:styleId="FootnoteReference">
    <w:name w:val="footnote reference"/>
    <w:basedOn w:val="DefaultParagraphFont"/>
    <w:uiPriority w:val="99"/>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qFormat/>
    <w:rsid w:val="00B54B19"/>
    <w:pPr>
      <w:tabs>
        <w:tab w:val="center" w:pos="4598"/>
        <w:tab w:val="right" w:pos="9026"/>
      </w:tabs>
      <w:spacing w:before="240" w:after="0"/>
      <w:contextualSpacing/>
    </w:pPr>
    <w:rPr>
      <w:rFonts w:eastAsiaTheme="majorEastAsia" w:cstheme="majorBidi"/>
      <w:b/>
      <w:noProof/>
      <w:sz w:val="56"/>
      <w:szCs w:val="56"/>
    </w:rPr>
  </w:style>
  <w:style w:type="character" w:customStyle="1" w:styleId="SubtitleChar">
    <w:name w:val="Subtitle Char"/>
    <w:basedOn w:val="DefaultParagraphFont"/>
    <w:link w:val="Subtitle"/>
    <w:uiPriority w:val="11"/>
    <w:rsid w:val="00B54B19"/>
    <w:rPr>
      <w:rFonts w:ascii="Arial" w:eastAsiaTheme="majorEastAsia" w:hAnsi="Arial" w:cstheme="majorBidi"/>
      <w:b/>
      <w:noProof/>
      <w:sz w:val="56"/>
      <w:szCs w:val="56"/>
      <w:lang w:eastAsia="en-AU"/>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after="200"/>
      <w:jc w:val="right"/>
    </w:pPr>
    <w:rPr>
      <w:rFonts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Arial" w:eastAsiaTheme="majorEastAsia" w:hAnsi="Arial" w:cstheme="majorBidi"/>
      <w:b/>
      <w:bCs/>
      <w:color w:val="70635A" w:themeColor="text2"/>
      <w:sz w:val="36"/>
      <w:szCs w:val="28"/>
      <w:lang w:eastAsia="en-AU"/>
    </w:rPr>
  </w:style>
  <w:style w:type="paragraph" w:customStyle="1" w:styleId="Numberedparagraph">
    <w:name w:val="Numbered paragraph"/>
    <w:basedOn w:val="Normal"/>
    <w:rsid w:val="00B60F5D"/>
    <w:pPr>
      <w:numPr>
        <w:numId w:val="1"/>
      </w:numPr>
      <w:ind w:left="680" w:hanging="680"/>
    </w:pPr>
    <w:rPr>
      <w:rFonts w:eastAsia="Times New Roman" w:cs="Times New Roman"/>
      <w:color w:val="054E6D"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C14E00"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table" w:customStyle="1" w:styleId="AERTable-Text">
    <w:name w:val="AER Table - Text"/>
    <w:basedOn w:val="TableNormal"/>
    <w:uiPriority w:val="99"/>
    <w:rsid w:val="00C21B0E"/>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character" w:customStyle="1" w:styleId="boldreverse">
    <w:name w:val="bold reverse"/>
    <w:basedOn w:val="DefaultParagraphFont"/>
    <w:uiPriority w:val="99"/>
    <w:rsid w:val="000F7AF6"/>
    <w:rPr>
      <w:outline/>
      <w:vertAlign w:val="baseline"/>
    </w:rPr>
  </w:style>
  <w:style w:type="paragraph" w:customStyle="1" w:styleId="Default">
    <w:name w:val="Default"/>
    <w:rsid w:val="00C311EF"/>
    <w:pPr>
      <w:autoSpaceDE w:val="0"/>
      <w:autoSpaceDN w:val="0"/>
      <w:adjustRightInd w:val="0"/>
      <w:spacing w:before="0"/>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1A2DE0"/>
    <w:rPr>
      <w:sz w:val="16"/>
      <w:szCs w:val="16"/>
    </w:rPr>
  </w:style>
  <w:style w:type="paragraph" w:styleId="CommentText">
    <w:name w:val="annotation text"/>
    <w:basedOn w:val="Normal"/>
    <w:link w:val="CommentTextChar"/>
    <w:uiPriority w:val="99"/>
    <w:semiHidden/>
    <w:unhideWhenUsed/>
    <w:rsid w:val="001A2DE0"/>
    <w:pPr>
      <w:spacing w:line="240" w:lineRule="auto"/>
    </w:pPr>
    <w:rPr>
      <w:sz w:val="20"/>
      <w:szCs w:val="20"/>
    </w:rPr>
  </w:style>
  <w:style w:type="character" w:customStyle="1" w:styleId="CommentTextChar">
    <w:name w:val="Comment Text Char"/>
    <w:basedOn w:val="DefaultParagraphFont"/>
    <w:link w:val="CommentText"/>
    <w:uiPriority w:val="99"/>
    <w:semiHidden/>
    <w:rsid w:val="001A2DE0"/>
    <w:rPr>
      <w:rFonts w:eastAsiaTheme="minorEastAsia"/>
      <w:sz w:val="20"/>
      <w:szCs w:val="20"/>
      <w:lang w:eastAsia="en-AU"/>
    </w:rPr>
  </w:style>
  <w:style w:type="paragraph" w:styleId="CommentSubject">
    <w:name w:val="annotation subject"/>
    <w:basedOn w:val="CommentText"/>
    <w:next w:val="CommentText"/>
    <w:link w:val="CommentSubjectChar"/>
    <w:uiPriority w:val="99"/>
    <w:semiHidden/>
    <w:unhideWhenUsed/>
    <w:rsid w:val="001A2DE0"/>
    <w:rPr>
      <w:b/>
      <w:bCs/>
    </w:rPr>
  </w:style>
  <w:style w:type="character" w:customStyle="1" w:styleId="CommentSubjectChar">
    <w:name w:val="Comment Subject Char"/>
    <w:basedOn w:val="CommentTextChar"/>
    <w:link w:val="CommentSubject"/>
    <w:uiPriority w:val="99"/>
    <w:semiHidden/>
    <w:rsid w:val="001A2DE0"/>
    <w:rPr>
      <w:rFonts w:eastAsiaTheme="minorEastAsia"/>
      <w:b/>
      <w:bCs/>
      <w:sz w:val="20"/>
      <w:szCs w:val="20"/>
      <w:lang w:eastAsia="en-AU"/>
    </w:rPr>
  </w:style>
  <w:style w:type="character" w:customStyle="1" w:styleId="ListParagraphChar">
    <w:name w:val="List Paragraph Char"/>
    <w:basedOn w:val="DefaultParagraphFont"/>
    <w:link w:val="ListParagraph"/>
    <w:uiPriority w:val="34"/>
    <w:rsid w:val="00AA5394"/>
    <w:rPr>
      <w:rFonts w:eastAsiaTheme="minorEastAsia"/>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B54B19"/>
    <w:pPr>
      <w:spacing w:before="0" w:after="200" w:line="276" w:lineRule="auto"/>
    </w:pPr>
    <w:rPr>
      <w:rFonts w:eastAsiaTheme="minorEastAsia"/>
      <w:lang w:eastAsia="en-AU"/>
    </w:rPr>
  </w:style>
  <w:style w:type="paragraph" w:styleId="Heading1">
    <w:name w:val="heading 1"/>
    <w:basedOn w:val="Normal"/>
    <w:next w:val="Normal"/>
    <w:link w:val="Heading1Char"/>
    <w:qFormat/>
    <w:rsid w:val="00371CF4"/>
    <w:pPr>
      <w:spacing w:before="240"/>
      <w:outlineLvl w:val="0"/>
    </w:pPr>
    <w:rPr>
      <w:rFonts w:eastAsiaTheme="majorEastAsia" w:cstheme="majorBidi"/>
      <w:b/>
      <w:bCs/>
      <w:color w:val="70635A" w:themeColor="text2"/>
      <w:sz w:val="36"/>
      <w:szCs w:val="28"/>
    </w:rPr>
  </w:style>
  <w:style w:type="paragraph" w:styleId="Heading2">
    <w:name w:val="heading 2"/>
    <w:next w:val="Normal"/>
    <w:link w:val="Heading2Char"/>
    <w:qFormat/>
    <w:rsid w:val="0054754F"/>
    <w:pPr>
      <w:spacing w:before="240" w:after="200"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54754F"/>
    <w:pPr>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7E19A3"/>
    <w:pPr>
      <w:spacing w:before="240"/>
      <w:outlineLvl w:val="3"/>
    </w:pPr>
    <w:rPr>
      <w:rFonts w:eastAsiaTheme="majorEastAsia" w:cstheme="majorBidi"/>
      <w:b/>
      <w:bCs/>
      <w:iCs/>
      <w:color w:val="51626F"/>
      <w:sz w:val="24"/>
    </w:rPr>
  </w:style>
  <w:style w:type="paragraph" w:styleId="Heading5">
    <w:name w:val="heading 5"/>
    <w:next w:val="Normal"/>
    <w:link w:val="Heading5Char"/>
    <w:uiPriority w:val="2"/>
    <w:qFormat/>
    <w:rsid w:val="00371CF4"/>
    <w:pPr>
      <w:spacing w:line="240" w:lineRule="atLeast"/>
      <w:outlineLvl w:val="4"/>
    </w:pPr>
    <w:rPr>
      <w:rFonts w:ascii="Arial" w:eastAsiaTheme="majorEastAsia" w:hAnsi="Arial" w:cstheme="majorBidi"/>
      <w:b/>
      <w:color w:val="38312D" w:themeColor="text2" w:themeShade="80"/>
    </w:rPr>
  </w:style>
  <w:style w:type="paragraph" w:styleId="Heading6">
    <w:name w:val="heading 6"/>
    <w:basedOn w:val="Normal"/>
    <w:next w:val="Normal"/>
    <w:link w:val="Heading6Char"/>
    <w:uiPriority w:val="2"/>
    <w:qFormat/>
    <w:rsid w:val="00371CF4"/>
    <w:pPr>
      <w:spacing w:before="240"/>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371CF4"/>
    <w:pPr>
      <w:spacing w:before="240"/>
      <w:outlineLvl w:val="6"/>
    </w:pPr>
    <w:rPr>
      <w:rFonts w:eastAsiaTheme="majorEastAsia" w:cstheme="majorBidi"/>
      <w:i/>
      <w:iCs/>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2F002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76A92"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1CF4"/>
    <w:rPr>
      <w:rFonts w:ascii="Arial" w:eastAsiaTheme="majorEastAsia" w:hAnsi="Arial" w:cstheme="majorBidi"/>
      <w:b/>
      <w:bCs/>
      <w:color w:val="70635A" w:themeColor="text2"/>
      <w:sz w:val="36"/>
      <w:szCs w:val="28"/>
    </w:rPr>
  </w:style>
  <w:style w:type="character" w:customStyle="1" w:styleId="Heading2Char">
    <w:name w:val="Heading 2 Char"/>
    <w:basedOn w:val="DefaultParagraphFont"/>
    <w:link w:val="Heading2"/>
    <w:rsid w:val="0054754F"/>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54754F"/>
    <w:rPr>
      <w:rFonts w:eastAsiaTheme="majorEastAsia" w:cstheme="majorBidi"/>
      <w:b/>
      <w:bCs/>
      <w:color w:val="70635A" w:themeColor="text2"/>
      <w:sz w:val="28"/>
      <w:lang w:eastAsia="en-AU"/>
    </w:rPr>
  </w:style>
  <w:style w:type="character" w:customStyle="1" w:styleId="Heading4Char">
    <w:name w:val="Heading 4 Char"/>
    <w:basedOn w:val="DefaultParagraphFont"/>
    <w:link w:val="Heading4"/>
    <w:rsid w:val="007E19A3"/>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371CF4"/>
    <w:rPr>
      <w:rFonts w:ascii="Arial" w:eastAsiaTheme="majorEastAsia" w:hAnsi="Arial" w:cstheme="majorBidi"/>
      <w:b/>
      <w:color w:val="38312D" w:themeColor="text2" w:themeShade="80"/>
    </w:rPr>
  </w:style>
  <w:style w:type="character" w:customStyle="1" w:styleId="Heading6Char">
    <w:name w:val="Heading 6 Char"/>
    <w:basedOn w:val="DefaultParagraphFont"/>
    <w:link w:val="Heading6"/>
    <w:uiPriority w:val="2"/>
    <w:rsid w:val="00371CF4"/>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C21B0E"/>
    <w:pPr>
      <w:tabs>
        <w:tab w:val="center" w:pos="4598"/>
        <w:tab w:val="right" w:pos="9026"/>
      </w:tabs>
      <w:spacing w:before="240"/>
      <w:contextualSpacing/>
      <w:jc w:val="center"/>
    </w:pPr>
    <w:rPr>
      <w:rFonts w:eastAsiaTheme="majorEastAsia" w:cstheme="majorBidi"/>
      <w:b/>
      <w:noProof/>
      <w:sz w:val="72"/>
      <w:szCs w:val="72"/>
    </w:rPr>
  </w:style>
  <w:style w:type="character" w:customStyle="1" w:styleId="ChaptertitleChar">
    <w:name w:val="Chapter title Char"/>
    <w:basedOn w:val="DefaultParagraphFont"/>
    <w:link w:val="Chaptertitle"/>
    <w:rsid w:val="00C21B0E"/>
    <w:rPr>
      <w:rFonts w:ascii="Arial" w:eastAsiaTheme="majorEastAsia" w:hAnsi="Arial" w:cstheme="majorBidi"/>
      <w:b/>
      <w:noProof/>
      <w:sz w:val="72"/>
      <w:szCs w:val="72"/>
      <w:lang w:eastAsia="en-AU"/>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2F002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2F002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76A92" w:themeColor="text1"/>
    </w:rPr>
  </w:style>
  <w:style w:type="character" w:customStyle="1" w:styleId="QuoteChar">
    <w:name w:val="Quote Char"/>
    <w:basedOn w:val="DefaultParagraphFont"/>
    <w:link w:val="Quote"/>
    <w:uiPriority w:val="29"/>
    <w:rsid w:val="001D055E"/>
    <w:rPr>
      <w:rFonts w:ascii="Arial" w:hAnsi="Arial"/>
      <w:i/>
      <w:iCs/>
      <w:color w:val="076A92"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54E6D"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C21B0E"/>
    <w:pPr>
      <w:tabs>
        <w:tab w:val="left" w:pos="1623"/>
        <w:tab w:val="center" w:pos="4513"/>
        <w:tab w:val="right" w:pos="9026"/>
      </w:tabs>
      <w:spacing w:after="120"/>
    </w:pPr>
    <w:rPr>
      <w:rFonts w:eastAsia="Arial" w:cs="Times New Roman"/>
      <w:b/>
      <w:bCs/>
      <w:noProof/>
      <w:color w:val="076A92" w:themeColor="text1"/>
      <w:sz w:val="18"/>
      <w:lang w:val="en-US"/>
    </w:rPr>
  </w:style>
  <w:style w:type="character" w:customStyle="1" w:styleId="FooterChar">
    <w:name w:val="Footer Char"/>
    <w:basedOn w:val="DefaultParagraphFont"/>
    <w:link w:val="Footer"/>
    <w:uiPriority w:val="99"/>
    <w:rsid w:val="00C21B0E"/>
    <w:rPr>
      <w:rFonts w:ascii="Arial" w:eastAsia="Arial" w:hAnsi="Arial" w:cs="Times New Roman"/>
      <w:b/>
      <w:bCs/>
      <w:noProof/>
      <w:color w:val="076A92" w:themeColor="text1"/>
      <w:sz w:val="18"/>
      <w:lang w:val="en-US"/>
    </w:rPr>
  </w:style>
  <w:style w:type="paragraph" w:styleId="ListParagraph">
    <w:name w:val="List Paragraph"/>
    <w:basedOn w:val="Normal"/>
    <w:link w:val="ListParagraphChar"/>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371CF4"/>
    <w:rPr>
      <w:rFonts w:ascii="Arial" w:eastAsiaTheme="majorEastAsia" w:hAnsi="Arial" w:cstheme="majorBidi"/>
      <w:i/>
      <w:iCs/>
    </w:rPr>
  </w:style>
  <w:style w:type="character" w:customStyle="1" w:styleId="Heading8Char">
    <w:name w:val="Heading 8 Char"/>
    <w:basedOn w:val="DefaultParagraphFont"/>
    <w:link w:val="Heading8"/>
    <w:uiPriority w:val="2"/>
    <w:rsid w:val="009D6B46"/>
    <w:rPr>
      <w:rFonts w:ascii="Arial" w:eastAsiaTheme="majorEastAsia" w:hAnsi="Arial" w:cstheme="majorBidi"/>
      <w:color w:val="2F002F" w:themeColor="accent1"/>
      <w:szCs w:val="20"/>
    </w:rPr>
  </w:style>
  <w:style w:type="character" w:customStyle="1" w:styleId="Heading9Char">
    <w:name w:val="Heading 9 Char"/>
    <w:aliases w:val="Numbered Table Char"/>
    <w:basedOn w:val="DefaultParagraphFont"/>
    <w:link w:val="Heading9"/>
    <w:uiPriority w:val="2"/>
    <w:rsid w:val="00646025"/>
    <w:rPr>
      <w:rFonts w:eastAsiaTheme="majorEastAsia" w:cstheme="majorBidi"/>
      <w:b/>
      <w:iCs/>
      <w:color w:val="076A92" w:themeColor="text1"/>
      <w:sz w:val="24"/>
      <w:szCs w:val="20"/>
      <w:lang w:eastAsia="en-AU"/>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paragraph" w:customStyle="1" w:styleId="CoverDate">
    <w:name w:val="Cover Date"/>
    <w:basedOn w:val="Normal"/>
    <w:rsid w:val="00C21B0E"/>
    <w:pPr>
      <w:tabs>
        <w:tab w:val="center" w:pos="4598"/>
        <w:tab w:val="right" w:pos="9026"/>
      </w:tabs>
      <w:spacing w:before="240"/>
      <w:contextualSpacing/>
      <w:jc w:val="center"/>
    </w:pPr>
    <w:rPr>
      <w:rFonts w:eastAsiaTheme="majorEastAsia" w:cstheme="majorBidi"/>
      <w:noProof/>
      <w:sz w:val="36"/>
      <w:szCs w:val="36"/>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Footnote"/>
    <w:basedOn w:val="Normal"/>
    <w:link w:val="FootnoteTextChar"/>
    <w:uiPriority w:val="99"/>
    <w:qFormat/>
    <w:rsid w:val="003A673F"/>
    <w:pPr>
      <w:tabs>
        <w:tab w:val="left" w:pos="340"/>
      </w:tabs>
      <w:spacing w:before="60"/>
      <w:ind w:left="340" w:hanging="340"/>
    </w:pPr>
    <w:rPr>
      <w:sz w:val="16"/>
      <w:szCs w:val="20"/>
    </w:rPr>
  </w:style>
  <w:style w:type="character" w:customStyle="1" w:styleId="FootnoteTextChar">
    <w:name w:val="Footnote Text Char"/>
    <w:aliases w:val="Footnote Char"/>
    <w:basedOn w:val="DefaultParagraphFont"/>
    <w:link w:val="FootnoteText"/>
    <w:uiPriority w:val="99"/>
    <w:rsid w:val="003A673F"/>
    <w:rPr>
      <w:rFonts w:ascii="Arial" w:hAnsi="Arial"/>
      <w:sz w:val="16"/>
      <w:szCs w:val="20"/>
    </w:rPr>
  </w:style>
  <w:style w:type="character" w:styleId="FootnoteReference">
    <w:name w:val="footnote reference"/>
    <w:basedOn w:val="DefaultParagraphFont"/>
    <w:uiPriority w:val="99"/>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qFormat/>
    <w:rsid w:val="00B54B19"/>
    <w:pPr>
      <w:tabs>
        <w:tab w:val="center" w:pos="4598"/>
        <w:tab w:val="right" w:pos="9026"/>
      </w:tabs>
      <w:spacing w:before="240" w:after="0"/>
      <w:contextualSpacing/>
    </w:pPr>
    <w:rPr>
      <w:rFonts w:eastAsiaTheme="majorEastAsia" w:cstheme="majorBidi"/>
      <w:b/>
      <w:noProof/>
      <w:sz w:val="56"/>
      <w:szCs w:val="56"/>
    </w:rPr>
  </w:style>
  <w:style w:type="character" w:customStyle="1" w:styleId="SubtitleChar">
    <w:name w:val="Subtitle Char"/>
    <w:basedOn w:val="DefaultParagraphFont"/>
    <w:link w:val="Subtitle"/>
    <w:uiPriority w:val="11"/>
    <w:rsid w:val="00B54B19"/>
    <w:rPr>
      <w:rFonts w:ascii="Arial" w:eastAsiaTheme="majorEastAsia" w:hAnsi="Arial" w:cstheme="majorBidi"/>
      <w:b/>
      <w:noProof/>
      <w:sz w:val="56"/>
      <w:szCs w:val="56"/>
      <w:lang w:eastAsia="en-AU"/>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after="200"/>
      <w:jc w:val="right"/>
    </w:pPr>
    <w:rPr>
      <w:rFonts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Arial" w:eastAsiaTheme="majorEastAsia" w:hAnsi="Arial" w:cstheme="majorBidi"/>
      <w:b/>
      <w:bCs/>
      <w:color w:val="70635A" w:themeColor="text2"/>
      <w:sz w:val="36"/>
      <w:szCs w:val="28"/>
      <w:lang w:eastAsia="en-AU"/>
    </w:rPr>
  </w:style>
  <w:style w:type="paragraph" w:customStyle="1" w:styleId="Numberedparagraph">
    <w:name w:val="Numbered paragraph"/>
    <w:basedOn w:val="Normal"/>
    <w:rsid w:val="00B60F5D"/>
    <w:pPr>
      <w:numPr>
        <w:numId w:val="1"/>
      </w:numPr>
      <w:ind w:left="680" w:hanging="680"/>
    </w:pPr>
    <w:rPr>
      <w:rFonts w:eastAsia="Times New Roman" w:cs="Times New Roman"/>
      <w:color w:val="054E6D"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C14E00"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table" w:customStyle="1" w:styleId="AERTable-Text">
    <w:name w:val="AER Table - Text"/>
    <w:basedOn w:val="TableNormal"/>
    <w:uiPriority w:val="99"/>
    <w:rsid w:val="00C21B0E"/>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character" w:customStyle="1" w:styleId="boldreverse">
    <w:name w:val="bold reverse"/>
    <w:basedOn w:val="DefaultParagraphFont"/>
    <w:uiPriority w:val="99"/>
    <w:rsid w:val="000F7AF6"/>
    <w:rPr>
      <w:outline/>
      <w:vertAlign w:val="baseline"/>
    </w:rPr>
  </w:style>
  <w:style w:type="paragraph" w:customStyle="1" w:styleId="Default">
    <w:name w:val="Default"/>
    <w:rsid w:val="00C311EF"/>
    <w:pPr>
      <w:autoSpaceDE w:val="0"/>
      <w:autoSpaceDN w:val="0"/>
      <w:adjustRightInd w:val="0"/>
      <w:spacing w:before="0"/>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1A2DE0"/>
    <w:rPr>
      <w:sz w:val="16"/>
      <w:szCs w:val="16"/>
    </w:rPr>
  </w:style>
  <w:style w:type="paragraph" w:styleId="CommentText">
    <w:name w:val="annotation text"/>
    <w:basedOn w:val="Normal"/>
    <w:link w:val="CommentTextChar"/>
    <w:uiPriority w:val="99"/>
    <w:semiHidden/>
    <w:unhideWhenUsed/>
    <w:rsid w:val="001A2DE0"/>
    <w:pPr>
      <w:spacing w:line="240" w:lineRule="auto"/>
    </w:pPr>
    <w:rPr>
      <w:sz w:val="20"/>
      <w:szCs w:val="20"/>
    </w:rPr>
  </w:style>
  <w:style w:type="character" w:customStyle="1" w:styleId="CommentTextChar">
    <w:name w:val="Comment Text Char"/>
    <w:basedOn w:val="DefaultParagraphFont"/>
    <w:link w:val="CommentText"/>
    <w:uiPriority w:val="99"/>
    <w:semiHidden/>
    <w:rsid w:val="001A2DE0"/>
    <w:rPr>
      <w:rFonts w:eastAsiaTheme="minorEastAsia"/>
      <w:sz w:val="20"/>
      <w:szCs w:val="20"/>
      <w:lang w:eastAsia="en-AU"/>
    </w:rPr>
  </w:style>
  <w:style w:type="paragraph" w:styleId="CommentSubject">
    <w:name w:val="annotation subject"/>
    <w:basedOn w:val="CommentText"/>
    <w:next w:val="CommentText"/>
    <w:link w:val="CommentSubjectChar"/>
    <w:uiPriority w:val="99"/>
    <w:semiHidden/>
    <w:unhideWhenUsed/>
    <w:rsid w:val="001A2DE0"/>
    <w:rPr>
      <w:b/>
      <w:bCs/>
    </w:rPr>
  </w:style>
  <w:style w:type="character" w:customStyle="1" w:styleId="CommentSubjectChar">
    <w:name w:val="Comment Subject Char"/>
    <w:basedOn w:val="CommentTextChar"/>
    <w:link w:val="CommentSubject"/>
    <w:uiPriority w:val="99"/>
    <w:semiHidden/>
    <w:rsid w:val="001A2DE0"/>
    <w:rPr>
      <w:rFonts w:eastAsiaTheme="minorEastAsia"/>
      <w:b/>
      <w:bCs/>
      <w:sz w:val="20"/>
      <w:szCs w:val="20"/>
      <w:lang w:eastAsia="en-AU"/>
    </w:rPr>
  </w:style>
  <w:style w:type="character" w:customStyle="1" w:styleId="ListParagraphChar">
    <w:name w:val="List Paragraph Char"/>
    <w:basedOn w:val="DefaultParagraphFont"/>
    <w:link w:val="ListParagraph"/>
    <w:uiPriority w:val="34"/>
    <w:rsid w:val="00AA5394"/>
    <w:rPr>
      <w:rFonts w:eastAsiaTheme="minorEastAsia"/>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675676">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62904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64554E6-6D1C-44F8-B4DF-DA5467100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85DCB72</Template>
  <TotalTime>1</TotalTime>
  <Pages>7</Pages>
  <Words>1812</Words>
  <Characters>10330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12118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Smith, Deanne</dc:creator>
  <cp:lastModifiedBy>Wong, Eva</cp:lastModifiedBy>
  <cp:revision>2</cp:revision>
  <cp:lastPrinted>2016-12-08T00:49:00Z</cp:lastPrinted>
  <dcterms:created xsi:type="dcterms:W3CDTF">2016-12-08T06:24:00Z</dcterms:created>
  <dcterms:modified xsi:type="dcterms:W3CDTF">2016-12-08T06:24:00Z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\\cdchnas-evs02\home$\ewong\attachment c - the aers practice guide for compliance audits (D2016-00135709).docx</vt:lpwstr>
  </property>
</Properties>
</file>