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F6" w:rsidRDefault="002F00E5" w:rsidP="00951978">
      <w:r w:rsidRPr="00FA042E">
        <w:rPr>
          <w:noProof/>
          <w:lang w:eastAsia="en-AU"/>
        </w:rPr>
        <w:drawing>
          <wp:anchor distT="0" distB="0" distL="114300" distR="114300" simplePos="0" relativeHeight="251659264" behindDoc="1" locked="0" layoutInCell="1" allowOverlap="1" wp14:anchorId="15BF65A5" wp14:editId="6AAB303F">
            <wp:simplePos x="0" y="0"/>
            <wp:positionH relativeFrom="column">
              <wp:posOffset>-1145416</wp:posOffset>
            </wp:positionH>
            <wp:positionV relativeFrom="paragraph">
              <wp:posOffset>-914400</wp:posOffset>
            </wp:positionV>
            <wp:extent cx="7656187" cy="109609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9159" cy="10965180"/>
                    </a:xfrm>
                    <a:prstGeom prst="rect">
                      <a:avLst/>
                    </a:prstGeom>
                    <a:noFill/>
                  </pic:spPr>
                </pic:pic>
              </a:graphicData>
            </a:graphic>
            <wp14:sizeRelH relativeFrom="page">
              <wp14:pctWidth>0</wp14:pctWidth>
            </wp14:sizeRelH>
            <wp14:sizeRelV relativeFrom="page">
              <wp14:pctHeight>0</wp14:pctHeight>
            </wp14:sizeRelV>
          </wp:anchor>
        </w:drawing>
      </w:r>
      <w:r w:rsidR="004768F6">
        <w:t xml:space="preserve"> </w:t>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3454B"/>
        <w:p w:rsidR="00FA042E" w:rsidRPr="00FA042E" w:rsidRDefault="00FA042E" w:rsidP="00F3454B"/>
        <w:p w:rsidR="00FA042E" w:rsidRPr="00FA042E" w:rsidRDefault="00FA042E" w:rsidP="00F3454B"/>
        <w:p w:rsidR="00FA042E" w:rsidRPr="00FA042E" w:rsidRDefault="00FA042E" w:rsidP="00F3454B"/>
        <w:p w:rsidR="0044339F" w:rsidRDefault="00185151" w:rsidP="00327A1E">
          <w:pPr>
            <w:pStyle w:val="ReportTitle"/>
          </w:pPr>
          <w:r>
            <w:t xml:space="preserve">DRAFT </w:t>
          </w:r>
        </w:p>
        <w:p w:rsidR="00FA042E" w:rsidRPr="00FA042E" w:rsidRDefault="0044339F" w:rsidP="00327A1E">
          <w:pPr>
            <w:pStyle w:val="ReportTitle"/>
          </w:pPr>
          <w:r>
            <w:t xml:space="preserve">Amended </w:t>
          </w:r>
          <w:r w:rsidR="007C32A5" w:rsidRPr="007C32A5">
            <w:t>Ri</w:t>
          </w:r>
          <w:bookmarkStart w:id="0" w:name="_GoBack"/>
          <w:bookmarkEnd w:id="0"/>
          <w:r w:rsidR="007C32A5" w:rsidRPr="007C32A5">
            <w:t>ng-fe</w:t>
          </w:r>
          <w:r w:rsidR="007C32A5">
            <w:t xml:space="preserve">ncing Guideline </w:t>
          </w:r>
        </w:p>
        <w:p w:rsidR="00FA042E" w:rsidRPr="00FA042E" w:rsidRDefault="007C32A5" w:rsidP="00327A1E">
          <w:pPr>
            <w:pStyle w:val="ReportSubtitle"/>
          </w:pPr>
          <w:r>
            <w:t>Explanatory Statement</w:t>
          </w:r>
        </w:p>
        <w:p w:rsidR="00FA042E" w:rsidRPr="00FA042E" w:rsidRDefault="007C32A5" w:rsidP="00327A1E">
          <w:pPr>
            <w:pStyle w:val="ReportDate"/>
          </w:pPr>
          <w:r>
            <w:t>J</w:t>
          </w:r>
          <w:r w:rsidR="0051254F">
            <w:t>uly</w:t>
          </w:r>
          <w:r w:rsidR="00FA042E" w:rsidRPr="00FA042E">
            <w:t xml:space="preserve"> 201</w:t>
          </w:r>
          <w:r w:rsidR="00782C38">
            <w:t>7</w:t>
          </w:r>
        </w:p>
        <w:p w:rsidR="0044339F" w:rsidRDefault="00FA042E" w:rsidP="0044339F">
          <w:r w:rsidRPr="00FA042E">
            <w:br w:type="page"/>
          </w:r>
        </w:p>
      </w:sdtContent>
    </w:sdt>
    <w:p w:rsidR="000A6C7B" w:rsidRDefault="000A6C7B" w:rsidP="00327A1E">
      <w:pPr>
        <w:pStyle w:val="Copyright"/>
      </w:pPr>
      <w:r>
        <w:lastRenderedPageBreak/>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Dire</w:t>
      </w:r>
      <w:r w:rsidR="00F925B0">
        <w:t>ctor, Corporate Communications</w:t>
      </w:r>
      <w:r w:rsidR="007A4D1F">
        <w:br/>
      </w:r>
      <w:r>
        <w:t>Australian Compe</w:t>
      </w:r>
      <w:r w:rsidR="00F925B0">
        <w:t>tition and Consumer Commission</w:t>
      </w:r>
      <w:r w:rsidR="007A4D1F">
        <w:br/>
      </w:r>
      <w:r>
        <w:t xml:space="preserve">GPO Box </w:t>
      </w:r>
      <w:r w:rsidR="00872B78">
        <w:t>3</w:t>
      </w:r>
      <w:r>
        <w:t>1</w:t>
      </w:r>
      <w:r w:rsidR="00872B78">
        <w:t>3</w:t>
      </w:r>
      <w:r w:rsidR="00F925B0">
        <w:t>1</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w:t>
      </w:r>
      <w:r w:rsidR="00781D2B">
        <w:t>IC</w:t>
      </w:r>
      <w:r>
        <w:t xml:space="preserve">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7A3D24">
        <w:t>61887</w:t>
      </w:r>
      <w:r w:rsidR="00F925B0">
        <w:t>,</w:t>
      </w:r>
      <w:r w:rsidR="003B3F2D">
        <w:t xml:space="preserve"> D17</w:t>
      </w:r>
      <w:r w:rsidR="00F925B0">
        <w:t>/</w:t>
      </w:r>
      <w:r w:rsidR="003B3F2D">
        <w:t>72141</w:t>
      </w:r>
    </w:p>
    <w:p w:rsidR="000A6C7B" w:rsidRDefault="000A6C7B" w:rsidP="000A6C7B"/>
    <w:p w:rsidR="002010BC" w:rsidRDefault="002010BC">
      <w:pPr>
        <w:spacing w:line="240" w:lineRule="auto"/>
      </w:pPr>
      <w:r>
        <w:br w:type="page"/>
      </w:r>
    </w:p>
    <w:p w:rsidR="002010BC" w:rsidRDefault="00A75077" w:rsidP="00A75077">
      <w:pPr>
        <w:pStyle w:val="TOCHeading"/>
      </w:pPr>
      <w:r>
        <w:lastRenderedPageBreak/>
        <w:t>Contents</w:t>
      </w:r>
    </w:p>
    <w:p w:rsidR="009C7B9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6932504" w:history="1">
        <w:r w:rsidR="009C7B97" w:rsidRPr="00533C91">
          <w:rPr>
            <w:rStyle w:val="Hyperlink"/>
          </w:rPr>
          <w:t>Request for submissions</w:t>
        </w:r>
        <w:r w:rsidR="009C7B97">
          <w:rPr>
            <w:webHidden/>
          </w:rPr>
          <w:tab/>
        </w:r>
        <w:r w:rsidR="009C7B97">
          <w:rPr>
            <w:webHidden/>
          </w:rPr>
          <w:fldChar w:fldCharType="begin"/>
        </w:r>
        <w:r w:rsidR="009C7B97">
          <w:rPr>
            <w:webHidden/>
          </w:rPr>
          <w:instrText xml:space="preserve"> PAGEREF _Toc486932504 \h </w:instrText>
        </w:r>
        <w:r w:rsidR="009C7B97">
          <w:rPr>
            <w:webHidden/>
          </w:rPr>
        </w:r>
        <w:r w:rsidR="009C7B97">
          <w:rPr>
            <w:webHidden/>
          </w:rPr>
          <w:fldChar w:fldCharType="separate"/>
        </w:r>
        <w:r w:rsidR="009C7B97">
          <w:rPr>
            <w:webHidden/>
          </w:rPr>
          <w:t>1</w:t>
        </w:r>
        <w:r w:rsidR="009C7B97">
          <w:rPr>
            <w:webHidden/>
          </w:rPr>
          <w:fldChar w:fldCharType="end"/>
        </w:r>
      </w:hyperlink>
    </w:p>
    <w:p w:rsidR="009C7B97" w:rsidRDefault="00DA4BE9">
      <w:pPr>
        <w:pStyle w:val="TOC1"/>
        <w:rPr>
          <w:rFonts w:asciiTheme="minorHAnsi" w:eastAsiaTheme="minorEastAsia" w:hAnsiTheme="minorHAnsi"/>
          <w:b w:val="0"/>
          <w:color w:val="auto"/>
          <w:sz w:val="22"/>
          <w:lang w:val="en-AU" w:eastAsia="en-AU"/>
        </w:rPr>
      </w:pPr>
      <w:hyperlink w:anchor="_Toc486932505" w:history="1">
        <w:r w:rsidR="009C7B97" w:rsidRPr="00533C91">
          <w:rPr>
            <w:rStyle w:val="Hyperlink"/>
          </w:rPr>
          <w:t>Shortened forms</w:t>
        </w:r>
        <w:r w:rsidR="009C7B97">
          <w:rPr>
            <w:webHidden/>
          </w:rPr>
          <w:tab/>
        </w:r>
        <w:r w:rsidR="009C7B97">
          <w:rPr>
            <w:webHidden/>
          </w:rPr>
          <w:fldChar w:fldCharType="begin"/>
        </w:r>
        <w:r w:rsidR="009C7B97">
          <w:rPr>
            <w:webHidden/>
          </w:rPr>
          <w:instrText xml:space="preserve"> PAGEREF _Toc486932505 \h </w:instrText>
        </w:r>
        <w:r w:rsidR="009C7B97">
          <w:rPr>
            <w:webHidden/>
          </w:rPr>
        </w:r>
        <w:r w:rsidR="009C7B97">
          <w:rPr>
            <w:webHidden/>
          </w:rPr>
          <w:fldChar w:fldCharType="separate"/>
        </w:r>
        <w:r w:rsidR="009C7B97">
          <w:rPr>
            <w:webHidden/>
          </w:rPr>
          <w:t>2</w:t>
        </w:r>
        <w:r w:rsidR="009C7B97">
          <w:rPr>
            <w:webHidden/>
          </w:rPr>
          <w:fldChar w:fldCharType="end"/>
        </w:r>
      </w:hyperlink>
    </w:p>
    <w:p w:rsidR="009C7B97" w:rsidRDefault="00DA4BE9">
      <w:pPr>
        <w:pStyle w:val="TOC1"/>
        <w:rPr>
          <w:rFonts w:asciiTheme="minorHAnsi" w:eastAsiaTheme="minorEastAsia" w:hAnsiTheme="minorHAnsi"/>
          <w:b w:val="0"/>
          <w:color w:val="auto"/>
          <w:sz w:val="22"/>
          <w:lang w:val="en-AU" w:eastAsia="en-AU"/>
        </w:rPr>
      </w:pPr>
      <w:hyperlink w:anchor="_Toc486932506" w:history="1">
        <w:r w:rsidR="009C7B97" w:rsidRPr="00533C91">
          <w:rPr>
            <w:rStyle w:val="Hyperlink"/>
          </w:rPr>
          <w:t>Definitions</w:t>
        </w:r>
        <w:r w:rsidR="009C7B97">
          <w:rPr>
            <w:webHidden/>
          </w:rPr>
          <w:tab/>
        </w:r>
        <w:r w:rsidR="009C7B97">
          <w:rPr>
            <w:webHidden/>
          </w:rPr>
          <w:fldChar w:fldCharType="begin"/>
        </w:r>
        <w:r w:rsidR="009C7B97">
          <w:rPr>
            <w:webHidden/>
          </w:rPr>
          <w:instrText xml:space="preserve"> PAGEREF _Toc486932506 \h </w:instrText>
        </w:r>
        <w:r w:rsidR="009C7B97">
          <w:rPr>
            <w:webHidden/>
          </w:rPr>
        </w:r>
        <w:r w:rsidR="009C7B97">
          <w:rPr>
            <w:webHidden/>
          </w:rPr>
          <w:fldChar w:fldCharType="separate"/>
        </w:r>
        <w:r w:rsidR="009C7B97">
          <w:rPr>
            <w:webHidden/>
          </w:rPr>
          <w:t>3</w:t>
        </w:r>
        <w:r w:rsidR="009C7B97">
          <w:rPr>
            <w:webHidden/>
          </w:rPr>
          <w:fldChar w:fldCharType="end"/>
        </w:r>
      </w:hyperlink>
    </w:p>
    <w:p w:rsidR="009C7B97" w:rsidRDefault="00DA4BE9">
      <w:pPr>
        <w:pStyle w:val="TOC1"/>
        <w:rPr>
          <w:rFonts w:asciiTheme="minorHAnsi" w:eastAsiaTheme="minorEastAsia" w:hAnsiTheme="minorHAnsi"/>
          <w:b w:val="0"/>
          <w:color w:val="auto"/>
          <w:sz w:val="22"/>
          <w:lang w:val="en-AU" w:eastAsia="en-AU"/>
        </w:rPr>
      </w:pPr>
      <w:hyperlink w:anchor="_Toc486932507" w:history="1">
        <w:r w:rsidR="009C7B97" w:rsidRPr="00533C91">
          <w:rPr>
            <w:rStyle w:val="Hyperlink"/>
          </w:rPr>
          <w:t>1</w:t>
        </w:r>
        <w:r w:rsidR="009C7B97">
          <w:rPr>
            <w:rFonts w:asciiTheme="minorHAnsi" w:eastAsiaTheme="minorEastAsia" w:hAnsiTheme="minorHAnsi"/>
            <w:b w:val="0"/>
            <w:color w:val="auto"/>
            <w:sz w:val="22"/>
            <w:lang w:val="en-AU" w:eastAsia="en-AU"/>
          </w:rPr>
          <w:tab/>
        </w:r>
        <w:r w:rsidR="009C7B97" w:rsidRPr="00533C91">
          <w:rPr>
            <w:rStyle w:val="Hyperlink"/>
          </w:rPr>
          <w:t>About the Ring-fencing Guideline amendment</w:t>
        </w:r>
        <w:r w:rsidR="009C7B97">
          <w:rPr>
            <w:webHidden/>
          </w:rPr>
          <w:tab/>
        </w:r>
        <w:r w:rsidR="009C7B97">
          <w:rPr>
            <w:webHidden/>
          </w:rPr>
          <w:fldChar w:fldCharType="begin"/>
        </w:r>
        <w:r w:rsidR="009C7B97">
          <w:rPr>
            <w:webHidden/>
          </w:rPr>
          <w:instrText xml:space="preserve"> PAGEREF _Toc486932507 \h </w:instrText>
        </w:r>
        <w:r w:rsidR="009C7B97">
          <w:rPr>
            <w:webHidden/>
          </w:rPr>
        </w:r>
        <w:r w:rsidR="009C7B97">
          <w:rPr>
            <w:webHidden/>
          </w:rPr>
          <w:fldChar w:fldCharType="separate"/>
        </w:r>
        <w:r w:rsidR="009C7B97">
          <w:rPr>
            <w:webHidden/>
          </w:rPr>
          <w:t>6</w:t>
        </w:r>
        <w:r w:rsidR="009C7B97">
          <w:rPr>
            <w:webHidden/>
          </w:rPr>
          <w:fldChar w:fldCharType="end"/>
        </w:r>
      </w:hyperlink>
    </w:p>
    <w:p w:rsidR="009C7B97" w:rsidRDefault="00DA4BE9">
      <w:pPr>
        <w:pStyle w:val="TOC2"/>
        <w:rPr>
          <w:rFonts w:asciiTheme="minorHAnsi" w:eastAsiaTheme="minorEastAsia" w:hAnsiTheme="minorHAnsi"/>
          <w:b w:val="0"/>
          <w:color w:val="auto"/>
          <w:sz w:val="22"/>
          <w:lang w:eastAsia="en-AU"/>
        </w:rPr>
      </w:pPr>
      <w:hyperlink w:anchor="_Toc486932508" w:history="1">
        <w:r w:rsidR="009C7B97" w:rsidRPr="00533C91">
          <w:rPr>
            <w:rStyle w:val="Hyperlink"/>
          </w:rPr>
          <w:t>1.1</w:t>
        </w:r>
        <w:r w:rsidR="009C7B97">
          <w:rPr>
            <w:rFonts w:asciiTheme="minorHAnsi" w:eastAsiaTheme="minorEastAsia" w:hAnsiTheme="minorHAnsi"/>
            <w:b w:val="0"/>
            <w:color w:val="auto"/>
            <w:sz w:val="22"/>
            <w:lang w:eastAsia="en-AU"/>
          </w:rPr>
          <w:tab/>
        </w:r>
        <w:r w:rsidR="009C7B97" w:rsidRPr="00533C91">
          <w:rPr>
            <w:rStyle w:val="Hyperlink"/>
          </w:rPr>
          <w:t>Background to the Ring-fencing Guideline</w:t>
        </w:r>
        <w:r w:rsidR="009C7B97">
          <w:rPr>
            <w:webHidden/>
          </w:rPr>
          <w:tab/>
        </w:r>
        <w:r w:rsidR="009C7B97">
          <w:rPr>
            <w:webHidden/>
          </w:rPr>
          <w:fldChar w:fldCharType="begin"/>
        </w:r>
        <w:r w:rsidR="009C7B97">
          <w:rPr>
            <w:webHidden/>
          </w:rPr>
          <w:instrText xml:space="preserve"> PAGEREF _Toc486932508 \h </w:instrText>
        </w:r>
        <w:r w:rsidR="009C7B97">
          <w:rPr>
            <w:webHidden/>
          </w:rPr>
        </w:r>
        <w:r w:rsidR="009C7B97">
          <w:rPr>
            <w:webHidden/>
          </w:rPr>
          <w:fldChar w:fldCharType="separate"/>
        </w:r>
        <w:r w:rsidR="009C7B97">
          <w:rPr>
            <w:webHidden/>
          </w:rPr>
          <w:t>6</w:t>
        </w:r>
        <w:r w:rsidR="009C7B97">
          <w:rPr>
            <w:webHidden/>
          </w:rPr>
          <w:fldChar w:fldCharType="end"/>
        </w:r>
      </w:hyperlink>
    </w:p>
    <w:p w:rsidR="009C7B97" w:rsidRDefault="00DA4BE9">
      <w:pPr>
        <w:pStyle w:val="TOC2"/>
        <w:rPr>
          <w:rFonts w:asciiTheme="minorHAnsi" w:eastAsiaTheme="minorEastAsia" w:hAnsiTheme="minorHAnsi"/>
          <w:b w:val="0"/>
          <w:color w:val="auto"/>
          <w:sz w:val="22"/>
          <w:lang w:eastAsia="en-AU"/>
        </w:rPr>
      </w:pPr>
      <w:hyperlink w:anchor="_Toc486932509" w:history="1">
        <w:r w:rsidR="009C7B97" w:rsidRPr="00533C91">
          <w:rPr>
            <w:rStyle w:val="Hyperlink"/>
          </w:rPr>
          <w:t>1.2</w:t>
        </w:r>
        <w:r w:rsidR="009C7B97">
          <w:rPr>
            <w:rFonts w:asciiTheme="minorHAnsi" w:eastAsiaTheme="minorEastAsia" w:hAnsiTheme="minorHAnsi"/>
            <w:b w:val="0"/>
            <w:color w:val="auto"/>
            <w:sz w:val="22"/>
            <w:lang w:eastAsia="en-AU"/>
          </w:rPr>
          <w:tab/>
        </w:r>
        <w:r w:rsidR="009C7B97" w:rsidRPr="00533C91">
          <w:rPr>
            <w:rStyle w:val="Hyperlink"/>
          </w:rPr>
          <w:t>Rule Requirements</w:t>
        </w:r>
        <w:r w:rsidR="009C7B97">
          <w:rPr>
            <w:webHidden/>
          </w:rPr>
          <w:tab/>
        </w:r>
        <w:r w:rsidR="009C7B97">
          <w:rPr>
            <w:webHidden/>
          </w:rPr>
          <w:fldChar w:fldCharType="begin"/>
        </w:r>
        <w:r w:rsidR="009C7B97">
          <w:rPr>
            <w:webHidden/>
          </w:rPr>
          <w:instrText xml:space="preserve"> PAGEREF _Toc486932509 \h </w:instrText>
        </w:r>
        <w:r w:rsidR="009C7B97">
          <w:rPr>
            <w:webHidden/>
          </w:rPr>
        </w:r>
        <w:r w:rsidR="009C7B97">
          <w:rPr>
            <w:webHidden/>
          </w:rPr>
          <w:fldChar w:fldCharType="separate"/>
        </w:r>
        <w:r w:rsidR="009C7B97">
          <w:rPr>
            <w:webHidden/>
          </w:rPr>
          <w:t>7</w:t>
        </w:r>
        <w:r w:rsidR="009C7B97">
          <w:rPr>
            <w:webHidden/>
          </w:rPr>
          <w:fldChar w:fldCharType="end"/>
        </w:r>
      </w:hyperlink>
    </w:p>
    <w:p w:rsidR="009C7B97" w:rsidRDefault="00DA4BE9">
      <w:pPr>
        <w:pStyle w:val="TOC2"/>
        <w:rPr>
          <w:rFonts w:asciiTheme="minorHAnsi" w:eastAsiaTheme="minorEastAsia" w:hAnsiTheme="minorHAnsi"/>
          <w:b w:val="0"/>
          <w:color w:val="auto"/>
          <w:sz w:val="22"/>
          <w:lang w:eastAsia="en-AU"/>
        </w:rPr>
      </w:pPr>
      <w:hyperlink w:anchor="_Toc486932510" w:history="1">
        <w:r w:rsidR="009C7B97" w:rsidRPr="00533C91">
          <w:rPr>
            <w:rStyle w:val="Hyperlink"/>
          </w:rPr>
          <w:t>1.3</w:t>
        </w:r>
        <w:r w:rsidR="009C7B97">
          <w:rPr>
            <w:rFonts w:asciiTheme="minorHAnsi" w:eastAsiaTheme="minorEastAsia" w:hAnsiTheme="minorHAnsi"/>
            <w:b w:val="0"/>
            <w:color w:val="auto"/>
            <w:sz w:val="22"/>
            <w:lang w:eastAsia="en-AU"/>
          </w:rPr>
          <w:tab/>
        </w:r>
        <w:r w:rsidR="009C7B97" w:rsidRPr="00533C91">
          <w:rPr>
            <w:rStyle w:val="Hyperlink"/>
          </w:rPr>
          <w:t>Indicative timetable</w:t>
        </w:r>
        <w:r w:rsidR="009C7B97">
          <w:rPr>
            <w:webHidden/>
          </w:rPr>
          <w:tab/>
        </w:r>
        <w:r w:rsidR="009C7B97">
          <w:rPr>
            <w:webHidden/>
          </w:rPr>
          <w:fldChar w:fldCharType="begin"/>
        </w:r>
        <w:r w:rsidR="009C7B97">
          <w:rPr>
            <w:webHidden/>
          </w:rPr>
          <w:instrText xml:space="preserve"> PAGEREF _Toc486932510 \h </w:instrText>
        </w:r>
        <w:r w:rsidR="009C7B97">
          <w:rPr>
            <w:webHidden/>
          </w:rPr>
        </w:r>
        <w:r w:rsidR="009C7B97">
          <w:rPr>
            <w:webHidden/>
          </w:rPr>
          <w:fldChar w:fldCharType="separate"/>
        </w:r>
        <w:r w:rsidR="009C7B97">
          <w:rPr>
            <w:webHidden/>
          </w:rPr>
          <w:t>8</w:t>
        </w:r>
        <w:r w:rsidR="009C7B97">
          <w:rPr>
            <w:webHidden/>
          </w:rPr>
          <w:fldChar w:fldCharType="end"/>
        </w:r>
      </w:hyperlink>
    </w:p>
    <w:p w:rsidR="009C7B97" w:rsidRDefault="00DA4BE9">
      <w:pPr>
        <w:pStyle w:val="TOC1"/>
        <w:rPr>
          <w:rFonts w:asciiTheme="minorHAnsi" w:eastAsiaTheme="minorEastAsia" w:hAnsiTheme="minorHAnsi"/>
          <w:b w:val="0"/>
          <w:color w:val="auto"/>
          <w:sz w:val="22"/>
          <w:lang w:val="en-AU" w:eastAsia="en-AU"/>
        </w:rPr>
      </w:pPr>
      <w:hyperlink w:anchor="_Toc486932511" w:history="1">
        <w:r w:rsidR="009C7B97" w:rsidRPr="00533C91">
          <w:rPr>
            <w:rStyle w:val="Hyperlink"/>
          </w:rPr>
          <w:t>2</w:t>
        </w:r>
        <w:r w:rsidR="009C7B97">
          <w:rPr>
            <w:rFonts w:asciiTheme="minorHAnsi" w:eastAsiaTheme="minorEastAsia" w:hAnsiTheme="minorHAnsi"/>
            <w:b w:val="0"/>
            <w:color w:val="auto"/>
            <w:sz w:val="22"/>
            <w:lang w:val="en-AU" w:eastAsia="en-AU"/>
          </w:rPr>
          <w:tab/>
        </w:r>
        <w:r w:rsidR="009C7B97" w:rsidRPr="00533C91">
          <w:rPr>
            <w:rStyle w:val="Hyperlink"/>
          </w:rPr>
          <w:t>Proposed amendments and reasons</w:t>
        </w:r>
        <w:r w:rsidR="009C7B97">
          <w:rPr>
            <w:webHidden/>
          </w:rPr>
          <w:tab/>
        </w:r>
        <w:r w:rsidR="009C7B97">
          <w:rPr>
            <w:webHidden/>
          </w:rPr>
          <w:fldChar w:fldCharType="begin"/>
        </w:r>
        <w:r w:rsidR="009C7B97">
          <w:rPr>
            <w:webHidden/>
          </w:rPr>
          <w:instrText xml:space="preserve"> PAGEREF _Toc486932511 \h </w:instrText>
        </w:r>
        <w:r w:rsidR="009C7B97">
          <w:rPr>
            <w:webHidden/>
          </w:rPr>
        </w:r>
        <w:r w:rsidR="009C7B97">
          <w:rPr>
            <w:webHidden/>
          </w:rPr>
          <w:fldChar w:fldCharType="separate"/>
        </w:r>
        <w:r w:rsidR="009C7B97">
          <w:rPr>
            <w:webHidden/>
          </w:rPr>
          <w:t>9</w:t>
        </w:r>
        <w:r w:rsidR="009C7B97">
          <w:rPr>
            <w:webHidden/>
          </w:rPr>
          <w:fldChar w:fldCharType="end"/>
        </w:r>
      </w:hyperlink>
    </w:p>
    <w:p w:rsidR="009C7B97" w:rsidRDefault="00DA4BE9">
      <w:pPr>
        <w:pStyle w:val="TOC2"/>
        <w:rPr>
          <w:rFonts w:asciiTheme="minorHAnsi" w:eastAsiaTheme="minorEastAsia" w:hAnsiTheme="minorHAnsi"/>
          <w:b w:val="0"/>
          <w:color w:val="auto"/>
          <w:sz w:val="22"/>
          <w:lang w:eastAsia="en-AU"/>
        </w:rPr>
      </w:pPr>
      <w:hyperlink w:anchor="_Toc486932512" w:history="1">
        <w:r w:rsidR="009C7B97" w:rsidRPr="00533C91">
          <w:rPr>
            <w:rStyle w:val="Hyperlink"/>
          </w:rPr>
          <w:t>2.1</w:t>
        </w:r>
        <w:r w:rsidR="009C7B97">
          <w:rPr>
            <w:rFonts w:asciiTheme="minorHAnsi" w:eastAsiaTheme="minorEastAsia" w:hAnsiTheme="minorHAnsi"/>
            <w:b w:val="0"/>
            <w:color w:val="auto"/>
            <w:sz w:val="22"/>
            <w:lang w:eastAsia="en-AU"/>
          </w:rPr>
          <w:tab/>
        </w:r>
        <w:r w:rsidR="009C7B97" w:rsidRPr="00533C91">
          <w:rPr>
            <w:rStyle w:val="Hyperlink"/>
          </w:rPr>
          <w:t>Proposed changes</w:t>
        </w:r>
        <w:r w:rsidR="009C7B97">
          <w:rPr>
            <w:webHidden/>
          </w:rPr>
          <w:tab/>
        </w:r>
        <w:r w:rsidR="009C7B97">
          <w:rPr>
            <w:webHidden/>
          </w:rPr>
          <w:fldChar w:fldCharType="begin"/>
        </w:r>
        <w:r w:rsidR="009C7B97">
          <w:rPr>
            <w:webHidden/>
          </w:rPr>
          <w:instrText xml:space="preserve"> PAGEREF _Toc486932512 \h </w:instrText>
        </w:r>
        <w:r w:rsidR="009C7B97">
          <w:rPr>
            <w:webHidden/>
          </w:rPr>
        </w:r>
        <w:r w:rsidR="009C7B97">
          <w:rPr>
            <w:webHidden/>
          </w:rPr>
          <w:fldChar w:fldCharType="separate"/>
        </w:r>
        <w:r w:rsidR="009C7B97">
          <w:rPr>
            <w:webHidden/>
          </w:rPr>
          <w:t>9</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3" w:history="1">
        <w:r w:rsidR="009C7B97" w:rsidRPr="00533C91">
          <w:rPr>
            <w:rStyle w:val="Hyperlink"/>
          </w:rPr>
          <w:t>2.1.1</w:t>
        </w:r>
        <w:r w:rsidR="009C7B97">
          <w:rPr>
            <w:rFonts w:asciiTheme="minorHAnsi" w:eastAsiaTheme="minorEastAsia" w:hAnsiTheme="minorHAnsi"/>
            <w:lang w:eastAsia="en-AU"/>
          </w:rPr>
          <w:tab/>
        </w:r>
        <w:r w:rsidR="009C7B97" w:rsidRPr="00533C91">
          <w:rPr>
            <w:rStyle w:val="Hyperlink"/>
          </w:rPr>
          <w:t>Revised definition of 'Related Electricity Service Provider'</w:t>
        </w:r>
        <w:r w:rsidR="009C7B97">
          <w:rPr>
            <w:webHidden/>
          </w:rPr>
          <w:tab/>
        </w:r>
        <w:r w:rsidR="009C7B97">
          <w:rPr>
            <w:webHidden/>
          </w:rPr>
          <w:fldChar w:fldCharType="begin"/>
        </w:r>
        <w:r w:rsidR="009C7B97">
          <w:rPr>
            <w:webHidden/>
          </w:rPr>
          <w:instrText xml:space="preserve"> PAGEREF _Toc486932513 \h </w:instrText>
        </w:r>
        <w:r w:rsidR="009C7B97">
          <w:rPr>
            <w:webHidden/>
          </w:rPr>
        </w:r>
        <w:r w:rsidR="009C7B97">
          <w:rPr>
            <w:webHidden/>
          </w:rPr>
          <w:fldChar w:fldCharType="separate"/>
        </w:r>
        <w:r w:rsidR="009C7B97">
          <w:rPr>
            <w:webHidden/>
          </w:rPr>
          <w:t>9</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4" w:history="1">
        <w:r w:rsidR="009C7B97" w:rsidRPr="00533C91">
          <w:rPr>
            <w:rStyle w:val="Hyperlink"/>
          </w:rPr>
          <w:t>2.1.2</w:t>
        </w:r>
        <w:r w:rsidR="009C7B97">
          <w:rPr>
            <w:rFonts w:asciiTheme="minorHAnsi" w:eastAsiaTheme="minorEastAsia" w:hAnsiTheme="minorHAnsi"/>
            <w:lang w:eastAsia="en-AU"/>
          </w:rPr>
          <w:tab/>
        </w:r>
        <w:r w:rsidR="009C7B97" w:rsidRPr="00533C91">
          <w:rPr>
            <w:rStyle w:val="Hyperlink"/>
          </w:rPr>
          <w:t>Branding</w:t>
        </w:r>
        <w:r w:rsidR="009C7B97">
          <w:rPr>
            <w:webHidden/>
          </w:rPr>
          <w:tab/>
        </w:r>
        <w:r w:rsidR="009C7B97">
          <w:rPr>
            <w:webHidden/>
          </w:rPr>
          <w:fldChar w:fldCharType="begin"/>
        </w:r>
        <w:r w:rsidR="009C7B97">
          <w:rPr>
            <w:webHidden/>
          </w:rPr>
          <w:instrText xml:space="preserve"> PAGEREF _Toc486932514 \h </w:instrText>
        </w:r>
        <w:r w:rsidR="009C7B97">
          <w:rPr>
            <w:webHidden/>
          </w:rPr>
        </w:r>
        <w:r w:rsidR="009C7B97">
          <w:rPr>
            <w:webHidden/>
          </w:rPr>
          <w:fldChar w:fldCharType="separate"/>
        </w:r>
        <w:r w:rsidR="009C7B97">
          <w:rPr>
            <w:webHidden/>
          </w:rPr>
          <w:t>10</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5" w:history="1">
        <w:r w:rsidR="009C7B97" w:rsidRPr="00533C91">
          <w:rPr>
            <w:rStyle w:val="Hyperlink"/>
          </w:rPr>
          <w:t>2.1.3</w:t>
        </w:r>
        <w:r w:rsidR="009C7B97">
          <w:rPr>
            <w:rFonts w:asciiTheme="minorHAnsi" w:eastAsiaTheme="minorEastAsia" w:hAnsiTheme="minorHAnsi"/>
            <w:lang w:eastAsia="en-AU"/>
          </w:rPr>
          <w:tab/>
        </w:r>
        <w:r w:rsidR="009C7B97" w:rsidRPr="00533C91">
          <w:rPr>
            <w:rStyle w:val="Hyperlink"/>
          </w:rPr>
          <w:t>Emergency response</w:t>
        </w:r>
        <w:r w:rsidR="009C7B97">
          <w:rPr>
            <w:webHidden/>
          </w:rPr>
          <w:tab/>
        </w:r>
        <w:r w:rsidR="009C7B97">
          <w:rPr>
            <w:webHidden/>
          </w:rPr>
          <w:fldChar w:fldCharType="begin"/>
        </w:r>
        <w:r w:rsidR="009C7B97">
          <w:rPr>
            <w:webHidden/>
          </w:rPr>
          <w:instrText xml:space="preserve"> PAGEREF _Toc486932515 \h </w:instrText>
        </w:r>
        <w:r w:rsidR="009C7B97">
          <w:rPr>
            <w:webHidden/>
          </w:rPr>
        </w:r>
        <w:r w:rsidR="009C7B97">
          <w:rPr>
            <w:webHidden/>
          </w:rPr>
          <w:fldChar w:fldCharType="separate"/>
        </w:r>
        <w:r w:rsidR="009C7B97">
          <w:rPr>
            <w:webHidden/>
          </w:rPr>
          <w:t>11</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6" w:history="1">
        <w:r w:rsidR="009C7B97" w:rsidRPr="00533C91">
          <w:rPr>
            <w:rStyle w:val="Hyperlink"/>
          </w:rPr>
          <w:t>2.1.4</w:t>
        </w:r>
        <w:r w:rsidR="009C7B97">
          <w:rPr>
            <w:rFonts w:asciiTheme="minorHAnsi" w:eastAsiaTheme="minorEastAsia" w:hAnsiTheme="minorHAnsi"/>
            <w:lang w:eastAsia="en-AU"/>
          </w:rPr>
          <w:tab/>
        </w:r>
        <w:r w:rsidR="009C7B97" w:rsidRPr="00533C91">
          <w:rPr>
            <w:rStyle w:val="Hyperlink"/>
          </w:rPr>
          <w:t>Information disclosure</w:t>
        </w:r>
        <w:r w:rsidR="009C7B97">
          <w:rPr>
            <w:webHidden/>
          </w:rPr>
          <w:tab/>
        </w:r>
        <w:r w:rsidR="009C7B97">
          <w:rPr>
            <w:webHidden/>
          </w:rPr>
          <w:fldChar w:fldCharType="begin"/>
        </w:r>
        <w:r w:rsidR="009C7B97">
          <w:rPr>
            <w:webHidden/>
          </w:rPr>
          <w:instrText xml:space="preserve"> PAGEREF _Toc486932516 \h </w:instrText>
        </w:r>
        <w:r w:rsidR="009C7B97">
          <w:rPr>
            <w:webHidden/>
          </w:rPr>
        </w:r>
        <w:r w:rsidR="009C7B97">
          <w:rPr>
            <w:webHidden/>
          </w:rPr>
          <w:fldChar w:fldCharType="separate"/>
        </w:r>
        <w:r w:rsidR="009C7B97">
          <w:rPr>
            <w:webHidden/>
          </w:rPr>
          <w:t>11</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7" w:history="1">
        <w:r w:rsidR="009C7B97" w:rsidRPr="00533C91">
          <w:rPr>
            <w:rStyle w:val="Hyperlink"/>
          </w:rPr>
          <w:t>2.1.5</w:t>
        </w:r>
        <w:r w:rsidR="009C7B97">
          <w:rPr>
            <w:rFonts w:asciiTheme="minorHAnsi" w:eastAsiaTheme="minorEastAsia" w:hAnsiTheme="minorHAnsi"/>
            <w:lang w:eastAsia="en-AU"/>
          </w:rPr>
          <w:tab/>
        </w:r>
        <w:r w:rsidR="009C7B97" w:rsidRPr="00533C91">
          <w:rPr>
            <w:rStyle w:val="Hyperlink"/>
          </w:rPr>
          <w:t>Staff sharing registers</w:t>
        </w:r>
        <w:r w:rsidR="009C7B97">
          <w:rPr>
            <w:webHidden/>
          </w:rPr>
          <w:tab/>
        </w:r>
        <w:r w:rsidR="009C7B97">
          <w:rPr>
            <w:webHidden/>
          </w:rPr>
          <w:fldChar w:fldCharType="begin"/>
        </w:r>
        <w:r w:rsidR="009C7B97">
          <w:rPr>
            <w:webHidden/>
          </w:rPr>
          <w:instrText xml:space="preserve"> PAGEREF _Toc486932517 \h </w:instrText>
        </w:r>
        <w:r w:rsidR="009C7B97">
          <w:rPr>
            <w:webHidden/>
          </w:rPr>
        </w:r>
        <w:r w:rsidR="009C7B97">
          <w:rPr>
            <w:webHidden/>
          </w:rPr>
          <w:fldChar w:fldCharType="separate"/>
        </w:r>
        <w:r w:rsidR="009C7B97">
          <w:rPr>
            <w:webHidden/>
          </w:rPr>
          <w:t>12</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8" w:history="1">
        <w:r w:rsidR="009C7B97" w:rsidRPr="00533C91">
          <w:rPr>
            <w:rStyle w:val="Hyperlink"/>
          </w:rPr>
          <w:t>2.1.6</w:t>
        </w:r>
        <w:r w:rsidR="009C7B97">
          <w:rPr>
            <w:rFonts w:asciiTheme="minorHAnsi" w:eastAsiaTheme="minorEastAsia" w:hAnsiTheme="minorHAnsi"/>
            <w:lang w:eastAsia="en-AU"/>
          </w:rPr>
          <w:tab/>
        </w:r>
        <w:r w:rsidR="009C7B97" w:rsidRPr="00533C91">
          <w:rPr>
            <w:rStyle w:val="Hyperlink"/>
          </w:rPr>
          <w:t>Sharing of information</w:t>
        </w:r>
        <w:r w:rsidR="009C7B97">
          <w:rPr>
            <w:webHidden/>
          </w:rPr>
          <w:tab/>
        </w:r>
        <w:r w:rsidR="009C7B97">
          <w:rPr>
            <w:webHidden/>
          </w:rPr>
          <w:fldChar w:fldCharType="begin"/>
        </w:r>
        <w:r w:rsidR="009C7B97">
          <w:rPr>
            <w:webHidden/>
          </w:rPr>
          <w:instrText xml:space="preserve"> PAGEREF _Toc486932518 \h </w:instrText>
        </w:r>
        <w:r w:rsidR="009C7B97">
          <w:rPr>
            <w:webHidden/>
          </w:rPr>
        </w:r>
        <w:r w:rsidR="009C7B97">
          <w:rPr>
            <w:webHidden/>
          </w:rPr>
          <w:fldChar w:fldCharType="separate"/>
        </w:r>
        <w:r w:rsidR="009C7B97">
          <w:rPr>
            <w:webHidden/>
          </w:rPr>
          <w:t>12</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19" w:history="1">
        <w:r w:rsidR="009C7B97" w:rsidRPr="00533C91">
          <w:rPr>
            <w:rStyle w:val="Hyperlink"/>
          </w:rPr>
          <w:t>2.1.7</w:t>
        </w:r>
        <w:r w:rsidR="009C7B97">
          <w:rPr>
            <w:rFonts w:asciiTheme="minorHAnsi" w:eastAsiaTheme="minorEastAsia" w:hAnsiTheme="minorHAnsi"/>
            <w:lang w:eastAsia="en-AU"/>
          </w:rPr>
          <w:tab/>
        </w:r>
        <w:r w:rsidR="009C7B97" w:rsidRPr="00533C91">
          <w:rPr>
            <w:rStyle w:val="Hyperlink"/>
          </w:rPr>
          <w:t>Obligations on contractors to DNSPs</w:t>
        </w:r>
        <w:r w:rsidR="009C7B97">
          <w:rPr>
            <w:webHidden/>
          </w:rPr>
          <w:tab/>
        </w:r>
        <w:r w:rsidR="009C7B97">
          <w:rPr>
            <w:webHidden/>
          </w:rPr>
          <w:fldChar w:fldCharType="begin"/>
        </w:r>
        <w:r w:rsidR="009C7B97">
          <w:rPr>
            <w:webHidden/>
          </w:rPr>
          <w:instrText xml:space="preserve"> PAGEREF _Toc486932519 \h </w:instrText>
        </w:r>
        <w:r w:rsidR="009C7B97">
          <w:rPr>
            <w:webHidden/>
          </w:rPr>
        </w:r>
        <w:r w:rsidR="009C7B97">
          <w:rPr>
            <w:webHidden/>
          </w:rPr>
          <w:fldChar w:fldCharType="separate"/>
        </w:r>
        <w:r w:rsidR="009C7B97">
          <w:rPr>
            <w:webHidden/>
          </w:rPr>
          <w:t>12</w:t>
        </w:r>
        <w:r w:rsidR="009C7B97">
          <w:rPr>
            <w:webHidden/>
          </w:rPr>
          <w:fldChar w:fldCharType="end"/>
        </w:r>
      </w:hyperlink>
    </w:p>
    <w:p w:rsidR="009C7B97" w:rsidRDefault="00DA4BE9">
      <w:pPr>
        <w:pStyle w:val="TOC2"/>
        <w:rPr>
          <w:rFonts w:asciiTheme="minorHAnsi" w:eastAsiaTheme="minorEastAsia" w:hAnsiTheme="minorHAnsi"/>
          <w:b w:val="0"/>
          <w:color w:val="auto"/>
          <w:sz w:val="22"/>
          <w:lang w:eastAsia="en-AU"/>
        </w:rPr>
      </w:pPr>
      <w:hyperlink w:anchor="_Toc486932520" w:history="1">
        <w:r w:rsidR="009C7B97" w:rsidRPr="00533C91">
          <w:rPr>
            <w:rStyle w:val="Hyperlink"/>
          </w:rPr>
          <w:t>2.2</w:t>
        </w:r>
        <w:r w:rsidR="009C7B97">
          <w:rPr>
            <w:rFonts w:asciiTheme="minorHAnsi" w:eastAsiaTheme="minorEastAsia" w:hAnsiTheme="minorHAnsi"/>
            <w:b w:val="0"/>
            <w:color w:val="auto"/>
            <w:sz w:val="22"/>
            <w:lang w:eastAsia="en-AU"/>
          </w:rPr>
          <w:tab/>
        </w:r>
        <w:r w:rsidR="009C7B97" w:rsidRPr="00533C91">
          <w:rPr>
            <w:rStyle w:val="Hyperlink"/>
          </w:rPr>
          <w:t>Other minor changes</w:t>
        </w:r>
        <w:r w:rsidR="009C7B97">
          <w:rPr>
            <w:webHidden/>
          </w:rPr>
          <w:tab/>
        </w:r>
        <w:r w:rsidR="009C7B97">
          <w:rPr>
            <w:webHidden/>
          </w:rPr>
          <w:fldChar w:fldCharType="begin"/>
        </w:r>
        <w:r w:rsidR="009C7B97">
          <w:rPr>
            <w:webHidden/>
          </w:rPr>
          <w:instrText xml:space="preserve"> PAGEREF _Toc486932520 \h </w:instrText>
        </w:r>
        <w:r w:rsidR="009C7B97">
          <w:rPr>
            <w:webHidden/>
          </w:rPr>
        </w:r>
        <w:r w:rsidR="009C7B97">
          <w:rPr>
            <w:webHidden/>
          </w:rPr>
          <w:fldChar w:fldCharType="separate"/>
        </w:r>
        <w:r w:rsidR="009C7B97">
          <w:rPr>
            <w:webHidden/>
          </w:rPr>
          <w:t>12</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21" w:history="1">
        <w:r w:rsidR="009C7B97" w:rsidRPr="00533C91">
          <w:rPr>
            <w:rStyle w:val="Hyperlink"/>
          </w:rPr>
          <w:t>2.2.1</w:t>
        </w:r>
        <w:r w:rsidR="009C7B97">
          <w:rPr>
            <w:rFonts w:asciiTheme="minorHAnsi" w:eastAsiaTheme="minorEastAsia" w:hAnsiTheme="minorHAnsi"/>
            <w:lang w:eastAsia="en-AU"/>
          </w:rPr>
          <w:tab/>
        </w:r>
        <w:r w:rsidR="009C7B97" w:rsidRPr="00533C91">
          <w:rPr>
            <w:rStyle w:val="Hyperlink"/>
          </w:rPr>
          <w:t>Legal separation - additional examples of exempt services</w:t>
        </w:r>
        <w:r w:rsidR="009C7B97">
          <w:rPr>
            <w:webHidden/>
          </w:rPr>
          <w:tab/>
        </w:r>
        <w:r w:rsidR="009C7B97">
          <w:rPr>
            <w:webHidden/>
          </w:rPr>
          <w:fldChar w:fldCharType="begin"/>
        </w:r>
        <w:r w:rsidR="009C7B97">
          <w:rPr>
            <w:webHidden/>
          </w:rPr>
          <w:instrText xml:space="preserve"> PAGEREF _Toc486932521 \h </w:instrText>
        </w:r>
        <w:r w:rsidR="009C7B97">
          <w:rPr>
            <w:webHidden/>
          </w:rPr>
        </w:r>
        <w:r w:rsidR="009C7B97">
          <w:rPr>
            <w:webHidden/>
          </w:rPr>
          <w:fldChar w:fldCharType="separate"/>
        </w:r>
        <w:r w:rsidR="009C7B97">
          <w:rPr>
            <w:webHidden/>
          </w:rPr>
          <w:t>12</w:t>
        </w:r>
        <w:r w:rsidR="009C7B97">
          <w:rPr>
            <w:webHidden/>
          </w:rPr>
          <w:fldChar w:fldCharType="end"/>
        </w:r>
      </w:hyperlink>
    </w:p>
    <w:p w:rsidR="009C7B97" w:rsidRDefault="00DA4BE9">
      <w:pPr>
        <w:pStyle w:val="TOC3"/>
        <w:rPr>
          <w:rFonts w:asciiTheme="minorHAnsi" w:eastAsiaTheme="minorEastAsia" w:hAnsiTheme="minorHAnsi"/>
          <w:lang w:eastAsia="en-AU"/>
        </w:rPr>
      </w:pPr>
      <w:hyperlink w:anchor="_Toc486932522" w:history="1">
        <w:r w:rsidR="009C7B97" w:rsidRPr="00533C91">
          <w:rPr>
            <w:rStyle w:val="Hyperlink"/>
          </w:rPr>
          <w:t>2.2.2</w:t>
        </w:r>
        <w:r w:rsidR="009C7B97">
          <w:rPr>
            <w:rFonts w:asciiTheme="minorHAnsi" w:eastAsiaTheme="minorEastAsia" w:hAnsiTheme="minorHAnsi"/>
            <w:lang w:eastAsia="en-AU"/>
          </w:rPr>
          <w:tab/>
        </w:r>
        <w:r w:rsidR="009C7B97" w:rsidRPr="00533C91">
          <w:rPr>
            <w:rStyle w:val="Hyperlink"/>
          </w:rPr>
          <w:t>Typographical changes</w:t>
        </w:r>
        <w:r w:rsidR="009C7B97">
          <w:rPr>
            <w:webHidden/>
          </w:rPr>
          <w:tab/>
        </w:r>
        <w:r w:rsidR="009C7B97">
          <w:rPr>
            <w:webHidden/>
          </w:rPr>
          <w:fldChar w:fldCharType="begin"/>
        </w:r>
        <w:r w:rsidR="009C7B97">
          <w:rPr>
            <w:webHidden/>
          </w:rPr>
          <w:instrText xml:space="preserve"> PAGEREF _Toc486932522 \h </w:instrText>
        </w:r>
        <w:r w:rsidR="009C7B97">
          <w:rPr>
            <w:webHidden/>
          </w:rPr>
        </w:r>
        <w:r w:rsidR="009C7B97">
          <w:rPr>
            <w:webHidden/>
          </w:rPr>
          <w:fldChar w:fldCharType="separate"/>
        </w:r>
        <w:r w:rsidR="009C7B97">
          <w:rPr>
            <w:webHidden/>
          </w:rPr>
          <w:t>13</w:t>
        </w:r>
        <w:r w:rsidR="009C7B97">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3A1134" w:rsidRDefault="003A1134" w:rsidP="003A1134">
      <w:pPr>
        <w:pStyle w:val="Heading1notnumber"/>
      </w:pPr>
      <w:bookmarkStart w:id="2" w:name="_Toc483822957"/>
      <w:bookmarkStart w:id="3" w:name="_Toc486932504"/>
      <w:bookmarkEnd w:id="1"/>
      <w:r>
        <w:lastRenderedPageBreak/>
        <w:t>Request for submissions</w:t>
      </w:r>
      <w:bookmarkEnd w:id="2"/>
      <w:bookmarkEnd w:id="3"/>
    </w:p>
    <w:p w:rsidR="003A1134" w:rsidRPr="0013432D" w:rsidRDefault="003A1134" w:rsidP="003A1134">
      <w:r w:rsidRPr="0013432D">
        <w:t>Interested parties are invited to make written submissions to the Australian Energy Regulator (</w:t>
      </w:r>
      <w:r w:rsidRPr="004160E6">
        <w:rPr>
          <w:rStyle w:val="Strong"/>
        </w:rPr>
        <w:t>AER</w:t>
      </w:r>
      <w:r w:rsidRPr="0013432D">
        <w:t>) regarding this</w:t>
      </w:r>
      <w:r>
        <w:t xml:space="preserve"> paper by the close of business on</w:t>
      </w:r>
      <w:r w:rsidRPr="0013432D">
        <w:t xml:space="preserve"> </w:t>
      </w:r>
      <w:r w:rsidR="004475DB">
        <w:rPr>
          <w:rStyle w:val="Strong"/>
        </w:rPr>
        <w:t>1</w:t>
      </w:r>
      <w:r w:rsidR="009C7B97">
        <w:rPr>
          <w:rStyle w:val="Strong"/>
        </w:rPr>
        <w:t>5</w:t>
      </w:r>
      <w:r>
        <w:rPr>
          <w:rStyle w:val="Strong"/>
        </w:rPr>
        <w:t xml:space="preserve"> August</w:t>
      </w:r>
      <w:r w:rsidRPr="00F01B70">
        <w:rPr>
          <w:rStyle w:val="Strong"/>
        </w:rPr>
        <w:t xml:space="preserve"> 2017</w:t>
      </w:r>
      <w:r w:rsidRPr="0013432D">
        <w:t xml:space="preserve">. </w:t>
      </w:r>
    </w:p>
    <w:p w:rsidR="003A1134" w:rsidRPr="0013432D" w:rsidRDefault="003A1134" w:rsidP="003A1134">
      <w:r w:rsidRPr="0013432D">
        <w:t xml:space="preserve">Submissions should be sent electronically to: </w:t>
      </w:r>
      <w:r>
        <w:t>ringfencing</w:t>
      </w:r>
      <w:r w:rsidRPr="0013432D">
        <w:t>@aer.gov.au</w:t>
      </w:r>
      <w:r w:rsidR="004768F6">
        <w:t>.</w:t>
      </w:r>
      <w:r w:rsidRPr="0013432D">
        <w:t xml:space="preserve"> </w:t>
      </w:r>
    </w:p>
    <w:p w:rsidR="003A1134" w:rsidRPr="0013432D" w:rsidRDefault="003A1134" w:rsidP="003A1134">
      <w:r w:rsidRPr="0013432D">
        <w:t>Alternatively, submissions can be mailed to:</w:t>
      </w:r>
    </w:p>
    <w:p w:rsidR="003A1134" w:rsidRPr="0013432D" w:rsidRDefault="003A1134" w:rsidP="003A1134">
      <w:r w:rsidRPr="0013432D">
        <w:t>Mr Chris Pattas</w:t>
      </w:r>
    </w:p>
    <w:p w:rsidR="003A1134" w:rsidRPr="0013432D" w:rsidRDefault="003A1134" w:rsidP="003A1134">
      <w:pPr>
        <w:pStyle w:val="NoSpacing"/>
      </w:pPr>
      <w:r w:rsidRPr="0013432D">
        <w:t>General Manager, Networks</w:t>
      </w:r>
    </w:p>
    <w:p w:rsidR="003A1134" w:rsidRPr="0013432D" w:rsidRDefault="003A1134" w:rsidP="003A1134">
      <w:pPr>
        <w:pStyle w:val="NoSpacing"/>
      </w:pPr>
      <w:r w:rsidRPr="0013432D">
        <w:t>Australian Energy Regulator</w:t>
      </w:r>
    </w:p>
    <w:p w:rsidR="003A1134" w:rsidRPr="0013432D" w:rsidRDefault="003A1134" w:rsidP="003A1134">
      <w:pPr>
        <w:pStyle w:val="NoSpacing"/>
      </w:pPr>
      <w:r w:rsidRPr="0013432D">
        <w:t>GPO Box 520</w:t>
      </w:r>
    </w:p>
    <w:p w:rsidR="003A1134" w:rsidRPr="0013432D" w:rsidRDefault="003A1134" w:rsidP="003A1134">
      <w:pPr>
        <w:pStyle w:val="NoSpacing"/>
      </w:pPr>
      <w:r w:rsidRPr="0013432D">
        <w:t>Melbourne  VIC  300</w:t>
      </w:r>
      <w:r>
        <w:t>1</w:t>
      </w:r>
    </w:p>
    <w:p w:rsidR="003A1134" w:rsidRPr="0013432D" w:rsidRDefault="003A1134" w:rsidP="003A1134">
      <w:r w:rsidRPr="0013432D">
        <w:t xml:space="preserve">We prefer that all submissions be publicly available to facilitate an informed and transparent consultative process. Submissions will be treated as public documents unless otherwise requested. Parties wishing to submit confidential information are requested to: </w:t>
      </w:r>
    </w:p>
    <w:p w:rsidR="003A1134" w:rsidRPr="0013432D" w:rsidRDefault="003A1134" w:rsidP="003A1134">
      <w:pPr>
        <w:pStyle w:val="ListBullet"/>
      </w:pPr>
      <w:r w:rsidRPr="0013432D">
        <w:t>clearly identify the information that is the subject of the confidentiality claim</w:t>
      </w:r>
    </w:p>
    <w:p w:rsidR="003A1134" w:rsidRPr="0013432D" w:rsidRDefault="003A1134" w:rsidP="003A1134">
      <w:pPr>
        <w:pStyle w:val="ListBullet"/>
      </w:pPr>
      <w:r w:rsidRPr="0013432D">
        <w:t>provide a non-confidential version of the submission in a form suitable for publication.</w:t>
      </w:r>
    </w:p>
    <w:p w:rsidR="003A1134" w:rsidRPr="0013432D" w:rsidRDefault="003A1134" w:rsidP="003A1134">
      <w:r w:rsidRPr="0013432D">
        <w:t xml:space="preserve">All non-confidential submissions will be placed on our website at </w:t>
      </w:r>
      <w:hyperlink r:id="rId18" w:history="1">
        <w:r w:rsidRPr="0013432D">
          <w:t>www.aer.gov.au</w:t>
        </w:r>
      </w:hyperlink>
      <w:r w:rsidRPr="0013432D">
        <w:t xml:space="preserve">. For further information regarding our use and disclosure of information provided to </w:t>
      </w:r>
      <w:r w:rsidR="004768F6">
        <w:t>us</w:t>
      </w:r>
      <w:r w:rsidRPr="0013432D">
        <w:t xml:space="preserve">, see the ACCC/AER Information Policy, </w:t>
      </w:r>
      <w:r>
        <w:t>June 2014</w:t>
      </w:r>
      <w:r w:rsidRPr="0013432D">
        <w:t xml:space="preserve"> available on our website.</w:t>
      </w:r>
    </w:p>
    <w:p w:rsidR="003A1134" w:rsidRPr="0013432D" w:rsidRDefault="003A1134" w:rsidP="003A1134">
      <w:r w:rsidRPr="0013432D">
        <w:t xml:space="preserve">Enquiries about this paper, or about lodging submissions, should be directed </w:t>
      </w:r>
      <w:r>
        <w:t>to</w:t>
      </w:r>
      <w:r w:rsidRPr="0013432D">
        <w:t xml:space="preserve"> </w:t>
      </w:r>
      <w:r>
        <w:t>ringencing@aer.gov.au</w:t>
      </w:r>
      <w:r w:rsidRPr="0013432D">
        <w:t>.</w:t>
      </w:r>
    </w:p>
    <w:p w:rsidR="00FB676F" w:rsidRPr="0013432D" w:rsidRDefault="00FB676F" w:rsidP="00FB676F">
      <w:pPr>
        <w:pStyle w:val="Heading1notnumber"/>
      </w:pPr>
      <w:bookmarkStart w:id="4" w:name="_Toc486932505"/>
      <w:r>
        <w:lastRenderedPageBreak/>
        <w:t>S</w:t>
      </w:r>
      <w:r w:rsidRPr="0013432D">
        <w:t>hortened forms</w:t>
      </w:r>
      <w:bookmarkEnd w:id="4"/>
    </w:p>
    <w:tbl>
      <w:tblPr>
        <w:tblStyle w:val="AERTable-Text"/>
        <w:tblW w:w="0" w:type="auto"/>
        <w:tblLook w:val="04A0" w:firstRow="1" w:lastRow="0" w:firstColumn="1" w:lastColumn="0" w:noHBand="0" w:noVBand="1"/>
      </w:tblPr>
      <w:tblGrid>
        <w:gridCol w:w="2802"/>
        <w:gridCol w:w="5726"/>
      </w:tblGrid>
      <w:tr w:rsidR="00FB676F" w:rsidRPr="001D1BDB" w:rsidTr="00F3454B">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FB676F" w:rsidRPr="00FB676F" w:rsidRDefault="00FB676F" w:rsidP="00FB676F">
            <w:r w:rsidRPr="0013432D">
              <w:t>Shortened Form</w:t>
            </w:r>
          </w:p>
        </w:tc>
        <w:tc>
          <w:tcPr>
            <w:tcW w:w="5726" w:type="dxa"/>
            <w:noWrap/>
          </w:tcPr>
          <w:p w:rsidR="00FB676F" w:rsidRPr="00FB676F" w:rsidRDefault="00FB676F" w:rsidP="00FB676F">
            <w:r w:rsidRPr="0013432D">
              <w:t>Extended Form</w:t>
            </w:r>
          </w:p>
        </w:tc>
      </w:tr>
      <w:tr w:rsidR="00FB676F" w:rsidRPr="001D1BDB" w:rsidTr="00F3454B">
        <w:tc>
          <w:tcPr>
            <w:tcW w:w="2802" w:type="dxa"/>
            <w:noWrap/>
          </w:tcPr>
          <w:p w:rsidR="00FB676F" w:rsidRPr="00FB676F" w:rsidRDefault="00FB676F" w:rsidP="00FB676F">
            <w:r w:rsidRPr="0013432D">
              <w:t>AEMC</w:t>
            </w:r>
          </w:p>
        </w:tc>
        <w:tc>
          <w:tcPr>
            <w:tcW w:w="5726" w:type="dxa"/>
            <w:noWrap/>
          </w:tcPr>
          <w:p w:rsidR="00FB676F" w:rsidRPr="00FB676F" w:rsidRDefault="00FB676F" w:rsidP="00FB676F">
            <w:r w:rsidRPr="0013432D">
              <w:t xml:space="preserve">Australian Energy Market </w:t>
            </w:r>
            <w:r w:rsidRPr="00FB676F">
              <w:t>Commission</w:t>
            </w:r>
          </w:p>
        </w:tc>
      </w:tr>
      <w:tr w:rsidR="00A21CB2" w:rsidRPr="001D1BDB" w:rsidTr="00F3454B">
        <w:trPr>
          <w:cnfStyle w:val="000000010000" w:firstRow="0" w:lastRow="0" w:firstColumn="0" w:lastColumn="0" w:oddVBand="0" w:evenVBand="0" w:oddHBand="0" w:evenHBand="1" w:firstRowFirstColumn="0" w:firstRowLastColumn="0" w:lastRowFirstColumn="0" w:lastRowLastColumn="0"/>
        </w:trPr>
        <w:tc>
          <w:tcPr>
            <w:tcW w:w="2802" w:type="dxa"/>
            <w:noWrap/>
          </w:tcPr>
          <w:p w:rsidR="00A21CB2" w:rsidRPr="0013432D" w:rsidRDefault="00A21CB2" w:rsidP="00FB676F">
            <w:r>
              <w:t>AEMO</w:t>
            </w:r>
          </w:p>
        </w:tc>
        <w:tc>
          <w:tcPr>
            <w:tcW w:w="5726" w:type="dxa"/>
            <w:noWrap/>
          </w:tcPr>
          <w:p w:rsidR="00A21CB2" w:rsidRPr="0013432D" w:rsidRDefault="00A21CB2" w:rsidP="00FB676F">
            <w:r>
              <w:t>Australian Energy Market Operator</w:t>
            </w:r>
          </w:p>
        </w:tc>
      </w:tr>
      <w:tr w:rsidR="00FB676F" w:rsidRPr="001D1BDB" w:rsidTr="00F3454B">
        <w:tc>
          <w:tcPr>
            <w:tcW w:w="2802" w:type="dxa"/>
            <w:noWrap/>
          </w:tcPr>
          <w:p w:rsidR="00FB676F" w:rsidRPr="00FB676F" w:rsidRDefault="00FB676F" w:rsidP="00FB676F">
            <w:r w:rsidRPr="0013432D">
              <w:t>AER</w:t>
            </w:r>
          </w:p>
        </w:tc>
        <w:tc>
          <w:tcPr>
            <w:tcW w:w="5726" w:type="dxa"/>
            <w:noWrap/>
          </w:tcPr>
          <w:p w:rsidR="00FB676F" w:rsidRPr="00FB676F" w:rsidRDefault="00FB676F" w:rsidP="00FB676F">
            <w:r w:rsidRPr="0013432D">
              <w:t>Australian Energy Regulator</w:t>
            </w:r>
          </w:p>
        </w:tc>
      </w:tr>
      <w:tr w:rsidR="00F847AF" w:rsidRPr="00864105" w:rsidTr="005563A7">
        <w:trPr>
          <w:cnfStyle w:val="000000010000" w:firstRow="0" w:lastRow="0" w:firstColumn="0" w:lastColumn="0" w:oddVBand="0" w:evenVBand="0" w:oddHBand="0" w:evenHBand="1" w:firstRowFirstColumn="0" w:firstRowLastColumn="0" w:lastRowFirstColumn="0" w:lastRowLastColumn="0"/>
        </w:trPr>
        <w:tc>
          <w:tcPr>
            <w:tcW w:w="2802" w:type="dxa"/>
          </w:tcPr>
          <w:p w:rsidR="00F847AF" w:rsidRPr="00F847AF" w:rsidRDefault="00F847AF" w:rsidP="00F847AF">
            <w:r>
              <w:t>DNSP</w:t>
            </w:r>
          </w:p>
        </w:tc>
        <w:tc>
          <w:tcPr>
            <w:tcW w:w="5726" w:type="dxa"/>
          </w:tcPr>
          <w:p w:rsidR="00F847AF" w:rsidRPr="00F847AF" w:rsidRDefault="00F847AF" w:rsidP="00F847AF">
            <w:r>
              <w:t>distribution network service provider</w:t>
            </w:r>
          </w:p>
        </w:tc>
      </w:tr>
      <w:tr w:rsidR="00FB676F" w:rsidRPr="001D1BDB" w:rsidTr="00F3454B">
        <w:tc>
          <w:tcPr>
            <w:tcW w:w="2802" w:type="dxa"/>
            <w:noWrap/>
          </w:tcPr>
          <w:p w:rsidR="00FB676F" w:rsidRPr="00FB676F" w:rsidRDefault="00FB676F" w:rsidP="00FB676F">
            <w:r>
              <w:t>Guideline</w:t>
            </w:r>
          </w:p>
        </w:tc>
        <w:tc>
          <w:tcPr>
            <w:tcW w:w="5726" w:type="dxa"/>
            <w:noWrap/>
          </w:tcPr>
          <w:p w:rsidR="00FB676F" w:rsidRPr="00FB676F" w:rsidRDefault="00FB676F" w:rsidP="00FB676F">
            <w:r>
              <w:t xml:space="preserve">Australian </w:t>
            </w:r>
            <w:r w:rsidRPr="00FB676F">
              <w:t>Energy Regulator, Electricity Distribution Ring</w:t>
            </w:r>
            <w:r w:rsidRPr="00FB676F">
              <w:noBreakHyphen/>
              <w:t>Fencing Guideline, November 2016</w:t>
            </w:r>
          </w:p>
        </w:tc>
      </w:tr>
      <w:tr w:rsidR="00FB676F" w:rsidRPr="00864105" w:rsidTr="00FB676F">
        <w:trPr>
          <w:cnfStyle w:val="000000010000" w:firstRow="0" w:lastRow="0" w:firstColumn="0" w:lastColumn="0" w:oddVBand="0" w:evenVBand="0" w:oddHBand="0" w:evenHBand="1" w:firstRowFirstColumn="0" w:firstRowLastColumn="0" w:lastRowFirstColumn="0" w:lastRowLastColumn="0"/>
        </w:trPr>
        <w:tc>
          <w:tcPr>
            <w:tcW w:w="2802" w:type="dxa"/>
          </w:tcPr>
          <w:p w:rsidR="00FB676F" w:rsidRPr="00FB676F" w:rsidRDefault="00FB676F" w:rsidP="00FB676F">
            <w:r w:rsidRPr="00C90931">
              <w:t xml:space="preserve">NER or </w:t>
            </w:r>
            <w:r w:rsidRPr="00FB676F">
              <w:t>the rules</w:t>
            </w:r>
          </w:p>
        </w:tc>
        <w:tc>
          <w:tcPr>
            <w:tcW w:w="5726" w:type="dxa"/>
          </w:tcPr>
          <w:p w:rsidR="00FB676F" w:rsidRPr="00FB676F" w:rsidRDefault="00FB676F" w:rsidP="00FB676F">
            <w:r w:rsidRPr="00C90931">
              <w:t>National Electricity Rules</w:t>
            </w:r>
          </w:p>
        </w:tc>
      </w:tr>
      <w:tr w:rsidR="00FB676F" w:rsidRPr="00864105" w:rsidTr="00FB676F">
        <w:tc>
          <w:tcPr>
            <w:tcW w:w="2802" w:type="dxa"/>
          </w:tcPr>
          <w:p w:rsidR="00FB676F" w:rsidRPr="00FB676F" w:rsidRDefault="00FB676F" w:rsidP="00FB676F">
            <w:r>
              <w:t>TNSP</w:t>
            </w:r>
          </w:p>
        </w:tc>
        <w:tc>
          <w:tcPr>
            <w:tcW w:w="5726" w:type="dxa"/>
          </w:tcPr>
          <w:p w:rsidR="00FB676F" w:rsidRPr="00FB676F" w:rsidRDefault="00FB676F" w:rsidP="00FB676F">
            <w:r>
              <w:t>transmission network</w:t>
            </w:r>
            <w:r w:rsidRPr="00FB676F">
              <w:t xml:space="preserve"> service provider</w:t>
            </w:r>
          </w:p>
        </w:tc>
      </w:tr>
    </w:tbl>
    <w:p w:rsidR="00450CD0" w:rsidRDefault="00450CD0" w:rsidP="00450CD0">
      <w:pPr>
        <w:pStyle w:val="Heading1notnumber"/>
      </w:pPr>
      <w:bookmarkStart w:id="5" w:name="_Toc468262886"/>
      <w:bookmarkStart w:id="6" w:name="_Toc486932506"/>
      <w:r>
        <w:lastRenderedPageBreak/>
        <w:t>Definitions</w:t>
      </w:r>
      <w:bookmarkEnd w:id="5"/>
      <w:bookmarkEnd w:id="6"/>
    </w:p>
    <w:tbl>
      <w:tblPr>
        <w:tblStyle w:val="AERTable-Text"/>
        <w:tblW w:w="0" w:type="auto"/>
        <w:tblLook w:val="04A0" w:firstRow="1" w:lastRow="0" w:firstColumn="1" w:lastColumn="0" w:noHBand="0" w:noVBand="1"/>
      </w:tblPr>
      <w:tblGrid>
        <w:gridCol w:w="3510"/>
        <w:gridCol w:w="5183"/>
      </w:tblGrid>
      <w:tr w:rsidR="00450CD0" w:rsidRPr="00864105" w:rsidTr="00F3454B">
        <w:trPr>
          <w:cnfStyle w:val="100000000000" w:firstRow="1" w:lastRow="0" w:firstColumn="0" w:lastColumn="0" w:oddVBand="0" w:evenVBand="0" w:oddHBand="0" w:evenHBand="0" w:firstRowFirstColumn="0" w:firstRowLastColumn="0" w:lastRowFirstColumn="0" w:lastRowLastColumn="0"/>
        </w:trPr>
        <w:tc>
          <w:tcPr>
            <w:tcW w:w="3510" w:type="dxa"/>
          </w:tcPr>
          <w:p w:rsidR="00450CD0" w:rsidRPr="00450CD0" w:rsidRDefault="00450CD0" w:rsidP="00450CD0">
            <w:r>
              <w:t>Terms</w:t>
            </w:r>
          </w:p>
        </w:tc>
        <w:tc>
          <w:tcPr>
            <w:tcW w:w="5183" w:type="dxa"/>
          </w:tcPr>
          <w:p w:rsidR="00450CD0" w:rsidRPr="00450CD0" w:rsidRDefault="00450CD0" w:rsidP="00450CD0">
            <w:r>
              <w:t>Definitions</w:t>
            </w:r>
          </w:p>
        </w:tc>
      </w:tr>
      <w:tr w:rsidR="00450CD0" w:rsidRPr="00864105" w:rsidTr="00F3454B">
        <w:tc>
          <w:tcPr>
            <w:tcW w:w="3510" w:type="dxa"/>
          </w:tcPr>
          <w:p w:rsidR="00450CD0" w:rsidRPr="00450CD0" w:rsidRDefault="00450CD0" w:rsidP="00450CD0">
            <w:r>
              <w:t xml:space="preserve">affiliated </w:t>
            </w:r>
            <w:r w:rsidRPr="00450CD0">
              <w:t>entity</w:t>
            </w:r>
          </w:p>
        </w:tc>
        <w:tc>
          <w:tcPr>
            <w:tcW w:w="5183" w:type="dxa"/>
          </w:tcPr>
          <w:p w:rsidR="00450CD0" w:rsidRPr="00450CD0" w:rsidRDefault="00450CD0" w:rsidP="00450CD0">
            <w:r>
              <w:t>in relation to a DNSP, means a legal entity:</w:t>
            </w:r>
          </w:p>
          <w:p w:rsidR="00450CD0" w:rsidRPr="00450CD0" w:rsidRDefault="00450CD0" w:rsidP="00450CD0">
            <w:r>
              <w:t>(a)</w:t>
            </w:r>
            <w:r>
              <w:tab/>
            </w:r>
            <w:r w:rsidRPr="00450CD0">
              <w:t>which is a direct or indirect shareholder in the DNSP or otherwise has a direct or indirect legal or equitable interest in the DNSP</w:t>
            </w:r>
          </w:p>
          <w:p w:rsidR="00450CD0" w:rsidRPr="00450CD0" w:rsidRDefault="00450CD0" w:rsidP="00450CD0">
            <w:r>
              <w:t>(b)</w:t>
            </w:r>
            <w:r>
              <w:tab/>
              <w:t>in which the DNSP is a direct or indirect shareholder or otherwise has a direct or indir</w:t>
            </w:r>
            <w:r w:rsidRPr="00450CD0">
              <w:t xml:space="preserve">ect legal or equitable interest </w:t>
            </w:r>
          </w:p>
          <w:p w:rsidR="00450CD0" w:rsidRPr="00450CD0" w:rsidRDefault="00450CD0" w:rsidP="00450CD0">
            <w:r>
              <w:t>(c)</w:t>
            </w:r>
            <w:r>
              <w:tab/>
              <w:t>in which a legal entity referred to in paragraph (a) or (b) is a direct or indirect shareholder or otherwise has a direct or indirect legal or equitable interest</w:t>
            </w:r>
            <w:r w:rsidRPr="00450CD0">
              <w:t xml:space="preserve"> </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Height w:val="888"/>
        </w:trPr>
        <w:tc>
          <w:tcPr>
            <w:tcW w:w="3510" w:type="dxa"/>
          </w:tcPr>
          <w:p w:rsidR="00450CD0" w:rsidRPr="00450CD0" w:rsidDel="00364DC8" w:rsidRDefault="00450CD0" w:rsidP="00450CD0">
            <w:r w:rsidRPr="00AE2B88">
              <w:t>contestable electricity services</w:t>
            </w:r>
          </w:p>
        </w:tc>
        <w:tc>
          <w:tcPr>
            <w:tcW w:w="5183" w:type="dxa"/>
          </w:tcPr>
          <w:p w:rsidR="00450CD0" w:rsidRPr="00450CD0" w:rsidRDefault="00450CD0" w:rsidP="00450CD0">
            <w:r>
              <w:t xml:space="preserve">means: </w:t>
            </w:r>
          </w:p>
          <w:p w:rsidR="00450CD0" w:rsidRPr="00450CD0" w:rsidRDefault="00450CD0" w:rsidP="00450CD0">
            <w:r>
              <w:t>(a)</w:t>
            </w:r>
            <w:r>
              <w:tab/>
              <w:t>other distribution services</w:t>
            </w:r>
            <w:r w:rsidRPr="00450CD0">
              <w:t xml:space="preserve"> and </w:t>
            </w:r>
          </w:p>
          <w:p w:rsidR="00450CD0" w:rsidRPr="00450CD0" w:rsidDel="00364DC8" w:rsidRDefault="00450CD0" w:rsidP="00450CD0">
            <w:r>
              <w:t>(b)</w:t>
            </w:r>
            <w:r>
              <w:tab/>
              <w:t>other electricity services.</w:t>
            </w:r>
          </w:p>
        </w:tc>
      </w:tr>
      <w:tr w:rsidR="00450CD0" w:rsidRPr="00864105" w:rsidTr="00F3454B">
        <w:tc>
          <w:tcPr>
            <w:tcW w:w="3510" w:type="dxa"/>
          </w:tcPr>
          <w:p w:rsidR="00450CD0" w:rsidRPr="00472CB7" w:rsidRDefault="00450CD0" w:rsidP="00450CD0"/>
        </w:tc>
        <w:tc>
          <w:tcPr>
            <w:tcW w:w="5183" w:type="dxa"/>
          </w:tcPr>
          <w:p w:rsidR="00450CD0" w:rsidRPr="00472CB7" w:rsidRDefault="00450CD0" w:rsidP="00450CD0"/>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electricity information</w:t>
            </w:r>
          </w:p>
        </w:tc>
        <w:tc>
          <w:tcPr>
            <w:tcW w:w="5183" w:type="dxa"/>
          </w:tcPr>
          <w:p w:rsidR="00450CD0" w:rsidRPr="00450CD0" w:rsidRDefault="00450CD0" w:rsidP="00450CD0">
            <w:r w:rsidRPr="00807635">
              <w:t>means information about electricity networks, electricity customers or electricity services</w:t>
            </w:r>
            <w:r w:rsidRPr="00450CD0">
              <w:t>, excluding aggregated financial information, or other service performance information, that does not relate to an identifiable customer or class of customer</w:t>
            </w:r>
          </w:p>
        </w:tc>
      </w:tr>
      <w:tr w:rsidR="00450CD0" w:rsidRPr="00864105" w:rsidTr="00F3454B">
        <w:tc>
          <w:tcPr>
            <w:tcW w:w="3510" w:type="dxa"/>
          </w:tcPr>
          <w:p w:rsidR="00450CD0" w:rsidRPr="00450CD0" w:rsidRDefault="00450CD0" w:rsidP="00450CD0">
            <w:r>
              <w:t>existing service</w:t>
            </w:r>
          </w:p>
        </w:tc>
        <w:tc>
          <w:tcPr>
            <w:tcW w:w="5183" w:type="dxa"/>
          </w:tcPr>
          <w:p w:rsidR="00450CD0" w:rsidRPr="00450CD0" w:rsidRDefault="00450CD0" w:rsidP="00450CD0">
            <w:r>
              <w:t xml:space="preserve">in relation to a DNSP </w:t>
            </w:r>
            <w:r w:rsidRPr="00450CD0">
              <w:t>means a type of service that the DNSP was providing on 1 December 2016</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information register</w:t>
            </w:r>
          </w:p>
        </w:tc>
        <w:tc>
          <w:tcPr>
            <w:tcW w:w="5183" w:type="dxa"/>
          </w:tcPr>
          <w:p w:rsidR="00450CD0" w:rsidRPr="00450CD0" w:rsidRDefault="00450CD0" w:rsidP="00781D2B">
            <w:r w:rsidRPr="000E5254">
              <w:t>means the register established and maintained by a DNSP under cl</w:t>
            </w:r>
            <w:r w:rsidR="00781D2B">
              <w:t>ause</w:t>
            </w:r>
            <w:r w:rsidRPr="00450CD0">
              <w:t xml:space="preserve"> 4.3.5 of the Guideline</w:t>
            </w:r>
          </w:p>
        </w:tc>
      </w:tr>
      <w:tr w:rsidR="00450CD0" w:rsidRPr="00864105" w:rsidTr="00F3454B">
        <w:tc>
          <w:tcPr>
            <w:tcW w:w="3510" w:type="dxa"/>
          </w:tcPr>
          <w:p w:rsidR="00450CD0" w:rsidRPr="00450CD0" w:rsidRDefault="00450CD0" w:rsidP="00450CD0">
            <w:r>
              <w:t>law</w:t>
            </w:r>
          </w:p>
        </w:tc>
        <w:tc>
          <w:tcPr>
            <w:tcW w:w="5183" w:type="dxa"/>
          </w:tcPr>
          <w:p w:rsidR="00450CD0" w:rsidRPr="00450CD0" w:rsidRDefault="00450CD0" w:rsidP="00450CD0">
            <w:r w:rsidRPr="000E5254">
              <w:t>means any law, rule, regulation or other legal obligation (however described and whether statutory or otherwise</w:t>
            </w:r>
            <w:r w:rsidRPr="00450CD0">
              <w:t>)</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Del="00C71542" w:rsidRDefault="00450CD0" w:rsidP="00450CD0">
            <w:r>
              <w:t>legal entity</w:t>
            </w:r>
          </w:p>
        </w:tc>
        <w:tc>
          <w:tcPr>
            <w:tcW w:w="5183" w:type="dxa"/>
          </w:tcPr>
          <w:p w:rsidR="00450CD0" w:rsidRPr="00450CD0" w:rsidDel="00C71542" w:rsidRDefault="00450CD0" w:rsidP="00450CD0">
            <w:r w:rsidRPr="00807635">
              <w:t>means a natural person, a body corporate (including a statutory corporation or public authority), a partnership, or a trustee of a trust</w:t>
            </w:r>
            <w:r w:rsidRPr="00450CD0">
              <w:t>, but excludes staff in their capacity as such</w:t>
            </w:r>
          </w:p>
        </w:tc>
      </w:tr>
      <w:tr w:rsidR="00450CD0" w:rsidRPr="00864105" w:rsidTr="00F3454B">
        <w:tc>
          <w:tcPr>
            <w:tcW w:w="3510" w:type="dxa"/>
          </w:tcPr>
          <w:p w:rsidR="00450CD0" w:rsidRPr="00450CD0" w:rsidRDefault="00450CD0" w:rsidP="00450CD0">
            <w:r>
              <w:t>NEL</w:t>
            </w:r>
          </w:p>
        </w:tc>
        <w:tc>
          <w:tcPr>
            <w:tcW w:w="5183" w:type="dxa"/>
          </w:tcPr>
          <w:p w:rsidR="00450CD0" w:rsidRPr="00450CD0" w:rsidRDefault="00450CD0" w:rsidP="00450CD0">
            <w:r w:rsidRPr="00D669F9">
              <w:t xml:space="preserve">means, for the purposes of the application of this Guideline in a participating jurisdiction, the National Electricity Law set out in the schedule to </w:t>
            </w:r>
            <w:r w:rsidRPr="00450CD0">
              <w:t>the National Electricity (South Australia) Act 1996 (SA), as applied by the participating jurisdiction and subject to any modification made to the National Electricity Law by that jurisdiction</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lastRenderedPageBreak/>
              <w:t>NER</w:t>
            </w:r>
          </w:p>
        </w:tc>
        <w:tc>
          <w:tcPr>
            <w:tcW w:w="5183" w:type="dxa"/>
          </w:tcPr>
          <w:p w:rsidR="00450CD0" w:rsidRPr="00450CD0" w:rsidRDefault="00450CD0" w:rsidP="00450CD0">
            <w:r w:rsidRPr="00D669F9">
              <w:t>means, for the purposes of the application of this Guideline in a participating jurisdiction, the rules called the National Electricity Rules made under Part 7 of the National Electricity Law, subject to any modification made to the National Electricity Rules by that jurisdiction</w:t>
            </w:r>
          </w:p>
        </w:tc>
      </w:tr>
      <w:tr w:rsidR="00450CD0" w:rsidRPr="00864105" w:rsidTr="00F3454B">
        <w:tc>
          <w:tcPr>
            <w:tcW w:w="3510" w:type="dxa"/>
          </w:tcPr>
          <w:p w:rsidR="00450CD0" w:rsidRPr="00450CD0" w:rsidRDefault="00450CD0" w:rsidP="00450CD0">
            <w:r>
              <w:t>non-distribution services</w:t>
            </w:r>
          </w:p>
        </w:tc>
        <w:tc>
          <w:tcPr>
            <w:tcW w:w="5183" w:type="dxa"/>
          </w:tcPr>
          <w:p w:rsidR="00450CD0" w:rsidRPr="00450CD0" w:rsidRDefault="00450CD0" w:rsidP="00450CD0">
            <w:r>
              <w:t>(a)</w:t>
            </w:r>
            <w:r>
              <w:tab/>
              <w:t xml:space="preserve">transmission services and </w:t>
            </w:r>
          </w:p>
          <w:p w:rsidR="00450CD0" w:rsidRPr="00450CD0" w:rsidRDefault="00450CD0" w:rsidP="00450CD0">
            <w:r>
              <w:t>(b)</w:t>
            </w:r>
            <w:r>
              <w:tab/>
              <w:t>other services</w:t>
            </w:r>
            <w:r w:rsidRPr="00450CD0">
              <w:t xml:space="preserve"> </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office</w:t>
            </w:r>
          </w:p>
        </w:tc>
        <w:tc>
          <w:tcPr>
            <w:tcW w:w="5183" w:type="dxa"/>
          </w:tcPr>
          <w:p w:rsidR="00450CD0" w:rsidRPr="00450CD0" w:rsidRDefault="00450CD0" w:rsidP="00450CD0">
            <w:r>
              <w:t>M</w:t>
            </w:r>
            <w:r w:rsidRPr="00450CD0">
              <w:t>eans, as the case may be:</w:t>
            </w:r>
          </w:p>
          <w:p w:rsidR="00450CD0" w:rsidRPr="00450CD0" w:rsidRDefault="00450CD0" w:rsidP="00450CD0">
            <w:r>
              <w:t>(a)</w:t>
            </w:r>
            <w:r>
              <w:tab/>
              <w:t xml:space="preserve">a building </w:t>
            </w:r>
          </w:p>
          <w:p w:rsidR="00450CD0" w:rsidRPr="00450CD0" w:rsidRDefault="00450CD0" w:rsidP="00450CD0">
            <w:r>
              <w:t>(b)</w:t>
            </w:r>
            <w:r>
              <w:tab/>
              <w:t xml:space="preserve">an entire floor of a building or </w:t>
            </w:r>
          </w:p>
          <w:p w:rsidR="00450CD0" w:rsidRPr="00450CD0" w:rsidRDefault="00450CD0" w:rsidP="00450CD0">
            <w:r>
              <w:t>(c)</w:t>
            </w:r>
            <w:r>
              <w:tab/>
              <w:t xml:space="preserve">a part of a building that has separate and secure access requirements such that staff from elsewhere in the building do not have unescorted </w:t>
            </w:r>
            <w:r w:rsidRPr="00450CD0">
              <w:t>access to it</w:t>
            </w:r>
          </w:p>
        </w:tc>
      </w:tr>
      <w:tr w:rsidR="00450CD0" w:rsidRPr="00864105" w:rsidTr="00F3454B">
        <w:tc>
          <w:tcPr>
            <w:tcW w:w="3510" w:type="dxa"/>
          </w:tcPr>
          <w:p w:rsidR="00450CD0" w:rsidRPr="00450CD0" w:rsidRDefault="00450CD0" w:rsidP="00450CD0">
            <w:r>
              <w:t>office register</w:t>
            </w:r>
          </w:p>
        </w:tc>
        <w:tc>
          <w:tcPr>
            <w:tcW w:w="5183" w:type="dxa"/>
          </w:tcPr>
          <w:p w:rsidR="00450CD0" w:rsidRPr="00450CD0" w:rsidRDefault="00450CD0" w:rsidP="00781D2B">
            <w:r>
              <w:t>Means the register established and maintained by a DNSP under cl</w:t>
            </w:r>
            <w:r w:rsidR="00781D2B">
              <w:t>ause</w:t>
            </w:r>
            <w:r>
              <w:t xml:space="preserve"> 4.2.4(a) of the Guideline</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officer</w:t>
            </w:r>
          </w:p>
        </w:tc>
        <w:tc>
          <w:tcPr>
            <w:tcW w:w="5183" w:type="dxa"/>
          </w:tcPr>
          <w:p w:rsidR="00450CD0" w:rsidRPr="00450CD0" w:rsidRDefault="00450CD0" w:rsidP="00450CD0">
            <w:r>
              <w:t xml:space="preserve">in relation to a legal entity (such as a DNSP) means: </w:t>
            </w:r>
          </w:p>
          <w:p w:rsidR="00450CD0" w:rsidRPr="00450CD0" w:rsidRDefault="00450CD0" w:rsidP="00450CD0">
            <w:r>
              <w:t>(a) a director or compan</w:t>
            </w:r>
            <w:r w:rsidRPr="00450CD0">
              <w:t>y secretary of the legal entity</w:t>
            </w:r>
          </w:p>
          <w:p w:rsidR="00450CD0" w:rsidRPr="00450CD0" w:rsidRDefault="00450CD0" w:rsidP="00450CD0">
            <w:r>
              <w:t xml:space="preserve">(b) a person who makes, or participates in making, decisions that affect the whole, or a substantial part, of the business of the legal entity or </w:t>
            </w:r>
          </w:p>
          <w:p w:rsidR="00450CD0" w:rsidRPr="00450CD0" w:rsidRDefault="00450CD0" w:rsidP="00450CD0">
            <w:r>
              <w:t>(c) a person who has the capacity to affect significantly the legal entity's financial standing</w:t>
            </w:r>
          </w:p>
        </w:tc>
      </w:tr>
      <w:tr w:rsidR="00450CD0" w:rsidRPr="00864105" w:rsidTr="00F3454B">
        <w:tc>
          <w:tcPr>
            <w:tcW w:w="3510" w:type="dxa"/>
          </w:tcPr>
          <w:p w:rsidR="00450CD0" w:rsidRPr="00450CD0" w:rsidRDefault="00450CD0" w:rsidP="00450CD0">
            <w:r>
              <w:t>o</w:t>
            </w:r>
            <w:r w:rsidRPr="00450CD0">
              <w:t>ther distribution services</w:t>
            </w:r>
          </w:p>
        </w:tc>
        <w:tc>
          <w:tcPr>
            <w:tcW w:w="5183" w:type="dxa"/>
          </w:tcPr>
          <w:p w:rsidR="00450CD0" w:rsidRPr="00450CD0" w:rsidRDefault="00450CD0" w:rsidP="00450CD0">
            <w:r w:rsidRPr="0013260E">
              <w:t>means distribution services other than direct control services</w:t>
            </w:r>
          </w:p>
          <w:p w:rsidR="00450CD0" w:rsidRPr="00450CD0" w:rsidRDefault="00450CD0" w:rsidP="00450CD0">
            <w:r>
              <w:t>n</w:t>
            </w:r>
            <w:r w:rsidRPr="00450CD0">
              <w:t>ote: this includes negotiated distribution services and distribution services that are not classified</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other electricity services</w:t>
            </w:r>
          </w:p>
        </w:tc>
        <w:tc>
          <w:tcPr>
            <w:tcW w:w="5183" w:type="dxa"/>
          </w:tcPr>
          <w:p w:rsidR="00450CD0" w:rsidRPr="00450CD0" w:rsidRDefault="00450CD0" w:rsidP="00450CD0">
            <w:r>
              <w:t>means services for the supply of electricity, or that are necessary or incidental to the supply of electricity</w:t>
            </w:r>
            <w:r w:rsidRPr="00450CD0">
              <w:t xml:space="preserve"> other than: </w:t>
            </w:r>
          </w:p>
          <w:p w:rsidR="00450CD0" w:rsidRPr="00450CD0" w:rsidRDefault="00450CD0" w:rsidP="00450CD0">
            <w:r>
              <w:t>(a)</w:t>
            </w:r>
            <w:r>
              <w:tab/>
              <w:t>transmission services or</w:t>
            </w:r>
          </w:p>
          <w:p w:rsidR="00450CD0" w:rsidRPr="00450CD0" w:rsidRDefault="00450CD0" w:rsidP="00450CD0">
            <w:r>
              <w:t>(b)</w:t>
            </w:r>
            <w:r>
              <w:tab/>
              <w:t>distribution services</w:t>
            </w:r>
            <w:r w:rsidRPr="00450CD0">
              <w:t xml:space="preserve"> </w:t>
            </w:r>
          </w:p>
        </w:tc>
      </w:tr>
      <w:tr w:rsidR="00450CD0" w:rsidRPr="00864105" w:rsidTr="00F3454B">
        <w:tc>
          <w:tcPr>
            <w:tcW w:w="3510" w:type="dxa"/>
          </w:tcPr>
          <w:p w:rsidR="00450CD0" w:rsidRPr="00450CD0" w:rsidRDefault="00450CD0" w:rsidP="00450CD0">
            <w:r>
              <w:t>other services</w:t>
            </w:r>
          </w:p>
        </w:tc>
        <w:tc>
          <w:tcPr>
            <w:tcW w:w="5183" w:type="dxa"/>
          </w:tcPr>
          <w:p w:rsidR="00450CD0" w:rsidRPr="00450CD0" w:rsidRDefault="00450CD0" w:rsidP="00450CD0">
            <w:r>
              <w:t xml:space="preserve">means services </w:t>
            </w:r>
            <w:r w:rsidRPr="00450CD0">
              <w:t xml:space="preserve">other than: </w:t>
            </w:r>
          </w:p>
          <w:p w:rsidR="00450CD0" w:rsidRPr="00450CD0" w:rsidRDefault="00450CD0" w:rsidP="00450CD0">
            <w:r>
              <w:t>(a) transmission services or</w:t>
            </w:r>
          </w:p>
          <w:p w:rsidR="00450CD0" w:rsidRPr="00450CD0" w:rsidRDefault="00450CD0" w:rsidP="00450CD0">
            <w:r>
              <w:t>(b) distribution services</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regional office</w:t>
            </w:r>
          </w:p>
        </w:tc>
        <w:tc>
          <w:tcPr>
            <w:tcW w:w="5183" w:type="dxa"/>
          </w:tcPr>
          <w:p w:rsidR="00450CD0" w:rsidRPr="00450CD0" w:rsidRDefault="00450CD0" w:rsidP="00450CD0">
            <w:r w:rsidRPr="005B5172">
              <w:t xml:space="preserve">means an office that has less than </w:t>
            </w:r>
            <w:r w:rsidRPr="00450CD0">
              <w:t>25,000 customer connection points within a 100 kilometre radius of that office</w:t>
            </w:r>
          </w:p>
        </w:tc>
      </w:tr>
      <w:tr w:rsidR="00450CD0" w:rsidRPr="00864105" w:rsidTr="00F3454B">
        <w:tc>
          <w:tcPr>
            <w:tcW w:w="3510" w:type="dxa"/>
          </w:tcPr>
          <w:p w:rsidR="00450CD0" w:rsidRPr="00450CD0" w:rsidRDefault="00450CD0" w:rsidP="00450CD0">
            <w:r>
              <w:lastRenderedPageBreak/>
              <w:t>staff</w:t>
            </w:r>
          </w:p>
        </w:tc>
        <w:tc>
          <w:tcPr>
            <w:tcW w:w="5183" w:type="dxa"/>
          </w:tcPr>
          <w:p w:rsidR="00450CD0" w:rsidRPr="00450CD0" w:rsidRDefault="00450CD0" w:rsidP="00450CD0">
            <w:r>
              <w:t>of an entity (such as a DNSP), includes:</w:t>
            </w:r>
          </w:p>
          <w:p w:rsidR="00450CD0" w:rsidRPr="00450CD0" w:rsidRDefault="00450CD0" w:rsidP="00450CD0">
            <w:r>
              <w:t>(a)</w:t>
            </w:r>
            <w:r>
              <w:tab/>
              <w:t>employees of the entity</w:t>
            </w:r>
          </w:p>
          <w:p w:rsidR="00450CD0" w:rsidRPr="00450CD0" w:rsidRDefault="00450CD0" w:rsidP="00450CD0">
            <w:r>
              <w:t>(b)</w:t>
            </w:r>
            <w:r>
              <w:tab/>
              <w:t>direct or indirect contractors to the entity (whether the contractors are individuals or corporate or other entities)</w:t>
            </w:r>
          </w:p>
          <w:p w:rsidR="00450CD0" w:rsidRPr="00450CD0" w:rsidRDefault="00450CD0" w:rsidP="00450CD0">
            <w:r>
              <w:t>(c)</w:t>
            </w:r>
            <w:r>
              <w:tab/>
              <w:t>employees of direct or indirect contractors to the entity</w:t>
            </w:r>
          </w:p>
          <w:p w:rsidR="00450CD0" w:rsidRPr="00450CD0" w:rsidRDefault="00450CD0" w:rsidP="00450CD0">
            <w:r>
              <w:t>(d)</w:t>
            </w:r>
            <w:r>
              <w:tab/>
              <w:t xml:space="preserve"> individuals (including secondees) otherwise made available to the entity by another </w:t>
            </w:r>
            <w:r w:rsidRPr="00450CD0">
              <w:t>entity</w:t>
            </w:r>
          </w:p>
        </w:tc>
      </w:tr>
      <w:tr w:rsidR="00450CD0" w:rsidRPr="00864105" w:rsidTr="00F3454B">
        <w:trPr>
          <w:cnfStyle w:val="000000010000" w:firstRow="0" w:lastRow="0" w:firstColumn="0" w:lastColumn="0" w:oddVBand="0" w:evenVBand="0" w:oddHBand="0" w:evenHBand="1" w:firstRowFirstColumn="0" w:firstRowLastColumn="0" w:lastRowFirstColumn="0" w:lastRowLastColumn="0"/>
        </w:trPr>
        <w:tc>
          <w:tcPr>
            <w:tcW w:w="3510" w:type="dxa"/>
          </w:tcPr>
          <w:p w:rsidR="00450CD0" w:rsidRPr="00450CD0" w:rsidRDefault="00450CD0" w:rsidP="00450CD0">
            <w:r>
              <w:t>staff position</w:t>
            </w:r>
          </w:p>
        </w:tc>
        <w:tc>
          <w:tcPr>
            <w:tcW w:w="5183" w:type="dxa"/>
          </w:tcPr>
          <w:p w:rsidR="00450CD0" w:rsidRPr="00450CD0" w:rsidRDefault="00450CD0" w:rsidP="00781D2B">
            <w:pPr>
              <w:pStyle w:val="Bulletpoint"/>
              <w:numPr>
                <w:ilvl w:val="0"/>
                <w:numId w:val="0"/>
              </w:numPr>
            </w:pPr>
            <w:r w:rsidRPr="009E4432">
              <w:t xml:space="preserve">in relation </w:t>
            </w:r>
            <w:r w:rsidRPr="00450CD0">
              <w:t xml:space="preserve">to a DNSP or a related electricity service provider, means a position within the organisational staffing structure of the DNSP or related electricity service provider (as the case may be) that involves the performance of particular roles, functions or duties. </w:t>
            </w:r>
          </w:p>
          <w:p w:rsidR="00450CD0" w:rsidRPr="00472CB7" w:rsidRDefault="00450CD0" w:rsidP="00450CD0"/>
        </w:tc>
      </w:tr>
      <w:tr w:rsidR="00450CD0" w:rsidRPr="00864105" w:rsidTr="00F3454B">
        <w:tc>
          <w:tcPr>
            <w:tcW w:w="3510" w:type="dxa"/>
          </w:tcPr>
          <w:p w:rsidR="00450CD0" w:rsidRPr="00450CD0" w:rsidRDefault="00450CD0" w:rsidP="00450CD0">
            <w:r>
              <w:t>staff register</w:t>
            </w:r>
          </w:p>
        </w:tc>
        <w:tc>
          <w:tcPr>
            <w:tcW w:w="5183" w:type="dxa"/>
          </w:tcPr>
          <w:p w:rsidR="00450CD0" w:rsidRPr="00450CD0" w:rsidRDefault="00450CD0" w:rsidP="00781D2B">
            <w:pPr>
              <w:pStyle w:val="Bulletpoint"/>
              <w:numPr>
                <w:ilvl w:val="0"/>
                <w:numId w:val="0"/>
              </w:numPr>
            </w:pPr>
            <w:r w:rsidRPr="00F35E39">
              <w:t>means the register established and ma</w:t>
            </w:r>
            <w:r w:rsidRPr="00450CD0">
              <w:t>intained by a DNSP under cl</w:t>
            </w:r>
            <w:r w:rsidR="00781D2B">
              <w:t>ause</w:t>
            </w:r>
            <w:r w:rsidRPr="00450CD0">
              <w:t xml:space="preserve"> 4.2.4(b) of the Guideline</w:t>
            </w:r>
          </w:p>
        </w:tc>
      </w:tr>
    </w:tbl>
    <w:p w:rsidR="0020492C" w:rsidRDefault="00063CD3" w:rsidP="00562632">
      <w:pPr>
        <w:pStyle w:val="Heading1"/>
      </w:pPr>
      <w:bookmarkStart w:id="7" w:name="_Toc486932507"/>
      <w:r>
        <w:lastRenderedPageBreak/>
        <w:t>About the Ring-fencing Guideline amendment</w:t>
      </w:r>
      <w:bookmarkEnd w:id="7"/>
      <w:r>
        <w:t xml:space="preserve"> </w:t>
      </w:r>
    </w:p>
    <w:p w:rsidR="002C47D5" w:rsidRDefault="00406787" w:rsidP="00063CD3">
      <w:r>
        <w:t>We published our Electricity Distribution Ring-fencing Guideline (</w:t>
      </w:r>
      <w:r w:rsidRPr="00406787">
        <w:rPr>
          <w:rStyle w:val="Strong"/>
        </w:rPr>
        <w:t>Guideline</w:t>
      </w:r>
      <w:r>
        <w:t xml:space="preserve">) on 30 November 2016. </w:t>
      </w:r>
      <w:r w:rsidR="002C47D5">
        <w:t xml:space="preserve">Since that time, we have become aware of </w:t>
      </w:r>
      <w:r w:rsidR="00912E70">
        <w:t>some</w:t>
      </w:r>
      <w:r w:rsidR="002C47D5">
        <w:t xml:space="preserve"> aspects of the Guideline that</w:t>
      </w:r>
      <w:r w:rsidR="00273D8C">
        <w:t xml:space="preserve"> </w:t>
      </w:r>
      <w:r w:rsidR="002C47D5">
        <w:t xml:space="preserve">could </w:t>
      </w:r>
      <w:r w:rsidR="00273D8C">
        <w:t xml:space="preserve">benefit from </w:t>
      </w:r>
      <w:r w:rsidR="006B50E5">
        <w:t>being made</w:t>
      </w:r>
      <w:r w:rsidR="002C47D5">
        <w:t xml:space="preserve"> clearer or </w:t>
      </w:r>
      <w:r w:rsidR="00912E70">
        <w:t xml:space="preserve">otherwise </w:t>
      </w:r>
      <w:r w:rsidR="002C47D5">
        <w:t>revised to avoid unintended consequences.</w:t>
      </w:r>
      <w:r w:rsidR="004F17BF">
        <w:t xml:space="preserve"> This Explanatory Statement provides an explanation as to the change</w:t>
      </w:r>
      <w:r w:rsidR="00273D8C">
        <w:t>s</w:t>
      </w:r>
      <w:r w:rsidR="004F17BF">
        <w:t xml:space="preserve"> we are proposing to make. </w:t>
      </w:r>
    </w:p>
    <w:p w:rsidR="00063CD3" w:rsidRDefault="002C47D5" w:rsidP="00063CD3">
      <w:r>
        <w:t xml:space="preserve">The Guideline has yet to be fully implemented by </w:t>
      </w:r>
      <w:r w:rsidR="006B50E5" w:rsidRPr="006B50E5">
        <w:t>distribution network service provider</w:t>
      </w:r>
      <w:r w:rsidR="006B50E5">
        <w:t>s</w:t>
      </w:r>
      <w:r w:rsidR="006B50E5" w:rsidRPr="006B50E5">
        <w:t xml:space="preserve"> </w:t>
      </w:r>
      <w:r w:rsidR="006B50E5">
        <w:t>(</w:t>
      </w:r>
      <w:r w:rsidRPr="006B50E5">
        <w:rPr>
          <w:rStyle w:val="Strong"/>
        </w:rPr>
        <w:t>DNSP</w:t>
      </w:r>
      <w:r>
        <w:t>s</w:t>
      </w:r>
      <w:r w:rsidR="006B50E5">
        <w:t>)</w:t>
      </w:r>
      <w:r w:rsidR="004F17BF">
        <w:t>.</w:t>
      </w:r>
      <w:r>
        <w:t xml:space="preserve"> </w:t>
      </w:r>
      <w:r w:rsidR="00DA0E78">
        <w:t>While the Guideline came into effect on 1 December 2016, full compliance is not required until 1 January 2018. This</w:t>
      </w:r>
      <w:r w:rsidR="00406787">
        <w:t xml:space="preserve"> </w:t>
      </w:r>
      <w:r w:rsidR="00DA0E78">
        <w:t xml:space="preserve">thirteen month </w:t>
      </w:r>
      <w:r w:rsidR="00406787">
        <w:t xml:space="preserve">period is </w:t>
      </w:r>
      <w:r w:rsidR="00DA0E78">
        <w:t xml:space="preserve">referred to as </w:t>
      </w:r>
      <w:r w:rsidR="00406787">
        <w:t xml:space="preserve">the implementation period. </w:t>
      </w:r>
      <w:r w:rsidR="00DA0E78">
        <w:t xml:space="preserve">During this period, DNSPs have been assessing their compliance with the Guideline and the steps needed to achieve compliance. We have been </w:t>
      </w:r>
      <w:r w:rsidR="007A44BA">
        <w:t>actively</w:t>
      </w:r>
      <w:r w:rsidR="00DA0E78">
        <w:t xml:space="preserve"> encouraging DNSPs to share with us their plans </w:t>
      </w:r>
      <w:r w:rsidR="007A44BA">
        <w:t xml:space="preserve">to achieve compliance by no later than the end of the implementation period. </w:t>
      </w:r>
      <w:r w:rsidR="00AF6251">
        <w:t xml:space="preserve">During this implementation period, in which we have been consulting with DNSPs and industry more generally, we have identified and received suggestions that some revisions to the Guideline may be </w:t>
      </w:r>
      <w:r w:rsidR="00912E70">
        <w:t>desirable</w:t>
      </w:r>
      <w:r w:rsidR="00AF6251">
        <w:t>.</w:t>
      </w:r>
    </w:p>
    <w:p w:rsidR="00E13023" w:rsidRDefault="00623A53" w:rsidP="00063CD3">
      <w:r>
        <w:t xml:space="preserve">This Explanatory Statement is </w:t>
      </w:r>
      <w:r w:rsidR="004F17BF">
        <w:t>only</w:t>
      </w:r>
      <w:r w:rsidR="007A44BA">
        <w:t xml:space="preserve"> </w:t>
      </w:r>
      <w:r>
        <w:t xml:space="preserve">concerned with </w:t>
      </w:r>
      <w:r w:rsidR="007A44BA">
        <w:t>the</w:t>
      </w:r>
      <w:r w:rsidR="00273D8C">
        <w:t>se</w:t>
      </w:r>
      <w:r w:rsidR="007A44BA">
        <w:t xml:space="preserve"> </w:t>
      </w:r>
      <w:r w:rsidR="004F17BF">
        <w:t>proposed</w:t>
      </w:r>
      <w:r>
        <w:t xml:space="preserve"> </w:t>
      </w:r>
      <w:r w:rsidR="004F17BF">
        <w:t>amendments</w:t>
      </w:r>
      <w:r>
        <w:t xml:space="preserve"> to the Guideline. </w:t>
      </w:r>
      <w:r w:rsidR="00403FE8">
        <w:t xml:space="preserve">For an explanation of the </w:t>
      </w:r>
      <w:r w:rsidR="00DA0E78">
        <w:t>G</w:t>
      </w:r>
      <w:r w:rsidR="00403FE8">
        <w:t xml:space="preserve">uideline </w:t>
      </w:r>
      <w:r w:rsidR="00912E70">
        <w:t>as a whole (which is otherwise unaffected by these proposed changes)</w:t>
      </w:r>
      <w:r w:rsidR="00403FE8">
        <w:t xml:space="preserve">, refer </w:t>
      </w:r>
      <w:r w:rsidR="00DA0E78">
        <w:t>to</w:t>
      </w:r>
      <w:r>
        <w:t xml:space="preserve"> the Explanatory Statement </w:t>
      </w:r>
      <w:r w:rsidR="00403FE8">
        <w:t>that accompanied</w:t>
      </w:r>
      <w:r>
        <w:t xml:space="preserve"> </w:t>
      </w:r>
      <w:r w:rsidR="00403FE8">
        <w:t>our</w:t>
      </w:r>
      <w:r>
        <w:t xml:space="preserve"> Guideline in November 2016. These documents can be found of the AER's website.</w:t>
      </w:r>
    </w:p>
    <w:p w:rsidR="00E13023" w:rsidRDefault="002C47D5" w:rsidP="00063CD3">
      <w:r>
        <w:t>This</w:t>
      </w:r>
      <w:r w:rsidR="00E13023">
        <w:t xml:space="preserve"> Guideline amendment process </w:t>
      </w:r>
      <w:r>
        <w:t xml:space="preserve">is only intended to address the need for improved clarity and to </w:t>
      </w:r>
      <w:r w:rsidR="00273D8C">
        <w:t>address</w:t>
      </w:r>
      <w:r>
        <w:t xml:space="preserve"> unintended consequences stemming from the way the Guideline is presently drafted. We do not intend to reconsider the scope or intent of the Guideline</w:t>
      </w:r>
      <w:r w:rsidR="00912E70">
        <w:t xml:space="preserve"> or to look at any broader changes</w:t>
      </w:r>
      <w:r>
        <w:t xml:space="preserve">. This is because insufficient time has passed to </w:t>
      </w:r>
      <w:r w:rsidR="004F17BF">
        <w:t>warrant a review of</w:t>
      </w:r>
      <w:r>
        <w:t xml:space="preserve"> whether </w:t>
      </w:r>
      <w:r w:rsidR="004F17BF">
        <w:t xml:space="preserve">or not </w:t>
      </w:r>
      <w:r>
        <w:t>the Guideline is working as intended.</w:t>
      </w:r>
      <w:r w:rsidR="00F84F10">
        <w:t xml:space="preserve"> </w:t>
      </w:r>
      <w:r w:rsidR="00B87CB3">
        <w:t xml:space="preserve"> Our </w:t>
      </w:r>
      <w:r w:rsidR="00273D8C">
        <w:t xml:space="preserve">intention is that </w:t>
      </w:r>
      <w:r w:rsidR="00AF6251">
        <w:t>the Guideline</w:t>
      </w:r>
      <w:r w:rsidR="00F84F10">
        <w:t xml:space="preserve"> </w:t>
      </w:r>
      <w:r w:rsidR="00AF6251">
        <w:t>amendments be</w:t>
      </w:r>
      <w:r w:rsidR="00F84F10">
        <w:t xml:space="preserve"> limited to addressing the issues outlined in this document.</w:t>
      </w:r>
    </w:p>
    <w:p w:rsidR="00403FE8" w:rsidRDefault="00403FE8" w:rsidP="00403FE8">
      <w:pPr>
        <w:pStyle w:val="Heading2"/>
      </w:pPr>
      <w:bookmarkStart w:id="8" w:name="_Toc486932508"/>
      <w:r>
        <w:t>Background to the Ring-fencing Guideline</w:t>
      </w:r>
      <w:bookmarkEnd w:id="8"/>
    </w:p>
    <w:p w:rsidR="00403FE8" w:rsidRDefault="00403FE8" w:rsidP="00403FE8">
      <w:r>
        <w:t>Ring</w:t>
      </w:r>
      <w:r w:rsidRPr="007D1B53">
        <w:t xml:space="preserve">-fencing is the identification and separation of </w:t>
      </w:r>
      <w:r w:rsidR="00AF6251">
        <w:t>regulated monopoly</w:t>
      </w:r>
      <w:r w:rsidR="008B3017">
        <w:t xml:space="preserve"> </w:t>
      </w:r>
      <w:r w:rsidRPr="007D1B53">
        <w:t>business activities, costs</w:t>
      </w:r>
      <w:r w:rsidR="00D46F6D">
        <w:t xml:space="preserve"> </w:t>
      </w:r>
      <w:r w:rsidR="00AF6251">
        <w:t xml:space="preserve">and </w:t>
      </w:r>
      <w:r w:rsidR="00AF6251" w:rsidRPr="007D1B53">
        <w:t>revenues</w:t>
      </w:r>
      <w:r w:rsidRPr="007D1B53">
        <w:t xml:space="preserve"> from those that are associated with providing services in a </w:t>
      </w:r>
      <w:r w:rsidR="008B3017">
        <w:t>contestable</w:t>
      </w:r>
      <w:r w:rsidRPr="007D1B53">
        <w:t xml:space="preserve"> market. Ring-fencing obligations that apply to DNSPs generally require the separation of the accounting and functional aspects of regulated distribution services from other services provided by </w:t>
      </w:r>
      <w:r>
        <w:t>the</w:t>
      </w:r>
      <w:r w:rsidRPr="007D1B53">
        <w:t xml:space="preserve"> DNSP</w:t>
      </w:r>
      <w:r>
        <w:t>.</w:t>
      </w:r>
    </w:p>
    <w:p w:rsidR="00403FE8" w:rsidRPr="007D1B53" w:rsidRDefault="0089513F" w:rsidP="00403FE8">
      <w:r>
        <w:t>The</w:t>
      </w:r>
      <w:r w:rsidR="00403FE8" w:rsidRPr="007D1B53">
        <w:t xml:space="preserve"> </w:t>
      </w:r>
      <w:r>
        <w:t>G</w:t>
      </w:r>
      <w:r w:rsidR="00403FE8" w:rsidRPr="007D1B53">
        <w:t xml:space="preserve">uideline sets out the obligations </w:t>
      </w:r>
      <w:r w:rsidR="00403FE8">
        <w:t>a</w:t>
      </w:r>
      <w:r w:rsidR="00403FE8" w:rsidRPr="007D1B53">
        <w:t xml:space="preserve"> network business must abide by to separate its regulated monopoly services from </w:t>
      </w:r>
      <w:r w:rsidR="00D46F6D">
        <w:t>any services it may seek to</w:t>
      </w:r>
      <w:r w:rsidR="00403FE8">
        <w:t xml:space="preserve"> </w:t>
      </w:r>
      <w:r w:rsidR="00403FE8" w:rsidRPr="007D1B53">
        <w:t>offer to c</w:t>
      </w:r>
      <w:r w:rsidR="00403FE8">
        <w:t>ontestable</w:t>
      </w:r>
      <w:r w:rsidR="00403FE8" w:rsidRPr="007D1B53">
        <w:t xml:space="preserve"> market</w:t>
      </w:r>
      <w:r w:rsidR="00403FE8">
        <w:t>s</w:t>
      </w:r>
      <w:r w:rsidR="00403FE8" w:rsidRPr="007D1B53">
        <w:t xml:space="preserve">. As noted by the </w:t>
      </w:r>
      <w:r w:rsidR="00AF6251" w:rsidRPr="00AF6251">
        <w:t xml:space="preserve">Australian Energy Market Commission </w:t>
      </w:r>
      <w:r w:rsidR="00AF6251">
        <w:t>(</w:t>
      </w:r>
      <w:r w:rsidR="00403FE8" w:rsidRPr="00AF6251">
        <w:rPr>
          <w:rStyle w:val="Strong"/>
        </w:rPr>
        <w:t>AEMC</w:t>
      </w:r>
      <w:r w:rsidR="00AF6251">
        <w:t>)</w:t>
      </w:r>
      <w:r w:rsidR="00403FE8" w:rsidRPr="007D1B53">
        <w:t xml:space="preserve">, the following types of behaviours by </w:t>
      </w:r>
      <w:r w:rsidR="00403FE8">
        <w:t>D</w:t>
      </w:r>
      <w:r w:rsidR="00403FE8" w:rsidRPr="007D1B53">
        <w:t>NSPs result in harm that ring-fencing aims to avoid:</w:t>
      </w:r>
      <w:r w:rsidR="00403FE8" w:rsidRPr="007D1B53">
        <w:rPr>
          <w:rStyle w:val="FootnoteReference"/>
        </w:rPr>
        <w:footnoteReference w:id="2"/>
      </w:r>
    </w:p>
    <w:p w:rsidR="00403FE8" w:rsidRPr="00403FE8" w:rsidRDefault="00403FE8" w:rsidP="00403FE8">
      <w:pPr>
        <w:pStyle w:val="Bulletpoint"/>
      </w:pPr>
      <w:r w:rsidRPr="007D1B53">
        <w:t xml:space="preserve">cross-subsidising </w:t>
      </w:r>
      <w:r w:rsidRPr="00403FE8">
        <w:t>an affiliate’s services in contestable markets with revenue derived from its regulated services</w:t>
      </w:r>
    </w:p>
    <w:p w:rsidR="00403FE8" w:rsidRPr="00403FE8" w:rsidRDefault="00403FE8" w:rsidP="00403FE8">
      <w:pPr>
        <w:pStyle w:val="Bulletpoint"/>
      </w:pPr>
      <w:r w:rsidRPr="007D1B53">
        <w:lastRenderedPageBreak/>
        <w:t>discrimination in favour of a</w:t>
      </w:r>
      <w:r w:rsidRPr="00403FE8">
        <w:t xml:space="preserve"> DNSP’s related electricity service provider operating in a contestable market </w:t>
      </w:r>
    </w:p>
    <w:p w:rsidR="00403FE8" w:rsidRPr="00403FE8" w:rsidRDefault="00403FE8" w:rsidP="00403FE8">
      <w:pPr>
        <w:pStyle w:val="Bulletpoint"/>
      </w:pPr>
      <w:r w:rsidRPr="007D1B53">
        <w:t xml:space="preserve">providing </w:t>
      </w:r>
      <w:r w:rsidRPr="00403FE8">
        <w:t>related electricity service providers with access to commercially sensitive information acquired through provision of regulated services</w:t>
      </w:r>
    </w:p>
    <w:p w:rsidR="00403FE8" w:rsidRPr="00403FE8" w:rsidRDefault="00403FE8" w:rsidP="00403FE8">
      <w:pPr>
        <w:pStyle w:val="Bulletpoint"/>
      </w:pPr>
      <w:r w:rsidRPr="007D1B53">
        <w:t xml:space="preserve">restricting access </w:t>
      </w:r>
      <w:r w:rsidRPr="00403FE8">
        <w:t>of other participants in contestable markets to infrastructure services provided by the DNSP, or providing access on less favourable terms than to its related electricity service providers.</w:t>
      </w:r>
    </w:p>
    <w:p w:rsidR="00403FE8" w:rsidRPr="007D1B53" w:rsidRDefault="00403FE8" w:rsidP="00403FE8">
      <w:r w:rsidRPr="007D1B53">
        <w:t xml:space="preserve">We expect </w:t>
      </w:r>
      <w:r>
        <w:t xml:space="preserve">the </w:t>
      </w:r>
      <w:r w:rsidRPr="007D1B53">
        <w:t>Guideline will aid development of competitive markets where competition is feasible and support efficient</w:t>
      </w:r>
      <w:r w:rsidR="00A21CB2">
        <w:t>,</w:t>
      </w:r>
      <w:r w:rsidRPr="007D1B53">
        <w:t xml:space="preserve"> incentive-based regulation of monopoly networks where competition is not feasible. </w:t>
      </w:r>
    </w:p>
    <w:p w:rsidR="00D2073D" w:rsidRDefault="00D2073D" w:rsidP="00D2073D">
      <w:pPr>
        <w:pStyle w:val="Heading2"/>
      </w:pPr>
      <w:bookmarkStart w:id="9" w:name="_Toc486932509"/>
      <w:r>
        <w:t>Rule Requirements</w:t>
      </w:r>
      <w:bookmarkEnd w:id="9"/>
    </w:p>
    <w:p w:rsidR="004F17BF" w:rsidRDefault="00D2073D" w:rsidP="00D2073D">
      <w:r w:rsidRPr="00406787">
        <w:t>The Guideline is made and amended under clause 6.17.2 of the</w:t>
      </w:r>
      <w:r>
        <w:t xml:space="preserve"> </w:t>
      </w:r>
      <w:r w:rsidRPr="00622457">
        <w:t>National Electricity Rules (</w:t>
      </w:r>
      <w:r w:rsidRPr="00622457">
        <w:rPr>
          <w:rStyle w:val="Strong"/>
        </w:rPr>
        <w:t>NER</w:t>
      </w:r>
      <w:r w:rsidRPr="00622457">
        <w:t>)</w:t>
      </w:r>
      <w:r>
        <w:t xml:space="preserve">. </w:t>
      </w:r>
    </w:p>
    <w:p w:rsidR="00D2073D" w:rsidRPr="00622457" w:rsidRDefault="00D2073D" w:rsidP="00D2073D">
      <w:r w:rsidRPr="00622457">
        <w:t xml:space="preserve">Clause 1.5 of the Guideline </w:t>
      </w:r>
      <w:r>
        <w:t xml:space="preserve">also </w:t>
      </w:r>
      <w:r w:rsidRPr="00622457">
        <w:t xml:space="preserve">allows us to amend the Guideline from time to time in accordance with </w:t>
      </w:r>
      <w:r>
        <w:t>clause</w:t>
      </w:r>
      <w:r w:rsidRPr="00622457">
        <w:t xml:space="preserve"> 6.17.2 of the </w:t>
      </w:r>
      <w:r>
        <w:t xml:space="preserve">rules </w:t>
      </w:r>
      <w:r w:rsidRPr="00622457">
        <w:t>and the distribution consultation procedures.</w:t>
      </w:r>
    </w:p>
    <w:p w:rsidR="00D2073D" w:rsidRDefault="00D2073D" w:rsidP="00D2073D">
      <w:r>
        <w:t>Clause 6.17.2</w:t>
      </w:r>
      <w:r w:rsidRPr="00047656">
        <w:t xml:space="preserve">(d) </w:t>
      </w:r>
      <w:r>
        <w:t>of the NER states that:</w:t>
      </w:r>
    </w:p>
    <w:p w:rsidR="00D2073D" w:rsidRDefault="00D2073D" w:rsidP="00D2073D">
      <w:pPr>
        <w:pStyle w:val="BodyTextIndent"/>
        <w:rPr>
          <w:rStyle w:val="Emphasis"/>
        </w:rPr>
      </w:pPr>
      <w:r w:rsidRPr="00047656">
        <w:rPr>
          <w:rStyle w:val="Emphasis"/>
        </w:rPr>
        <w:t xml:space="preserve">In developing or amending the Distribution Ring-Fencing Guidelines, the AER must consult with participating jurisdictions, Registered Participants, AEMO and other interested parties, and such consultation must be otherwise in accordance with the distribution consultation procedures.  </w:t>
      </w:r>
    </w:p>
    <w:p w:rsidR="00D2073D" w:rsidRPr="00047656" w:rsidRDefault="00D2073D" w:rsidP="00D2073D">
      <w:pPr>
        <w:rPr>
          <w:rStyle w:val="Emphasis"/>
        </w:rPr>
      </w:pPr>
      <w:r>
        <w:t>The distribution consultation procedures at c</w:t>
      </w:r>
      <w:r w:rsidRPr="00406787">
        <w:t xml:space="preserve">lause 6.16 of the rules state we must publish the amended Guideline, an explanatory statement and an invitation for written submissions, allowing no less than 30 business days for submissions to be provided. Within 80 business days of commencing consultation, we must publish our decision with reasons, and the amended Guideline itself. </w:t>
      </w:r>
    </w:p>
    <w:p w:rsidR="00330C43" w:rsidRDefault="00330C43">
      <w:pPr>
        <w:spacing w:line="240" w:lineRule="auto"/>
        <w:rPr>
          <w:rFonts w:eastAsiaTheme="majorEastAsia" w:cstheme="majorBidi"/>
          <w:b/>
          <w:bCs/>
          <w:color w:val="70635A" w:themeColor="text2"/>
          <w:sz w:val="32"/>
          <w:szCs w:val="26"/>
        </w:rPr>
      </w:pPr>
      <w:r>
        <w:br w:type="page"/>
      </w:r>
    </w:p>
    <w:p w:rsidR="00063CD3" w:rsidRDefault="0055307A" w:rsidP="00E13023">
      <w:pPr>
        <w:pStyle w:val="Heading2"/>
      </w:pPr>
      <w:bookmarkStart w:id="10" w:name="_Toc486932510"/>
      <w:r>
        <w:lastRenderedPageBreak/>
        <w:t>Indicative t</w:t>
      </w:r>
      <w:r w:rsidR="00171530">
        <w:t>imetable</w:t>
      </w:r>
      <w:bookmarkEnd w:id="10"/>
    </w:p>
    <w:tbl>
      <w:tblPr>
        <w:tblStyle w:val="AERTable-Text"/>
        <w:tblW w:w="0" w:type="auto"/>
        <w:tblLook w:val="04A0" w:firstRow="1" w:lastRow="0" w:firstColumn="1" w:lastColumn="0" w:noHBand="0" w:noVBand="1"/>
      </w:tblPr>
      <w:tblGrid>
        <w:gridCol w:w="6345"/>
        <w:gridCol w:w="2897"/>
      </w:tblGrid>
      <w:tr w:rsidR="009563F4" w:rsidTr="009563F4">
        <w:trPr>
          <w:cnfStyle w:val="100000000000" w:firstRow="1" w:lastRow="0" w:firstColumn="0" w:lastColumn="0" w:oddVBand="0" w:evenVBand="0" w:oddHBand="0" w:evenHBand="0" w:firstRowFirstColumn="0" w:firstRowLastColumn="0" w:lastRowFirstColumn="0" w:lastRowLastColumn="0"/>
        </w:trPr>
        <w:tc>
          <w:tcPr>
            <w:tcW w:w="6345" w:type="dxa"/>
          </w:tcPr>
          <w:p w:rsidR="009563F4" w:rsidRDefault="009563F4" w:rsidP="009563F4">
            <w:r>
              <w:t>Event</w:t>
            </w:r>
          </w:p>
        </w:tc>
        <w:tc>
          <w:tcPr>
            <w:tcW w:w="2897" w:type="dxa"/>
          </w:tcPr>
          <w:p w:rsidR="009563F4" w:rsidRDefault="009563F4" w:rsidP="009563F4">
            <w:r>
              <w:t>Date</w:t>
            </w:r>
          </w:p>
        </w:tc>
      </w:tr>
      <w:tr w:rsidR="009563F4" w:rsidTr="009563F4">
        <w:tc>
          <w:tcPr>
            <w:tcW w:w="6345" w:type="dxa"/>
          </w:tcPr>
          <w:p w:rsidR="009563F4" w:rsidRDefault="009563F4" w:rsidP="009563F4">
            <w:r>
              <w:t>AER publishes Draft Amended Guideline and Explanatory Statement, invitation for written submissions</w:t>
            </w:r>
          </w:p>
        </w:tc>
        <w:tc>
          <w:tcPr>
            <w:tcW w:w="2897" w:type="dxa"/>
          </w:tcPr>
          <w:p w:rsidR="009563F4" w:rsidRDefault="0051254F" w:rsidP="009563F4">
            <w:r>
              <w:t>4</w:t>
            </w:r>
            <w:r w:rsidR="004475DB">
              <w:t xml:space="preserve"> July</w:t>
            </w:r>
            <w:r w:rsidR="009563F4">
              <w:t xml:space="preserve"> 2017</w:t>
            </w:r>
          </w:p>
        </w:tc>
      </w:tr>
      <w:tr w:rsidR="009563F4" w:rsidTr="009563F4">
        <w:trPr>
          <w:cnfStyle w:val="000000010000" w:firstRow="0" w:lastRow="0" w:firstColumn="0" w:lastColumn="0" w:oddVBand="0" w:evenVBand="0" w:oddHBand="0" w:evenHBand="1" w:firstRowFirstColumn="0" w:firstRowLastColumn="0" w:lastRowFirstColumn="0" w:lastRowLastColumn="0"/>
        </w:trPr>
        <w:tc>
          <w:tcPr>
            <w:tcW w:w="6345" w:type="dxa"/>
          </w:tcPr>
          <w:p w:rsidR="009563F4" w:rsidRDefault="009563F4" w:rsidP="009C7B97">
            <w:r>
              <w:t xml:space="preserve">Submissions close (30 business days after invitation) </w:t>
            </w:r>
          </w:p>
        </w:tc>
        <w:tc>
          <w:tcPr>
            <w:tcW w:w="2897" w:type="dxa"/>
          </w:tcPr>
          <w:p w:rsidR="009563F4" w:rsidRDefault="009563F4" w:rsidP="009C7B97">
            <w:r>
              <w:t>1</w:t>
            </w:r>
            <w:r w:rsidR="009C7B97">
              <w:t>5</w:t>
            </w:r>
            <w:r>
              <w:t xml:space="preserve"> August 2017</w:t>
            </w:r>
          </w:p>
        </w:tc>
      </w:tr>
      <w:tr w:rsidR="009563F4" w:rsidTr="009563F4">
        <w:tc>
          <w:tcPr>
            <w:tcW w:w="6345" w:type="dxa"/>
          </w:tcPr>
          <w:p w:rsidR="009563F4" w:rsidRDefault="009563F4" w:rsidP="009563F4">
            <w:r>
              <w:t>AER publishes final Amended Guideline</w:t>
            </w:r>
          </w:p>
        </w:tc>
        <w:tc>
          <w:tcPr>
            <w:tcW w:w="2897" w:type="dxa"/>
          </w:tcPr>
          <w:p w:rsidR="009563F4" w:rsidRDefault="000D392E" w:rsidP="009563F4">
            <w:r>
              <w:t>October</w:t>
            </w:r>
            <w:r w:rsidR="0055307A">
              <w:t xml:space="preserve"> 2017</w:t>
            </w:r>
          </w:p>
        </w:tc>
      </w:tr>
      <w:tr w:rsidR="009563F4" w:rsidTr="009563F4">
        <w:trPr>
          <w:cnfStyle w:val="000000010000" w:firstRow="0" w:lastRow="0" w:firstColumn="0" w:lastColumn="0" w:oddVBand="0" w:evenVBand="0" w:oddHBand="0" w:evenHBand="1" w:firstRowFirstColumn="0" w:firstRowLastColumn="0" w:lastRowFirstColumn="0" w:lastRowLastColumn="0"/>
        </w:trPr>
        <w:tc>
          <w:tcPr>
            <w:tcW w:w="6345" w:type="dxa"/>
          </w:tcPr>
          <w:p w:rsidR="009563F4" w:rsidRDefault="0055307A" w:rsidP="009C7B97">
            <w:r>
              <w:t>NER deadline for publishing the final Amended Guideline (</w:t>
            </w:r>
            <w:r w:rsidR="00A21CB2">
              <w:t>80 </w:t>
            </w:r>
            <w:r w:rsidR="009563F4">
              <w:t>business days from commencement of consultation process</w:t>
            </w:r>
            <w:r>
              <w:t>)</w:t>
            </w:r>
          </w:p>
        </w:tc>
        <w:tc>
          <w:tcPr>
            <w:tcW w:w="2897" w:type="dxa"/>
          </w:tcPr>
          <w:p w:rsidR="009563F4" w:rsidRDefault="009C7B97" w:rsidP="009C7B97">
            <w:r>
              <w:t>24 October</w:t>
            </w:r>
            <w:r w:rsidR="009563F4">
              <w:t xml:space="preserve"> 2017</w:t>
            </w:r>
          </w:p>
        </w:tc>
      </w:tr>
    </w:tbl>
    <w:p w:rsidR="003A1134" w:rsidRPr="003A1134" w:rsidRDefault="003A1134" w:rsidP="003A1134">
      <w:pPr>
        <w:pStyle w:val="Heading1"/>
      </w:pPr>
      <w:bookmarkStart w:id="11" w:name="_Toc486932511"/>
      <w:r>
        <w:lastRenderedPageBreak/>
        <w:t>Proposed amendments and reasons</w:t>
      </w:r>
      <w:bookmarkEnd w:id="11"/>
    </w:p>
    <w:p w:rsidR="007724DD" w:rsidRDefault="007724DD" w:rsidP="007724DD">
      <w:pPr>
        <w:pStyle w:val="Bulletpoint"/>
        <w:numPr>
          <w:ilvl w:val="0"/>
          <w:numId w:val="0"/>
        </w:numPr>
      </w:pPr>
      <w:r>
        <w:t>This section sets out issue</w:t>
      </w:r>
      <w:r w:rsidR="00A9513B">
        <w:t>s</w:t>
      </w:r>
      <w:r>
        <w:t xml:space="preserve"> </w:t>
      </w:r>
      <w:r w:rsidR="004F17BF">
        <w:t>that</w:t>
      </w:r>
      <w:r w:rsidR="00273D8C">
        <w:t xml:space="preserve"> </w:t>
      </w:r>
      <w:r w:rsidR="004F17BF">
        <w:t xml:space="preserve">have been raised </w:t>
      </w:r>
      <w:r w:rsidR="008728BD">
        <w:t>in our discussions with</w:t>
      </w:r>
      <w:r w:rsidR="004F17BF">
        <w:t xml:space="preserve"> DNSPs as they </w:t>
      </w:r>
      <w:r w:rsidR="008728BD">
        <w:t xml:space="preserve">have worked to </w:t>
      </w:r>
      <w:r w:rsidR="004F17BF">
        <w:t xml:space="preserve">implement the Guideline. </w:t>
      </w:r>
      <w:r w:rsidR="00BC45D1">
        <w:t>Some of t</w:t>
      </w:r>
      <w:r w:rsidR="00A9513B">
        <w:t>he</w:t>
      </w:r>
      <w:r w:rsidR="00BC45D1">
        <w:t>se</w:t>
      </w:r>
      <w:r w:rsidR="00A9513B">
        <w:t xml:space="preserve"> </w:t>
      </w:r>
      <w:r w:rsidR="005E28B9">
        <w:t>issues stem from concerns that the Guideline</w:t>
      </w:r>
      <w:r w:rsidR="008728BD">
        <w:t>,</w:t>
      </w:r>
      <w:r w:rsidR="005E28B9">
        <w:t xml:space="preserve"> as written</w:t>
      </w:r>
      <w:r w:rsidR="008728BD">
        <w:t>,</w:t>
      </w:r>
      <w:r w:rsidR="005E28B9">
        <w:t xml:space="preserve"> </w:t>
      </w:r>
      <w:r w:rsidR="008728BD">
        <w:t>should be amended to address the</w:t>
      </w:r>
      <w:r w:rsidR="005E28B9">
        <w:t xml:space="preserve"> following unintended effects</w:t>
      </w:r>
      <w:r w:rsidR="00A9513B">
        <w:t>:</w:t>
      </w:r>
    </w:p>
    <w:p w:rsidR="00A9513B" w:rsidRDefault="00A9513B" w:rsidP="00A9513B">
      <w:pPr>
        <w:pStyle w:val="Bulletpoint"/>
      </w:pPr>
      <w:r>
        <w:t xml:space="preserve">the definition of a </w:t>
      </w:r>
      <w:r w:rsidR="008728BD">
        <w:t>'</w:t>
      </w:r>
      <w:r>
        <w:t>related electricity service provider</w:t>
      </w:r>
      <w:r w:rsidR="008728BD">
        <w:t>'</w:t>
      </w:r>
      <w:r>
        <w:t xml:space="preserve"> includes all affiliates, not just those </w:t>
      </w:r>
      <w:r w:rsidR="008728BD">
        <w:t>that provide</w:t>
      </w:r>
      <w:r>
        <w:t xml:space="preserve"> electricity services</w:t>
      </w:r>
    </w:p>
    <w:p w:rsidR="006810C1" w:rsidRDefault="008728BD" w:rsidP="00A9513B">
      <w:pPr>
        <w:pStyle w:val="Bulletpoint"/>
      </w:pPr>
      <w:r>
        <w:t xml:space="preserve">in event of an emergency, a DNSP may not be able to support other DNSPs to help restore power to customers because of </w:t>
      </w:r>
      <w:r w:rsidR="00A9513B">
        <w:t>restrictions on</w:t>
      </w:r>
      <w:r>
        <w:t xml:space="preserve"> the</w:t>
      </w:r>
      <w:r w:rsidR="00A9513B">
        <w:t xml:space="preserve"> </w:t>
      </w:r>
      <w:r>
        <w:t>branding of these services</w:t>
      </w:r>
      <w:r w:rsidR="00BC45D1">
        <w:t>.</w:t>
      </w:r>
    </w:p>
    <w:p w:rsidR="00BC45D1" w:rsidRDefault="00BC45D1" w:rsidP="005F2621">
      <w:pPr>
        <w:pStyle w:val="Bulletpoint"/>
        <w:numPr>
          <w:ilvl w:val="0"/>
          <w:numId w:val="0"/>
        </w:numPr>
      </w:pPr>
      <w:r>
        <w:t xml:space="preserve">Other issues stem from specific practical scenarios identified by DNSPs where we consider that </w:t>
      </w:r>
      <w:r w:rsidR="005F2621">
        <w:t>additional exceptions to the requirements of the Guidelines are reasonable</w:t>
      </w:r>
      <w:r w:rsidR="00912E70">
        <w:t>,</w:t>
      </w:r>
      <w:r w:rsidR="005F2621">
        <w:t xml:space="preserve"> having regard to the practicalities of compliance and the very low levels of harm (if any) that are likely to arise from non-compliance. </w:t>
      </w:r>
    </w:p>
    <w:p w:rsidR="00A9513B" w:rsidRDefault="00ED660F" w:rsidP="005A1037">
      <w:pPr>
        <w:pStyle w:val="Heading2"/>
      </w:pPr>
      <w:bookmarkStart w:id="12" w:name="_Toc486932512"/>
      <w:r>
        <w:t>Proposed</w:t>
      </w:r>
      <w:r w:rsidR="005A1037">
        <w:t xml:space="preserve"> changes</w:t>
      </w:r>
      <w:bookmarkEnd w:id="12"/>
    </w:p>
    <w:p w:rsidR="0013638F" w:rsidRPr="0013638F" w:rsidRDefault="0013638F" w:rsidP="0013638F">
      <w:r>
        <w:t>The proposed revisions are set out in the sections below.</w:t>
      </w:r>
    </w:p>
    <w:p w:rsidR="00AB55B1" w:rsidRDefault="00075574" w:rsidP="005A1037">
      <w:pPr>
        <w:pStyle w:val="Heading3"/>
      </w:pPr>
      <w:bookmarkStart w:id="13" w:name="_Toc486932513"/>
      <w:r>
        <w:t>Revised d</w:t>
      </w:r>
      <w:r w:rsidR="00AB55B1">
        <w:t>efinition of 'Related Electricity Service Provider'</w:t>
      </w:r>
      <w:bookmarkEnd w:id="13"/>
    </w:p>
    <w:p w:rsidR="006810C1" w:rsidRDefault="006810C1" w:rsidP="001C4CBC">
      <w:r>
        <w:t>A number of DNSP</w:t>
      </w:r>
      <w:r w:rsidR="00A537F9">
        <w:t>s</w:t>
      </w:r>
      <w:r>
        <w:t xml:space="preserve"> raised concerns with us in regard to the way that a related electricity service provider (RESP) is defined. </w:t>
      </w:r>
      <w:r w:rsidR="00AB55B1">
        <w:t>The Guideline</w:t>
      </w:r>
      <w:r w:rsidR="001A0F3B">
        <w:t xml:space="preserve"> </w:t>
      </w:r>
      <w:r>
        <w:t>states that a</w:t>
      </w:r>
      <w:r w:rsidR="001A0F3B">
        <w:t>:</w:t>
      </w:r>
      <w:r w:rsidR="001C4CBC">
        <w:t xml:space="preserve"> </w:t>
      </w:r>
    </w:p>
    <w:p w:rsidR="001C4CBC" w:rsidRPr="001C4CBC" w:rsidRDefault="001A0F3B" w:rsidP="001C4CBC">
      <w:r>
        <w:t>"</w:t>
      </w:r>
      <w:r w:rsidR="00AB55B1">
        <w:t>Related Electricity Service Provider</w:t>
      </w:r>
      <w:r w:rsidR="001C4CBC">
        <w:t>,</w:t>
      </w:r>
      <w:r w:rsidR="00AB55B1">
        <w:t xml:space="preserve"> </w:t>
      </w:r>
      <w:r w:rsidR="001C4CBC" w:rsidRPr="001C4CBC">
        <w:t>in relation to a DNSP, includes:</w:t>
      </w:r>
    </w:p>
    <w:p w:rsidR="001C4CBC" w:rsidRPr="001C4CBC" w:rsidRDefault="001C4CBC" w:rsidP="001C4CBC">
      <w:r w:rsidRPr="001C4CBC">
        <w:t>(a)</w:t>
      </w:r>
      <w:r w:rsidRPr="001C4CBC">
        <w:tab/>
        <w:t>an affiliated entity of the DNSP; and</w:t>
      </w:r>
    </w:p>
    <w:p w:rsidR="00AB55B1" w:rsidRDefault="001C4CBC" w:rsidP="001C4CBC">
      <w:r w:rsidRPr="001C4CBC">
        <w:t>(b)</w:t>
      </w:r>
      <w:r w:rsidRPr="001C4CBC">
        <w:tab/>
        <w:t>the part of the DNSP that provides contestable electricity services.</w:t>
      </w:r>
      <w:r w:rsidR="001A0F3B">
        <w:t>"</w:t>
      </w:r>
    </w:p>
    <w:p w:rsidR="006810C1" w:rsidRDefault="00075574" w:rsidP="00AB55B1">
      <w:r>
        <w:t>It was intended that the term RESP</w:t>
      </w:r>
      <w:r w:rsidR="001C4CBC">
        <w:t xml:space="preserve"> </w:t>
      </w:r>
      <w:r>
        <w:t>be</w:t>
      </w:r>
      <w:r w:rsidR="001C4CBC">
        <w:t xml:space="preserve"> </w:t>
      </w:r>
      <w:r>
        <w:t>defined so as to include</w:t>
      </w:r>
      <w:r w:rsidR="001C4CBC">
        <w:t xml:space="preserve"> </w:t>
      </w:r>
      <w:r>
        <w:t xml:space="preserve">those parts of the DNSP that offer contestable electricity services and a </w:t>
      </w:r>
      <w:r w:rsidR="001C4CBC">
        <w:t>DNSP</w:t>
      </w:r>
      <w:r>
        <w:t>'s</w:t>
      </w:r>
      <w:r w:rsidR="001C4CBC">
        <w:t xml:space="preserve"> affiliates </w:t>
      </w:r>
      <w:r>
        <w:t>that offer contestable electricity service.</w:t>
      </w:r>
      <w:r w:rsidR="001C4CBC">
        <w:t xml:space="preserve"> As worded </w:t>
      </w:r>
      <w:r>
        <w:t>at present</w:t>
      </w:r>
      <w:r w:rsidR="001C4CBC">
        <w:t xml:space="preserve">, </w:t>
      </w:r>
      <w:r>
        <w:t xml:space="preserve">the definition of </w:t>
      </w:r>
      <w:r w:rsidR="001C4CBC">
        <w:t xml:space="preserve">RESP includes </w:t>
      </w:r>
      <w:r>
        <w:t xml:space="preserve">an affiliate entity </w:t>
      </w:r>
      <w:r w:rsidR="001C4CBC">
        <w:t xml:space="preserve">even if the affiliate does not offer electricity services. </w:t>
      </w:r>
    </w:p>
    <w:p w:rsidR="001C4CBC" w:rsidRDefault="001A0F3B" w:rsidP="00AB55B1">
      <w:r>
        <w:t xml:space="preserve">In addition, the definition </w:t>
      </w:r>
      <w:r w:rsidR="006810C1">
        <w:t xml:space="preserve">of a RESP </w:t>
      </w:r>
      <w:r>
        <w:t xml:space="preserve">captures a DNSP </w:t>
      </w:r>
      <w:r w:rsidR="006810C1">
        <w:t xml:space="preserve">that is related to another DNSP </w:t>
      </w:r>
      <w:r>
        <w:t xml:space="preserve">through ownership. </w:t>
      </w:r>
      <w:r w:rsidR="001C4CBC">
        <w:t xml:space="preserve">We propose to revise this definition so that </w:t>
      </w:r>
      <w:r w:rsidR="003E3901">
        <w:t xml:space="preserve">a RESP </w:t>
      </w:r>
      <w:r w:rsidR="001C4CBC">
        <w:t xml:space="preserve">only </w:t>
      </w:r>
      <w:r w:rsidR="003E3901">
        <w:t xml:space="preserve">includes </w:t>
      </w:r>
      <w:r w:rsidR="001C4CBC">
        <w:t xml:space="preserve">those parts of </w:t>
      </w:r>
      <w:r w:rsidR="003E3901">
        <w:t>the DNSP or</w:t>
      </w:r>
      <w:r w:rsidR="001C4CBC">
        <w:t xml:space="preserve"> </w:t>
      </w:r>
      <w:r w:rsidR="003E3901">
        <w:t>an affiliate</w:t>
      </w:r>
      <w:r>
        <w:t xml:space="preserve"> </w:t>
      </w:r>
      <w:r w:rsidR="001C4CBC">
        <w:t xml:space="preserve">that offer contestable electricity services. </w:t>
      </w:r>
      <w:r w:rsidR="0077110A">
        <w:t xml:space="preserve">To take account of the fact that a DNSP that is affiliated with a DNSP may also provide contestable electricity services, the revised definition </w:t>
      </w:r>
      <w:r w:rsidR="00116138">
        <w:t xml:space="preserve">of a RESP </w:t>
      </w:r>
      <w:r w:rsidR="0077110A">
        <w:t xml:space="preserve">excludes the part of the affiliated DNSP that provides direct control services or prescribed or negotiated transmission services. </w:t>
      </w:r>
    </w:p>
    <w:p w:rsidR="001C4CBC" w:rsidRDefault="001C4CBC" w:rsidP="00AB55B1">
      <w:r>
        <w:t>The revised definition is proposed to be:</w:t>
      </w:r>
    </w:p>
    <w:p w:rsidR="001C4CBC" w:rsidRPr="001C4CBC" w:rsidRDefault="001A0F3B" w:rsidP="001C4CBC">
      <w:r>
        <w:t>"</w:t>
      </w:r>
      <w:r w:rsidR="006810C1">
        <w:t>Related Electricity Service P</w:t>
      </w:r>
      <w:r w:rsidR="001C4CBC" w:rsidRPr="001C4CBC">
        <w:t>rovider, in relation to a DNSP, includes:</w:t>
      </w:r>
    </w:p>
    <w:p w:rsidR="001C4CBC" w:rsidRPr="001C4CBC" w:rsidRDefault="001C4CBC" w:rsidP="001C4CBC">
      <w:r w:rsidRPr="001C4CBC">
        <w:t>(a)</w:t>
      </w:r>
      <w:r w:rsidRPr="001C4CBC">
        <w:tab/>
        <w:t>an affiliated entity of the DNSP; and</w:t>
      </w:r>
    </w:p>
    <w:p w:rsidR="001C4CBC" w:rsidRPr="001C4CBC" w:rsidRDefault="001C4CBC" w:rsidP="001C4CBC">
      <w:r w:rsidRPr="001C4CBC">
        <w:t>(b)</w:t>
      </w:r>
      <w:r w:rsidRPr="001C4CBC">
        <w:tab/>
        <w:t>the part of the DNSP;</w:t>
      </w:r>
    </w:p>
    <w:p w:rsidR="001C4CBC" w:rsidRDefault="001C4CBC" w:rsidP="001C4CBC">
      <w:r w:rsidRPr="001C4CBC">
        <w:lastRenderedPageBreak/>
        <w:t>that provides contestable electricity services, but exclude</w:t>
      </w:r>
      <w:r w:rsidR="001A0F3B">
        <w:t xml:space="preserve">s a part of an affiliated </w:t>
      </w:r>
      <w:r w:rsidRPr="001C4CBC">
        <w:t xml:space="preserve">entity that provides </w:t>
      </w:r>
      <w:r w:rsidR="00A9513B">
        <w:t>direct</w:t>
      </w:r>
      <w:r w:rsidRPr="001C4CBC">
        <w:t xml:space="preserve"> control services</w:t>
      </w:r>
      <w:r w:rsidR="0085168D">
        <w:t>.</w:t>
      </w:r>
      <w:r w:rsidR="001A0F3B">
        <w:t>"</w:t>
      </w:r>
    </w:p>
    <w:p w:rsidR="0002436A" w:rsidRDefault="0002436A" w:rsidP="001C4CBC">
      <w:r>
        <w:t xml:space="preserve">We also propose to make a minor amendment to clause </w:t>
      </w:r>
      <w:r w:rsidR="00A211A0">
        <w:t>3.1(d)i</w:t>
      </w:r>
      <w:r w:rsidR="00781D2B">
        <w:t>.</w:t>
      </w:r>
      <w:r w:rsidR="00A211A0">
        <w:t xml:space="preserve"> to clarify that a DNSP is able to allow a TNSP to use the DNSP's assets to provide transmission services, and to allow another DNSP to use the DNSP's assets to provide distribution services, where the other requirements of that clause are satisfied. </w:t>
      </w:r>
    </w:p>
    <w:p w:rsidR="00372C46" w:rsidRDefault="00372C46" w:rsidP="005A1037">
      <w:pPr>
        <w:pStyle w:val="Heading3"/>
      </w:pPr>
      <w:r>
        <w:tab/>
      </w:r>
      <w:bookmarkStart w:id="14" w:name="_Toc486932514"/>
      <w:r>
        <w:t>Branding</w:t>
      </w:r>
      <w:bookmarkEnd w:id="14"/>
    </w:p>
    <w:p w:rsidR="00E542D9" w:rsidRDefault="00E35093" w:rsidP="00E35093">
      <w:r>
        <w:t>It was intended that the Guideline would prevent a DNSP from using its brand name to offer contestable electricity services. This obligation aimed to avoid any confusi</w:t>
      </w:r>
      <w:r w:rsidR="00624C5E">
        <w:t>on</w:t>
      </w:r>
      <w:r>
        <w:t xml:space="preserve"> that might be created </w:t>
      </w:r>
      <w:r w:rsidR="00D47F44">
        <w:t>from a DNSP</w:t>
      </w:r>
      <w:r>
        <w:t xml:space="preserve"> providing electricity service</w:t>
      </w:r>
      <w:r w:rsidR="0089513F">
        <w:t>s</w:t>
      </w:r>
      <w:r>
        <w:t xml:space="preserve"> that are available in </w:t>
      </w:r>
      <w:r w:rsidR="00D47F44">
        <w:t>contestable</w:t>
      </w:r>
      <w:r>
        <w:t xml:space="preserve"> markets and that are not regulated by the AER. However, as written, the provision unintentionally extends the restriction to all services offered by an affiliate of the DNSP, not just electricity services. We therefore propose to revise clause 4.2.3(a) of the Guideline, by adding additional references to "contestable electricity services" to make our original intentions clear.</w:t>
      </w:r>
      <w:r w:rsidR="00E542D9">
        <w:t xml:space="preserve"> We also propose to revise clause 4.2.3(a)iii of the Guideline to make it clear that the DNSP can continue to promote its own services as long as the other requirements of clause 4.2.3(a) are satisfied.  </w:t>
      </w:r>
    </w:p>
    <w:p w:rsidR="00873814" w:rsidRDefault="004B1810" w:rsidP="00E35093">
      <w:r>
        <w:t xml:space="preserve">A further </w:t>
      </w:r>
      <w:r w:rsidR="00F040E1">
        <w:t>issue</w:t>
      </w:r>
      <w:r>
        <w:t xml:space="preserve"> </w:t>
      </w:r>
      <w:r w:rsidR="00F040E1">
        <w:t xml:space="preserve">we have considered </w:t>
      </w:r>
      <w:r>
        <w:t xml:space="preserve">is how the branding restrictions </w:t>
      </w:r>
      <w:r w:rsidR="009333C6">
        <w:t xml:space="preserve">in the Guideline </w:t>
      </w:r>
      <w:r>
        <w:t xml:space="preserve">could affect operation of the AER's Shared Asset Guideline. </w:t>
      </w:r>
      <w:r w:rsidR="008535C6">
        <w:t xml:space="preserve">In some limited circumstances, a DNSP </w:t>
      </w:r>
      <w:r>
        <w:t>is permitted to</w:t>
      </w:r>
      <w:r w:rsidR="008535C6">
        <w:t xml:space="preserve"> </w:t>
      </w:r>
      <w:r w:rsidR="00B2587D">
        <w:t xml:space="preserve">make simultaneous </w:t>
      </w:r>
      <w:r w:rsidR="008535C6">
        <w:t xml:space="preserve">use </w:t>
      </w:r>
      <w:r w:rsidR="00B2587D">
        <w:t xml:space="preserve">of </w:t>
      </w:r>
      <w:r>
        <w:t xml:space="preserve">assets in the </w:t>
      </w:r>
      <w:r w:rsidR="001F2537">
        <w:t>regulatory asset base (</w:t>
      </w:r>
      <w:r>
        <w:t>RAB</w:t>
      </w:r>
      <w:r w:rsidR="001F2537">
        <w:t>)</w:t>
      </w:r>
      <w:r w:rsidR="008535C6">
        <w:t xml:space="preserve"> </w:t>
      </w:r>
      <w:r>
        <w:t>to generate unregulated revenues</w:t>
      </w:r>
      <w:r w:rsidR="008535C6">
        <w:t xml:space="preserve"> (as contemplated in the shared asset provisions in clause 6.4.4 of the NER). Where this additional use would not materially prejudice the use of the assets</w:t>
      </w:r>
      <w:r w:rsidR="00873814">
        <w:t xml:space="preserve"> to</w:t>
      </w:r>
      <w:r w:rsidR="008535C6">
        <w:t xml:space="preserve"> provide direct control services, we consider it r</w:t>
      </w:r>
      <w:r w:rsidR="00873814">
        <w:t xml:space="preserve">easonable for the part of </w:t>
      </w:r>
      <w:r w:rsidR="00A1394E">
        <w:t>a</w:t>
      </w:r>
      <w:r w:rsidR="00873814">
        <w:t xml:space="preserve"> DNSP that provides those other distribution services to be able to use those assets</w:t>
      </w:r>
      <w:r w:rsidR="00624C5E">
        <w:t>,</w:t>
      </w:r>
      <w:r w:rsidR="00873814">
        <w:t xml:space="preserve"> even if they are branded as assets involved in the supply of direct control services by </w:t>
      </w:r>
      <w:r w:rsidR="00A1394E">
        <w:t>a</w:t>
      </w:r>
      <w:r w:rsidR="00873814">
        <w:t xml:space="preserve"> DNSP. </w:t>
      </w:r>
      <w:r w:rsidR="003C1274">
        <w:t xml:space="preserve">There are very few </w:t>
      </w:r>
      <w:r w:rsidR="00A1394E">
        <w:t>examples</w:t>
      </w:r>
      <w:r w:rsidR="003C1274">
        <w:t xml:space="preserve"> of </w:t>
      </w:r>
      <w:r w:rsidR="00A1394E">
        <w:t xml:space="preserve">these sorts of shared </w:t>
      </w:r>
      <w:r w:rsidR="003C1274">
        <w:t>assets. A prime example i</w:t>
      </w:r>
      <w:r w:rsidR="00A1394E">
        <w:t>s</w:t>
      </w:r>
      <w:r w:rsidR="003C1274">
        <w:t xml:space="preserve"> the unused capacity of </w:t>
      </w:r>
      <w:r w:rsidR="00A1394E">
        <w:t xml:space="preserve">a </w:t>
      </w:r>
      <w:r w:rsidR="003C1274">
        <w:t xml:space="preserve">pole </w:t>
      </w:r>
      <w:r w:rsidR="00A1394E">
        <w:t xml:space="preserve">or </w:t>
      </w:r>
      <w:r w:rsidR="003C1274">
        <w:t>conduit that can be rented to</w:t>
      </w:r>
      <w:r w:rsidR="00A1394E">
        <w:t>, say,</w:t>
      </w:r>
      <w:r w:rsidR="003C1274">
        <w:t xml:space="preserve"> other </w:t>
      </w:r>
      <w:r w:rsidR="00A1394E">
        <w:t>utilities</w:t>
      </w:r>
      <w:r w:rsidR="003C1274">
        <w:t xml:space="preserve">. </w:t>
      </w:r>
      <w:r w:rsidR="00F040E1">
        <w:t xml:space="preserve">In these </w:t>
      </w:r>
      <w:r w:rsidR="003C1274">
        <w:t xml:space="preserve">limited </w:t>
      </w:r>
      <w:r w:rsidR="00F040E1">
        <w:t>circumstances</w:t>
      </w:r>
      <w:r w:rsidR="00873814">
        <w:t xml:space="preserve">, we consider it reasonable for </w:t>
      </w:r>
      <w:r w:rsidR="00A1394E">
        <w:t>a</w:t>
      </w:r>
      <w:r w:rsidR="00873814">
        <w:t xml:space="preserve"> DNSP to </w:t>
      </w:r>
      <w:r w:rsidR="00A1394E">
        <w:t xml:space="preserve">retain existing branding of these assets (if any) and to be </w:t>
      </w:r>
      <w:r w:rsidR="00873814">
        <w:t xml:space="preserve">able to undertake ancillary activities (such as invoicing) using the DNSP's direct control service brand. </w:t>
      </w:r>
    </w:p>
    <w:p w:rsidR="008535C6" w:rsidRDefault="00873814" w:rsidP="00E35093">
      <w:r w:rsidRPr="00873814">
        <w:t>We therefore propose to include an additional prov</w:t>
      </w:r>
      <w:r>
        <w:t>ision (new clause 4.2.3(b)iii</w:t>
      </w:r>
      <w:r w:rsidR="001F2537">
        <w:t>.</w:t>
      </w:r>
      <w:r w:rsidRPr="00873814">
        <w:t>) in the Guideline so that the branding requirements o</w:t>
      </w:r>
      <w:r>
        <w:t xml:space="preserve">f the guideline do not prevent such use of the DNSP's direct control service brand.  </w:t>
      </w:r>
      <w:r w:rsidR="00B2587D">
        <w:t>The exception will not be available in relation to assets, such as trucks, where the use of the asset for both purposes is not simultaneous. Further, the</w:t>
      </w:r>
      <w:r>
        <w:t xml:space="preserve"> exception will </w:t>
      </w:r>
      <w:r w:rsidR="00B2587D">
        <w:t xml:space="preserve">also </w:t>
      </w:r>
      <w:r>
        <w:t>not be available for the use of that brand by a</w:t>
      </w:r>
      <w:r w:rsidR="00D947C0">
        <w:t xml:space="preserve">n affiliated entity of the DNSP. The wider range of services that can be provided by an affiliated entity of the DNSP </w:t>
      </w:r>
      <w:r w:rsidR="0089513F">
        <w:t xml:space="preserve">means that the affiliated entity would have greater opportunities (than the DNSP itself) </w:t>
      </w:r>
      <w:r w:rsidR="00D947C0">
        <w:t>to gain an unfair advantage over its competitors by using the DNSP's direct control service brand</w:t>
      </w:r>
      <w:r w:rsidR="0089513F">
        <w:t xml:space="preserve"> in connection with services that are not direct control services</w:t>
      </w:r>
      <w:r w:rsidR="00D947C0">
        <w:t xml:space="preserve">. </w:t>
      </w:r>
      <w:r w:rsidR="00F040E1">
        <w:t>Overt use of a DNSP's brand to promote the services associated with the use of shared assets would not be consistent with the intent of this exception to the branding obligations.</w:t>
      </w:r>
    </w:p>
    <w:p w:rsidR="009C7B97" w:rsidRDefault="009C7B97" w:rsidP="00E35093"/>
    <w:p w:rsidR="005A1037" w:rsidRPr="00B33772" w:rsidRDefault="005A1037" w:rsidP="005A1037">
      <w:pPr>
        <w:pStyle w:val="Heading3"/>
      </w:pPr>
      <w:bookmarkStart w:id="15" w:name="_Toc486932515"/>
      <w:r>
        <w:lastRenderedPageBreak/>
        <w:t>Emergency response</w:t>
      </w:r>
      <w:bookmarkEnd w:id="15"/>
    </w:p>
    <w:p w:rsidR="0089513F" w:rsidRPr="0030412C" w:rsidRDefault="004B4A7B" w:rsidP="0089513F">
      <w:r w:rsidRPr="004B4A7B">
        <w:t xml:space="preserve">There are times when significant network outages occur and DNSPs are called on to provide support to other DNSPs, for example, as a result of severe weather events. </w:t>
      </w:r>
      <w:r>
        <w:t>T</w:t>
      </w:r>
      <w:r w:rsidR="0089513F">
        <w:t xml:space="preserve">he Guideline </w:t>
      </w:r>
      <w:r>
        <w:t xml:space="preserve">contains </w:t>
      </w:r>
      <w:r w:rsidR="0089513F">
        <w:t>provision</w:t>
      </w:r>
      <w:r>
        <w:t>s</w:t>
      </w:r>
      <w:r w:rsidR="0089513F">
        <w:t xml:space="preserve"> to facilitate </w:t>
      </w:r>
      <w:r>
        <w:t>staff and asset</w:t>
      </w:r>
      <w:r w:rsidR="0089513F">
        <w:t xml:space="preserve"> </w:t>
      </w:r>
      <w:r>
        <w:t>sharing</w:t>
      </w:r>
      <w:r w:rsidR="0089513F">
        <w:t xml:space="preserve"> in these </w:t>
      </w:r>
      <w:r>
        <w:t xml:space="preserve">emergency response </w:t>
      </w:r>
      <w:r w:rsidR="0089513F">
        <w:t>circumstances</w:t>
      </w:r>
      <w:r>
        <w:t xml:space="preserve">. </w:t>
      </w:r>
      <w:r w:rsidR="00D07318">
        <w:t>However, the branding provisions m</w:t>
      </w:r>
      <w:r w:rsidR="002F6D84">
        <w:t>a</w:t>
      </w:r>
      <w:r w:rsidR="00D07318">
        <w:t xml:space="preserve">y unintentionally constrain this activity. </w:t>
      </w:r>
      <w:r>
        <w:t>W</w:t>
      </w:r>
      <w:r w:rsidR="00781D2B">
        <w:t xml:space="preserve">e propose to include an additional provision (new clause 4.2.3(b)iv.) in the Guideline so that the </w:t>
      </w:r>
      <w:r>
        <w:t xml:space="preserve">Guideline's </w:t>
      </w:r>
      <w:r w:rsidR="00781D2B">
        <w:t>branding requirements do not restrict such cooperation.</w:t>
      </w:r>
    </w:p>
    <w:p w:rsidR="005A1037" w:rsidRPr="001955C8" w:rsidRDefault="005A1037" w:rsidP="005A1037">
      <w:pPr>
        <w:pStyle w:val="Heading3"/>
      </w:pPr>
      <w:bookmarkStart w:id="16" w:name="_Toc486932516"/>
      <w:r>
        <w:t>I</w:t>
      </w:r>
      <w:r w:rsidRPr="001955C8">
        <w:t xml:space="preserve">nformation </w:t>
      </w:r>
      <w:r>
        <w:t>disclosure</w:t>
      </w:r>
      <w:bookmarkEnd w:id="16"/>
    </w:p>
    <w:p w:rsidR="00EE6ABE" w:rsidRDefault="002F6D84" w:rsidP="005A1037">
      <w:r w:rsidRPr="002F6D84">
        <w:t>Clause 4.3.3 requires that a DNSP must not disclose confidential information to any person, including a RESP, unless specific criteria are met.</w:t>
      </w:r>
      <w:r>
        <w:t xml:space="preserve"> </w:t>
      </w:r>
      <w:r w:rsidR="005A1037">
        <w:t>The</w:t>
      </w:r>
      <w:r>
        <w:t>se</w:t>
      </w:r>
      <w:r w:rsidR="005A1037">
        <w:t xml:space="preserve"> provision</w:t>
      </w:r>
      <w:r w:rsidR="00EE6ABE">
        <w:t xml:space="preserve">s </w:t>
      </w:r>
      <w:r w:rsidR="005A1037">
        <w:t>around d</w:t>
      </w:r>
      <w:r w:rsidR="005A1037" w:rsidRPr="001955C8">
        <w:t xml:space="preserve">isclosure of information </w:t>
      </w:r>
      <w:r w:rsidR="005A1037">
        <w:t xml:space="preserve">by a DNSP </w:t>
      </w:r>
      <w:r w:rsidR="00EE6ABE">
        <w:t xml:space="preserve">were intended to </w:t>
      </w:r>
      <w:r w:rsidR="00015C89">
        <w:t>include exceptions in certain specific</w:t>
      </w:r>
      <w:r w:rsidR="00EE6ABE">
        <w:t xml:space="preserve"> circumstances</w:t>
      </w:r>
      <w:r w:rsidR="00015C89">
        <w:t xml:space="preserve">, such as where there is a necessity for disclosure or where explicit informed consent has been obtained from the customer to whom the information relates. </w:t>
      </w:r>
    </w:p>
    <w:p w:rsidR="00015C89" w:rsidRDefault="00015C89" w:rsidP="005A1037">
      <w:r>
        <w:t>Based on our discussions with DNSPs as they have worked to implement the Guideline, we have identified additional situations where</w:t>
      </w:r>
      <w:r w:rsidR="00AE20F6">
        <w:t xml:space="preserve"> we</w:t>
      </w:r>
      <w:r>
        <w:t xml:space="preserve"> consider that disclosure is appropriate (without the need for the information to be shared under clause 4.3.4). These are:</w:t>
      </w:r>
    </w:p>
    <w:p w:rsidR="00BC45D1" w:rsidRPr="00BC45D1" w:rsidRDefault="00015C89" w:rsidP="00BC45D1">
      <w:pPr>
        <w:pStyle w:val="Bulletpoint"/>
      </w:pPr>
      <w:r>
        <w:t xml:space="preserve">disclosure </w:t>
      </w:r>
      <w:r w:rsidR="00673BC7">
        <w:t xml:space="preserve">that is necessary to enable another legal entity to provide its own services, where the information is requested by or on behalf of a customer or prospective customer </w:t>
      </w:r>
      <w:r w:rsidR="00AA2883">
        <w:t xml:space="preserve">of </w:t>
      </w:r>
      <w:r w:rsidR="00673BC7">
        <w:t>that legal entity.</w:t>
      </w:r>
      <w:r w:rsidR="00AE20F6">
        <w:rPr>
          <w:rStyle w:val="FootnoteReference"/>
        </w:rPr>
        <w:footnoteReference w:id="3"/>
      </w:r>
      <w:r w:rsidR="00673BC7">
        <w:t xml:space="preserve"> This recognises that, in some circumstances, the relevant customer may not otherwise be dealing with the DNSP directly. It is intended that the exception will apply where the customer makes the request to the other legal </w:t>
      </w:r>
      <w:r w:rsidR="00D76E11">
        <w:t>entity, rather than to the DNSP</w:t>
      </w:r>
      <w:r w:rsidR="00673BC7">
        <w:t>, and where the customer makes the request via a developer or other intermediary.</w:t>
      </w:r>
      <w:r w:rsidR="00D76E11">
        <w:rPr>
          <w:rStyle w:val="FootnoteReference"/>
        </w:rPr>
        <w:footnoteReference w:id="4"/>
      </w:r>
      <w:r w:rsidR="00BC45D1" w:rsidRPr="00BC45D1">
        <w:t xml:space="preserve"> </w:t>
      </w:r>
    </w:p>
    <w:p w:rsidR="00BC45D1" w:rsidRDefault="00015C89" w:rsidP="00BC45D1">
      <w:pPr>
        <w:pStyle w:val="Bulletpoint"/>
      </w:pPr>
      <w:r>
        <w:t>disclosure to facilitate co-operation in responding to severe weather events or other emergencies beyond a DNSP's reasonable control.</w:t>
      </w:r>
      <w:r w:rsidR="00AE20F6">
        <w:rPr>
          <w:rStyle w:val="FootnoteReference"/>
        </w:rPr>
        <w:footnoteReference w:id="5"/>
      </w:r>
      <w:r w:rsidR="00BC45D1" w:rsidRPr="00BC45D1">
        <w:t xml:space="preserve"> </w:t>
      </w:r>
    </w:p>
    <w:p w:rsidR="00EE6ABE" w:rsidRDefault="00BC45D1" w:rsidP="00BC45D1">
      <w:pPr>
        <w:pStyle w:val="Bulletpoint"/>
      </w:pPr>
      <w:r>
        <w:t>d</w:t>
      </w:r>
      <w:r w:rsidR="00015C89">
        <w:t>isclosure for research purposes, provided that the person or entity doing the research does not then disclose the information to a related electricity service provider of the DNSP.</w:t>
      </w:r>
      <w:r w:rsidR="00AE20F6">
        <w:rPr>
          <w:rStyle w:val="FootnoteReference"/>
        </w:rPr>
        <w:footnoteReference w:id="6"/>
      </w:r>
      <w:r w:rsidR="00015C89">
        <w:t xml:space="preserve">   </w:t>
      </w:r>
    </w:p>
    <w:p w:rsidR="00673BC7" w:rsidRDefault="00673BC7" w:rsidP="005A1037">
      <w:r>
        <w:t>We propose to amend clause 4.3.3, and to make some consequential amendments to clauses 4.3.4(a),</w:t>
      </w:r>
      <w:r w:rsidR="00BC45D1">
        <w:t xml:space="preserve"> </w:t>
      </w:r>
      <w:r>
        <w:t xml:space="preserve">(c) and (e), so that these additional types of disclosure are permitted under clause 4.3.3 and do not trigger the information sharing requirements of clause 4.3.4. </w:t>
      </w:r>
    </w:p>
    <w:p w:rsidR="00674465" w:rsidRDefault="00674465" w:rsidP="005A1037">
      <w:r>
        <w:t xml:space="preserve">To provide greater transparency of the circumstances in which a DNSP discloses information to an affiliated entity, we also propose to amend clause 4.3.3(g) so that </w:t>
      </w:r>
      <w:r>
        <w:lastRenderedPageBreak/>
        <w:t xml:space="preserve">information can only be disclosed under clause 4.3.3(g) where a related electricity service provider has requested the disclosure, rather than on the DNSP's own initiative. </w:t>
      </w:r>
    </w:p>
    <w:p w:rsidR="0089513F" w:rsidRPr="001955C8" w:rsidRDefault="0089513F" w:rsidP="0089513F">
      <w:pPr>
        <w:pStyle w:val="Heading3"/>
      </w:pPr>
      <w:bookmarkStart w:id="17" w:name="_Toc486932517"/>
      <w:r>
        <w:t>Staff sharing registers</w:t>
      </w:r>
      <w:bookmarkEnd w:id="17"/>
    </w:p>
    <w:p w:rsidR="00481279" w:rsidRDefault="00526297" w:rsidP="0089513F">
      <w:r>
        <w:t xml:space="preserve">In broad terms, the Guideline requires </w:t>
      </w:r>
      <w:r w:rsidR="00F43F70">
        <w:t xml:space="preserve">a </w:t>
      </w:r>
      <w:r>
        <w:t xml:space="preserve">DNSP to separate staff involved in regulated services from those </w:t>
      </w:r>
      <w:r w:rsidR="009F336F">
        <w:t>involved</w:t>
      </w:r>
      <w:r>
        <w:t xml:space="preserve"> in contestable services. </w:t>
      </w:r>
      <w:r w:rsidR="00481279">
        <w:t>However, s</w:t>
      </w:r>
      <w:r>
        <w:t xml:space="preserve">taff </w:t>
      </w:r>
      <w:r w:rsidR="00F43F70">
        <w:t>who</w:t>
      </w:r>
      <w:r>
        <w:t xml:space="preserve"> do not have access to electricity information are exempted from this </w:t>
      </w:r>
      <w:r w:rsidR="009F336F">
        <w:t>requirement</w:t>
      </w:r>
      <w:r>
        <w:t xml:space="preserve">. Staff </w:t>
      </w:r>
      <w:r w:rsidR="00F43F70">
        <w:t xml:space="preserve">who have access to electricity information </w:t>
      </w:r>
      <w:r>
        <w:t xml:space="preserve">may also be shared </w:t>
      </w:r>
      <w:r w:rsidR="00F43F70">
        <w:t>where</w:t>
      </w:r>
      <w:r>
        <w:t xml:space="preserve"> those staff do not have an opportunity to </w:t>
      </w:r>
      <w:r w:rsidR="00F43F70">
        <w:t xml:space="preserve">use that electricity information to </w:t>
      </w:r>
      <w:r>
        <w:t>en</w:t>
      </w:r>
      <w:r w:rsidR="00481279">
        <w:t>g</w:t>
      </w:r>
      <w:r>
        <w:t xml:space="preserve">age </w:t>
      </w:r>
      <w:r w:rsidR="00F43F70">
        <w:t xml:space="preserve">in conduct </w:t>
      </w:r>
      <w:r w:rsidR="00481279">
        <w:t>that is contrary to the intent of the Guideline.</w:t>
      </w:r>
      <w:r w:rsidR="009C7E69">
        <w:t xml:space="preserve">  </w:t>
      </w:r>
    </w:p>
    <w:p w:rsidR="0089513F" w:rsidRDefault="0089513F" w:rsidP="0089513F">
      <w:r w:rsidRPr="001955C8">
        <w:t xml:space="preserve">Clause 4.2.4 currently requires DNSPs to include on their staff and office registers the position descriptions of corporate staff exempt from the non-sharing obligations. However, </w:t>
      </w:r>
      <w:r w:rsidR="00C65E4D">
        <w:t xml:space="preserve">we consider </w:t>
      </w:r>
      <w:r w:rsidRPr="001955C8">
        <w:t xml:space="preserve">the types of corporate positions that may be shared </w:t>
      </w:r>
      <w:r w:rsidR="00C65E4D">
        <w:t>are</w:t>
      </w:r>
      <w:r w:rsidRPr="001955C8">
        <w:t xml:space="preserve"> relatively intuitive and well understood as a matter of usual corporate and commercial practice</w:t>
      </w:r>
      <w:r w:rsidR="00481279">
        <w:t>. W</w:t>
      </w:r>
      <w:r w:rsidRPr="001955C8">
        <w:t xml:space="preserve">e consider that this obligation is therefore likely to be unnecessarily burdensome to DNSPs. </w:t>
      </w:r>
      <w:r w:rsidR="00781D2B" w:rsidRPr="001955C8">
        <w:t>We propose to remove thi</w:t>
      </w:r>
      <w:r w:rsidR="00781D2B">
        <w:t>s requirement from clause 4.2.4</w:t>
      </w:r>
      <w:r w:rsidR="00781D2B" w:rsidRPr="001955C8">
        <w:t>(b) by including an exemption for 4.2.2(b)i</w:t>
      </w:r>
      <w:r w:rsidR="00781D2B">
        <w:t>.</w:t>
      </w:r>
      <w:r w:rsidR="00781D2B" w:rsidRPr="001955C8">
        <w:t>b.</w:t>
      </w:r>
    </w:p>
    <w:p w:rsidR="005A1037" w:rsidRPr="001955C8" w:rsidRDefault="005A1037" w:rsidP="005A1037">
      <w:pPr>
        <w:pStyle w:val="Heading3"/>
      </w:pPr>
      <w:bookmarkStart w:id="18" w:name="_Toc486932518"/>
      <w:r>
        <w:t xml:space="preserve">Sharing of </w:t>
      </w:r>
      <w:r w:rsidRPr="001955C8">
        <w:t>information</w:t>
      </w:r>
      <w:bookmarkEnd w:id="18"/>
      <w:r w:rsidRPr="001955C8">
        <w:t xml:space="preserve"> </w:t>
      </w:r>
    </w:p>
    <w:p w:rsidR="005A1037" w:rsidRDefault="00ED660F" w:rsidP="005A1037">
      <w:r>
        <w:t>With respect to i</w:t>
      </w:r>
      <w:r w:rsidRPr="001955C8">
        <w:t>nformation register</w:t>
      </w:r>
      <w:r>
        <w:t xml:space="preserve">s, clause 4.3.5 </w:t>
      </w:r>
      <w:r w:rsidR="005A1037" w:rsidRPr="001955C8">
        <w:t xml:space="preserve">requires a DNSP to include all legal entities (including </w:t>
      </w:r>
      <w:r w:rsidR="00E52704">
        <w:t>RESPs</w:t>
      </w:r>
      <w:r w:rsidR="005A1037" w:rsidRPr="001955C8">
        <w:t xml:space="preserve">) who request access to </w:t>
      </w:r>
      <w:r w:rsidR="00E52704">
        <w:t xml:space="preserve">confidential </w:t>
      </w:r>
      <w:r w:rsidR="005A1037" w:rsidRPr="001955C8">
        <w:t xml:space="preserve">information </w:t>
      </w:r>
      <w:r w:rsidR="00E52704">
        <w:t xml:space="preserve">shared with a RESP </w:t>
      </w:r>
      <w:r w:rsidR="005A1037" w:rsidRPr="001955C8">
        <w:t xml:space="preserve">on their information register. However, clause 4.3.4 says that a DNSP is only required to disclose information where the </w:t>
      </w:r>
      <w:r w:rsidR="00E52704">
        <w:t>legal entity</w:t>
      </w:r>
      <w:r w:rsidR="00E52704" w:rsidRPr="001955C8">
        <w:t xml:space="preserve"> </w:t>
      </w:r>
      <w:r w:rsidR="005A1037" w:rsidRPr="001955C8">
        <w:t>is competing</w:t>
      </w:r>
      <w:r w:rsidR="00E52704">
        <w:t xml:space="preserve">, or is seeking to compete, with the DNSP or a RESP of the DNSP in relation to the provision of </w:t>
      </w:r>
      <w:r w:rsidR="005A1037" w:rsidRPr="001955C8">
        <w:t xml:space="preserve">contestable electricity services. We propose to amend 4.3.5(a) </w:t>
      </w:r>
      <w:r w:rsidR="00A06E84">
        <w:t xml:space="preserve">to exclude affiliates of a DNSP who are legal entities but not RESPs and therefore do not provide contestable electricity services. </w:t>
      </w:r>
    </w:p>
    <w:p w:rsidR="005A1037" w:rsidRPr="001955C8" w:rsidRDefault="005A1037" w:rsidP="005A1037">
      <w:pPr>
        <w:pStyle w:val="Heading3"/>
      </w:pPr>
      <w:bookmarkStart w:id="19" w:name="_Toc486932519"/>
      <w:r>
        <w:t>Obligations on contractors to DNSPs</w:t>
      </w:r>
      <w:bookmarkEnd w:id="19"/>
    </w:p>
    <w:p w:rsidR="005A1037" w:rsidRDefault="00ED660F" w:rsidP="005A1037">
      <w:r>
        <w:t xml:space="preserve">Clause 4.4.1 is </w:t>
      </w:r>
      <w:r w:rsidR="00882794">
        <w:t xml:space="preserve">concerned </w:t>
      </w:r>
      <w:r>
        <w:t>with conduct of service providers to DNSP</w:t>
      </w:r>
      <w:r w:rsidR="009C0FA3">
        <w:t>s</w:t>
      </w:r>
      <w:r>
        <w:t>. The clause</w:t>
      </w:r>
      <w:r w:rsidR="005A1037" w:rsidRPr="001955C8">
        <w:t xml:space="preserve"> currently has the effect that any new agreement between a DNSP and a service provider must contain provisions that require the service provider to comply with the co-location, staff sharing, information sharing and branding obligations of the Guideline. This means that even agreements for services that are unrelated to the provision of </w:t>
      </w:r>
      <w:r>
        <w:t>regulated (direct control) services would be affected. F</w:t>
      </w:r>
      <w:r w:rsidR="005A1037" w:rsidRPr="001955C8">
        <w:t>or example, security se</w:t>
      </w:r>
      <w:r>
        <w:t>rvices, cleaning services, etc.,</w:t>
      </w:r>
      <w:r w:rsidR="005A1037" w:rsidRPr="001955C8">
        <w:t xml:space="preserve"> must include clauses for all of the relevant ring-fencing provisions. We propose to amend clause 4.4.1(a) so that this obligation is limited to agreements for the provision of services to the DNSP that enable or assist the DNSP to supply direct control services.</w:t>
      </w:r>
    </w:p>
    <w:p w:rsidR="005A1037" w:rsidRDefault="00705CC8" w:rsidP="005A1037">
      <w:pPr>
        <w:pStyle w:val="Heading2"/>
      </w:pPr>
      <w:bookmarkStart w:id="20" w:name="_Toc486932520"/>
      <w:r>
        <w:t>Other m</w:t>
      </w:r>
      <w:r w:rsidR="005A1037">
        <w:t>inor changes</w:t>
      </w:r>
      <w:bookmarkEnd w:id="20"/>
    </w:p>
    <w:p w:rsidR="001469C4" w:rsidRPr="001469C4" w:rsidRDefault="001469C4" w:rsidP="005A1037">
      <w:pPr>
        <w:pStyle w:val="Heading3"/>
      </w:pPr>
      <w:bookmarkStart w:id="21" w:name="_Toc486932521"/>
      <w:r>
        <w:t xml:space="preserve">Legal separation - </w:t>
      </w:r>
      <w:r w:rsidR="005A1037">
        <w:t xml:space="preserve">additional </w:t>
      </w:r>
      <w:r>
        <w:t xml:space="preserve">examples of </w:t>
      </w:r>
      <w:r w:rsidR="005A1037">
        <w:t xml:space="preserve">exempt </w:t>
      </w:r>
      <w:r w:rsidR="00B33772">
        <w:t>services</w:t>
      </w:r>
      <w:bookmarkEnd w:id="21"/>
    </w:p>
    <w:p w:rsidR="004A43CC" w:rsidRDefault="007C5B7A" w:rsidP="00AB55B1">
      <w:r>
        <w:t>Clause 3.</w:t>
      </w:r>
      <w:r w:rsidR="00B33772">
        <w:t xml:space="preserve">1 of the Guideline requires a DNSP to provide </w:t>
      </w:r>
      <w:r w:rsidR="00016ED2">
        <w:t>distribution services only. Non</w:t>
      </w:r>
      <w:r w:rsidR="00016ED2">
        <w:noBreakHyphen/>
      </w:r>
      <w:r w:rsidR="00B33772">
        <w:t xml:space="preserve">distribution services therefore must be provided by a different legal entity. A number of </w:t>
      </w:r>
      <w:r w:rsidR="004A43CC">
        <w:t>exceptions</w:t>
      </w:r>
      <w:r w:rsidR="00B33772">
        <w:t xml:space="preserve"> are provided where a DNSP provides services </w:t>
      </w:r>
      <w:r w:rsidR="00016ED2">
        <w:t>in-house</w:t>
      </w:r>
      <w:r w:rsidR="00B33772">
        <w:t xml:space="preserve"> that are not subject to </w:t>
      </w:r>
      <w:r w:rsidR="00B33772">
        <w:lastRenderedPageBreak/>
        <w:t xml:space="preserve">this requirement for separation. We propose to add </w:t>
      </w:r>
      <w:r w:rsidR="004A43CC">
        <w:t xml:space="preserve">exceptions for </w:t>
      </w:r>
      <w:r w:rsidR="00B33772">
        <w:t xml:space="preserve"> regulatory services</w:t>
      </w:r>
      <w:r w:rsidR="004A43CC">
        <w:t>,</w:t>
      </w:r>
      <w:r w:rsidR="00B33772">
        <w:t xml:space="preserve"> which are commonly found within regulated businesses that provide advice on compliance and other regulatory related issues affecting DNSPs</w:t>
      </w:r>
      <w:r w:rsidR="004A43CC">
        <w:t>, and for the provision of corporate services (more generally) to entities other than related electricity service providers</w:t>
      </w:r>
      <w:r w:rsidR="00016ED2">
        <w:t>.</w:t>
      </w:r>
    </w:p>
    <w:p w:rsidR="00BC0F3F" w:rsidRDefault="00BC0F3F" w:rsidP="00AB55B1">
      <w:r>
        <w:t>For consistency, w</w:t>
      </w:r>
      <w:r w:rsidR="004A43CC">
        <w:t>e also pro</w:t>
      </w:r>
      <w:r>
        <w:t>pose to make minor amendments to clauses 4.2.1(b)i.c. and 4.2.2(b)i.c</w:t>
      </w:r>
      <w:r w:rsidR="00781D2B">
        <w:t>.</w:t>
      </w:r>
      <w:r>
        <w:t xml:space="preserve"> of the Guideline (which relate to staff and office separation) to make it clear that those clauses apply in relation to regulatory services.  </w:t>
      </w:r>
    </w:p>
    <w:p w:rsidR="001955C8" w:rsidRPr="001955C8" w:rsidRDefault="0085173F" w:rsidP="005A1037">
      <w:pPr>
        <w:pStyle w:val="Heading3"/>
      </w:pPr>
      <w:bookmarkStart w:id="22" w:name="_Toc486932522"/>
      <w:r>
        <w:t>Typographical changes</w:t>
      </w:r>
      <w:bookmarkEnd w:id="22"/>
    </w:p>
    <w:p w:rsidR="00F201F2" w:rsidRPr="00F201F2" w:rsidRDefault="001955C8" w:rsidP="003A3C5F">
      <w:r>
        <w:t>A number of minor typographic</w:t>
      </w:r>
      <w:r w:rsidR="0085173F">
        <w:t>al</w:t>
      </w:r>
      <w:r>
        <w:t xml:space="preserve"> changes have been made to improve the Guideline</w:t>
      </w:r>
      <w:r w:rsidR="003A3C5F">
        <w:t xml:space="preserve">. These changes are shown in mark-up in the </w:t>
      </w:r>
      <w:r w:rsidR="007C5B7A">
        <w:t>revised</w:t>
      </w:r>
      <w:r w:rsidR="003A3C5F">
        <w:t xml:space="preserve"> version of the Guideline.</w:t>
      </w:r>
    </w:p>
    <w:sectPr w:rsidR="00F201F2" w:rsidRPr="00F201F2" w:rsidSect="00E137FB">
      <w:footerReference w:type="even" r:id="rId19"/>
      <w:footerReference w:type="default" r:id="rId20"/>
      <w:footerReference w:type="first" r:id="rId21"/>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F6" w:rsidRDefault="004768F6" w:rsidP="004B4412">
      <w:pPr>
        <w:spacing w:before="0"/>
      </w:pPr>
      <w:r>
        <w:separator/>
      </w:r>
    </w:p>
    <w:p w:rsidR="004768F6" w:rsidRDefault="004768F6"/>
    <w:p w:rsidR="004768F6" w:rsidRDefault="004768F6"/>
  </w:endnote>
  <w:endnote w:type="continuationSeparator" w:id="0">
    <w:p w:rsidR="004768F6" w:rsidRDefault="004768F6" w:rsidP="004B4412">
      <w:pPr>
        <w:spacing w:before="0"/>
      </w:pPr>
      <w:r>
        <w:continuationSeparator/>
      </w:r>
    </w:p>
    <w:p w:rsidR="004768F6" w:rsidRDefault="004768F6"/>
    <w:p w:rsidR="004768F6" w:rsidRDefault="00476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E9" w:rsidRDefault="00DA4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F6" w:rsidRPr="007A4D1F" w:rsidRDefault="004475DB" w:rsidP="004475DB">
    <w:pPr>
      <w:pStyle w:val="Footer"/>
    </w:pPr>
    <w:r>
      <w:t xml:space="preserve">Draft </w:t>
    </w:r>
    <w:r w:rsidR="002B6218">
      <w:t>Amended Ring-fencing Guideline Explanatory Statement</w:t>
    </w:r>
    <w:r w:rsidR="004768F6" w:rsidRPr="007A4D1F">
      <w:tab/>
    </w:r>
    <w:r w:rsidR="004768F6" w:rsidRPr="007A4D1F">
      <w:fldChar w:fldCharType="begin"/>
    </w:r>
    <w:r w:rsidR="004768F6" w:rsidRPr="007A4D1F">
      <w:instrText xml:space="preserve"> PAGE   \* MERGEFORMAT </w:instrText>
    </w:r>
    <w:r w:rsidR="004768F6" w:rsidRPr="007A4D1F">
      <w:fldChar w:fldCharType="separate"/>
    </w:r>
    <w:r w:rsidR="00DA4BE9">
      <w:rPr>
        <w:noProof/>
      </w:rPr>
      <w:t>i</w:t>
    </w:r>
    <w:r w:rsidR="004768F6" w:rsidRPr="007A4D1F">
      <w:rPr>
        <w:noProof/>
      </w:rPr>
      <w:fldChar w:fldCharType="end"/>
    </w:r>
    <w:r w:rsidR="004768F6" w:rsidRPr="007A4D1F">
      <w:tab/>
    </w:r>
  </w:p>
  <w:p w:rsidR="004768F6" w:rsidRDefault="004768F6"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E9" w:rsidRDefault="00DA4B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F6" w:rsidRPr="00A91A9E" w:rsidRDefault="004768F6" w:rsidP="00F3454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768F6" w:rsidRDefault="004768F6"/>
  <w:p w:rsidR="004768F6" w:rsidRDefault="004768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F6" w:rsidRDefault="009B4356" w:rsidP="00CC7F1D">
    <w:pPr>
      <w:pStyle w:val="Footer"/>
      <w:tabs>
        <w:tab w:val="clear" w:pos="9026"/>
        <w:tab w:val="right" w:pos="8505"/>
      </w:tabs>
    </w:pPr>
    <w:r>
      <w:t xml:space="preserve">Draft </w:t>
    </w:r>
    <w:fldSimple w:instr=" STYLEREF  &quot;Report Title&quot;  \* MERGEFORMAT ">
      <w:r w:rsidR="00DA4BE9" w:rsidRPr="00DA4BE9">
        <w:rPr>
          <w:b/>
          <w:bCs/>
          <w:noProof/>
          <w:lang w:val="en-US"/>
        </w:rPr>
        <w:t>Amended Ring-fencing Guideline</w:t>
      </w:r>
    </w:fldSimple>
    <w:r w:rsidR="00A42C47">
      <w:t xml:space="preserve"> Explanatory Statement</w:t>
    </w:r>
    <w:r w:rsidR="004768F6">
      <w:tab/>
    </w:r>
    <w:r w:rsidR="004768F6">
      <w:tab/>
    </w:r>
    <w:r w:rsidR="004768F6">
      <w:fldChar w:fldCharType="begin"/>
    </w:r>
    <w:r w:rsidR="004768F6">
      <w:instrText xml:space="preserve"> PAGE   \* MERGEFORMAT </w:instrText>
    </w:r>
    <w:r w:rsidR="004768F6">
      <w:fldChar w:fldCharType="separate"/>
    </w:r>
    <w:r w:rsidR="00DA4BE9">
      <w:rPr>
        <w:noProof/>
      </w:rPr>
      <w:t>8</w:t>
    </w:r>
    <w:r w:rsidR="004768F6">
      <w:rPr>
        <w:noProof/>
      </w:rPr>
      <w:fldChar w:fldCharType="end"/>
    </w:r>
  </w:p>
  <w:p w:rsidR="004768F6" w:rsidRDefault="004768F6"/>
  <w:p w:rsidR="004768F6" w:rsidRDefault="004768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F6" w:rsidRDefault="00A42C47" w:rsidP="00CC7F1D">
    <w:pPr>
      <w:pStyle w:val="Footer"/>
      <w:tabs>
        <w:tab w:val="clear" w:pos="9026"/>
        <w:tab w:val="right" w:pos="8505"/>
      </w:tabs>
    </w:pPr>
    <w:r>
      <w:t xml:space="preserve">Draft </w:t>
    </w:r>
    <w:fldSimple w:instr=" STYLEREF  &quot;Report Title&quot;  \* MERGEFORMAT ">
      <w:r w:rsidR="00DA4BE9" w:rsidRPr="00DA4BE9">
        <w:rPr>
          <w:b/>
          <w:bCs/>
          <w:noProof/>
          <w:lang w:val="en-US"/>
        </w:rPr>
        <w:t>Amended Ring-fencing Guideline</w:t>
      </w:r>
    </w:fldSimple>
    <w:r>
      <w:t xml:space="preserve"> Explanatory Statement</w:t>
    </w:r>
    <w:r w:rsidR="004768F6">
      <w:tab/>
    </w:r>
    <w:r w:rsidR="004768F6">
      <w:tab/>
    </w:r>
    <w:r w:rsidR="004768F6">
      <w:fldChar w:fldCharType="begin"/>
    </w:r>
    <w:r w:rsidR="004768F6">
      <w:instrText xml:space="preserve"> PAGE   \* MERGEFORMAT </w:instrText>
    </w:r>
    <w:r w:rsidR="004768F6">
      <w:fldChar w:fldCharType="separate"/>
    </w:r>
    <w:r w:rsidR="00DA4BE9">
      <w:rPr>
        <w:noProof/>
      </w:rPr>
      <w:t>1</w:t>
    </w:r>
    <w:r w:rsidR="004768F6">
      <w:fldChar w:fldCharType="end"/>
    </w:r>
  </w:p>
  <w:p w:rsidR="004768F6" w:rsidRDefault="004768F6">
    <w:pPr>
      <w:pStyle w:val="Footer"/>
    </w:pPr>
  </w:p>
  <w:p w:rsidR="004768F6" w:rsidRDefault="004768F6"/>
  <w:p w:rsidR="004768F6" w:rsidRDefault="004768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F6" w:rsidRDefault="004768F6" w:rsidP="00182906">
      <w:pPr>
        <w:spacing w:before="0"/>
      </w:pPr>
      <w:r>
        <w:separator/>
      </w:r>
    </w:p>
  </w:footnote>
  <w:footnote w:type="continuationSeparator" w:id="0">
    <w:p w:rsidR="004768F6" w:rsidRDefault="004768F6" w:rsidP="00182906">
      <w:pPr>
        <w:spacing w:before="0"/>
      </w:pPr>
      <w:r>
        <w:continuationSeparator/>
      </w:r>
    </w:p>
  </w:footnote>
  <w:footnote w:type="continuationNotice" w:id="1">
    <w:p w:rsidR="004768F6" w:rsidRDefault="004768F6">
      <w:pPr>
        <w:spacing w:before="0" w:line="240" w:lineRule="auto"/>
      </w:pPr>
    </w:p>
  </w:footnote>
  <w:footnote w:id="2">
    <w:p w:rsidR="004768F6" w:rsidRDefault="004768F6" w:rsidP="00403FE8">
      <w:pPr>
        <w:pStyle w:val="FootnoteText"/>
      </w:pPr>
      <w:r>
        <w:rPr>
          <w:rStyle w:val="FootnoteReference"/>
        </w:rPr>
        <w:footnoteRef/>
      </w:r>
      <w:r>
        <w:t xml:space="preserve"> </w:t>
      </w:r>
      <w:r>
        <w:tab/>
        <w:t xml:space="preserve">AEMC, </w:t>
      </w:r>
      <w:r w:rsidRPr="00DE1FC5">
        <w:rPr>
          <w:rStyle w:val="Emphasis"/>
        </w:rPr>
        <w:t>National Electricity Amendment (Expanding competition in metering and related services) Rule 2015</w:t>
      </w:r>
      <w:r>
        <w:t>, December 2015, p. 399.</w:t>
      </w:r>
    </w:p>
  </w:footnote>
  <w:footnote w:id="3">
    <w:p w:rsidR="004768F6" w:rsidRDefault="004768F6">
      <w:pPr>
        <w:pStyle w:val="FootnoteText"/>
      </w:pPr>
      <w:r>
        <w:rPr>
          <w:rStyle w:val="FootnoteReference"/>
        </w:rPr>
        <w:footnoteRef/>
      </w:r>
      <w:r>
        <w:t xml:space="preserve"> </w:t>
      </w:r>
      <w:r>
        <w:tab/>
        <w:t>Clause 4.3.3(d)</w:t>
      </w:r>
    </w:p>
  </w:footnote>
  <w:footnote w:id="4">
    <w:p w:rsidR="004768F6" w:rsidRDefault="004768F6">
      <w:pPr>
        <w:pStyle w:val="FootnoteText"/>
      </w:pPr>
      <w:r>
        <w:rPr>
          <w:rStyle w:val="FootnoteReference"/>
        </w:rPr>
        <w:footnoteRef/>
      </w:r>
      <w:r>
        <w:t xml:space="preserve"> </w:t>
      </w:r>
      <w:r>
        <w:tab/>
        <w:t>This exception is intended to enable the DNSP to disclose information where the customer is the customer of any other legal entity, not just an affiliated entity of the DNSP.  Clause 4.1 of the Guide</w:t>
      </w:r>
      <w:r w:rsidR="00016ED2">
        <w:t>line</w:t>
      </w:r>
      <w:r>
        <w:t xml:space="preserve"> will continue to apply in relation to any disclosure of information by the DNSP permitted by this exception.  </w:t>
      </w:r>
    </w:p>
  </w:footnote>
  <w:footnote w:id="5">
    <w:p w:rsidR="004768F6" w:rsidRDefault="004768F6">
      <w:pPr>
        <w:pStyle w:val="FootnoteText"/>
      </w:pPr>
      <w:r>
        <w:rPr>
          <w:rStyle w:val="FootnoteReference"/>
        </w:rPr>
        <w:footnoteRef/>
      </w:r>
      <w:r>
        <w:t xml:space="preserve"> </w:t>
      </w:r>
      <w:r>
        <w:tab/>
        <w:t>Clause 4.3.3(e)</w:t>
      </w:r>
    </w:p>
  </w:footnote>
  <w:footnote w:id="6">
    <w:p w:rsidR="004768F6" w:rsidRDefault="004768F6">
      <w:pPr>
        <w:pStyle w:val="FootnoteText"/>
      </w:pPr>
      <w:r>
        <w:rPr>
          <w:rStyle w:val="FootnoteReference"/>
        </w:rPr>
        <w:footnoteRef/>
      </w:r>
      <w:r>
        <w:t xml:space="preserve"> </w:t>
      </w:r>
      <w:r>
        <w:tab/>
        <w:t>Clause 4.3.3(f)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E9" w:rsidRDefault="00DA4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E9" w:rsidRDefault="00DA4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E9" w:rsidRDefault="00DA4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83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9876CC"/>
    <w:multiLevelType w:val="hybridMultilevel"/>
    <w:tmpl w:val="7340E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8"/>
  </w:num>
  <w:num w:numId="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atan\Desktop\AER - Draft Amended Ring-fencing Guideline Explanatory Statement - July 2017.DOCX"/>
  </w:docVars>
  <w:rsids>
    <w:rsidRoot w:val="007C32A5"/>
    <w:rsid w:val="00004FFB"/>
    <w:rsid w:val="00015C89"/>
    <w:rsid w:val="00016ED2"/>
    <w:rsid w:val="000177B5"/>
    <w:rsid w:val="00021202"/>
    <w:rsid w:val="000232BF"/>
    <w:rsid w:val="0002436A"/>
    <w:rsid w:val="0002517F"/>
    <w:rsid w:val="00025970"/>
    <w:rsid w:val="00025C91"/>
    <w:rsid w:val="0003578C"/>
    <w:rsid w:val="00047656"/>
    <w:rsid w:val="00061BAA"/>
    <w:rsid w:val="00063247"/>
    <w:rsid w:val="00063CD3"/>
    <w:rsid w:val="00070F9F"/>
    <w:rsid w:val="0007137B"/>
    <w:rsid w:val="00074341"/>
    <w:rsid w:val="00075574"/>
    <w:rsid w:val="00085663"/>
    <w:rsid w:val="00085EBF"/>
    <w:rsid w:val="000A6C7B"/>
    <w:rsid w:val="000D122C"/>
    <w:rsid w:val="000D392E"/>
    <w:rsid w:val="000D7516"/>
    <w:rsid w:val="000E1819"/>
    <w:rsid w:val="000E6C72"/>
    <w:rsid w:val="00101D92"/>
    <w:rsid w:val="00107CC7"/>
    <w:rsid w:val="00116138"/>
    <w:rsid w:val="00116EB2"/>
    <w:rsid w:val="00124609"/>
    <w:rsid w:val="00130C3C"/>
    <w:rsid w:val="0013638F"/>
    <w:rsid w:val="0014573B"/>
    <w:rsid w:val="001469C4"/>
    <w:rsid w:val="001573E4"/>
    <w:rsid w:val="00160756"/>
    <w:rsid w:val="00170114"/>
    <w:rsid w:val="00171530"/>
    <w:rsid w:val="0017232E"/>
    <w:rsid w:val="00174102"/>
    <w:rsid w:val="00180157"/>
    <w:rsid w:val="00182906"/>
    <w:rsid w:val="00185151"/>
    <w:rsid w:val="00185CB9"/>
    <w:rsid w:val="00186F77"/>
    <w:rsid w:val="001926A4"/>
    <w:rsid w:val="00192AD5"/>
    <w:rsid w:val="001955C8"/>
    <w:rsid w:val="001A0F3B"/>
    <w:rsid w:val="001A3010"/>
    <w:rsid w:val="001B45A0"/>
    <w:rsid w:val="001C0D81"/>
    <w:rsid w:val="001C1C2D"/>
    <w:rsid w:val="001C4CBC"/>
    <w:rsid w:val="001D055E"/>
    <w:rsid w:val="001F2537"/>
    <w:rsid w:val="001F492E"/>
    <w:rsid w:val="001F6DA3"/>
    <w:rsid w:val="002010BC"/>
    <w:rsid w:val="00202E03"/>
    <w:rsid w:val="0020492C"/>
    <w:rsid w:val="00207FDC"/>
    <w:rsid w:val="00224DB9"/>
    <w:rsid w:val="00233775"/>
    <w:rsid w:val="00242732"/>
    <w:rsid w:val="00251745"/>
    <w:rsid w:val="00263AC0"/>
    <w:rsid w:val="0026772D"/>
    <w:rsid w:val="00273D8C"/>
    <w:rsid w:val="00286874"/>
    <w:rsid w:val="00296B65"/>
    <w:rsid w:val="002A7DEF"/>
    <w:rsid w:val="002B6218"/>
    <w:rsid w:val="002C47D5"/>
    <w:rsid w:val="002C5B4D"/>
    <w:rsid w:val="002D4F14"/>
    <w:rsid w:val="002E1BE5"/>
    <w:rsid w:val="002E2BFC"/>
    <w:rsid w:val="002F00E5"/>
    <w:rsid w:val="002F6D84"/>
    <w:rsid w:val="002F7986"/>
    <w:rsid w:val="00301B40"/>
    <w:rsid w:val="0030412C"/>
    <w:rsid w:val="00305CC8"/>
    <w:rsid w:val="00307F6D"/>
    <w:rsid w:val="003177A2"/>
    <w:rsid w:val="00325D03"/>
    <w:rsid w:val="003271B5"/>
    <w:rsid w:val="00327A1E"/>
    <w:rsid w:val="00330C43"/>
    <w:rsid w:val="00331264"/>
    <w:rsid w:val="00334C8D"/>
    <w:rsid w:val="0034494D"/>
    <w:rsid w:val="003518B3"/>
    <w:rsid w:val="00372228"/>
    <w:rsid w:val="00372C46"/>
    <w:rsid w:val="003846F1"/>
    <w:rsid w:val="00391D41"/>
    <w:rsid w:val="00395C38"/>
    <w:rsid w:val="003A1134"/>
    <w:rsid w:val="003A3C5F"/>
    <w:rsid w:val="003B3F2D"/>
    <w:rsid w:val="003C1274"/>
    <w:rsid w:val="003E3901"/>
    <w:rsid w:val="00403FE8"/>
    <w:rsid w:val="00406787"/>
    <w:rsid w:val="0041225E"/>
    <w:rsid w:val="00416E65"/>
    <w:rsid w:val="0044339F"/>
    <w:rsid w:val="004475DB"/>
    <w:rsid w:val="00450CD0"/>
    <w:rsid w:val="004768F6"/>
    <w:rsid w:val="00480B4B"/>
    <w:rsid w:val="00481279"/>
    <w:rsid w:val="00485DC4"/>
    <w:rsid w:val="004A43CC"/>
    <w:rsid w:val="004A43D1"/>
    <w:rsid w:val="004B085B"/>
    <w:rsid w:val="004B1810"/>
    <w:rsid w:val="004B4412"/>
    <w:rsid w:val="004B4A7B"/>
    <w:rsid w:val="004C348C"/>
    <w:rsid w:val="004D55BA"/>
    <w:rsid w:val="004E22EC"/>
    <w:rsid w:val="004F17BF"/>
    <w:rsid w:val="004F33FA"/>
    <w:rsid w:val="005011F2"/>
    <w:rsid w:val="0051254F"/>
    <w:rsid w:val="00515FD9"/>
    <w:rsid w:val="00526297"/>
    <w:rsid w:val="00530128"/>
    <w:rsid w:val="00532467"/>
    <w:rsid w:val="005366B7"/>
    <w:rsid w:val="0055307A"/>
    <w:rsid w:val="0056080A"/>
    <w:rsid w:val="00562632"/>
    <w:rsid w:val="00564A4D"/>
    <w:rsid w:val="00567BA5"/>
    <w:rsid w:val="00571B35"/>
    <w:rsid w:val="00571D57"/>
    <w:rsid w:val="00577112"/>
    <w:rsid w:val="00577A09"/>
    <w:rsid w:val="005829C2"/>
    <w:rsid w:val="00584D8F"/>
    <w:rsid w:val="005A1037"/>
    <w:rsid w:val="005A404D"/>
    <w:rsid w:val="005B1E3C"/>
    <w:rsid w:val="005C26CC"/>
    <w:rsid w:val="005C4261"/>
    <w:rsid w:val="005C5281"/>
    <w:rsid w:val="005C59EB"/>
    <w:rsid w:val="005E28B9"/>
    <w:rsid w:val="005F2621"/>
    <w:rsid w:val="00603E3C"/>
    <w:rsid w:val="00615C6B"/>
    <w:rsid w:val="00622457"/>
    <w:rsid w:val="00623A53"/>
    <w:rsid w:val="00624C5E"/>
    <w:rsid w:val="00632D6D"/>
    <w:rsid w:val="00642C3E"/>
    <w:rsid w:val="00663DAD"/>
    <w:rsid w:val="00670957"/>
    <w:rsid w:val="00673BC7"/>
    <w:rsid w:val="00674465"/>
    <w:rsid w:val="00676679"/>
    <w:rsid w:val="006810C1"/>
    <w:rsid w:val="006B4CF9"/>
    <w:rsid w:val="006B50E5"/>
    <w:rsid w:val="006B7AC8"/>
    <w:rsid w:val="006C1FEB"/>
    <w:rsid w:val="006D550F"/>
    <w:rsid w:val="006F13E6"/>
    <w:rsid w:val="00701CAB"/>
    <w:rsid w:val="00705CC8"/>
    <w:rsid w:val="00707563"/>
    <w:rsid w:val="00711147"/>
    <w:rsid w:val="0072348C"/>
    <w:rsid w:val="0072390F"/>
    <w:rsid w:val="00724A37"/>
    <w:rsid w:val="007303C3"/>
    <w:rsid w:val="00743223"/>
    <w:rsid w:val="00746E01"/>
    <w:rsid w:val="00757BDF"/>
    <w:rsid w:val="00763A2C"/>
    <w:rsid w:val="00763E5D"/>
    <w:rsid w:val="00767740"/>
    <w:rsid w:val="0077110A"/>
    <w:rsid w:val="00772202"/>
    <w:rsid w:val="007724DD"/>
    <w:rsid w:val="00777EE6"/>
    <w:rsid w:val="00781D2B"/>
    <w:rsid w:val="00782C38"/>
    <w:rsid w:val="00782EEA"/>
    <w:rsid w:val="00784E74"/>
    <w:rsid w:val="007A3D24"/>
    <w:rsid w:val="007A44BA"/>
    <w:rsid w:val="007A4D1F"/>
    <w:rsid w:val="007B09EF"/>
    <w:rsid w:val="007B2C72"/>
    <w:rsid w:val="007C1C53"/>
    <w:rsid w:val="007C32A5"/>
    <w:rsid w:val="007C5B7A"/>
    <w:rsid w:val="007C74BB"/>
    <w:rsid w:val="007E4904"/>
    <w:rsid w:val="007E4CB5"/>
    <w:rsid w:val="007F066B"/>
    <w:rsid w:val="008033C4"/>
    <w:rsid w:val="00806C88"/>
    <w:rsid w:val="0081034E"/>
    <w:rsid w:val="0082397B"/>
    <w:rsid w:val="00834310"/>
    <w:rsid w:val="008344F6"/>
    <w:rsid w:val="0083510F"/>
    <w:rsid w:val="00836ACD"/>
    <w:rsid w:val="00843704"/>
    <w:rsid w:val="00851209"/>
    <w:rsid w:val="0085168D"/>
    <w:rsid w:val="0085173F"/>
    <w:rsid w:val="008535C6"/>
    <w:rsid w:val="008728BD"/>
    <w:rsid w:val="00872B78"/>
    <w:rsid w:val="00873814"/>
    <w:rsid w:val="00882794"/>
    <w:rsid w:val="00882A40"/>
    <w:rsid w:val="008837AC"/>
    <w:rsid w:val="00894987"/>
    <w:rsid w:val="0089513F"/>
    <w:rsid w:val="008A3E3C"/>
    <w:rsid w:val="008A587D"/>
    <w:rsid w:val="008B3017"/>
    <w:rsid w:val="008C5486"/>
    <w:rsid w:val="008D1661"/>
    <w:rsid w:val="008E4910"/>
    <w:rsid w:val="008E7031"/>
    <w:rsid w:val="008F2354"/>
    <w:rsid w:val="00912E70"/>
    <w:rsid w:val="009233EE"/>
    <w:rsid w:val="009333C6"/>
    <w:rsid w:val="0093477D"/>
    <w:rsid w:val="009460AA"/>
    <w:rsid w:val="009462D2"/>
    <w:rsid w:val="0095164A"/>
    <w:rsid w:val="00951978"/>
    <w:rsid w:val="009563F4"/>
    <w:rsid w:val="009661DE"/>
    <w:rsid w:val="009856B7"/>
    <w:rsid w:val="009A5FC3"/>
    <w:rsid w:val="009B4356"/>
    <w:rsid w:val="009B74B0"/>
    <w:rsid w:val="009C0FA3"/>
    <w:rsid w:val="009C7B97"/>
    <w:rsid w:val="009C7E69"/>
    <w:rsid w:val="009D6B46"/>
    <w:rsid w:val="009F336F"/>
    <w:rsid w:val="009F4940"/>
    <w:rsid w:val="009F5BA1"/>
    <w:rsid w:val="009F716C"/>
    <w:rsid w:val="00A02A88"/>
    <w:rsid w:val="00A0562E"/>
    <w:rsid w:val="00A06E84"/>
    <w:rsid w:val="00A0726D"/>
    <w:rsid w:val="00A1394E"/>
    <w:rsid w:val="00A211A0"/>
    <w:rsid w:val="00A21CB2"/>
    <w:rsid w:val="00A22495"/>
    <w:rsid w:val="00A32FBB"/>
    <w:rsid w:val="00A366D2"/>
    <w:rsid w:val="00A42C47"/>
    <w:rsid w:val="00A4478A"/>
    <w:rsid w:val="00A44852"/>
    <w:rsid w:val="00A537F9"/>
    <w:rsid w:val="00A56701"/>
    <w:rsid w:val="00A57D04"/>
    <w:rsid w:val="00A60023"/>
    <w:rsid w:val="00A60A26"/>
    <w:rsid w:val="00A61598"/>
    <w:rsid w:val="00A75077"/>
    <w:rsid w:val="00A8255E"/>
    <w:rsid w:val="00A84F46"/>
    <w:rsid w:val="00A871F4"/>
    <w:rsid w:val="00A94CED"/>
    <w:rsid w:val="00A9513B"/>
    <w:rsid w:val="00AA2883"/>
    <w:rsid w:val="00AB55B1"/>
    <w:rsid w:val="00AC1B2C"/>
    <w:rsid w:val="00AC3264"/>
    <w:rsid w:val="00AD05B6"/>
    <w:rsid w:val="00AE1BF1"/>
    <w:rsid w:val="00AE20F6"/>
    <w:rsid w:val="00AF0857"/>
    <w:rsid w:val="00AF0DD2"/>
    <w:rsid w:val="00AF1ED6"/>
    <w:rsid w:val="00AF6251"/>
    <w:rsid w:val="00B13048"/>
    <w:rsid w:val="00B1716D"/>
    <w:rsid w:val="00B17A1D"/>
    <w:rsid w:val="00B207A0"/>
    <w:rsid w:val="00B2408C"/>
    <w:rsid w:val="00B2587D"/>
    <w:rsid w:val="00B33772"/>
    <w:rsid w:val="00B37E38"/>
    <w:rsid w:val="00B41325"/>
    <w:rsid w:val="00B514DD"/>
    <w:rsid w:val="00B52AF0"/>
    <w:rsid w:val="00B56E03"/>
    <w:rsid w:val="00B60167"/>
    <w:rsid w:val="00B8080B"/>
    <w:rsid w:val="00B87C39"/>
    <w:rsid w:val="00B87CB3"/>
    <w:rsid w:val="00B927D8"/>
    <w:rsid w:val="00B94B15"/>
    <w:rsid w:val="00BA3C98"/>
    <w:rsid w:val="00BA4665"/>
    <w:rsid w:val="00BB2FB2"/>
    <w:rsid w:val="00BB3304"/>
    <w:rsid w:val="00BC0F3F"/>
    <w:rsid w:val="00BC45D1"/>
    <w:rsid w:val="00BD3446"/>
    <w:rsid w:val="00BE1F1B"/>
    <w:rsid w:val="00BE47B5"/>
    <w:rsid w:val="00C25FA6"/>
    <w:rsid w:val="00C33EEF"/>
    <w:rsid w:val="00C538A9"/>
    <w:rsid w:val="00C53B5A"/>
    <w:rsid w:val="00C54F5A"/>
    <w:rsid w:val="00C569B4"/>
    <w:rsid w:val="00C65E4D"/>
    <w:rsid w:val="00C67A92"/>
    <w:rsid w:val="00C86679"/>
    <w:rsid w:val="00C928D8"/>
    <w:rsid w:val="00CA489E"/>
    <w:rsid w:val="00CB666B"/>
    <w:rsid w:val="00CC213C"/>
    <w:rsid w:val="00CC7F1D"/>
    <w:rsid w:val="00CF5AAD"/>
    <w:rsid w:val="00D01CF0"/>
    <w:rsid w:val="00D02EE9"/>
    <w:rsid w:val="00D0442A"/>
    <w:rsid w:val="00D07318"/>
    <w:rsid w:val="00D2073D"/>
    <w:rsid w:val="00D46F6D"/>
    <w:rsid w:val="00D47F44"/>
    <w:rsid w:val="00D61388"/>
    <w:rsid w:val="00D61A54"/>
    <w:rsid w:val="00D64DEA"/>
    <w:rsid w:val="00D7168E"/>
    <w:rsid w:val="00D71E57"/>
    <w:rsid w:val="00D76E11"/>
    <w:rsid w:val="00D80893"/>
    <w:rsid w:val="00D81EF4"/>
    <w:rsid w:val="00D92CF1"/>
    <w:rsid w:val="00D92D38"/>
    <w:rsid w:val="00D947C0"/>
    <w:rsid w:val="00D950F5"/>
    <w:rsid w:val="00DA0E78"/>
    <w:rsid w:val="00DA4BE9"/>
    <w:rsid w:val="00DB0F93"/>
    <w:rsid w:val="00DB1A67"/>
    <w:rsid w:val="00DB1C30"/>
    <w:rsid w:val="00DB5074"/>
    <w:rsid w:val="00DB723B"/>
    <w:rsid w:val="00DC7981"/>
    <w:rsid w:val="00DD1687"/>
    <w:rsid w:val="00DD5083"/>
    <w:rsid w:val="00DE3691"/>
    <w:rsid w:val="00DE4EFA"/>
    <w:rsid w:val="00DE5520"/>
    <w:rsid w:val="00E04818"/>
    <w:rsid w:val="00E06442"/>
    <w:rsid w:val="00E13023"/>
    <w:rsid w:val="00E137FB"/>
    <w:rsid w:val="00E16751"/>
    <w:rsid w:val="00E22820"/>
    <w:rsid w:val="00E23993"/>
    <w:rsid w:val="00E25B8C"/>
    <w:rsid w:val="00E35093"/>
    <w:rsid w:val="00E426F4"/>
    <w:rsid w:val="00E52704"/>
    <w:rsid w:val="00E542D9"/>
    <w:rsid w:val="00E65C85"/>
    <w:rsid w:val="00E66199"/>
    <w:rsid w:val="00E755EC"/>
    <w:rsid w:val="00E7624D"/>
    <w:rsid w:val="00E84569"/>
    <w:rsid w:val="00EA3D42"/>
    <w:rsid w:val="00EA6B1B"/>
    <w:rsid w:val="00EB0701"/>
    <w:rsid w:val="00EB505D"/>
    <w:rsid w:val="00ED2C56"/>
    <w:rsid w:val="00ED660F"/>
    <w:rsid w:val="00ED77E5"/>
    <w:rsid w:val="00EE28F3"/>
    <w:rsid w:val="00EE6ABE"/>
    <w:rsid w:val="00EF5110"/>
    <w:rsid w:val="00F040E1"/>
    <w:rsid w:val="00F15882"/>
    <w:rsid w:val="00F171E0"/>
    <w:rsid w:val="00F201F2"/>
    <w:rsid w:val="00F20BD3"/>
    <w:rsid w:val="00F3454B"/>
    <w:rsid w:val="00F373A5"/>
    <w:rsid w:val="00F43F70"/>
    <w:rsid w:val="00F47559"/>
    <w:rsid w:val="00F64C7B"/>
    <w:rsid w:val="00F676DD"/>
    <w:rsid w:val="00F7103D"/>
    <w:rsid w:val="00F71778"/>
    <w:rsid w:val="00F75A26"/>
    <w:rsid w:val="00F835C9"/>
    <w:rsid w:val="00F83FAD"/>
    <w:rsid w:val="00F847AF"/>
    <w:rsid w:val="00F84F10"/>
    <w:rsid w:val="00F925B0"/>
    <w:rsid w:val="00F952A0"/>
    <w:rsid w:val="00FA042E"/>
    <w:rsid w:val="00FA3C7F"/>
    <w:rsid w:val="00FB676F"/>
    <w:rsid w:val="00FB74E2"/>
    <w:rsid w:val="00FC2797"/>
    <w:rsid w:val="00FD5614"/>
    <w:rsid w:val="00FE0BE1"/>
    <w:rsid w:val="00FE1DE9"/>
    <w:rsid w:val="00FE39C2"/>
    <w:rsid w:val="00FE3C32"/>
    <w:rsid w:val="00FE64AE"/>
    <w:rsid w:val="00FF4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925B0"/>
    <w:pPr>
      <w:spacing w:line="240" w:lineRule="auto"/>
    </w:pPr>
    <w:rPr>
      <w:sz w:val="20"/>
      <w:szCs w:val="20"/>
    </w:rPr>
  </w:style>
  <w:style w:type="character" w:customStyle="1" w:styleId="CommentTextChar">
    <w:name w:val="Comment Text Char"/>
    <w:basedOn w:val="DefaultParagraphFont"/>
    <w:link w:val="CommentText"/>
    <w:uiPriority w:val="99"/>
    <w:semiHidden/>
    <w:rsid w:val="00F925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5B0"/>
    <w:rPr>
      <w:b/>
      <w:bCs/>
    </w:rPr>
  </w:style>
  <w:style w:type="character" w:customStyle="1" w:styleId="CommentSubjectChar">
    <w:name w:val="Comment Subject Char"/>
    <w:basedOn w:val="CommentTextChar"/>
    <w:link w:val="CommentSubject"/>
    <w:uiPriority w:val="99"/>
    <w:semiHidden/>
    <w:rsid w:val="00F925B0"/>
    <w:rPr>
      <w:rFonts w:ascii="Arial" w:hAnsi="Arial"/>
      <w:b/>
      <w:bCs/>
      <w:sz w:val="20"/>
      <w:szCs w:val="20"/>
    </w:rPr>
  </w:style>
  <w:style w:type="paragraph" w:styleId="BodyTextIndent3">
    <w:name w:val="Body Text Indent 3"/>
    <w:basedOn w:val="Normal"/>
    <w:link w:val="BodyTextIndent3Char"/>
    <w:uiPriority w:val="99"/>
    <w:unhideWhenUsed/>
    <w:rsid w:val="00047656"/>
    <w:pPr>
      <w:spacing w:after="120"/>
      <w:ind w:left="283"/>
    </w:pPr>
    <w:rPr>
      <w:sz w:val="16"/>
      <w:szCs w:val="16"/>
    </w:rPr>
  </w:style>
  <w:style w:type="character" w:customStyle="1" w:styleId="BodyTextIndent3Char">
    <w:name w:val="Body Text Indent 3 Char"/>
    <w:basedOn w:val="DefaultParagraphFont"/>
    <w:link w:val="BodyTextIndent3"/>
    <w:uiPriority w:val="99"/>
    <w:rsid w:val="00047656"/>
    <w:rPr>
      <w:rFonts w:ascii="Arial" w:hAnsi="Arial"/>
      <w:sz w:val="16"/>
      <w:szCs w:val="16"/>
    </w:rPr>
  </w:style>
  <w:style w:type="paragraph" w:styleId="BodyTextIndent2">
    <w:name w:val="Body Text Indent 2"/>
    <w:basedOn w:val="Normal"/>
    <w:link w:val="BodyTextIndent2Char"/>
    <w:uiPriority w:val="99"/>
    <w:unhideWhenUsed/>
    <w:rsid w:val="00047656"/>
    <w:pPr>
      <w:spacing w:after="120" w:line="480" w:lineRule="auto"/>
      <w:ind w:left="283"/>
    </w:pPr>
  </w:style>
  <w:style w:type="character" w:customStyle="1" w:styleId="BodyTextIndent2Char">
    <w:name w:val="Body Text Indent 2 Char"/>
    <w:basedOn w:val="DefaultParagraphFont"/>
    <w:link w:val="BodyTextIndent2"/>
    <w:uiPriority w:val="99"/>
    <w:rsid w:val="0004765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925B0"/>
    <w:pPr>
      <w:spacing w:line="240" w:lineRule="auto"/>
    </w:pPr>
    <w:rPr>
      <w:sz w:val="20"/>
      <w:szCs w:val="20"/>
    </w:rPr>
  </w:style>
  <w:style w:type="character" w:customStyle="1" w:styleId="CommentTextChar">
    <w:name w:val="Comment Text Char"/>
    <w:basedOn w:val="DefaultParagraphFont"/>
    <w:link w:val="CommentText"/>
    <w:uiPriority w:val="99"/>
    <w:semiHidden/>
    <w:rsid w:val="00F925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5B0"/>
    <w:rPr>
      <w:b/>
      <w:bCs/>
    </w:rPr>
  </w:style>
  <w:style w:type="character" w:customStyle="1" w:styleId="CommentSubjectChar">
    <w:name w:val="Comment Subject Char"/>
    <w:basedOn w:val="CommentTextChar"/>
    <w:link w:val="CommentSubject"/>
    <w:uiPriority w:val="99"/>
    <w:semiHidden/>
    <w:rsid w:val="00F925B0"/>
    <w:rPr>
      <w:rFonts w:ascii="Arial" w:hAnsi="Arial"/>
      <w:b/>
      <w:bCs/>
      <w:sz w:val="20"/>
      <w:szCs w:val="20"/>
    </w:rPr>
  </w:style>
  <w:style w:type="paragraph" w:styleId="BodyTextIndent3">
    <w:name w:val="Body Text Indent 3"/>
    <w:basedOn w:val="Normal"/>
    <w:link w:val="BodyTextIndent3Char"/>
    <w:uiPriority w:val="99"/>
    <w:unhideWhenUsed/>
    <w:rsid w:val="00047656"/>
    <w:pPr>
      <w:spacing w:after="120"/>
      <w:ind w:left="283"/>
    </w:pPr>
    <w:rPr>
      <w:sz w:val="16"/>
      <w:szCs w:val="16"/>
    </w:rPr>
  </w:style>
  <w:style w:type="character" w:customStyle="1" w:styleId="BodyTextIndent3Char">
    <w:name w:val="Body Text Indent 3 Char"/>
    <w:basedOn w:val="DefaultParagraphFont"/>
    <w:link w:val="BodyTextIndent3"/>
    <w:uiPriority w:val="99"/>
    <w:rsid w:val="00047656"/>
    <w:rPr>
      <w:rFonts w:ascii="Arial" w:hAnsi="Arial"/>
      <w:sz w:val="16"/>
      <w:szCs w:val="16"/>
    </w:rPr>
  </w:style>
  <w:style w:type="paragraph" w:styleId="BodyTextIndent2">
    <w:name w:val="Body Text Indent 2"/>
    <w:basedOn w:val="Normal"/>
    <w:link w:val="BodyTextIndent2Char"/>
    <w:uiPriority w:val="99"/>
    <w:unhideWhenUsed/>
    <w:rsid w:val="00047656"/>
    <w:pPr>
      <w:spacing w:after="120" w:line="480" w:lineRule="auto"/>
      <w:ind w:left="283"/>
    </w:pPr>
  </w:style>
  <w:style w:type="character" w:customStyle="1" w:styleId="BodyTextIndent2Char">
    <w:name w:val="Body Text Indent 2 Char"/>
    <w:basedOn w:val="DefaultParagraphFont"/>
    <w:link w:val="BodyTextIndent2"/>
    <w:uiPriority w:val="99"/>
    <w:rsid w:val="000476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87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er.gov.au"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3A292-BA11-43E3-9280-ACBCDC26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A97A87D4</Template>
  <TotalTime>0</TotalTime>
  <Pages>16</Pages>
  <Words>3905</Words>
  <Characters>22259</Characters>
  <Application>Microsoft Office Word</Application>
  <DocSecurity>0</DocSecurity>
  <Lines>185</Lines>
  <Paragraphs>52</Paragraphs>
  <ScaleCrop>false</ScaleCrop>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2017-07-04T03:00:00Z</dcterms:created>
  <dcterms:modified xsi:type="dcterms:W3CDTF">2017-07-04T03:01:00Z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