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45C21F1" wp14:editId="3D8EFD4F">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3198829D" wp14:editId="42D77C61">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926E7B" w:rsidRDefault="00926E7B" w:rsidP="00D5015C">
          <w:pPr>
            <w:pStyle w:val="ReportSubtitle"/>
          </w:pPr>
          <w:r w:rsidRPr="00926E7B">
            <w:t>DRAFT DECISION</w:t>
          </w:r>
        </w:p>
        <w:p w:rsidR="00D5015C" w:rsidRDefault="00D5015C" w:rsidP="00D5015C">
          <w:pPr>
            <w:pStyle w:val="ReportSubtitle"/>
          </w:pPr>
          <w:r>
            <w:t>Australian Gas Networks</w:t>
          </w:r>
        </w:p>
        <w:p w:rsidR="00D5015C" w:rsidRDefault="00D5015C" w:rsidP="00D5015C">
          <w:pPr>
            <w:pStyle w:val="ReportSubtitle"/>
          </w:pPr>
          <w:r>
            <w:t xml:space="preserve">Victoria </w:t>
          </w:r>
          <w:r w:rsidRPr="00D5015C">
            <w:t>and</w:t>
          </w:r>
          <w:r>
            <w:t xml:space="preserve"> Albury gas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0474DF">
            <w:t xml:space="preserve"> </w:t>
          </w:r>
          <w:r w:rsidR="00185BA5">
            <w:t>–</w:t>
          </w:r>
          <w:r w:rsidR="000474DF">
            <w:t xml:space="preserve"> </w:t>
          </w:r>
          <w:r w:rsidR="00D5015C">
            <w:t>Services covered by the access arrangement</w:t>
          </w:r>
        </w:p>
        <w:p w:rsidR="00D5015C" w:rsidRDefault="00D5015C" w:rsidP="00327A1E">
          <w:pPr>
            <w:pStyle w:val="ReportDate"/>
          </w:pPr>
        </w:p>
        <w:p w:rsidR="00D5015C" w:rsidRDefault="00D5015C" w:rsidP="00327A1E">
          <w:pPr>
            <w:pStyle w:val="ReportDate"/>
          </w:pPr>
        </w:p>
        <w:p w:rsidR="000A6C7B" w:rsidRPr="00327A1E" w:rsidRDefault="00F91C1C" w:rsidP="00327A1E">
          <w:pPr>
            <w:pStyle w:val="ReportDate"/>
          </w:pPr>
          <w:r>
            <w:t>Ju</w:t>
          </w:r>
          <w:r w:rsidR="0095714A">
            <w:t>ly</w:t>
          </w:r>
          <w:r w:rsidR="00D5015C">
            <w:t xml:space="preserve"> </w:t>
          </w:r>
          <w:r w:rsidR="00F22A8C">
            <w:t>2017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926E7B">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333129">
        <w:t>1300 585 165</w:t>
      </w:r>
      <w:r>
        <w:br/>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86832224"/>
      <w:r>
        <w:lastRenderedPageBreak/>
        <w:t>Note</w:t>
      </w:r>
      <w:bookmarkEnd w:id="2"/>
      <w:bookmarkEnd w:id="3"/>
      <w:bookmarkEnd w:id="4"/>
    </w:p>
    <w:p w:rsidR="00D5015C" w:rsidRDefault="00D5015C" w:rsidP="00D5015C">
      <w:pPr>
        <w:numPr>
          <w:ilvl w:val="0"/>
          <w:numId w:val="23"/>
        </w:numPr>
      </w:pPr>
      <w:r>
        <w:t>This attachment forms part of the AER's draft decision on the access arrangement for AGN's Victoria and Albury gas distribution networks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86832225"/>
      <w:r>
        <w:t>Contents</w:t>
      </w:r>
      <w:bookmarkEnd w:id="9"/>
      <w:bookmarkEnd w:id="10"/>
    </w:p>
    <w:p w:rsidR="00CE2A23" w:rsidRDefault="00CE2A23" w:rsidP="00CE2A23"/>
    <w:sdt>
      <w:sdtPr>
        <w:id w:val="1269200322"/>
        <w:docPartObj>
          <w:docPartGallery w:val="Table of Contents"/>
          <w:docPartUnique/>
        </w:docPartObj>
      </w:sdtPr>
      <w:sdtEndPr/>
      <w:sdtContent>
        <w:p w:rsidR="0095714A" w:rsidRDefault="00430F2E">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32224" w:history="1">
            <w:r w:rsidR="0095714A" w:rsidRPr="00014A56">
              <w:rPr>
                <w:rStyle w:val="Hyperlink"/>
              </w:rPr>
              <w:t>Note</w:t>
            </w:r>
            <w:r w:rsidR="0095714A">
              <w:rPr>
                <w:webHidden/>
              </w:rPr>
              <w:tab/>
            </w:r>
            <w:r w:rsidR="0095714A">
              <w:rPr>
                <w:webHidden/>
              </w:rPr>
              <w:fldChar w:fldCharType="begin"/>
            </w:r>
            <w:r w:rsidR="0095714A">
              <w:rPr>
                <w:webHidden/>
              </w:rPr>
              <w:instrText xml:space="preserve"> PAGEREF _Toc486832224 \h </w:instrText>
            </w:r>
            <w:r w:rsidR="0095714A">
              <w:rPr>
                <w:webHidden/>
              </w:rPr>
            </w:r>
            <w:r w:rsidR="0095714A">
              <w:rPr>
                <w:webHidden/>
              </w:rPr>
              <w:fldChar w:fldCharType="separate"/>
            </w:r>
            <w:r w:rsidR="002F5E1D">
              <w:rPr>
                <w:webHidden/>
              </w:rPr>
              <w:t>1-2</w:t>
            </w:r>
            <w:r w:rsidR="0095714A">
              <w:rPr>
                <w:webHidden/>
              </w:rPr>
              <w:fldChar w:fldCharType="end"/>
            </w:r>
          </w:hyperlink>
        </w:p>
        <w:p w:rsidR="0095714A" w:rsidRDefault="002F5E1D">
          <w:pPr>
            <w:pStyle w:val="TOC1"/>
            <w:rPr>
              <w:rFonts w:asciiTheme="minorHAnsi" w:eastAsiaTheme="minorEastAsia" w:hAnsiTheme="minorHAnsi"/>
              <w:b w:val="0"/>
              <w:color w:val="auto"/>
              <w:sz w:val="22"/>
              <w:lang w:val="en-AU" w:eastAsia="en-AU"/>
            </w:rPr>
          </w:pPr>
          <w:hyperlink w:anchor="_Toc486832225" w:history="1">
            <w:r w:rsidR="0095714A" w:rsidRPr="00014A56">
              <w:rPr>
                <w:rStyle w:val="Hyperlink"/>
              </w:rPr>
              <w:t>Contents</w:t>
            </w:r>
            <w:r w:rsidR="0095714A">
              <w:rPr>
                <w:webHidden/>
              </w:rPr>
              <w:tab/>
            </w:r>
            <w:r w:rsidR="0095714A">
              <w:rPr>
                <w:webHidden/>
              </w:rPr>
              <w:fldChar w:fldCharType="begin"/>
            </w:r>
            <w:r w:rsidR="0095714A">
              <w:rPr>
                <w:webHidden/>
              </w:rPr>
              <w:instrText xml:space="preserve"> PAGEREF _Toc486832225 \h </w:instrText>
            </w:r>
            <w:r w:rsidR="0095714A">
              <w:rPr>
                <w:webHidden/>
              </w:rPr>
            </w:r>
            <w:r w:rsidR="0095714A">
              <w:rPr>
                <w:webHidden/>
              </w:rPr>
              <w:fldChar w:fldCharType="separate"/>
            </w:r>
            <w:r>
              <w:rPr>
                <w:webHidden/>
              </w:rPr>
              <w:t>1-3</w:t>
            </w:r>
            <w:r w:rsidR="0095714A">
              <w:rPr>
                <w:webHidden/>
              </w:rPr>
              <w:fldChar w:fldCharType="end"/>
            </w:r>
          </w:hyperlink>
        </w:p>
        <w:p w:rsidR="0095714A" w:rsidRDefault="002F5E1D">
          <w:pPr>
            <w:pStyle w:val="TOC1"/>
            <w:rPr>
              <w:rFonts w:asciiTheme="minorHAnsi" w:eastAsiaTheme="minorEastAsia" w:hAnsiTheme="minorHAnsi"/>
              <w:b w:val="0"/>
              <w:color w:val="auto"/>
              <w:sz w:val="22"/>
              <w:lang w:val="en-AU" w:eastAsia="en-AU"/>
            </w:rPr>
          </w:pPr>
          <w:hyperlink w:anchor="_Toc486832226" w:history="1">
            <w:r w:rsidR="0095714A" w:rsidRPr="00014A56">
              <w:rPr>
                <w:rStyle w:val="Hyperlink"/>
              </w:rPr>
              <w:t>Shortened forms</w:t>
            </w:r>
            <w:r w:rsidR="0095714A">
              <w:rPr>
                <w:webHidden/>
              </w:rPr>
              <w:tab/>
            </w:r>
            <w:r w:rsidR="0095714A">
              <w:rPr>
                <w:webHidden/>
              </w:rPr>
              <w:fldChar w:fldCharType="begin"/>
            </w:r>
            <w:r w:rsidR="0095714A">
              <w:rPr>
                <w:webHidden/>
              </w:rPr>
              <w:instrText xml:space="preserve"> PAGEREF _Toc486832226 \h </w:instrText>
            </w:r>
            <w:r w:rsidR="0095714A">
              <w:rPr>
                <w:webHidden/>
              </w:rPr>
            </w:r>
            <w:r w:rsidR="0095714A">
              <w:rPr>
                <w:webHidden/>
              </w:rPr>
              <w:fldChar w:fldCharType="separate"/>
            </w:r>
            <w:r>
              <w:rPr>
                <w:webHidden/>
              </w:rPr>
              <w:t>1-4</w:t>
            </w:r>
            <w:r w:rsidR="0095714A">
              <w:rPr>
                <w:webHidden/>
              </w:rPr>
              <w:fldChar w:fldCharType="end"/>
            </w:r>
          </w:hyperlink>
        </w:p>
        <w:p w:rsidR="0095714A" w:rsidRDefault="002F5E1D">
          <w:pPr>
            <w:pStyle w:val="TOC1"/>
            <w:rPr>
              <w:rFonts w:asciiTheme="minorHAnsi" w:eastAsiaTheme="minorEastAsia" w:hAnsiTheme="minorHAnsi"/>
              <w:b w:val="0"/>
              <w:color w:val="auto"/>
              <w:sz w:val="22"/>
              <w:lang w:val="en-AU" w:eastAsia="en-AU"/>
            </w:rPr>
          </w:pPr>
          <w:hyperlink w:anchor="_Toc486832227" w:history="1">
            <w:r w:rsidR="0095714A" w:rsidRPr="00014A56">
              <w:rPr>
                <w:rStyle w:val="Hyperlink"/>
              </w:rPr>
              <w:t>1</w:t>
            </w:r>
            <w:r w:rsidR="0095714A">
              <w:rPr>
                <w:rFonts w:asciiTheme="minorHAnsi" w:eastAsiaTheme="minorEastAsia" w:hAnsiTheme="minorHAnsi"/>
                <w:b w:val="0"/>
                <w:color w:val="auto"/>
                <w:sz w:val="22"/>
                <w:lang w:val="en-AU" w:eastAsia="en-AU"/>
              </w:rPr>
              <w:tab/>
            </w:r>
            <w:r w:rsidR="0095714A" w:rsidRPr="00014A56">
              <w:rPr>
                <w:rStyle w:val="Hyperlink"/>
              </w:rPr>
              <w:t>Services covered by the access arrangement</w:t>
            </w:r>
            <w:r w:rsidR="0095714A">
              <w:rPr>
                <w:webHidden/>
              </w:rPr>
              <w:tab/>
            </w:r>
            <w:r w:rsidR="0095714A">
              <w:rPr>
                <w:webHidden/>
              </w:rPr>
              <w:fldChar w:fldCharType="begin"/>
            </w:r>
            <w:r w:rsidR="0095714A">
              <w:rPr>
                <w:webHidden/>
              </w:rPr>
              <w:instrText xml:space="preserve"> PAGEREF _Toc486832227 \h </w:instrText>
            </w:r>
            <w:r w:rsidR="0095714A">
              <w:rPr>
                <w:webHidden/>
              </w:rPr>
            </w:r>
            <w:r w:rsidR="0095714A">
              <w:rPr>
                <w:webHidden/>
              </w:rPr>
              <w:fldChar w:fldCharType="separate"/>
            </w:r>
            <w:r>
              <w:rPr>
                <w:webHidden/>
              </w:rPr>
              <w:t>1-5</w:t>
            </w:r>
            <w:r w:rsidR="0095714A">
              <w:rPr>
                <w:webHidden/>
              </w:rPr>
              <w:fldChar w:fldCharType="end"/>
            </w:r>
          </w:hyperlink>
        </w:p>
        <w:p w:rsidR="0095714A" w:rsidRDefault="002F5E1D">
          <w:pPr>
            <w:pStyle w:val="TOC2"/>
            <w:rPr>
              <w:rFonts w:asciiTheme="minorHAnsi" w:eastAsiaTheme="minorEastAsia" w:hAnsiTheme="minorHAnsi"/>
              <w:b w:val="0"/>
              <w:color w:val="auto"/>
              <w:sz w:val="22"/>
              <w:lang w:eastAsia="en-AU"/>
            </w:rPr>
          </w:pPr>
          <w:hyperlink w:anchor="_Toc486832228" w:history="1">
            <w:r w:rsidR="0095714A" w:rsidRPr="00014A56">
              <w:rPr>
                <w:rStyle w:val="Hyperlink"/>
              </w:rPr>
              <w:t>1.1</w:t>
            </w:r>
            <w:r w:rsidR="0095714A">
              <w:rPr>
                <w:rFonts w:asciiTheme="minorHAnsi" w:eastAsiaTheme="minorEastAsia" w:hAnsiTheme="minorHAnsi"/>
                <w:b w:val="0"/>
                <w:color w:val="auto"/>
                <w:sz w:val="22"/>
                <w:lang w:eastAsia="en-AU"/>
              </w:rPr>
              <w:tab/>
            </w:r>
            <w:r w:rsidR="0095714A" w:rsidRPr="00014A56">
              <w:rPr>
                <w:rStyle w:val="Hyperlink"/>
              </w:rPr>
              <w:t>Draft decision</w:t>
            </w:r>
            <w:r w:rsidR="0095714A">
              <w:rPr>
                <w:webHidden/>
              </w:rPr>
              <w:tab/>
            </w:r>
            <w:r w:rsidR="0095714A">
              <w:rPr>
                <w:webHidden/>
              </w:rPr>
              <w:fldChar w:fldCharType="begin"/>
            </w:r>
            <w:r w:rsidR="0095714A">
              <w:rPr>
                <w:webHidden/>
              </w:rPr>
              <w:instrText xml:space="preserve"> PAGEREF _Toc486832228 \h </w:instrText>
            </w:r>
            <w:r w:rsidR="0095714A">
              <w:rPr>
                <w:webHidden/>
              </w:rPr>
            </w:r>
            <w:r w:rsidR="0095714A">
              <w:rPr>
                <w:webHidden/>
              </w:rPr>
              <w:fldChar w:fldCharType="separate"/>
            </w:r>
            <w:r>
              <w:rPr>
                <w:webHidden/>
              </w:rPr>
              <w:t>1-5</w:t>
            </w:r>
            <w:r w:rsidR="0095714A">
              <w:rPr>
                <w:webHidden/>
              </w:rPr>
              <w:fldChar w:fldCharType="end"/>
            </w:r>
          </w:hyperlink>
        </w:p>
        <w:p w:rsidR="0095714A" w:rsidRDefault="002F5E1D">
          <w:pPr>
            <w:pStyle w:val="TOC2"/>
            <w:rPr>
              <w:rFonts w:asciiTheme="minorHAnsi" w:eastAsiaTheme="minorEastAsia" w:hAnsiTheme="minorHAnsi"/>
              <w:b w:val="0"/>
              <w:color w:val="auto"/>
              <w:sz w:val="22"/>
              <w:lang w:eastAsia="en-AU"/>
            </w:rPr>
          </w:pPr>
          <w:hyperlink w:anchor="_Toc486832229" w:history="1">
            <w:r w:rsidR="0095714A" w:rsidRPr="00014A56">
              <w:rPr>
                <w:rStyle w:val="Hyperlink"/>
              </w:rPr>
              <w:t>1.2</w:t>
            </w:r>
            <w:r w:rsidR="0095714A">
              <w:rPr>
                <w:rFonts w:asciiTheme="minorHAnsi" w:eastAsiaTheme="minorEastAsia" w:hAnsiTheme="minorHAnsi"/>
                <w:b w:val="0"/>
                <w:color w:val="auto"/>
                <w:sz w:val="22"/>
                <w:lang w:eastAsia="en-AU"/>
              </w:rPr>
              <w:tab/>
            </w:r>
            <w:r w:rsidR="0095714A" w:rsidRPr="00014A56">
              <w:rPr>
                <w:rStyle w:val="Hyperlink"/>
              </w:rPr>
              <w:t>AGN’s proposal</w:t>
            </w:r>
            <w:r w:rsidR="0095714A">
              <w:rPr>
                <w:webHidden/>
              </w:rPr>
              <w:tab/>
            </w:r>
            <w:r w:rsidR="0095714A">
              <w:rPr>
                <w:webHidden/>
              </w:rPr>
              <w:fldChar w:fldCharType="begin"/>
            </w:r>
            <w:r w:rsidR="0095714A">
              <w:rPr>
                <w:webHidden/>
              </w:rPr>
              <w:instrText xml:space="preserve"> PAGEREF _Toc486832229 \h </w:instrText>
            </w:r>
            <w:r w:rsidR="0095714A">
              <w:rPr>
                <w:webHidden/>
              </w:rPr>
            </w:r>
            <w:r w:rsidR="0095714A">
              <w:rPr>
                <w:webHidden/>
              </w:rPr>
              <w:fldChar w:fldCharType="separate"/>
            </w:r>
            <w:r>
              <w:rPr>
                <w:webHidden/>
              </w:rPr>
              <w:t>1-6</w:t>
            </w:r>
            <w:r w:rsidR="0095714A">
              <w:rPr>
                <w:webHidden/>
              </w:rPr>
              <w:fldChar w:fldCharType="end"/>
            </w:r>
          </w:hyperlink>
        </w:p>
        <w:p w:rsidR="0095714A" w:rsidRDefault="002F5E1D">
          <w:pPr>
            <w:pStyle w:val="TOC2"/>
            <w:rPr>
              <w:rFonts w:asciiTheme="minorHAnsi" w:eastAsiaTheme="minorEastAsia" w:hAnsiTheme="minorHAnsi"/>
              <w:b w:val="0"/>
              <w:color w:val="auto"/>
              <w:sz w:val="22"/>
              <w:lang w:eastAsia="en-AU"/>
            </w:rPr>
          </w:pPr>
          <w:hyperlink w:anchor="_Toc486832230" w:history="1">
            <w:r w:rsidR="0095714A" w:rsidRPr="00014A56">
              <w:rPr>
                <w:rStyle w:val="Hyperlink"/>
              </w:rPr>
              <w:t>1.3</w:t>
            </w:r>
            <w:r w:rsidR="0095714A">
              <w:rPr>
                <w:rFonts w:asciiTheme="minorHAnsi" w:eastAsiaTheme="minorEastAsia" w:hAnsiTheme="minorHAnsi"/>
                <w:b w:val="0"/>
                <w:color w:val="auto"/>
                <w:sz w:val="22"/>
                <w:lang w:eastAsia="en-AU"/>
              </w:rPr>
              <w:tab/>
            </w:r>
            <w:r w:rsidR="0095714A" w:rsidRPr="00014A56">
              <w:rPr>
                <w:rStyle w:val="Hyperlink"/>
              </w:rPr>
              <w:t>Assessment approach</w:t>
            </w:r>
            <w:r w:rsidR="0095714A">
              <w:rPr>
                <w:webHidden/>
              </w:rPr>
              <w:tab/>
            </w:r>
            <w:r w:rsidR="0095714A">
              <w:rPr>
                <w:webHidden/>
              </w:rPr>
              <w:fldChar w:fldCharType="begin"/>
            </w:r>
            <w:r w:rsidR="0095714A">
              <w:rPr>
                <w:webHidden/>
              </w:rPr>
              <w:instrText xml:space="preserve"> PAGEREF _Toc486832230 \h </w:instrText>
            </w:r>
            <w:r w:rsidR="0095714A">
              <w:rPr>
                <w:webHidden/>
              </w:rPr>
            </w:r>
            <w:r w:rsidR="0095714A">
              <w:rPr>
                <w:webHidden/>
              </w:rPr>
              <w:fldChar w:fldCharType="separate"/>
            </w:r>
            <w:r>
              <w:rPr>
                <w:webHidden/>
              </w:rPr>
              <w:t>1-7</w:t>
            </w:r>
            <w:r w:rsidR="0095714A">
              <w:rPr>
                <w:webHidden/>
              </w:rPr>
              <w:fldChar w:fldCharType="end"/>
            </w:r>
          </w:hyperlink>
        </w:p>
        <w:p w:rsidR="0095714A" w:rsidRDefault="002F5E1D">
          <w:pPr>
            <w:pStyle w:val="TOC3"/>
            <w:rPr>
              <w:rFonts w:asciiTheme="minorHAnsi" w:eastAsiaTheme="minorEastAsia" w:hAnsiTheme="minorHAnsi"/>
              <w:lang w:eastAsia="en-AU"/>
            </w:rPr>
          </w:pPr>
          <w:hyperlink w:anchor="_Toc486832231" w:history="1">
            <w:r w:rsidR="0095714A" w:rsidRPr="00014A56">
              <w:rPr>
                <w:rStyle w:val="Hyperlink"/>
              </w:rPr>
              <w:t>1.3.1</w:t>
            </w:r>
            <w:r w:rsidR="0095714A">
              <w:rPr>
                <w:rFonts w:asciiTheme="minorHAnsi" w:eastAsiaTheme="minorEastAsia" w:hAnsiTheme="minorHAnsi"/>
                <w:lang w:eastAsia="en-AU"/>
              </w:rPr>
              <w:tab/>
            </w:r>
            <w:r w:rsidR="0095714A" w:rsidRPr="00014A56">
              <w:rPr>
                <w:rStyle w:val="Hyperlink"/>
              </w:rPr>
              <w:t>Interrelationships</w:t>
            </w:r>
            <w:r w:rsidR="0095714A">
              <w:rPr>
                <w:webHidden/>
              </w:rPr>
              <w:tab/>
            </w:r>
            <w:r w:rsidR="0095714A">
              <w:rPr>
                <w:webHidden/>
              </w:rPr>
              <w:fldChar w:fldCharType="begin"/>
            </w:r>
            <w:r w:rsidR="0095714A">
              <w:rPr>
                <w:webHidden/>
              </w:rPr>
              <w:instrText xml:space="preserve"> PAGEREF _Toc486832231 \h </w:instrText>
            </w:r>
            <w:r w:rsidR="0095714A">
              <w:rPr>
                <w:webHidden/>
              </w:rPr>
            </w:r>
            <w:r w:rsidR="0095714A">
              <w:rPr>
                <w:webHidden/>
              </w:rPr>
              <w:fldChar w:fldCharType="separate"/>
            </w:r>
            <w:r>
              <w:rPr>
                <w:webHidden/>
              </w:rPr>
              <w:t>1-8</w:t>
            </w:r>
            <w:r w:rsidR="0095714A">
              <w:rPr>
                <w:webHidden/>
              </w:rPr>
              <w:fldChar w:fldCharType="end"/>
            </w:r>
          </w:hyperlink>
        </w:p>
        <w:p w:rsidR="0095714A" w:rsidRDefault="002F5E1D">
          <w:pPr>
            <w:pStyle w:val="TOC2"/>
            <w:rPr>
              <w:rFonts w:asciiTheme="minorHAnsi" w:eastAsiaTheme="minorEastAsia" w:hAnsiTheme="minorHAnsi"/>
              <w:b w:val="0"/>
              <w:color w:val="auto"/>
              <w:sz w:val="22"/>
              <w:lang w:eastAsia="en-AU"/>
            </w:rPr>
          </w:pPr>
          <w:hyperlink w:anchor="_Toc486832232" w:history="1">
            <w:r w:rsidR="0095714A" w:rsidRPr="00014A56">
              <w:rPr>
                <w:rStyle w:val="Hyperlink"/>
              </w:rPr>
              <w:t>1.4</w:t>
            </w:r>
            <w:r w:rsidR="0095714A">
              <w:rPr>
                <w:rFonts w:asciiTheme="minorHAnsi" w:eastAsiaTheme="minorEastAsia" w:hAnsiTheme="minorHAnsi"/>
                <w:b w:val="0"/>
                <w:color w:val="auto"/>
                <w:sz w:val="22"/>
                <w:lang w:eastAsia="en-AU"/>
              </w:rPr>
              <w:tab/>
            </w:r>
            <w:r w:rsidR="0095714A" w:rsidRPr="00014A56">
              <w:rPr>
                <w:rStyle w:val="Hyperlink"/>
              </w:rPr>
              <w:t>Reasons for draft decision</w:t>
            </w:r>
            <w:r w:rsidR="0095714A">
              <w:rPr>
                <w:webHidden/>
              </w:rPr>
              <w:tab/>
            </w:r>
            <w:r w:rsidR="0095714A">
              <w:rPr>
                <w:webHidden/>
              </w:rPr>
              <w:fldChar w:fldCharType="begin"/>
            </w:r>
            <w:r w:rsidR="0095714A">
              <w:rPr>
                <w:webHidden/>
              </w:rPr>
              <w:instrText xml:space="preserve"> PAGEREF _Toc486832232 \h </w:instrText>
            </w:r>
            <w:r w:rsidR="0095714A">
              <w:rPr>
                <w:webHidden/>
              </w:rPr>
            </w:r>
            <w:r w:rsidR="0095714A">
              <w:rPr>
                <w:webHidden/>
              </w:rPr>
              <w:fldChar w:fldCharType="separate"/>
            </w:r>
            <w:r>
              <w:rPr>
                <w:webHidden/>
              </w:rPr>
              <w:t>1-8</w:t>
            </w:r>
            <w:r w:rsidR="0095714A">
              <w:rPr>
                <w:webHidden/>
              </w:rPr>
              <w:fldChar w:fldCharType="end"/>
            </w:r>
          </w:hyperlink>
        </w:p>
        <w:p w:rsidR="00CE2A23" w:rsidRDefault="00430F2E" w:rsidP="00430F2E">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832226"/>
      <w:r>
        <w:t>Shortened forms</w:t>
      </w:r>
      <w:bookmarkEnd w:id="11"/>
      <w:bookmarkEnd w:id="12"/>
    </w:p>
    <w:tbl>
      <w:tblPr>
        <w:tblStyle w:val="AERtable-numbers"/>
        <w:tblW w:w="0" w:type="auto"/>
        <w:tblLook w:val="04A0" w:firstRow="1" w:lastRow="0" w:firstColumn="1" w:lastColumn="0" w:noHBand="0" w:noVBand="1"/>
      </w:tblPr>
      <w:tblGrid>
        <w:gridCol w:w="3652"/>
        <w:gridCol w:w="5041"/>
      </w:tblGrid>
      <w:tr w:rsidR="00333129" w:rsidTr="00A064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Shortened form</w:t>
            </w:r>
          </w:p>
        </w:tc>
        <w:tc>
          <w:tcPr>
            <w:tcW w:w="5041" w:type="dxa"/>
          </w:tcPr>
          <w:p w:rsidR="00333129" w:rsidRDefault="00333129" w:rsidP="00A0649F">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AER</w:t>
            </w:r>
          </w:p>
        </w:tc>
        <w:tc>
          <w:tcPr>
            <w:tcW w:w="5041" w:type="dxa"/>
          </w:tcPr>
          <w:p w:rsidR="00333129" w:rsidRDefault="00333129" w:rsidP="00A0649F">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ATO</w:t>
            </w:r>
          </w:p>
        </w:tc>
        <w:tc>
          <w:tcPr>
            <w:tcW w:w="5041" w:type="dxa"/>
          </w:tcPr>
          <w:p w:rsidR="00333129" w:rsidRPr="00650EFA" w:rsidRDefault="00333129" w:rsidP="00A0649F">
            <w:pPr>
              <w:cnfStyle w:val="000000010000" w:firstRow="0" w:lastRow="0" w:firstColumn="0" w:lastColumn="0" w:oddVBand="0" w:evenVBand="0" w:oddHBand="0" w:evenHBand="1" w:firstRowFirstColumn="0" w:firstRowLastColumn="0" w:lastRowFirstColumn="0" w:lastRowLastColumn="0"/>
            </w:pPr>
            <w:r>
              <w:t>Australian Tax Office</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capex</w:t>
            </w:r>
          </w:p>
        </w:tc>
        <w:tc>
          <w:tcPr>
            <w:tcW w:w="5041" w:type="dxa"/>
          </w:tcPr>
          <w:p w:rsidR="00333129" w:rsidRDefault="00333129" w:rsidP="00A0649F">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CAPM</w:t>
            </w:r>
          </w:p>
        </w:tc>
        <w:tc>
          <w:tcPr>
            <w:tcW w:w="5041" w:type="dxa"/>
          </w:tcPr>
          <w:p w:rsidR="00333129" w:rsidRDefault="00333129" w:rsidP="00A0649F">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CESS</w:t>
            </w:r>
          </w:p>
        </w:tc>
        <w:tc>
          <w:tcPr>
            <w:tcW w:w="5041" w:type="dxa"/>
          </w:tcPr>
          <w:p w:rsidR="00333129" w:rsidRDefault="00333129" w:rsidP="00A0649F">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CPI</w:t>
            </w:r>
          </w:p>
        </w:tc>
        <w:tc>
          <w:tcPr>
            <w:tcW w:w="5041" w:type="dxa"/>
          </w:tcPr>
          <w:p w:rsidR="00333129" w:rsidRDefault="00333129" w:rsidP="00A0649F">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DRP</w:t>
            </w:r>
          </w:p>
        </w:tc>
        <w:tc>
          <w:tcPr>
            <w:tcW w:w="5041" w:type="dxa"/>
          </w:tcPr>
          <w:p w:rsidR="00333129" w:rsidRDefault="00333129" w:rsidP="00A0649F">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ECM</w:t>
            </w:r>
          </w:p>
        </w:tc>
        <w:tc>
          <w:tcPr>
            <w:tcW w:w="5041" w:type="dxa"/>
          </w:tcPr>
          <w:p w:rsidR="00333129" w:rsidRPr="00650EFA" w:rsidRDefault="00333129" w:rsidP="00A0649F">
            <w:pPr>
              <w:cnfStyle w:val="000000010000" w:firstRow="0" w:lastRow="0" w:firstColumn="0" w:lastColumn="0" w:oddVBand="0" w:evenVBand="0" w:oddHBand="0" w:evenHBand="1" w:firstRowFirstColumn="0" w:firstRowLastColumn="0" w:lastRowFirstColumn="0" w:lastRowLastColumn="0"/>
            </w:pPr>
            <w:r>
              <w:t>(Opex) Efficiency Carryover Mechanism</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ERP</w:t>
            </w:r>
          </w:p>
        </w:tc>
        <w:tc>
          <w:tcPr>
            <w:tcW w:w="5041" w:type="dxa"/>
          </w:tcPr>
          <w:p w:rsidR="00333129" w:rsidRDefault="00333129" w:rsidP="00A0649F">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Expenditure Guideline</w:t>
            </w:r>
          </w:p>
        </w:tc>
        <w:tc>
          <w:tcPr>
            <w:tcW w:w="5041" w:type="dxa"/>
          </w:tcPr>
          <w:p w:rsidR="00333129" w:rsidRPr="00650EFA" w:rsidRDefault="00333129" w:rsidP="00A0649F">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gamma</w:t>
            </w:r>
          </w:p>
        </w:tc>
        <w:tc>
          <w:tcPr>
            <w:tcW w:w="5041" w:type="dxa"/>
          </w:tcPr>
          <w:p w:rsidR="00333129" w:rsidRPr="00650EFA" w:rsidRDefault="00333129" w:rsidP="00A0649F">
            <w:pPr>
              <w:cnfStyle w:val="000000000000" w:firstRow="0" w:lastRow="0" w:firstColumn="0" w:lastColumn="0" w:oddVBand="0" w:evenVBand="0" w:oddHBand="0" w:evenHBand="0" w:firstRowFirstColumn="0" w:firstRowLastColumn="0" w:lastRowFirstColumn="0" w:lastRowLastColumn="0"/>
            </w:pPr>
            <w:r>
              <w:t>Value of Imputation Credits</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MRP</w:t>
            </w:r>
          </w:p>
        </w:tc>
        <w:tc>
          <w:tcPr>
            <w:tcW w:w="5041" w:type="dxa"/>
          </w:tcPr>
          <w:p w:rsidR="00333129" w:rsidRDefault="00333129" w:rsidP="00A0649F">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NGL</w:t>
            </w:r>
          </w:p>
        </w:tc>
        <w:tc>
          <w:tcPr>
            <w:tcW w:w="5041" w:type="dxa"/>
          </w:tcPr>
          <w:p w:rsidR="00333129" w:rsidRDefault="00333129" w:rsidP="00A0649F">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NGO</w:t>
            </w:r>
          </w:p>
        </w:tc>
        <w:tc>
          <w:tcPr>
            <w:tcW w:w="5041" w:type="dxa"/>
          </w:tcPr>
          <w:p w:rsidR="00333129" w:rsidRDefault="00333129" w:rsidP="00A0649F">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NGR</w:t>
            </w:r>
          </w:p>
        </w:tc>
        <w:tc>
          <w:tcPr>
            <w:tcW w:w="5041" w:type="dxa"/>
          </w:tcPr>
          <w:p w:rsidR="00333129" w:rsidRDefault="00333129" w:rsidP="00A0649F">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NPV</w:t>
            </w:r>
          </w:p>
        </w:tc>
        <w:tc>
          <w:tcPr>
            <w:tcW w:w="5041" w:type="dxa"/>
          </w:tcPr>
          <w:p w:rsidR="00333129" w:rsidRPr="00650EFA" w:rsidRDefault="00333129" w:rsidP="00A0649F">
            <w:pPr>
              <w:cnfStyle w:val="000000010000" w:firstRow="0" w:lastRow="0" w:firstColumn="0" w:lastColumn="0" w:oddVBand="0" w:evenVBand="0" w:oddHBand="0" w:evenHBand="1" w:firstRowFirstColumn="0" w:firstRowLastColumn="0" w:lastRowFirstColumn="0" w:lastRowLastColumn="0"/>
            </w:pPr>
            <w:r>
              <w:t>net present value</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opex</w:t>
            </w:r>
          </w:p>
        </w:tc>
        <w:tc>
          <w:tcPr>
            <w:tcW w:w="5041" w:type="dxa"/>
          </w:tcPr>
          <w:p w:rsidR="00333129" w:rsidRDefault="00333129" w:rsidP="00A0649F">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PTRM</w:t>
            </w:r>
          </w:p>
        </w:tc>
        <w:tc>
          <w:tcPr>
            <w:tcW w:w="5041" w:type="dxa"/>
          </w:tcPr>
          <w:p w:rsidR="00333129" w:rsidRDefault="00333129" w:rsidP="00A0649F">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RBA</w:t>
            </w:r>
          </w:p>
        </w:tc>
        <w:tc>
          <w:tcPr>
            <w:tcW w:w="5041" w:type="dxa"/>
          </w:tcPr>
          <w:p w:rsidR="00333129" w:rsidRDefault="00333129" w:rsidP="00A0649F">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RFM</w:t>
            </w:r>
          </w:p>
        </w:tc>
        <w:tc>
          <w:tcPr>
            <w:tcW w:w="5041" w:type="dxa"/>
          </w:tcPr>
          <w:p w:rsidR="00333129" w:rsidRDefault="00333129" w:rsidP="00A0649F">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RIN</w:t>
            </w:r>
          </w:p>
        </w:tc>
        <w:tc>
          <w:tcPr>
            <w:tcW w:w="5041" w:type="dxa"/>
          </w:tcPr>
          <w:p w:rsidR="00333129" w:rsidRDefault="00333129" w:rsidP="00A0649F">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RPP</w:t>
            </w:r>
          </w:p>
        </w:tc>
        <w:tc>
          <w:tcPr>
            <w:tcW w:w="5041" w:type="dxa"/>
          </w:tcPr>
          <w:p w:rsidR="00333129" w:rsidRDefault="00333129" w:rsidP="00A0649F">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SLCAPM</w:t>
            </w:r>
          </w:p>
        </w:tc>
        <w:tc>
          <w:tcPr>
            <w:tcW w:w="5041" w:type="dxa"/>
          </w:tcPr>
          <w:p w:rsidR="00333129" w:rsidRDefault="00333129" w:rsidP="00A0649F">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STTM</w:t>
            </w:r>
          </w:p>
        </w:tc>
        <w:tc>
          <w:tcPr>
            <w:tcW w:w="5041" w:type="dxa"/>
          </w:tcPr>
          <w:p w:rsidR="00333129" w:rsidRPr="00650EFA" w:rsidRDefault="00333129" w:rsidP="00A0649F">
            <w:pPr>
              <w:cnfStyle w:val="000000010000" w:firstRow="0" w:lastRow="0" w:firstColumn="0" w:lastColumn="0" w:oddVBand="0" w:evenVBand="0" w:oddHBand="0" w:evenHBand="1" w:firstRowFirstColumn="0" w:firstRowLastColumn="0" w:lastRowFirstColumn="0" w:lastRowLastColumn="0"/>
            </w:pPr>
            <w:r>
              <w:t>Short Term Trading Market</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TAB</w:t>
            </w:r>
          </w:p>
        </w:tc>
        <w:tc>
          <w:tcPr>
            <w:tcW w:w="5041" w:type="dxa"/>
          </w:tcPr>
          <w:p w:rsidR="00333129" w:rsidRPr="00650EFA" w:rsidRDefault="00333129" w:rsidP="00A0649F">
            <w:pPr>
              <w:cnfStyle w:val="000000000000" w:firstRow="0" w:lastRow="0" w:firstColumn="0" w:lastColumn="0" w:oddVBand="0" w:evenVBand="0" w:oddHBand="0" w:evenHBand="0" w:firstRowFirstColumn="0" w:firstRowLastColumn="0" w:lastRowFirstColumn="0" w:lastRowLastColumn="0"/>
            </w:pPr>
            <w:r>
              <w:t>Tax asset base</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UAFG</w:t>
            </w:r>
          </w:p>
        </w:tc>
        <w:tc>
          <w:tcPr>
            <w:tcW w:w="5041" w:type="dxa"/>
          </w:tcPr>
          <w:p w:rsidR="00333129" w:rsidRPr="00650EFA" w:rsidRDefault="00333129" w:rsidP="00A0649F">
            <w:pPr>
              <w:cnfStyle w:val="000000010000" w:firstRow="0" w:lastRow="0" w:firstColumn="0" w:lastColumn="0" w:oddVBand="0" w:evenVBand="0" w:oddHBand="0" w:evenHBand="1" w:firstRowFirstColumn="0" w:firstRowLastColumn="0" w:lastRowFirstColumn="0" w:lastRowLastColumn="0"/>
            </w:pPr>
            <w:r>
              <w:t>Unaccounted for gas</w:t>
            </w:r>
          </w:p>
        </w:tc>
      </w:tr>
      <w:tr w:rsidR="00333129" w:rsidTr="00A0649F">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WACC</w:t>
            </w:r>
          </w:p>
        </w:tc>
        <w:tc>
          <w:tcPr>
            <w:tcW w:w="5041" w:type="dxa"/>
          </w:tcPr>
          <w:p w:rsidR="00333129" w:rsidRDefault="00333129" w:rsidP="00A0649F">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333129" w:rsidTr="00A064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33129" w:rsidRDefault="00333129" w:rsidP="00A0649F">
            <w:pPr>
              <w:numPr>
                <w:ilvl w:val="0"/>
                <w:numId w:val="24"/>
              </w:numPr>
            </w:pPr>
            <w:r>
              <w:t>WPI</w:t>
            </w:r>
          </w:p>
        </w:tc>
        <w:tc>
          <w:tcPr>
            <w:tcW w:w="5041" w:type="dxa"/>
          </w:tcPr>
          <w:p w:rsidR="00333129" w:rsidRPr="00650EFA" w:rsidRDefault="00333129" w:rsidP="00A0649F">
            <w:pPr>
              <w:cnfStyle w:val="000000010000" w:firstRow="0" w:lastRow="0" w:firstColumn="0" w:lastColumn="0" w:oddVBand="0" w:evenVBand="0" w:oddHBand="0" w:evenHBand="1" w:firstRowFirstColumn="0" w:firstRowLastColumn="0" w:lastRowFirstColumn="0" w:lastRowLastColumn="0"/>
            </w:pPr>
            <w:r>
              <w:t>Wage Price Index</w:t>
            </w:r>
          </w:p>
        </w:tc>
      </w:tr>
    </w:tbl>
    <w:p w:rsidR="00DE563D" w:rsidRDefault="00D5015C" w:rsidP="00471BC6">
      <w:pPr>
        <w:pStyle w:val="Heading1"/>
      </w:pPr>
      <w:bookmarkStart w:id="13" w:name="_Toc485195118"/>
      <w:bookmarkStart w:id="14" w:name="_Toc485195121"/>
      <w:bookmarkStart w:id="15" w:name="_Toc485195124"/>
      <w:bookmarkStart w:id="16" w:name="_Toc485195127"/>
      <w:bookmarkStart w:id="17" w:name="_Toc485195130"/>
      <w:bookmarkStart w:id="18" w:name="_Toc485195133"/>
      <w:bookmarkStart w:id="19" w:name="_Toc485195136"/>
      <w:bookmarkStart w:id="20" w:name="_Toc485195139"/>
      <w:bookmarkStart w:id="21" w:name="_Toc485195142"/>
      <w:bookmarkStart w:id="22" w:name="_Toc485195145"/>
      <w:bookmarkStart w:id="23" w:name="_Toc485195148"/>
      <w:bookmarkStart w:id="24" w:name="_Toc485195151"/>
      <w:bookmarkStart w:id="25" w:name="_Toc485195154"/>
      <w:bookmarkStart w:id="26" w:name="_Toc485195157"/>
      <w:bookmarkStart w:id="27" w:name="_Toc485195160"/>
      <w:bookmarkStart w:id="28" w:name="_Toc485195163"/>
      <w:bookmarkStart w:id="29" w:name="_Toc485195166"/>
      <w:bookmarkStart w:id="30" w:name="_Toc485195169"/>
      <w:bookmarkStart w:id="31" w:name="_Toc485195172"/>
      <w:bookmarkStart w:id="32" w:name="_Toc485195175"/>
      <w:bookmarkStart w:id="33" w:name="_Toc485195178"/>
      <w:bookmarkStart w:id="34" w:name="_Toc485195181"/>
      <w:bookmarkStart w:id="35" w:name="_Toc485195184"/>
      <w:bookmarkStart w:id="36" w:name="_Toc485195187"/>
      <w:bookmarkStart w:id="37" w:name="_Toc485195190"/>
      <w:bookmarkStart w:id="38" w:name="_Toc485195193"/>
      <w:bookmarkStart w:id="39" w:name="_Toc485195196"/>
      <w:bookmarkStart w:id="40" w:name="_Toc485195199"/>
      <w:bookmarkStart w:id="41" w:name="_Toc416278154"/>
      <w:bookmarkStart w:id="42" w:name="_Toc416346517"/>
      <w:bookmarkStart w:id="43" w:name="_Toc416278157"/>
      <w:bookmarkStart w:id="44" w:name="_Toc416346520"/>
      <w:bookmarkStart w:id="45" w:name="_Toc416278160"/>
      <w:bookmarkStart w:id="46" w:name="_Toc416346523"/>
      <w:bookmarkStart w:id="47" w:name="_Toc416278163"/>
      <w:bookmarkStart w:id="48" w:name="_Toc416346526"/>
      <w:bookmarkStart w:id="49" w:name="_Toc416278166"/>
      <w:bookmarkStart w:id="50" w:name="_Toc416346529"/>
      <w:bookmarkStart w:id="51" w:name="_Toc416278169"/>
      <w:bookmarkStart w:id="52" w:name="_Toc416346532"/>
      <w:bookmarkStart w:id="53" w:name="_Toc416278172"/>
      <w:bookmarkStart w:id="54" w:name="_Toc416346535"/>
      <w:bookmarkStart w:id="55" w:name="_Toc416278175"/>
      <w:bookmarkStart w:id="56" w:name="_Toc416346538"/>
      <w:bookmarkStart w:id="57" w:name="_Toc416278178"/>
      <w:bookmarkStart w:id="58" w:name="_Toc416346541"/>
      <w:bookmarkStart w:id="59" w:name="_Toc416278181"/>
      <w:bookmarkStart w:id="60" w:name="_Toc416346544"/>
      <w:bookmarkStart w:id="61" w:name="_Toc416278184"/>
      <w:bookmarkStart w:id="62" w:name="_Toc416346547"/>
      <w:bookmarkStart w:id="63" w:name="_Toc416278187"/>
      <w:bookmarkStart w:id="64" w:name="_Toc416346550"/>
      <w:bookmarkStart w:id="65" w:name="_Toc416278190"/>
      <w:bookmarkStart w:id="66" w:name="_Toc416346553"/>
      <w:bookmarkStart w:id="67" w:name="_Toc416278193"/>
      <w:bookmarkStart w:id="68" w:name="_Toc416346556"/>
      <w:bookmarkStart w:id="69" w:name="_Toc416278196"/>
      <w:bookmarkStart w:id="70" w:name="_Toc416346559"/>
      <w:bookmarkStart w:id="71" w:name="_Toc416278199"/>
      <w:bookmarkStart w:id="72" w:name="_Toc416346562"/>
      <w:bookmarkStart w:id="73" w:name="_Toc416278202"/>
      <w:bookmarkStart w:id="74" w:name="_Toc416346565"/>
      <w:bookmarkStart w:id="75" w:name="_Toc416278205"/>
      <w:bookmarkStart w:id="76" w:name="_Toc416346568"/>
      <w:bookmarkStart w:id="77" w:name="_Toc416278208"/>
      <w:bookmarkStart w:id="78" w:name="_Toc416346571"/>
      <w:bookmarkStart w:id="79" w:name="_Toc416278211"/>
      <w:bookmarkStart w:id="80" w:name="_Toc416346574"/>
      <w:bookmarkStart w:id="81" w:name="_Toc416278214"/>
      <w:bookmarkStart w:id="82" w:name="_Toc416346577"/>
      <w:bookmarkStart w:id="83" w:name="_Toc416278217"/>
      <w:bookmarkStart w:id="84" w:name="_Toc416346580"/>
      <w:bookmarkStart w:id="85" w:name="_Toc416278220"/>
      <w:bookmarkStart w:id="86" w:name="_Toc416346583"/>
      <w:bookmarkStart w:id="87" w:name="_Toc416278223"/>
      <w:bookmarkStart w:id="88" w:name="_Toc416346586"/>
      <w:bookmarkStart w:id="89" w:name="_Toc416278226"/>
      <w:bookmarkStart w:id="90" w:name="_Toc416346589"/>
      <w:bookmarkStart w:id="91" w:name="_Toc416278229"/>
      <w:bookmarkStart w:id="92" w:name="_Toc416346592"/>
      <w:bookmarkStart w:id="93" w:name="_Toc416278232"/>
      <w:bookmarkStart w:id="94" w:name="_Toc416346595"/>
      <w:bookmarkStart w:id="95" w:name="_Toc416278235"/>
      <w:bookmarkStart w:id="96" w:name="_Toc416346598"/>
      <w:bookmarkStart w:id="97" w:name="_Toc416278238"/>
      <w:bookmarkStart w:id="98" w:name="_Toc416346601"/>
      <w:bookmarkStart w:id="99" w:name="_Toc48683222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Services covered by the access arrangement</w:t>
      </w:r>
      <w:bookmarkEnd w:id="99"/>
    </w:p>
    <w:p w:rsidR="003B2401" w:rsidRPr="003B2401" w:rsidRDefault="003B2401" w:rsidP="003B2401">
      <w:r w:rsidRPr="003B2401">
        <w:t>The NGR require the access arrangement to identify:</w:t>
      </w:r>
    </w:p>
    <w:p w:rsidR="003B2401" w:rsidRPr="003B2401" w:rsidRDefault="003B2401" w:rsidP="00B94E57">
      <w:pPr>
        <w:pStyle w:val="AERbulletlistfirststyle"/>
      </w:pPr>
      <w:r w:rsidRPr="003B2401">
        <w:tab/>
        <w:t>the pipeline which the access arrangement relates to, and</w:t>
      </w:r>
    </w:p>
    <w:p w:rsidR="003B2401" w:rsidRPr="003B2401" w:rsidRDefault="003B2401" w:rsidP="00B94E57">
      <w:pPr>
        <w:pStyle w:val="AERbulletlistfirststyle"/>
      </w:pPr>
      <w:r w:rsidRPr="003B2401">
        <w:tab/>
      </w:r>
      <w:proofErr w:type="gramStart"/>
      <w:r w:rsidRPr="003B2401">
        <w:t>the</w:t>
      </w:r>
      <w:proofErr w:type="gramEnd"/>
      <w:r w:rsidRPr="003B2401">
        <w:t xml:space="preserve"> services which </w:t>
      </w:r>
      <w:r w:rsidR="00333129">
        <w:t>AGN</w:t>
      </w:r>
      <w:r w:rsidR="00333129" w:rsidRPr="003B2401">
        <w:t xml:space="preserve"> </w:t>
      </w:r>
      <w:r w:rsidRPr="003B2401">
        <w:t>proposes to offer customers by means of that pipeline.</w:t>
      </w:r>
      <w:r w:rsidR="00903458">
        <w:rPr>
          <w:rStyle w:val="FootnoteReference"/>
        </w:rPr>
        <w:footnoteReference w:id="1"/>
      </w:r>
    </w:p>
    <w:p w:rsidR="003B2401" w:rsidRPr="003B2401" w:rsidRDefault="003B2401" w:rsidP="003B2401">
      <w:r w:rsidRPr="003B2401">
        <w:t xml:space="preserve">A full access arrangement must specify as a reference service: </w:t>
      </w:r>
    </w:p>
    <w:p w:rsidR="003B2401" w:rsidRPr="003B2401" w:rsidRDefault="003B2401" w:rsidP="00B94E57">
      <w:pPr>
        <w:pStyle w:val="AERnumberedlistsecondstyle"/>
      </w:pPr>
      <w:r w:rsidRPr="003B2401">
        <w:t xml:space="preserve">at least one pipeline service that is likely to be sought by a significant part of the market; and </w:t>
      </w:r>
    </w:p>
    <w:p w:rsidR="003B2401" w:rsidRPr="003B2401" w:rsidRDefault="003B2401" w:rsidP="00B94E57">
      <w:pPr>
        <w:pStyle w:val="AERnumberedlistsecondstyle"/>
      </w:pPr>
      <w:proofErr w:type="gramStart"/>
      <w:r w:rsidRPr="003B2401">
        <w:t>any</w:t>
      </w:r>
      <w:proofErr w:type="gramEnd"/>
      <w:r w:rsidRPr="003B2401">
        <w:t xml:space="preserve"> other pipeline service that is likely to be sought by a significant part of the market and which the AER considers should be specified as a reference service. </w:t>
      </w:r>
    </w:p>
    <w:p w:rsidR="00132D43" w:rsidRPr="00132D43" w:rsidRDefault="003B2401" w:rsidP="003B2401">
      <w:r w:rsidRPr="003B2401">
        <w:t>In deciding whether to specify a pipeline service as a reference service, we must take into account the revenue and pricing principles</w:t>
      </w:r>
      <w:r>
        <w:t>.</w:t>
      </w:r>
      <w:r>
        <w:rPr>
          <w:rStyle w:val="FootnoteReference"/>
        </w:rPr>
        <w:footnoteReference w:id="2"/>
      </w:r>
    </w:p>
    <w:p w:rsidR="00132D43" w:rsidRDefault="00132D43" w:rsidP="00132D43">
      <w:pPr>
        <w:pStyle w:val="Heading2"/>
      </w:pPr>
      <w:bookmarkStart w:id="100" w:name="_Toc486832228"/>
      <w:r>
        <w:t>Draft decision</w:t>
      </w:r>
      <w:bookmarkEnd w:id="100"/>
    </w:p>
    <w:p w:rsidR="006C7284" w:rsidRDefault="006C7284" w:rsidP="00132D43">
      <w:r>
        <w:t xml:space="preserve">We approve the haulage reference </w:t>
      </w:r>
      <w:r w:rsidR="009D1AF4">
        <w:t xml:space="preserve">services </w:t>
      </w:r>
      <w:r>
        <w:t>proposed by AGN for its Victoria and Albury networks</w:t>
      </w:r>
      <w:r w:rsidR="009E0878">
        <w:t xml:space="preserve"> durin</w:t>
      </w:r>
      <w:r>
        <w:t>g the 2018–22 access arrangement.</w:t>
      </w:r>
      <w:r w:rsidR="00125382">
        <w:t xml:space="preserve"> These</w:t>
      </w:r>
      <w:r w:rsidR="00903458">
        <w:t xml:space="preserve"> services</w:t>
      </w:r>
      <w:r w:rsidR="00125382">
        <w:t xml:space="preserve"> are the same as</w:t>
      </w:r>
      <w:r w:rsidR="00903458">
        <w:t xml:space="preserve"> those in the</w:t>
      </w:r>
      <w:r w:rsidR="00125382">
        <w:t xml:space="preserve"> current access arrangement period. These services are:</w:t>
      </w:r>
    </w:p>
    <w:p w:rsidR="005A07F1" w:rsidRDefault="005A07F1" w:rsidP="00776B63">
      <w:pPr>
        <w:pStyle w:val="AERbulletlistfirststyle"/>
      </w:pPr>
      <w:r w:rsidRPr="008220C7">
        <w:t>Volume Haulage Service</w:t>
      </w:r>
      <w:r>
        <w:t>—delivery of gas to those customers using less than 10 TJs, and meter reading for that service every two months.</w:t>
      </w:r>
    </w:p>
    <w:p w:rsidR="005A07F1" w:rsidRDefault="005A07F1" w:rsidP="00776B63">
      <w:pPr>
        <w:pStyle w:val="AERbulletlistfirststyle"/>
      </w:pPr>
      <w:r>
        <w:t>Demand Haulage Service—delivery of gas to those customers using more than 10 TJ per annum and monthly meter reading for that service.</w:t>
      </w:r>
    </w:p>
    <w:p w:rsidR="00125382" w:rsidRDefault="00125382" w:rsidP="00132D43">
      <w:r>
        <w:t>We approve the ancillary reference services</w:t>
      </w:r>
      <w:r w:rsidR="00903458">
        <w:t xml:space="preserve"> proposed by</w:t>
      </w:r>
      <w:r>
        <w:t xml:space="preserve"> AGN for its Victoria and Albury networks during the 2018–22 access arrangement. These </w:t>
      </w:r>
      <w:r w:rsidR="00903458">
        <w:t xml:space="preserve">services </w:t>
      </w:r>
      <w:r>
        <w:t>are the same as</w:t>
      </w:r>
      <w:r w:rsidR="00903458">
        <w:t xml:space="preserve"> those in</w:t>
      </w:r>
      <w:r>
        <w:t xml:space="preserve"> the current access arrangement period. These services are:</w:t>
      </w:r>
    </w:p>
    <w:p w:rsidR="00125382" w:rsidRDefault="00125382" w:rsidP="00125382">
      <w:pPr>
        <w:pStyle w:val="AERbulletlistfirststyle"/>
      </w:pPr>
      <w:r>
        <w:t xml:space="preserve">Meter and gas installation test—on-site testing to check the measurement accuracy of the meter </w:t>
      </w:r>
    </w:p>
    <w:p w:rsidR="00125382" w:rsidRDefault="00125382" w:rsidP="00125382">
      <w:pPr>
        <w:pStyle w:val="AERbulletlistfirststyle"/>
      </w:pPr>
      <w:r>
        <w:t>Disconnection—disconnection by installation of locks or plugs on a meter</w:t>
      </w:r>
    </w:p>
    <w:p w:rsidR="00125382" w:rsidRDefault="00125382" w:rsidP="00125382">
      <w:pPr>
        <w:pStyle w:val="AERbulletlistfirststyle"/>
      </w:pPr>
      <w:r>
        <w:t>Reconnection—reconnection by removal of locks or plugs on a meter</w:t>
      </w:r>
    </w:p>
    <w:p w:rsidR="00125382" w:rsidRDefault="00125382" w:rsidP="00125382">
      <w:pPr>
        <w:pStyle w:val="AERbulletlistfirststyle"/>
      </w:pPr>
      <w:r>
        <w:t>Meter removal—removing a meter at a premise</w:t>
      </w:r>
    </w:p>
    <w:p w:rsidR="00125382" w:rsidRDefault="00125382" w:rsidP="00125382">
      <w:pPr>
        <w:pStyle w:val="AERbulletlistfirststyle"/>
      </w:pPr>
      <w:r>
        <w:t>Meter reinstallation—reinstating a meter at a premise</w:t>
      </w:r>
    </w:p>
    <w:p w:rsidR="00125382" w:rsidRDefault="00125382" w:rsidP="00125382">
      <w:pPr>
        <w:pStyle w:val="AERbulletlistfirststyle"/>
      </w:pPr>
      <w:r>
        <w:t xml:space="preserve">Special meter read—Reading of a meter in addition to a scheduled meter reading. </w:t>
      </w:r>
    </w:p>
    <w:p w:rsidR="00132D43" w:rsidRDefault="00D5015C" w:rsidP="00132D43">
      <w:pPr>
        <w:pStyle w:val="Heading2"/>
      </w:pPr>
      <w:bookmarkStart w:id="101" w:name="_Toc486832229"/>
      <w:r>
        <w:t>AGN</w:t>
      </w:r>
      <w:r w:rsidR="00132D43">
        <w:t>’s proposal</w:t>
      </w:r>
      <w:bookmarkEnd w:id="101"/>
    </w:p>
    <w:p w:rsidR="003B2401" w:rsidRPr="003B2401" w:rsidRDefault="003B2401" w:rsidP="003B2401">
      <w:r w:rsidRPr="003B2401">
        <w:t xml:space="preserve">For the 2018–22 access arrangement, </w:t>
      </w:r>
      <w:r>
        <w:t>AGN</w:t>
      </w:r>
      <w:r w:rsidRPr="003B2401">
        <w:t xml:space="preserve"> propose</w:t>
      </w:r>
      <w:r w:rsidR="00333129">
        <w:t>d</w:t>
      </w:r>
      <w:r w:rsidRPr="003B2401">
        <w:t xml:space="preserve"> the following services:</w:t>
      </w:r>
    </w:p>
    <w:p w:rsidR="003B2401" w:rsidRPr="003B2401" w:rsidRDefault="003B2401" w:rsidP="003B2401">
      <w:pPr>
        <w:pStyle w:val="AERbulletlistfirststyle"/>
      </w:pPr>
      <w:r w:rsidRPr="003B2401">
        <w:t>reference services, comprising:</w:t>
      </w:r>
    </w:p>
    <w:p w:rsidR="003B2401" w:rsidRPr="003B2401" w:rsidRDefault="003B2401" w:rsidP="003B2401">
      <w:pPr>
        <w:pStyle w:val="AERbulletlistsecondstyle"/>
      </w:pPr>
      <w:r w:rsidRPr="003B2401">
        <w:t>haulage reference services</w:t>
      </w:r>
    </w:p>
    <w:p w:rsidR="003B2401" w:rsidRPr="003B2401" w:rsidRDefault="003B2401" w:rsidP="003B2401">
      <w:pPr>
        <w:pStyle w:val="AERbulletlistsecondstyle"/>
      </w:pPr>
      <w:r w:rsidRPr="003B2401">
        <w:t>ancillary reference services</w:t>
      </w:r>
    </w:p>
    <w:p w:rsidR="003B2401" w:rsidRDefault="003B2401" w:rsidP="003B2401">
      <w:pPr>
        <w:pStyle w:val="AERbulletlistfirststyle"/>
      </w:pPr>
      <w:r>
        <w:t>Non-reference services</w:t>
      </w:r>
      <w:r w:rsidR="00333129">
        <w:t>.</w:t>
      </w:r>
    </w:p>
    <w:p w:rsidR="003B2401" w:rsidRDefault="003B2401" w:rsidP="002D5448">
      <w:pPr>
        <w:pStyle w:val="HeadingBoldBlue"/>
      </w:pPr>
      <w:r>
        <w:t xml:space="preserve">Haulage </w:t>
      </w:r>
      <w:r w:rsidR="002D5448">
        <w:t>Reference</w:t>
      </w:r>
      <w:r>
        <w:t xml:space="preserve"> Services</w:t>
      </w:r>
    </w:p>
    <w:p w:rsidR="002D5448" w:rsidRDefault="002D5448" w:rsidP="002D5448">
      <w:r>
        <w:t xml:space="preserve">For the 2018–22 access arrangement, AGN </w:t>
      </w:r>
      <w:r w:rsidRPr="002D5448">
        <w:t>propose</w:t>
      </w:r>
      <w:r w:rsidR="00333129">
        <w:t>d</w:t>
      </w:r>
      <w:r w:rsidRPr="002D5448">
        <w:t xml:space="preserve"> </w:t>
      </w:r>
      <w:r>
        <w:t>haulage</w:t>
      </w:r>
      <w:r w:rsidRPr="002D5448">
        <w:t xml:space="preserve"> reference services for its Victoria and Albury networks </w:t>
      </w:r>
      <w:r w:rsidR="00BD25D1">
        <w:t xml:space="preserve">be </w:t>
      </w:r>
      <w:r w:rsidRPr="002D5448">
        <w:t xml:space="preserve">the same as those </w:t>
      </w:r>
      <w:r w:rsidR="00903458">
        <w:t>offered</w:t>
      </w:r>
      <w:r w:rsidR="00903458" w:rsidRPr="002D5448">
        <w:t xml:space="preserve"> </w:t>
      </w:r>
      <w:r w:rsidRPr="002D5448">
        <w:t xml:space="preserve">in the current access </w:t>
      </w:r>
      <w:r>
        <w:t>arrangement.  These are:</w:t>
      </w:r>
    </w:p>
    <w:p w:rsidR="00776B63" w:rsidRDefault="00776B63" w:rsidP="00776B63">
      <w:pPr>
        <w:pStyle w:val="AERbulletlistfirststyle"/>
      </w:pPr>
      <w:r w:rsidRPr="008220C7">
        <w:t>Volume Haulage Service</w:t>
      </w:r>
      <w:r>
        <w:t>—delivery of gas to those customers using less than 10 TJs, and meter reading for that service every two months.</w:t>
      </w:r>
    </w:p>
    <w:p w:rsidR="00333129" w:rsidRDefault="00776B63" w:rsidP="00B94E57">
      <w:pPr>
        <w:pStyle w:val="AERbulletlistfirststyle"/>
      </w:pPr>
      <w:r>
        <w:t>Demand Haulage Service—delivery of gas to those customers using more than 10 TJ per annum and monthly meter reading for that service.</w:t>
      </w:r>
      <w:r w:rsidDel="00776B63">
        <w:t xml:space="preserve"> </w:t>
      </w:r>
    </w:p>
    <w:p w:rsidR="00B43AA2" w:rsidRDefault="00B43AA2">
      <w:r>
        <w:t>AGN</w:t>
      </w:r>
      <w:r w:rsidR="00776B63">
        <w:t xml:space="preserve"> proposes the following two haulage reference services</w:t>
      </w:r>
      <w:r>
        <w:t>:</w:t>
      </w:r>
    </w:p>
    <w:p w:rsidR="00B43AA2" w:rsidRDefault="00B43AA2" w:rsidP="00164EAE">
      <w:pPr>
        <w:pStyle w:val="AERbulletlistfirststyle"/>
      </w:pPr>
      <w:r>
        <w:t xml:space="preserve">Volume haulage reference service—which is for </w:t>
      </w:r>
      <w:r w:rsidR="00164EAE">
        <w:t>the delivery of gas to customers</w:t>
      </w:r>
      <w:r w:rsidR="00776B63">
        <w:t xml:space="preserve"> using less than 10TJs</w:t>
      </w:r>
      <w:r w:rsidR="00164EAE">
        <w:t xml:space="preserve"> through a volume delivery point. Metering installation is included in this service</w:t>
      </w:r>
      <w:r w:rsidR="006A147F">
        <w:t>, with meter readings occurring every two months</w:t>
      </w:r>
      <w:r w:rsidR="00164EAE">
        <w:t xml:space="preserve">. </w:t>
      </w:r>
      <w:r w:rsidR="006A147F">
        <w:t xml:space="preserve">It </w:t>
      </w:r>
      <w:r w:rsidR="00164EAE">
        <w:t>is provided to residential customers (Tariff R Residential) and non-residential customers (called Tariff C Non-Residential).</w:t>
      </w:r>
    </w:p>
    <w:p w:rsidR="00164EAE" w:rsidRDefault="006A147F" w:rsidP="00164EAE">
      <w:pPr>
        <w:pStyle w:val="AERbulletlistfirststyle"/>
      </w:pPr>
      <w:r>
        <w:t xml:space="preserve">Demand haulage service—which is for the delivery of gas to customers through a demand delivery point. That is, where the quantity of gas delivered has </w:t>
      </w:r>
      <w:r w:rsidR="00903458">
        <w:t xml:space="preserve">exceeded </w:t>
      </w:r>
      <w:r>
        <w:t>10 </w:t>
      </w:r>
      <w:r w:rsidR="00776B63">
        <w:t xml:space="preserve">TJs </w:t>
      </w:r>
      <w:r>
        <w:t>over the preceding12 month period (or has exceed</w:t>
      </w:r>
      <w:r w:rsidR="00C91AEE">
        <w:t>ed</w:t>
      </w:r>
      <w:r>
        <w:t xml:space="preserve"> 10</w:t>
      </w:r>
      <w:r w:rsidR="00776B63">
        <w:t> TJs</w:t>
      </w:r>
      <w:r w:rsidR="006154C4">
        <w:t xml:space="preserve"> </w:t>
      </w:r>
      <w:r>
        <w:t>in any hour during the preceding 12 months</w:t>
      </w:r>
      <w:r w:rsidR="00903458">
        <w:t>)</w:t>
      </w:r>
      <w:r>
        <w:t>. The charges for this service are based on Maximum Hourly Quantity, which is an amount agreed between the customers and AGN. Metering installation is included in this service, with meter readings occurring every month.</w:t>
      </w:r>
    </w:p>
    <w:p w:rsidR="003B2401" w:rsidRDefault="003B2401" w:rsidP="003B2401">
      <w:pPr>
        <w:pStyle w:val="HeadingBoldBlue"/>
      </w:pPr>
      <w:r>
        <w:t>Ancillary Reference Services</w:t>
      </w:r>
    </w:p>
    <w:p w:rsidR="003B2401" w:rsidRDefault="003B2401" w:rsidP="003B2401">
      <w:r>
        <w:t>For the 2018–22 access arrangement, AGN propose</w:t>
      </w:r>
      <w:r w:rsidR="00BD25D1">
        <w:t>s</w:t>
      </w:r>
      <w:r>
        <w:t xml:space="preserve"> ancillary reference services for its Victoria and Albury networks</w:t>
      </w:r>
      <w:r w:rsidR="00BD25D1">
        <w:t xml:space="preserve"> should remain </w:t>
      </w:r>
      <w:r>
        <w:t>the same as those applying in the current access arrangement. The services are:</w:t>
      </w:r>
    </w:p>
    <w:p w:rsidR="003B2401" w:rsidRDefault="003B2401" w:rsidP="00D768F7">
      <w:pPr>
        <w:pStyle w:val="AERbulletlistfirststyle"/>
      </w:pPr>
      <w:r>
        <w:t xml:space="preserve">Meter and gas installation test—on-site testing to check the measurement accuracy of the meter </w:t>
      </w:r>
    </w:p>
    <w:p w:rsidR="003B2401" w:rsidRDefault="003B2401" w:rsidP="00D768F7">
      <w:pPr>
        <w:pStyle w:val="AERbulletlistfirststyle"/>
      </w:pPr>
      <w:r>
        <w:t>Disconnection</w:t>
      </w:r>
      <w:r w:rsidR="00D768F7">
        <w:t>—disconnection by installation of locks or plugs on a meter</w:t>
      </w:r>
    </w:p>
    <w:p w:rsidR="003B2401" w:rsidRDefault="003B2401" w:rsidP="00D768F7">
      <w:pPr>
        <w:pStyle w:val="AERbulletlistfirststyle"/>
      </w:pPr>
      <w:r>
        <w:t>Reconnection</w:t>
      </w:r>
      <w:r w:rsidR="00D768F7">
        <w:t>—reconnection by removal of locks or plugs on a meter</w:t>
      </w:r>
    </w:p>
    <w:p w:rsidR="003B2401" w:rsidRDefault="00D768F7" w:rsidP="00D768F7">
      <w:pPr>
        <w:pStyle w:val="AERbulletlistfirststyle"/>
      </w:pPr>
      <w:r>
        <w:t>Meter removal—removing a meter at a premise</w:t>
      </w:r>
    </w:p>
    <w:p w:rsidR="00D768F7" w:rsidRDefault="00D768F7" w:rsidP="00D768F7">
      <w:pPr>
        <w:pStyle w:val="AERbulletlistfirststyle"/>
      </w:pPr>
      <w:r>
        <w:t>Meter reinstallation—reinstating a meter at a premise</w:t>
      </w:r>
    </w:p>
    <w:p w:rsidR="00D768F7" w:rsidRDefault="00D768F7" w:rsidP="00D768F7">
      <w:pPr>
        <w:pStyle w:val="AERbulletlistfirststyle"/>
      </w:pPr>
      <w:r>
        <w:t>Special meter read—Reading of a meter in addition to a scheduled meter reading</w:t>
      </w:r>
    </w:p>
    <w:p w:rsidR="002D5448" w:rsidRDefault="002D5448" w:rsidP="002D5448">
      <w:r>
        <w:t>These services will be provided to residential and non-residential customers.</w:t>
      </w:r>
    </w:p>
    <w:p w:rsidR="00514DF2" w:rsidRDefault="00514DF2" w:rsidP="00514DF2">
      <w:pPr>
        <w:pStyle w:val="HeadingBoldBlue"/>
      </w:pPr>
      <w:r>
        <w:t>Non-Reference Services</w:t>
      </w:r>
    </w:p>
    <w:p w:rsidR="00514DF2" w:rsidRDefault="00514DF2" w:rsidP="002D5448">
      <w:r>
        <w:t>AGN will negotiate the price of non-reference services with requesting customers.</w:t>
      </w:r>
    </w:p>
    <w:p w:rsidR="00132D43" w:rsidRDefault="00132D43" w:rsidP="00132D43">
      <w:pPr>
        <w:pStyle w:val="Heading2"/>
      </w:pPr>
      <w:bookmarkStart w:id="102" w:name="_Toc486832230"/>
      <w:r>
        <w:t>Assessment approach</w:t>
      </w:r>
      <w:bookmarkEnd w:id="102"/>
    </w:p>
    <w:p w:rsidR="00C5314D" w:rsidRPr="00C5314D" w:rsidRDefault="00C5314D" w:rsidP="00C5314D">
      <w:r>
        <w:t>AGN</w:t>
      </w:r>
      <w:r w:rsidRPr="00C5314D">
        <w:t xml:space="preserve"> is required by the NGR to specify </w:t>
      </w:r>
      <w:r w:rsidR="002E6139">
        <w:t>the</w:t>
      </w:r>
      <w:r w:rsidR="002E6139" w:rsidRPr="00C5314D">
        <w:t xml:space="preserve"> </w:t>
      </w:r>
      <w:r w:rsidRPr="00C5314D">
        <w:t>reference services in it</w:t>
      </w:r>
      <w:r>
        <w:t>s access arrangement proposal.</w:t>
      </w:r>
      <w:r>
        <w:rPr>
          <w:rStyle w:val="FootnoteReference"/>
        </w:rPr>
        <w:footnoteReference w:id="3"/>
      </w:r>
      <w:r>
        <w:t xml:space="preserve"> </w:t>
      </w:r>
      <w:r w:rsidRPr="00C5314D">
        <w:t>A reference service is a pipeline service that is likely to be sought by a significant part of the market. A pipeline service is a:</w:t>
      </w:r>
    </w:p>
    <w:p w:rsidR="00C5314D" w:rsidRPr="00C5314D" w:rsidRDefault="003B2401" w:rsidP="003B2401">
      <w:pPr>
        <w:pStyle w:val="AERbulletlistfirststyle"/>
      </w:pPr>
      <w:r>
        <w:t>service</w:t>
      </w:r>
      <w:r w:rsidR="00C5314D" w:rsidRPr="00C5314D">
        <w:t xml:space="preserve"> provided by means of a pipeline, including a:</w:t>
      </w:r>
    </w:p>
    <w:p w:rsidR="00C5314D" w:rsidRPr="00C5314D" w:rsidRDefault="00C5314D" w:rsidP="003B2401">
      <w:pPr>
        <w:pStyle w:val="AERbulletlistsecondstyle"/>
      </w:pPr>
      <w:r w:rsidRPr="00C5314D">
        <w:t>haulage (i.e. transportation) service</w:t>
      </w:r>
    </w:p>
    <w:p w:rsidR="00C5314D" w:rsidRPr="00C5314D" w:rsidRDefault="00C5314D" w:rsidP="003B2401">
      <w:pPr>
        <w:pStyle w:val="AERbulletlistsecondstyle"/>
      </w:pPr>
      <w:r w:rsidRPr="00C5314D">
        <w:t>service</w:t>
      </w:r>
      <w:r w:rsidR="00903458">
        <w:t xml:space="preserve"> providing for, or</w:t>
      </w:r>
      <w:r w:rsidRPr="00C5314D">
        <w:t xml:space="preserve"> facilitating</w:t>
      </w:r>
      <w:r w:rsidR="00903458">
        <w:t>,</w:t>
      </w:r>
      <w:r w:rsidRPr="00C5314D">
        <w:t xml:space="preserve"> the interconnection of pipelines</w:t>
      </w:r>
    </w:p>
    <w:p w:rsidR="00C5314D" w:rsidRPr="00C5314D" w:rsidRDefault="002E6139" w:rsidP="003B2401">
      <w:pPr>
        <w:pStyle w:val="AERbulletlistfirststyle"/>
      </w:pPr>
      <w:proofErr w:type="gramStart"/>
      <w:r>
        <w:t>a</w:t>
      </w:r>
      <w:proofErr w:type="gramEnd"/>
      <w:r>
        <w:t xml:space="preserve"> </w:t>
      </w:r>
      <w:r w:rsidR="00C5314D" w:rsidRPr="00C5314D">
        <w:t>service ancillary to one of these services</w:t>
      </w:r>
      <w:r w:rsidR="00A854E2">
        <w:t>.</w:t>
      </w:r>
    </w:p>
    <w:p w:rsidR="00C5314D" w:rsidRDefault="00C5314D" w:rsidP="00C5314D">
      <w:r>
        <w:t>AGN's</w:t>
      </w:r>
      <w:r w:rsidRPr="00C5314D">
        <w:t xml:space="preserve"> </w:t>
      </w:r>
      <w:r w:rsidR="00A854E2">
        <w:t xml:space="preserve">access arrangement provisions regarding pipeline </w:t>
      </w:r>
      <w:r w:rsidRPr="00C5314D">
        <w:t>services are also required to be consistent with the National Gas Objective.</w:t>
      </w:r>
      <w:r>
        <w:rPr>
          <w:rStyle w:val="FootnoteReference"/>
        </w:rPr>
        <w:footnoteReference w:id="4"/>
      </w:r>
      <w:r w:rsidRPr="00C5314D">
        <w:t xml:space="preserve"> </w:t>
      </w:r>
    </w:p>
    <w:p w:rsidR="00E26630" w:rsidRPr="00E26630" w:rsidRDefault="00E26630" w:rsidP="00E26630">
      <w:r w:rsidRPr="00E26630">
        <w:t xml:space="preserve">In summary, this means that a gas distribution company is using </w:t>
      </w:r>
      <w:r>
        <w:t>its</w:t>
      </w:r>
      <w:r w:rsidRPr="00E26630">
        <w:t xml:space="preserve"> network of underground pipes to transport gas from the production source to households and commercial and industrial premises. These customers use the gas for heating homes and for cooking, and as an input into manufacturing goods and services or undertaking other industrial processes. Gas powered generators also use the gas as an input to produce electricity for the national electricity market.</w:t>
      </w:r>
    </w:p>
    <w:p w:rsidR="00C5314D" w:rsidRPr="00C5314D" w:rsidRDefault="00C5314D" w:rsidP="00C5314D">
      <w:r w:rsidRPr="00C5314D">
        <w:t>Our assessment approach is to identify the covered pipeline</w:t>
      </w:r>
      <w:r w:rsidR="00903458">
        <w:rPr>
          <w:rStyle w:val="FootnoteReference"/>
        </w:rPr>
        <w:footnoteReference w:id="5"/>
      </w:r>
      <w:r w:rsidRPr="00C5314D">
        <w:t xml:space="preserve"> that is providing these services and any additions or expansion that have occurred during the current access arrangement period.</w:t>
      </w:r>
    </w:p>
    <w:p w:rsidR="00C5314D" w:rsidRPr="00C5314D" w:rsidRDefault="002E6139" w:rsidP="00C5314D">
      <w:r>
        <w:t>A full access arrangement must specify</w:t>
      </w:r>
      <w:r w:rsidR="00C5314D" w:rsidRPr="00C5314D">
        <w:t xml:space="preserve"> at least one reference service to customers, on the basis that </w:t>
      </w:r>
      <w:r>
        <w:t xml:space="preserve">it is likely to be sought by </w:t>
      </w:r>
      <w:r w:rsidR="00C5314D" w:rsidRPr="00C5314D">
        <w:t>a significant part of the market.</w:t>
      </w:r>
    </w:p>
    <w:p w:rsidR="00C5314D" w:rsidRPr="00C5314D" w:rsidRDefault="00C5314D" w:rsidP="00C5314D">
      <w:r w:rsidRPr="00C5314D">
        <w:t>For ancillary reference services</w:t>
      </w:r>
      <w:r w:rsidR="00E26630">
        <w:t>,</w:t>
      </w:r>
      <w:r w:rsidRPr="00C5314D">
        <w:t xml:space="preserve"> we </w:t>
      </w:r>
      <w:r w:rsidR="004B308C">
        <w:t>have considered</w:t>
      </w:r>
      <w:r w:rsidRPr="00C5314D">
        <w:t xml:space="preserve"> the service</w:t>
      </w:r>
      <w:r w:rsidR="002E6139">
        <w:t>s</w:t>
      </w:r>
      <w:r w:rsidRPr="00C5314D">
        <w:t xml:space="preserve"> currently offered by </w:t>
      </w:r>
      <w:r>
        <w:t>AGN</w:t>
      </w:r>
      <w:r w:rsidRPr="00C5314D">
        <w:t xml:space="preserve"> and </w:t>
      </w:r>
      <w:r w:rsidR="002E6139">
        <w:t xml:space="preserve">the additional ancillary reference service that some </w:t>
      </w:r>
      <w:r w:rsidRPr="00C5314D">
        <w:t>stakeholder</w:t>
      </w:r>
      <w:r w:rsidR="002E6139">
        <w:t>s</w:t>
      </w:r>
      <w:r w:rsidRPr="00C5314D">
        <w:t xml:space="preserve"> </w:t>
      </w:r>
      <w:r w:rsidR="002E6139">
        <w:t>have submitted should be included</w:t>
      </w:r>
      <w:r w:rsidR="000A38FB">
        <w:t xml:space="preserve"> as reference services</w:t>
      </w:r>
      <w:r w:rsidRPr="00C5314D">
        <w:t>.</w:t>
      </w:r>
    </w:p>
    <w:p w:rsidR="00132D43" w:rsidRDefault="008F0FBB" w:rsidP="00C5314D">
      <w:r>
        <w:t xml:space="preserve">For non-reference </w:t>
      </w:r>
      <w:r w:rsidR="000A38FB">
        <w:t xml:space="preserve">pipeline </w:t>
      </w:r>
      <w:r>
        <w:t>services</w:t>
      </w:r>
      <w:r w:rsidR="006914C0">
        <w:t xml:space="preserve"> or</w:t>
      </w:r>
      <w:r>
        <w:t xml:space="preserve"> negotiated services, we are not required to </w:t>
      </w:r>
      <w:r w:rsidR="00C91AEE">
        <w:t xml:space="preserve">set </w:t>
      </w:r>
      <w:r>
        <w:t>tariffs</w:t>
      </w:r>
      <w:r w:rsidR="000A38FB">
        <w:t xml:space="preserve"> for these or the terms or conditions on which they </w:t>
      </w:r>
      <w:r w:rsidR="006154C4">
        <w:t xml:space="preserve">are </w:t>
      </w:r>
      <w:r w:rsidR="000A38FB">
        <w:t>provided</w:t>
      </w:r>
      <w:r>
        <w:t xml:space="preserve">.  </w:t>
      </w:r>
    </w:p>
    <w:p w:rsidR="00132D43" w:rsidRDefault="00132D43" w:rsidP="00132D43">
      <w:pPr>
        <w:pStyle w:val="Heading3"/>
        <w:tabs>
          <w:tab w:val="clear" w:pos="1021"/>
        </w:tabs>
        <w:ind w:left="142" w:hanging="142"/>
      </w:pPr>
      <w:bookmarkStart w:id="103" w:name="_Toc486832231"/>
      <w:r>
        <w:t>Interrelationships</w:t>
      </w:r>
      <w:bookmarkEnd w:id="103"/>
    </w:p>
    <w:p w:rsidR="00C54DF3" w:rsidRDefault="00C54DF3" w:rsidP="00C54DF3">
      <w:r>
        <w:t>AGN's services have an interrelationship with</w:t>
      </w:r>
      <w:r w:rsidRPr="00A679C9">
        <w:t xml:space="preserve"> </w:t>
      </w:r>
      <w:r>
        <w:t>the tariffs it charges for the use of its services and the total revenues it can recover through the AER's total revenue requirement and the application of annual tariff variation mechanisms.</w:t>
      </w:r>
    </w:p>
    <w:p w:rsidR="00C54DF3" w:rsidRDefault="00C54DF3" w:rsidP="00C54DF3">
      <w:r>
        <w:t xml:space="preserve">AGN's haulage reference tariffs are adjusted </w:t>
      </w:r>
      <w:r w:rsidR="006154C4">
        <w:t xml:space="preserve">annually </w:t>
      </w:r>
      <w:r>
        <w:t>by the application of</w:t>
      </w:r>
      <w:r w:rsidRPr="00E15E1E">
        <w:t xml:space="preserve"> a weighted average </w:t>
      </w:r>
      <w:r>
        <w:t>price</w:t>
      </w:r>
      <w:r w:rsidRPr="00E15E1E">
        <w:t xml:space="preserve"> cap</w:t>
      </w:r>
      <w:r>
        <w:t xml:space="preserve"> formula.</w:t>
      </w:r>
      <w:r w:rsidRPr="00E15E1E">
        <w:t xml:space="preserve"> Its</w:t>
      </w:r>
      <w:r>
        <w:t xml:space="preserve"> haulage</w:t>
      </w:r>
      <w:r w:rsidRPr="00E15E1E">
        <w:t xml:space="preserve"> reference tariffs are derived from the total revenue requirement after consideration of demand for each tariff category. This means the tariffs we determine (including the means of varying the tariffs from year to year) are the binding constraint across the 201</w:t>
      </w:r>
      <w:r>
        <w:t>8</w:t>
      </w:r>
      <w:r w:rsidRPr="00E15E1E">
        <w:t>–2</w:t>
      </w:r>
      <w:r>
        <w:t>2</w:t>
      </w:r>
      <w:r w:rsidRPr="00E15E1E">
        <w:t xml:space="preserve"> access arrangement </w:t>
      </w:r>
      <w:proofErr w:type="gramStart"/>
      <w:r w:rsidRPr="00E15E1E">
        <w:t>period</w:t>
      </w:r>
      <w:proofErr w:type="gramEnd"/>
      <w:r w:rsidRPr="00E15E1E">
        <w:t>, rather than the total revenue requirement set</w:t>
      </w:r>
      <w:r>
        <w:t xml:space="preserve"> out</w:t>
      </w:r>
      <w:r w:rsidRPr="00E15E1E">
        <w:t xml:space="preserve"> in our decision.</w:t>
      </w:r>
    </w:p>
    <w:p w:rsidR="00C54DF3" w:rsidRDefault="00C54DF3" w:rsidP="00C54DF3">
      <w:r>
        <w:t xml:space="preserve">After the first year of the access arrangement period, </w:t>
      </w:r>
      <w:r w:rsidR="008251E0">
        <w:t xml:space="preserve">AGN's </w:t>
      </w:r>
      <w:r>
        <w:t>ancillary reference service prices are set by application of the ancillary reference service tariff variation formula.</w:t>
      </w:r>
    </w:p>
    <w:p w:rsidR="00C54DF3" w:rsidRDefault="00C54DF3" w:rsidP="00C54DF3">
      <w:r w:rsidRPr="002221CC">
        <w:t xml:space="preserve">Our </w:t>
      </w:r>
      <w:r>
        <w:t>draft decision on:</w:t>
      </w:r>
    </w:p>
    <w:p w:rsidR="00C54DF3" w:rsidRPr="00A679C9" w:rsidRDefault="00C54DF3" w:rsidP="00C54DF3">
      <w:pPr>
        <w:pStyle w:val="AERbulletlistfirststyle"/>
      </w:pPr>
      <w:r>
        <w:t>AGN's</w:t>
      </w:r>
      <w:r w:rsidRPr="00A679C9">
        <w:t xml:space="preserve"> total revenue requirement is set out in the Overview a</w:t>
      </w:r>
      <w:r>
        <w:t>ttachment of our draft decision</w:t>
      </w:r>
    </w:p>
    <w:p w:rsidR="00C54DF3" w:rsidRDefault="00C54DF3" w:rsidP="00C54DF3">
      <w:pPr>
        <w:pStyle w:val="AERbulletlistfirststyle"/>
      </w:pPr>
      <w:r>
        <w:t xml:space="preserve">the tariffs AGN will charge for the provision of these services </w:t>
      </w:r>
      <w:r w:rsidR="00796E95">
        <w:t xml:space="preserve">is </w:t>
      </w:r>
      <w:r>
        <w:t>set out in attachment 10—Reference tariff setting</w:t>
      </w:r>
    </w:p>
    <w:p w:rsidR="00C54DF3" w:rsidRDefault="00C54DF3" w:rsidP="00C54DF3">
      <w:pPr>
        <w:pStyle w:val="AERbulletlistfirststyle"/>
      </w:pPr>
      <w:proofErr w:type="gramStart"/>
      <w:r>
        <w:t>the</w:t>
      </w:r>
      <w:proofErr w:type="gramEnd"/>
      <w:r>
        <w:t xml:space="preserve"> annual tariff variation mechanism </w:t>
      </w:r>
      <w:r w:rsidR="00AE5F4C">
        <w:t xml:space="preserve">is </w:t>
      </w:r>
      <w:r>
        <w:t>set out in attachment 11—Reference tariff variation mechanism.</w:t>
      </w:r>
    </w:p>
    <w:p w:rsidR="00132D43" w:rsidRDefault="00132D43" w:rsidP="00132D43">
      <w:pPr>
        <w:pStyle w:val="Heading2"/>
      </w:pPr>
      <w:bookmarkStart w:id="104" w:name="_Toc486832232"/>
      <w:r>
        <w:t>Reasons for draft decision</w:t>
      </w:r>
      <w:bookmarkEnd w:id="104"/>
    </w:p>
    <w:p w:rsidR="00C54DF3" w:rsidRDefault="00C5314D" w:rsidP="00132D43">
      <w:r>
        <w:t xml:space="preserve">We first </w:t>
      </w:r>
      <w:r w:rsidR="008251E0">
        <w:t>considered whether</w:t>
      </w:r>
      <w:r>
        <w:t xml:space="preserve"> AGN has complied with the requirements of the NGR, which we set out in</w:t>
      </w:r>
      <w:r w:rsidR="002F714A">
        <w:t xml:space="preserve"> </w:t>
      </w:r>
      <w:r w:rsidR="002F714A">
        <w:fldChar w:fldCharType="begin"/>
      </w:r>
      <w:r w:rsidR="002F714A">
        <w:instrText xml:space="preserve"> REF _Ref485196184 \h </w:instrText>
      </w:r>
      <w:r w:rsidR="002F714A">
        <w:fldChar w:fldCharType="separate"/>
      </w:r>
      <w:r w:rsidR="002F5E1D">
        <w:t xml:space="preserve">Table </w:t>
      </w:r>
      <w:r w:rsidR="002F5E1D">
        <w:rPr>
          <w:noProof/>
        </w:rPr>
        <w:t>1</w:t>
      </w:r>
      <w:r w:rsidR="002F5E1D">
        <w:noBreakHyphen/>
      </w:r>
      <w:r w:rsidR="002F5E1D">
        <w:rPr>
          <w:noProof/>
        </w:rPr>
        <w:t>1</w:t>
      </w:r>
      <w:r w:rsidR="002F714A">
        <w:fldChar w:fldCharType="end"/>
      </w:r>
      <w:r>
        <w:t>.</w:t>
      </w:r>
      <w:r w:rsidR="00C54DF3">
        <w:t xml:space="preserve"> </w:t>
      </w:r>
    </w:p>
    <w:p w:rsidR="00C5314D" w:rsidRDefault="002F714A" w:rsidP="002F714A">
      <w:pPr>
        <w:pStyle w:val="Caption"/>
      </w:pPr>
      <w:bookmarkStart w:id="105" w:name="_Ref485196150"/>
      <w:bookmarkStart w:id="106" w:name="_Ref485196184"/>
      <w:r>
        <w:t>Table</w:t>
      </w:r>
      <w:bookmarkEnd w:id="105"/>
      <w:r>
        <w:t xml:space="preserve"> </w:t>
      </w:r>
      <w:fldSimple w:instr=" STYLEREF 1 \s ">
        <w:r w:rsidR="002F5E1D">
          <w:rPr>
            <w:noProof/>
          </w:rPr>
          <w:t>1</w:t>
        </w:r>
      </w:fldSimple>
      <w:r>
        <w:noBreakHyphen/>
      </w:r>
      <w:fldSimple w:instr=" SEQ Table \* ARABIC \s 1 ">
        <w:r w:rsidR="002F5E1D">
          <w:rPr>
            <w:noProof/>
          </w:rPr>
          <w:t>1</w:t>
        </w:r>
      </w:fldSimple>
      <w:bookmarkEnd w:id="106"/>
      <w:r>
        <w:t xml:space="preserve"> </w:t>
      </w:r>
      <w:r w:rsidR="00C5314D">
        <w:t>A</w:t>
      </w:r>
      <w:r w:rsidR="00C5314D" w:rsidRPr="0075500F">
        <w:rPr>
          <w:rStyle w:val="AERtextblue"/>
        </w:rPr>
        <w:t xml:space="preserve">ssessment of </w:t>
      </w:r>
      <w:r w:rsidR="00C5314D">
        <w:rPr>
          <w:rStyle w:val="AERtextblue"/>
        </w:rPr>
        <w:t>AGN's</w:t>
      </w:r>
      <w:r w:rsidR="00C5314D" w:rsidRPr="0075500F">
        <w:rPr>
          <w:rStyle w:val="AERtextblue"/>
        </w:rPr>
        <w:t xml:space="preserve"> compliance with the NGR</w:t>
      </w:r>
    </w:p>
    <w:tbl>
      <w:tblPr>
        <w:tblStyle w:val="AERtable-text0"/>
        <w:tblW w:w="0" w:type="auto"/>
        <w:tblLook w:val="04A0" w:firstRow="1" w:lastRow="0" w:firstColumn="1" w:lastColumn="0" w:noHBand="0" w:noVBand="1"/>
      </w:tblPr>
      <w:tblGrid>
        <w:gridCol w:w="5211"/>
        <w:gridCol w:w="3482"/>
      </w:tblGrid>
      <w:tr w:rsidR="00C5314D" w:rsidRPr="00C5314D" w:rsidTr="00963022">
        <w:trPr>
          <w:cnfStyle w:val="100000000000" w:firstRow="1" w:lastRow="0" w:firstColumn="0" w:lastColumn="0" w:oddVBand="0" w:evenVBand="0" w:oddHBand="0" w:evenHBand="0" w:firstRowFirstColumn="0" w:firstRowLastColumn="0" w:lastRowFirstColumn="0" w:lastRowLastColumn="0"/>
          <w:tblHeader/>
        </w:trPr>
        <w:tc>
          <w:tcPr>
            <w:tcW w:w="5211" w:type="dxa"/>
          </w:tcPr>
          <w:p w:rsidR="00C5314D" w:rsidRPr="00C5314D" w:rsidRDefault="00C5314D" w:rsidP="00C5314D">
            <w:r w:rsidRPr="00C5314D">
              <w:t>NGR requirements</w:t>
            </w:r>
          </w:p>
        </w:tc>
        <w:tc>
          <w:tcPr>
            <w:tcW w:w="3482" w:type="dxa"/>
          </w:tcPr>
          <w:p w:rsidR="00C5314D" w:rsidRPr="00C5314D" w:rsidRDefault="00C5314D" w:rsidP="00C5314D">
            <w:r w:rsidRPr="00C5314D">
              <w:t>AER assessment</w:t>
            </w:r>
          </w:p>
        </w:tc>
      </w:tr>
      <w:tr w:rsidR="00C5314D" w:rsidRPr="00C5314D" w:rsidTr="00963022">
        <w:tc>
          <w:tcPr>
            <w:tcW w:w="5211" w:type="dxa"/>
          </w:tcPr>
          <w:p w:rsidR="00C5314D" w:rsidRPr="00C5314D" w:rsidRDefault="00C5314D" w:rsidP="00C5314D">
            <w:r w:rsidRPr="00C5314D">
              <w:t>A full access arrangement must:</w:t>
            </w:r>
          </w:p>
        </w:tc>
        <w:tc>
          <w:tcPr>
            <w:tcW w:w="3482" w:type="dxa"/>
          </w:tcPr>
          <w:p w:rsidR="00C5314D" w:rsidRPr="00C5314D" w:rsidRDefault="00C5314D" w:rsidP="00C5314D"/>
        </w:tc>
      </w:tr>
      <w:tr w:rsidR="00C5314D" w:rsidRPr="00C5314D" w:rsidTr="00963022">
        <w:trPr>
          <w:cnfStyle w:val="000000010000" w:firstRow="0" w:lastRow="0" w:firstColumn="0" w:lastColumn="0" w:oddVBand="0" w:evenVBand="0" w:oddHBand="0" w:evenHBand="1" w:firstRowFirstColumn="0" w:firstRowLastColumn="0" w:lastRowFirstColumn="0" w:lastRowLastColumn="0"/>
        </w:trPr>
        <w:tc>
          <w:tcPr>
            <w:tcW w:w="5211" w:type="dxa"/>
          </w:tcPr>
          <w:p w:rsidR="00C5314D" w:rsidRPr="00C5314D" w:rsidRDefault="00C5314D" w:rsidP="00C5314D">
            <w:r w:rsidRPr="00C5314D">
              <w:t xml:space="preserve">identify the pipeline to which the access arrangement relates and include a reference to a website at which a description of the pipeline can be inspected — NGR clause 48(1)(a) </w:t>
            </w:r>
          </w:p>
        </w:tc>
        <w:tc>
          <w:tcPr>
            <w:tcW w:w="3482" w:type="dxa"/>
          </w:tcPr>
          <w:p w:rsidR="00C5314D" w:rsidRPr="00C5314D" w:rsidRDefault="00C5314D" w:rsidP="006A2939">
            <w:r w:rsidRPr="00C5314D">
              <w:t xml:space="preserve">Compliant. </w:t>
            </w:r>
            <w:r w:rsidR="006A2939">
              <w:t xml:space="preserve">Clause 1 </w:t>
            </w:r>
            <w:r w:rsidRPr="00C5314D">
              <w:t>of the access arrangement proposal.</w:t>
            </w:r>
          </w:p>
        </w:tc>
      </w:tr>
      <w:tr w:rsidR="00C5314D" w:rsidRPr="00C5314D" w:rsidTr="00963022">
        <w:tc>
          <w:tcPr>
            <w:tcW w:w="5211" w:type="dxa"/>
          </w:tcPr>
          <w:p w:rsidR="00C5314D" w:rsidRPr="00C5314D" w:rsidRDefault="00C5314D" w:rsidP="00C5314D">
            <w:r w:rsidRPr="00C5314D">
              <w:t>describe the pipeline services the service provider propose to offer to provide by means of the pipeline — NGR clause 48(1)(b)</w:t>
            </w:r>
          </w:p>
        </w:tc>
        <w:tc>
          <w:tcPr>
            <w:tcW w:w="3482" w:type="dxa"/>
          </w:tcPr>
          <w:p w:rsidR="00C5314D" w:rsidRPr="00C5314D" w:rsidRDefault="00C5314D" w:rsidP="00C5314D">
            <w:r w:rsidRPr="00C5314D">
              <w:t xml:space="preserve">Compliant. </w:t>
            </w:r>
            <w:r w:rsidR="006154C4">
              <w:t xml:space="preserve">Clause 2 </w:t>
            </w:r>
            <w:r w:rsidR="006154C4" w:rsidRPr="00C5314D">
              <w:t>of the access arrangement proposal.</w:t>
            </w:r>
          </w:p>
        </w:tc>
      </w:tr>
      <w:tr w:rsidR="00C5314D" w:rsidRPr="00C5314D" w:rsidTr="00963022">
        <w:trPr>
          <w:cnfStyle w:val="000000010000" w:firstRow="0" w:lastRow="0" w:firstColumn="0" w:lastColumn="0" w:oddVBand="0" w:evenVBand="0" w:oddHBand="0" w:evenHBand="1" w:firstRowFirstColumn="0" w:firstRowLastColumn="0" w:lastRowFirstColumn="0" w:lastRowLastColumn="0"/>
        </w:trPr>
        <w:tc>
          <w:tcPr>
            <w:tcW w:w="5211" w:type="dxa"/>
          </w:tcPr>
          <w:p w:rsidR="00C5314D" w:rsidRPr="00C5314D" w:rsidRDefault="00C5314D" w:rsidP="00C5314D">
            <w:r w:rsidRPr="00C5314D">
              <w:t>specify the reference services — NGR clause 48(1)(c)</w:t>
            </w:r>
          </w:p>
        </w:tc>
        <w:tc>
          <w:tcPr>
            <w:tcW w:w="3482" w:type="dxa"/>
          </w:tcPr>
          <w:p w:rsidR="00C5314D" w:rsidRPr="00C5314D" w:rsidRDefault="00C5314D" w:rsidP="00C5314D">
            <w:r w:rsidRPr="00C5314D">
              <w:t xml:space="preserve">Compliant. </w:t>
            </w:r>
            <w:r w:rsidR="006A2939">
              <w:t>Clause 2</w:t>
            </w:r>
            <w:r w:rsidRPr="00C5314D">
              <w:t xml:space="preserve"> of the access arrangement proposal.</w:t>
            </w:r>
          </w:p>
        </w:tc>
      </w:tr>
    </w:tbl>
    <w:p w:rsidR="00796E95" w:rsidRDefault="00796E95" w:rsidP="00B94E57">
      <w:r>
        <w:t xml:space="preserve">The reference tariffs and other (non-tariff) terms and conditions on </w:t>
      </w:r>
      <w:r w:rsidR="009F1CEA">
        <w:t>which</w:t>
      </w:r>
      <w:r>
        <w:t xml:space="preserve"> the reference services will be provided are considered in attachments 10 and 12.</w:t>
      </w:r>
    </w:p>
    <w:p w:rsidR="00CA3A39" w:rsidRDefault="00C5314D" w:rsidP="00B94E57">
      <w:pPr>
        <w:pStyle w:val="HeadingBoldBlue"/>
        <w:keepNext/>
      </w:pPr>
      <w:r>
        <w:t xml:space="preserve">Haulage Reference Services </w:t>
      </w:r>
    </w:p>
    <w:p w:rsidR="00E77ACD" w:rsidRDefault="00E77ACD" w:rsidP="00B94E57">
      <w:pPr>
        <w:keepNext/>
      </w:pPr>
      <w:r w:rsidRPr="00EC475F">
        <w:t xml:space="preserve">We consider that a significant part of the market is likely to seek services that provide for the transportation of gas, meter reading and associated activities and ancillary activities. </w:t>
      </w:r>
      <w:r w:rsidR="008251E0">
        <w:t>These are</w:t>
      </w:r>
      <w:r w:rsidRPr="00EC475F">
        <w:t xml:space="preserve"> the main type</w:t>
      </w:r>
      <w:r w:rsidR="008251E0">
        <w:t>s</w:t>
      </w:r>
      <w:r w:rsidRPr="00EC475F">
        <w:t xml:space="preserve"> of services that pipeline operators provide which help deliver gas each day to final customers for use in households or commercial enterprise. Retailer submissions supported </w:t>
      </w:r>
      <w:r w:rsidR="00C277A3">
        <w:t>AGN</w:t>
      </w:r>
      <w:r w:rsidR="00C277A3" w:rsidRPr="00EC475F">
        <w:t xml:space="preserve"> </w:t>
      </w:r>
      <w:r w:rsidR="00C277A3">
        <w:t xml:space="preserve">continuing to </w:t>
      </w:r>
      <w:r w:rsidR="00C277A3" w:rsidRPr="00EC475F">
        <w:t>provide</w:t>
      </w:r>
      <w:r w:rsidR="00C277A3">
        <w:t xml:space="preserve"> </w:t>
      </w:r>
      <w:r w:rsidRPr="00EC475F">
        <w:t>these services</w:t>
      </w:r>
      <w:r>
        <w:t>.</w:t>
      </w:r>
      <w:r>
        <w:rPr>
          <w:rStyle w:val="FootnoteReference"/>
        </w:rPr>
        <w:footnoteReference w:id="6"/>
      </w:r>
    </w:p>
    <w:p w:rsidR="00E77ACD" w:rsidRDefault="00C277A3" w:rsidP="00E77ACD">
      <w:r>
        <w:t>Customers cannot access competing providers for these services</w:t>
      </w:r>
      <w:r w:rsidR="00E77ACD">
        <w:t>. AGN has not sought to change</w:t>
      </w:r>
      <w:r w:rsidR="008251E0">
        <w:t xml:space="preserve"> the</w:t>
      </w:r>
      <w:r w:rsidR="00E77ACD">
        <w:t xml:space="preserve"> haulage reference services that it currently provides and is seeking to provide during the 2018–22 access arrangement period.</w:t>
      </w:r>
    </w:p>
    <w:p w:rsidR="00E77ACD" w:rsidRDefault="00E77ACD" w:rsidP="00132D43">
      <w:r w:rsidRPr="00BD7176">
        <w:t>Accordingly, we consider that the proposed reference services are likely to be sought by a significant part of the market</w:t>
      </w:r>
      <w:r>
        <w:t>.</w:t>
      </w:r>
      <w:r>
        <w:rPr>
          <w:rStyle w:val="FootnoteReference"/>
        </w:rPr>
        <w:footnoteReference w:id="7"/>
      </w:r>
    </w:p>
    <w:p w:rsidR="00E77ACD" w:rsidRDefault="00C277A3" w:rsidP="00132D43">
      <w:r>
        <w:t>I</w:t>
      </w:r>
      <w:r w:rsidRPr="00BD7176">
        <w:t xml:space="preserve">n the past, </w:t>
      </w:r>
      <w:r>
        <w:t>w</w:t>
      </w:r>
      <w:r w:rsidR="00E77ACD" w:rsidRPr="00BD7176">
        <w:t>e have approved these same services as reference services and there have been no changes to the market in recent years that would alter our view</w:t>
      </w:r>
      <w:r w:rsidR="00E77ACD">
        <w:t>.</w:t>
      </w:r>
    </w:p>
    <w:p w:rsidR="00CA3A39" w:rsidRPr="00B94E57" w:rsidRDefault="00CA3A39" w:rsidP="00796E95">
      <w:pPr>
        <w:pStyle w:val="HeadingBoldBlue"/>
        <w:rPr>
          <w:rStyle w:val="AERtextblue"/>
          <w:color w:val="70635A" w:themeColor="text2"/>
        </w:rPr>
      </w:pPr>
      <w:r w:rsidRPr="00B94E57">
        <w:rPr>
          <w:rStyle w:val="AERtextblue"/>
          <w:color w:val="70635A" w:themeColor="text2"/>
        </w:rPr>
        <w:t>Ancillary reference services</w:t>
      </w:r>
    </w:p>
    <w:p w:rsidR="00021156" w:rsidRDefault="00021156" w:rsidP="005B3BBD">
      <w:r>
        <w:t>We approve AGN's proposed ancillary reference services</w:t>
      </w:r>
      <w:r w:rsidR="003B2401">
        <w:t xml:space="preserve"> for its Victoria and Albury networks</w:t>
      </w:r>
      <w:r w:rsidR="00547E1C">
        <w:t>, which are consistent with those offered in the current access arrangement period.</w:t>
      </w:r>
      <w:r w:rsidR="00125382">
        <w:t xml:space="preserve"> </w:t>
      </w:r>
    </w:p>
    <w:p w:rsidR="00D423A8" w:rsidRDefault="00125382" w:rsidP="005B3BBD">
      <w:r>
        <w:t xml:space="preserve">There </w:t>
      </w:r>
      <w:r w:rsidR="009E31E8">
        <w:t>were</w:t>
      </w:r>
      <w:r>
        <w:t xml:space="preserve"> no stakeholder submission</w:t>
      </w:r>
      <w:r w:rsidR="009E31E8">
        <w:t>s</w:t>
      </w:r>
      <w:r>
        <w:t xml:space="preserve"> that sought for these reference services to be </w:t>
      </w:r>
      <w:r w:rsidR="008251E0">
        <w:t xml:space="preserve">removed from the access arrangement </w:t>
      </w:r>
      <w:r>
        <w:t>or modified.</w:t>
      </w:r>
    </w:p>
    <w:p w:rsidR="005B3BBD" w:rsidRDefault="00125382" w:rsidP="005B3BBD">
      <w:r>
        <w:t xml:space="preserve">However, </w:t>
      </w:r>
      <w:r w:rsidR="000F0757">
        <w:t xml:space="preserve">AGL requested </w:t>
      </w:r>
      <w:r w:rsidR="00BA0959">
        <w:t xml:space="preserve">the inclusion of an additional reference service for </w:t>
      </w:r>
      <w:r w:rsidR="000F0757">
        <w:t xml:space="preserve">all Victorian gas distributors </w:t>
      </w:r>
      <w:r w:rsidR="00BA0959">
        <w:t>which it described as</w:t>
      </w:r>
      <w:r w:rsidR="00547E1C">
        <w:t xml:space="preserve"> '</w:t>
      </w:r>
      <w:r w:rsidR="000F0757">
        <w:t>installation of second service valve in a pit and disconnect gas supply</w:t>
      </w:r>
      <w:r w:rsidR="00547E1C">
        <w:t>'</w:t>
      </w:r>
      <w:r w:rsidR="000F0757">
        <w:t xml:space="preserve"> reference service.</w:t>
      </w:r>
      <w:r w:rsidR="000F0757">
        <w:rPr>
          <w:rStyle w:val="FootnoteReference"/>
        </w:rPr>
        <w:footnoteReference w:id="8"/>
      </w:r>
      <w:r w:rsidR="00AD57C9">
        <w:t xml:space="preserve"> </w:t>
      </w:r>
      <w:r w:rsidR="00FC42E3">
        <w:t xml:space="preserve">This would be a new </w:t>
      </w:r>
      <w:r w:rsidR="00547E1C">
        <w:t xml:space="preserve">ancillary </w:t>
      </w:r>
      <w:r w:rsidR="00FC42E3">
        <w:t xml:space="preserve">reference service. </w:t>
      </w:r>
      <w:r>
        <w:t>Origin</w:t>
      </w:r>
      <w:r w:rsidR="00BD25D1">
        <w:t xml:space="preserve"> Energy</w:t>
      </w:r>
      <w:r>
        <w:t xml:space="preserve"> held a similar view.</w:t>
      </w:r>
      <w:r>
        <w:rPr>
          <w:rStyle w:val="FootnoteReference"/>
        </w:rPr>
        <w:footnoteReference w:id="9"/>
      </w:r>
      <w:r>
        <w:t xml:space="preserve"> </w:t>
      </w:r>
      <w:r w:rsidR="00547E1C">
        <w:t xml:space="preserve">AGL's </w:t>
      </w:r>
      <w:r w:rsidR="00CA3A39">
        <w:t>submission noted the complexity associated with reconnecting a site following a street disconnection</w:t>
      </w:r>
      <w:r w:rsidR="00547E1C">
        <w:t xml:space="preserve"> if</w:t>
      </w:r>
      <w:r w:rsidR="00CA3A39">
        <w:t xml:space="preserve"> AGN</w:t>
      </w:r>
      <w:r w:rsidR="00547E1C">
        <w:t xml:space="preserve"> was unable to access the meter when it attended the site. </w:t>
      </w:r>
      <w:r w:rsidR="00CA3A39">
        <w:t xml:space="preserve">It </w:t>
      </w:r>
      <w:r w:rsidR="00547E1C">
        <w:t>suggested</w:t>
      </w:r>
      <w:r w:rsidR="00CA3A39">
        <w:t xml:space="preserve"> </w:t>
      </w:r>
      <w:r w:rsidR="00547E1C">
        <w:t>the option of installing</w:t>
      </w:r>
      <w:r w:rsidR="00CA3A39">
        <w:t xml:space="preserve"> </w:t>
      </w:r>
      <w:r w:rsidR="00547E1C">
        <w:t xml:space="preserve">an additional </w:t>
      </w:r>
      <w:r w:rsidR="00CA3A39">
        <w:t xml:space="preserve">service valve </w:t>
      </w:r>
      <w:r w:rsidR="00547E1C">
        <w:t xml:space="preserve">(which would be more accessible) </w:t>
      </w:r>
      <w:r w:rsidR="00CA3A39">
        <w:t xml:space="preserve">would </w:t>
      </w:r>
      <w:r w:rsidR="00C92FE0">
        <w:t>enable timelier</w:t>
      </w:r>
      <w:r w:rsidR="00CA3A39">
        <w:t xml:space="preserve"> reconnection of supply with minimal disruption following site disconnection. </w:t>
      </w:r>
      <w:r w:rsidR="00547E1C">
        <w:t>AGL noted</w:t>
      </w:r>
      <w:r w:rsidR="005B3BBD">
        <w:t xml:space="preserve"> that Multinet intends to provide this </w:t>
      </w:r>
      <w:r w:rsidR="00547E1C">
        <w:t xml:space="preserve">new </w:t>
      </w:r>
      <w:r w:rsidR="005B3BBD">
        <w:t>service</w:t>
      </w:r>
      <w:r w:rsidR="00547E1C">
        <w:t xml:space="preserve"> in response to feedback from retailers</w:t>
      </w:r>
      <w:r w:rsidR="005B3BBD">
        <w:t>.</w:t>
      </w:r>
    </w:p>
    <w:p w:rsidR="00C92FE0" w:rsidRDefault="00F25CEA" w:rsidP="00547E1C">
      <w:r>
        <w:t xml:space="preserve">AGN advised that neither AGL nor other retailers had raised the possibility of </w:t>
      </w:r>
      <w:r w:rsidR="00683F82">
        <w:t xml:space="preserve">the insertion of a second valve as a new reference service </w:t>
      </w:r>
      <w:r w:rsidR="00BA0959">
        <w:t>during</w:t>
      </w:r>
      <w:r w:rsidR="00547E1C">
        <w:t xml:space="preserve"> AGN's consultation on its proposal</w:t>
      </w:r>
      <w:r w:rsidR="00683F82">
        <w:t>.</w:t>
      </w:r>
    </w:p>
    <w:p w:rsidR="00866010" w:rsidRDefault="00BC3D39" w:rsidP="00547E1C">
      <w:r>
        <w:t>With reference to</w:t>
      </w:r>
      <w:r w:rsidR="00547E1C">
        <w:t xml:space="preserve"> AGL's submission, AGN noted that it currently offers a similar service (crimping of the gas pipe connecting premises to the mains) as a negotiated service. It</w:t>
      </w:r>
      <w:r w:rsidR="00636399">
        <w:t xml:space="preserve">s experience suggests that </w:t>
      </w:r>
      <w:r w:rsidR="00C92FE0">
        <w:t>demand</w:t>
      </w:r>
      <w:r w:rsidR="00D423A8">
        <w:t xml:space="preserve"> for</w:t>
      </w:r>
      <w:r w:rsidR="00C92FE0">
        <w:t xml:space="preserve"> </w:t>
      </w:r>
      <w:r w:rsidR="00547E1C">
        <w:t>this new service would likely be limited, and that the need to include it in the access arrangement as a reference service was unclear.</w:t>
      </w:r>
    </w:p>
    <w:p w:rsidR="00683F82" w:rsidRDefault="00AD57C9" w:rsidP="00547E1C">
      <w:r>
        <w:t xml:space="preserve">AGN also advised that there would be health </w:t>
      </w:r>
      <w:r w:rsidR="00CA3A39">
        <w:t>and</w:t>
      </w:r>
      <w:r>
        <w:t xml:space="preserve"> safety risks associated with AGL's proposed service, which would need to be further </w:t>
      </w:r>
      <w:r w:rsidR="00CA3A39">
        <w:t>explored</w:t>
      </w:r>
      <w:r>
        <w:t xml:space="preserve"> and costed for pricing </w:t>
      </w:r>
      <w:r w:rsidR="00F9432A">
        <w:t>purposes</w:t>
      </w:r>
      <w:r>
        <w:t>.</w:t>
      </w:r>
    </w:p>
    <w:p w:rsidR="00AD57C9" w:rsidRDefault="00BC3D39" w:rsidP="00132D43">
      <w:r>
        <w:t>W</w:t>
      </w:r>
      <w:r w:rsidR="00AD57C9">
        <w:t xml:space="preserve">e have approved Multinet providing this service </w:t>
      </w:r>
      <w:r w:rsidR="00314E37">
        <w:t>as a</w:t>
      </w:r>
      <w:r w:rsidR="00C92FE0">
        <w:t>n ancillary</w:t>
      </w:r>
      <w:r w:rsidR="00866010">
        <w:t xml:space="preserve"> </w:t>
      </w:r>
      <w:r w:rsidR="00314E37">
        <w:t xml:space="preserve">reference service </w:t>
      </w:r>
      <w:r w:rsidR="00AD57C9">
        <w:t>on the basis t</w:t>
      </w:r>
      <w:r w:rsidR="00CA3A39">
        <w:t>hat it is willing to offer it</w:t>
      </w:r>
      <w:r>
        <w:t xml:space="preserve">. For this decision, however, </w:t>
      </w:r>
      <w:r w:rsidR="00AD57C9">
        <w:t xml:space="preserve">we will not require AGN to </w:t>
      </w:r>
      <w:r w:rsidR="00CA3A39">
        <w:t>do so</w:t>
      </w:r>
      <w:r>
        <w:t xml:space="preserve"> on the basis that there is not a clear case that this new service is likely to be sought by a significant part of the market</w:t>
      </w:r>
      <w:r w:rsidR="008F0FBB">
        <w:t>.</w:t>
      </w:r>
      <w:r w:rsidR="00C277A3">
        <w:t xml:space="preserve"> Furthermore, </w:t>
      </w:r>
      <w:r>
        <w:t xml:space="preserve">retailers </w:t>
      </w:r>
      <w:r w:rsidR="007103A5">
        <w:t xml:space="preserve">can access a similar service on behalf of their </w:t>
      </w:r>
      <w:r w:rsidR="00C277A3">
        <w:t>customers, which</w:t>
      </w:r>
      <w:r w:rsidR="007103A5">
        <w:t xml:space="preserve"> </w:t>
      </w:r>
      <w:r w:rsidR="00C277A3">
        <w:t>AGN offers</w:t>
      </w:r>
      <w:r w:rsidR="005F1F92">
        <w:t xml:space="preserve"> </w:t>
      </w:r>
      <w:r w:rsidR="007103A5">
        <w:t xml:space="preserve">as a negotiated service. </w:t>
      </w:r>
    </w:p>
    <w:p w:rsidR="00D5015C" w:rsidRDefault="00D5015C" w:rsidP="00132D43"/>
    <w:sectPr w:rsidR="00D5015C"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2F5E1D">
          <w:rPr>
            <w:noProof/>
          </w:rPr>
          <w:t>1-0</w:t>
        </w:r>
        <w:r>
          <w:rPr>
            <w:noProof/>
          </w:rPr>
          <w:fldChar w:fldCharType="end"/>
        </w:r>
        <w:r>
          <w:rPr>
            <w:noProof/>
          </w:rPr>
          <w:t xml:space="preserve">          </w:t>
        </w:r>
        <w:r>
          <w:t xml:space="preserve">Attachment </w:t>
        </w:r>
        <w:r w:rsidR="00471BC6">
          <w:t>1</w:t>
        </w:r>
        <w:r>
          <w:t xml:space="preserve"> </w:t>
        </w:r>
        <w:r w:rsidRPr="000474DF">
          <w:t>−</w:t>
        </w:r>
        <w:r>
          <w:t xml:space="preserve"> </w:t>
        </w:r>
        <w:r w:rsidR="00D5015C">
          <w:t>Services covered by the access arrangement</w:t>
        </w:r>
        <w:r w:rsidRPr="009B6F84">
          <w:rPr>
            <w:rFonts w:cs="Gautami"/>
            <w:noProof/>
            <w:szCs w:val="16"/>
          </w:rPr>
          <w:t xml:space="preserve"> | </w:t>
        </w:r>
        <w:r w:rsidR="00D5015C">
          <w:t>Draft decision - AGN Victoria and Albury gas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2F5E1D">
          <w:rPr>
            <w:noProof/>
          </w:rPr>
          <w:t>1-8</w:t>
        </w:r>
        <w:r>
          <w:rPr>
            <w:noProof/>
          </w:rPr>
          <w:fldChar w:fldCharType="end"/>
        </w:r>
        <w:r>
          <w:rPr>
            <w:noProof/>
          </w:rPr>
          <w:t xml:space="preserve">          </w:t>
        </w:r>
        <w:r w:rsidR="00D5015C">
          <w:t xml:space="preserve">Attachment 1 </w:t>
        </w:r>
        <w:r w:rsidR="00D5015C" w:rsidRPr="000474DF">
          <w:t>−</w:t>
        </w:r>
        <w:r w:rsidR="00D5015C">
          <w:t xml:space="preserve"> Services covered by the access arrangement</w:t>
        </w:r>
        <w:r w:rsidR="00D5015C" w:rsidRPr="00D5015C">
          <w:t xml:space="preserve"> | </w:t>
        </w:r>
        <w:r w:rsidR="00D5015C">
          <w:t>Draft decision - AGN Victoria and Albury gas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903458" w:rsidRDefault="00903458">
      <w:pPr>
        <w:pStyle w:val="FootnoteText"/>
      </w:pPr>
      <w:r>
        <w:rPr>
          <w:rStyle w:val="FootnoteReference"/>
        </w:rPr>
        <w:footnoteRef/>
      </w:r>
      <w:r>
        <w:t xml:space="preserve"> </w:t>
      </w:r>
      <w:r>
        <w:tab/>
      </w:r>
      <w:r w:rsidRPr="00903458">
        <w:t>NGR, r. 48(1)(a) and (b)</w:t>
      </w:r>
    </w:p>
  </w:footnote>
  <w:footnote w:id="2">
    <w:p w:rsidR="003B2401" w:rsidRDefault="003B2401">
      <w:pPr>
        <w:pStyle w:val="FootnoteText"/>
      </w:pPr>
      <w:r>
        <w:rPr>
          <w:rStyle w:val="FootnoteReference"/>
        </w:rPr>
        <w:footnoteRef/>
      </w:r>
      <w:r>
        <w:t xml:space="preserve"> </w:t>
      </w:r>
      <w:r>
        <w:tab/>
      </w:r>
      <w:proofErr w:type="gramStart"/>
      <w:r>
        <w:t>NGR, r. 101.</w:t>
      </w:r>
      <w:proofErr w:type="gramEnd"/>
    </w:p>
  </w:footnote>
  <w:footnote w:id="3">
    <w:p w:rsidR="00C5314D" w:rsidRDefault="00C5314D">
      <w:pPr>
        <w:pStyle w:val="FootnoteText"/>
      </w:pPr>
      <w:r>
        <w:rPr>
          <w:rStyle w:val="FootnoteReference"/>
        </w:rPr>
        <w:footnoteRef/>
      </w:r>
      <w:r>
        <w:t xml:space="preserve"> </w:t>
      </w:r>
      <w:r>
        <w:tab/>
      </w:r>
      <w:proofErr w:type="gramStart"/>
      <w:r>
        <w:t>NGR, r. 48.</w:t>
      </w:r>
      <w:proofErr w:type="gramEnd"/>
    </w:p>
  </w:footnote>
  <w:footnote w:id="4">
    <w:p w:rsidR="00C5314D" w:rsidRDefault="00C5314D">
      <w:pPr>
        <w:pStyle w:val="FootnoteText"/>
      </w:pPr>
      <w:r>
        <w:rPr>
          <w:rStyle w:val="FootnoteReference"/>
        </w:rPr>
        <w:footnoteRef/>
      </w:r>
      <w:r>
        <w:t xml:space="preserve"> </w:t>
      </w:r>
      <w:r>
        <w:tab/>
        <w:t>NGR r. 100(a)</w:t>
      </w:r>
    </w:p>
  </w:footnote>
  <w:footnote w:id="5">
    <w:p w:rsidR="00903458" w:rsidRDefault="00903458">
      <w:pPr>
        <w:pStyle w:val="FootnoteText"/>
      </w:pPr>
      <w:r>
        <w:rPr>
          <w:rStyle w:val="FootnoteReference"/>
        </w:rPr>
        <w:footnoteRef/>
      </w:r>
      <w:r>
        <w:t xml:space="preserve"> </w:t>
      </w:r>
      <w:r>
        <w:tab/>
        <w:t>A covered pipeline means a pipeline that is regulated under the National Gas Law and National Gas Rules. In that respect, it is 'covered by regulation'.</w:t>
      </w:r>
    </w:p>
  </w:footnote>
  <w:footnote w:id="6">
    <w:p w:rsidR="00E77ACD" w:rsidRDefault="00E77ACD">
      <w:pPr>
        <w:pStyle w:val="FootnoteText"/>
      </w:pPr>
      <w:r>
        <w:rPr>
          <w:rStyle w:val="FootnoteReference"/>
        </w:rPr>
        <w:footnoteRef/>
      </w:r>
      <w:r>
        <w:t xml:space="preserve"> </w:t>
      </w:r>
      <w:r>
        <w:tab/>
        <w:t>Origin</w:t>
      </w:r>
      <w:r w:rsidR="00BD25D1">
        <w:t xml:space="preserve"> Energy, </w:t>
      </w:r>
      <w:r w:rsidRPr="00253790">
        <w:rPr>
          <w:rStyle w:val="AERtextitalic"/>
        </w:rPr>
        <w:t>Victorian Gas access Arrangement Review 2018–22 Response to Gas Distribution Business' Proposals</w:t>
      </w:r>
      <w:r>
        <w:t>, February 2017, p.p. 2-3.</w:t>
      </w:r>
    </w:p>
  </w:footnote>
  <w:footnote w:id="7">
    <w:p w:rsidR="00E77ACD" w:rsidRDefault="00E77ACD">
      <w:pPr>
        <w:pStyle w:val="FootnoteText"/>
      </w:pPr>
      <w:r>
        <w:rPr>
          <w:rStyle w:val="FootnoteReference"/>
        </w:rPr>
        <w:footnoteRef/>
      </w:r>
      <w:r>
        <w:t xml:space="preserve"> </w:t>
      </w:r>
      <w:r>
        <w:tab/>
      </w:r>
      <w:proofErr w:type="gramStart"/>
      <w:r>
        <w:t>NGR, r. 101.</w:t>
      </w:r>
      <w:proofErr w:type="gramEnd"/>
    </w:p>
  </w:footnote>
  <w:footnote w:id="8">
    <w:p w:rsidR="000F0757" w:rsidRDefault="000F0757">
      <w:pPr>
        <w:pStyle w:val="FootnoteText"/>
      </w:pPr>
      <w:r>
        <w:rPr>
          <w:rStyle w:val="FootnoteReference"/>
        </w:rPr>
        <w:footnoteRef/>
      </w:r>
      <w:r>
        <w:t xml:space="preserve"> </w:t>
      </w:r>
      <w:r>
        <w:tab/>
      </w:r>
      <w:r w:rsidR="0092517A" w:rsidRPr="0092517A">
        <w:t>AGL Energy Limited</w:t>
      </w:r>
      <w:r w:rsidR="0092517A">
        <w:t>,</w:t>
      </w:r>
      <w:r w:rsidR="0092517A" w:rsidRPr="0092517A">
        <w:t xml:space="preserve"> </w:t>
      </w:r>
      <w:r w:rsidR="0092517A" w:rsidRPr="00B94E57">
        <w:rPr>
          <w:rStyle w:val="AERtextitalic"/>
        </w:rPr>
        <w:t>Victorian gas access arrangement proposals</w:t>
      </w:r>
      <w:r w:rsidR="0092517A">
        <w:t>, 2</w:t>
      </w:r>
      <w:r w:rsidR="0092517A" w:rsidRPr="0092517A">
        <w:t>1 March 2017</w:t>
      </w:r>
      <w:r w:rsidR="009F6555">
        <w:t xml:space="preserve">, </w:t>
      </w:r>
      <w:r>
        <w:t>pp. 2-3.</w:t>
      </w:r>
    </w:p>
  </w:footnote>
  <w:footnote w:id="9">
    <w:p w:rsidR="00125382" w:rsidRDefault="00125382">
      <w:pPr>
        <w:pStyle w:val="FootnoteText"/>
      </w:pPr>
      <w:r>
        <w:rPr>
          <w:rStyle w:val="FootnoteReference"/>
        </w:rPr>
        <w:footnoteRef/>
      </w:r>
      <w:r>
        <w:t xml:space="preserve"> </w:t>
      </w:r>
      <w:r>
        <w:tab/>
        <w:t>Origin</w:t>
      </w:r>
      <w:r w:rsidR="00BD25D1">
        <w:t xml:space="preserve"> Energy</w:t>
      </w:r>
      <w:r>
        <w:t>,</w:t>
      </w:r>
      <w:r w:rsidRPr="00125382">
        <w:rPr>
          <w:rStyle w:val="AERtextitalic"/>
        </w:rPr>
        <w:t xml:space="preserve"> </w:t>
      </w:r>
      <w:r w:rsidRPr="00253790">
        <w:rPr>
          <w:rStyle w:val="AERtextitalic"/>
        </w:rPr>
        <w:t>Victorian Gas access Arrangement Review 2018–22 Response to Gas Distribution Business' Proposals</w:t>
      </w:r>
      <w:r>
        <w:t>, February 2017,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pKQdLblD/ZsSKUhj8TD0cU9DCO3yWTzgW8/yUWt1pHM=" w:saltValue="VPuKxMdzEHff3zr2ZqwRAg==" w:algorithmName="SHA-256"/>
  <w:defaultTabStop w:val="34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507B"/>
    <w:rsid w:val="00020016"/>
    <w:rsid w:val="00021156"/>
    <w:rsid w:val="00021202"/>
    <w:rsid w:val="00021C2B"/>
    <w:rsid w:val="0002498B"/>
    <w:rsid w:val="0002517F"/>
    <w:rsid w:val="00026187"/>
    <w:rsid w:val="000266FC"/>
    <w:rsid w:val="000273B3"/>
    <w:rsid w:val="00027E2D"/>
    <w:rsid w:val="0003578C"/>
    <w:rsid w:val="00044DA3"/>
    <w:rsid w:val="00045406"/>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38FB"/>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47AE"/>
    <w:rsid w:val="000D75B0"/>
    <w:rsid w:val="000E1819"/>
    <w:rsid w:val="000E4821"/>
    <w:rsid w:val="000E4AA9"/>
    <w:rsid w:val="000E6C72"/>
    <w:rsid w:val="000E7F39"/>
    <w:rsid w:val="000F0757"/>
    <w:rsid w:val="000F46E5"/>
    <w:rsid w:val="00100EA2"/>
    <w:rsid w:val="00101AA1"/>
    <w:rsid w:val="00102338"/>
    <w:rsid w:val="00104566"/>
    <w:rsid w:val="00104FF6"/>
    <w:rsid w:val="001114AA"/>
    <w:rsid w:val="00112684"/>
    <w:rsid w:val="00115743"/>
    <w:rsid w:val="00116EB2"/>
    <w:rsid w:val="0012132C"/>
    <w:rsid w:val="00124609"/>
    <w:rsid w:val="00125382"/>
    <w:rsid w:val="00126A4C"/>
    <w:rsid w:val="001270E3"/>
    <w:rsid w:val="00132D43"/>
    <w:rsid w:val="00133366"/>
    <w:rsid w:val="00133F47"/>
    <w:rsid w:val="00134029"/>
    <w:rsid w:val="00141F2D"/>
    <w:rsid w:val="00142C2D"/>
    <w:rsid w:val="00144C96"/>
    <w:rsid w:val="0014573B"/>
    <w:rsid w:val="001463A3"/>
    <w:rsid w:val="0015073A"/>
    <w:rsid w:val="001573E4"/>
    <w:rsid w:val="00160756"/>
    <w:rsid w:val="00161DC8"/>
    <w:rsid w:val="00164EAE"/>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3509"/>
    <w:rsid w:val="002D5448"/>
    <w:rsid w:val="002D5457"/>
    <w:rsid w:val="002D72E8"/>
    <w:rsid w:val="002D79AD"/>
    <w:rsid w:val="002E268F"/>
    <w:rsid w:val="002E6139"/>
    <w:rsid w:val="002E78DD"/>
    <w:rsid w:val="002E7B22"/>
    <w:rsid w:val="002F12EC"/>
    <w:rsid w:val="002F5E1D"/>
    <w:rsid w:val="002F714A"/>
    <w:rsid w:val="002F7986"/>
    <w:rsid w:val="00301B40"/>
    <w:rsid w:val="00301C82"/>
    <w:rsid w:val="003029EE"/>
    <w:rsid w:val="00304D38"/>
    <w:rsid w:val="00305CC8"/>
    <w:rsid w:val="00307F6D"/>
    <w:rsid w:val="00314D83"/>
    <w:rsid w:val="00314E37"/>
    <w:rsid w:val="00315137"/>
    <w:rsid w:val="0031571F"/>
    <w:rsid w:val="003177A2"/>
    <w:rsid w:val="00317E02"/>
    <w:rsid w:val="00325D52"/>
    <w:rsid w:val="003271B5"/>
    <w:rsid w:val="00327A1E"/>
    <w:rsid w:val="00327E28"/>
    <w:rsid w:val="00331264"/>
    <w:rsid w:val="00333129"/>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2401"/>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41A4"/>
    <w:rsid w:val="003E4437"/>
    <w:rsid w:val="003E7FE9"/>
    <w:rsid w:val="003F07D4"/>
    <w:rsid w:val="003F174D"/>
    <w:rsid w:val="003F2329"/>
    <w:rsid w:val="003F49D5"/>
    <w:rsid w:val="00400FD2"/>
    <w:rsid w:val="00403711"/>
    <w:rsid w:val="00404C52"/>
    <w:rsid w:val="004156D5"/>
    <w:rsid w:val="00415BA9"/>
    <w:rsid w:val="00415F31"/>
    <w:rsid w:val="0041691D"/>
    <w:rsid w:val="0042000C"/>
    <w:rsid w:val="0042090E"/>
    <w:rsid w:val="00421F27"/>
    <w:rsid w:val="004238D8"/>
    <w:rsid w:val="00423A77"/>
    <w:rsid w:val="00430F2E"/>
    <w:rsid w:val="004324F4"/>
    <w:rsid w:val="00434544"/>
    <w:rsid w:val="00445D43"/>
    <w:rsid w:val="00446CD2"/>
    <w:rsid w:val="0045777E"/>
    <w:rsid w:val="00465258"/>
    <w:rsid w:val="00471BC6"/>
    <w:rsid w:val="00476221"/>
    <w:rsid w:val="004766F5"/>
    <w:rsid w:val="00480B4B"/>
    <w:rsid w:val="004838D8"/>
    <w:rsid w:val="00485DC4"/>
    <w:rsid w:val="00494D04"/>
    <w:rsid w:val="004A40BA"/>
    <w:rsid w:val="004A43D1"/>
    <w:rsid w:val="004A492B"/>
    <w:rsid w:val="004B308C"/>
    <w:rsid w:val="004B4412"/>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05BBB"/>
    <w:rsid w:val="0051337E"/>
    <w:rsid w:val="00513FA7"/>
    <w:rsid w:val="00514DF2"/>
    <w:rsid w:val="0051768F"/>
    <w:rsid w:val="00522DC2"/>
    <w:rsid w:val="00530128"/>
    <w:rsid w:val="00532467"/>
    <w:rsid w:val="005332A9"/>
    <w:rsid w:val="0053603C"/>
    <w:rsid w:val="00537871"/>
    <w:rsid w:val="00542FE9"/>
    <w:rsid w:val="00544598"/>
    <w:rsid w:val="00544C8D"/>
    <w:rsid w:val="00544DFD"/>
    <w:rsid w:val="00547E1C"/>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7F1"/>
    <w:rsid w:val="005A0BEC"/>
    <w:rsid w:val="005A404D"/>
    <w:rsid w:val="005B1E3C"/>
    <w:rsid w:val="005B3BBD"/>
    <w:rsid w:val="005B6518"/>
    <w:rsid w:val="005B704A"/>
    <w:rsid w:val="005B72D7"/>
    <w:rsid w:val="005C045F"/>
    <w:rsid w:val="005C16FE"/>
    <w:rsid w:val="005C1FAB"/>
    <w:rsid w:val="005C21A4"/>
    <w:rsid w:val="005C26CC"/>
    <w:rsid w:val="005C4463"/>
    <w:rsid w:val="005D349C"/>
    <w:rsid w:val="005D3D88"/>
    <w:rsid w:val="005D48C4"/>
    <w:rsid w:val="005D6208"/>
    <w:rsid w:val="005D6366"/>
    <w:rsid w:val="005D7BA2"/>
    <w:rsid w:val="005E36C2"/>
    <w:rsid w:val="005E4AF4"/>
    <w:rsid w:val="005F1F92"/>
    <w:rsid w:val="005F387E"/>
    <w:rsid w:val="005F561D"/>
    <w:rsid w:val="00601E0B"/>
    <w:rsid w:val="0060258B"/>
    <w:rsid w:val="00610EF9"/>
    <w:rsid w:val="00612F4F"/>
    <w:rsid w:val="00614EA0"/>
    <w:rsid w:val="006154C4"/>
    <w:rsid w:val="00615C6B"/>
    <w:rsid w:val="00617D4C"/>
    <w:rsid w:val="00621DCE"/>
    <w:rsid w:val="00621FC5"/>
    <w:rsid w:val="00624F2C"/>
    <w:rsid w:val="00632D6D"/>
    <w:rsid w:val="00636399"/>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83F82"/>
    <w:rsid w:val="006914C0"/>
    <w:rsid w:val="00691B53"/>
    <w:rsid w:val="00697D0B"/>
    <w:rsid w:val="006A12BA"/>
    <w:rsid w:val="006A147F"/>
    <w:rsid w:val="006A2939"/>
    <w:rsid w:val="006A4739"/>
    <w:rsid w:val="006A4862"/>
    <w:rsid w:val="006A66A1"/>
    <w:rsid w:val="006B032D"/>
    <w:rsid w:val="006B2395"/>
    <w:rsid w:val="006B40AC"/>
    <w:rsid w:val="006B4CF9"/>
    <w:rsid w:val="006B797C"/>
    <w:rsid w:val="006B7AC8"/>
    <w:rsid w:val="006C1736"/>
    <w:rsid w:val="006C329B"/>
    <w:rsid w:val="006C6303"/>
    <w:rsid w:val="006C7284"/>
    <w:rsid w:val="006D550F"/>
    <w:rsid w:val="006D6146"/>
    <w:rsid w:val="006D7F7E"/>
    <w:rsid w:val="006E0CFF"/>
    <w:rsid w:val="006F0D92"/>
    <w:rsid w:val="006F267D"/>
    <w:rsid w:val="0070011E"/>
    <w:rsid w:val="00701CAB"/>
    <w:rsid w:val="007023BB"/>
    <w:rsid w:val="00704DD7"/>
    <w:rsid w:val="00707563"/>
    <w:rsid w:val="007103A5"/>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6B63"/>
    <w:rsid w:val="00777EE6"/>
    <w:rsid w:val="00782EEA"/>
    <w:rsid w:val="007909B4"/>
    <w:rsid w:val="00790E86"/>
    <w:rsid w:val="007949D7"/>
    <w:rsid w:val="00796E95"/>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0C7"/>
    <w:rsid w:val="00822AC7"/>
    <w:rsid w:val="00822E86"/>
    <w:rsid w:val="008251E0"/>
    <w:rsid w:val="008344F6"/>
    <w:rsid w:val="0083510F"/>
    <w:rsid w:val="00837BF3"/>
    <w:rsid w:val="008415DE"/>
    <w:rsid w:val="008420DE"/>
    <w:rsid w:val="00845865"/>
    <w:rsid w:val="0084799B"/>
    <w:rsid w:val="00850C90"/>
    <w:rsid w:val="00851209"/>
    <w:rsid w:val="0085171F"/>
    <w:rsid w:val="00857A40"/>
    <w:rsid w:val="008658A1"/>
    <w:rsid w:val="00866010"/>
    <w:rsid w:val="0086716A"/>
    <w:rsid w:val="00870613"/>
    <w:rsid w:val="0087380F"/>
    <w:rsid w:val="0087648F"/>
    <w:rsid w:val="00876612"/>
    <w:rsid w:val="00882BB1"/>
    <w:rsid w:val="008837AC"/>
    <w:rsid w:val="008909DC"/>
    <w:rsid w:val="00894255"/>
    <w:rsid w:val="008945AD"/>
    <w:rsid w:val="0089741B"/>
    <w:rsid w:val="008A0645"/>
    <w:rsid w:val="008A1C02"/>
    <w:rsid w:val="008A370D"/>
    <w:rsid w:val="008A587D"/>
    <w:rsid w:val="008B16B0"/>
    <w:rsid w:val="008B1BD5"/>
    <w:rsid w:val="008B35CD"/>
    <w:rsid w:val="008B4093"/>
    <w:rsid w:val="008B5FCC"/>
    <w:rsid w:val="008B7F36"/>
    <w:rsid w:val="008C357F"/>
    <w:rsid w:val="008C5184"/>
    <w:rsid w:val="008C5486"/>
    <w:rsid w:val="008D1661"/>
    <w:rsid w:val="008D27E0"/>
    <w:rsid w:val="008D5F90"/>
    <w:rsid w:val="008D6800"/>
    <w:rsid w:val="008D72F1"/>
    <w:rsid w:val="008E4089"/>
    <w:rsid w:val="008E5AFF"/>
    <w:rsid w:val="008E7031"/>
    <w:rsid w:val="008E77DE"/>
    <w:rsid w:val="008F040C"/>
    <w:rsid w:val="008F07A3"/>
    <w:rsid w:val="008F0FBB"/>
    <w:rsid w:val="008F3322"/>
    <w:rsid w:val="008F3519"/>
    <w:rsid w:val="008F3A0D"/>
    <w:rsid w:val="009001B6"/>
    <w:rsid w:val="00900E1B"/>
    <w:rsid w:val="0090131F"/>
    <w:rsid w:val="00903458"/>
    <w:rsid w:val="00907683"/>
    <w:rsid w:val="009132B7"/>
    <w:rsid w:val="00916A2C"/>
    <w:rsid w:val="009224B1"/>
    <w:rsid w:val="009233EE"/>
    <w:rsid w:val="0092517A"/>
    <w:rsid w:val="00926E7B"/>
    <w:rsid w:val="00930B1A"/>
    <w:rsid w:val="00932612"/>
    <w:rsid w:val="009327DC"/>
    <w:rsid w:val="009338D9"/>
    <w:rsid w:val="009339BD"/>
    <w:rsid w:val="009356CF"/>
    <w:rsid w:val="00945E53"/>
    <w:rsid w:val="009460AA"/>
    <w:rsid w:val="00951978"/>
    <w:rsid w:val="00952C8B"/>
    <w:rsid w:val="0095714A"/>
    <w:rsid w:val="00961A4A"/>
    <w:rsid w:val="0096608B"/>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1AF4"/>
    <w:rsid w:val="009D22D6"/>
    <w:rsid w:val="009D2C84"/>
    <w:rsid w:val="009D3906"/>
    <w:rsid w:val="009D6B46"/>
    <w:rsid w:val="009E0878"/>
    <w:rsid w:val="009E31E8"/>
    <w:rsid w:val="009E35B6"/>
    <w:rsid w:val="009E5ABC"/>
    <w:rsid w:val="009F1CEA"/>
    <w:rsid w:val="009F3BBA"/>
    <w:rsid w:val="009F43B4"/>
    <w:rsid w:val="009F4940"/>
    <w:rsid w:val="009F5BA1"/>
    <w:rsid w:val="009F6555"/>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84A99"/>
    <w:rsid w:val="00A84F46"/>
    <w:rsid w:val="00A854E2"/>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6731"/>
    <w:rsid w:val="00AC7282"/>
    <w:rsid w:val="00AC7961"/>
    <w:rsid w:val="00AD314E"/>
    <w:rsid w:val="00AD57C9"/>
    <w:rsid w:val="00AD5FCD"/>
    <w:rsid w:val="00AD6B48"/>
    <w:rsid w:val="00AD7A3A"/>
    <w:rsid w:val="00AE1BF1"/>
    <w:rsid w:val="00AE23AB"/>
    <w:rsid w:val="00AE58FB"/>
    <w:rsid w:val="00AE5AF0"/>
    <w:rsid w:val="00AE5F4C"/>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3AA2"/>
    <w:rsid w:val="00B4438A"/>
    <w:rsid w:val="00B45AA2"/>
    <w:rsid w:val="00B479CA"/>
    <w:rsid w:val="00B5084F"/>
    <w:rsid w:val="00B514DD"/>
    <w:rsid w:val="00B52AF0"/>
    <w:rsid w:val="00B53718"/>
    <w:rsid w:val="00B53D5F"/>
    <w:rsid w:val="00B54051"/>
    <w:rsid w:val="00B561BD"/>
    <w:rsid w:val="00B56E03"/>
    <w:rsid w:val="00B62765"/>
    <w:rsid w:val="00B65DF5"/>
    <w:rsid w:val="00B7679F"/>
    <w:rsid w:val="00B77159"/>
    <w:rsid w:val="00B8080B"/>
    <w:rsid w:val="00B82223"/>
    <w:rsid w:val="00B85E91"/>
    <w:rsid w:val="00B87BA5"/>
    <w:rsid w:val="00B87C39"/>
    <w:rsid w:val="00B93891"/>
    <w:rsid w:val="00B94E57"/>
    <w:rsid w:val="00B9562D"/>
    <w:rsid w:val="00BA0959"/>
    <w:rsid w:val="00BA21DA"/>
    <w:rsid w:val="00BA2B60"/>
    <w:rsid w:val="00BA3C93"/>
    <w:rsid w:val="00BA4665"/>
    <w:rsid w:val="00BA7FD7"/>
    <w:rsid w:val="00BB1681"/>
    <w:rsid w:val="00BB2FB2"/>
    <w:rsid w:val="00BB3304"/>
    <w:rsid w:val="00BB6551"/>
    <w:rsid w:val="00BC07FF"/>
    <w:rsid w:val="00BC3D39"/>
    <w:rsid w:val="00BC4A10"/>
    <w:rsid w:val="00BD25D1"/>
    <w:rsid w:val="00BD30F4"/>
    <w:rsid w:val="00BD3446"/>
    <w:rsid w:val="00BD59CF"/>
    <w:rsid w:val="00BE1312"/>
    <w:rsid w:val="00BE1F1B"/>
    <w:rsid w:val="00BE3F89"/>
    <w:rsid w:val="00BE47B5"/>
    <w:rsid w:val="00BE5FCE"/>
    <w:rsid w:val="00C0079E"/>
    <w:rsid w:val="00C02376"/>
    <w:rsid w:val="00C0572A"/>
    <w:rsid w:val="00C13EBD"/>
    <w:rsid w:val="00C1631B"/>
    <w:rsid w:val="00C163AB"/>
    <w:rsid w:val="00C170F0"/>
    <w:rsid w:val="00C25962"/>
    <w:rsid w:val="00C25FA6"/>
    <w:rsid w:val="00C26129"/>
    <w:rsid w:val="00C277A3"/>
    <w:rsid w:val="00C3099D"/>
    <w:rsid w:val="00C33011"/>
    <w:rsid w:val="00C362C1"/>
    <w:rsid w:val="00C41950"/>
    <w:rsid w:val="00C42C3B"/>
    <w:rsid w:val="00C51672"/>
    <w:rsid w:val="00C5314D"/>
    <w:rsid w:val="00C538A9"/>
    <w:rsid w:val="00C53B5A"/>
    <w:rsid w:val="00C53E41"/>
    <w:rsid w:val="00C54909"/>
    <w:rsid w:val="00C54AF3"/>
    <w:rsid w:val="00C54DF3"/>
    <w:rsid w:val="00C54F5A"/>
    <w:rsid w:val="00C569B4"/>
    <w:rsid w:val="00C57DDE"/>
    <w:rsid w:val="00C61468"/>
    <w:rsid w:val="00C61A97"/>
    <w:rsid w:val="00C61E44"/>
    <w:rsid w:val="00C64FF3"/>
    <w:rsid w:val="00C662AD"/>
    <w:rsid w:val="00C67A92"/>
    <w:rsid w:val="00C71280"/>
    <w:rsid w:val="00C717BF"/>
    <w:rsid w:val="00C76178"/>
    <w:rsid w:val="00C814FF"/>
    <w:rsid w:val="00C84560"/>
    <w:rsid w:val="00C86679"/>
    <w:rsid w:val="00C8792F"/>
    <w:rsid w:val="00C90472"/>
    <w:rsid w:val="00C91AEE"/>
    <w:rsid w:val="00C91D6E"/>
    <w:rsid w:val="00C92FE0"/>
    <w:rsid w:val="00CA3A39"/>
    <w:rsid w:val="00CA489E"/>
    <w:rsid w:val="00CB0279"/>
    <w:rsid w:val="00CB666B"/>
    <w:rsid w:val="00CB734B"/>
    <w:rsid w:val="00CC1AA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23A8"/>
    <w:rsid w:val="00D4360D"/>
    <w:rsid w:val="00D5015C"/>
    <w:rsid w:val="00D5221B"/>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68F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26630"/>
    <w:rsid w:val="00E31CF6"/>
    <w:rsid w:val="00E34A4A"/>
    <w:rsid w:val="00E35AFC"/>
    <w:rsid w:val="00E41D39"/>
    <w:rsid w:val="00E50A02"/>
    <w:rsid w:val="00E54106"/>
    <w:rsid w:val="00E54697"/>
    <w:rsid w:val="00E54F24"/>
    <w:rsid w:val="00E57A08"/>
    <w:rsid w:val="00E61C28"/>
    <w:rsid w:val="00E63631"/>
    <w:rsid w:val="00E64C2A"/>
    <w:rsid w:val="00E65C85"/>
    <w:rsid w:val="00E66199"/>
    <w:rsid w:val="00E70526"/>
    <w:rsid w:val="00E754B4"/>
    <w:rsid w:val="00E755EC"/>
    <w:rsid w:val="00E7624D"/>
    <w:rsid w:val="00E77AC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2D42"/>
    <w:rsid w:val="00F13EF4"/>
    <w:rsid w:val="00F1485B"/>
    <w:rsid w:val="00F15882"/>
    <w:rsid w:val="00F170C7"/>
    <w:rsid w:val="00F171E0"/>
    <w:rsid w:val="00F20BD3"/>
    <w:rsid w:val="00F22A8C"/>
    <w:rsid w:val="00F25CEA"/>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1C1C"/>
    <w:rsid w:val="00F92FA6"/>
    <w:rsid w:val="00F9353B"/>
    <w:rsid w:val="00F937F1"/>
    <w:rsid w:val="00F9432A"/>
    <w:rsid w:val="00F952A0"/>
    <w:rsid w:val="00FA31B1"/>
    <w:rsid w:val="00FA3320"/>
    <w:rsid w:val="00FA3C7F"/>
    <w:rsid w:val="00FA6246"/>
    <w:rsid w:val="00FB24ED"/>
    <w:rsid w:val="00FB3304"/>
    <w:rsid w:val="00FB4150"/>
    <w:rsid w:val="00FB5005"/>
    <w:rsid w:val="00FB60FE"/>
    <w:rsid w:val="00FB74E2"/>
    <w:rsid w:val="00FB778B"/>
    <w:rsid w:val="00FC42E3"/>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6C0F0CB6</Template>
  <TotalTime>0</TotalTime>
  <Pages>11</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2017-07-02T22:34:00Z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