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A80F4B" w:rsidRDefault="00A80F4B" w:rsidP="00D5015C">
          <w:pPr>
            <w:pStyle w:val="ReportSubtitle"/>
          </w:pPr>
          <w:r w:rsidRPr="00A80F4B">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D33F8F">
            <w:t>2</w:t>
          </w:r>
          <w:r w:rsidR="000474DF">
            <w:t xml:space="preserve"> </w:t>
          </w:r>
          <w:r w:rsidR="00185BA5">
            <w:t>–</w:t>
          </w:r>
          <w:r w:rsidR="000474DF">
            <w:t xml:space="preserve"> </w:t>
          </w:r>
          <w:r w:rsidR="00D33F8F">
            <w:t>Non tariff components</w:t>
          </w:r>
        </w:p>
        <w:p w:rsidR="00D5015C" w:rsidRDefault="00D5015C" w:rsidP="00327A1E">
          <w:pPr>
            <w:pStyle w:val="ReportDate"/>
          </w:pPr>
        </w:p>
        <w:p w:rsidR="00D5015C" w:rsidRDefault="00D5015C" w:rsidP="00327A1E">
          <w:pPr>
            <w:pStyle w:val="ReportDate"/>
          </w:pPr>
        </w:p>
        <w:p w:rsidR="000A6C7B" w:rsidRPr="00327A1E" w:rsidRDefault="00FA7FD9" w:rsidP="00327A1E">
          <w:pPr>
            <w:pStyle w:val="ReportDate"/>
          </w:pPr>
          <w:r>
            <w:t>Ju</w:t>
          </w:r>
          <w:r w:rsidR="00641B75">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33F8F">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FA7FD9">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4882"/>
      <w:r>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4883"/>
      <w:r>
        <w:t>Contents</w:t>
      </w:r>
      <w:bookmarkEnd w:id="8"/>
      <w:bookmarkEnd w:id="9"/>
    </w:p>
    <w:p w:rsidR="00CE2A23" w:rsidRDefault="00CE2A23" w:rsidP="00CE2A23"/>
    <w:sdt>
      <w:sdtPr>
        <w:id w:val="1269200322"/>
        <w:docPartObj>
          <w:docPartGallery w:val="Table of Contents"/>
          <w:docPartUnique/>
        </w:docPartObj>
      </w:sdtPr>
      <w:sdtEndPr/>
      <w:sdtContent>
        <w:p w:rsidR="0002370B" w:rsidRDefault="00D33F8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4882" w:history="1">
            <w:r w:rsidR="0002370B" w:rsidRPr="00BF44F0">
              <w:rPr>
                <w:rStyle w:val="Hyperlink"/>
              </w:rPr>
              <w:t>Note</w:t>
            </w:r>
            <w:r w:rsidR="0002370B">
              <w:rPr>
                <w:webHidden/>
              </w:rPr>
              <w:tab/>
            </w:r>
            <w:r w:rsidR="0002370B">
              <w:rPr>
                <w:webHidden/>
              </w:rPr>
              <w:fldChar w:fldCharType="begin"/>
            </w:r>
            <w:r w:rsidR="0002370B">
              <w:rPr>
                <w:webHidden/>
              </w:rPr>
              <w:instrText xml:space="preserve"> PAGEREF _Toc486834882 \h </w:instrText>
            </w:r>
            <w:r w:rsidR="0002370B">
              <w:rPr>
                <w:webHidden/>
              </w:rPr>
            </w:r>
            <w:r w:rsidR="0002370B">
              <w:rPr>
                <w:webHidden/>
              </w:rPr>
              <w:fldChar w:fldCharType="separate"/>
            </w:r>
            <w:r w:rsidR="007B2BCC">
              <w:rPr>
                <w:webHidden/>
              </w:rPr>
              <w:t>12-2</w:t>
            </w:r>
            <w:r w:rsidR="0002370B">
              <w:rPr>
                <w:webHidden/>
              </w:rPr>
              <w:fldChar w:fldCharType="end"/>
            </w:r>
          </w:hyperlink>
        </w:p>
        <w:p w:rsidR="0002370B" w:rsidRDefault="0002370B">
          <w:pPr>
            <w:pStyle w:val="TOC1"/>
            <w:rPr>
              <w:rFonts w:asciiTheme="minorHAnsi" w:eastAsiaTheme="minorEastAsia" w:hAnsiTheme="minorHAnsi"/>
              <w:b w:val="0"/>
              <w:color w:val="auto"/>
              <w:sz w:val="22"/>
              <w:lang w:val="en-AU" w:eastAsia="en-AU"/>
            </w:rPr>
          </w:pPr>
          <w:hyperlink w:anchor="_Toc486834883" w:history="1">
            <w:r w:rsidRPr="00BF44F0">
              <w:rPr>
                <w:rStyle w:val="Hyperlink"/>
              </w:rPr>
              <w:t>Contents</w:t>
            </w:r>
            <w:r>
              <w:rPr>
                <w:webHidden/>
              </w:rPr>
              <w:tab/>
            </w:r>
            <w:r>
              <w:rPr>
                <w:webHidden/>
              </w:rPr>
              <w:fldChar w:fldCharType="begin"/>
            </w:r>
            <w:r>
              <w:rPr>
                <w:webHidden/>
              </w:rPr>
              <w:instrText xml:space="preserve"> PAGEREF _Toc486834883 \h </w:instrText>
            </w:r>
            <w:r>
              <w:rPr>
                <w:webHidden/>
              </w:rPr>
            </w:r>
            <w:r>
              <w:rPr>
                <w:webHidden/>
              </w:rPr>
              <w:fldChar w:fldCharType="separate"/>
            </w:r>
            <w:r w:rsidR="007B2BCC">
              <w:rPr>
                <w:webHidden/>
              </w:rPr>
              <w:t>12-3</w:t>
            </w:r>
            <w:r>
              <w:rPr>
                <w:webHidden/>
              </w:rPr>
              <w:fldChar w:fldCharType="end"/>
            </w:r>
          </w:hyperlink>
        </w:p>
        <w:p w:rsidR="0002370B" w:rsidRDefault="0002370B">
          <w:pPr>
            <w:pStyle w:val="TOC1"/>
            <w:rPr>
              <w:rFonts w:asciiTheme="minorHAnsi" w:eastAsiaTheme="minorEastAsia" w:hAnsiTheme="minorHAnsi"/>
              <w:b w:val="0"/>
              <w:color w:val="auto"/>
              <w:sz w:val="22"/>
              <w:lang w:val="en-AU" w:eastAsia="en-AU"/>
            </w:rPr>
          </w:pPr>
          <w:hyperlink w:anchor="_Toc486834884" w:history="1">
            <w:r w:rsidRPr="00BF44F0">
              <w:rPr>
                <w:rStyle w:val="Hyperlink"/>
              </w:rPr>
              <w:t>Shortened forms</w:t>
            </w:r>
            <w:r>
              <w:rPr>
                <w:webHidden/>
              </w:rPr>
              <w:tab/>
            </w:r>
            <w:r>
              <w:rPr>
                <w:webHidden/>
              </w:rPr>
              <w:fldChar w:fldCharType="begin"/>
            </w:r>
            <w:r>
              <w:rPr>
                <w:webHidden/>
              </w:rPr>
              <w:instrText xml:space="preserve"> PAGEREF _Toc486834884 \h </w:instrText>
            </w:r>
            <w:r>
              <w:rPr>
                <w:webHidden/>
              </w:rPr>
            </w:r>
            <w:r>
              <w:rPr>
                <w:webHidden/>
              </w:rPr>
              <w:fldChar w:fldCharType="separate"/>
            </w:r>
            <w:r w:rsidR="007B2BCC">
              <w:rPr>
                <w:webHidden/>
              </w:rPr>
              <w:t>12-4</w:t>
            </w:r>
            <w:r>
              <w:rPr>
                <w:webHidden/>
              </w:rPr>
              <w:fldChar w:fldCharType="end"/>
            </w:r>
          </w:hyperlink>
        </w:p>
        <w:p w:rsidR="0002370B" w:rsidRDefault="0002370B">
          <w:pPr>
            <w:pStyle w:val="TOC1"/>
            <w:rPr>
              <w:rFonts w:asciiTheme="minorHAnsi" w:eastAsiaTheme="minorEastAsia" w:hAnsiTheme="minorHAnsi"/>
              <w:b w:val="0"/>
              <w:color w:val="auto"/>
              <w:sz w:val="22"/>
              <w:lang w:val="en-AU" w:eastAsia="en-AU"/>
            </w:rPr>
          </w:pPr>
          <w:hyperlink w:anchor="_Toc486834885" w:history="1">
            <w:r w:rsidRPr="00BF44F0">
              <w:rPr>
                <w:rStyle w:val="Hyperlink"/>
              </w:rPr>
              <w:t>12</w:t>
            </w:r>
            <w:r>
              <w:rPr>
                <w:rFonts w:asciiTheme="minorHAnsi" w:eastAsiaTheme="minorEastAsia" w:hAnsiTheme="minorHAnsi"/>
                <w:b w:val="0"/>
                <w:color w:val="auto"/>
                <w:sz w:val="22"/>
                <w:lang w:val="en-AU" w:eastAsia="en-AU"/>
              </w:rPr>
              <w:tab/>
            </w:r>
            <w:r w:rsidRPr="00BF44F0">
              <w:rPr>
                <w:rStyle w:val="Hyperlink"/>
              </w:rPr>
              <w:t>Non-tariff components</w:t>
            </w:r>
            <w:r>
              <w:rPr>
                <w:webHidden/>
              </w:rPr>
              <w:tab/>
            </w:r>
            <w:r>
              <w:rPr>
                <w:webHidden/>
              </w:rPr>
              <w:fldChar w:fldCharType="begin"/>
            </w:r>
            <w:r>
              <w:rPr>
                <w:webHidden/>
              </w:rPr>
              <w:instrText xml:space="preserve"> PAGEREF _Toc486834885 \h </w:instrText>
            </w:r>
            <w:r>
              <w:rPr>
                <w:webHidden/>
              </w:rPr>
            </w:r>
            <w:r>
              <w:rPr>
                <w:webHidden/>
              </w:rPr>
              <w:fldChar w:fldCharType="separate"/>
            </w:r>
            <w:r w:rsidR="007B2BCC">
              <w:rPr>
                <w:webHidden/>
              </w:rPr>
              <w:t>12-5</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86" w:history="1">
            <w:r w:rsidRPr="00BF44F0">
              <w:rPr>
                <w:rStyle w:val="Hyperlink"/>
              </w:rPr>
              <w:t>12.1</w:t>
            </w:r>
            <w:r>
              <w:rPr>
                <w:rFonts w:asciiTheme="minorHAnsi" w:eastAsiaTheme="minorEastAsia" w:hAnsiTheme="minorHAnsi"/>
                <w:b w:val="0"/>
                <w:color w:val="auto"/>
                <w:sz w:val="22"/>
                <w:lang w:eastAsia="en-AU"/>
              </w:rPr>
              <w:tab/>
            </w:r>
            <w:r w:rsidRPr="00BF44F0">
              <w:rPr>
                <w:rStyle w:val="Hyperlink"/>
              </w:rPr>
              <w:t>Draft decision</w:t>
            </w:r>
            <w:r>
              <w:rPr>
                <w:webHidden/>
              </w:rPr>
              <w:tab/>
            </w:r>
            <w:r>
              <w:rPr>
                <w:webHidden/>
              </w:rPr>
              <w:fldChar w:fldCharType="begin"/>
            </w:r>
            <w:r>
              <w:rPr>
                <w:webHidden/>
              </w:rPr>
              <w:instrText xml:space="preserve"> PAGEREF _Toc486834886 \h </w:instrText>
            </w:r>
            <w:r>
              <w:rPr>
                <w:webHidden/>
              </w:rPr>
            </w:r>
            <w:r>
              <w:rPr>
                <w:webHidden/>
              </w:rPr>
              <w:fldChar w:fldCharType="separate"/>
            </w:r>
            <w:r w:rsidR="007B2BCC">
              <w:rPr>
                <w:webHidden/>
              </w:rPr>
              <w:t>12-5</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87" w:history="1">
            <w:r w:rsidRPr="00BF44F0">
              <w:rPr>
                <w:rStyle w:val="Hyperlink"/>
              </w:rPr>
              <w:t>12.2</w:t>
            </w:r>
            <w:r>
              <w:rPr>
                <w:rFonts w:asciiTheme="minorHAnsi" w:eastAsiaTheme="minorEastAsia" w:hAnsiTheme="minorHAnsi"/>
                <w:b w:val="0"/>
                <w:color w:val="auto"/>
                <w:sz w:val="22"/>
                <w:lang w:eastAsia="en-AU"/>
              </w:rPr>
              <w:tab/>
            </w:r>
            <w:r w:rsidRPr="00BF44F0">
              <w:rPr>
                <w:rStyle w:val="Hyperlink"/>
              </w:rPr>
              <w:t>Terms and conditions</w:t>
            </w:r>
            <w:r>
              <w:rPr>
                <w:webHidden/>
              </w:rPr>
              <w:tab/>
            </w:r>
            <w:r>
              <w:rPr>
                <w:webHidden/>
              </w:rPr>
              <w:fldChar w:fldCharType="begin"/>
            </w:r>
            <w:r>
              <w:rPr>
                <w:webHidden/>
              </w:rPr>
              <w:instrText xml:space="preserve"> PAGEREF _Toc486834887 \h </w:instrText>
            </w:r>
            <w:r>
              <w:rPr>
                <w:webHidden/>
              </w:rPr>
            </w:r>
            <w:r>
              <w:rPr>
                <w:webHidden/>
              </w:rPr>
              <w:fldChar w:fldCharType="separate"/>
            </w:r>
            <w:r w:rsidR="007B2BCC">
              <w:rPr>
                <w:webHidden/>
              </w:rPr>
              <w:t>12-5</w:t>
            </w:r>
            <w:r>
              <w:rPr>
                <w:webHidden/>
              </w:rPr>
              <w:fldChar w:fldCharType="end"/>
            </w:r>
          </w:hyperlink>
        </w:p>
        <w:p w:rsidR="0002370B" w:rsidRDefault="0002370B">
          <w:pPr>
            <w:pStyle w:val="TOC3"/>
            <w:rPr>
              <w:rFonts w:asciiTheme="minorHAnsi" w:eastAsiaTheme="minorEastAsia" w:hAnsiTheme="minorHAnsi"/>
              <w:lang w:eastAsia="en-AU"/>
            </w:rPr>
          </w:pPr>
          <w:hyperlink w:anchor="_Toc486834888" w:history="1">
            <w:r w:rsidRPr="00BF44F0">
              <w:rPr>
                <w:rStyle w:val="Hyperlink"/>
              </w:rPr>
              <w:t>12.2.1</w:t>
            </w:r>
            <w:r>
              <w:rPr>
                <w:rFonts w:asciiTheme="minorHAnsi" w:eastAsiaTheme="minorEastAsia" w:hAnsiTheme="minorHAnsi"/>
                <w:lang w:eastAsia="en-AU"/>
              </w:rPr>
              <w:tab/>
            </w:r>
            <w:r w:rsidRPr="00BF44F0">
              <w:rPr>
                <w:rStyle w:val="Hyperlink"/>
              </w:rPr>
              <w:t>Duty to negotiate</w:t>
            </w:r>
            <w:r>
              <w:rPr>
                <w:webHidden/>
              </w:rPr>
              <w:tab/>
            </w:r>
            <w:r>
              <w:rPr>
                <w:webHidden/>
              </w:rPr>
              <w:fldChar w:fldCharType="begin"/>
            </w:r>
            <w:r>
              <w:rPr>
                <w:webHidden/>
              </w:rPr>
              <w:instrText xml:space="preserve"> PAGEREF _Toc486834888 \h </w:instrText>
            </w:r>
            <w:r>
              <w:rPr>
                <w:webHidden/>
              </w:rPr>
            </w:r>
            <w:r>
              <w:rPr>
                <w:webHidden/>
              </w:rPr>
              <w:fldChar w:fldCharType="separate"/>
            </w:r>
            <w:r w:rsidR="007B2BCC">
              <w:rPr>
                <w:webHidden/>
              </w:rPr>
              <w:t>12-6</w:t>
            </w:r>
            <w:r>
              <w:rPr>
                <w:webHidden/>
              </w:rPr>
              <w:fldChar w:fldCharType="end"/>
            </w:r>
          </w:hyperlink>
        </w:p>
        <w:p w:rsidR="0002370B" w:rsidRDefault="0002370B">
          <w:pPr>
            <w:pStyle w:val="TOC3"/>
            <w:rPr>
              <w:rFonts w:asciiTheme="minorHAnsi" w:eastAsiaTheme="minorEastAsia" w:hAnsiTheme="minorHAnsi"/>
              <w:lang w:eastAsia="en-AU"/>
            </w:rPr>
          </w:pPr>
          <w:hyperlink w:anchor="_Toc486834889" w:history="1">
            <w:r w:rsidRPr="00BF44F0">
              <w:rPr>
                <w:rStyle w:val="Hyperlink"/>
              </w:rPr>
              <w:t>12.2.2</w:t>
            </w:r>
            <w:r>
              <w:rPr>
                <w:rFonts w:asciiTheme="minorHAnsi" w:eastAsiaTheme="minorEastAsia" w:hAnsiTheme="minorHAnsi"/>
                <w:lang w:eastAsia="en-AU"/>
              </w:rPr>
              <w:tab/>
            </w:r>
            <w:r w:rsidRPr="00BF44F0">
              <w:rPr>
                <w:rStyle w:val="Hyperlink"/>
              </w:rPr>
              <w:t>Charges for disconnected sites</w:t>
            </w:r>
            <w:r>
              <w:rPr>
                <w:webHidden/>
              </w:rPr>
              <w:tab/>
            </w:r>
            <w:r>
              <w:rPr>
                <w:webHidden/>
              </w:rPr>
              <w:fldChar w:fldCharType="begin"/>
            </w:r>
            <w:r>
              <w:rPr>
                <w:webHidden/>
              </w:rPr>
              <w:instrText xml:space="preserve"> PAGEREF _Toc486834889 \h </w:instrText>
            </w:r>
            <w:r>
              <w:rPr>
                <w:webHidden/>
              </w:rPr>
            </w:r>
            <w:r>
              <w:rPr>
                <w:webHidden/>
              </w:rPr>
              <w:fldChar w:fldCharType="separate"/>
            </w:r>
            <w:r w:rsidR="007B2BCC">
              <w:rPr>
                <w:webHidden/>
              </w:rPr>
              <w:t>12-7</w:t>
            </w:r>
            <w:r>
              <w:rPr>
                <w:webHidden/>
              </w:rPr>
              <w:fldChar w:fldCharType="end"/>
            </w:r>
          </w:hyperlink>
        </w:p>
        <w:p w:rsidR="0002370B" w:rsidRDefault="0002370B">
          <w:pPr>
            <w:pStyle w:val="TOC3"/>
            <w:rPr>
              <w:rFonts w:asciiTheme="minorHAnsi" w:eastAsiaTheme="minorEastAsia" w:hAnsiTheme="minorHAnsi"/>
              <w:lang w:eastAsia="en-AU"/>
            </w:rPr>
          </w:pPr>
          <w:hyperlink w:anchor="_Toc486834890" w:history="1">
            <w:r w:rsidRPr="00BF44F0">
              <w:rPr>
                <w:rStyle w:val="Hyperlink"/>
              </w:rPr>
              <w:t>12.2.3</w:t>
            </w:r>
            <w:r>
              <w:rPr>
                <w:rFonts w:asciiTheme="minorHAnsi" w:eastAsiaTheme="minorEastAsia" w:hAnsiTheme="minorHAnsi"/>
                <w:lang w:eastAsia="en-AU"/>
              </w:rPr>
              <w:tab/>
            </w:r>
            <w:r w:rsidRPr="00BF44F0">
              <w:rPr>
                <w:rStyle w:val="Hyperlink"/>
              </w:rPr>
              <w:t>Assistance to distributor</w:t>
            </w:r>
            <w:r>
              <w:rPr>
                <w:webHidden/>
              </w:rPr>
              <w:tab/>
            </w:r>
            <w:r>
              <w:rPr>
                <w:webHidden/>
              </w:rPr>
              <w:fldChar w:fldCharType="begin"/>
            </w:r>
            <w:r>
              <w:rPr>
                <w:webHidden/>
              </w:rPr>
              <w:instrText xml:space="preserve"> PAGEREF _Toc486834890 \h </w:instrText>
            </w:r>
            <w:r>
              <w:rPr>
                <w:webHidden/>
              </w:rPr>
            </w:r>
            <w:r>
              <w:rPr>
                <w:webHidden/>
              </w:rPr>
              <w:fldChar w:fldCharType="separate"/>
            </w:r>
            <w:r w:rsidR="007B2BCC">
              <w:rPr>
                <w:webHidden/>
              </w:rPr>
              <w:t>12-7</w:t>
            </w:r>
            <w:r>
              <w:rPr>
                <w:webHidden/>
              </w:rPr>
              <w:fldChar w:fldCharType="end"/>
            </w:r>
          </w:hyperlink>
        </w:p>
        <w:p w:rsidR="0002370B" w:rsidRDefault="0002370B">
          <w:pPr>
            <w:pStyle w:val="TOC3"/>
            <w:rPr>
              <w:rFonts w:asciiTheme="minorHAnsi" w:eastAsiaTheme="minorEastAsia" w:hAnsiTheme="minorHAnsi"/>
              <w:lang w:eastAsia="en-AU"/>
            </w:rPr>
          </w:pPr>
          <w:hyperlink w:anchor="_Toc486834891" w:history="1">
            <w:r w:rsidRPr="00BF44F0">
              <w:rPr>
                <w:rStyle w:val="Hyperlink"/>
              </w:rPr>
              <w:t>12.2.4</w:t>
            </w:r>
            <w:r>
              <w:rPr>
                <w:rFonts w:asciiTheme="minorHAnsi" w:eastAsiaTheme="minorEastAsia" w:hAnsiTheme="minorHAnsi"/>
                <w:lang w:eastAsia="en-AU"/>
              </w:rPr>
              <w:tab/>
            </w:r>
            <w:r w:rsidRPr="00BF44F0">
              <w:rPr>
                <w:rStyle w:val="Hyperlink"/>
              </w:rPr>
              <w:t>Time limits</w:t>
            </w:r>
            <w:r>
              <w:rPr>
                <w:webHidden/>
              </w:rPr>
              <w:tab/>
            </w:r>
            <w:r>
              <w:rPr>
                <w:webHidden/>
              </w:rPr>
              <w:fldChar w:fldCharType="begin"/>
            </w:r>
            <w:r>
              <w:rPr>
                <w:webHidden/>
              </w:rPr>
              <w:instrText xml:space="preserve"> PAGEREF _Toc486834891 \h </w:instrText>
            </w:r>
            <w:r>
              <w:rPr>
                <w:webHidden/>
              </w:rPr>
            </w:r>
            <w:r>
              <w:rPr>
                <w:webHidden/>
              </w:rPr>
              <w:fldChar w:fldCharType="separate"/>
            </w:r>
            <w:r w:rsidR="007B2BCC">
              <w:rPr>
                <w:webHidden/>
              </w:rPr>
              <w:t>12-8</w:t>
            </w:r>
            <w:r>
              <w:rPr>
                <w:webHidden/>
              </w:rPr>
              <w:fldChar w:fldCharType="end"/>
            </w:r>
          </w:hyperlink>
        </w:p>
        <w:p w:rsidR="0002370B" w:rsidRDefault="0002370B">
          <w:pPr>
            <w:pStyle w:val="TOC3"/>
            <w:rPr>
              <w:rFonts w:asciiTheme="minorHAnsi" w:eastAsiaTheme="minorEastAsia" w:hAnsiTheme="minorHAnsi"/>
              <w:lang w:eastAsia="en-AU"/>
            </w:rPr>
          </w:pPr>
          <w:hyperlink w:anchor="_Toc486834892" w:history="1">
            <w:r w:rsidRPr="00BF44F0">
              <w:rPr>
                <w:rStyle w:val="Hyperlink"/>
              </w:rPr>
              <w:t>12.2.5</w:t>
            </w:r>
            <w:r>
              <w:rPr>
                <w:rFonts w:asciiTheme="minorHAnsi" w:eastAsiaTheme="minorEastAsia" w:hAnsiTheme="minorHAnsi"/>
                <w:lang w:eastAsia="en-AU"/>
              </w:rPr>
              <w:tab/>
            </w:r>
            <w:r w:rsidRPr="00BF44F0">
              <w:rPr>
                <w:rStyle w:val="Hyperlink"/>
              </w:rPr>
              <w:t>Delivered quantities</w:t>
            </w:r>
            <w:r>
              <w:rPr>
                <w:webHidden/>
              </w:rPr>
              <w:tab/>
            </w:r>
            <w:r>
              <w:rPr>
                <w:webHidden/>
              </w:rPr>
              <w:fldChar w:fldCharType="begin"/>
            </w:r>
            <w:r>
              <w:rPr>
                <w:webHidden/>
              </w:rPr>
              <w:instrText xml:space="preserve"> PAGEREF _Toc486834892 \h </w:instrText>
            </w:r>
            <w:r>
              <w:rPr>
                <w:webHidden/>
              </w:rPr>
            </w:r>
            <w:r>
              <w:rPr>
                <w:webHidden/>
              </w:rPr>
              <w:fldChar w:fldCharType="separate"/>
            </w:r>
            <w:r w:rsidR="007B2BCC">
              <w:rPr>
                <w:webHidden/>
              </w:rPr>
              <w:t>12-9</w:t>
            </w:r>
            <w:r>
              <w:rPr>
                <w:webHidden/>
              </w:rPr>
              <w:fldChar w:fldCharType="end"/>
            </w:r>
          </w:hyperlink>
        </w:p>
        <w:p w:rsidR="0002370B" w:rsidRDefault="0002370B">
          <w:pPr>
            <w:pStyle w:val="TOC3"/>
            <w:rPr>
              <w:rFonts w:asciiTheme="minorHAnsi" w:eastAsiaTheme="minorEastAsia" w:hAnsiTheme="minorHAnsi"/>
              <w:lang w:eastAsia="en-AU"/>
            </w:rPr>
          </w:pPr>
          <w:hyperlink w:anchor="_Toc486834893" w:history="1">
            <w:r w:rsidRPr="00BF44F0">
              <w:rPr>
                <w:rStyle w:val="Hyperlink"/>
              </w:rPr>
              <w:t>12.2.6</w:t>
            </w:r>
            <w:r>
              <w:rPr>
                <w:rFonts w:asciiTheme="minorHAnsi" w:eastAsiaTheme="minorEastAsia" w:hAnsiTheme="minorHAnsi"/>
                <w:lang w:eastAsia="en-AU"/>
              </w:rPr>
              <w:tab/>
            </w:r>
            <w:r w:rsidRPr="00BF44F0">
              <w:rPr>
                <w:rStyle w:val="Hyperlink"/>
              </w:rPr>
              <w:t>Access to premises</w:t>
            </w:r>
            <w:r>
              <w:rPr>
                <w:webHidden/>
              </w:rPr>
              <w:tab/>
            </w:r>
            <w:r>
              <w:rPr>
                <w:webHidden/>
              </w:rPr>
              <w:fldChar w:fldCharType="begin"/>
            </w:r>
            <w:r>
              <w:rPr>
                <w:webHidden/>
              </w:rPr>
              <w:instrText xml:space="preserve"> PAGEREF _Toc486834893 \h </w:instrText>
            </w:r>
            <w:r>
              <w:rPr>
                <w:webHidden/>
              </w:rPr>
            </w:r>
            <w:r>
              <w:rPr>
                <w:webHidden/>
              </w:rPr>
              <w:fldChar w:fldCharType="separate"/>
            </w:r>
            <w:r w:rsidR="007B2BCC">
              <w:rPr>
                <w:webHidden/>
              </w:rPr>
              <w:t>12-10</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94" w:history="1">
            <w:r w:rsidRPr="00BF44F0">
              <w:rPr>
                <w:rStyle w:val="Hyperlink"/>
              </w:rPr>
              <w:t>12.3</w:t>
            </w:r>
            <w:r>
              <w:rPr>
                <w:rFonts w:asciiTheme="minorHAnsi" w:eastAsiaTheme="minorEastAsia" w:hAnsiTheme="minorHAnsi"/>
                <w:b w:val="0"/>
                <w:color w:val="auto"/>
                <w:sz w:val="22"/>
                <w:lang w:eastAsia="en-AU"/>
              </w:rPr>
              <w:tab/>
            </w:r>
            <w:r w:rsidRPr="00BF44F0">
              <w:rPr>
                <w:rStyle w:val="Hyperlink"/>
              </w:rPr>
              <w:t>Extensions and expansions</w:t>
            </w:r>
            <w:r>
              <w:rPr>
                <w:webHidden/>
              </w:rPr>
              <w:tab/>
            </w:r>
            <w:r>
              <w:rPr>
                <w:webHidden/>
              </w:rPr>
              <w:fldChar w:fldCharType="begin"/>
            </w:r>
            <w:r>
              <w:rPr>
                <w:webHidden/>
              </w:rPr>
              <w:instrText xml:space="preserve"> PAGEREF _Toc486834894 \h </w:instrText>
            </w:r>
            <w:r>
              <w:rPr>
                <w:webHidden/>
              </w:rPr>
            </w:r>
            <w:r>
              <w:rPr>
                <w:webHidden/>
              </w:rPr>
              <w:fldChar w:fldCharType="separate"/>
            </w:r>
            <w:r w:rsidR="007B2BCC">
              <w:rPr>
                <w:webHidden/>
              </w:rPr>
              <w:t>12-11</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95" w:history="1">
            <w:r w:rsidRPr="00BF44F0">
              <w:rPr>
                <w:rStyle w:val="Hyperlink"/>
              </w:rPr>
              <w:t>12.4</w:t>
            </w:r>
            <w:r>
              <w:rPr>
                <w:rFonts w:asciiTheme="minorHAnsi" w:eastAsiaTheme="minorEastAsia" w:hAnsiTheme="minorHAnsi"/>
                <w:b w:val="0"/>
                <w:color w:val="auto"/>
                <w:sz w:val="22"/>
                <w:lang w:eastAsia="en-AU"/>
              </w:rPr>
              <w:tab/>
            </w:r>
            <w:r w:rsidRPr="00BF44F0">
              <w:rPr>
                <w:rStyle w:val="Hyperlink"/>
              </w:rPr>
              <w:t>Capacity trading and receipt/delivery points</w:t>
            </w:r>
            <w:r>
              <w:rPr>
                <w:webHidden/>
              </w:rPr>
              <w:tab/>
            </w:r>
            <w:r>
              <w:rPr>
                <w:webHidden/>
              </w:rPr>
              <w:fldChar w:fldCharType="begin"/>
            </w:r>
            <w:r>
              <w:rPr>
                <w:webHidden/>
              </w:rPr>
              <w:instrText xml:space="preserve"> PAGEREF _Toc486834895 \h </w:instrText>
            </w:r>
            <w:r>
              <w:rPr>
                <w:webHidden/>
              </w:rPr>
            </w:r>
            <w:r>
              <w:rPr>
                <w:webHidden/>
              </w:rPr>
              <w:fldChar w:fldCharType="separate"/>
            </w:r>
            <w:r w:rsidR="007B2BCC">
              <w:rPr>
                <w:webHidden/>
              </w:rPr>
              <w:t>12-12</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96" w:history="1">
            <w:r w:rsidRPr="00BF44F0">
              <w:rPr>
                <w:rStyle w:val="Hyperlink"/>
              </w:rPr>
              <w:t>12.5</w:t>
            </w:r>
            <w:r>
              <w:rPr>
                <w:rFonts w:asciiTheme="minorHAnsi" w:eastAsiaTheme="minorEastAsia" w:hAnsiTheme="minorHAnsi"/>
                <w:b w:val="0"/>
                <w:color w:val="auto"/>
                <w:sz w:val="22"/>
                <w:lang w:eastAsia="en-AU"/>
              </w:rPr>
              <w:tab/>
            </w:r>
            <w:r w:rsidRPr="00BF44F0">
              <w:rPr>
                <w:rStyle w:val="Hyperlink"/>
              </w:rPr>
              <w:t>Revision submission and commencement</w:t>
            </w:r>
            <w:r>
              <w:rPr>
                <w:webHidden/>
              </w:rPr>
              <w:tab/>
            </w:r>
            <w:r>
              <w:rPr>
                <w:webHidden/>
              </w:rPr>
              <w:fldChar w:fldCharType="begin"/>
            </w:r>
            <w:r>
              <w:rPr>
                <w:webHidden/>
              </w:rPr>
              <w:instrText xml:space="preserve"> PAGEREF _Toc486834896 \h </w:instrText>
            </w:r>
            <w:r>
              <w:rPr>
                <w:webHidden/>
              </w:rPr>
            </w:r>
            <w:r>
              <w:rPr>
                <w:webHidden/>
              </w:rPr>
              <w:fldChar w:fldCharType="separate"/>
            </w:r>
            <w:r w:rsidR="007B2BCC">
              <w:rPr>
                <w:webHidden/>
              </w:rPr>
              <w:t>12-13</w:t>
            </w:r>
            <w:r>
              <w:rPr>
                <w:webHidden/>
              </w:rPr>
              <w:fldChar w:fldCharType="end"/>
            </w:r>
          </w:hyperlink>
        </w:p>
        <w:p w:rsidR="0002370B" w:rsidRDefault="0002370B">
          <w:pPr>
            <w:pStyle w:val="TOC2"/>
            <w:tabs>
              <w:tab w:val="left" w:pos="1276"/>
            </w:tabs>
            <w:rPr>
              <w:rFonts w:asciiTheme="minorHAnsi" w:eastAsiaTheme="minorEastAsia" w:hAnsiTheme="minorHAnsi"/>
              <w:b w:val="0"/>
              <w:color w:val="auto"/>
              <w:sz w:val="22"/>
              <w:lang w:eastAsia="en-AU"/>
            </w:rPr>
          </w:pPr>
          <w:hyperlink w:anchor="_Toc486834897" w:history="1">
            <w:r w:rsidRPr="00BF44F0">
              <w:rPr>
                <w:rStyle w:val="Hyperlink"/>
              </w:rPr>
              <w:t>12.6</w:t>
            </w:r>
            <w:r>
              <w:rPr>
                <w:rFonts w:asciiTheme="minorHAnsi" w:eastAsiaTheme="minorEastAsia" w:hAnsiTheme="minorHAnsi"/>
                <w:b w:val="0"/>
                <w:color w:val="auto"/>
                <w:sz w:val="22"/>
                <w:lang w:eastAsia="en-AU"/>
              </w:rPr>
              <w:tab/>
            </w:r>
            <w:r w:rsidRPr="00BF44F0">
              <w:rPr>
                <w:rStyle w:val="Hyperlink"/>
              </w:rPr>
              <w:t>Revisions</w:t>
            </w:r>
            <w:r>
              <w:rPr>
                <w:webHidden/>
              </w:rPr>
              <w:tab/>
            </w:r>
            <w:r>
              <w:rPr>
                <w:webHidden/>
              </w:rPr>
              <w:fldChar w:fldCharType="begin"/>
            </w:r>
            <w:r>
              <w:rPr>
                <w:webHidden/>
              </w:rPr>
              <w:instrText xml:space="preserve"> PAGEREF _Toc486834897 \h </w:instrText>
            </w:r>
            <w:r>
              <w:rPr>
                <w:webHidden/>
              </w:rPr>
            </w:r>
            <w:r>
              <w:rPr>
                <w:webHidden/>
              </w:rPr>
              <w:fldChar w:fldCharType="separate"/>
            </w:r>
            <w:r w:rsidR="007B2BCC">
              <w:rPr>
                <w:webHidden/>
              </w:rPr>
              <w:t>12-14</w:t>
            </w:r>
            <w:r>
              <w:rPr>
                <w:webHidden/>
              </w:rPr>
              <w:fldChar w:fldCharType="end"/>
            </w:r>
          </w:hyperlink>
        </w:p>
        <w:p w:rsidR="00CE2A23" w:rsidRDefault="00D33F8F" w:rsidP="00D33F8F">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4884"/>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FA7FD9" w:rsidTr="00693C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Shortened form</w:t>
            </w:r>
          </w:p>
        </w:tc>
        <w:tc>
          <w:tcPr>
            <w:tcW w:w="5041" w:type="dxa"/>
          </w:tcPr>
          <w:p w:rsidR="00FA7FD9" w:rsidRDefault="00FA7FD9" w:rsidP="00693CDB">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AER</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ATO</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Australian Tax Office</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capex</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CAPM</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CESS</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CPI</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DRP</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ECM</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ERP</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Expenditure Guideline</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gamma</w:t>
            </w:r>
          </w:p>
        </w:tc>
        <w:tc>
          <w:tcPr>
            <w:tcW w:w="5041" w:type="dxa"/>
          </w:tcPr>
          <w:p w:rsidR="00FA7FD9" w:rsidRPr="00650EFA" w:rsidRDefault="00FA7FD9" w:rsidP="00693CDB">
            <w:pPr>
              <w:cnfStyle w:val="000000000000" w:firstRow="0" w:lastRow="0" w:firstColumn="0" w:lastColumn="0" w:oddVBand="0" w:evenVBand="0" w:oddHBand="0" w:evenHBand="0" w:firstRowFirstColumn="0" w:firstRowLastColumn="0" w:lastRowFirstColumn="0" w:lastRowLastColumn="0"/>
            </w:pPr>
            <w:r>
              <w:t>Value of Imputation Credits</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MRP</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NGL</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NGO</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NGR</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NPV</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net present value</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opex</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PTRM</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RBA</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RFM</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RIN</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RPP</w:t>
            </w:r>
          </w:p>
        </w:tc>
        <w:tc>
          <w:tcPr>
            <w:tcW w:w="5041" w:type="dxa"/>
          </w:tcPr>
          <w:p w:rsidR="00FA7FD9" w:rsidRDefault="00FA7FD9" w:rsidP="00693CDB">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SLCAPM</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STTM</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Short Term Trading Market</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TAB</w:t>
            </w:r>
          </w:p>
        </w:tc>
        <w:tc>
          <w:tcPr>
            <w:tcW w:w="5041" w:type="dxa"/>
          </w:tcPr>
          <w:p w:rsidR="00FA7FD9" w:rsidRPr="00650EFA" w:rsidRDefault="00FA7FD9" w:rsidP="00693CDB">
            <w:pPr>
              <w:cnfStyle w:val="000000000000" w:firstRow="0" w:lastRow="0" w:firstColumn="0" w:lastColumn="0" w:oddVBand="0" w:evenVBand="0" w:oddHBand="0" w:evenHBand="0" w:firstRowFirstColumn="0" w:firstRowLastColumn="0" w:lastRowFirstColumn="0" w:lastRowLastColumn="0"/>
            </w:pPr>
            <w:r>
              <w:t>Tax asset base</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UAFG</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Unaccounted for gas</w:t>
            </w:r>
          </w:p>
        </w:tc>
      </w:tr>
      <w:tr w:rsidR="00FA7FD9" w:rsidTr="00693CDB">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WACC</w:t>
            </w:r>
          </w:p>
        </w:tc>
        <w:tc>
          <w:tcPr>
            <w:tcW w:w="5041" w:type="dxa"/>
          </w:tcPr>
          <w:p w:rsidR="00FA7FD9" w:rsidRDefault="00FA7FD9" w:rsidP="00693CDB">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FA7FD9" w:rsidTr="00693C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A7FD9" w:rsidRDefault="00FA7FD9" w:rsidP="00693CDB">
            <w:pPr>
              <w:numPr>
                <w:ilvl w:val="0"/>
                <w:numId w:val="24"/>
              </w:numPr>
            </w:pPr>
            <w:r>
              <w:t>WPI</w:t>
            </w:r>
          </w:p>
        </w:tc>
        <w:tc>
          <w:tcPr>
            <w:tcW w:w="5041" w:type="dxa"/>
          </w:tcPr>
          <w:p w:rsidR="00FA7FD9" w:rsidRPr="00650EFA" w:rsidRDefault="00FA7FD9" w:rsidP="00693CDB">
            <w:pPr>
              <w:cnfStyle w:val="000000010000" w:firstRow="0" w:lastRow="0" w:firstColumn="0" w:lastColumn="0" w:oddVBand="0" w:evenVBand="0" w:oddHBand="0" w:evenHBand="1" w:firstRowFirstColumn="0" w:firstRowLastColumn="0" w:lastRowFirstColumn="0" w:lastRowLastColumn="0"/>
            </w:pPr>
            <w:r>
              <w:t>Wage Price Index</w:t>
            </w:r>
          </w:p>
        </w:tc>
      </w:tr>
    </w:tbl>
    <w:p w:rsidR="00FA7FD9" w:rsidRPr="00FA7FD9" w:rsidRDefault="00FA7FD9" w:rsidP="00FA7FD9"/>
    <w:p w:rsidR="00DE563D" w:rsidRDefault="004866C5" w:rsidP="00D33F8F">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6834885"/>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Non-</w:t>
      </w:r>
      <w:r w:rsidR="00D33F8F">
        <w:t>tariff components</w:t>
      </w:r>
      <w:bookmarkEnd w:id="70"/>
    </w:p>
    <w:p w:rsidR="00CA597E" w:rsidRDefault="00CA597E" w:rsidP="00CA597E">
      <w:r>
        <w:t xml:space="preserve">This attachment contains our </w:t>
      </w:r>
      <w:r w:rsidR="00E53E95">
        <w:t xml:space="preserve">draft </w:t>
      </w:r>
      <w:r w:rsidR="00B0706E">
        <w:t>decision</w:t>
      </w:r>
      <w:r w:rsidR="00FB6920">
        <w:t xml:space="preserve"> and reasons on the non</w:t>
      </w:r>
      <w:r w:rsidR="004866C5">
        <w:t>-</w:t>
      </w:r>
      <w:r>
        <w:t>tariff components of AGN's access arrangement proposal.</w:t>
      </w:r>
    </w:p>
    <w:p w:rsidR="00CA597E" w:rsidRDefault="004866C5" w:rsidP="00CA597E">
      <w:r>
        <w:t>The non-</w:t>
      </w:r>
      <w:r w:rsidR="00CA597E">
        <w:t>tariff components are as follows:</w:t>
      </w:r>
    </w:p>
    <w:p w:rsidR="00CA597E" w:rsidRPr="00CA597E" w:rsidRDefault="00CA597E" w:rsidP="00CA597E">
      <w:pPr>
        <w:pStyle w:val="AERbulletlistfirststyle"/>
      </w:pPr>
      <w:r>
        <w:t xml:space="preserve">the </w:t>
      </w:r>
      <w:r w:rsidRPr="00CA597E">
        <w:t xml:space="preserve">terms and conditions </w:t>
      </w:r>
      <w:r w:rsidR="00BD53A1">
        <w:t>for the supply of</w:t>
      </w:r>
      <w:r w:rsidRPr="00CA597E">
        <w:t xml:space="preserve"> reference services </w:t>
      </w:r>
    </w:p>
    <w:p w:rsidR="00CA597E" w:rsidRPr="00CA597E" w:rsidRDefault="00CA597E" w:rsidP="00CA597E">
      <w:pPr>
        <w:pStyle w:val="AERbulletlistfirststyle"/>
      </w:pPr>
      <w:r w:rsidRPr="000707C1">
        <w:t>extension and expansion requirements—the method for determining whether an extension or exp</w:t>
      </w:r>
      <w:r w:rsidRPr="00CA597E">
        <w:t>ansion is a part of the covered pipeline and the effect this will have on tariffs</w:t>
      </w:r>
    </w:p>
    <w:p w:rsidR="00CA597E" w:rsidRPr="00CA597E" w:rsidRDefault="00CA597E" w:rsidP="00CA597E">
      <w:pPr>
        <w:pStyle w:val="AERbulletlistfirststyle"/>
      </w:pPr>
      <w:r w:rsidRPr="000707C1">
        <w:t>capacity trading requirements—</w:t>
      </w:r>
      <w:r w:rsidRPr="00CA597E">
        <w:t xml:space="preserve">the arrangements for users to assign contracted capacity and change delivery and receipt points </w:t>
      </w:r>
    </w:p>
    <w:p w:rsidR="00CA597E" w:rsidRPr="00CA597E" w:rsidRDefault="00CA597E" w:rsidP="00CA597E">
      <w:pPr>
        <w:pStyle w:val="AERbulletlistfirststyle"/>
      </w:pPr>
      <w:r>
        <w:t>provisions for receipt and delivery point changes, and</w:t>
      </w:r>
    </w:p>
    <w:p w:rsidR="00CA597E" w:rsidRPr="00CA597E" w:rsidRDefault="00CA597E" w:rsidP="00CA597E">
      <w:pPr>
        <w:pStyle w:val="AERbulletlistfirststyle"/>
      </w:pPr>
      <w:proofErr w:type="gramStart"/>
      <w:r>
        <w:t>a</w:t>
      </w:r>
      <w:proofErr w:type="gramEnd"/>
      <w:r>
        <w:t xml:space="preserve"> </w:t>
      </w:r>
      <w:r w:rsidRPr="00CA597E">
        <w:t>review submission date and a revision commencement date.</w:t>
      </w:r>
      <w:r w:rsidR="00DF492A">
        <w:rPr>
          <w:rStyle w:val="FootnoteReference"/>
        </w:rPr>
        <w:footnoteReference w:id="1"/>
      </w:r>
    </w:p>
    <w:p w:rsidR="00132D43" w:rsidRDefault="00132D43" w:rsidP="00132D43">
      <w:pPr>
        <w:pStyle w:val="Heading2"/>
      </w:pPr>
      <w:bookmarkStart w:id="71" w:name="_Toc486834886"/>
      <w:r>
        <w:t>Draft decision</w:t>
      </w:r>
      <w:bookmarkEnd w:id="71"/>
    </w:p>
    <w:p w:rsidR="00DF492A" w:rsidRDefault="00DF492A" w:rsidP="00132D43">
      <w:r>
        <w:t xml:space="preserve">Our draft decision is to accept AGN's provisions relating to capacity trading, receipt and delivery point changes and review submissions/revision commencement dates. </w:t>
      </w:r>
    </w:p>
    <w:p w:rsidR="00DF492A" w:rsidRDefault="00DF492A" w:rsidP="00132D43">
      <w:r>
        <w:t xml:space="preserve">We require minor </w:t>
      </w:r>
      <w:r w:rsidR="0011697F">
        <w:t>amendments</w:t>
      </w:r>
      <w:r>
        <w:t xml:space="preserve"> to AGN's </w:t>
      </w:r>
      <w:r w:rsidR="0011697F">
        <w:t xml:space="preserve">terms and conditions and </w:t>
      </w:r>
      <w:r>
        <w:t>extensions and expansions requirements</w:t>
      </w:r>
      <w:r w:rsidR="00245D92">
        <w:t xml:space="preserve">. We have consulted AGN and understand it has no concerns with </w:t>
      </w:r>
      <w:r w:rsidR="0011697F">
        <w:t>these amendments</w:t>
      </w:r>
      <w:r w:rsidR="00245D92">
        <w:t xml:space="preserve">. </w:t>
      </w:r>
    </w:p>
    <w:p w:rsidR="00245D92" w:rsidRDefault="00245D92" w:rsidP="00132D43">
      <w:pPr>
        <w:pStyle w:val="Heading2"/>
      </w:pPr>
      <w:bookmarkStart w:id="72" w:name="_Toc486834887"/>
      <w:r>
        <w:t>Terms and conditions</w:t>
      </w:r>
      <w:bookmarkEnd w:id="72"/>
    </w:p>
    <w:p w:rsidR="007375D9" w:rsidRPr="002D2E6C" w:rsidRDefault="007375D9" w:rsidP="007375D9">
      <w:r>
        <w:t>The NGR requires a</w:t>
      </w:r>
      <w:r w:rsidRPr="0050160E">
        <w:t xml:space="preserve">n access arrangement </w:t>
      </w:r>
      <w:r>
        <w:t xml:space="preserve">to </w:t>
      </w:r>
      <w:r w:rsidRPr="0050160E">
        <w:t>specify the terms and conditions o</w:t>
      </w:r>
      <w:r>
        <w:t xml:space="preserve">n which each reference service </w:t>
      </w:r>
      <w:r w:rsidRPr="0050160E">
        <w:t>will be provided.</w:t>
      </w:r>
      <w:r>
        <w:rPr>
          <w:rStyle w:val="FootnoteReference"/>
        </w:rPr>
        <w:footnoteReference w:id="2"/>
      </w:r>
      <w:r>
        <w:t xml:space="preserve"> </w:t>
      </w:r>
      <w:r w:rsidR="000348B6">
        <w:t>These must be</w:t>
      </w:r>
      <w:r w:rsidR="007A4B71">
        <w:t xml:space="preserve"> </w:t>
      </w:r>
      <w:r>
        <w:t>consistent with the NGO.</w:t>
      </w:r>
      <w:r>
        <w:rPr>
          <w:rStyle w:val="FootnoteReference"/>
        </w:rPr>
        <w:footnoteReference w:id="3"/>
      </w:r>
      <w:r>
        <w:t xml:space="preserve"> </w:t>
      </w:r>
      <w:r w:rsidR="00FB6920">
        <w:t>T</w:t>
      </w:r>
      <w:r>
        <w:t xml:space="preserve">his </w:t>
      </w:r>
      <w:r w:rsidRPr="002D2E6C">
        <w:t xml:space="preserve">requires </w:t>
      </w:r>
      <w:r>
        <w:t xml:space="preserve">us to </w:t>
      </w:r>
      <w:r w:rsidRPr="002D2E6C">
        <w:t>assess and balance the competing interests of the Service Provid</w:t>
      </w:r>
      <w:r>
        <w:t>er, Network Users and consumers, in particular</w:t>
      </w:r>
      <w:r w:rsidRPr="002D2E6C">
        <w:t xml:space="preserve">: </w:t>
      </w:r>
    </w:p>
    <w:p w:rsidR="007375D9" w:rsidRPr="002D2E6C" w:rsidRDefault="007375D9" w:rsidP="007375D9">
      <w:pPr>
        <w:pStyle w:val="AERbulletlistfirststyle"/>
      </w:pPr>
      <w:r w:rsidRPr="002D2E6C">
        <w:t>the</w:t>
      </w:r>
      <w:r>
        <w:t xml:space="preserve"> allocation of risk, where we consider the NGO is generally best served where a risk is borne by the party best able to manage it; and </w:t>
      </w:r>
    </w:p>
    <w:p w:rsidR="007375D9" w:rsidRDefault="007375D9" w:rsidP="007375D9">
      <w:pPr>
        <w:pStyle w:val="AERbulletlistfirststyle"/>
      </w:pPr>
      <w:proofErr w:type="gramStart"/>
      <w:r w:rsidRPr="002D2E6C">
        <w:t>the</w:t>
      </w:r>
      <w:proofErr w:type="gramEnd"/>
      <w:r w:rsidRPr="002D2E6C">
        <w:t xml:space="preserve"> </w:t>
      </w:r>
      <w:r>
        <w:t xml:space="preserve">need to ensure clarity and certainty, while avoiding an unduly </w:t>
      </w:r>
      <w:r w:rsidRPr="002D2E6C">
        <w:t>prescriptive</w:t>
      </w:r>
      <w:r>
        <w:t xml:space="preserve"> approach on commercial matters.</w:t>
      </w:r>
    </w:p>
    <w:p w:rsidR="00150536" w:rsidRDefault="00916EED" w:rsidP="008009EC">
      <w:pPr>
        <w:pStyle w:val="AERbulletlistfirststyle"/>
        <w:numPr>
          <w:ilvl w:val="0"/>
          <w:numId w:val="0"/>
        </w:numPr>
      </w:pPr>
      <w:r>
        <w:t xml:space="preserve">AGN’s proposed terms and conditions </w:t>
      </w:r>
      <w:r w:rsidR="004F7F2A">
        <w:t>include very few changes</w:t>
      </w:r>
      <w:r>
        <w:t xml:space="preserve"> to the current terms and conditions</w:t>
      </w:r>
      <w:r w:rsidR="004F7F2A">
        <w:t>.</w:t>
      </w:r>
      <w:r w:rsidR="00F11E7A">
        <w:t xml:space="preserve"> </w:t>
      </w:r>
      <w:r w:rsidR="008927ED">
        <w:t xml:space="preserve">AGN appears to have </w:t>
      </w:r>
      <w:r w:rsidR="003A3D17">
        <w:t>engaged</w:t>
      </w:r>
      <w:r w:rsidR="008927ED">
        <w:t xml:space="preserve"> extensively with</w:t>
      </w:r>
      <w:r w:rsidR="005F0095">
        <w:t xml:space="preserve"> stakeholders, </w:t>
      </w:r>
      <w:r w:rsidR="00150536">
        <w:t xml:space="preserve">a view </w:t>
      </w:r>
      <w:r w:rsidR="00150536" w:rsidRPr="00150536">
        <w:t xml:space="preserve">supported by the Consumer Challenge Panel's </w:t>
      </w:r>
      <w:r w:rsidR="00E64E17">
        <w:t xml:space="preserve">(CCP11) </w:t>
      </w:r>
      <w:r w:rsidR="00150536" w:rsidRPr="00150536">
        <w:t>finding that AGN has presented an access arrangement which has been underpinned by effective stakeholder engagement.</w:t>
      </w:r>
      <w:r w:rsidR="00150536" w:rsidRPr="00150536">
        <w:rPr>
          <w:rStyle w:val="FootnoteReference"/>
        </w:rPr>
        <w:footnoteReference w:id="4"/>
      </w:r>
      <w:r w:rsidR="00150536" w:rsidRPr="00150536">
        <w:t xml:space="preserve"> </w:t>
      </w:r>
      <w:r w:rsidR="00150536">
        <w:t>AGN provided us with a detailed account of its engagement with its retailer reference group, setting out how it has responded to retailer feedback on its proposed terms and conditions.</w:t>
      </w:r>
      <w:r w:rsidR="00150536">
        <w:rPr>
          <w:rStyle w:val="FootnoteReference"/>
        </w:rPr>
        <w:footnoteReference w:id="5"/>
      </w:r>
      <w:r w:rsidR="00150536">
        <w:t xml:space="preserve"> </w:t>
      </w:r>
      <w:r w:rsidR="004F7F2A">
        <w:t>On the basis of those responses, we are largely satisfied with the amendments AGN has proposed to its terms and conditions and the reasons it has provided.</w:t>
      </w:r>
    </w:p>
    <w:p w:rsidR="00D312CA" w:rsidRDefault="00E44F64" w:rsidP="008009EC">
      <w:pPr>
        <w:pStyle w:val="AERbulletlistfirststyle"/>
        <w:numPr>
          <w:ilvl w:val="0"/>
          <w:numId w:val="0"/>
        </w:numPr>
      </w:pPr>
      <w:r>
        <w:t xml:space="preserve">We received a late submission </w:t>
      </w:r>
      <w:r w:rsidR="00D312CA">
        <w:t>from AGL which</w:t>
      </w:r>
      <w:r w:rsidR="00916EED">
        <w:t xml:space="preserve"> we have considered in the making of this draft decision.  AGL</w:t>
      </w:r>
      <w:r w:rsidR="00D312CA">
        <w:t xml:space="preserve">, while acknowledging </w:t>
      </w:r>
      <w:r>
        <w:t xml:space="preserve">AGN’s </w:t>
      </w:r>
      <w:r w:rsidR="00D312CA">
        <w:t>extensive and comprehensive engagement process, set</w:t>
      </w:r>
      <w:r w:rsidR="00916EED">
        <w:t>s</w:t>
      </w:r>
      <w:r w:rsidR="00D312CA">
        <w:t xml:space="preserve"> out </w:t>
      </w:r>
      <w:r w:rsidR="00E64E17">
        <w:t>alternative drafting for a number of</w:t>
      </w:r>
      <w:r w:rsidR="00D312CA">
        <w:t xml:space="preserve"> the terms and conditions</w:t>
      </w:r>
      <w:r>
        <w:t>.</w:t>
      </w:r>
      <w:r>
        <w:rPr>
          <w:rStyle w:val="FootnoteReference"/>
        </w:rPr>
        <w:footnoteReference w:id="6"/>
      </w:r>
      <w:r>
        <w:t xml:space="preserve"> </w:t>
      </w:r>
      <w:r w:rsidR="00D312CA">
        <w:t xml:space="preserve">We have given consideration to all of AGL’s suggested amendments. </w:t>
      </w:r>
    </w:p>
    <w:p w:rsidR="00E44F64" w:rsidRDefault="00916EED" w:rsidP="008009EC">
      <w:pPr>
        <w:pStyle w:val="AERbulletlistfirststyle"/>
        <w:numPr>
          <w:ilvl w:val="0"/>
          <w:numId w:val="0"/>
        </w:numPr>
      </w:pPr>
      <w:r>
        <w:t>We note that i</w:t>
      </w:r>
      <w:r w:rsidR="0065346B">
        <w:t xml:space="preserve">n many cases AGL seeks changes to </w:t>
      </w:r>
      <w:r>
        <w:t xml:space="preserve">existing </w:t>
      </w:r>
      <w:r w:rsidR="0065346B">
        <w:t xml:space="preserve">clauses, </w:t>
      </w:r>
      <w:r w:rsidR="00FB6920">
        <w:t>or draws comparisons with the terms and conditions applying to AGN’s Queensland pipelines</w:t>
      </w:r>
      <w:r w:rsidR="00C014BB">
        <w:rPr>
          <w:rStyle w:val="FootnoteReference"/>
        </w:rPr>
        <w:footnoteReference w:id="7"/>
      </w:r>
      <w:r w:rsidR="00FB6920">
        <w:t>,</w:t>
      </w:r>
      <w:r w:rsidR="00C014BB">
        <w:t xml:space="preserve"> </w:t>
      </w:r>
      <w:r w:rsidR="0065346B">
        <w:t xml:space="preserve">without </w:t>
      </w:r>
      <w:r>
        <w:t>providing any explanation that might justify the suggested amendment</w:t>
      </w:r>
      <w:r w:rsidR="0065346B">
        <w:t xml:space="preserve">. </w:t>
      </w:r>
      <w:r w:rsidR="00242FCE">
        <w:t xml:space="preserve"> </w:t>
      </w:r>
      <w:r w:rsidR="00775F70">
        <w:t xml:space="preserve">Our </w:t>
      </w:r>
      <w:r w:rsidR="00242FCE">
        <w:t xml:space="preserve">draft decision is to </w:t>
      </w:r>
      <w:r>
        <w:t xml:space="preserve">accept AGN’s proposed drafting for </w:t>
      </w:r>
      <w:r w:rsidR="00F82B51">
        <w:t xml:space="preserve">clauses 16.1, 16.3, </w:t>
      </w:r>
      <w:r w:rsidR="00CA56F3">
        <w:t>28.6, 29.2, 33, 34, 36 and 42.1</w:t>
      </w:r>
      <w:r>
        <w:t xml:space="preserve"> rather than the amendments suggested by AGL</w:t>
      </w:r>
      <w:r w:rsidR="00CA56F3">
        <w:t>.</w:t>
      </w:r>
      <w:r w:rsidR="00F82B51">
        <w:t xml:space="preserve"> </w:t>
      </w:r>
    </w:p>
    <w:p w:rsidR="00E44F64" w:rsidRDefault="00E44F64" w:rsidP="00EC021F">
      <w:pPr>
        <w:pStyle w:val="Heading3"/>
        <w:ind w:left="720"/>
      </w:pPr>
      <w:bookmarkStart w:id="73" w:name="_Toc486834888"/>
      <w:r>
        <w:t>Duty to negotiate</w:t>
      </w:r>
      <w:bookmarkEnd w:id="73"/>
    </w:p>
    <w:p w:rsidR="00E44F64" w:rsidRDefault="00E44F64" w:rsidP="00E44F64">
      <w:r>
        <w:t xml:space="preserve">AGL submitted that an amendment is needed to better facilitate the creation of commercial agreements differing from the terms and conditions in the access arrangement. It states that distributors </w:t>
      </w:r>
      <w:r w:rsidR="00FB6920">
        <w:t xml:space="preserve">are reluctant </w:t>
      </w:r>
      <w:r>
        <w:t xml:space="preserve">to negotiate </w:t>
      </w:r>
      <w:r w:rsidR="00FB6920">
        <w:t xml:space="preserve">and this </w:t>
      </w:r>
      <w:r>
        <w:t xml:space="preserve">is hampering </w:t>
      </w:r>
      <w:r w:rsidR="00FB6920">
        <w:t xml:space="preserve">the introduction of </w:t>
      </w:r>
      <w:r>
        <w:t>new services</w:t>
      </w:r>
      <w:r w:rsidR="00FB6920">
        <w:t xml:space="preserve"> by retailers</w:t>
      </w:r>
      <w:r>
        <w:t xml:space="preserve">. AGL acknowledges the NGL already provides for </w:t>
      </w:r>
      <w:r w:rsidR="00FB6920">
        <w:t>commercial negotiation</w:t>
      </w:r>
      <w:r>
        <w:t>, but states it has experienced difficulty in progressing negotiations. AGL’s proposed clause is:</w:t>
      </w:r>
      <w:r>
        <w:rPr>
          <w:rStyle w:val="FootnoteReference"/>
        </w:rPr>
        <w:footnoteReference w:id="8"/>
      </w:r>
      <w:r>
        <w:t xml:space="preserve"> </w:t>
      </w:r>
    </w:p>
    <w:p w:rsidR="00E44F64" w:rsidRDefault="00E44F64" w:rsidP="00E44F64">
      <w:pPr>
        <w:pStyle w:val="AERquote"/>
      </w:pPr>
      <w:r>
        <w:t>The Service Provider must exercise best endeavours to enter into a commercial arrangement with a User in a timely manner where the user can demonstrate the agreement would provide benefits to the end customer and the agreement can mitigate risk to the service provider and be provided in a fair and equitable format to all Users.</w:t>
      </w:r>
    </w:p>
    <w:p w:rsidR="00E44F64" w:rsidRDefault="001112FE" w:rsidP="00E44F64">
      <w:r>
        <w:t>W</w:t>
      </w:r>
      <w:r w:rsidR="00E44F64">
        <w:t xml:space="preserve">e </w:t>
      </w:r>
      <w:r>
        <w:t xml:space="preserve">recently </w:t>
      </w:r>
      <w:r w:rsidR="00E44F64">
        <w:t>rejected AGL’s request for the same clause to be included in AGN’s access arrangement for its S</w:t>
      </w:r>
      <w:r w:rsidR="00663F35">
        <w:t xml:space="preserve">outh </w:t>
      </w:r>
      <w:r w:rsidR="00E44F64">
        <w:t>A</w:t>
      </w:r>
      <w:r w:rsidR="00663F35">
        <w:t>ustralian</w:t>
      </w:r>
      <w:r w:rsidR="00E44F64">
        <w:t xml:space="preserve"> distribution network. We considered the clause to be unnecessary given</w:t>
      </w:r>
      <w:r w:rsidR="00E44F64" w:rsidRPr="004948BC">
        <w:t xml:space="preserve"> </w:t>
      </w:r>
      <w:r w:rsidR="00E44F64">
        <w:t xml:space="preserve">the </w:t>
      </w:r>
      <w:r w:rsidR="00E44F64" w:rsidRPr="004948BC">
        <w:t>processes</w:t>
      </w:r>
      <w:r w:rsidR="00E44F64">
        <w:t xml:space="preserve"> in the NGL and the NGR for negotiating access and resolving disputes.</w:t>
      </w:r>
      <w:r w:rsidR="00E44F64">
        <w:rPr>
          <w:rStyle w:val="FootnoteReference"/>
        </w:rPr>
        <w:footnoteReference w:id="9"/>
      </w:r>
      <w:r w:rsidR="00E44F64">
        <w:t xml:space="preserve"> </w:t>
      </w:r>
      <w:r w:rsidR="00E44F64" w:rsidRPr="004948BC">
        <w:t xml:space="preserve">We </w:t>
      </w:r>
      <w:r w:rsidR="00E44F64">
        <w:t xml:space="preserve">stated that we </w:t>
      </w:r>
      <w:r w:rsidR="00E44F64" w:rsidRPr="004948BC">
        <w:t>expect that both the service providers and users will negotiate in good faith, and in a timely manner, on such matter</w:t>
      </w:r>
      <w:r w:rsidR="00E44F64">
        <w:t>s</w:t>
      </w:r>
      <w:r w:rsidR="00E44F64" w:rsidRPr="004948BC">
        <w:t>.</w:t>
      </w:r>
      <w:r w:rsidR="00E44F64">
        <w:t xml:space="preserve"> We remain of the view that AGL’s proposed negotiation clause is unnecessary. </w:t>
      </w:r>
    </w:p>
    <w:p w:rsidR="00E44F64" w:rsidRPr="008C237E" w:rsidRDefault="00FB6920" w:rsidP="00E44F64">
      <w:r>
        <w:t>W</w:t>
      </w:r>
      <w:r w:rsidR="00E44F64">
        <w:t>e note that the</w:t>
      </w:r>
      <w:r w:rsidR="00E44F64" w:rsidRPr="008C237E">
        <w:t xml:space="preserve"> COAG Energy Council </w:t>
      </w:r>
      <w:r w:rsidR="00E44F64">
        <w:t xml:space="preserve">has tasked the AEMC to review </w:t>
      </w:r>
      <w:r w:rsidR="00E44F64" w:rsidRPr="008C237E">
        <w:t>Parts 8-12 of the NGR</w:t>
      </w:r>
      <w:r w:rsidR="001B7DF7">
        <w:t>,</w:t>
      </w:r>
      <w:r w:rsidR="00E44F64" w:rsidRPr="008C237E">
        <w:t xml:space="preserve"> </w:t>
      </w:r>
      <w:r w:rsidR="00E44F64">
        <w:t xml:space="preserve">and </w:t>
      </w:r>
      <w:r w:rsidR="001B7DF7">
        <w:t xml:space="preserve">to </w:t>
      </w:r>
      <w:r w:rsidR="00E44F64">
        <w:t xml:space="preserve">consider amendments to </w:t>
      </w:r>
      <w:r w:rsidR="00E44F64" w:rsidRPr="008C237E">
        <w:rPr>
          <w:bCs/>
        </w:rPr>
        <w:t>ensure pipeline operators with regulated transmission pipelines are unable to exercise market power on unregulated services</w:t>
      </w:r>
      <w:r w:rsidR="00E44F64">
        <w:rPr>
          <w:bCs/>
        </w:rPr>
        <w:t>.</w:t>
      </w:r>
      <w:r w:rsidR="00E44F64">
        <w:rPr>
          <w:rStyle w:val="FootnoteReference"/>
          <w:bCs/>
        </w:rPr>
        <w:footnoteReference w:id="10"/>
      </w:r>
      <w:r w:rsidR="00E44F64">
        <w:rPr>
          <w:bCs/>
        </w:rPr>
        <w:t xml:space="preserve"> We consider the AEMC’s review is the appropriate path for addressing any </w:t>
      </w:r>
      <w:r w:rsidR="001B7DF7">
        <w:rPr>
          <w:bCs/>
        </w:rPr>
        <w:t>issues regarding</w:t>
      </w:r>
      <w:r w:rsidR="00E44F64">
        <w:rPr>
          <w:bCs/>
        </w:rPr>
        <w:t xml:space="preserve"> the accessibility of the dispute resolution mechanism in the NGL and NGR.</w:t>
      </w:r>
      <w:r w:rsidR="00E44F64" w:rsidRPr="008C237E">
        <w:rPr>
          <w:rFonts w:asciiTheme="minorHAnsi" w:hAnsiTheme="minorHAnsi"/>
          <w:sz w:val="18"/>
        </w:rPr>
        <w:t xml:space="preserve"> </w:t>
      </w:r>
    </w:p>
    <w:p w:rsidR="00A933B4" w:rsidRDefault="00FB6920" w:rsidP="00EC021F">
      <w:pPr>
        <w:pStyle w:val="Heading3"/>
        <w:ind w:left="720"/>
      </w:pPr>
      <w:bookmarkStart w:id="74" w:name="_Toc486834889"/>
      <w:r>
        <w:t>Charges for d</w:t>
      </w:r>
      <w:r w:rsidR="00A933B4">
        <w:t>isconnected sites</w:t>
      </w:r>
      <w:bookmarkEnd w:id="74"/>
    </w:p>
    <w:p w:rsidR="009F099E" w:rsidRDefault="009F099E" w:rsidP="00A933B4">
      <w:r>
        <w:t xml:space="preserve">Clauses 3.3 and 20.2 </w:t>
      </w:r>
      <w:r w:rsidR="00663F35">
        <w:t xml:space="preserve">of AGN’s proposed terms and conditions </w:t>
      </w:r>
      <w:r>
        <w:t xml:space="preserve">provide that a retailer will be liable for the fixed component of the haulage and distribution charges whilst the retailer is the registered financially responsible organisation for the delivery point in question. </w:t>
      </w:r>
      <w:r w:rsidR="00480001">
        <w:t>This would include situations w</w:t>
      </w:r>
      <w:r>
        <w:t xml:space="preserve">here there is no end customer for the retailer to pass </w:t>
      </w:r>
      <w:r w:rsidR="00480001">
        <w:t>these</w:t>
      </w:r>
      <w:r>
        <w:t xml:space="preserve"> charges</w:t>
      </w:r>
      <w:r w:rsidR="00480001">
        <w:t xml:space="preserve"> onto, </w:t>
      </w:r>
      <w:r>
        <w:t>such</w:t>
      </w:r>
      <w:r w:rsidR="00480001">
        <w:t xml:space="preserve"> as where a site is disconnected. </w:t>
      </w:r>
    </w:p>
    <w:p w:rsidR="00A933B4" w:rsidRPr="00A933B4" w:rsidRDefault="00480001" w:rsidP="00A933B4">
      <w:r>
        <w:t>AGL opposes these clauses and proposed amendments removing the retailer’s liability for these charges where there is no shared customer.</w:t>
      </w:r>
      <w:r>
        <w:rPr>
          <w:rStyle w:val="FootnoteReference"/>
        </w:rPr>
        <w:footnoteReference w:id="11"/>
      </w:r>
      <w:r w:rsidR="00B01811">
        <w:t xml:space="preserve"> </w:t>
      </w:r>
    </w:p>
    <w:p w:rsidR="00913442" w:rsidRDefault="00913442" w:rsidP="008009EC">
      <w:pPr>
        <w:pStyle w:val="AERbulletlistfirststyle"/>
        <w:numPr>
          <w:ilvl w:val="0"/>
          <w:numId w:val="0"/>
        </w:numPr>
      </w:pPr>
      <w:r>
        <w:t xml:space="preserve">We </w:t>
      </w:r>
      <w:r w:rsidR="001112FE">
        <w:t xml:space="preserve">recently </w:t>
      </w:r>
      <w:r>
        <w:t>approved similar clause</w:t>
      </w:r>
      <w:r w:rsidR="00480001">
        <w:t>s</w:t>
      </w:r>
      <w:r>
        <w:t xml:space="preserve"> for AGN's South Australian distribution network</w:t>
      </w:r>
      <w:r w:rsidR="00B01811">
        <w:t>. Our</w:t>
      </w:r>
      <w:r>
        <w:t xml:space="preserve"> decision </w:t>
      </w:r>
      <w:r w:rsidR="00B01811">
        <w:t xml:space="preserve">noted </w:t>
      </w:r>
      <w:r w:rsidR="00ED29BE">
        <w:t xml:space="preserve">that </w:t>
      </w:r>
      <w:r>
        <w:t xml:space="preserve">a retailer </w:t>
      </w:r>
      <w:r w:rsidR="00F124BC">
        <w:t xml:space="preserve">could cease to be the registered user for any particular delivery point to avoid being </w:t>
      </w:r>
      <w:r w:rsidR="00B01811">
        <w:t>liable for these charges</w:t>
      </w:r>
      <w:r>
        <w:t xml:space="preserve">. </w:t>
      </w:r>
      <w:r w:rsidR="00F124BC">
        <w:t>In the same way</w:t>
      </w:r>
      <w:r w:rsidR="00ED29BE">
        <w:t xml:space="preserve">, </w:t>
      </w:r>
      <w:r w:rsidR="00B01811">
        <w:t xml:space="preserve">we consider </w:t>
      </w:r>
      <w:r w:rsidR="00ED29BE">
        <w:t>a retailer using AGN'</w:t>
      </w:r>
      <w:r w:rsidR="001B52FE">
        <w:t xml:space="preserve">s Victorian and Albury network </w:t>
      </w:r>
      <w:r w:rsidR="00ED29BE">
        <w:t xml:space="preserve">can decide whether it wishes to remain financially responsible for the base charges or alternatively </w:t>
      </w:r>
      <w:r w:rsidR="001B52FE">
        <w:t xml:space="preserve">whether it wishes to request the decommissioning of the supply point. </w:t>
      </w:r>
      <w:r>
        <w:t>Consistent with our previous decision, our draft decision is to accept AGN's proposed clause</w:t>
      </w:r>
      <w:r w:rsidR="00480001">
        <w:t>s 3.3 and</w:t>
      </w:r>
      <w:r>
        <w:t xml:space="preserve"> 20.2.</w:t>
      </w:r>
      <w:r w:rsidR="00B01811">
        <w:t xml:space="preserve"> </w:t>
      </w:r>
    </w:p>
    <w:p w:rsidR="008460B1" w:rsidRDefault="008460B1" w:rsidP="00EC021F">
      <w:pPr>
        <w:pStyle w:val="Heading3"/>
        <w:ind w:left="720"/>
      </w:pPr>
      <w:bookmarkStart w:id="75" w:name="_Toc486834890"/>
      <w:r>
        <w:t>Assistance to distributor</w:t>
      </w:r>
      <w:bookmarkEnd w:id="75"/>
    </w:p>
    <w:p w:rsidR="00AA1499" w:rsidRDefault="008460B1" w:rsidP="008009EC">
      <w:pPr>
        <w:pStyle w:val="AERbulletlistfirststyle"/>
        <w:numPr>
          <w:ilvl w:val="0"/>
          <w:numId w:val="0"/>
        </w:numPr>
      </w:pPr>
      <w:r>
        <w:t xml:space="preserve">AGN’s proposed clause 17.7 requires shippers to </w:t>
      </w:r>
      <w:r w:rsidR="00AA1499">
        <w:t xml:space="preserve">cause or procure shared customers to give </w:t>
      </w:r>
      <w:r>
        <w:t xml:space="preserve">whatever assistance it reasonably requires to interrupt or curtail deliveries </w:t>
      </w:r>
      <w:r w:rsidR="00AA1499">
        <w:t xml:space="preserve">at </w:t>
      </w:r>
      <w:r>
        <w:t xml:space="preserve">any user delivery point. AGL </w:t>
      </w:r>
      <w:r w:rsidR="00AA1499">
        <w:t xml:space="preserve">submits the shipper’s obligation should instead be to use ‘best endeavours’ to cause or procure customer assistance as it cannot control the action of third parties. </w:t>
      </w:r>
    </w:p>
    <w:p w:rsidR="008460B1" w:rsidRDefault="00335E36" w:rsidP="008009EC">
      <w:pPr>
        <w:pStyle w:val="AERbulletlistfirststyle"/>
        <w:numPr>
          <w:ilvl w:val="0"/>
          <w:numId w:val="0"/>
        </w:numPr>
      </w:pPr>
      <w:r>
        <w:t>T</w:t>
      </w:r>
      <w:r w:rsidR="00C53516">
        <w:t xml:space="preserve">he </w:t>
      </w:r>
      <w:r>
        <w:t xml:space="preserve">suggested amendment </w:t>
      </w:r>
      <w:r w:rsidR="00824A98">
        <w:t xml:space="preserve">is </w:t>
      </w:r>
      <w:r w:rsidR="003E6AB5">
        <w:t>reasonable</w:t>
      </w:r>
      <w:r>
        <w:t xml:space="preserve"> given AGL’s submission</w:t>
      </w:r>
      <w:r w:rsidR="003E6AB5">
        <w:t xml:space="preserve">, and </w:t>
      </w:r>
      <w:r w:rsidR="00C53516">
        <w:t>is broadly in line with the retailer’s obligation under Victoria’s Gas Distribution Code</w:t>
      </w:r>
      <w:r>
        <w:t>. S</w:t>
      </w:r>
      <w:r w:rsidR="003B7674">
        <w:t>ectio</w:t>
      </w:r>
      <w:r w:rsidR="003E6AB5">
        <w:t xml:space="preserve">n 9.7(c) </w:t>
      </w:r>
      <w:r w:rsidR="003B7674">
        <w:t xml:space="preserve">of </w:t>
      </w:r>
      <w:r>
        <w:t xml:space="preserve">the Code provides that </w:t>
      </w:r>
      <w:r w:rsidR="003E6AB5">
        <w:t xml:space="preserve">a retailer must </w:t>
      </w:r>
      <w:r w:rsidR="00C53516">
        <w:t xml:space="preserve">use ‘reasonable endeavours’ to ensure its customers comply with </w:t>
      </w:r>
      <w:r w:rsidR="003E6AB5">
        <w:t xml:space="preserve">any </w:t>
      </w:r>
      <w:r w:rsidR="00C53516">
        <w:t>requirements</w:t>
      </w:r>
      <w:r w:rsidR="003E6AB5">
        <w:t xml:space="preserve"> of a distributor in relation to an interruption of supply at a delivery point.</w:t>
      </w:r>
      <w:r w:rsidR="003B7674">
        <w:t xml:space="preserve"> </w:t>
      </w:r>
      <w:r w:rsidR="00775F70">
        <w:t>Our draft decision is to require an amendment to clause 17.7 requiring a shipper to use ‘best endeavours’ to ensure customers provide the relevant assistance to the service provider.</w:t>
      </w:r>
      <w:r w:rsidR="00210569" w:rsidRPr="00210569">
        <w:t xml:space="preserve"> </w:t>
      </w:r>
      <w:r w:rsidR="00210569">
        <w:t>AGN has advised us that it would have no concerns in adopting the wording proposed by AGL.</w:t>
      </w:r>
      <w:r w:rsidR="00210569">
        <w:rPr>
          <w:rStyle w:val="FootnoteReference"/>
        </w:rPr>
        <w:footnoteReference w:id="12"/>
      </w:r>
    </w:p>
    <w:p w:rsidR="00F82B22" w:rsidRDefault="00F82B22" w:rsidP="00754F5F">
      <w:pPr>
        <w:pStyle w:val="Heading3"/>
        <w:ind w:left="720"/>
      </w:pPr>
      <w:bookmarkStart w:id="76" w:name="_Toc486834891"/>
      <w:r>
        <w:t>Time limit</w:t>
      </w:r>
      <w:r w:rsidR="00EF60E5">
        <w:t>s</w:t>
      </w:r>
      <w:bookmarkEnd w:id="76"/>
    </w:p>
    <w:p w:rsidR="00C82EB8" w:rsidRDefault="00B92BC4" w:rsidP="00F82B22">
      <w:r>
        <w:t xml:space="preserve">Clause 22.3 </w:t>
      </w:r>
      <w:r w:rsidR="00C82EB8">
        <w:t>imposes time limits on c</w:t>
      </w:r>
      <w:r>
        <w:t>laim</w:t>
      </w:r>
      <w:r w:rsidR="00EF60E5">
        <w:t>s</w:t>
      </w:r>
      <w:r>
        <w:t xml:space="preserve"> for an adjustment of a distribution service charge</w:t>
      </w:r>
      <w:r w:rsidR="00C82EB8">
        <w:t>. The relevant limits are:</w:t>
      </w:r>
      <w:r w:rsidR="00C82EB8">
        <w:rPr>
          <w:rStyle w:val="FootnoteReference"/>
        </w:rPr>
        <w:footnoteReference w:id="13"/>
      </w:r>
    </w:p>
    <w:p w:rsidR="00C82EB8" w:rsidRDefault="00C82EB8" w:rsidP="00C82EB8">
      <w:pPr>
        <w:pStyle w:val="AERquotebullet1"/>
      </w:pPr>
      <w:r>
        <w:t>three months after the claim became known, or should have become known, to the network user, and</w:t>
      </w:r>
    </w:p>
    <w:p w:rsidR="00C82EB8" w:rsidRDefault="00C82EB8" w:rsidP="00C82EB8">
      <w:pPr>
        <w:pStyle w:val="AERquotebullet1"/>
      </w:pPr>
      <w:proofErr w:type="gramStart"/>
      <w:r>
        <w:t>in</w:t>
      </w:r>
      <w:proofErr w:type="gramEnd"/>
      <w:r>
        <w:t xml:space="preserve"> any case, 11 months after the date of the relevant statement of charges. </w:t>
      </w:r>
    </w:p>
    <w:p w:rsidR="00C82EB8" w:rsidRDefault="00C82EB8" w:rsidP="00F82B22">
      <w:r>
        <w:t>A new clause (clause 22.3(c)) defines the phrase ‘should have become known’ by reference to what the network user would have known had it exercised reasonable care and acted in a diligent and prudent manner.</w:t>
      </w:r>
    </w:p>
    <w:p w:rsidR="00C82EB8" w:rsidRDefault="00EF60E5" w:rsidP="00F82B22">
      <w:r>
        <w:t xml:space="preserve">AGL </w:t>
      </w:r>
      <w:r w:rsidR="00335E36">
        <w:t xml:space="preserve">submits </w:t>
      </w:r>
      <w:r w:rsidR="00C82EB8">
        <w:t>the time limits are unrealistic and should be extended to six months and three years respectively. AGL also requests deletion</w:t>
      </w:r>
      <w:r>
        <w:t xml:space="preserve"> of clause 22.3(c) </w:t>
      </w:r>
      <w:r w:rsidR="00335E36">
        <w:t xml:space="preserve">but does so </w:t>
      </w:r>
      <w:r>
        <w:t>without any explanation</w:t>
      </w:r>
      <w:r w:rsidR="00335E36">
        <w:t xml:space="preserve"> as to why</w:t>
      </w:r>
      <w:r>
        <w:t>, beyond observing that it is new.</w:t>
      </w:r>
    </w:p>
    <w:p w:rsidR="00EF60E5" w:rsidRDefault="00EF60E5" w:rsidP="00F82B22">
      <w:r>
        <w:t xml:space="preserve">During AGN’s pre-submission engagement, Origin </w:t>
      </w:r>
      <w:r w:rsidR="00335E36">
        <w:t xml:space="preserve">submitted </w:t>
      </w:r>
      <w:r>
        <w:t>that</w:t>
      </w:r>
      <w:r w:rsidR="009B0058" w:rsidRPr="009B0058">
        <w:t xml:space="preserve"> </w:t>
      </w:r>
      <w:r w:rsidR="009B0058">
        <w:t>the retailer should not be limited from recovering where its own</w:t>
      </w:r>
      <w:r>
        <w:t xml:space="preserve"> exposure to a billing re-adjustment under the relevant Rules and Code extends beyond 11 months and this</w:t>
      </w:r>
      <w:r w:rsidR="009B0058">
        <w:t xml:space="preserve"> is attributable to the network</w:t>
      </w:r>
      <w:r>
        <w:t xml:space="preserve">. </w:t>
      </w:r>
      <w:r w:rsidR="00304981">
        <w:t>Origin also requested greater clarity around the phrase ‘should become known’.</w:t>
      </w:r>
    </w:p>
    <w:p w:rsidR="00537085" w:rsidRDefault="009B0058" w:rsidP="00F82B22">
      <w:r>
        <w:t xml:space="preserve">We consider AGN dealt adequately with these concerns in its pre-submission engagement. AGN </w:t>
      </w:r>
      <w:r w:rsidR="00FF7F86">
        <w:t>responded that the three month limit is not unreasonable since it runs from the time at which a user becomes aware of the claims. AGN also noted that the 11 month limit is broadly consistent with similar limits in the Energy Retail Code.</w:t>
      </w:r>
      <w:r w:rsidR="00FF7F86">
        <w:rPr>
          <w:rStyle w:val="FootnoteReference"/>
        </w:rPr>
        <w:footnoteReference w:id="14"/>
      </w:r>
      <w:r w:rsidR="00FF7F86">
        <w:t xml:space="preserve"> </w:t>
      </w:r>
    </w:p>
    <w:p w:rsidR="009B0058" w:rsidRDefault="00FF7F86" w:rsidP="00F82B22">
      <w:r>
        <w:t xml:space="preserve">AGN also noted that clause </w:t>
      </w:r>
      <w:r w:rsidR="00537085">
        <w:t xml:space="preserve">22.3 </w:t>
      </w:r>
      <w:r>
        <w:t>does not prevent a retailer from pursuing any claim which it is required by law to pursue on behalf of a customer</w:t>
      </w:r>
      <w:r w:rsidR="00537085">
        <w:t>. This is expressly</w:t>
      </w:r>
      <w:r w:rsidR="00E24430">
        <w:t xml:space="preserve"> provided for by</w:t>
      </w:r>
      <w:r w:rsidR="00537085">
        <w:t xml:space="preserve"> clause 22.3(b)</w:t>
      </w:r>
      <w:r w:rsidR="00E24430">
        <w:t>.</w:t>
      </w:r>
      <w:r w:rsidR="00537085">
        <w:t xml:space="preserve"> </w:t>
      </w:r>
    </w:p>
    <w:p w:rsidR="009B0058" w:rsidRDefault="009B0058" w:rsidP="009B0058">
      <w:r>
        <w:t xml:space="preserve">Similar arguments were raised in response to AGN’s access arrangement proposal for its South Australia distribution network. </w:t>
      </w:r>
    </w:p>
    <w:p w:rsidR="009B0058" w:rsidRPr="009B0058" w:rsidRDefault="009B0058" w:rsidP="009B0058">
      <w:r w:rsidRPr="009B0058">
        <w:t xml:space="preserve">We consider that </w:t>
      </w:r>
      <w:r w:rsidR="00AC2C51">
        <w:t xml:space="preserve">a </w:t>
      </w:r>
      <w:r w:rsidRPr="009B0058">
        <w:t>user</w:t>
      </w:r>
      <w:r w:rsidRPr="009B0058" w:rsidDel="00201F11">
        <w:t xml:space="preserve"> </w:t>
      </w:r>
      <w:r w:rsidRPr="009B0058">
        <w:t xml:space="preserve">will not be disadvantaged by these sub-clauses where they discover an error after the time limit for adjustments has expired. In such circumstances they could use the dispute resolution mechanism in clause 23. </w:t>
      </w:r>
    </w:p>
    <w:p w:rsidR="009B0058" w:rsidRPr="00F82B22" w:rsidRDefault="00E24430" w:rsidP="00F82B22">
      <w:r>
        <w:t>Consistent with our position on AGN’s access arrangement for its South Australian Distribution System,</w:t>
      </w:r>
      <w:r>
        <w:rPr>
          <w:rStyle w:val="FootnoteReference"/>
        </w:rPr>
        <w:footnoteReference w:id="15"/>
      </w:r>
      <w:r>
        <w:t xml:space="preserve"> our draft decision is to accept AGN’s proposed clause 22.3.</w:t>
      </w:r>
    </w:p>
    <w:p w:rsidR="009D5191" w:rsidRDefault="009D5191" w:rsidP="00754F5F">
      <w:pPr>
        <w:pStyle w:val="Heading3"/>
        <w:ind w:left="720"/>
      </w:pPr>
      <w:bookmarkStart w:id="77" w:name="_Toc486834892"/>
      <w:r>
        <w:t>Delivered quantities</w:t>
      </w:r>
      <w:bookmarkEnd w:id="77"/>
    </w:p>
    <w:p w:rsidR="009D5191" w:rsidRDefault="009D5191" w:rsidP="009D5191">
      <w:r>
        <w:t xml:space="preserve">Clause 24.1 states how AGN will determine the quantity of gas delivered in a billing period when preparing a statement of charges. It differs from the corresponding clause in AGN’s current access arrangement as follows: </w:t>
      </w:r>
    </w:p>
    <w:p w:rsidR="009D5191" w:rsidRPr="009D5191" w:rsidRDefault="009D5191" w:rsidP="00C233DB">
      <w:pPr>
        <w:pStyle w:val="AERquote"/>
      </w:pPr>
      <w:r w:rsidRPr="009D5191">
        <w:t xml:space="preserve">Whenever </w:t>
      </w:r>
      <w:r w:rsidR="001B0762">
        <w:t>AGN</w:t>
      </w:r>
      <w:r w:rsidRPr="009D5191">
        <w:t xml:space="preserve"> prepares a statement of charges for a given Billing Period, the Quantity of Gas shown in that statement of charges to have been delivered (or estimated to have been </w:t>
      </w:r>
      <w:proofErr w:type="gramStart"/>
      <w:r w:rsidRPr="009D5191">
        <w:t>delivered</w:t>
      </w:r>
      <w:r>
        <w:t>,</w:t>
      </w:r>
      <w:proofErr w:type="gramEnd"/>
      <w:r>
        <w:t xml:space="preserve"> </w:t>
      </w:r>
      <w:r w:rsidRPr="009D5191">
        <w:rPr>
          <w:u w:val="single"/>
        </w:rPr>
        <w:t>or expe</w:t>
      </w:r>
      <w:r>
        <w:rPr>
          <w:u w:val="single"/>
        </w:rPr>
        <w:t>cted to be delivered</w:t>
      </w:r>
      <w:r w:rsidRPr="009D5191">
        <w:t xml:space="preserve">) will be determined by </w:t>
      </w:r>
      <w:r w:rsidR="001B0762">
        <w:t>AGN</w:t>
      </w:r>
      <w:r w:rsidRPr="009D5191">
        <w:t>:</w:t>
      </w:r>
    </w:p>
    <w:p w:rsidR="009D5191" w:rsidRPr="009D5191" w:rsidRDefault="00C233DB" w:rsidP="00C233DB">
      <w:pPr>
        <w:pStyle w:val="AERquote"/>
      </w:pPr>
      <w:r>
        <w:t xml:space="preserve">(a) </w:t>
      </w:r>
      <w:proofErr w:type="gramStart"/>
      <w:r w:rsidR="009D5191" w:rsidRPr="009D5191">
        <w:t>in</w:t>
      </w:r>
      <w:proofErr w:type="gramEnd"/>
      <w:r w:rsidR="009D5191" w:rsidRPr="009D5191">
        <w:t xml:space="preserve"> the manner required by law; </w:t>
      </w:r>
    </w:p>
    <w:p w:rsidR="009D5191" w:rsidRPr="009D5191" w:rsidRDefault="009D5191" w:rsidP="00C233DB">
      <w:pPr>
        <w:pStyle w:val="AERquote"/>
      </w:pPr>
      <w:r w:rsidRPr="009D5191">
        <w:t>(</w:t>
      </w:r>
      <w:r w:rsidR="00C233DB">
        <w:t xml:space="preserve">b) </w:t>
      </w:r>
      <w:r w:rsidR="000C2BCC">
        <w:t>(</w:t>
      </w:r>
      <w:proofErr w:type="gramStart"/>
      <w:r w:rsidRPr="009D5191">
        <w:t>to</w:t>
      </w:r>
      <w:proofErr w:type="gramEnd"/>
      <w:r w:rsidRPr="009D5191">
        <w:t xml:space="preserve"> the extent permitted by law) in the manner required by any relevant rules or agreement that bind </w:t>
      </w:r>
      <w:r w:rsidR="001B0762">
        <w:t>AGN</w:t>
      </w:r>
      <w:r w:rsidRPr="009D5191">
        <w:t xml:space="preserve"> and the Network User; and </w:t>
      </w:r>
    </w:p>
    <w:p w:rsidR="009D5191" w:rsidRDefault="009D5191" w:rsidP="00C233DB">
      <w:pPr>
        <w:pStyle w:val="AERquote"/>
      </w:pPr>
      <w:r w:rsidRPr="009D5191">
        <w:t>(</w:t>
      </w:r>
      <w:r w:rsidR="00C233DB">
        <w:t xml:space="preserve">c) </w:t>
      </w:r>
      <w:proofErr w:type="gramStart"/>
      <w:r w:rsidRPr="009D5191">
        <w:t>to</w:t>
      </w:r>
      <w:proofErr w:type="gramEnd"/>
      <w:r w:rsidRPr="009D5191">
        <w:t xml:space="preserve"> the extent not otherwise required by paragraph (a) or (b)), on a reasonable basis</w:t>
      </w:r>
      <w:r w:rsidR="00C233DB">
        <w:t>.</w:t>
      </w:r>
    </w:p>
    <w:p w:rsidR="008A168B" w:rsidRDefault="008A168B" w:rsidP="00C233DB">
      <w:r>
        <w:t xml:space="preserve">AGL requested </w:t>
      </w:r>
      <w:r w:rsidR="00C233DB">
        <w:t xml:space="preserve">deletion of the </w:t>
      </w:r>
      <w:r w:rsidR="001B0762">
        <w:t>phrase</w:t>
      </w:r>
      <w:r w:rsidR="00C233DB">
        <w:t xml:space="preserve"> ‘expected to be delivered’ as it believes </w:t>
      </w:r>
      <w:r w:rsidR="001B0762">
        <w:t>it is</w:t>
      </w:r>
      <w:r w:rsidR="00C233DB">
        <w:t xml:space="preserve"> a precursor to </w:t>
      </w:r>
      <w:r>
        <w:t xml:space="preserve">AGN </w:t>
      </w:r>
      <w:r w:rsidR="00C233DB">
        <w:t xml:space="preserve">commencing forward estimated billing in Victoria. AGL </w:t>
      </w:r>
      <w:r w:rsidR="001B0762">
        <w:t>argues</w:t>
      </w:r>
      <w:r w:rsidR="00C233DB">
        <w:t xml:space="preserve"> this process results in considerable rework each month and is financially detrimental to it.</w:t>
      </w:r>
      <w:r w:rsidR="00A75620">
        <w:rPr>
          <w:rStyle w:val="FootnoteReference"/>
        </w:rPr>
        <w:footnoteReference w:id="16"/>
      </w:r>
      <w:r>
        <w:t xml:space="preserve"> </w:t>
      </w:r>
    </w:p>
    <w:p w:rsidR="000C2BCC" w:rsidRPr="000348B6" w:rsidRDefault="001B0762" w:rsidP="00C233DB">
      <w:r w:rsidRPr="000348B6">
        <w:t xml:space="preserve">Red Energy and </w:t>
      </w:r>
      <w:proofErr w:type="spellStart"/>
      <w:r w:rsidRPr="000348B6">
        <w:t>Lumo</w:t>
      </w:r>
      <w:proofErr w:type="spellEnd"/>
      <w:r w:rsidRPr="000348B6">
        <w:t xml:space="preserve"> Energy sought clarification of </w:t>
      </w:r>
      <w:r w:rsidR="008A168B" w:rsidRPr="000348B6">
        <w:t xml:space="preserve">this phrase during AGN’s pre-submission consultation, </w:t>
      </w:r>
      <w:r w:rsidRPr="000348B6">
        <w:t>suggesting it could allow AGN to bill for fut</w:t>
      </w:r>
      <w:r w:rsidR="008A168B" w:rsidRPr="000348B6">
        <w:t xml:space="preserve">ure consumption. AGN responded that </w:t>
      </w:r>
      <w:r w:rsidRPr="000348B6">
        <w:t xml:space="preserve">quantities </w:t>
      </w:r>
      <w:r w:rsidR="000C2BCC" w:rsidRPr="000348B6">
        <w:t xml:space="preserve">must be </w:t>
      </w:r>
      <w:r w:rsidRPr="000348B6">
        <w:t xml:space="preserve">determined </w:t>
      </w:r>
      <w:r w:rsidR="000C2BCC" w:rsidRPr="000348B6">
        <w:t>first and foremost in the manner required by law and any rules or agreements binding AGN and the network user</w:t>
      </w:r>
      <w:r w:rsidR="003B7DA7" w:rsidRPr="000348B6">
        <w:t>, and thereafter on a reasonable basis</w:t>
      </w:r>
      <w:r w:rsidR="000C2BCC" w:rsidRPr="000348B6">
        <w:t>.</w:t>
      </w:r>
      <w:r w:rsidR="003B7DA7" w:rsidRPr="000348B6">
        <w:t xml:space="preserve"> AGN further stated:</w:t>
      </w:r>
    </w:p>
    <w:p w:rsidR="003B7DA7" w:rsidRPr="000348B6" w:rsidRDefault="003B7DA7" w:rsidP="003B7DA7">
      <w:pPr>
        <w:pStyle w:val="AERquote"/>
      </w:pPr>
      <w:r w:rsidRPr="000348B6">
        <w:rPr>
          <w:i/>
        </w:rPr>
        <w:t>Annexure C – Calculation of Charges for Delivery Points to the Victorian A</w:t>
      </w:r>
      <w:r w:rsidR="00E86E28" w:rsidRPr="000348B6">
        <w:rPr>
          <w:i/>
        </w:rPr>
        <w:t>c</w:t>
      </w:r>
      <w:r w:rsidRPr="000348B6">
        <w:rPr>
          <w:i/>
        </w:rPr>
        <w:t>cess Arrangement for 2013</w:t>
      </w:r>
      <w:r w:rsidR="009958CA">
        <w:rPr>
          <w:i/>
        </w:rPr>
        <w:t>–</w:t>
      </w:r>
      <w:r w:rsidRPr="000348B6">
        <w:rPr>
          <w:i/>
        </w:rPr>
        <w:t>2017</w:t>
      </w:r>
      <w:r w:rsidRPr="000348B6">
        <w:t xml:space="preserve"> page 36, details that, in some circumstances, the charges for new Demand Delivery Points are calculated on the basis of the quantity of gas “expected to be delivered” over a calendar year. These charges are based on the expected capacity usage (“expected to be withdrawn”) and do not allow AGN to bill for future consumption.</w:t>
      </w:r>
      <w:r w:rsidRPr="000348B6">
        <w:rPr>
          <w:rStyle w:val="FootnoteReference"/>
        </w:rPr>
        <w:footnoteReference w:id="17"/>
      </w:r>
    </w:p>
    <w:p w:rsidR="00E86E28" w:rsidRPr="000348B6" w:rsidRDefault="00E86E28" w:rsidP="00E86E28">
      <w:r w:rsidRPr="000348B6">
        <w:t>The proposed method for calculating charges in Annexure C is unchanged from the current access arrangement. It states that the estimated annual demand for certain billing period</w:t>
      </w:r>
      <w:r w:rsidR="00DB3A61" w:rsidRPr="000348B6">
        <w:t>s</w:t>
      </w:r>
      <w:r w:rsidRPr="000348B6">
        <w:t xml:space="preserve"> is, relevantly: </w:t>
      </w:r>
    </w:p>
    <w:p w:rsidR="00E86E28" w:rsidRPr="000348B6" w:rsidRDefault="00E86E28" w:rsidP="008A5077">
      <w:pPr>
        <w:pStyle w:val="AERquote"/>
      </w:pPr>
      <w:r w:rsidRPr="000348B6">
        <w:t xml:space="preserve">… in the case of any Demand DP which was connected to the Network during Calendar Year, the highest Quantity of Gas (in GJ) which AGN reasonably expects will be withdrawn at that Demand DP in any period of 60 minutes during the Calendar Year. </w:t>
      </w:r>
    </w:p>
    <w:p w:rsidR="000C2BCC" w:rsidRPr="000348B6" w:rsidRDefault="00DB3A61" w:rsidP="00C233DB">
      <w:r w:rsidRPr="000348B6">
        <w:t xml:space="preserve">We understand from its </w:t>
      </w:r>
      <w:r w:rsidR="00A75620" w:rsidRPr="000348B6">
        <w:t xml:space="preserve">response </w:t>
      </w:r>
      <w:r w:rsidRPr="000348B6">
        <w:t xml:space="preserve">to Red Energy and </w:t>
      </w:r>
      <w:proofErr w:type="spellStart"/>
      <w:r w:rsidRPr="000348B6">
        <w:t>Lumo</w:t>
      </w:r>
      <w:proofErr w:type="spellEnd"/>
      <w:r w:rsidRPr="000348B6">
        <w:t xml:space="preserve"> Energy </w:t>
      </w:r>
      <w:r w:rsidR="00A75620" w:rsidRPr="000348B6">
        <w:t xml:space="preserve">that </w:t>
      </w:r>
      <w:r w:rsidRPr="000348B6">
        <w:t xml:space="preserve">AGN intends </w:t>
      </w:r>
      <w:r w:rsidR="00A75620" w:rsidRPr="000348B6">
        <w:t xml:space="preserve">the phrase </w:t>
      </w:r>
      <w:r w:rsidR="00EB0B57" w:rsidRPr="000348B6">
        <w:t xml:space="preserve">‘expected to be delivered’ </w:t>
      </w:r>
      <w:r w:rsidR="00A75620" w:rsidRPr="000348B6">
        <w:t xml:space="preserve">to align </w:t>
      </w:r>
      <w:r w:rsidR="00EB0B57" w:rsidRPr="000348B6">
        <w:t xml:space="preserve">clause 24.1 </w:t>
      </w:r>
      <w:r w:rsidR="00084932" w:rsidRPr="000348B6">
        <w:t xml:space="preserve">with </w:t>
      </w:r>
      <w:r w:rsidR="00AB4E93" w:rsidRPr="000348B6">
        <w:t>Annexure C</w:t>
      </w:r>
      <w:r w:rsidR="00EB0B57" w:rsidRPr="000348B6">
        <w:t xml:space="preserve"> which</w:t>
      </w:r>
      <w:r w:rsidR="00084932" w:rsidRPr="000348B6">
        <w:t xml:space="preserve">, as set out above, </w:t>
      </w:r>
      <w:r w:rsidR="00BB53C6" w:rsidRPr="000348B6">
        <w:t>utilises an estimate</w:t>
      </w:r>
      <w:r w:rsidR="00AB4E93" w:rsidRPr="000348B6">
        <w:t xml:space="preserve"> of gas usage </w:t>
      </w:r>
      <w:r w:rsidR="00BB53C6" w:rsidRPr="000348B6">
        <w:t>in limited circumstances</w:t>
      </w:r>
      <w:r w:rsidR="00AB4E93" w:rsidRPr="000348B6">
        <w:t xml:space="preserve">. </w:t>
      </w:r>
      <w:r w:rsidR="007802DC" w:rsidRPr="000348B6">
        <w:t>We consider this</w:t>
      </w:r>
      <w:r w:rsidR="00AB4E93" w:rsidRPr="000348B6">
        <w:t xml:space="preserve"> provides an adequate explanation for introducing the new phrase into clause 24.1.</w:t>
      </w:r>
    </w:p>
    <w:p w:rsidR="00476864" w:rsidRPr="000348B6" w:rsidRDefault="001C288A" w:rsidP="00C233DB">
      <w:r w:rsidRPr="000348B6">
        <w:t>It follows that we</w:t>
      </w:r>
      <w:r w:rsidR="00D90AE3" w:rsidRPr="000348B6">
        <w:t xml:space="preserve"> do not </w:t>
      </w:r>
      <w:r w:rsidRPr="000348B6">
        <w:t>accept AGL’s submission</w:t>
      </w:r>
      <w:r w:rsidR="00D90AE3" w:rsidRPr="000348B6">
        <w:t xml:space="preserve"> that </w:t>
      </w:r>
      <w:r w:rsidRPr="000348B6">
        <w:t>the phrase ‘expected to be delivered’</w:t>
      </w:r>
      <w:r w:rsidR="00D90AE3" w:rsidRPr="000348B6">
        <w:t xml:space="preserve"> portends</w:t>
      </w:r>
      <w:r w:rsidR="00210569" w:rsidRPr="000348B6">
        <w:t xml:space="preserve"> or requires</w:t>
      </w:r>
      <w:r w:rsidR="00D90AE3" w:rsidRPr="000348B6">
        <w:t xml:space="preserve"> the introduction of forward estimate billing in Victoria.</w:t>
      </w:r>
      <w:r w:rsidRPr="000348B6">
        <w:t xml:space="preserve"> </w:t>
      </w:r>
      <w:r w:rsidR="00D90AE3" w:rsidRPr="000348B6">
        <w:t xml:space="preserve">Our draft decision is to accept AGN’s proposed clause 24.1, and to reject AGL’s request to delete the phrase ‘expected to be delivered’.   </w:t>
      </w:r>
    </w:p>
    <w:p w:rsidR="001C288A" w:rsidRDefault="001C288A" w:rsidP="00C233DB">
      <w:r w:rsidRPr="000348B6">
        <w:t>In reaching this position we express no view on the desirability or otherwise of forward estimate billing as opposed to other methods.</w:t>
      </w:r>
      <w:r>
        <w:t xml:space="preserve">  </w:t>
      </w:r>
    </w:p>
    <w:p w:rsidR="00A933B4" w:rsidRDefault="00A933B4" w:rsidP="00754F5F">
      <w:pPr>
        <w:pStyle w:val="Heading3"/>
        <w:ind w:left="720"/>
      </w:pPr>
      <w:bookmarkStart w:id="78" w:name="_Toc486834893"/>
      <w:r>
        <w:t>Access to premises</w:t>
      </w:r>
      <w:bookmarkEnd w:id="78"/>
    </w:p>
    <w:p w:rsidR="00EC021F" w:rsidRDefault="00A933B4" w:rsidP="008009EC">
      <w:pPr>
        <w:pStyle w:val="AERbulletlistfirststyle"/>
        <w:numPr>
          <w:ilvl w:val="0"/>
          <w:numId w:val="0"/>
        </w:numPr>
      </w:pPr>
      <w:r>
        <w:t>C</w:t>
      </w:r>
      <w:r w:rsidR="009B7461">
        <w:t xml:space="preserve">lause 35.5 provides </w:t>
      </w:r>
      <w:r w:rsidR="005E4BDB">
        <w:t xml:space="preserve">that </w:t>
      </w:r>
      <w:r w:rsidR="009B7461">
        <w:t>AGN will not be liable to</w:t>
      </w:r>
      <w:r w:rsidR="005E4BDB">
        <w:t xml:space="preserve"> users</w:t>
      </w:r>
      <w:r w:rsidR="009B7461">
        <w:t xml:space="preserve"> for failing to perform the agreement </w:t>
      </w:r>
      <w:r w:rsidR="00AC2C51">
        <w:t>where</w:t>
      </w:r>
      <w:r w:rsidR="009B7461">
        <w:t xml:space="preserve">, despite its reasonable endeavours, it could not obtain access to premises. </w:t>
      </w:r>
      <w:r w:rsidR="00EC021F">
        <w:t xml:space="preserve">AGL submitted this clause should be deleted on the basis that </w:t>
      </w:r>
      <w:r w:rsidR="00754F5F">
        <w:t xml:space="preserve">the meter is an asset of AGN, </w:t>
      </w:r>
      <w:r w:rsidR="00AC2C51">
        <w:t xml:space="preserve">and it </w:t>
      </w:r>
      <w:r w:rsidR="00754F5F">
        <w:t>should therefore take an element of responsibility for its own property.</w:t>
      </w:r>
    </w:p>
    <w:p w:rsidR="00E1274F" w:rsidRDefault="009B7461" w:rsidP="008009EC">
      <w:pPr>
        <w:pStyle w:val="AERbulletlistfirststyle"/>
        <w:numPr>
          <w:ilvl w:val="0"/>
          <w:numId w:val="0"/>
        </w:numPr>
      </w:pPr>
      <w:r>
        <w:t xml:space="preserve">We rejected a similar clause for AGN's South Australian distribution network in 2016 because the National Energy </w:t>
      </w:r>
      <w:r w:rsidR="0077171E">
        <w:t>Retail Law</w:t>
      </w:r>
      <w:r>
        <w:t xml:space="preserve"> </w:t>
      </w:r>
      <w:r w:rsidR="0077171E">
        <w:t xml:space="preserve">(NERL) </w:t>
      </w:r>
      <w:r>
        <w:t>applying in that jurisdiction gives both the distributor and the retailer the right to enter customer premises.</w:t>
      </w:r>
      <w:r w:rsidR="00A47A10">
        <w:rPr>
          <w:rStyle w:val="FootnoteReference"/>
        </w:rPr>
        <w:footnoteReference w:id="18"/>
      </w:r>
      <w:r>
        <w:t xml:space="preserve"> </w:t>
      </w:r>
      <w:r w:rsidR="0077171E">
        <w:t>However</w:t>
      </w:r>
      <w:r w:rsidR="00AC2C51">
        <w:t>,</w:t>
      </w:r>
      <w:r w:rsidR="0077171E">
        <w:t xml:space="preserve"> the relevant provisions of the NERL do not apply in Victoria, and </w:t>
      </w:r>
      <w:r w:rsidR="00E1274F">
        <w:t xml:space="preserve">AGN's clause 35.5 </w:t>
      </w:r>
      <w:r w:rsidR="00E1274F" w:rsidRPr="00E1274F">
        <w:t xml:space="preserve">is drafted to cease to operate </w:t>
      </w:r>
      <w:r w:rsidR="00AC2C51">
        <w:t xml:space="preserve">should </w:t>
      </w:r>
      <w:r w:rsidR="00E1274F">
        <w:t xml:space="preserve">those provisions </w:t>
      </w:r>
      <w:r w:rsidR="00AC2C51">
        <w:t>be</w:t>
      </w:r>
      <w:r w:rsidR="00AC2C51" w:rsidRPr="00E1274F">
        <w:t xml:space="preserve"> </w:t>
      </w:r>
      <w:r w:rsidR="00E1274F" w:rsidRPr="00E1274F">
        <w:t xml:space="preserve">adopted in Victoria. </w:t>
      </w:r>
      <w:r w:rsidR="004F7F2A">
        <w:t>We are unaware of any other legal mechanism by which AGN currently has an equivalent right of access to customer premises on its Victorian and Albury networks in the circumstances contemplated by clause 35.5.</w:t>
      </w:r>
      <w:r w:rsidR="00267B9F">
        <w:t xml:space="preserve"> In the present circumstances, our draft decision is to accept clause 35.5 as proposed by AGN.</w:t>
      </w:r>
    </w:p>
    <w:p w:rsidR="00245D92" w:rsidRPr="00245D92" w:rsidRDefault="004F7F2A" w:rsidP="00245D92">
      <w:pPr>
        <w:pStyle w:val="Heading2"/>
      </w:pPr>
      <w:r w:rsidDel="004F7F2A">
        <w:t xml:space="preserve"> </w:t>
      </w:r>
      <w:bookmarkStart w:id="79" w:name="_Toc486834894"/>
      <w:r w:rsidR="00245D92">
        <w:t>Extensions and expansions</w:t>
      </w:r>
      <w:bookmarkEnd w:id="79"/>
    </w:p>
    <w:p w:rsidR="00677CD3" w:rsidRDefault="00677CD3" w:rsidP="00677CD3">
      <w:r>
        <w:t>These provisions specify the method for deciding whether an extension or expansion occurring during an access arrangement period will be treated as part of the covered pipeline and, if so, the impact this will have on reference tariffs.</w:t>
      </w:r>
      <w:r w:rsidRPr="008E11FF">
        <w:rPr>
          <w:rStyle w:val="AERsuperscript"/>
        </w:rPr>
        <w:footnoteReference w:id="19"/>
      </w:r>
      <w:r w:rsidRPr="0002283B">
        <w:t xml:space="preserve"> An </w:t>
      </w:r>
      <w:r>
        <w:t>'</w:t>
      </w:r>
      <w:r w:rsidRPr="0002283B">
        <w:t>extension</w:t>
      </w:r>
      <w:r>
        <w:t>'</w:t>
      </w:r>
      <w:r w:rsidRPr="0002283B">
        <w:t xml:space="preserve"> </w:t>
      </w:r>
      <w:r>
        <w:t>allows</w:t>
      </w:r>
      <w:r w:rsidRPr="0002283B">
        <w:t xml:space="preserve"> the pipeline </w:t>
      </w:r>
      <w:r>
        <w:t>to</w:t>
      </w:r>
      <w:r w:rsidRPr="0002283B">
        <w:t xml:space="preserve"> </w:t>
      </w:r>
      <w:r>
        <w:t xml:space="preserve">service </w:t>
      </w:r>
      <w:r w:rsidRPr="0002283B">
        <w:t>new locations</w:t>
      </w:r>
      <w:r>
        <w:t>, while an</w:t>
      </w:r>
      <w:r w:rsidRPr="0002283B">
        <w:t xml:space="preserve"> </w:t>
      </w:r>
      <w:r>
        <w:t>'</w:t>
      </w:r>
      <w:r w:rsidRPr="0002283B">
        <w:t>expansion</w:t>
      </w:r>
      <w:r>
        <w:t>'</w:t>
      </w:r>
      <w:r w:rsidRPr="0002283B">
        <w:t xml:space="preserve"> </w:t>
      </w:r>
      <w:r>
        <w:t>increases the amount of gas an existing length of pipeline can carry.</w:t>
      </w:r>
    </w:p>
    <w:p w:rsidR="00677CD3" w:rsidRPr="008E11FF" w:rsidRDefault="00677CD3" w:rsidP="00677CD3">
      <w:r>
        <w:t xml:space="preserve">The NGR requirements for extensions and expansions are in rule 104, which </w:t>
      </w:r>
      <w:r w:rsidRPr="008E11FF">
        <w:t>provides:</w:t>
      </w:r>
    </w:p>
    <w:p w:rsidR="00677CD3" w:rsidRPr="008E11FF" w:rsidRDefault="00677CD3" w:rsidP="00677CD3">
      <w:pPr>
        <w:pStyle w:val="AERbulletlistfirststyle"/>
      </w:pPr>
      <w:r w:rsidRPr="008E11FF">
        <w:t xml:space="preserve">the </w:t>
      </w:r>
      <w:r>
        <w:t xml:space="preserve">access arrangement </w:t>
      </w:r>
      <w:r w:rsidRPr="008E11FF">
        <w:t xml:space="preserve">may state whether </w:t>
      </w:r>
      <w:r>
        <w:t xml:space="preserve">it </w:t>
      </w:r>
      <w:r w:rsidRPr="008E11FF">
        <w:t xml:space="preserve">will apply to incremental services to be provided as a result of a particular extension to, or expansion of the capacity of, the pipeline, or outline how this may be dealt with at a later time: r. 104(1) </w:t>
      </w:r>
    </w:p>
    <w:p w:rsidR="00677CD3" w:rsidRPr="008E11FF" w:rsidRDefault="00677CD3" w:rsidP="00677CD3">
      <w:pPr>
        <w:pStyle w:val="AERbulletlistfirststyle"/>
      </w:pPr>
      <w:r w:rsidRPr="008E11FF">
        <w:t xml:space="preserve">if an access arrangement is to apply to incremental services, the requirements must deal with the effect of the extension or expansion on tariffs: r. 104(2) </w:t>
      </w:r>
    </w:p>
    <w:p w:rsidR="00677CD3" w:rsidRPr="008E11FF" w:rsidRDefault="00677CD3" w:rsidP="00677CD3">
      <w:pPr>
        <w:pStyle w:val="AERbulletlistfirststyle"/>
      </w:pPr>
      <w:proofErr w:type="gramStart"/>
      <w:r w:rsidRPr="008E11FF">
        <w:t>the</w:t>
      </w:r>
      <w:proofErr w:type="gramEnd"/>
      <w:r w:rsidRPr="008E11FF">
        <w:t xml:space="preserve"> requirements cannot require the service provider to provide funds for extension or expansion works unless the service provider agrees: r. 104(3).</w:t>
      </w:r>
    </w:p>
    <w:p w:rsidR="00245D92" w:rsidRDefault="00677CD3" w:rsidP="00245D92">
      <w:r>
        <w:t xml:space="preserve">The extensions and expansions clauses proposed by the three Victorian gas distribution businesses are </w:t>
      </w:r>
      <w:r w:rsidR="00AB6E6E">
        <w:t>similar to one another</w:t>
      </w:r>
      <w:r>
        <w:t xml:space="preserve"> </w:t>
      </w:r>
      <w:r w:rsidR="00824A98">
        <w:t>and to the existing provisions in the current access arrangements</w:t>
      </w:r>
      <w:r>
        <w:t xml:space="preserve">. </w:t>
      </w:r>
      <w:r w:rsidR="00AB6E6E">
        <w:t xml:space="preserve">We </w:t>
      </w:r>
      <w:r w:rsidR="005C721A">
        <w:t xml:space="preserve">have </w:t>
      </w:r>
      <w:r w:rsidR="00AB6E6E">
        <w:t>proposed some stylistic changes to produce yet greater consistency with the other Victorian distributors</w:t>
      </w:r>
      <w:r w:rsidR="005C721A">
        <w:t>.</w:t>
      </w:r>
      <w:r w:rsidR="00AB6E6E">
        <w:t xml:space="preserve"> AGN </w:t>
      </w:r>
      <w:r w:rsidR="00D22ACB">
        <w:t>has advised it is prepared to adopt</w:t>
      </w:r>
      <w:r w:rsidR="005C721A">
        <w:t xml:space="preserve"> these</w:t>
      </w:r>
      <w:r w:rsidR="00D22ACB">
        <w:t>.</w:t>
      </w:r>
      <w:r w:rsidR="00D22ACB">
        <w:rPr>
          <w:rStyle w:val="FootnoteReference"/>
        </w:rPr>
        <w:footnoteReference w:id="20"/>
      </w:r>
      <w:r w:rsidR="00D22ACB">
        <w:t xml:space="preserve"> These are set out in table 12.1 </w:t>
      </w:r>
      <w:r w:rsidR="00AB6E6E">
        <w:t>below.</w:t>
      </w:r>
    </w:p>
    <w:p w:rsidR="00B70C7C" w:rsidRDefault="00574213" w:rsidP="00245D92">
      <w:r>
        <w:t>The</w:t>
      </w:r>
      <w:r w:rsidR="00BF4D82">
        <w:t xml:space="preserve"> proposal</w:t>
      </w:r>
      <w:r w:rsidR="006C6764">
        <w:t xml:space="preserve"> also </w:t>
      </w:r>
      <w:r w:rsidR="00BF4D82">
        <w:t>includes a clause dealing with extensions to un-reticulated townships, which among other things provides that capital expenditure on such extensions will reduce the carry-over of cost-related efficiencies to the next access arrangement period.</w:t>
      </w:r>
      <w:r w:rsidR="00617822">
        <w:rPr>
          <w:rStyle w:val="FootnoteReference"/>
        </w:rPr>
        <w:footnoteReference w:id="21"/>
      </w:r>
      <w:r w:rsidR="00BF4D82">
        <w:t xml:space="preserve"> </w:t>
      </w:r>
      <w:r>
        <w:t xml:space="preserve">This clause </w:t>
      </w:r>
      <w:r w:rsidR="00824A98">
        <w:t>is</w:t>
      </w:r>
      <w:r>
        <w:t xml:space="preserve"> in the </w:t>
      </w:r>
      <w:r w:rsidR="00824A98">
        <w:t xml:space="preserve">current and was included in past </w:t>
      </w:r>
      <w:r>
        <w:t>access arrangements</w:t>
      </w:r>
      <w:r w:rsidR="00824A98">
        <w:t>.</w:t>
      </w:r>
      <w:r>
        <w:t xml:space="preserve"> It was intended to ensure that capital expenditure on such projects would not prejudice the carryover of efficiency gains against capital expenditure benchmarks under the efficiency carryover scheme which then applied to the network. </w:t>
      </w:r>
    </w:p>
    <w:p w:rsidR="00AB6E6E" w:rsidRDefault="00574213" w:rsidP="00245D92">
      <w:r>
        <w:t>While that scheme no longer applies, AGN</w:t>
      </w:r>
      <w:r w:rsidR="006C6764">
        <w:t xml:space="preserve"> has proposed a new</w:t>
      </w:r>
      <w:r>
        <w:t xml:space="preserve"> Capital Ex</w:t>
      </w:r>
      <w:r w:rsidR="006C6764">
        <w:t>penditure Sharing Scheme (CESS)</w:t>
      </w:r>
      <w:r>
        <w:t xml:space="preserve"> </w:t>
      </w:r>
      <w:r w:rsidR="006C6764">
        <w:t xml:space="preserve">for the coming access arrangement </w:t>
      </w:r>
      <w:r>
        <w:t>and submits that this clause should be retained. We have indicated elsewhere that we intend to accept the proposed CESS scheme</w:t>
      </w:r>
      <w:r w:rsidR="00E71604">
        <w:t>,</w:t>
      </w:r>
      <w:r>
        <w:rPr>
          <w:rStyle w:val="FootnoteReference"/>
        </w:rPr>
        <w:footnoteReference w:id="22"/>
      </w:r>
      <w:r>
        <w:t xml:space="preserve"> </w:t>
      </w:r>
      <w:r w:rsidR="00E71604">
        <w:t xml:space="preserve">and we see no difficulty in retaining clause </w:t>
      </w:r>
      <w:r w:rsidR="006C6764">
        <w:t>8.4(d).</w:t>
      </w:r>
    </w:p>
    <w:p w:rsidR="00245D92" w:rsidRPr="00245D92" w:rsidRDefault="007A24EC" w:rsidP="008A5077">
      <w:pPr>
        <w:pStyle w:val="Heading2"/>
        <w:keepNext/>
      </w:pPr>
      <w:bookmarkStart w:id="80" w:name="_Toc486834895"/>
      <w:r>
        <w:t>Capacity trading</w:t>
      </w:r>
      <w:r w:rsidR="007A0A13">
        <w:t xml:space="preserve"> and receipt/delivery points</w:t>
      </w:r>
      <w:bookmarkEnd w:id="80"/>
    </w:p>
    <w:p w:rsidR="006575CF" w:rsidRPr="007A24EC" w:rsidRDefault="006D2BB7" w:rsidP="008A5077">
      <w:pPr>
        <w:keepNext/>
      </w:pPr>
      <w:r>
        <w:t xml:space="preserve">An access arrangement must set out capacity trading requirements, which deal with the </w:t>
      </w:r>
      <w:r w:rsidR="00893384" w:rsidRPr="00772104">
        <w:t>transfer</w:t>
      </w:r>
      <w:r w:rsidR="00893384">
        <w:t xml:space="preserve"> of a</w:t>
      </w:r>
      <w:r w:rsidR="00893384" w:rsidRPr="00772104">
        <w:t xml:space="preserve"> user’s contracted capacity to another user.</w:t>
      </w:r>
      <w:r w:rsidR="00893384" w:rsidRPr="0012749F">
        <w:rPr>
          <w:rStyle w:val="FootnoteReference"/>
        </w:rPr>
        <w:footnoteReference w:id="23"/>
      </w:r>
      <w:r w:rsidR="00893384">
        <w:t xml:space="preserve"> </w:t>
      </w:r>
      <w:r w:rsidR="006575CF">
        <w:t>It must also state the terms and conditions for changing receipt and delivery points.</w:t>
      </w:r>
      <w:r w:rsidR="0012749F">
        <w:rPr>
          <w:rStyle w:val="FootnoteReference"/>
        </w:rPr>
        <w:footnoteReference w:id="24"/>
      </w:r>
    </w:p>
    <w:p w:rsidR="007A24EC" w:rsidRDefault="007A24EC" w:rsidP="007A24EC">
      <w:r w:rsidRPr="007A24EC">
        <w:t xml:space="preserve">However capacity trading between </w:t>
      </w:r>
      <w:r>
        <w:t>users</w:t>
      </w:r>
      <w:r w:rsidRPr="007A24EC">
        <w:t xml:space="preserve"> is not possible on </w:t>
      </w:r>
      <w:r>
        <w:t>AGN’s Victorian and Albury distribution network</w:t>
      </w:r>
      <w:r w:rsidRPr="007A24EC">
        <w:t xml:space="preserve">. </w:t>
      </w:r>
      <w:r>
        <w:t>As AGN states:</w:t>
      </w:r>
      <w:r>
        <w:rPr>
          <w:rStyle w:val="FootnoteReference"/>
        </w:rPr>
        <w:footnoteReference w:id="25"/>
      </w:r>
      <w:r>
        <w:t xml:space="preserve"> </w:t>
      </w:r>
    </w:p>
    <w:p w:rsidR="007A24EC" w:rsidRDefault="007A24EC" w:rsidP="007A24EC">
      <w:pPr>
        <w:pStyle w:val="AERquote"/>
      </w:pPr>
      <w:r w:rsidRPr="007A24EC">
        <w:t>Unlike a transmission pipeline, the Network is a gas distribution network in a competitive gas</w:t>
      </w:r>
      <w:r>
        <w:t xml:space="preserve"> </w:t>
      </w:r>
      <w:r w:rsidRPr="007A24EC">
        <w:t>market and, consequently, Network Users do not have reserved capacity within the Network.</w:t>
      </w:r>
      <w:r>
        <w:t xml:space="preserve"> </w:t>
      </w:r>
      <w:r w:rsidRPr="007A24EC">
        <w:t>The capacity of the Network is determined by the capacity of the Receipt Points to accept gas</w:t>
      </w:r>
      <w:r>
        <w:t xml:space="preserve"> </w:t>
      </w:r>
      <w:r w:rsidRPr="007A24EC">
        <w:t>into the Network and the capacity of the Delivery Points to deliver gas out of the Network.</w:t>
      </w:r>
    </w:p>
    <w:p w:rsidR="007A24EC" w:rsidRDefault="007A24EC" w:rsidP="007A24EC">
      <w:r>
        <w:t xml:space="preserve">The Victorian gas market </w:t>
      </w:r>
      <w:r w:rsidRPr="007A24EC">
        <w:t xml:space="preserve">is different to </w:t>
      </w:r>
      <w:r>
        <w:t>other Australian</w:t>
      </w:r>
      <w:r w:rsidRPr="007A24EC">
        <w:t xml:space="preserve"> gas markets. Those markets are based on bilateral arrangements between producers, major users and retailers linked together through pipeline hubs connecting gas fields to gas consumers. </w:t>
      </w:r>
      <w:r>
        <w:t xml:space="preserve">In Victoria, by </w:t>
      </w:r>
      <w:r w:rsidRPr="007A24EC">
        <w:t xml:space="preserve">comparison, </w:t>
      </w:r>
      <w:r w:rsidR="006575CF">
        <w:t>the receipt points on a distribution network are ‘system withdrawal points’ for the purposes of the DWGM rules which are set out in Part 19 of the NGR, and the capacity of those points is allocated in accordance with those rules.</w:t>
      </w:r>
    </w:p>
    <w:p w:rsidR="006575CF" w:rsidRDefault="006575CF" w:rsidP="007A24EC">
      <w:r>
        <w:t xml:space="preserve">Similarly, delivery points on the Victorian gas distribution networks are ‘distribution supply points’ for the purposes of the Victorian Retail Market Procedures, and can be transferred between network users in accordance with those procedures. </w:t>
      </w:r>
    </w:p>
    <w:p w:rsidR="00E369B8" w:rsidRDefault="007A24EC" w:rsidP="00E369B8">
      <w:r>
        <w:t>AGN</w:t>
      </w:r>
      <w:r w:rsidRPr="007A24EC">
        <w:t xml:space="preserve"> proposes no changes to the existing clause</w:t>
      </w:r>
      <w:r w:rsidR="006575CF">
        <w:t>s dealing with capacity trading and receipt/delivery points</w:t>
      </w:r>
      <w:r w:rsidRPr="007A24EC">
        <w:t>, which effectively</w:t>
      </w:r>
      <w:r w:rsidR="006575CF">
        <w:t xml:space="preserve"> provide</w:t>
      </w:r>
      <w:r w:rsidR="00E369B8">
        <w:t xml:space="preserve"> that:</w:t>
      </w:r>
    </w:p>
    <w:p w:rsidR="00E369B8" w:rsidRDefault="00E369B8" w:rsidP="00E369B8">
      <w:pPr>
        <w:pStyle w:val="AERbulletlistfirststyle"/>
      </w:pPr>
      <w:r>
        <w:t xml:space="preserve"> network users in Victoria are not allocated contracted capacity within the network;</w:t>
      </w:r>
    </w:p>
    <w:p w:rsidR="00E369B8" w:rsidRDefault="00E369B8" w:rsidP="00E369B8">
      <w:pPr>
        <w:pStyle w:val="AERbulletlistfirststyle"/>
      </w:pPr>
      <w:r>
        <w:t xml:space="preserve">the only receipt points on the network are custody transfer points between the network and other networks, making it unlikely the service provider would consent to a request to change a receipt point; and </w:t>
      </w:r>
    </w:p>
    <w:p w:rsidR="00E369B8" w:rsidRDefault="00E369B8" w:rsidP="00E369B8">
      <w:pPr>
        <w:pStyle w:val="AERbulletlistfirststyle"/>
      </w:pPr>
      <w:proofErr w:type="gramStart"/>
      <w:r>
        <w:t>the</w:t>
      </w:r>
      <w:proofErr w:type="gramEnd"/>
      <w:r>
        <w:t xml:space="preserve"> arrangements for changing delivery points are set out in the Victorian Retail Market Procedures.</w:t>
      </w:r>
    </w:p>
    <w:p w:rsidR="007A24EC" w:rsidRPr="007A24EC" w:rsidRDefault="007A24EC" w:rsidP="007A24EC">
      <w:r w:rsidRPr="007A24EC">
        <w:t xml:space="preserve">We maintain our view that this approach is acceptable in the unique circumstances of the </w:t>
      </w:r>
      <w:r w:rsidR="00E369B8">
        <w:t>Victorian gas market arrangements</w:t>
      </w:r>
      <w:r w:rsidRPr="007A24EC">
        <w:t xml:space="preserve">. </w:t>
      </w:r>
    </w:p>
    <w:p w:rsidR="00245D92" w:rsidRPr="00245D92" w:rsidRDefault="00245D92" w:rsidP="008A5077">
      <w:pPr>
        <w:pStyle w:val="Heading2"/>
        <w:keepNext/>
      </w:pPr>
      <w:bookmarkStart w:id="81" w:name="_Toc486834896"/>
      <w:r>
        <w:t>Revision submission and commencement</w:t>
      </w:r>
      <w:bookmarkEnd w:id="81"/>
    </w:p>
    <w:p w:rsidR="003A462E" w:rsidRPr="000809E5" w:rsidRDefault="003A462E" w:rsidP="008A5077">
      <w:pPr>
        <w:keepNext/>
      </w:pPr>
      <w:r w:rsidRPr="000809E5">
        <w:t>Rule 49(1) of the NGR requires that a full access arrangement that is not voluntary must contain a review submission date and a revision commencement date and must not contain an expiry date.</w:t>
      </w:r>
      <w:r>
        <w:t xml:space="preserve"> </w:t>
      </w:r>
      <w:r w:rsidRPr="000809E5">
        <w:t>The NGR provides that, as a general rule:</w:t>
      </w:r>
      <w:r w:rsidRPr="000809E5">
        <w:rPr>
          <w:rStyle w:val="FootnoteReference"/>
        </w:rPr>
        <w:footnoteReference w:id="26"/>
      </w:r>
    </w:p>
    <w:p w:rsidR="003A462E" w:rsidRPr="00605100" w:rsidRDefault="003A462E" w:rsidP="003A462E">
      <w:pPr>
        <w:pStyle w:val="AERbulletlistfirststyle"/>
      </w:pPr>
      <w:r w:rsidRPr="000809E5">
        <w:t xml:space="preserve">a review submission date will fall </w:t>
      </w:r>
      <w:r w:rsidRPr="00605100">
        <w:t>four years after the access arrangement took effect or the last revision commencement date; and</w:t>
      </w:r>
    </w:p>
    <w:p w:rsidR="003A462E" w:rsidRPr="00605100" w:rsidRDefault="003A462E" w:rsidP="003A462E">
      <w:pPr>
        <w:pStyle w:val="AERbulletlistfirststyle"/>
      </w:pPr>
      <w:proofErr w:type="gramStart"/>
      <w:r w:rsidRPr="000809E5">
        <w:t>a</w:t>
      </w:r>
      <w:proofErr w:type="gramEnd"/>
      <w:r w:rsidRPr="000809E5">
        <w:t xml:space="preserve"> revision commencement date will fall </w:t>
      </w:r>
      <w:r w:rsidRPr="00605100">
        <w:t>five years after the access arrangement took effect o</w:t>
      </w:r>
      <w:r w:rsidR="008B2BBC">
        <w:t>r</w:t>
      </w:r>
      <w:r w:rsidRPr="00605100">
        <w:t xml:space="preserve"> the last revision commencement date.</w:t>
      </w:r>
    </w:p>
    <w:p w:rsidR="003A462E" w:rsidRDefault="003A462E" w:rsidP="003A462E">
      <w:r w:rsidRPr="000809E5">
        <w:t xml:space="preserve">The AER is required to accept a service provider’s proposed review submission and commencement dates if these are made in accordance with this general rule. </w:t>
      </w:r>
    </w:p>
    <w:p w:rsidR="002D5925" w:rsidRDefault="003A462E" w:rsidP="003A462E">
      <w:r>
        <w:t xml:space="preserve">AGN proposes a </w:t>
      </w:r>
      <w:r w:rsidR="002D5925">
        <w:t>review</w:t>
      </w:r>
      <w:r>
        <w:t xml:space="preserve"> submission date of </w:t>
      </w:r>
      <w:r w:rsidRPr="003A462E">
        <w:t>1</w:t>
      </w:r>
      <w:r w:rsidR="002D5925">
        <w:t xml:space="preserve"> December 2021</w:t>
      </w:r>
      <w:r w:rsidR="002D5925" w:rsidRPr="002D5925">
        <w:t xml:space="preserve"> </w:t>
      </w:r>
      <w:r w:rsidR="002D5925">
        <w:t xml:space="preserve">and a revision commencement date of 1 January 2023. Our draft decision is to accept both of these dates. </w:t>
      </w:r>
    </w:p>
    <w:p w:rsidR="002D5925" w:rsidRDefault="002D5925" w:rsidP="00FB4BA2">
      <w:r>
        <w:t>While the review submission date is one month earlier than contemplated by the general rule, this would ease the administrative challenges of receiving AGN’s review submission on 1 January 2022. We invited the other Victorian service providers to consider changing their review submission dates to 1 December 2021</w:t>
      </w:r>
      <w:r w:rsidR="00DC0355">
        <w:t xml:space="preserve">. AusNet agreed to </w:t>
      </w:r>
      <w:r w:rsidR="00810A19">
        <w:t>this suggestion,</w:t>
      </w:r>
      <w:r w:rsidR="00FB4BA2">
        <w:t xml:space="preserve"> but </w:t>
      </w:r>
      <w:r w:rsidR="00DC0355">
        <w:t xml:space="preserve">APA and Multinet have </w:t>
      </w:r>
      <w:r>
        <w:t xml:space="preserve">elected </w:t>
      </w:r>
      <w:r w:rsidR="00810A19">
        <w:t>not to bring their review submission date forward</w:t>
      </w:r>
      <w:r>
        <w:t>.</w:t>
      </w:r>
      <w:r w:rsidR="00FB4BA2">
        <w:t xml:space="preserve"> To ensure AGN is not disadvantaged by having to submit its revisions earlier than the others,</w:t>
      </w:r>
      <w:r>
        <w:t xml:space="preserve"> we will be receptive </w:t>
      </w:r>
      <w:r w:rsidR="00FB4BA2">
        <w:t>if</w:t>
      </w:r>
      <w:r>
        <w:t xml:space="preserve"> AGN</w:t>
      </w:r>
      <w:r w:rsidR="00FB4BA2">
        <w:t xml:space="preserve"> seeks to change its revisions submission date to 1 January 2022 in response to this draft decision.</w:t>
      </w:r>
    </w:p>
    <w:p w:rsidR="003A462E" w:rsidRPr="000809E5" w:rsidRDefault="003A462E" w:rsidP="003A462E"/>
    <w:p w:rsidR="005B5839" w:rsidRDefault="005B5839" w:rsidP="00132D43">
      <w:pPr>
        <w:sectPr w:rsidR="005B5839" w:rsidSect="00CF42AA">
          <w:headerReference w:type="default" r:id="rId19"/>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pPr>
    </w:p>
    <w:p w:rsidR="00D5015C" w:rsidRDefault="00D5015C" w:rsidP="00D5015C">
      <w:pPr>
        <w:pStyle w:val="Heading2"/>
      </w:pPr>
      <w:bookmarkStart w:id="82" w:name="_Toc486834897"/>
      <w:bookmarkStart w:id="83" w:name="_GoBack"/>
      <w:bookmarkEnd w:id="83"/>
      <w:r>
        <w:t>Revisions</w:t>
      </w:r>
      <w:bookmarkEnd w:id="82"/>
    </w:p>
    <w:p w:rsidR="004F7F2A" w:rsidRDefault="004F7F2A" w:rsidP="00267B9F">
      <w:r>
        <w:t>Our draft decision is to approve the non-tariff components of AGN’s proposed access arrangement, subject to the following revisions.</w:t>
      </w:r>
    </w:p>
    <w:p w:rsidR="004F7F2A" w:rsidRPr="004F7F2A" w:rsidRDefault="004F7F2A" w:rsidP="00267B9F">
      <w:pPr>
        <w:pStyle w:val="Caption"/>
      </w:pPr>
      <w:r>
        <w:t xml:space="preserve">Table </w:t>
      </w:r>
      <w:fldSimple w:instr=" STYLEREF 1 \s ">
        <w:r w:rsidR="007B2BCC">
          <w:rPr>
            <w:noProof/>
          </w:rPr>
          <w:t>12</w:t>
        </w:r>
      </w:fldSimple>
      <w:r>
        <w:noBreakHyphen/>
      </w:r>
      <w:fldSimple w:instr=" SEQ Table \* ARABIC \s 1 ">
        <w:r w:rsidR="007B2BCC">
          <w:rPr>
            <w:noProof/>
          </w:rPr>
          <w:t>1</w:t>
        </w:r>
      </w:fldSimple>
      <w:r w:rsidR="0012749F">
        <w:t xml:space="preserve"> Revisions to non-tariff components of AGN’s proposed ac</w:t>
      </w:r>
      <w:r w:rsidR="00306FB4">
        <w:t>c</w:t>
      </w:r>
      <w:r w:rsidR="0012749F">
        <w:t>ess arrangement</w:t>
      </w:r>
    </w:p>
    <w:tbl>
      <w:tblPr>
        <w:tblStyle w:val="AERtable-numbers"/>
        <w:tblW w:w="0" w:type="auto"/>
        <w:tblLook w:val="04A0" w:firstRow="1" w:lastRow="0" w:firstColumn="1" w:lastColumn="0" w:noHBand="0" w:noVBand="1"/>
      </w:tblPr>
      <w:tblGrid>
        <w:gridCol w:w="2235"/>
        <w:gridCol w:w="11797"/>
      </w:tblGrid>
      <w:tr w:rsidR="005B5839" w:rsidTr="00A860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top"/>
          </w:tcPr>
          <w:p w:rsidR="005B5839" w:rsidRDefault="005B5839" w:rsidP="005B5839">
            <w:r>
              <w:t>Clause</w:t>
            </w:r>
          </w:p>
        </w:tc>
        <w:tc>
          <w:tcPr>
            <w:tcW w:w="11797" w:type="dxa"/>
            <w:vAlign w:val="top"/>
          </w:tcPr>
          <w:p w:rsidR="005B5839" w:rsidRDefault="005B5839" w:rsidP="00DA7D16">
            <w:pPr>
              <w:jc w:val="left"/>
              <w:cnfStyle w:val="100000000000" w:firstRow="1" w:lastRow="0" w:firstColumn="0" w:lastColumn="0" w:oddVBand="0" w:evenVBand="0" w:oddHBand="0" w:evenHBand="0" w:firstRowFirstColumn="0" w:firstRowLastColumn="0" w:lastRowFirstColumn="0" w:lastRowLastColumn="0"/>
            </w:pPr>
            <w:r>
              <w:t>Revisions</w:t>
            </w:r>
          </w:p>
        </w:tc>
      </w:tr>
      <w:tr w:rsidR="005B5839" w:rsidTr="00DA7D16">
        <w:tc>
          <w:tcPr>
            <w:cnfStyle w:val="001000000000" w:firstRow="0" w:lastRow="0" w:firstColumn="1" w:lastColumn="0" w:oddVBand="0" w:evenVBand="0" w:oddHBand="0" w:evenHBand="0" w:firstRowFirstColumn="0" w:firstRowLastColumn="0" w:lastRowFirstColumn="0" w:lastRowLastColumn="0"/>
            <w:tcW w:w="2235" w:type="dxa"/>
            <w:vAlign w:val="top"/>
          </w:tcPr>
          <w:p w:rsidR="005B5839" w:rsidRDefault="00E070D1" w:rsidP="00E070D1">
            <w:r>
              <w:t xml:space="preserve">8.1 </w:t>
            </w:r>
          </w:p>
        </w:tc>
        <w:tc>
          <w:tcPr>
            <w:tcW w:w="11797" w:type="dxa"/>
            <w:vAlign w:val="top"/>
          </w:tcPr>
          <w:p w:rsidR="00E070D1" w:rsidRPr="00C81507" w:rsidRDefault="00E070D1" w:rsidP="00DA7D16">
            <w:pPr>
              <w:jc w:val="left"/>
              <w:cnfStyle w:val="000000000000" w:firstRow="0" w:lastRow="0" w:firstColumn="0" w:lastColumn="0" w:oddVBand="0" w:evenVBand="0" w:oddHBand="0" w:evenHBand="0" w:firstRowFirstColumn="0" w:firstRowLastColumn="0" w:lastRowFirstColumn="0" w:lastRowLastColumn="0"/>
              <w:rPr>
                <w:u w:val="single"/>
              </w:rPr>
            </w:pPr>
            <w:r w:rsidRPr="00C81507">
              <w:rPr>
                <w:strike/>
              </w:rPr>
              <w:t>New Network Sections</w:t>
            </w:r>
            <w:r w:rsidR="00C81507">
              <w:rPr>
                <w:strike/>
                <w:u w:val="single"/>
              </w:rPr>
              <w:t xml:space="preserve"> </w:t>
            </w:r>
            <w:r w:rsidR="00C81507" w:rsidRPr="00C81507">
              <w:rPr>
                <w:u w:val="single"/>
              </w:rPr>
              <w:t>High pressure extensions</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r>
              <w:t xml:space="preserve">a. </w:t>
            </w:r>
            <w:r w:rsidRPr="00E070D1">
              <w:t xml:space="preserve">If AGN proposes a </w:t>
            </w:r>
            <w:r w:rsidRPr="00FB6C5C">
              <w:rPr>
                <w:strike/>
              </w:rPr>
              <w:t>new network section as an Extension to the Network then</w:t>
            </w:r>
            <w:r w:rsidR="00FB6C5C">
              <w:t xml:space="preserve"> </w:t>
            </w:r>
            <w:r w:rsidR="00FB6C5C">
              <w:rPr>
                <w:u w:val="single"/>
              </w:rPr>
              <w:t>high pressure pipeline extension of the covered pipeline</w:t>
            </w:r>
            <w:r w:rsidRPr="00E070D1">
              <w:t>, subject</w:t>
            </w:r>
            <w:r>
              <w:t xml:space="preserve"> </w:t>
            </w:r>
            <w:r w:rsidRPr="00E070D1">
              <w:t>to Section 8.1</w:t>
            </w:r>
            <w:r w:rsidRPr="00FB6C5C">
              <w:rPr>
                <w:strike/>
              </w:rPr>
              <w:t>d</w:t>
            </w:r>
            <w:r w:rsidR="00FB6C5C">
              <w:rPr>
                <w:u w:val="single"/>
              </w:rPr>
              <w:t>c</w:t>
            </w:r>
            <w:r w:rsidRPr="00E070D1">
              <w:t>, AGN must apply to the Regulator in writing to decide whether this</w:t>
            </w:r>
            <w:r>
              <w:t xml:space="preserve"> </w:t>
            </w:r>
            <w:r w:rsidRPr="00E070D1">
              <w:t>Access Arrangement will apply to incremental services to be provided by the proposed</w:t>
            </w:r>
            <w:r>
              <w:t xml:space="preserve"> </w:t>
            </w:r>
            <w:r w:rsidRPr="00E070D1">
              <w:t>extension. The application must include the information required by Section 8.1</w:t>
            </w:r>
            <w:r w:rsidRPr="00FB6C5C">
              <w:rPr>
                <w:strike/>
              </w:rPr>
              <w:t>c</w:t>
            </w:r>
            <w:r w:rsidR="00FB6C5C">
              <w:t xml:space="preserve"> </w:t>
            </w:r>
            <w:r w:rsidR="00FB6C5C">
              <w:rPr>
                <w:u w:val="single"/>
              </w:rPr>
              <w:t>b</w:t>
            </w:r>
            <w:r w:rsidRPr="00E070D1">
              <w:t>.</w:t>
            </w:r>
          </w:p>
          <w:p w:rsidR="00E070D1" w:rsidRPr="00FB6C5C" w:rsidRDefault="00E070D1" w:rsidP="00DA7D16">
            <w:pPr>
              <w:jc w:val="left"/>
              <w:cnfStyle w:val="000000000000" w:firstRow="0" w:lastRow="0" w:firstColumn="0" w:lastColumn="0" w:oddVBand="0" w:evenVBand="0" w:oddHBand="0" w:evenHBand="0" w:firstRowFirstColumn="0" w:firstRowLastColumn="0" w:lastRowFirstColumn="0" w:lastRowLastColumn="0"/>
              <w:rPr>
                <w:strike/>
              </w:rPr>
            </w:pPr>
            <w:proofErr w:type="gramStart"/>
            <w:r w:rsidRPr="00FB6C5C">
              <w:rPr>
                <w:strike/>
              </w:rPr>
              <w:t>b</w:t>
            </w:r>
            <w:proofErr w:type="gramEnd"/>
            <w:r w:rsidRPr="00FB6C5C">
              <w:rPr>
                <w:strike/>
              </w:rPr>
              <w:t xml:space="preserve"> For the purposes of this Section 8, a new network section means an Extension to the Network which is connected directly to a transmission pipeline and which provides gas by way of reticulation to a new development or to an existing development which has not previously been serviced by gas reticulation. A transmission pipeline is a pipeline which has a maximum allowable operating pressure of greater than 1,050kPa gauge.</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r w:rsidRPr="00FB6C5C">
              <w:rPr>
                <w:strike/>
              </w:rPr>
              <w:t>c</w:t>
            </w:r>
            <w:r w:rsidRPr="00E070D1">
              <w:t xml:space="preserve"> </w:t>
            </w:r>
            <w:r w:rsidR="00FB6C5C">
              <w:rPr>
                <w:u w:val="single"/>
              </w:rPr>
              <w:t>b</w:t>
            </w:r>
            <w:r w:rsidR="00FB6C5C">
              <w:t xml:space="preserve"> </w:t>
            </w:r>
            <w:r w:rsidRPr="00E070D1">
              <w:t>A notification given by AGN under this Section 8.1 must:</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proofErr w:type="spellStart"/>
            <w:r w:rsidRPr="00E070D1">
              <w:t>i</w:t>
            </w:r>
            <w:proofErr w:type="spellEnd"/>
            <w:r w:rsidRPr="00E070D1">
              <w:t xml:space="preserve"> be in writing;</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r w:rsidRPr="00E070D1">
              <w:t>ii state whether AGN intends for this Access Arrangement to apply to the incremental</w:t>
            </w:r>
            <w:r>
              <w:t xml:space="preserve"> </w:t>
            </w:r>
            <w:r w:rsidRPr="00E070D1">
              <w:t>services to be provided by means of the proposed extension;</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r w:rsidRPr="00E070D1">
              <w:t>iii describe the proposed extension and describe why the proposed extension is being</w:t>
            </w:r>
            <w:r>
              <w:t xml:space="preserve"> </w:t>
            </w:r>
            <w:r w:rsidRPr="00E070D1">
              <w:t>undertaken; and</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proofErr w:type="gramStart"/>
            <w:r w:rsidRPr="00E070D1">
              <w:t>iv</w:t>
            </w:r>
            <w:proofErr w:type="gramEnd"/>
            <w:r w:rsidRPr="00E070D1">
              <w:t xml:space="preserve"> be given to the AER before the proposed extension comes into service.</w:t>
            </w:r>
          </w:p>
          <w:p w:rsidR="00E070D1" w:rsidRPr="00E070D1" w:rsidRDefault="00E070D1" w:rsidP="00DA7D16">
            <w:pPr>
              <w:jc w:val="left"/>
              <w:cnfStyle w:val="000000000000" w:firstRow="0" w:lastRow="0" w:firstColumn="0" w:lastColumn="0" w:oddVBand="0" w:evenVBand="0" w:oddHBand="0" w:evenHBand="0" w:firstRowFirstColumn="0" w:firstRowLastColumn="0" w:lastRowFirstColumn="0" w:lastRowLastColumn="0"/>
            </w:pPr>
            <w:proofErr w:type="gramStart"/>
            <w:r w:rsidRPr="00FB6C5C">
              <w:rPr>
                <w:strike/>
              </w:rPr>
              <w:t>d</w:t>
            </w:r>
            <w:proofErr w:type="gramEnd"/>
            <w:r w:rsidRPr="00E070D1">
              <w:t xml:space="preserve"> </w:t>
            </w:r>
            <w:r w:rsidR="00FB6C5C">
              <w:rPr>
                <w:u w:val="single"/>
              </w:rPr>
              <w:t>c</w:t>
            </w:r>
            <w:r w:rsidR="00FB6C5C">
              <w:t xml:space="preserve"> </w:t>
            </w:r>
            <w:r w:rsidRPr="00E070D1">
              <w:t>AGN is not required to notify the AER under this Section 8.1 to the extent that the cost</w:t>
            </w:r>
            <w:r>
              <w:t xml:space="preserve"> </w:t>
            </w:r>
            <w:r w:rsidRPr="00E070D1">
              <w:t>of the proposed extension has already been included and approved by the Regulator in</w:t>
            </w:r>
            <w:r>
              <w:t xml:space="preserve"> </w:t>
            </w:r>
            <w:r w:rsidRPr="00E070D1">
              <w:t>the calculation of Reference Tariffs, in which case, this Access Arrangement applies to</w:t>
            </w:r>
            <w:r>
              <w:t xml:space="preserve"> </w:t>
            </w:r>
            <w:r w:rsidRPr="00E070D1">
              <w:t>incremental services to be provided by means of the proposed extension.</w:t>
            </w:r>
          </w:p>
          <w:p w:rsidR="00E070D1" w:rsidRPr="00E070D1" w:rsidRDefault="00FB6C5C" w:rsidP="00DA7D16">
            <w:pPr>
              <w:jc w:val="left"/>
              <w:cnfStyle w:val="000000000000" w:firstRow="0" w:lastRow="0" w:firstColumn="0" w:lastColumn="0" w:oddVBand="0" w:evenVBand="0" w:oddHBand="0" w:evenHBand="0" w:firstRowFirstColumn="0" w:firstRowLastColumn="0" w:lastRowFirstColumn="0" w:lastRowLastColumn="0"/>
            </w:pPr>
            <w:r w:rsidRPr="00FB6C5C">
              <w:rPr>
                <w:strike/>
              </w:rPr>
              <w:t>E</w:t>
            </w:r>
            <w:r>
              <w:t xml:space="preserve"> </w:t>
            </w:r>
            <w:r>
              <w:rPr>
                <w:u w:val="single"/>
              </w:rPr>
              <w:t>d</w:t>
            </w:r>
            <w:r w:rsidR="00E070D1" w:rsidRPr="00E070D1">
              <w:t xml:space="preserve"> After considering AGN’s application, and undertaking such consultation as the</w:t>
            </w:r>
            <w:r w:rsidR="00E070D1">
              <w:t xml:space="preserve"> </w:t>
            </w:r>
            <w:r w:rsidR="00E070D1" w:rsidRPr="00E070D1">
              <w:t>Regulator considers appropriate, the Regulator will inform AGN of its decision on AGN’s</w:t>
            </w:r>
            <w:r w:rsidR="00E070D1">
              <w:t xml:space="preserve"> </w:t>
            </w:r>
            <w:r w:rsidR="00E070D1" w:rsidRPr="00E070D1">
              <w:t>proposed coverage approach for the new network section.</w:t>
            </w:r>
          </w:p>
          <w:p w:rsidR="005B5839" w:rsidRDefault="00E070D1" w:rsidP="00DA7D16">
            <w:pPr>
              <w:jc w:val="left"/>
              <w:cnfStyle w:val="000000000000" w:firstRow="0" w:lastRow="0" w:firstColumn="0" w:lastColumn="0" w:oddVBand="0" w:evenVBand="0" w:oddHBand="0" w:evenHBand="0" w:firstRowFirstColumn="0" w:firstRowLastColumn="0" w:lastRowFirstColumn="0" w:lastRowLastColumn="0"/>
            </w:pPr>
            <w:proofErr w:type="gramStart"/>
            <w:r w:rsidRPr="00FB6C5C">
              <w:rPr>
                <w:strike/>
              </w:rPr>
              <w:t>f</w:t>
            </w:r>
            <w:proofErr w:type="gramEnd"/>
            <w:r w:rsidRPr="00E070D1">
              <w:t xml:space="preserve"> </w:t>
            </w:r>
            <w:r w:rsidR="00FB6C5C">
              <w:rPr>
                <w:u w:val="single"/>
              </w:rPr>
              <w:t xml:space="preserve">e </w:t>
            </w:r>
            <w:r w:rsidRPr="00E070D1">
              <w:t>The Regulator’s decision referred to above may be made on such reasonable</w:t>
            </w:r>
            <w:r>
              <w:t xml:space="preserve"> </w:t>
            </w:r>
            <w:r w:rsidRPr="00E070D1">
              <w:t>conditions as determined by the Regulator and will have the effect stated in the</w:t>
            </w:r>
            <w:r>
              <w:t xml:space="preserve"> </w:t>
            </w:r>
            <w:r w:rsidRPr="00E070D1">
              <w:t>decision.</w:t>
            </w:r>
          </w:p>
        </w:tc>
      </w:tr>
      <w:tr w:rsidR="005B5839" w:rsidTr="00DA7D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top"/>
          </w:tcPr>
          <w:p w:rsidR="005B5839" w:rsidRDefault="00DA7D16" w:rsidP="005B5839">
            <w:r>
              <w:t>8.2</w:t>
            </w:r>
          </w:p>
        </w:tc>
        <w:tc>
          <w:tcPr>
            <w:tcW w:w="11797" w:type="dxa"/>
            <w:vAlign w:val="top"/>
          </w:tcPr>
          <w:p w:rsidR="00DA7D16" w:rsidRDefault="00DA7D16" w:rsidP="00DA7D16">
            <w:pPr>
              <w:jc w:val="left"/>
              <w:cnfStyle w:val="000000010000" w:firstRow="0" w:lastRow="0" w:firstColumn="0" w:lastColumn="0" w:oddVBand="0" w:evenVBand="0" w:oddHBand="0" w:evenHBand="1" w:firstRowFirstColumn="0" w:firstRowLastColumn="0" w:lastRowFirstColumn="0" w:lastRowLastColumn="0"/>
            </w:pPr>
            <w:r>
              <w:t xml:space="preserve">Other extensions and expansions </w:t>
            </w:r>
          </w:p>
          <w:p w:rsidR="00DA7D16" w:rsidRPr="00DA7D16" w:rsidRDefault="00DA7D16" w:rsidP="00DA7D16">
            <w:pPr>
              <w:jc w:val="left"/>
              <w:cnfStyle w:val="000000010000" w:firstRow="0" w:lastRow="0" w:firstColumn="0" w:lastColumn="0" w:oddVBand="0" w:evenVBand="0" w:oddHBand="0" w:evenHBand="1" w:firstRowFirstColumn="0" w:firstRowLastColumn="0" w:lastRowFirstColumn="0" w:lastRowLastColumn="0"/>
              <w:rPr>
                <w:strike/>
              </w:rPr>
            </w:pPr>
            <w:r w:rsidRPr="00DA7D16">
              <w:rPr>
                <w:strike/>
              </w:rPr>
              <w:t>a Subject to Section 8.2b, this Access Arrangement will apply to Incremental Reference Services to be provided as a result of any extensions to the Network, and expansions of the capacity of the Network, which are not new network sections within the meaning of Section 8.1b.</w:t>
            </w:r>
          </w:p>
          <w:p w:rsidR="00DA7D16" w:rsidRPr="00DA7D16" w:rsidRDefault="00DA7D16" w:rsidP="00DA7D16">
            <w:pPr>
              <w:jc w:val="left"/>
              <w:cnfStyle w:val="000000010000" w:firstRow="0" w:lastRow="0" w:firstColumn="0" w:lastColumn="0" w:oddVBand="0" w:evenVBand="0" w:oddHBand="0" w:evenHBand="1" w:firstRowFirstColumn="0" w:firstRowLastColumn="0" w:lastRowFirstColumn="0" w:lastRowLastColumn="0"/>
              <w:rPr>
                <w:strike/>
              </w:rPr>
            </w:pPr>
            <w:proofErr w:type="gramStart"/>
            <w:r w:rsidRPr="00DA7D16">
              <w:rPr>
                <w:strike/>
              </w:rPr>
              <w:t>b</w:t>
            </w:r>
            <w:proofErr w:type="gramEnd"/>
            <w:r w:rsidRPr="00DA7D16">
              <w:rPr>
                <w:strike/>
              </w:rPr>
              <w:t xml:space="preserve"> Subject to Section 8.2c, AGN may notify the Regulator that this Access Arrangement will not apply to an extension to the Network, or expansion of the capacity of the Network, which would otherwise fall within Section 8.2a. A notification under this Section 8.2b must be given in writing to the Regulator before the extension or expansion is commissioned.</w:t>
            </w:r>
          </w:p>
          <w:p w:rsidR="005B5839" w:rsidRDefault="00DA7D16" w:rsidP="00DA7D16">
            <w:pPr>
              <w:jc w:val="left"/>
              <w:cnfStyle w:val="000000010000" w:firstRow="0" w:lastRow="0" w:firstColumn="0" w:lastColumn="0" w:oddVBand="0" w:evenVBand="0" w:oddHBand="0" w:evenHBand="1" w:firstRowFirstColumn="0" w:firstRowLastColumn="0" w:lastRowFirstColumn="0" w:lastRowLastColumn="0"/>
              <w:rPr>
                <w:strike/>
              </w:rPr>
            </w:pPr>
            <w:proofErr w:type="gramStart"/>
            <w:r w:rsidRPr="00DA7D16">
              <w:rPr>
                <w:strike/>
              </w:rPr>
              <w:t>c</w:t>
            </w:r>
            <w:proofErr w:type="gramEnd"/>
            <w:r w:rsidRPr="00DA7D16">
              <w:rPr>
                <w:strike/>
              </w:rPr>
              <w:t xml:space="preserve"> AGN may not give a notice to the Regulator under Section 8.2b in relation to any extension or expansion to the extent that the cost of the extension or expansion has already been included in the calculation of the Reference Tariffs.</w:t>
            </w:r>
          </w:p>
          <w:p w:rsidR="00DA7D16" w:rsidRDefault="00DA7D16" w:rsidP="00DA7D16">
            <w:pPr>
              <w:jc w:val="left"/>
              <w:cnfStyle w:val="000000010000" w:firstRow="0" w:lastRow="0" w:firstColumn="0" w:lastColumn="0" w:oddVBand="0" w:evenVBand="0" w:oddHBand="0" w:evenHBand="1" w:firstRowFirstColumn="0" w:firstRowLastColumn="0" w:lastRowFirstColumn="0" w:lastRowLastColumn="0"/>
              <w:rPr>
                <w:u w:val="single"/>
              </w:rPr>
            </w:pPr>
            <w:proofErr w:type="spellStart"/>
            <w:proofErr w:type="gramStart"/>
            <w:r>
              <w:rPr>
                <w:u w:val="single"/>
              </w:rPr>
              <w:t>a</w:t>
            </w:r>
            <w:proofErr w:type="spellEnd"/>
            <w:proofErr w:type="gramEnd"/>
            <w:r>
              <w:rPr>
                <w:u w:val="single"/>
              </w:rPr>
              <w:t xml:space="preserve"> Any extensions to the Network which are not high pressure pipeline extensions within the meaning of this clause will be covered by this Access Arrangement. Any expansions to the Network will be covered by this Access Arrangement.</w:t>
            </w:r>
          </w:p>
          <w:p w:rsidR="00DA7D16" w:rsidRPr="00DA7D16" w:rsidRDefault="00DA7D16" w:rsidP="00DA7D16">
            <w:pPr>
              <w:jc w:val="left"/>
              <w:cnfStyle w:val="000000010000" w:firstRow="0" w:lastRow="0" w:firstColumn="0" w:lastColumn="0" w:oddVBand="0" w:evenVBand="0" w:oddHBand="0" w:evenHBand="1" w:firstRowFirstColumn="0" w:firstRowLastColumn="0" w:lastRowFirstColumn="0" w:lastRowLastColumn="0"/>
              <w:rPr>
                <w:u w:val="single"/>
              </w:rPr>
            </w:pPr>
            <w:proofErr w:type="gramStart"/>
            <w:r>
              <w:rPr>
                <w:u w:val="single"/>
              </w:rPr>
              <w:t>b</w:t>
            </w:r>
            <w:proofErr w:type="gramEnd"/>
            <w:r>
              <w:rPr>
                <w:u w:val="single"/>
              </w:rPr>
              <w:t xml:space="preserve"> For the purposes of this clause, high pressure means 1050kPa.</w:t>
            </w:r>
          </w:p>
        </w:tc>
      </w:tr>
      <w:tr w:rsidR="00D945F0" w:rsidTr="00DA7D16">
        <w:tc>
          <w:tcPr>
            <w:cnfStyle w:val="001000000000" w:firstRow="0" w:lastRow="0" w:firstColumn="1" w:lastColumn="0" w:oddVBand="0" w:evenVBand="0" w:oddHBand="0" w:evenHBand="0" w:firstRowFirstColumn="0" w:firstRowLastColumn="0" w:lastRowFirstColumn="0" w:lastRowLastColumn="0"/>
            <w:tcW w:w="2235" w:type="dxa"/>
            <w:vAlign w:val="top"/>
          </w:tcPr>
          <w:p w:rsidR="00D945F0" w:rsidRDefault="00D945F0" w:rsidP="00C07B5C">
            <w:r>
              <w:rPr>
                <w:b/>
              </w:rPr>
              <w:t>Annexure F – General Terms and Conditions</w:t>
            </w:r>
            <w:r>
              <w:t xml:space="preserve"> </w:t>
            </w:r>
          </w:p>
        </w:tc>
        <w:tc>
          <w:tcPr>
            <w:tcW w:w="11797" w:type="dxa"/>
            <w:vAlign w:val="top"/>
          </w:tcPr>
          <w:p w:rsidR="00D945F0" w:rsidRDefault="00D945F0" w:rsidP="00DA7D16">
            <w:pPr>
              <w:cnfStyle w:val="000000000000" w:firstRow="0" w:lastRow="0" w:firstColumn="0" w:lastColumn="0" w:oddVBand="0" w:evenVBand="0" w:oddHBand="0" w:evenHBand="0" w:firstRowFirstColumn="0" w:firstRowLastColumn="0" w:lastRowFirstColumn="0" w:lastRowLastColumn="0"/>
            </w:pPr>
          </w:p>
        </w:tc>
      </w:tr>
      <w:tr w:rsidR="00D945F0" w:rsidTr="00C07B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top"/>
          </w:tcPr>
          <w:p w:rsidR="00D945F0" w:rsidRDefault="00D945F0" w:rsidP="005B5839">
            <w:r>
              <w:t>17.7</w:t>
            </w:r>
          </w:p>
        </w:tc>
        <w:tc>
          <w:tcPr>
            <w:tcW w:w="11797" w:type="dxa"/>
            <w:vAlign w:val="top"/>
          </w:tcPr>
          <w:p w:rsidR="00D945F0" w:rsidRDefault="00C07B5C" w:rsidP="00C07B5C">
            <w:pPr>
              <w:jc w:val="left"/>
              <w:cnfStyle w:val="000000010000" w:firstRow="0" w:lastRow="0" w:firstColumn="0" w:lastColumn="0" w:oddVBand="0" w:evenVBand="0" w:oddHBand="0" w:evenHBand="1" w:firstRowFirstColumn="0" w:firstRowLastColumn="0" w:lastRowFirstColumn="0" w:lastRowLastColumn="0"/>
              <w:rPr>
                <w:b/>
              </w:rPr>
            </w:pPr>
            <w:r>
              <w:rPr>
                <w:b/>
              </w:rPr>
              <w:t>Assistance</w:t>
            </w:r>
          </w:p>
          <w:p w:rsidR="00C07B5C" w:rsidRDefault="00C07B5C" w:rsidP="00C07B5C">
            <w:pPr>
              <w:jc w:val="left"/>
              <w:cnfStyle w:val="000000010000" w:firstRow="0" w:lastRow="0" w:firstColumn="0" w:lastColumn="0" w:oddVBand="0" w:evenVBand="0" w:oddHBand="0" w:evenHBand="1" w:firstRowFirstColumn="0" w:firstRowLastColumn="0" w:lastRowFirstColumn="0" w:lastRowLastColumn="0"/>
            </w:pPr>
            <w:r>
              <w:t>The Network User must give AGN whatever assistance AGN reasonably requests from time to time to interrupt or curtail deliveries of Gas at any User DP.</w:t>
            </w:r>
          </w:p>
          <w:p w:rsidR="00C07B5C" w:rsidRPr="00C07B5C" w:rsidRDefault="00C07B5C" w:rsidP="00C07B5C">
            <w:pPr>
              <w:jc w:val="left"/>
              <w:cnfStyle w:val="000000010000" w:firstRow="0" w:lastRow="0" w:firstColumn="0" w:lastColumn="0" w:oddVBand="0" w:evenVBand="0" w:oddHBand="0" w:evenHBand="1" w:firstRowFirstColumn="0" w:firstRowLastColumn="0" w:lastRowFirstColumn="0" w:lastRowLastColumn="0"/>
            </w:pPr>
            <w:r>
              <w:t xml:space="preserve">If the Network user is a Gas Retailer, the Network User must </w:t>
            </w:r>
            <w:r w:rsidR="00067748">
              <w:rPr>
                <w:u w:val="single"/>
              </w:rPr>
              <w:t xml:space="preserve">use its best endeavours to </w:t>
            </w:r>
            <w:r>
              <w:t>cause or procure each Shared Customer to give AGN whatever assistance AGN reasonably requests from time to time to interrupt or curtail deliveries of Gas at any User DP.</w:t>
            </w:r>
          </w:p>
        </w:tc>
      </w:tr>
    </w:tbl>
    <w:p w:rsidR="00D5015C" w:rsidRDefault="00D5015C" w:rsidP="00DA7D16">
      <w:pPr>
        <w:tabs>
          <w:tab w:val="left" w:pos="4095"/>
        </w:tabs>
      </w:pPr>
    </w:p>
    <w:p w:rsidR="00132D43" w:rsidRPr="0012749F" w:rsidRDefault="00132D43" w:rsidP="00C07B5C"/>
    <w:sectPr w:rsidR="00132D43" w:rsidRPr="0012749F" w:rsidSect="005B5839">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2A" w:rsidRPr="00290C63" w:rsidRDefault="004F7F2A" w:rsidP="00290C63">
      <w:r>
        <w:separator/>
      </w:r>
    </w:p>
    <w:p w:rsidR="004F7F2A" w:rsidRDefault="004F7F2A"/>
  </w:endnote>
  <w:endnote w:type="continuationSeparator" w:id="0">
    <w:p w:rsidR="004F7F2A" w:rsidRPr="00290C63" w:rsidRDefault="004F7F2A" w:rsidP="00290C63">
      <w:r>
        <w:continuationSeparator/>
      </w:r>
    </w:p>
    <w:p w:rsidR="004F7F2A" w:rsidRDefault="004F7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A" w:rsidRPr="00290C63" w:rsidRDefault="004F7F2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F7F2A" w:rsidRPr="009B6F84" w:rsidRDefault="004F7F2A">
        <w:pPr>
          <w:pStyle w:val="Footer"/>
          <w:rPr>
            <w:sz w:val="20"/>
          </w:rPr>
        </w:pPr>
        <w:r>
          <w:fldChar w:fldCharType="begin"/>
        </w:r>
        <w:r>
          <w:instrText xml:space="preserve"> PAGE   \* MERGEFORMAT </w:instrText>
        </w:r>
        <w:r>
          <w:fldChar w:fldCharType="separate"/>
        </w:r>
        <w:r w:rsidR="007B2BCC">
          <w:rPr>
            <w:noProof/>
          </w:rPr>
          <w:t>12-0</w:t>
        </w:r>
        <w:r>
          <w:rPr>
            <w:noProof/>
          </w:rPr>
          <w:fldChar w:fldCharType="end"/>
        </w:r>
        <w:r>
          <w:rPr>
            <w:noProof/>
          </w:rPr>
          <w:t xml:space="preserve">          </w:t>
        </w:r>
        <w:r>
          <w:t xml:space="preserve">Attachment 12 </w:t>
        </w:r>
        <w:r w:rsidRPr="000474DF">
          <w:t>−</w:t>
        </w:r>
        <w:r>
          <w:t xml:space="preserve"> Non tariff components</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4F7F2A" w:rsidRDefault="004F7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A" w:rsidRPr="00290C63" w:rsidRDefault="004F7F2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F7F2A" w:rsidRDefault="004F7F2A">
    <w:pPr>
      <w:pStyle w:val="Footer"/>
    </w:pPr>
  </w:p>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A" w:rsidRPr="00290C63" w:rsidRDefault="004F7F2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F7F2A" w:rsidRPr="009B6F84" w:rsidRDefault="004F7F2A">
        <w:pPr>
          <w:pStyle w:val="Footer"/>
          <w:rPr>
            <w:sz w:val="20"/>
          </w:rPr>
        </w:pPr>
        <w:r>
          <w:fldChar w:fldCharType="begin"/>
        </w:r>
        <w:r>
          <w:instrText xml:space="preserve"> PAGE   \* MERGEFORMAT </w:instrText>
        </w:r>
        <w:r>
          <w:fldChar w:fldCharType="separate"/>
        </w:r>
        <w:r w:rsidR="007B2BCC">
          <w:rPr>
            <w:noProof/>
          </w:rPr>
          <w:t>12-14</w:t>
        </w:r>
        <w:r>
          <w:rPr>
            <w:noProof/>
          </w:rPr>
          <w:fldChar w:fldCharType="end"/>
        </w:r>
        <w:r>
          <w:rPr>
            <w:noProof/>
          </w:rPr>
          <w:t xml:space="preserve">          </w:t>
        </w:r>
        <w:r>
          <w:t xml:space="preserve">Attachment 12 </w:t>
        </w:r>
        <w:r w:rsidRPr="000474DF">
          <w:t>−</w:t>
        </w:r>
        <w:r>
          <w:t xml:space="preserve"> Non tariff components</w:t>
        </w:r>
        <w:r w:rsidRPr="00D5015C">
          <w:t xml:space="preserve"> | </w:t>
        </w:r>
        <w:r>
          <w:t>Draft decision - AGN Victoria and Albury gas access arrangement</w:t>
        </w:r>
        <w:r w:rsidRPr="00D5015C">
          <w:t xml:space="preserve"> 201</w:t>
        </w:r>
        <w:r>
          <w:t>8</w:t>
        </w:r>
        <w:r w:rsidRPr="00D5015C">
          <w:t>–</w:t>
        </w:r>
        <w:r>
          <w:t>22</w:t>
        </w:r>
      </w:p>
    </w:sdtContent>
  </w:sdt>
  <w:p w:rsidR="004F7F2A" w:rsidRDefault="004F7F2A">
    <w:pPr>
      <w:pStyle w:val="Footer"/>
    </w:pPr>
  </w:p>
  <w:p w:rsidR="004F7F2A" w:rsidRDefault="004F7F2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A" w:rsidRPr="00290C63" w:rsidRDefault="004F7F2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F7F2A" w:rsidRDefault="004F7F2A">
    <w:pPr>
      <w:pStyle w:val="Footer"/>
    </w:pPr>
  </w:p>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p w:rsidR="004F7F2A" w:rsidRDefault="004F7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2A" w:rsidRPr="00290C63" w:rsidRDefault="004F7F2A" w:rsidP="00290C63">
      <w:r>
        <w:separator/>
      </w:r>
    </w:p>
    <w:p w:rsidR="004F7F2A" w:rsidRDefault="004F7F2A"/>
  </w:footnote>
  <w:footnote w:type="continuationSeparator" w:id="0">
    <w:p w:rsidR="004F7F2A" w:rsidRPr="00290C63" w:rsidRDefault="004F7F2A" w:rsidP="00290C63">
      <w:r>
        <w:continuationSeparator/>
      </w:r>
    </w:p>
    <w:p w:rsidR="004F7F2A" w:rsidRDefault="004F7F2A"/>
  </w:footnote>
  <w:footnote w:id="1">
    <w:p w:rsidR="004F7F2A" w:rsidRDefault="004F7F2A">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p>
  </w:footnote>
  <w:footnote w:id="2">
    <w:p w:rsidR="004F7F2A" w:rsidRDefault="004F7F2A" w:rsidP="007375D9">
      <w:pPr>
        <w:pStyle w:val="FootnoteText"/>
      </w:pPr>
      <w:r>
        <w:rPr>
          <w:rStyle w:val="FootnoteReference"/>
        </w:rPr>
        <w:footnoteRef/>
      </w:r>
      <w:r>
        <w:t xml:space="preserve"> </w:t>
      </w:r>
      <w:r>
        <w:tab/>
        <w:t>NGR, r. 48(1</w:t>
      </w:r>
      <w:proofErr w:type="gramStart"/>
      <w:r>
        <w:t>)(</w:t>
      </w:r>
      <w:proofErr w:type="gramEnd"/>
      <w:r>
        <w:t>d)(ii).</w:t>
      </w:r>
    </w:p>
  </w:footnote>
  <w:footnote w:id="3">
    <w:p w:rsidR="004F7F2A" w:rsidRDefault="004F7F2A" w:rsidP="007375D9">
      <w:pPr>
        <w:pStyle w:val="FootnoteText"/>
      </w:pPr>
      <w:r>
        <w:rPr>
          <w:rStyle w:val="FootnoteReference"/>
        </w:rPr>
        <w:footnoteRef/>
      </w:r>
      <w:r>
        <w:t xml:space="preserve"> </w:t>
      </w:r>
      <w:r>
        <w:tab/>
      </w:r>
      <w:proofErr w:type="gramStart"/>
      <w:r>
        <w:t>NGR, r. 100.</w:t>
      </w:r>
      <w:proofErr w:type="gramEnd"/>
    </w:p>
  </w:footnote>
  <w:footnote w:id="4">
    <w:p w:rsidR="004F7F2A" w:rsidRDefault="004F7F2A" w:rsidP="00150536">
      <w:pPr>
        <w:pStyle w:val="FootnoteText"/>
      </w:pPr>
      <w:r>
        <w:rPr>
          <w:rStyle w:val="FootnoteReference"/>
        </w:rPr>
        <w:footnoteRef/>
      </w:r>
      <w:r>
        <w:t xml:space="preserve"> </w:t>
      </w:r>
      <w:r>
        <w:tab/>
      </w:r>
      <w:proofErr w:type="gramStart"/>
      <w:r w:rsidR="008A5077">
        <w:t xml:space="preserve">AER </w:t>
      </w:r>
      <w:r w:rsidR="00FA7FD9" w:rsidRPr="00FA7FD9">
        <w:t xml:space="preserve">Consumer Challenge Panel </w:t>
      </w:r>
      <w:r w:rsidR="008A5077">
        <w:t xml:space="preserve">Sub-Panel 11, </w:t>
      </w:r>
      <w:r w:rsidR="008A5077">
        <w:rPr>
          <w:i/>
        </w:rPr>
        <w:t xml:space="preserve">Australian gas Networks (AGN), AusNet Services and Multinet, </w:t>
      </w:r>
      <w:r w:rsidR="008A5077">
        <w:t>3 March 2017</w:t>
      </w:r>
      <w:r>
        <w:t>, pp. 16-22.</w:t>
      </w:r>
      <w:proofErr w:type="gramEnd"/>
    </w:p>
  </w:footnote>
  <w:footnote w:id="5">
    <w:p w:rsidR="004F7F2A" w:rsidRDefault="004F7F2A">
      <w:pPr>
        <w:pStyle w:val="FootnoteText"/>
      </w:pPr>
      <w:r>
        <w:rPr>
          <w:rStyle w:val="FootnoteReference"/>
        </w:rPr>
        <w:footnoteRef/>
      </w:r>
      <w:r>
        <w:t xml:space="preserve"> </w:t>
      </w:r>
      <w:r>
        <w:tab/>
      </w:r>
      <w:r w:rsidR="00FA7FD9" w:rsidRPr="00FA7FD9">
        <w:t>AGN</w:t>
      </w:r>
      <w:r w:rsidR="00F152E2">
        <w:t xml:space="preserve">, </w:t>
      </w:r>
      <w:r w:rsidR="00F152E2">
        <w:rPr>
          <w:i/>
        </w:rPr>
        <w:t>Final Plan,</w:t>
      </w:r>
      <w:r w:rsidR="00FA7FD9" w:rsidRPr="00FA7FD9">
        <w:t xml:space="preserve"> </w:t>
      </w:r>
      <w:r w:rsidR="00FA7FD9" w:rsidRPr="00F152E2">
        <w:rPr>
          <w:rStyle w:val="AERtextitalic"/>
        </w:rPr>
        <w:t xml:space="preserve">Attachment 15.1 - Engagement with the AGN Retailer Reference Group on the </w:t>
      </w:r>
      <w:r w:rsidR="00F152E2">
        <w:rPr>
          <w:rStyle w:val="AERtextitalic"/>
        </w:rPr>
        <w:t>P</w:t>
      </w:r>
      <w:r w:rsidR="00FA7FD9" w:rsidRPr="00F152E2">
        <w:rPr>
          <w:rStyle w:val="AERtextitalic"/>
        </w:rPr>
        <w:t>roposed Terms and Conditions</w:t>
      </w:r>
      <w:r w:rsidR="00F152E2">
        <w:rPr>
          <w:rStyle w:val="AERtextitalic"/>
        </w:rPr>
        <w:t>,</w:t>
      </w:r>
      <w:r w:rsidR="00FA7FD9" w:rsidRPr="00FA7FD9">
        <w:t xml:space="preserve"> December 2016</w:t>
      </w:r>
      <w:r>
        <w:t>.</w:t>
      </w:r>
    </w:p>
  </w:footnote>
  <w:footnote w:id="6">
    <w:p w:rsidR="004F7F2A" w:rsidRDefault="004F7F2A">
      <w:pPr>
        <w:pStyle w:val="FootnoteText"/>
      </w:pPr>
      <w:r>
        <w:rPr>
          <w:rStyle w:val="FootnoteReference"/>
        </w:rPr>
        <w:footnoteRef/>
      </w:r>
      <w:r>
        <w:t xml:space="preserve"> </w:t>
      </w:r>
      <w:r>
        <w:tab/>
      </w:r>
      <w:r w:rsidR="00FA7FD9" w:rsidRPr="00FA7FD9">
        <w:t>AGL Energy Limited</w:t>
      </w:r>
      <w:r w:rsidR="008608DB">
        <w:t>,</w:t>
      </w:r>
      <w:r w:rsidR="00FA7FD9" w:rsidRPr="00FA7FD9">
        <w:t xml:space="preserve"> </w:t>
      </w:r>
      <w:r w:rsidR="00FA7FD9" w:rsidRPr="008608DB">
        <w:rPr>
          <w:rStyle w:val="AERtextitalic"/>
        </w:rPr>
        <w:t>Victorian gas access arrangement proposals</w:t>
      </w:r>
      <w:r w:rsidR="008608DB">
        <w:rPr>
          <w:rStyle w:val="AERtextitalic"/>
        </w:rPr>
        <w:t>,</w:t>
      </w:r>
      <w:r w:rsidR="00FA7FD9" w:rsidRPr="00FA7FD9">
        <w:t xml:space="preserve"> 21 March 2017</w:t>
      </w:r>
      <w:r>
        <w:t>.</w:t>
      </w:r>
    </w:p>
  </w:footnote>
  <w:footnote w:id="7">
    <w:p w:rsidR="004F7F2A" w:rsidRDefault="004F7F2A">
      <w:pPr>
        <w:pStyle w:val="FootnoteText"/>
      </w:pPr>
      <w:r>
        <w:rPr>
          <w:rStyle w:val="FootnoteReference"/>
        </w:rPr>
        <w:footnoteRef/>
      </w:r>
      <w:r>
        <w:t xml:space="preserve"> </w:t>
      </w:r>
      <w:r>
        <w:tab/>
        <w:t>AGN’s Queensland gas distribution network is no longer subject to an approved access arrangement.</w:t>
      </w:r>
    </w:p>
  </w:footnote>
  <w:footnote w:id="8">
    <w:p w:rsidR="004F7F2A" w:rsidRDefault="004F7F2A" w:rsidP="00E44F64">
      <w:pPr>
        <w:pStyle w:val="FootnoteText"/>
      </w:pPr>
      <w:r>
        <w:rPr>
          <w:rStyle w:val="FootnoteReference"/>
        </w:rPr>
        <w:footnoteRef/>
      </w:r>
      <w:r>
        <w:t xml:space="preserve"> </w:t>
      </w:r>
      <w:r>
        <w:tab/>
      </w:r>
      <w:r w:rsidR="008608DB" w:rsidRPr="00FA7FD9">
        <w:t>AGL Energy Limited</w:t>
      </w:r>
      <w:r w:rsidR="008608DB">
        <w:t>,</w:t>
      </w:r>
      <w:r w:rsidR="008608DB" w:rsidRPr="00FA7FD9">
        <w:t xml:space="preserve"> </w:t>
      </w:r>
      <w:r w:rsidR="008608DB" w:rsidRPr="008608DB">
        <w:rPr>
          <w:rStyle w:val="AERtextitalic"/>
        </w:rPr>
        <w:t>Victorian gas access arrangement proposals</w:t>
      </w:r>
      <w:r w:rsidR="008608DB">
        <w:rPr>
          <w:rStyle w:val="AERtextitalic"/>
        </w:rPr>
        <w:t>,</w:t>
      </w:r>
      <w:r w:rsidR="008608DB" w:rsidRPr="00FA7FD9">
        <w:t xml:space="preserve"> 21 March 2017</w:t>
      </w:r>
      <w:r w:rsidR="008608DB">
        <w:t>.</w:t>
      </w:r>
    </w:p>
  </w:footnote>
  <w:footnote w:id="9">
    <w:p w:rsidR="004F7F2A" w:rsidRDefault="004F7F2A" w:rsidP="00E44F64">
      <w:pPr>
        <w:pStyle w:val="FootnoteText"/>
      </w:pPr>
      <w:r>
        <w:rPr>
          <w:rStyle w:val="FootnoteReference"/>
        </w:rPr>
        <w:footnoteRef/>
      </w:r>
      <w:r>
        <w:t xml:space="preserve"> </w:t>
      </w:r>
      <w:r>
        <w:tab/>
      </w:r>
      <w:hyperlink r:id="rId1" w:history="1">
        <w:r w:rsidR="00FA7FD9" w:rsidRPr="008608DB">
          <w:rPr>
            <w:rStyle w:val="AERtextitalic"/>
            <w:i w:val="0"/>
          </w:rPr>
          <w:t>AER</w:t>
        </w:r>
        <w:r w:rsidR="008608DB">
          <w:rPr>
            <w:rStyle w:val="AERtextitalic"/>
            <w:i w:val="0"/>
          </w:rPr>
          <w:t>,</w:t>
        </w:r>
        <w:r w:rsidR="00FA7FD9" w:rsidRPr="008608DB">
          <w:rPr>
            <w:rStyle w:val="AERtextitalic"/>
          </w:rPr>
          <w:t xml:space="preserve"> Draft </w:t>
        </w:r>
        <w:r w:rsidR="008608DB">
          <w:rPr>
            <w:rStyle w:val="AERtextitalic"/>
          </w:rPr>
          <w:t>D</w:t>
        </w:r>
        <w:r w:rsidR="00FA7FD9" w:rsidRPr="008608DB">
          <w:rPr>
            <w:rStyle w:val="AERtextitalic"/>
          </w:rPr>
          <w:t>ecision</w:t>
        </w:r>
        <w:r w:rsidR="008608DB">
          <w:rPr>
            <w:rStyle w:val="AERtextitalic"/>
          </w:rPr>
          <w:t>,</w:t>
        </w:r>
        <w:r w:rsidR="00FA7FD9" w:rsidRPr="008608DB">
          <w:rPr>
            <w:rStyle w:val="AERtextitalic"/>
          </w:rPr>
          <w:t xml:space="preserve"> Australian Gas Networks </w:t>
        </w:r>
        <w:r w:rsidR="008608DB">
          <w:rPr>
            <w:rStyle w:val="AERtextitalic"/>
          </w:rPr>
          <w:t>A</w:t>
        </w:r>
        <w:r w:rsidR="00FA7FD9" w:rsidRPr="008608DB">
          <w:rPr>
            <w:rStyle w:val="AERtextitalic"/>
          </w:rPr>
          <w:t xml:space="preserve">ccess </w:t>
        </w:r>
        <w:r w:rsidR="008608DB">
          <w:rPr>
            <w:rStyle w:val="AERtextitalic"/>
          </w:rPr>
          <w:t>A</w:t>
        </w:r>
        <w:r w:rsidR="00FA7FD9" w:rsidRPr="008608DB">
          <w:rPr>
            <w:rStyle w:val="AERtextitalic"/>
          </w:rPr>
          <w:t>rrangement</w:t>
        </w:r>
        <w:r w:rsidR="008608DB">
          <w:rPr>
            <w:rStyle w:val="AERtextitalic"/>
          </w:rPr>
          <w:t xml:space="preserve"> 2016</w:t>
        </w:r>
        <w:r w:rsidR="009958CA">
          <w:rPr>
            <w:i/>
          </w:rPr>
          <w:t>–</w:t>
        </w:r>
        <w:r w:rsidR="008608DB">
          <w:rPr>
            <w:rStyle w:val="AERtextitalic"/>
          </w:rPr>
          <w:t>21</w:t>
        </w:r>
        <w:r w:rsidR="00FA7FD9" w:rsidRPr="008608DB">
          <w:rPr>
            <w:rStyle w:val="AERtextitalic"/>
          </w:rPr>
          <w:t xml:space="preserve"> Attachment 12 - Non-tariff components</w:t>
        </w:r>
      </w:hyperlink>
      <w:r w:rsidRPr="00FA7FD9">
        <w:t>,</w:t>
      </w:r>
      <w:r>
        <w:t xml:space="preserve"> November 2015, p. 12-</w:t>
      </w:r>
      <w:r w:rsidR="008608DB">
        <w:t>2</w:t>
      </w:r>
      <w:r>
        <w:t>1.</w:t>
      </w:r>
    </w:p>
  </w:footnote>
  <w:footnote w:id="10">
    <w:p w:rsidR="004F7F2A" w:rsidRDefault="004F7F2A" w:rsidP="00E44F64">
      <w:pPr>
        <w:pStyle w:val="FootnoteText"/>
      </w:pPr>
      <w:r>
        <w:rPr>
          <w:rStyle w:val="FootnoteReference"/>
        </w:rPr>
        <w:footnoteRef/>
      </w:r>
      <w:r>
        <w:t xml:space="preserve"> </w:t>
      </w:r>
      <w:r>
        <w:tab/>
        <w:t xml:space="preserve">COAG Energy Council, </w:t>
      </w:r>
      <w:r w:rsidRPr="00A860C9">
        <w:rPr>
          <w:i/>
        </w:rPr>
        <w:t>Communique</w:t>
      </w:r>
      <w:r w:rsidR="00A860C9" w:rsidRPr="00A860C9">
        <w:rPr>
          <w:i/>
        </w:rPr>
        <w:t xml:space="preserve"> – </w:t>
      </w:r>
      <w:r w:rsidRPr="00A860C9">
        <w:rPr>
          <w:i/>
        </w:rPr>
        <w:t>Gas Market Reform Package</w:t>
      </w:r>
      <w:r>
        <w:t xml:space="preserve">, </w:t>
      </w:r>
      <w:r w:rsidR="00A860C9">
        <w:t>19 August 2016, m</w:t>
      </w:r>
      <w:r>
        <w:t>easure 5.</w:t>
      </w:r>
      <w:r w:rsidR="00A860C9" w:rsidRPr="00A860C9">
        <w:t xml:space="preserve"> </w:t>
      </w:r>
    </w:p>
  </w:footnote>
  <w:footnote w:id="11">
    <w:p w:rsidR="004F7F2A" w:rsidRDefault="004F7F2A">
      <w:pPr>
        <w:pStyle w:val="FootnoteText"/>
      </w:pPr>
      <w:r>
        <w:rPr>
          <w:rStyle w:val="FootnoteReference"/>
        </w:rPr>
        <w:footnoteRef/>
      </w:r>
      <w:r>
        <w:t xml:space="preserve"> </w:t>
      </w:r>
      <w:r>
        <w:tab/>
      </w:r>
      <w:r w:rsidR="00A860C9" w:rsidRPr="00FA7FD9">
        <w:t>AGL Energy Limited</w:t>
      </w:r>
      <w:r w:rsidR="00A860C9">
        <w:t>,</w:t>
      </w:r>
      <w:r w:rsidR="00A860C9" w:rsidRPr="00FA7FD9">
        <w:t xml:space="preserve"> </w:t>
      </w:r>
      <w:r w:rsidR="00A860C9" w:rsidRPr="008608DB">
        <w:rPr>
          <w:rStyle w:val="AERtextitalic"/>
        </w:rPr>
        <w:t>Victorian gas access arrangement proposals</w:t>
      </w:r>
      <w:r w:rsidR="00A860C9">
        <w:rPr>
          <w:rStyle w:val="AERtextitalic"/>
        </w:rPr>
        <w:t>,</w:t>
      </w:r>
      <w:r w:rsidR="00A860C9" w:rsidRPr="00FA7FD9">
        <w:t xml:space="preserve"> 21 March 2017</w:t>
      </w:r>
      <w:r>
        <w:t>, cl</w:t>
      </w:r>
      <w:r w:rsidR="00A860C9">
        <w:t>l</w:t>
      </w:r>
      <w:r>
        <w:t xml:space="preserve"> 3.2, 3.3 and 20.1.</w:t>
      </w:r>
    </w:p>
  </w:footnote>
  <w:footnote w:id="12">
    <w:p w:rsidR="00210569" w:rsidRDefault="00210569" w:rsidP="00210569">
      <w:pPr>
        <w:pStyle w:val="FootnoteText"/>
      </w:pPr>
      <w:r>
        <w:rPr>
          <w:rStyle w:val="FootnoteReference"/>
        </w:rPr>
        <w:footnoteRef/>
      </w:r>
      <w:r>
        <w:t xml:space="preserve"> </w:t>
      </w:r>
      <w:r>
        <w:tab/>
        <w:t>AGN, Response to Information Request 17, 4 May 2017.</w:t>
      </w:r>
    </w:p>
  </w:footnote>
  <w:footnote w:id="13">
    <w:p w:rsidR="00C82EB8" w:rsidRDefault="00C82EB8" w:rsidP="00C82EB8">
      <w:pPr>
        <w:pStyle w:val="FootnoteText"/>
      </w:pPr>
      <w:r>
        <w:rPr>
          <w:rStyle w:val="FootnoteReference"/>
        </w:rPr>
        <w:footnoteRef/>
      </w:r>
      <w:r>
        <w:t xml:space="preserve"> </w:t>
      </w:r>
      <w:r>
        <w:tab/>
      </w:r>
      <w:proofErr w:type="gramStart"/>
      <w:r>
        <w:t>Clause 22.3(a).</w:t>
      </w:r>
      <w:proofErr w:type="gramEnd"/>
    </w:p>
  </w:footnote>
  <w:footnote w:id="14">
    <w:p w:rsidR="00FF7F86" w:rsidRDefault="00FF7F86">
      <w:pPr>
        <w:pStyle w:val="FootnoteText"/>
      </w:pPr>
      <w:r>
        <w:rPr>
          <w:rStyle w:val="FootnoteReference"/>
        </w:rPr>
        <w:footnoteRef/>
      </w:r>
      <w:r>
        <w:t xml:space="preserve"> </w:t>
      </w:r>
      <w:r>
        <w:tab/>
      </w:r>
      <w:r w:rsidR="00A860C9" w:rsidRPr="00FA7FD9">
        <w:t>AGN</w:t>
      </w:r>
      <w:r w:rsidR="00A860C9">
        <w:t xml:space="preserve">, </w:t>
      </w:r>
      <w:r w:rsidR="00A860C9">
        <w:rPr>
          <w:i/>
        </w:rPr>
        <w:t>Final Plan,</w:t>
      </w:r>
      <w:r w:rsidR="00A860C9" w:rsidRPr="00FA7FD9">
        <w:t xml:space="preserve"> </w:t>
      </w:r>
      <w:r w:rsidR="00A860C9" w:rsidRPr="00F152E2">
        <w:rPr>
          <w:rStyle w:val="AERtextitalic"/>
        </w:rPr>
        <w:t xml:space="preserve">Attachment 15.1 </w:t>
      </w:r>
      <w:r w:rsidR="009958CA">
        <w:rPr>
          <w:i/>
        </w:rPr>
        <w:t>–</w:t>
      </w:r>
      <w:r w:rsidR="00A860C9" w:rsidRPr="00F152E2">
        <w:rPr>
          <w:rStyle w:val="AERtextitalic"/>
        </w:rPr>
        <w:t xml:space="preserve"> Engagement with the AGN Retailer Reference Group on the </w:t>
      </w:r>
      <w:r w:rsidR="00A860C9">
        <w:rPr>
          <w:rStyle w:val="AERtextitalic"/>
        </w:rPr>
        <w:t>P</w:t>
      </w:r>
      <w:r w:rsidR="00A860C9" w:rsidRPr="00F152E2">
        <w:rPr>
          <w:rStyle w:val="AERtextitalic"/>
        </w:rPr>
        <w:t>roposed Terms and Conditions</w:t>
      </w:r>
      <w:r w:rsidR="00A860C9">
        <w:rPr>
          <w:rStyle w:val="AERtextitalic"/>
        </w:rPr>
        <w:t>,</w:t>
      </w:r>
      <w:r w:rsidR="00A860C9" w:rsidRPr="00FA7FD9">
        <w:t xml:space="preserve"> December 2016</w:t>
      </w:r>
      <w:r w:rsidR="00A860C9">
        <w:t>,</w:t>
      </w:r>
      <w:r>
        <w:t xml:space="preserve"> p.5. Specifically: 12 months in clause 3E for issues about explicit informed consent; rules 19(2) and 23 dealing with meter reads (12 months); rule 30(2) imposing a nine month limit on recovery of charges by retailers; and 31(5) imposing a 12 month limit on refunds to a customer where the customer is at fault.</w:t>
      </w:r>
    </w:p>
  </w:footnote>
  <w:footnote w:id="15">
    <w:p w:rsidR="00E24430" w:rsidRDefault="00E24430" w:rsidP="00E24430">
      <w:pPr>
        <w:pStyle w:val="FootnoteText"/>
      </w:pPr>
      <w:r>
        <w:rPr>
          <w:rStyle w:val="FootnoteReference"/>
        </w:rPr>
        <w:footnoteRef/>
      </w:r>
      <w:r>
        <w:t xml:space="preserve"> </w:t>
      </w:r>
      <w:r>
        <w:tab/>
      </w:r>
      <w:hyperlink r:id="rId2" w:history="1">
        <w:r w:rsidR="00FA7FD9" w:rsidRPr="00A860C9">
          <w:t>AER</w:t>
        </w:r>
        <w:r w:rsidR="00A860C9">
          <w:t>,</w:t>
        </w:r>
        <w:r w:rsidR="00FA7FD9" w:rsidRPr="00A860C9">
          <w:t xml:space="preserve"> </w:t>
        </w:r>
        <w:r w:rsidR="00FA7FD9" w:rsidRPr="00A860C9">
          <w:rPr>
            <w:rStyle w:val="AERtextitalic"/>
          </w:rPr>
          <w:t xml:space="preserve">Draft </w:t>
        </w:r>
        <w:r w:rsidR="00A860C9">
          <w:rPr>
            <w:rStyle w:val="AERtextitalic"/>
          </w:rPr>
          <w:t>D</w:t>
        </w:r>
        <w:r w:rsidR="00FA7FD9" w:rsidRPr="00A860C9">
          <w:rPr>
            <w:rStyle w:val="AERtextitalic"/>
          </w:rPr>
          <w:t>ecision</w:t>
        </w:r>
        <w:r w:rsidR="00A860C9">
          <w:rPr>
            <w:rStyle w:val="AERtextitalic"/>
          </w:rPr>
          <w:t xml:space="preserve">, </w:t>
        </w:r>
        <w:r w:rsidR="00FA7FD9" w:rsidRPr="00A860C9">
          <w:rPr>
            <w:rStyle w:val="AERtextitalic"/>
          </w:rPr>
          <w:t xml:space="preserve">Australian Gas Networks </w:t>
        </w:r>
        <w:r w:rsidR="00A860C9">
          <w:rPr>
            <w:rStyle w:val="AERtextitalic"/>
          </w:rPr>
          <w:t>A</w:t>
        </w:r>
        <w:r w:rsidR="00FA7FD9" w:rsidRPr="00A860C9">
          <w:rPr>
            <w:rStyle w:val="AERtextitalic"/>
          </w:rPr>
          <w:t xml:space="preserve">ccess </w:t>
        </w:r>
        <w:r w:rsidR="00A860C9">
          <w:rPr>
            <w:rStyle w:val="AERtextitalic"/>
          </w:rPr>
          <w:t>A</w:t>
        </w:r>
        <w:r w:rsidR="00FA7FD9" w:rsidRPr="00A860C9">
          <w:rPr>
            <w:rStyle w:val="AERtextitalic"/>
          </w:rPr>
          <w:t xml:space="preserve">rrangement </w:t>
        </w:r>
        <w:r w:rsidR="00A860C9">
          <w:rPr>
            <w:rStyle w:val="AERtextitalic"/>
          </w:rPr>
          <w:t>2016</w:t>
        </w:r>
        <w:r w:rsidR="009958CA">
          <w:rPr>
            <w:i/>
          </w:rPr>
          <w:t>–</w:t>
        </w:r>
        <w:r w:rsidR="00A860C9">
          <w:rPr>
            <w:rStyle w:val="AERtextitalic"/>
          </w:rPr>
          <w:t xml:space="preserve">21, </w:t>
        </w:r>
        <w:r w:rsidR="00FA7FD9" w:rsidRPr="00A860C9">
          <w:rPr>
            <w:rStyle w:val="AERtextitalic"/>
          </w:rPr>
          <w:t xml:space="preserve">Attachment 12 </w:t>
        </w:r>
        <w:r w:rsidR="009958CA">
          <w:rPr>
            <w:i/>
          </w:rPr>
          <w:t xml:space="preserve">– </w:t>
        </w:r>
        <w:r w:rsidR="00FA7FD9" w:rsidRPr="00A860C9">
          <w:rPr>
            <w:rStyle w:val="AERtextitalic"/>
          </w:rPr>
          <w:t>Non-tariff components</w:t>
        </w:r>
      </w:hyperlink>
      <w:r>
        <w:t xml:space="preserve">, </w:t>
      </w:r>
      <w:r w:rsidR="00A860C9">
        <w:t xml:space="preserve">November 2015 </w:t>
      </w:r>
      <w:r>
        <w:t>p. 12-15.</w:t>
      </w:r>
    </w:p>
  </w:footnote>
  <w:footnote w:id="16">
    <w:p w:rsidR="00A75620" w:rsidRDefault="00A75620">
      <w:pPr>
        <w:pStyle w:val="FootnoteText"/>
      </w:pPr>
      <w:r>
        <w:rPr>
          <w:rStyle w:val="FootnoteReference"/>
        </w:rPr>
        <w:footnoteRef/>
      </w:r>
      <w:r>
        <w:t xml:space="preserve"> </w:t>
      </w:r>
      <w:r>
        <w:tab/>
      </w:r>
      <w:r w:rsidR="00A860C9" w:rsidRPr="00FA7FD9">
        <w:t>AGL Energy Limited</w:t>
      </w:r>
      <w:r w:rsidR="00A860C9">
        <w:t>,</w:t>
      </w:r>
      <w:r w:rsidR="00A860C9" w:rsidRPr="00FA7FD9">
        <w:t xml:space="preserve"> </w:t>
      </w:r>
      <w:r w:rsidR="00A860C9" w:rsidRPr="008608DB">
        <w:rPr>
          <w:rStyle w:val="AERtextitalic"/>
        </w:rPr>
        <w:t>Victorian gas access arrangement proposals</w:t>
      </w:r>
      <w:r w:rsidR="00A860C9">
        <w:rPr>
          <w:rStyle w:val="AERtextitalic"/>
        </w:rPr>
        <w:t>,</w:t>
      </w:r>
      <w:r w:rsidR="00A860C9" w:rsidRPr="00FA7FD9">
        <w:t xml:space="preserve"> 21 March 2017</w:t>
      </w:r>
      <w:r>
        <w:t>.</w:t>
      </w:r>
    </w:p>
  </w:footnote>
  <w:footnote w:id="17">
    <w:p w:rsidR="003B7DA7" w:rsidRDefault="003B7DA7">
      <w:pPr>
        <w:pStyle w:val="FootnoteText"/>
      </w:pPr>
      <w:r>
        <w:rPr>
          <w:rStyle w:val="FootnoteReference"/>
        </w:rPr>
        <w:footnoteRef/>
      </w:r>
      <w:r>
        <w:t xml:space="preserve"> </w:t>
      </w:r>
      <w:r>
        <w:tab/>
      </w:r>
      <w:r w:rsidR="009E5204">
        <w:t xml:space="preserve">AGN, </w:t>
      </w:r>
      <w:r w:rsidR="009E5204">
        <w:rPr>
          <w:i/>
        </w:rPr>
        <w:t>Final Plan,</w:t>
      </w:r>
      <w:r w:rsidR="009E5204" w:rsidRPr="00FA7FD9">
        <w:t xml:space="preserve"> </w:t>
      </w:r>
      <w:r w:rsidR="009E5204" w:rsidRPr="00F152E2">
        <w:rPr>
          <w:rStyle w:val="AERtextitalic"/>
        </w:rPr>
        <w:t xml:space="preserve">Attachment 15.1 </w:t>
      </w:r>
      <w:r w:rsidR="009958CA">
        <w:rPr>
          <w:i/>
        </w:rPr>
        <w:t xml:space="preserve">– </w:t>
      </w:r>
      <w:r w:rsidR="009E5204" w:rsidRPr="00F152E2">
        <w:rPr>
          <w:rStyle w:val="AERtextitalic"/>
        </w:rPr>
        <w:t xml:space="preserve">Engagement with the AGN Retailer Reference Group on the </w:t>
      </w:r>
      <w:r w:rsidR="009E5204">
        <w:rPr>
          <w:rStyle w:val="AERtextitalic"/>
        </w:rPr>
        <w:t>P</w:t>
      </w:r>
      <w:r w:rsidR="009E5204" w:rsidRPr="00F152E2">
        <w:rPr>
          <w:rStyle w:val="AERtextitalic"/>
        </w:rPr>
        <w:t>roposed Terms and Conditions</w:t>
      </w:r>
      <w:r w:rsidR="009E5204">
        <w:rPr>
          <w:rStyle w:val="AERtextitalic"/>
        </w:rPr>
        <w:t>,</w:t>
      </w:r>
      <w:r w:rsidR="009E5204" w:rsidRPr="00FA7FD9">
        <w:t xml:space="preserve"> December 2016</w:t>
      </w:r>
      <w:r w:rsidR="009E5204">
        <w:t xml:space="preserve">, </w:t>
      </w:r>
      <w:r>
        <w:t>p. 6.</w:t>
      </w:r>
    </w:p>
  </w:footnote>
  <w:footnote w:id="18">
    <w:p w:rsidR="004F7F2A" w:rsidRDefault="004F7F2A">
      <w:pPr>
        <w:pStyle w:val="FootnoteText"/>
      </w:pPr>
      <w:r>
        <w:rPr>
          <w:rStyle w:val="FootnoteReference"/>
        </w:rPr>
        <w:footnoteRef/>
      </w:r>
      <w:r>
        <w:t xml:space="preserve"> </w:t>
      </w:r>
      <w:r>
        <w:tab/>
      </w:r>
      <w:hyperlink r:id="rId3" w:history="1">
        <w:r w:rsidR="00FA7FD9" w:rsidRPr="009E5204">
          <w:t>AER</w:t>
        </w:r>
        <w:r w:rsidR="009E5204">
          <w:t xml:space="preserve">, </w:t>
        </w:r>
        <w:r w:rsidR="00FA7FD9" w:rsidRPr="009E5204">
          <w:rPr>
            <w:rStyle w:val="AERtextitalic"/>
          </w:rPr>
          <w:t xml:space="preserve">Final </w:t>
        </w:r>
        <w:r w:rsidR="009E5204">
          <w:rPr>
            <w:rStyle w:val="AERtextitalic"/>
          </w:rPr>
          <w:t>D</w:t>
        </w:r>
        <w:r w:rsidR="00FA7FD9" w:rsidRPr="009E5204">
          <w:rPr>
            <w:rStyle w:val="AERtextitalic"/>
          </w:rPr>
          <w:t>ecision</w:t>
        </w:r>
        <w:r w:rsidR="009E5204">
          <w:rPr>
            <w:rStyle w:val="AERtextitalic"/>
          </w:rPr>
          <w:t>,</w:t>
        </w:r>
        <w:r w:rsidR="00FA7FD9" w:rsidRPr="009E5204">
          <w:rPr>
            <w:rStyle w:val="AERtextitalic"/>
          </w:rPr>
          <w:t xml:space="preserve"> Australian Gas Networks Access Arrangement </w:t>
        </w:r>
        <w:r w:rsidR="009E5204">
          <w:rPr>
            <w:rStyle w:val="AERtextitalic"/>
          </w:rPr>
          <w:t>2016</w:t>
        </w:r>
        <w:r w:rsidR="009958CA">
          <w:rPr>
            <w:i/>
          </w:rPr>
          <w:t>–2</w:t>
        </w:r>
        <w:r w:rsidR="009E5204">
          <w:rPr>
            <w:rStyle w:val="AERtextitalic"/>
          </w:rPr>
          <w:t>1,</w:t>
        </w:r>
        <w:r w:rsidR="00FA7FD9" w:rsidRPr="009E5204">
          <w:rPr>
            <w:rStyle w:val="AERtextitalic"/>
          </w:rPr>
          <w:t xml:space="preserve"> Attachment 12 </w:t>
        </w:r>
        <w:r w:rsidR="009958CA">
          <w:rPr>
            <w:i/>
          </w:rPr>
          <w:t xml:space="preserve">– </w:t>
        </w:r>
        <w:r w:rsidR="00FA7FD9" w:rsidRPr="009E5204">
          <w:rPr>
            <w:rStyle w:val="AERtextitalic"/>
          </w:rPr>
          <w:t>Non-tariff components</w:t>
        </w:r>
        <w:r w:rsidR="009E5204">
          <w:rPr>
            <w:rStyle w:val="AERtextitalic"/>
          </w:rPr>
          <w:t>,</w:t>
        </w:r>
        <w:r w:rsidR="00FA7FD9" w:rsidRPr="009E5204">
          <w:t xml:space="preserve"> May 2016</w:t>
        </w:r>
      </w:hyperlink>
      <w:r>
        <w:t>, p. 12-8.</w:t>
      </w:r>
    </w:p>
  </w:footnote>
  <w:footnote w:id="19">
    <w:p w:rsidR="004F7F2A" w:rsidRDefault="004F7F2A" w:rsidP="00677CD3">
      <w:pPr>
        <w:pStyle w:val="FootnoteText"/>
      </w:pPr>
      <w:r>
        <w:rPr>
          <w:rStyle w:val="FootnoteReference"/>
        </w:rPr>
        <w:footnoteRef/>
      </w:r>
      <w:r>
        <w:t xml:space="preserve"> </w:t>
      </w:r>
      <w:r>
        <w:tab/>
      </w:r>
      <w:r w:rsidRPr="0002283B">
        <w:rPr>
          <w:szCs w:val="16"/>
        </w:rPr>
        <w:t>Rule 48(1</w:t>
      </w:r>
      <w:proofErr w:type="gramStart"/>
      <w:r w:rsidRPr="0002283B">
        <w:rPr>
          <w:szCs w:val="16"/>
        </w:rPr>
        <w:t>)(</w:t>
      </w:r>
      <w:proofErr w:type="gramEnd"/>
      <w:r w:rsidRPr="0002283B">
        <w:rPr>
          <w:szCs w:val="16"/>
        </w:rPr>
        <w:t>g) for full access arrangements, r. 45(1)(f) for limited access arrangements for light regulation services, r. 129(1)(f) for international pipelines, and r. 24(2)(c)(v) for CTP access arrangements.</w:t>
      </w:r>
      <w:r>
        <w:rPr>
          <w:sz w:val="20"/>
        </w:rPr>
        <w:t xml:space="preserve"> </w:t>
      </w:r>
    </w:p>
  </w:footnote>
  <w:footnote w:id="20">
    <w:p w:rsidR="004F7F2A" w:rsidRDefault="004F7F2A">
      <w:pPr>
        <w:pStyle w:val="FootnoteText"/>
      </w:pPr>
      <w:r>
        <w:rPr>
          <w:rStyle w:val="FootnoteReference"/>
        </w:rPr>
        <w:footnoteRef/>
      </w:r>
      <w:r>
        <w:t xml:space="preserve"> </w:t>
      </w:r>
      <w:r>
        <w:tab/>
      </w:r>
      <w:proofErr w:type="gramStart"/>
      <w:r>
        <w:t>AGN response to AER Information Request 6, 22 February 2017.</w:t>
      </w:r>
      <w:proofErr w:type="gramEnd"/>
    </w:p>
  </w:footnote>
  <w:footnote w:id="21">
    <w:p w:rsidR="004F7F2A" w:rsidRPr="009E7262" w:rsidRDefault="004F7F2A" w:rsidP="009E7262">
      <w:pPr>
        <w:pStyle w:val="FootnoteText"/>
        <w:rPr>
          <w:i/>
        </w:rPr>
      </w:pPr>
      <w:r>
        <w:rPr>
          <w:rStyle w:val="FootnoteReference"/>
        </w:rPr>
        <w:footnoteRef/>
      </w:r>
      <w:r>
        <w:t xml:space="preserve"> </w:t>
      </w:r>
      <w:r>
        <w:tab/>
      </w:r>
      <w:r w:rsidR="00FA7FD9" w:rsidRPr="00FA7FD9">
        <w:t>AGN</w:t>
      </w:r>
      <w:r w:rsidR="009E7262">
        <w:t xml:space="preserve">, </w:t>
      </w:r>
      <w:r w:rsidR="00FA7FD9" w:rsidRPr="009E7262">
        <w:rPr>
          <w:rStyle w:val="AERtextitalic"/>
        </w:rPr>
        <w:t>Access Arrangement for our Victorian and Albury natural gas distribution networks</w:t>
      </w:r>
      <w:r w:rsidR="009E7262">
        <w:rPr>
          <w:rStyle w:val="AERtextitalic"/>
        </w:rPr>
        <w:t xml:space="preserve"> 2018</w:t>
      </w:r>
      <w:r w:rsidR="009958CA">
        <w:rPr>
          <w:i/>
        </w:rPr>
        <w:t>–</w:t>
      </w:r>
      <w:r w:rsidR="009E7262">
        <w:rPr>
          <w:rStyle w:val="AERtextitalic"/>
        </w:rPr>
        <w:t xml:space="preserve">22, </w:t>
      </w:r>
      <w:r w:rsidR="009E7262">
        <w:rPr>
          <w:rStyle w:val="AERtextitalic"/>
          <w:i w:val="0"/>
        </w:rPr>
        <w:t xml:space="preserve">December 2016, </w:t>
      </w:r>
      <w:r>
        <w:t>cl. 8.4(d)</w:t>
      </w:r>
      <w:r w:rsidR="009E7262">
        <w:t>.</w:t>
      </w:r>
    </w:p>
  </w:footnote>
  <w:footnote w:id="22">
    <w:p w:rsidR="004F7F2A" w:rsidRDefault="004F7F2A">
      <w:pPr>
        <w:pStyle w:val="FootnoteText"/>
      </w:pPr>
      <w:r>
        <w:rPr>
          <w:rStyle w:val="FootnoteReference"/>
        </w:rPr>
        <w:footnoteRef/>
      </w:r>
      <w:r>
        <w:t xml:space="preserve"> </w:t>
      </w:r>
      <w:r>
        <w:tab/>
      </w:r>
      <w:r w:rsidR="00FA7FD9">
        <w:t xml:space="preserve">See </w:t>
      </w:r>
      <w:r>
        <w:t xml:space="preserve">Attachment </w:t>
      </w:r>
      <w:r w:rsidR="002B34AC">
        <w:t>14</w:t>
      </w:r>
      <w:r w:rsidR="00FA7FD9">
        <w:t xml:space="preserve"> to this draft decision</w:t>
      </w:r>
      <w:r w:rsidR="002B34AC">
        <w:t>.</w:t>
      </w:r>
    </w:p>
  </w:footnote>
  <w:footnote w:id="23">
    <w:p w:rsidR="004F7F2A" w:rsidRDefault="004F7F2A" w:rsidP="00893384">
      <w:pPr>
        <w:pStyle w:val="FootnoteText"/>
      </w:pPr>
      <w:r>
        <w:rPr>
          <w:rStyle w:val="FootnoteReference"/>
        </w:rPr>
        <w:footnoteRef/>
      </w:r>
      <w:r>
        <w:t xml:space="preserve"> </w:t>
      </w:r>
      <w:r>
        <w:tab/>
        <w:t>NGR, r. 48(1</w:t>
      </w:r>
      <w:proofErr w:type="gramStart"/>
      <w:r>
        <w:t>)(</w:t>
      </w:r>
      <w:proofErr w:type="gramEnd"/>
      <w:r>
        <w:t xml:space="preserve">f).  </w:t>
      </w:r>
    </w:p>
  </w:footnote>
  <w:footnote w:id="24">
    <w:p w:rsidR="0012749F" w:rsidRDefault="0012749F" w:rsidP="0012749F">
      <w:pPr>
        <w:pStyle w:val="FootnoteText"/>
      </w:pPr>
      <w:r>
        <w:rPr>
          <w:rStyle w:val="FootnoteReference"/>
        </w:rPr>
        <w:footnoteRef/>
      </w:r>
      <w:r>
        <w:t xml:space="preserve"> </w:t>
      </w:r>
      <w:r>
        <w:tab/>
        <w:t>NGR, r. 48(1</w:t>
      </w:r>
      <w:proofErr w:type="gramStart"/>
      <w:r>
        <w:t>)(</w:t>
      </w:r>
      <w:proofErr w:type="gramEnd"/>
      <w:r>
        <w:t>h).</w:t>
      </w:r>
    </w:p>
  </w:footnote>
  <w:footnote w:id="25">
    <w:p w:rsidR="004F7F2A" w:rsidRDefault="004F7F2A">
      <w:pPr>
        <w:pStyle w:val="FootnoteText"/>
      </w:pPr>
      <w:r>
        <w:rPr>
          <w:rStyle w:val="FootnoteReference"/>
        </w:rPr>
        <w:footnoteRef/>
      </w:r>
      <w:r>
        <w:t xml:space="preserve"> </w:t>
      </w:r>
      <w:r>
        <w:tab/>
      </w:r>
      <w:r w:rsidR="00FA7FD9" w:rsidRPr="00FA7FD9">
        <w:t>AGN</w:t>
      </w:r>
      <w:r w:rsidR="009E7262">
        <w:t>,</w:t>
      </w:r>
      <w:r w:rsidR="00FA7FD9" w:rsidRPr="00FA7FD9">
        <w:t xml:space="preserve"> </w:t>
      </w:r>
      <w:r w:rsidR="00FA7FD9" w:rsidRPr="009E7262">
        <w:rPr>
          <w:rStyle w:val="AERtextitalic"/>
        </w:rPr>
        <w:t xml:space="preserve">Access Arrangement for our Victorian and Albury natural gas distribution </w:t>
      </w:r>
      <w:r w:rsidR="009E7262">
        <w:rPr>
          <w:rStyle w:val="AERtextitalic"/>
        </w:rPr>
        <w:t>networks 2018</w:t>
      </w:r>
      <w:r w:rsidR="009958CA">
        <w:rPr>
          <w:i/>
        </w:rPr>
        <w:t>–</w:t>
      </w:r>
      <w:r w:rsidR="009E7262">
        <w:rPr>
          <w:rStyle w:val="AERtextitalic"/>
        </w:rPr>
        <w:t xml:space="preserve">22, </w:t>
      </w:r>
      <w:r w:rsidR="009E7262">
        <w:rPr>
          <w:rStyle w:val="AERtextitalic"/>
          <w:i w:val="0"/>
        </w:rPr>
        <w:t xml:space="preserve">December 2016, </w:t>
      </w:r>
      <w:r>
        <w:t>cl. 7.1.</w:t>
      </w:r>
    </w:p>
  </w:footnote>
  <w:footnote w:id="26">
    <w:p w:rsidR="004F7F2A" w:rsidRPr="005C1A54" w:rsidRDefault="004F7F2A" w:rsidP="003A462E">
      <w:pPr>
        <w:pStyle w:val="FootnoteText"/>
      </w:pPr>
      <w:r>
        <w:rPr>
          <w:rStyle w:val="FootnoteReference"/>
        </w:rPr>
        <w:t>51</w:t>
      </w:r>
      <w:r w:rsidRPr="005C1A54">
        <w:t xml:space="preserve"> </w:t>
      </w:r>
      <w:r w:rsidRPr="005C1A54">
        <w:tab/>
      </w:r>
      <w:proofErr w:type="gramStart"/>
      <w:r w:rsidRPr="005C1A54">
        <w:t>NGR, r. 50.</w:t>
      </w:r>
      <w:proofErr w:type="gramEnd"/>
      <w:r w:rsidRPr="005C1A5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A" w:rsidRDefault="00995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A" w:rsidRDefault="00995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A" w:rsidRDefault="00995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2A" w:rsidRDefault="004F7F2A">
    <w:pPr>
      <w:pStyle w:val="Header"/>
    </w:pPr>
  </w:p>
  <w:p w:rsidR="004F7F2A" w:rsidRDefault="004F7F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5348C6"/>
    <w:multiLevelType w:val="hybridMultilevel"/>
    <w:tmpl w:val="47AA9136"/>
    <w:lvl w:ilvl="0" w:tplc="FFFFFFFF">
      <w:start w:val="1"/>
      <w:numFmt w:val="lowerLetter"/>
      <w:pStyle w:val="NormalH2Indent-alpha"/>
      <w:lvlText w:val="(%1)"/>
      <w:lvlJc w:val="left"/>
      <w:pPr>
        <w:tabs>
          <w:tab w:val="num" w:pos="1134"/>
        </w:tabs>
        <w:ind w:left="1134" w:hanging="454"/>
      </w:pPr>
      <w:rPr>
        <w:rFonts w:hint="default"/>
      </w:rPr>
    </w:lvl>
    <w:lvl w:ilvl="1" w:tplc="FFFFFFFF">
      <w:start w:val="1"/>
      <w:numFmt w:val="lowerRoman"/>
      <w:lvlText w:val="(%2)"/>
      <w:lvlJc w:val="left"/>
      <w:pPr>
        <w:tabs>
          <w:tab w:val="num" w:pos="180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D85BA4"/>
    <w:multiLevelType w:val="hybridMultilevel"/>
    <w:tmpl w:val="B73267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8B7803A2"/>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30"/>
  </w:num>
  <w:num w:numId="21">
    <w:abstractNumId w:val="27"/>
  </w:num>
  <w:num w:numId="22">
    <w:abstractNumId w:val="24"/>
  </w:num>
  <w:num w:numId="23">
    <w:abstractNumId w:val="17"/>
  </w:num>
  <w:num w:numId="24">
    <w:abstractNumId w:val="25"/>
  </w:num>
  <w:num w:numId="25">
    <w:abstractNumId w:val="28"/>
  </w:num>
  <w:num w:numId="26">
    <w:abstractNumId w:val="18"/>
  </w:num>
  <w:num w:numId="27">
    <w:abstractNumId w:val="15"/>
  </w:num>
  <w:num w:numId="28">
    <w:abstractNumId w:val="32"/>
  </w:num>
  <w:num w:numId="29">
    <w:abstractNumId w:val="20"/>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1"/>
  </w:num>
  <w:num w:numId="4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370B"/>
    <w:rsid w:val="0002498B"/>
    <w:rsid w:val="0002517F"/>
    <w:rsid w:val="00026187"/>
    <w:rsid w:val="000266FC"/>
    <w:rsid w:val="000273B3"/>
    <w:rsid w:val="00027E2D"/>
    <w:rsid w:val="000348B6"/>
    <w:rsid w:val="0003578C"/>
    <w:rsid w:val="00044DA3"/>
    <w:rsid w:val="000474DF"/>
    <w:rsid w:val="00055A67"/>
    <w:rsid w:val="00063247"/>
    <w:rsid w:val="0006624E"/>
    <w:rsid w:val="00067748"/>
    <w:rsid w:val="00070F9F"/>
    <w:rsid w:val="0007137B"/>
    <w:rsid w:val="00073B74"/>
    <w:rsid w:val="00076416"/>
    <w:rsid w:val="000805A8"/>
    <w:rsid w:val="0008190B"/>
    <w:rsid w:val="000836D9"/>
    <w:rsid w:val="00084932"/>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2BCC"/>
    <w:rsid w:val="000C5255"/>
    <w:rsid w:val="000D07A7"/>
    <w:rsid w:val="000D122C"/>
    <w:rsid w:val="000D6534"/>
    <w:rsid w:val="000D75B0"/>
    <w:rsid w:val="000E1819"/>
    <w:rsid w:val="000E4821"/>
    <w:rsid w:val="000E4AA9"/>
    <w:rsid w:val="000E6C72"/>
    <w:rsid w:val="000E7F39"/>
    <w:rsid w:val="00100EA2"/>
    <w:rsid w:val="00101AA1"/>
    <w:rsid w:val="00102338"/>
    <w:rsid w:val="00104566"/>
    <w:rsid w:val="00104FF6"/>
    <w:rsid w:val="001112FE"/>
    <w:rsid w:val="001114AA"/>
    <w:rsid w:val="00112684"/>
    <w:rsid w:val="00115743"/>
    <w:rsid w:val="0011697F"/>
    <w:rsid w:val="00116EB2"/>
    <w:rsid w:val="0012132C"/>
    <w:rsid w:val="00124609"/>
    <w:rsid w:val="00126A4C"/>
    <w:rsid w:val="001270E3"/>
    <w:rsid w:val="0012749F"/>
    <w:rsid w:val="00132D43"/>
    <w:rsid w:val="00133366"/>
    <w:rsid w:val="00133F47"/>
    <w:rsid w:val="00134029"/>
    <w:rsid w:val="00142C2D"/>
    <w:rsid w:val="00144C96"/>
    <w:rsid w:val="0014573B"/>
    <w:rsid w:val="001463A3"/>
    <w:rsid w:val="00150536"/>
    <w:rsid w:val="0015073A"/>
    <w:rsid w:val="001573E4"/>
    <w:rsid w:val="00160756"/>
    <w:rsid w:val="00161DC8"/>
    <w:rsid w:val="00162CAF"/>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0762"/>
    <w:rsid w:val="001B45A0"/>
    <w:rsid w:val="001B52FE"/>
    <w:rsid w:val="001B680E"/>
    <w:rsid w:val="001B7DF7"/>
    <w:rsid w:val="001C288A"/>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0569"/>
    <w:rsid w:val="00216C93"/>
    <w:rsid w:val="00223051"/>
    <w:rsid w:val="00224DB9"/>
    <w:rsid w:val="0022569A"/>
    <w:rsid w:val="0023005C"/>
    <w:rsid w:val="00231012"/>
    <w:rsid w:val="00233775"/>
    <w:rsid w:val="0023414B"/>
    <w:rsid w:val="00242FCE"/>
    <w:rsid w:val="00243635"/>
    <w:rsid w:val="00245D92"/>
    <w:rsid w:val="00247079"/>
    <w:rsid w:val="00251745"/>
    <w:rsid w:val="002552BA"/>
    <w:rsid w:val="00260016"/>
    <w:rsid w:val="00263AC0"/>
    <w:rsid w:val="00264264"/>
    <w:rsid w:val="0026689B"/>
    <w:rsid w:val="0026772D"/>
    <w:rsid w:val="00267B9F"/>
    <w:rsid w:val="002730B2"/>
    <w:rsid w:val="00274C7E"/>
    <w:rsid w:val="002777CF"/>
    <w:rsid w:val="002810F2"/>
    <w:rsid w:val="00286874"/>
    <w:rsid w:val="00290C63"/>
    <w:rsid w:val="00291A99"/>
    <w:rsid w:val="00293B6D"/>
    <w:rsid w:val="00294B08"/>
    <w:rsid w:val="0029518C"/>
    <w:rsid w:val="002963DD"/>
    <w:rsid w:val="00296B65"/>
    <w:rsid w:val="002A0B17"/>
    <w:rsid w:val="002A376A"/>
    <w:rsid w:val="002A3CA3"/>
    <w:rsid w:val="002A6123"/>
    <w:rsid w:val="002A7DEF"/>
    <w:rsid w:val="002B0696"/>
    <w:rsid w:val="002B34AC"/>
    <w:rsid w:val="002C0222"/>
    <w:rsid w:val="002C1499"/>
    <w:rsid w:val="002C233C"/>
    <w:rsid w:val="002C517B"/>
    <w:rsid w:val="002D3509"/>
    <w:rsid w:val="002D5457"/>
    <w:rsid w:val="002D5925"/>
    <w:rsid w:val="002D72E8"/>
    <w:rsid w:val="002D79AD"/>
    <w:rsid w:val="002E268F"/>
    <w:rsid w:val="002E78DD"/>
    <w:rsid w:val="002E7B22"/>
    <w:rsid w:val="002F12EC"/>
    <w:rsid w:val="002F7986"/>
    <w:rsid w:val="00301B40"/>
    <w:rsid w:val="00301C82"/>
    <w:rsid w:val="003029EE"/>
    <w:rsid w:val="00304981"/>
    <w:rsid w:val="00304D38"/>
    <w:rsid w:val="00305CC8"/>
    <w:rsid w:val="00306FB4"/>
    <w:rsid w:val="00307F6D"/>
    <w:rsid w:val="00314D83"/>
    <w:rsid w:val="0031571F"/>
    <w:rsid w:val="003177A2"/>
    <w:rsid w:val="00317E02"/>
    <w:rsid w:val="003271B5"/>
    <w:rsid w:val="00327A1E"/>
    <w:rsid w:val="00327E28"/>
    <w:rsid w:val="00331264"/>
    <w:rsid w:val="00334C8D"/>
    <w:rsid w:val="00335E36"/>
    <w:rsid w:val="003378BD"/>
    <w:rsid w:val="003424EA"/>
    <w:rsid w:val="00342C2F"/>
    <w:rsid w:val="003436EB"/>
    <w:rsid w:val="00343A18"/>
    <w:rsid w:val="00345744"/>
    <w:rsid w:val="00347D2C"/>
    <w:rsid w:val="003518B3"/>
    <w:rsid w:val="00353E79"/>
    <w:rsid w:val="00364EA0"/>
    <w:rsid w:val="00366981"/>
    <w:rsid w:val="00370678"/>
    <w:rsid w:val="0037214E"/>
    <w:rsid w:val="00372C85"/>
    <w:rsid w:val="00373845"/>
    <w:rsid w:val="00373C08"/>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3D17"/>
    <w:rsid w:val="003A462E"/>
    <w:rsid w:val="003A59CD"/>
    <w:rsid w:val="003A6B00"/>
    <w:rsid w:val="003B30B2"/>
    <w:rsid w:val="003B484F"/>
    <w:rsid w:val="003B504B"/>
    <w:rsid w:val="003B5179"/>
    <w:rsid w:val="003B685C"/>
    <w:rsid w:val="003B7674"/>
    <w:rsid w:val="003B7DA7"/>
    <w:rsid w:val="003B7FBA"/>
    <w:rsid w:val="003C27DC"/>
    <w:rsid w:val="003C6537"/>
    <w:rsid w:val="003C6A13"/>
    <w:rsid w:val="003C764A"/>
    <w:rsid w:val="003C78BA"/>
    <w:rsid w:val="003D41F1"/>
    <w:rsid w:val="003D42AB"/>
    <w:rsid w:val="003D5B94"/>
    <w:rsid w:val="003E0D3A"/>
    <w:rsid w:val="003E3AAB"/>
    <w:rsid w:val="003E6AB5"/>
    <w:rsid w:val="003E7FE9"/>
    <w:rsid w:val="003F07D4"/>
    <w:rsid w:val="003F174D"/>
    <w:rsid w:val="003F2329"/>
    <w:rsid w:val="003F2824"/>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BC6"/>
    <w:rsid w:val="00476221"/>
    <w:rsid w:val="004766F5"/>
    <w:rsid w:val="00476864"/>
    <w:rsid w:val="00480001"/>
    <w:rsid w:val="00480B4B"/>
    <w:rsid w:val="004838D8"/>
    <w:rsid w:val="00485DC4"/>
    <w:rsid w:val="004866C5"/>
    <w:rsid w:val="00494113"/>
    <w:rsid w:val="004948BC"/>
    <w:rsid w:val="00494D04"/>
    <w:rsid w:val="004A40BA"/>
    <w:rsid w:val="004A43D1"/>
    <w:rsid w:val="004A492B"/>
    <w:rsid w:val="004B4412"/>
    <w:rsid w:val="004C348C"/>
    <w:rsid w:val="004C462E"/>
    <w:rsid w:val="004C6CA3"/>
    <w:rsid w:val="004C7F5E"/>
    <w:rsid w:val="004D343C"/>
    <w:rsid w:val="004D372A"/>
    <w:rsid w:val="004D55BA"/>
    <w:rsid w:val="004D720C"/>
    <w:rsid w:val="004E0FA7"/>
    <w:rsid w:val="004E2002"/>
    <w:rsid w:val="004E22EC"/>
    <w:rsid w:val="004F0BFA"/>
    <w:rsid w:val="004F13DA"/>
    <w:rsid w:val="004F4B19"/>
    <w:rsid w:val="004F4D69"/>
    <w:rsid w:val="004F6883"/>
    <w:rsid w:val="004F6A0E"/>
    <w:rsid w:val="004F6BB3"/>
    <w:rsid w:val="004F7F2A"/>
    <w:rsid w:val="005009CD"/>
    <w:rsid w:val="00504E5F"/>
    <w:rsid w:val="0051337E"/>
    <w:rsid w:val="00513FA7"/>
    <w:rsid w:val="0051768F"/>
    <w:rsid w:val="00522DC2"/>
    <w:rsid w:val="00530128"/>
    <w:rsid w:val="00532467"/>
    <w:rsid w:val="005332A9"/>
    <w:rsid w:val="0053603C"/>
    <w:rsid w:val="00537085"/>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4213"/>
    <w:rsid w:val="00577716"/>
    <w:rsid w:val="00577A09"/>
    <w:rsid w:val="005829C2"/>
    <w:rsid w:val="00582C12"/>
    <w:rsid w:val="00584D8F"/>
    <w:rsid w:val="00587A18"/>
    <w:rsid w:val="00587ADE"/>
    <w:rsid w:val="005A0BEC"/>
    <w:rsid w:val="005A404D"/>
    <w:rsid w:val="005B1E3C"/>
    <w:rsid w:val="005B5839"/>
    <w:rsid w:val="005B6518"/>
    <w:rsid w:val="005B704A"/>
    <w:rsid w:val="005B72D7"/>
    <w:rsid w:val="005C045F"/>
    <w:rsid w:val="005C16FE"/>
    <w:rsid w:val="005C1FAB"/>
    <w:rsid w:val="005C21A4"/>
    <w:rsid w:val="005C26CC"/>
    <w:rsid w:val="005C4463"/>
    <w:rsid w:val="005C721A"/>
    <w:rsid w:val="005D3D88"/>
    <w:rsid w:val="005D48C4"/>
    <w:rsid w:val="005D6208"/>
    <w:rsid w:val="005D6366"/>
    <w:rsid w:val="005D7BA2"/>
    <w:rsid w:val="005E36C2"/>
    <w:rsid w:val="005E4AF4"/>
    <w:rsid w:val="005E4BDB"/>
    <w:rsid w:val="005F0095"/>
    <w:rsid w:val="005F117C"/>
    <w:rsid w:val="005F387E"/>
    <w:rsid w:val="00601E0B"/>
    <w:rsid w:val="0060258B"/>
    <w:rsid w:val="00605C09"/>
    <w:rsid w:val="00610EF9"/>
    <w:rsid w:val="00612F4F"/>
    <w:rsid w:val="00614EA0"/>
    <w:rsid w:val="00615C6B"/>
    <w:rsid w:val="00617822"/>
    <w:rsid w:val="00617D4C"/>
    <w:rsid w:val="00621DCE"/>
    <w:rsid w:val="00621FC5"/>
    <w:rsid w:val="006247F3"/>
    <w:rsid w:val="00624F2C"/>
    <w:rsid w:val="00632D6D"/>
    <w:rsid w:val="00636569"/>
    <w:rsid w:val="00636EF9"/>
    <w:rsid w:val="00641B75"/>
    <w:rsid w:val="00642C3E"/>
    <w:rsid w:val="00644A01"/>
    <w:rsid w:val="00647FE2"/>
    <w:rsid w:val="00651E2D"/>
    <w:rsid w:val="00652324"/>
    <w:rsid w:val="0065346B"/>
    <w:rsid w:val="006575CF"/>
    <w:rsid w:val="006577FB"/>
    <w:rsid w:val="0066104A"/>
    <w:rsid w:val="00661510"/>
    <w:rsid w:val="00663066"/>
    <w:rsid w:val="00663DAD"/>
    <w:rsid w:val="00663F35"/>
    <w:rsid w:val="00664206"/>
    <w:rsid w:val="006649E7"/>
    <w:rsid w:val="00666634"/>
    <w:rsid w:val="00671692"/>
    <w:rsid w:val="00675E20"/>
    <w:rsid w:val="00676679"/>
    <w:rsid w:val="00677CD3"/>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C6764"/>
    <w:rsid w:val="006D2BB7"/>
    <w:rsid w:val="006D550F"/>
    <w:rsid w:val="006D6146"/>
    <w:rsid w:val="006D7F7E"/>
    <w:rsid w:val="006E0CFF"/>
    <w:rsid w:val="006F0D92"/>
    <w:rsid w:val="006F267D"/>
    <w:rsid w:val="006F4975"/>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9"/>
    <w:rsid w:val="007375DF"/>
    <w:rsid w:val="007429BE"/>
    <w:rsid w:val="00743223"/>
    <w:rsid w:val="00743349"/>
    <w:rsid w:val="0074403A"/>
    <w:rsid w:val="00746E01"/>
    <w:rsid w:val="00751DCD"/>
    <w:rsid w:val="00754F5F"/>
    <w:rsid w:val="00755084"/>
    <w:rsid w:val="00757364"/>
    <w:rsid w:val="00757BDF"/>
    <w:rsid w:val="007609D0"/>
    <w:rsid w:val="00761454"/>
    <w:rsid w:val="0076193D"/>
    <w:rsid w:val="00763E5D"/>
    <w:rsid w:val="00767740"/>
    <w:rsid w:val="00767B5E"/>
    <w:rsid w:val="0077171E"/>
    <w:rsid w:val="00775460"/>
    <w:rsid w:val="00775F70"/>
    <w:rsid w:val="00777EE6"/>
    <w:rsid w:val="007802DC"/>
    <w:rsid w:val="00782EEA"/>
    <w:rsid w:val="007909B4"/>
    <w:rsid w:val="00790E86"/>
    <w:rsid w:val="007949D7"/>
    <w:rsid w:val="007A0143"/>
    <w:rsid w:val="007A0A13"/>
    <w:rsid w:val="007A24EC"/>
    <w:rsid w:val="007A34C2"/>
    <w:rsid w:val="007A396C"/>
    <w:rsid w:val="007A4B02"/>
    <w:rsid w:val="007A4B71"/>
    <w:rsid w:val="007B0BE3"/>
    <w:rsid w:val="007B1816"/>
    <w:rsid w:val="007B186E"/>
    <w:rsid w:val="007B25DC"/>
    <w:rsid w:val="007B2BC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09EC"/>
    <w:rsid w:val="0080108B"/>
    <w:rsid w:val="008033C4"/>
    <w:rsid w:val="00806731"/>
    <w:rsid w:val="00806C88"/>
    <w:rsid w:val="0081034E"/>
    <w:rsid w:val="00810806"/>
    <w:rsid w:val="00810A19"/>
    <w:rsid w:val="00815882"/>
    <w:rsid w:val="0081773E"/>
    <w:rsid w:val="00820454"/>
    <w:rsid w:val="00822AC7"/>
    <w:rsid w:val="00822E86"/>
    <w:rsid w:val="00824A98"/>
    <w:rsid w:val="0083435A"/>
    <w:rsid w:val="008344F6"/>
    <w:rsid w:val="0083510F"/>
    <w:rsid w:val="00837BF3"/>
    <w:rsid w:val="008415DE"/>
    <w:rsid w:val="008420DE"/>
    <w:rsid w:val="00845865"/>
    <w:rsid w:val="008460B1"/>
    <w:rsid w:val="0084799B"/>
    <w:rsid w:val="00850C90"/>
    <w:rsid w:val="00851209"/>
    <w:rsid w:val="0085171F"/>
    <w:rsid w:val="008608DB"/>
    <w:rsid w:val="008658A1"/>
    <w:rsid w:val="0086716A"/>
    <w:rsid w:val="00870613"/>
    <w:rsid w:val="0087380F"/>
    <w:rsid w:val="0087648F"/>
    <w:rsid w:val="00876612"/>
    <w:rsid w:val="00882BB1"/>
    <w:rsid w:val="008837AC"/>
    <w:rsid w:val="008864B6"/>
    <w:rsid w:val="008909DC"/>
    <w:rsid w:val="008927ED"/>
    <w:rsid w:val="00893384"/>
    <w:rsid w:val="00894255"/>
    <w:rsid w:val="008945AD"/>
    <w:rsid w:val="008A0645"/>
    <w:rsid w:val="008A168B"/>
    <w:rsid w:val="008A1C02"/>
    <w:rsid w:val="008A370D"/>
    <w:rsid w:val="008A5077"/>
    <w:rsid w:val="008A587D"/>
    <w:rsid w:val="008B16B0"/>
    <w:rsid w:val="008B1BD5"/>
    <w:rsid w:val="008B2BBC"/>
    <w:rsid w:val="008B35CD"/>
    <w:rsid w:val="008B4093"/>
    <w:rsid w:val="008B5FCC"/>
    <w:rsid w:val="008B7F36"/>
    <w:rsid w:val="008C078C"/>
    <w:rsid w:val="008C237E"/>
    <w:rsid w:val="008C357F"/>
    <w:rsid w:val="008C5486"/>
    <w:rsid w:val="008D1661"/>
    <w:rsid w:val="008D27E0"/>
    <w:rsid w:val="008D5B60"/>
    <w:rsid w:val="008D5F90"/>
    <w:rsid w:val="008D6800"/>
    <w:rsid w:val="008D72F1"/>
    <w:rsid w:val="008E4089"/>
    <w:rsid w:val="008E5AFF"/>
    <w:rsid w:val="008E7031"/>
    <w:rsid w:val="008E77DE"/>
    <w:rsid w:val="008F040C"/>
    <w:rsid w:val="008F07A3"/>
    <w:rsid w:val="008F27BA"/>
    <w:rsid w:val="008F3322"/>
    <w:rsid w:val="008F3519"/>
    <w:rsid w:val="008F3A0D"/>
    <w:rsid w:val="009001B6"/>
    <w:rsid w:val="00900E1B"/>
    <w:rsid w:val="0090131F"/>
    <w:rsid w:val="00907683"/>
    <w:rsid w:val="009132B7"/>
    <w:rsid w:val="00913442"/>
    <w:rsid w:val="00916A2C"/>
    <w:rsid w:val="00916EED"/>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85F45"/>
    <w:rsid w:val="00992C78"/>
    <w:rsid w:val="009958CA"/>
    <w:rsid w:val="009A4495"/>
    <w:rsid w:val="009A5FC3"/>
    <w:rsid w:val="009B0058"/>
    <w:rsid w:val="009B6F84"/>
    <w:rsid w:val="009B7461"/>
    <w:rsid w:val="009B74B0"/>
    <w:rsid w:val="009C0152"/>
    <w:rsid w:val="009C1A74"/>
    <w:rsid w:val="009C3D42"/>
    <w:rsid w:val="009C491E"/>
    <w:rsid w:val="009D0DF1"/>
    <w:rsid w:val="009D22D6"/>
    <w:rsid w:val="009D2C84"/>
    <w:rsid w:val="009D3906"/>
    <w:rsid w:val="009D5191"/>
    <w:rsid w:val="009D6B46"/>
    <w:rsid w:val="009E35B6"/>
    <w:rsid w:val="009E5204"/>
    <w:rsid w:val="009E5ABC"/>
    <w:rsid w:val="009E7262"/>
    <w:rsid w:val="009F099E"/>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2DD3"/>
    <w:rsid w:val="00A30BF5"/>
    <w:rsid w:val="00A31BE6"/>
    <w:rsid w:val="00A32FBB"/>
    <w:rsid w:val="00A40068"/>
    <w:rsid w:val="00A40BE9"/>
    <w:rsid w:val="00A428EE"/>
    <w:rsid w:val="00A443C2"/>
    <w:rsid w:val="00A4478A"/>
    <w:rsid w:val="00A44852"/>
    <w:rsid w:val="00A47A10"/>
    <w:rsid w:val="00A50502"/>
    <w:rsid w:val="00A53409"/>
    <w:rsid w:val="00A53796"/>
    <w:rsid w:val="00A53848"/>
    <w:rsid w:val="00A55FE0"/>
    <w:rsid w:val="00A56945"/>
    <w:rsid w:val="00A56A6E"/>
    <w:rsid w:val="00A57D04"/>
    <w:rsid w:val="00A60A26"/>
    <w:rsid w:val="00A61598"/>
    <w:rsid w:val="00A61777"/>
    <w:rsid w:val="00A63646"/>
    <w:rsid w:val="00A63914"/>
    <w:rsid w:val="00A675BA"/>
    <w:rsid w:val="00A75620"/>
    <w:rsid w:val="00A80F4B"/>
    <w:rsid w:val="00A84A99"/>
    <w:rsid w:val="00A84F46"/>
    <w:rsid w:val="00A85E87"/>
    <w:rsid w:val="00A860C9"/>
    <w:rsid w:val="00A86AEA"/>
    <w:rsid w:val="00A871F4"/>
    <w:rsid w:val="00A933B4"/>
    <w:rsid w:val="00A9431A"/>
    <w:rsid w:val="00A95988"/>
    <w:rsid w:val="00A959DF"/>
    <w:rsid w:val="00A97A1B"/>
    <w:rsid w:val="00AA1499"/>
    <w:rsid w:val="00AA2927"/>
    <w:rsid w:val="00AA677C"/>
    <w:rsid w:val="00AA69E8"/>
    <w:rsid w:val="00AB2CB8"/>
    <w:rsid w:val="00AB4617"/>
    <w:rsid w:val="00AB4E93"/>
    <w:rsid w:val="00AB6E6E"/>
    <w:rsid w:val="00AC0183"/>
    <w:rsid w:val="00AC1B2C"/>
    <w:rsid w:val="00AC2A1C"/>
    <w:rsid w:val="00AC2C51"/>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1811"/>
    <w:rsid w:val="00B02385"/>
    <w:rsid w:val="00B02F9D"/>
    <w:rsid w:val="00B05766"/>
    <w:rsid w:val="00B0706E"/>
    <w:rsid w:val="00B13048"/>
    <w:rsid w:val="00B13883"/>
    <w:rsid w:val="00B1711A"/>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523C"/>
    <w:rsid w:val="00B561BD"/>
    <w:rsid w:val="00B56E03"/>
    <w:rsid w:val="00B61874"/>
    <w:rsid w:val="00B62765"/>
    <w:rsid w:val="00B65DF5"/>
    <w:rsid w:val="00B70C7C"/>
    <w:rsid w:val="00B7679F"/>
    <w:rsid w:val="00B77159"/>
    <w:rsid w:val="00B8080B"/>
    <w:rsid w:val="00B82223"/>
    <w:rsid w:val="00B84D85"/>
    <w:rsid w:val="00B858D4"/>
    <w:rsid w:val="00B87BA5"/>
    <w:rsid w:val="00B87C39"/>
    <w:rsid w:val="00B92BC4"/>
    <w:rsid w:val="00B93891"/>
    <w:rsid w:val="00B9562D"/>
    <w:rsid w:val="00BA21DA"/>
    <w:rsid w:val="00BA2B60"/>
    <w:rsid w:val="00BA3C93"/>
    <w:rsid w:val="00BA4665"/>
    <w:rsid w:val="00BA7FD7"/>
    <w:rsid w:val="00BB1681"/>
    <w:rsid w:val="00BB2FB2"/>
    <w:rsid w:val="00BB3304"/>
    <w:rsid w:val="00BB53C6"/>
    <w:rsid w:val="00BB6551"/>
    <w:rsid w:val="00BC4A10"/>
    <w:rsid w:val="00BD30F4"/>
    <w:rsid w:val="00BD3446"/>
    <w:rsid w:val="00BD53A1"/>
    <w:rsid w:val="00BD59CF"/>
    <w:rsid w:val="00BE1312"/>
    <w:rsid w:val="00BE1F1B"/>
    <w:rsid w:val="00BE3F89"/>
    <w:rsid w:val="00BE47B5"/>
    <w:rsid w:val="00BE5575"/>
    <w:rsid w:val="00BE5FCE"/>
    <w:rsid w:val="00BF4D82"/>
    <w:rsid w:val="00C0079E"/>
    <w:rsid w:val="00C00BAF"/>
    <w:rsid w:val="00C014BB"/>
    <w:rsid w:val="00C0572A"/>
    <w:rsid w:val="00C07B5C"/>
    <w:rsid w:val="00C13EBD"/>
    <w:rsid w:val="00C1631B"/>
    <w:rsid w:val="00C163AB"/>
    <w:rsid w:val="00C170F0"/>
    <w:rsid w:val="00C233DB"/>
    <w:rsid w:val="00C25962"/>
    <w:rsid w:val="00C25FA6"/>
    <w:rsid w:val="00C3099D"/>
    <w:rsid w:val="00C33011"/>
    <w:rsid w:val="00C362C1"/>
    <w:rsid w:val="00C41950"/>
    <w:rsid w:val="00C42C3B"/>
    <w:rsid w:val="00C51672"/>
    <w:rsid w:val="00C53516"/>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1507"/>
    <w:rsid w:val="00C82EB8"/>
    <w:rsid w:val="00C84560"/>
    <w:rsid w:val="00C86679"/>
    <w:rsid w:val="00C8792F"/>
    <w:rsid w:val="00C90472"/>
    <w:rsid w:val="00C91D6E"/>
    <w:rsid w:val="00CA489E"/>
    <w:rsid w:val="00CA56F3"/>
    <w:rsid w:val="00CA597E"/>
    <w:rsid w:val="00CB0279"/>
    <w:rsid w:val="00CB666B"/>
    <w:rsid w:val="00CB734B"/>
    <w:rsid w:val="00CC41B6"/>
    <w:rsid w:val="00CC7ADA"/>
    <w:rsid w:val="00CC7F1D"/>
    <w:rsid w:val="00CD0A88"/>
    <w:rsid w:val="00CD125D"/>
    <w:rsid w:val="00CD283C"/>
    <w:rsid w:val="00CD3641"/>
    <w:rsid w:val="00CD66EA"/>
    <w:rsid w:val="00CD7432"/>
    <w:rsid w:val="00CE0FA5"/>
    <w:rsid w:val="00CE1C83"/>
    <w:rsid w:val="00CE2A23"/>
    <w:rsid w:val="00CE31C8"/>
    <w:rsid w:val="00CE484B"/>
    <w:rsid w:val="00CE7CBA"/>
    <w:rsid w:val="00CF0DEE"/>
    <w:rsid w:val="00CF3108"/>
    <w:rsid w:val="00CF42AA"/>
    <w:rsid w:val="00CF5EAA"/>
    <w:rsid w:val="00CF6AE3"/>
    <w:rsid w:val="00CF77BB"/>
    <w:rsid w:val="00D006AE"/>
    <w:rsid w:val="00D00905"/>
    <w:rsid w:val="00D010C1"/>
    <w:rsid w:val="00D01B44"/>
    <w:rsid w:val="00D01CF0"/>
    <w:rsid w:val="00D0442A"/>
    <w:rsid w:val="00D12A7B"/>
    <w:rsid w:val="00D12ADB"/>
    <w:rsid w:val="00D15E63"/>
    <w:rsid w:val="00D22ACB"/>
    <w:rsid w:val="00D25A39"/>
    <w:rsid w:val="00D27CFA"/>
    <w:rsid w:val="00D310FA"/>
    <w:rsid w:val="00D312CA"/>
    <w:rsid w:val="00D325C6"/>
    <w:rsid w:val="00D33F8F"/>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0AE3"/>
    <w:rsid w:val="00D924AE"/>
    <w:rsid w:val="00D92CF1"/>
    <w:rsid w:val="00D92D38"/>
    <w:rsid w:val="00D945F0"/>
    <w:rsid w:val="00D950F5"/>
    <w:rsid w:val="00D97379"/>
    <w:rsid w:val="00DA23D5"/>
    <w:rsid w:val="00DA4752"/>
    <w:rsid w:val="00DA4C09"/>
    <w:rsid w:val="00DA61F3"/>
    <w:rsid w:val="00DA7CB3"/>
    <w:rsid w:val="00DA7D16"/>
    <w:rsid w:val="00DB0D00"/>
    <w:rsid w:val="00DB0F93"/>
    <w:rsid w:val="00DB1A67"/>
    <w:rsid w:val="00DB3721"/>
    <w:rsid w:val="00DB3A61"/>
    <w:rsid w:val="00DB5074"/>
    <w:rsid w:val="00DC0281"/>
    <w:rsid w:val="00DC0355"/>
    <w:rsid w:val="00DC1930"/>
    <w:rsid w:val="00DC1C76"/>
    <w:rsid w:val="00DC4DBF"/>
    <w:rsid w:val="00DC4E19"/>
    <w:rsid w:val="00DC65FE"/>
    <w:rsid w:val="00DC7981"/>
    <w:rsid w:val="00DD3C46"/>
    <w:rsid w:val="00DD4C07"/>
    <w:rsid w:val="00DD577D"/>
    <w:rsid w:val="00DD5ADC"/>
    <w:rsid w:val="00DE1093"/>
    <w:rsid w:val="00DE4EFA"/>
    <w:rsid w:val="00DE5520"/>
    <w:rsid w:val="00DE563D"/>
    <w:rsid w:val="00DE7AB5"/>
    <w:rsid w:val="00DF0152"/>
    <w:rsid w:val="00DF1958"/>
    <w:rsid w:val="00DF492A"/>
    <w:rsid w:val="00E04818"/>
    <w:rsid w:val="00E06442"/>
    <w:rsid w:val="00E06952"/>
    <w:rsid w:val="00E070D1"/>
    <w:rsid w:val="00E11E61"/>
    <w:rsid w:val="00E1274F"/>
    <w:rsid w:val="00E157B2"/>
    <w:rsid w:val="00E16055"/>
    <w:rsid w:val="00E2332D"/>
    <w:rsid w:val="00E23993"/>
    <w:rsid w:val="00E24430"/>
    <w:rsid w:val="00E2574F"/>
    <w:rsid w:val="00E25951"/>
    <w:rsid w:val="00E25B8C"/>
    <w:rsid w:val="00E31CF6"/>
    <w:rsid w:val="00E34A4A"/>
    <w:rsid w:val="00E35AFC"/>
    <w:rsid w:val="00E369B8"/>
    <w:rsid w:val="00E41D39"/>
    <w:rsid w:val="00E44F64"/>
    <w:rsid w:val="00E50A02"/>
    <w:rsid w:val="00E53E95"/>
    <w:rsid w:val="00E54106"/>
    <w:rsid w:val="00E54697"/>
    <w:rsid w:val="00E57A08"/>
    <w:rsid w:val="00E63631"/>
    <w:rsid w:val="00E64C2A"/>
    <w:rsid w:val="00E64E17"/>
    <w:rsid w:val="00E65C85"/>
    <w:rsid w:val="00E66199"/>
    <w:rsid w:val="00E6670D"/>
    <w:rsid w:val="00E70526"/>
    <w:rsid w:val="00E70C20"/>
    <w:rsid w:val="00E71604"/>
    <w:rsid w:val="00E754B4"/>
    <w:rsid w:val="00E755EC"/>
    <w:rsid w:val="00E7624D"/>
    <w:rsid w:val="00E81724"/>
    <w:rsid w:val="00E819A4"/>
    <w:rsid w:val="00E833FA"/>
    <w:rsid w:val="00E84B74"/>
    <w:rsid w:val="00E86E28"/>
    <w:rsid w:val="00E87066"/>
    <w:rsid w:val="00E966BF"/>
    <w:rsid w:val="00EA0C04"/>
    <w:rsid w:val="00EA3D42"/>
    <w:rsid w:val="00EA6B1B"/>
    <w:rsid w:val="00EB0B57"/>
    <w:rsid w:val="00EB1CBD"/>
    <w:rsid w:val="00EB3A34"/>
    <w:rsid w:val="00EB3C3F"/>
    <w:rsid w:val="00EB6308"/>
    <w:rsid w:val="00EC021F"/>
    <w:rsid w:val="00EC04F1"/>
    <w:rsid w:val="00EC237F"/>
    <w:rsid w:val="00EC573A"/>
    <w:rsid w:val="00ED0F05"/>
    <w:rsid w:val="00ED29BE"/>
    <w:rsid w:val="00ED35C8"/>
    <w:rsid w:val="00ED3968"/>
    <w:rsid w:val="00ED7323"/>
    <w:rsid w:val="00EE28F3"/>
    <w:rsid w:val="00EE50D1"/>
    <w:rsid w:val="00EE7614"/>
    <w:rsid w:val="00EF5110"/>
    <w:rsid w:val="00EF5890"/>
    <w:rsid w:val="00EF60E5"/>
    <w:rsid w:val="00EF76BA"/>
    <w:rsid w:val="00F0231A"/>
    <w:rsid w:val="00F03463"/>
    <w:rsid w:val="00F036B7"/>
    <w:rsid w:val="00F0700F"/>
    <w:rsid w:val="00F07F1F"/>
    <w:rsid w:val="00F10411"/>
    <w:rsid w:val="00F10A9A"/>
    <w:rsid w:val="00F11B2D"/>
    <w:rsid w:val="00F11E7A"/>
    <w:rsid w:val="00F121C2"/>
    <w:rsid w:val="00F124BC"/>
    <w:rsid w:val="00F1485B"/>
    <w:rsid w:val="00F152E2"/>
    <w:rsid w:val="00F15882"/>
    <w:rsid w:val="00F170C7"/>
    <w:rsid w:val="00F171E0"/>
    <w:rsid w:val="00F20BD3"/>
    <w:rsid w:val="00F22A8C"/>
    <w:rsid w:val="00F23396"/>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2B22"/>
    <w:rsid w:val="00F82B51"/>
    <w:rsid w:val="00F83034"/>
    <w:rsid w:val="00F83FAD"/>
    <w:rsid w:val="00F844C6"/>
    <w:rsid w:val="00F92FA6"/>
    <w:rsid w:val="00F9353B"/>
    <w:rsid w:val="00F937F1"/>
    <w:rsid w:val="00F952A0"/>
    <w:rsid w:val="00FA31B1"/>
    <w:rsid w:val="00FA3320"/>
    <w:rsid w:val="00FA3C7F"/>
    <w:rsid w:val="00FA6246"/>
    <w:rsid w:val="00FA7FD9"/>
    <w:rsid w:val="00FB24ED"/>
    <w:rsid w:val="00FB3304"/>
    <w:rsid w:val="00FB4BA2"/>
    <w:rsid w:val="00FB5005"/>
    <w:rsid w:val="00FB60FE"/>
    <w:rsid w:val="00FB6920"/>
    <w:rsid w:val="00FB6C5C"/>
    <w:rsid w:val="00FB74E2"/>
    <w:rsid w:val="00FB778B"/>
    <w:rsid w:val="00FD5614"/>
    <w:rsid w:val="00FD5E78"/>
    <w:rsid w:val="00FE0BE1"/>
    <w:rsid w:val="00FE11BB"/>
    <w:rsid w:val="00FE1DE9"/>
    <w:rsid w:val="00FE36AF"/>
    <w:rsid w:val="00FE39C2"/>
    <w:rsid w:val="00FE3C32"/>
    <w:rsid w:val="00FE64AE"/>
    <w:rsid w:val="00FF23D0"/>
    <w:rsid w:val="00FF7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Default">
    <w:name w:val="Default"/>
    <w:rsid w:val="00A933B4"/>
    <w:pPr>
      <w:autoSpaceDE w:val="0"/>
      <w:autoSpaceDN w:val="0"/>
      <w:adjustRightInd w:val="0"/>
      <w:spacing w:before="0"/>
    </w:pPr>
    <w:rPr>
      <w:rFonts w:ascii="Verdana" w:hAnsi="Verdana" w:cs="Verdana"/>
      <w:color w:val="000000"/>
      <w:sz w:val="24"/>
      <w:szCs w:val="24"/>
    </w:rPr>
  </w:style>
  <w:style w:type="paragraph" w:customStyle="1" w:styleId="NormalH2Indent-alpha">
    <w:name w:val="Normal_H2_Indent-alpha"/>
    <w:basedOn w:val="Normal"/>
    <w:rsid w:val="009D5191"/>
    <w:pPr>
      <w:numPr>
        <w:numId w:val="39"/>
      </w:numPr>
      <w:autoSpaceDE w:val="0"/>
      <w:autoSpaceDN w:val="0"/>
      <w:adjustRightInd w:val="0"/>
      <w:spacing w:before="60" w:after="60" w:line="280" w:lineRule="atLeast"/>
      <w:jc w:val="both"/>
    </w:pPr>
    <w:rPr>
      <w:rFonts w:ascii="Arial Narrow" w:eastAsia="Times New Roman" w:hAnsi="Arial Narrow" w:cs="Times New Roman"/>
      <w:szCs w:val="24"/>
    </w:rPr>
  </w:style>
  <w:style w:type="character" w:customStyle="1" w:styleId="accc-document-title">
    <w:name w:val="accc-document-title"/>
    <w:basedOn w:val="DefaultParagraphFont"/>
    <w:rsid w:val="00FA7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Default">
    <w:name w:val="Default"/>
    <w:rsid w:val="00A933B4"/>
    <w:pPr>
      <w:autoSpaceDE w:val="0"/>
      <w:autoSpaceDN w:val="0"/>
      <w:adjustRightInd w:val="0"/>
      <w:spacing w:before="0"/>
    </w:pPr>
    <w:rPr>
      <w:rFonts w:ascii="Verdana" w:hAnsi="Verdana" w:cs="Verdana"/>
      <w:color w:val="000000"/>
      <w:sz w:val="24"/>
      <w:szCs w:val="24"/>
    </w:rPr>
  </w:style>
  <w:style w:type="paragraph" w:customStyle="1" w:styleId="NormalH2Indent-alpha">
    <w:name w:val="Normal_H2_Indent-alpha"/>
    <w:basedOn w:val="Normal"/>
    <w:rsid w:val="009D5191"/>
    <w:pPr>
      <w:numPr>
        <w:numId w:val="39"/>
      </w:numPr>
      <w:autoSpaceDE w:val="0"/>
      <w:autoSpaceDN w:val="0"/>
      <w:adjustRightInd w:val="0"/>
      <w:spacing w:before="60" w:after="60" w:line="280" w:lineRule="atLeast"/>
      <w:jc w:val="both"/>
    </w:pPr>
    <w:rPr>
      <w:rFonts w:ascii="Arial Narrow" w:eastAsia="Times New Roman" w:hAnsi="Arial Narrow" w:cs="Times New Roman"/>
      <w:szCs w:val="24"/>
    </w:rPr>
  </w:style>
  <w:style w:type="character" w:customStyle="1" w:styleId="accc-document-title">
    <w:name w:val="accc-document-title"/>
    <w:basedOn w:val="DefaultParagraphFont"/>
    <w:rsid w:val="00FA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0069166">
      <w:bodyDiv w:val="1"/>
      <w:marLeft w:val="0"/>
      <w:marRight w:val="0"/>
      <w:marTop w:val="0"/>
      <w:marBottom w:val="0"/>
      <w:divBdr>
        <w:top w:val="none" w:sz="0" w:space="0" w:color="auto"/>
        <w:left w:val="none" w:sz="0" w:space="0" w:color="auto"/>
        <w:bottom w:val="none" w:sz="0" w:space="0" w:color="auto"/>
        <w:right w:val="none" w:sz="0" w:space="0" w:color="auto"/>
      </w:divBdr>
      <w:divsChild>
        <w:div w:id="1724599212">
          <w:marLeft w:val="0"/>
          <w:marRight w:val="0"/>
          <w:marTop w:val="300"/>
          <w:marBottom w:val="0"/>
          <w:divBdr>
            <w:top w:val="none" w:sz="0" w:space="0" w:color="auto"/>
            <w:left w:val="none" w:sz="0" w:space="0" w:color="auto"/>
            <w:bottom w:val="none" w:sz="0" w:space="0" w:color="auto"/>
            <w:right w:val="none" w:sz="0" w:space="0" w:color="auto"/>
          </w:divBdr>
          <w:divsChild>
            <w:div w:id="393167239">
              <w:marLeft w:val="0"/>
              <w:marRight w:val="0"/>
              <w:marTop w:val="0"/>
              <w:marBottom w:val="0"/>
              <w:divBdr>
                <w:top w:val="none" w:sz="0" w:space="0" w:color="auto"/>
                <w:left w:val="none" w:sz="0" w:space="0" w:color="auto"/>
                <w:bottom w:val="none" w:sz="0" w:space="0" w:color="auto"/>
                <w:right w:val="none" w:sz="0" w:space="0" w:color="auto"/>
              </w:divBdr>
              <w:divsChild>
                <w:div w:id="840701864">
                  <w:marLeft w:val="0"/>
                  <w:marRight w:val="0"/>
                  <w:marTop w:val="0"/>
                  <w:marBottom w:val="0"/>
                  <w:divBdr>
                    <w:top w:val="none" w:sz="0" w:space="0" w:color="auto"/>
                    <w:left w:val="none" w:sz="0" w:space="0" w:color="auto"/>
                    <w:bottom w:val="none" w:sz="0" w:space="0" w:color="auto"/>
                    <w:right w:val="none" w:sz="0" w:space="0" w:color="auto"/>
                  </w:divBdr>
                  <w:divsChild>
                    <w:div w:id="2091001993">
                      <w:marLeft w:val="0"/>
                      <w:marRight w:val="0"/>
                      <w:marTop w:val="0"/>
                      <w:marBottom w:val="0"/>
                      <w:divBdr>
                        <w:top w:val="none" w:sz="0" w:space="0" w:color="auto"/>
                        <w:left w:val="none" w:sz="0" w:space="0" w:color="auto"/>
                        <w:bottom w:val="none" w:sz="0" w:space="0" w:color="auto"/>
                        <w:right w:val="none" w:sz="0" w:space="0" w:color="auto"/>
                      </w:divBdr>
                      <w:divsChild>
                        <w:div w:id="2997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AER%20-%20Final%20decision%20Australian%20Gas%20Networks%20Access%20Arrangement%20-%20Attachment%2012%20-%20Non-tariff%20components%20-%20May%202016.DOCX" TargetMode="External"/><Relationship Id="rId2" Type="http://schemas.openxmlformats.org/officeDocument/2006/relationships/hyperlink" Target="https://www.aer.gov.au/system/files/AER%20-%20Draft%20decision%20Australian%20Gas%20Networks%20access%20arrangement%20-%20Attachment%2012%20-%20Non-tariff%20components.DOCX" TargetMode="External"/><Relationship Id="rId1" Type="http://schemas.openxmlformats.org/officeDocument/2006/relationships/hyperlink" Target="https://www.aer.gov.au/system/files/AER%20-%20Draft%20decision%20Australian%20Gas%20Networks%20access%20arrangement%20-%20Attachment%2012%20-%20Non-tariff%20components.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64AD53-2233-45E6-A016-565E15C5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A15DAF7F</Template>
  <TotalTime>0</TotalTime>
  <Pages>16</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