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DE7AB5" w:rsidP="00290C63">
          <w:r w:rsidRPr="00DB723B">
            <w:rPr>
              <w:noProof/>
              <w:lang w:eastAsia="en-AU"/>
            </w:rPr>
            <w:drawing>
              <wp:anchor distT="0" distB="0" distL="114300" distR="114300" simplePos="0" relativeHeight="251661312" behindDoc="1" locked="0" layoutInCell="1" allowOverlap="1" wp14:anchorId="22078E1B" wp14:editId="16E36A0B">
                <wp:simplePos x="0" y="0"/>
                <wp:positionH relativeFrom="column">
                  <wp:posOffset>-1116964</wp:posOffset>
                </wp:positionH>
                <wp:positionV relativeFrom="paragraph">
                  <wp:posOffset>-1000406</wp:posOffset>
                </wp:positionV>
                <wp:extent cx="7734300" cy="10932441"/>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34300" cy="10932441"/>
                        </a:xfrm>
                        <a:prstGeom prst="rect">
                          <a:avLst/>
                        </a:prstGeom>
                        <a:noFill/>
                      </pic:spPr>
                    </pic:pic>
                  </a:graphicData>
                </a:graphic>
                <wp14:sizeRelH relativeFrom="page">
                  <wp14:pctWidth>0</wp14:pctWidth>
                </wp14:sizeRelH>
                <wp14:sizeRelV relativeFrom="page">
                  <wp14:pctHeight>0</wp14:pctHeight>
                </wp14:sizeRelV>
              </wp:anchor>
            </w:drawing>
          </w:r>
          <w:r w:rsidR="000A6C7B" w:rsidRPr="00290C63">
            <w:rPr>
              <w:noProof/>
              <w:lang w:eastAsia="en-AU"/>
            </w:rPr>
            <w:drawing>
              <wp:anchor distT="0" distB="0" distL="114300" distR="114300" simplePos="0" relativeHeight="251659264" behindDoc="1" locked="0" layoutInCell="1" allowOverlap="1" wp14:anchorId="2D67DF5F" wp14:editId="04F0FBE8">
                <wp:simplePos x="0" y="0"/>
                <wp:positionH relativeFrom="column">
                  <wp:posOffset>-1112520</wp:posOffset>
                </wp:positionH>
                <wp:positionV relativeFrom="paragraph">
                  <wp:posOffset>-919138</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5C16FE" w:rsidRDefault="005C16FE" w:rsidP="00F171E0"/>
        <w:p w:rsidR="000B33D2" w:rsidRDefault="000B33D2" w:rsidP="00D5015C">
          <w:pPr>
            <w:pStyle w:val="ReportSubtitle"/>
          </w:pPr>
          <w:r w:rsidRPr="000B33D2">
            <w:t>DRAFT DECISION</w:t>
          </w:r>
        </w:p>
        <w:p w:rsidR="00D5015C" w:rsidRDefault="00D5015C" w:rsidP="00D5015C">
          <w:pPr>
            <w:pStyle w:val="ReportSubtitle"/>
          </w:pPr>
          <w:r>
            <w:t>Australian Gas Networks</w:t>
          </w:r>
        </w:p>
        <w:p w:rsidR="00D5015C" w:rsidRDefault="00D5015C" w:rsidP="00D5015C">
          <w:pPr>
            <w:pStyle w:val="ReportSubtitle"/>
          </w:pPr>
          <w:r>
            <w:t xml:space="preserve">Victoria </w:t>
          </w:r>
          <w:r w:rsidRPr="00D5015C">
            <w:t>and</w:t>
          </w:r>
          <w:r>
            <w:t xml:space="preserve"> Albury gas </w:t>
          </w:r>
          <w:r w:rsidR="00636CDD">
            <w:t>access arrangement</w:t>
          </w:r>
        </w:p>
        <w:p w:rsidR="00D5015C" w:rsidRDefault="00D5015C" w:rsidP="00D5015C">
          <w:pPr>
            <w:pStyle w:val="ReportSubtitle"/>
          </w:pPr>
          <w:r>
            <w:t xml:space="preserve"> 2018 to 2022</w:t>
          </w:r>
        </w:p>
        <w:p w:rsidR="008F07A3" w:rsidRPr="000A6C7B" w:rsidRDefault="008F07A3" w:rsidP="00D5015C">
          <w:pPr>
            <w:pStyle w:val="ReportSubtitle"/>
            <w:tabs>
              <w:tab w:val="left" w:pos="1122"/>
              <w:tab w:val="center" w:pos="4238"/>
            </w:tabs>
            <w:jc w:val="left"/>
          </w:pPr>
        </w:p>
        <w:p w:rsidR="000A6C7B" w:rsidRDefault="0037699E" w:rsidP="008F07A3">
          <w:pPr>
            <w:pStyle w:val="ReportSubtitle"/>
          </w:pPr>
          <w:r>
            <w:t xml:space="preserve">Attachment </w:t>
          </w:r>
          <w:r w:rsidR="00471BC6">
            <w:t>1</w:t>
          </w:r>
          <w:r w:rsidR="000C6409">
            <w:t>3</w:t>
          </w:r>
          <w:r w:rsidR="000474DF">
            <w:t xml:space="preserve"> </w:t>
          </w:r>
          <w:r w:rsidR="00185BA5">
            <w:t>–</w:t>
          </w:r>
          <w:r w:rsidR="000474DF">
            <w:t xml:space="preserve"> </w:t>
          </w:r>
          <w:r w:rsidR="000C6409">
            <w:t>Demand</w:t>
          </w:r>
        </w:p>
        <w:p w:rsidR="00D5015C" w:rsidRDefault="00D5015C" w:rsidP="00327A1E">
          <w:pPr>
            <w:pStyle w:val="ReportDate"/>
          </w:pPr>
        </w:p>
        <w:p w:rsidR="00D5015C" w:rsidRDefault="00D5015C" w:rsidP="00327A1E">
          <w:pPr>
            <w:pStyle w:val="ReportDate"/>
          </w:pPr>
        </w:p>
        <w:p w:rsidR="000A6C7B" w:rsidRPr="00327A1E" w:rsidRDefault="009B394E" w:rsidP="00327A1E">
          <w:pPr>
            <w:pStyle w:val="ReportDate"/>
          </w:pPr>
          <w:r>
            <w:t xml:space="preserve">July </w:t>
          </w:r>
          <w:r w:rsidR="00F22A8C">
            <w:t>2017</w:t>
          </w:r>
        </w:p>
      </w:sdtContent>
    </w:sdt>
    <w:p w:rsidR="00327A1E" w:rsidRPr="00290C63" w:rsidRDefault="00327A1E" w:rsidP="00290C63">
      <w:r>
        <w:br w:type="page"/>
      </w:r>
    </w:p>
    <w:p w:rsidR="00CE2A23" w:rsidRDefault="00CE2A23" w:rsidP="00761454">
      <w:bookmarkStart w:id="0" w:name="_Toc411428008"/>
      <w:r>
        <w:lastRenderedPageBreak/>
        <w:t>© Commonwealth of Australia 201</w:t>
      </w:r>
      <w:r w:rsidR="000C6409">
        <w:t>7</w:t>
      </w:r>
    </w:p>
    <w:p w:rsidR="00CE2A23" w:rsidRDefault="00CE2A23" w:rsidP="00761454">
      <w:r>
        <w:t>This work is copyright. In addition to any use permitted under the Copyright Act 1968, all material contained within this work is provided under a Creative Commons Attributions 3.0 Australia licence, with the exception of:</w:t>
      </w:r>
    </w:p>
    <w:p w:rsidR="00CE2A23" w:rsidRPr="00CE2A23" w:rsidRDefault="00CE2A23" w:rsidP="00CE2A23">
      <w:pPr>
        <w:pStyle w:val="AERbulletlistfirststyle"/>
      </w:pPr>
      <w:r w:rsidRPr="00CE2A23">
        <w:t>the Commonwealth Coat of Arms</w:t>
      </w:r>
    </w:p>
    <w:p w:rsidR="00CE2A23" w:rsidRPr="00CB734B" w:rsidRDefault="00CE2A23" w:rsidP="00CE2A23">
      <w:pPr>
        <w:pStyle w:val="AERbulletlistfirststyle"/>
      </w:pPr>
      <w:r w:rsidRPr="00CE2A23">
        <w:t>the ACCC and AER logos</w:t>
      </w:r>
    </w:p>
    <w:p w:rsidR="00CE2A23" w:rsidRPr="00CE2A23" w:rsidRDefault="00CE2A23" w:rsidP="00CB734B">
      <w:pPr>
        <w:pStyle w:val="AERbulletlistfirststyle"/>
      </w:pPr>
      <w:r w:rsidRPr="00CE2A23">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CE2A23" w:rsidRDefault="00CE2A23" w:rsidP="00761454">
      <w:r>
        <w:t>Requests and inquiries concerning reproduction and rights should be addressed to the:</w:t>
      </w:r>
    </w:p>
    <w:p w:rsidR="00CE2A23" w:rsidRDefault="00CE2A23" w:rsidP="00761454">
      <w:r>
        <w:t>Director, Corporate Communications</w:t>
      </w:r>
      <w:r>
        <w:br/>
        <w:t xml:space="preserve">Australian Competition and Consumer Commission </w:t>
      </w:r>
      <w:r>
        <w:br/>
        <w:t>GPO Box 4141, Canberra ACT 2601</w:t>
      </w:r>
    </w:p>
    <w:p w:rsidR="00CE2A23" w:rsidRDefault="00CE2A23" w:rsidP="00761454">
      <w:r>
        <w:t>or publishing.unit@accc.gov.au.</w:t>
      </w:r>
    </w:p>
    <w:p w:rsidR="00CE2A23" w:rsidRDefault="00CE2A23" w:rsidP="00761454">
      <w:r>
        <w:t>Inquiries about this publication should be addressed to:</w:t>
      </w:r>
    </w:p>
    <w:p w:rsidR="00CE2A23" w:rsidRDefault="00CE2A23" w:rsidP="00761454">
      <w:r>
        <w:t xml:space="preserve">Australian Energy </w:t>
      </w:r>
      <w:r w:rsidRPr="00F171E0">
        <w:t>Regulator</w:t>
      </w:r>
      <w:r>
        <w:br/>
        <w:t>GPO Box 520</w:t>
      </w:r>
      <w:r>
        <w:br/>
      </w:r>
      <w:r w:rsidR="008658A1">
        <w:t>Melbourne Vic 3001</w:t>
      </w:r>
    </w:p>
    <w:p w:rsidR="00CE2A23" w:rsidRDefault="00CE2A23" w:rsidP="00761454">
      <w:r>
        <w:t xml:space="preserve">Tel: </w:t>
      </w:r>
      <w:r w:rsidR="009B394E">
        <w:t>1300 585 165</w:t>
      </w:r>
    </w:p>
    <w:p w:rsidR="00CE2A23" w:rsidRDefault="00CE2A23" w:rsidP="00761454">
      <w:r>
        <w:t xml:space="preserve">Email: </w:t>
      </w:r>
      <w:hyperlink r:id="rId12" w:history="1">
        <w:r w:rsidRPr="00D64888">
          <w:rPr>
            <w:rStyle w:val="Hyperlink"/>
          </w:rPr>
          <w:t>AERInquiry@aer.gov.au</w:t>
        </w:r>
      </w:hyperlink>
      <w:r>
        <w:rPr>
          <w:rStyle w:val="Hyperlink"/>
        </w:rPr>
        <w:br/>
      </w:r>
    </w:p>
    <w:p w:rsidR="00291A99" w:rsidRDefault="00291A99" w:rsidP="00761454"/>
    <w:p w:rsidR="00761454" w:rsidRDefault="00761454">
      <w:pPr>
        <w:spacing w:line="240" w:lineRule="auto"/>
      </w:pPr>
      <w:r>
        <w:br w:type="page"/>
      </w:r>
    </w:p>
    <w:p w:rsidR="00761454" w:rsidRDefault="00761454" w:rsidP="00761454">
      <w:pPr>
        <w:pStyle w:val="UnnumberedHeading"/>
        <w:numPr>
          <w:ilvl w:val="0"/>
          <w:numId w:val="23"/>
        </w:numPr>
      </w:pPr>
      <w:bookmarkStart w:id="1" w:name="_Toc404153950"/>
      <w:bookmarkStart w:id="2" w:name="_Toc404437593"/>
      <w:bookmarkStart w:id="3" w:name="_Toc486834968"/>
      <w:r>
        <w:lastRenderedPageBreak/>
        <w:t>Note</w:t>
      </w:r>
      <w:bookmarkEnd w:id="1"/>
      <w:bookmarkEnd w:id="2"/>
      <w:bookmarkEnd w:id="3"/>
    </w:p>
    <w:p w:rsidR="00D5015C" w:rsidRDefault="00D5015C" w:rsidP="00D5015C">
      <w:pPr>
        <w:numPr>
          <w:ilvl w:val="0"/>
          <w:numId w:val="23"/>
        </w:numPr>
      </w:pPr>
      <w:r>
        <w:t xml:space="preserve">This attachment forms part of the AER's draft decision on the </w:t>
      </w:r>
      <w:r w:rsidR="00636CDD">
        <w:t>access arrangement</w:t>
      </w:r>
      <w:r>
        <w:t xml:space="preserve"> for AGN's Victoria and Albury gas distribution networks for 2018</w:t>
      </w:r>
      <w:r>
        <w:noBreakHyphen/>
        <w:t>22. It should be read with all other parts of the draft decision.</w:t>
      </w:r>
    </w:p>
    <w:p w:rsidR="00D5015C" w:rsidRDefault="00D5015C" w:rsidP="00D5015C">
      <w:pPr>
        <w:numPr>
          <w:ilvl w:val="0"/>
          <w:numId w:val="23"/>
        </w:numPr>
      </w:pPr>
      <w:r>
        <w:t>The draft decision includes the following documents:</w:t>
      </w:r>
    </w:p>
    <w:p w:rsidR="00D5015C" w:rsidRDefault="00D5015C" w:rsidP="00D5015C">
      <w:pPr>
        <w:numPr>
          <w:ilvl w:val="0"/>
          <w:numId w:val="23"/>
        </w:numPr>
      </w:pPr>
      <w:r>
        <w:t>Overview</w:t>
      </w:r>
    </w:p>
    <w:p w:rsidR="00D5015C" w:rsidRDefault="00D5015C" w:rsidP="00D5015C">
      <w:r>
        <w:t xml:space="preserve">Attachment 1 - Services covered by the </w:t>
      </w:r>
      <w:r w:rsidR="00636CDD">
        <w:t>access arrangement</w:t>
      </w:r>
    </w:p>
    <w:p w:rsidR="00D5015C" w:rsidRDefault="00D5015C" w:rsidP="00D5015C">
      <w:r>
        <w:t>Attachment 2 - Capital base</w:t>
      </w:r>
    </w:p>
    <w:p w:rsidR="00D5015C" w:rsidRDefault="00D5015C" w:rsidP="00D5015C">
      <w:r>
        <w:t>Attachment 3 - Rate of return</w:t>
      </w:r>
    </w:p>
    <w:p w:rsidR="00D5015C" w:rsidRDefault="00D5015C" w:rsidP="00D5015C">
      <w:r>
        <w:t>Attachment 4 - Value of imputation credits</w:t>
      </w:r>
    </w:p>
    <w:p w:rsidR="00D5015C" w:rsidRDefault="00D5015C" w:rsidP="00D5015C">
      <w:r>
        <w:t>Attachment 5 - Regulatory depreciation</w:t>
      </w:r>
    </w:p>
    <w:p w:rsidR="00D5015C" w:rsidRDefault="00D5015C" w:rsidP="00D5015C">
      <w:r>
        <w:t xml:space="preserve">Attachment 6 - Capital expenditure </w:t>
      </w:r>
    </w:p>
    <w:p w:rsidR="00D5015C" w:rsidRDefault="00D5015C" w:rsidP="00D5015C">
      <w:r>
        <w:t>Attachment 7 - Operating expenditure</w:t>
      </w:r>
    </w:p>
    <w:p w:rsidR="00D5015C" w:rsidRDefault="00D5015C" w:rsidP="00D5015C">
      <w:r>
        <w:t>Attachment 8 - Corporate income tax</w:t>
      </w:r>
    </w:p>
    <w:p w:rsidR="00D5015C" w:rsidRDefault="00D5015C" w:rsidP="00D5015C">
      <w:r>
        <w:t>Attachment 9 - Efficiency carryover mechanism</w:t>
      </w:r>
    </w:p>
    <w:p w:rsidR="00D5015C" w:rsidRDefault="00D5015C" w:rsidP="00D5015C">
      <w:r>
        <w:t>Attachment 10 - Reference tariff setting</w:t>
      </w:r>
    </w:p>
    <w:p w:rsidR="00D5015C" w:rsidRDefault="00D5015C" w:rsidP="00D5015C">
      <w:r>
        <w:t>Attachment 11 - Reference tariff variation mechanism</w:t>
      </w:r>
    </w:p>
    <w:p w:rsidR="00D5015C" w:rsidRDefault="00D5015C" w:rsidP="00D5015C">
      <w:r>
        <w:t>Attachment 12 - Non-tariff components</w:t>
      </w:r>
    </w:p>
    <w:p w:rsidR="00D5015C" w:rsidRDefault="00D5015C" w:rsidP="00D5015C">
      <w:r>
        <w:t>Attachment 13 - Demand</w:t>
      </w:r>
    </w:p>
    <w:p w:rsidR="00D5015C" w:rsidRDefault="00D5015C" w:rsidP="00D5015C">
      <w:r>
        <w:t>Attachment 14 - Other incentive schemes</w:t>
      </w:r>
    </w:p>
    <w:p w:rsidR="00CE2A23" w:rsidRPr="00CE2A23" w:rsidRDefault="00CE2A23" w:rsidP="00CE2A23">
      <w:bookmarkStart w:id="4" w:name="_Toc404354899"/>
      <w:bookmarkStart w:id="5" w:name="_Toc404353070"/>
      <w:bookmarkStart w:id="6" w:name="_Toc404684201"/>
      <w:bookmarkStart w:id="7" w:name="_Toc404700923"/>
    </w:p>
    <w:bookmarkEnd w:id="4"/>
    <w:bookmarkEnd w:id="5"/>
    <w:bookmarkEnd w:id="6"/>
    <w:bookmarkEnd w:id="7"/>
    <w:p w:rsidR="00CE2A23" w:rsidRPr="008F07A3" w:rsidRDefault="00CE2A23" w:rsidP="00CE2A23">
      <w:pPr>
        <w:numPr>
          <w:ilvl w:val="0"/>
          <w:numId w:val="24"/>
        </w:numPr>
        <w:sectPr w:rsidR="00CE2A23" w:rsidRPr="008F07A3" w:rsidSect="00317E02">
          <w:headerReference w:type="even" r:id="rId13"/>
          <w:headerReference w:type="default" r:id="rId14"/>
          <w:footerReference w:type="even" r:id="rId15"/>
          <w:footerReference w:type="default" r:id="rId16"/>
          <w:headerReference w:type="first" r:id="rId17"/>
          <w:footerReference w:type="first" r:id="rId18"/>
          <w:pgSz w:w="11906" w:h="16838" w:code="9"/>
          <w:pgMar w:top="1440" w:right="1700" w:bottom="1582" w:left="1729" w:header="720" w:footer="0" w:gutter="0"/>
          <w:pgNumType w:start="0" w:chapStyle="1"/>
          <w:cols w:space="720"/>
          <w:docGrid w:linePitch="326"/>
        </w:sectPr>
      </w:pPr>
    </w:p>
    <w:p w:rsidR="00CE2A23" w:rsidRPr="00A72B34" w:rsidRDefault="00CE2A23" w:rsidP="00CE2A23">
      <w:pPr>
        <w:pStyle w:val="UnnumberedHeading"/>
        <w:numPr>
          <w:ilvl w:val="0"/>
          <w:numId w:val="23"/>
        </w:numPr>
      </w:pPr>
      <w:bookmarkStart w:id="8" w:name="_Toc403144133"/>
      <w:bookmarkStart w:id="9" w:name="_Toc486834969"/>
      <w:r>
        <w:t>Contents</w:t>
      </w:r>
      <w:bookmarkEnd w:id="8"/>
      <w:bookmarkEnd w:id="9"/>
    </w:p>
    <w:p w:rsidR="00CE2A23" w:rsidRDefault="00CE2A23" w:rsidP="00CE2A23"/>
    <w:sdt>
      <w:sdtPr>
        <w:id w:val="1269200322"/>
        <w:docPartObj>
          <w:docPartGallery w:val="Table of Contents"/>
          <w:docPartUnique/>
        </w:docPartObj>
      </w:sdtPr>
      <w:sdtEndPr/>
      <w:sdtContent>
        <w:p w:rsidR="00FA3C70" w:rsidRDefault="000C6409">
          <w:pPr>
            <w:pStyle w:val="TOC1"/>
            <w:rPr>
              <w:rFonts w:asciiTheme="minorHAnsi" w:eastAsiaTheme="minorEastAsia" w:hAnsiTheme="minorHAnsi"/>
              <w:b w:val="0"/>
              <w:color w:val="auto"/>
              <w:sz w:val="22"/>
              <w:lang w:val="en-AU" w:eastAsia="en-AU"/>
            </w:rPr>
          </w:pPr>
          <w:r>
            <w:fldChar w:fldCharType="begin"/>
          </w:r>
          <w:r>
            <w:instrText xml:space="preserve"> TOC \o "1-2" \h \z \t "Heading 3,3,Heading 7,1" </w:instrText>
          </w:r>
          <w:r>
            <w:fldChar w:fldCharType="separate"/>
          </w:r>
          <w:hyperlink w:anchor="_Toc486834968" w:history="1">
            <w:r w:rsidR="00FA3C70" w:rsidRPr="0043299D">
              <w:rPr>
                <w:rStyle w:val="Hyperlink"/>
              </w:rPr>
              <w:t>Note</w:t>
            </w:r>
            <w:r w:rsidR="00FA3C70">
              <w:rPr>
                <w:webHidden/>
              </w:rPr>
              <w:tab/>
            </w:r>
            <w:r w:rsidR="00FA3C70">
              <w:rPr>
                <w:webHidden/>
              </w:rPr>
              <w:fldChar w:fldCharType="begin"/>
            </w:r>
            <w:r w:rsidR="00FA3C70">
              <w:rPr>
                <w:webHidden/>
              </w:rPr>
              <w:instrText xml:space="preserve"> PAGEREF _Toc486834968 \h </w:instrText>
            </w:r>
            <w:r w:rsidR="00FA3C70">
              <w:rPr>
                <w:webHidden/>
              </w:rPr>
            </w:r>
            <w:r w:rsidR="00FA3C70">
              <w:rPr>
                <w:webHidden/>
              </w:rPr>
              <w:fldChar w:fldCharType="separate"/>
            </w:r>
            <w:r w:rsidR="00CE5CD1">
              <w:rPr>
                <w:webHidden/>
              </w:rPr>
              <w:t>13-2</w:t>
            </w:r>
            <w:r w:rsidR="00FA3C70">
              <w:rPr>
                <w:webHidden/>
              </w:rPr>
              <w:fldChar w:fldCharType="end"/>
            </w:r>
          </w:hyperlink>
        </w:p>
        <w:p w:rsidR="00FA3C70" w:rsidRDefault="00FA3C70">
          <w:pPr>
            <w:pStyle w:val="TOC1"/>
            <w:rPr>
              <w:rFonts w:asciiTheme="minorHAnsi" w:eastAsiaTheme="minorEastAsia" w:hAnsiTheme="minorHAnsi"/>
              <w:b w:val="0"/>
              <w:color w:val="auto"/>
              <w:sz w:val="22"/>
              <w:lang w:val="en-AU" w:eastAsia="en-AU"/>
            </w:rPr>
          </w:pPr>
          <w:hyperlink w:anchor="_Toc486834969" w:history="1">
            <w:r w:rsidRPr="0043299D">
              <w:rPr>
                <w:rStyle w:val="Hyperlink"/>
              </w:rPr>
              <w:t>Contents</w:t>
            </w:r>
            <w:r>
              <w:rPr>
                <w:webHidden/>
              </w:rPr>
              <w:tab/>
            </w:r>
            <w:r>
              <w:rPr>
                <w:webHidden/>
              </w:rPr>
              <w:fldChar w:fldCharType="begin"/>
            </w:r>
            <w:r>
              <w:rPr>
                <w:webHidden/>
              </w:rPr>
              <w:instrText xml:space="preserve"> PAGEREF _Toc486834969 \h </w:instrText>
            </w:r>
            <w:r>
              <w:rPr>
                <w:webHidden/>
              </w:rPr>
            </w:r>
            <w:r>
              <w:rPr>
                <w:webHidden/>
              </w:rPr>
              <w:fldChar w:fldCharType="separate"/>
            </w:r>
            <w:r w:rsidR="00CE5CD1">
              <w:rPr>
                <w:webHidden/>
              </w:rPr>
              <w:t>13-3</w:t>
            </w:r>
            <w:r>
              <w:rPr>
                <w:webHidden/>
              </w:rPr>
              <w:fldChar w:fldCharType="end"/>
            </w:r>
          </w:hyperlink>
        </w:p>
        <w:p w:rsidR="00FA3C70" w:rsidRDefault="00FA3C70">
          <w:pPr>
            <w:pStyle w:val="TOC1"/>
            <w:rPr>
              <w:rFonts w:asciiTheme="minorHAnsi" w:eastAsiaTheme="minorEastAsia" w:hAnsiTheme="minorHAnsi"/>
              <w:b w:val="0"/>
              <w:color w:val="auto"/>
              <w:sz w:val="22"/>
              <w:lang w:val="en-AU" w:eastAsia="en-AU"/>
            </w:rPr>
          </w:pPr>
          <w:hyperlink w:anchor="_Toc486834970" w:history="1">
            <w:r w:rsidRPr="0043299D">
              <w:rPr>
                <w:rStyle w:val="Hyperlink"/>
              </w:rPr>
              <w:t>Shortened forms</w:t>
            </w:r>
            <w:r>
              <w:rPr>
                <w:webHidden/>
              </w:rPr>
              <w:tab/>
            </w:r>
            <w:r>
              <w:rPr>
                <w:webHidden/>
              </w:rPr>
              <w:fldChar w:fldCharType="begin"/>
            </w:r>
            <w:r>
              <w:rPr>
                <w:webHidden/>
              </w:rPr>
              <w:instrText xml:space="preserve"> PAGEREF _Toc486834970 \h </w:instrText>
            </w:r>
            <w:r>
              <w:rPr>
                <w:webHidden/>
              </w:rPr>
            </w:r>
            <w:r>
              <w:rPr>
                <w:webHidden/>
              </w:rPr>
              <w:fldChar w:fldCharType="separate"/>
            </w:r>
            <w:r w:rsidR="00CE5CD1">
              <w:rPr>
                <w:webHidden/>
              </w:rPr>
              <w:t>13-4</w:t>
            </w:r>
            <w:r>
              <w:rPr>
                <w:webHidden/>
              </w:rPr>
              <w:fldChar w:fldCharType="end"/>
            </w:r>
          </w:hyperlink>
        </w:p>
        <w:p w:rsidR="00FA3C70" w:rsidRDefault="00FA3C70">
          <w:pPr>
            <w:pStyle w:val="TOC1"/>
            <w:rPr>
              <w:rFonts w:asciiTheme="minorHAnsi" w:eastAsiaTheme="minorEastAsia" w:hAnsiTheme="minorHAnsi"/>
              <w:b w:val="0"/>
              <w:color w:val="auto"/>
              <w:sz w:val="22"/>
              <w:lang w:val="en-AU" w:eastAsia="en-AU"/>
            </w:rPr>
          </w:pPr>
          <w:hyperlink w:anchor="_Toc486834971" w:history="1">
            <w:r w:rsidRPr="0043299D">
              <w:rPr>
                <w:rStyle w:val="Hyperlink"/>
              </w:rPr>
              <w:t>13</w:t>
            </w:r>
            <w:r>
              <w:rPr>
                <w:rFonts w:asciiTheme="minorHAnsi" w:eastAsiaTheme="minorEastAsia" w:hAnsiTheme="minorHAnsi"/>
                <w:b w:val="0"/>
                <w:color w:val="auto"/>
                <w:sz w:val="22"/>
                <w:lang w:val="en-AU" w:eastAsia="en-AU"/>
              </w:rPr>
              <w:tab/>
            </w:r>
            <w:r w:rsidRPr="0043299D">
              <w:rPr>
                <w:rStyle w:val="Hyperlink"/>
              </w:rPr>
              <w:t>Demand</w:t>
            </w:r>
            <w:r>
              <w:rPr>
                <w:webHidden/>
              </w:rPr>
              <w:tab/>
            </w:r>
            <w:r>
              <w:rPr>
                <w:webHidden/>
              </w:rPr>
              <w:fldChar w:fldCharType="begin"/>
            </w:r>
            <w:r>
              <w:rPr>
                <w:webHidden/>
              </w:rPr>
              <w:instrText xml:space="preserve"> PAGEREF _Toc486834971 \h </w:instrText>
            </w:r>
            <w:r>
              <w:rPr>
                <w:webHidden/>
              </w:rPr>
            </w:r>
            <w:r>
              <w:rPr>
                <w:webHidden/>
              </w:rPr>
              <w:fldChar w:fldCharType="separate"/>
            </w:r>
            <w:r w:rsidR="00CE5CD1">
              <w:rPr>
                <w:webHidden/>
              </w:rPr>
              <w:t>13-5</w:t>
            </w:r>
            <w:r>
              <w:rPr>
                <w:webHidden/>
              </w:rPr>
              <w:fldChar w:fldCharType="end"/>
            </w:r>
          </w:hyperlink>
        </w:p>
        <w:p w:rsidR="00FA3C70" w:rsidRDefault="00FA3C70">
          <w:pPr>
            <w:pStyle w:val="TOC2"/>
            <w:tabs>
              <w:tab w:val="left" w:pos="1276"/>
            </w:tabs>
            <w:rPr>
              <w:rFonts w:asciiTheme="minorHAnsi" w:eastAsiaTheme="minorEastAsia" w:hAnsiTheme="minorHAnsi"/>
              <w:b w:val="0"/>
              <w:color w:val="auto"/>
              <w:sz w:val="22"/>
              <w:lang w:eastAsia="en-AU"/>
            </w:rPr>
          </w:pPr>
          <w:hyperlink w:anchor="_Toc486834972" w:history="1">
            <w:r w:rsidRPr="0043299D">
              <w:rPr>
                <w:rStyle w:val="Hyperlink"/>
              </w:rPr>
              <w:t>13.1</w:t>
            </w:r>
            <w:r>
              <w:rPr>
                <w:rFonts w:asciiTheme="minorHAnsi" w:eastAsiaTheme="minorEastAsia" w:hAnsiTheme="minorHAnsi"/>
                <w:b w:val="0"/>
                <w:color w:val="auto"/>
                <w:sz w:val="22"/>
                <w:lang w:eastAsia="en-AU"/>
              </w:rPr>
              <w:tab/>
            </w:r>
            <w:r w:rsidRPr="0043299D">
              <w:rPr>
                <w:rStyle w:val="Hyperlink"/>
              </w:rPr>
              <w:t>Draft decision</w:t>
            </w:r>
            <w:r>
              <w:rPr>
                <w:webHidden/>
              </w:rPr>
              <w:tab/>
            </w:r>
            <w:r>
              <w:rPr>
                <w:webHidden/>
              </w:rPr>
              <w:fldChar w:fldCharType="begin"/>
            </w:r>
            <w:r>
              <w:rPr>
                <w:webHidden/>
              </w:rPr>
              <w:instrText xml:space="preserve"> PAGEREF _Toc486834972 \h </w:instrText>
            </w:r>
            <w:r>
              <w:rPr>
                <w:webHidden/>
              </w:rPr>
            </w:r>
            <w:r>
              <w:rPr>
                <w:webHidden/>
              </w:rPr>
              <w:fldChar w:fldCharType="separate"/>
            </w:r>
            <w:r w:rsidR="00CE5CD1">
              <w:rPr>
                <w:webHidden/>
              </w:rPr>
              <w:t>13-5</w:t>
            </w:r>
            <w:r>
              <w:rPr>
                <w:webHidden/>
              </w:rPr>
              <w:fldChar w:fldCharType="end"/>
            </w:r>
          </w:hyperlink>
        </w:p>
        <w:p w:rsidR="00FA3C70" w:rsidRDefault="00FA3C70">
          <w:pPr>
            <w:pStyle w:val="TOC2"/>
            <w:tabs>
              <w:tab w:val="left" w:pos="1276"/>
            </w:tabs>
            <w:rPr>
              <w:rFonts w:asciiTheme="minorHAnsi" w:eastAsiaTheme="minorEastAsia" w:hAnsiTheme="minorHAnsi"/>
              <w:b w:val="0"/>
              <w:color w:val="auto"/>
              <w:sz w:val="22"/>
              <w:lang w:eastAsia="en-AU"/>
            </w:rPr>
          </w:pPr>
          <w:hyperlink w:anchor="_Toc486834973" w:history="1">
            <w:r w:rsidRPr="0043299D">
              <w:rPr>
                <w:rStyle w:val="Hyperlink"/>
              </w:rPr>
              <w:t>13.2</w:t>
            </w:r>
            <w:r>
              <w:rPr>
                <w:rFonts w:asciiTheme="minorHAnsi" w:eastAsiaTheme="minorEastAsia" w:hAnsiTheme="minorHAnsi"/>
                <w:b w:val="0"/>
                <w:color w:val="auto"/>
                <w:sz w:val="22"/>
                <w:lang w:eastAsia="en-AU"/>
              </w:rPr>
              <w:tab/>
            </w:r>
            <w:r w:rsidRPr="0043299D">
              <w:rPr>
                <w:rStyle w:val="Hyperlink"/>
              </w:rPr>
              <w:t>AGN’s proposal</w:t>
            </w:r>
            <w:r>
              <w:rPr>
                <w:webHidden/>
              </w:rPr>
              <w:tab/>
            </w:r>
            <w:r>
              <w:rPr>
                <w:webHidden/>
              </w:rPr>
              <w:fldChar w:fldCharType="begin"/>
            </w:r>
            <w:r>
              <w:rPr>
                <w:webHidden/>
              </w:rPr>
              <w:instrText xml:space="preserve"> PAGEREF _Toc486834973 \h </w:instrText>
            </w:r>
            <w:r>
              <w:rPr>
                <w:webHidden/>
              </w:rPr>
            </w:r>
            <w:r>
              <w:rPr>
                <w:webHidden/>
              </w:rPr>
              <w:fldChar w:fldCharType="separate"/>
            </w:r>
            <w:r w:rsidR="00CE5CD1">
              <w:rPr>
                <w:webHidden/>
              </w:rPr>
              <w:t>13-5</w:t>
            </w:r>
            <w:r>
              <w:rPr>
                <w:webHidden/>
              </w:rPr>
              <w:fldChar w:fldCharType="end"/>
            </w:r>
          </w:hyperlink>
        </w:p>
        <w:p w:rsidR="00FA3C70" w:rsidRDefault="00FA3C70">
          <w:pPr>
            <w:pStyle w:val="TOC3"/>
            <w:rPr>
              <w:rFonts w:asciiTheme="minorHAnsi" w:eastAsiaTheme="minorEastAsia" w:hAnsiTheme="minorHAnsi"/>
              <w:lang w:eastAsia="en-AU"/>
            </w:rPr>
          </w:pPr>
          <w:hyperlink w:anchor="_Toc486834974" w:history="1">
            <w:r w:rsidRPr="0043299D">
              <w:rPr>
                <w:rStyle w:val="Hyperlink"/>
              </w:rPr>
              <w:t>13.2.1</w:t>
            </w:r>
            <w:r>
              <w:rPr>
                <w:rFonts w:asciiTheme="minorHAnsi" w:eastAsiaTheme="minorEastAsia" w:hAnsiTheme="minorHAnsi"/>
                <w:lang w:eastAsia="en-AU"/>
              </w:rPr>
              <w:tab/>
            </w:r>
            <w:r w:rsidRPr="0043299D">
              <w:rPr>
                <w:rStyle w:val="Hyperlink"/>
              </w:rPr>
              <w:t>Core Energy methodology</w:t>
            </w:r>
            <w:r>
              <w:rPr>
                <w:webHidden/>
              </w:rPr>
              <w:tab/>
            </w:r>
            <w:r>
              <w:rPr>
                <w:webHidden/>
              </w:rPr>
              <w:fldChar w:fldCharType="begin"/>
            </w:r>
            <w:r>
              <w:rPr>
                <w:webHidden/>
              </w:rPr>
              <w:instrText xml:space="preserve"> PAGEREF _Toc486834974 \h </w:instrText>
            </w:r>
            <w:r>
              <w:rPr>
                <w:webHidden/>
              </w:rPr>
            </w:r>
            <w:r>
              <w:rPr>
                <w:webHidden/>
              </w:rPr>
              <w:fldChar w:fldCharType="separate"/>
            </w:r>
            <w:r w:rsidR="00CE5CD1">
              <w:rPr>
                <w:webHidden/>
              </w:rPr>
              <w:t>13-7</w:t>
            </w:r>
            <w:r>
              <w:rPr>
                <w:webHidden/>
              </w:rPr>
              <w:fldChar w:fldCharType="end"/>
            </w:r>
          </w:hyperlink>
        </w:p>
        <w:p w:rsidR="00FA3C70" w:rsidRDefault="00FA3C70">
          <w:pPr>
            <w:pStyle w:val="TOC2"/>
            <w:tabs>
              <w:tab w:val="left" w:pos="1276"/>
            </w:tabs>
            <w:rPr>
              <w:rFonts w:asciiTheme="minorHAnsi" w:eastAsiaTheme="minorEastAsia" w:hAnsiTheme="minorHAnsi"/>
              <w:b w:val="0"/>
              <w:color w:val="auto"/>
              <w:sz w:val="22"/>
              <w:lang w:eastAsia="en-AU"/>
            </w:rPr>
          </w:pPr>
          <w:hyperlink w:anchor="_Toc486834975" w:history="1">
            <w:r w:rsidRPr="0043299D">
              <w:rPr>
                <w:rStyle w:val="Hyperlink"/>
              </w:rPr>
              <w:t>13.3</w:t>
            </w:r>
            <w:r>
              <w:rPr>
                <w:rFonts w:asciiTheme="minorHAnsi" w:eastAsiaTheme="minorEastAsia" w:hAnsiTheme="minorHAnsi"/>
                <w:b w:val="0"/>
                <w:color w:val="auto"/>
                <w:sz w:val="22"/>
                <w:lang w:eastAsia="en-AU"/>
              </w:rPr>
              <w:tab/>
            </w:r>
            <w:r w:rsidRPr="0043299D">
              <w:rPr>
                <w:rStyle w:val="Hyperlink"/>
              </w:rPr>
              <w:t>AER Assessment approach</w:t>
            </w:r>
            <w:r>
              <w:rPr>
                <w:webHidden/>
              </w:rPr>
              <w:tab/>
            </w:r>
            <w:r>
              <w:rPr>
                <w:webHidden/>
              </w:rPr>
              <w:fldChar w:fldCharType="begin"/>
            </w:r>
            <w:r>
              <w:rPr>
                <w:webHidden/>
              </w:rPr>
              <w:instrText xml:space="preserve"> PAGEREF _Toc486834975 \h </w:instrText>
            </w:r>
            <w:r>
              <w:rPr>
                <w:webHidden/>
              </w:rPr>
            </w:r>
            <w:r>
              <w:rPr>
                <w:webHidden/>
              </w:rPr>
              <w:fldChar w:fldCharType="separate"/>
            </w:r>
            <w:r w:rsidR="00CE5CD1">
              <w:rPr>
                <w:webHidden/>
              </w:rPr>
              <w:t>13-9</w:t>
            </w:r>
            <w:r>
              <w:rPr>
                <w:webHidden/>
              </w:rPr>
              <w:fldChar w:fldCharType="end"/>
            </w:r>
          </w:hyperlink>
        </w:p>
        <w:p w:rsidR="00FA3C70" w:rsidRDefault="00FA3C70">
          <w:pPr>
            <w:pStyle w:val="TOC3"/>
            <w:rPr>
              <w:rFonts w:asciiTheme="minorHAnsi" w:eastAsiaTheme="minorEastAsia" w:hAnsiTheme="minorHAnsi"/>
              <w:lang w:eastAsia="en-AU"/>
            </w:rPr>
          </w:pPr>
          <w:hyperlink w:anchor="_Toc486834976" w:history="1">
            <w:r w:rsidRPr="0043299D">
              <w:rPr>
                <w:rStyle w:val="Hyperlink"/>
              </w:rPr>
              <w:t>13.3.1</w:t>
            </w:r>
            <w:r>
              <w:rPr>
                <w:rFonts w:asciiTheme="minorHAnsi" w:eastAsiaTheme="minorEastAsia" w:hAnsiTheme="minorHAnsi"/>
                <w:lang w:eastAsia="en-AU"/>
              </w:rPr>
              <w:tab/>
            </w:r>
            <w:r w:rsidRPr="0043299D">
              <w:rPr>
                <w:rStyle w:val="Hyperlink"/>
              </w:rPr>
              <w:t>Interrelationships</w:t>
            </w:r>
            <w:r>
              <w:rPr>
                <w:webHidden/>
              </w:rPr>
              <w:tab/>
            </w:r>
            <w:r>
              <w:rPr>
                <w:webHidden/>
              </w:rPr>
              <w:fldChar w:fldCharType="begin"/>
            </w:r>
            <w:r>
              <w:rPr>
                <w:webHidden/>
              </w:rPr>
              <w:instrText xml:space="preserve"> PAGEREF _Toc486834976 \h </w:instrText>
            </w:r>
            <w:r>
              <w:rPr>
                <w:webHidden/>
              </w:rPr>
            </w:r>
            <w:r>
              <w:rPr>
                <w:webHidden/>
              </w:rPr>
              <w:fldChar w:fldCharType="separate"/>
            </w:r>
            <w:r w:rsidR="00CE5CD1">
              <w:rPr>
                <w:webHidden/>
              </w:rPr>
              <w:t>13-10</w:t>
            </w:r>
            <w:r>
              <w:rPr>
                <w:webHidden/>
              </w:rPr>
              <w:fldChar w:fldCharType="end"/>
            </w:r>
          </w:hyperlink>
        </w:p>
        <w:p w:rsidR="00FA3C70" w:rsidRDefault="00FA3C70">
          <w:pPr>
            <w:pStyle w:val="TOC2"/>
            <w:tabs>
              <w:tab w:val="left" w:pos="1276"/>
            </w:tabs>
            <w:rPr>
              <w:rFonts w:asciiTheme="minorHAnsi" w:eastAsiaTheme="minorEastAsia" w:hAnsiTheme="minorHAnsi"/>
              <w:b w:val="0"/>
              <w:color w:val="auto"/>
              <w:sz w:val="22"/>
              <w:lang w:eastAsia="en-AU"/>
            </w:rPr>
          </w:pPr>
          <w:hyperlink w:anchor="_Toc486834977" w:history="1">
            <w:r w:rsidRPr="0043299D">
              <w:rPr>
                <w:rStyle w:val="Hyperlink"/>
              </w:rPr>
              <w:t>13.4</w:t>
            </w:r>
            <w:r>
              <w:rPr>
                <w:rFonts w:asciiTheme="minorHAnsi" w:eastAsiaTheme="minorEastAsia" w:hAnsiTheme="minorHAnsi"/>
                <w:b w:val="0"/>
                <w:color w:val="auto"/>
                <w:sz w:val="22"/>
                <w:lang w:eastAsia="en-AU"/>
              </w:rPr>
              <w:tab/>
            </w:r>
            <w:r w:rsidRPr="0043299D">
              <w:rPr>
                <w:rStyle w:val="Hyperlink"/>
              </w:rPr>
              <w:t>Reasons for draft decision</w:t>
            </w:r>
            <w:r>
              <w:rPr>
                <w:webHidden/>
              </w:rPr>
              <w:tab/>
            </w:r>
            <w:r>
              <w:rPr>
                <w:webHidden/>
              </w:rPr>
              <w:fldChar w:fldCharType="begin"/>
            </w:r>
            <w:r>
              <w:rPr>
                <w:webHidden/>
              </w:rPr>
              <w:instrText xml:space="preserve"> PAGEREF _Toc486834977 \h </w:instrText>
            </w:r>
            <w:r>
              <w:rPr>
                <w:webHidden/>
              </w:rPr>
            </w:r>
            <w:r>
              <w:rPr>
                <w:webHidden/>
              </w:rPr>
              <w:fldChar w:fldCharType="separate"/>
            </w:r>
            <w:r w:rsidR="00CE5CD1">
              <w:rPr>
                <w:webHidden/>
              </w:rPr>
              <w:t>13-10</w:t>
            </w:r>
            <w:r>
              <w:rPr>
                <w:webHidden/>
              </w:rPr>
              <w:fldChar w:fldCharType="end"/>
            </w:r>
          </w:hyperlink>
        </w:p>
        <w:p w:rsidR="00FA3C70" w:rsidRDefault="00FA3C70">
          <w:pPr>
            <w:pStyle w:val="TOC3"/>
            <w:rPr>
              <w:rFonts w:asciiTheme="minorHAnsi" w:eastAsiaTheme="minorEastAsia" w:hAnsiTheme="minorHAnsi"/>
              <w:lang w:eastAsia="en-AU"/>
            </w:rPr>
          </w:pPr>
          <w:hyperlink w:anchor="_Toc486834978" w:history="1">
            <w:r w:rsidRPr="0043299D">
              <w:rPr>
                <w:rStyle w:val="Hyperlink"/>
              </w:rPr>
              <w:t>13.4.1</w:t>
            </w:r>
            <w:r>
              <w:rPr>
                <w:rFonts w:asciiTheme="minorHAnsi" w:eastAsiaTheme="minorEastAsia" w:hAnsiTheme="minorHAnsi"/>
                <w:lang w:eastAsia="en-AU"/>
              </w:rPr>
              <w:tab/>
            </w:r>
            <w:r w:rsidRPr="0043299D">
              <w:rPr>
                <w:rStyle w:val="Hyperlink"/>
              </w:rPr>
              <w:t>Minimum, maximum and average demand</w:t>
            </w:r>
            <w:r>
              <w:rPr>
                <w:webHidden/>
              </w:rPr>
              <w:tab/>
            </w:r>
            <w:r>
              <w:rPr>
                <w:webHidden/>
              </w:rPr>
              <w:fldChar w:fldCharType="begin"/>
            </w:r>
            <w:r>
              <w:rPr>
                <w:webHidden/>
              </w:rPr>
              <w:instrText xml:space="preserve"> PAGEREF _Toc486834978 \h </w:instrText>
            </w:r>
            <w:r>
              <w:rPr>
                <w:webHidden/>
              </w:rPr>
            </w:r>
            <w:r>
              <w:rPr>
                <w:webHidden/>
              </w:rPr>
              <w:fldChar w:fldCharType="separate"/>
            </w:r>
            <w:r w:rsidR="00CE5CD1">
              <w:rPr>
                <w:webHidden/>
              </w:rPr>
              <w:t>13-11</w:t>
            </w:r>
            <w:r>
              <w:rPr>
                <w:webHidden/>
              </w:rPr>
              <w:fldChar w:fldCharType="end"/>
            </w:r>
          </w:hyperlink>
        </w:p>
        <w:p w:rsidR="00FA3C70" w:rsidRDefault="00FA3C70">
          <w:pPr>
            <w:pStyle w:val="TOC3"/>
            <w:rPr>
              <w:rFonts w:asciiTheme="minorHAnsi" w:eastAsiaTheme="minorEastAsia" w:hAnsiTheme="minorHAnsi"/>
              <w:lang w:eastAsia="en-AU"/>
            </w:rPr>
          </w:pPr>
          <w:hyperlink w:anchor="_Toc486834979" w:history="1">
            <w:r w:rsidRPr="0043299D">
              <w:rPr>
                <w:rStyle w:val="Hyperlink"/>
              </w:rPr>
              <w:t>13.4.2</w:t>
            </w:r>
            <w:r>
              <w:rPr>
                <w:rFonts w:asciiTheme="minorHAnsi" w:eastAsiaTheme="minorEastAsia" w:hAnsiTheme="minorHAnsi"/>
                <w:lang w:eastAsia="en-AU"/>
              </w:rPr>
              <w:tab/>
            </w:r>
            <w:r w:rsidRPr="0043299D">
              <w:rPr>
                <w:rStyle w:val="Hyperlink"/>
              </w:rPr>
              <w:t>Forecast pipeline capacity and utilisation</w:t>
            </w:r>
            <w:r>
              <w:rPr>
                <w:webHidden/>
              </w:rPr>
              <w:tab/>
            </w:r>
            <w:r>
              <w:rPr>
                <w:webHidden/>
              </w:rPr>
              <w:fldChar w:fldCharType="begin"/>
            </w:r>
            <w:r>
              <w:rPr>
                <w:webHidden/>
              </w:rPr>
              <w:instrText xml:space="preserve"> PAGEREF _Toc486834979 \h </w:instrText>
            </w:r>
            <w:r>
              <w:rPr>
                <w:webHidden/>
              </w:rPr>
            </w:r>
            <w:r>
              <w:rPr>
                <w:webHidden/>
              </w:rPr>
              <w:fldChar w:fldCharType="separate"/>
            </w:r>
            <w:r w:rsidR="00CE5CD1">
              <w:rPr>
                <w:webHidden/>
              </w:rPr>
              <w:t>13-11</w:t>
            </w:r>
            <w:r>
              <w:rPr>
                <w:webHidden/>
              </w:rPr>
              <w:fldChar w:fldCharType="end"/>
            </w:r>
          </w:hyperlink>
        </w:p>
        <w:p w:rsidR="00FA3C70" w:rsidRDefault="00FA3C70">
          <w:pPr>
            <w:pStyle w:val="TOC3"/>
            <w:rPr>
              <w:rFonts w:asciiTheme="minorHAnsi" w:eastAsiaTheme="minorEastAsia" w:hAnsiTheme="minorHAnsi"/>
              <w:lang w:eastAsia="en-AU"/>
            </w:rPr>
          </w:pPr>
          <w:hyperlink w:anchor="_Toc486834980" w:history="1">
            <w:r w:rsidRPr="0043299D">
              <w:rPr>
                <w:rStyle w:val="Hyperlink"/>
              </w:rPr>
              <w:t>13.4.3</w:t>
            </w:r>
            <w:r>
              <w:rPr>
                <w:rFonts w:asciiTheme="minorHAnsi" w:eastAsiaTheme="minorEastAsia" w:hAnsiTheme="minorHAnsi"/>
                <w:lang w:eastAsia="en-AU"/>
              </w:rPr>
              <w:tab/>
            </w:r>
            <w:r w:rsidRPr="0043299D">
              <w:rPr>
                <w:rStyle w:val="Hyperlink"/>
              </w:rPr>
              <w:t>Demand forecasts for Tariff R and C</w:t>
            </w:r>
            <w:r>
              <w:rPr>
                <w:webHidden/>
              </w:rPr>
              <w:tab/>
            </w:r>
            <w:r>
              <w:rPr>
                <w:webHidden/>
              </w:rPr>
              <w:fldChar w:fldCharType="begin"/>
            </w:r>
            <w:r>
              <w:rPr>
                <w:webHidden/>
              </w:rPr>
              <w:instrText xml:space="preserve"> PAGEREF _Toc486834980 \h </w:instrText>
            </w:r>
            <w:r>
              <w:rPr>
                <w:webHidden/>
              </w:rPr>
            </w:r>
            <w:r>
              <w:rPr>
                <w:webHidden/>
              </w:rPr>
              <w:fldChar w:fldCharType="separate"/>
            </w:r>
            <w:r w:rsidR="00CE5CD1">
              <w:rPr>
                <w:webHidden/>
              </w:rPr>
              <w:t>13-11</w:t>
            </w:r>
            <w:r>
              <w:rPr>
                <w:webHidden/>
              </w:rPr>
              <w:fldChar w:fldCharType="end"/>
            </w:r>
          </w:hyperlink>
        </w:p>
        <w:p w:rsidR="00FA3C70" w:rsidRDefault="00FA3C70">
          <w:pPr>
            <w:pStyle w:val="TOC3"/>
            <w:rPr>
              <w:rFonts w:asciiTheme="minorHAnsi" w:eastAsiaTheme="minorEastAsia" w:hAnsiTheme="minorHAnsi"/>
              <w:lang w:eastAsia="en-AU"/>
            </w:rPr>
          </w:pPr>
          <w:hyperlink w:anchor="_Toc486834981" w:history="1">
            <w:r w:rsidRPr="0043299D">
              <w:rPr>
                <w:rStyle w:val="Hyperlink"/>
              </w:rPr>
              <w:t>13.4.4</w:t>
            </w:r>
            <w:r>
              <w:rPr>
                <w:rFonts w:asciiTheme="minorHAnsi" w:eastAsiaTheme="minorEastAsia" w:hAnsiTheme="minorHAnsi"/>
                <w:lang w:eastAsia="en-AU"/>
              </w:rPr>
              <w:tab/>
            </w:r>
            <w:r w:rsidRPr="0043299D">
              <w:rPr>
                <w:rStyle w:val="Hyperlink"/>
              </w:rPr>
              <w:t>Demand forecasts for Tariff D</w:t>
            </w:r>
            <w:r>
              <w:rPr>
                <w:webHidden/>
              </w:rPr>
              <w:tab/>
            </w:r>
            <w:r>
              <w:rPr>
                <w:webHidden/>
              </w:rPr>
              <w:fldChar w:fldCharType="begin"/>
            </w:r>
            <w:r>
              <w:rPr>
                <w:webHidden/>
              </w:rPr>
              <w:instrText xml:space="preserve"> PAGEREF _Toc486834981 \h </w:instrText>
            </w:r>
            <w:r>
              <w:rPr>
                <w:webHidden/>
              </w:rPr>
            </w:r>
            <w:r>
              <w:rPr>
                <w:webHidden/>
              </w:rPr>
              <w:fldChar w:fldCharType="separate"/>
            </w:r>
            <w:r w:rsidR="00CE5CD1">
              <w:rPr>
                <w:webHidden/>
              </w:rPr>
              <w:t>13-14</w:t>
            </w:r>
            <w:r>
              <w:rPr>
                <w:webHidden/>
              </w:rPr>
              <w:fldChar w:fldCharType="end"/>
            </w:r>
          </w:hyperlink>
        </w:p>
        <w:p w:rsidR="00CE2A23" w:rsidRDefault="000C6409" w:rsidP="000C6409">
          <w:pPr>
            <w:pStyle w:val="TOC1"/>
          </w:pPr>
          <w:r>
            <w:fldChar w:fldCharType="end"/>
          </w:r>
        </w:p>
      </w:sdtContent>
    </w:sdt>
    <w:p w:rsidR="009C35D5" w:rsidRPr="00271F7C" w:rsidRDefault="00CE2A23" w:rsidP="009C35D5">
      <w:pPr>
        <w:pStyle w:val="UnnumberedHeading"/>
        <w:numPr>
          <w:ilvl w:val="0"/>
          <w:numId w:val="23"/>
        </w:numPr>
      </w:pPr>
      <w:r>
        <w:t xml:space="preserve"> </w:t>
      </w:r>
      <w:bookmarkStart w:id="10" w:name="_Toc404700925"/>
      <w:bookmarkStart w:id="11" w:name="_Toc481598569"/>
      <w:bookmarkStart w:id="12" w:name="_Toc486834970"/>
      <w:r w:rsidR="009C35D5">
        <w:t>Shortened forms</w:t>
      </w:r>
      <w:bookmarkEnd w:id="10"/>
      <w:bookmarkEnd w:id="11"/>
      <w:bookmarkEnd w:id="12"/>
    </w:p>
    <w:tbl>
      <w:tblPr>
        <w:tblStyle w:val="AERtable-text0"/>
        <w:tblW w:w="0" w:type="auto"/>
        <w:tblLook w:val="04A0" w:firstRow="1" w:lastRow="0" w:firstColumn="1" w:lastColumn="0" w:noHBand="0" w:noVBand="1"/>
      </w:tblPr>
      <w:tblGrid>
        <w:gridCol w:w="4340"/>
        <w:gridCol w:w="4353"/>
      </w:tblGrid>
      <w:tr w:rsidR="009C35D5" w:rsidRPr="0087648F" w:rsidTr="000474DF">
        <w:trPr>
          <w:cnfStyle w:val="100000000000" w:firstRow="1" w:lastRow="0" w:firstColumn="0" w:lastColumn="0" w:oddVBand="0" w:evenVBand="0" w:oddHBand="0" w:evenHBand="0" w:firstRowFirstColumn="0" w:firstRowLastColumn="0" w:lastRowFirstColumn="0" w:lastRowLastColumn="0"/>
          <w:tblHeader/>
        </w:trPr>
        <w:tc>
          <w:tcPr>
            <w:tcW w:w="4340" w:type="dxa"/>
          </w:tcPr>
          <w:p w:rsidR="009C35D5" w:rsidRPr="0087648F" w:rsidRDefault="009C35D5" w:rsidP="0087648F">
            <w:r>
              <w:t>Shortened form</w:t>
            </w:r>
          </w:p>
        </w:tc>
        <w:tc>
          <w:tcPr>
            <w:tcW w:w="4353" w:type="dxa"/>
          </w:tcPr>
          <w:p w:rsidR="009C35D5" w:rsidRPr="0087648F" w:rsidRDefault="009C35D5" w:rsidP="0087648F">
            <w:r>
              <w:t>Extended form</w:t>
            </w:r>
          </w:p>
        </w:tc>
      </w:tr>
      <w:tr w:rsidR="009C35D5" w:rsidTr="000474DF">
        <w:tc>
          <w:tcPr>
            <w:tcW w:w="4340" w:type="dxa"/>
          </w:tcPr>
          <w:p w:rsidR="009C35D5" w:rsidRDefault="009C35D5" w:rsidP="009C35D5">
            <w:pPr>
              <w:numPr>
                <w:ilvl w:val="0"/>
                <w:numId w:val="24"/>
              </w:numPr>
            </w:pPr>
            <w:r>
              <w:t>AER</w:t>
            </w:r>
          </w:p>
        </w:tc>
        <w:tc>
          <w:tcPr>
            <w:tcW w:w="4353" w:type="dxa"/>
          </w:tcPr>
          <w:p w:rsidR="009C35D5" w:rsidRDefault="009C35D5" w:rsidP="009C35D5">
            <w:pPr>
              <w:numPr>
                <w:ilvl w:val="0"/>
                <w:numId w:val="24"/>
              </w:numPr>
            </w:pPr>
            <w:r>
              <w:t>Australian Energy Regulator</w:t>
            </w:r>
          </w:p>
        </w:tc>
      </w:tr>
      <w:tr w:rsidR="009C35D5"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9C35D5" w:rsidRDefault="009C35D5" w:rsidP="009C35D5">
            <w:pPr>
              <w:numPr>
                <w:ilvl w:val="0"/>
                <w:numId w:val="24"/>
              </w:numPr>
            </w:pPr>
            <w:r>
              <w:t>AGN</w:t>
            </w:r>
          </w:p>
        </w:tc>
        <w:tc>
          <w:tcPr>
            <w:tcW w:w="4353" w:type="dxa"/>
          </w:tcPr>
          <w:p w:rsidR="009C35D5" w:rsidRDefault="009C35D5" w:rsidP="009C35D5">
            <w:pPr>
              <w:numPr>
                <w:ilvl w:val="0"/>
                <w:numId w:val="24"/>
              </w:numPr>
            </w:pPr>
            <w:r>
              <w:t>Australian Gas Networks</w:t>
            </w:r>
          </w:p>
        </w:tc>
      </w:tr>
      <w:tr w:rsidR="009C35D5" w:rsidTr="000474DF">
        <w:tc>
          <w:tcPr>
            <w:tcW w:w="4340" w:type="dxa"/>
          </w:tcPr>
          <w:p w:rsidR="009C35D5" w:rsidRDefault="009C35D5" w:rsidP="009C35D5">
            <w:pPr>
              <w:numPr>
                <w:ilvl w:val="0"/>
                <w:numId w:val="24"/>
              </w:numPr>
            </w:pPr>
            <w:r>
              <w:t>ATO</w:t>
            </w:r>
          </w:p>
        </w:tc>
        <w:tc>
          <w:tcPr>
            <w:tcW w:w="4353" w:type="dxa"/>
          </w:tcPr>
          <w:p w:rsidR="009C35D5" w:rsidRPr="00293D58" w:rsidRDefault="009C35D5" w:rsidP="00293D58">
            <w:r>
              <w:t xml:space="preserve">Australian </w:t>
            </w:r>
            <w:r w:rsidRPr="00293D58">
              <w:t>Tax Office</w:t>
            </w:r>
          </w:p>
        </w:tc>
      </w:tr>
      <w:tr w:rsidR="009C35D5"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9C35D5" w:rsidRDefault="009C35D5" w:rsidP="009C35D5">
            <w:pPr>
              <w:numPr>
                <w:ilvl w:val="0"/>
                <w:numId w:val="24"/>
              </w:numPr>
            </w:pPr>
            <w:r>
              <w:t>capex</w:t>
            </w:r>
          </w:p>
        </w:tc>
        <w:tc>
          <w:tcPr>
            <w:tcW w:w="4353" w:type="dxa"/>
          </w:tcPr>
          <w:p w:rsidR="009C35D5" w:rsidRDefault="009C35D5" w:rsidP="009C35D5">
            <w:pPr>
              <w:numPr>
                <w:ilvl w:val="0"/>
                <w:numId w:val="24"/>
              </w:numPr>
            </w:pPr>
            <w:r>
              <w:t>capital expenditure</w:t>
            </w:r>
          </w:p>
        </w:tc>
      </w:tr>
      <w:tr w:rsidR="009C35D5" w:rsidTr="000474DF">
        <w:tc>
          <w:tcPr>
            <w:tcW w:w="4340" w:type="dxa"/>
          </w:tcPr>
          <w:p w:rsidR="009C35D5" w:rsidRDefault="009C35D5" w:rsidP="009C35D5">
            <w:pPr>
              <w:numPr>
                <w:ilvl w:val="0"/>
                <w:numId w:val="24"/>
              </w:numPr>
            </w:pPr>
            <w:r>
              <w:t>CAPM</w:t>
            </w:r>
          </w:p>
        </w:tc>
        <w:tc>
          <w:tcPr>
            <w:tcW w:w="4353" w:type="dxa"/>
          </w:tcPr>
          <w:p w:rsidR="009C35D5" w:rsidRDefault="009C35D5" w:rsidP="009C35D5">
            <w:pPr>
              <w:numPr>
                <w:ilvl w:val="0"/>
                <w:numId w:val="24"/>
              </w:numPr>
            </w:pPr>
            <w:r>
              <w:t>capital asset pricing model</w:t>
            </w:r>
          </w:p>
        </w:tc>
      </w:tr>
      <w:tr w:rsidR="009C35D5"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9C35D5" w:rsidRDefault="009C35D5" w:rsidP="009C35D5">
            <w:pPr>
              <w:numPr>
                <w:ilvl w:val="0"/>
                <w:numId w:val="24"/>
              </w:numPr>
            </w:pPr>
            <w:r>
              <w:t>CESS</w:t>
            </w:r>
          </w:p>
        </w:tc>
        <w:tc>
          <w:tcPr>
            <w:tcW w:w="4353" w:type="dxa"/>
          </w:tcPr>
          <w:p w:rsidR="009C35D5" w:rsidRDefault="009C35D5" w:rsidP="009C35D5">
            <w:pPr>
              <w:numPr>
                <w:ilvl w:val="0"/>
                <w:numId w:val="24"/>
              </w:numPr>
            </w:pPr>
            <w:r>
              <w:t>Capital Expenditure Sharing Scheme</w:t>
            </w:r>
          </w:p>
        </w:tc>
      </w:tr>
      <w:tr w:rsidR="009C35D5" w:rsidTr="000474DF">
        <w:tc>
          <w:tcPr>
            <w:tcW w:w="4340" w:type="dxa"/>
          </w:tcPr>
          <w:p w:rsidR="009C35D5" w:rsidRDefault="009C35D5" w:rsidP="009C35D5">
            <w:pPr>
              <w:numPr>
                <w:ilvl w:val="0"/>
                <w:numId w:val="24"/>
              </w:numPr>
            </w:pPr>
            <w:r>
              <w:t>CPI</w:t>
            </w:r>
          </w:p>
        </w:tc>
        <w:tc>
          <w:tcPr>
            <w:tcW w:w="4353" w:type="dxa"/>
          </w:tcPr>
          <w:p w:rsidR="009C35D5" w:rsidRDefault="009C35D5" w:rsidP="009C35D5">
            <w:pPr>
              <w:numPr>
                <w:ilvl w:val="0"/>
                <w:numId w:val="24"/>
              </w:numPr>
            </w:pPr>
            <w:r>
              <w:t>consumer price index</w:t>
            </w:r>
          </w:p>
        </w:tc>
      </w:tr>
      <w:tr w:rsidR="009C35D5"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9C35D5" w:rsidRDefault="009C35D5" w:rsidP="009C35D5">
            <w:pPr>
              <w:numPr>
                <w:ilvl w:val="0"/>
                <w:numId w:val="24"/>
              </w:numPr>
            </w:pPr>
            <w:r>
              <w:t>CCP</w:t>
            </w:r>
          </w:p>
        </w:tc>
        <w:tc>
          <w:tcPr>
            <w:tcW w:w="4353" w:type="dxa"/>
          </w:tcPr>
          <w:p w:rsidR="009C35D5" w:rsidRDefault="009C35D5" w:rsidP="009C35D5">
            <w:pPr>
              <w:numPr>
                <w:ilvl w:val="0"/>
                <w:numId w:val="24"/>
              </w:numPr>
            </w:pPr>
            <w:r>
              <w:t>Consumer Challenge Panel</w:t>
            </w:r>
          </w:p>
        </w:tc>
      </w:tr>
      <w:tr w:rsidR="009C35D5" w:rsidTr="000474DF">
        <w:tc>
          <w:tcPr>
            <w:tcW w:w="4340" w:type="dxa"/>
          </w:tcPr>
          <w:p w:rsidR="009C35D5" w:rsidRDefault="009C35D5" w:rsidP="009C35D5">
            <w:pPr>
              <w:numPr>
                <w:ilvl w:val="0"/>
                <w:numId w:val="24"/>
              </w:numPr>
            </w:pPr>
            <w:r>
              <w:t>DRP</w:t>
            </w:r>
          </w:p>
        </w:tc>
        <w:tc>
          <w:tcPr>
            <w:tcW w:w="4353" w:type="dxa"/>
          </w:tcPr>
          <w:p w:rsidR="009C35D5" w:rsidRDefault="009C35D5" w:rsidP="009C35D5">
            <w:pPr>
              <w:numPr>
                <w:ilvl w:val="0"/>
                <w:numId w:val="24"/>
              </w:numPr>
            </w:pPr>
            <w:r>
              <w:t>debt risk premium</w:t>
            </w:r>
          </w:p>
        </w:tc>
      </w:tr>
      <w:tr w:rsidR="009C35D5"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9C35D5" w:rsidRDefault="009C35D5" w:rsidP="009C35D5">
            <w:pPr>
              <w:numPr>
                <w:ilvl w:val="0"/>
                <w:numId w:val="24"/>
              </w:numPr>
            </w:pPr>
            <w:r>
              <w:t>EBSS</w:t>
            </w:r>
          </w:p>
        </w:tc>
        <w:tc>
          <w:tcPr>
            <w:tcW w:w="4353" w:type="dxa"/>
          </w:tcPr>
          <w:p w:rsidR="009C35D5" w:rsidRPr="00293D58" w:rsidRDefault="009C35D5" w:rsidP="00293D58">
            <w:r>
              <w:t>Efficiency Benefit Sharing Scheme</w:t>
            </w:r>
          </w:p>
        </w:tc>
      </w:tr>
      <w:tr w:rsidR="009C35D5" w:rsidTr="000474DF">
        <w:tc>
          <w:tcPr>
            <w:tcW w:w="4340" w:type="dxa"/>
          </w:tcPr>
          <w:p w:rsidR="009C35D5" w:rsidRDefault="009C35D5" w:rsidP="009C35D5">
            <w:pPr>
              <w:numPr>
                <w:ilvl w:val="0"/>
                <w:numId w:val="24"/>
              </w:numPr>
            </w:pPr>
            <w:r>
              <w:t>ERP</w:t>
            </w:r>
          </w:p>
        </w:tc>
        <w:tc>
          <w:tcPr>
            <w:tcW w:w="4353" w:type="dxa"/>
          </w:tcPr>
          <w:p w:rsidR="009C35D5" w:rsidRDefault="009C35D5" w:rsidP="009C35D5">
            <w:pPr>
              <w:numPr>
                <w:ilvl w:val="0"/>
                <w:numId w:val="24"/>
              </w:numPr>
            </w:pPr>
            <w:r>
              <w:t>equity risk premium</w:t>
            </w:r>
          </w:p>
        </w:tc>
      </w:tr>
      <w:tr w:rsidR="009C35D5"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9C35D5" w:rsidRDefault="009C35D5" w:rsidP="009C35D5">
            <w:pPr>
              <w:numPr>
                <w:ilvl w:val="0"/>
                <w:numId w:val="24"/>
              </w:numPr>
            </w:pPr>
            <w:r>
              <w:t>Expenditure Guideline</w:t>
            </w:r>
          </w:p>
        </w:tc>
        <w:tc>
          <w:tcPr>
            <w:tcW w:w="4353" w:type="dxa"/>
          </w:tcPr>
          <w:p w:rsidR="009C35D5" w:rsidRPr="00293D58" w:rsidRDefault="009C35D5" w:rsidP="00293D58">
            <w:r>
              <w:t>Expenditure Forecast Assessment Guideline</w:t>
            </w:r>
          </w:p>
        </w:tc>
      </w:tr>
      <w:tr w:rsidR="009C35D5" w:rsidTr="000474DF">
        <w:tc>
          <w:tcPr>
            <w:tcW w:w="4340" w:type="dxa"/>
          </w:tcPr>
          <w:p w:rsidR="009C35D5" w:rsidRDefault="009C35D5" w:rsidP="009C35D5">
            <w:pPr>
              <w:numPr>
                <w:ilvl w:val="0"/>
                <w:numId w:val="24"/>
              </w:numPr>
            </w:pPr>
            <w:r>
              <w:t>gamma</w:t>
            </w:r>
          </w:p>
        </w:tc>
        <w:tc>
          <w:tcPr>
            <w:tcW w:w="4353" w:type="dxa"/>
          </w:tcPr>
          <w:p w:rsidR="009C35D5" w:rsidRPr="00293D58" w:rsidRDefault="009C35D5" w:rsidP="00293D58">
            <w:r>
              <w:t>Value of Imputation Credits</w:t>
            </w:r>
          </w:p>
        </w:tc>
      </w:tr>
      <w:tr w:rsidR="009C35D5"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9C35D5" w:rsidRDefault="009C35D5" w:rsidP="009C35D5">
            <w:pPr>
              <w:numPr>
                <w:ilvl w:val="0"/>
                <w:numId w:val="24"/>
              </w:numPr>
            </w:pPr>
            <w:r>
              <w:t>GSL</w:t>
            </w:r>
          </w:p>
        </w:tc>
        <w:tc>
          <w:tcPr>
            <w:tcW w:w="4353" w:type="dxa"/>
          </w:tcPr>
          <w:p w:rsidR="009C35D5" w:rsidRPr="00293D58" w:rsidRDefault="009C35D5" w:rsidP="00293D58">
            <w:r>
              <w:t xml:space="preserve">Guaranteed </w:t>
            </w:r>
            <w:r w:rsidRPr="00293D58">
              <w:t>Service Level</w:t>
            </w:r>
          </w:p>
        </w:tc>
      </w:tr>
      <w:tr w:rsidR="009C35D5" w:rsidTr="000474DF">
        <w:tc>
          <w:tcPr>
            <w:tcW w:w="4340" w:type="dxa"/>
          </w:tcPr>
          <w:p w:rsidR="009C35D5" w:rsidRDefault="009C35D5" w:rsidP="009C35D5">
            <w:pPr>
              <w:numPr>
                <w:ilvl w:val="0"/>
                <w:numId w:val="24"/>
              </w:numPr>
            </w:pPr>
            <w:r>
              <w:t>MHQ</w:t>
            </w:r>
          </w:p>
        </w:tc>
        <w:tc>
          <w:tcPr>
            <w:tcW w:w="4353" w:type="dxa"/>
          </w:tcPr>
          <w:p w:rsidR="009C35D5" w:rsidRDefault="009C35D5" w:rsidP="009C35D5">
            <w:pPr>
              <w:numPr>
                <w:ilvl w:val="0"/>
                <w:numId w:val="24"/>
              </w:numPr>
            </w:pPr>
            <w:r>
              <w:t>maximum hourly quantity</w:t>
            </w:r>
          </w:p>
        </w:tc>
      </w:tr>
      <w:tr w:rsidR="009C35D5"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9C35D5" w:rsidRDefault="009C35D5" w:rsidP="009C35D5">
            <w:pPr>
              <w:numPr>
                <w:ilvl w:val="0"/>
                <w:numId w:val="24"/>
              </w:numPr>
            </w:pPr>
            <w:r>
              <w:t>MRP</w:t>
            </w:r>
          </w:p>
        </w:tc>
        <w:tc>
          <w:tcPr>
            <w:tcW w:w="4353" w:type="dxa"/>
          </w:tcPr>
          <w:p w:rsidR="009C35D5" w:rsidRDefault="009C35D5" w:rsidP="009C35D5">
            <w:pPr>
              <w:numPr>
                <w:ilvl w:val="0"/>
                <w:numId w:val="24"/>
              </w:numPr>
            </w:pPr>
            <w:r>
              <w:t>market risk premium</w:t>
            </w:r>
          </w:p>
        </w:tc>
      </w:tr>
      <w:tr w:rsidR="009C35D5" w:rsidTr="000474DF">
        <w:tc>
          <w:tcPr>
            <w:tcW w:w="4340" w:type="dxa"/>
          </w:tcPr>
          <w:p w:rsidR="009C35D5" w:rsidRDefault="009C35D5" w:rsidP="009C35D5">
            <w:pPr>
              <w:numPr>
                <w:ilvl w:val="0"/>
                <w:numId w:val="24"/>
              </w:numPr>
            </w:pPr>
            <w:r>
              <w:t>NGL</w:t>
            </w:r>
          </w:p>
        </w:tc>
        <w:tc>
          <w:tcPr>
            <w:tcW w:w="4353" w:type="dxa"/>
          </w:tcPr>
          <w:p w:rsidR="009C35D5" w:rsidRDefault="009C35D5" w:rsidP="009C35D5">
            <w:pPr>
              <w:numPr>
                <w:ilvl w:val="0"/>
                <w:numId w:val="24"/>
              </w:numPr>
            </w:pPr>
            <w:r>
              <w:t>national gas law</w:t>
            </w:r>
          </w:p>
        </w:tc>
      </w:tr>
      <w:tr w:rsidR="009C35D5"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9C35D5" w:rsidRDefault="009C35D5" w:rsidP="009C35D5">
            <w:pPr>
              <w:numPr>
                <w:ilvl w:val="0"/>
                <w:numId w:val="24"/>
              </w:numPr>
            </w:pPr>
            <w:r>
              <w:t>NGO</w:t>
            </w:r>
          </w:p>
        </w:tc>
        <w:tc>
          <w:tcPr>
            <w:tcW w:w="4353" w:type="dxa"/>
          </w:tcPr>
          <w:p w:rsidR="009C35D5" w:rsidRDefault="009C35D5" w:rsidP="009C35D5">
            <w:pPr>
              <w:numPr>
                <w:ilvl w:val="0"/>
                <w:numId w:val="24"/>
              </w:numPr>
            </w:pPr>
            <w:r>
              <w:t>national gas objective</w:t>
            </w:r>
          </w:p>
        </w:tc>
      </w:tr>
      <w:tr w:rsidR="009C35D5" w:rsidTr="000474DF">
        <w:tc>
          <w:tcPr>
            <w:tcW w:w="4340" w:type="dxa"/>
          </w:tcPr>
          <w:p w:rsidR="009C35D5" w:rsidRDefault="009C35D5" w:rsidP="009C35D5">
            <w:pPr>
              <w:numPr>
                <w:ilvl w:val="0"/>
                <w:numId w:val="24"/>
              </w:numPr>
            </w:pPr>
            <w:r>
              <w:t>NGR</w:t>
            </w:r>
          </w:p>
        </w:tc>
        <w:tc>
          <w:tcPr>
            <w:tcW w:w="4353" w:type="dxa"/>
          </w:tcPr>
          <w:p w:rsidR="009C35D5" w:rsidRDefault="009C35D5" w:rsidP="009C35D5">
            <w:pPr>
              <w:numPr>
                <w:ilvl w:val="0"/>
                <w:numId w:val="24"/>
              </w:numPr>
            </w:pPr>
            <w:r>
              <w:t>national gas rules</w:t>
            </w:r>
          </w:p>
        </w:tc>
      </w:tr>
      <w:tr w:rsidR="009C35D5"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9C35D5" w:rsidRDefault="009C35D5" w:rsidP="009C35D5">
            <w:pPr>
              <w:numPr>
                <w:ilvl w:val="0"/>
                <w:numId w:val="24"/>
              </w:numPr>
            </w:pPr>
            <w:r>
              <w:t>NPV</w:t>
            </w:r>
          </w:p>
        </w:tc>
        <w:tc>
          <w:tcPr>
            <w:tcW w:w="4353" w:type="dxa"/>
          </w:tcPr>
          <w:p w:rsidR="009C35D5" w:rsidRPr="00293D58" w:rsidRDefault="009C35D5" w:rsidP="00293D58">
            <w:r>
              <w:t>net present value</w:t>
            </w:r>
          </w:p>
        </w:tc>
      </w:tr>
      <w:tr w:rsidR="009C35D5" w:rsidTr="000474DF">
        <w:tc>
          <w:tcPr>
            <w:tcW w:w="4340" w:type="dxa"/>
          </w:tcPr>
          <w:p w:rsidR="009C35D5" w:rsidRDefault="009C35D5" w:rsidP="009C35D5">
            <w:pPr>
              <w:numPr>
                <w:ilvl w:val="0"/>
                <w:numId w:val="24"/>
              </w:numPr>
            </w:pPr>
            <w:r>
              <w:t>opex</w:t>
            </w:r>
          </w:p>
        </w:tc>
        <w:tc>
          <w:tcPr>
            <w:tcW w:w="4353" w:type="dxa"/>
          </w:tcPr>
          <w:p w:rsidR="009C35D5" w:rsidRDefault="009C35D5" w:rsidP="009C35D5">
            <w:pPr>
              <w:numPr>
                <w:ilvl w:val="0"/>
                <w:numId w:val="24"/>
              </w:numPr>
            </w:pPr>
            <w:r>
              <w:t>operating expenditure</w:t>
            </w:r>
          </w:p>
        </w:tc>
      </w:tr>
      <w:tr w:rsidR="009C35D5"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9C35D5" w:rsidRDefault="009C35D5" w:rsidP="009C35D5">
            <w:pPr>
              <w:numPr>
                <w:ilvl w:val="0"/>
                <w:numId w:val="24"/>
              </w:numPr>
            </w:pPr>
            <w:r>
              <w:t>PTRM</w:t>
            </w:r>
          </w:p>
        </w:tc>
        <w:tc>
          <w:tcPr>
            <w:tcW w:w="4353" w:type="dxa"/>
          </w:tcPr>
          <w:p w:rsidR="009C35D5" w:rsidRDefault="009C35D5" w:rsidP="009C35D5">
            <w:pPr>
              <w:numPr>
                <w:ilvl w:val="0"/>
                <w:numId w:val="24"/>
              </w:numPr>
            </w:pPr>
            <w:r>
              <w:t>post-tax revenue model</w:t>
            </w:r>
          </w:p>
        </w:tc>
      </w:tr>
      <w:tr w:rsidR="009C35D5" w:rsidTr="000474DF">
        <w:tc>
          <w:tcPr>
            <w:tcW w:w="4340" w:type="dxa"/>
          </w:tcPr>
          <w:p w:rsidR="009C35D5" w:rsidRDefault="009C35D5" w:rsidP="009C35D5">
            <w:pPr>
              <w:numPr>
                <w:ilvl w:val="0"/>
                <w:numId w:val="24"/>
              </w:numPr>
            </w:pPr>
            <w:r>
              <w:t>RAB</w:t>
            </w:r>
          </w:p>
        </w:tc>
        <w:tc>
          <w:tcPr>
            <w:tcW w:w="4353" w:type="dxa"/>
          </w:tcPr>
          <w:p w:rsidR="009C35D5" w:rsidRDefault="009C35D5" w:rsidP="009C35D5">
            <w:pPr>
              <w:numPr>
                <w:ilvl w:val="0"/>
                <w:numId w:val="24"/>
              </w:numPr>
            </w:pPr>
            <w:r>
              <w:t>regulatory asset base</w:t>
            </w:r>
          </w:p>
        </w:tc>
      </w:tr>
      <w:tr w:rsidR="009C35D5"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9C35D5" w:rsidRDefault="009C35D5" w:rsidP="009C35D5">
            <w:pPr>
              <w:numPr>
                <w:ilvl w:val="0"/>
                <w:numId w:val="24"/>
              </w:numPr>
            </w:pPr>
            <w:r>
              <w:t>RBA</w:t>
            </w:r>
          </w:p>
        </w:tc>
        <w:tc>
          <w:tcPr>
            <w:tcW w:w="4353" w:type="dxa"/>
          </w:tcPr>
          <w:p w:rsidR="009C35D5" w:rsidRDefault="009C35D5" w:rsidP="009C35D5">
            <w:pPr>
              <w:numPr>
                <w:ilvl w:val="0"/>
                <w:numId w:val="24"/>
              </w:numPr>
            </w:pPr>
            <w:r>
              <w:t>Reserve Bank of Australia</w:t>
            </w:r>
          </w:p>
        </w:tc>
      </w:tr>
      <w:tr w:rsidR="009C35D5" w:rsidTr="000474DF">
        <w:tc>
          <w:tcPr>
            <w:tcW w:w="4340" w:type="dxa"/>
          </w:tcPr>
          <w:p w:rsidR="009C35D5" w:rsidRDefault="009C35D5" w:rsidP="009C35D5">
            <w:pPr>
              <w:numPr>
                <w:ilvl w:val="0"/>
                <w:numId w:val="24"/>
              </w:numPr>
            </w:pPr>
            <w:r>
              <w:t>RIN</w:t>
            </w:r>
          </w:p>
        </w:tc>
        <w:tc>
          <w:tcPr>
            <w:tcW w:w="4353" w:type="dxa"/>
          </w:tcPr>
          <w:p w:rsidR="009C35D5" w:rsidRDefault="009C35D5" w:rsidP="009C35D5">
            <w:pPr>
              <w:numPr>
                <w:ilvl w:val="0"/>
                <w:numId w:val="24"/>
              </w:numPr>
            </w:pPr>
            <w:r>
              <w:t>regulatory information notice</w:t>
            </w:r>
          </w:p>
        </w:tc>
      </w:tr>
      <w:tr w:rsidR="009C35D5"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9C35D5" w:rsidRDefault="009C35D5" w:rsidP="009C35D5">
            <w:pPr>
              <w:numPr>
                <w:ilvl w:val="0"/>
                <w:numId w:val="24"/>
              </w:numPr>
            </w:pPr>
            <w:r>
              <w:t>TAB</w:t>
            </w:r>
          </w:p>
        </w:tc>
        <w:tc>
          <w:tcPr>
            <w:tcW w:w="4353" w:type="dxa"/>
          </w:tcPr>
          <w:p w:rsidR="009C35D5" w:rsidRPr="00293D58" w:rsidRDefault="009C35D5" w:rsidP="00293D58">
            <w:r>
              <w:t>Tax asset base</w:t>
            </w:r>
          </w:p>
        </w:tc>
      </w:tr>
      <w:tr w:rsidR="009C35D5" w:rsidTr="000474DF">
        <w:tc>
          <w:tcPr>
            <w:tcW w:w="4340" w:type="dxa"/>
          </w:tcPr>
          <w:p w:rsidR="009C35D5" w:rsidRDefault="009C35D5" w:rsidP="009C35D5">
            <w:pPr>
              <w:numPr>
                <w:ilvl w:val="0"/>
                <w:numId w:val="24"/>
              </w:numPr>
            </w:pPr>
            <w:r>
              <w:t>UAFG</w:t>
            </w:r>
          </w:p>
        </w:tc>
        <w:tc>
          <w:tcPr>
            <w:tcW w:w="4353" w:type="dxa"/>
          </w:tcPr>
          <w:p w:rsidR="009C35D5" w:rsidRPr="00293D58" w:rsidRDefault="009C35D5" w:rsidP="00293D58">
            <w:r>
              <w:t>Unaccounted for gas</w:t>
            </w:r>
          </w:p>
        </w:tc>
      </w:tr>
      <w:tr w:rsidR="009C35D5"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9C35D5" w:rsidRDefault="009C35D5" w:rsidP="009C35D5">
            <w:pPr>
              <w:numPr>
                <w:ilvl w:val="0"/>
                <w:numId w:val="24"/>
              </w:numPr>
            </w:pPr>
            <w:r>
              <w:t>WACC</w:t>
            </w:r>
          </w:p>
        </w:tc>
        <w:tc>
          <w:tcPr>
            <w:tcW w:w="4353" w:type="dxa"/>
          </w:tcPr>
          <w:p w:rsidR="009C35D5" w:rsidRDefault="009C35D5" w:rsidP="009C35D5">
            <w:pPr>
              <w:numPr>
                <w:ilvl w:val="0"/>
                <w:numId w:val="24"/>
              </w:numPr>
            </w:pPr>
            <w:r>
              <w:t>weighted average cost of capital</w:t>
            </w:r>
          </w:p>
        </w:tc>
      </w:tr>
      <w:tr w:rsidR="009C35D5" w:rsidTr="000474DF">
        <w:tc>
          <w:tcPr>
            <w:tcW w:w="4340" w:type="dxa"/>
          </w:tcPr>
          <w:p w:rsidR="009C35D5" w:rsidRDefault="009C35D5" w:rsidP="009C35D5">
            <w:pPr>
              <w:numPr>
                <w:ilvl w:val="0"/>
                <w:numId w:val="24"/>
              </w:numPr>
            </w:pPr>
            <w:r>
              <w:t>WPI</w:t>
            </w:r>
          </w:p>
        </w:tc>
        <w:tc>
          <w:tcPr>
            <w:tcW w:w="4353" w:type="dxa"/>
          </w:tcPr>
          <w:p w:rsidR="009C35D5" w:rsidRPr="00293D58" w:rsidRDefault="009C35D5" w:rsidP="00293D58">
            <w:r>
              <w:t>Wage Price Index</w:t>
            </w:r>
          </w:p>
        </w:tc>
      </w:tr>
    </w:tbl>
    <w:p w:rsidR="000C7AAB" w:rsidRDefault="000C7AAB" w:rsidP="000C7AAB">
      <w:pPr>
        <w:pStyle w:val="Heading1"/>
      </w:pPr>
      <w:bookmarkStart w:id="13" w:name="_Toc416278154"/>
      <w:bookmarkStart w:id="14" w:name="_Toc416346517"/>
      <w:bookmarkStart w:id="15" w:name="_Toc416278157"/>
      <w:bookmarkStart w:id="16" w:name="_Toc416346520"/>
      <w:bookmarkStart w:id="17" w:name="_Toc416278160"/>
      <w:bookmarkStart w:id="18" w:name="_Toc416346523"/>
      <w:bookmarkStart w:id="19" w:name="_Toc416278163"/>
      <w:bookmarkStart w:id="20" w:name="_Toc416346526"/>
      <w:bookmarkStart w:id="21" w:name="_Toc416278166"/>
      <w:bookmarkStart w:id="22" w:name="_Toc416346529"/>
      <w:bookmarkStart w:id="23" w:name="_Toc416278169"/>
      <w:bookmarkStart w:id="24" w:name="_Toc416346532"/>
      <w:bookmarkStart w:id="25" w:name="_Toc416278172"/>
      <w:bookmarkStart w:id="26" w:name="_Toc416346535"/>
      <w:bookmarkStart w:id="27" w:name="_Toc416278175"/>
      <w:bookmarkStart w:id="28" w:name="_Toc416346538"/>
      <w:bookmarkStart w:id="29" w:name="_Toc416278178"/>
      <w:bookmarkStart w:id="30" w:name="_Toc416346541"/>
      <w:bookmarkStart w:id="31" w:name="_Toc416278181"/>
      <w:bookmarkStart w:id="32" w:name="_Toc416346544"/>
      <w:bookmarkStart w:id="33" w:name="_Toc416278184"/>
      <w:bookmarkStart w:id="34" w:name="_Toc416346547"/>
      <w:bookmarkStart w:id="35" w:name="_Toc416278187"/>
      <w:bookmarkStart w:id="36" w:name="_Toc416346550"/>
      <w:bookmarkStart w:id="37" w:name="_Toc416278190"/>
      <w:bookmarkStart w:id="38" w:name="_Toc416346553"/>
      <w:bookmarkStart w:id="39" w:name="_Toc416278193"/>
      <w:bookmarkStart w:id="40" w:name="_Toc416346556"/>
      <w:bookmarkStart w:id="41" w:name="_Toc416278196"/>
      <w:bookmarkStart w:id="42" w:name="_Toc416346559"/>
      <w:bookmarkStart w:id="43" w:name="_Toc416278199"/>
      <w:bookmarkStart w:id="44" w:name="_Toc416346562"/>
      <w:bookmarkStart w:id="45" w:name="_Toc416278202"/>
      <w:bookmarkStart w:id="46" w:name="_Toc416346565"/>
      <w:bookmarkStart w:id="47" w:name="_Toc416278205"/>
      <w:bookmarkStart w:id="48" w:name="_Toc416346568"/>
      <w:bookmarkStart w:id="49" w:name="_Toc416278208"/>
      <w:bookmarkStart w:id="50" w:name="_Toc416346571"/>
      <w:bookmarkStart w:id="51" w:name="_Toc416278211"/>
      <w:bookmarkStart w:id="52" w:name="_Toc416346574"/>
      <w:bookmarkStart w:id="53" w:name="_Toc416278214"/>
      <w:bookmarkStart w:id="54" w:name="_Toc416346577"/>
      <w:bookmarkStart w:id="55" w:name="_Toc416278217"/>
      <w:bookmarkStart w:id="56" w:name="_Toc416346580"/>
      <w:bookmarkStart w:id="57" w:name="_Toc416278220"/>
      <w:bookmarkStart w:id="58" w:name="_Toc416346583"/>
      <w:bookmarkStart w:id="59" w:name="_Toc416278223"/>
      <w:bookmarkStart w:id="60" w:name="_Toc416346586"/>
      <w:bookmarkStart w:id="61" w:name="_Toc416278226"/>
      <w:bookmarkStart w:id="62" w:name="_Toc416346589"/>
      <w:bookmarkStart w:id="63" w:name="_Toc416278229"/>
      <w:bookmarkStart w:id="64" w:name="_Toc416346592"/>
      <w:bookmarkStart w:id="65" w:name="_Toc416278232"/>
      <w:bookmarkStart w:id="66" w:name="_Toc416346595"/>
      <w:bookmarkStart w:id="67" w:name="_Toc416278235"/>
      <w:bookmarkStart w:id="68" w:name="_Toc416346598"/>
      <w:bookmarkStart w:id="69" w:name="_Toc416278238"/>
      <w:bookmarkStart w:id="70" w:name="_Toc416346601"/>
      <w:bookmarkStart w:id="71" w:name="_Toc481598570"/>
      <w:bookmarkStart w:id="72" w:name="_Toc486834971"/>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t>Demand</w:t>
      </w:r>
      <w:bookmarkEnd w:id="71"/>
      <w:bookmarkEnd w:id="72"/>
    </w:p>
    <w:p w:rsidR="000C7AAB" w:rsidRPr="00132D43" w:rsidRDefault="000C7AAB" w:rsidP="000C7AAB">
      <w:r>
        <w:t xml:space="preserve">This attachment sets out our assessment of the demand forecasts for AGN for the 2018–22 access arrangement period. Demand is an important input into the derivation of AGN's reference tariffs. It also affects operating expenditure (opex) and capital expenditure (capex), which </w:t>
      </w:r>
      <w:r w:rsidR="009B394E">
        <w:t xml:space="preserve">are </w:t>
      </w:r>
      <w:r>
        <w:t>linked to network growth (new connections).</w:t>
      </w:r>
      <w:r>
        <w:rPr>
          <w:rStyle w:val="FootnoteReference"/>
        </w:rPr>
        <w:footnoteReference w:id="1"/>
      </w:r>
    </w:p>
    <w:p w:rsidR="000C7AAB" w:rsidRDefault="000C7AAB" w:rsidP="000C7AAB">
      <w:pPr>
        <w:pStyle w:val="Heading2"/>
      </w:pPr>
      <w:bookmarkStart w:id="73" w:name="_Toc481598571"/>
      <w:bookmarkStart w:id="74" w:name="_Toc486834972"/>
      <w:r>
        <w:t>Draft decision</w:t>
      </w:r>
      <w:bookmarkEnd w:id="73"/>
      <w:bookmarkEnd w:id="74"/>
    </w:p>
    <w:p w:rsidR="000C7AAB" w:rsidRDefault="000C7AAB" w:rsidP="000C7AAB">
      <w:r>
        <w:t>We accept AGN's demand forecasts for the 2018–22 access arrangement period. Based on the information before us, we are satisfied that AGN's proposed demand forecasts comply with rule 74(2) of the National Gas Rules (NGR). This attachment discusses demand forecasts for both the Victorian and Albury networks, unless explicitly stated otherwise.</w:t>
      </w:r>
    </w:p>
    <w:p w:rsidR="000C7AAB" w:rsidRDefault="000C7AAB" w:rsidP="000C7AAB">
      <w:r>
        <w:t xml:space="preserve">The reasons for the AER's decision are discussed in Section </w:t>
      </w:r>
      <w:r>
        <w:fldChar w:fldCharType="begin"/>
      </w:r>
      <w:r>
        <w:instrText xml:space="preserve"> REF _Ref481501253 \r \h </w:instrText>
      </w:r>
      <w:r>
        <w:fldChar w:fldCharType="separate"/>
      </w:r>
      <w:r w:rsidR="00CE5CD1">
        <w:t>13.4</w:t>
      </w:r>
      <w:r>
        <w:fldChar w:fldCharType="end"/>
      </w:r>
      <w:r>
        <w:t xml:space="preserve"> below.</w:t>
      </w:r>
    </w:p>
    <w:p w:rsidR="000C7AAB" w:rsidRDefault="000C7AAB" w:rsidP="000C7AAB">
      <w:pPr>
        <w:pStyle w:val="Heading2"/>
      </w:pPr>
      <w:bookmarkStart w:id="75" w:name="_Toc481598572"/>
      <w:bookmarkStart w:id="76" w:name="_Toc486834973"/>
      <w:r>
        <w:t>AGN’s proposal</w:t>
      </w:r>
      <w:bookmarkEnd w:id="75"/>
      <w:bookmarkEnd w:id="76"/>
    </w:p>
    <w:p w:rsidR="000C7AAB" w:rsidRDefault="000C7AAB" w:rsidP="000C7AAB">
      <w:r>
        <w:t>AGN engaged Core Energy Group Pty Ltd (CE) to prepare its demand forecasts in its Victoria and Albury networks for the 2018–22 access arrangement period. A summary of the key aspects of AGN's demand forecasts are set out in</w:t>
      </w:r>
      <w:r w:rsidR="00F670AA">
        <w:t xml:space="preserve"> </w:t>
      </w:r>
      <w:r w:rsidR="00F670AA">
        <w:fldChar w:fldCharType="begin"/>
      </w:r>
      <w:r w:rsidR="00F670AA">
        <w:instrText xml:space="preserve"> REF _Ref485127481 \h </w:instrText>
      </w:r>
      <w:r w:rsidR="00F670AA">
        <w:fldChar w:fldCharType="separate"/>
      </w:r>
      <w:r w:rsidR="00CE5CD1">
        <w:t xml:space="preserve">Table </w:t>
      </w:r>
      <w:r w:rsidR="00CE5CD1">
        <w:rPr>
          <w:noProof/>
        </w:rPr>
        <w:t>13</w:t>
      </w:r>
      <w:r w:rsidR="00CE5CD1">
        <w:noBreakHyphen/>
      </w:r>
      <w:r w:rsidR="00CE5CD1">
        <w:rPr>
          <w:noProof/>
        </w:rPr>
        <w:t>1</w:t>
      </w:r>
      <w:r w:rsidR="00F670AA">
        <w:fldChar w:fldCharType="end"/>
      </w:r>
      <w:r w:rsidR="00F670AA">
        <w:t xml:space="preserve"> </w:t>
      </w:r>
      <w:r>
        <w:t xml:space="preserve">(Tariff R and C) and </w:t>
      </w:r>
      <w:r w:rsidR="00F670AA">
        <w:fldChar w:fldCharType="begin"/>
      </w:r>
      <w:r w:rsidR="00F670AA">
        <w:instrText xml:space="preserve"> REF _Ref485127538 \h </w:instrText>
      </w:r>
      <w:r w:rsidR="00F670AA">
        <w:fldChar w:fldCharType="separate"/>
      </w:r>
      <w:r w:rsidR="00CE5CD1">
        <w:t xml:space="preserve">Table </w:t>
      </w:r>
      <w:r w:rsidR="00CE5CD1">
        <w:rPr>
          <w:noProof/>
        </w:rPr>
        <w:t>13</w:t>
      </w:r>
      <w:r w:rsidR="00CE5CD1">
        <w:noBreakHyphen/>
      </w:r>
      <w:r w:rsidR="00CE5CD1">
        <w:rPr>
          <w:noProof/>
        </w:rPr>
        <w:t>2</w:t>
      </w:r>
      <w:r w:rsidR="00F670AA">
        <w:fldChar w:fldCharType="end"/>
      </w:r>
      <w:r>
        <w:t xml:space="preserve"> (Tariff D). </w:t>
      </w:r>
    </w:p>
    <w:p w:rsidR="000C7AAB" w:rsidRDefault="000C7AAB" w:rsidP="00366556">
      <w:r>
        <w:t>AGN separates Tariff V customers into tariff sub-categories: Tariff R (residential)</w:t>
      </w:r>
      <w:r>
        <w:rPr>
          <w:rStyle w:val="FootnoteReference"/>
        </w:rPr>
        <w:footnoteReference w:id="2"/>
      </w:r>
      <w:r>
        <w:t xml:space="preserve"> and Tariff C (commercial)</w:t>
      </w:r>
      <w:r>
        <w:rPr>
          <w:rStyle w:val="FootnoteReference"/>
        </w:rPr>
        <w:footnoteReference w:id="3"/>
      </w:r>
      <w:r>
        <w:t>. Tariff D customers are AGN's largest business customers.</w:t>
      </w:r>
      <w:r>
        <w:rPr>
          <w:rStyle w:val="FootnoteReference"/>
        </w:rPr>
        <w:footnoteReference w:id="4"/>
      </w:r>
      <w:r>
        <w:t xml:space="preserve"> </w:t>
      </w:r>
    </w:p>
    <w:p w:rsidR="00F670AA" w:rsidRDefault="00F670AA" w:rsidP="00081CEA">
      <w:pPr>
        <w:pStyle w:val="Caption"/>
      </w:pPr>
      <w:bookmarkStart w:id="77" w:name="_Ref485127481"/>
      <w:r>
        <w:t xml:space="preserve">Table </w:t>
      </w:r>
      <w:r w:rsidR="00CE5CD1">
        <w:fldChar w:fldCharType="begin"/>
      </w:r>
      <w:r w:rsidR="00CE5CD1">
        <w:instrText xml:space="preserve"> STYLEREF 1 \s </w:instrText>
      </w:r>
      <w:r w:rsidR="00CE5CD1">
        <w:fldChar w:fldCharType="separate"/>
      </w:r>
      <w:r w:rsidR="00CE5CD1">
        <w:rPr>
          <w:noProof/>
        </w:rPr>
        <w:t>13</w:t>
      </w:r>
      <w:r w:rsidR="00CE5CD1">
        <w:rPr>
          <w:noProof/>
        </w:rPr>
        <w:fldChar w:fldCharType="end"/>
      </w:r>
      <w:r>
        <w:noBreakHyphen/>
      </w:r>
      <w:r w:rsidR="00CE5CD1">
        <w:fldChar w:fldCharType="begin"/>
      </w:r>
      <w:r w:rsidR="00CE5CD1">
        <w:instrText xml:space="preserve"> SEQ Table \* ARABIC \s 1 </w:instrText>
      </w:r>
      <w:r w:rsidR="00CE5CD1">
        <w:fldChar w:fldCharType="separate"/>
      </w:r>
      <w:r w:rsidR="00CE5CD1">
        <w:rPr>
          <w:noProof/>
        </w:rPr>
        <w:t>1</w:t>
      </w:r>
      <w:r w:rsidR="00CE5CD1">
        <w:rPr>
          <w:noProof/>
        </w:rPr>
        <w:fldChar w:fldCharType="end"/>
      </w:r>
      <w:bookmarkEnd w:id="77"/>
      <w:r>
        <w:t xml:space="preserve">: </w:t>
      </w:r>
      <w:r w:rsidRPr="001D352B">
        <w:t>AGN's demand forecasts for Tariff R and C for the 2018–22 access arrangement period (Victoria and Albury networks)</w:t>
      </w:r>
    </w:p>
    <w:tbl>
      <w:tblPr>
        <w:tblStyle w:val="AERtable-numbers"/>
        <w:tblW w:w="0" w:type="auto"/>
        <w:tblLook w:val="04A0" w:firstRow="1" w:lastRow="0" w:firstColumn="1" w:lastColumn="0" w:noHBand="0" w:noVBand="1"/>
      </w:tblPr>
      <w:tblGrid>
        <w:gridCol w:w="1384"/>
        <w:gridCol w:w="1513"/>
        <w:gridCol w:w="1449"/>
        <w:gridCol w:w="1449"/>
        <w:gridCol w:w="1449"/>
        <w:gridCol w:w="1449"/>
      </w:tblGrid>
      <w:tr w:rsidR="000C7AAB" w:rsidTr="004043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rsidR="000C7AAB" w:rsidRDefault="000C7AAB" w:rsidP="00570558">
            <w:pPr>
              <w:keepNext/>
              <w:rPr>
                <w:rFonts w:eastAsiaTheme="minorHAnsi" w:cstheme="minorBidi"/>
                <w:b w:val="0"/>
                <w:color w:val="auto"/>
                <w:sz w:val="22"/>
                <w:szCs w:val="22"/>
                <w:lang w:eastAsia="en-US"/>
              </w:rPr>
            </w:pPr>
          </w:p>
        </w:tc>
        <w:tc>
          <w:tcPr>
            <w:tcW w:w="1513" w:type="dxa"/>
          </w:tcPr>
          <w:p w:rsidR="000C7AAB" w:rsidRPr="000C7AAB" w:rsidRDefault="000C7AAB" w:rsidP="00570558">
            <w:pPr>
              <w:keepNext/>
              <w:cnfStyle w:val="100000000000" w:firstRow="1" w:lastRow="0" w:firstColumn="0" w:lastColumn="0" w:oddVBand="0" w:evenVBand="0" w:oddHBand="0" w:evenHBand="0" w:firstRowFirstColumn="0" w:firstRowLastColumn="0" w:lastRowFirstColumn="0" w:lastRowLastColumn="0"/>
              <w:rPr>
                <w:rFonts w:eastAsiaTheme="minorHAnsi" w:cstheme="minorBidi"/>
                <w:b w:val="0"/>
                <w:color w:val="auto"/>
                <w:sz w:val="22"/>
                <w:szCs w:val="22"/>
                <w:lang w:eastAsia="en-US"/>
              </w:rPr>
            </w:pPr>
            <w:r>
              <w:t>2018</w:t>
            </w:r>
          </w:p>
        </w:tc>
        <w:tc>
          <w:tcPr>
            <w:tcW w:w="1449" w:type="dxa"/>
          </w:tcPr>
          <w:p w:rsidR="000C7AAB" w:rsidRPr="000C7AAB" w:rsidRDefault="000C7AAB" w:rsidP="00570558">
            <w:pPr>
              <w:keepNext/>
              <w:cnfStyle w:val="100000000000" w:firstRow="1" w:lastRow="0" w:firstColumn="0" w:lastColumn="0" w:oddVBand="0" w:evenVBand="0" w:oddHBand="0" w:evenHBand="0" w:firstRowFirstColumn="0" w:firstRowLastColumn="0" w:lastRowFirstColumn="0" w:lastRowLastColumn="0"/>
              <w:rPr>
                <w:rFonts w:eastAsiaTheme="minorHAnsi" w:cstheme="minorBidi"/>
                <w:b w:val="0"/>
                <w:color w:val="auto"/>
                <w:sz w:val="22"/>
                <w:szCs w:val="22"/>
                <w:lang w:eastAsia="en-US"/>
              </w:rPr>
            </w:pPr>
            <w:r>
              <w:t>2019</w:t>
            </w:r>
          </w:p>
        </w:tc>
        <w:tc>
          <w:tcPr>
            <w:tcW w:w="1449" w:type="dxa"/>
          </w:tcPr>
          <w:p w:rsidR="000C7AAB" w:rsidRPr="000C7AAB" w:rsidRDefault="000C7AAB" w:rsidP="00570558">
            <w:pPr>
              <w:keepNext/>
              <w:cnfStyle w:val="100000000000" w:firstRow="1" w:lastRow="0" w:firstColumn="0" w:lastColumn="0" w:oddVBand="0" w:evenVBand="0" w:oddHBand="0" w:evenHBand="0" w:firstRowFirstColumn="0" w:firstRowLastColumn="0" w:lastRowFirstColumn="0" w:lastRowLastColumn="0"/>
              <w:rPr>
                <w:rFonts w:eastAsiaTheme="minorHAnsi" w:cstheme="minorBidi"/>
                <w:b w:val="0"/>
                <w:color w:val="auto"/>
                <w:sz w:val="22"/>
                <w:szCs w:val="22"/>
                <w:lang w:eastAsia="en-US"/>
              </w:rPr>
            </w:pPr>
            <w:r>
              <w:t>2020</w:t>
            </w:r>
          </w:p>
        </w:tc>
        <w:tc>
          <w:tcPr>
            <w:tcW w:w="1449" w:type="dxa"/>
          </w:tcPr>
          <w:p w:rsidR="000C7AAB" w:rsidRPr="000C7AAB" w:rsidRDefault="000C7AAB" w:rsidP="00570558">
            <w:pPr>
              <w:keepNext/>
              <w:cnfStyle w:val="100000000000" w:firstRow="1" w:lastRow="0" w:firstColumn="0" w:lastColumn="0" w:oddVBand="0" w:evenVBand="0" w:oddHBand="0" w:evenHBand="0" w:firstRowFirstColumn="0" w:firstRowLastColumn="0" w:lastRowFirstColumn="0" w:lastRowLastColumn="0"/>
              <w:rPr>
                <w:rFonts w:eastAsiaTheme="minorHAnsi" w:cstheme="minorBidi"/>
                <w:b w:val="0"/>
                <w:color w:val="auto"/>
                <w:sz w:val="22"/>
                <w:szCs w:val="22"/>
                <w:lang w:eastAsia="en-US"/>
              </w:rPr>
            </w:pPr>
            <w:r>
              <w:t>2021</w:t>
            </w:r>
          </w:p>
        </w:tc>
        <w:tc>
          <w:tcPr>
            <w:tcW w:w="1449" w:type="dxa"/>
          </w:tcPr>
          <w:p w:rsidR="000C7AAB" w:rsidRPr="000C7AAB" w:rsidRDefault="000C7AAB" w:rsidP="00570558">
            <w:pPr>
              <w:keepNext/>
              <w:cnfStyle w:val="100000000000" w:firstRow="1" w:lastRow="0" w:firstColumn="0" w:lastColumn="0" w:oddVBand="0" w:evenVBand="0" w:oddHBand="0" w:evenHBand="0" w:firstRowFirstColumn="0" w:firstRowLastColumn="0" w:lastRowFirstColumn="0" w:lastRowLastColumn="0"/>
              <w:rPr>
                <w:rFonts w:eastAsiaTheme="minorHAnsi" w:cstheme="minorBidi"/>
                <w:b w:val="0"/>
                <w:color w:val="auto"/>
                <w:sz w:val="22"/>
                <w:szCs w:val="22"/>
                <w:lang w:eastAsia="en-US"/>
              </w:rPr>
            </w:pPr>
            <w:r>
              <w:t>2022</w:t>
            </w:r>
          </w:p>
        </w:tc>
      </w:tr>
      <w:tr w:rsidR="000C7AAB" w:rsidTr="004043F1">
        <w:tc>
          <w:tcPr>
            <w:cnfStyle w:val="001000000000" w:firstRow="0" w:lastRow="0" w:firstColumn="1" w:lastColumn="0" w:oddVBand="0" w:evenVBand="0" w:oddHBand="0" w:evenHBand="0" w:firstRowFirstColumn="0" w:firstRowLastColumn="0" w:lastRowFirstColumn="0" w:lastRowLastColumn="0"/>
            <w:tcW w:w="1384" w:type="dxa"/>
          </w:tcPr>
          <w:p w:rsidR="000C7AAB" w:rsidRPr="000C7AAB" w:rsidRDefault="000C7AAB" w:rsidP="00570558">
            <w:pPr>
              <w:keepNext/>
              <w:rPr>
                <w:rFonts w:eastAsiaTheme="minorHAnsi" w:cstheme="minorBidi"/>
                <w:sz w:val="22"/>
                <w:szCs w:val="22"/>
                <w:lang w:eastAsia="en-US"/>
              </w:rPr>
            </w:pPr>
            <w:r>
              <w:t>Net</w:t>
            </w:r>
            <w:r w:rsidRPr="000C7AAB">
              <w:t xml:space="preserve"> Residential Connection numbers</w:t>
            </w:r>
          </w:p>
        </w:tc>
        <w:tc>
          <w:tcPr>
            <w:tcW w:w="1513" w:type="dxa"/>
          </w:tcPr>
          <w:p w:rsidR="000C7AAB" w:rsidRPr="000C7AAB" w:rsidRDefault="000C7AAB" w:rsidP="00570558">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t>648,388</w:t>
            </w:r>
          </w:p>
        </w:tc>
        <w:tc>
          <w:tcPr>
            <w:tcW w:w="1449" w:type="dxa"/>
          </w:tcPr>
          <w:p w:rsidR="000C7AAB" w:rsidRPr="000C7AAB" w:rsidRDefault="000C7AAB" w:rsidP="00570558">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t>661,344</w:t>
            </w:r>
          </w:p>
        </w:tc>
        <w:tc>
          <w:tcPr>
            <w:tcW w:w="1449" w:type="dxa"/>
          </w:tcPr>
          <w:p w:rsidR="000C7AAB" w:rsidRPr="000C7AAB" w:rsidRDefault="000C7AAB" w:rsidP="00570558">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t>674,447</w:t>
            </w:r>
          </w:p>
        </w:tc>
        <w:tc>
          <w:tcPr>
            <w:tcW w:w="1449" w:type="dxa"/>
          </w:tcPr>
          <w:p w:rsidR="000C7AAB" w:rsidRPr="000C7AAB" w:rsidRDefault="000C7AAB" w:rsidP="00570558">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t>687,772</w:t>
            </w:r>
          </w:p>
        </w:tc>
        <w:tc>
          <w:tcPr>
            <w:tcW w:w="1449" w:type="dxa"/>
          </w:tcPr>
          <w:p w:rsidR="000C7AAB" w:rsidRPr="000C7AAB" w:rsidRDefault="000C7AAB" w:rsidP="00570558">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t>701,320</w:t>
            </w:r>
          </w:p>
        </w:tc>
      </w:tr>
      <w:tr w:rsidR="000C7AAB" w:rsidTr="004043F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rsidR="000C7AAB" w:rsidRPr="000C7AAB" w:rsidRDefault="000C7AAB" w:rsidP="00570558">
            <w:pPr>
              <w:keepNext/>
              <w:rPr>
                <w:rFonts w:eastAsiaTheme="minorHAnsi" w:cstheme="minorBidi"/>
                <w:b/>
                <w:bCs/>
                <w:sz w:val="22"/>
                <w:szCs w:val="22"/>
                <w:lang w:eastAsia="en-US"/>
              </w:rPr>
            </w:pPr>
            <w:r>
              <w:t xml:space="preserve">Residential </w:t>
            </w:r>
            <w:r w:rsidRPr="000C7AAB">
              <w:t>Consumption per connection (GJ)</w:t>
            </w:r>
          </w:p>
        </w:tc>
        <w:tc>
          <w:tcPr>
            <w:tcW w:w="1513" w:type="dxa"/>
          </w:tcPr>
          <w:p w:rsidR="000C7AAB" w:rsidRPr="000C7AAB" w:rsidRDefault="000C7AAB" w:rsidP="00570558">
            <w:pPr>
              <w:keepNext/>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r>
              <w:t>44.3</w:t>
            </w:r>
          </w:p>
        </w:tc>
        <w:tc>
          <w:tcPr>
            <w:tcW w:w="1449" w:type="dxa"/>
          </w:tcPr>
          <w:p w:rsidR="000C7AAB" w:rsidRPr="000C7AAB" w:rsidRDefault="000C7AAB" w:rsidP="00570558">
            <w:pPr>
              <w:keepNext/>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r>
              <w:t>43.4</w:t>
            </w:r>
          </w:p>
        </w:tc>
        <w:tc>
          <w:tcPr>
            <w:tcW w:w="1449" w:type="dxa"/>
          </w:tcPr>
          <w:p w:rsidR="000C7AAB" w:rsidRPr="000C7AAB" w:rsidRDefault="000C7AAB" w:rsidP="00570558">
            <w:pPr>
              <w:keepNext/>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r>
              <w:t>42.5</w:t>
            </w:r>
          </w:p>
        </w:tc>
        <w:tc>
          <w:tcPr>
            <w:tcW w:w="1449" w:type="dxa"/>
          </w:tcPr>
          <w:p w:rsidR="000C7AAB" w:rsidRPr="000C7AAB" w:rsidRDefault="000C7AAB" w:rsidP="00570558">
            <w:pPr>
              <w:keepNext/>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r>
              <w:t>41.6</w:t>
            </w:r>
          </w:p>
        </w:tc>
        <w:tc>
          <w:tcPr>
            <w:tcW w:w="1449" w:type="dxa"/>
          </w:tcPr>
          <w:p w:rsidR="000C7AAB" w:rsidRPr="000C7AAB" w:rsidRDefault="000C7AAB" w:rsidP="00570558">
            <w:pPr>
              <w:keepNext/>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r>
              <w:t>40.8</w:t>
            </w:r>
          </w:p>
        </w:tc>
      </w:tr>
      <w:tr w:rsidR="000C7AAB" w:rsidTr="004043F1">
        <w:tc>
          <w:tcPr>
            <w:cnfStyle w:val="001000000000" w:firstRow="0" w:lastRow="0" w:firstColumn="1" w:lastColumn="0" w:oddVBand="0" w:evenVBand="0" w:oddHBand="0" w:evenHBand="0" w:firstRowFirstColumn="0" w:firstRowLastColumn="0" w:lastRowFirstColumn="0" w:lastRowLastColumn="0"/>
            <w:tcW w:w="1384" w:type="dxa"/>
          </w:tcPr>
          <w:p w:rsidR="000C7AAB" w:rsidRPr="000C7AAB" w:rsidRDefault="000C7AAB" w:rsidP="00570558">
            <w:pPr>
              <w:keepNext/>
              <w:rPr>
                <w:rFonts w:eastAsiaTheme="minorHAnsi" w:cstheme="minorBidi"/>
                <w:b/>
                <w:bCs/>
                <w:sz w:val="22"/>
                <w:szCs w:val="22"/>
                <w:lang w:eastAsia="en-US"/>
              </w:rPr>
            </w:pPr>
            <w:r>
              <w:t xml:space="preserve">Tariff R </w:t>
            </w:r>
            <w:r w:rsidRPr="000C7AAB">
              <w:t xml:space="preserve"> Demand (TJ)</w:t>
            </w:r>
          </w:p>
        </w:tc>
        <w:tc>
          <w:tcPr>
            <w:tcW w:w="1513" w:type="dxa"/>
          </w:tcPr>
          <w:p w:rsidR="000C7AAB" w:rsidRPr="000C7AAB" w:rsidRDefault="000C7AAB" w:rsidP="00570558">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t>28,732</w:t>
            </w:r>
          </w:p>
        </w:tc>
        <w:tc>
          <w:tcPr>
            <w:tcW w:w="1449" w:type="dxa"/>
          </w:tcPr>
          <w:p w:rsidR="000C7AAB" w:rsidRPr="000C7AAB" w:rsidRDefault="000C7AAB" w:rsidP="00570558">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t>28,680</w:t>
            </w:r>
          </w:p>
        </w:tc>
        <w:tc>
          <w:tcPr>
            <w:tcW w:w="1449" w:type="dxa"/>
          </w:tcPr>
          <w:p w:rsidR="000C7AAB" w:rsidRPr="000C7AAB" w:rsidRDefault="000C7AAB" w:rsidP="00570558">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t>28,667</w:t>
            </w:r>
          </w:p>
        </w:tc>
        <w:tc>
          <w:tcPr>
            <w:tcW w:w="1449" w:type="dxa"/>
          </w:tcPr>
          <w:p w:rsidR="000C7AAB" w:rsidRPr="000C7AAB" w:rsidRDefault="000C7AAB" w:rsidP="00570558">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t>28,605</w:t>
            </w:r>
          </w:p>
        </w:tc>
        <w:tc>
          <w:tcPr>
            <w:tcW w:w="1449" w:type="dxa"/>
          </w:tcPr>
          <w:p w:rsidR="000C7AAB" w:rsidRPr="000C7AAB" w:rsidRDefault="000C7AAB" w:rsidP="00570558">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t>28,587</w:t>
            </w:r>
          </w:p>
        </w:tc>
      </w:tr>
      <w:tr w:rsidR="000C7AAB" w:rsidTr="004043F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rsidR="000C7AAB" w:rsidRPr="000C7AAB" w:rsidRDefault="000C7AAB" w:rsidP="00570558">
            <w:pPr>
              <w:keepNext/>
              <w:rPr>
                <w:rFonts w:eastAsiaTheme="minorHAnsi" w:cstheme="minorBidi"/>
                <w:b/>
                <w:bCs/>
                <w:sz w:val="22"/>
                <w:szCs w:val="22"/>
                <w:lang w:eastAsia="en-US"/>
              </w:rPr>
            </w:pPr>
            <w:r>
              <w:t xml:space="preserve">Net Commercial Connection numbers </w:t>
            </w:r>
          </w:p>
        </w:tc>
        <w:tc>
          <w:tcPr>
            <w:tcW w:w="1513" w:type="dxa"/>
          </w:tcPr>
          <w:p w:rsidR="000C7AAB" w:rsidRPr="000C7AAB" w:rsidRDefault="000C7AAB" w:rsidP="00570558">
            <w:pPr>
              <w:keepNext/>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r>
              <w:t>22,511</w:t>
            </w:r>
          </w:p>
        </w:tc>
        <w:tc>
          <w:tcPr>
            <w:tcW w:w="1449" w:type="dxa"/>
          </w:tcPr>
          <w:p w:rsidR="000C7AAB" w:rsidRPr="000C7AAB" w:rsidRDefault="000C7AAB" w:rsidP="00570558">
            <w:pPr>
              <w:keepNext/>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r>
              <w:t>22,658</w:t>
            </w:r>
          </w:p>
        </w:tc>
        <w:tc>
          <w:tcPr>
            <w:tcW w:w="1449" w:type="dxa"/>
          </w:tcPr>
          <w:p w:rsidR="000C7AAB" w:rsidRPr="000C7AAB" w:rsidRDefault="000C7AAB" w:rsidP="00570558">
            <w:pPr>
              <w:keepNext/>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r>
              <w:t>22,806</w:t>
            </w:r>
          </w:p>
        </w:tc>
        <w:tc>
          <w:tcPr>
            <w:tcW w:w="1449" w:type="dxa"/>
          </w:tcPr>
          <w:p w:rsidR="000C7AAB" w:rsidRPr="000C7AAB" w:rsidRDefault="000C7AAB" w:rsidP="00570558">
            <w:pPr>
              <w:keepNext/>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r>
              <w:t>22,954</w:t>
            </w:r>
          </w:p>
        </w:tc>
        <w:tc>
          <w:tcPr>
            <w:tcW w:w="1449" w:type="dxa"/>
          </w:tcPr>
          <w:p w:rsidR="000C7AAB" w:rsidRPr="000C7AAB" w:rsidRDefault="000C7AAB" w:rsidP="00570558">
            <w:pPr>
              <w:keepNext/>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r>
              <w:t>23,103</w:t>
            </w:r>
          </w:p>
        </w:tc>
      </w:tr>
      <w:tr w:rsidR="000C7AAB" w:rsidTr="004043F1">
        <w:tc>
          <w:tcPr>
            <w:cnfStyle w:val="001000000000" w:firstRow="0" w:lastRow="0" w:firstColumn="1" w:lastColumn="0" w:oddVBand="0" w:evenVBand="0" w:oddHBand="0" w:evenHBand="0" w:firstRowFirstColumn="0" w:firstRowLastColumn="0" w:lastRowFirstColumn="0" w:lastRowLastColumn="0"/>
            <w:tcW w:w="1384" w:type="dxa"/>
          </w:tcPr>
          <w:p w:rsidR="000C7AAB" w:rsidRPr="000C7AAB" w:rsidRDefault="000C7AAB" w:rsidP="00570558">
            <w:pPr>
              <w:keepNext/>
              <w:rPr>
                <w:rFonts w:eastAsiaTheme="minorHAnsi" w:cstheme="minorBidi"/>
                <w:b/>
                <w:bCs/>
                <w:sz w:val="22"/>
                <w:szCs w:val="22"/>
                <w:lang w:eastAsia="en-US"/>
              </w:rPr>
            </w:pPr>
            <w:r>
              <w:t>Commercial</w:t>
            </w:r>
            <w:r w:rsidRPr="000C7AAB">
              <w:t xml:space="preserve"> Consumption per connections (GJ)</w:t>
            </w:r>
          </w:p>
        </w:tc>
        <w:tc>
          <w:tcPr>
            <w:tcW w:w="1513" w:type="dxa"/>
          </w:tcPr>
          <w:p w:rsidR="000C7AAB" w:rsidRPr="000C7AAB" w:rsidRDefault="000C7AAB" w:rsidP="00570558">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t>343.0</w:t>
            </w:r>
          </w:p>
        </w:tc>
        <w:tc>
          <w:tcPr>
            <w:tcW w:w="1449" w:type="dxa"/>
          </w:tcPr>
          <w:p w:rsidR="000C7AAB" w:rsidRPr="000C7AAB" w:rsidRDefault="000C7AAB" w:rsidP="00570558">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t>341.5</w:t>
            </w:r>
          </w:p>
        </w:tc>
        <w:tc>
          <w:tcPr>
            <w:tcW w:w="1449" w:type="dxa"/>
          </w:tcPr>
          <w:p w:rsidR="000C7AAB" w:rsidRPr="000C7AAB" w:rsidRDefault="000C7AAB" w:rsidP="00570558">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t>340.3</w:t>
            </w:r>
          </w:p>
        </w:tc>
        <w:tc>
          <w:tcPr>
            <w:tcW w:w="1449" w:type="dxa"/>
          </w:tcPr>
          <w:p w:rsidR="000C7AAB" w:rsidRPr="000C7AAB" w:rsidRDefault="000C7AAB" w:rsidP="00570558">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t>338.9</w:t>
            </w:r>
          </w:p>
        </w:tc>
        <w:tc>
          <w:tcPr>
            <w:tcW w:w="1449" w:type="dxa"/>
          </w:tcPr>
          <w:p w:rsidR="000C7AAB" w:rsidRPr="000C7AAB" w:rsidRDefault="000C7AAB" w:rsidP="00570558">
            <w:pPr>
              <w:keepNext/>
              <w:cnfStyle w:val="000000000000" w:firstRow="0" w:lastRow="0" w:firstColumn="0" w:lastColumn="0" w:oddVBand="0" w:evenVBand="0" w:oddHBand="0" w:evenHBand="0" w:firstRowFirstColumn="0" w:firstRowLastColumn="0" w:lastRowFirstColumn="0" w:lastRowLastColumn="0"/>
              <w:rPr>
                <w:rFonts w:eastAsiaTheme="minorHAnsi" w:cstheme="minorBidi"/>
                <w:sz w:val="22"/>
                <w:szCs w:val="22"/>
                <w:lang w:eastAsia="en-US"/>
              </w:rPr>
            </w:pPr>
            <w:r>
              <w:t>336.7</w:t>
            </w:r>
          </w:p>
        </w:tc>
      </w:tr>
      <w:tr w:rsidR="000C7AAB" w:rsidTr="004043F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rsidR="000C7AAB" w:rsidRPr="000C7AAB" w:rsidRDefault="000C7AAB" w:rsidP="00570558">
            <w:pPr>
              <w:keepNext/>
              <w:rPr>
                <w:rFonts w:eastAsiaTheme="minorHAnsi" w:cstheme="minorBidi"/>
                <w:b/>
                <w:bCs/>
                <w:sz w:val="22"/>
                <w:szCs w:val="22"/>
                <w:lang w:eastAsia="en-US"/>
              </w:rPr>
            </w:pPr>
            <w:r>
              <w:t xml:space="preserve">Tariff C </w:t>
            </w:r>
            <w:r w:rsidRPr="000C7AAB">
              <w:t>Demand</w:t>
            </w:r>
          </w:p>
        </w:tc>
        <w:tc>
          <w:tcPr>
            <w:tcW w:w="1513" w:type="dxa"/>
          </w:tcPr>
          <w:p w:rsidR="000C7AAB" w:rsidRPr="000C7AAB" w:rsidRDefault="000C7AAB" w:rsidP="00570558">
            <w:pPr>
              <w:keepNext/>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r>
              <w:t>7,722</w:t>
            </w:r>
          </w:p>
        </w:tc>
        <w:tc>
          <w:tcPr>
            <w:tcW w:w="1449" w:type="dxa"/>
          </w:tcPr>
          <w:p w:rsidR="000C7AAB" w:rsidRPr="000C7AAB" w:rsidRDefault="000C7AAB" w:rsidP="00570558">
            <w:pPr>
              <w:keepNext/>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r>
              <w:t>7,737</w:t>
            </w:r>
          </w:p>
        </w:tc>
        <w:tc>
          <w:tcPr>
            <w:tcW w:w="1449" w:type="dxa"/>
          </w:tcPr>
          <w:p w:rsidR="000C7AAB" w:rsidRPr="000C7AAB" w:rsidRDefault="000C7AAB" w:rsidP="00570558">
            <w:pPr>
              <w:keepNext/>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r>
              <w:t>7,760</w:t>
            </w:r>
          </w:p>
        </w:tc>
        <w:tc>
          <w:tcPr>
            <w:tcW w:w="1449" w:type="dxa"/>
          </w:tcPr>
          <w:p w:rsidR="000C7AAB" w:rsidRPr="000C7AAB" w:rsidRDefault="000C7AAB" w:rsidP="00570558">
            <w:pPr>
              <w:keepNext/>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r>
              <w:t>7,779</w:t>
            </w:r>
          </w:p>
        </w:tc>
        <w:tc>
          <w:tcPr>
            <w:tcW w:w="1449" w:type="dxa"/>
          </w:tcPr>
          <w:p w:rsidR="000C7AAB" w:rsidRPr="000C7AAB" w:rsidRDefault="000C7AAB" w:rsidP="00570558">
            <w:pPr>
              <w:keepNext/>
              <w:cnfStyle w:val="000000010000" w:firstRow="0" w:lastRow="0" w:firstColumn="0" w:lastColumn="0" w:oddVBand="0" w:evenVBand="0" w:oddHBand="0" w:evenHBand="1" w:firstRowFirstColumn="0" w:firstRowLastColumn="0" w:lastRowFirstColumn="0" w:lastRowLastColumn="0"/>
              <w:rPr>
                <w:rFonts w:eastAsiaTheme="minorHAnsi" w:cstheme="minorBidi"/>
                <w:sz w:val="22"/>
                <w:szCs w:val="22"/>
                <w:lang w:eastAsia="en-US"/>
              </w:rPr>
            </w:pPr>
            <w:r>
              <w:t>7,778</w:t>
            </w:r>
          </w:p>
        </w:tc>
      </w:tr>
    </w:tbl>
    <w:p w:rsidR="000C7AAB" w:rsidRDefault="000C7AAB" w:rsidP="00570558">
      <w:pPr>
        <w:pStyle w:val="AERtablesource"/>
        <w:keepNext/>
      </w:pPr>
      <w:r>
        <w:t xml:space="preserve">Source:  AGN proposed demand forecasts, </w:t>
      </w:r>
      <w:r w:rsidR="00081CEA">
        <w:t xml:space="preserve">AGN, </w:t>
      </w:r>
      <w:r w:rsidR="00081CEA" w:rsidRPr="00570558">
        <w:rPr>
          <w:rStyle w:val="AERtextitalic"/>
        </w:rPr>
        <w:t>Victoria and Albury Final Plan</w:t>
      </w:r>
      <w:r w:rsidR="00081CEA">
        <w:t>, December 2016</w:t>
      </w:r>
      <w:r>
        <w:t>.  This includes estimates for Victoria and Albury.</w:t>
      </w:r>
    </w:p>
    <w:p w:rsidR="00F670AA" w:rsidRDefault="00F670AA" w:rsidP="00F670AA">
      <w:pPr>
        <w:pStyle w:val="Caption"/>
      </w:pPr>
      <w:bookmarkStart w:id="78" w:name="_Ref485127538"/>
      <w:r>
        <w:t xml:space="preserve">Table </w:t>
      </w:r>
      <w:r w:rsidR="00CE5CD1">
        <w:fldChar w:fldCharType="begin"/>
      </w:r>
      <w:r w:rsidR="00CE5CD1">
        <w:instrText xml:space="preserve"> STYLEREF 1 \s </w:instrText>
      </w:r>
      <w:r w:rsidR="00CE5CD1">
        <w:fldChar w:fldCharType="separate"/>
      </w:r>
      <w:r w:rsidR="00CE5CD1">
        <w:rPr>
          <w:noProof/>
        </w:rPr>
        <w:t>13</w:t>
      </w:r>
      <w:r w:rsidR="00CE5CD1">
        <w:rPr>
          <w:noProof/>
        </w:rPr>
        <w:fldChar w:fldCharType="end"/>
      </w:r>
      <w:r>
        <w:noBreakHyphen/>
      </w:r>
      <w:r w:rsidR="00CE5CD1">
        <w:fldChar w:fldCharType="begin"/>
      </w:r>
      <w:r w:rsidR="00CE5CD1">
        <w:instrText xml:space="preserve"> SEQ Table \* ARABIC \s 1 </w:instrText>
      </w:r>
      <w:r w:rsidR="00CE5CD1">
        <w:fldChar w:fldCharType="separate"/>
      </w:r>
      <w:r w:rsidR="00CE5CD1">
        <w:rPr>
          <w:noProof/>
        </w:rPr>
        <w:t>2</w:t>
      </w:r>
      <w:r w:rsidR="00CE5CD1">
        <w:rPr>
          <w:noProof/>
        </w:rPr>
        <w:fldChar w:fldCharType="end"/>
      </w:r>
      <w:bookmarkEnd w:id="78"/>
      <w:r>
        <w:t xml:space="preserve">: </w:t>
      </w:r>
      <w:r w:rsidRPr="00213470">
        <w:t>AGN's demand forecasts for Tariff D (GJ MHQ) for the 2018–22 access arrangement period (Victoria and Albury networks)</w:t>
      </w:r>
    </w:p>
    <w:tbl>
      <w:tblPr>
        <w:tblStyle w:val="AERtable-numbers"/>
        <w:tblW w:w="0" w:type="auto"/>
        <w:tblLook w:val="04A0" w:firstRow="1" w:lastRow="0" w:firstColumn="1" w:lastColumn="0" w:noHBand="0" w:noVBand="1"/>
      </w:tblPr>
      <w:tblGrid>
        <w:gridCol w:w="1448"/>
        <w:gridCol w:w="1449"/>
        <w:gridCol w:w="1449"/>
        <w:gridCol w:w="1449"/>
        <w:gridCol w:w="1449"/>
        <w:gridCol w:w="1449"/>
      </w:tblGrid>
      <w:tr w:rsidR="000C7AAB" w:rsidTr="004043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8" w:type="dxa"/>
          </w:tcPr>
          <w:p w:rsidR="000C7AAB" w:rsidRDefault="000C7AAB" w:rsidP="000C7AAB"/>
        </w:tc>
        <w:tc>
          <w:tcPr>
            <w:tcW w:w="1449" w:type="dxa"/>
          </w:tcPr>
          <w:p w:rsidR="000C7AAB" w:rsidRPr="000C7AAB" w:rsidRDefault="000C7AAB" w:rsidP="000C7AAB">
            <w:pPr>
              <w:cnfStyle w:val="100000000000" w:firstRow="1" w:lastRow="0" w:firstColumn="0" w:lastColumn="0" w:oddVBand="0" w:evenVBand="0" w:oddHBand="0" w:evenHBand="0" w:firstRowFirstColumn="0" w:firstRowLastColumn="0" w:lastRowFirstColumn="0" w:lastRowLastColumn="0"/>
            </w:pPr>
            <w:r>
              <w:t>2018</w:t>
            </w:r>
          </w:p>
        </w:tc>
        <w:tc>
          <w:tcPr>
            <w:tcW w:w="1449" w:type="dxa"/>
          </w:tcPr>
          <w:p w:rsidR="000C7AAB" w:rsidRPr="000C7AAB" w:rsidRDefault="000C7AAB" w:rsidP="000C7AAB">
            <w:pPr>
              <w:cnfStyle w:val="100000000000" w:firstRow="1" w:lastRow="0" w:firstColumn="0" w:lastColumn="0" w:oddVBand="0" w:evenVBand="0" w:oddHBand="0" w:evenHBand="0" w:firstRowFirstColumn="0" w:firstRowLastColumn="0" w:lastRowFirstColumn="0" w:lastRowLastColumn="0"/>
            </w:pPr>
            <w:r>
              <w:t>2019</w:t>
            </w:r>
          </w:p>
        </w:tc>
        <w:tc>
          <w:tcPr>
            <w:tcW w:w="1449" w:type="dxa"/>
          </w:tcPr>
          <w:p w:rsidR="000C7AAB" w:rsidRPr="000C7AAB" w:rsidRDefault="000C7AAB" w:rsidP="000C7AAB">
            <w:pPr>
              <w:cnfStyle w:val="100000000000" w:firstRow="1" w:lastRow="0" w:firstColumn="0" w:lastColumn="0" w:oddVBand="0" w:evenVBand="0" w:oddHBand="0" w:evenHBand="0" w:firstRowFirstColumn="0" w:firstRowLastColumn="0" w:lastRowFirstColumn="0" w:lastRowLastColumn="0"/>
            </w:pPr>
            <w:r>
              <w:t>2020</w:t>
            </w:r>
          </w:p>
        </w:tc>
        <w:tc>
          <w:tcPr>
            <w:tcW w:w="1449" w:type="dxa"/>
          </w:tcPr>
          <w:p w:rsidR="000C7AAB" w:rsidRPr="000C7AAB" w:rsidRDefault="000C7AAB" w:rsidP="000C7AAB">
            <w:pPr>
              <w:cnfStyle w:val="100000000000" w:firstRow="1" w:lastRow="0" w:firstColumn="0" w:lastColumn="0" w:oddVBand="0" w:evenVBand="0" w:oddHBand="0" w:evenHBand="0" w:firstRowFirstColumn="0" w:firstRowLastColumn="0" w:lastRowFirstColumn="0" w:lastRowLastColumn="0"/>
            </w:pPr>
            <w:r>
              <w:t>2021</w:t>
            </w:r>
          </w:p>
        </w:tc>
        <w:tc>
          <w:tcPr>
            <w:tcW w:w="1449" w:type="dxa"/>
          </w:tcPr>
          <w:p w:rsidR="000C7AAB" w:rsidRPr="000C7AAB" w:rsidRDefault="000C7AAB" w:rsidP="000C7AAB">
            <w:pPr>
              <w:cnfStyle w:val="100000000000" w:firstRow="1" w:lastRow="0" w:firstColumn="0" w:lastColumn="0" w:oddVBand="0" w:evenVBand="0" w:oddHBand="0" w:evenHBand="0" w:firstRowFirstColumn="0" w:firstRowLastColumn="0" w:lastRowFirstColumn="0" w:lastRowLastColumn="0"/>
            </w:pPr>
            <w:r>
              <w:t>2022</w:t>
            </w:r>
          </w:p>
        </w:tc>
      </w:tr>
      <w:tr w:rsidR="000C7AAB" w:rsidTr="004043F1">
        <w:tc>
          <w:tcPr>
            <w:cnfStyle w:val="001000000000" w:firstRow="0" w:lastRow="0" w:firstColumn="1" w:lastColumn="0" w:oddVBand="0" w:evenVBand="0" w:oddHBand="0" w:evenHBand="0" w:firstRowFirstColumn="0" w:firstRowLastColumn="0" w:lastRowFirstColumn="0" w:lastRowLastColumn="0"/>
            <w:tcW w:w="1448" w:type="dxa"/>
          </w:tcPr>
          <w:p w:rsidR="000C7AAB" w:rsidRPr="000C7AAB" w:rsidRDefault="000C7AAB" w:rsidP="000C7AAB">
            <w:r>
              <w:t>Demand (</w:t>
            </w:r>
            <w:r w:rsidRPr="000C7AAB">
              <w:t>GJ MHQ)</w:t>
            </w:r>
          </w:p>
        </w:tc>
        <w:tc>
          <w:tcPr>
            <w:tcW w:w="1449" w:type="dxa"/>
          </w:tcPr>
          <w:p w:rsidR="000C7AAB" w:rsidRPr="000C7AAB" w:rsidRDefault="000C7AAB" w:rsidP="000C7AAB">
            <w:pPr>
              <w:cnfStyle w:val="000000000000" w:firstRow="0" w:lastRow="0" w:firstColumn="0" w:lastColumn="0" w:oddVBand="0" w:evenVBand="0" w:oddHBand="0" w:evenHBand="0" w:firstRowFirstColumn="0" w:firstRowLastColumn="0" w:lastRowFirstColumn="0" w:lastRowLastColumn="0"/>
            </w:pPr>
            <w:r>
              <w:t>6,260</w:t>
            </w:r>
          </w:p>
        </w:tc>
        <w:tc>
          <w:tcPr>
            <w:tcW w:w="1449" w:type="dxa"/>
          </w:tcPr>
          <w:p w:rsidR="000C7AAB" w:rsidRPr="000C7AAB" w:rsidRDefault="000C7AAB" w:rsidP="000C7AAB">
            <w:pPr>
              <w:cnfStyle w:val="000000000000" w:firstRow="0" w:lastRow="0" w:firstColumn="0" w:lastColumn="0" w:oddVBand="0" w:evenVBand="0" w:oddHBand="0" w:evenHBand="0" w:firstRowFirstColumn="0" w:firstRowLastColumn="0" w:lastRowFirstColumn="0" w:lastRowLastColumn="0"/>
            </w:pPr>
            <w:r>
              <w:t>6,261</w:t>
            </w:r>
          </w:p>
        </w:tc>
        <w:tc>
          <w:tcPr>
            <w:tcW w:w="1449" w:type="dxa"/>
          </w:tcPr>
          <w:p w:rsidR="000C7AAB" w:rsidRPr="000C7AAB" w:rsidRDefault="000C7AAB" w:rsidP="000C7AAB">
            <w:pPr>
              <w:cnfStyle w:val="000000000000" w:firstRow="0" w:lastRow="0" w:firstColumn="0" w:lastColumn="0" w:oddVBand="0" w:evenVBand="0" w:oddHBand="0" w:evenHBand="0" w:firstRowFirstColumn="0" w:firstRowLastColumn="0" w:lastRowFirstColumn="0" w:lastRowLastColumn="0"/>
            </w:pPr>
            <w:r>
              <w:t>6,291</w:t>
            </w:r>
          </w:p>
        </w:tc>
        <w:tc>
          <w:tcPr>
            <w:tcW w:w="1449" w:type="dxa"/>
          </w:tcPr>
          <w:p w:rsidR="000C7AAB" w:rsidRPr="000C7AAB" w:rsidRDefault="000C7AAB" w:rsidP="000C7AAB">
            <w:pPr>
              <w:cnfStyle w:val="000000000000" w:firstRow="0" w:lastRow="0" w:firstColumn="0" w:lastColumn="0" w:oddVBand="0" w:evenVBand="0" w:oddHBand="0" w:evenHBand="0" w:firstRowFirstColumn="0" w:firstRowLastColumn="0" w:lastRowFirstColumn="0" w:lastRowLastColumn="0"/>
            </w:pPr>
            <w:r>
              <w:t>6,293</w:t>
            </w:r>
          </w:p>
        </w:tc>
        <w:tc>
          <w:tcPr>
            <w:tcW w:w="1449" w:type="dxa"/>
          </w:tcPr>
          <w:p w:rsidR="000C7AAB" w:rsidRPr="000C7AAB" w:rsidRDefault="000C7AAB" w:rsidP="000C7AAB">
            <w:pPr>
              <w:cnfStyle w:val="000000000000" w:firstRow="0" w:lastRow="0" w:firstColumn="0" w:lastColumn="0" w:oddVBand="0" w:evenVBand="0" w:oddHBand="0" w:evenHBand="0" w:firstRowFirstColumn="0" w:firstRowLastColumn="0" w:lastRowFirstColumn="0" w:lastRowLastColumn="0"/>
            </w:pPr>
            <w:r>
              <w:t>6,295</w:t>
            </w:r>
          </w:p>
        </w:tc>
      </w:tr>
    </w:tbl>
    <w:p w:rsidR="000C7AAB" w:rsidRDefault="000C7AAB" w:rsidP="000C7AAB">
      <w:pPr>
        <w:pStyle w:val="AERtablesource"/>
      </w:pPr>
      <w:r>
        <w:t xml:space="preserve">Source: </w:t>
      </w:r>
      <w:r>
        <w:tab/>
        <w:t xml:space="preserve">AGN Proposed demand forecasts, </w:t>
      </w:r>
      <w:r w:rsidR="00081CEA">
        <w:t xml:space="preserve">AGN, </w:t>
      </w:r>
      <w:r w:rsidR="00081CEA" w:rsidRPr="00570558">
        <w:rPr>
          <w:rStyle w:val="AERtextitalic"/>
        </w:rPr>
        <w:t>Victoria and Albury Final Plan</w:t>
      </w:r>
      <w:r w:rsidR="00081CEA">
        <w:t>, December 2016</w:t>
      </w:r>
      <w:r>
        <w:t xml:space="preserve">. </w:t>
      </w:r>
      <w:r w:rsidRPr="00116F9C">
        <w:t>This includes estimates for Victoria and Albury</w:t>
      </w:r>
      <w:r>
        <w:t>.</w:t>
      </w:r>
    </w:p>
    <w:p w:rsidR="000C7AAB" w:rsidRPr="00815863" w:rsidRDefault="000C7AAB" w:rsidP="000C7AAB">
      <w:pPr>
        <w:pStyle w:val="AERtablesource"/>
      </w:pPr>
      <w:r>
        <w:t xml:space="preserve">Notes: </w:t>
      </w:r>
      <w:r>
        <w:tab/>
        <w:t xml:space="preserve">Industrial customers are charged on a capacity basis. AGN therefore forecast capacity measured as the maximum amount of gas expected to be used within a single hour (referred to as gigajoules (GJ) of Maximum Hourly Quantity (GJ MHQ) </w:t>
      </w:r>
    </w:p>
    <w:p w:rsidR="000C7AAB" w:rsidRDefault="000C7AAB" w:rsidP="000C7AAB">
      <w:r>
        <w:t>AGN forecast</w:t>
      </w:r>
      <w:r w:rsidR="00081CEA">
        <w:t xml:space="preserve"> </w:t>
      </w:r>
      <w:r>
        <w:t xml:space="preserve">total residential gas demand (Tariff R) to decrease by around 0.2 per cent per year over 2018–22 access arrangement </w:t>
      </w:r>
      <w:proofErr w:type="gramStart"/>
      <w:r>
        <w:t>period</w:t>
      </w:r>
      <w:proofErr w:type="gramEnd"/>
      <w:r>
        <w:t>.</w:t>
      </w:r>
      <w:r>
        <w:rPr>
          <w:rStyle w:val="FootnoteReference"/>
        </w:rPr>
        <w:footnoteReference w:id="5"/>
      </w:r>
      <w:r>
        <w:t xml:space="preserve"> This compares to 0.6 per cent per year in the </w:t>
      </w:r>
      <w:r w:rsidR="00081CEA">
        <w:t xml:space="preserve">current </w:t>
      </w:r>
      <w:r>
        <w:t>access arrangement period. This relatively flat state of growth is due to forecast reductions in consumption per connection of 2.2 per cent per year being offset by net customer growth of 2 per cent per year.</w:t>
      </w:r>
      <w:r w:rsidRPr="00B2510E">
        <w:rPr>
          <w:rStyle w:val="FootnoteReference"/>
        </w:rPr>
        <w:t xml:space="preserve"> </w:t>
      </w:r>
      <w:r>
        <w:rPr>
          <w:rStyle w:val="FootnoteReference"/>
        </w:rPr>
        <w:footnoteReference w:id="6"/>
      </w:r>
      <w:r>
        <w:t xml:space="preserve"> </w:t>
      </w:r>
    </w:p>
    <w:p w:rsidR="000C7AAB" w:rsidRDefault="000C7AAB" w:rsidP="000C7AAB">
      <w:r>
        <w:t>AGN forecast</w:t>
      </w:r>
      <w:r w:rsidR="00081CEA">
        <w:t xml:space="preserve"> </w:t>
      </w:r>
      <w:r>
        <w:t xml:space="preserve">total commercial demand (Tariff C) to increase by 0.2 per cent over the 2018–22 access arrangement </w:t>
      </w:r>
      <w:proofErr w:type="gramStart"/>
      <w:r>
        <w:t>period</w:t>
      </w:r>
      <w:proofErr w:type="gramEnd"/>
      <w:r>
        <w:t>.</w:t>
      </w:r>
      <w:r>
        <w:rPr>
          <w:rStyle w:val="FootnoteReference"/>
        </w:rPr>
        <w:footnoteReference w:id="7"/>
      </w:r>
      <w:r>
        <w:t xml:space="preserve"> This compares to 0.8 per cent per year in the </w:t>
      </w:r>
      <w:r w:rsidR="00081CEA">
        <w:t xml:space="preserve">current </w:t>
      </w:r>
      <w:r>
        <w:t>access arrangement period. This slight growth is due to a fall of 0.5 per cent per year in consumption per connection being offset by increases in commercial net connections of 0.7 per cent per year.</w:t>
      </w:r>
      <w:r>
        <w:rPr>
          <w:rStyle w:val="FootnoteReference"/>
        </w:rPr>
        <w:footnoteReference w:id="8"/>
      </w:r>
    </w:p>
    <w:p w:rsidR="000C7AAB" w:rsidRDefault="000C7AAB" w:rsidP="000C7AAB">
      <w:r>
        <w:t>Industrial demand is forecast to increase by 0.1 per cent over the 2018–22 access arrangement period.</w:t>
      </w:r>
      <w:r w:rsidRPr="00C20904">
        <w:t xml:space="preserve"> </w:t>
      </w:r>
      <w:r>
        <w:t xml:space="preserve">This compares to 0.9 per cent increase per year in the </w:t>
      </w:r>
      <w:r w:rsidR="00081CEA">
        <w:t xml:space="preserve">current </w:t>
      </w:r>
      <w:r>
        <w:t xml:space="preserve">access arrangement period. </w:t>
      </w:r>
    </w:p>
    <w:p w:rsidR="000C7AAB" w:rsidRPr="000C7AAB" w:rsidRDefault="000C7AAB" w:rsidP="00570558">
      <w:pPr>
        <w:pStyle w:val="Heading3"/>
        <w:ind w:left="720"/>
      </w:pPr>
      <w:bookmarkStart w:id="79" w:name="_Toc486834974"/>
      <w:r>
        <w:t>Core Energy methodology</w:t>
      </w:r>
      <w:bookmarkEnd w:id="79"/>
    </w:p>
    <w:p w:rsidR="000C7AAB" w:rsidRDefault="000C7AAB" w:rsidP="000C7AAB">
      <w:r>
        <w:t>Forecasts of gas demand for Tariff R and C are based on a forecast of net connection numbers multiplied by forecast consumption per connection.</w:t>
      </w:r>
    </w:p>
    <w:p w:rsidR="000C7AAB" w:rsidRPr="00122FE7" w:rsidRDefault="000C7AAB" w:rsidP="00081CEA">
      <w:pPr>
        <w:pStyle w:val="Heading4"/>
      </w:pPr>
      <w:r w:rsidRPr="00081CEA">
        <w:t>Forecasting Tariff R and C net conne</w:t>
      </w:r>
      <w:r w:rsidRPr="00122FE7">
        <w:t>ction numbers</w:t>
      </w:r>
    </w:p>
    <w:p w:rsidR="000C7AAB" w:rsidRDefault="000C7AAB" w:rsidP="000C7AAB">
      <w:r>
        <w:t>For both Tariff R and C, CE used historical connection data from 2008 to 2015</w:t>
      </w:r>
      <w:r w:rsidR="00122FE7" w:rsidRPr="00122FE7">
        <w:t xml:space="preserve"> </w:t>
      </w:r>
      <w:r w:rsidR="00122FE7">
        <w:t>as a starting point</w:t>
      </w:r>
      <w:r>
        <w:t>. This data was split by zone.</w:t>
      </w:r>
      <w:r>
        <w:rPr>
          <w:rStyle w:val="FootnoteReference"/>
        </w:rPr>
        <w:footnoteReference w:id="9"/>
      </w:r>
      <w:r>
        <w:t xml:space="preserve"> </w:t>
      </w:r>
    </w:p>
    <w:p w:rsidR="000C7AAB" w:rsidRDefault="000C7AAB" w:rsidP="000C7AAB">
      <w:r>
        <w:t>To forecast these connection numbers, CE undertook regression analysis to determine whether a statistical relationship exists between the historical connections data and variables that might be drivers of connections growth.</w:t>
      </w:r>
    </w:p>
    <w:p w:rsidR="000C7AAB" w:rsidRDefault="000C7AAB" w:rsidP="000C7AAB">
      <w:r>
        <w:t xml:space="preserve">For Tariff R on the Victorian network, the historical net connections data was regressed on </w:t>
      </w:r>
      <w:r w:rsidR="00122FE7">
        <w:t>Housing Industry Association (</w:t>
      </w:r>
      <w:r>
        <w:t>HIA</w:t>
      </w:r>
      <w:r w:rsidR="00122FE7">
        <w:t>)</w:t>
      </w:r>
      <w:r>
        <w:t xml:space="preserve"> new dwelling starts data by type </w:t>
      </w:r>
      <w:r w:rsidR="00122FE7">
        <w:t>—</w:t>
      </w:r>
      <w:r>
        <w:t xml:space="preserve"> detached and multi-unit </w:t>
      </w:r>
      <w:r w:rsidR="00122FE7">
        <w:t xml:space="preserve">— </w:t>
      </w:r>
      <w:r>
        <w:t>to determine what kind of statistical relationship</w:t>
      </w:r>
      <w:r w:rsidR="00122FE7">
        <w:t>, if any,</w:t>
      </w:r>
      <w:r>
        <w:t xml:space="preserve"> exists between the two data sets. This statistical relationship informed the forecast for net connections. Forecast net connections for each year for each zone were then obtained by incorporating the net change in connections to the existing number of connections in 2015.</w:t>
      </w:r>
      <w:r>
        <w:rPr>
          <w:rStyle w:val="FootnoteReference"/>
        </w:rPr>
        <w:footnoteReference w:id="10"/>
      </w:r>
    </w:p>
    <w:p w:rsidR="000C7AAB" w:rsidRDefault="000C7AAB" w:rsidP="000C7AAB">
      <w:r>
        <w:t xml:space="preserve">For Tariff R on the Albury network, these forecasts </w:t>
      </w:r>
      <w:r w:rsidR="000B7B2A">
        <w:t xml:space="preserve">were </w:t>
      </w:r>
      <w:r>
        <w:t>based on the historical annual average rate which CE assume</w:t>
      </w:r>
      <w:r w:rsidR="000B7B2A">
        <w:t>d</w:t>
      </w:r>
      <w:r>
        <w:t xml:space="preserve"> is likely to continue into the forecast period.</w:t>
      </w:r>
      <w:r>
        <w:rPr>
          <w:rStyle w:val="FootnoteReference"/>
        </w:rPr>
        <w:footnoteReference w:id="11"/>
      </w:r>
    </w:p>
    <w:p w:rsidR="000C7AAB" w:rsidRDefault="000C7AAB" w:rsidP="000C7AAB">
      <w:r>
        <w:t>For Tariff C, CE was not able to establish a relationship between historical gross state product (GSP) and growth in Tariff C connections. CE therefore applied the average growth rate of new connections in the historical period between 2008 and 2015 to derive forecasts of net connections.</w:t>
      </w:r>
      <w:r>
        <w:rPr>
          <w:rStyle w:val="FootnoteReference"/>
        </w:rPr>
        <w:footnoteReference w:id="12"/>
      </w:r>
    </w:p>
    <w:p w:rsidR="000C7AAB" w:rsidRDefault="000C7AAB" w:rsidP="000C7AAB">
      <w:r>
        <w:t>For all Tariff R and Tariff C, CE also ma</w:t>
      </w:r>
      <w:r w:rsidR="000B7B2A">
        <w:t>d</w:t>
      </w:r>
      <w:r>
        <w:t>e a post-model adjustment, based on AGN's intention to remove all zero-consuming meters</w:t>
      </w:r>
      <w:r>
        <w:rPr>
          <w:rStyle w:val="FootnoteReference"/>
        </w:rPr>
        <w:footnoteReference w:id="13"/>
      </w:r>
      <w:r>
        <w:t xml:space="preserve"> from the network over a two year period, beginning 1 January 2017 to 31 December 2018. </w:t>
      </w:r>
    </w:p>
    <w:p w:rsidR="000C7AAB" w:rsidRPr="000C7AAB" w:rsidRDefault="000C7AAB" w:rsidP="000C7AAB">
      <w:pPr>
        <w:pStyle w:val="Heading4"/>
      </w:pPr>
      <w:r>
        <w:t xml:space="preserve">Forecasting Tariff R and C consumption per connection </w:t>
      </w:r>
    </w:p>
    <w:p w:rsidR="000C7AAB" w:rsidRDefault="000C7AAB" w:rsidP="000C7AAB">
      <w:r>
        <w:t xml:space="preserve">The influence of weather conditions on Tariff R and Tariff C historical consumption per connection data (2008 to 2015) </w:t>
      </w:r>
      <w:r w:rsidR="000B7B2A">
        <w:t>wa</w:t>
      </w:r>
      <w:r>
        <w:t xml:space="preserve">s removed through a weather normalisation process. Further, the historical impact of own and cross price elasticity effects </w:t>
      </w:r>
      <w:r w:rsidR="000B7B2A">
        <w:t xml:space="preserve">were </w:t>
      </w:r>
      <w:r>
        <w:t>removed to avoid accounting for expected future changes twice when determining the impact of a forward price path on gas demand.</w:t>
      </w:r>
      <w:r>
        <w:rPr>
          <w:rStyle w:val="FootnoteReference"/>
        </w:rPr>
        <w:footnoteReference w:id="14"/>
      </w:r>
      <w:r>
        <w:t xml:space="preserve"> For each zone, CE then analyse</w:t>
      </w:r>
      <w:r w:rsidR="000B7B2A">
        <w:t>d</w:t>
      </w:r>
      <w:r>
        <w:t xml:space="preserve"> the drivers of growth in historical consumption per connection to determine whether this trend is likely to change over the forecast period. It then identifie</w:t>
      </w:r>
      <w:r w:rsidR="000B7B2A">
        <w:t>d</w:t>
      </w:r>
      <w:r>
        <w:t xml:space="preserve"> any adjustments required in forecast consumption per connection by examining whether a statistical relationship exists with key variables (such as government policy, efficient trends, appliance switching, and energy price movements).</w:t>
      </w:r>
      <w:r>
        <w:rPr>
          <w:rStyle w:val="FootnoteReference"/>
        </w:rPr>
        <w:footnoteReference w:id="15"/>
      </w:r>
    </w:p>
    <w:p w:rsidR="000C7AAB" w:rsidRPr="000C7AAB" w:rsidRDefault="000C7AAB" w:rsidP="000C7AAB">
      <w:pPr>
        <w:pStyle w:val="Heading4"/>
      </w:pPr>
      <w:r>
        <w:t xml:space="preserve">Forecasting Tariff D </w:t>
      </w:r>
    </w:p>
    <w:p w:rsidR="000C7AAB" w:rsidRDefault="000C7AAB" w:rsidP="000C7AAB">
      <w:r>
        <w:t>For this customer group, CE has forecast annual consumption volumes/demand (TJ) and capacity (GJ MHQ). Typically, however, Tariff D customers are charged on a capacity basis, according to a rolling 12 month MHQ.</w:t>
      </w:r>
      <w:r>
        <w:rPr>
          <w:rStyle w:val="FootnoteReference"/>
        </w:rPr>
        <w:footnoteReference w:id="16"/>
      </w:r>
      <w:r>
        <w:t xml:space="preserve"> </w:t>
      </w:r>
    </w:p>
    <w:p w:rsidR="000C7AAB" w:rsidRDefault="000C7AAB" w:rsidP="000C7AAB">
      <w:r>
        <w:t>CE categorised industrial customers into three distinct categories; namely, surveyed customers,</w:t>
      </w:r>
      <w:r>
        <w:rPr>
          <w:rStyle w:val="FootnoteReference"/>
        </w:rPr>
        <w:footnoteReference w:id="17"/>
      </w:r>
      <w:r>
        <w:t xml:space="preserve"> customers whose historical consumption had a significant relationship with gross value add (GVA) and trend customers, </w:t>
      </w:r>
      <w:r w:rsidR="00906C0B">
        <w:t xml:space="preserve">which are </w:t>
      </w:r>
      <w:r>
        <w:t xml:space="preserve">those customers who do not fall into the other categories such that the forecast is based on historical trends. </w:t>
      </w:r>
    </w:p>
    <w:p w:rsidR="000C7AAB" w:rsidRDefault="000C7AAB" w:rsidP="000C7AAB">
      <w:r>
        <w:t xml:space="preserve">CE forecast Tariff D demand by firstly reviewing the historical consumption levels for each individual industrial user. If survey results from users were available, CE used this information to inform it to forecast demand over the access arrangement period. For those Tariff D customers that belong to a particular segment (per </w:t>
      </w:r>
      <w:r w:rsidR="00AA114B" w:rsidRPr="00AA114B">
        <w:t xml:space="preserve">the Australian and New Zealand Standard Industrial Classification </w:t>
      </w:r>
      <w:r w:rsidR="00AA114B">
        <w:t>(</w:t>
      </w:r>
      <w:r>
        <w:t>ANZIC</w:t>
      </w:r>
      <w:r w:rsidR="00AA114B">
        <w:t>)</w:t>
      </w:r>
      <w:r>
        <w:t xml:space="preserve"> classification) but for whom survey results were not available, CE established a relationship between changes in these customers' Tariff D demand GVA to forecast demand. For the remaining customers, their forecast demand was based on the historical trend.</w:t>
      </w:r>
      <w:r w:rsidRPr="00D4425F">
        <w:rPr>
          <w:rStyle w:val="FootnoteReference"/>
        </w:rPr>
        <w:t xml:space="preserve"> </w:t>
      </w:r>
      <w:r>
        <w:rPr>
          <w:rStyle w:val="FootnoteReference"/>
        </w:rPr>
        <w:footnoteReference w:id="18"/>
      </w:r>
    </w:p>
    <w:p w:rsidR="000C7AAB" w:rsidRDefault="000C7AAB" w:rsidP="000C7AAB">
      <w:pPr>
        <w:pStyle w:val="Heading2"/>
      </w:pPr>
      <w:bookmarkStart w:id="80" w:name="_Toc481598573"/>
      <w:bookmarkStart w:id="81" w:name="_Toc486834975"/>
      <w:r>
        <w:t>AER Assessment approach</w:t>
      </w:r>
      <w:bookmarkEnd w:id="80"/>
      <w:bookmarkEnd w:id="81"/>
    </w:p>
    <w:p w:rsidR="000C7AAB" w:rsidRDefault="000C7AAB" w:rsidP="000C7AAB">
      <w:r w:rsidRPr="00C62F73">
        <w:t xml:space="preserve">The NGR require </w:t>
      </w:r>
      <w:r>
        <w:t>that access arrangement</w:t>
      </w:r>
      <w:r w:rsidRPr="00C62F73">
        <w:t xml:space="preserve"> info</w:t>
      </w:r>
      <w:r>
        <w:t xml:space="preserve">rmation </w:t>
      </w:r>
      <w:r w:rsidR="00906C0B">
        <w:t xml:space="preserve">for a full access arrangement proposal </w:t>
      </w:r>
      <w:r w:rsidRPr="00C62F73">
        <w:t xml:space="preserve">for a </w:t>
      </w:r>
      <w:r>
        <w:t xml:space="preserve">distribution pipeline </w:t>
      </w:r>
      <w:r w:rsidR="00906C0B">
        <w:t xml:space="preserve">must </w:t>
      </w:r>
      <w:r>
        <w:t xml:space="preserve">include </w:t>
      </w:r>
      <w:r w:rsidRPr="00C62F73">
        <w:t xml:space="preserve">usage of the pipeline over the earlier </w:t>
      </w:r>
      <w:r>
        <w:t>access arrangement</w:t>
      </w:r>
      <w:r w:rsidRPr="00C62F73">
        <w:t xml:space="preserve"> period showing</w:t>
      </w:r>
      <w:r>
        <w:t>:</w:t>
      </w:r>
      <w:r w:rsidRPr="00C62F73">
        <w:t xml:space="preserve"> </w:t>
      </w:r>
    </w:p>
    <w:p w:rsidR="000C7AAB" w:rsidRPr="005B5EB4" w:rsidRDefault="000C7AAB" w:rsidP="000C7AAB">
      <w:pPr>
        <w:pStyle w:val="AERbulletlistfirststyle"/>
      </w:pPr>
      <w:r w:rsidRPr="00C62F73">
        <w:t xml:space="preserve">minimum, maximum and average demand for each receipt and delivery point; and </w:t>
      </w:r>
      <w:r w:rsidR="00906C0B">
        <w:t xml:space="preserve">customer numbers in total and by tariff class </w:t>
      </w:r>
      <w:r w:rsidRPr="00C62F73">
        <w:t>for each receipt or delivery point</w:t>
      </w:r>
      <w:r>
        <w:t>.</w:t>
      </w:r>
      <w:r w:rsidRPr="005B5EB4">
        <w:rPr>
          <w:rStyle w:val="FootnoteReference"/>
        </w:rPr>
        <w:footnoteReference w:id="19"/>
      </w:r>
    </w:p>
    <w:p w:rsidR="000C7AAB" w:rsidRPr="005B5EB4" w:rsidRDefault="000C7AAB" w:rsidP="000C7AAB">
      <w:pPr>
        <w:pStyle w:val="AERbulletlistfirststyle"/>
      </w:pPr>
      <w:r w:rsidRPr="00C62F73">
        <w:t xml:space="preserve">to the extent that it is practicable to forecast pipeline capacity and utilisation of pipeline capacity over the </w:t>
      </w:r>
      <w:r>
        <w:t>access arrangement</w:t>
      </w:r>
      <w:r w:rsidRPr="00C62F73">
        <w:t xml:space="preserve"> period, a forecast of pipeline capacity and utilisation of pipeline capacity over that period and the basis on which the forecast has been derived.</w:t>
      </w:r>
      <w:r w:rsidRPr="005B5EB4">
        <w:rPr>
          <w:rStyle w:val="FootnoteReference"/>
        </w:rPr>
        <w:footnoteReference w:id="20"/>
      </w:r>
    </w:p>
    <w:p w:rsidR="000C7AAB" w:rsidRPr="00C62F73" w:rsidRDefault="000C7AAB" w:rsidP="000C7AAB">
      <w:r w:rsidRPr="00C62F73">
        <w:t>The NGR also require that forecasts and estimates:</w:t>
      </w:r>
      <w:r>
        <w:rPr>
          <w:rStyle w:val="FootnoteReference"/>
        </w:rPr>
        <w:footnoteReference w:id="21"/>
      </w:r>
    </w:p>
    <w:p w:rsidR="000C7AAB" w:rsidRPr="005B5EB4" w:rsidRDefault="000C7AAB" w:rsidP="000C7AAB">
      <w:pPr>
        <w:pStyle w:val="AERbulletlistfirststyle"/>
      </w:pPr>
      <w:r w:rsidRPr="00C62F73">
        <w:t>are arrived at on a reasonable basis; and</w:t>
      </w:r>
    </w:p>
    <w:p w:rsidR="000C7AAB" w:rsidRPr="005B5EB4" w:rsidRDefault="000C7AAB" w:rsidP="000C7AAB">
      <w:pPr>
        <w:pStyle w:val="AERbulletlistfirststyle"/>
      </w:pPr>
      <w:r w:rsidRPr="00C62F73">
        <w:t>represent the best forecast or estimate possible in the circumstances.</w:t>
      </w:r>
    </w:p>
    <w:p w:rsidR="000C7AAB" w:rsidRPr="00C62F73" w:rsidRDefault="000C7AAB" w:rsidP="000C7AAB">
      <w:r w:rsidRPr="00C62F73">
        <w:t>We consider that there are two important considerations in assessing whether demand fo</w:t>
      </w:r>
      <w:bookmarkStart w:id="82" w:name="_GoBack"/>
      <w:bookmarkEnd w:id="82"/>
      <w:r w:rsidRPr="00C62F73">
        <w:t>recasts are arrived at on a reasonable basis and whether they represent the best forecasts possible in the circumstances.</w:t>
      </w:r>
      <w:r>
        <w:rPr>
          <w:rStyle w:val="FootnoteReference"/>
        </w:rPr>
        <w:footnoteReference w:id="22"/>
      </w:r>
      <w:r w:rsidRPr="00C62F73">
        <w:t xml:space="preserve"> These are:</w:t>
      </w:r>
    </w:p>
    <w:p w:rsidR="000C7AAB" w:rsidRPr="005B5EB4" w:rsidRDefault="000C7AAB" w:rsidP="000C7AAB">
      <w:pPr>
        <w:pStyle w:val="AERbulletlistfirststyle"/>
      </w:pPr>
      <w:r w:rsidRPr="00C62F73">
        <w:t xml:space="preserve">the appropriateness of the forecast methodology – this involves consideration of how the demand forecast has been developed; and </w:t>
      </w:r>
    </w:p>
    <w:p w:rsidR="000C7AAB" w:rsidRPr="005B5EB4" w:rsidRDefault="000C7AAB" w:rsidP="000C7AAB">
      <w:pPr>
        <w:pStyle w:val="AERbulletlistfirststyle"/>
      </w:pPr>
      <w:r w:rsidRPr="00C62F73">
        <w:t xml:space="preserve">whether or not relevant factors have been taken into account in developing demand forecasts. </w:t>
      </w:r>
    </w:p>
    <w:p w:rsidR="000C7AAB" w:rsidRPr="00C62F73" w:rsidRDefault="000C7AAB" w:rsidP="000C7AAB">
      <w:r>
        <w:t>To determine whether AGN</w:t>
      </w:r>
      <w:r w:rsidRPr="00C62F73">
        <w:t xml:space="preserve">’s proposed demand forecasts are arrived at on a reasonable basis and are the best possible forecasts in the circumstances, we </w:t>
      </w:r>
      <w:r>
        <w:t xml:space="preserve">have </w:t>
      </w:r>
      <w:r w:rsidRPr="00C62F73">
        <w:t>reviewed:</w:t>
      </w:r>
    </w:p>
    <w:p w:rsidR="000C7AAB" w:rsidRPr="005B5EB4" w:rsidRDefault="000C7AAB" w:rsidP="000C7AAB">
      <w:pPr>
        <w:pStyle w:val="AERbulletlistfirststyle"/>
      </w:pPr>
      <w:r w:rsidRPr="00C62F73">
        <w:t xml:space="preserve">information provided by </w:t>
      </w:r>
      <w:r>
        <w:t>AGN as part of its proposed access arrangement</w:t>
      </w:r>
    </w:p>
    <w:p w:rsidR="000C7AAB" w:rsidRDefault="000C7AAB" w:rsidP="000C7AAB">
      <w:pPr>
        <w:pStyle w:val="AERbulletlistfirststyle"/>
      </w:pPr>
      <w:r w:rsidRPr="00C62F73">
        <w:t>the data inputs used to implement the forecasting methodology.</w:t>
      </w:r>
    </w:p>
    <w:p w:rsidR="000C7AAB" w:rsidRDefault="000C7AAB" w:rsidP="000C7AAB">
      <w:pPr>
        <w:pStyle w:val="AERbulletlistfirststyle"/>
      </w:pPr>
      <w:r>
        <w:t>Core Energy</w:t>
      </w:r>
      <w:r w:rsidR="00537890">
        <w:t>’s</w:t>
      </w:r>
      <w:r>
        <w:t xml:space="preserve"> demand model and its report on AGN's demand forecasts</w:t>
      </w:r>
    </w:p>
    <w:p w:rsidR="000C7AAB" w:rsidRDefault="00537890" w:rsidP="000C7AAB">
      <w:pPr>
        <w:pStyle w:val="AERbulletlistfirststyle"/>
      </w:pPr>
      <w:r>
        <w:t xml:space="preserve">AGN’s </w:t>
      </w:r>
      <w:r w:rsidR="000C7AAB">
        <w:t>Access arrangement information</w:t>
      </w:r>
    </w:p>
    <w:p w:rsidR="000C7AAB" w:rsidRPr="005B5EB4" w:rsidRDefault="000C7AAB" w:rsidP="000C7AAB">
      <w:pPr>
        <w:pStyle w:val="AERbulletlistfirststyle"/>
      </w:pPr>
      <w:r>
        <w:t>AGN</w:t>
      </w:r>
      <w:r w:rsidR="00537890">
        <w:t>’s</w:t>
      </w:r>
      <w:r>
        <w:t xml:space="preserve"> responses to the regulatory information notice (RIN).</w:t>
      </w:r>
      <w:r w:rsidR="00723D4C">
        <w:rPr>
          <w:rStyle w:val="FootnoteReference"/>
        </w:rPr>
        <w:footnoteReference w:id="23"/>
      </w:r>
    </w:p>
    <w:p w:rsidR="000C7AAB" w:rsidRPr="00C62F73" w:rsidRDefault="000C7AAB" w:rsidP="000C7AAB">
      <w:r w:rsidRPr="00C62F73">
        <w:t>In making our draft decision, we had regard to:</w:t>
      </w:r>
    </w:p>
    <w:p w:rsidR="000C7AAB" w:rsidRDefault="000C7AAB" w:rsidP="000C7AAB">
      <w:pPr>
        <w:pStyle w:val="AERbulletlistfirststyle"/>
      </w:pPr>
      <w:r w:rsidRPr="00C62F73">
        <w:t xml:space="preserve">information provided by </w:t>
      </w:r>
      <w:r>
        <w:t>AGN</w:t>
      </w:r>
      <w:r w:rsidRPr="00C62F73">
        <w:t xml:space="preserve"> as part of its proposed </w:t>
      </w:r>
      <w:r>
        <w:t>access arrangement</w:t>
      </w:r>
      <w:r w:rsidRPr="00C62F73">
        <w:t xml:space="preserve">;  </w:t>
      </w:r>
    </w:p>
    <w:p w:rsidR="000C7AAB" w:rsidRPr="005B5EB4" w:rsidRDefault="000C7AAB" w:rsidP="000C7AAB">
      <w:pPr>
        <w:pStyle w:val="AERbulletlistfirststyle"/>
      </w:pPr>
      <w:r w:rsidRPr="00207671">
        <w:t>alternative methodologies for forecasting demand, while being cognisant of the idiosyncratic features of a given methodology compared t</w:t>
      </w:r>
      <w:r>
        <w:t>o other possible alternatives;</w:t>
      </w:r>
      <w:r w:rsidR="00D829ED">
        <w:rPr>
          <w:rStyle w:val="FootnoteReference"/>
        </w:rPr>
        <w:footnoteReference w:id="24"/>
      </w:r>
    </w:p>
    <w:p w:rsidR="000C7AAB" w:rsidRPr="005B5EB4" w:rsidRDefault="000C7AAB" w:rsidP="000C7AAB">
      <w:pPr>
        <w:pStyle w:val="AERbulletlistfirststyle"/>
      </w:pPr>
      <w:r w:rsidRPr="00C62F73">
        <w:t>advice</w:t>
      </w:r>
      <w:r w:rsidRPr="005B5EB4">
        <w:t xml:space="preserve"> from</w:t>
      </w:r>
      <w:r>
        <w:t xml:space="preserve"> ACIL Allen, who </w:t>
      </w:r>
      <w:r w:rsidRPr="005B5EB4">
        <w:t>reviewed A</w:t>
      </w:r>
      <w:r>
        <w:t>GN</w:t>
      </w:r>
      <w:r w:rsidRPr="005B5EB4">
        <w:t>’s demand forecasts</w:t>
      </w:r>
      <w:r>
        <w:t xml:space="preserve"> and provided independent advice on CE's methodology and assumptions</w:t>
      </w:r>
      <w:r w:rsidRPr="005B5EB4">
        <w:t>; and</w:t>
      </w:r>
    </w:p>
    <w:p w:rsidR="000C7AAB" w:rsidRDefault="000C7AAB" w:rsidP="000C7AAB">
      <w:pPr>
        <w:pStyle w:val="AERbulletlistfirststyle"/>
      </w:pPr>
      <w:r w:rsidRPr="00C62F73">
        <w:t xml:space="preserve">additional information provided by </w:t>
      </w:r>
      <w:r>
        <w:t>AGN</w:t>
      </w:r>
      <w:r w:rsidRPr="00C62F73">
        <w:t xml:space="preserve"> in response to our information requests.</w:t>
      </w:r>
    </w:p>
    <w:p w:rsidR="000C7AAB" w:rsidRDefault="000C7AAB" w:rsidP="000C7AAB">
      <w:pPr>
        <w:pStyle w:val="AERbulletlistfirststyle"/>
      </w:pPr>
      <w:r>
        <w:t>public submissions during the consultation process.</w:t>
      </w:r>
    </w:p>
    <w:p w:rsidR="000C7AAB" w:rsidRDefault="000C7AAB" w:rsidP="00570558">
      <w:pPr>
        <w:pStyle w:val="Heading3"/>
        <w:ind w:left="720"/>
      </w:pPr>
      <w:bookmarkStart w:id="83" w:name="_Toc481598574"/>
      <w:bookmarkStart w:id="84" w:name="_Toc486834976"/>
      <w:r>
        <w:t>Interrelationships</w:t>
      </w:r>
      <w:bookmarkEnd w:id="83"/>
      <w:bookmarkEnd w:id="84"/>
    </w:p>
    <w:p w:rsidR="000C7AAB" w:rsidRPr="00A15B61" w:rsidRDefault="000C7AAB" w:rsidP="000C7AAB">
      <w:r w:rsidRPr="00A15B61">
        <w:t xml:space="preserve">We have considered the relevant interrelationships between different components of AGN's </w:t>
      </w:r>
      <w:r>
        <w:t>access arrangement</w:t>
      </w:r>
      <w:r w:rsidRPr="00A15B61">
        <w:t xml:space="preserve"> as part of our analysis. </w:t>
      </w:r>
    </w:p>
    <w:p w:rsidR="000C7AAB" w:rsidRPr="00A15B61" w:rsidRDefault="000C7AAB" w:rsidP="000C7AAB">
      <w:r w:rsidRPr="00A15B61">
        <w:t xml:space="preserve">This includes the effect of forecast demand on the amount of </w:t>
      </w:r>
      <w:r>
        <w:t xml:space="preserve">conforming </w:t>
      </w:r>
      <w:r w:rsidRPr="00A15B61">
        <w:t>capex</w:t>
      </w:r>
      <w:r>
        <w:t>, efficient and prudent opex,</w:t>
      </w:r>
      <w:r w:rsidRPr="00A15B61">
        <w:t xml:space="preserve"> and tariffs in the </w:t>
      </w:r>
      <w:r>
        <w:t>2018–22 access arrangement</w:t>
      </w:r>
      <w:r w:rsidRPr="00A15B61">
        <w:t xml:space="preserve"> period. In particular, the demand forecasts: </w:t>
      </w:r>
    </w:p>
    <w:p w:rsidR="000C7AAB" w:rsidRPr="00A15B61" w:rsidRDefault="000C7AAB" w:rsidP="000C7AAB">
      <w:pPr>
        <w:pStyle w:val="AERbulletlistfirststyle"/>
      </w:pPr>
      <w:r w:rsidRPr="00A15B61">
        <w:t xml:space="preserve">impact approved tariff V connections capex, given the number of new connections affects the amount of approved connections capex </w:t>
      </w:r>
    </w:p>
    <w:p w:rsidR="000C7AAB" w:rsidRPr="00A15B61" w:rsidRDefault="000C7AAB" w:rsidP="000C7AAB">
      <w:pPr>
        <w:pStyle w:val="AERbulletlistfirststyle"/>
      </w:pPr>
      <w:r w:rsidRPr="00A15B61">
        <w:t xml:space="preserve">impact approved opex, given the forecast total connections numbers and total consumption (output growth) is used in deriving the additional opex required to service the larger network </w:t>
      </w:r>
    </w:p>
    <w:p w:rsidR="000C7AAB" w:rsidRDefault="000C7AAB" w:rsidP="000C7AAB">
      <w:pPr>
        <w:pStyle w:val="AERbulletlistfirststyle"/>
      </w:pPr>
      <w:proofErr w:type="gramStart"/>
      <w:r w:rsidRPr="00A15B61">
        <w:t>impact</w:t>
      </w:r>
      <w:proofErr w:type="gramEnd"/>
      <w:r w:rsidRPr="00A15B61">
        <w:t xml:space="preserve"> tariffs, given they depend on forecast consumption (demand) per connection. In simple terms, tariffs are determined by cost divided by quantity (where quantity is measured by demand</w:t>
      </w:r>
      <w:r>
        <w:t xml:space="preserve"> </w:t>
      </w:r>
      <w:r w:rsidRPr="00A15B61">
        <w:t xml:space="preserve">per connection). This means that an increase in forecast quantity has the effect of reducing the tariff </w:t>
      </w:r>
    </w:p>
    <w:p w:rsidR="000C7AAB" w:rsidRDefault="000C7AAB" w:rsidP="000C7AAB">
      <w:pPr>
        <w:pStyle w:val="AERbulletlistfirststyle"/>
      </w:pPr>
      <w:r>
        <w:t>are impacted by AGN’s proposed marketing program.</w:t>
      </w:r>
    </w:p>
    <w:p w:rsidR="000C7AAB" w:rsidRDefault="000C7AAB" w:rsidP="000C7AAB">
      <w:pPr>
        <w:pStyle w:val="Heading2"/>
      </w:pPr>
      <w:bookmarkStart w:id="85" w:name="_Ref481501253"/>
      <w:bookmarkStart w:id="86" w:name="_Toc481598575"/>
      <w:bookmarkStart w:id="87" w:name="_Toc486834977"/>
      <w:r>
        <w:t>Reasons for draft decision</w:t>
      </w:r>
      <w:bookmarkEnd w:id="85"/>
      <w:bookmarkEnd w:id="86"/>
      <w:bookmarkEnd w:id="87"/>
    </w:p>
    <w:p w:rsidR="000C7AAB" w:rsidRDefault="000C7AAB" w:rsidP="000C7AAB">
      <w:r>
        <w:t>We are satisfied that AGN's forecasting methodology and the assumptions applied for calculating demand are arrived at on a reasonable basis. As such we consider that AGN's demand forecasts represent the best estimate possible in the circumstance.</w:t>
      </w:r>
      <w:r>
        <w:rPr>
          <w:rStyle w:val="FootnoteReference"/>
        </w:rPr>
        <w:footnoteReference w:id="25"/>
      </w:r>
      <w:r>
        <w:t xml:space="preserve"> </w:t>
      </w:r>
    </w:p>
    <w:p w:rsidR="000C7AAB" w:rsidRDefault="000C7AAB" w:rsidP="000C7AAB">
      <w:r>
        <w:t>Similarly, the AER's Consumer Challenge Panel (CCP11) indicated they are satisfied with AGN's demand forecast, as the forecasts were consistent with the feedback that AGN received in during its stakeholder engagement process.</w:t>
      </w:r>
      <w:r>
        <w:rPr>
          <w:rStyle w:val="FootnoteReference"/>
        </w:rPr>
        <w:footnoteReference w:id="26"/>
      </w:r>
      <w:r>
        <w:t xml:space="preserve"> The reasons for our decision are discussed below.</w:t>
      </w:r>
    </w:p>
    <w:p w:rsidR="000C7AAB" w:rsidRDefault="000C7AAB" w:rsidP="00570558">
      <w:pPr>
        <w:pStyle w:val="Heading3"/>
        <w:ind w:left="720"/>
      </w:pPr>
      <w:bookmarkStart w:id="88" w:name="_Toc481598576"/>
      <w:bookmarkStart w:id="89" w:name="_Toc486834978"/>
      <w:r>
        <w:t>Minimum, maximum and average demand</w:t>
      </w:r>
      <w:bookmarkEnd w:id="88"/>
      <w:bookmarkEnd w:id="89"/>
    </w:p>
    <w:p w:rsidR="000C7AAB" w:rsidRPr="00E0556A" w:rsidRDefault="000C7AAB" w:rsidP="000C7AAB">
      <w:r>
        <w:t>Under the NGR, AGN's access arrangement must include minimum, maximum and average demand for the earlier access arrangement period.</w:t>
      </w:r>
      <w:r>
        <w:rPr>
          <w:rStyle w:val="FootnoteReference"/>
        </w:rPr>
        <w:footnoteReference w:id="27"/>
      </w:r>
      <w:r>
        <w:t xml:space="preserve"> AGN's access arrangement information </w:t>
      </w:r>
      <w:proofErr w:type="gramStart"/>
      <w:r w:rsidR="0019628B">
        <w:t xml:space="preserve">response to our </w:t>
      </w:r>
      <w:r>
        <w:t>RIN satisf</w:t>
      </w:r>
      <w:r w:rsidR="00873437">
        <w:t>y</w:t>
      </w:r>
      <w:proofErr w:type="gramEnd"/>
      <w:r>
        <w:t xml:space="preserve"> these requirements.</w:t>
      </w:r>
      <w:r>
        <w:rPr>
          <w:rStyle w:val="FootnoteReference"/>
        </w:rPr>
        <w:footnoteReference w:id="28"/>
      </w:r>
    </w:p>
    <w:p w:rsidR="000C7AAB" w:rsidRPr="00E0556A" w:rsidRDefault="000C7AAB" w:rsidP="00570558">
      <w:pPr>
        <w:pStyle w:val="Heading3"/>
        <w:ind w:left="720"/>
      </w:pPr>
      <w:bookmarkStart w:id="90" w:name="_Toc481598577"/>
      <w:bookmarkStart w:id="91" w:name="_Toc486834979"/>
      <w:r w:rsidRPr="00E0556A">
        <w:t>Forecast pipeline capacity and utilisation</w:t>
      </w:r>
      <w:bookmarkEnd w:id="90"/>
      <w:bookmarkEnd w:id="91"/>
    </w:p>
    <w:p w:rsidR="000C7AAB" w:rsidRDefault="000C7AAB" w:rsidP="000C7AAB">
      <w:pPr>
        <w:rPr>
          <w:rStyle w:val="AERbody"/>
        </w:rPr>
      </w:pPr>
      <w:r w:rsidRPr="00285396">
        <w:rPr>
          <w:rStyle w:val="AERbody"/>
        </w:rPr>
        <w:t xml:space="preserve">The NGR require that to the extent practicable, the </w:t>
      </w:r>
      <w:r>
        <w:rPr>
          <w:rStyle w:val="AERbody"/>
        </w:rPr>
        <w:t>access arrangement</w:t>
      </w:r>
      <w:r w:rsidRPr="00285396">
        <w:rPr>
          <w:rStyle w:val="AERbody"/>
        </w:rPr>
        <w:t xml:space="preserve"> information should include forecast pi</w:t>
      </w:r>
      <w:r>
        <w:rPr>
          <w:rStyle w:val="AERbody"/>
        </w:rPr>
        <w:t xml:space="preserve">peline capacity and utilisation </w:t>
      </w:r>
      <w:r w:rsidRPr="00285396">
        <w:rPr>
          <w:rStyle w:val="AERbody"/>
        </w:rPr>
        <w:t>of pipeline capacity over</w:t>
      </w:r>
      <w:r w:rsidRPr="00FF7F27">
        <w:rPr>
          <w:rStyle w:val="AERbody"/>
        </w:rPr>
        <w:t xml:space="preserve"> the </w:t>
      </w:r>
      <w:r>
        <w:rPr>
          <w:rStyle w:val="AERbody"/>
        </w:rPr>
        <w:t>access arrangement</w:t>
      </w:r>
      <w:r w:rsidRPr="00FF7F27">
        <w:rPr>
          <w:rStyle w:val="AERbody"/>
        </w:rPr>
        <w:t xml:space="preserve"> period.</w:t>
      </w:r>
      <w:r w:rsidR="00D829ED">
        <w:rPr>
          <w:rStyle w:val="FootnoteReference"/>
        </w:rPr>
        <w:footnoteReference w:id="29"/>
      </w:r>
      <w:r w:rsidRPr="00FF7F27">
        <w:rPr>
          <w:rStyle w:val="AERbody"/>
        </w:rPr>
        <w:t xml:space="preserve"> </w:t>
      </w:r>
    </w:p>
    <w:p w:rsidR="000C7AAB" w:rsidRPr="00342AB1" w:rsidRDefault="000C7AAB" w:rsidP="000C7AAB">
      <w:r w:rsidRPr="00FF7F27">
        <w:rPr>
          <w:rStyle w:val="AERbody"/>
        </w:rPr>
        <w:t xml:space="preserve">AGN did not provide </w:t>
      </w:r>
      <w:r w:rsidR="0019628B">
        <w:rPr>
          <w:rStyle w:val="AERbody"/>
        </w:rPr>
        <w:t xml:space="preserve">this </w:t>
      </w:r>
      <w:r w:rsidRPr="00FF7F27">
        <w:rPr>
          <w:rStyle w:val="AERbody"/>
        </w:rPr>
        <w:t xml:space="preserve">information in </w:t>
      </w:r>
      <w:r>
        <w:rPr>
          <w:rStyle w:val="AERbody"/>
        </w:rPr>
        <w:t>its</w:t>
      </w:r>
      <w:r w:rsidRPr="00FF7F27">
        <w:rPr>
          <w:rStyle w:val="AERbody"/>
        </w:rPr>
        <w:t xml:space="preserve"> </w:t>
      </w:r>
      <w:r>
        <w:rPr>
          <w:rStyle w:val="AERbody"/>
        </w:rPr>
        <w:t>access arrangement</w:t>
      </w:r>
      <w:r w:rsidRPr="00FF7F27">
        <w:rPr>
          <w:rStyle w:val="AERbody"/>
        </w:rPr>
        <w:t xml:space="preserve"> information. </w:t>
      </w:r>
      <w:r>
        <w:rPr>
          <w:rStyle w:val="AERbody"/>
        </w:rPr>
        <w:t xml:space="preserve">However, AGN’s </w:t>
      </w:r>
      <w:r w:rsidRPr="00285396">
        <w:t xml:space="preserve">distribution network is a meshed network made up of interconnected pipes, and there are a number of considerations </w:t>
      </w:r>
      <w:r>
        <w:t xml:space="preserve">that mean that calculating forecast capacity and </w:t>
      </w:r>
      <w:r w:rsidRPr="00285396">
        <w:t xml:space="preserve">utilisation is not </w:t>
      </w:r>
      <w:r>
        <w:t>practicable</w:t>
      </w:r>
      <w:r w:rsidRPr="00285396">
        <w:t>.</w:t>
      </w:r>
    </w:p>
    <w:p w:rsidR="000C7AAB" w:rsidRDefault="000C7AAB" w:rsidP="00570558">
      <w:pPr>
        <w:pStyle w:val="Heading3"/>
        <w:ind w:left="720"/>
      </w:pPr>
      <w:bookmarkStart w:id="92" w:name="_Toc481598578"/>
      <w:bookmarkStart w:id="93" w:name="_Toc486834980"/>
      <w:r>
        <w:t>Demand forecasts for Tariff R and C</w:t>
      </w:r>
      <w:bookmarkEnd w:id="93"/>
    </w:p>
    <w:p w:rsidR="000C7AAB" w:rsidRDefault="000C7AAB" w:rsidP="000C7AAB">
      <w:r>
        <w:t>Consistent with ACIL Allen's conclusions, our draft decision is to accept AGN’s forecast of Tariff R and Tariff C. We consider that AGN's forecast</w:t>
      </w:r>
      <w:r w:rsidR="00537890">
        <w:t>s</w:t>
      </w:r>
      <w:r>
        <w:t xml:space="preserve"> of Tariff R and Tariff C consumption per connection and net connection numbers were arrived at on a reasonable basis and represent the best forecasts possible in the circumstances.</w:t>
      </w:r>
      <w:r>
        <w:rPr>
          <w:rStyle w:val="FootnoteReference"/>
        </w:rPr>
        <w:footnoteReference w:id="30"/>
      </w:r>
      <w:r>
        <w:t xml:space="preserve"> </w:t>
      </w:r>
      <w:r w:rsidRPr="00EC3A7F">
        <w:t xml:space="preserve">Similarly, the </w:t>
      </w:r>
      <w:r>
        <w:t>CCP11</w:t>
      </w:r>
      <w:r w:rsidRPr="00EC3A7F">
        <w:t xml:space="preserve"> indicated they are satisfied with AGN's demand forecast</w:t>
      </w:r>
      <w:r>
        <w:t>.</w:t>
      </w:r>
    </w:p>
    <w:p w:rsidR="000C7AAB" w:rsidRDefault="000C7AAB" w:rsidP="000C7AAB">
      <w:r>
        <w:t xml:space="preserve">Notably, AGN's forecasts differ slightly to that of CE's, which do not account for any anticipated impacts of AGN's proposed marketing program. Attachment 7 discusses our draft decision on AGN’s proposed marketing program. AGN’s forecasts are adjusted to take account of the impact of this marketing program, which results in incremental increases of 293 new connections and loads of 0.3PJ over the 2018-22 access arrangement </w:t>
      </w:r>
      <w:proofErr w:type="gramStart"/>
      <w:r>
        <w:t>period</w:t>
      </w:r>
      <w:proofErr w:type="gramEnd"/>
      <w:r>
        <w:t>.</w:t>
      </w:r>
      <w:r>
        <w:rPr>
          <w:rStyle w:val="FootnoteReference"/>
        </w:rPr>
        <w:footnoteReference w:id="31"/>
      </w:r>
      <w:r>
        <w:t xml:space="preserve"> This adjustment appears reasonable to us.</w:t>
      </w:r>
    </w:p>
    <w:p w:rsidR="000C7AAB" w:rsidRDefault="000C7AAB" w:rsidP="000C7AAB">
      <w:r>
        <w:t xml:space="preserve">Thus, for this draft decision we accept AGN's forecasts for Tariff R and Tariff C consumption per connection, net connection numbers and total demand forecasts for the 2018–22 </w:t>
      </w:r>
      <w:r>
        <w:rPr>
          <w:rStyle w:val="AERbody"/>
        </w:rPr>
        <w:t>access arrangement</w:t>
      </w:r>
      <w:r w:rsidRPr="00FF7F27">
        <w:rPr>
          <w:rStyle w:val="AERbody"/>
        </w:rPr>
        <w:t xml:space="preserve"> </w:t>
      </w:r>
      <w:r>
        <w:t xml:space="preserve">period. We note that the HIA forecasts were updated in March 2017, and </w:t>
      </w:r>
      <w:r w:rsidR="00C51188">
        <w:t xml:space="preserve">expect </w:t>
      </w:r>
      <w:r>
        <w:t>AGN</w:t>
      </w:r>
      <w:r w:rsidR="00C51188">
        <w:t>, in its revised proposal,</w:t>
      </w:r>
      <w:r>
        <w:t xml:space="preserve"> to revise </w:t>
      </w:r>
      <w:r w:rsidR="00C51188">
        <w:t xml:space="preserve">its </w:t>
      </w:r>
      <w:r>
        <w:t xml:space="preserve">forecasts for Tariff R net connections accordingly. </w:t>
      </w:r>
    </w:p>
    <w:p w:rsidR="000C7AAB" w:rsidRPr="000C7AAB" w:rsidRDefault="000C7AAB" w:rsidP="000C7AAB">
      <w:pPr>
        <w:pStyle w:val="Heading4"/>
      </w:pPr>
      <w:r>
        <w:t>Forecast of consumption per connection</w:t>
      </w:r>
      <w:bookmarkEnd w:id="92"/>
    </w:p>
    <w:p w:rsidR="000C7AAB" w:rsidRPr="005C1636" w:rsidRDefault="000C7AAB" w:rsidP="00570558">
      <w:pPr>
        <w:pStyle w:val="HeadingBoldItalic"/>
      </w:pPr>
      <w:r>
        <w:t>Weather normalisation</w:t>
      </w:r>
    </w:p>
    <w:p w:rsidR="000C7AAB" w:rsidRDefault="000C7AAB" w:rsidP="00537890">
      <w:r>
        <w:t>CE applied</w:t>
      </w:r>
      <w:r w:rsidRPr="00DB5A48">
        <w:t xml:space="preserve"> </w:t>
      </w:r>
      <w:r>
        <w:t xml:space="preserve">the Effective Degree Day (EDD) index which estimates a 'normal' weather trend. </w:t>
      </w:r>
      <w:r w:rsidR="00537890">
        <w:t xml:space="preserve"> </w:t>
      </w:r>
      <w:r>
        <w:t>Based on 2008</w:t>
      </w:r>
      <w:r w:rsidR="00537890">
        <w:t>–</w:t>
      </w:r>
      <w:r>
        <w:t xml:space="preserve">2015 historical data </w:t>
      </w:r>
      <w:proofErr w:type="gramStart"/>
      <w:r>
        <w:t>this results</w:t>
      </w:r>
      <w:proofErr w:type="gramEnd"/>
      <w:r>
        <w:t xml:space="preserve"> in a long-term declining rate of –7.8 EDD per year.</w:t>
      </w:r>
      <w:r>
        <w:rPr>
          <w:rStyle w:val="FootnoteReference"/>
        </w:rPr>
        <w:footnoteReference w:id="32"/>
      </w:r>
      <w:r>
        <w:t xml:space="preserve"> </w:t>
      </w:r>
    </w:p>
    <w:p w:rsidR="000C7AAB" w:rsidRDefault="000C7AAB" w:rsidP="000C7AAB">
      <w:r>
        <w:t>In assessing CE's EDD index, ACIL Allen compared it against other recent studies of weather trends in Victoria, including AEMO's weather analysis in the 2016 National Gas Forecasting Report (NGFR).</w:t>
      </w:r>
      <w:r>
        <w:rPr>
          <w:rStyle w:val="FootnoteReference"/>
        </w:rPr>
        <w:footnoteReference w:id="33"/>
      </w:r>
      <w:r>
        <w:t xml:space="preserve"> CE's results are broadly consistent with AEMO's forecast of –6.8 decline in EDD per year for Victoria over the next 20 years.</w:t>
      </w:r>
      <w:r w:rsidRPr="00190538">
        <w:t xml:space="preserve"> </w:t>
      </w:r>
      <w:r>
        <w:t>We agree with ACIL Allen's assessment that CE's weather normalisation methodology is sound and that its application leads to a reasonable estimate of future 'normal' weather.</w:t>
      </w:r>
    </w:p>
    <w:p w:rsidR="000C7AAB" w:rsidRDefault="000C7AAB" w:rsidP="00570558">
      <w:pPr>
        <w:pStyle w:val="HeadingBoldItalic"/>
      </w:pPr>
      <w:r>
        <w:t>Adjustments to the historical and future trend for Tariff R and C</w:t>
      </w:r>
    </w:p>
    <w:p w:rsidR="000C7AAB" w:rsidRDefault="000C7AAB" w:rsidP="000C7AAB">
      <w:r>
        <w:t>CE adjusted the future trend to forecast Tariff R consumption per connection by applying an own price elasticity of –0.3 and a cross price elasticity of 0.1. For Tariff C consumption, it applied an own price elasticity of –0.35. Forecast gas prices were derived using CE's propriet</w:t>
      </w:r>
      <w:r w:rsidR="00537890">
        <w:t>ar</w:t>
      </w:r>
      <w:r>
        <w:t>y model, a methodology which we have accepted in previous determinations.</w:t>
      </w:r>
      <w:r>
        <w:rPr>
          <w:rStyle w:val="FootnoteReference"/>
        </w:rPr>
        <w:footnoteReference w:id="34"/>
      </w:r>
      <w:r>
        <w:t xml:space="preserve"> CE forecasts gas prices to increase during the access arrangement period due to wholesale price increases captures own price elasticity across four lagged periods (years).</w:t>
      </w:r>
      <w:r>
        <w:rPr>
          <w:rStyle w:val="FootnoteReference"/>
        </w:rPr>
        <w:footnoteReference w:id="35"/>
      </w:r>
      <w:r>
        <w:t xml:space="preserve"> Forecast retail electricity prices were based on the Victorian 2016-20 electricity distribution determinations.</w:t>
      </w:r>
      <w:r>
        <w:rPr>
          <w:rStyle w:val="FootnoteReference"/>
        </w:rPr>
        <w:footnoteReference w:id="36"/>
      </w:r>
    </w:p>
    <w:p w:rsidR="000C7AAB" w:rsidRDefault="000C7AAB" w:rsidP="000C7AAB">
      <w:r>
        <w:t>Having regard to ACIL Allen's advice, we are satisfied with CE's assumption that recent activity suggests that gas prices, due to wholesale price increases, are likely to increase over the access arrangement period. We are also satisfied with the elasticity estimates forecast for the access arrangement period, and the resulting effect on Tariff R and C demand.</w:t>
      </w:r>
    </w:p>
    <w:p w:rsidR="000C7AAB" w:rsidRDefault="000C7AAB" w:rsidP="000C7AAB">
      <w:r>
        <w:t xml:space="preserve">CE also found that certain economic variables such as GSP, Gross Household Disposal Income per </w:t>
      </w:r>
      <w:r w:rsidR="0019628B">
        <w:t xml:space="preserve">capita </w:t>
      </w:r>
      <w:r>
        <w:t>and State Final Demand do not establish a reliable or statistically significant relationship to residential consumption per connection. As such, their impact was not included in the forecast. ACIL Allen agreed with this approach.</w:t>
      </w:r>
      <w:r>
        <w:rPr>
          <w:rStyle w:val="FootnoteReference"/>
        </w:rPr>
        <w:footnoteReference w:id="37"/>
      </w:r>
      <w:r>
        <w:t xml:space="preserve"> </w:t>
      </w:r>
    </w:p>
    <w:p w:rsidR="000C7AAB" w:rsidRDefault="000C7AAB" w:rsidP="000C7AAB">
      <w:r>
        <w:t xml:space="preserve">We </w:t>
      </w:r>
      <w:r w:rsidR="00C51188">
        <w:t>accept</w:t>
      </w:r>
      <w:r>
        <w:t xml:space="preserve"> CE's methodology and consider that the derived estimates</w:t>
      </w:r>
      <w:r w:rsidR="00C51188">
        <w:t xml:space="preserve"> are arrived at on a reasonable basis and</w:t>
      </w:r>
      <w:r>
        <w:t xml:space="preserve"> represent the best estimate possible in the circumstances. </w:t>
      </w:r>
    </w:p>
    <w:p w:rsidR="000C7AAB" w:rsidRPr="000C7AAB" w:rsidRDefault="000C7AAB" w:rsidP="000C7AAB">
      <w:pPr>
        <w:pStyle w:val="Heading4"/>
      </w:pPr>
      <w:r>
        <w:t>Forecast of new connection numbers</w:t>
      </w:r>
    </w:p>
    <w:p w:rsidR="000C7AAB" w:rsidRDefault="000C7AAB" w:rsidP="000C7AAB">
      <w:r w:rsidRPr="00BA36D3">
        <w:t>Consistent with ACIL Allen's conclusions, we consider that AGN's forecast of residential and commercial connection</w:t>
      </w:r>
      <w:r>
        <w:t xml:space="preserve"> numbers</w:t>
      </w:r>
      <w:r w:rsidRPr="00BA36D3">
        <w:t xml:space="preserve"> is </w:t>
      </w:r>
      <w:r w:rsidR="00C51188">
        <w:t xml:space="preserve">arrived at on a </w:t>
      </w:r>
      <w:r w:rsidRPr="00BA36D3">
        <w:t>reasonable</w:t>
      </w:r>
      <w:r>
        <w:t xml:space="preserve"> </w:t>
      </w:r>
      <w:r w:rsidR="00C51188">
        <w:t xml:space="preserve">basis </w:t>
      </w:r>
      <w:r>
        <w:t>and represents the best estimate in the circumstance</w:t>
      </w:r>
      <w:r w:rsidR="0019628B">
        <w:t>s</w:t>
      </w:r>
      <w:r>
        <w:t xml:space="preserve">. We found that the methodology used to derive net connection numbers is sound. </w:t>
      </w:r>
    </w:p>
    <w:p w:rsidR="000C7AAB" w:rsidRDefault="000C7AAB" w:rsidP="000C7AAB">
      <w:r>
        <w:t xml:space="preserve">We note that </w:t>
      </w:r>
      <w:r w:rsidRPr="002013A5">
        <w:t>Origin</w:t>
      </w:r>
      <w:r>
        <w:t xml:space="preserve"> Energy </w:t>
      </w:r>
      <w:r w:rsidRPr="002013A5">
        <w:t>support</w:t>
      </w:r>
      <w:r>
        <w:t>s</w:t>
      </w:r>
      <w:r w:rsidRPr="002013A5">
        <w:t xml:space="preserve"> </w:t>
      </w:r>
      <w:r>
        <w:t>AGN’s customer number forecasts.</w:t>
      </w:r>
      <w:r>
        <w:rPr>
          <w:rStyle w:val="FootnoteReference"/>
        </w:rPr>
        <w:footnoteReference w:id="38"/>
      </w:r>
      <w:r>
        <w:t xml:space="preserve">  However, the CCP11 questioned whether AGN has adequately allowed for decreases in penetration rates.</w:t>
      </w:r>
      <w:r>
        <w:rPr>
          <w:rStyle w:val="FootnoteReference"/>
        </w:rPr>
        <w:footnoteReference w:id="39"/>
      </w:r>
      <w:r>
        <w:t xml:space="preserve"> </w:t>
      </w:r>
      <w:r w:rsidR="00C51188">
        <w:t>On further review, we are satisfied that, d</w:t>
      </w:r>
      <w:r>
        <w:t xml:space="preserve">espite CE not explicitly relying on penetration rates in </w:t>
      </w:r>
      <w:r w:rsidR="00C51188">
        <w:t xml:space="preserve">its </w:t>
      </w:r>
      <w:r>
        <w:t>methodology, implicit in the reduction in net connections growth</w:t>
      </w:r>
      <w:r w:rsidR="004043F1">
        <w:t xml:space="preserve"> is a reduction in penetration rates, that being</w:t>
      </w:r>
      <w:r>
        <w:t xml:space="preserve"> 2 per cent per year over the forecast access arrangement period.</w:t>
      </w:r>
      <w:r>
        <w:rPr>
          <w:rStyle w:val="FootnoteReference"/>
        </w:rPr>
        <w:footnoteReference w:id="40"/>
      </w:r>
      <w:r>
        <w:t xml:space="preserve"> </w:t>
      </w:r>
    </w:p>
    <w:p w:rsidR="000C7AAB" w:rsidRPr="004043F1" w:rsidRDefault="000C7AAB" w:rsidP="00570558">
      <w:pPr>
        <w:pStyle w:val="HeadingBoldItalic"/>
        <w:rPr>
          <w:rStyle w:val="Strong"/>
          <w:rFonts w:eastAsiaTheme="minorHAnsi" w:cstheme="minorBidi"/>
          <w:b/>
          <w:color w:val="auto"/>
        </w:rPr>
      </w:pPr>
      <w:r w:rsidRPr="004043F1">
        <w:rPr>
          <w:rStyle w:val="Strong"/>
          <w:b/>
          <w:bCs/>
        </w:rPr>
        <w:t>Residential net new connections</w:t>
      </w:r>
    </w:p>
    <w:p w:rsidR="000C7AAB" w:rsidRPr="000C7AAB" w:rsidRDefault="000C7AAB" w:rsidP="00051545">
      <w:r w:rsidRPr="002013A5">
        <w:t xml:space="preserve">ACIL Allen has advised us that despite concerns </w:t>
      </w:r>
      <w:r w:rsidRPr="000C7AAB">
        <w:t>about some aspects of CE's methodology,</w:t>
      </w:r>
      <w:r w:rsidRPr="000C7AAB">
        <w:rPr>
          <w:rStyle w:val="FootnoteReference"/>
        </w:rPr>
        <w:footnoteReference w:id="41"/>
      </w:r>
      <w:r w:rsidRPr="000C7AAB">
        <w:t xml:space="preserve"> which is based on a statistical relationship between HIA new dwelling starts and net residential connections,</w:t>
      </w:r>
      <w:r w:rsidR="004B7578">
        <w:t xml:space="preserve"> the forecast</w:t>
      </w:r>
      <w:r w:rsidRPr="000C7AAB">
        <w:t xml:space="preserve"> is reasonable in the circumstances. In particular, the results of its sensitivity and comparative </w:t>
      </w:r>
      <w:r w:rsidR="004B7578" w:rsidRPr="000C7AAB">
        <w:t>analysis</w:t>
      </w:r>
      <w:r w:rsidRPr="000C7AAB">
        <w:t xml:space="preserve"> did not differ significantly from that of CE's.  For instance, it found that CE's residential new connection forecast is similar to a forecast of connection growth, trending the 2008-2015 average growth rate forward to 2022.</w:t>
      </w:r>
      <w:r w:rsidRPr="000C7AAB">
        <w:rPr>
          <w:rStyle w:val="FootnoteReference"/>
        </w:rPr>
        <w:footnoteReference w:id="42"/>
      </w:r>
    </w:p>
    <w:p w:rsidR="000C7AAB" w:rsidRDefault="000C7AAB" w:rsidP="000C7AAB">
      <w:r>
        <w:t xml:space="preserve">While the statistical relationship between new dwelling starts and net residential connections </w:t>
      </w:r>
      <w:r w:rsidRPr="000C7AAB">
        <w:t>is not very strong, we recognise that this is likely due to the small sample size.</w:t>
      </w:r>
      <w:r w:rsidRPr="000C7AAB">
        <w:rPr>
          <w:rStyle w:val="FootnoteReference"/>
        </w:rPr>
        <w:footnoteReference w:id="43"/>
      </w:r>
      <w:r w:rsidR="001E23CE">
        <w:t xml:space="preserve"> </w:t>
      </w:r>
      <w:r>
        <w:t xml:space="preserve">We agree with ACIL Allen's view that </w:t>
      </w:r>
      <w:r w:rsidR="000C106B">
        <w:t>the CE</w:t>
      </w:r>
      <w:r>
        <w:t xml:space="preserve"> model </w:t>
      </w:r>
      <w:r w:rsidR="000C106B">
        <w:t xml:space="preserve">should be updated </w:t>
      </w:r>
      <w:r>
        <w:t xml:space="preserve">using the latest HIA housing forecast as part of </w:t>
      </w:r>
      <w:r w:rsidR="000C106B">
        <w:t xml:space="preserve">AGN’s </w:t>
      </w:r>
      <w:r>
        <w:t>revised access arrangement proposal.</w:t>
      </w:r>
      <w:r>
        <w:rPr>
          <w:rStyle w:val="FootnoteReference"/>
        </w:rPr>
        <w:footnoteReference w:id="44"/>
      </w:r>
      <w:r w:rsidRPr="00A351ED">
        <w:t xml:space="preserve"> </w:t>
      </w:r>
    </w:p>
    <w:p w:rsidR="000C7AAB" w:rsidRDefault="000C7AAB" w:rsidP="000C7AAB">
      <w:r>
        <w:t xml:space="preserve">In addition, ACIL Allen advised us that removing zero consuming </w:t>
      </w:r>
      <w:proofErr w:type="gramStart"/>
      <w:r>
        <w:t>meters  is</w:t>
      </w:r>
      <w:proofErr w:type="gramEnd"/>
      <w:r>
        <w:t xml:space="preserve"> a primary contributor to the net connections forecast exhibiting a trend that is lower than the historical average over the years 2008–15.</w:t>
      </w:r>
      <w:r>
        <w:rPr>
          <w:rStyle w:val="FootnoteReference"/>
        </w:rPr>
        <w:footnoteReference w:id="45"/>
      </w:r>
      <w:r>
        <w:t xml:space="preserve"> We have considered ACIL Allen's analysis in this regard and consider the forecast of Tariff R net connections to be reasonable.   </w:t>
      </w:r>
    </w:p>
    <w:p w:rsidR="000C7AAB" w:rsidRDefault="00C51188" w:rsidP="000C7AAB">
      <w:r>
        <w:t>We expect</w:t>
      </w:r>
      <w:r w:rsidRPr="00A351ED">
        <w:t xml:space="preserve"> </w:t>
      </w:r>
      <w:r w:rsidR="000C7AAB">
        <w:t>AGN</w:t>
      </w:r>
      <w:r>
        <w:t xml:space="preserve"> to</w:t>
      </w:r>
      <w:r w:rsidR="000C7AAB">
        <w:t xml:space="preserve"> </w:t>
      </w:r>
      <w:r w:rsidR="000C7AAB" w:rsidRPr="00A351ED">
        <w:t xml:space="preserve">revise </w:t>
      </w:r>
      <w:r>
        <w:t>its</w:t>
      </w:r>
      <w:r w:rsidRPr="00A351ED">
        <w:t xml:space="preserve"> </w:t>
      </w:r>
      <w:r>
        <w:t xml:space="preserve">Tariff R </w:t>
      </w:r>
      <w:r w:rsidR="000C7AAB" w:rsidRPr="00A351ED">
        <w:t xml:space="preserve">forecasts </w:t>
      </w:r>
      <w:r w:rsidR="0019628B">
        <w:t xml:space="preserve">in </w:t>
      </w:r>
      <w:r>
        <w:t>its revised</w:t>
      </w:r>
      <w:r w:rsidR="0019628B">
        <w:t xml:space="preserve"> proposal </w:t>
      </w:r>
      <w:r w:rsidR="000C7AAB" w:rsidRPr="00A351ED">
        <w:t xml:space="preserve">based on the most </w:t>
      </w:r>
      <w:r w:rsidR="000C7AAB">
        <w:t>recent</w:t>
      </w:r>
      <w:r w:rsidR="000C7AAB" w:rsidRPr="00A351ED">
        <w:t xml:space="preserve"> HIA data</w:t>
      </w:r>
    </w:p>
    <w:p w:rsidR="000C7AAB" w:rsidRPr="004043F1" w:rsidRDefault="000C7AAB" w:rsidP="004043F1">
      <w:pPr>
        <w:pStyle w:val="HeadingOrange"/>
        <w:rPr>
          <w:rStyle w:val="Strong"/>
          <w:b/>
          <w:bCs w:val="0"/>
        </w:rPr>
      </w:pPr>
      <w:r w:rsidRPr="004043F1">
        <w:rPr>
          <w:rStyle w:val="Strong"/>
          <w:b/>
          <w:bCs w:val="0"/>
        </w:rPr>
        <w:t>Commercial net new connections</w:t>
      </w:r>
    </w:p>
    <w:p w:rsidR="000C7AAB" w:rsidRDefault="000C7AAB" w:rsidP="000C7AAB">
      <w:r>
        <w:t xml:space="preserve">In contrast to residential connection numbers, CE has applied the historical average annual growth to a base year (2015) to forecast net new commercial customers. This followed a step-change adjustment to remove </w:t>
      </w:r>
      <w:r w:rsidR="000C106B">
        <w:t>zero consuming meters</w:t>
      </w:r>
      <w:r>
        <w:t xml:space="preserve"> in 2017 and 2018.</w:t>
      </w:r>
      <w:r>
        <w:rPr>
          <w:rStyle w:val="FootnoteReference"/>
        </w:rPr>
        <w:footnoteReference w:id="46"/>
      </w:r>
      <w:r>
        <w:t xml:space="preserve">  </w:t>
      </w:r>
    </w:p>
    <w:p w:rsidR="000C7AAB" w:rsidRPr="000C7AAB" w:rsidRDefault="000C7AAB" w:rsidP="00051545">
      <w:r>
        <w:t xml:space="preserve">CE has </w:t>
      </w:r>
      <w:r w:rsidRPr="000C7AAB">
        <w:t xml:space="preserve">considered the relationship between GSP and historical commercial customers. The results did not establish a robust relationship. Therefore, we are satisfied that historical growth is a reasonable estimate in the circumstance. </w:t>
      </w:r>
    </w:p>
    <w:p w:rsidR="000C7AAB" w:rsidRPr="000C7AAB" w:rsidRDefault="000C7AAB" w:rsidP="00051545">
      <w:r>
        <w:t xml:space="preserve">ACIL Allen did not raise concerns with CE's methodology to forecast commercial new connections. In particular, ACIL Allen </w:t>
      </w:r>
      <w:r w:rsidRPr="000C7AAB">
        <w:t>did not identify a significant relationship between economic activity and new commercial customer numbers.</w:t>
      </w:r>
      <w:r w:rsidRPr="000C7AAB">
        <w:rPr>
          <w:rStyle w:val="FootnoteReference"/>
        </w:rPr>
        <w:footnoteReference w:id="47"/>
      </w:r>
      <w:r w:rsidRPr="000C7AAB">
        <w:t xml:space="preserve"> ACIL Allen suggested that whilst other approaches to forecasting could be considered, it is unclear whether they would result in a more reliable forecast.</w:t>
      </w:r>
      <w:r w:rsidRPr="000C7AAB">
        <w:rPr>
          <w:rStyle w:val="FootnoteReference"/>
        </w:rPr>
        <w:footnoteReference w:id="48"/>
      </w:r>
      <w:r w:rsidRPr="000C7AAB">
        <w:t xml:space="preserve"> </w:t>
      </w:r>
    </w:p>
    <w:p w:rsidR="000C7AAB" w:rsidRPr="000C7AAB" w:rsidRDefault="000C7AAB" w:rsidP="00051545">
      <w:r>
        <w:t>With r</w:t>
      </w:r>
      <w:r w:rsidRPr="000C7AAB">
        <w:t xml:space="preserve">espect to </w:t>
      </w:r>
      <w:r w:rsidR="000C106B">
        <w:t>zero consuming meters</w:t>
      </w:r>
      <w:r w:rsidRPr="000C7AAB">
        <w:t>, ACIL Allen attribute their removal to the net connections commercial forecast being 7.1 per cent lower than the historical trend.</w:t>
      </w:r>
      <w:r w:rsidRPr="000C7AAB">
        <w:rPr>
          <w:rStyle w:val="FootnoteReference"/>
        </w:rPr>
        <w:footnoteReference w:id="49"/>
      </w:r>
      <w:r w:rsidRPr="000C7AAB">
        <w:t xml:space="preserve"> </w:t>
      </w:r>
    </w:p>
    <w:p w:rsidR="000C7AAB" w:rsidRPr="000C7AAB" w:rsidRDefault="000C7AAB" w:rsidP="00051545">
      <w:r>
        <w:t xml:space="preserve">Therefore, based on all the information before us, we consider that the commercial net new connections forecast </w:t>
      </w:r>
      <w:r w:rsidR="00C51188">
        <w:t>is arrived at on a</w:t>
      </w:r>
      <w:r>
        <w:t xml:space="preserve"> reasonable</w:t>
      </w:r>
      <w:r w:rsidR="00257E33">
        <w:t xml:space="preserve"> </w:t>
      </w:r>
      <w:r w:rsidR="00C51188">
        <w:t xml:space="preserve">basis </w:t>
      </w:r>
      <w:r w:rsidRPr="000C7AAB">
        <w:t>and represents the best forecast possible in the circumstances.</w:t>
      </w:r>
      <w:r w:rsidRPr="000C7AAB">
        <w:rPr>
          <w:rStyle w:val="FootnoteReference"/>
        </w:rPr>
        <w:footnoteReference w:id="50"/>
      </w:r>
      <w:r w:rsidRPr="000C7AAB">
        <w:t xml:space="preserve"> </w:t>
      </w:r>
    </w:p>
    <w:p w:rsidR="000C7AAB" w:rsidRPr="00CB7248" w:rsidRDefault="000C7AAB" w:rsidP="00570558">
      <w:pPr>
        <w:pStyle w:val="Heading3"/>
        <w:ind w:left="720"/>
      </w:pPr>
      <w:bookmarkStart w:id="94" w:name="_Toc481598580"/>
      <w:bookmarkStart w:id="95" w:name="_Toc486834981"/>
      <w:r w:rsidRPr="00CB7248">
        <w:t>Demand forecasts for Tariff D</w:t>
      </w:r>
      <w:bookmarkEnd w:id="95"/>
      <w:r>
        <w:t xml:space="preserve"> </w:t>
      </w:r>
    </w:p>
    <w:p w:rsidR="000C7AAB" w:rsidRDefault="000C7AAB" w:rsidP="000C7AAB">
      <w:r>
        <w:t xml:space="preserve">Consistent with ACIL Allen's assessment, </w:t>
      </w:r>
      <w:bookmarkEnd w:id="94"/>
      <w:r>
        <w:t xml:space="preserve">we are satisfied that AGN's forecast for Tariff D customers is </w:t>
      </w:r>
      <w:r w:rsidR="00C51188">
        <w:t xml:space="preserve">arrived at on a </w:t>
      </w:r>
      <w:r>
        <w:t xml:space="preserve">reasonable </w:t>
      </w:r>
      <w:r w:rsidR="00C51188">
        <w:t xml:space="preserve">basis </w:t>
      </w:r>
      <w:r>
        <w:t>and the best forecast possible in the circumstances.</w:t>
      </w:r>
    </w:p>
    <w:p w:rsidR="000C7AAB" w:rsidRDefault="000C7AAB" w:rsidP="000C7AAB">
      <w:r>
        <w:t>Given the widely differing characteristics of industrial customers, we agree with ACIL Allen’s view that applying an econometric based forecasting approach is not ideal. Instead, we consider that CE's method of using survey results to forecast future gas demand for these customers is reasonable. AEMO also uses this methodology develop estimates for industrial customers' demand in the NGFR.</w:t>
      </w:r>
      <w:r>
        <w:rPr>
          <w:rStyle w:val="FootnoteReference"/>
        </w:rPr>
        <w:footnoteReference w:id="51"/>
      </w:r>
    </w:p>
    <w:p w:rsidR="000C7AAB" w:rsidRDefault="000C7AAB" w:rsidP="000C7AAB">
      <w:r>
        <w:t>In its review, ACIL Allen note</w:t>
      </w:r>
      <w:r w:rsidR="000C106B">
        <w:t>s</w:t>
      </w:r>
      <w:r>
        <w:t xml:space="preserve"> that there is an inherent degree of uncertainty in any forecast of industrial MHQ given the relatively small number of large industrial customers and the asymmetric nature of their MHQ requirements. For instance, the start-up or closure of just one industrial site could significantly change future MHQ requirements. Therefore, we </w:t>
      </w:r>
      <w:r w:rsidR="00C51188">
        <w:t>accept</w:t>
      </w:r>
      <w:r>
        <w:t xml:space="preserve"> CE's method of relying on customer surveys. </w:t>
      </w:r>
      <w:bookmarkEnd w:id="0"/>
    </w:p>
    <w:sectPr w:rsidR="000C7AAB" w:rsidSect="00CF42AA">
      <w:headerReference w:type="default" r:id="rId19"/>
      <w:footerReference w:type="even" r:id="rId20"/>
      <w:footerReference w:type="default" r:id="rId21"/>
      <w:footerReference w:type="first" r:id="rId22"/>
      <w:pgSz w:w="11906" w:h="16838" w:code="9"/>
      <w:pgMar w:top="1440" w:right="1700" w:bottom="1582" w:left="1729" w:header="720" w:footer="0" w:gutter="0"/>
      <w:pgNumType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394E" w:rsidRPr="00290C63" w:rsidRDefault="009B394E" w:rsidP="00290C63">
      <w:r>
        <w:separator/>
      </w:r>
    </w:p>
    <w:p w:rsidR="009B394E" w:rsidRDefault="009B394E"/>
  </w:endnote>
  <w:endnote w:type="continuationSeparator" w:id="0">
    <w:p w:rsidR="009B394E" w:rsidRPr="00290C63" w:rsidRDefault="009B394E" w:rsidP="00290C63">
      <w:r>
        <w:continuationSeparator/>
      </w:r>
    </w:p>
    <w:p w:rsidR="009B394E" w:rsidRDefault="009B39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1"/>
    <w:family w:val="roman"/>
    <w:notTrueType/>
    <w:pitch w:val="variable"/>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94E" w:rsidRPr="00290C63" w:rsidRDefault="009B394E"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9B394E" w:rsidRDefault="009B394E"/>
  <w:p w:rsidR="009B394E" w:rsidRDefault="009B394E"/>
  <w:p w:rsidR="009B394E" w:rsidRDefault="009B394E"/>
  <w:p w:rsidR="009B394E" w:rsidRDefault="009B394E"/>
  <w:p w:rsidR="009B394E" w:rsidRDefault="009B394E"/>
  <w:p w:rsidR="009B394E" w:rsidRDefault="009B394E"/>
  <w:p w:rsidR="009B394E" w:rsidRDefault="009B394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299774"/>
      <w:docPartObj>
        <w:docPartGallery w:val="Page Numbers (Bottom of Page)"/>
        <w:docPartUnique/>
      </w:docPartObj>
    </w:sdtPr>
    <w:sdtEndPr>
      <w:rPr>
        <w:noProof/>
        <w:szCs w:val="16"/>
      </w:rPr>
    </w:sdtEndPr>
    <w:sdtContent>
      <w:p w:rsidR="009B394E" w:rsidRPr="009B6F84" w:rsidRDefault="009B394E">
        <w:pPr>
          <w:pStyle w:val="Footer"/>
          <w:rPr>
            <w:sz w:val="20"/>
          </w:rPr>
        </w:pPr>
        <w:r>
          <w:fldChar w:fldCharType="begin"/>
        </w:r>
        <w:r>
          <w:instrText xml:space="preserve"> PAGE   \* MERGEFORMAT </w:instrText>
        </w:r>
        <w:r>
          <w:fldChar w:fldCharType="separate"/>
        </w:r>
        <w:r w:rsidR="00CE5CD1">
          <w:rPr>
            <w:noProof/>
          </w:rPr>
          <w:t>13-0</w:t>
        </w:r>
        <w:r>
          <w:rPr>
            <w:noProof/>
          </w:rPr>
          <w:fldChar w:fldCharType="end"/>
        </w:r>
        <w:r>
          <w:rPr>
            <w:noProof/>
          </w:rPr>
          <w:t xml:space="preserve">          </w:t>
        </w:r>
        <w:r>
          <w:t xml:space="preserve">Attachment 13 </w:t>
        </w:r>
        <w:r w:rsidRPr="000474DF">
          <w:t>−</w:t>
        </w:r>
        <w:r>
          <w:t xml:space="preserve"> Demand</w:t>
        </w:r>
        <w:r w:rsidRPr="009B6F84">
          <w:rPr>
            <w:rFonts w:cs="Gautami"/>
            <w:noProof/>
            <w:szCs w:val="16"/>
          </w:rPr>
          <w:t xml:space="preserve"> | </w:t>
        </w:r>
        <w:r>
          <w:t>Draft decision - AGN Victoria and Albury gas access arrangement</w:t>
        </w:r>
        <w:r w:rsidRPr="00D5015C">
          <w:t xml:space="preserve"> 201</w:t>
        </w:r>
        <w:r>
          <w:t>8</w:t>
        </w:r>
        <w:r w:rsidRPr="00D5015C">
          <w:t>–</w:t>
        </w:r>
        <w:r>
          <w:t>22</w:t>
        </w:r>
      </w:p>
    </w:sdtContent>
  </w:sdt>
  <w:p w:rsidR="009B394E" w:rsidRDefault="009B394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94E" w:rsidRPr="00290C63" w:rsidRDefault="009B394E"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9B394E" w:rsidRDefault="009B394E">
    <w:pPr>
      <w:pStyle w:val="Footer"/>
    </w:pPr>
  </w:p>
  <w:p w:rsidR="009B394E" w:rsidRDefault="009B394E"/>
  <w:p w:rsidR="009B394E" w:rsidRDefault="009B394E"/>
  <w:p w:rsidR="009B394E" w:rsidRDefault="009B394E"/>
  <w:p w:rsidR="009B394E" w:rsidRDefault="009B394E"/>
  <w:p w:rsidR="009B394E" w:rsidRDefault="009B394E"/>
  <w:p w:rsidR="009B394E" w:rsidRDefault="009B394E"/>
  <w:p w:rsidR="009B394E" w:rsidRDefault="009B394E"/>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94E" w:rsidRPr="00290C63" w:rsidRDefault="009B394E"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9B394E" w:rsidRDefault="009B394E"/>
  <w:p w:rsidR="009B394E" w:rsidRDefault="009B394E"/>
  <w:p w:rsidR="009B394E" w:rsidRDefault="009B394E"/>
  <w:p w:rsidR="009B394E" w:rsidRDefault="009B394E"/>
  <w:p w:rsidR="009B394E" w:rsidRDefault="009B394E"/>
  <w:p w:rsidR="009B394E" w:rsidRDefault="009B394E"/>
  <w:p w:rsidR="009B394E" w:rsidRDefault="009B394E"/>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0901426"/>
      <w:docPartObj>
        <w:docPartGallery w:val="Page Numbers (Bottom of Page)"/>
        <w:docPartUnique/>
      </w:docPartObj>
    </w:sdtPr>
    <w:sdtEndPr>
      <w:rPr>
        <w:noProof/>
        <w:szCs w:val="16"/>
      </w:rPr>
    </w:sdtEndPr>
    <w:sdtContent>
      <w:p w:rsidR="009B394E" w:rsidRPr="009B6F84" w:rsidRDefault="009B394E">
        <w:pPr>
          <w:pStyle w:val="Footer"/>
          <w:rPr>
            <w:sz w:val="20"/>
          </w:rPr>
        </w:pPr>
        <w:r>
          <w:fldChar w:fldCharType="begin"/>
        </w:r>
        <w:r>
          <w:instrText xml:space="preserve"> PAGE   \* MERGEFORMAT </w:instrText>
        </w:r>
        <w:r>
          <w:fldChar w:fldCharType="separate"/>
        </w:r>
        <w:r w:rsidR="00CE5CD1">
          <w:rPr>
            <w:noProof/>
          </w:rPr>
          <w:t>13-9</w:t>
        </w:r>
        <w:r>
          <w:rPr>
            <w:noProof/>
          </w:rPr>
          <w:fldChar w:fldCharType="end"/>
        </w:r>
        <w:r>
          <w:rPr>
            <w:noProof/>
          </w:rPr>
          <w:t xml:space="preserve">          </w:t>
        </w:r>
        <w:r>
          <w:t xml:space="preserve">Attachment 13 </w:t>
        </w:r>
        <w:r w:rsidRPr="000474DF">
          <w:t>−</w:t>
        </w:r>
        <w:r>
          <w:t xml:space="preserve"> Demand</w:t>
        </w:r>
        <w:r w:rsidRPr="00D5015C">
          <w:t xml:space="preserve"> | </w:t>
        </w:r>
        <w:r>
          <w:t>Draft decision - AGN Victoria and Albury gas access arrangement</w:t>
        </w:r>
        <w:r w:rsidRPr="00D5015C">
          <w:t xml:space="preserve"> 201</w:t>
        </w:r>
        <w:r>
          <w:t>8</w:t>
        </w:r>
        <w:r w:rsidRPr="00D5015C">
          <w:t>–</w:t>
        </w:r>
        <w:r>
          <w:t>22</w:t>
        </w:r>
      </w:p>
    </w:sdtContent>
  </w:sdt>
  <w:p w:rsidR="009B394E" w:rsidRDefault="009B394E">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94E" w:rsidRPr="00290C63" w:rsidRDefault="009B394E"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9B394E" w:rsidRDefault="009B394E">
    <w:pPr>
      <w:pStyle w:val="Footer"/>
    </w:pPr>
  </w:p>
  <w:p w:rsidR="009B394E" w:rsidRDefault="009B394E"/>
  <w:p w:rsidR="009B394E" w:rsidRDefault="009B394E"/>
  <w:p w:rsidR="009B394E" w:rsidRDefault="009B394E"/>
  <w:p w:rsidR="009B394E" w:rsidRDefault="009B394E"/>
  <w:p w:rsidR="009B394E" w:rsidRDefault="009B394E"/>
  <w:p w:rsidR="009B394E" w:rsidRDefault="009B394E"/>
  <w:p w:rsidR="009B394E" w:rsidRDefault="009B394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394E" w:rsidRPr="00290C63" w:rsidRDefault="009B394E" w:rsidP="00290C63">
      <w:r>
        <w:separator/>
      </w:r>
    </w:p>
    <w:p w:rsidR="009B394E" w:rsidRDefault="009B394E"/>
  </w:footnote>
  <w:footnote w:type="continuationSeparator" w:id="0">
    <w:p w:rsidR="009B394E" w:rsidRPr="00290C63" w:rsidRDefault="009B394E" w:rsidP="00290C63">
      <w:r>
        <w:continuationSeparator/>
      </w:r>
    </w:p>
    <w:p w:rsidR="009B394E" w:rsidRDefault="009B394E"/>
  </w:footnote>
  <w:footnote w:id="1">
    <w:p w:rsidR="009B394E" w:rsidRDefault="009B394E" w:rsidP="000C7AAB">
      <w:pPr>
        <w:pStyle w:val="FootnoteText"/>
      </w:pPr>
      <w:r>
        <w:rPr>
          <w:rStyle w:val="FootnoteReference"/>
        </w:rPr>
        <w:footnoteRef/>
      </w:r>
      <w:r>
        <w:t xml:space="preserve"> </w:t>
      </w:r>
      <w:r>
        <w:tab/>
        <w:t>Our draft decisions on AGN's capex and opex are respectively set out in Attachments 6 and 7 to this draft decision.</w:t>
      </w:r>
    </w:p>
  </w:footnote>
  <w:footnote w:id="2">
    <w:p w:rsidR="009B394E" w:rsidRDefault="009B394E" w:rsidP="000C7AAB">
      <w:pPr>
        <w:pStyle w:val="FootnoteText"/>
      </w:pPr>
      <w:r>
        <w:rPr>
          <w:rStyle w:val="FootnoteReference"/>
        </w:rPr>
        <w:footnoteRef/>
      </w:r>
      <w:r>
        <w:t xml:space="preserve"> </w:t>
      </w:r>
      <w:r>
        <w:tab/>
        <w:t xml:space="preserve">Customers that use gas for residential purposes. Please refer to </w:t>
      </w:r>
      <w:r w:rsidR="00081CEA" w:rsidRPr="00081CEA">
        <w:t>AGN</w:t>
      </w:r>
      <w:r w:rsidR="00081CEA">
        <w:t>,</w:t>
      </w:r>
      <w:r w:rsidR="00081CEA" w:rsidRPr="00081CEA">
        <w:t xml:space="preserve">  </w:t>
      </w:r>
      <w:r w:rsidR="00081CEA" w:rsidRPr="00A8363E">
        <w:rPr>
          <w:rStyle w:val="AERtextitalic"/>
        </w:rPr>
        <w:t>Final Plan - Access Arrangement Information for our Victorian and Albury natural gas distribution networks 2018-2022</w:t>
      </w:r>
      <w:r w:rsidR="00081CEA" w:rsidRPr="00081CEA">
        <w:t xml:space="preserve"> </w:t>
      </w:r>
      <w:r w:rsidR="00081CEA">
        <w:t>–</w:t>
      </w:r>
      <w:r w:rsidR="00081CEA" w:rsidRPr="00081CEA">
        <w:t xml:space="preserve"> 20161222</w:t>
      </w:r>
      <w:r w:rsidR="00081CEA">
        <w:t xml:space="preserve"> (</w:t>
      </w:r>
      <w:r>
        <w:t xml:space="preserve">AGN, </w:t>
      </w:r>
      <w:r w:rsidRPr="00570558">
        <w:rPr>
          <w:rStyle w:val="AERtextitalic"/>
        </w:rPr>
        <w:t>Victoria and Albury Final Plan</w:t>
      </w:r>
      <w:r>
        <w:t>, December 2016</w:t>
      </w:r>
      <w:r w:rsidR="00081CEA">
        <w:t>)</w:t>
      </w:r>
      <w:r>
        <w:t>, p. 151.</w:t>
      </w:r>
    </w:p>
  </w:footnote>
  <w:footnote w:id="3">
    <w:p w:rsidR="009B394E" w:rsidRDefault="009B394E" w:rsidP="000C7AAB">
      <w:pPr>
        <w:pStyle w:val="FootnoteText"/>
      </w:pPr>
      <w:r>
        <w:rPr>
          <w:rStyle w:val="FootnoteReference"/>
        </w:rPr>
        <w:footnoteRef/>
      </w:r>
      <w:r>
        <w:t xml:space="preserve"> </w:t>
      </w:r>
      <w:r>
        <w:tab/>
        <w:t>Business customers who use less than 10 terajoules of gas each year (which equates to an annual retail gas bill of around $200 000 or less). See AGN, Victoria and Albury Final Plan, December 2016</w:t>
      </w:r>
      <w:r w:rsidR="00081CEA">
        <w:t>)</w:t>
      </w:r>
      <w:r>
        <w:t>, p. 151.</w:t>
      </w:r>
    </w:p>
  </w:footnote>
  <w:footnote w:id="4">
    <w:p w:rsidR="009B394E" w:rsidRDefault="009B394E" w:rsidP="000C7AAB">
      <w:pPr>
        <w:pStyle w:val="FootnoteText"/>
      </w:pPr>
      <w:r>
        <w:rPr>
          <w:rStyle w:val="FootnoteReference"/>
        </w:rPr>
        <w:footnoteRef/>
      </w:r>
      <w:r>
        <w:t xml:space="preserve"> </w:t>
      </w:r>
      <w:r>
        <w:tab/>
        <w:t>These customers are expected to consume more than 10TJ per annum.</w:t>
      </w:r>
      <w:r w:rsidR="000B7B2A">
        <w:t xml:space="preserve"> </w:t>
      </w:r>
      <w:r w:rsidR="000B7B2A" w:rsidRPr="000B7B2A">
        <w:t>AGN</w:t>
      </w:r>
      <w:r w:rsidR="000B7B2A">
        <w:t xml:space="preserve">, </w:t>
      </w:r>
      <w:r w:rsidR="000B7B2A" w:rsidRPr="00570558">
        <w:rPr>
          <w:rStyle w:val="AERtextitalic"/>
        </w:rPr>
        <w:t>Attachment 13.1 - Core Energy Group -Gas Demand Forecast - AGN Victoria and Albury Gas Access Arrangement 2018-22 - December 2016</w:t>
      </w:r>
      <w:r w:rsidR="000B7B2A">
        <w:t xml:space="preserve"> (</w:t>
      </w:r>
      <w:r>
        <w:t xml:space="preserve">Core Energy group, </w:t>
      </w:r>
      <w:r w:rsidRPr="00570558">
        <w:rPr>
          <w:rStyle w:val="AERtextitalic"/>
        </w:rPr>
        <w:t>Gas Demand Forecast</w:t>
      </w:r>
      <w:r>
        <w:t>, December 2016</w:t>
      </w:r>
      <w:r w:rsidR="000B7B2A">
        <w:t>)</w:t>
      </w:r>
      <w:r>
        <w:t>, p.70.</w:t>
      </w:r>
    </w:p>
  </w:footnote>
  <w:footnote w:id="5">
    <w:p w:rsidR="009B394E" w:rsidRDefault="009B394E" w:rsidP="000C7AAB">
      <w:pPr>
        <w:pStyle w:val="FootnoteText"/>
      </w:pPr>
      <w:r>
        <w:rPr>
          <w:rStyle w:val="FootnoteReference"/>
        </w:rPr>
        <w:footnoteRef/>
      </w:r>
      <w:r>
        <w:t xml:space="preserve"> </w:t>
      </w:r>
      <w:r>
        <w:tab/>
        <w:t xml:space="preserve">AGN, </w:t>
      </w:r>
      <w:r w:rsidRPr="00570558">
        <w:rPr>
          <w:rStyle w:val="AERtextitalic"/>
        </w:rPr>
        <w:t>Victoria and Albury Final Plan</w:t>
      </w:r>
      <w:r>
        <w:t>, December 2016, p. 157.</w:t>
      </w:r>
    </w:p>
  </w:footnote>
  <w:footnote w:id="6">
    <w:p w:rsidR="009B394E" w:rsidRDefault="009B394E" w:rsidP="000C7AAB">
      <w:pPr>
        <w:pStyle w:val="FootnoteText"/>
      </w:pPr>
      <w:r>
        <w:rPr>
          <w:rStyle w:val="FootnoteReference"/>
        </w:rPr>
        <w:footnoteRef/>
      </w:r>
      <w:r>
        <w:t xml:space="preserve"> </w:t>
      </w:r>
      <w:r>
        <w:tab/>
        <w:t xml:space="preserve">AGN, </w:t>
      </w:r>
      <w:r w:rsidRPr="00570558">
        <w:rPr>
          <w:rStyle w:val="AERtextitalic"/>
        </w:rPr>
        <w:t>Victoria and Albury Final Plan</w:t>
      </w:r>
      <w:r>
        <w:t>, December 2016, p. 156.</w:t>
      </w:r>
    </w:p>
  </w:footnote>
  <w:footnote w:id="7">
    <w:p w:rsidR="009B394E" w:rsidRDefault="009B394E" w:rsidP="000C7AAB">
      <w:pPr>
        <w:pStyle w:val="FootnoteText"/>
      </w:pPr>
      <w:r>
        <w:rPr>
          <w:rStyle w:val="FootnoteReference"/>
        </w:rPr>
        <w:footnoteRef/>
      </w:r>
      <w:r>
        <w:t xml:space="preserve"> </w:t>
      </w:r>
      <w:r>
        <w:tab/>
        <w:t xml:space="preserve">AGN, </w:t>
      </w:r>
      <w:r w:rsidRPr="00570558">
        <w:rPr>
          <w:rStyle w:val="AERtextitalic"/>
        </w:rPr>
        <w:t>Victoria and Albury Final Plan</w:t>
      </w:r>
      <w:r>
        <w:t>, December 2016, p. 159.</w:t>
      </w:r>
    </w:p>
  </w:footnote>
  <w:footnote w:id="8">
    <w:p w:rsidR="009B394E" w:rsidRDefault="009B394E" w:rsidP="000C7AAB">
      <w:pPr>
        <w:pStyle w:val="FootnoteText"/>
      </w:pPr>
      <w:r>
        <w:rPr>
          <w:rStyle w:val="FootnoteReference"/>
        </w:rPr>
        <w:footnoteRef/>
      </w:r>
      <w:r>
        <w:t xml:space="preserve"> </w:t>
      </w:r>
      <w:r>
        <w:tab/>
        <w:t xml:space="preserve">AGN, </w:t>
      </w:r>
      <w:r w:rsidRPr="00570558">
        <w:rPr>
          <w:rStyle w:val="AERtextitalic"/>
        </w:rPr>
        <w:t>Victoria and Albury Final Plan</w:t>
      </w:r>
      <w:r>
        <w:t>, December 2016, p. 159.</w:t>
      </w:r>
    </w:p>
  </w:footnote>
  <w:footnote w:id="9">
    <w:p w:rsidR="009B394E" w:rsidRDefault="009B394E" w:rsidP="000C7AAB">
      <w:pPr>
        <w:pStyle w:val="FootnoteText"/>
      </w:pPr>
      <w:r>
        <w:rPr>
          <w:rStyle w:val="FootnoteReference"/>
        </w:rPr>
        <w:footnoteRef/>
      </w:r>
      <w:r>
        <w:t xml:space="preserve"> </w:t>
      </w:r>
      <w:r>
        <w:tab/>
        <w:t>Central, North, Murray Valley, Bairnsdale and Albury.</w:t>
      </w:r>
    </w:p>
  </w:footnote>
  <w:footnote w:id="10">
    <w:p w:rsidR="009B394E" w:rsidRDefault="009B394E" w:rsidP="000C7AAB">
      <w:pPr>
        <w:pStyle w:val="FootnoteText"/>
      </w:pPr>
      <w:r>
        <w:rPr>
          <w:rStyle w:val="FootnoteReference"/>
        </w:rPr>
        <w:footnoteRef/>
      </w:r>
      <w:r>
        <w:t xml:space="preserve"> </w:t>
      </w:r>
      <w:r>
        <w:tab/>
        <w:t xml:space="preserve">Core Energy group, </w:t>
      </w:r>
      <w:r w:rsidRPr="00570558">
        <w:rPr>
          <w:rStyle w:val="AERtextitalic"/>
        </w:rPr>
        <w:t>Gas Demand Forecast</w:t>
      </w:r>
      <w:r>
        <w:t>, December 2016, p.32.</w:t>
      </w:r>
    </w:p>
  </w:footnote>
  <w:footnote w:id="11">
    <w:p w:rsidR="009B394E" w:rsidRDefault="009B394E" w:rsidP="000C7AAB">
      <w:pPr>
        <w:pStyle w:val="FootnoteText"/>
      </w:pPr>
      <w:r>
        <w:rPr>
          <w:rStyle w:val="FootnoteReference"/>
        </w:rPr>
        <w:footnoteRef/>
      </w:r>
      <w:r>
        <w:t xml:space="preserve"> </w:t>
      </w:r>
      <w:r>
        <w:tab/>
        <w:t xml:space="preserve">Core Energy group, </w:t>
      </w:r>
      <w:r w:rsidRPr="00570558">
        <w:rPr>
          <w:rStyle w:val="AERtextitalic"/>
        </w:rPr>
        <w:t>Gas Demand Forecast</w:t>
      </w:r>
      <w:r>
        <w:t>, December 2016, p.48.</w:t>
      </w:r>
    </w:p>
  </w:footnote>
  <w:footnote w:id="12">
    <w:p w:rsidR="009B394E" w:rsidRDefault="009B394E" w:rsidP="000C7AAB">
      <w:pPr>
        <w:pStyle w:val="FootnoteText"/>
      </w:pPr>
      <w:r>
        <w:rPr>
          <w:rStyle w:val="FootnoteReference"/>
        </w:rPr>
        <w:footnoteRef/>
      </w:r>
      <w:r>
        <w:t xml:space="preserve"> </w:t>
      </w:r>
      <w:r>
        <w:tab/>
        <w:t xml:space="preserve">Core Energy group, </w:t>
      </w:r>
      <w:r w:rsidRPr="00570558">
        <w:rPr>
          <w:rStyle w:val="AERtextitalic"/>
        </w:rPr>
        <w:t>Gas Demand Forecast</w:t>
      </w:r>
      <w:r>
        <w:t>, December 2016, p.36-7.</w:t>
      </w:r>
    </w:p>
  </w:footnote>
  <w:footnote w:id="13">
    <w:p w:rsidR="009B394E" w:rsidRDefault="009B394E" w:rsidP="000C7AAB">
      <w:pPr>
        <w:pStyle w:val="FootnoteText"/>
      </w:pPr>
      <w:r>
        <w:rPr>
          <w:rStyle w:val="FootnoteReference"/>
        </w:rPr>
        <w:footnoteRef/>
      </w:r>
      <w:r>
        <w:t xml:space="preserve"> </w:t>
      </w:r>
      <w:r>
        <w:tab/>
        <w:t xml:space="preserve">There are meters on AGN's network for which there is no associated consumption for a period greater than 12 months. This situation arises due to vacant properties or if supply has been cut off as a result of non-payment. Please see, Core Energy group, </w:t>
      </w:r>
      <w:r w:rsidRPr="00570558">
        <w:rPr>
          <w:rStyle w:val="AERtextitalic"/>
        </w:rPr>
        <w:t>Gas Demand Forecast</w:t>
      </w:r>
      <w:r>
        <w:t>, December 2016, p.34.</w:t>
      </w:r>
    </w:p>
  </w:footnote>
  <w:footnote w:id="14">
    <w:p w:rsidR="009B394E" w:rsidRDefault="009B394E" w:rsidP="000C7AAB">
      <w:pPr>
        <w:pStyle w:val="FootnoteText"/>
      </w:pPr>
      <w:r>
        <w:rPr>
          <w:rStyle w:val="FootnoteReference"/>
        </w:rPr>
        <w:footnoteRef/>
      </w:r>
      <w:r>
        <w:t xml:space="preserve"> </w:t>
      </w:r>
      <w:r>
        <w:tab/>
        <w:t>Core Energy group</w:t>
      </w:r>
      <w:r w:rsidRPr="006764CA">
        <w:rPr>
          <w:rStyle w:val="Emphasis"/>
        </w:rPr>
        <w:t>, Gas Demand Forecast</w:t>
      </w:r>
      <w:r>
        <w:t>, December 2016, p.25.</w:t>
      </w:r>
    </w:p>
  </w:footnote>
  <w:footnote w:id="15">
    <w:p w:rsidR="009B394E" w:rsidRDefault="009B394E" w:rsidP="000C7AAB">
      <w:pPr>
        <w:pStyle w:val="FootnoteText"/>
      </w:pPr>
      <w:r>
        <w:rPr>
          <w:rStyle w:val="FootnoteReference"/>
        </w:rPr>
        <w:footnoteRef/>
      </w:r>
      <w:r>
        <w:t xml:space="preserve"> </w:t>
      </w:r>
      <w:r>
        <w:tab/>
        <w:t xml:space="preserve">Core Energy group, </w:t>
      </w:r>
      <w:r w:rsidRPr="006764CA">
        <w:rPr>
          <w:rStyle w:val="Emphasis"/>
        </w:rPr>
        <w:t>Gas Demand Forecast</w:t>
      </w:r>
      <w:r>
        <w:t>, December 2016, p.25.</w:t>
      </w:r>
    </w:p>
  </w:footnote>
  <w:footnote w:id="16">
    <w:p w:rsidR="009B394E" w:rsidRDefault="009B394E" w:rsidP="000C7AAB">
      <w:pPr>
        <w:pStyle w:val="FootnoteText"/>
      </w:pPr>
      <w:r>
        <w:rPr>
          <w:rStyle w:val="FootnoteReference"/>
        </w:rPr>
        <w:footnoteRef/>
      </w:r>
      <w:r>
        <w:t xml:space="preserve"> </w:t>
      </w:r>
      <w:r>
        <w:tab/>
        <w:t xml:space="preserve">Core Energy group, </w:t>
      </w:r>
      <w:r w:rsidRPr="006764CA">
        <w:rPr>
          <w:rStyle w:val="Emphasis"/>
        </w:rPr>
        <w:t>Gas Demand Forecast</w:t>
      </w:r>
      <w:r>
        <w:t>, December 2016, p.70.</w:t>
      </w:r>
    </w:p>
  </w:footnote>
  <w:footnote w:id="17">
    <w:p w:rsidR="009B394E" w:rsidRDefault="009B394E" w:rsidP="000C7AAB">
      <w:pPr>
        <w:pStyle w:val="FootnoteText"/>
      </w:pPr>
      <w:r>
        <w:rPr>
          <w:rStyle w:val="FootnoteReference"/>
        </w:rPr>
        <w:footnoteRef/>
      </w:r>
      <w:r>
        <w:t xml:space="preserve"> </w:t>
      </w:r>
      <w:r>
        <w:tab/>
        <w:t xml:space="preserve">GJ MHQ is forecast according to known load changes obtained via responses from surveys to customers (see Core Energy group, </w:t>
      </w:r>
      <w:r w:rsidRPr="006764CA">
        <w:rPr>
          <w:rStyle w:val="Emphasis"/>
        </w:rPr>
        <w:t>Gas Demand Forecast</w:t>
      </w:r>
      <w:r>
        <w:t>, December 2016, p.70).</w:t>
      </w:r>
    </w:p>
  </w:footnote>
  <w:footnote w:id="18">
    <w:p w:rsidR="009B394E" w:rsidRDefault="009B394E" w:rsidP="000C7AAB">
      <w:pPr>
        <w:pStyle w:val="FootnoteText"/>
      </w:pPr>
      <w:r>
        <w:rPr>
          <w:rStyle w:val="FootnoteReference"/>
        </w:rPr>
        <w:footnoteRef/>
      </w:r>
      <w:r>
        <w:t xml:space="preserve"> </w:t>
      </w:r>
      <w:r>
        <w:tab/>
        <w:t xml:space="preserve">Core Energy group, </w:t>
      </w:r>
      <w:r w:rsidRPr="006764CA">
        <w:rPr>
          <w:rStyle w:val="Emphasis"/>
        </w:rPr>
        <w:t>Gas Demand Forecast,</w:t>
      </w:r>
      <w:r>
        <w:t xml:space="preserve"> December 2016, p.70).</w:t>
      </w:r>
    </w:p>
  </w:footnote>
  <w:footnote w:id="19">
    <w:p w:rsidR="009B394E" w:rsidRDefault="009B394E" w:rsidP="000C7AAB">
      <w:pPr>
        <w:pStyle w:val="FootnoteText"/>
      </w:pPr>
      <w:r>
        <w:rPr>
          <w:rStyle w:val="FootnoteReference"/>
        </w:rPr>
        <w:footnoteRef/>
      </w:r>
      <w:r>
        <w:t xml:space="preserve"> </w:t>
      </w:r>
      <w:r>
        <w:tab/>
      </w:r>
      <w:r w:rsidRPr="00CF64CC">
        <w:t>NGR, r. 72(1)(a)(iii).</w:t>
      </w:r>
    </w:p>
  </w:footnote>
  <w:footnote w:id="20">
    <w:p w:rsidR="009B394E" w:rsidRDefault="009B394E" w:rsidP="000C7AAB">
      <w:pPr>
        <w:pStyle w:val="FootnoteText"/>
      </w:pPr>
      <w:r>
        <w:rPr>
          <w:rStyle w:val="FootnoteReference"/>
        </w:rPr>
        <w:footnoteRef/>
      </w:r>
      <w:r>
        <w:t xml:space="preserve"> </w:t>
      </w:r>
      <w:r>
        <w:tab/>
      </w:r>
      <w:r w:rsidRPr="00CF64CC">
        <w:t>NGR, r. 72(1)(d).</w:t>
      </w:r>
    </w:p>
  </w:footnote>
  <w:footnote w:id="21">
    <w:p w:rsidR="009B394E" w:rsidRDefault="009B394E" w:rsidP="000C7AAB">
      <w:pPr>
        <w:pStyle w:val="FootnoteText"/>
      </w:pPr>
      <w:r>
        <w:rPr>
          <w:rStyle w:val="FootnoteReference"/>
        </w:rPr>
        <w:footnoteRef/>
      </w:r>
      <w:r>
        <w:t xml:space="preserve"> </w:t>
      </w:r>
      <w:r>
        <w:tab/>
      </w:r>
      <w:r w:rsidRPr="00CF64CC">
        <w:t>NGR, r. 74(2).</w:t>
      </w:r>
    </w:p>
  </w:footnote>
  <w:footnote w:id="22">
    <w:p w:rsidR="009B394E" w:rsidRDefault="009B394E" w:rsidP="000C7AAB">
      <w:pPr>
        <w:pStyle w:val="FootnoteText"/>
      </w:pPr>
      <w:r>
        <w:rPr>
          <w:rStyle w:val="FootnoteReference"/>
        </w:rPr>
        <w:footnoteRef/>
      </w:r>
      <w:r>
        <w:t xml:space="preserve"> </w:t>
      </w:r>
      <w:r>
        <w:tab/>
      </w:r>
      <w:r w:rsidRPr="00CF64CC">
        <w:t>NGR, r. 74(2).</w:t>
      </w:r>
    </w:p>
  </w:footnote>
  <w:footnote w:id="23">
    <w:p w:rsidR="009B394E" w:rsidRDefault="009B394E">
      <w:pPr>
        <w:pStyle w:val="FootnoteText"/>
      </w:pPr>
      <w:r>
        <w:rPr>
          <w:rStyle w:val="FootnoteReference"/>
        </w:rPr>
        <w:footnoteRef/>
      </w:r>
      <w:r>
        <w:t xml:space="preserve"> </w:t>
      </w:r>
      <w:r>
        <w:tab/>
        <w:t xml:space="preserve">AGN, </w:t>
      </w:r>
      <w:r w:rsidRPr="00723D4C">
        <w:rPr>
          <w:rStyle w:val="Emphasis"/>
        </w:rPr>
        <w:t>Attachment 1.6 - Albury RIN</w:t>
      </w:r>
      <w:r>
        <w:t xml:space="preserve">, 4 January 2017 and AGN, </w:t>
      </w:r>
      <w:r w:rsidRPr="00723D4C">
        <w:rPr>
          <w:rStyle w:val="Emphasis"/>
        </w:rPr>
        <w:t>Attachment 1.5 - Victoria RIN</w:t>
      </w:r>
      <w:r>
        <w:t>, 04 January 2017.</w:t>
      </w:r>
    </w:p>
  </w:footnote>
  <w:footnote w:id="24">
    <w:p w:rsidR="009B394E" w:rsidRDefault="009B394E">
      <w:pPr>
        <w:pStyle w:val="FootnoteText"/>
      </w:pPr>
      <w:r>
        <w:rPr>
          <w:rStyle w:val="FootnoteReference"/>
        </w:rPr>
        <w:footnoteRef/>
      </w:r>
      <w:r>
        <w:t xml:space="preserve"> </w:t>
      </w:r>
      <w:r>
        <w:tab/>
        <w:t xml:space="preserve">ACIL Allen, </w:t>
      </w:r>
      <w:r w:rsidRPr="006764CA">
        <w:rPr>
          <w:rStyle w:val="Emphasis"/>
        </w:rPr>
        <w:t>Review of demand forecasts for Australian Gas Networks</w:t>
      </w:r>
      <w:r>
        <w:t>,</w:t>
      </w:r>
      <w:r w:rsidRPr="00723D4C">
        <w:t xml:space="preserve"> </w:t>
      </w:r>
      <w:r>
        <w:t>June 2017, pp. A-2.</w:t>
      </w:r>
    </w:p>
  </w:footnote>
  <w:footnote w:id="25">
    <w:p w:rsidR="009B394E" w:rsidRDefault="009B394E" w:rsidP="000C7AAB">
      <w:pPr>
        <w:pStyle w:val="FootnoteText"/>
      </w:pPr>
      <w:r>
        <w:rPr>
          <w:rStyle w:val="FootnoteReference"/>
        </w:rPr>
        <w:footnoteRef/>
      </w:r>
      <w:r>
        <w:t xml:space="preserve"> </w:t>
      </w:r>
      <w:r>
        <w:tab/>
        <w:t>NGR, r. 74(2).</w:t>
      </w:r>
    </w:p>
  </w:footnote>
  <w:footnote w:id="26">
    <w:p w:rsidR="009B394E" w:rsidRDefault="009B394E" w:rsidP="000C7AAB">
      <w:pPr>
        <w:pStyle w:val="FootnoteText"/>
      </w:pPr>
      <w:r>
        <w:rPr>
          <w:rStyle w:val="FootnoteReference"/>
        </w:rPr>
        <w:footnoteRef/>
      </w:r>
      <w:r>
        <w:t xml:space="preserve"> </w:t>
      </w:r>
      <w:r>
        <w:tab/>
      </w:r>
      <w:r w:rsidRPr="007E45A0">
        <w:t>Consumer Challenge Panel</w:t>
      </w:r>
      <w:r w:rsidR="00537890">
        <w:t xml:space="preserve"> (CCP11)</w:t>
      </w:r>
      <w:r w:rsidRPr="007E45A0">
        <w:t xml:space="preserve">, </w:t>
      </w:r>
      <w:r w:rsidRPr="006764CA">
        <w:rPr>
          <w:rStyle w:val="Emphasis"/>
        </w:rPr>
        <w:t>Response to proposals from AGN, AusNet and Multinet for the 2018-22 access arrangement,</w:t>
      </w:r>
      <w:r w:rsidRPr="007E45A0">
        <w:t xml:space="preserve"> 03 March 2017, pp.39-40</w:t>
      </w:r>
    </w:p>
  </w:footnote>
  <w:footnote w:id="27">
    <w:p w:rsidR="009B394E" w:rsidRDefault="009B394E" w:rsidP="000C7AAB">
      <w:pPr>
        <w:pStyle w:val="FootnoteText"/>
      </w:pPr>
      <w:r>
        <w:rPr>
          <w:rStyle w:val="FootnoteReference"/>
        </w:rPr>
        <w:footnoteRef/>
      </w:r>
      <w:r>
        <w:t xml:space="preserve">  </w:t>
      </w:r>
      <w:r>
        <w:tab/>
      </w:r>
      <w:r w:rsidRPr="00DA0FA0">
        <w:t>NGR, r. 72(1)(a)(iii)(A).</w:t>
      </w:r>
    </w:p>
  </w:footnote>
  <w:footnote w:id="28">
    <w:p w:rsidR="009B394E" w:rsidRDefault="009B394E" w:rsidP="000C7AAB">
      <w:pPr>
        <w:pStyle w:val="FootnoteText"/>
      </w:pPr>
      <w:r>
        <w:rPr>
          <w:rStyle w:val="FootnoteReference"/>
        </w:rPr>
        <w:footnoteRef/>
      </w:r>
      <w:r>
        <w:t xml:space="preserve"> </w:t>
      </w:r>
      <w:r>
        <w:tab/>
      </w:r>
      <w:r w:rsidR="00A2569D">
        <w:t xml:space="preserve">AGN, </w:t>
      </w:r>
      <w:r w:rsidR="00A2569D" w:rsidRPr="00570558">
        <w:rPr>
          <w:rStyle w:val="AERtextitalic"/>
        </w:rPr>
        <w:t>Victoria and Albury Final Plan</w:t>
      </w:r>
      <w:r w:rsidR="00A2569D">
        <w:t>, December 2016</w:t>
      </w:r>
      <w:r>
        <w:t>, page 156-160</w:t>
      </w:r>
    </w:p>
  </w:footnote>
  <w:footnote w:id="29">
    <w:p w:rsidR="009B394E" w:rsidRDefault="009B394E">
      <w:pPr>
        <w:pStyle w:val="FootnoteText"/>
      </w:pPr>
      <w:r>
        <w:rPr>
          <w:rStyle w:val="FootnoteReference"/>
        </w:rPr>
        <w:footnoteRef/>
      </w:r>
      <w:r>
        <w:t xml:space="preserve"> </w:t>
      </w:r>
      <w:r>
        <w:tab/>
        <w:t>NGR. r.72(1)(d).</w:t>
      </w:r>
    </w:p>
  </w:footnote>
  <w:footnote w:id="30">
    <w:p w:rsidR="009B394E" w:rsidRDefault="009B394E" w:rsidP="000C7AAB">
      <w:pPr>
        <w:pStyle w:val="FootnoteText"/>
      </w:pPr>
      <w:r>
        <w:rPr>
          <w:rStyle w:val="FootnoteReference"/>
        </w:rPr>
        <w:footnoteRef/>
      </w:r>
      <w:r>
        <w:t xml:space="preserve"> </w:t>
      </w:r>
      <w:r>
        <w:tab/>
        <w:t>NGR, r. 74.</w:t>
      </w:r>
    </w:p>
  </w:footnote>
  <w:footnote w:id="31">
    <w:p w:rsidR="009B394E" w:rsidRDefault="009B394E" w:rsidP="000C7AAB">
      <w:pPr>
        <w:pStyle w:val="FootnoteText"/>
      </w:pPr>
      <w:r>
        <w:rPr>
          <w:rStyle w:val="FootnoteReference"/>
        </w:rPr>
        <w:footnoteRef/>
      </w:r>
      <w:r>
        <w:t xml:space="preserve"> </w:t>
      </w:r>
      <w:r>
        <w:tab/>
        <w:t xml:space="preserve">ACIL Allen, </w:t>
      </w:r>
      <w:r w:rsidRPr="006764CA">
        <w:rPr>
          <w:rStyle w:val="Emphasis"/>
        </w:rPr>
        <w:t>Review of the Demand Forecasts for Australian Gas Networks</w:t>
      </w:r>
      <w:r>
        <w:t>, April 2017, p. 14.</w:t>
      </w:r>
    </w:p>
  </w:footnote>
  <w:footnote w:id="32">
    <w:p w:rsidR="009B394E" w:rsidRDefault="009B394E" w:rsidP="000C7AAB">
      <w:pPr>
        <w:pStyle w:val="FootnoteText"/>
      </w:pPr>
      <w:r>
        <w:rPr>
          <w:rStyle w:val="FootnoteReference"/>
        </w:rPr>
        <w:footnoteRef/>
      </w:r>
      <w:r>
        <w:t xml:space="preserve"> </w:t>
      </w:r>
      <w:r>
        <w:tab/>
        <w:t xml:space="preserve">Effective Degree Day Index captures the combined impact of temperature, wind and sunshine on gas consumption. It attempts to take into account the weather-related parameters that may affect consumer behaviour in relation to gas consumption. Higher EDD corresponds to colder temperature and higher demand per connection, as more gas is required for heating; </w:t>
      </w:r>
      <w:r w:rsidR="000C106B">
        <w:t xml:space="preserve">Core Energy group, </w:t>
      </w:r>
      <w:r w:rsidR="000C106B" w:rsidRPr="00570558">
        <w:rPr>
          <w:rStyle w:val="AERtextitalic"/>
        </w:rPr>
        <w:t>Gas Demand Forecast</w:t>
      </w:r>
      <w:r w:rsidR="000C106B">
        <w:t>, December 2016</w:t>
      </w:r>
      <w:r>
        <w:t>, pp. 41-46.</w:t>
      </w:r>
    </w:p>
  </w:footnote>
  <w:footnote w:id="33">
    <w:p w:rsidR="009B394E" w:rsidRDefault="009B394E" w:rsidP="000C7AAB">
      <w:pPr>
        <w:pStyle w:val="FootnoteText"/>
      </w:pPr>
      <w:r>
        <w:rPr>
          <w:rStyle w:val="FootnoteReference"/>
        </w:rPr>
        <w:footnoteRef/>
      </w:r>
      <w:r>
        <w:t xml:space="preserve"> </w:t>
      </w:r>
      <w:r>
        <w:tab/>
        <w:t xml:space="preserve">ACIL Allen, </w:t>
      </w:r>
      <w:r w:rsidRPr="006764CA">
        <w:rPr>
          <w:rStyle w:val="Emphasis"/>
        </w:rPr>
        <w:t>Review of demand forecasts for Australian Gas Networks</w:t>
      </w:r>
      <w:r>
        <w:t>,</w:t>
      </w:r>
      <w:r w:rsidRPr="00723D4C">
        <w:t xml:space="preserve"> </w:t>
      </w:r>
      <w:r>
        <w:t>June 2017, pp. 18-20.</w:t>
      </w:r>
    </w:p>
  </w:footnote>
  <w:footnote w:id="34">
    <w:p w:rsidR="009B394E" w:rsidRDefault="009B394E" w:rsidP="000C7AAB">
      <w:pPr>
        <w:pStyle w:val="FootnoteText"/>
      </w:pPr>
      <w:r>
        <w:rPr>
          <w:rStyle w:val="FootnoteReference"/>
        </w:rPr>
        <w:footnoteRef/>
      </w:r>
      <w:r>
        <w:t xml:space="preserve"> </w:t>
      </w:r>
      <w:r>
        <w:tab/>
      </w:r>
      <w:r w:rsidR="000C106B">
        <w:t xml:space="preserve">Core Energy group, </w:t>
      </w:r>
      <w:r w:rsidR="000C106B" w:rsidRPr="00570558">
        <w:rPr>
          <w:rStyle w:val="AERtextitalic"/>
        </w:rPr>
        <w:t>Gas Demand Forecast</w:t>
      </w:r>
      <w:r w:rsidR="000C106B">
        <w:t>, December 2016</w:t>
      </w:r>
      <w:r>
        <w:t>, p.53.</w:t>
      </w:r>
    </w:p>
  </w:footnote>
  <w:footnote w:id="35">
    <w:p w:rsidR="009B394E" w:rsidRDefault="009B394E" w:rsidP="000C7AAB">
      <w:pPr>
        <w:pStyle w:val="FootnoteText"/>
      </w:pPr>
      <w:r>
        <w:rPr>
          <w:rStyle w:val="FootnoteReference"/>
        </w:rPr>
        <w:footnoteRef/>
      </w:r>
      <w:r>
        <w:t xml:space="preserve"> </w:t>
      </w:r>
      <w:r>
        <w:tab/>
      </w:r>
      <w:r w:rsidR="00A2569D">
        <w:t xml:space="preserve">Core Energy group, </w:t>
      </w:r>
      <w:r w:rsidR="00A2569D" w:rsidRPr="00570558">
        <w:rPr>
          <w:rStyle w:val="AERtextitalic"/>
        </w:rPr>
        <w:t>Gas Demand Forecast</w:t>
      </w:r>
      <w:r w:rsidR="00A2569D">
        <w:t>, December 2016</w:t>
      </w:r>
      <w:r>
        <w:t>, p.52.</w:t>
      </w:r>
    </w:p>
  </w:footnote>
  <w:footnote w:id="36">
    <w:p w:rsidR="009B394E" w:rsidRDefault="009B394E" w:rsidP="000C7AAB">
      <w:pPr>
        <w:pStyle w:val="FootnoteText"/>
      </w:pPr>
      <w:r>
        <w:rPr>
          <w:rStyle w:val="FootnoteReference"/>
        </w:rPr>
        <w:footnoteRef/>
      </w:r>
      <w:r>
        <w:t xml:space="preserve"> </w:t>
      </w:r>
      <w:r>
        <w:tab/>
        <w:t xml:space="preserve">CE extrapolated the last two years. CE assumed that the movement in gas prices in 2021 and 2022 is equal to the movement observed in 2020. As for the Albury network, CE based the forecast on our determination on Essential Energy Distribution determination 2015/16 to 2018/19. CE extrapolated the movement in price based on the 2018/19 value.  See </w:t>
      </w:r>
      <w:r w:rsidR="00A2569D">
        <w:t xml:space="preserve">Core Energy group, </w:t>
      </w:r>
      <w:r w:rsidR="00A2569D" w:rsidRPr="00570558">
        <w:rPr>
          <w:rStyle w:val="AERtextitalic"/>
        </w:rPr>
        <w:t>Gas Demand Forecast</w:t>
      </w:r>
      <w:r w:rsidR="00A2569D">
        <w:t>, December 2016</w:t>
      </w:r>
      <w:r>
        <w:t>, p.105-7</w:t>
      </w:r>
      <w:r w:rsidRPr="008346E1">
        <w:t>.</w:t>
      </w:r>
    </w:p>
  </w:footnote>
  <w:footnote w:id="37">
    <w:p w:rsidR="009B394E" w:rsidRDefault="009B394E" w:rsidP="000C7AAB">
      <w:pPr>
        <w:pStyle w:val="FootnoteText"/>
      </w:pPr>
      <w:r>
        <w:rPr>
          <w:rStyle w:val="FootnoteReference"/>
        </w:rPr>
        <w:footnoteRef/>
      </w:r>
      <w:r>
        <w:t xml:space="preserve"> </w:t>
      </w:r>
      <w:r>
        <w:tab/>
        <w:t xml:space="preserve">ACIL Allen, </w:t>
      </w:r>
      <w:r w:rsidRPr="006764CA">
        <w:rPr>
          <w:rStyle w:val="Emphasis"/>
        </w:rPr>
        <w:t>Review of demand forecasts for Australian Gas Networks</w:t>
      </w:r>
      <w:r>
        <w:t>, June 2017</w:t>
      </w:r>
      <w:r w:rsidR="00873437">
        <w:t>, p.29</w:t>
      </w:r>
      <w:r>
        <w:t>.</w:t>
      </w:r>
    </w:p>
  </w:footnote>
  <w:footnote w:id="38">
    <w:p w:rsidR="009B394E" w:rsidRDefault="009B394E" w:rsidP="000C7AAB">
      <w:pPr>
        <w:pStyle w:val="FootnoteText"/>
      </w:pPr>
      <w:r>
        <w:rPr>
          <w:rStyle w:val="FootnoteReference"/>
        </w:rPr>
        <w:footnoteRef/>
      </w:r>
      <w:r>
        <w:t xml:space="preserve"> </w:t>
      </w:r>
      <w:r>
        <w:tab/>
      </w:r>
      <w:r w:rsidRPr="00207671">
        <w:t xml:space="preserve">Origin Energy, </w:t>
      </w:r>
      <w:r w:rsidRPr="00207671">
        <w:rPr>
          <w:rStyle w:val="Emphasis"/>
        </w:rPr>
        <w:t>Victorian gas access arrangement review 2018-22 - Response to gas distribution business' proposal</w:t>
      </w:r>
      <w:r>
        <w:t>, 10 March 2017, p.2.</w:t>
      </w:r>
    </w:p>
  </w:footnote>
  <w:footnote w:id="39">
    <w:p w:rsidR="009B394E" w:rsidRDefault="009B394E" w:rsidP="000C7AAB">
      <w:pPr>
        <w:pStyle w:val="FootnoteText"/>
      </w:pPr>
      <w:r>
        <w:rPr>
          <w:rStyle w:val="FootnoteReference"/>
        </w:rPr>
        <w:footnoteRef/>
      </w:r>
      <w:r>
        <w:t xml:space="preserve"> </w:t>
      </w:r>
      <w:r>
        <w:tab/>
      </w:r>
      <w:r w:rsidRPr="002909B2">
        <w:t xml:space="preserve">Consumer Challenge Panel, </w:t>
      </w:r>
      <w:r w:rsidRPr="001E6FE6">
        <w:rPr>
          <w:rStyle w:val="Emphasis"/>
        </w:rPr>
        <w:t>Response to proposals from AGN, AusNet and Multinet for the 2018-22 access arrangement</w:t>
      </w:r>
      <w:r w:rsidRPr="002909B2">
        <w:t>, 03 March 2017, pp.39-40</w:t>
      </w:r>
    </w:p>
  </w:footnote>
  <w:footnote w:id="40">
    <w:p w:rsidR="009B394E" w:rsidRDefault="009B394E" w:rsidP="000C7AAB">
      <w:pPr>
        <w:pStyle w:val="FootnoteText"/>
      </w:pPr>
      <w:r>
        <w:rPr>
          <w:rStyle w:val="FootnoteReference"/>
        </w:rPr>
        <w:footnoteRef/>
      </w:r>
      <w:r>
        <w:t xml:space="preserve"> </w:t>
      </w:r>
      <w:r>
        <w:tab/>
        <w:t>This compares to the historical growth rate of 2.5 per cent over the 2008–15 period.</w:t>
      </w:r>
    </w:p>
  </w:footnote>
  <w:footnote w:id="41">
    <w:p w:rsidR="009B394E" w:rsidRDefault="009B394E" w:rsidP="000C7AAB">
      <w:pPr>
        <w:pStyle w:val="FootnoteText"/>
      </w:pPr>
      <w:r>
        <w:rPr>
          <w:rStyle w:val="FootnoteReference"/>
        </w:rPr>
        <w:footnoteRef/>
      </w:r>
      <w:r>
        <w:t xml:space="preserve"> </w:t>
      </w:r>
      <w:r>
        <w:tab/>
        <w:t xml:space="preserve">ACIL Allen, </w:t>
      </w:r>
      <w:r w:rsidRPr="001E6FE6">
        <w:rPr>
          <w:rStyle w:val="Emphasis"/>
        </w:rPr>
        <w:t>Review of demand forecasts for Australian Gas Networks</w:t>
      </w:r>
      <w:r>
        <w:t xml:space="preserve">, June </w:t>
      </w:r>
      <w:r w:rsidR="00873437">
        <w:t>2017, p</w:t>
      </w:r>
      <w:r>
        <w:t>. 21-5.</w:t>
      </w:r>
    </w:p>
  </w:footnote>
  <w:footnote w:id="42">
    <w:p w:rsidR="009B394E" w:rsidRDefault="009B394E" w:rsidP="000C7AAB">
      <w:pPr>
        <w:pStyle w:val="FootnoteText"/>
      </w:pPr>
      <w:r>
        <w:rPr>
          <w:rStyle w:val="FootnoteReference"/>
        </w:rPr>
        <w:footnoteRef/>
      </w:r>
      <w:r>
        <w:t xml:space="preserve"> </w:t>
      </w:r>
      <w:r>
        <w:tab/>
      </w:r>
      <w:r w:rsidRPr="00220785">
        <w:t xml:space="preserve">ACIL Allen, </w:t>
      </w:r>
      <w:r w:rsidRPr="001E6FE6">
        <w:rPr>
          <w:rStyle w:val="Emphasis"/>
        </w:rPr>
        <w:t>Review of demand forecasts for Australian Gas Networks</w:t>
      </w:r>
      <w:r w:rsidRPr="00220785">
        <w:t xml:space="preserve">, </w:t>
      </w:r>
      <w:r>
        <w:t>June 2017</w:t>
      </w:r>
      <w:r w:rsidR="00873437">
        <w:t>, p.3</w:t>
      </w:r>
      <w:r>
        <w:t>.</w:t>
      </w:r>
    </w:p>
  </w:footnote>
  <w:footnote w:id="43">
    <w:p w:rsidR="009B394E" w:rsidRDefault="009B394E" w:rsidP="000C7AAB">
      <w:pPr>
        <w:pStyle w:val="FootnoteText"/>
      </w:pPr>
      <w:r>
        <w:rPr>
          <w:rStyle w:val="FootnoteReference"/>
        </w:rPr>
        <w:footnoteRef/>
      </w:r>
      <w:r>
        <w:t xml:space="preserve"> </w:t>
      </w:r>
      <w:r>
        <w:tab/>
      </w:r>
      <w:r w:rsidRPr="00220785">
        <w:t>ACIL Allen, Review of demand forecasts for Australian Gas Networks,</w:t>
      </w:r>
      <w:r w:rsidRPr="00723D4C">
        <w:t xml:space="preserve"> </w:t>
      </w:r>
      <w:r>
        <w:t>June 2017,</w:t>
      </w:r>
      <w:r w:rsidRPr="00220785">
        <w:t xml:space="preserve"> </w:t>
      </w:r>
      <w:r>
        <w:t>p.4.</w:t>
      </w:r>
    </w:p>
  </w:footnote>
  <w:footnote w:id="44">
    <w:p w:rsidR="009B394E" w:rsidRDefault="009B394E" w:rsidP="000C7AAB">
      <w:pPr>
        <w:pStyle w:val="FootnoteText"/>
      </w:pPr>
      <w:r>
        <w:rPr>
          <w:rStyle w:val="FootnoteReference"/>
        </w:rPr>
        <w:footnoteRef/>
      </w:r>
      <w:r>
        <w:t xml:space="preserve"> </w:t>
      </w:r>
      <w:r>
        <w:tab/>
      </w:r>
      <w:r w:rsidRPr="00220785">
        <w:t xml:space="preserve">ACIL Allen, </w:t>
      </w:r>
      <w:r w:rsidRPr="001E6FE6">
        <w:rPr>
          <w:rStyle w:val="Emphasis"/>
        </w:rPr>
        <w:t>Review of demand forecasts for Australian Gas Networks</w:t>
      </w:r>
      <w:r w:rsidRPr="00220785">
        <w:t xml:space="preserve">, </w:t>
      </w:r>
      <w:r>
        <w:t>June 2017</w:t>
      </w:r>
      <w:r w:rsidR="00873437">
        <w:t>, p.4</w:t>
      </w:r>
      <w:r>
        <w:t>.</w:t>
      </w:r>
      <w:r w:rsidDel="001E6FE6">
        <w:t xml:space="preserve"> </w:t>
      </w:r>
    </w:p>
  </w:footnote>
  <w:footnote w:id="45">
    <w:p w:rsidR="009B394E" w:rsidRDefault="009B394E" w:rsidP="000C7AAB">
      <w:pPr>
        <w:pStyle w:val="FootnoteText"/>
      </w:pPr>
      <w:r>
        <w:rPr>
          <w:rStyle w:val="FootnoteReference"/>
        </w:rPr>
        <w:footnoteRef/>
      </w:r>
      <w:r>
        <w:t xml:space="preserve"> </w:t>
      </w:r>
      <w:r>
        <w:tab/>
      </w:r>
      <w:r w:rsidRPr="00220785">
        <w:t xml:space="preserve">ACIL Allen, </w:t>
      </w:r>
      <w:r w:rsidRPr="001E6FE6">
        <w:rPr>
          <w:rStyle w:val="Emphasis"/>
        </w:rPr>
        <w:t>Review of demand forecasts for Australian Gas Networks</w:t>
      </w:r>
      <w:r w:rsidRPr="00220785">
        <w:t>,</w:t>
      </w:r>
      <w:r w:rsidRPr="00723D4C">
        <w:t xml:space="preserve"> </w:t>
      </w:r>
      <w:r>
        <w:t>June 2017,</w:t>
      </w:r>
      <w:r w:rsidRPr="00220785">
        <w:t xml:space="preserve"> </w:t>
      </w:r>
      <w:r>
        <w:t xml:space="preserve">p.30. </w:t>
      </w:r>
    </w:p>
  </w:footnote>
  <w:footnote w:id="46">
    <w:p w:rsidR="009B394E" w:rsidRDefault="009B394E" w:rsidP="000C7AAB">
      <w:pPr>
        <w:pStyle w:val="FootnoteText"/>
      </w:pPr>
      <w:r>
        <w:rPr>
          <w:rStyle w:val="FootnoteReference"/>
        </w:rPr>
        <w:footnoteRef/>
      </w:r>
      <w:r>
        <w:t xml:space="preserve"> </w:t>
      </w:r>
      <w:r>
        <w:tab/>
      </w:r>
      <w:r w:rsidR="00A2569D">
        <w:t xml:space="preserve">Core Energy group, </w:t>
      </w:r>
      <w:r w:rsidR="00A2569D" w:rsidRPr="00570558">
        <w:rPr>
          <w:rStyle w:val="AERtextitalic"/>
        </w:rPr>
        <w:t>Gas Demand Forecast</w:t>
      </w:r>
      <w:r w:rsidR="00A2569D">
        <w:t>, December 2016</w:t>
      </w:r>
      <w:r>
        <w:t>, p.62.</w:t>
      </w:r>
    </w:p>
  </w:footnote>
  <w:footnote w:id="47">
    <w:p w:rsidR="009B394E" w:rsidRDefault="009B394E" w:rsidP="000C7AAB">
      <w:pPr>
        <w:pStyle w:val="FootnoteText"/>
      </w:pPr>
      <w:r>
        <w:rPr>
          <w:rStyle w:val="FootnoteReference"/>
        </w:rPr>
        <w:footnoteRef/>
      </w:r>
      <w:r>
        <w:t xml:space="preserve"> </w:t>
      </w:r>
      <w:r>
        <w:tab/>
      </w:r>
      <w:r w:rsidRPr="00301D7F">
        <w:t xml:space="preserve">ACIL Allen, </w:t>
      </w:r>
      <w:r w:rsidRPr="00986CFA">
        <w:rPr>
          <w:rStyle w:val="Emphasis"/>
        </w:rPr>
        <w:t>Review of demand forecasts for Australian Gas Networks</w:t>
      </w:r>
      <w:r w:rsidRPr="00301D7F">
        <w:t>,</w:t>
      </w:r>
      <w:r w:rsidRPr="00723D4C">
        <w:t xml:space="preserve"> </w:t>
      </w:r>
      <w:r>
        <w:t>June 2017,</w:t>
      </w:r>
      <w:r w:rsidRPr="00301D7F">
        <w:t xml:space="preserve"> p.</w:t>
      </w:r>
      <w:r>
        <w:t xml:space="preserve"> </w:t>
      </w:r>
      <w:r w:rsidRPr="00301D7F">
        <w:t>2</w:t>
      </w:r>
      <w:r>
        <w:t>7</w:t>
      </w:r>
      <w:r w:rsidRPr="00301D7F">
        <w:t>.</w:t>
      </w:r>
    </w:p>
  </w:footnote>
  <w:footnote w:id="48">
    <w:p w:rsidR="009B394E" w:rsidRDefault="009B394E" w:rsidP="000C7AAB">
      <w:pPr>
        <w:pStyle w:val="FootnoteText"/>
      </w:pPr>
      <w:r>
        <w:rPr>
          <w:rStyle w:val="FootnoteReference"/>
        </w:rPr>
        <w:footnoteRef/>
      </w:r>
      <w:r>
        <w:t xml:space="preserve"> </w:t>
      </w:r>
      <w:r>
        <w:tab/>
        <w:t xml:space="preserve"> </w:t>
      </w:r>
      <w:r w:rsidRPr="001E6FE6">
        <w:t>ACIL Allen, Review of demand forecasts for Australian Gas Networks,</w:t>
      </w:r>
      <w:r w:rsidRPr="00723D4C">
        <w:t xml:space="preserve"> </w:t>
      </w:r>
      <w:r>
        <w:t>June 2017,</w:t>
      </w:r>
      <w:r w:rsidRPr="001E6FE6">
        <w:t xml:space="preserve"> p. 2</w:t>
      </w:r>
      <w:r>
        <w:t>8</w:t>
      </w:r>
      <w:r w:rsidRPr="001E6FE6">
        <w:t>.</w:t>
      </w:r>
    </w:p>
  </w:footnote>
  <w:footnote w:id="49">
    <w:p w:rsidR="009B394E" w:rsidRDefault="009B394E" w:rsidP="000C7AAB">
      <w:pPr>
        <w:pStyle w:val="FootnoteText"/>
      </w:pPr>
      <w:r>
        <w:rPr>
          <w:rStyle w:val="FootnoteReference"/>
        </w:rPr>
        <w:footnoteRef/>
      </w:r>
      <w:r>
        <w:t xml:space="preserve"> </w:t>
      </w:r>
      <w:r>
        <w:tab/>
      </w:r>
      <w:r w:rsidRPr="00986CFA">
        <w:t xml:space="preserve">ACIL Allen, </w:t>
      </w:r>
      <w:r w:rsidRPr="00986CFA">
        <w:rPr>
          <w:rStyle w:val="Emphasis"/>
        </w:rPr>
        <w:t>Review of demand forecasts for Australian Gas Networks</w:t>
      </w:r>
      <w:r w:rsidRPr="00986CFA">
        <w:t xml:space="preserve">, </w:t>
      </w:r>
      <w:r>
        <w:t>June 2017</w:t>
      </w:r>
      <w:r w:rsidR="00873437">
        <w:t>,</w:t>
      </w:r>
      <w:r w:rsidR="00873437" w:rsidRPr="00986CFA">
        <w:t xml:space="preserve"> p</w:t>
      </w:r>
      <w:r w:rsidRPr="00986CFA">
        <w:t>.</w:t>
      </w:r>
      <w:r>
        <w:t xml:space="preserve"> 31</w:t>
      </w:r>
      <w:r w:rsidRPr="00986CFA">
        <w:t>.</w:t>
      </w:r>
    </w:p>
  </w:footnote>
  <w:footnote w:id="50">
    <w:p w:rsidR="009B394E" w:rsidRDefault="009B394E" w:rsidP="000C7AAB">
      <w:pPr>
        <w:pStyle w:val="FootnoteText"/>
      </w:pPr>
      <w:r>
        <w:rPr>
          <w:rStyle w:val="FootnoteReference"/>
        </w:rPr>
        <w:footnoteRef/>
      </w:r>
      <w:r>
        <w:t xml:space="preserve"> </w:t>
      </w:r>
      <w:r>
        <w:tab/>
        <w:t>NGR, r. 74.</w:t>
      </w:r>
    </w:p>
  </w:footnote>
  <w:footnote w:id="51">
    <w:p w:rsidR="009B394E" w:rsidRDefault="009B394E" w:rsidP="000C7AAB">
      <w:pPr>
        <w:pStyle w:val="FootnoteText"/>
      </w:pPr>
      <w:r>
        <w:rPr>
          <w:rStyle w:val="FootnoteReference"/>
        </w:rPr>
        <w:footnoteRef/>
      </w:r>
      <w:r>
        <w:t xml:space="preserve"> </w:t>
      </w:r>
      <w:r>
        <w:tab/>
        <w:t xml:space="preserve">AEMO, </w:t>
      </w:r>
      <w:r w:rsidRPr="0099451B">
        <w:rPr>
          <w:rStyle w:val="Emphasis"/>
        </w:rPr>
        <w:t>National Gas Forecasting Report, December 2016</w:t>
      </w:r>
      <w:r>
        <w:t>, p.13.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9A0" w:rsidRDefault="00CA79A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9A0" w:rsidRDefault="00CA79A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9A0" w:rsidRDefault="00CA79A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94E" w:rsidRDefault="009B394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31C7FA6"/>
    <w:multiLevelType w:val="hybridMultilevel"/>
    <w:tmpl w:val="1A7E9E04"/>
    <w:lvl w:ilvl="0" w:tplc="A356B254">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0">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1">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3">
    <w:nsid w:val="19B737F8"/>
    <w:multiLevelType w:val="multilevel"/>
    <w:tmpl w:val="6FB04AB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4418" w:hanging="1440"/>
      </w:pPr>
      <w:rPr>
        <w:rFonts w:hint="default"/>
      </w:rPr>
    </w:lvl>
    <w:lvl w:ilvl="8">
      <w:start w:val="1"/>
      <w:numFmt w:val="decimal"/>
      <w:lvlText w:val="%1.%2.%3.%4.%5.%6.%7.%8.%9"/>
      <w:lvlJc w:val="left"/>
      <w:pPr>
        <w:ind w:left="1584" w:hanging="1584"/>
      </w:pPr>
      <w:rPr>
        <w:rFonts w:hint="default"/>
      </w:rPr>
    </w:lvl>
  </w:abstractNum>
  <w:abstractNum w:abstractNumId="14">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5">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7">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8">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AF336BC"/>
    <w:multiLevelType w:val="hybridMultilevel"/>
    <w:tmpl w:val="955A02CC"/>
    <w:lvl w:ilvl="0" w:tplc="C90C7928">
      <w:start w:val="1"/>
      <w:numFmt w:val="bullet"/>
      <w:lvlText w:val=""/>
      <w:lvlJc w:val="left"/>
      <w:pPr>
        <w:ind w:left="786"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4">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6">
    <w:nsid w:val="5ECE4384"/>
    <w:multiLevelType w:val="multilevel"/>
    <w:tmpl w:val="FD46F0E0"/>
    <w:lvl w:ilvl="0">
      <w:start w:val="13"/>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1004"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28">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7AAC6DD7"/>
    <w:multiLevelType w:val="multilevel"/>
    <w:tmpl w:val="950A1C52"/>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30">
    <w:nsid w:val="7AEA3AE1"/>
    <w:multiLevelType w:val="hybridMultilevel"/>
    <w:tmpl w:val="52969776"/>
    <w:lvl w:ilvl="0" w:tplc="1B665800">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31"/>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7"/>
  </w:num>
  <w:num w:numId="13">
    <w:abstractNumId w:val="19"/>
  </w:num>
  <w:num w:numId="14">
    <w:abstractNumId w:val="11"/>
  </w:num>
  <w:num w:numId="15">
    <w:abstractNumId w:val="14"/>
  </w:num>
  <w:num w:numId="16">
    <w:abstractNumId w:val="21"/>
  </w:num>
  <w:num w:numId="17">
    <w:abstractNumId w:val="10"/>
  </w:num>
  <w:num w:numId="18">
    <w:abstractNumId w:val="16"/>
  </w:num>
  <w:num w:numId="19">
    <w:abstractNumId w:val="22"/>
  </w:num>
  <w:num w:numId="20">
    <w:abstractNumId w:val="28"/>
  </w:num>
  <w:num w:numId="21">
    <w:abstractNumId w:val="25"/>
  </w:num>
  <w:num w:numId="22">
    <w:abstractNumId w:val="23"/>
  </w:num>
  <w:num w:numId="23">
    <w:abstractNumId w:val="17"/>
  </w:num>
  <w:num w:numId="24">
    <w:abstractNumId w:val="24"/>
  </w:num>
  <w:num w:numId="25">
    <w:abstractNumId w:val="26"/>
  </w:num>
  <w:num w:numId="26">
    <w:abstractNumId w:val="18"/>
  </w:num>
  <w:num w:numId="27">
    <w:abstractNumId w:val="15"/>
  </w:num>
  <w:num w:numId="28">
    <w:abstractNumId w:val="30"/>
  </w:num>
  <w:num w:numId="29">
    <w:abstractNumId w:val="20"/>
  </w:num>
  <w:num w:numId="30">
    <w:abstractNumId w:val="9"/>
  </w:num>
  <w:num w:numId="31">
    <w:abstractNumId w:val="29"/>
    <w:lvlOverride w:ilvl="0">
      <w:lvl w:ilvl="0">
        <w:start w:val="1"/>
        <w:numFmt w:val="none"/>
        <w:lvlText w:val="%1"/>
        <w:lvlJc w:val="left"/>
        <w:pPr>
          <w:tabs>
            <w:tab w:val="num" w:pos="0"/>
          </w:tabs>
          <w:ind w:left="0" w:firstLine="0"/>
        </w:pPr>
        <w:rPr>
          <w:rFonts w:hint="default"/>
        </w:rPr>
      </w:lvl>
    </w:lvlOverride>
    <w:lvlOverride w:ilvl="1">
      <w:lvl w:ilvl="1">
        <w:start w:val="1"/>
        <w:numFmt w:val="decimal"/>
        <w:lvlText w:val="%1%2"/>
        <w:lvlJc w:val="left"/>
        <w:pPr>
          <w:tabs>
            <w:tab w:val="num" w:pos="0"/>
          </w:tabs>
          <w:ind w:left="0" w:hanging="851"/>
        </w:pPr>
        <w:rPr>
          <w:rFonts w:hint="default"/>
        </w:rPr>
      </w:lvl>
    </w:lvlOverride>
    <w:lvlOverride w:ilvl="2">
      <w:lvl w:ilvl="2">
        <w:start w:val="1"/>
        <w:numFmt w:val="decimal"/>
        <w:lvlText w:val="%1%2.%3"/>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2.%3.%4"/>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2">
    <w:abstractNumId w:val="17"/>
    <w:lvlOverride w:ilvl="3">
      <w:lvl w:ilvl="3">
        <w:start w:val="1"/>
        <w:numFmt w:val="decimal"/>
        <w:lvlText w:val="%2.%3.%4"/>
        <w:lvlJc w:val="left"/>
        <w:pPr>
          <w:tabs>
            <w:tab w:val="num" w:pos="0"/>
          </w:tabs>
          <w:ind w:left="0" w:hanging="851"/>
        </w:pPr>
        <w:rPr>
          <w:rFonts w:hint="default"/>
        </w:rPr>
      </w:lvl>
    </w:lvlOverride>
  </w:num>
  <w:num w:numId="33">
    <w:abstractNumId w:val="13"/>
  </w:num>
  <w:num w:numId="3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iGCIAkLWV1gKazF41Z83NT/3MNFO7RC5IvWBAMpBTkk=" w:saltValue="2NYtkVShDw263tvIy1gdYw==" w:algorithmName="SHA-256"/>
  <w:defaultTabStop w:val="340"/>
  <w:characterSpacingControl w:val="doNotCompress"/>
  <w:hdrShapeDefaults>
    <o:shapedefaults v:ext="edit" spidmax="2232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8592\D16 9526  AER - Draft decision ElectraNet transmission determination - Attachment 1 - Maximum allowed revenue.DOCX"/>
  </w:docVars>
  <w:rsids>
    <w:rsidRoot w:val="00961A4A"/>
    <w:rsid w:val="000051DC"/>
    <w:rsid w:val="0000658F"/>
    <w:rsid w:val="0001507B"/>
    <w:rsid w:val="00015AD1"/>
    <w:rsid w:val="00020016"/>
    <w:rsid w:val="00021202"/>
    <w:rsid w:val="00021C2B"/>
    <w:rsid w:val="0002498B"/>
    <w:rsid w:val="0002517F"/>
    <w:rsid w:val="00026187"/>
    <w:rsid w:val="000266FC"/>
    <w:rsid w:val="000273B3"/>
    <w:rsid w:val="00027E2D"/>
    <w:rsid w:val="00032D34"/>
    <w:rsid w:val="0003578C"/>
    <w:rsid w:val="00044DA3"/>
    <w:rsid w:val="00045D48"/>
    <w:rsid w:val="00047388"/>
    <w:rsid w:val="000474DF"/>
    <w:rsid w:val="00051545"/>
    <w:rsid w:val="00055A67"/>
    <w:rsid w:val="00063247"/>
    <w:rsid w:val="0006624E"/>
    <w:rsid w:val="00070F9F"/>
    <w:rsid w:val="0007137B"/>
    <w:rsid w:val="00071C7A"/>
    <w:rsid w:val="00072D3B"/>
    <w:rsid w:val="00073B74"/>
    <w:rsid w:val="00076416"/>
    <w:rsid w:val="00077589"/>
    <w:rsid w:val="000805A8"/>
    <w:rsid w:val="0008190B"/>
    <w:rsid w:val="00081CD7"/>
    <w:rsid w:val="00081CEA"/>
    <w:rsid w:val="000836D9"/>
    <w:rsid w:val="00085663"/>
    <w:rsid w:val="00085EBF"/>
    <w:rsid w:val="00091B15"/>
    <w:rsid w:val="00095186"/>
    <w:rsid w:val="000A0E71"/>
    <w:rsid w:val="000A1C0C"/>
    <w:rsid w:val="000A3020"/>
    <w:rsid w:val="000A4840"/>
    <w:rsid w:val="000A62C1"/>
    <w:rsid w:val="000A6A79"/>
    <w:rsid w:val="000A6C7B"/>
    <w:rsid w:val="000A7DF1"/>
    <w:rsid w:val="000B0A7B"/>
    <w:rsid w:val="000B1173"/>
    <w:rsid w:val="000B33D2"/>
    <w:rsid w:val="000B5827"/>
    <w:rsid w:val="000B7037"/>
    <w:rsid w:val="000B7B2A"/>
    <w:rsid w:val="000C02D1"/>
    <w:rsid w:val="000C0C63"/>
    <w:rsid w:val="000C106B"/>
    <w:rsid w:val="000C2B40"/>
    <w:rsid w:val="000C5255"/>
    <w:rsid w:val="000C6409"/>
    <w:rsid w:val="000C7AAB"/>
    <w:rsid w:val="000D07A7"/>
    <w:rsid w:val="000D122C"/>
    <w:rsid w:val="000D75B0"/>
    <w:rsid w:val="000E1819"/>
    <w:rsid w:val="000E4821"/>
    <w:rsid w:val="000E4AA9"/>
    <w:rsid w:val="000E6C72"/>
    <w:rsid w:val="000E7F39"/>
    <w:rsid w:val="00100EA2"/>
    <w:rsid w:val="00101AA1"/>
    <w:rsid w:val="00102338"/>
    <w:rsid w:val="00104566"/>
    <w:rsid w:val="00104FF6"/>
    <w:rsid w:val="001114AA"/>
    <w:rsid w:val="00112684"/>
    <w:rsid w:val="00115743"/>
    <w:rsid w:val="00116EB2"/>
    <w:rsid w:val="00116F9C"/>
    <w:rsid w:val="0012132C"/>
    <w:rsid w:val="00122FE7"/>
    <w:rsid w:val="00124609"/>
    <w:rsid w:val="00126A4C"/>
    <w:rsid w:val="001270E3"/>
    <w:rsid w:val="00132D43"/>
    <w:rsid w:val="00133366"/>
    <w:rsid w:val="00133F47"/>
    <w:rsid w:val="00134029"/>
    <w:rsid w:val="00142C2D"/>
    <w:rsid w:val="00144C96"/>
    <w:rsid w:val="0014573B"/>
    <w:rsid w:val="001463A3"/>
    <w:rsid w:val="0015073A"/>
    <w:rsid w:val="001573E4"/>
    <w:rsid w:val="00160756"/>
    <w:rsid w:val="00161DC8"/>
    <w:rsid w:val="00166760"/>
    <w:rsid w:val="0017232E"/>
    <w:rsid w:val="00174102"/>
    <w:rsid w:val="001754EE"/>
    <w:rsid w:val="00180157"/>
    <w:rsid w:val="001809BC"/>
    <w:rsid w:val="00180E97"/>
    <w:rsid w:val="001820B4"/>
    <w:rsid w:val="00184351"/>
    <w:rsid w:val="00184AC8"/>
    <w:rsid w:val="00185BA5"/>
    <w:rsid w:val="00185CB9"/>
    <w:rsid w:val="00185DBE"/>
    <w:rsid w:val="00186ADC"/>
    <w:rsid w:val="00186F77"/>
    <w:rsid w:val="001877A4"/>
    <w:rsid w:val="001926A4"/>
    <w:rsid w:val="00192AD5"/>
    <w:rsid w:val="00193FA9"/>
    <w:rsid w:val="00194597"/>
    <w:rsid w:val="00194E00"/>
    <w:rsid w:val="0019628B"/>
    <w:rsid w:val="0019745E"/>
    <w:rsid w:val="00197B16"/>
    <w:rsid w:val="001A530D"/>
    <w:rsid w:val="001A5FB3"/>
    <w:rsid w:val="001A7155"/>
    <w:rsid w:val="001B45A0"/>
    <w:rsid w:val="001B680E"/>
    <w:rsid w:val="001D055E"/>
    <w:rsid w:val="001E1B3F"/>
    <w:rsid w:val="001E23CE"/>
    <w:rsid w:val="001E7161"/>
    <w:rsid w:val="001F05A4"/>
    <w:rsid w:val="001F3D4A"/>
    <w:rsid w:val="001F492E"/>
    <w:rsid w:val="001F64EF"/>
    <w:rsid w:val="001F6DA3"/>
    <w:rsid w:val="002010BC"/>
    <w:rsid w:val="002016E7"/>
    <w:rsid w:val="00202E03"/>
    <w:rsid w:val="002033B9"/>
    <w:rsid w:val="002043D0"/>
    <w:rsid w:val="0020492C"/>
    <w:rsid w:val="00204EC9"/>
    <w:rsid w:val="00206505"/>
    <w:rsid w:val="0020743F"/>
    <w:rsid w:val="00207671"/>
    <w:rsid w:val="00216C93"/>
    <w:rsid w:val="00220785"/>
    <w:rsid w:val="00223051"/>
    <w:rsid w:val="00224DB9"/>
    <w:rsid w:val="0022569A"/>
    <w:rsid w:val="0023005C"/>
    <w:rsid w:val="00231012"/>
    <w:rsid w:val="00233775"/>
    <w:rsid w:val="0023414B"/>
    <w:rsid w:val="00243635"/>
    <w:rsid w:val="00247079"/>
    <w:rsid w:val="00251745"/>
    <w:rsid w:val="00254B0B"/>
    <w:rsid w:val="002552BA"/>
    <w:rsid w:val="00257E33"/>
    <w:rsid w:val="00260016"/>
    <w:rsid w:val="00263AC0"/>
    <w:rsid w:val="00264264"/>
    <w:rsid w:val="0026689B"/>
    <w:rsid w:val="0026772D"/>
    <w:rsid w:val="002730B2"/>
    <w:rsid w:val="00274C7E"/>
    <w:rsid w:val="002777CF"/>
    <w:rsid w:val="002810F2"/>
    <w:rsid w:val="00286874"/>
    <w:rsid w:val="002909B2"/>
    <w:rsid w:val="00290C63"/>
    <w:rsid w:val="00291A99"/>
    <w:rsid w:val="00293B6D"/>
    <w:rsid w:val="00293D58"/>
    <w:rsid w:val="00294B08"/>
    <w:rsid w:val="0029518C"/>
    <w:rsid w:val="002963DD"/>
    <w:rsid w:val="00296B65"/>
    <w:rsid w:val="002A5F14"/>
    <w:rsid w:val="002A7DEF"/>
    <w:rsid w:val="002B0696"/>
    <w:rsid w:val="002B7C6D"/>
    <w:rsid w:val="002C0222"/>
    <w:rsid w:val="002C1499"/>
    <w:rsid w:val="002C233C"/>
    <w:rsid w:val="002C517B"/>
    <w:rsid w:val="002D3509"/>
    <w:rsid w:val="002D5457"/>
    <w:rsid w:val="002D72E8"/>
    <w:rsid w:val="002D79AD"/>
    <w:rsid w:val="002E12E4"/>
    <w:rsid w:val="002E268F"/>
    <w:rsid w:val="002E78DD"/>
    <w:rsid w:val="002E7B22"/>
    <w:rsid w:val="002F12EC"/>
    <w:rsid w:val="002F7986"/>
    <w:rsid w:val="00301B40"/>
    <w:rsid w:val="00301C82"/>
    <w:rsid w:val="00301D7F"/>
    <w:rsid w:val="003029EE"/>
    <w:rsid w:val="00303BEF"/>
    <w:rsid w:val="00304D38"/>
    <w:rsid w:val="00305CC8"/>
    <w:rsid w:val="00307F6D"/>
    <w:rsid w:val="00314D83"/>
    <w:rsid w:val="0031571F"/>
    <w:rsid w:val="003177A2"/>
    <w:rsid w:val="00317E02"/>
    <w:rsid w:val="00320259"/>
    <w:rsid w:val="003271B5"/>
    <w:rsid w:val="00327A1E"/>
    <w:rsid w:val="00327E28"/>
    <w:rsid w:val="00331264"/>
    <w:rsid w:val="00334C8D"/>
    <w:rsid w:val="003378BD"/>
    <w:rsid w:val="003424EA"/>
    <w:rsid w:val="00342C2F"/>
    <w:rsid w:val="003436EB"/>
    <w:rsid w:val="00343A18"/>
    <w:rsid w:val="00345744"/>
    <w:rsid w:val="00347F9C"/>
    <w:rsid w:val="003518B3"/>
    <w:rsid w:val="00353E79"/>
    <w:rsid w:val="0035611A"/>
    <w:rsid w:val="00364EA0"/>
    <w:rsid w:val="00366556"/>
    <w:rsid w:val="00366981"/>
    <w:rsid w:val="00370678"/>
    <w:rsid w:val="0037214E"/>
    <w:rsid w:val="00372C85"/>
    <w:rsid w:val="00373845"/>
    <w:rsid w:val="003744E3"/>
    <w:rsid w:val="00375F71"/>
    <w:rsid w:val="00376219"/>
    <w:rsid w:val="0037663E"/>
    <w:rsid w:val="0037687F"/>
    <w:rsid w:val="0037699E"/>
    <w:rsid w:val="00377A29"/>
    <w:rsid w:val="00377C69"/>
    <w:rsid w:val="0038415D"/>
    <w:rsid w:val="0038461C"/>
    <w:rsid w:val="003846F1"/>
    <w:rsid w:val="00390E6A"/>
    <w:rsid w:val="00393ABE"/>
    <w:rsid w:val="00395DB6"/>
    <w:rsid w:val="00397398"/>
    <w:rsid w:val="003A371A"/>
    <w:rsid w:val="003A59CD"/>
    <w:rsid w:val="003A6B00"/>
    <w:rsid w:val="003B30B2"/>
    <w:rsid w:val="003B484F"/>
    <w:rsid w:val="003B504B"/>
    <w:rsid w:val="003B5179"/>
    <w:rsid w:val="003B685C"/>
    <w:rsid w:val="003B7FBA"/>
    <w:rsid w:val="003C0D3E"/>
    <w:rsid w:val="003C6537"/>
    <w:rsid w:val="003C6A13"/>
    <w:rsid w:val="003C764A"/>
    <w:rsid w:val="003C78BA"/>
    <w:rsid w:val="003D41F1"/>
    <w:rsid w:val="003D42AB"/>
    <w:rsid w:val="003D5B94"/>
    <w:rsid w:val="003E0D3A"/>
    <w:rsid w:val="003E3AAB"/>
    <w:rsid w:val="003E7FE9"/>
    <w:rsid w:val="003F07D4"/>
    <w:rsid w:val="003F174D"/>
    <w:rsid w:val="003F2329"/>
    <w:rsid w:val="00400FD2"/>
    <w:rsid w:val="00403711"/>
    <w:rsid w:val="004043F1"/>
    <w:rsid w:val="00404C52"/>
    <w:rsid w:val="004156D5"/>
    <w:rsid w:val="00415BA9"/>
    <w:rsid w:val="00415F31"/>
    <w:rsid w:val="0041691D"/>
    <w:rsid w:val="0042000C"/>
    <w:rsid w:val="0042090E"/>
    <w:rsid w:val="00421F27"/>
    <w:rsid w:val="004238D8"/>
    <w:rsid w:val="00423A77"/>
    <w:rsid w:val="00427DFC"/>
    <w:rsid w:val="004324F4"/>
    <w:rsid w:val="00434544"/>
    <w:rsid w:val="00445D43"/>
    <w:rsid w:val="00446CD2"/>
    <w:rsid w:val="00452143"/>
    <w:rsid w:val="004548D6"/>
    <w:rsid w:val="0045777E"/>
    <w:rsid w:val="00465258"/>
    <w:rsid w:val="00471BC6"/>
    <w:rsid w:val="00476221"/>
    <w:rsid w:val="004766F5"/>
    <w:rsid w:val="00480B4B"/>
    <w:rsid w:val="004838D8"/>
    <w:rsid w:val="00485DC4"/>
    <w:rsid w:val="00486ED7"/>
    <w:rsid w:val="00487D02"/>
    <w:rsid w:val="00494D04"/>
    <w:rsid w:val="004A40BA"/>
    <w:rsid w:val="004A43D1"/>
    <w:rsid w:val="004A492B"/>
    <w:rsid w:val="004B22C4"/>
    <w:rsid w:val="004B4412"/>
    <w:rsid w:val="004B7578"/>
    <w:rsid w:val="004C327E"/>
    <w:rsid w:val="004C348C"/>
    <w:rsid w:val="004C462E"/>
    <w:rsid w:val="004C6CA3"/>
    <w:rsid w:val="004C7F5E"/>
    <w:rsid w:val="004D343C"/>
    <w:rsid w:val="004D372A"/>
    <w:rsid w:val="004D55BA"/>
    <w:rsid w:val="004D720C"/>
    <w:rsid w:val="004E0FA7"/>
    <w:rsid w:val="004E216B"/>
    <w:rsid w:val="004E22EC"/>
    <w:rsid w:val="004F0BFA"/>
    <w:rsid w:val="004F13DA"/>
    <w:rsid w:val="004F4D69"/>
    <w:rsid w:val="004F6883"/>
    <w:rsid w:val="004F6A0E"/>
    <w:rsid w:val="004F6BB3"/>
    <w:rsid w:val="005006CC"/>
    <w:rsid w:val="005009CD"/>
    <w:rsid w:val="005043B8"/>
    <w:rsid w:val="00504E5F"/>
    <w:rsid w:val="0051337E"/>
    <w:rsid w:val="00513FA7"/>
    <w:rsid w:val="0051524C"/>
    <w:rsid w:val="0051768F"/>
    <w:rsid w:val="00522DC2"/>
    <w:rsid w:val="00530128"/>
    <w:rsid w:val="00532467"/>
    <w:rsid w:val="005332A9"/>
    <w:rsid w:val="0053603C"/>
    <w:rsid w:val="00537871"/>
    <w:rsid w:val="00537890"/>
    <w:rsid w:val="00542FE9"/>
    <w:rsid w:val="00544598"/>
    <w:rsid w:val="00544C8D"/>
    <w:rsid w:val="00544DFD"/>
    <w:rsid w:val="00556B1E"/>
    <w:rsid w:val="00564A4D"/>
    <w:rsid w:val="0056598C"/>
    <w:rsid w:val="00566E0B"/>
    <w:rsid w:val="00567BA5"/>
    <w:rsid w:val="00570558"/>
    <w:rsid w:val="00571B35"/>
    <w:rsid w:val="00571B43"/>
    <w:rsid w:val="00571D57"/>
    <w:rsid w:val="00573A3B"/>
    <w:rsid w:val="00577716"/>
    <w:rsid w:val="00577A09"/>
    <w:rsid w:val="005829C2"/>
    <w:rsid w:val="00584D8F"/>
    <w:rsid w:val="00587A18"/>
    <w:rsid w:val="00587ADE"/>
    <w:rsid w:val="005A0BEC"/>
    <w:rsid w:val="005A404D"/>
    <w:rsid w:val="005B18E3"/>
    <w:rsid w:val="005B1E3C"/>
    <w:rsid w:val="005B6518"/>
    <w:rsid w:val="005B704A"/>
    <w:rsid w:val="005B72D7"/>
    <w:rsid w:val="005C045F"/>
    <w:rsid w:val="005C16FE"/>
    <w:rsid w:val="005C1FAB"/>
    <w:rsid w:val="005C21A4"/>
    <w:rsid w:val="005C26CC"/>
    <w:rsid w:val="005C4463"/>
    <w:rsid w:val="005D3D88"/>
    <w:rsid w:val="005D48C4"/>
    <w:rsid w:val="005D6208"/>
    <w:rsid w:val="005D6366"/>
    <w:rsid w:val="005D7BA2"/>
    <w:rsid w:val="005E36C2"/>
    <w:rsid w:val="005E4AF4"/>
    <w:rsid w:val="005F387E"/>
    <w:rsid w:val="00601E0B"/>
    <w:rsid w:val="0060258B"/>
    <w:rsid w:val="00610EF9"/>
    <w:rsid w:val="00612F4F"/>
    <w:rsid w:val="00614EA0"/>
    <w:rsid w:val="00615C6B"/>
    <w:rsid w:val="00617D4C"/>
    <w:rsid w:val="00621DCE"/>
    <w:rsid w:val="00621FC5"/>
    <w:rsid w:val="00624F2C"/>
    <w:rsid w:val="00632D6D"/>
    <w:rsid w:val="00636569"/>
    <w:rsid w:val="00636CDD"/>
    <w:rsid w:val="00636EF9"/>
    <w:rsid w:val="00642C3E"/>
    <w:rsid w:val="00644A01"/>
    <w:rsid w:val="006453DA"/>
    <w:rsid w:val="00651E2D"/>
    <w:rsid w:val="00652324"/>
    <w:rsid w:val="00656036"/>
    <w:rsid w:val="006577FB"/>
    <w:rsid w:val="0066104A"/>
    <w:rsid w:val="00663066"/>
    <w:rsid w:val="00663DAD"/>
    <w:rsid w:val="00664206"/>
    <w:rsid w:val="006649E7"/>
    <w:rsid w:val="00666634"/>
    <w:rsid w:val="00671692"/>
    <w:rsid w:val="00672BBC"/>
    <w:rsid w:val="00675E20"/>
    <w:rsid w:val="006764CA"/>
    <w:rsid w:val="00676679"/>
    <w:rsid w:val="00683C89"/>
    <w:rsid w:val="00691B53"/>
    <w:rsid w:val="00697D0B"/>
    <w:rsid w:val="006A12BA"/>
    <w:rsid w:val="006A4739"/>
    <w:rsid w:val="006A66A1"/>
    <w:rsid w:val="006B032D"/>
    <w:rsid w:val="006B2395"/>
    <w:rsid w:val="006B40AC"/>
    <w:rsid w:val="006B4CF9"/>
    <w:rsid w:val="006B797C"/>
    <w:rsid w:val="006B7AC8"/>
    <w:rsid w:val="006C1736"/>
    <w:rsid w:val="006C329B"/>
    <w:rsid w:val="006C6303"/>
    <w:rsid w:val="006D550F"/>
    <w:rsid w:val="006D6146"/>
    <w:rsid w:val="006D7F7E"/>
    <w:rsid w:val="006E0CFF"/>
    <w:rsid w:val="006E5484"/>
    <w:rsid w:val="006F0D92"/>
    <w:rsid w:val="006F267D"/>
    <w:rsid w:val="0070011E"/>
    <w:rsid w:val="00701CAB"/>
    <w:rsid w:val="007023BB"/>
    <w:rsid w:val="00704DD7"/>
    <w:rsid w:val="00707563"/>
    <w:rsid w:val="00715F61"/>
    <w:rsid w:val="00722132"/>
    <w:rsid w:val="007228F7"/>
    <w:rsid w:val="0072348C"/>
    <w:rsid w:val="00723D4C"/>
    <w:rsid w:val="00724A37"/>
    <w:rsid w:val="007303C3"/>
    <w:rsid w:val="00731188"/>
    <w:rsid w:val="007356CC"/>
    <w:rsid w:val="007368E6"/>
    <w:rsid w:val="007375DF"/>
    <w:rsid w:val="007429BE"/>
    <w:rsid w:val="00743223"/>
    <w:rsid w:val="00743349"/>
    <w:rsid w:val="0074403A"/>
    <w:rsid w:val="00744975"/>
    <w:rsid w:val="00746E01"/>
    <w:rsid w:val="00751DCD"/>
    <w:rsid w:val="00755084"/>
    <w:rsid w:val="00757364"/>
    <w:rsid w:val="00757BDF"/>
    <w:rsid w:val="007609D0"/>
    <w:rsid w:val="00761454"/>
    <w:rsid w:val="0076193D"/>
    <w:rsid w:val="00763E5D"/>
    <w:rsid w:val="00767740"/>
    <w:rsid w:val="00767B5E"/>
    <w:rsid w:val="00775460"/>
    <w:rsid w:val="00777EE6"/>
    <w:rsid w:val="00782692"/>
    <w:rsid w:val="00782EEA"/>
    <w:rsid w:val="007909B4"/>
    <w:rsid w:val="00790E86"/>
    <w:rsid w:val="007949D7"/>
    <w:rsid w:val="007A0143"/>
    <w:rsid w:val="007A34C2"/>
    <w:rsid w:val="007A396C"/>
    <w:rsid w:val="007A4B02"/>
    <w:rsid w:val="007B0BE3"/>
    <w:rsid w:val="007B1816"/>
    <w:rsid w:val="007B186E"/>
    <w:rsid w:val="007B25DC"/>
    <w:rsid w:val="007B2C72"/>
    <w:rsid w:val="007B3789"/>
    <w:rsid w:val="007B50B4"/>
    <w:rsid w:val="007B651F"/>
    <w:rsid w:val="007B7BB5"/>
    <w:rsid w:val="007C1C53"/>
    <w:rsid w:val="007C284C"/>
    <w:rsid w:val="007C4B82"/>
    <w:rsid w:val="007C74BB"/>
    <w:rsid w:val="007C7F64"/>
    <w:rsid w:val="007D0A95"/>
    <w:rsid w:val="007D0EB5"/>
    <w:rsid w:val="007D456E"/>
    <w:rsid w:val="007D5837"/>
    <w:rsid w:val="007E45A0"/>
    <w:rsid w:val="007E4904"/>
    <w:rsid w:val="007E4CB5"/>
    <w:rsid w:val="007E4DAE"/>
    <w:rsid w:val="007F066B"/>
    <w:rsid w:val="007F4EAB"/>
    <w:rsid w:val="007F5B16"/>
    <w:rsid w:val="007F7C9D"/>
    <w:rsid w:val="008033C4"/>
    <w:rsid w:val="00806731"/>
    <w:rsid w:val="00806C88"/>
    <w:rsid w:val="0081034E"/>
    <w:rsid w:val="00810806"/>
    <w:rsid w:val="00815882"/>
    <w:rsid w:val="00820454"/>
    <w:rsid w:val="00822AC7"/>
    <w:rsid w:val="00822E86"/>
    <w:rsid w:val="008344F6"/>
    <w:rsid w:val="0083510F"/>
    <w:rsid w:val="00837BF3"/>
    <w:rsid w:val="008411CA"/>
    <w:rsid w:val="008415DE"/>
    <w:rsid w:val="008420DE"/>
    <w:rsid w:val="00845865"/>
    <w:rsid w:val="0084799B"/>
    <w:rsid w:val="00850C90"/>
    <w:rsid w:val="00851209"/>
    <w:rsid w:val="0085171F"/>
    <w:rsid w:val="0085522A"/>
    <w:rsid w:val="008658A1"/>
    <w:rsid w:val="0086716A"/>
    <w:rsid w:val="00870613"/>
    <w:rsid w:val="00873437"/>
    <w:rsid w:val="0087380F"/>
    <w:rsid w:val="0087648F"/>
    <w:rsid w:val="00876612"/>
    <w:rsid w:val="00882BB1"/>
    <w:rsid w:val="00882C54"/>
    <w:rsid w:val="008837AC"/>
    <w:rsid w:val="008909DC"/>
    <w:rsid w:val="00894255"/>
    <w:rsid w:val="008945AD"/>
    <w:rsid w:val="008A0645"/>
    <w:rsid w:val="008A1C02"/>
    <w:rsid w:val="008A370D"/>
    <w:rsid w:val="008A587D"/>
    <w:rsid w:val="008B16B0"/>
    <w:rsid w:val="008B1BD5"/>
    <w:rsid w:val="008B35CD"/>
    <w:rsid w:val="008B4093"/>
    <w:rsid w:val="008B5FCC"/>
    <w:rsid w:val="008B7F36"/>
    <w:rsid w:val="008C357F"/>
    <w:rsid w:val="008C5486"/>
    <w:rsid w:val="008D1661"/>
    <w:rsid w:val="008D27E0"/>
    <w:rsid w:val="008D5F90"/>
    <w:rsid w:val="008D6800"/>
    <w:rsid w:val="008D72F1"/>
    <w:rsid w:val="008E4089"/>
    <w:rsid w:val="008E5AFF"/>
    <w:rsid w:val="008E7031"/>
    <w:rsid w:val="008E77DE"/>
    <w:rsid w:val="008F040C"/>
    <w:rsid w:val="008F07A3"/>
    <w:rsid w:val="008F3322"/>
    <w:rsid w:val="008F3519"/>
    <w:rsid w:val="008F3A0D"/>
    <w:rsid w:val="009001B6"/>
    <w:rsid w:val="00900E1B"/>
    <w:rsid w:val="0090131F"/>
    <w:rsid w:val="00906C0B"/>
    <w:rsid w:val="00907683"/>
    <w:rsid w:val="009132B7"/>
    <w:rsid w:val="00916A2C"/>
    <w:rsid w:val="009233EE"/>
    <w:rsid w:val="00924EB7"/>
    <w:rsid w:val="00930B1A"/>
    <w:rsid w:val="00932612"/>
    <w:rsid w:val="009327DC"/>
    <w:rsid w:val="009338D9"/>
    <w:rsid w:val="009339BD"/>
    <w:rsid w:val="009356CF"/>
    <w:rsid w:val="00943D80"/>
    <w:rsid w:val="00945E53"/>
    <w:rsid w:val="009460AA"/>
    <w:rsid w:val="00951978"/>
    <w:rsid w:val="00952C8B"/>
    <w:rsid w:val="00961A4A"/>
    <w:rsid w:val="009657EB"/>
    <w:rsid w:val="009661DE"/>
    <w:rsid w:val="00972C7C"/>
    <w:rsid w:val="009776F4"/>
    <w:rsid w:val="00982DA2"/>
    <w:rsid w:val="00983C25"/>
    <w:rsid w:val="0098466D"/>
    <w:rsid w:val="009856B7"/>
    <w:rsid w:val="009859D6"/>
    <w:rsid w:val="00985C86"/>
    <w:rsid w:val="00986CFA"/>
    <w:rsid w:val="0099451B"/>
    <w:rsid w:val="009A5FC3"/>
    <w:rsid w:val="009B394E"/>
    <w:rsid w:val="009B6F84"/>
    <w:rsid w:val="009B74B0"/>
    <w:rsid w:val="009C0152"/>
    <w:rsid w:val="009C027C"/>
    <w:rsid w:val="009C1A74"/>
    <w:rsid w:val="009C35D5"/>
    <w:rsid w:val="009C3D42"/>
    <w:rsid w:val="009C491E"/>
    <w:rsid w:val="009D0DF1"/>
    <w:rsid w:val="009D22D6"/>
    <w:rsid w:val="009D2C84"/>
    <w:rsid w:val="009D3906"/>
    <w:rsid w:val="009D6B46"/>
    <w:rsid w:val="009E35B6"/>
    <w:rsid w:val="009E5ABC"/>
    <w:rsid w:val="009F3BBA"/>
    <w:rsid w:val="009F43B4"/>
    <w:rsid w:val="009F4940"/>
    <w:rsid w:val="009F5BA1"/>
    <w:rsid w:val="00A02A88"/>
    <w:rsid w:val="00A04012"/>
    <w:rsid w:val="00A046FA"/>
    <w:rsid w:val="00A0562E"/>
    <w:rsid w:val="00A0726D"/>
    <w:rsid w:val="00A073AE"/>
    <w:rsid w:val="00A12204"/>
    <w:rsid w:val="00A12582"/>
    <w:rsid w:val="00A12750"/>
    <w:rsid w:val="00A13CB0"/>
    <w:rsid w:val="00A1561F"/>
    <w:rsid w:val="00A15B61"/>
    <w:rsid w:val="00A16544"/>
    <w:rsid w:val="00A20581"/>
    <w:rsid w:val="00A2569D"/>
    <w:rsid w:val="00A30BF5"/>
    <w:rsid w:val="00A31BE6"/>
    <w:rsid w:val="00A32FBB"/>
    <w:rsid w:val="00A339D7"/>
    <w:rsid w:val="00A40068"/>
    <w:rsid w:val="00A40BE9"/>
    <w:rsid w:val="00A428EE"/>
    <w:rsid w:val="00A443C2"/>
    <w:rsid w:val="00A4478A"/>
    <w:rsid w:val="00A44852"/>
    <w:rsid w:val="00A50502"/>
    <w:rsid w:val="00A53409"/>
    <w:rsid w:val="00A53796"/>
    <w:rsid w:val="00A53848"/>
    <w:rsid w:val="00A55C2B"/>
    <w:rsid w:val="00A56945"/>
    <w:rsid w:val="00A56A6E"/>
    <w:rsid w:val="00A57D04"/>
    <w:rsid w:val="00A60A26"/>
    <w:rsid w:val="00A61598"/>
    <w:rsid w:val="00A61777"/>
    <w:rsid w:val="00A63646"/>
    <w:rsid w:val="00A63914"/>
    <w:rsid w:val="00A84A99"/>
    <w:rsid w:val="00A84F46"/>
    <w:rsid w:val="00A85E87"/>
    <w:rsid w:val="00A86AEA"/>
    <w:rsid w:val="00A871F4"/>
    <w:rsid w:val="00A9431A"/>
    <w:rsid w:val="00A95988"/>
    <w:rsid w:val="00A959DF"/>
    <w:rsid w:val="00A97A1B"/>
    <w:rsid w:val="00AA114B"/>
    <w:rsid w:val="00AA2927"/>
    <w:rsid w:val="00AB2CB8"/>
    <w:rsid w:val="00AB4617"/>
    <w:rsid w:val="00AC1B2C"/>
    <w:rsid w:val="00AC3264"/>
    <w:rsid w:val="00AC46AD"/>
    <w:rsid w:val="00AC4D2D"/>
    <w:rsid w:val="00AC58EC"/>
    <w:rsid w:val="00AC7282"/>
    <w:rsid w:val="00AC7961"/>
    <w:rsid w:val="00AD314E"/>
    <w:rsid w:val="00AD5FCD"/>
    <w:rsid w:val="00AD6B48"/>
    <w:rsid w:val="00AD7A3A"/>
    <w:rsid w:val="00AE1BF1"/>
    <w:rsid w:val="00AE23AB"/>
    <w:rsid w:val="00AE58FB"/>
    <w:rsid w:val="00AE5AF0"/>
    <w:rsid w:val="00AE663D"/>
    <w:rsid w:val="00AE73B3"/>
    <w:rsid w:val="00AF07E7"/>
    <w:rsid w:val="00AF0DD2"/>
    <w:rsid w:val="00AF31E1"/>
    <w:rsid w:val="00AF3BBA"/>
    <w:rsid w:val="00AF4231"/>
    <w:rsid w:val="00B00B0E"/>
    <w:rsid w:val="00B00B26"/>
    <w:rsid w:val="00B018D5"/>
    <w:rsid w:val="00B02385"/>
    <w:rsid w:val="00B02F9D"/>
    <w:rsid w:val="00B05766"/>
    <w:rsid w:val="00B13048"/>
    <w:rsid w:val="00B13883"/>
    <w:rsid w:val="00B1716D"/>
    <w:rsid w:val="00B17A1D"/>
    <w:rsid w:val="00B207A0"/>
    <w:rsid w:val="00B21C21"/>
    <w:rsid w:val="00B22F54"/>
    <w:rsid w:val="00B24A7E"/>
    <w:rsid w:val="00B25C0C"/>
    <w:rsid w:val="00B3018F"/>
    <w:rsid w:val="00B304B5"/>
    <w:rsid w:val="00B308A9"/>
    <w:rsid w:val="00B31047"/>
    <w:rsid w:val="00B33148"/>
    <w:rsid w:val="00B35CDF"/>
    <w:rsid w:val="00B403C2"/>
    <w:rsid w:val="00B405A1"/>
    <w:rsid w:val="00B4438A"/>
    <w:rsid w:val="00B45AA2"/>
    <w:rsid w:val="00B479CA"/>
    <w:rsid w:val="00B5084F"/>
    <w:rsid w:val="00B514DD"/>
    <w:rsid w:val="00B52AF0"/>
    <w:rsid w:val="00B53D5F"/>
    <w:rsid w:val="00B54051"/>
    <w:rsid w:val="00B561BD"/>
    <w:rsid w:val="00B56E03"/>
    <w:rsid w:val="00B62765"/>
    <w:rsid w:val="00B65DF5"/>
    <w:rsid w:val="00B7679F"/>
    <w:rsid w:val="00B77159"/>
    <w:rsid w:val="00B8080B"/>
    <w:rsid w:val="00B82223"/>
    <w:rsid w:val="00B87BA5"/>
    <w:rsid w:val="00B87BBC"/>
    <w:rsid w:val="00B87C39"/>
    <w:rsid w:val="00B93891"/>
    <w:rsid w:val="00B9562D"/>
    <w:rsid w:val="00BA21DA"/>
    <w:rsid w:val="00BA2B60"/>
    <w:rsid w:val="00BA3C93"/>
    <w:rsid w:val="00BA4665"/>
    <w:rsid w:val="00BA7FD7"/>
    <w:rsid w:val="00BB1681"/>
    <w:rsid w:val="00BB2FB2"/>
    <w:rsid w:val="00BB3304"/>
    <w:rsid w:val="00BB6551"/>
    <w:rsid w:val="00BC4A10"/>
    <w:rsid w:val="00BC7354"/>
    <w:rsid w:val="00BD30F4"/>
    <w:rsid w:val="00BD3446"/>
    <w:rsid w:val="00BD59CF"/>
    <w:rsid w:val="00BE1312"/>
    <w:rsid w:val="00BE1F1B"/>
    <w:rsid w:val="00BE3F89"/>
    <w:rsid w:val="00BE47B5"/>
    <w:rsid w:val="00BE5FCE"/>
    <w:rsid w:val="00BF4B0E"/>
    <w:rsid w:val="00C0079E"/>
    <w:rsid w:val="00C00EFA"/>
    <w:rsid w:val="00C0572A"/>
    <w:rsid w:val="00C13A6B"/>
    <w:rsid w:val="00C13EBD"/>
    <w:rsid w:val="00C1631B"/>
    <w:rsid w:val="00C163AB"/>
    <w:rsid w:val="00C170F0"/>
    <w:rsid w:val="00C25962"/>
    <w:rsid w:val="00C25FA6"/>
    <w:rsid w:val="00C3099D"/>
    <w:rsid w:val="00C33011"/>
    <w:rsid w:val="00C362C1"/>
    <w:rsid w:val="00C41950"/>
    <w:rsid w:val="00C42C3B"/>
    <w:rsid w:val="00C51188"/>
    <w:rsid w:val="00C51672"/>
    <w:rsid w:val="00C538A9"/>
    <w:rsid w:val="00C53B5A"/>
    <w:rsid w:val="00C53E41"/>
    <w:rsid w:val="00C54909"/>
    <w:rsid w:val="00C54AF3"/>
    <w:rsid w:val="00C54F5A"/>
    <w:rsid w:val="00C569B4"/>
    <w:rsid w:val="00C57A8D"/>
    <w:rsid w:val="00C57DDE"/>
    <w:rsid w:val="00C61468"/>
    <w:rsid w:val="00C61A97"/>
    <w:rsid w:val="00C61E44"/>
    <w:rsid w:val="00C64FF3"/>
    <w:rsid w:val="00C662AD"/>
    <w:rsid w:val="00C67A92"/>
    <w:rsid w:val="00C71280"/>
    <w:rsid w:val="00C717BF"/>
    <w:rsid w:val="00C76178"/>
    <w:rsid w:val="00C84560"/>
    <w:rsid w:val="00C86679"/>
    <w:rsid w:val="00C8792F"/>
    <w:rsid w:val="00C90472"/>
    <w:rsid w:val="00C91D6E"/>
    <w:rsid w:val="00C94DE3"/>
    <w:rsid w:val="00CA489E"/>
    <w:rsid w:val="00CA79A0"/>
    <w:rsid w:val="00CB0279"/>
    <w:rsid w:val="00CB666B"/>
    <w:rsid w:val="00CB734B"/>
    <w:rsid w:val="00CC41B6"/>
    <w:rsid w:val="00CC7ADA"/>
    <w:rsid w:val="00CC7F1D"/>
    <w:rsid w:val="00CD0A88"/>
    <w:rsid w:val="00CD125D"/>
    <w:rsid w:val="00CD283C"/>
    <w:rsid w:val="00CD3641"/>
    <w:rsid w:val="00CD5B89"/>
    <w:rsid w:val="00CD66EA"/>
    <w:rsid w:val="00CD7432"/>
    <w:rsid w:val="00CE0FA5"/>
    <w:rsid w:val="00CE2A23"/>
    <w:rsid w:val="00CE31C8"/>
    <w:rsid w:val="00CE484B"/>
    <w:rsid w:val="00CE5CD1"/>
    <w:rsid w:val="00CE7CBA"/>
    <w:rsid w:val="00CF04DA"/>
    <w:rsid w:val="00CF0DEE"/>
    <w:rsid w:val="00CF42AA"/>
    <w:rsid w:val="00CF5EAA"/>
    <w:rsid w:val="00CF6AE3"/>
    <w:rsid w:val="00CF77BB"/>
    <w:rsid w:val="00D006AE"/>
    <w:rsid w:val="00D00905"/>
    <w:rsid w:val="00D010C1"/>
    <w:rsid w:val="00D01CF0"/>
    <w:rsid w:val="00D0442A"/>
    <w:rsid w:val="00D12A7B"/>
    <w:rsid w:val="00D12ADB"/>
    <w:rsid w:val="00D15E63"/>
    <w:rsid w:val="00D25A39"/>
    <w:rsid w:val="00D27CFA"/>
    <w:rsid w:val="00D310FA"/>
    <w:rsid w:val="00D325C6"/>
    <w:rsid w:val="00D37213"/>
    <w:rsid w:val="00D41535"/>
    <w:rsid w:val="00D4360D"/>
    <w:rsid w:val="00D5015C"/>
    <w:rsid w:val="00D5607F"/>
    <w:rsid w:val="00D61388"/>
    <w:rsid w:val="00D61A54"/>
    <w:rsid w:val="00D62108"/>
    <w:rsid w:val="00D64AA4"/>
    <w:rsid w:val="00D64DEA"/>
    <w:rsid w:val="00D64F84"/>
    <w:rsid w:val="00D663CD"/>
    <w:rsid w:val="00D6726A"/>
    <w:rsid w:val="00D7001B"/>
    <w:rsid w:val="00D7160D"/>
    <w:rsid w:val="00D7168E"/>
    <w:rsid w:val="00D71E57"/>
    <w:rsid w:val="00D72D27"/>
    <w:rsid w:val="00D7786B"/>
    <w:rsid w:val="00D77CA6"/>
    <w:rsid w:val="00D80893"/>
    <w:rsid w:val="00D82519"/>
    <w:rsid w:val="00D829ED"/>
    <w:rsid w:val="00D84854"/>
    <w:rsid w:val="00D924AE"/>
    <w:rsid w:val="00D92CF1"/>
    <w:rsid w:val="00D92D38"/>
    <w:rsid w:val="00D950F5"/>
    <w:rsid w:val="00D96626"/>
    <w:rsid w:val="00D97379"/>
    <w:rsid w:val="00DA3B08"/>
    <w:rsid w:val="00DA4752"/>
    <w:rsid w:val="00DA4C09"/>
    <w:rsid w:val="00DA61F3"/>
    <w:rsid w:val="00DA7CB3"/>
    <w:rsid w:val="00DB0D00"/>
    <w:rsid w:val="00DB0F93"/>
    <w:rsid w:val="00DB1A67"/>
    <w:rsid w:val="00DB3721"/>
    <w:rsid w:val="00DB5074"/>
    <w:rsid w:val="00DC0281"/>
    <w:rsid w:val="00DC1930"/>
    <w:rsid w:val="00DC1C76"/>
    <w:rsid w:val="00DC4DBF"/>
    <w:rsid w:val="00DC4E19"/>
    <w:rsid w:val="00DC65FE"/>
    <w:rsid w:val="00DC7981"/>
    <w:rsid w:val="00DD4C07"/>
    <w:rsid w:val="00DD577D"/>
    <w:rsid w:val="00DD5ADC"/>
    <w:rsid w:val="00DE1093"/>
    <w:rsid w:val="00DE4EFA"/>
    <w:rsid w:val="00DE5520"/>
    <w:rsid w:val="00DE563D"/>
    <w:rsid w:val="00DE7AB5"/>
    <w:rsid w:val="00DF0152"/>
    <w:rsid w:val="00DF1958"/>
    <w:rsid w:val="00DF48FC"/>
    <w:rsid w:val="00E04818"/>
    <w:rsid w:val="00E06442"/>
    <w:rsid w:val="00E06952"/>
    <w:rsid w:val="00E10912"/>
    <w:rsid w:val="00E11E61"/>
    <w:rsid w:val="00E157B2"/>
    <w:rsid w:val="00E16055"/>
    <w:rsid w:val="00E2118B"/>
    <w:rsid w:val="00E2332D"/>
    <w:rsid w:val="00E23993"/>
    <w:rsid w:val="00E2574F"/>
    <w:rsid w:val="00E25951"/>
    <w:rsid w:val="00E25B8C"/>
    <w:rsid w:val="00E31CF6"/>
    <w:rsid w:val="00E34A4A"/>
    <w:rsid w:val="00E35AFC"/>
    <w:rsid w:val="00E41D39"/>
    <w:rsid w:val="00E44904"/>
    <w:rsid w:val="00E50A02"/>
    <w:rsid w:val="00E54106"/>
    <w:rsid w:val="00E54697"/>
    <w:rsid w:val="00E56EBA"/>
    <w:rsid w:val="00E57A08"/>
    <w:rsid w:val="00E63631"/>
    <w:rsid w:val="00E64C2A"/>
    <w:rsid w:val="00E65C85"/>
    <w:rsid w:val="00E66199"/>
    <w:rsid w:val="00E70526"/>
    <w:rsid w:val="00E754B4"/>
    <w:rsid w:val="00E755EC"/>
    <w:rsid w:val="00E7624D"/>
    <w:rsid w:val="00E81724"/>
    <w:rsid w:val="00E819A4"/>
    <w:rsid w:val="00E833FA"/>
    <w:rsid w:val="00E84B74"/>
    <w:rsid w:val="00E87066"/>
    <w:rsid w:val="00E90CFB"/>
    <w:rsid w:val="00E966BF"/>
    <w:rsid w:val="00EA0C04"/>
    <w:rsid w:val="00EA3D42"/>
    <w:rsid w:val="00EA502A"/>
    <w:rsid w:val="00EA6B1B"/>
    <w:rsid w:val="00EB1CBD"/>
    <w:rsid w:val="00EB3A34"/>
    <w:rsid w:val="00EB3C3F"/>
    <w:rsid w:val="00EB64EE"/>
    <w:rsid w:val="00EC04F1"/>
    <w:rsid w:val="00EC237F"/>
    <w:rsid w:val="00EC573A"/>
    <w:rsid w:val="00EC6D4D"/>
    <w:rsid w:val="00ED35C8"/>
    <w:rsid w:val="00ED3968"/>
    <w:rsid w:val="00ED69C0"/>
    <w:rsid w:val="00ED7323"/>
    <w:rsid w:val="00EE28F3"/>
    <w:rsid w:val="00EE50D1"/>
    <w:rsid w:val="00EE7614"/>
    <w:rsid w:val="00EF5110"/>
    <w:rsid w:val="00EF5890"/>
    <w:rsid w:val="00EF76BA"/>
    <w:rsid w:val="00F0231A"/>
    <w:rsid w:val="00F03463"/>
    <w:rsid w:val="00F036B7"/>
    <w:rsid w:val="00F0700F"/>
    <w:rsid w:val="00F07F1F"/>
    <w:rsid w:val="00F10411"/>
    <w:rsid w:val="00F10A9A"/>
    <w:rsid w:val="00F11B2D"/>
    <w:rsid w:val="00F121C2"/>
    <w:rsid w:val="00F1485B"/>
    <w:rsid w:val="00F15882"/>
    <w:rsid w:val="00F170C7"/>
    <w:rsid w:val="00F171E0"/>
    <w:rsid w:val="00F20BD3"/>
    <w:rsid w:val="00F22A8C"/>
    <w:rsid w:val="00F322E9"/>
    <w:rsid w:val="00F3231B"/>
    <w:rsid w:val="00F33808"/>
    <w:rsid w:val="00F373A5"/>
    <w:rsid w:val="00F37864"/>
    <w:rsid w:val="00F404F9"/>
    <w:rsid w:val="00F44B0A"/>
    <w:rsid w:val="00F47559"/>
    <w:rsid w:val="00F50B30"/>
    <w:rsid w:val="00F51F5F"/>
    <w:rsid w:val="00F52D75"/>
    <w:rsid w:val="00F55582"/>
    <w:rsid w:val="00F57647"/>
    <w:rsid w:val="00F62A14"/>
    <w:rsid w:val="00F644AB"/>
    <w:rsid w:val="00F64C7B"/>
    <w:rsid w:val="00F670AA"/>
    <w:rsid w:val="00F676DD"/>
    <w:rsid w:val="00F67AB6"/>
    <w:rsid w:val="00F70028"/>
    <w:rsid w:val="00F70434"/>
    <w:rsid w:val="00F75A26"/>
    <w:rsid w:val="00F76706"/>
    <w:rsid w:val="00F77D6D"/>
    <w:rsid w:val="00F80206"/>
    <w:rsid w:val="00F83034"/>
    <w:rsid w:val="00F83FAD"/>
    <w:rsid w:val="00F844C6"/>
    <w:rsid w:val="00F92FA6"/>
    <w:rsid w:val="00F9353B"/>
    <w:rsid w:val="00F937F1"/>
    <w:rsid w:val="00F952A0"/>
    <w:rsid w:val="00FA31B1"/>
    <w:rsid w:val="00FA3320"/>
    <w:rsid w:val="00FA3C70"/>
    <w:rsid w:val="00FA3C7F"/>
    <w:rsid w:val="00FA5F33"/>
    <w:rsid w:val="00FA6246"/>
    <w:rsid w:val="00FB24ED"/>
    <w:rsid w:val="00FB2C1B"/>
    <w:rsid w:val="00FB3304"/>
    <w:rsid w:val="00FB5005"/>
    <w:rsid w:val="00FB60FE"/>
    <w:rsid w:val="00FB74E2"/>
    <w:rsid w:val="00FB778B"/>
    <w:rsid w:val="00FD5614"/>
    <w:rsid w:val="00FD5E78"/>
    <w:rsid w:val="00FE0BE1"/>
    <w:rsid w:val="00FE11BB"/>
    <w:rsid w:val="00FE1DE9"/>
    <w:rsid w:val="00FE36AF"/>
    <w:rsid w:val="00FE39C2"/>
    <w:rsid w:val="00FE3C3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32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0" w:qFormat="1"/>
    <w:lsdException w:name="header" w:qFormat="1"/>
    <w:lsdException w:name="footer" w:qFormat="1"/>
    <w:lsdException w:name="caption" w:uiPriority="35" w:qFormat="1"/>
    <w:lsdException w:name="footnote reference" w:uiPriority="0"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Ind w:w="0" w:type="dxa"/>
      <w:tblBorders>
        <w:top w:val="single" w:sz="4" w:space="0" w:color="BFBFBF" w:themeColor="background1" w:themeShade="BF"/>
        <w:bottom w:val="single" w:sz="4" w:space="0" w:color="BFBFBF" w:themeColor="background1" w:themeShade="BF"/>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Ind w:w="0" w:type="dxa"/>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CellMar>
        <w:top w:w="0" w:type="dxa"/>
        <w:left w:w="108" w:type="dxa"/>
        <w:bottom w:w="0" w:type="dxa"/>
        <w:right w:w="108" w:type="dxa"/>
      </w:tblCellMar>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Ind w:w="0" w:type="dxa"/>
      <w:tblBorders>
        <w:top w:val="single" w:sz="8" w:space="0" w:color="2F002F" w:themeColor="accent1"/>
        <w:bottom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Ind w:w="0" w:type="dxa"/>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CellMar>
        <w:top w:w="0" w:type="dxa"/>
        <w:left w:w="108" w:type="dxa"/>
        <w:bottom w:w="0" w:type="dxa"/>
        <w:right w:w="108" w:type="dxa"/>
      </w:tblCellMar>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Ind w:w="0" w:type="dxa"/>
      <w:tblBorders>
        <w:top w:val="single" w:sz="8" w:space="0" w:color="002060" w:themeColor="accent3"/>
        <w:bottom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Ind w:w="0" w:type="dxa"/>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Ind w:w="0" w:type="dxa"/>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Ind w:w="0" w:type="dxa"/>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Ind w:w="0" w:type="dxa"/>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Ind w:w="0" w:type="dxa"/>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Ind w:w="0" w:type="dxa"/>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Ind w:w="0" w:type="dxa"/>
      <w:tblBorders>
        <w:top w:val="single" w:sz="8" w:space="0" w:color="000000" w:themeColor="accent5"/>
        <w:bottom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nhideWhenUsed/>
    <w:qFormat/>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Ind w:w="0" w:type="dxa"/>
      <w:tblBorders>
        <w:top w:val="single" w:sz="8" w:space="0" w:color="C00000" w:themeColor="accent4"/>
        <w:bottom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Ind w:w="0" w:type="dxa"/>
      <w:tblBorders>
        <w:top w:val="single" w:sz="8" w:space="0" w:color="70303C" w:themeColor="accent6"/>
        <w:bottom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Ind w:w="0" w:type="dxa"/>
      <w:tblBorders>
        <w:top w:val="single" w:sz="4" w:space="0" w:color="FFFFFF" w:themeColor="background2"/>
        <w:bottom w:val="single" w:sz="4" w:space="0" w:color="FFFFFF" w:themeColor="background2"/>
        <w:insideH w:val="single" w:sz="4" w:space="0" w:color="FFFFFF" w:themeColor="background2"/>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Ind w:w="0" w:type="dxa"/>
      <w:tblBorders>
        <w:insideV w:val="single" w:sz="4" w:space="0" w:color="FFFFFF" w:themeColor="background2"/>
      </w:tblBorders>
      <w:tblCellMar>
        <w:top w:w="0" w:type="dxa"/>
        <w:left w:w="108" w:type="dxa"/>
        <w:bottom w:w="0" w:type="dxa"/>
        <w:right w:w="108" w:type="dxa"/>
      </w:tblCellMar>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Ind w:w="0" w:type="dxa"/>
      <w:tblBorders>
        <w:bottom w:val="single" w:sz="4" w:space="0" w:color="auto"/>
      </w:tblBorders>
      <w:tblCellMar>
        <w:top w:w="0" w:type="dxa"/>
        <w:left w:w="108" w:type="dxa"/>
        <w:bottom w:w="0" w:type="dxa"/>
        <w:right w:w="108" w:type="dxa"/>
      </w:tblCellMar>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0" w:qFormat="1"/>
    <w:lsdException w:name="header" w:qFormat="1"/>
    <w:lsdException w:name="footer" w:qFormat="1"/>
    <w:lsdException w:name="caption" w:uiPriority="35" w:qFormat="1"/>
    <w:lsdException w:name="footnote reference" w:uiPriority="0"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Ind w:w="0" w:type="dxa"/>
      <w:tblBorders>
        <w:top w:val="single" w:sz="4" w:space="0" w:color="BFBFBF" w:themeColor="background1" w:themeShade="BF"/>
        <w:bottom w:val="single" w:sz="4" w:space="0" w:color="BFBFBF" w:themeColor="background1" w:themeShade="BF"/>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Ind w:w="0" w:type="dxa"/>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CellMar>
        <w:top w:w="0" w:type="dxa"/>
        <w:left w:w="108" w:type="dxa"/>
        <w:bottom w:w="0" w:type="dxa"/>
        <w:right w:w="108" w:type="dxa"/>
      </w:tblCellMar>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Ind w:w="0" w:type="dxa"/>
      <w:tblBorders>
        <w:top w:val="single" w:sz="8" w:space="0" w:color="2F002F" w:themeColor="accent1"/>
        <w:bottom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Ind w:w="0" w:type="dxa"/>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CellMar>
        <w:top w:w="0" w:type="dxa"/>
        <w:left w:w="108" w:type="dxa"/>
        <w:bottom w:w="0" w:type="dxa"/>
        <w:right w:w="108" w:type="dxa"/>
      </w:tblCellMar>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Ind w:w="0" w:type="dxa"/>
      <w:tblBorders>
        <w:top w:val="single" w:sz="8" w:space="0" w:color="002060" w:themeColor="accent3"/>
        <w:bottom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Ind w:w="0" w:type="dxa"/>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Ind w:w="0" w:type="dxa"/>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Ind w:w="0" w:type="dxa"/>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Ind w:w="0" w:type="dxa"/>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Ind w:w="0" w:type="dxa"/>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Ind w:w="0" w:type="dxa"/>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Ind w:w="0" w:type="dxa"/>
      <w:tblBorders>
        <w:top w:val="single" w:sz="8" w:space="0" w:color="000000" w:themeColor="accent5"/>
        <w:bottom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nhideWhenUsed/>
    <w:qFormat/>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Ind w:w="0" w:type="dxa"/>
      <w:tblBorders>
        <w:top w:val="single" w:sz="8" w:space="0" w:color="C00000" w:themeColor="accent4"/>
        <w:bottom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Ind w:w="0" w:type="dxa"/>
      <w:tblBorders>
        <w:top w:val="single" w:sz="8" w:space="0" w:color="70303C" w:themeColor="accent6"/>
        <w:bottom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Ind w:w="0" w:type="dxa"/>
      <w:tblBorders>
        <w:top w:val="single" w:sz="4" w:space="0" w:color="FFFFFF" w:themeColor="background2"/>
        <w:bottom w:val="single" w:sz="4" w:space="0" w:color="FFFFFF" w:themeColor="background2"/>
        <w:insideH w:val="single" w:sz="4" w:space="0" w:color="FFFFFF" w:themeColor="background2"/>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Ind w:w="0" w:type="dxa"/>
      <w:tblBorders>
        <w:insideV w:val="single" w:sz="4" w:space="0" w:color="FFFFFF" w:themeColor="background2"/>
      </w:tblBorders>
      <w:tblCellMar>
        <w:top w:w="0" w:type="dxa"/>
        <w:left w:w="108" w:type="dxa"/>
        <w:bottom w:w="0" w:type="dxa"/>
        <w:right w:w="108" w:type="dxa"/>
      </w:tblCellMar>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Ind w:w="0" w:type="dxa"/>
      <w:tblBorders>
        <w:bottom w:val="single" w:sz="4" w:space="0" w:color="auto"/>
      </w:tblBorders>
      <w:tblCellMar>
        <w:top w:w="0" w:type="dxa"/>
        <w:left w:w="108" w:type="dxa"/>
        <w:bottom w:w="0" w:type="dxa"/>
        <w:right w:w="108" w:type="dxa"/>
      </w:tblCellMar>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823670">
      <w:bodyDiv w:val="1"/>
      <w:marLeft w:val="0"/>
      <w:marRight w:val="0"/>
      <w:marTop w:val="0"/>
      <w:marBottom w:val="0"/>
      <w:divBdr>
        <w:top w:val="none" w:sz="0" w:space="0" w:color="auto"/>
        <w:left w:val="none" w:sz="0" w:space="0" w:color="auto"/>
        <w:bottom w:val="none" w:sz="0" w:space="0" w:color="auto"/>
        <w:right w:val="none" w:sz="0" w:space="0" w:color="auto"/>
      </w:divBdr>
    </w:div>
    <w:div w:id="456605257">
      <w:bodyDiv w:val="1"/>
      <w:marLeft w:val="0"/>
      <w:marRight w:val="0"/>
      <w:marTop w:val="0"/>
      <w:marBottom w:val="0"/>
      <w:divBdr>
        <w:top w:val="none" w:sz="0" w:space="0" w:color="auto"/>
        <w:left w:val="none" w:sz="0" w:space="0" w:color="auto"/>
        <w:bottom w:val="none" w:sz="0" w:space="0" w:color="auto"/>
        <w:right w:val="none" w:sz="0" w:space="0" w:color="auto"/>
      </w:divBdr>
    </w:div>
    <w:div w:id="488448612">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834535643">
      <w:bodyDiv w:val="1"/>
      <w:marLeft w:val="0"/>
      <w:marRight w:val="0"/>
      <w:marTop w:val="0"/>
      <w:marBottom w:val="0"/>
      <w:divBdr>
        <w:top w:val="none" w:sz="0" w:space="0" w:color="auto"/>
        <w:left w:val="none" w:sz="0" w:space="0" w:color="auto"/>
        <w:bottom w:val="none" w:sz="0" w:space="0" w:color="auto"/>
        <w:right w:val="none" w:sz="0" w:space="0" w:color="auto"/>
      </w:divBdr>
    </w:div>
    <w:div w:id="983241265">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974406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webSettings" Target="webSettings.xml"/><Relationship Id="rId12" Type="http://schemas.openxmlformats.org/officeDocument/2006/relationships/hyperlink" Target="mailto:AERInquiry@aer.gov.a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footer" Target="footer6.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1EC2DB8-DFA7-44E3-AEF7-C17527263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ECC381F0</Template>
  <TotalTime>0</TotalTime>
  <Pages>16</Pages>
  <Words>3683</Words>
  <Characters>20996</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2016-01-31T23:02:00Z</dcterms:created>
  <dcterms:modified xsi:type="dcterms:W3CDTF">2017-07-02T22:48:00Z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