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E0C765D" wp14:editId="3F25D10F">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DA1070A" wp14:editId="4597C1D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2564D3" w:rsidRDefault="002564D3" w:rsidP="00D5015C">
          <w:pPr>
            <w:pStyle w:val="ReportSubtitle"/>
          </w:pPr>
          <w:r w:rsidRPr="002564D3">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2510B7">
            <w:t>2</w:t>
          </w:r>
          <w:r w:rsidR="000474DF">
            <w:t xml:space="preserve"> </w:t>
          </w:r>
          <w:r w:rsidR="00185BA5">
            <w:t>–</w:t>
          </w:r>
          <w:r w:rsidR="000474DF">
            <w:t xml:space="preserve"> </w:t>
          </w:r>
          <w:r w:rsidR="002510B7">
            <w:t>Capital base</w:t>
          </w:r>
        </w:p>
        <w:p w:rsidR="00D5015C" w:rsidRDefault="00D5015C" w:rsidP="00327A1E">
          <w:pPr>
            <w:pStyle w:val="ReportDate"/>
          </w:pPr>
        </w:p>
        <w:p w:rsidR="00D5015C" w:rsidRDefault="00D5015C" w:rsidP="00327A1E">
          <w:pPr>
            <w:pStyle w:val="ReportDate"/>
          </w:pPr>
        </w:p>
        <w:p w:rsidR="000A6C7B" w:rsidRPr="00327A1E" w:rsidRDefault="007059FA" w:rsidP="00327A1E">
          <w:pPr>
            <w:pStyle w:val="ReportDate"/>
          </w:pPr>
          <w:r>
            <w:t>Ju</w:t>
          </w:r>
          <w:r w:rsidR="00D9061A">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2510B7">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7059FA" w:rsidRDefault="007059FA" w:rsidP="007059FA">
      <w:pPr>
        <w:pStyle w:val="Copyright"/>
      </w:pPr>
      <w:r w:rsidRPr="007059FA">
        <w:rPr>
          <w:rStyle w:val="AERbody"/>
        </w:rPr>
        <w:t>Tel: 1300 585 165</w:t>
      </w:r>
      <w:r w:rsidRPr="007059FA">
        <w:rPr>
          <w:rStyle w:val="AERbody"/>
        </w:rPr>
        <w:br/>
        <w:t>Email:</w:t>
      </w:r>
      <w:r>
        <w:t xml:space="preserve">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954730"/>
      <w:r>
        <w:lastRenderedPageBreak/>
        <w:t>Note</w:t>
      </w:r>
      <w:bookmarkEnd w:id="1"/>
      <w:bookmarkEnd w:id="2"/>
      <w:bookmarkEnd w:id="3"/>
    </w:p>
    <w:p w:rsidR="00D5015C" w:rsidRDefault="00D5015C" w:rsidP="00D5015C">
      <w:pPr>
        <w:numPr>
          <w:ilvl w:val="0"/>
          <w:numId w:val="23"/>
        </w:numPr>
      </w:pPr>
      <w:r>
        <w:t>This attachment forms part of the AER's draft decision on the access arrangement for AGN's Victoria and Albury gas distribution networks for 2018</w:t>
      </w:r>
      <w:r w:rsidR="001F6C30">
        <w:t>–</w:t>
      </w:r>
      <w:r>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954731"/>
      <w:r>
        <w:t>Contents</w:t>
      </w:r>
      <w:bookmarkEnd w:id="8"/>
      <w:bookmarkEnd w:id="9"/>
    </w:p>
    <w:p w:rsidR="00CE2A23" w:rsidRDefault="00CE2A23" w:rsidP="00CE2A23"/>
    <w:sdt>
      <w:sdtPr>
        <w:id w:val="1269200322"/>
        <w:docPartObj>
          <w:docPartGallery w:val="Table of Contents"/>
          <w:docPartUnique/>
        </w:docPartObj>
      </w:sdtPr>
      <w:sdtEndPr/>
      <w:sdtContent>
        <w:p w:rsidR="00D9061A" w:rsidRDefault="0009279D">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954730" w:history="1">
            <w:r w:rsidR="00D9061A" w:rsidRPr="003F4125">
              <w:rPr>
                <w:rStyle w:val="Hyperlink"/>
              </w:rPr>
              <w:t>Note</w:t>
            </w:r>
            <w:r w:rsidR="00D9061A">
              <w:rPr>
                <w:webHidden/>
              </w:rPr>
              <w:tab/>
            </w:r>
            <w:r w:rsidR="00D9061A">
              <w:rPr>
                <w:webHidden/>
              </w:rPr>
              <w:fldChar w:fldCharType="begin"/>
            </w:r>
            <w:r w:rsidR="00D9061A">
              <w:rPr>
                <w:webHidden/>
              </w:rPr>
              <w:instrText xml:space="preserve"> PAGEREF _Toc486954730 \h </w:instrText>
            </w:r>
            <w:r w:rsidR="00D9061A">
              <w:rPr>
                <w:webHidden/>
              </w:rPr>
            </w:r>
            <w:r w:rsidR="00D9061A">
              <w:rPr>
                <w:webHidden/>
              </w:rPr>
              <w:fldChar w:fldCharType="separate"/>
            </w:r>
            <w:r w:rsidR="002C53E2">
              <w:rPr>
                <w:webHidden/>
              </w:rPr>
              <w:t>2-2</w:t>
            </w:r>
            <w:r w:rsidR="00D9061A">
              <w:rPr>
                <w:webHidden/>
              </w:rPr>
              <w:fldChar w:fldCharType="end"/>
            </w:r>
          </w:hyperlink>
        </w:p>
        <w:p w:rsidR="00D9061A" w:rsidRDefault="002C53E2">
          <w:pPr>
            <w:pStyle w:val="TOC1"/>
            <w:rPr>
              <w:rFonts w:asciiTheme="minorHAnsi" w:eastAsiaTheme="minorEastAsia" w:hAnsiTheme="minorHAnsi"/>
              <w:b w:val="0"/>
              <w:color w:val="auto"/>
              <w:sz w:val="22"/>
              <w:lang w:val="en-AU" w:eastAsia="en-AU"/>
            </w:rPr>
          </w:pPr>
          <w:hyperlink w:anchor="_Toc486954731" w:history="1">
            <w:r w:rsidR="00D9061A" w:rsidRPr="003F4125">
              <w:rPr>
                <w:rStyle w:val="Hyperlink"/>
              </w:rPr>
              <w:t>Contents</w:t>
            </w:r>
            <w:r w:rsidR="00D9061A">
              <w:rPr>
                <w:webHidden/>
              </w:rPr>
              <w:tab/>
            </w:r>
            <w:r w:rsidR="00D9061A">
              <w:rPr>
                <w:webHidden/>
              </w:rPr>
              <w:fldChar w:fldCharType="begin"/>
            </w:r>
            <w:r w:rsidR="00D9061A">
              <w:rPr>
                <w:webHidden/>
              </w:rPr>
              <w:instrText xml:space="preserve"> PAGEREF _Toc486954731 \h </w:instrText>
            </w:r>
            <w:r w:rsidR="00D9061A">
              <w:rPr>
                <w:webHidden/>
              </w:rPr>
            </w:r>
            <w:r w:rsidR="00D9061A">
              <w:rPr>
                <w:webHidden/>
              </w:rPr>
              <w:fldChar w:fldCharType="separate"/>
            </w:r>
            <w:r>
              <w:rPr>
                <w:webHidden/>
              </w:rPr>
              <w:t>2-3</w:t>
            </w:r>
            <w:r w:rsidR="00D9061A">
              <w:rPr>
                <w:webHidden/>
              </w:rPr>
              <w:fldChar w:fldCharType="end"/>
            </w:r>
          </w:hyperlink>
        </w:p>
        <w:p w:rsidR="00D9061A" w:rsidRDefault="002C53E2">
          <w:pPr>
            <w:pStyle w:val="TOC1"/>
            <w:rPr>
              <w:rFonts w:asciiTheme="minorHAnsi" w:eastAsiaTheme="minorEastAsia" w:hAnsiTheme="minorHAnsi"/>
              <w:b w:val="0"/>
              <w:color w:val="auto"/>
              <w:sz w:val="22"/>
              <w:lang w:val="en-AU" w:eastAsia="en-AU"/>
            </w:rPr>
          </w:pPr>
          <w:hyperlink w:anchor="_Toc486954732" w:history="1">
            <w:r w:rsidR="00D9061A" w:rsidRPr="003F4125">
              <w:rPr>
                <w:rStyle w:val="Hyperlink"/>
              </w:rPr>
              <w:t>Shortened forms</w:t>
            </w:r>
            <w:r w:rsidR="00D9061A">
              <w:rPr>
                <w:webHidden/>
              </w:rPr>
              <w:tab/>
            </w:r>
            <w:r w:rsidR="00D9061A">
              <w:rPr>
                <w:webHidden/>
              </w:rPr>
              <w:fldChar w:fldCharType="begin"/>
            </w:r>
            <w:r w:rsidR="00D9061A">
              <w:rPr>
                <w:webHidden/>
              </w:rPr>
              <w:instrText xml:space="preserve"> PAGEREF _Toc486954732 \h </w:instrText>
            </w:r>
            <w:r w:rsidR="00D9061A">
              <w:rPr>
                <w:webHidden/>
              </w:rPr>
            </w:r>
            <w:r w:rsidR="00D9061A">
              <w:rPr>
                <w:webHidden/>
              </w:rPr>
              <w:fldChar w:fldCharType="separate"/>
            </w:r>
            <w:r>
              <w:rPr>
                <w:webHidden/>
              </w:rPr>
              <w:t>2-4</w:t>
            </w:r>
            <w:r w:rsidR="00D9061A">
              <w:rPr>
                <w:webHidden/>
              </w:rPr>
              <w:fldChar w:fldCharType="end"/>
            </w:r>
          </w:hyperlink>
        </w:p>
        <w:p w:rsidR="00D9061A" w:rsidRDefault="002C53E2">
          <w:pPr>
            <w:pStyle w:val="TOC1"/>
            <w:rPr>
              <w:rFonts w:asciiTheme="minorHAnsi" w:eastAsiaTheme="minorEastAsia" w:hAnsiTheme="minorHAnsi"/>
              <w:b w:val="0"/>
              <w:color w:val="auto"/>
              <w:sz w:val="22"/>
              <w:lang w:val="en-AU" w:eastAsia="en-AU"/>
            </w:rPr>
          </w:pPr>
          <w:hyperlink w:anchor="_Toc486954733" w:history="1">
            <w:r w:rsidR="00D9061A" w:rsidRPr="003F4125">
              <w:rPr>
                <w:rStyle w:val="Hyperlink"/>
              </w:rPr>
              <w:t>2</w:t>
            </w:r>
            <w:r w:rsidR="00D9061A">
              <w:rPr>
                <w:rFonts w:asciiTheme="minorHAnsi" w:eastAsiaTheme="minorEastAsia" w:hAnsiTheme="minorHAnsi"/>
                <w:b w:val="0"/>
                <w:color w:val="auto"/>
                <w:sz w:val="22"/>
                <w:lang w:val="en-AU" w:eastAsia="en-AU"/>
              </w:rPr>
              <w:tab/>
            </w:r>
            <w:r w:rsidR="00D9061A" w:rsidRPr="003F4125">
              <w:rPr>
                <w:rStyle w:val="Hyperlink"/>
              </w:rPr>
              <w:t>Capital base</w:t>
            </w:r>
            <w:r w:rsidR="00D9061A">
              <w:rPr>
                <w:webHidden/>
              </w:rPr>
              <w:tab/>
            </w:r>
            <w:r w:rsidR="00D9061A">
              <w:rPr>
                <w:webHidden/>
              </w:rPr>
              <w:fldChar w:fldCharType="begin"/>
            </w:r>
            <w:r w:rsidR="00D9061A">
              <w:rPr>
                <w:webHidden/>
              </w:rPr>
              <w:instrText xml:space="preserve"> PAGEREF _Toc486954733 \h </w:instrText>
            </w:r>
            <w:r w:rsidR="00D9061A">
              <w:rPr>
                <w:webHidden/>
              </w:rPr>
            </w:r>
            <w:r w:rsidR="00D9061A">
              <w:rPr>
                <w:webHidden/>
              </w:rPr>
              <w:fldChar w:fldCharType="separate"/>
            </w:r>
            <w:r>
              <w:rPr>
                <w:webHidden/>
              </w:rPr>
              <w:t>2-5</w:t>
            </w:r>
            <w:r w:rsidR="00D9061A">
              <w:rPr>
                <w:webHidden/>
              </w:rPr>
              <w:fldChar w:fldCharType="end"/>
            </w:r>
          </w:hyperlink>
        </w:p>
        <w:p w:rsidR="00D9061A" w:rsidRDefault="002C53E2">
          <w:pPr>
            <w:pStyle w:val="TOC2"/>
            <w:rPr>
              <w:rFonts w:asciiTheme="minorHAnsi" w:eastAsiaTheme="minorEastAsia" w:hAnsiTheme="minorHAnsi"/>
              <w:b w:val="0"/>
              <w:color w:val="auto"/>
              <w:sz w:val="22"/>
              <w:lang w:eastAsia="en-AU"/>
            </w:rPr>
          </w:pPr>
          <w:hyperlink w:anchor="_Toc486954734" w:history="1">
            <w:r w:rsidR="00D9061A" w:rsidRPr="003F4125">
              <w:rPr>
                <w:rStyle w:val="Hyperlink"/>
              </w:rPr>
              <w:t>2.1</w:t>
            </w:r>
            <w:r w:rsidR="00D9061A">
              <w:rPr>
                <w:rFonts w:asciiTheme="minorHAnsi" w:eastAsiaTheme="minorEastAsia" w:hAnsiTheme="minorHAnsi"/>
                <w:b w:val="0"/>
                <w:color w:val="auto"/>
                <w:sz w:val="22"/>
                <w:lang w:eastAsia="en-AU"/>
              </w:rPr>
              <w:tab/>
            </w:r>
            <w:r w:rsidR="00D9061A" w:rsidRPr="003F4125">
              <w:rPr>
                <w:rStyle w:val="Hyperlink"/>
              </w:rPr>
              <w:t>Draft decision</w:t>
            </w:r>
            <w:r w:rsidR="00D9061A">
              <w:rPr>
                <w:webHidden/>
              </w:rPr>
              <w:tab/>
            </w:r>
            <w:r w:rsidR="00D9061A">
              <w:rPr>
                <w:webHidden/>
              </w:rPr>
              <w:fldChar w:fldCharType="begin"/>
            </w:r>
            <w:r w:rsidR="00D9061A">
              <w:rPr>
                <w:webHidden/>
              </w:rPr>
              <w:instrText xml:space="preserve"> PAGEREF _Toc486954734 \h </w:instrText>
            </w:r>
            <w:r w:rsidR="00D9061A">
              <w:rPr>
                <w:webHidden/>
              </w:rPr>
            </w:r>
            <w:r w:rsidR="00D9061A">
              <w:rPr>
                <w:webHidden/>
              </w:rPr>
              <w:fldChar w:fldCharType="separate"/>
            </w:r>
            <w:r>
              <w:rPr>
                <w:webHidden/>
              </w:rPr>
              <w:t>2-5</w:t>
            </w:r>
            <w:r w:rsidR="00D9061A">
              <w:rPr>
                <w:webHidden/>
              </w:rPr>
              <w:fldChar w:fldCharType="end"/>
            </w:r>
          </w:hyperlink>
        </w:p>
        <w:p w:rsidR="00D9061A" w:rsidRDefault="002C53E2">
          <w:pPr>
            <w:pStyle w:val="TOC2"/>
            <w:rPr>
              <w:rFonts w:asciiTheme="minorHAnsi" w:eastAsiaTheme="minorEastAsia" w:hAnsiTheme="minorHAnsi"/>
              <w:b w:val="0"/>
              <w:color w:val="auto"/>
              <w:sz w:val="22"/>
              <w:lang w:eastAsia="en-AU"/>
            </w:rPr>
          </w:pPr>
          <w:hyperlink w:anchor="_Toc486954735" w:history="1">
            <w:r w:rsidR="00D9061A" w:rsidRPr="003F4125">
              <w:rPr>
                <w:rStyle w:val="Hyperlink"/>
              </w:rPr>
              <w:t>2.2</w:t>
            </w:r>
            <w:r w:rsidR="00D9061A">
              <w:rPr>
                <w:rFonts w:asciiTheme="minorHAnsi" w:eastAsiaTheme="minorEastAsia" w:hAnsiTheme="minorHAnsi"/>
                <w:b w:val="0"/>
                <w:color w:val="auto"/>
                <w:sz w:val="22"/>
                <w:lang w:eastAsia="en-AU"/>
              </w:rPr>
              <w:tab/>
            </w:r>
            <w:r w:rsidR="00D9061A" w:rsidRPr="003F4125">
              <w:rPr>
                <w:rStyle w:val="Hyperlink"/>
              </w:rPr>
              <w:t>AGN’s proposal</w:t>
            </w:r>
            <w:r w:rsidR="00D9061A">
              <w:rPr>
                <w:webHidden/>
              </w:rPr>
              <w:tab/>
            </w:r>
            <w:r w:rsidR="00D9061A">
              <w:rPr>
                <w:webHidden/>
              </w:rPr>
              <w:fldChar w:fldCharType="begin"/>
            </w:r>
            <w:r w:rsidR="00D9061A">
              <w:rPr>
                <w:webHidden/>
              </w:rPr>
              <w:instrText xml:space="preserve"> PAGEREF _Toc486954735 \h </w:instrText>
            </w:r>
            <w:r w:rsidR="00D9061A">
              <w:rPr>
                <w:webHidden/>
              </w:rPr>
            </w:r>
            <w:r w:rsidR="00D9061A">
              <w:rPr>
                <w:webHidden/>
              </w:rPr>
              <w:fldChar w:fldCharType="separate"/>
            </w:r>
            <w:r>
              <w:rPr>
                <w:webHidden/>
              </w:rPr>
              <w:t>2-6</w:t>
            </w:r>
            <w:r w:rsidR="00D9061A">
              <w:rPr>
                <w:webHidden/>
              </w:rPr>
              <w:fldChar w:fldCharType="end"/>
            </w:r>
          </w:hyperlink>
        </w:p>
        <w:p w:rsidR="00D9061A" w:rsidRDefault="002C53E2">
          <w:pPr>
            <w:pStyle w:val="TOC2"/>
            <w:rPr>
              <w:rFonts w:asciiTheme="minorHAnsi" w:eastAsiaTheme="minorEastAsia" w:hAnsiTheme="minorHAnsi"/>
              <w:b w:val="0"/>
              <w:color w:val="auto"/>
              <w:sz w:val="22"/>
              <w:lang w:eastAsia="en-AU"/>
            </w:rPr>
          </w:pPr>
          <w:hyperlink w:anchor="_Toc486954736" w:history="1">
            <w:r w:rsidR="00D9061A" w:rsidRPr="003F4125">
              <w:rPr>
                <w:rStyle w:val="Hyperlink"/>
              </w:rPr>
              <w:t>2.3</w:t>
            </w:r>
            <w:r w:rsidR="00D9061A">
              <w:rPr>
                <w:rFonts w:asciiTheme="minorHAnsi" w:eastAsiaTheme="minorEastAsia" w:hAnsiTheme="minorHAnsi"/>
                <w:b w:val="0"/>
                <w:color w:val="auto"/>
                <w:sz w:val="22"/>
                <w:lang w:eastAsia="en-AU"/>
              </w:rPr>
              <w:tab/>
            </w:r>
            <w:r w:rsidR="00D9061A" w:rsidRPr="003F4125">
              <w:rPr>
                <w:rStyle w:val="Hyperlink"/>
              </w:rPr>
              <w:t>Assessment approach</w:t>
            </w:r>
            <w:r w:rsidR="00D9061A">
              <w:rPr>
                <w:webHidden/>
              </w:rPr>
              <w:tab/>
            </w:r>
            <w:r w:rsidR="00D9061A">
              <w:rPr>
                <w:webHidden/>
              </w:rPr>
              <w:fldChar w:fldCharType="begin"/>
            </w:r>
            <w:r w:rsidR="00D9061A">
              <w:rPr>
                <w:webHidden/>
              </w:rPr>
              <w:instrText xml:space="preserve"> PAGEREF _Toc486954736 \h </w:instrText>
            </w:r>
            <w:r w:rsidR="00D9061A">
              <w:rPr>
                <w:webHidden/>
              </w:rPr>
            </w:r>
            <w:r w:rsidR="00D9061A">
              <w:rPr>
                <w:webHidden/>
              </w:rPr>
              <w:fldChar w:fldCharType="separate"/>
            </w:r>
            <w:r>
              <w:rPr>
                <w:webHidden/>
              </w:rPr>
              <w:t>2-8</w:t>
            </w:r>
            <w:r w:rsidR="00D9061A">
              <w:rPr>
                <w:webHidden/>
              </w:rPr>
              <w:fldChar w:fldCharType="end"/>
            </w:r>
          </w:hyperlink>
        </w:p>
        <w:p w:rsidR="00D9061A" w:rsidRDefault="002C53E2">
          <w:pPr>
            <w:pStyle w:val="TOC3"/>
            <w:rPr>
              <w:rFonts w:asciiTheme="minorHAnsi" w:eastAsiaTheme="minorEastAsia" w:hAnsiTheme="minorHAnsi"/>
              <w:lang w:eastAsia="en-AU"/>
            </w:rPr>
          </w:pPr>
          <w:hyperlink w:anchor="_Toc486954737" w:history="1">
            <w:r w:rsidR="00D9061A" w:rsidRPr="003F4125">
              <w:rPr>
                <w:rStyle w:val="Hyperlink"/>
              </w:rPr>
              <w:t>2.3.1</w:t>
            </w:r>
            <w:r w:rsidR="00D9061A">
              <w:rPr>
                <w:rFonts w:asciiTheme="minorHAnsi" w:eastAsiaTheme="minorEastAsia" w:hAnsiTheme="minorHAnsi"/>
                <w:lang w:eastAsia="en-AU"/>
              </w:rPr>
              <w:tab/>
            </w:r>
            <w:r w:rsidR="00D9061A" w:rsidRPr="003F4125">
              <w:rPr>
                <w:rStyle w:val="Hyperlink"/>
              </w:rPr>
              <w:t>Interrelationships</w:t>
            </w:r>
            <w:r w:rsidR="00D9061A">
              <w:rPr>
                <w:webHidden/>
              </w:rPr>
              <w:tab/>
            </w:r>
            <w:r w:rsidR="00D9061A">
              <w:rPr>
                <w:webHidden/>
              </w:rPr>
              <w:fldChar w:fldCharType="begin"/>
            </w:r>
            <w:r w:rsidR="00D9061A">
              <w:rPr>
                <w:webHidden/>
              </w:rPr>
              <w:instrText xml:space="preserve"> PAGEREF _Toc486954737 \h </w:instrText>
            </w:r>
            <w:r w:rsidR="00D9061A">
              <w:rPr>
                <w:webHidden/>
              </w:rPr>
            </w:r>
            <w:r w:rsidR="00D9061A">
              <w:rPr>
                <w:webHidden/>
              </w:rPr>
              <w:fldChar w:fldCharType="separate"/>
            </w:r>
            <w:r>
              <w:rPr>
                <w:webHidden/>
              </w:rPr>
              <w:t>2-9</w:t>
            </w:r>
            <w:r w:rsidR="00D9061A">
              <w:rPr>
                <w:webHidden/>
              </w:rPr>
              <w:fldChar w:fldCharType="end"/>
            </w:r>
          </w:hyperlink>
        </w:p>
        <w:p w:rsidR="00D9061A" w:rsidRDefault="002C53E2">
          <w:pPr>
            <w:pStyle w:val="TOC2"/>
            <w:rPr>
              <w:rFonts w:asciiTheme="minorHAnsi" w:eastAsiaTheme="minorEastAsia" w:hAnsiTheme="minorHAnsi"/>
              <w:b w:val="0"/>
              <w:color w:val="auto"/>
              <w:sz w:val="22"/>
              <w:lang w:eastAsia="en-AU"/>
            </w:rPr>
          </w:pPr>
          <w:hyperlink w:anchor="_Toc486954738" w:history="1">
            <w:r w:rsidR="00D9061A" w:rsidRPr="003F4125">
              <w:rPr>
                <w:rStyle w:val="Hyperlink"/>
              </w:rPr>
              <w:t>2.4</w:t>
            </w:r>
            <w:r w:rsidR="00D9061A">
              <w:rPr>
                <w:rFonts w:asciiTheme="minorHAnsi" w:eastAsiaTheme="minorEastAsia" w:hAnsiTheme="minorHAnsi"/>
                <w:b w:val="0"/>
                <w:color w:val="auto"/>
                <w:sz w:val="22"/>
                <w:lang w:eastAsia="en-AU"/>
              </w:rPr>
              <w:tab/>
            </w:r>
            <w:r w:rsidR="00D9061A" w:rsidRPr="003F4125">
              <w:rPr>
                <w:rStyle w:val="Hyperlink"/>
              </w:rPr>
              <w:t>Reasons for draft decision</w:t>
            </w:r>
            <w:r w:rsidR="00D9061A">
              <w:rPr>
                <w:webHidden/>
              </w:rPr>
              <w:tab/>
            </w:r>
            <w:r w:rsidR="00D9061A">
              <w:rPr>
                <w:webHidden/>
              </w:rPr>
              <w:fldChar w:fldCharType="begin"/>
            </w:r>
            <w:r w:rsidR="00D9061A">
              <w:rPr>
                <w:webHidden/>
              </w:rPr>
              <w:instrText xml:space="preserve"> PAGEREF _Toc486954738 \h </w:instrText>
            </w:r>
            <w:r w:rsidR="00D9061A">
              <w:rPr>
                <w:webHidden/>
              </w:rPr>
            </w:r>
            <w:r w:rsidR="00D9061A">
              <w:rPr>
                <w:webHidden/>
              </w:rPr>
              <w:fldChar w:fldCharType="separate"/>
            </w:r>
            <w:r>
              <w:rPr>
                <w:webHidden/>
              </w:rPr>
              <w:t>2-11</w:t>
            </w:r>
            <w:r w:rsidR="00D9061A">
              <w:rPr>
                <w:webHidden/>
              </w:rPr>
              <w:fldChar w:fldCharType="end"/>
            </w:r>
          </w:hyperlink>
        </w:p>
        <w:p w:rsidR="00D9061A" w:rsidRDefault="002C53E2">
          <w:pPr>
            <w:pStyle w:val="TOC3"/>
            <w:rPr>
              <w:rFonts w:asciiTheme="minorHAnsi" w:eastAsiaTheme="minorEastAsia" w:hAnsiTheme="minorHAnsi"/>
              <w:lang w:eastAsia="en-AU"/>
            </w:rPr>
          </w:pPr>
          <w:hyperlink w:anchor="_Toc486954739" w:history="1">
            <w:r w:rsidR="00D9061A" w:rsidRPr="003F4125">
              <w:rPr>
                <w:rStyle w:val="Hyperlink"/>
              </w:rPr>
              <w:t>2.4.1</w:t>
            </w:r>
            <w:r w:rsidR="00D9061A">
              <w:rPr>
                <w:rFonts w:asciiTheme="minorHAnsi" w:eastAsiaTheme="minorEastAsia" w:hAnsiTheme="minorHAnsi"/>
                <w:lang w:eastAsia="en-AU"/>
              </w:rPr>
              <w:tab/>
            </w:r>
            <w:r w:rsidR="00D9061A" w:rsidRPr="003F4125">
              <w:rPr>
                <w:rStyle w:val="Hyperlink"/>
              </w:rPr>
              <w:t>Roll forward of capital base during the 2013–17 access arrangement period</w:t>
            </w:r>
            <w:r w:rsidR="00D9061A">
              <w:rPr>
                <w:webHidden/>
              </w:rPr>
              <w:tab/>
            </w:r>
            <w:r w:rsidR="00D01840">
              <w:rPr>
                <w:webHidden/>
              </w:rPr>
              <w:tab/>
            </w:r>
            <w:r w:rsidR="00D9061A">
              <w:rPr>
                <w:webHidden/>
              </w:rPr>
              <w:fldChar w:fldCharType="begin"/>
            </w:r>
            <w:r w:rsidR="00D9061A">
              <w:rPr>
                <w:webHidden/>
              </w:rPr>
              <w:instrText xml:space="preserve"> PAGEREF _Toc486954739 \h </w:instrText>
            </w:r>
            <w:r w:rsidR="00D9061A">
              <w:rPr>
                <w:webHidden/>
              </w:rPr>
            </w:r>
            <w:r w:rsidR="00D9061A">
              <w:rPr>
                <w:webHidden/>
              </w:rPr>
              <w:fldChar w:fldCharType="separate"/>
            </w:r>
            <w:r>
              <w:rPr>
                <w:webHidden/>
              </w:rPr>
              <w:t>2-12</w:t>
            </w:r>
            <w:r w:rsidR="00D9061A">
              <w:rPr>
                <w:webHidden/>
              </w:rPr>
              <w:fldChar w:fldCharType="end"/>
            </w:r>
          </w:hyperlink>
        </w:p>
        <w:p w:rsidR="00D9061A" w:rsidRDefault="002C53E2">
          <w:pPr>
            <w:pStyle w:val="TOC3"/>
            <w:rPr>
              <w:rFonts w:asciiTheme="minorHAnsi" w:eastAsiaTheme="minorEastAsia" w:hAnsiTheme="minorHAnsi"/>
              <w:lang w:eastAsia="en-AU"/>
            </w:rPr>
          </w:pPr>
          <w:hyperlink w:anchor="_Toc486954740" w:history="1">
            <w:r w:rsidR="00D9061A" w:rsidRPr="003F4125">
              <w:rPr>
                <w:rStyle w:val="Hyperlink"/>
              </w:rPr>
              <w:t>2.4.2</w:t>
            </w:r>
            <w:r w:rsidR="00D9061A">
              <w:rPr>
                <w:rFonts w:asciiTheme="minorHAnsi" w:eastAsiaTheme="minorEastAsia" w:hAnsiTheme="minorHAnsi"/>
                <w:lang w:eastAsia="en-AU"/>
              </w:rPr>
              <w:tab/>
            </w:r>
            <w:r w:rsidR="00D9061A" w:rsidRPr="003F4125">
              <w:rPr>
                <w:rStyle w:val="Hyperlink"/>
              </w:rPr>
              <w:t>Projected capital base during the 2018–22 access arrangement period</w:t>
            </w:r>
            <w:r w:rsidR="00D9061A">
              <w:rPr>
                <w:webHidden/>
              </w:rPr>
              <w:tab/>
            </w:r>
            <w:r w:rsidR="00D01840">
              <w:rPr>
                <w:webHidden/>
              </w:rPr>
              <w:tab/>
            </w:r>
            <w:bookmarkStart w:id="10" w:name="_GoBack"/>
            <w:bookmarkEnd w:id="10"/>
            <w:r w:rsidR="00D9061A">
              <w:rPr>
                <w:webHidden/>
              </w:rPr>
              <w:fldChar w:fldCharType="begin"/>
            </w:r>
            <w:r w:rsidR="00D9061A">
              <w:rPr>
                <w:webHidden/>
              </w:rPr>
              <w:instrText xml:space="preserve"> PAGEREF _Toc486954740 \h </w:instrText>
            </w:r>
            <w:r w:rsidR="00D9061A">
              <w:rPr>
                <w:webHidden/>
              </w:rPr>
            </w:r>
            <w:r w:rsidR="00D9061A">
              <w:rPr>
                <w:webHidden/>
              </w:rPr>
              <w:fldChar w:fldCharType="separate"/>
            </w:r>
            <w:r>
              <w:rPr>
                <w:webHidden/>
              </w:rPr>
              <w:t>2-14</w:t>
            </w:r>
            <w:r w:rsidR="00D9061A">
              <w:rPr>
                <w:webHidden/>
              </w:rPr>
              <w:fldChar w:fldCharType="end"/>
            </w:r>
          </w:hyperlink>
        </w:p>
        <w:p w:rsidR="00D9061A" w:rsidRDefault="002C53E2">
          <w:pPr>
            <w:pStyle w:val="TOC3"/>
            <w:rPr>
              <w:rFonts w:asciiTheme="minorHAnsi" w:eastAsiaTheme="minorEastAsia" w:hAnsiTheme="minorHAnsi"/>
              <w:lang w:eastAsia="en-AU"/>
            </w:rPr>
          </w:pPr>
          <w:hyperlink w:anchor="_Toc486954741" w:history="1">
            <w:r w:rsidR="00D9061A" w:rsidRPr="003F4125">
              <w:rPr>
                <w:rStyle w:val="Hyperlink"/>
              </w:rPr>
              <w:t>2.4.3</w:t>
            </w:r>
            <w:r w:rsidR="00D9061A">
              <w:rPr>
                <w:rFonts w:asciiTheme="minorHAnsi" w:eastAsiaTheme="minorEastAsia" w:hAnsiTheme="minorHAnsi"/>
                <w:lang w:eastAsia="en-AU"/>
              </w:rPr>
              <w:tab/>
            </w:r>
            <w:r w:rsidR="00D9061A" w:rsidRPr="003F4125">
              <w:rPr>
                <w:rStyle w:val="Hyperlink"/>
              </w:rPr>
              <w:t>Capital base at the commencement of the 2023–27 access arrangement period</w:t>
            </w:r>
            <w:r w:rsidR="00D9061A">
              <w:rPr>
                <w:webHidden/>
              </w:rPr>
              <w:tab/>
            </w:r>
            <w:r w:rsidR="00D9061A">
              <w:rPr>
                <w:webHidden/>
              </w:rPr>
              <w:fldChar w:fldCharType="begin"/>
            </w:r>
            <w:r w:rsidR="00D9061A">
              <w:rPr>
                <w:webHidden/>
              </w:rPr>
              <w:instrText xml:space="preserve"> PAGEREF _Toc486954741 \h </w:instrText>
            </w:r>
            <w:r w:rsidR="00D9061A">
              <w:rPr>
                <w:webHidden/>
              </w:rPr>
            </w:r>
            <w:r w:rsidR="00D9061A">
              <w:rPr>
                <w:webHidden/>
              </w:rPr>
              <w:fldChar w:fldCharType="separate"/>
            </w:r>
            <w:r>
              <w:rPr>
                <w:webHidden/>
              </w:rPr>
              <w:t>2-15</w:t>
            </w:r>
            <w:r w:rsidR="00D9061A">
              <w:rPr>
                <w:webHidden/>
              </w:rPr>
              <w:fldChar w:fldCharType="end"/>
            </w:r>
          </w:hyperlink>
        </w:p>
        <w:p w:rsidR="00D9061A" w:rsidRDefault="002C53E2">
          <w:pPr>
            <w:pStyle w:val="TOC2"/>
            <w:rPr>
              <w:rFonts w:asciiTheme="minorHAnsi" w:eastAsiaTheme="minorEastAsia" w:hAnsiTheme="minorHAnsi"/>
              <w:b w:val="0"/>
              <w:color w:val="auto"/>
              <w:sz w:val="22"/>
              <w:lang w:eastAsia="en-AU"/>
            </w:rPr>
          </w:pPr>
          <w:hyperlink w:anchor="_Toc486954742" w:history="1">
            <w:r w:rsidR="00D9061A" w:rsidRPr="003F4125">
              <w:rPr>
                <w:rStyle w:val="Hyperlink"/>
              </w:rPr>
              <w:t>2.5</w:t>
            </w:r>
            <w:r w:rsidR="00D9061A">
              <w:rPr>
                <w:rFonts w:asciiTheme="minorHAnsi" w:eastAsiaTheme="minorEastAsia" w:hAnsiTheme="minorHAnsi"/>
                <w:b w:val="0"/>
                <w:color w:val="auto"/>
                <w:sz w:val="22"/>
                <w:lang w:eastAsia="en-AU"/>
              </w:rPr>
              <w:tab/>
            </w:r>
            <w:r w:rsidR="00D9061A" w:rsidRPr="003F4125">
              <w:rPr>
                <w:rStyle w:val="Hyperlink"/>
              </w:rPr>
              <w:t>Revisions</w:t>
            </w:r>
            <w:r w:rsidR="00D9061A">
              <w:rPr>
                <w:webHidden/>
              </w:rPr>
              <w:tab/>
            </w:r>
            <w:r w:rsidR="00D9061A">
              <w:rPr>
                <w:webHidden/>
              </w:rPr>
              <w:fldChar w:fldCharType="begin"/>
            </w:r>
            <w:r w:rsidR="00D9061A">
              <w:rPr>
                <w:webHidden/>
              </w:rPr>
              <w:instrText xml:space="preserve"> PAGEREF _Toc486954742 \h </w:instrText>
            </w:r>
            <w:r w:rsidR="00D9061A">
              <w:rPr>
                <w:webHidden/>
              </w:rPr>
            </w:r>
            <w:r w:rsidR="00D9061A">
              <w:rPr>
                <w:webHidden/>
              </w:rPr>
              <w:fldChar w:fldCharType="separate"/>
            </w:r>
            <w:r>
              <w:rPr>
                <w:webHidden/>
              </w:rPr>
              <w:t>2-16</w:t>
            </w:r>
            <w:r w:rsidR="00D9061A">
              <w:rPr>
                <w:webHidden/>
              </w:rPr>
              <w:fldChar w:fldCharType="end"/>
            </w:r>
          </w:hyperlink>
        </w:p>
        <w:p w:rsidR="00CE2A23" w:rsidRDefault="0009279D" w:rsidP="0009279D">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954732"/>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864F6" w:rsidTr="005864F6">
        <w:trPr>
          <w:cnfStyle w:val="100000000000" w:firstRow="1" w:lastRow="0" w:firstColumn="0" w:lastColumn="0" w:oddVBand="0" w:evenVBand="0" w:oddHBand="0" w:evenHBand="0" w:firstRowFirstColumn="0" w:firstRowLastColumn="0" w:lastRowFirstColumn="0" w:lastRowLastColumn="0"/>
        </w:trPr>
        <w:tc>
          <w:tcPr>
            <w:tcW w:w="4340" w:type="dxa"/>
          </w:tcPr>
          <w:p w:rsidR="005864F6" w:rsidRDefault="005864F6" w:rsidP="005864F6">
            <w:pPr>
              <w:numPr>
                <w:ilvl w:val="0"/>
                <w:numId w:val="24"/>
              </w:numPr>
            </w:pPr>
            <w:r>
              <w:t>Shortened form</w:t>
            </w:r>
          </w:p>
        </w:tc>
        <w:tc>
          <w:tcPr>
            <w:tcW w:w="4353" w:type="dxa"/>
          </w:tcPr>
          <w:p w:rsidR="005864F6" w:rsidRDefault="005864F6" w:rsidP="005864F6">
            <w:pPr>
              <w:numPr>
                <w:ilvl w:val="0"/>
                <w:numId w:val="24"/>
              </w:numPr>
            </w:pPr>
            <w:r>
              <w:t>Extended form</w:t>
            </w:r>
          </w:p>
        </w:tc>
      </w:tr>
      <w:tr w:rsidR="005864F6" w:rsidTr="005864F6">
        <w:tc>
          <w:tcPr>
            <w:tcW w:w="4340" w:type="dxa"/>
          </w:tcPr>
          <w:p w:rsidR="005864F6" w:rsidRDefault="005864F6" w:rsidP="005864F6">
            <w:pPr>
              <w:numPr>
                <w:ilvl w:val="0"/>
                <w:numId w:val="24"/>
              </w:numPr>
            </w:pPr>
            <w:r>
              <w:t>AER</w:t>
            </w:r>
          </w:p>
        </w:tc>
        <w:tc>
          <w:tcPr>
            <w:tcW w:w="4353" w:type="dxa"/>
          </w:tcPr>
          <w:p w:rsidR="005864F6" w:rsidRDefault="005864F6" w:rsidP="005864F6">
            <w:pPr>
              <w:numPr>
                <w:ilvl w:val="0"/>
                <w:numId w:val="24"/>
              </w:numPr>
            </w:pPr>
            <w:r>
              <w:t>Australian Energy Regulator</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ATO</w:t>
            </w:r>
          </w:p>
        </w:tc>
        <w:tc>
          <w:tcPr>
            <w:tcW w:w="4353" w:type="dxa"/>
          </w:tcPr>
          <w:p w:rsidR="005864F6" w:rsidRPr="00650EFA" w:rsidRDefault="005864F6" w:rsidP="005864F6">
            <w:r>
              <w:t>Australian Tax Office</w:t>
            </w:r>
          </w:p>
        </w:tc>
      </w:tr>
      <w:tr w:rsidR="005864F6" w:rsidTr="005864F6">
        <w:tc>
          <w:tcPr>
            <w:tcW w:w="4340" w:type="dxa"/>
          </w:tcPr>
          <w:p w:rsidR="005864F6" w:rsidRDefault="005864F6" w:rsidP="005864F6">
            <w:pPr>
              <w:numPr>
                <w:ilvl w:val="0"/>
                <w:numId w:val="24"/>
              </w:numPr>
            </w:pPr>
            <w:r>
              <w:t>capex</w:t>
            </w:r>
          </w:p>
        </w:tc>
        <w:tc>
          <w:tcPr>
            <w:tcW w:w="4353" w:type="dxa"/>
          </w:tcPr>
          <w:p w:rsidR="005864F6" w:rsidRDefault="005864F6" w:rsidP="005864F6">
            <w:pPr>
              <w:numPr>
                <w:ilvl w:val="0"/>
                <w:numId w:val="24"/>
              </w:numPr>
            </w:pPr>
            <w:r>
              <w:t>capital expenditure</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CAPM</w:t>
            </w:r>
          </w:p>
        </w:tc>
        <w:tc>
          <w:tcPr>
            <w:tcW w:w="4353" w:type="dxa"/>
          </w:tcPr>
          <w:p w:rsidR="005864F6" w:rsidRDefault="005864F6" w:rsidP="005864F6">
            <w:pPr>
              <w:numPr>
                <w:ilvl w:val="0"/>
                <w:numId w:val="24"/>
              </w:numPr>
            </w:pPr>
            <w:r>
              <w:t>capital asset pricing model</w:t>
            </w:r>
          </w:p>
        </w:tc>
      </w:tr>
      <w:tr w:rsidR="005864F6" w:rsidTr="005864F6">
        <w:tc>
          <w:tcPr>
            <w:tcW w:w="4340" w:type="dxa"/>
          </w:tcPr>
          <w:p w:rsidR="005864F6" w:rsidRDefault="005864F6" w:rsidP="005864F6">
            <w:pPr>
              <w:numPr>
                <w:ilvl w:val="0"/>
                <w:numId w:val="24"/>
              </w:numPr>
            </w:pPr>
            <w:r>
              <w:t>CESS</w:t>
            </w:r>
          </w:p>
        </w:tc>
        <w:tc>
          <w:tcPr>
            <w:tcW w:w="4353" w:type="dxa"/>
          </w:tcPr>
          <w:p w:rsidR="005864F6" w:rsidRDefault="005864F6" w:rsidP="005864F6">
            <w:pPr>
              <w:numPr>
                <w:ilvl w:val="0"/>
                <w:numId w:val="24"/>
              </w:numPr>
            </w:pPr>
            <w:r>
              <w:t>Capital Expenditure Sharing Scheme</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CPI</w:t>
            </w:r>
          </w:p>
        </w:tc>
        <w:tc>
          <w:tcPr>
            <w:tcW w:w="4353" w:type="dxa"/>
          </w:tcPr>
          <w:p w:rsidR="005864F6" w:rsidRDefault="005864F6" w:rsidP="005864F6">
            <w:pPr>
              <w:numPr>
                <w:ilvl w:val="0"/>
                <w:numId w:val="24"/>
              </w:numPr>
            </w:pPr>
            <w:r>
              <w:t>consumer price index</w:t>
            </w:r>
          </w:p>
        </w:tc>
      </w:tr>
      <w:tr w:rsidR="005864F6" w:rsidTr="005864F6">
        <w:tc>
          <w:tcPr>
            <w:tcW w:w="4340" w:type="dxa"/>
          </w:tcPr>
          <w:p w:rsidR="005864F6" w:rsidRDefault="005864F6" w:rsidP="005864F6">
            <w:pPr>
              <w:numPr>
                <w:ilvl w:val="0"/>
                <w:numId w:val="24"/>
              </w:numPr>
            </w:pPr>
            <w:r>
              <w:t>DRP</w:t>
            </w:r>
          </w:p>
        </w:tc>
        <w:tc>
          <w:tcPr>
            <w:tcW w:w="4353" w:type="dxa"/>
          </w:tcPr>
          <w:p w:rsidR="005864F6" w:rsidRDefault="005864F6" w:rsidP="005864F6">
            <w:pPr>
              <w:numPr>
                <w:ilvl w:val="0"/>
                <w:numId w:val="24"/>
              </w:numPr>
            </w:pPr>
            <w:r>
              <w:t>debt risk premium</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ECM</w:t>
            </w:r>
          </w:p>
        </w:tc>
        <w:tc>
          <w:tcPr>
            <w:tcW w:w="4353" w:type="dxa"/>
          </w:tcPr>
          <w:p w:rsidR="005864F6" w:rsidRPr="00650EFA" w:rsidRDefault="005864F6" w:rsidP="005864F6">
            <w:r>
              <w:t>(Opex) Efficiency Carryover Mechanism</w:t>
            </w:r>
          </w:p>
        </w:tc>
      </w:tr>
      <w:tr w:rsidR="005864F6" w:rsidTr="005864F6">
        <w:tc>
          <w:tcPr>
            <w:tcW w:w="4340" w:type="dxa"/>
          </w:tcPr>
          <w:p w:rsidR="005864F6" w:rsidRDefault="005864F6" w:rsidP="005864F6">
            <w:pPr>
              <w:numPr>
                <w:ilvl w:val="0"/>
                <w:numId w:val="24"/>
              </w:numPr>
            </w:pPr>
            <w:r>
              <w:t>ERP</w:t>
            </w:r>
          </w:p>
        </w:tc>
        <w:tc>
          <w:tcPr>
            <w:tcW w:w="4353" w:type="dxa"/>
          </w:tcPr>
          <w:p w:rsidR="005864F6" w:rsidRDefault="005864F6" w:rsidP="005864F6">
            <w:pPr>
              <w:numPr>
                <w:ilvl w:val="0"/>
                <w:numId w:val="24"/>
              </w:numPr>
            </w:pPr>
            <w:r>
              <w:t>equity risk premium</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Expenditure Guideline</w:t>
            </w:r>
          </w:p>
        </w:tc>
        <w:tc>
          <w:tcPr>
            <w:tcW w:w="4353" w:type="dxa"/>
          </w:tcPr>
          <w:p w:rsidR="005864F6" w:rsidRPr="00650EFA" w:rsidRDefault="005864F6" w:rsidP="005864F6">
            <w:r>
              <w:t>Expenditure Forecast Assessment Guideline</w:t>
            </w:r>
          </w:p>
        </w:tc>
      </w:tr>
      <w:tr w:rsidR="005864F6" w:rsidTr="005864F6">
        <w:tc>
          <w:tcPr>
            <w:tcW w:w="4340" w:type="dxa"/>
          </w:tcPr>
          <w:p w:rsidR="005864F6" w:rsidRDefault="005864F6" w:rsidP="005864F6">
            <w:pPr>
              <w:numPr>
                <w:ilvl w:val="0"/>
                <w:numId w:val="24"/>
              </w:numPr>
            </w:pPr>
            <w:r>
              <w:t>gamma</w:t>
            </w:r>
          </w:p>
        </w:tc>
        <w:tc>
          <w:tcPr>
            <w:tcW w:w="4353" w:type="dxa"/>
          </w:tcPr>
          <w:p w:rsidR="005864F6" w:rsidRPr="00650EFA" w:rsidRDefault="005864F6" w:rsidP="005864F6">
            <w:r>
              <w:t>Value of Imputation Credits</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MRP</w:t>
            </w:r>
          </w:p>
        </w:tc>
        <w:tc>
          <w:tcPr>
            <w:tcW w:w="4353" w:type="dxa"/>
          </w:tcPr>
          <w:p w:rsidR="005864F6" w:rsidRDefault="005864F6" w:rsidP="005864F6">
            <w:pPr>
              <w:numPr>
                <w:ilvl w:val="0"/>
                <w:numId w:val="24"/>
              </w:numPr>
            </w:pPr>
            <w:r>
              <w:t>market risk premium</w:t>
            </w:r>
          </w:p>
        </w:tc>
      </w:tr>
      <w:tr w:rsidR="005864F6" w:rsidTr="005864F6">
        <w:tc>
          <w:tcPr>
            <w:tcW w:w="4340" w:type="dxa"/>
          </w:tcPr>
          <w:p w:rsidR="005864F6" w:rsidRDefault="005864F6" w:rsidP="005864F6">
            <w:pPr>
              <w:numPr>
                <w:ilvl w:val="0"/>
                <w:numId w:val="24"/>
              </w:numPr>
            </w:pPr>
            <w:r>
              <w:t>NGL</w:t>
            </w:r>
          </w:p>
        </w:tc>
        <w:tc>
          <w:tcPr>
            <w:tcW w:w="4353" w:type="dxa"/>
          </w:tcPr>
          <w:p w:rsidR="005864F6" w:rsidRDefault="005864F6" w:rsidP="005864F6">
            <w:pPr>
              <w:numPr>
                <w:ilvl w:val="0"/>
                <w:numId w:val="24"/>
              </w:numPr>
            </w:pPr>
            <w:r>
              <w:t>National Gas Law</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NGO</w:t>
            </w:r>
          </w:p>
        </w:tc>
        <w:tc>
          <w:tcPr>
            <w:tcW w:w="4353" w:type="dxa"/>
          </w:tcPr>
          <w:p w:rsidR="005864F6" w:rsidRDefault="005864F6" w:rsidP="005864F6">
            <w:pPr>
              <w:numPr>
                <w:ilvl w:val="0"/>
                <w:numId w:val="24"/>
              </w:numPr>
            </w:pPr>
            <w:r>
              <w:t>national gas objective</w:t>
            </w:r>
          </w:p>
        </w:tc>
      </w:tr>
      <w:tr w:rsidR="005864F6" w:rsidTr="005864F6">
        <w:tc>
          <w:tcPr>
            <w:tcW w:w="4340" w:type="dxa"/>
          </w:tcPr>
          <w:p w:rsidR="005864F6" w:rsidRDefault="005864F6" w:rsidP="005864F6">
            <w:pPr>
              <w:numPr>
                <w:ilvl w:val="0"/>
                <w:numId w:val="24"/>
              </w:numPr>
            </w:pPr>
            <w:r>
              <w:t>NGR</w:t>
            </w:r>
          </w:p>
        </w:tc>
        <w:tc>
          <w:tcPr>
            <w:tcW w:w="4353" w:type="dxa"/>
          </w:tcPr>
          <w:p w:rsidR="005864F6" w:rsidRDefault="005864F6" w:rsidP="005864F6">
            <w:pPr>
              <w:numPr>
                <w:ilvl w:val="0"/>
                <w:numId w:val="24"/>
              </w:numPr>
            </w:pPr>
            <w:r>
              <w:t>National Gas Rules</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NPV</w:t>
            </w:r>
          </w:p>
        </w:tc>
        <w:tc>
          <w:tcPr>
            <w:tcW w:w="4353" w:type="dxa"/>
          </w:tcPr>
          <w:p w:rsidR="005864F6" w:rsidRPr="00650EFA" w:rsidRDefault="005864F6" w:rsidP="005864F6">
            <w:r>
              <w:t>net present value</w:t>
            </w:r>
          </w:p>
        </w:tc>
      </w:tr>
      <w:tr w:rsidR="005864F6" w:rsidTr="005864F6">
        <w:tc>
          <w:tcPr>
            <w:tcW w:w="4340" w:type="dxa"/>
          </w:tcPr>
          <w:p w:rsidR="005864F6" w:rsidRDefault="005864F6" w:rsidP="005864F6">
            <w:pPr>
              <w:numPr>
                <w:ilvl w:val="0"/>
                <w:numId w:val="24"/>
              </w:numPr>
            </w:pPr>
            <w:r>
              <w:t>opex</w:t>
            </w:r>
          </w:p>
        </w:tc>
        <w:tc>
          <w:tcPr>
            <w:tcW w:w="4353" w:type="dxa"/>
          </w:tcPr>
          <w:p w:rsidR="005864F6" w:rsidRDefault="005864F6" w:rsidP="005864F6">
            <w:pPr>
              <w:numPr>
                <w:ilvl w:val="0"/>
                <w:numId w:val="24"/>
              </w:numPr>
            </w:pPr>
            <w:r>
              <w:t>operating expenditure</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PTRM</w:t>
            </w:r>
          </w:p>
        </w:tc>
        <w:tc>
          <w:tcPr>
            <w:tcW w:w="4353" w:type="dxa"/>
          </w:tcPr>
          <w:p w:rsidR="005864F6" w:rsidRDefault="005864F6" w:rsidP="005864F6">
            <w:pPr>
              <w:numPr>
                <w:ilvl w:val="0"/>
                <w:numId w:val="24"/>
              </w:numPr>
            </w:pPr>
            <w:r>
              <w:t>post-tax revenue model</w:t>
            </w:r>
          </w:p>
        </w:tc>
      </w:tr>
      <w:tr w:rsidR="005864F6" w:rsidTr="005864F6">
        <w:tc>
          <w:tcPr>
            <w:tcW w:w="4340" w:type="dxa"/>
          </w:tcPr>
          <w:p w:rsidR="005864F6" w:rsidRDefault="005864F6" w:rsidP="005864F6">
            <w:pPr>
              <w:numPr>
                <w:ilvl w:val="0"/>
                <w:numId w:val="24"/>
              </w:numPr>
            </w:pPr>
            <w:r>
              <w:t>RBA</w:t>
            </w:r>
          </w:p>
        </w:tc>
        <w:tc>
          <w:tcPr>
            <w:tcW w:w="4353" w:type="dxa"/>
          </w:tcPr>
          <w:p w:rsidR="005864F6" w:rsidRDefault="005864F6" w:rsidP="005864F6">
            <w:pPr>
              <w:numPr>
                <w:ilvl w:val="0"/>
                <w:numId w:val="24"/>
              </w:numPr>
            </w:pPr>
            <w:r>
              <w:t>Reserve Bank of Australia</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RFM</w:t>
            </w:r>
          </w:p>
        </w:tc>
        <w:tc>
          <w:tcPr>
            <w:tcW w:w="4353" w:type="dxa"/>
          </w:tcPr>
          <w:p w:rsidR="005864F6" w:rsidRDefault="005864F6" w:rsidP="005864F6">
            <w:pPr>
              <w:numPr>
                <w:ilvl w:val="0"/>
                <w:numId w:val="24"/>
              </w:numPr>
            </w:pPr>
            <w:r>
              <w:t>roll forward model</w:t>
            </w:r>
          </w:p>
        </w:tc>
      </w:tr>
      <w:tr w:rsidR="005864F6" w:rsidTr="005864F6">
        <w:tc>
          <w:tcPr>
            <w:tcW w:w="4340" w:type="dxa"/>
          </w:tcPr>
          <w:p w:rsidR="005864F6" w:rsidRDefault="005864F6" w:rsidP="005864F6">
            <w:pPr>
              <w:numPr>
                <w:ilvl w:val="0"/>
                <w:numId w:val="24"/>
              </w:numPr>
            </w:pPr>
            <w:r>
              <w:t>RIN</w:t>
            </w:r>
          </w:p>
        </w:tc>
        <w:tc>
          <w:tcPr>
            <w:tcW w:w="4353" w:type="dxa"/>
          </w:tcPr>
          <w:p w:rsidR="005864F6" w:rsidRDefault="005864F6" w:rsidP="005864F6">
            <w:pPr>
              <w:numPr>
                <w:ilvl w:val="0"/>
                <w:numId w:val="24"/>
              </w:numPr>
            </w:pPr>
            <w:r>
              <w:t>regulatory information notice</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RPP</w:t>
            </w:r>
          </w:p>
        </w:tc>
        <w:tc>
          <w:tcPr>
            <w:tcW w:w="4353" w:type="dxa"/>
          </w:tcPr>
          <w:p w:rsidR="005864F6" w:rsidRDefault="005864F6" w:rsidP="005864F6">
            <w:pPr>
              <w:numPr>
                <w:ilvl w:val="0"/>
                <w:numId w:val="24"/>
              </w:numPr>
            </w:pPr>
            <w:r>
              <w:t>revenue and pricing principles</w:t>
            </w:r>
          </w:p>
        </w:tc>
      </w:tr>
      <w:tr w:rsidR="005864F6" w:rsidTr="005864F6">
        <w:tc>
          <w:tcPr>
            <w:tcW w:w="4340" w:type="dxa"/>
          </w:tcPr>
          <w:p w:rsidR="005864F6" w:rsidRDefault="005864F6" w:rsidP="005864F6">
            <w:pPr>
              <w:numPr>
                <w:ilvl w:val="0"/>
                <w:numId w:val="24"/>
              </w:numPr>
            </w:pPr>
            <w:r>
              <w:t>SLCAPM</w:t>
            </w:r>
          </w:p>
        </w:tc>
        <w:tc>
          <w:tcPr>
            <w:tcW w:w="4353" w:type="dxa"/>
          </w:tcPr>
          <w:p w:rsidR="005864F6" w:rsidRDefault="005864F6" w:rsidP="005864F6">
            <w:pPr>
              <w:numPr>
                <w:ilvl w:val="0"/>
                <w:numId w:val="24"/>
              </w:numPr>
            </w:pPr>
            <w:r>
              <w:t>Sharpe-Lintner capital asset pricing model</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STTM</w:t>
            </w:r>
          </w:p>
        </w:tc>
        <w:tc>
          <w:tcPr>
            <w:tcW w:w="4353" w:type="dxa"/>
          </w:tcPr>
          <w:p w:rsidR="005864F6" w:rsidRPr="00650EFA" w:rsidRDefault="005864F6" w:rsidP="005864F6">
            <w:r>
              <w:t>Short Term Trading Market</w:t>
            </w:r>
          </w:p>
        </w:tc>
      </w:tr>
      <w:tr w:rsidR="005864F6" w:rsidTr="005864F6">
        <w:tc>
          <w:tcPr>
            <w:tcW w:w="4340" w:type="dxa"/>
          </w:tcPr>
          <w:p w:rsidR="005864F6" w:rsidRDefault="005864F6" w:rsidP="005864F6">
            <w:pPr>
              <w:numPr>
                <w:ilvl w:val="0"/>
                <w:numId w:val="24"/>
              </w:numPr>
            </w:pPr>
            <w:r>
              <w:t>TAB</w:t>
            </w:r>
          </w:p>
        </w:tc>
        <w:tc>
          <w:tcPr>
            <w:tcW w:w="4353" w:type="dxa"/>
          </w:tcPr>
          <w:p w:rsidR="005864F6" w:rsidRPr="00650EFA" w:rsidRDefault="005864F6" w:rsidP="005864F6">
            <w:r>
              <w:t>Tax asset base</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UAFG</w:t>
            </w:r>
          </w:p>
        </w:tc>
        <w:tc>
          <w:tcPr>
            <w:tcW w:w="4353" w:type="dxa"/>
          </w:tcPr>
          <w:p w:rsidR="005864F6" w:rsidRPr="00650EFA" w:rsidRDefault="005864F6" w:rsidP="005864F6">
            <w:r>
              <w:t>Unaccounted for gas</w:t>
            </w:r>
          </w:p>
        </w:tc>
      </w:tr>
      <w:tr w:rsidR="005864F6" w:rsidTr="005864F6">
        <w:tc>
          <w:tcPr>
            <w:tcW w:w="4340" w:type="dxa"/>
          </w:tcPr>
          <w:p w:rsidR="005864F6" w:rsidRDefault="005864F6" w:rsidP="005864F6">
            <w:pPr>
              <w:numPr>
                <w:ilvl w:val="0"/>
                <w:numId w:val="24"/>
              </w:numPr>
            </w:pPr>
            <w:r>
              <w:t>WACC</w:t>
            </w:r>
          </w:p>
        </w:tc>
        <w:tc>
          <w:tcPr>
            <w:tcW w:w="4353" w:type="dxa"/>
          </w:tcPr>
          <w:p w:rsidR="005864F6" w:rsidRDefault="005864F6" w:rsidP="005864F6">
            <w:pPr>
              <w:numPr>
                <w:ilvl w:val="0"/>
                <w:numId w:val="24"/>
              </w:numPr>
            </w:pPr>
            <w:r>
              <w:t>weighted average cost of capital</w:t>
            </w:r>
          </w:p>
        </w:tc>
      </w:tr>
      <w:tr w:rsidR="005864F6" w:rsidTr="005864F6">
        <w:trPr>
          <w:cnfStyle w:val="000000010000" w:firstRow="0" w:lastRow="0" w:firstColumn="0" w:lastColumn="0" w:oddVBand="0" w:evenVBand="0" w:oddHBand="0" w:evenHBand="1" w:firstRowFirstColumn="0" w:firstRowLastColumn="0" w:lastRowFirstColumn="0" w:lastRowLastColumn="0"/>
        </w:trPr>
        <w:tc>
          <w:tcPr>
            <w:tcW w:w="4340" w:type="dxa"/>
          </w:tcPr>
          <w:p w:rsidR="005864F6" w:rsidRDefault="005864F6" w:rsidP="005864F6">
            <w:pPr>
              <w:numPr>
                <w:ilvl w:val="0"/>
                <w:numId w:val="24"/>
              </w:numPr>
            </w:pPr>
            <w:r>
              <w:t>WPI</w:t>
            </w:r>
          </w:p>
        </w:tc>
        <w:tc>
          <w:tcPr>
            <w:tcW w:w="4353" w:type="dxa"/>
          </w:tcPr>
          <w:p w:rsidR="005864F6" w:rsidRPr="00650EFA" w:rsidRDefault="005864F6" w:rsidP="005864F6">
            <w:r>
              <w:t>Wage Price Index</w:t>
            </w:r>
          </w:p>
        </w:tc>
      </w:tr>
    </w:tbl>
    <w:p w:rsidR="00DE563D" w:rsidRDefault="002510B7" w:rsidP="00F84D77">
      <w:pPr>
        <w:pStyle w:val="Heading1"/>
      </w:pPr>
      <w:bookmarkStart w:id="13" w:name="_Toc485650722"/>
      <w:bookmarkStart w:id="14" w:name="_Toc485650726"/>
      <w:bookmarkStart w:id="15" w:name="_Toc485650729"/>
      <w:bookmarkStart w:id="16" w:name="_Toc485650732"/>
      <w:bookmarkStart w:id="17" w:name="_Toc485650735"/>
      <w:bookmarkStart w:id="18" w:name="_Toc485650738"/>
      <w:bookmarkStart w:id="19" w:name="_Toc485650741"/>
      <w:bookmarkStart w:id="20" w:name="_Toc485650744"/>
      <w:bookmarkStart w:id="21" w:name="_Toc485650747"/>
      <w:bookmarkStart w:id="22" w:name="_Toc485650750"/>
      <w:bookmarkStart w:id="23" w:name="_Toc485650753"/>
      <w:bookmarkStart w:id="24" w:name="_Toc485650756"/>
      <w:bookmarkStart w:id="25" w:name="_Toc485650759"/>
      <w:bookmarkStart w:id="26" w:name="_Toc485650762"/>
      <w:bookmarkStart w:id="27" w:name="_Toc485650765"/>
      <w:bookmarkStart w:id="28" w:name="_Toc485650768"/>
      <w:bookmarkStart w:id="29" w:name="_Toc485650771"/>
      <w:bookmarkStart w:id="30" w:name="_Toc485650774"/>
      <w:bookmarkStart w:id="31" w:name="_Toc485650777"/>
      <w:bookmarkStart w:id="32" w:name="_Toc485650780"/>
      <w:bookmarkStart w:id="33" w:name="_Toc485650783"/>
      <w:bookmarkStart w:id="34" w:name="_Toc485650786"/>
      <w:bookmarkStart w:id="35" w:name="_Toc485650789"/>
      <w:bookmarkStart w:id="36" w:name="_Toc485650792"/>
      <w:bookmarkStart w:id="37" w:name="_Toc485650795"/>
      <w:bookmarkStart w:id="38" w:name="_Toc485650798"/>
      <w:bookmarkStart w:id="39" w:name="_Toc485650801"/>
      <w:bookmarkStart w:id="40" w:name="_Toc485650804"/>
      <w:bookmarkStart w:id="41" w:name="_Toc485650807"/>
      <w:bookmarkStart w:id="42" w:name="_Toc416278154"/>
      <w:bookmarkStart w:id="43" w:name="_Toc416346517"/>
      <w:bookmarkStart w:id="44" w:name="_Toc416278157"/>
      <w:bookmarkStart w:id="45" w:name="_Toc416346520"/>
      <w:bookmarkStart w:id="46" w:name="_Toc416278160"/>
      <w:bookmarkStart w:id="47" w:name="_Toc416346523"/>
      <w:bookmarkStart w:id="48" w:name="_Toc416278163"/>
      <w:bookmarkStart w:id="49" w:name="_Toc416346526"/>
      <w:bookmarkStart w:id="50" w:name="_Toc416278166"/>
      <w:bookmarkStart w:id="51" w:name="_Toc416346529"/>
      <w:bookmarkStart w:id="52" w:name="_Toc416278169"/>
      <w:bookmarkStart w:id="53" w:name="_Toc416346532"/>
      <w:bookmarkStart w:id="54" w:name="_Toc416278172"/>
      <w:bookmarkStart w:id="55" w:name="_Toc416346535"/>
      <w:bookmarkStart w:id="56" w:name="_Toc416278175"/>
      <w:bookmarkStart w:id="57" w:name="_Toc416346538"/>
      <w:bookmarkStart w:id="58" w:name="_Toc416278178"/>
      <w:bookmarkStart w:id="59" w:name="_Toc416346541"/>
      <w:bookmarkStart w:id="60" w:name="_Toc416278181"/>
      <w:bookmarkStart w:id="61" w:name="_Toc416346544"/>
      <w:bookmarkStart w:id="62" w:name="_Toc416278184"/>
      <w:bookmarkStart w:id="63" w:name="_Toc416346547"/>
      <w:bookmarkStart w:id="64" w:name="_Toc416278187"/>
      <w:bookmarkStart w:id="65" w:name="_Toc416346550"/>
      <w:bookmarkStart w:id="66" w:name="_Toc416278190"/>
      <w:bookmarkStart w:id="67" w:name="_Toc416346553"/>
      <w:bookmarkStart w:id="68" w:name="_Toc416278193"/>
      <w:bookmarkStart w:id="69" w:name="_Toc416346556"/>
      <w:bookmarkStart w:id="70" w:name="_Toc416278196"/>
      <w:bookmarkStart w:id="71" w:name="_Toc416346559"/>
      <w:bookmarkStart w:id="72" w:name="_Toc416278199"/>
      <w:bookmarkStart w:id="73" w:name="_Toc416346562"/>
      <w:bookmarkStart w:id="74" w:name="_Toc416278202"/>
      <w:bookmarkStart w:id="75" w:name="_Toc416346565"/>
      <w:bookmarkStart w:id="76" w:name="_Toc416278205"/>
      <w:bookmarkStart w:id="77" w:name="_Toc416346568"/>
      <w:bookmarkStart w:id="78" w:name="_Toc416278208"/>
      <w:bookmarkStart w:id="79" w:name="_Toc416346571"/>
      <w:bookmarkStart w:id="80" w:name="_Toc416278211"/>
      <w:bookmarkStart w:id="81" w:name="_Toc416346574"/>
      <w:bookmarkStart w:id="82" w:name="_Toc416278214"/>
      <w:bookmarkStart w:id="83" w:name="_Toc416346577"/>
      <w:bookmarkStart w:id="84" w:name="_Toc416278217"/>
      <w:bookmarkStart w:id="85" w:name="_Toc416346580"/>
      <w:bookmarkStart w:id="86" w:name="_Toc416278220"/>
      <w:bookmarkStart w:id="87" w:name="_Toc416346583"/>
      <w:bookmarkStart w:id="88" w:name="_Toc416278223"/>
      <w:bookmarkStart w:id="89" w:name="_Toc416346586"/>
      <w:bookmarkStart w:id="90" w:name="_Toc416278226"/>
      <w:bookmarkStart w:id="91" w:name="_Toc416346589"/>
      <w:bookmarkStart w:id="92" w:name="_Toc416278229"/>
      <w:bookmarkStart w:id="93" w:name="_Toc416346592"/>
      <w:bookmarkStart w:id="94" w:name="_Toc416278232"/>
      <w:bookmarkStart w:id="95" w:name="_Toc416346595"/>
      <w:bookmarkStart w:id="96" w:name="_Toc416278235"/>
      <w:bookmarkStart w:id="97" w:name="_Toc416346598"/>
      <w:bookmarkStart w:id="98" w:name="_Toc416278238"/>
      <w:bookmarkStart w:id="99" w:name="_Toc416346601"/>
      <w:bookmarkStart w:id="100" w:name="_Toc48695473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F84D77">
        <w:t>Capital</w:t>
      </w:r>
      <w:r>
        <w:t xml:space="preserve"> base</w:t>
      </w:r>
      <w:bookmarkEnd w:id="100"/>
    </w:p>
    <w:p w:rsidR="007F7E9B" w:rsidRPr="004348FE" w:rsidRDefault="007F7E9B" w:rsidP="007F7E9B">
      <w:r w:rsidRPr="004348FE">
        <w:t xml:space="preserve">The capital base roll forward accounts for the value of </w:t>
      </w:r>
      <w:r>
        <w:t xml:space="preserve">AGN's </w:t>
      </w:r>
      <w:r w:rsidRPr="004348FE">
        <w:t>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Pr>
          <w:rStyle w:val="FootnoteReference"/>
        </w:rPr>
        <w:footnoteReference w:id="1"/>
      </w:r>
      <w:r w:rsidRPr="004348FE">
        <w:t xml:space="preserve"> Following this process, </w:t>
      </w:r>
      <w:r>
        <w:t>we</w:t>
      </w:r>
      <w:r w:rsidRPr="004348FE">
        <w:t xml:space="preserve"> arrive at a closing value of the capital base at the end of the relevant year. The opening value of the capital base is used to determine the return of capital (regulatory depreciation) and return on capital building block allowances.</w:t>
      </w:r>
    </w:p>
    <w:p w:rsidR="00132D43" w:rsidRPr="00132D43" w:rsidRDefault="00065BFC" w:rsidP="007F7E9B">
      <w:r>
        <w:t>This attachment sets out our draft</w:t>
      </w:r>
      <w:r w:rsidR="007F7E9B" w:rsidRPr="004348FE">
        <w:t xml:space="preserve"> decision on </w:t>
      </w:r>
      <w:r w:rsidR="007F7E9B">
        <w:t>AGN's</w:t>
      </w:r>
      <w:r w:rsidR="007F7E9B" w:rsidRPr="004348FE">
        <w:t xml:space="preserve"> opening capital base as at 1 </w:t>
      </w:r>
      <w:r w:rsidR="007F7E9B">
        <w:t>January</w:t>
      </w:r>
      <w:r w:rsidR="007F7E9B" w:rsidRPr="004348FE">
        <w:t xml:space="preserve"> 201</w:t>
      </w:r>
      <w:r w:rsidR="007F7E9B">
        <w:t>8</w:t>
      </w:r>
      <w:r w:rsidR="007F7E9B" w:rsidRPr="004348FE">
        <w:t xml:space="preserve"> for the 201</w:t>
      </w:r>
      <w:r w:rsidR="007F7E9B">
        <w:t>8</w:t>
      </w:r>
      <w:r w:rsidR="007F7E9B" w:rsidRPr="004348FE">
        <w:t>–2</w:t>
      </w:r>
      <w:r w:rsidR="007F7E9B">
        <w:t>2</w:t>
      </w:r>
      <w:r w:rsidR="007F7E9B" w:rsidRPr="004348FE">
        <w:t xml:space="preserve"> access arrangement </w:t>
      </w:r>
      <w:proofErr w:type="gramStart"/>
      <w:r w:rsidR="007F7E9B" w:rsidRPr="004348FE">
        <w:t>period</w:t>
      </w:r>
      <w:proofErr w:type="gramEnd"/>
      <w:r w:rsidR="007F7E9B" w:rsidRPr="004348FE">
        <w:t xml:space="preserve">. </w:t>
      </w:r>
      <w:r>
        <w:t>It also sets out our draft</w:t>
      </w:r>
      <w:r w:rsidR="007F7E9B" w:rsidRPr="004348FE">
        <w:t xml:space="preserve"> decision on </w:t>
      </w:r>
      <w:r w:rsidR="007F7E9B">
        <w:t>AGN</w:t>
      </w:r>
      <w:r w:rsidR="007F7E9B" w:rsidRPr="004348FE">
        <w:t>'s projected capital base for the 201</w:t>
      </w:r>
      <w:r w:rsidR="007F7E9B">
        <w:t>8</w:t>
      </w:r>
      <w:r w:rsidR="007F7E9B" w:rsidRPr="004348FE">
        <w:t>–2</w:t>
      </w:r>
      <w:r w:rsidR="007F7E9B">
        <w:t>2</w:t>
      </w:r>
      <w:r w:rsidR="007F7E9B" w:rsidRPr="004348FE">
        <w:t xml:space="preserve"> access arrangement </w:t>
      </w:r>
      <w:proofErr w:type="gramStart"/>
      <w:r w:rsidR="007F7E9B" w:rsidRPr="004348FE">
        <w:t>period</w:t>
      </w:r>
      <w:proofErr w:type="gramEnd"/>
      <w:r w:rsidR="007F7E9B" w:rsidRPr="004348FE">
        <w:t xml:space="preserve">. </w:t>
      </w:r>
    </w:p>
    <w:p w:rsidR="00132D43" w:rsidRDefault="00132D43" w:rsidP="00132D43">
      <w:pPr>
        <w:pStyle w:val="Heading2"/>
      </w:pPr>
      <w:bookmarkStart w:id="101" w:name="_Toc486954734"/>
      <w:r>
        <w:t>Draft decision</w:t>
      </w:r>
      <w:bookmarkEnd w:id="101"/>
    </w:p>
    <w:p w:rsidR="007F7E9B" w:rsidRPr="004720AB" w:rsidRDefault="007F7E9B" w:rsidP="007F7E9B">
      <w:r w:rsidRPr="004720AB">
        <w:t xml:space="preserve">We </w:t>
      </w:r>
      <w:r w:rsidR="00857DC3">
        <w:t>determine</w:t>
      </w:r>
      <w:r w:rsidRPr="004720AB">
        <w:t xml:space="preserve"> </w:t>
      </w:r>
      <w:r>
        <w:t>AGN</w:t>
      </w:r>
      <w:r w:rsidRPr="004720AB">
        <w:t xml:space="preserve">’s opening capital base </w:t>
      </w:r>
      <w:r w:rsidR="00857DC3">
        <w:t xml:space="preserve">to be </w:t>
      </w:r>
      <w:r w:rsidRPr="004720AB">
        <w:t>$</w:t>
      </w:r>
      <w:r w:rsidR="00FB7479">
        <w:t>16</w:t>
      </w:r>
      <w:r w:rsidR="00857DC3">
        <w:t>02.8</w:t>
      </w:r>
      <w:r w:rsidR="00FB7479">
        <w:t> </w:t>
      </w:r>
      <w:r w:rsidRPr="004720AB">
        <w:t>million ($</w:t>
      </w:r>
      <w:r>
        <w:t> </w:t>
      </w:r>
      <w:r w:rsidRPr="004720AB">
        <w:t xml:space="preserve">nominal) as at 1 </w:t>
      </w:r>
      <w:r>
        <w:t>January</w:t>
      </w:r>
      <w:r w:rsidRPr="004720AB">
        <w:t xml:space="preserve"> 201</w:t>
      </w:r>
      <w:r>
        <w:t>8</w:t>
      </w:r>
      <w:r w:rsidRPr="004720AB">
        <w:t xml:space="preserve">. </w:t>
      </w:r>
      <w:r w:rsidR="00857DC3">
        <w:t xml:space="preserve">The difference of </w:t>
      </w:r>
      <w:r w:rsidR="00501088">
        <w:t>$</w:t>
      </w:r>
      <w:r w:rsidR="00857DC3">
        <w:t xml:space="preserve">12.7 million between this amount and AGN's proposal reflects </w:t>
      </w:r>
      <w:r w:rsidR="00501088">
        <w:t>amendments</w:t>
      </w:r>
      <w:r w:rsidR="00857DC3">
        <w:t xml:space="preserve"> in the </w:t>
      </w:r>
      <w:r w:rsidRPr="004720AB">
        <w:t>roll forward model</w:t>
      </w:r>
      <w:r w:rsidR="00065BFC">
        <w:t>s</w:t>
      </w:r>
      <w:r w:rsidRPr="004720AB">
        <w:t xml:space="preserve"> (RFM</w:t>
      </w:r>
      <w:r w:rsidR="00065BFC">
        <w:t>s</w:t>
      </w:r>
      <w:r w:rsidRPr="004720AB">
        <w:t>) to correct some input and modelling errors.</w:t>
      </w:r>
      <w:r w:rsidR="00A84007">
        <w:t xml:space="preserve"> AGN has confirmed that these are errors that should be corrected.</w:t>
      </w:r>
    </w:p>
    <w:p w:rsidR="00132D43" w:rsidRDefault="00FB7479" w:rsidP="007F7E9B">
      <w:r>
        <w:fldChar w:fldCharType="begin"/>
      </w:r>
      <w:r>
        <w:instrText xml:space="preserve"> REF _Ref476296263 \h </w:instrText>
      </w:r>
      <w:r>
        <w:fldChar w:fldCharType="separate"/>
      </w:r>
      <w:r w:rsidR="002C53E2">
        <w:t xml:space="preserve">Table </w:t>
      </w:r>
      <w:r w:rsidR="002C53E2">
        <w:rPr>
          <w:noProof/>
        </w:rPr>
        <w:t>2</w:t>
      </w:r>
      <w:r w:rsidR="002C53E2">
        <w:t>.</w:t>
      </w:r>
      <w:r w:rsidR="002C53E2">
        <w:rPr>
          <w:noProof/>
        </w:rPr>
        <w:t>1</w:t>
      </w:r>
      <w:r>
        <w:fldChar w:fldCharType="end"/>
      </w:r>
      <w:r w:rsidR="007F7E9B">
        <w:t xml:space="preserve"> </w:t>
      </w:r>
      <w:r w:rsidR="007F7E9B" w:rsidRPr="004720AB">
        <w:t xml:space="preserve">summarises our draft decision on the roll forward of </w:t>
      </w:r>
      <w:r>
        <w:t>AGN</w:t>
      </w:r>
      <w:r w:rsidR="007F7E9B" w:rsidRPr="004720AB">
        <w:t>'s capital base during the 201</w:t>
      </w:r>
      <w:r w:rsidR="007F7E9B">
        <w:t>3</w:t>
      </w:r>
      <w:r w:rsidR="007F7E9B" w:rsidRPr="004720AB">
        <w:t>–1</w:t>
      </w:r>
      <w:r w:rsidR="007F7E9B">
        <w:t>7</w:t>
      </w:r>
      <w:r w:rsidR="007F7E9B" w:rsidRPr="004720AB">
        <w:t xml:space="preserve"> access arrangement period.</w:t>
      </w:r>
    </w:p>
    <w:p w:rsidR="00FB7479" w:rsidRDefault="00FB7479" w:rsidP="007059FA">
      <w:pPr>
        <w:pStyle w:val="Caption"/>
      </w:pPr>
      <w:bookmarkStart w:id="102" w:name="_Ref476296263"/>
      <w:proofErr w:type="gramStart"/>
      <w:r>
        <w:t xml:space="preserve">Table </w:t>
      </w:r>
      <w:proofErr w:type="gramEnd"/>
      <w:r w:rsidR="002C53E2">
        <w:fldChar w:fldCharType="begin"/>
      </w:r>
      <w:r w:rsidR="002C53E2">
        <w:instrText xml:space="preserve"> STYLEREF 1 \s </w:instrText>
      </w:r>
      <w:r w:rsidR="002C53E2">
        <w:fldChar w:fldCharType="separate"/>
      </w:r>
      <w:r w:rsidR="002C53E2">
        <w:rPr>
          <w:noProof/>
        </w:rPr>
        <w:t>2</w:t>
      </w:r>
      <w:r w:rsidR="002C53E2">
        <w:rPr>
          <w:noProof/>
        </w:rPr>
        <w:fldChar w:fldCharType="end"/>
      </w:r>
      <w:proofErr w:type="gramStart"/>
      <w:r>
        <w:t>.</w:t>
      </w:r>
      <w:proofErr w:type="gramEnd"/>
      <w:r w:rsidR="00EB5D40">
        <w:fldChar w:fldCharType="begin"/>
      </w:r>
      <w:r w:rsidR="00EB5D40">
        <w:instrText xml:space="preserve"> SEQ Table \* ARABIC \s 1 </w:instrText>
      </w:r>
      <w:r w:rsidR="00EB5D40">
        <w:fldChar w:fldCharType="separate"/>
      </w:r>
      <w:r w:rsidR="002C53E2">
        <w:rPr>
          <w:noProof/>
        </w:rPr>
        <w:t>1</w:t>
      </w:r>
      <w:r w:rsidR="00EB5D40">
        <w:rPr>
          <w:noProof/>
        </w:rPr>
        <w:fldChar w:fldCharType="end"/>
      </w:r>
      <w:bookmarkEnd w:id="102"/>
      <w:r>
        <w:tab/>
      </w:r>
      <w:r w:rsidRPr="00FB7479">
        <w:t xml:space="preserve">AER’s draft decision on </w:t>
      </w:r>
      <w:r>
        <w:t>AGN</w:t>
      </w:r>
      <w:r w:rsidRPr="00FB7479">
        <w:t>’s capital base roll forward for the 2013–17 access arrangement period ($million, nominal)</w:t>
      </w:r>
    </w:p>
    <w:tbl>
      <w:tblPr>
        <w:tblStyle w:val="AERtable-numbers"/>
        <w:tblW w:w="5000" w:type="pct"/>
        <w:tblLook w:val="04A0" w:firstRow="1" w:lastRow="0" w:firstColumn="1" w:lastColumn="0" w:noHBand="0" w:noVBand="1"/>
      </w:tblPr>
      <w:tblGrid>
        <w:gridCol w:w="3427"/>
        <w:gridCol w:w="1053"/>
        <w:gridCol w:w="1053"/>
        <w:gridCol w:w="1054"/>
        <w:gridCol w:w="1054"/>
        <w:gridCol w:w="1052"/>
      </w:tblGrid>
      <w:tr w:rsidR="00FB7479" w:rsidRPr="004720AB" w:rsidTr="000B51E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FB7479" w:rsidRPr="00FB7479" w:rsidRDefault="00FB7479" w:rsidP="007059FA">
            <w:pPr>
              <w:keepNext/>
            </w:pPr>
            <w:r w:rsidRPr="004720AB">
              <w:t> </w:t>
            </w:r>
          </w:p>
        </w:tc>
        <w:tc>
          <w:tcPr>
            <w:tcW w:w="606"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4720AB">
              <w:t>2013</w:t>
            </w:r>
          </w:p>
        </w:tc>
        <w:tc>
          <w:tcPr>
            <w:tcW w:w="606"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4720AB">
              <w:t>2014</w:t>
            </w:r>
          </w:p>
        </w:tc>
        <w:tc>
          <w:tcPr>
            <w:tcW w:w="606"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4720AB">
              <w:t>2015</w:t>
            </w:r>
          </w:p>
        </w:tc>
        <w:tc>
          <w:tcPr>
            <w:tcW w:w="606"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4720AB">
              <w:t>2016</w:t>
            </w:r>
          </w:p>
        </w:tc>
        <w:tc>
          <w:tcPr>
            <w:tcW w:w="605"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4720AB">
              <w:t>2017</w:t>
            </w:r>
          </w:p>
        </w:tc>
      </w:tr>
      <w:tr w:rsidR="000B51E7" w:rsidRPr="004720AB" w:rsidTr="000B51E7">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0B51E7" w:rsidRPr="000B51E7" w:rsidRDefault="000B51E7" w:rsidP="007059FA">
            <w:pPr>
              <w:keepNext/>
            </w:pPr>
            <w:r w:rsidRPr="000B51E7">
              <w:t>Opening capital base</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1152.2</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1237.0</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1331.4</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1439.5</w:t>
            </w:r>
          </w:p>
        </w:tc>
        <w:tc>
          <w:tcPr>
            <w:tcW w:w="605"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1511.9</w:t>
            </w:r>
          </w:p>
        </w:tc>
      </w:tr>
      <w:tr w:rsidR="000B51E7" w:rsidRPr="004720AB" w:rsidTr="000B51E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0B51E7" w:rsidRPr="000B51E7" w:rsidRDefault="000B51E7" w:rsidP="007059FA">
            <w:pPr>
              <w:keepNext/>
            </w:pPr>
            <w:r w:rsidRPr="000B51E7">
              <w:t>Net capex</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103.0</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113.1</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128.5</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105.8</w:t>
            </w:r>
          </w:p>
        </w:tc>
        <w:tc>
          <w:tcPr>
            <w:tcW w:w="605"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121.1</w:t>
            </w:r>
          </w:p>
        </w:tc>
      </w:tr>
      <w:tr w:rsidR="000B51E7" w:rsidRPr="004720AB" w:rsidTr="000B51E7">
        <w:trPr>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0B51E7" w:rsidRPr="000B51E7" w:rsidRDefault="000B51E7" w:rsidP="007059FA">
            <w:pPr>
              <w:keepNext/>
            </w:pPr>
            <w:r w:rsidRPr="000B51E7">
              <w:t>Indexation of capital base</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23.1</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26.7</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30.7</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21.6</w:t>
            </w:r>
          </w:p>
        </w:tc>
        <w:tc>
          <w:tcPr>
            <w:tcW w:w="605"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19.6</w:t>
            </w:r>
          </w:p>
        </w:tc>
      </w:tr>
      <w:tr w:rsidR="000B51E7" w:rsidRPr="004720AB" w:rsidTr="000B51E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0B51E7" w:rsidRPr="000B51E7" w:rsidRDefault="000B51E7" w:rsidP="007059FA">
            <w:pPr>
              <w:keepNext/>
            </w:pPr>
            <w:r w:rsidRPr="000B51E7">
              <w:rPr>
                <w:rStyle w:val="AERtextitalic"/>
              </w:rPr>
              <w:t>Less:</w:t>
            </w:r>
            <w:r w:rsidRPr="000B51E7">
              <w:t xml:space="preserve"> straight-line depreciation</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41.3</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45.4</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51.1</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55.0</w:t>
            </w:r>
          </w:p>
        </w:tc>
        <w:tc>
          <w:tcPr>
            <w:tcW w:w="605"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58.4</w:t>
            </w:r>
          </w:p>
        </w:tc>
      </w:tr>
      <w:tr w:rsidR="000B51E7" w:rsidRPr="004720AB" w:rsidTr="000B51E7">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0B51E7" w:rsidRPr="000B51E7" w:rsidRDefault="000B51E7" w:rsidP="007059FA">
            <w:pPr>
              <w:keepNext/>
            </w:pPr>
            <w:r w:rsidRPr="000B51E7">
              <w:t>Closing capital base</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1237.0</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1331.4</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1439.5</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1511.9</w:t>
            </w:r>
          </w:p>
        </w:tc>
        <w:tc>
          <w:tcPr>
            <w:tcW w:w="605"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1594.2</w:t>
            </w:r>
          </w:p>
        </w:tc>
      </w:tr>
      <w:tr w:rsidR="000B51E7" w:rsidRPr="004720AB" w:rsidTr="000B51E7">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71" w:type="pct"/>
            <w:hideMark/>
          </w:tcPr>
          <w:p w:rsidR="000B51E7" w:rsidRPr="000B51E7" w:rsidRDefault="000B51E7" w:rsidP="007059FA">
            <w:pPr>
              <w:keepNext/>
            </w:pPr>
            <w:r w:rsidRPr="000B51E7">
              <w:t>Difference between estimated and actual capex in 2012</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 </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 </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 </w:t>
            </w:r>
          </w:p>
        </w:tc>
        <w:tc>
          <w:tcPr>
            <w:tcW w:w="606"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 </w:t>
            </w:r>
          </w:p>
        </w:tc>
        <w:tc>
          <w:tcPr>
            <w:tcW w:w="605" w:type="pct"/>
            <w:noWrap/>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pPr>
            <w:r w:rsidRPr="000B51E7">
              <w:t>6.3</w:t>
            </w:r>
          </w:p>
        </w:tc>
      </w:tr>
      <w:tr w:rsidR="000B51E7" w:rsidRPr="004720AB" w:rsidTr="000B51E7">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0B51E7" w:rsidRPr="000B51E7" w:rsidRDefault="000B51E7" w:rsidP="007059FA">
            <w:pPr>
              <w:keepNext/>
            </w:pPr>
            <w:r w:rsidRPr="000B51E7">
              <w:t>Return on difference for 2012 capex</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 </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 </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 </w:t>
            </w:r>
          </w:p>
        </w:tc>
        <w:tc>
          <w:tcPr>
            <w:tcW w:w="606"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 </w:t>
            </w:r>
          </w:p>
        </w:tc>
        <w:tc>
          <w:tcPr>
            <w:tcW w:w="605" w:type="pct"/>
            <w:noWrap/>
          </w:tcPr>
          <w:p w:rsidR="000B51E7" w:rsidRPr="000B51E7" w:rsidRDefault="000B51E7" w:rsidP="007059FA">
            <w:pPr>
              <w:keepNext/>
              <w:cnfStyle w:val="000000000000" w:firstRow="0" w:lastRow="0" w:firstColumn="0" w:lastColumn="0" w:oddVBand="0" w:evenVBand="0" w:oddHBand="0" w:evenHBand="0" w:firstRowFirstColumn="0" w:firstRowLastColumn="0" w:lastRowFirstColumn="0" w:lastRowLastColumn="0"/>
            </w:pPr>
            <w:r w:rsidRPr="000B51E7">
              <w:t>2.4</w:t>
            </w:r>
          </w:p>
        </w:tc>
      </w:tr>
      <w:tr w:rsidR="000B51E7" w:rsidRPr="000B51E7" w:rsidTr="000B51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0B51E7" w:rsidRPr="000B51E7" w:rsidRDefault="000B51E7" w:rsidP="007059FA">
            <w:pPr>
              <w:keepNext/>
              <w:rPr>
                <w:rStyle w:val="Strong"/>
              </w:rPr>
            </w:pPr>
            <w:r w:rsidRPr="000B51E7">
              <w:rPr>
                <w:rStyle w:val="Strong"/>
              </w:rPr>
              <w:t>Opening capital base as at 1 January 2018</w:t>
            </w:r>
          </w:p>
        </w:tc>
        <w:tc>
          <w:tcPr>
            <w:tcW w:w="606" w:type="pct"/>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rPr>
                <w:rStyle w:val="Strong"/>
              </w:rPr>
            </w:pPr>
            <w:r w:rsidRPr="000B51E7">
              <w:rPr>
                <w:rStyle w:val="Strong"/>
              </w:rPr>
              <w:t> </w:t>
            </w:r>
          </w:p>
        </w:tc>
        <w:tc>
          <w:tcPr>
            <w:tcW w:w="606" w:type="pct"/>
            <w:noWrap/>
            <w:hideMark/>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rPr>
                <w:rStyle w:val="Strong"/>
              </w:rPr>
            </w:pPr>
            <w:r w:rsidRPr="000B51E7">
              <w:rPr>
                <w:rStyle w:val="Strong"/>
              </w:rPr>
              <w:t> </w:t>
            </w:r>
          </w:p>
        </w:tc>
        <w:tc>
          <w:tcPr>
            <w:tcW w:w="606" w:type="pct"/>
            <w:noWrap/>
            <w:hideMark/>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rPr>
                <w:rStyle w:val="Strong"/>
              </w:rPr>
            </w:pPr>
            <w:r w:rsidRPr="000B51E7">
              <w:rPr>
                <w:rStyle w:val="Strong"/>
              </w:rPr>
              <w:t> </w:t>
            </w:r>
          </w:p>
        </w:tc>
        <w:tc>
          <w:tcPr>
            <w:tcW w:w="606" w:type="pct"/>
            <w:noWrap/>
            <w:hideMark/>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rPr>
                <w:rStyle w:val="Strong"/>
              </w:rPr>
            </w:pPr>
            <w:r w:rsidRPr="000B51E7">
              <w:rPr>
                <w:rStyle w:val="Strong"/>
              </w:rPr>
              <w:t> </w:t>
            </w:r>
          </w:p>
        </w:tc>
        <w:tc>
          <w:tcPr>
            <w:tcW w:w="605" w:type="pct"/>
            <w:noWrap/>
            <w:hideMark/>
          </w:tcPr>
          <w:p w:rsidR="000B51E7" w:rsidRPr="000B51E7" w:rsidRDefault="000B51E7" w:rsidP="007059FA">
            <w:pPr>
              <w:keepNext/>
              <w:cnfStyle w:val="000000010000" w:firstRow="0" w:lastRow="0" w:firstColumn="0" w:lastColumn="0" w:oddVBand="0" w:evenVBand="0" w:oddHBand="0" w:evenHBand="1" w:firstRowFirstColumn="0" w:firstRowLastColumn="0" w:lastRowFirstColumn="0" w:lastRowLastColumn="0"/>
              <w:rPr>
                <w:rStyle w:val="Strong"/>
              </w:rPr>
            </w:pPr>
            <w:r w:rsidRPr="000B51E7">
              <w:rPr>
                <w:rStyle w:val="Strong"/>
              </w:rPr>
              <w:t>1602.8</w:t>
            </w:r>
          </w:p>
        </w:tc>
      </w:tr>
    </w:tbl>
    <w:p w:rsidR="00FB7479" w:rsidRDefault="00FB7479" w:rsidP="007059FA">
      <w:pPr>
        <w:pStyle w:val="AERtablesource"/>
        <w:keepNext/>
      </w:pPr>
      <w:r>
        <w:t>Source:</w:t>
      </w:r>
      <w:r>
        <w:tab/>
        <w:t>AER analysis.</w:t>
      </w:r>
    </w:p>
    <w:p w:rsidR="00FB7479" w:rsidRPr="00E47A65" w:rsidRDefault="00FB7479" w:rsidP="00FB7479">
      <w:r w:rsidRPr="00E47A65">
        <w:t xml:space="preserve">We </w:t>
      </w:r>
      <w:r w:rsidR="00C64003" w:rsidRPr="00E47A65">
        <w:t>determine a projected closing capital base of $</w:t>
      </w:r>
      <w:r w:rsidR="00C51661">
        <w:t>1960.5</w:t>
      </w:r>
      <w:r w:rsidR="00C64003" w:rsidRPr="00E47A65">
        <w:t xml:space="preserve"> million ($</w:t>
      </w:r>
      <w:r w:rsidR="00C64003">
        <w:t> </w:t>
      </w:r>
      <w:r w:rsidR="00C64003" w:rsidRPr="00E47A65">
        <w:t>nominal) as at 3</w:t>
      </w:r>
      <w:r w:rsidR="00C64003">
        <w:t>1</w:t>
      </w:r>
      <w:r w:rsidR="00C64003" w:rsidRPr="00E47A65">
        <w:t xml:space="preserve"> </w:t>
      </w:r>
      <w:r w:rsidR="00C64003">
        <w:t>December</w:t>
      </w:r>
      <w:r w:rsidR="00C64003" w:rsidRPr="00E47A65">
        <w:t xml:space="preserve"> 202</w:t>
      </w:r>
      <w:r w:rsidR="00C64003">
        <w:t>2</w:t>
      </w:r>
      <w:r w:rsidR="00C64003" w:rsidRPr="00E47A65">
        <w:t>. This is $</w:t>
      </w:r>
      <w:r w:rsidR="000334A3">
        <w:t>16.</w:t>
      </w:r>
      <w:r w:rsidR="00C51661">
        <w:t>7</w:t>
      </w:r>
      <w:r w:rsidR="00C64003">
        <w:t> </w:t>
      </w:r>
      <w:r w:rsidR="00C64003" w:rsidRPr="00E47A65">
        <w:t>million ($</w:t>
      </w:r>
      <w:r w:rsidR="00C64003">
        <w:t> </w:t>
      </w:r>
      <w:r w:rsidR="00C64003" w:rsidRPr="00E47A65">
        <w:t xml:space="preserve">nominal) less than that proposed by </w:t>
      </w:r>
      <w:r w:rsidR="00C64003">
        <w:t>AGN</w:t>
      </w:r>
      <w:r w:rsidR="00C64003" w:rsidRPr="00E47A65">
        <w:t xml:space="preserve">, a reduction of </w:t>
      </w:r>
      <w:r w:rsidR="00A00E9D">
        <w:t>0</w:t>
      </w:r>
      <w:r w:rsidR="000334A3">
        <w:t>.8</w:t>
      </w:r>
      <w:r w:rsidR="00C64003" w:rsidRPr="00E47A65">
        <w:t xml:space="preserve"> per cent.</w:t>
      </w:r>
      <w:r w:rsidR="00C64003">
        <w:t xml:space="preserve"> Our draft decision on the forecast closing capital base reflects the updated </w:t>
      </w:r>
      <w:r w:rsidRPr="00E47A65">
        <w:t>opening capital base</w:t>
      </w:r>
      <w:r w:rsidR="00025AC6">
        <w:t xml:space="preserve"> </w:t>
      </w:r>
      <w:r w:rsidR="00C64003">
        <w:t xml:space="preserve">at 1 January 2018 </w:t>
      </w:r>
      <w:r w:rsidR="00025AC6">
        <w:t xml:space="preserve">(section </w:t>
      </w:r>
      <w:r w:rsidR="00025AC6">
        <w:fldChar w:fldCharType="begin"/>
      </w:r>
      <w:r w:rsidR="00025AC6">
        <w:instrText xml:space="preserve"> REF _Ref476135829 \r \h </w:instrText>
      </w:r>
      <w:r w:rsidR="00025AC6">
        <w:fldChar w:fldCharType="separate"/>
      </w:r>
      <w:r w:rsidR="002C53E2">
        <w:t>2.4.1</w:t>
      </w:r>
      <w:r w:rsidR="00025AC6">
        <w:fldChar w:fldCharType="end"/>
      </w:r>
      <w:r w:rsidR="00025AC6">
        <w:t>)</w:t>
      </w:r>
      <w:r w:rsidRPr="00E47A65">
        <w:t xml:space="preserve">, </w:t>
      </w:r>
      <w:r w:rsidR="00C64003">
        <w:t xml:space="preserve">and our draft decisions on the expected inflation rate (attachment 3), forecast </w:t>
      </w:r>
      <w:r w:rsidR="00025AC6" w:rsidRPr="00025AC6">
        <w:t>depreciation</w:t>
      </w:r>
      <w:r w:rsidR="00025AC6">
        <w:t xml:space="preserve"> (attachment 5) and</w:t>
      </w:r>
      <w:r w:rsidR="00025AC6" w:rsidRPr="00025AC6">
        <w:t xml:space="preserve"> </w:t>
      </w:r>
      <w:r w:rsidRPr="00E47A65">
        <w:t xml:space="preserve">forecast capex </w:t>
      </w:r>
      <w:r w:rsidR="00025AC6">
        <w:t>(attachment 6)</w:t>
      </w:r>
      <w:r w:rsidRPr="00E47A65">
        <w:t xml:space="preserve">. </w:t>
      </w:r>
    </w:p>
    <w:p w:rsidR="00FB7479" w:rsidRDefault="00FB7479" w:rsidP="00FB7479">
      <w:r>
        <w:fldChar w:fldCharType="begin"/>
      </w:r>
      <w:r>
        <w:instrText xml:space="preserve"> REF _Ref476296417 \h </w:instrText>
      </w:r>
      <w:r>
        <w:fldChar w:fldCharType="separate"/>
      </w:r>
      <w:r w:rsidR="002C53E2">
        <w:t xml:space="preserve">Table </w:t>
      </w:r>
      <w:r w:rsidR="002C53E2">
        <w:rPr>
          <w:noProof/>
        </w:rPr>
        <w:t>2</w:t>
      </w:r>
      <w:r w:rsidR="002C53E2">
        <w:t>.</w:t>
      </w:r>
      <w:r w:rsidR="002C53E2">
        <w:rPr>
          <w:noProof/>
        </w:rPr>
        <w:t>2</w:t>
      </w:r>
      <w:r>
        <w:fldChar w:fldCharType="end"/>
      </w:r>
      <w:r>
        <w:t xml:space="preserve"> </w:t>
      </w:r>
      <w:r w:rsidRPr="00E47A65">
        <w:t>sets out the projected roll forward of the capital base during the 201</w:t>
      </w:r>
      <w:r>
        <w:t>8</w:t>
      </w:r>
      <w:r w:rsidRPr="00E47A65">
        <w:t>–</w:t>
      </w:r>
      <w:r>
        <w:t>22</w:t>
      </w:r>
      <w:r w:rsidRPr="00E47A65">
        <w:t xml:space="preserve"> access arrangement period.</w:t>
      </w:r>
    </w:p>
    <w:p w:rsidR="00FB7479" w:rsidRDefault="00FB7479" w:rsidP="007059FA">
      <w:pPr>
        <w:pStyle w:val="Caption"/>
      </w:pPr>
      <w:bookmarkStart w:id="103" w:name="_Ref476296417"/>
      <w:proofErr w:type="gramStart"/>
      <w:r>
        <w:t xml:space="preserve">Table </w:t>
      </w:r>
      <w:proofErr w:type="gramEnd"/>
      <w:r w:rsidR="002C53E2">
        <w:fldChar w:fldCharType="begin"/>
      </w:r>
      <w:r w:rsidR="002C53E2">
        <w:instrText xml:space="preserve"> STYLEREF 1 \s </w:instrText>
      </w:r>
      <w:r w:rsidR="002C53E2">
        <w:fldChar w:fldCharType="separate"/>
      </w:r>
      <w:r w:rsidR="002C53E2">
        <w:rPr>
          <w:noProof/>
        </w:rPr>
        <w:t>2</w:t>
      </w:r>
      <w:r w:rsidR="002C53E2">
        <w:rPr>
          <w:noProof/>
        </w:rPr>
        <w:fldChar w:fldCharType="end"/>
      </w:r>
      <w:proofErr w:type="gramStart"/>
      <w:r>
        <w:t>.</w:t>
      </w:r>
      <w:proofErr w:type="gramEnd"/>
      <w:r w:rsidR="00EB5D40">
        <w:fldChar w:fldCharType="begin"/>
      </w:r>
      <w:r w:rsidR="00EB5D40">
        <w:instrText xml:space="preserve"> SEQ Table \* ARABIC \s 1 </w:instrText>
      </w:r>
      <w:r w:rsidR="00EB5D40">
        <w:fldChar w:fldCharType="separate"/>
      </w:r>
      <w:r w:rsidR="002C53E2">
        <w:rPr>
          <w:noProof/>
        </w:rPr>
        <w:t>2</w:t>
      </w:r>
      <w:r w:rsidR="00EB5D40">
        <w:rPr>
          <w:noProof/>
        </w:rPr>
        <w:fldChar w:fldCharType="end"/>
      </w:r>
      <w:bookmarkEnd w:id="103"/>
      <w:r>
        <w:tab/>
      </w:r>
      <w:r w:rsidRPr="00FB7479">
        <w:t xml:space="preserve">AER’s draft decision on </w:t>
      </w:r>
      <w:r>
        <w:t>AGN</w:t>
      </w:r>
      <w:r w:rsidRPr="00FB7479">
        <w:t>'s projected capital base roll forward for the 2018–22 access arrangement period ($million, nominal)</w:t>
      </w:r>
    </w:p>
    <w:tbl>
      <w:tblPr>
        <w:tblStyle w:val="AERtable-numbers"/>
        <w:tblW w:w="5000" w:type="pct"/>
        <w:tblLook w:val="04A0" w:firstRow="1" w:lastRow="0" w:firstColumn="1" w:lastColumn="0" w:noHBand="0" w:noVBand="1"/>
      </w:tblPr>
      <w:tblGrid>
        <w:gridCol w:w="3953"/>
        <w:gridCol w:w="948"/>
        <w:gridCol w:w="948"/>
        <w:gridCol w:w="948"/>
        <w:gridCol w:w="948"/>
        <w:gridCol w:w="948"/>
      </w:tblGrid>
      <w:tr w:rsidR="00FB7479" w:rsidRPr="00E47A65" w:rsidTr="00FB747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FB7479" w:rsidRPr="00FB7479" w:rsidRDefault="00FB7479" w:rsidP="007059FA">
            <w:pPr>
              <w:keepNext/>
            </w:pPr>
            <w:r w:rsidRPr="00E47A65">
              <w:t> </w:t>
            </w:r>
          </w:p>
        </w:tc>
        <w:tc>
          <w:tcPr>
            <w:tcW w:w="545"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E47A65">
              <w:t>2018</w:t>
            </w:r>
          </w:p>
        </w:tc>
        <w:tc>
          <w:tcPr>
            <w:tcW w:w="545"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E47A65">
              <w:t>2019</w:t>
            </w:r>
          </w:p>
        </w:tc>
        <w:tc>
          <w:tcPr>
            <w:tcW w:w="545"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E47A65">
              <w:t>2020</w:t>
            </w:r>
          </w:p>
        </w:tc>
        <w:tc>
          <w:tcPr>
            <w:tcW w:w="545"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E47A65">
              <w:t>2021</w:t>
            </w:r>
          </w:p>
        </w:tc>
        <w:tc>
          <w:tcPr>
            <w:tcW w:w="545"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E47A65">
              <w:t>2022</w:t>
            </w:r>
          </w:p>
        </w:tc>
      </w:tr>
      <w:tr w:rsidR="00C51661" w:rsidRPr="00E47A65" w:rsidTr="00A00E9D">
        <w:trPr>
          <w:trHeight w:val="269"/>
        </w:trPr>
        <w:tc>
          <w:tcPr>
            <w:cnfStyle w:val="001000000000" w:firstRow="0" w:lastRow="0" w:firstColumn="1" w:lastColumn="0" w:oddVBand="0" w:evenVBand="0" w:oddHBand="0" w:evenHBand="0" w:firstRowFirstColumn="0" w:firstRowLastColumn="0" w:lastRowFirstColumn="0" w:lastRowLastColumn="0"/>
            <w:tcW w:w="2274" w:type="pct"/>
            <w:noWrap/>
            <w:hideMark/>
          </w:tcPr>
          <w:p w:rsidR="00C51661" w:rsidRPr="00C51661" w:rsidRDefault="00C51661" w:rsidP="00C51661">
            <w:r w:rsidRPr="00C51661">
              <w:t>Opening capital base</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pPr>
            <w:r w:rsidRPr="00C51661">
              <w:t>1602.8</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pPr>
            <w:r w:rsidRPr="00C51661">
              <w:t>1681.3</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pPr>
            <w:r w:rsidRPr="00C51661">
              <w:t>1776.1</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pPr>
            <w:r w:rsidRPr="00C51661">
              <w:t>1858.6</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pPr>
            <w:r w:rsidRPr="00C51661">
              <w:t>1927.5</w:t>
            </w:r>
          </w:p>
        </w:tc>
      </w:tr>
      <w:tr w:rsidR="00C51661" w:rsidRPr="00E47A65" w:rsidTr="00A00E9D">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C51661" w:rsidRPr="00C51661" w:rsidRDefault="00C51661" w:rsidP="00C51661">
            <w:r w:rsidRPr="00C51661">
              <w:t>Net capex</w:t>
            </w:r>
          </w:p>
        </w:tc>
        <w:tc>
          <w:tcPr>
            <w:tcW w:w="545" w:type="pct"/>
            <w:noWrap/>
            <w:vAlign w:val="bottom"/>
          </w:tcPr>
          <w:p w:rsidR="00C51661" w:rsidRPr="00C51661" w:rsidRDefault="00C51661" w:rsidP="00C51661">
            <w:pPr>
              <w:cnfStyle w:val="000000010000" w:firstRow="0" w:lastRow="0" w:firstColumn="0" w:lastColumn="0" w:oddVBand="0" w:evenVBand="0" w:oddHBand="0" w:evenHBand="1" w:firstRowFirstColumn="0" w:firstRowLastColumn="0" w:lastRowFirstColumn="0" w:lastRowLastColumn="0"/>
            </w:pPr>
            <w:r w:rsidRPr="00C51661">
              <w:t>118.7</w:t>
            </w:r>
          </w:p>
        </w:tc>
        <w:tc>
          <w:tcPr>
            <w:tcW w:w="545" w:type="pct"/>
            <w:noWrap/>
            <w:vAlign w:val="bottom"/>
          </w:tcPr>
          <w:p w:rsidR="00C51661" w:rsidRPr="00C51661" w:rsidRDefault="00C51661" w:rsidP="00C51661">
            <w:pPr>
              <w:cnfStyle w:val="000000010000" w:firstRow="0" w:lastRow="0" w:firstColumn="0" w:lastColumn="0" w:oddVBand="0" w:evenVBand="0" w:oddHBand="0" w:evenHBand="1" w:firstRowFirstColumn="0" w:firstRowLastColumn="0" w:lastRowFirstColumn="0" w:lastRowLastColumn="0"/>
            </w:pPr>
            <w:r w:rsidRPr="00C51661">
              <w:t>141.0</w:t>
            </w:r>
          </w:p>
        </w:tc>
        <w:tc>
          <w:tcPr>
            <w:tcW w:w="545" w:type="pct"/>
            <w:noWrap/>
            <w:vAlign w:val="bottom"/>
          </w:tcPr>
          <w:p w:rsidR="00C51661" w:rsidRPr="00C51661" w:rsidRDefault="00C51661" w:rsidP="00C51661">
            <w:pPr>
              <w:cnfStyle w:val="000000010000" w:firstRow="0" w:lastRow="0" w:firstColumn="0" w:lastColumn="0" w:oddVBand="0" w:evenVBand="0" w:oddHBand="0" w:evenHBand="1" w:firstRowFirstColumn="0" w:firstRowLastColumn="0" w:lastRowFirstColumn="0" w:lastRowLastColumn="0"/>
            </w:pPr>
            <w:r w:rsidRPr="00C51661">
              <w:t>137.4</w:t>
            </w:r>
          </w:p>
        </w:tc>
        <w:tc>
          <w:tcPr>
            <w:tcW w:w="545" w:type="pct"/>
            <w:noWrap/>
            <w:vAlign w:val="bottom"/>
          </w:tcPr>
          <w:p w:rsidR="00C51661" w:rsidRPr="00C51661" w:rsidRDefault="00C51661" w:rsidP="00C51661">
            <w:pPr>
              <w:cnfStyle w:val="000000010000" w:firstRow="0" w:lastRow="0" w:firstColumn="0" w:lastColumn="0" w:oddVBand="0" w:evenVBand="0" w:oddHBand="0" w:evenHBand="1" w:firstRowFirstColumn="0" w:firstRowLastColumn="0" w:lastRowFirstColumn="0" w:lastRowLastColumn="0"/>
            </w:pPr>
            <w:r w:rsidRPr="00C51661">
              <w:t>115.3</w:t>
            </w:r>
          </w:p>
        </w:tc>
        <w:tc>
          <w:tcPr>
            <w:tcW w:w="545" w:type="pct"/>
            <w:noWrap/>
            <w:vAlign w:val="bottom"/>
          </w:tcPr>
          <w:p w:rsidR="00C51661" w:rsidRPr="00C51661" w:rsidRDefault="00C51661" w:rsidP="00C51661">
            <w:pPr>
              <w:cnfStyle w:val="000000010000" w:firstRow="0" w:lastRow="0" w:firstColumn="0" w:lastColumn="0" w:oddVBand="0" w:evenVBand="0" w:oddHBand="0" w:evenHBand="1" w:firstRowFirstColumn="0" w:firstRowLastColumn="0" w:lastRowFirstColumn="0" w:lastRowLastColumn="0"/>
            </w:pPr>
            <w:r w:rsidRPr="00C51661">
              <w:t>84.1</w:t>
            </w:r>
          </w:p>
        </w:tc>
      </w:tr>
      <w:tr w:rsidR="00C51661" w:rsidRPr="00E47A65" w:rsidTr="00A00E9D">
        <w:trPr>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C51661" w:rsidRPr="00C51661" w:rsidRDefault="00C51661" w:rsidP="00C51661">
            <w:r w:rsidRPr="00C51661">
              <w:t>Indexation of capital base</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pPr>
            <w:r w:rsidRPr="00C51661">
              <w:t>39.3</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pPr>
            <w:r w:rsidRPr="00C51661">
              <w:t>41.2</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pPr>
            <w:r w:rsidRPr="00C51661">
              <w:t>43.5</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pPr>
            <w:r w:rsidRPr="00C51661">
              <w:t>45.5</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pPr>
            <w:r w:rsidRPr="00C51661">
              <w:t>47.2</w:t>
            </w:r>
          </w:p>
        </w:tc>
      </w:tr>
      <w:tr w:rsidR="00C51661" w:rsidRPr="00E47A65" w:rsidTr="00A00E9D">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C51661" w:rsidRPr="00C51661" w:rsidRDefault="00C51661" w:rsidP="00C51661">
            <w:r w:rsidRPr="00C51661">
              <w:rPr>
                <w:rStyle w:val="AERtextitalic"/>
              </w:rPr>
              <w:t>Less:</w:t>
            </w:r>
            <w:r w:rsidRPr="00C51661">
              <w:t xml:space="preserve"> straight-line depreciation</w:t>
            </w:r>
          </w:p>
        </w:tc>
        <w:tc>
          <w:tcPr>
            <w:tcW w:w="545" w:type="pct"/>
            <w:noWrap/>
            <w:vAlign w:val="bottom"/>
          </w:tcPr>
          <w:p w:rsidR="00C51661" w:rsidRPr="00C51661" w:rsidRDefault="00C51661" w:rsidP="00C51661">
            <w:pPr>
              <w:cnfStyle w:val="000000010000" w:firstRow="0" w:lastRow="0" w:firstColumn="0" w:lastColumn="0" w:oddVBand="0" w:evenVBand="0" w:oddHBand="0" w:evenHBand="1" w:firstRowFirstColumn="0" w:firstRowLastColumn="0" w:lastRowFirstColumn="0" w:lastRowLastColumn="0"/>
            </w:pPr>
            <w:r w:rsidRPr="00C51661">
              <w:t>79.5</w:t>
            </w:r>
          </w:p>
        </w:tc>
        <w:tc>
          <w:tcPr>
            <w:tcW w:w="545" w:type="pct"/>
            <w:noWrap/>
            <w:vAlign w:val="bottom"/>
          </w:tcPr>
          <w:p w:rsidR="00C51661" w:rsidRPr="00C51661" w:rsidRDefault="00C51661" w:rsidP="00C51661">
            <w:pPr>
              <w:cnfStyle w:val="000000010000" w:firstRow="0" w:lastRow="0" w:firstColumn="0" w:lastColumn="0" w:oddVBand="0" w:evenVBand="0" w:oddHBand="0" w:evenHBand="1" w:firstRowFirstColumn="0" w:firstRowLastColumn="0" w:lastRowFirstColumn="0" w:lastRowLastColumn="0"/>
            </w:pPr>
            <w:r w:rsidRPr="00C51661">
              <w:t>87.4</w:t>
            </w:r>
          </w:p>
        </w:tc>
        <w:tc>
          <w:tcPr>
            <w:tcW w:w="545" w:type="pct"/>
            <w:noWrap/>
            <w:vAlign w:val="bottom"/>
          </w:tcPr>
          <w:p w:rsidR="00C51661" w:rsidRPr="00C51661" w:rsidRDefault="00C51661" w:rsidP="00C51661">
            <w:pPr>
              <w:cnfStyle w:val="000000010000" w:firstRow="0" w:lastRow="0" w:firstColumn="0" w:lastColumn="0" w:oddVBand="0" w:evenVBand="0" w:oddHBand="0" w:evenHBand="1" w:firstRowFirstColumn="0" w:firstRowLastColumn="0" w:lastRowFirstColumn="0" w:lastRowLastColumn="0"/>
            </w:pPr>
            <w:r w:rsidRPr="00C51661">
              <w:t>98.4</w:t>
            </w:r>
          </w:p>
        </w:tc>
        <w:tc>
          <w:tcPr>
            <w:tcW w:w="545" w:type="pct"/>
            <w:noWrap/>
            <w:vAlign w:val="bottom"/>
          </w:tcPr>
          <w:p w:rsidR="00C51661" w:rsidRPr="00C51661" w:rsidRDefault="00C51661" w:rsidP="00C51661">
            <w:pPr>
              <w:cnfStyle w:val="000000010000" w:firstRow="0" w:lastRow="0" w:firstColumn="0" w:lastColumn="0" w:oddVBand="0" w:evenVBand="0" w:oddHBand="0" w:evenHBand="1" w:firstRowFirstColumn="0" w:firstRowLastColumn="0" w:lastRowFirstColumn="0" w:lastRowLastColumn="0"/>
            </w:pPr>
            <w:r w:rsidRPr="00C51661">
              <w:t>92.0</w:t>
            </w:r>
          </w:p>
        </w:tc>
        <w:tc>
          <w:tcPr>
            <w:tcW w:w="545" w:type="pct"/>
            <w:noWrap/>
            <w:vAlign w:val="bottom"/>
          </w:tcPr>
          <w:p w:rsidR="00C51661" w:rsidRPr="00C51661" w:rsidRDefault="00C51661" w:rsidP="00C51661">
            <w:pPr>
              <w:cnfStyle w:val="000000010000" w:firstRow="0" w:lastRow="0" w:firstColumn="0" w:lastColumn="0" w:oddVBand="0" w:evenVBand="0" w:oddHBand="0" w:evenHBand="1" w:firstRowFirstColumn="0" w:firstRowLastColumn="0" w:lastRowFirstColumn="0" w:lastRowLastColumn="0"/>
            </w:pPr>
            <w:r w:rsidRPr="00C51661">
              <w:t>98.3</w:t>
            </w:r>
          </w:p>
        </w:tc>
      </w:tr>
      <w:tr w:rsidR="00C51661" w:rsidRPr="00C51661" w:rsidTr="00A00E9D">
        <w:trPr>
          <w:trHeight w:val="269"/>
        </w:trPr>
        <w:tc>
          <w:tcPr>
            <w:cnfStyle w:val="001000000000" w:firstRow="0" w:lastRow="0" w:firstColumn="1" w:lastColumn="0" w:oddVBand="0" w:evenVBand="0" w:oddHBand="0" w:evenHBand="0" w:firstRowFirstColumn="0" w:firstRowLastColumn="0" w:lastRowFirstColumn="0" w:lastRowLastColumn="0"/>
            <w:tcW w:w="2274" w:type="pct"/>
            <w:noWrap/>
            <w:hideMark/>
          </w:tcPr>
          <w:p w:rsidR="00C51661" w:rsidRPr="00C51661" w:rsidRDefault="00C51661" w:rsidP="00C51661">
            <w:pPr>
              <w:rPr>
                <w:rStyle w:val="Strong"/>
              </w:rPr>
            </w:pPr>
            <w:r w:rsidRPr="00C51661">
              <w:rPr>
                <w:rStyle w:val="Strong"/>
              </w:rPr>
              <w:t>Closing capital base</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rPr>
                <w:rStyle w:val="Strong"/>
              </w:rPr>
            </w:pPr>
            <w:r w:rsidRPr="00C51661">
              <w:rPr>
                <w:rStyle w:val="Strong"/>
              </w:rPr>
              <w:t>1681.3</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rPr>
                <w:rStyle w:val="Strong"/>
              </w:rPr>
            </w:pPr>
            <w:r w:rsidRPr="00C51661">
              <w:rPr>
                <w:rStyle w:val="Strong"/>
              </w:rPr>
              <w:t>1776.1</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rPr>
                <w:rStyle w:val="Strong"/>
              </w:rPr>
            </w:pPr>
            <w:r w:rsidRPr="00C51661">
              <w:rPr>
                <w:rStyle w:val="Strong"/>
              </w:rPr>
              <w:t>1858.6</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rPr>
                <w:rStyle w:val="Strong"/>
              </w:rPr>
            </w:pPr>
            <w:r w:rsidRPr="00C51661">
              <w:rPr>
                <w:rStyle w:val="Strong"/>
              </w:rPr>
              <w:t>1927.5</w:t>
            </w:r>
          </w:p>
        </w:tc>
        <w:tc>
          <w:tcPr>
            <w:tcW w:w="545" w:type="pct"/>
            <w:noWrap/>
            <w:vAlign w:val="bottom"/>
          </w:tcPr>
          <w:p w:rsidR="00C51661" w:rsidRPr="00C51661" w:rsidRDefault="00C51661" w:rsidP="00C51661">
            <w:pPr>
              <w:cnfStyle w:val="000000000000" w:firstRow="0" w:lastRow="0" w:firstColumn="0" w:lastColumn="0" w:oddVBand="0" w:evenVBand="0" w:oddHBand="0" w:evenHBand="0" w:firstRowFirstColumn="0" w:firstRowLastColumn="0" w:lastRowFirstColumn="0" w:lastRowLastColumn="0"/>
              <w:rPr>
                <w:rStyle w:val="Strong"/>
              </w:rPr>
            </w:pPr>
            <w:r w:rsidRPr="00C51661">
              <w:rPr>
                <w:rStyle w:val="Strong"/>
              </w:rPr>
              <w:t>1960.5</w:t>
            </w:r>
          </w:p>
        </w:tc>
      </w:tr>
    </w:tbl>
    <w:p w:rsidR="00FB7479" w:rsidRPr="00FB7479" w:rsidRDefault="00FB7479" w:rsidP="007059FA">
      <w:pPr>
        <w:pStyle w:val="AERtablesource"/>
        <w:keepNext/>
      </w:pPr>
      <w:r>
        <w:t>Source:</w:t>
      </w:r>
      <w:r>
        <w:tab/>
        <w:t>AER analysis.</w:t>
      </w:r>
    </w:p>
    <w:p w:rsidR="00132D43" w:rsidRDefault="00D5015C" w:rsidP="00132D43">
      <w:pPr>
        <w:pStyle w:val="Heading2"/>
      </w:pPr>
      <w:bookmarkStart w:id="104" w:name="_Toc486954735"/>
      <w:r>
        <w:t>AGN</w:t>
      </w:r>
      <w:r w:rsidR="00132D43">
        <w:t>’s proposal</w:t>
      </w:r>
      <w:bookmarkEnd w:id="104"/>
    </w:p>
    <w:p w:rsidR="00FB7479" w:rsidRPr="001A26B7" w:rsidRDefault="00FB7479" w:rsidP="00FB7479">
      <w:r>
        <w:t>AGN</w:t>
      </w:r>
      <w:r w:rsidRPr="001A26B7">
        <w:t xml:space="preserve"> proposed an opening capital base as at 1 </w:t>
      </w:r>
      <w:r>
        <w:t>January</w:t>
      </w:r>
      <w:r w:rsidRPr="001A26B7">
        <w:t xml:space="preserve"> 201</w:t>
      </w:r>
      <w:r>
        <w:t>8</w:t>
      </w:r>
      <w:r w:rsidRPr="001A26B7">
        <w:t xml:space="preserve"> of $</w:t>
      </w:r>
      <w:r>
        <w:t>1615.6 </w:t>
      </w:r>
      <w:r w:rsidRPr="001A26B7">
        <w:t>million ($</w:t>
      </w:r>
      <w:r>
        <w:t> </w:t>
      </w:r>
      <w:r w:rsidRPr="001A26B7">
        <w:t>nominal). This amount is calculated by rolling forward the opening capital base</w:t>
      </w:r>
      <w:r w:rsidR="00AD085A">
        <w:t>s</w:t>
      </w:r>
      <w:r w:rsidR="007E24C3" w:rsidRPr="007E24C3">
        <w:t xml:space="preserve"> </w:t>
      </w:r>
      <w:r w:rsidR="007E24C3" w:rsidRPr="001A26B7">
        <w:t xml:space="preserve">as at 1 </w:t>
      </w:r>
      <w:r w:rsidR="007E24C3">
        <w:t>January</w:t>
      </w:r>
      <w:r w:rsidR="007E24C3" w:rsidRPr="001A26B7">
        <w:t xml:space="preserve"> 201</w:t>
      </w:r>
      <w:r w:rsidR="007E24C3">
        <w:t>3</w:t>
      </w:r>
      <w:r w:rsidR="007E24C3" w:rsidRPr="001A26B7">
        <w:t xml:space="preserve"> </w:t>
      </w:r>
      <w:r w:rsidR="00986F52">
        <w:t>for</w:t>
      </w:r>
      <w:r w:rsidR="00AD085A">
        <w:t xml:space="preserve"> </w:t>
      </w:r>
      <w:r w:rsidR="007E24C3">
        <w:t xml:space="preserve">its </w:t>
      </w:r>
      <w:r w:rsidR="00AD085A">
        <w:t>Victorian and Albury distribution networks</w:t>
      </w:r>
      <w:r w:rsidRPr="001A26B7">
        <w:t xml:space="preserve"> of $</w:t>
      </w:r>
      <w:r>
        <w:t>1158.0 million</w:t>
      </w:r>
      <w:r w:rsidRPr="001A26B7">
        <w:t xml:space="preserve"> ($</w:t>
      </w:r>
      <w:r>
        <w:t> </w:t>
      </w:r>
      <w:r w:rsidRPr="001A26B7">
        <w:t>nominal)</w:t>
      </w:r>
      <w:r w:rsidR="007E24C3">
        <w:t>.</w:t>
      </w:r>
      <w:r w:rsidR="00AD085A">
        <w:rPr>
          <w:rStyle w:val="FootnoteReference"/>
        </w:rPr>
        <w:footnoteReference w:id="2"/>
      </w:r>
      <w:r w:rsidRPr="001A26B7">
        <w:t xml:space="preserve"> </w:t>
      </w:r>
      <w:r w:rsidR="007E24C3">
        <w:t xml:space="preserve">This is done </w:t>
      </w:r>
      <w:r w:rsidRPr="001A26B7">
        <w:t>by adding actual net capex, removing approved forecast depreciation and adding inflation indexation on the opening capital base</w:t>
      </w:r>
      <w:r w:rsidR="007E24C3">
        <w:t>s</w:t>
      </w:r>
      <w:r w:rsidRPr="001A26B7">
        <w:t xml:space="preserve"> in each year of the 201</w:t>
      </w:r>
      <w:r>
        <w:t>3</w:t>
      </w:r>
      <w:r w:rsidRPr="001A26B7">
        <w:t>–1</w:t>
      </w:r>
      <w:r>
        <w:t>7</w:t>
      </w:r>
      <w:r w:rsidRPr="001A26B7">
        <w:t xml:space="preserve"> access arrangement </w:t>
      </w:r>
      <w:proofErr w:type="gramStart"/>
      <w:r w:rsidRPr="001A26B7">
        <w:t>period</w:t>
      </w:r>
      <w:proofErr w:type="gramEnd"/>
      <w:r w:rsidRPr="001A26B7">
        <w:t>.</w:t>
      </w:r>
      <w:r w:rsidR="00AD085A">
        <w:t xml:space="preserve"> The capital bases over the 2013–17 access arrangement </w:t>
      </w:r>
      <w:proofErr w:type="gramStart"/>
      <w:r w:rsidR="00AD085A">
        <w:t>period</w:t>
      </w:r>
      <w:proofErr w:type="gramEnd"/>
      <w:r w:rsidR="00AD085A">
        <w:t xml:space="preserve"> </w:t>
      </w:r>
      <w:r w:rsidR="00CB61C0">
        <w:t xml:space="preserve">are calculated </w:t>
      </w:r>
      <w:r w:rsidR="00AD085A">
        <w:t xml:space="preserve">in separate </w:t>
      </w:r>
      <w:r w:rsidR="00986F52">
        <w:t>RFMs</w:t>
      </w:r>
      <w:r w:rsidR="00AD085A">
        <w:t xml:space="preserve"> </w:t>
      </w:r>
      <w:r w:rsidR="00CB61C0">
        <w:t>for each network</w:t>
      </w:r>
      <w:r w:rsidR="00AD085A">
        <w:t xml:space="preserve">, consistent with the </w:t>
      </w:r>
      <w:r w:rsidR="005864F6">
        <w:t xml:space="preserve">separate </w:t>
      </w:r>
      <w:r w:rsidR="00AD085A">
        <w:t>2013–17 access arrangement</w:t>
      </w:r>
      <w:r w:rsidR="005864F6">
        <w:t>s</w:t>
      </w:r>
      <w:r w:rsidR="00AD085A" w:rsidRPr="00AD085A">
        <w:t xml:space="preserve">. </w:t>
      </w:r>
      <w:r w:rsidR="00AD085A">
        <w:t>F</w:t>
      </w:r>
      <w:r w:rsidR="00986F52">
        <w:t>o</w:t>
      </w:r>
      <w:r w:rsidR="00AD085A">
        <w:t xml:space="preserve">r the </w:t>
      </w:r>
      <w:r w:rsidR="00AD085A" w:rsidRPr="00AD085A">
        <w:t>2018</w:t>
      </w:r>
      <w:r w:rsidR="00AD085A">
        <w:t>–</w:t>
      </w:r>
      <w:r w:rsidR="00AD085A" w:rsidRPr="00AD085A">
        <w:t xml:space="preserve">22 </w:t>
      </w:r>
      <w:r w:rsidR="00986F52">
        <w:t xml:space="preserve">access arrangement </w:t>
      </w:r>
      <w:r w:rsidR="00CB61C0">
        <w:t>period</w:t>
      </w:r>
      <w:r w:rsidR="005864F6">
        <w:t xml:space="preserve"> (in which both networks will be under a single access arrangement)</w:t>
      </w:r>
      <w:r w:rsidR="00AD085A" w:rsidRPr="00AD085A">
        <w:t xml:space="preserve"> a consolidated </w:t>
      </w:r>
      <w:r w:rsidR="00AD085A">
        <w:t>model will be used</w:t>
      </w:r>
      <w:r w:rsidR="005864F6">
        <w:t>. H</w:t>
      </w:r>
      <w:r w:rsidR="00CB61C0">
        <w:t>owever</w:t>
      </w:r>
      <w:r w:rsidR="00986F52">
        <w:t>,</w:t>
      </w:r>
      <w:r w:rsidR="00CB61C0">
        <w:t xml:space="preserve"> separate data on the capital base of the Albury tariff zone must be maintained, consistent with the direction issued to AGN.</w:t>
      </w:r>
      <w:r w:rsidR="00CB61C0">
        <w:rPr>
          <w:rStyle w:val="FootnoteReference"/>
        </w:rPr>
        <w:footnoteReference w:id="3"/>
      </w:r>
    </w:p>
    <w:p w:rsidR="00132D43" w:rsidRDefault="00FB7479" w:rsidP="00FB7479">
      <w:r>
        <w:t>AGN</w:t>
      </w:r>
      <w:r w:rsidRPr="001A26B7">
        <w:t>'s proposed capital base roll forward during the 201</w:t>
      </w:r>
      <w:r>
        <w:t>3</w:t>
      </w:r>
      <w:r w:rsidRPr="001A26B7">
        <w:t>–1</w:t>
      </w:r>
      <w:r>
        <w:t>7</w:t>
      </w:r>
      <w:r w:rsidRPr="001A26B7">
        <w:t xml:space="preserve"> access arrangement </w:t>
      </w:r>
      <w:proofErr w:type="gramStart"/>
      <w:r w:rsidRPr="001A26B7">
        <w:t>period</w:t>
      </w:r>
      <w:proofErr w:type="gramEnd"/>
      <w:r w:rsidRPr="001A26B7">
        <w:t xml:space="preserve"> is shown in</w:t>
      </w:r>
      <w:r>
        <w:t xml:space="preserve"> </w:t>
      </w:r>
      <w:r>
        <w:fldChar w:fldCharType="begin"/>
      </w:r>
      <w:r>
        <w:instrText xml:space="preserve"> REF _Ref476296569 \h </w:instrText>
      </w:r>
      <w:r>
        <w:fldChar w:fldCharType="separate"/>
      </w:r>
      <w:r w:rsidR="002C53E2">
        <w:t xml:space="preserve">Table </w:t>
      </w:r>
      <w:r w:rsidR="002C53E2">
        <w:rPr>
          <w:noProof/>
        </w:rPr>
        <w:t>2</w:t>
      </w:r>
      <w:r w:rsidR="002C53E2">
        <w:t>.</w:t>
      </w:r>
      <w:r w:rsidR="002C53E2">
        <w:rPr>
          <w:noProof/>
        </w:rPr>
        <w:t>3</w:t>
      </w:r>
      <w:r>
        <w:fldChar w:fldCharType="end"/>
      </w:r>
      <w:r>
        <w:t>.</w:t>
      </w:r>
    </w:p>
    <w:p w:rsidR="00FB7479" w:rsidRDefault="00FB7479" w:rsidP="007059FA">
      <w:pPr>
        <w:pStyle w:val="Caption"/>
      </w:pPr>
      <w:bookmarkStart w:id="105" w:name="_Ref476296569"/>
      <w:proofErr w:type="gramStart"/>
      <w:r>
        <w:t xml:space="preserve">Table </w:t>
      </w:r>
      <w:proofErr w:type="gramEnd"/>
      <w:r w:rsidR="002C53E2">
        <w:fldChar w:fldCharType="begin"/>
      </w:r>
      <w:r w:rsidR="002C53E2">
        <w:instrText xml:space="preserve"> STYLEREF 1 \s </w:instrText>
      </w:r>
      <w:r w:rsidR="002C53E2">
        <w:fldChar w:fldCharType="separate"/>
      </w:r>
      <w:r w:rsidR="002C53E2">
        <w:rPr>
          <w:noProof/>
        </w:rPr>
        <w:t>2</w:t>
      </w:r>
      <w:r w:rsidR="002C53E2">
        <w:rPr>
          <w:noProof/>
        </w:rPr>
        <w:fldChar w:fldCharType="end"/>
      </w:r>
      <w:proofErr w:type="gramStart"/>
      <w:r>
        <w:t>.</w:t>
      </w:r>
      <w:proofErr w:type="gramEnd"/>
      <w:r w:rsidR="00EB5D40">
        <w:fldChar w:fldCharType="begin"/>
      </w:r>
      <w:r w:rsidR="00EB5D40">
        <w:instrText xml:space="preserve"> SEQ Table \* ARABIC \s 1 </w:instrText>
      </w:r>
      <w:r w:rsidR="00EB5D40">
        <w:fldChar w:fldCharType="separate"/>
      </w:r>
      <w:r w:rsidR="002C53E2">
        <w:rPr>
          <w:noProof/>
        </w:rPr>
        <w:t>3</w:t>
      </w:r>
      <w:r w:rsidR="00EB5D40">
        <w:rPr>
          <w:noProof/>
        </w:rPr>
        <w:fldChar w:fldCharType="end"/>
      </w:r>
      <w:bookmarkEnd w:id="105"/>
      <w:r>
        <w:tab/>
        <w:t>AGN</w:t>
      </w:r>
      <w:r w:rsidRPr="00FB7479">
        <w:t xml:space="preserve">’s </w:t>
      </w:r>
      <w:r w:rsidR="007E24C3">
        <w:t xml:space="preserve">combined </w:t>
      </w:r>
      <w:r w:rsidRPr="00FB7479">
        <w:t>proposed capital base roll forward during the 2013─18 access arrangement period ($million, nominal</w:t>
      </w:r>
      <w:r>
        <w:t>)</w:t>
      </w:r>
    </w:p>
    <w:tbl>
      <w:tblPr>
        <w:tblStyle w:val="AERtable-numbers"/>
        <w:tblW w:w="5000" w:type="pct"/>
        <w:tblLook w:val="04A0" w:firstRow="1" w:lastRow="0" w:firstColumn="1" w:lastColumn="0" w:noHBand="0" w:noVBand="1"/>
      </w:tblPr>
      <w:tblGrid>
        <w:gridCol w:w="3427"/>
        <w:gridCol w:w="1053"/>
        <w:gridCol w:w="1053"/>
        <w:gridCol w:w="1054"/>
        <w:gridCol w:w="1054"/>
        <w:gridCol w:w="1052"/>
      </w:tblGrid>
      <w:tr w:rsidR="00FB7479" w:rsidRPr="001A26B7" w:rsidTr="00FB747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FB7479" w:rsidRPr="00FB7479" w:rsidRDefault="00FB7479" w:rsidP="007059FA">
            <w:pPr>
              <w:keepNext/>
            </w:pPr>
            <w:r w:rsidRPr="001A26B7">
              <w:t> </w:t>
            </w:r>
          </w:p>
        </w:tc>
        <w:tc>
          <w:tcPr>
            <w:tcW w:w="606"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1A26B7">
              <w:t>2013</w:t>
            </w:r>
          </w:p>
        </w:tc>
        <w:tc>
          <w:tcPr>
            <w:tcW w:w="606"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1A26B7">
              <w:t>2014</w:t>
            </w:r>
          </w:p>
        </w:tc>
        <w:tc>
          <w:tcPr>
            <w:tcW w:w="606"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1A26B7">
              <w:t>2015</w:t>
            </w:r>
          </w:p>
        </w:tc>
        <w:tc>
          <w:tcPr>
            <w:tcW w:w="606"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1A26B7">
              <w:t>2016</w:t>
            </w:r>
          </w:p>
        </w:tc>
        <w:tc>
          <w:tcPr>
            <w:tcW w:w="605"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1A26B7">
              <w:t>2017</w:t>
            </w:r>
          </w:p>
        </w:tc>
      </w:tr>
      <w:tr w:rsidR="00FB7479" w:rsidRPr="001A26B7" w:rsidTr="00FB7479">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FB7479" w:rsidRPr="00FB7479" w:rsidRDefault="00FB7479" w:rsidP="007059FA">
            <w:pPr>
              <w:keepNext/>
            </w:pPr>
            <w:r w:rsidRPr="00FB7479">
              <w:t>Opening capital base</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1158.0</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1244.7</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1341.2</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1438.2</w:t>
            </w:r>
          </w:p>
        </w:tc>
        <w:tc>
          <w:tcPr>
            <w:tcW w:w="605"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1507.5</w:t>
            </w:r>
          </w:p>
        </w:tc>
      </w:tr>
      <w:tr w:rsidR="00FB7479" w:rsidRPr="001A26B7" w:rsidTr="00FB7479">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FB7479" w:rsidRPr="00FB7479" w:rsidRDefault="00FB7479" w:rsidP="007059FA">
            <w:pPr>
              <w:keepNext/>
            </w:pPr>
            <w:r w:rsidRPr="00FB7479">
              <w:t>Net capex</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103.1</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113.2</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128.0</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105.7</w:t>
            </w:r>
          </w:p>
        </w:tc>
        <w:tc>
          <w:tcPr>
            <w:tcW w:w="605"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121.8</w:t>
            </w:r>
          </w:p>
        </w:tc>
      </w:tr>
      <w:tr w:rsidR="00FB7479" w:rsidRPr="001A26B7" w:rsidTr="00FB7479">
        <w:trPr>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FB7479" w:rsidRPr="00FB7479" w:rsidRDefault="00FB7479" w:rsidP="007059FA">
            <w:pPr>
              <w:keepNext/>
            </w:pPr>
            <w:r w:rsidRPr="00FB7479">
              <w:t>Indexation of capital base</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25.0</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28.7</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20.2</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18.6</w:t>
            </w:r>
          </w:p>
        </w:tc>
        <w:tc>
          <w:tcPr>
            <w:tcW w:w="605"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36.0</w:t>
            </w:r>
          </w:p>
        </w:tc>
      </w:tr>
      <w:tr w:rsidR="00FB7479" w:rsidRPr="001A26B7" w:rsidTr="00FB7479">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FB7479" w:rsidRPr="00FB7479" w:rsidRDefault="00FB7479" w:rsidP="007059FA">
            <w:pPr>
              <w:keepNext/>
            </w:pPr>
            <w:r w:rsidRPr="00FB7479">
              <w:rPr>
                <w:rStyle w:val="AERtextitalic"/>
              </w:rPr>
              <w:t>Less:</w:t>
            </w:r>
            <w:r w:rsidRPr="00FB7479">
              <w:t xml:space="preserve"> straight-line depreciation</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41.3</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45.4</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51.1</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55.0</w:t>
            </w:r>
          </w:p>
        </w:tc>
        <w:tc>
          <w:tcPr>
            <w:tcW w:w="605"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58.4</w:t>
            </w:r>
          </w:p>
        </w:tc>
      </w:tr>
      <w:tr w:rsidR="00FB7479" w:rsidRPr="001A26B7" w:rsidTr="00FB7479">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FB7479" w:rsidRPr="00FB7479" w:rsidRDefault="00FB7479" w:rsidP="007059FA">
            <w:pPr>
              <w:keepNext/>
            </w:pPr>
            <w:r w:rsidRPr="00FB7479">
              <w:t>Closing capital base</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1244.7</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1341.2</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1438.2</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1507.5</w:t>
            </w:r>
          </w:p>
        </w:tc>
        <w:tc>
          <w:tcPr>
            <w:tcW w:w="605"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1606.9</w:t>
            </w:r>
          </w:p>
        </w:tc>
      </w:tr>
      <w:tr w:rsidR="00FB7479" w:rsidRPr="001A26B7" w:rsidTr="00FB7479">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71" w:type="pct"/>
            <w:hideMark/>
          </w:tcPr>
          <w:p w:rsidR="00FB7479" w:rsidRPr="00FB7479" w:rsidRDefault="00FB7479" w:rsidP="007059FA">
            <w:pPr>
              <w:keepNext/>
            </w:pPr>
            <w:r w:rsidRPr="00FB7479">
              <w:t>Difference between estimated and actual capex in 2012</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 </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 </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 </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 </w:t>
            </w:r>
          </w:p>
        </w:tc>
        <w:tc>
          <w:tcPr>
            <w:tcW w:w="605"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6.2</w:t>
            </w:r>
          </w:p>
        </w:tc>
      </w:tr>
      <w:tr w:rsidR="00FB7479" w:rsidRPr="001A26B7" w:rsidTr="00FB7479">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FB7479" w:rsidRPr="00FB7479" w:rsidRDefault="00FB7479" w:rsidP="007059FA">
            <w:pPr>
              <w:keepNext/>
            </w:pPr>
            <w:r w:rsidRPr="00FB7479">
              <w:t>Return on difference for 2012 capex</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 </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 </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 </w:t>
            </w:r>
          </w:p>
        </w:tc>
        <w:tc>
          <w:tcPr>
            <w:tcW w:w="606"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 </w:t>
            </w:r>
          </w:p>
        </w:tc>
        <w:tc>
          <w:tcPr>
            <w:tcW w:w="605"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2.4</w:t>
            </w:r>
          </w:p>
        </w:tc>
      </w:tr>
      <w:tr w:rsidR="00FB7479" w:rsidRPr="00FB7479" w:rsidTr="00FB74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FB7479" w:rsidRPr="00FB7479" w:rsidRDefault="00FB7479" w:rsidP="007059FA">
            <w:pPr>
              <w:keepNext/>
              <w:rPr>
                <w:rStyle w:val="Strong"/>
              </w:rPr>
            </w:pPr>
            <w:r w:rsidRPr="00FB7479">
              <w:rPr>
                <w:rStyle w:val="Strong"/>
              </w:rPr>
              <w:t>Opening capital base as at 1 January 201</w:t>
            </w:r>
            <w:r w:rsidR="007A271E">
              <w:rPr>
                <w:rStyle w:val="Strong"/>
              </w:rPr>
              <w:t>8</w:t>
            </w:r>
          </w:p>
        </w:tc>
        <w:tc>
          <w:tcPr>
            <w:tcW w:w="606" w:type="pct"/>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rPr>
                <w:rStyle w:val="Strong"/>
              </w:rPr>
            </w:pPr>
            <w:r w:rsidRPr="00FB7479">
              <w:rPr>
                <w:rStyle w:val="Strong"/>
              </w:rPr>
              <w:t> </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rPr>
                <w:rStyle w:val="Strong"/>
              </w:rPr>
            </w:pPr>
            <w:r w:rsidRPr="00FB7479">
              <w:rPr>
                <w:rStyle w:val="Strong"/>
              </w:rPr>
              <w:t> </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rPr>
                <w:rStyle w:val="Strong"/>
              </w:rPr>
            </w:pPr>
            <w:r w:rsidRPr="00FB7479">
              <w:rPr>
                <w:rStyle w:val="Strong"/>
              </w:rPr>
              <w:t> </w:t>
            </w:r>
          </w:p>
        </w:tc>
        <w:tc>
          <w:tcPr>
            <w:tcW w:w="606"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rPr>
                <w:rStyle w:val="Strong"/>
              </w:rPr>
            </w:pPr>
            <w:r w:rsidRPr="00FB7479">
              <w:rPr>
                <w:rStyle w:val="Strong"/>
              </w:rPr>
              <w:t> </w:t>
            </w:r>
          </w:p>
        </w:tc>
        <w:tc>
          <w:tcPr>
            <w:tcW w:w="605"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rPr>
                <w:rStyle w:val="Strong"/>
              </w:rPr>
            </w:pPr>
            <w:r w:rsidRPr="00FB7479">
              <w:rPr>
                <w:rStyle w:val="Strong"/>
              </w:rPr>
              <w:t>1615.6</w:t>
            </w:r>
          </w:p>
        </w:tc>
      </w:tr>
    </w:tbl>
    <w:p w:rsidR="00FB7479" w:rsidRPr="00FB7479" w:rsidRDefault="00FB7479" w:rsidP="007059FA">
      <w:pPr>
        <w:pStyle w:val="AERtablesource"/>
        <w:keepNext/>
      </w:pPr>
      <w:r w:rsidRPr="00FB7479">
        <w:t>Source:</w:t>
      </w:r>
      <w:r w:rsidRPr="00FB7479">
        <w:tab/>
      </w:r>
      <w:r w:rsidR="00763A04" w:rsidRPr="00763A04">
        <w:t xml:space="preserve">AGN - Attachment 1.7 - Victoria Roll Forward Model - December 2016 </w:t>
      </w:r>
      <w:r w:rsidR="00763A04">
        <w:t>–</w:t>
      </w:r>
      <w:r w:rsidR="00763A04" w:rsidRPr="00763A04">
        <w:t xml:space="preserve"> Public</w:t>
      </w:r>
      <w:r w:rsidR="00763A04">
        <w:t xml:space="preserve">; </w:t>
      </w:r>
      <w:r w:rsidR="00763A04" w:rsidRPr="00763A04">
        <w:t>AGN - Attachment 1.8 - Albury Roll Forward Model - December 2016 - Public</w:t>
      </w:r>
      <w:r w:rsidRPr="00FB7479">
        <w:t>.</w:t>
      </w:r>
    </w:p>
    <w:p w:rsidR="00FB7479" w:rsidRDefault="00FB7479" w:rsidP="00FB7479">
      <w:r>
        <w:t>AGN</w:t>
      </w:r>
      <w:r w:rsidRPr="00FB7479">
        <w:t xml:space="preserve"> proposed a projected closing capital base as at 31 December 2022 of $</w:t>
      </w:r>
      <w:r>
        <w:t>1977.2 </w:t>
      </w:r>
      <w:r w:rsidRPr="00FB7479">
        <w:t xml:space="preserve">million ($ nominal). </w:t>
      </w:r>
      <w:r>
        <w:t>AGN</w:t>
      </w:r>
      <w:r w:rsidRPr="00FB7479">
        <w:t xml:space="preserve"> determined this value by adjusting the closing value at 31 December 2017 for forecast net capex (attachment 6), depreciation (attachment 5) and </w:t>
      </w:r>
      <w:r w:rsidR="00CD7C77">
        <w:t xml:space="preserve">expected </w:t>
      </w:r>
      <w:r w:rsidRPr="00FB7479">
        <w:t xml:space="preserve">inflation (attachment 3). The projected roll forward of the capital base during the 2018–22 access arrangement </w:t>
      </w:r>
      <w:proofErr w:type="gramStart"/>
      <w:r w:rsidRPr="00FB7479">
        <w:t>period</w:t>
      </w:r>
      <w:proofErr w:type="gramEnd"/>
      <w:r w:rsidRPr="00FB7479">
        <w:t xml:space="preserve"> is shown in</w:t>
      </w:r>
      <w:r>
        <w:t xml:space="preserve"> </w:t>
      </w:r>
      <w:r>
        <w:fldChar w:fldCharType="begin"/>
      </w:r>
      <w:r>
        <w:instrText xml:space="preserve"> REF _Ref476296720 \h </w:instrText>
      </w:r>
      <w:r>
        <w:fldChar w:fldCharType="separate"/>
      </w:r>
      <w:r w:rsidR="002C53E2">
        <w:t xml:space="preserve">Table </w:t>
      </w:r>
      <w:r w:rsidR="002C53E2">
        <w:rPr>
          <w:noProof/>
        </w:rPr>
        <w:t>2</w:t>
      </w:r>
      <w:r w:rsidR="002C53E2">
        <w:t>.</w:t>
      </w:r>
      <w:r w:rsidR="002C53E2">
        <w:rPr>
          <w:noProof/>
        </w:rPr>
        <w:t>4</w:t>
      </w:r>
      <w:r>
        <w:fldChar w:fldCharType="end"/>
      </w:r>
      <w:r>
        <w:t>.</w:t>
      </w:r>
    </w:p>
    <w:p w:rsidR="00FB7479" w:rsidRDefault="00FB7479" w:rsidP="007059FA">
      <w:pPr>
        <w:pStyle w:val="Caption"/>
      </w:pPr>
      <w:bookmarkStart w:id="106" w:name="_Ref476296720"/>
      <w:proofErr w:type="gramStart"/>
      <w:r>
        <w:t xml:space="preserve">Table </w:t>
      </w:r>
      <w:proofErr w:type="gramEnd"/>
      <w:r w:rsidR="002C53E2">
        <w:fldChar w:fldCharType="begin"/>
      </w:r>
      <w:r w:rsidR="002C53E2">
        <w:instrText xml:space="preserve"> STYLEREF 1 \s </w:instrText>
      </w:r>
      <w:r w:rsidR="002C53E2">
        <w:fldChar w:fldCharType="separate"/>
      </w:r>
      <w:r w:rsidR="002C53E2">
        <w:rPr>
          <w:noProof/>
        </w:rPr>
        <w:t>2</w:t>
      </w:r>
      <w:r w:rsidR="002C53E2">
        <w:rPr>
          <w:noProof/>
        </w:rPr>
        <w:fldChar w:fldCharType="end"/>
      </w:r>
      <w:proofErr w:type="gramStart"/>
      <w:r>
        <w:t>.</w:t>
      </w:r>
      <w:proofErr w:type="gramEnd"/>
      <w:r w:rsidR="00EB5D40">
        <w:fldChar w:fldCharType="begin"/>
      </w:r>
      <w:r w:rsidR="00EB5D40">
        <w:instrText xml:space="preserve"> SEQ Table \* ARABIC \s 1 </w:instrText>
      </w:r>
      <w:r w:rsidR="00EB5D40">
        <w:fldChar w:fldCharType="separate"/>
      </w:r>
      <w:r w:rsidR="002C53E2">
        <w:rPr>
          <w:noProof/>
        </w:rPr>
        <w:t>4</w:t>
      </w:r>
      <w:r w:rsidR="00EB5D40">
        <w:rPr>
          <w:noProof/>
        </w:rPr>
        <w:fldChar w:fldCharType="end"/>
      </w:r>
      <w:bookmarkEnd w:id="106"/>
      <w:r>
        <w:tab/>
        <w:t>AGN</w:t>
      </w:r>
      <w:r w:rsidRPr="00FB7479">
        <w:t>’s proposed projected capital base roll forward during the 2018–22 access arrangement period ($million, nominal)</w:t>
      </w:r>
    </w:p>
    <w:tbl>
      <w:tblPr>
        <w:tblStyle w:val="AERtable-numbers"/>
        <w:tblW w:w="5000" w:type="pct"/>
        <w:tblLook w:val="04A0" w:firstRow="1" w:lastRow="0" w:firstColumn="1" w:lastColumn="0" w:noHBand="0" w:noVBand="1"/>
      </w:tblPr>
      <w:tblGrid>
        <w:gridCol w:w="3268"/>
        <w:gridCol w:w="1085"/>
        <w:gridCol w:w="1085"/>
        <w:gridCol w:w="1085"/>
        <w:gridCol w:w="1085"/>
        <w:gridCol w:w="1085"/>
      </w:tblGrid>
      <w:tr w:rsidR="00FB7479" w:rsidRPr="00FC60A9" w:rsidTr="00FB747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FB7479" w:rsidRPr="00FB7479" w:rsidRDefault="00FB7479" w:rsidP="007059FA">
            <w:pPr>
              <w:keepNext/>
            </w:pPr>
            <w:r w:rsidRPr="00FB7479">
              <w:t> </w:t>
            </w:r>
          </w:p>
        </w:tc>
        <w:tc>
          <w:tcPr>
            <w:tcW w:w="624"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FB7479">
              <w:t>2018</w:t>
            </w:r>
          </w:p>
        </w:tc>
        <w:tc>
          <w:tcPr>
            <w:tcW w:w="624"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FB7479">
              <w:t>2019</w:t>
            </w:r>
          </w:p>
        </w:tc>
        <w:tc>
          <w:tcPr>
            <w:tcW w:w="624"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FB7479">
              <w:t>2020</w:t>
            </w:r>
          </w:p>
        </w:tc>
        <w:tc>
          <w:tcPr>
            <w:tcW w:w="624"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FB7479">
              <w:t>2021</w:t>
            </w:r>
          </w:p>
        </w:tc>
        <w:tc>
          <w:tcPr>
            <w:tcW w:w="624" w:type="pct"/>
            <w:noWrap/>
            <w:hideMark/>
          </w:tcPr>
          <w:p w:rsidR="00FB7479" w:rsidRPr="00FB7479" w:rsidRDefault="00FB7479" w:rsidP="007059FA">
            <w:pPr>
              <w:keepNext/>
              <w:cnfStyle w:val="100000000000" w:firstRow="1" w:lastRow="0" w:firstColumn="0" w:lastColumn="0" w:oddVBand="0" w:evenVBand="0" w:oddHBand="0" w:evenHBand="0" w:firstRowFirstColumn="0" w:firstRowLastColumn="0" w:lastRowFirstColumn="0" w:lastRowLastColumn="0"/>
            </w:pPr>
            <w:r w:rsidRPr="00FB7479">
              <w:t>2022</w:t>
            </w:r>
          </w:p>
        </w:tc>
      </w:tr>
      <w:tr w:rsidR="00FB7479" w:rsidRPr="00FC60A9" w:rsidTr="00FB7479">
        <w:trPr>
          <w:trHeight w:val="300"/>
        </w:trPr>
        <w:tc>
          <w:tcPr>
            <w:cnfStyle w:val="001000000000" w:firstRow="0" w:lastRow="0" w:firstColumn="1" w:lastColumn="0" w:oddVBand="0" w:evenVBand="0" w:oddHBand="0" w:evenHBand="0" w:firstRowFirstColumn="0" w:firstRowLastColumn="0" w:lastRowFirstColumn="0" w:lastRowLastColumn="0"/>
            <w:tcW w:w="1880" w:type="pct"/>
            <w:noWrap/>
            <w:hideMark/>
          </w:tcPr>
          <w:p w:rsidR="00FB7479" w:rsidRPr="00FB7479" w:rsidRDefault="00FB7479" w:rsidP="007059FA">
            <w:pPr>
              <w:keepNext/>
            </w:pPr>
            <w:r w:rsidRPr="00FB7479">
              <w:t>Opening capital base</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1615.6</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1691.5</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1783.4</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1871.6</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1943.3</w:t>
            </w:r>
          </w:p>
        </w:tc>
      </w:tr>
      <w:tr w:rsidR="00FB7479" w:rsidRPr="00FC60A9" w:rsidTr="00FB7479">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FB7479" w:rsidRPr="00FB7479" w:rsidRDefault="00FB7479" w:rsidP="007059FA">
            <w:pPr>
              <w:keepNext/>
            </w:pPr>
            <w:r w:rsidRPr="00FB7479">
              <w:t>Net capex</w:t>
            </w:r>
          </w:p>
        </w:tc>
        <w:tc>
          <w:tcPr>
            <w:tcW w:w="624"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117.3</w:t>
            </w:r>
          </w:p>
        </w:tc>
        <w:tc>
          <w:tcPr>
            <w:tcW w:w="624"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139.5</w:t>
            </w:r>
          </w:p>
        </w:tc>
        <w:tc>
          <w:tcPr>
            <w:tcW w:w="624"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138.9</w:t>
            </w:r>
          </w:p>
        </w:tc>
        <w:tc>
          <w:tcPr>
            <w:tcW w:w="624"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116.9</w:t>
            </w:r>
          </w:p>
        </w:tc>
        <w:tc>
          <w:tcPr>
            <w:tcW w:w="624"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83.8</w:t>
            </w:r>
          </w:p>
        </w:tc>
      </w:tr>
      <w:tr w:rsidR="00FB7479" w:rsidRPr="00FC60A9" w:rsidTr="00FB7479">
        <w:trPr>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FB7479" w:rsidRPr="00FB7479" w:rsidRDefault="00FB7479" w:rsidP="007059FA">
            <w:pPr>
              <w:keepNext/>
            </w:pPr>
            <w:r w:rsidRPr="00FB7479">
              <w:t>Indexation of capital base</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38.6</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40.4</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42.6</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44.7</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pPr>
            <w:r w:rsidRPr="00FB7479">
              <w:t>46.4</w:t>
            </w:r>
          </w:p>
        </w:tc>
      </w:tr>
      <w:tr w:rsidR="00FB7479" w:rsidRPr="00FC60A9" w:rsidTr="00FB7479">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FB7479" w:rsidRPr="00FB7479" w:rsidRDefault="00FB7479" w:rsidP="007059FA">
            <w:pPr>
              <w:keepNext/>
            </w:pPr>
            <w:r w:rsidRPr="00FB7479">
              <w:rPr>
                <w:rStyle w:val="AERtextitalic"/>
              </w:rPr>
              <w:t>Less:</w:t>
            </w:r>
            <w:r w:rsidRPr="00FB7479">
              <w:t xml:space="preserve"> straight-line depreciation</w:t>
            </w:r>
          </w:p>
        </w:tc>
        <w:tc>
          <w:tcPr>
            <w:tcW w:w="624"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80.1</w:t>
            </w:r>
          </w:p>
        </w:tc>
        <w:tc>
          <w:tcPr>
            <w:tcW w:w="624"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88.0</w:t>
            </w:r>
          </w:p>
        </w:tc>
        <w:tc>
          <w:tcPr>
            <w:tcW w:w="624"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93.3</w:t>
            </w:r>
          </w:p>
        </w:tc>
        <w:tc>
          <w:tcPr>
            <w:tcW w:w="624"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90.0</w:t>
            </w:r>
          </w:p>
        </w:tc>
        <w:tc>
          <w:tcPr>
            <w:tcW w:w="624" w:type="pct"/>
            <w:noWrap/>
          </w:tcPr>
          <w:p w:rsidR="00FB7479" w:rsidRPr="00FB7479" w:rsidRDefault="00FB7479" w:rsidP="007059FA">
            <w:pPr>
              <w:keepNext/>
              <w:cnfStyle w:val="000000010000" w:firstRow="0" w:lastRow="0" w:firstColumn="0" w:lastColumn="0" w:oddVBand="0" w:evenVBand="0" w:oddHBand="0" w:evenHBand="1" w:firstRowFirstColumn="0" w:firstRowLastColumn="0" w:lastRowFirstColumn="0" w:lastRowLastColumn="0"/>
            </w:pPr>
            <w:r w:rsidRPr="00FB7479">
              <w:t>96.3</w:t>
            </w:r>
          </w:p>
        </w:tc>
      </w:tr>
      <w:tr w:rsidR="00FB7479" w:rsidRPr="00FB7479" w:rsidTr="00FB7479">
        <w:trPr>
          <w:trHeight w:val="300"/>
        </w:trPr>
        <w:tc>
          <w:tcPr>
            <w:cnfStyle w:val="001000000000" w:firstRow="0" w:lastRow="0" w:firstColumn="1" w:lastColumn="0" w:oddVBand="0" w:evenVBand="0" w:oddHBand="0" w:evenHBand="0" w:firstRowFirstColumn="0" w:firstRowLastColumn="0" w:lastRowFirstColumn="0" w:lastRowLastColumn="0"/>
            <w:tcW w:w="1880" w:type="pct"/>
            <w:noWrap/>
            <w:hideMark/>
          </w:tcPr>
          <w:p w:rsidR="00FB7479" w:rsidRPr="00FB7479" w:rsidRDefault="00FB7479" w:rsidP="007059FA">
            <w:pPr>
              <w:keepNext/>
              <w:rPr>
                <w:rStyle w:val="Strong"/>
              </w:rPr>
            </w:pPr>
            <w:r w:rsidRPr="00FB7479">
              <w:rPr>
                <w:rStyle w:val="Strong"/>
              </w:rPr>
              <w:t>Closing capital base</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rPr>
                <w:rStyle w:val="Strong"/>
              </w:rPr>
            </w:pPr>
            <w:r w:rsidRPr="00FB7479">
              <w:rPr>
                <w:rStyle w:val="Strong"/>
              </w:rPr>
              <w:t>1691.5</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rPr>
                <w:rStyle w:val="Strong"/>
              </w:rPr>
            </w:pPr>
            <w:r w:rsidRPr="00FB7479">
              <w:rPr>
                <w:rStyle w:val="Strong"/>
              </w:rPr>
              <w:t>1783.4</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rPr>
                <w:rStyle w:val="Strong"/>
              </w:rPr>
            </w:pPr>
            <w:r w:rsidRPr="00FB7479">
              <w:rPr>
                <w:rStyle w:val="Strong"/>
              </w:rPr>
              <w:t>1871.6</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rPr>
                <w:rStyle w:val="Strong"/>
              </w:rPr>
            </w:pPr>
            <w:r w:rsidRPr="00FB7479">
              <w:rPr>
                <w:rStyle w:val="Strong"/>
              </w:rPr>
              <w:t>1943.3</w:t>
            </w:r>
          </w:p>
        </w:tc>
        <w:tc>
          <w:tcPr>
            <w:tcW w:w="624" w:type="pct"/>
            <w:noWrap/>
          </w:tcPr>
          <w:p w:rsidR="00FB7479" w:rsidRPr="00FB7479" w:rsidRDefault="00FB7479" w:rsidP="007059FA">
            <w:pPr>
              <w:keepNext/>
              <w:cnfStyle w:val="000000000000" w:firstRow="0" w:lastRow="0" w:firstColumn="0" w:lastColumn="0" w:oddVBand="0" w:evenVBand="0" w:oddHBand="0" w:evenHBand="0" w:firstRowFirstColumn="0" w:firstRowLastColumn="0" w:lastRowFirstColumn="0" w:lastRowLastColumn="0"/>
              <w:rPr>
                <w:rStyle w:val="Strong"/>
              </w:rPr>
            </w:pPr>
            <w:r w:rsidRPr="00FB7479">
              <w:rPr>
                <w:rStyle w:val="Strong"/>
              </w:rPr>
              <w:t>1977.2</w:t>
            </w:r>
          </w:p>
        </w:tc>
      </w:tr>
    </w:tbl>
    <w:p w:rsidR="00FB7479" w:rsidRPr="00FB7479" w:rsidRDefault="00FB7479" w:rsidP="007059FA">
      <w:pPr>
        <w:pStyle w:val="AERtablesource"/>
        <w:keepNext/>
      </w:pPr>
      <w:r w:rsidRPr="00FB7479">
        <w:t>Source:</w:t>
      </w:r>
      <w:r w:rsidRPr="00FB7479">
        <w:tab/>
      </w:r>
      <w:r w:rsidR="00763A04" w:rsidRPr="00763A04">
        <w:t>AGN - Attachment 1.9 - Victoria and Albury Post Tax Revenue Model - December 2016 - Public</w:t>
      </w:r>
      <w:r w:rsidRPr="00FB7479">
        <w:t>.</w:t>
      </w:r>
    </w:p>
    <w:p w:rsidR="00FB7479" w:rsidRDefault="00FB7479" w:rsidP="00FB7479">
      <w:r>
        <w:t>AGN</w:t>
      </w:r>
      <w:r w:rsidRPr="00FB7479">
        <w:t xml:space="preserve"> proposed to use forecast depreciation to determine the opening capital base as at 1 January 202</w:t>
      </w:r>
      <w:r w:rsidR="00B27C0C">
        <w:t>3</w:t>
      </w:r>
      <w:r w:rsidRPr="00FB7479">
        <w:t>, consistent with the approach applied in th</w:t>
      </w:r>
      <w:r w:rsidR="00AB6F8C">
        <w:t>e</w:t>
      </w:r>
      <w:r w:rsidRPr="00FB7479">
        <w:t xml:space="preserve"> </w:t>
      </w:r>
      <w:r w:rsidR="00CD7C77">
        <w:t>access arrangement for the 2013–17 period</w:t>
      </w:r>
      <w:r w:rsidRPr="00FB7479">
        <w:t>.</w:t>
      </w:r>
      <w:r w:rsidRPr="00FB7479">
        <w:rPr>
          <w:rStyle w:val="FootnoteReference"/>
        </w:rPr>
        <w:footnoteReference w:id="4"/>
      </w:r>
    </w:p>
    <w:p w:rsidR="00132D43" w:rsidRDefault="00132D43" w:rsidP="00132D43">
      <w:pPr>
        <w:pStyle w:val="Heading2"/>
      </w:pPr>
      <w:bookmarkStart w:id="107" w:name="_Toc486954736"/>
      <w:r>
        <w:t>Assessment approach</w:t>
      </w:r>
      <w:bookmarkEnd w:id="107"/>
    </w:p>
    <w:p w:rsidR="00FB7479" w:rsidRPr="00FB7479" w:rsidRDefault="00FB7479" w:rsidP="00FB7479">
      <w:r w:rsidRPr="00FB7479">
        <w:t xml:space="preserve">Our approach to assessing </w:t>
      </w:r>
      <w:r>
        <w:t>AGN</w:t>
      </w:r>
      <w:r w:rsidRPr="00FB7479">
        <w:t>'s projected capital base is consistent with that adopted in previous gas decisions made under the NGR.</w:t>
      </w:r>
      <w:r w:rsidRPr="00FB7479">
        <w:rPr>
          <w:rStyle w:val="FootnoteReference"/>
        </w:rPr>
        <w:footnoteReference w:id="5"/>
      </w:r>
      <w:r w:rsidRPr="00FB7479">
        <w:t xml:space="preserve"> In accordance with rule 77(2) and rule 78 of the NGR, we applied three steps to calculate the projected capital base:</w:t>
      </w:r>
    </w:p>
    <w:p w:rsidR="00FB7479" w:rsidRPr="00FB7479" w:rsidRDefault="00FB7479" w:rsidP="00FB7479">
      <w:pPr>
        <w:pStyle w:val="AERbulletlistfirststyle"/>
      </w:pPr>
      <w:r w:rsidRPr="00FB7479">
        <w:t>First, we confirm the value of the opening capital base for the first year of the 2013─17 access arrangement period (in this case, 1 January 2013). This includes making an adjustment to account for any difference between actual and estimated capex in the final year of the previous access arrangement period (in this case, 2012). This adjustment must also remove any benefit or penalty associated with any difference between the estimated and actual capex for that year.</w:t>
      </w:r>
      <w:r w:rsidRPr="00FB7479">
        <w:rPr>
          <w:rStyle w:val="FootnoteReference"/>
        </w:rPr>
        <w:footnoteReference w:id="6"/>
      </w:r>
      <w:r w:rsidRPr="00FB7479">
        <w:t xml:space="preserve"> We note that this adjustment is subject to any further changes made in our assessment of conforming capex for 2012.</w:t>
      </w:r>
    </w:p>
    <w:p w:rsidR="00FB7479" w:rsidRPr="00FB7479" w:rsidRDefault="00FB7479" w:rsidP="00FB7479">
      <w:pPr>
        <w:pStyle w:val="AERbulletlistfirststyle"/>
      </w:pPr>
      <w:r w:rsidRPr="00FB7479">
        <w:t>Second, the opening capital base as at 1 January 2013 is rolled forward to determine the closing capital base as at 31 December 2017. This closing capital base is also used as the value of the opening capital base for the access arrangement period as at 1 January 2018. This involves:</w:t>
      </w:r>
      <w:r w:rsidRPr="00FB7479">
        <w:rPr>
          <w:rStyle w:val="FootnoteReference"/>
        </w:rPr>
        <w:footnoteReference w:id="7"/>
      </w:r>
    </w:p>
    <w:p w:rsidR="00FB7479" w:rsidRPr="00FB7479" w:rsidRDefault="00FB7479" w:rsidP="00FB7479">
      <w:pPr>
        <w:pStyle w:val="AERbulletlistsecondstyle"/>
      </w:pPr>
      <w:r w:rsidRPr="00FB7479">
        <w:t>adding conforming actual capex for each year—this requires assessing the capex and determining that it is consistent with the provisions of the 2013─17 access arrangement and data from audited annual reporting regulatory information notices, as well as the definition of 'conforming capital expenditure' in the NGR</w:t>
      </w:r>
      <w:r w:rsidRPr="00FB7479">
        <w:rPr>
          <w:rStyle w:val="FootnoteReference"/>
        </w:rPr>
        <w:footnoteReference w:id="8"/>
      </w:r>
    </w:p>
    <w:p w:rsidR="00FB7479" w:rsidRPr="00FB7479" w:rsidRDefault="00FB7479" w:rsidP="00FB7479">
      <w:pPr>
        <w:pStyle w:val="AERbulletlistsecondstyle"/>
      </w:pPr>
      <w:r w:rsidRPr="00FB7479">
        <w:t>removing depreciation for each year based on the approach approved for the 2013–17 access arrangement</w:t>
      </w:r>
    </w:p>
    <w:p w:rsidR="00FB7479" w:rsidRPr="00FB7479" w:rsidRDefault="00FB7479" w:rsidP="00FB7479">
      <w:pPr>
        <w:pStyle w:val="AERbulletlistsecondstyle"/>
      </w:pPr>
      <w:r w:rsidRPr="00FB7479">
        <w:t>removing any capital contributions during the 2013–17 access arrangement period</w:t>
      </w:r>
      <w:r w:rsidR="004F31C3">
        <w:rPr>
          <w:rStyle w:val="FootnoteReference"/>
        </w:rPr>
        <w:footnoteReference w:id="9"/>
      </w:r>
    </w:p>
    <w:p w:rsidR="00FB7479" w:rsidRPr="00FB7479" w:rsidRDefault="00FB7479" w:rsidP="00FB7479">
      <w:pPr>
        <w:pStyle w:val="AERbulletlistsecondstyle"/>
      </w:pPr>
      <w:r w:rsidRPr="00FB7479">
        <w:t>adding any speculative capex or redundant assets that were reused during the 2013–17 access arrangement period</w:t>
      </w:r>
    </w:p>
    <w:p w:rsidR="00FB7479" w:rsidRPr="00FB7479" w:rsidRDefault="00FB7479" w:rsidP="00FB7479">
      <w:pPr>
        <w:pStyle w:val="AERbulletlistsecondstyle"/>
      </w:pPr>
      <w:r w:rsidRPr="00FB7479">
        <w:t>removing any redundant assets and disposals during the 2013–17 access arrangement period</w:t>
      </w:r>
    </w:p>
    <w:p w:rsidR="00FB7479" w:rsidRPr="00FB7479" w:rsidRDefault="00FB7479" w:rsidP="00FB7479">
      <w:pPr>
        <w:pStyle w:val="AERbulletlistsecondstyle"/>
      </w:pPr>
      <w:proofErr w:type="gramStart"/>
      <w:r w:rsidRPr="00FB7479">
        <w:t>indexing</w:t>
      </w:r>
      <w:proofErr w:type="gramEnd"/>
      <w:r w:rsidRPr="00FB7479">
        <w:t xml:space="preserve"> the roll forward each year for actual inflation.</w:t>
      </w:r>
    </w:p>
    <w:p w:rsidR="00FB7479" w:rsidRPr="00FB7479" w:rsidRDefault="00FB7479" w:rsidP="00FB7479">
      <w:pPr>
        <w:pStyle w:val="AERbulletlistfirststyle"/>
      </w:pPr>
      <w:r w:rsidRPr="00FB7479">
        <w:t>Third, the capital base is projected over the 2018–22 access arrangement period by rolling forward the opening capital base as at 1 January 2018 to 31 December 2022. This involves performing the following on the opening capital base:</w:t>
      </w:r>
      <w:r w:rsidRPr="00FB7479">
        <w:rPr>
          <w:rStyle w:val="FootnoteReference"/>
        </w:rPr>
        <w:footnoteReference w:id="10"/>
      </w:r>
    </w:p>
    <w:p w:rsidR="00FB7479" w:rsidRPr="00FB7479" w:rsidRDefault="00FB7479" w:rsidP="00FB7479">
      <w:pPr>
        <w:pStyle w:val="AERbulletlistsecondstyle"/>
      </w:pPr>
      <w:r w:rsidRPr="00FB7479">
        <w:t>adding forecast conforming capex for each year</w:t>
      </w:r>
      <w:r w:rsidR="006A4DE2">
        <w:t>, net of</w:t>
      </w:r>
      <w:r w:rsidR="006A4DE2" w:rsidRPr="006A4DE2">
        <w:t xml:space="preserve"> </w:t>
      </w:r>
      <w:r w:rsidR="006A4DE2" w:rsidRPr="00FB7479">
        <w:t xml:space="preserve">any </w:t>
      </w:r>
      <w:r w:rsidR="006A4DE2">
        <w:t xml:space="preserve">forecast </w:t>
      </w:r>
      <w:r w:rsidR="006A4DE2" w:rsidRPr="00FB7479">
        <w:t>capital contributions</w:t>
      </w:r>
    </w:p>
    <w:p w:rsidR="00FB7479" w:rsidRPr="00FB7479" w:rsidRDefault="00FB7479" w:rsidP="00FB7479">
      <w:pPr>
        <w:pStyle w:val="AERbulletlistsecondstyle"/>
      </w:pPr>
      <w:r w:rsidRPr="00FB7479">
        <w:t>removing forecast depreciation for each year</w:t>
      </w:r>
    </w:p>
    <w:p w:rsidR="00FB7479" w:rsidRPr="00FB7479" w:rsidRDefault="00FB7479" w:rsidP="00FB7479">
      <w:pPr>
        <w:pStyle w:val="AERbulletlistsecondstyle"/>
      </w:pPr>
      <w:r w:rsidRPr="00FB7479">
        <w:t>removing the forecast value of assets to be disposed of during the 2018–22 access arrangement period</w:t>
      </w:r>
    </w:p>
    <w:p w:rsidR="00132D43" w:rsidRDefault="00FB7479" w:rsidP="00FB7479">
      <w:pPr>
        <w:pStyle w:val="AERbulletlistsecondstyle"/>
      </w:pPr>
      <w:proofErr w:type="gramStart"/>
      <w:r w:rsidRPr="00FB7479">
        <w:t>indexing</w:t>
      </w:r>
      <w:proofErr w:type="gramEnd"/>
      <w:r w:rsidRPr="00FB7479">
        <w:t xml:space="preserve"> the capital base of the roll forward each year for expected inflation.</w:t>
      </w:r>
    </w:p>
    <w:p w:rsidR="00132D43" w:rsidRDefault="00132D43" w:rsidP="00132D43">
      <w:pPr>
        <w:pStyle w:val="Heading3"/>
        <w:tabs>
          <w:tab w:val="clear" w:pos="1021"/>
        </w:tabs>
        <w:ind w:left="142" w:hanging="142"/>
      </w:pPr>
      <w:bookmarkStart w:id="108" w:name="_Toc486954737"/>
      <w:r>
        <w:t>Interrelationships</w:t>
      </w:r>
      <w:bookmarkEnd w:id="108"/>
    </w:p>
    <w:p w:rsidR="00FB7479" w:rsidRPr="00FB7479" w:rsidRDefault="00FB7479" w:rsidP="00FB7479">
      <w:r w:rsidRPr="00FB7479">
        <w:t>The level of the capital base substantially impacts the service provider's revenue and the price consumers pay. It is an input into the determination of the return on capital and depreciation (return of capital) allowances.</w:t>
      </w:r>
      <w:r w:rsidRPr="00FB7479">
        <w:rPr>
          <w:rStyle w:val="FootnoteReference"/>
        </w:rPr>
        <w:footnoteReference w:id="11"/>
      </w:r>
      <w:r w:rsidRPr="00FB7479">
        <w:t xml:space="preserve"> Factors that influence the capital base will therefore flow through to these building block components and the annual building block revenue requirement. Other things being equal, a higher capital base increases both the return on capital and depreciation allowances. In turn, it increases the service provider's revenue, and prices for its services.</w:t>
      </w:r>
    </w:p>
    <w:p w:rsidR="00FB7479" w:rsidRPr="00FB7479" w:rsidRDefault="00FB7479" w:rsidP="00FB7479">
      <w:r w:rsidRPr="00FB7479">
        <w:t>The capital base is determined by various factors, including</w:t>
      </w:r>
      <w:r w:rsidR="00763A04">
        <w:t>:</w:t>
      </w:r>
    </w:p>
    <w:p w:rsidR="00FB7479" w:rsidRPr="00FB7479" w:rsidRDefault="00FB7479" w:rsidP="00FB7479">
      <w:pPr>
        <w:pStyle w:val="AERbulletlistfirststyle"/>
      </w:pPr>
      <w:r w:rsidRPr="00FB7479">
        <w:t>the opening capital base (meaning the value of existing assets at the beginning of the access arrangement period)</w:t>
      </w:r>
    </w:p>
    <w:p w:rsidR="00FB7479" w:rsidRPr="00FB7479" w:rsidRDefault="00FB7479" w:rsidP="00FB7479">
      <w:pPr>
        <w:pStyle w:val="AERbulletlistfirststyle"/>
      </w:pPr>
      <w:r w:rsidRPr="00FB7479">
        <w:t>net capex</w:t>
      </w:r>
      <w:r w:rsidRPr="00FB7479">
        <w:rPr>
          <w:rStyle w:val="FootnoteReference"/>
        </w:rPr>
        <w:footnoteReference w:id="12"/>
      </w:r>
    </w:p>
    <w:p w:rsidR="00FB7479" w:rsidRPr="00FB7479" w:rsidRDefault="00FB7479" w:rsidP="00FB7479">
      <w:pPr>
        <w:pStyle w:val="AERbulletlistfirststyle"/>
      </w:pPr>
      <w:r w:rsidRPr="00FB7479">
        <w:t>depreciation</w:t>
      </w:r>
    </w:p>
    <w:p w:rsidR="00FB7479" w:rsidRPr="00FB7479" w:rsidRDefault="00FB7479" w:rsidP="00FB7479">
      <w:pPr>
        <w:pStyle w:val="AERbulletlistfirststyle"/>
      </w:pPr>
      <w:proofErr w:type="gramStart"/>
      <w:r w:rsidRPr="00FB7479">
        <w:t>indexation</w:t>
      </w:r>
      <w:proofErr w:type="gramEnd"/>
      <w:r w:rsidRPr="00FB7479">
        <w:t xml:space="preserve"> adjustment – so the capital base is presented in nominal terms, consistent with the rate of return.</w:t>
      </w:r>
    </w:p>
    <w:p w:rsidR="00FB7479" w:rsidRPr="00FB7479" w:rsidRDefault="00FB7479" w:rsidP="00FB7479">
      <w:r w:rsidRPr="00FB7479">
        <w:t>The opening capital base depends on the value of existing assets as well as actual conforming net capex, actual inflation outcomes and depreciation in the past.</w:t>
      </w:r>
    </w:p>
    <w:p w:rsidR="00FB7479" w:rsidRPr="00FB7479" w:rsidRDefault="00FB7479" w:rsidP="00FB7479">
      <w:r w:rsidRPr="00FB7479">
        <w:t>The capital base when projected to the end of the access arrangement period may increase due to forecast new capex and the indexation adjustment. The size of the indexation adjustment depends on expected inflation (which also affects the nominal rate of return or WACC) and the size of the capital base at the start of each year.</w:t>
      </w:r>
    </w:p>
    <w:p w:rsidR="00640B9E" w:rsidRDefault="00FB7479" w:rsidP="00FB7479">
      <w:r w:rsidRPr="00FB7479">
        <w:t>Depreciation reduces the capital base. The depreciation allowance depends on the size of the opening capital base</w:t>
      </w:r>
      <w:r w:rsidR="00902419">
        <w:t>,</w:t>
      </w:r>
      <w:r w:rsidRPr="00FB7479">
        <w:t xml:space="preserve"> the forecast net capex</w:t>
      </w:r>
      <w:r w:rsidR="00640B9E">
        <w:t xml:space="preserve"> and </w:t>
      </w:r>
      <w:r w:rsidR="000C21A1">
        <w:t xml:space="preserve">the </w:t>
      </w:r>
      <w:r w:rsidR="00640B9E">
        <w:t>depreciation schedules applied to the assets</w:t>
      </w:r>
      <w:r w:rsidRPr="00FB7479">
        <w:t xml:space="preserve">. </w:t>
      </w:r>
    </w:p>
    <w:p w:rsidR="00FB7479" w:rsidRPr="00FB7479" w:rsidRDefault="00640B9E" w:rsidP="00FB7479">
      <w:r w:rsidRPr="00640B9E">
        <w:t>We maintain the capital base in real terms by indexing for inflation. A nominal rate of return (WACC) is multiplied by the opening capital base to produce the return on capital building block.</w:t>
      </w:r>
      <w:r w:rsidRPr="00640B9E">
        <w:rPr>
          <w:rStyle w:val="FootnoteReference"/>
        </w:rPr>
        <w:footnoteReference w:id="13"/>
      </w:r>
      <w:r w:rsidRPr="00640B9E">
        <w:t xml:space="preserve"> </w:t>
      </w:r>
      <w:r w:rsidR="00FB7479" w:rsidRPr="00FB7479">
        <w:t>By convention, the indexation adjustment is offset against depreciation to prevent double counting of inflation in the capital base and WACC, which are both presented in nominal terms. This reduces the apparent size of the depreciation building block that feeds into the annual building block model for setting revenue.</w:t>
      </w:r>
      <w:r>
        <w:rPr>
          <w:rStyle w:val="FootnoteReference"/>
        </w:rPr>
        <w:footnoteReference w:id="14"/>
      </w:r>
      <w:r>
        <w:t xml:space="preserve"> </w:t>
      </w:r>
      <w:r w:rsidRPr="00640B9E">
        <w:rPr>
          <w:rStyle w:val="AERbody"/>
        </w:rPr>
        <w:t>The implications of our approach to indexing the value of the capital base on revenues are discussed further in attachment 5.</w:t>
      </w:r>
    </w:p>
    <w:p w:rsidR="00132D43" w:rsidRDefault="00FB7479" w:rsidP="00FB7479">
      <w:r>
        <w:fldChar w:fldCharType="begin"/>
      </w:r>
      <w:r>
        <w:instrText xml:space="preserve"> REF _Ref476296897 \h </w:instrText>
      </w:r>
      <w:r>
        <w:fldChar w:fldCharType="separate"/>
      </w:r>
      <w:r w:rsidR="002C53E2">
        <w:t xml:space="preserve">Figure </w:t>
      </w:r>
      <w:r w:rsidR="002C53E2">
        <w:rPr>
          <w:noProof/>
        </w:rPr>
        <w:t>2</w:t>
      </w:r>
      <w:r w:rsidR="002C53E2">
        <w:t>.</w:t>
      </w:r>
      <w:r w:rsidR="002C53E2">
        <w:rPr>
          <w:noProof/>
        </w:rPr>
        <w:t>1</w:t>
      </w:r>
      <w:r>
        <w:fldChar w:fldCharType="end"/>
      </w:r>
      <w:r>
        <w:t xml:space="preserve"> </w:t>
      </w:r>
      <w:r w:rsidRPr="00FB7479">
        <w:t xml:space="preserve">shows the key drivers of the change in the capital base over the 2018–22 access arrangement </w:t>
      </w:r>
      <w:proofErr w:type="gramStart"/>
      <w:r w:rsidRPr="00FB7479">
        <w:t>period</w:t>
      </w:r>
      <w:proofErr w:type="gramEnd"/>
      <w:r w:rsidRPr="00FB7479">
        <w:t xml:space="preserve"> as proposed by </w:t>
      </w:r>
      <w:r>
        <w:t>AGN</w:t>
      </w:r>
      <w:r w:rsidRPr="00FB7479">
        <w:t xml:space="preserve">. Overall, the closing capital base at the end of the 2018–22 access arrangement </w:t>
      </w:r>
      <w:proofErr w:type="gramStart"/>
      <w:r w:rsidRPr="00FB7479">
        <w:t>period</w:t>
      </w:r>
      <w:proofErr w:type="gramEnd"/>
      <w:r w:rsidRPr="00FB7479">
        <w:t xml:space="preserve"> would be </w:t>
      </w:r>
      <w:r>
        <w:t>22.4 </w:t>
      </w:r>
      <w:r w:rsidRPr="00FB7479">
        <w:t xml:space="preserve">per cent higher than the opening capital base at the start of that period based on the proposal, in nominal terms. The proposed forecast net capex increases the capital base by about </w:t>
      </w:r>
      <w:r>
        <w:t>36.9 </w:t>
      </w:r>
      <w:r w:rsidRPr="00FB7479">
        <w:t xml:space="preserve">per cent, while expected inflation increases it by about </w:t>
      </w:r>
      <w:r>
        <w:t>13.2 </w:t>
      </w:r>
      <w:r w:rsidRPr="00FB7479">
        <w:t xml:space="preserve">per cent. Forecast depreciation, on the other hand, reduces the capital base by about </w:t>
      </w:r>
      <w:r>
        <w:t>27.7 </w:t>
      </w:r>
      <w:r w:rsidRPr="00FB7479">
        <w:t>per cent.</w:t>
      </w:r>
    </w:p>
    <w:p w:rsidR="00FB7479" w:rsidRDefault="00FB7479" w:rsidP="007059FA">
      <w:pPr>
        <w:pStyle w:val="Caption"/>
      </w:pPr>
      <w:bookmarkStart w:id="109" w:name="_Ref476296897"/>
      <w:proofErr w:type="gramStart"/>
      <w:r>
        <w:t xml:space="preserve">Figure </w:t>
      </w:r>
      <w:proofErr w:type="gramEnd"/>
      <w:r w:rsidR="002C53E2">
        <w:fldChar w:fldCharType="begin"/>
      </w:r>
      <w:r w:rsidR="002C53E2">
        <w:instrText xml:space="preserve"> STYLEREF 1 \s </w:instrText>
      </w:r>
      <w:r w:rsidR="002C53E2">
        <w:fldChar w:fldCharType="separate"/>
      </w:r>
      <w:r w:rsidR="002C53E2">
        <w:rPr>
          <w:noProof/>
        </w:rPr>
        <w:t>2</w:t>
      </w:r>
      <w:r w:rsidR="002C53E2">
        <w:rPr>
          <w:noProof/>
        </w:rPr>
        <w:fldChar w:fldCharType="end"/>
      </w:r>
      <w:proofErr w:type="gramStart"/>
      <w:r>
        <w:t>.</w:t>
      </w:r>
      <w:proofErr w:type="gramEnd"/>
      <w:r w:rsidR="00EB5D40">
        <w:fldChar w:fldCharType="begin"/>
      </w:r>
      <w:r w:rsidR="00EB5D40">
        <w:instrText xml:space="preserve"> SEQ Figure \* ARABIC \s 1 </w:instrText>
      </w:r>
      <w:r w:rsidR="00EB5D40">
        <w:fldChar w:fldCharType="separate"/>
      </w:r>
      <w:r w:rsidR="002C53E2">
        <w:rPr>
          <w:noProof/>
        </w:rPr>
        <w:t>1</w:t>
      </w:r>
      <w:r w:rsidR="00EB5D40">
        <w:rPr>
          <w:noProof/>
        </w:rPr>
        <w:fldChar w:fldCharType="end"/>
      </w:r>
      <w:bookmarkEnd w:id="109"/>
      <w:r>
        <w:tab/>
      </w:r>
      <w:r w:rsidRPr="00FB7479">
        <w:t>Key drivers of changes in the capital base ($million, nominal)</w:t>
      </w:r>
    </w:p>
    <w:p w:rsidR="00FB7479" w:rsidRDefault="001D3C67" w:rsidP="007059FA">
      <w:pPr>
        <w:keepNext/>
      </w:pPr>
      <w:r w:rsidRPr="001D3C67">
        <w:rPr>
          <w:noProof/>
          <w:lang w:eastAsia="en-AU"/>
        </w:rPr>
        <w:drawing>
          <wp:inline distT="0" distB="0" distL="0" distR="0" wp14:anchorId="4309E513" wp14:editId="6DA5DE6B">
            <wp:extent cx="5382895" cy="3252166"/>
            <wp:effectExtent l="0" t="0" r="825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52166"/>
                    </a:xfrm>
                    <a:prstGeom prst="rect">
                      <a:avLst/>
                    </a:prstGeom>
                    <a:noFill/>
                    <a:ln>
                      <a:noFill/>
                    </a:ln>
                  </pic:spPr>
                </pic:pic>
              </a:graphicData>
            </a:graphic>
          </wp:inline>
        </w:drawing>
      </w:r>
    </w:p>
    <w:p w:rsidR="00FB7479" w:rsidRDefault="00FB7479" w:rsidP="007059FA">
      <w:pPr>
        <w:pStyle w:val="AERtablesource"/>
        <w:keepNext/>
      </w:pPr>
      <w:r>
        <w:t>Source:</w:t>
      </w:r>
      <w:r>
        <w:tab/>
        <w:t>AER analysis.</w:t>
      </w:r>
    </w:p>
    <w:p w:rsidR="00FB7479" w:rsidRPr="00A35D97" w:rsidRDefault="00FB7479" w:rsidP="00FB7479">
      <w:r w:rsidRPr="00A35D97">
        <w:t xml:space="preserve">The capital base would rise by </w:t>
      </w:r>
      <w:r>
        <w:t>11.3 </w:t>
      </w:r>
      <w:r w:rsidRPr="00A35D97">
        <w:t>per cent in real terms over the 201</w:t>
      </w:r>
      <w:r>
        <w:t>8</w:t>
      </w:r>
      <w:r w:rsidRPr="00A35D97">
        <w:t>–2</w:t>
      </w:r>
      <w:r>
        <w:t>2</w:t>
      </w:r>
      <w:r w:rsidRPr="00A35D97">
        <w:t xml:space="preserve"> access arrangement period based on </w:t>
      </w:r>
      <w:r>
        <w:t>AGN</w:t>
      </w:r>
      <w:r w:rsidRPr="00A35D97">
        <w:t xml:space="preserve">'s proposal. </w:t>
      </w:r>
      <w:r w:rsidR="00640B9E" w:rsidRPr="00640B9E">
        <w:t xml:space="preserve">The depreciation amount also largely depends on the opening capital base (which in turn depends on capex). </w:t>
      </w:r>
      <w:r w:rsidR="001D3C67">
        <w:fldChar w:fldCharType="begin"/>
      </w:r>
      <w:r w:rsidR="001D3C67">
        <w:instrText xml:space="preserve"> REF _Ref476296897 \h </w:instrText>
      </w:r>
      <w:r w:rsidR="001D3C67">
        <w:fldChar w:fldCharType="separate"/>
      </w:r>
      <w:r w:rsidR="002C53E2">
        <w:t xml:space="preserve">Figure </w:t>
      </w:r>
      <w:r w:rsidR="002C53E2">
        <w:rPr>
          <w:noProof/>
        </w:rPr>
        <w:t>2</w:t>
      </w:r>
      <w:r w:rsidR="002C53E2">
        <w:t>.</w:t>
      </w:r>
      <w:r w:rsidR="002C53E2">
        <w:rPr>
          <w:noProof/>
        </w:rPr>
        <w:t>1</w:t>
      </w:r>
      <w:r w:rsidR="001D3C67">
        <w:fldChar w:fldCharType="end"/>
      </w:r>
      <w:r w:rsidR="001D3C67">
        <w:t xml:space="preserve"> </w:t>
      </w:r>
      <w:r w:rsidRPr="00A35D97">
        <w:t>shows forecast net capex is the largest driver of the increase in the capital base.</w:t>
      </w:r>
      <w:r w:rsidR="00D83DE6">
        <w:t xml:space="preserve"> </w:t>
      </w:r>
      <w:r w:rsidR="00640B9E" w:rsidRPr="00640B9E">
        <w:t>Refer to attachment 6 for the discussion on forecast capex.</w:t>
      </w:r>
    </w:p>
    <w:p w:rsidR="00FB7479" w:rsidRDefault="00FB7479" w:rsidP="00FB7479">
      <w:r w:rsidRPr="00A35D97">
        <w:t xml:space="preserve">A ten per cent increase in the opening capital base causes revenues to increase by about </w:t>
      </w:r>
      <w:r w:rsidR="001D3C67">
        <w:t>two</w:t>
      </w:r>
      <w:r w:rsidRPr="00A35D97">
        <w:t xml:space="preserve"> per cent. However, the impact on revenues of the annual change in capital base depends on the source of the capital base change, as some drivers affect more than one buildin</w:t>
      </w:r>
      <w:r>
        <w:t>g block cost.</w:t>
      </w:r>
      <w:r>
        <w:rPr>
          <w:rStyle w:val="FootnoteReference"/>
        </w:rPr>
        <w:footnoteReference w:id="15"/>
      </w:r>
    </w:p>
    <w:p w:rsidR="00132D43" w:rsidRDefault="00132D43" w:rsidP="00132D43">
      <w:pPr>
        <w:pStyle w:val="Heading2"/>
      </w:pPr>
      <w:bookmarkStart w:id="110" w:name="_Toc486954738"/>
      <w:r>
        <w:t>Reasons for draft decision</w:t>
      </w:r>
      <w:bookmarkEnd w:id="110"/>
    </w:p>
    <w:p w:rsidR="00132D43" w:rsidRDefault="00806AB7" w:rsidP="00806AB7">
      <w:r>
        <w:t xml:space="preserve">We </w:t>
      </w:r>
      <w:r w:rsidRPr="00992B37">
        <w:t>determine an opening capital base value of $</w:t>
      </w:r>
      <w:r w:rsidR="00C76C9B">
        <w:t>1602.8</w:t>
      </w:r>
      <w:r w:rsidR="00C76C9B" w:rsidRPr="00992B37">
        <w:t xml:space="preserve"> </w:t>
      </w:r>
      <w:r w:rsidRPr="00992B37">
        <w:t>million ($</w:t>
      </w:r>
      <w:r w:rsidR="00C64003">
        <w:t> </w:t>
      </w:r>
      <w:r w:rsidRPr="00992B37">
        <w:t xml:space="preserve">nominal) as at 1 </w:t>
      </w:r>
      <w:r>
        <w:t>January</w:t>
      </w:r>
      <w:r w:rsidRPr="00992B37">
        <w:t xml:space="preserve"> 201</w:t>
      </w:r>
      <w:r>
        <w:t>8</w:t>
      </w:r>
      <w:r w:rsidRPr="00992B37">
        <w:t>, a reduction of $</w:t>
      </w:r>
      <w:r w:rsidR="00C76C9B">
        <w:t>12.7 </w:t>
      </w:r>
      <w:r w:rsidRPr="00992B37">
        <w:t xml:space="preserve">million </w:t>
      </w:r>
      <w:r w:rsidR="00C64003">
        <w:t>(</w:t>
      </w:r>
      <w:r w:rsidRPr="00992B37">
        <w:t xml:space="preserve">or </w:t>
      </w:r>
      <w:r w:rsidR="00C76C9B">
        <w:t>0.8</w:t>
      </w:r>
      <w:r>
        <w:t> </w:t>
      </w:r>
      <w:r w:rsidRPr="00992B37">
        <w:t>per cent</w:t>
      </w:r>
      <w:r w:rsidR="00C64003">
        <w:t>)</w:t>
      </w:r>
      <w:r w:rsidRPr="00992B37">
        <w:t xml:space="preserve"> from the proposed value. </w:t>
      </w:r>
      <w:r w:rsidR="00A86EBF">
        <w:t xml:space="preserve">We forecast </w:t>
      </w:r>
      <w:r w:rsidRPr="00992B37">
        <w:t xml:space="preserve">a closing capital base </w:t>
      </w:r>
      <w:r w:rsidR="00A86EBF">
        <w:t xml:space="preserve">value </w:t>
      </w:r>
      <w:r w:rsidRPr="00992B37">
        <w:t>of $</w:t>
      </w:r>
      <w:r w:rsidR="00A00E9D">
        <w:t>196</w:t>
      </w:r>
      <w:r w:rsidR="00C51661">
        <w:t>0.5</w:t>
      </w:r>
      <w:r w:rsidRPr="00992B37">
        <w:t xml:space="preserve"> million ($</w:t>
      </w:r>
      <w:r w:rsidR="00A86EBF">
        <w:t> </w:t>
      </w:r>
      <w:r w:rsidRPr="00992B37">
        <w:t xml:space="preserve">nominal) </w:t>
      </w:r>
      <w:r w:rsidR="00A86EBF">
        <w:t>by</w:t>
      </w:r>
      <w:r w:rsidRPr="00992B37">
        <w:t xml:space="preserve"> 3</w:t>
      </w:r>
      <w:r>
        <w:t>1</w:t>
      </w:r>
      <w:r w:rsidRPr="00992B37">
        <w:t xml:space="preserve"> </w:t>
      </w:r>
      <w:r>
        <w:t>December 2022</w:t>
      </w:r>
      <w:r w:rsidR="00A86EBF">
        <w:t>. This represents</w:t>
      </w:r>
      <w:r w:rsidRPr="00992B37">
        <w:t xml:space="preserve"> a reduction of $</w:t>
      </w:r>
      <w:r w:rsidR="000334A3">
        <w:t>16.</w:t>
      </w:r>
      <w:r w:rsidR="00C51661">
        <w:t>7</w:t>
      </w:r>
      <w:r w:rsidRPr="00992B37">
        <w:t xml:space="preserve"> million or </w:t>
      </w:r>
      <w:r w:rsidR="00A00E9D">
        <w:t>0.</w:t>
      </w:r>
      <w:r w:rsidR="000334A3">
        <w:t>8</w:t>
      </w:r>
      <w:r>
        <w:t> </w:t>
      </w:r>
      <w:r w:rsidRPr="00992B37">
        <w:t xml:space="preserve">per cent </w:t>
      </w:r>
      <w:r w:rsidR="00A86EBF">
        <w:t xml:space="preserve">compared to AGN's </w:t>
      </w:r>
      <w:r w:rsidRPr="00992B37">
        <w:t>propos</w:t>
      </w:r>
      <w:r w:rsidR="00A86EBF">
        <w:t>al</w:t>
      </w:r>
      <w:r w:rsidRPr="00992B37">
        <w:t xml:space="preserve">. </w:t>
      </w:r>
      <w:r w:rsidR="002D5B52">
        <w:t xml:space="preserve">AGN </w:t>
      </w:r>
      <w:r w:rsidR="002D5B52" w:rsidRPr="002D5B52">
        <w:t xml:space="preserve">has confirmed that these </w:t>
      </w:r>
      <w:r w:rsidR="002D5B52">
        <w:t xml:space="preserve">amendments </w:t>
      </w:r>
      <w:r w:rsidR="002D5B52" w:rsidRPr="002D5B52">
        <w:t xml:space="preserve">reconcile the models AGN submitted with the intent of its proposal </w:t>
      </w:r>
      <w:r w:rsidR="002D5B52">
        <w:t xml:space="preserve">and </w:t>
      </w:r>
      <w:r w:rsidR="002D5B52" w:rsidRPr="002D5B52">
        <w:t>that these are errors that should be corrected.</w:t>
      </w:r>
      <w:r w:rsidR="002D5B52">
        <w:t xml:space="preserve"> </w:t>
      </w:r>
      <w:r w:rsidRPr="00992B37">
        <w:t>The reasons for our decision are discussed below.</w:t>
      </w:r>
      <w:r w:rsidR="00A86EBF">
        <w:t xml:space="preserve"> </w:t>
      </w:r>
      <w:r w:rsidR="00A86EBF" w:rsidRPr="00992B37">
        <w:t>We are satisfied each of these amendments is necessary having regard to the requirements of the NGR.</w:t>
      </w:r>
    </w:p>
    <w:p w:rsidR="00806AB7" w:rsidRDefault="00806AB7" w:rsidP="001E7F9D">
      <w:pPr>
        <w:pStyle w:val="Heading3"/>
        <w:ind w:left="720"/>
      </w:pPr>
      <w:bookmarkStart w:id="111" w:name="_Ref476135829"/>
      <w:bookmarkStart w:id="112" w:name="_Toc486954739"/>
      <w:r w:rsidRPr="00992B37">
        <w:t>Roll forward of capital base during the 201</w:t>
      </w:r>
      <w:r>
        <w:t>3</w:t>
      </w:r>
      <w:r w:rsidRPr="00992B37">
        <w:t>–1</w:t>
      </w:r>
      <w:r>
        <w:t>7</w:t>
      </w:r>
      <w:r w:rsidRPr="00992B37">
        <w:t xml:space="preserve"> access arrangement period</w:t>
      </w:r>
      <w:bookmarkEnd w:id="111"/>
      <w:bookmarkEnd w:id="112"/>
    </w:p>
    <w:p w:rsidR="002518D0" w:rsidRDefault="00806AB7" w:rsidP="00806AB7">
      <w:r w:rsidRPr="00992B37">
        <w:t xml:space="preserve">To determine the opening capital base as at 1 </w:t>
      </w:r>
      <w:r>
        <w:t>January</w:t>
      </w:r>
      <w:r w:rsidRPr="00992B37">
        <w:t xml:space="preserve"> 201</w:t>
      </w:r>
      <w:r>
        <w:t>8</w:t>
      </w:r>
      <w:r w:rsidRPr="00992B37">
        <w:t xml:space="preserve"> we have assessed </w:t>
      </w:r>
      <w:r>
        <w:t>AGN</w:t>
      </w:r>
      <w:r w:rsidRPr="00992B37">
        <w:t>'s proposed roll forward of its capital base over the 201</w:t>
      </w:r>
      <w:r>
        <w:t>3</w:t>
      </w:r>
      <w:r w:rsidRPr="00992B37">
        <w:t>–1</w:t>
      </w:r>
      <w:r>
        <w:t>7</w:t>
      </w:r>
      <w:r w:rsidRPr="00992B37">
        <w:t xml:space="preserve"> access arrangement period. </w:t>
      </w:r>
      <w:r w:rsidR="009113CF">
        <w:t>In doing so we reviewed the key inputs of AGN's proposed RFM</w:t>
      </w:r>
      <w:r w:rsidR="003F1EE9">
        <w:t>s</w:t>
      </w:r>
      <w:r w:rsidR="009113CF">
        <w:t xml:space="preserve">, such as asset lives, actual </w:t>
      </w:r>
      <w:r w:rsidR="00D37627">
        <w:t xml:space="preserve">conforming net </w:t>
      </w:r>
      <w:r w:rsidR="009113CF">
        <w:t xml:space="preserve">capex, inflation and rate of return. We found these were generally correct and reconciled with relevant data sources such as annual </w:t>
      </w:r>
      <w:r w:rsidR="003F1EE9">
        <w:t xml:space="preserve">regulatory reporting </w:t>
      </w:r>
      <w:r w:rsidR="009113CF">
        <w:t xml:space="preserve">accounts and </w:t>
      </w:r>
      <w:r w:rsidR="003F1EE9">
        <w:t xml:space="preserve">approved </w:t>
      </w:r>
      <w:r w:rsidR="009113CF">
        <w:t>decision models</w:t>
      </w:r>
      <w:r w:rsidR="003F1EE9">
        <w:t xml:space="preserve"> for the 2013–17 access arrangement </w:t>
      </w:r>
      <w:proofErr w:type="gramStart"/>
      <w:r w:rsidR="003F1EE9">
        <w:t>period</w:t>
      </w:r>
      <w:proofErr w:type="gramEnd"/>
      <w:r w:rsidR="009113CF">
        <w:t xml:space="preserve">. However, we consider there should be adjustments made to AGN's proposed RFM inputs for 2012 actual capex and the indexation approach applied to rolling forward the capital base. </w:t>
      </w:r>
      <w:r w:rsidR="006925E3">
        <w:t xml:space="preserve">These amendments </w:t>
      </w:r>
      <w:r w:rsidR="00DE25B0">
        <w:t xml:space="preserve">are discussed further below, and </w:t>
      </w:r>
      <w:r w:rsidR="006925E3">
        <w:t>result in a draft decision opening capital base at 1 January 2018 of $</w:t>
      </w:r>
      <w:r w:rsidR="00DE25B0">
        <w:t>1602.8 </w:t>
      </w:r>
      <w:r w:rsidR="006925E3">
        <w:t xml:space="preserve">million, </w:t>
      </w:r>
      <w:r w:rsidR="006925E3" w:rsidRPr="006925E3">
        <w:t>a reduction of $</w:t>
      </w:r>
      <w:r w:rsidR="00DE25B0">
        <w:t>12.7 </w:t>
      </w:r>
      <w:r w:rsidR="006925E3" w:rsidRPr="006925E3">
        <w:t xml:space="preserve">million or </w:t>
      </w:r>
      <w:r w:rsidR="00DE25B0">
        <w:t>0.8 </w:t>
      </w:r>
      <w:r w:rsidR="006925E3" w:rsidRPr="006925E3">
        <w:t>per cent from the proposed value</w:t>
      </w:r>
      <w:r w:rsidR="00DE25B0">
        <w:t>.</w:t>
      </w:r>
      <w:r w:rsidR="006925E3">
        <w:t xml:space="preserve"> </w:t>
      </w:r>
    </w:p>
    <w:p w:rsidR="00F623CE" w:rsidRDefault="009113CF" w:rsidP="00F623CE">
      <w:pPr>
        <w:pStyle w:val="Heading4"/>
      </w:pPr>
      <w:r>
        <w:t>A</w:t>
      </w:r>
      <w:r w:rsidR="00F623CE" w:rsidRPr="00F623CE">
        <w:t>ctual capex in 2012</w:t>
      </w:r>
    </w:p>
    <w:p w:rsidR="009F4B71" w:rsidRDefault="00385ACA" w:rsidP="00F93B45">
      <w:r>
        <w:t>AGN</w:t>
      </w:r>
      <w:r w:rsidR="00F93B45">
        <w:t>'s asset class allocation of</w:t>
      </w:r>
      <w:r>
        <w:t xml:space="preserve"> </w:t>
      </w:r>
      <w:r w:rsidR="00F93B45">
        <w:t xml:space="preserve">2012 </w:t>
      </w:r>
      <w:r>
        <w:t xml:space="preserve">gross capex </w:t>
      </w:r>
      <w:r w:rsidR="00F93B45">
        <w:t xml:space="preserve">in its proposed RFM </w:t>
      </w:r>
      <w:r>
        <w:t xml:space="preserve">did not match its </w:t>
      </w:r>
      <w:r w:rsidR="00DA2F6B">
        <w:t xml:space="preserve">annual reporting </w:t>
      </w:r>
      <w:r>
        <w:t>accounts</w:t>
      </w:r>
      <w:r w:rsidR="00DA2F6B">
        <w:t xml:space="preserve"> for that year</w:t>
      </w:r>
      <w:r w:rsidR="00F93B45">
        <w:t xml:space="preserve">. We issued AGN with an information request regarding this discrepancy and AGN </w:t>
      </w:r>
      <w:r w:rsidR="00DA2F6B">
        <w:t xml:space="preserve">advised </w:t>
      </w:r>
      <w:r w:rsidR="00F93B45">
        <w:t xml:space="preserve">that the proposed allocation was incorrect. It confirmed that the allocation </w:t>
      </w:r>
      <w:r w:rsidR="00DA2F6B">
        <w:t xml:space="preserve">of capex </w:t>
      </w:r>
      <w:r w:rsidR="00F93B45">
        <w:t xml:space="preserve">in the </w:t>
      </w:r>
      <w:r w:rsidR="00DA2F6B">
        <w:t xml:space="preserve">2012 annual reporting </w:t>
      </w:r>
      <w:r w:rsidR="00F93B45" w:rsidRPr="00F93B45">
        <w:t xml:space="preserve">accounts should be used in the </w:t>
      </w:r>
      <w:r w:rsidR="00F93B45">
        <w:t>RFM.</w:t>
      </w:r>
      <w:r w:rsidR="00F93B45">
        <w:rPr>
          <w:rStyle w:val="FootnoteReference"/>
        </w:rPr>
        <w:footnoteReference w:id="16"/>
      </w:r>
      <w:r w:rsidR="00F93B45">
        <w:t xml:space="preserve"> </w:t>
      </w:r>
    </w:p>
    <w:p w:rsidR="00F93B45" w:rsidRDefault="00F93B45" w:rsidP="00F93B45">
      <w:r>
        <w:t xml:space="preserve">We also </w:t>
      </w:r>
      <w:r w:rsidR="00965019">
        <w:t xml:space="preserve">sought information from </w:t>
      </w:r>
      <w:r>
        <w:t xml:space="preserve">AGN about a formula change made </w:t>
      </w:r>
      <w:r w:rsidR="00165E0D">
        <w:t xml:space="preserve">to the </w:t>
      </w:r>
      <w:r w:rsidR="00DA2F6B">
        <w:t xml:space="preserve">AER's </w:t>
      </w:r>
      <w:r w:rsidR="00165E0D">
        <w:t>standard</w:t>
      </w:r>
      <w:r>
        <w:t xml:space="preserve"> </w:t>
      </w:r>
      <w:r w:rsidR="00165E0D">
        <w:t xml:space="preserve">RFM template </w:t>
      </w:r>
      <w:r w:rsidR="00DA2F6B">
        <w:t xml:space="preserve">for </w:t>
      </w:r>
      <w:r>
        <w:t>its Victoria network RFM</w:t>
      </w:r>
      <w:r w:rsidR="00165E0D">
        <w:t>.</w:t>
      </w:r>
      <w:r w:rsidR="00165E0D">
        <w:rPr>
          <w:rStyle w:val="FootnoteReference"/>
        </w:rPr>
        <w:footnoteReference w:id="17"/>
      </w:r>
      <w:r w:rsidR="00165E0D">
        <w:t xml:space="preserve"> The change results in the true-up between actual and </w:t>
      </w:r>
      <w:r w:rsidR="00DA2F6B">
        <w:t xml:space="preserve">estimated </w:t>
      </w:r>
      <w:r w:rsidR="00165E0D">
        <w:t xml:space="preserve">capex </w:t>
      </w:r>
      <w:r w:rsidR="00DA2F6B">
        <w:t xml:space="preserve">for 2012 </w:t>
      </w:r>
      <w:r w:rsidR="00165E0D">
        <w:t>being accounted for twice in the RFM. AGN confirmed in its response to our information request that this was an error in its proposal and the standard approach should be used.</w:t>
      </w:r>
      <w:r w:rsidR="00003B3C">
        <w:rPr>
          <w:rStyle w:val="FootnoteReference"/>
        </w:rPr>
        <w:footnoteReference w:id="18"/>
      </w:r>
      <w:r w:rsidR="00165E0D">
        <w:t xml:space="preserve"> Our draft decision </w:t>
      </w:r>
      <w:r w:rsidR="00DA2F6B">
        <w:t xml:space="preserve">therefore </w:t>
      </w:r>
      <w:r w:rsidR="00165E0D">
        <w:t>corrects this error</w:t>
      </w:r>
      <w:r w:rsidR="00003B3C">
        <w:t xml:space="preserve"> in the RFM and applies the standard approach to rolling forward the capital base.</w:t>
      </w:r>
    </w:p>
    <w:p w:rsidR="002518D0" w:rsidRDefault="002518D0" w:rsidP="002518D0">
      <w:pPr>
        <w:pStyle w:val="Heading4"/>
      </w:pPr>
      <w:r w:rsidRPr="00B46128">
        <w:t>Conforming capital expenditure in 2012 and the 201</w:t>
      </w:r>
      <w:r>
        <w:t>3</w:t>
      </w:r>
      <w:r w:rsidRPr="00B46128">
        <w:t>–17 access arrangement period</w:t>
      </w:r>
    </w:p>
    <w:p w:rsidR="002518D0" w:rsidRPr="00075758" w:rsidRDefault="002518D0" w:rsidP="002518D0">
      <w:r w:rsidRPr="00075758">
        <w:t xml:space="preserve">Our assessment of conforming capex is set out in capex attachment 6. In determining the opening capital base as at 1 </w:t>
      </w:r>
      <w:r>
        <w:t>January 2018</w:t>
      </w:r>
      <w:r w:rsidRPr="00075758">
        <w:t xml:space="preserve">, we assessed whether </w:t>
      </w:r>
      <w:r>
        <w:t>AGN</w:t>
      </w:r>
      <w:r w:rsidRPr="00075758">
        <w:t>'s proposed capex amounts for 2012 and the 201</w:t>
      </w:r>
      <w:r>
        <w:t>3</w:t>
      </w:r>
      <w:r w:rsidRPr="00075758">
        <w:t>–17 access arrangement</w:t>
      </w:r>
      <w:r w:rsidR="00986F52">
        <w:t xml:space="preserve"> period</w:t>
      </w:r>
      <w:r w:rsidRPr="00075758">
        <w:t xml:space="preserve"> are properly accounted for in the capital base roll forward. </w:t>
      </w:r>
    </w:p>
    <w:p w:rsidR="002518D0" w:rsidRPr="00075758" w:rsidRDefault="002518D0" w:rsidP="002518D0">
      <w:r w:rsidRPr="00075758">
        <w:t xml:space="preserve">We accept </w:t>
      </w:r>
      <w:r>
        <w:t>AGN</w:t>
      </w:r>
      <w:r w:rsidRPr="00075758">
        <w:t xml:space="preserve">'s proposed actual capex as conforming capex during the </w:t>
      </w:r>
      <w:r w:rsidR="00763A04" w:rsidRPr="00075758">
        <w:t xml:space="preserve">period </w:t>
      </w:r>
      <w:r w:rsidRPr="00075758">
        <w:t>201</w:t>
      </w:r>
      <w:r>
        <w:t>2</w:t>
      </w:r>
      <w:r w:rsidR="00763A04">
        <w:t xml:space="preserve"> to 20</w:t>
      </w:r>
      <w:r w:rsidRPr="00075758">
        <w:t>17</w:t>
      </w:r>
      <w:r w:rsidR="008A0AEE">
        <w:t>. Therefore, we accept that</w:t>
      </w:r>
      <w:r w:rsidRPr="00075758">
        <w:t xml:space="preserve"> </w:t>
      </w:r>
      <w:r w:rsidR="008A0AEE">
        <w:t xml:space="preserve">actual conforming capex has </w:t>
      </w:r>
      <w:r w:rsidRPr="00075758">
        <w:t xml:space="preserve">been properly accounted for in the </w:t>
      </w:r>
      <w:r w:rsidR="008A0AEE">
        <w:t xml:space="preserve">proposed </w:t>
      </w:r>
      <w:r w:rsidRPr="00075758">
        <w:t>capital base roll forward consistent wit</w:t>
      </w:r>
      <w:r>
        <w:t>h the requirements of the NGR.</w:t>
      </w:r>
      <w:r>
        <w:rPr>
          <w:rStyle w:val="FootnoteReference"/>
        </w:rPr>
        <w:footnoteReference w:id="19"/>
      </w:r>
      <w:r>
        <w:t xml:space="preserve"> </w:t>
      </w:r>
      <w:r w:rsidR="008A0AEE">
        <w:t>However, w</w:t>
      </w:r>
      <w:r w:rsidR="008A0AEE" w:rsidRPr="006348AE">
        <w:t>e</w:t>
      </w:r>
      <w:r w:rsidR="008A0AEE">
        <w:t xml:space="preserve"> </w:t>
      </w:r>
      <w:r w:rsidR="008A0AEE" w:rsidRPr="006348AE">
        <w:t>note that the proposed capex for 201</w:t>
      </w:r>
      <w:r w:rsidR="008A0AEE">
        <w:t>6</w:t>
      </w:r>
      <w:r w:rsidR="008A0AEE" w:rsidRPr="006348AE">
        <w:t xml:space="preserve"> and 201</w:t>
      </w:r>
      <w:r w:rsidR="008A0AEE">
        <w:t>7</w:t>
      </w:r>
      <w:r w:rsidR="008A0AEE" w:rsidRPr="006348AE">
        <w:t xml:space="preserve"> are estimates. Therefore</w:t>
      </w:r>
      <w:r w:rsidR="008A0AEE">
        <w:t>,</w:t>
      </w:r>
      <w:r w:rsidR="008A0AEE" w:rsidRPr="006348AE">
        <w:t xml:space="preserve"> the ‘approved’ capex in this draft decision for 201</w:t>
      </w:r>
      <w:r w:rsidR="008A0AEE">
        <w:t>6</w:t>
      </w:r>
      <w:r w:rsidR="008A0AEE" w:rsidRPr="006348AE">
        <w:t xml:space="preserve"> and 201</w:t>
      </w:r>
      <w:r w:rsidR="008A0AEE">
        <w:t>7</w:t>
      </w:r>
      <w:r w:rsidR="008A0AEE" w:rsidRPr="006348AE">
        <w:t xml:space="preserve"> are placeholder amounts. We expect </w:t>
      </w:r>
      <w:r w:rsidR="008A0AEE">
        <w:t>AGN</w:t>
      </w:r>
      <w:r w:rsidR="008A0AEE" w:rsidRPr="006348AE">
        <w:t xml:space="preserve"> will provide actual capex for 201</w:t>
      </w:r>
      <w:r w:rsidR="008A0AEE">
        <w:t>6</w:t>
      </w:r>
      <w:r w:rsidR="008A0AEE" w:rsidRPr="006348AE">
        <w:t xml:space="preserve"> in its revised proposal and the 201</w:t>
      </w:r>
      <w:r w:rsidR="008A0AEE">
        <w:t>7</w:t>
      </w:r>
      <w:r w:rsidR="008A0AEE" w:rsidRPr="006348AE">
        <w:t xml:space="preserve"> capex estimates may be revised based on more up to date information. We will assess whether the actual capex for 201</w:t>
      </w:r>
      <w:r w:rsidR="008A0AEE">
        <w:t>6</w:t>
      </w:r>
      <w:r w:rsidR="008A0AEE" w:rsidRPr="006348AE">
        <w:t xml:space="preserve"> </w:t>
      </w:r>
      <w:r w:rsidR="00763A04">
        <w:t>is</w:t>
      </w:r>
      <w:r w:rsidR="00763A04" w:rsidRPr="006348AE">
        <w:t xml:space="preserve"> </w:t>
      </w:r>
      <w:r w:rsidR="008A0AEE" w:rsidRPr="006348AE">
        <w:t>conforming capex in our final decision. We will undertake the assessment of whether the 201</w:t>
      </w:r>
      <w:r w:rsidR="008A0AEE">
        <w:t>7</w:t>
      </w:r>
      <w:r w:rsidR="008A0AEE" w:rsidRPr="006348AE">
        <w:t xml:space="preserve"> amount</w:t>
      </w:r>
      <w:r w:rsidR="008A0AEE">
        <w:t xml:space="preserve"> is</w:t>
      </w:r>
      <w:r w:rsidR="008A0AEE" w:rsidRPr="006348AE">
        <w:t xml:space="preserve"> conforming capex as part of the next access arrangement </w:t>
      </w:r>
      <w:r w:rsidR="008A0AEE">
        <w:t>review</w:t>
      </w:r>
      <w:r w:rsidR="008A0AEE" w:rsidRPr="006348AE">
        <w:t>.</w:t>
      </w:r>
    </w:p>
    <w:p w:rsidR="00F623CE" w:rsidRDefault="00F623CE" w:rsidP="00F623CE">
      <w:pPr>
        <w:pStyle w:val="Heading4"/>
      </w:pPr>
      <w:r>
        <w:t>Indexi</w:t>
      </w:r>
      <w:r w:rsidR="002D0F67">
        <w:t xml:space="preserve">ng </w:t>
      </w:r>
      <w:r>
        <w:t>the capital base</w:t>
      </w:r>
      <w:r w:rsidR="002D0F67">
        <w:t xml:space="preserve"> for actual inflation</w:t>
      </w:r>
    </w:p>
    <w:p w:rsidR="00F93B45" w:rsidRDefault="009915D1" w:rsidP="00F623CE">
      <w:r>
        <w:t>AGN's proposed RFM used a partially-lagged approach to indexing the capital base. Under the partially-</w:t>
      </w:r>
      <w:r w:rsidRPr="009915D1">
        <w:t>lagged approach, two aspects of the RFM indexation use a one-year lagged inflation series (straight</w:t>
      </w:r>
      <w:r w:rsidR="00A870D1">
        <w:t>-</w:t>
      </w:r>
      <w:r w:rsidRPr="009915D1">
        <w:t>line depreciation and new capex), but one aspect uses the actual (non-lagged) inflation outcomes (opening RAB).</w:t>
      </w:r>
      <w:r>
        <w:rPr>
          <w:rStyle w:val="FootnoteReference"/>
        </w:rPr>
        <w:footnoteReference w:id="20"/>
      </w:r>
      <w:r>
        <w:t xml:space="preserve"> This approach is not consistent with the </w:t>
      </w:r>
      <w:r w:rsidRPr="009915D1">
        <w:t xml:space="preserve">approach used in previous </w:t>
      </w:r>
      <w:r w:rsidR="00A870D1">
        <w:t>access arrangements for AGN</w:t>
      </w:r>
      <w:r w:rsidRPr="009915D1">
        <w:t>, where the Essential Services Commission applied the all-lagged approach</w:t>
      </w:r>
      <w:r>
        <w:t>.</w:t>
      </w:r>
      <w:r>
        <w:rPr>
          <w:rStyle w:val="FootnoteReference"/>
        </w:rPr>
        <w:footnoteReference w:id="21"/>
      </w:r>
      <w:r>
        <w:t xml:space="preserve"> We consider that consistency across periods is desirable to ensure </w:t>
      </w:r>
      <w:r w:rsidRPr="009915D1">
        <w:t xml:space="preserve">the same unbroken inflation series </w:t>
      </w:r>
      <w:r w:rsidR="00A870D1">
        <w:t xml:space="preserve">is used </w:t>
      </w:r>
      <w:r w:rsidRPr="009915D1">
        <w:t>to preserve the real value of its assets</w:t>
      </w:r>
      <w:r>
        <w:t>. We discussed this issue</w:t>
      </w:r>
      <w:r w:rsidR="009F4B71">
        <w:t xml:space="preserve"> in more detail in previous electricity determinations.</w:t>
      </w:r>
      <w:r w:rsidR="009F4B71">
        <w:rPr>
          <w:rStyle w:val="FootnoteReference"/>
        </w:rPr>
        <w:footnoteReference w:id="22"/>
      </w:r>
      <w:r w:rsidR="009F4B71">
        <w:t xml:space="preserve"> </w:t>
      </w:r>
    </w:p>
    <w:p w:rsidR="00F623CE" w:rsidRDefault="009F4B71" w:rsidP="00F623CE">
      <w:r>
        <w:t xml:space="preserve">We raised this issue with AGN in an information request and AGN responded noting that </w:t>
      </w:r>
      <w:r w:rsidR="00455033">
        <w:t>it</w:t>
      </w:r>
      <w:r>
        <w:t xml:space="preserve"> had intended to propose the all-lagged approach to indexation, consistent with </w:t>
      </w:r>
      <w:r w:rsidR="00455033">
        <w:t>the</w:t>
      </w:r>
      <w:r>
        <w:t xml:space="preserve"> treatment</w:t>
      </w:r>
      <w:r w:rsidR="00455033">
        <w:t xml:space="preserve"> in previous access arrangements</w:t>
      </w:r>
      <w:r>
        <w:t>.</w:t>
      </w:r>
      <w:r>
        <w:rPr>
          <w:rStyle w:val="FootnoteReference"/>
        </w:rPr>
        <w:footnoteReference w:id="23"/>
      </w:r>
      <w:r>
        <w:t xml:space="preserve"> Our draft decision corrects AGN's </w:t>
      </w:r>
      <w:r w:rsidR="00455033">
        <w:t xml:space="preserve">RFM to </w:t>
      </w:r>
      <w:r>
        <w:t>implement the all-lagged approach to indexing the capital base.</w:t>
      </w:r>
    </w:p>
    <w:p w:rsidR="00806AB7" w:rsidRDefault="00806AB7" w:rsidP="001E7F9D">
      <w:pPr>
        <w:pStyle w:val="Heading3"/>
        <w:ind w:left="720"/>
      </w:pPr>
      <w:bookmarkStart w:id="113" w:name="_Toc485650817"/>
      <w:bookmarkStart w:id="114" w:name="_Toc486954740"/>
      <w:bookmarkEnd w:id="113"/>
      <w:r w:rsidRPr="00992B37">
        <w:t>Projected capital base during the 201</w:t>
      </w:r>
      <w:r>
        <w:t>8</w:t>
      </w:r>
      <w:r w:rsidRPr="00992B37">
        <w:t>–2</w:t>
      </w:r>
      <w:r>
        <w:t>2</w:t>
      </w:r>
      <w:r w:rsidRPr="00992B37">
        <w:t xml:space="preserve"> access arrangement period</w:t>
      </w:r>
      <w:bookmarkEnd w:id="114"/>
    </w:p>
    <w:p w:rsidR="00806AB7" w:rsidRDefault="00806AB7" w:rsidP="00806AB7">
      <w:r w:rsidRPr="00992B37">
        <w:t xml:space="preserve">We forecast </w:t>
      </w:r>
      <w:r w:rsidR="00A52718">
        <w:t xml:space="preserve">AGN's </w:t>
      </w:r>
      <w:r w:rsidRPr="00992B37">
        <w:t>capital base at 3</w:t>
      </w:r>
      <w:r>
        <w:t>1</w:t>
      </w:r>
      <w:r w:rsidRPr="00992B37">
        <w:t xml:space="preserve"> </w:t>
      </w:r>
      <w:r>
        <w:t>December</w:t>
      </w:r>
      <w:r w:rsidRPr="00992B37">
        <w:t xml:space="preserve"> 202</w:t>
      </w:r>
      <w:r>
        <w:t>2</w:t>
      </w:r>
      <w:r w:rsidRPr="00992B37">
        <w:t xml:space="preserve"> to be $</w:t>
      </w:r>
      <w:r w:rsidR="00A00E9D">
        <w:t>196</w:t>
      </w:r>
      <w:r w:rsidR="00C51661">
        <w:t>0.5</w:t>
      </w:r>
      <w:r>
        <w:t> </w:t>
      </w:r>
      <w:r w:rsidRPr="00992B37">
        <w:t>million ($</w:t>
      </w:r>
      <w:r>
        <w:t> </w:t>
      </w:r>
      <w:r w:rsidRPr="00992B37">
        <w:t>nominal</w:t>
      </w:r>
      <w:r w:rsidR="00EB68EB" w:rsidRPr="00992B37">
        <w:t>)</w:t>
      </w:r>
      <w:r w:rsidR="00EB68EB">
        <w:t>. This represents</w:t>
      </w:r>
      <w:r w:rsidR="00EB68EB" w:rsidRPr="00992B37">
        <w:t xml:space="preserve"> </w:t>
      </w:r>
      <w:r w:rsidRPr="00992B37">
        <w:t>a reduction of $</w:t>
      </w:r>
      <w:r w:rsidR="000334A3">
        <w:t>16.</w:t>
      </w:r>
      <w:r w:rsidR="00C51661">
        <w:t>7</w:t>
      </w:r>
      <w:r>
        <w:t> </w:t>
      </w:r>
      <w:r w:rsidRPr="00992B37">
        <w:t xml:space="preserve">million </w:t>
      </w:r>
      <w:r w:rsidR="00EB68EB">
        <w:t>(</w:t>
      </w:r>
      <w:r w:rsidRPr="00992B37">
        <w:t xml:space="preserve">or </w:t>
      </w:r>
      <w:r w:rsidR="00A00E9D">
        <w:t>0.</w:t>
      </w:r>
      <w:r w:rsidR="000334A3">
        <w:t>8</w:t>
      </w:r>
      <w:r>
        <w:t> </w:t>
      </w:r>
      <w:r w:rsidRPr="00992B37">
        <w:t>per cent</w:t>
      </w:r>
      <w:r w:rsidR="00EB68EB">
        <w:t>)</w:t>
      </w:r>
      <w:r w:rsidRPr="00992B37">
        <w:t xml:space="preserve"> from </w:t>
      </w:r>
      <w:r>
        <w:t>AGN</w:t>
      </w:r>
      <w:r w:rsidRPr="00992B37">
        <w:t>'s proposal</w:t>
      </w:r>
      <w:r w:rsidR="00501088">
        <w:t>, reflecting</w:t>
      </w:r>
      <w:r w:rsidRPr="00992B37">
        <w:t xml:space="preserve"> our draft decision on the inputs to the determination of the projected capital base. </w:t>
      </w:r>
      <w:r w:rsidR="00EB68EB">
        <w:t>To determine the forecast capital base for AGN, w</w:t>
      </w:r>
      <w:r w:rsidRPr="00992B37">
        <w:t xml:space="preserve">e amended the following </w:t>
      </w:r>
      <w:r w:rsidR="00EB68EB">
        <w:t>PTRM inputs</w:t>
      </w:r>
      <w:r w:rsidRPr="00992B37">
        <w:t>:</w:t>
      </w:r>
    </w:p>
    <w:p w:rsidR="00806AB7" w:rsidRPr="00CB5970" w:rsidRDefault="00EB68EB" w:rsidP="00806AB7">
      <w:pPr>
        <w:pStyle w:val="AERbulletlistfirststyle"/>
      </w:pPr>
      <w:r>
        <w:t>We r</w:t>
      </w:r>
      <w:r w:rsidR="00806AB7" w:rsidRPr="00CB5970">
        <w:t xml:space="preserve">educed </w:t>
      </w:r>
      <w:r w:rsidR="00806AB7">
        <w:t>AGN</w:t>
      </w:r>
      <w:r w:rsidR="00806AB7" w:rsidRPr="00CB5970">
        <w:t xml:space="preserve">'s opening capital base as at 1 </w:t>
      </w:r>
      <w:r w:rsidR="00806AB7">
        <w:t>January</w:t>
      </w:r>
      <w:r w:rsidR="00806AB7" w:rsidRPr="00CB5970">
        <w:t xml:space="preserve"> 201</w:t>
      </w:r>
      <w:r w:rsidR="00806AB7">
        <w:t>8</w:t>
      </w:r>
      <w:r w:rsidR="00806AB7" w:rsidRPr="00CB5970">
        <w:t xml:space="preserve"> by $</w:t>
      </w:r>
      <w:r w:rsidR="00A00E9D">
        <w:t>12.7</w:t>
      </w:r>
      <w:r w:rsidR="00806AB7" w:rsidRPr="00CB5970">
        <w:t xml:space="preserve"> million ($</w:t>
      </w:r>
      <w:r w:rsidR="00806AB7">
        <w:t> </w:t>
      </w:r>
      <w:r w:rsidR="00806AB7" w:rsidRPr="00CB5970">
        <w:t xml:space="preserve">nominal) or by </w:t>
      </w:r>
      <w:r w:rsidR="00A00E9D">
        <w:t>0.8</w:t>
      </w:r>
      <w:r w:rsidR="00806AB7" w:rsidRPr="00CB5970">
        <w:t xml:space="preserve"> per cent to reflect the </w:t>
      </w:r>
      <w:r>
        <w:t>corrections</w:t>
      </w:r>
      <w:r w:rsidRPr="00CB5970">
        <w:t xml:space="preserve"> </w:t>
      </w:r>
      <w:r w:rsidR="00806AB7" w:rsidRPr="00CB5970">
        <w:t>required in this attachment.</w:t>
      </w:r>
    </w:p>
    <w:p w:rsidR="00806AB7" w:rsidRDefault="00EB68EB" w:rsidP="00806AB7">
      <w:pPr>
        <w:pStyle w:val="AERbulletlistfirststyle"/>
      </w:pPr>
      <w:r>
        <w:t xml:space="preserve">We </w:t>
      </w:r>
      <w:r w:rsidR="00A00E9D">
        <w:t>increased</w:t>
      </w:r>
      <w:r w:rsidR="00806AB7" w:rsidRPr="00CB5970">
        <w:t xml:space="preserve"> </w:t>
      </w:r>
      <w:r w:rsidR="00AD19FC">
        <w:t>AGN</w:t>
      </w:r>
      <w:r w:rsidR="00806AB7" w:rsidRPr="00CB5970">
        <w:t xml:space="preserve">'s proposed forecast net capex </w:t>
      </w:r>
      <w:r w:rsidR="00455033">
        <w:t xml:space="preserve">for the 2018–22 access arrangement period </w:t>
      </w:r>
      <w:r w:rsidR="00806AB7" w:rsidRPr="00CB5970">
        <w:t>by $</w:t>
      </w:r>
      <w:r w:rsidR="00C51661">
        <w:t>0.2</w:t>
      </w:r>
      <w:r w:rsidR="00806AB7">
        <w:t> </w:t>
      </w:r>
      <w:r w:rsidR="00806AB7" w:rsidRPr="00CB5970">
        <w:t>million ($</w:t>
      </w:r>
      <w:r w:rsidR="00A00E9D">
        <w:t> nominal</w:t>
      </w:r>
      <w:r w:rsidR="00806AB7" w:rsidRPr="00CB5970">
        <w:t>). Our assessment of the proposed forecast capex is set out in attachment 6.</w:t>
      </w:r>
    </w:p>
    <w:p w:rsidR="00806AB7" w:rsidRDefault="00501088" w:rsidP="00AD19FC">
      <w:pPr>
        <w:pStyle w:val="AERbulletlistfirststyle"/>
      </w:pPr>
      <w:r>
        <w:t xml:space="preserve">We </w:t>
      </w:r>
      <w:r w:rsidR="00E9230B">
        <w:t>increased</w:t>
      </w:r>
      <w:r w:rsidR="00806AB7" w:rsidRPr="00CB5970">
        <w:t xml:space="preserve"> </w:t>
      </w:r>
      <w:r w:rsidR="00AD19FC">
        <w:t>AGN</w:t>
      </w:r>
      <w:r w:rsidR="00806AB7" w:rsidRPr="00CB5970">
        <w:t xml:space="preserve">'s proposed forecast regulatory depreciation allowance </w:t>
      </w:r>
      <w:r w:rsidR="00455033">
        <w:t xml:space="preserve">for the 2018–22 access arrangement period </w:t>
      </w:r>
      <w:r w:rsidR="00806AB7" w:rsidRPr="00CB5970">
        <w:t>by $</w:t>
      </w:r>
      <w:r w:rsidR="00E9230B">
        <w:t>4.</w:t>
      </w:r>
      <w:r w:rsidR="00C51661">
        <w:t>1</w:t>
      </w:r>
      <w:r w:rsidR="00806AB7">
        <w:t> </w:t>
      </w:r>
      <w:r w:rsidR="00806AB7" w:rsidRPr="00CB5970">
        <w:t>million ($</w:t>
      </w:r>
      <w:r w:rsidR="00806AB7">
        <w:t> </w:t>
      </w:r>
      <w:r w:rsidR="00806AB7" w:rsidRPr="00CB5970">
        <w:t xml:space="preserve">nominal) or </w:t>
      </w:r>
      <w:r w:rsidR="00E9230B">
        <w:t>1.</w:t>
      </w:r>
      <w:r w:rsidR="00C51661">
        <w:t>7</w:t>
      </w:r>
      <w:r w:rsidR="00806AB7" w:rsidRPr="00CB5970">
        <w:t xml:space="preserve"> per cent.</w:t>
      </w:r>
      <w:r w:rsidR="00806AB7">
        <w:rPr>
          <w:rStyle w:val="FootnoteReference"/>
        </w:rPr>
        <w:footnoteReference w:id="24"/>
      </w:r>
      <w:r w:rsidR="00806AB7" w:rsidRPr="00CB5970">
        <w:t xml:space="preserve"> Our assessment of the proposed forecast depreciation is set out in attachment 5.</w:t>
      </w:r>
    </w:p>
    <w:p w:rsidR="00ED214E" w:rsidRPr="00D327F2" w:rsidRDefault="00D327F2" w:rsidP="00D327F2">
      <w:r>
        <w:fldChar w:fldCharType="begin"/>
      </w:r>
      <w:r>
        <w:instrText xml:space="preserve"> REF _Ref468709585 \h </w:instrText>
      </w:r>
      <w:r>
        <w:fldChar w:fldCharType="separate"/>
      </w:r>
      <w:r w:rsidR="002C53E2" w:rsidRPr="00ED214E">
        <w:t xml:space="preserve">Figure </w:t>
      </w:r>
      <w:r w:rsidR="002C53E2">
        <w:rPr>
          <w:noProof/>
        </w:rPr>
        <w:t>2</w:t>
      </w:r>
      <w:r w:rsidR="002C53E2" w:rsidRPr="00D327F2">
        <w:t>.</w:t>
      </w:r>
      <w:r w:rsidR="002C53E2">
        <w:rPr>
          <w:noProof/>
        </w:rPr>
        <w:t>2</w:t>
      </w:r>
      <w:r>
        <w:fldChar w:fldCharType="end"/>
      </w:r>
      <w:r>
        <w:t xml:space="preserve"> </w:t>
      </w:r>
      <w:r w:rsidR="00ED214E" w:rsidRPr="00D327F2">
        <w:t>shows the key drivers of the change in A</w:t>
      </w:r>
      <w:r>
        <w:t>GN</w:t>
      </w:r>
      <w:r w:rsidR="00ED214E" w:rsidRPr="00D327F2">
        <w:t>'s capital base</w:t>
      </w:r>
      <w:r>
        <w:t xml:space="preserve"> over the 2018</w:t>
      </w:r>
      <w:r w:rsidR="00ED214E" w:rsidRPr="00D327F2">
        <w:t xml:space="preserve">–22 access arrangement </w:t>
      </w:r>
      <w:proofErr w:type="gramStart"/>
      <w:r w:rsidR="00ED214E" w:rsidRPr="00D327F2">
        <w:t>period</w:t>
      </w:r>
      <w:proofErr w:type="gramEnd"/>
      <w:r w:rsidR="00ED214E" w:rsidRPr="00D327F2">
        <w:t xml:space="preserve"> for this draft decision. Overall, the closing </w:t>
      </w:r>
      <w:r>
        <w:t>capital base</w:t>
      </w:r>
      <w:r w:rsidR="00ED214E" w:rsidRPr="00D327F2">
        <w:t xml:space="preserve"> at the end of the 201</w:t>
      </w:r>
      <w:r>
        <w:t>8</w:t>
      </w:r>
      <w:r w:rsidR="00ED214E" w:rsidRPr="00D327F2">
        <w:t xml:space="preserve">–22 access arrangement </w:t>
      </w:r>
      <w:proofErr w:type="gramStart"/>
      <w:r w:rsidR="00ED214E" w:rsidRPr="00D327F2">
        <w:t>period</w:t>
      </w:r>
      <w:proofErr w:type="gramEnd"/>
      <w:r w:rsidR="00ED214E" w:rsidRPr="00D327F2">
        <w:t xml:space="preserve"> is forecast to be </w:t>
      </w:r>
      <w:r w:rsidR="000334A3">
        <w:t>22.3</w:t>
      </w:r>
      <w:r w:rsidR="00ED214E" w:rsidRPr="00D327F2">
        <w:t xml:space="preserve"> per cent higher than the opening capital base at the start of that period, in nominal terms. The approved forecast net capex increases the capital base by about </w:t>
      </w:r>
      <w:r w:rsidR="000334A3">
        <w:t>37.</w:t>
      </w:r>
      <w:r w:rsidR="00C51661">
        <w:t>2</w:t>
      </w:r>
      <w:r>
        <w:t xml:space="preserve"> </w:t>
      </w:r>
      <w:r w:rsidR="00ED214E" w:rsidRPr="00D327F2">
        <w:t xml:space="preserve">per cent, while expected inflation increases it by about </w:t>
      </w:r>
      <w:r w:rsidR="000334A3">
        <w:t>13.5</w:t>
      </w:r>
      <w:r>
        <w:t xml:space="preserve"> </w:t>
      </w:r>
      <w:r w:rsidR="00ED214E" w:rsidRPr="00D327F2">
        <w:t xml:space="preserve">per cent. Forecast depreciation, on the other hand, reduces the capital base by about </w:t>
      </w:r>
      <w:r w:rsidR="000334A3">
        <w:t>28.</w:t>
      </w:r>
      <w:r w:rsidR="00C51661">
        <w:t>4</w:t>
      </w:r>
      <w:r w:rsidR="00ED214E" w:rsidRPr="00D327F2">
        <w:t xml:space="preserve"> per cent.</w:t>
      </w:r>
    </w:p>
    <w:p w:rsidR="00ED214E" w:rsidRPr="00D327F2" w:rsidRDefault="00ED214E" w:rsidP="007059FA">
      <w:pPr>
        <w:pStyle w:val="Caption"/>
      </w:pPr>
      <w:bookmarkStart w:id="115" w:name="_Ref468709585"/>
      <w:proofErr w:type="gramStart"/>
      <w:r w:rsidRPr="00ED214E">
        <w:t xml:space="preserve">Figure </w:t>
      </w:r>
      <w:proofErr w:type="gramEnd"/>
      <w:r w:rsidR="002C53E2">
        <w:fldChar w:fldCharType="begin"/>
      </w:r>
      <w:r w:rsidR="002C53E2">
        <w:instrText xml:space="preserve"> STYLEREF 1 \s </w:instrText>
      </w:r>
      <w:r w:rsidR="002C53E2">
        <w:fldChar w:fldCharType="separate"/>
      </w:r>
      <w:r w:rsidR="002C53E2">
        <w:rPr>
          <w:noProof/>
        </w:rPr>
        <w:t>2</w:t>
      </w:r>
      <w:r w:rsidR="002C53E2">
        <w:rPr>
          <w:noProof/>
        </w:rPr>
        <w:fldChar w:fldCharType="end"/>
      </w:r>
      <w:proofErr w:type="gramStart"/>
      <w:r w:rsidRPr="00D327F2">
        <w:t>.</w:t>
      </w:r>
      <w:proofErr w:type="gramEnd"/>
      <w:r w:rsidR="00EB5D40">
        <w:fldChar w:fldCharType="begin"/>
      </w:r>
      <w:r w:rsidR="00EB5D40">
        <w:instrText xml:space="preserve"> SEQ Figure \* ARABIC \s 1 </w:instrText>
      </w:r>
      <w:r w:rsidR="00EB5D40">
        <w:fldChar w:fldCharType="separate"/>
      </w:r>
      <w:r w:rsidR="002C53E2">
        <w:rPr>
          <w:noProof/>
        </w:rPr>
        <w:t>2</w:t>
      </w:r>
      <w:r w:rsidR="00EB5D40">
        <w:rPr>
          <w:noProof/>
        </w:rPr>
        <w:fldChar w:fldCharType="end"/>
      </w:r>
      <w:bookmarkEnd w:id="115"/>
      <w:r w:rsidRPr="00D327F2">
        <w:tab/>
        <w:t>Key drivers of changes in the capital base ($ million, nominal)</w:t>
      </w:r>
    </w:p>
    <w:p w:rsidR="00ED214E" w:rsidRPr="00D327F2" w:rsidRDefault="00C51661" w:rsidP="007059FA">
      <w:pPr>
        <w:keepNext/>
      </w:pPr>
      <w:r w:rsidRPr="00C51661">
        <w:rPr>
          <w:noProof/>
          <w:lang w:eastAsia="en-AU"/>
        </w:rPr>
        <w:drawing>
          <wp:inline distT="0" distB="0" distL="0" distR="0" wp14:anchorId="36D0F642" wp14:editId="09841A8C">
            <wp:extent cx="5382895" cy="322119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21193"/>
                    </a:xfrm>
                    <a:prstGeom prst="rect">
                      <a:avLst/>
                    </a:prstGeom>
                    <a:noFill/>
                    <a:ln>
                      <a:noFill/>
                    </a:ln>
                  </pic:spPr>
                </pic:pic>
              </a:graphicData>
            </a:graphic>
          </wp:inline>
        </w:drawing>
      </w:r>
    </w:p>
    <w:p w:rsidR="00455033" w:rsidRPr="00455033" w:rsidRDefault="00ED214E" w:rsidP="007059FA">
      <w:pPr>
        <w:pStyle w:val="Source"/>
        <w:keepNext/>
      </w:pPr>
      <w:r w:rsidRPr="00ED214E">
        <w:t>Source:</w:t>
      </w:r>
      <w:r w:rsidRPr="00ED214E">
        <w:tab/>
        <w:t>AER analysis.</w:t>
      </w:r>
    </w:p>
    <w:p w:rsidR="00806AB7" w:rsidRDefault="00806AB7" w:rsidP="001E7F9D">
      <w:pPr>
        <w:pStyle w:val="Heading3"/>
        <w:ind w:left="720"/>
      </w:pPr>
      <w:bookmarkStart w:id="116" w:name="_Toc486954741"/>
      <w:r w:rsidRPr="00CB5970">
        <w:t>Capital base at the commencement of the 202</w:t>
      </w:r>
      <w:r>
        <w:t>3</w:t>
      </w:r>
      <w:r w:rsidRPr="00CB5970">
        <w:t>–2</w:t>
      </w:r>
      <w:r w:rsidR="00D327F2">
        <w:t>7</w:t>
      </w:r>
      <w:r w:rsidRPr="00CB5970">
        <w:t xml:space="preserve"> access arrangement period</w:t>
      </w:r>
      <w:bookmarkEnd w:id="116"/>
    </w:p>
    <w:p w:rsidR="00AD19FC" w:rsidRDefault="00AD19FC" w:rsidP="00AD19FC">
      <w:r w:rsidRPr="00CB5970">
        <w:t>The capital base at the commencement of the 202</w:t>
      </w:r>
      <w:r>
        <w:t>3</w:t>
      </w:r>
      <w:r w:rsidRPr="00CB5970">
        <w:t>–2</w:t>
      </w:r>
      <w:r w:rsidR="00D327F2">
        <w:t>7</w:t>
      </w:r>
      <w:r w:rsidRPr="00CB5970">
        <w:t xml:space="preserve"> access arrangement </w:t>
      </w:r>
      <w:proofErr w:type="gramStart"/>
      <w:r w:rsidRPr="00CB5970">
        <w:t>period</w:t>
      </w:r>
      <w:proofErr w:type="gramEnd"/>
      <w:r w:rsidRPr="00CB5970">
        <w:t xml:space="preserve"> will be subject to adjust</w:t>
      </w:r>
      <w:r>
        <w:t>ments consistent with the NGR.</w:t>
      </w:r>
      <w:r>
        <w:rPr>
          <w:rStyle w:val="FootnoteReference"/>
        </w:rPr>
        <w:footnoteReference w:id="25"/>
      </w:r>
      <w:r w:rsidRPr="00CB5970">
        <w:t xml:space="preserve"> The adjustments</w:t>
      </w:r>
      <w:r w:rsidR="001C1BC0">
        <w:t xml:space="preserve"> for AGN</w:t>
      </w:r>
      <w:r w:rsidRPr="00CB5970">
        <w:t xml:space="preserve"> include (but are not limited to)</w:t>
      </w:r>
      <w:r w:rsidR="001C1BC0">
        <w:t xml:space="preserve"> actual inflation and approved depreciation over the 2018–22 access arrangement period.</w:t>
      </w:r>
    </w:p>
    <w:p w:rsidR="007200BE" w:rsidRDefault="00AD19FC" w:rsidP="00294120">
      <w:r>
        <w:t>We accept AGN</w:t>
      </w:r>
      <w:r w:rsidRPr="00CB5970">
        <w:t xml:space="preserve">'s proposal to establish </w:t>
      </w:r>
      <w:r w:rsidR="001C1BC0">
        <w:t>the</w:t>
      </w:r>
      <w:r w:rsidRPr="00CB5970">
        <w:t xml:space="preserve"> opening capital base as at 1 </w:t>
      </w:r>
      <w:r>
        <w:t>January</w:t>
      </w:r>
      <w:r w:rsidRPr="00CB5970">
        <w:t xml:space="preserve"> 202</w:t>
      </w:r>
      <w:r>
        <w:t>3</w:t>
      </w:r>
      <w:r w:rsidR="001C1BC0">
        <w:t xml:space="preserve"> using</w:t>
      </w:r>
      <w:r w:rsidR="001C1BC0" w:rsidRPr="00CB5970">
        <w:t xml:space="preserve"> </w:t>
      </w:r>
      <w:r w:rsidR="001C1BC0">
        <w:t>the</w:t>
      </w:r>
      <w:r w:rsidR="001C1BC0" w:rsidRPr="00CB5970">
        <w:t xml:space="preserve"> depreciation</w:t>
      </w:r>
      <w:r w:rsidR="001C1BC0">
        <w:t xml:space="preserve"> schedules based on forecast capex over</w:t>
      </w:r>
      <w:r w:rsidR="001C1BC0" w:rsidRPr="00CB5970">
        <w:t xml:space="preserve"> the 201</w:t>
      </w:r>
      <w:r w:rsidR="001C1BC0">
        <w:t>8</w:t>
      </w:r>
      <w:r w:rsidR="001C1BC0" w:rsidRPr="00CB5970">
        <w:t>–2</w:t>
      </w:r>
      <w:r w:rsidR="001C1BC0">
        <w:t>2</w:t>
      </w:r>
      <w:r w:rsidR="001C1BC0" w:rsidRPr="00CB5970">
        <w:t xml:space="preserve"> access arrangement period</w:t>
      </w:r>
      <w:r w:rsidRPr="00CB5970">
        <w:t>.</w:t>
      </w:r>
      <w:r>
        <w:rPr>
          <w:rStyle w:val="FootnoteReference"/>
        </w:rPr>
        <w:footnoteReference w:id="26"/>
      </w:r>
      <w:r w:rsidRPr="00CB5970">
        <w:t xml:space="preserve"> </w:t>
      </w:r>
      <w:r w:rsidR="007200BE" w:rsidRPr="007200BE">
        <w:t>We approved such an approach in our recent gas decisions.</w:t>
      </w:r>
      <w:r w:rsidR="00B45140">
        <w:rPr>
          <w:rStyle w:val="FootnoteReference"/>
        </w:rPr>
        <w:footnoteReference w:id="27"/>
      </w:r>
      <w:r w:rsidR="007200BE" w:rsidRPr="007200BE">
        <w:t xml:space="preserve">  This approach is also consistent with the approach outlined in our </w:t>
      </w:r>
      <w:r w:rsidR="007200BE" w:rsidRPr="00B96845">
        <w:rPr>
          <w:rStyle w:val="AERtextitalic"/>
        </w:rPr>
        <w:t>Access Arrangement Guideline</w:t>
      </w:r>
      <w:r w:rsidR="007200BE" w:rsidRPr="007200BE">
        <w:t>.</w:t>
      </w:r>
      <w:r w:rsidR="007200BE">
        <w:rPr>
          <w:rStyle w:val="FootnoteReference"/>
        </w:rPr>
        <w:footnoteReference w:id="28"/>
      </w:r>
      <w:r w:rsidR="007200BE" w:rsidRPr="007200BE">
        <w:t xml:space="preserve"> The amount of the forecast depreciation is to be approved by us in the final decision for the 2018–22 access arrangement </w:t>
      </w:r>
      <w:proofErr w:type="gramStart"/>
      <w:r w:rsidR="007200BE" w:rsidRPr="007200BE">
        <w:t>period</w:t>
      </w:r>
      <w:proofErr w:type="gramEnd"/>
      <w:r w:rsidR="007200BE" w:rsidRPr="007200BE">
        <w:t>.</w:t>
      </w:r>
    </w:p>
    <w:p w:rsidR="00850DC7" w:rsidRDefault="00B96845" w:rsidP="00BF48EA">
      <w:r w:rsidRPr="00B96845">
        <w:t xml:space="preserve">We note AGN's access arrangement for the 2018–22 period contains </w:t>
      </w:r>
      <w:r w:rsidR="00520DF7">
        <w:t>'</w:t>
      </w:r>
      <w:r w:rsidRPr="00B96845">
        <w:t>Fixed Principle A</w:t>
      </w:r>
      <w:r w:rsidR="00520DF7">
        <w:t>'</w:t>
      </w:r>
      <w:r w:rsidRPr="00B96845">
        <w:t xml:space="preserve"> regarding the adjustments to establish the capital base at the commencement of an access arrangement. </w:t>
      </w:r>
      <w:r w:rsidR="0003611F" w:rsidRPr="0003611F">
        <w:t xml:space="preserve">We accept that this fixed principle applies until the end of </w:t>
      </w:r>
      <w:r w:rsidR="0003611F">
        <w:t>2032,</w:t>
      </w:r>
      <w:r w:rsidR="0003611F" w:rsidRPr="0003611F">
        <w:t xml:space="preserve"> which is the approved fixed period.</w:t>
      </w:r>
      <w:r w:rsidR="0003611F">
        <w:rPr>
          <w:rStyle w:val="FootnoteReference"/>
        </w:rPr>
        <w:footnoteReference w:id="29"/>
      </w:r>
      <w:r w:rsidR="0003611F" w:rsidRPr="0003611F">
        <w:t xml:space="preserve"> </w:t>
      </w:r>
      <w:r w:rsidRPr="00B96845">
        <w:t>It refers to an adjustment for depreciation but does not specifically provide for the use of forecast or actual capex</w:t>
      </w:r>
      <w:r>
        <w:t xml:space="preserve">. </w:t>
      </w:r>
      <w:r w:rsidR="00520DF7">
        <w:t>To this end</w:t>
      </w:r>
      <w:r w:rsidR="00294120">
        <w:t>, w</w:t>
      </w:r>
      <w:r w:rsidR="00BF48EA">
        <w:t xml:space="preserve">e consider the access arrangement should </w:t>
      </w:r>
      <w:r w:rsidR="007200BE">
        <w:t>further provide for</w:t>
      </w:r>
      <w:r w:rsidR="00BF48EA">
        <w:t xml:space="preserve"> the capital base as at </w:t>
      </w:r>
      <w:r w:rsidR="00420C6C">
        <w:t>1 </w:t>
      </w:r>
      <w:r w:rsidR="00BF48EA">
        <w:t>January 2023 is to be established using</w:t>
      </w:r>
      <w:r w:rsidR="00A11AC7">
        <w:t xml:space="preserve"> </w:t>
      </w:r>
      <w:r w:rsidR="00BF48EA" w:rsidRPr="00BF48EA">
        <w:t>the approved depreciation schedule</w:t>
      </w:r>
      <w:r w:rsidR="00BF48EA">
        <w:t>s</w:t>
      </w:r>
      <w:r w:rsidR="00BF48EA" w:rsidRPr="00BF48EA">
        <w:t xml:space="preserve"> </w:t>
      </w:r>
      <w:r w:rsidR="004B76C0">
        <w:t xml:space="preserve">(straight-line) </w:t>
      </w:r>
      <w:r w:rsidR="00BF48EA" w:rsidRPr="00BF48EA">
        <w:t>based on forecast capex at the asset class level</w:t>
      </w:r>
      <w:r w:rsidR="004B76C0">
        <w:t>.</w:t>
      </w:r>
      <w:r w:rsidR="00F96A28">
        <w:rPr>
          <w:rStyle w:val="FootnoteReference"/>
        </w:rPr>
        <w:footnoteReference w:id="30"/>
      </w:r>
      <w:r w:rsidR="00BF48EA" w:rsidRPr="00BF48EA">
        <w:t xml:space="preserve"> </w:t>
      </w:r>
      <w:r w:rsidR="007200BE">
        <w:t>Having regard to the capital base as determined in the preceding access arrangement, w</w:t>
      </w:r>
      <w:r w:rsidR="00BF48EA">
        <w:t>e consider this approach will provide for a forecast of depreciation over the 201</w:t>
      </w:r>
      <w:r w:rsidR="001F6C30">
        <w:t>8</w:t>
      </w:r>
      <w:r w:rsidR="00BF48EA">
        <w:t xml:space="preserve">–22 access arrangement </w:t>
      </w:r>
      <w:proofErr w:type="gramStart"/>
      <w:r w:rsidR="00BF48EA">
        <w:t>period</w:t>
      </w:r>
      <w:proofErr w:type="gramEnd"/>
      <w:r w:rsidR="00BF48EA">
        <w:t xml:space="preserve"> that </w:t>
      </w:r>
      <w:r w:rsidR="007200BE">
        <w:t>provides for continuity and consistency in determining depreciation from one access arrangement to the next</w:t>
      </w:r>
      <w:r w:rsidR="00BF48EA">
        <w:t>.</w:t>
      </w:r>
      <w:r w:rsidR="00BF48EA">
        <w:rPr>
          <w:rStyle w:val="FootnoteReference"/>
        </w:rPr>
        <w:footnoteReference w:id="31"/>
      </w:r>
      <w:r w:rsidR="00BF48EA">
        <w:t xml:space="preserve"> </w:t>
      </w:r>
    </w:p>
    <w:p w:rsidR="00D5015C" w:rsidRDefault="00D5015C" w:rsidP="00D5015C">
      <w:pPr>
        <w:pStyle w:val="Heading2"/>
      </w:pPr>
      <w:bookmarkStart w:id="117" w:name="_Toc486954742"/>
      <w:r>
        <w:t>Revisions</w:t>
      </w:r>
      <w:bookmarkEnd w:id="117"/>
    </w:p>
    <w:p w:rsidR="00AD19FC" w:rsidRDefault="00AD19FC" w:rsidP="00AD19FC">
      <w:r w:rsidRPr="0059787E">
        <w:t>We require the following revisions to make the access arrangement proposal acceptable:</w:t>
      </w:r>
    </w:p>
    <w:tbl>
      <w:tblPr>
        <w:tblStyle w:val="AERtable-text0"/>
        <w:tblW w:w="0" w:type="auto"/>
        <w:tblLook w:val="04A0" w:firstRow="1" w:lastRow="0" w:firstColumn="1" w:lastColumn="0" w:noHBand="0" w:noVBand="1"/>
      </w:tblPr>
      <w:tblGrid>
        <w:gridCol w:w="1526"/>
        <w:gridCol w:w="7167"/>
      </w:tblGrid>
      <w:tr w:rsidR="001E7F9D" w:rsidTr="00F06DE6">
        <w:trPr>
          <w:cnfStyle w:val="100000000000" w:firstRow="1" w:lastRow="0" w:firstColumn="0" w:lastColumn="0" w:oddVBand="0" w:evenVBand="0" w:oddHBand="0" w:evenHBand="0" w:firstRowFirstColumn="0" w:firstRowLastColumn="0" w:lastRowFirstColumn="0" w:lastRowLastColumn="0"/>
        </w:trPr>
        <w:tc>
          <w:tcPr>
            <w:tcW w:w="1526" w:type="dxa"/>
          </w:tcPr>
          <w:p w:rsidR="001E7F9D" w:rsidRDefault="001E7F9D" w:rsidP="00AD19FC"/>
        </w:tc>
        <w:tc>
          <w:tcPr>
            <w:tcW w:w="7167" w:type="dxa"/>
          </w:tcPr>
          <w:p w:rsidR="001E7F9D" w:rsidRDefault="001E7F9D" w:rsidP="00AD19FC"/>
        </w:tc>
      </w:tr>
      <w:tr w:rsidR="001E7F9D" w:rsidTr="00F06DE6">
        <w:tc>
          <w:tcPr>
            <w:tcW w:w="1526" w:type="dxa"/>
          </w:tcPr>
          <w:p w:rsidR="001E7F9D" w:rsidRDefault="001E7F9D" w:rsidP="001E7F9D">
            <w:pPr>
              <w:pStyle w:val="AERtabletextleft"/>
            </w:pPr>
            <w:r w:rsidRPr="0059787E">
              <w:rPr>
                <w:rStyle w:val="Strong"/>
              </w:rPr>
              <w:t>Revision 2.1:</w:t>
            </w:r>
          </w:p>
        </w:tc>
        <w:tc>
          <w:tcPr>
            <w:tcW w:w="7167" w:type="dxa"/>
          </w:tcPr>
          <w:p w:rsidR="001E7F9D" w:rsidRDefault="001E7F9D" w:rsidP="001E7F9D">
            <w:pPr>
              <w:pStyle w:val="AERtabletextleft"/>
            </w:pPr>
            <w:r w:rsidRPr="0059787E">
              <w:t>Make all necessary amendments to reflect this draft decision on the roll forward of the capital base for the 201</w:t>
            </w:r>
            <w:r>
              <w:t>3</w:t>
            </w:r>
            <w:r w:rsidRPr="0059787E">
              <w:t>–1</w:t>
            </w:r>
            <w:r>
              <w:t>7</w:t>
            </w:r>
            <w:r w:rsidRPr="0059787E">
              <w:t xml:space="preserve"> access arrangement period, as set out in</w:t>
            </w:r>
            <w:r>
              <w:t xml:space="preserve"> </w:t>
            </w:r>
            <w:r>
              <w:fldChar w:fldCharType="begin"/>
            </w:r>
            <w:r>
              <w:instrText xml:space="preserve"> REF _Ref476296263 \h  \* MERGEFORMAT </w:instrText>
            </w:r>
            <w:r>
              <w:fldChar w:fldCharType="separate"/>
            </w:r>
            <w:r w:rsidR="002C53E2">
              <w:t xml:space="preserve">Table </w:t>
            </w:r>
            <w:r w:rsidR="002C53E2">
              <w:rPr>
                <w:noProof/>
              </w:rPr>
              <w:t>2.1</w:t>
            </w:r>
            <w:r>
              <w:fldChar w:fldCharType="end"/>
            </w:r>
          </w:p>
        </w:tc>
      </w:tr>
      <w:tr w:rsidR="001E7F9D" w:rsidTr="00F06DE6">
        <w:trPr>
          <w:cnfStyle w:val="000000010000" w:firstRow="0" w:lastRow="0" w:firstColumn="0" w:lastColumn="0" w:oddVBand="0" w:evenVBand="0" w:oddHBand="0" w:evenHBand="1" w:firstRowFirstColumn="0" w:firstRowLastColumn="0" w:lastRowFirstColumn="0" w:lastRowLastColumn="0"/>
        </w:trPr>
        <w:tc>
          <w:tcPr>
            <w:tcW w:w="1526" w:type="dxa"/>
          </w:tcPr>
          <w:p w:rsidR="001E7F9D" w:rsidRDefault="001E7F9D" w:rsidP="001E7F9D">
            <w:pPr>
              <w:pStyle w:val="AERtabletextleft"/>
            </w:pPr>
            <w:r w:rsidRPr="0059787E">
              <w:rPr>
                <w:rStyle w:val="Strong"/>
              </w:rPr>
              <w:t>Revision 2.2:</w:t>
            </w:r>
          </w:p>
        </w:tc>
        <w:tc>
          <w:tcPr>
            <w:tcW w:w="7167" w:type="dxa"/>
          </w:tcPr>
          <w:p w:rsidR="001E7F9D" w:rsidRDefault="001E7F9D" w:rsidP="001E7F9D">
            <w:pPr>
              <w:pStyle w:val="AERtabletextleft"/>
            </w:pPr>
            <w:r w:rsidRPr="0059787E">
              <w:t>Make all necessary amendments to reflect this draft decision on the projected capital base for the 201</w:t>
            </w:r>
            <w:r>
              <w:t>8</w:t>
            </w:r>
            <w:r w:rsidRPr="0059787E">
              <w:t>–2</w:t>
            </w:r>
            <w:r>
              <w:t>2</w:t>
            </w:r>
            <w:r w:rsidRPr="0059787E">
              <w:t xml:space="preserve"> access arrangement period, as set out in</w:t>
            </w:r>
            <w:r>
              <w:t xml:space="preserve"> </w:t>
            </w:r>
            <w:r>
              <w:fldChar w:fldCharType="begin"/>
            </w:r>
            <w:r>
              <w:instrText xml:space="preserve"> REF _Ref476296417 \h  \* MERGEFORMAT </w:instrText>
            </w:r>
            <w:r>
              <w:fldChar w:fldCharType="separate"/>
            </w:r>
            <w:r w:rsidR="002C53E2">
              <w:t xml:space="preserve">Table </w:t>
            </w:r>
            <w:r w:rsidR="002C53E2">
              <w:rPr>
                <w:noProof/>
              </w:rPr>
              <w:t>2.2</w:t>
            </w:r>
            <w:r>
              <w:fldChar w:fldCharType="end"/>
            </w:r>
          </w:p>
        </w:tc>
      </w:tr>
      <w:tr w:rsidR="001E7F9D" w:rsidTr="00F06DE6">
        <w:tc>
          <w:tcPr>
            <w:tcW w:w="1526" w:type="dxa"/>
          </w:tcPr>
          <w:p w:rsidR="001E7F9D" w:rsidRDefault="001E7F9D" w:rsidP="001E7F9D">
            <w:pPr>
              <w:pStyle w:val="AERtabletextleft"/>
            </w:pPr>
            <w:r w:rsidRPr="0008381A">
              <w:rPr>
                <w:rStyle w:val="Strong"/>
              </w:rPr>
              <w:t>Revision 2.3:</w:t>
            </w:r>
          </w:p>
        </w:tc>
        <w:tc>
          <w:tcPr>
            <w:tcW w:w="7167" w:type="dxa"/>
          </w:tcPr>
          <w:p w:rsidR="00D35A10" w:rsidRPr="00B96845" w:rsidRDefault="00D35A10" w:rsidP="007F60BB">
            <w:pPr>
              <w:pStyle w:val="AERtabletextleft"/>
              <w:rPr>
                <w:rStyle w:val="AERtextsize10"/>
              </w:rPr>
            </w:pPr>
            <w:r w:rsidRPr="00B96845">
              <w:rPr>
                <w:rStyle w:val="AERtextsize10"/>
              </w:rPr>
              <w:t>Insert the following provision :</w:t>
            </w:r>
          </w:p>
          <w:p w:rsidR="00D35A10" w:rsidRPr="00F06DE6" w:rsidRDefault="00D35A10" w:rsidP="007F60BB">
            <w:pPr>
              <w:pStyle w:val="AERtabletextleft"/>
              <w:rPr>
                <w:rStyle w:val="Strong"/>
              </w:rPr>
            </w:pPr>
            <w:r w:rsidRPr="00F06DE6">
              <w:rPr>
                <w:rStyle w:val="Strong"/>
              </w:rPr>
              <w:t>4.</w:t>
            </w:r>
            <w:r w:rsidR="00F6575B" w:rsidRPr="00F06DE6">
              <w:rPr>
                <w:rStyle w:val="Strong"/>
              </w:rPr>
              <w:t>13.</w:t>
            </w:r>
            <w:r w:rsidRPr="00F06DE6">
              <w:rPr>
                <w:rStyle w:val="Strong"/>
              </w:rPr>
              <w:t xml:space="preserve"> Depreciation for establishing the capital base as at 1 January 2023</w:t>
            </w:r>
          </w:p>
          <w:p w:rsidR="00612FFB" w:rsidRPr="001E7F9D" w:rsidRDefault="00164384" w:rsidP="00B96845">
            <w:pPr>
              <w:pStyle w:val="AERnumberedlistsecondstyle"/>
              <w:numPr>
                <w:ilvl w:val="0"/>
                <w:numId w:val="0"/>
              </w:numPr>
              <w:ind w:left="680"/>
              <w:rPr>
                <w:lang w:eastAsia="en-US"/>
              </w:rPr>
            </w:pPr>
            <w:r w:rsidRPr="00B96845">
              <w:rPr>
                <w:rStyle w:val="AERtextsize10"/>
              </w:rPr>
              <w:t>The depreciation schedule (straight-line) for establishing the opening capital base as at 1 January 2023 will be based on forecast capital expenditure at the asset class level approved for the 2018</w:t>
            </w:r>
            <w:r w:rsidR="003F32A5">
              <w:rPr>
                <w:rStyle w:val="AERtextsize10"/>
              </w:rPr>
              <w:t>–</w:t>
            </w:r>
            <w:r w:rsidRPr="00B96845">
              <w:rPr>
                <w:rStyle w:val="AERtextsize10"/>
              </w:rPr>
              <w:t>22 access arrangement period.</w:t>
            </w:r>
          </w:p>
        </w:tc>
      </w:tr>
    </w:tbl>
    <w:p w:rsidR="001E7F9D" w:rsidRDefault="001E7F9D" w:rsidP="00AD19FC"/>
    <w:sectPr w:rsidR="001E7F9D" w:rsidSect="00CF42AA">
      <w:headerReference w:type="default" r:id="rId17"/>
      <w:footerReference w:type="even" r:id="rId18"/>
      <w:footerReference w:type="default" r:id="rId19"/>
      <w:footerReference w:type="first" r:id="rId2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11F" w:rsidRPr="00290C63" w:rsidRDefault="0003611F" w:rsidP="00290C63">
      <w:r>
        <w:separator/>
      </w:r>
    </w:p>
    <w:p w:rsidR="0003611F" w:rsidRDefault="0003611F"/>
  </w:endnote>
  <w:endnote w:type="continuationSeparator" w:id="0">
    <w:p w:rsidR="0003611F" w:rsidRPr="00290C63" w:rsidRDefault="0003611F" w:rsidP="00290C63">
      <w:r>
        <w:continuationSeparator/>
      </w:r>
    </w:p>
    <w:p w:rsidR="0003611F" w:rsidRDefault="00036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11F" w:rsidRPr="00290C63" w:rsidRDefault="0003611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3611F" w:rsidRDefault="0003611F"/>
  <w:p w:rsidR="0003611F" w:rsidRDefault="0003611F"/>
  <w:p w:rsidR="0003611F" w:rsidRDefault="0003611F"/>
  <w:p w:rsidR="0003611F" w:rsidRDefault="0003611F"/>
  <w:p w:rsidR="0003611F" w:rsidRDefault="0003611F"/>
  <w:p w:rsidR="0003611F" w:rsidRDefault="0003611F"/>
  <w:p w:rsidR="0003611F" w:rsidRDefault="000361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3611F" w:rsidRPr="009B6F84" w:rsidRDefault="0003611F">
        <w:pPr>
          <w:pStyle w:val="Footer"/>
          <w:rPr>
            <w:sz w:val="20"/>
          </w:rPr>
        </w:pPr>
        <w:r>
          <w:fldChar w:fldCharType="begin"/>
        </w:r>
        <w:r>
          <w:instrText xml:space="preserve"> PAGE   \* MERGEFORMAT </w:instrText>
        </w:r>
        <w:r>
          <w:fldChar w:fldCharType="separate"/>
        </w:r>
        <w:r w:rsidR="002C53E2">
          <w:rPr>
            <w:noProof/>
          </w:rPr>
          <w:t>2-0</w:t>
        </w:r>
        <w:r>
          <w:rPr>
            <w:noProof/>
          </w:rPr>
          <w:fldChar w:fldCharType="end"/>
        </w:r>
        <w:r>
          <w:rPr>
            <w:noProof/>
          </w:rPr>
          <w:t xml:space="preserve">          </w:t>
        </w:r>
        <w:r>
          <w:t xml:space="preserve">Attachment 2 </w:t>
        </w:r>
        <w:r w:rsidRPr="000474DF">
          <w:t>−</w:t>
        </w:r>
        <w:r>
          <w:t xml:space="preserve"> Capital base</w:t>
        </w:r>
        <w:r w:rsidRPr="009B6F84">
          <w:rPr>
            <w:rFonts w:cs="Gautami"/>
            <w:noProof/>
            <w:szCs w:val="16"/>
          </w:rPr>
          <w:t xml:space="preserve"> | </w:t>
        </w:r>
        <w:r>
          <w:t>Draft decision - AGN Victoria and Albury gas access arrangement</w:t>
        </w:r>
        <w:r w:rsidRPr="00D5015C">
          <w:t xml:space="preserve"> 201</w:t>
        </w:r>
        <w:r>
          <w:t>8</w:t>
        </w:r>
        <w:r w:rsidRPr="00D5015C">
          <w:t>–</w:t>
        </w:r>
        <w:r>
          <w:t>22</w:t>
        </w:r>
      </w:p>
    </w:sdtContent>
  </w:sdt>
  <w:p w:rsidR="0003611F" w:rsidRDefault="000361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11F" w:rsidRPr="00290C63" w:rsidRDefault="0003611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3611F" w:rsidRDefault="0003611F">
    <w:pPr>
      <w:pStyle w:val="Footer"/>
    </w:pPr>
  </w:p>
  <w:p w:rsidR="0003611F" w:rsidRDefault="0003611F"/>
  <w:p w:rsidR="0003611F" w:rsidRDefault="0003611F"/>
  <w:p w:rsidR="0003611F" w:rsidRDefault="0003611F"/>
  <w:p w:rsidR="0003611F" w:rsidRDefault="0003611F"/>
  <w:p w:rsidR="0003611F" w:rsidRDefault="0003611F"/>
  <w:p w:rsidR="0003611F" w:rsidRDefault="0003611F"/>
  <w:p w:rsidR="0003611F" w:rsidRDefault="000361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11F" w:rsidRPr="00290C63" w:rsidRDefault="0003611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3611F" w:rsidRDefault="0003611F"/>
  <w:p w:rsidR="0003611F" w:rsidRDefault="0003611F"/>
  <w:p w:rsidR="0003611F" w:rsidRDefault="0003611F"/>
  <w:p w:rsidR="0003611F" w:rsidRDefault="0003611F"/>
  <w:p w:rsidR="0003611F" w:rsidRDefault="0003611F"/>
  <w:p w:rsidR="0003611F" w:rsidRDefault="0003611F"/>
  <w:p w:rsidR="0003611F" w:rsidRDefault="000361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3611F" w:rsidRPr="009B6F84" w:rsidRDefault="0003611F">
        <w:pPr>
          <w:pStyle w:val="Footer"/>
          <w:rPr>
            <w:sz w:val="20"/>
          </w:rPr>
        </w:pPr>
        <w:r>
          <w:fldChar w:fldCharType="begin"/>
        </w:r>
        <w:r>
          <w:instrText xml:space="preserve"> PAGE   \* MERGEFORMAT </w:instrText>
        </w:r>
        <w:r>
          <w:fldChar w:fldCharType="separate"/>
        </w:r>
        <w:r w:rsidR="002C53E2">
          <w:rPr>
            <w:noProof/>
          </w:rPr>
          <w:t>2-3</w:t>
        </w:r>
        <w:r>
          <w:rPr>
            <w:noProof/>
          </w:rPr>
          <w:fldChar w:fldCharType="end"/>
        </w:r>
        <w:r>
          <w:rPr>
            <w:noProof/>
          </w:rPr>
          <w:t xml:space="preserve">          </w:t>
        </w:r>
        <w:r>
          <w:t xml:space="preserve">Attachment 2 </w:t>
        </w:r>
        <w:r w:rsidRPr="000474DF">
          <w:t>−</w:t>
        </w:r>
        <w:r>
          <w:t xml:space="preserve"> Capital base</w:t>
        </w:r>
        <w:r w:rsidRPr="00D5015C">
          <w:t xml:space="preserve"> | </w:t>
        </w:r>
        <w:r>
          <w:t>Draft decision - AGN Victoria and Albury gas access arrangement</w:t>
        </w:r>
        <w:r w:rsidRPr="00D5015C">
          <w:t xml:space="preserve"> 201</w:t>
        </w:r>
        <w:r>
          <w:t>8</w:t>
        </w:r>
        <w:r w:rsidRPr="00D5015C">
          <w:t>–</w:t>
        </w:r>
        <w:r>
          <w:t>22</w:t>
        </w:r>
      </w:p>
    </w:sdtContent>
  </w:sdt>
  <w:p w:rsidR="0003611F" w:rsidRDefault="000361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11F" w:rsidRPr="00290C63" w:rsidRDefault="0003611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3611F" w:rsidRDefault="0003611F">
    <w:pPr>
      <w:pStyle w:val="Footer"/>
    </w:pPr>
  </w:p>
  <w:p w:rsidR="0003611F" w:rsidRDefault="0003611F"/>
  <w:p w:rsidR="0003611F" w:rsidRDefault="0003611F"/>
  <w:p w:rsidR="0003611F" w:rsidRDefault="0003611F"/>
  <w:p w:rsidR="0003611F" w:rsidRDefault="0003611F"/>
  <w:p w:rsidR="0003611F" w:rsidRDefault="0003611F"/>
  <w:p w:rsidR="0003611F" w:rsidRDefault="0003611F"/>
  <w:p w:rsidR="0003611F" w:rsidRDefault="000361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11F" w:rsidRPr="00290C63" w:rsidRDefault="0003611F" w:rsidP="00290C63">
      <w:r>
        <w:separator/>
      </w:r>
    </w:p>
    <w:p w:rsidR="0003611F" w:rsidRDefault="0003611F"/>
  </w:footnote>
  <w:footnote w:type="continuationSeparator" w:id="0">
    <w:p w:rsidR="0003611F" w:rsidRPr="00290C63" w:rsidRDefault="0003611F" w:rsidP="00290C63">
      <w:r>
        <w:continuationSeparator/>
      </w:r>
    </w:p>
    <w:p w:rsidR="0003611F" w:rsidRDefault="0003611F"/>
  </w:footnote>
  <w:footnote w:id="1">
    <w:p w:rsidR="0003611F" w:rsidRDefault="0003611F" w:rsidP="007F7E9B">
      <w:pPr>
        <w:pStyle w:val="FootnoteText"/>
      </w:pPr>
      <w:r>
        <w:rPr>
          <w:rStyle w:val="FootnoteReference"/>
        </w:rPr>
        <w:footnoteRef/>
      </w:r>
      <w:r>
        <w:t xml:space="preserve"> </w:t>
      </w:r>
      <w:r>
        <w:tab/>
      </w:r>
      <w:r w:rsidRPr="00F84CD1">
        <w:t>The term 'rolled forward' means the process of carrying over the value of the capital base from one regulatory year to the next.</w:t>
      </w:r>
    </w:p>
  </w:footnote>
  <w:footnote w:id="2">
    <w:p w:rsidR="0003611F" w:rsidRDefault="0003611F">
      <w:pPr>
        <w:pStyle w:val="FootnoteText"/>
      </w:pPr>
      <w:r>
        <w:rPr>
          <w:rStyle w:val="FootnoteReference"/>
        </w:rPr>
        <w:footnoteRef/>
      </w:r>
      <w:r>
        <w:t xml:space="preserve"> </w:t>
      </w:r>
      <w:r>
        <w:tab/>
        <w:t>The opening capital bases for the Victorian and Albury distribution networks at 1 January 2013 were $1031.3 million and $34.3 million respectively.</w:t>
      </w:r>
    </w:p>
  </w:footnote>
  <w:footnote w:id="3">
    <w:p w:rsidR="0003611F" w:rsidRDefault="0003611F">
      <w:pPr>
        <w:pStyle w:val="FootnoteText"/>
      </w:pPr>
      <w:r>
        <w:rPr>
          <w:rStyle w:val="FootnoteReference"/>
        </w:rPr>
        <w:footnoteRef/>
      </w:r>
      <w:r>
        <w:t xml:space="preserve"> </w:t>
      </w:r>
      <w:r>
        <w:tab/>
      </w:r>
      <w:proofErr w:type="gramStart"/>
      <w:r w:rsidRPr="00CB61C0">
        <w:t>AER</w:t>
      </w:r>
      <w:r>
        <w:t>,</w:t>
      </w:r>
      <w:r w:rsidRPr="00CB61C0">
        <w:t xml:space="preserve"> </w:t>
      </w:r>
      <w:r w:rsidRPr="00471D08">
        <w:rPr>
          <w:rStyle w:val="AERtextitalic"/>
        </w:rPr>
        <w:t>Direction to AGN to consolidate access arrangements for AGN s Victorian and Albury Networks</w:t>
      </w:r>
      <w:r>
        <w:t>,</w:t>
      </w:r>
      <w:r w:rsidRPr="00CB61C0">
        <w:t xml:space="preserve"> 23 March 2016</w:t>
      </w:r>
      <w:r>
        <w:t>, p. 2.</w:t>
      </w:r>
      <w:proofErr w:type="gramEnd"/>
    </w:p>
  </w:footnote>
  <w:footnote w:id="4">
    <w:p w:rsidR="0003611F" w:rsidRDefault="0003611F" w:rsidP="00FB7479">
      <w:pPr>
        <w:pStyle w:val="FootnoteText"/>
      </w:pPr>
      <w:r>
        <w:rPr>
          <w:rStyle w:val="FootnoteReference"/>
        </w:rPr>
        <w:footnoteRef/>
      </w:r>
      <w:r>
        <w:t xml:space="preserve"> </w:t>
      </w:r>
      <w:r>
        <w:tab/>
        <w:t xml:space="preserve">AGN, </w:t>
      </w:r>
      <w:r w:rsidRPr="00003B3C">
        <w:rPr>
          <w:rStyle w:val="AERtextitalic"/>
        </w:rPr>
        <w:t xml:space="preserve">AER-AGN - Email exchange - </w:t>
      </w:r>
      <w:r>
        <w:rPr>
          <w:rStyle w:val="AERtextitalic"/>
        </w:rPr>
        <w:t>'C</w:t>
      </w:r>
      <w:r w:rsidRPr="00003B3C">
        <w:rPr>
          <w:rStyle w:val="AERtextitalic"/>
        </w:rPr>
        <w:t>onfirmation of AGN's proposal to use forecast depreciation to determine opening capital base as at 1 January 2023 - 20170106 – PUBLIC</w:t>
      </w:r>
      <w:r>
        <w:rPr>
          <w:rStyle w:val="AERtextitalic"/>
        </w:rPr>
        <w:t>'</w:t>
      </w:r>
      <w:r>
        <w:t>, 6 January 2017.</w:t>
      </w:r>
    </w:p>
  </w:footnote>
  <w:footnote w:id="5">
    <w:p w:rsidR="0003611F" w:rsidRDefault="0003611F" w:rsidP="00FB7479">
      <w:pPr>
        <w:pStyle w:val="FootnoteText"/>
      </w:pPr>
      <w:r>
        <w:rPr>
          <w:rStyle w:val="FootnoteReference"/>
        </w:rPr>
        <w:footnoteRef/>
      </w:r>
      <w:r>
        <w:t xml:space="preserve"> </w:t>
      </w:r>
      <w:r>
        <w:tab/>
      </w:r>
      <w:r w:rsidRPr="00DC7A5C">
        <w:t xml:space="preserve">For example, AER, </w:t>
      </w:r>
      <w:r w:rsidRPr="00DC7A5C">
        <w:rPr>
          <w:rStyle w:val="AERtextitalic"/>
        </w:rPr>
        <w:t>Final decision: Jemena Gas Networks (NSW) access arrangement 2015–20</w:t>
      </w:r>
      <w:r>
        <w:t xml:space="preserve">, June 2015; </w:t>
      </w:r>
      <w:r w:rsidRPr="00DC7A5C">
        <w:t xml:space="preserve">AER, </w:t>
      </w:r>
      <w:r w:rsidRPr="00DC7A5C">
        <w:rPr>
          <w:rStyle w:val="AERtextitalic"/>
        </w:rPr>
        <w:t xml:space="preserve">Final decision: </w:t>
      </w:r>
      <w:r>
        <w:rPr>
          <w:rStyle w:val="AERtextitalic"/>
        </w:rPr>
        <w:t>ActewAGL</w:t>
      </w:r>
      <w:r w:rsidRPr="00DC7A5C">
        <w:rPr>
          <w:rStyle w:val="AERtextitalic"/>
        </w:rPr>
        <w:t xml:space="preserve"> access arrangement 201</w:t>
      </w:r>
      <w:r>
        <w:rPr>
          <w:rStyle w:val="AERtextitalic"/>
        </w:rPr>
        <w:t>6</w:t>
      </w:r>
      <w:r w:rsidRPr="00DC7A5C">
        <w:rPr>
          <w:rStyle w:val="AERtextitalic"/>
        </w:rPr>
        <w:t>–2</w:t>
      </w:r>
      <w:r>
        <w:rPr>
          <w:rStyle w:val="AERtextitalic"/>
        </w:rPr>
        <w:t>1</w:t>
      </w:r>
      <w:r>
        <w:t xml:space="preserve">, May 2016; </w:t>
      </w:r>
      <w:r w:rsidRPr="00DC7A5C">
        <w:t xml:space="preserve">AER, </w:t>
      </w:r>
      <w:r w:rsidRPr="00DC7A5C">
        <w:rPr>
          <w:rStyle w:val="AERtextitalic"/>
        </w:rPr>
        <w:t xml:space="preserve">Final decision: </w:t>
      </w:r>
      <w:r>
        <w:rPr>
          <w:rStyle w:val="AERtextitalic"/>
        </w:rPr>
        <w:t>Australian Gas Networks (SA)</w:t>
      </w:r>
      <w:r w:rsidRPr="00DC7A5C">
        <w:rPr>
          <w:rStyle w:val="AERtextitalic"/>
        </w:rPr>
        <w:t xml:space="preserve"> access arrangement 201</w:t>
      </w:r>
      <w:r>
        <w:rPr>
          <w:rStyle w:val="AERtextitalic"/>
        </w:rPr>
        <w:t>6</w:t>
      </w:r>
      <w:r w:rsidRPr="00DC7A5C">
        <w:rPr>
          <w:rStyle w:val="AERtextitalic"/>
        </w:rPr>
        <w:t>–2</w:t>
      </w:r>
      <w:r>
        <w:rPr>
          <w:rStyle w:val="AERtextitalic"/>
        </w:rPr>
        <w:t>1</w:t>
      </w:r>
      <w:r>
        <w:t>, May 2016.</w:t>
      </w:r>
    </w:p>
  </w:footnote>
  <w:footnote w:id="6">
    <w:p w:rsidR="0003611F" w:rsidRDefault="0003611F" w:rsidP="00FB7479">
      <w:pPr>
        <w:pStyle w:val="FootnoteText"/>
      </w:pPr>
      <w:r>
        <w:rPr>
          <w:rStyle w:val="FootnoteReference"/>
        </w:rPr>
        <w:footnoteRef/>
      </w:r>
      <w:r>
        <w:t xml:space="preserve"> </w:t>
      </w:r>
      <w:r>
        <w:tab/>
      </w:r>
      <w:r w:rsidRPr="00A07A81">
        <w:t>NGR, r. 77(2</w:t>
      </w:r>
      <w:proofErr w:type="gramStart"/>
      <w:r w:rsidRPr="00A07A81">
        <w:t>)(</w:t>
      </w:r>
      <w:proofErr w:type="gramEnd"/>
      <w:r w:rsidRPr="00A07A81">
        <w:t>a).</w:t>
      </w:r>
    </w:p>
  </w:footnote>
  <w:footnote w:id="7">
    <w:p w:rsidR="0003611F" w:rsidRDefault="0003611F" w:rsidP="00FB7479">
      <w:pPr>
        <w:pStyle w:val="FootnoteText"/>
      </w:pPr>
      <w:r>
        <w:rPr>
          <w:rStyle w:val="FootnoteReference"/>
        </w:rPr>
        <w:footnoteRef/>
      </w:r>
      <w:r>
        <w:t xml:space="preserve"> </w:t>
      </w:r>
      <w:r>
        <w:tab/>
      </w:r>
      <w:proofErr w:type="gramStart"/>
      <w:r w:rsidRPr="00A07A81">
        <w:t>NGR, r. 77(2).</w:t>
      </w:r>
      <w:proofErr w:type="gramEnd"/>
    </w:p>
  </w:footnote>
  <w:footnote w:id="8">
    <w:p w:rsidR="0003611F" w:rsidRDefault="0003611F" w:rsidP="00FB7479">
      <w:pPr>
        <w:pStyle w:val="FootnoteText"/>
      </w:pPr>
      <w:r>
        <w:rPr>
          <w:rStyle w:val="FootnoteReference"/>
        </w:rPr>
        <w:footnoteRef/>
      </w:r>
      <w:r>
        <w:t xml:space="preserve"> </w:t>
      </w:r>
      <w:r>
        <w:tab/>
      </w:r>
      <w:proofErr w:type="gramStart"/>
      <w:r w:rsidRPr="00A07A81">
        <w:t>NGR, r. 77(2).</w:t>
      </w:r>
      <w:proofErr w:type="gramEnd"/>
    </w:p>
  </w:footnote>
  <w:footnote w:id="9">
    <w:p w:rsidR="0003611F" w:rsidRDefault="0003611F" w:rsidP="004F31C3">
      <w:pPr>
        <w:pStyle w:val="FootnoteText"/>
      </w:pPr>
      <w:r>
        <w:rPr>
          <w:rStyle w:val="FootnoteReference"/>
        </w:rPr>
        <w:footnoteRef/>
      </w:r>
      <w:r>
        <w:t xml:space="preserve"> </w:t>
      </w:r>
      <w:r>
        <w:tab/>
      </w:r>
      <w:proofErr w:type="gramStart"/>
      <w:r>
        <w:t>NGR, r. 82(3).</w:t>
      </w:r>
      <w:proofErr w:type="gramEnd"/>
    </w:p>
  </w:footnote>
  <w:footnote w:id="10">
    <w:p w:rsidR="0003611F" w:rsidRDefault="0003611F" w:rsidP="00FB7479">
      <w:pPr>
        <w:pStyle w:val="FootnoteText"/>
      </w:pPr>
      <w:r>
        <w:rPr>
          <w:rStyle w:val="FootnoteReference"/>
        </w:rPr>
        <w:footnoteRef/>
      </w:r>
      <w:r>
        <w:t xml:space="preserve"> </w:t>
      </w:r>
      <w:r>
        <w:tab/>
      </w:r>
      <w:proofErr w:type="gramStart"/>
      <w:r w:rsidRPr="00A07A81">
        <w:t>NGR, r. 78.</w:t>
      </w:r>
      <w:proofErr w:type="gramEnd"/>
    </w:p>
  </w:footnote>
  <w:footnote w:id="11">
    <w:p w:rsidR="0003611F" w:rsidRDefault="0003611F" w:rsidP="00FB7479">
      <w:pPr>
        <w:pStyle w:val="FootnoteText"/>
      </w:pPr>
      <w:r>
        <w:rPr>
          <w:rStyle w:val="FootnoteReference"/>
        </w:rPr>
        <w:footnoteRef/>
      </w:r>
      <w:r>
        <w:t xml:space="preserve"> </w:t>
      </w:r>
      <w:r>
        <w:tab/>
      </w:r>
      <w:r w:rsidRPr="00A07A81">
        <w:t>The size of the capital base also impacts the benchmark debt raising cost allowance. However, this amount is usually relatively small and therefore not a significant determinant of revenues overall.</w:t>
      </w:r>
    </w:p>
  </w:footnote>
  <w:footnote w:id="12">
    <w:p w:rsidR="0003611F" w:rsidRDefault="0003611F" w:rsidP="00FB7479">
      <w:pPr>
        <w:pStyle w:val="FootnoteText"/>
      </w:pPr>
      <w:r>
        <w:rPr>
          <w:rStyle w:val="FootnoteReference"/>
        </w:rPr>
        <w:footnoteRef/>
      </w:r>
      <w:r>
        <w:t xml:space="preserve"> </w:t>
      </w:r>
      <w:r>
        <w:tab/>
      </w:r>
      <w:r w:rsidRPr="00A07A81">
        <w:t>Net capex is gross capex less disposals and capital contribution.</w:t>
      </w:r>
    </w:p>
  </w:footnote>
  <w:footnote w:id="13">
    <w:p w:rsidR="0003611F" w:rsidRDefault="0003611F" w:rsidP="00640B9E">
      <w:pPr>
        <w:pStyle w:val="FootnoteText"/>
      </w:pPr>
      <w:r>
        <w:rPr>
          <w:rStyle w:val="FootnoteReference"/>
        </w:rPr>
        <w:footnoteRef/>
      </w:r>
      <w:r>
        <w:t xml:space="preserve"> </w:t>
      </w:r>
      <w:r>
        <w:tab/>
      </w:r>
      <w:proofErr w:type="gramStart"/>
      <w:r>
        <w:t>NGR, r. 87.</w:t>
      </w:r>
      <w:proofErr w:type="gramEnd"/>
    </w:p>
  </w:footnote>
  <w:footnote w:id="14">
    <w:p w:rsidR="0003611F" w:rsidRDefault="0003611F">
      <w:pPr>
        <w:pStyle w:val="FootnoteText"/>
      </w:pPr>
      <w:r>
        <w:rPr>
          <w:rStyle w:val="FootnoteReference"/>
        </w:rPr>
        <w:footnoteRef/>
      </w:r>
      <w:r>
        <w:t xml:space="preserve"> </w:t>
      </w:r>
      <w:r>
        <w:tab/>
      </w:r>
      <w:r w:rsidRPr="00640B9E">
        <w:t xml:space="preserve">If the asset lives are extremely long, such that the capital base depreciation rate is lower than the inflation rate, then negative regulatory depreciation can emerge. The indexation adjustment is greater than the capital base depreciation in such circumstances. Please also refer to section 5.3.1 of attachment 5 of this draft decision for further explanation of the offsetting adjustment to the depreciation.  </w:t>
      </w:r>
    </w:p>
  </w:footnote>
  <w:footnote w:id="15">
    <w:p w:rsidR="0003611F" w:rsidRDefault="0003611F" w:rsidP="00FB7479">
      <w:pPr>
        <w:pStyle w:val="FootnoteText"/>
      </w:pPr>
      <w:r>
        <w:rPr>
          <w:rStyle w:val="FootnoteReference"/>
        </w:rPr>
        <w:footnoteRef/>
      </w:r>
      <w:r>
        <w:t xml:space="preserve"> </w:t>
      </w:r>
      <w:r>
        <w:tab/>
      </w:r>
      <w:r w:rsidRPr="00A35D97">
        <w:t>If capex causes the capital base increase, then return on capital, depreciation, and debt raising costs all increase too. If a reduction in depreciation causes the capital base increase, revenue could increase or decrease. In this case, the higher return on capital is offset (perhaps more than offset) by the reduction in depreciation allowance. Inflation naturally increases the capital base in nominal terms. However, the real impact from changing the inflation forecast is inconsequential as revenues are updated annually by actual inflation and the X factor, which is generally unaffected by the assumed forecast inflation rate.</w:t>
      </w:r>
    </w:p>
  </w:footnote>
  <w:footnote w:id="16">
    <w:p w:rsidR="0003611F" w:rsidRDefault="0003611F">
      <w:pPr>
        <w:pStyle w:val="FootnoteText"/>
      </w:pPr>
      <w:r>
        <w:rPr>
          <w:rStyle w:val="FootnoteReference"/>
        </w:rPr>
        <w:footnoteRef/>
      </w:r>
      <w:r>
        <w:t xml:space="preserve"> </w:t>
      </w:r>
      <w:r>
        <w:tab/>
        <w:t xml:space="preserve">AGN, </w:t>
      </w:r>
      <w:r w:rsidRPr="00003B3C">
        <w:rPr>
          <w:rStyle w:val="AERtextitalic"/>
        </w:rPr>
        <w:t xml:space="preserve">IR#09 </w:t>
      </w:r>
      <w:proofErr w:type="gramStart"/>
      <w:r w:rsidRPr="00003B3C">
        <w:rPr>
          <w:rStyle w:val="AERtextitalic"/>
        </w:rPr>
        <w:t>Response</w:t>
      </w:r>
      <w:proofErr w:type="gramEnd"/>
      <w:r w:rsidRPr="00003B3C">
        <w:rPr>
          <w:rStyle w:val="AERtextitalic"/>
        </w:rPr>
        <w:t xml:space="preserve"> (Part </w:t>
      </w:r>
      <w:r>
        <w:rPr>
          <w:rStyle w:val="AERtextitalic"/>
        </w:rPr>
        <w:t>B</w:t>
      </w:r>
      <w:r w:rsidRPr="00003B3C">
        <w:rPr>
          <w:rStyle w:val="AERtextitalic"/>
        </w:rPr>
        <w:t>)</w:t>
      </w:r>
      <w:r>
        <w:t>, 7 March 2017.</w:t>
      </w:r>
    </w:p>
  </w:footnote>
  <w:footnote w:id="17">
    <w:p w:rsidR="0003611F" w:rsidRDefault="0003611F">
      <w:pPr>
        <w:pStyle w:val="FootnoteText"/>
      </w:pPr>
      <w:r>
        <w:rPr>
          <w:rStyle w:val="FootnoteReference"/>
        </w:rPr>
        <w:footnoteRef/>
      </w:r>
      <w:r>
        <w:t xml:space="preserve"> </w:t>
      </w:r>
      <w:r>
        <w:tab/>
        <w:t>The standard RFM approach uses forecast 2012 capex to roll-forward the capital base from 2012 to 2013 and then trues-up the difference between actual and estimated capex at the end of the access arrangement period.</w:t>
      </w:r>
    </w:p>
  </w:footnote>
  <w:footnote w:id="18">
    <w:p w:rsidR="0003611F" w:rsidRDefault="0003611F">
      <w:pPr>
        <w:pStyle w:val="FootnoteText"/>
      </w:pPr>
      <w:r>
        <w:rPr>
          <w:rStyle w:val="FootnoteReference"/>
        </w:rPr>
        <w:footnoteRef/>
      </w:r>
      <w:r>
        <w:t xml:space="preserve"> </w:t>
      </w:r>
      <w:r>
        <w:tab/>
        <w:t xml:space="preserve">AGN, </w:t>
      </w:r>
      <w:r w:rsidRPr="00003B3C">
        <w:rPr>
          <w:rStyle w:val="AERtextitalic"/>
        </w:rPr>
        <w:t xml:space="preserve">IR#09 </w:t>
      </w:r>
      <w:proofErr w:type="gramStart"/>
      <w:r w:rsidRPr="00003B3C">
        <w:rPr>
          <w:rStyle w:val="AERtextitalic"/>
        </w:rPr>
        <w:t>Response</w:t>
      </w:r>
      <w:proofErr w:type="gramEnd"/>
      <w:r w:rsidRPr="00003B3C">
        <w:rPr>
          <w:rStyle w:val="AERtextitalic"/>
        </w:rPr>
        <w:t xml:space="preserve"> (Part A)</w:t>
      </w:r>
      <w:r>
        <w:t>, 3 March 2017.</w:t>
      </w:r>
    </w:p>
  </w:footnote>
  <w:footnote w:id="19">
    <w:p w:rsidR="0003611F" w:rsidRDefault="0003611F" w:rsidP="002518D0">
      <w:pPr>
        <w:pStyle w:val="FootnoteText"/>
      </w:pPr>
      <w:r>
        <w:rPr>
          <w:rStyle w:val="FootnoteReference"/>
        </w:rPr>
        <w:footnoteRef/>
      </w:r>
      <w:r>
        <w:t xml:space="preserve"> </w:t>
      </w:r>
      <w:r>
        <w:tab/>
      </w:r>
      <w:r w:rsidRPr="008A0AEE">
        <w:t>NGR, r. 77(2</w:t>
      </w:r>
      <w:proofErr w:type="gramStart"/>
      <w:r w:rsidRPr="008A0AEE">
        <w:t>)(</w:t>
      </w:r>
      <w:proofErr w:type="gramEnd"/>
      <w:r w:rsidRPr="008A0AEE">
        <w:t>b).</w:t>
      </w:r>
    </w:p>
  </w:footnote>
  <w:footnote w:id="20">
    <w:p w:rsidR="0003611F" w:rsidRDefault="0003611F">
      <w:pPr>
        <w:pStyle w:val="FootnoteText"/>
      </w:pPr>
      <w:r>
        <w:rPr>
          <w:rStyle w:val="FootnoteReference"/>
        </w:rPr>
        <w:footnoteRef/>
      </w:r>
      <w:r>
        <w:t xml:space="preserve"> </w:t>
      </w:r>
      <w:r>
        <w:tab/>
      </w:r>
      <w:r w:rsidRPr="009915D1">
        <w:t xml:space="preserve">Note that, the actual (non-lagged) inflation series is lagged by </w:t>
      </w:r>
      <w:r>
        <w:t>three</w:t>
      </w:r>
      <w:r w:rsidRPr="009915D1">
        <w:t xml:space="preserve"> months. The </w:t>
      </w:r>
      <w:r>
        <w:t>three</w:t>
      </w:r>
      <w:r w:rsidRPr="009915D1">
        <w:t xml:space="preserve"> month</w:t>
      </w:r>
      <w:r>
        <w:t>s lag</w:t>
      </w:r>
      <w:r w:rsidRPr="009915D1">
        <w:t xml:space="preserve"> reflects a practical delay to allow for the publication of CPI data and implementation in the annual </w:t>
      </w:r>
      <w:r>
        <w:t>tariff</w:t>
      </w:r>
      <w:r w:rsidRPr="009915D1">
        <w:t xml:space="preserve"> approval process. </w:t>
      </w:r>
      <w:r>
        <w:t xml:space="preserve">For the 2018–22 access arrangement </w:t>
      </w:r>
      <w:proofErr w:type="gramStart"/>
      <w:r>
        <w:t>period</w:t>
      </w:r>
      <w:proofErr w:type="gramEnd"/>
      <w:r>
        <w:t xml:space="preserve"> our draft decision is to adopt a six month lagged inflation series for annual tariff approvals. This additional inflation lag will apply when rolling forward the capital base for actual inflation at the next access arrangement determination.</w:t>
      </w:r>
    </w:p>
  </w:footnote>
  <w:footnote w:id="21">
    <w:p w:rsidR="0003611F" w:rsidRDefault="0003611F">
      <w:pPr>
        <w:pStyle w:val="FootnoteText"/>
      </w:pPr>
      <w:r>
        <w:rPr>
          <w:rStyle w:val="FootnoteReference"/>
        </w:rPr>
        <w:footnoteRef/>
      </w:r>
      <w:r>
        <w:t xml:space="preserve"> </w:t>
      </w:r>
      <w:r>
        <w:tab/>
      </w:r>
      <w:r w:rsidRPr="009915D1">
        <w:t>Under this approach, a one</w:t>
      </w:r>
      <w:r>
        <w:t xml:space="preserve"> </w:t>
      </w:r>
      <w:r w:rsidRPr="009915D1">
        <w:t xml:space="preserve">year lagged inflation series is used to index all components of the </w:t>
      </w:r>
      <w:r>
        <w:t>capital base</w:t>
      </w:r>
      <w:r w:rsidRPr="009915D1">
        <w:t xml:space="preserve"> roll forward.</w:t>
      </w:r>
      <w:r>
        <w:t xml:space="preserve"> Note</w:t>
      </w:r>
      <w:r w:rsidRPr="009915D1">
        <w:t xml:space="preserve"> that, as per the previous footnote, the </w:t>
      </w:r>
      <w:r>
        <w:t xml:space="preserve">one year lagged </w:t>
      </w:r>
      <w:r w:rsidRPr="009915D1">
        <w:t xml:space="preserve">inflation series is lagged by </w:t>
      </w:r>
      <w:r>
        <w:t xml:space="preserve">one year and three </w:t>
      </w:r>
      <w:r w:rsidRPr="009915D1">
        <w:t>months to allow for publication of CPI data and pricing implementation.</w:t>
      </w:r>
    </w:p>
  </w:footnote>
  <w:footnote w:id="22">
    <w:p w:rsidR="0003611F" w:rsidRDefault="0003611F">
      <w:pPr>
        <w:pStyle w:val="FootnoteText"/>
      </w:pPr>
      <w:r>
        <w:rPr>
          <w:rStyle w:val="FootnoteReference"/>
        </w:rPr>
        <w:footnoteRef/>
      </w:r>
      <w:r>
        <w:t xml:space="preserve"> </w:t>
      </w:r>
      <w:r>
        <w:tab/>
        <w:t>For example: AER,</w:t>
      </w:r>
      <w:r w:rsidRPr="008A2686">
        <w:t xml:space="preserve"> </w:t>
      </w:r>
      <w:r w:rsidRPr="00471D08">
        <w:rPr>
          <w:rStyle w:val="AERtextitalic"/>
        </w:rPr>
        <w:t xml:space="preserve">Final decision </w:t>
      </w:r>
      <w:r>
        <w:rPr>
          <w:rStyle w:val="AERtextitalic"/>
        </w:rPr>
        <w:t xml:space="preserve">AusNet </w:t>
      </w:r>
      <w:r w:rsidRPr="00471D08">
        <w:rPr>
          <w:rStyle w:val="AERtextitalic"/>
        </w:rPr>
        <w:t>distribution determination - Attachment 2 - Regulatory asset base</w:t>
      </w:r>
      <w:r>
        <w:t>,</w:t>
      </w:r>
      <w:r w:rsidRPr="00334CC9">
        <w:t xml:space="preserve"> May 2016</w:t>
      </w:r>
      <w:r>
        <w:t>, pp. 11–13; AER,</w:t>
      </w:r>
      <w:r w:rsidRPr="008A2686">
        <w:t xml:space="preserve"> </w:t>
      </w:r>
      <w:r w:rsidRPr="00660D66">
        <w:rPr>
          <w:rStyle w:val="AERtextitalic"/>
        </w:rPr>
        <w:t xml:space="preserve">Final decision </w:t>
      </w:r>
      <w:r>
        <w:rPr>
          <w:rStyle w:val="AERtextitalic"/>
        </w:rPr>
        <w:t>CitiPower</w:t>
      </w:r>
      <w:r w:rsidRPr="00660D66">
        <w:rPr>
          <w:rStyle w:val="AERtextitalic"/>
        </w:rPr>
        <w:t xml:space="preserve"> distribution determination - Attachment 2 - Regulatory asset base</w:t>
      </w:r>
      <w:r>
        <w:t>,</w:t>
      </w:r>
      <w:r w:rsidRPr="00334CC9">
        <w:t xml:space="preserve"> May 2016</w:t>
      </w:r>
      <w:r>
        <w:t>, pp. 11–12; AER,</w:t>
      </w:r>
      <w:r w:rsidRPr="008A2686">
        <w:t xml:space="preserve"> </w:t>
      </w:r>
      <w:r w:rsidRPr="00660D66">
        <w:rPr>
          <w:rStyle w:val="AERtextitalic"/>
        </w:rPr>
        <w:t xml:space="preserve">Final decision </w:t>
      </w:r>
      <w:r>
        <w:rPr>
          <w:rStyle w:val="AERtextitalic"/>
        </w:rPr>
        <w:t>Jemena</w:t>
      </w:r>
      <w:r w:rsidRPr="00660D66">
        <w:rPr>
          <w:rStyle w:val="AERtextitalic"/>
        </w:rPr>
        <w:t xml:space="preserve"> distribution determination - Attachment 2 - Regulatory asset base</w:t>
      </w:r>
      <w:r>
        <w:t>,</w:t>
      </w:r>
      <w:r w:rsidRPr="00334CC9">
        <w:t xml:space="preserve"> May 2016</w:t>
      </w:r>
      <w:r>
        <w:t>, pp. 11–12;</w:t>
      </w:r>
      <w:r w:rsidRPr="00334CC9">
        <w:rPr>
          <w:rStyle w:val="AERtextitalic"/>
        </w:rPr>
        <w:t xml:space="preserve"> </w:t>
      </w:r>
      <w:r w:rsidRPr="00660D66">
        <w:rPr>
          <w:rStyle w:val="AERtextitalic"/>
        </w:rPr>
        <w:t xml:space="preserve">Final decision </w:t>
      </w:r>
      <w:r>
        <w:rPr>
          <w:rStyle w:val="AERtextitalic"/>
        </w:rPr>
        <w:t>Powercor</w:t>
      </w:r>
      <w:r w:rsidRPr="00660D66">
        <w:rPr>
          <w:rStyle w:val="AERtextitalic"/>
        </w:rPr>
        <w:t xml:space="preserve"> distribution determination - Attachment 2 - Regulatory asset base</w:t>
      </w:r>
      <w:r>
        <w:t>,</w:t>
      </w:r>
      <w:r w:rsidRPr="00334CC9">
        <w:t xml:space="preserve"> May 2016</w:t>
      </w:r>
      <w:r>
        <w:t xml:space="preserve">, pp. 11–12; </w:t>
      </w:r>
      <w:r w:rsidRPr="00660D66">
        <w:rPr>
          <w:rStyle w:val="AERtextitalic"/>
        </w:rPr>
        <w:t xml:space="preserve">Final decision </w:t>
      </w:r>
      <w:r>
        <w:rPr>
          <w:rStyle w:val="AERtextitalic"/>
        </w:rPr>
        <w:t>United Energy</w:t>
      </w:r>
      <w:r w:rsidRPr="00660D66">
        <w:rPr>
          <w:rStyle w:val="AERtextitalic"/>
        </w:rPr>
        <w:t xml:space="preserve"> distribution determination - Attachment 2 - Regulatory asset base</w:t>
      </w:r>
      <w:r>
        <w:t>,</w:t>
      </w:r>
      <w:r w:rsidRPr="00334CC9">
        <w:t xml:space="preserve"> May 2016</w:t>
      </w:r>
      <w:r>
        <w:t>, pp. 11–12</w:t>
      </w:r>
    </w:p>
  </w:footnote>
  <w:footnote w:id="23">
    <w:p w:rsidR="0003611F" w:rsidRDefault="0003611F">
      <w:pPr>
        <w:pStyle w:val="FootnoteText"/>
      </w:pPr>
      <w:r>
        <w:rPr>
          <w:rStyle w:val="FootnoteReference"/>
        </w:rPr>
        <w:footnoteRef/>
      </w:r>
      <w:r>
        <w:t xml:space="preserve"> </w:t>
      </w:r>
      <w:r>
        <w:tab/>
      </w:r>
      <w:r w:rsidRPr="00003B3C">
        <w:t xml:space="preserve">AGN, </w:t>
      </w:r>
      <w:r w:rsidRPr="00003B3C">
        <w:rPr>
          <w:rStyle w:val="AERtextitalic"/>
        </w:rPr>
        <w:t>IR#09 Response (Part A)</w:t>
      </w:r>
      <w:r w:rsidRPr="00003B3C">
        <w:t>, 3 March 2017</w:t>
      </w:r>
      <w:r>
        <w:t xml:space="preserve"> and follow up phone conversation on 7 March 2017</w:t>
      </w:r>
      <w:r w:rsidRPr="00003B3C">
        <w:t>.</w:t>
      </w:r>
    </w:p>
  </w:footnote>
  <w:footnote w:id="24">
    <w:p w:rsidR="0003611F" w:rsidRDefault="0003611F" w:rsidP="00806AB7">
      <w:pPr>
        <w:pStyle w:val="FootnoteText"/>
      </w:pPr>
      <w:r>
        <w:rPr>
          <w:rStyle w:val="FootnoteReference"/>
        </w:rPr>
        <w:footnoteRef/>
      </w:r>
      <w:r>
        <w:t xml:space="preserve"> </w:t>
      </w:r>
      <w:r>
        <w:tab/>
      </w:r>
      <w:r w:rsidRPr="00CB5970">
        <w:t>Regulatory depreciation is the net total of straight-line depreciation and inflation indexation of the capital base.</w:t>
      </w:r>
    </w:p>
  </w:footnote>
  <w:footnote w:id="25">
    <w:p w:rsidR="0003611F" w:rsidRDefault="0003611F" w:rsidP="00AD19FC">
      <w:pPr>
        <w:pStyle w:val="FootnoteText"/>
      </w:pPr>
      <w:r>
        <w:rPr>
          <w:rStyle w:val="FootnoteReference"/>
        </w:rPr>
        <w:footnoteRef/>
      </w:r>
      <w:r>
        <w:t xml:space="preserve"> </w:t>
      </w:r>
      <w:r>
        <w:tab/>
      </w:r>
      <w:proofErr w:type="gramStart"/>
      <w:r w:rsidRPr="00CB5970">
        <w:t>NGR, r. 77(2).</w:t>
      </w:r>
      <w:proofErr w:type="gramEnd"/>
    </w:p>
  </w:footnote>
  <w:footnote w:id="26">
    <w:p w:rsidR="0003611F" w:rsidRDefault="0003611F" w:rsidP="00AD19FC">
      <w:pPr>
        <w:pStyle w:val="FootnoteText"/>
      </w:pPr>
      <w:r>
        <w:rPr>
          <w:rStyle w:val="FootnoteReference"/>
        </w:rPr>
        <w:footnoteRef/>
      </w:r>
      <w:r>
        <w:t xml:space="preserve"> </w:t>
      </w:r>
      <w:r>
        <w:tab/>
        <w:t xml:space="preserve">AGN, </w:t>
      </w:r>
      <w:r w:rsidRPr="00003B3C">
        <w:rPr>
          <w:rStyle w:val="AERtextitalic"/>
        </w:rPr>
        <w:t xml:space="preserve">AER-AGN - Email exchange - </w:t>
      </w:r>
      <w:r>
        <w:rPr>
          <w:rStyle w:val="AERtextitalic"/>
        </w:rPr>
        <w:t>'C</w:t>
      </w:r>
      <w:r w:rsidRPr="00003B3C">
        <w:rPr>
          <w:rStyle w:val="AERtextitalic"/>
        </w:rPr>
        <w:t>onfirmation of AGN's proposal to use forecast depreciation to determine opening capital base as at 1 January 2023 - 20170106 – PUBLIC</w:t>
      </w:r>
      <w:r>
        <w:rPr>
          <w:rStyle w:val="AERtextitalic"/>
        </w:rPr>
        <w:t>'</w:t>
      </w:r>
      <w:r>
        <w:t xml:space="preserve">, 6 January 2017. </w:t>
      </w:r>
    </w:p>
  </w:footnote>
  <w:footnote w:id="27">
    <w:p w:rsidR="00B45140" w:rsidRDefault="00B45140">
      <w:pPr>
        <w:pStyle w:val="FootnoteText"/>
      </w:pPr>
      <w:r>
        <w:rPr>
          <w:rStyle w:val="FootnoteReference"/>
        </w:rPr>
        <w:footnoteRef/>
      </w:r>
      <w:r>
        <w:t xml:space="preserve"> </w:t>
      </w:r>
      <w:r>
        <w:tab/>
        <w:t xml:space="preserve">AER, </w:t>
      </w:r>
      <w:r w:rsidRPr="009D32BA">
        <w:rPr>
          <w:rStyle w:val="AERtextitalic"/>
        </w:rPr>
        <w:t>Final Decision Amadeus Gas Pipeline, Attachment 2 – Capital base</w:t>
      </w:r>
      <w:r>
        <w:t xml:space="preserve">, May 2016, p.11; AER,  </w:t>
      </w:r>
      <w:r w:rsidRPr="009D32BA">
        <w:rPr>
          <w:rStyle w:val="AERtextitalic"/>
        </w:rPr>
        <w:t>Final Decision A</w:t>
      </w:r>
      <w:r>
        <w:rPr>
          <w:rStyle w:val="AERtextitalic"/>
        </w:rPr>
        <w:t>ustralian  Gas Networks</w:t>
      </w:r>
      <w:r w:rsidRPr="009D32BA">
        <w:rPr>
          <w:rStyle w:val="AERtextitalic"/>
        </w:rPr>
        <w:t>, Attachment 2 – Capital base</w:t>
      </w:r>
      <w:r>
        <w:t>, May 2016, p.11.</w:t>
      </w:r>
    </w:p>
  </w:footnote>
  <w:footnote w:id="28">
    <w:p w:rsidR="0003611F" w:rsidRDefault="0003611F">
      <w:pPr>
        <w:pStyle w:val="FootnoteText"/>
      </w:pPr>
      <w:r>
        <w:rPr>
          <w:rStyle w:val="FootnoteReference"/>
        </w:rPr>
        <w:footnoteRef/>
      </w:r>
      <w:r>
        <w:t xml:space="preserve"> </w:t>
      </w:r>
      <w:r>
        <w:tab/>
      </w:r>
      <w:proofErr w:type="gramStart"/>
      <w:r w:rsidRPr="007200BE">
        <w:t xml:space="preserve">AER, </w:t>
      </w:r>
      <w:r w:rsidRPr="00B96845">
        <w:rPr>
          <w:rStyle w:val="AERtextitalic"/>
        </w:rPr>
        <w:t>Final access arrangement guideline</w:t>
      </w:r>
      <w:r w:rsidRPr="007200BE">
        <w:t>, March 2009, pp. 61–62.</w:t>
      </w:r>
      <w:proofErr w:type="gramEnd"/>
    </w:p>
  </w:footnote>
  <w:footnote w:id="29">
    <w:p w:rsidR="0003611F" w:rsidRDefault="0003611F">
      <w:pPr>
        <w:pStyle w:val="FootnoteText"/>
      </w:pPr>
      <w:r>
        <w:rPr>
          <w:rStyle w:val="FootnoteReference"/>
        </w:rPr>
        <w:footnoteRef/>
      </w:r>
      <w:r>
        <w:t xml:space="preserve"> </w:t>
      </w:r>
      <w:r>
        <w:tab/>
      </w:r>
      <w:proofErr w:type="gramStart"/>
      <w:r>
        <w:t>NGR, r. 99(3).</w:t>
      </w:r>
      <w:proofErr w:type="gramEnd"/>
    </w:p>
  </w:footnote>
  <w:footnote w:id="30">
    <w:p w:rsidR="0003611F" w:rsidRDefault="0003611F">
      <w:pPr>
        <w:pStyle w:val="FootnoteText"/>
      </w:pPr>
      <w:r>
        <w:rPr>
          <w:rStyle w:val="FootnoteReference"/>
        </w:rPr>
        <w:footnoteRef/>
      </w:r>
      <w:r>
        <w:t xml:space="preserve"> </w:t>
      </w:r>
      <w:r>
        <w:tab/>
      </w:r>
      <w:proofErr w:type="gramStart"/>
      <w:r>
        <w:t>NGR, r. 90.</w:t>
      </w:r>
      <w:proofErr w:type="gramEnd"/>
    </w:p>
  </w:footnote>
  <w:footnote w:id="31">
    <w:p w:rsidR="0003611F" w:rsidRDefault="0003611F" w:rsidP="00BF48EA">
      <w:pPr>
        <w:pStyle w:val="FootnoteText"/>
      </w:pPr>
      <w:r>
        <w:rPr>
          <w:rStyle w:val="FootnoteReference"/>
        </w:rPr>
        <w:footnoteRef/>
      </w:r>
      <w:r>
        <w:t xml:space="preserve"> </w:t>
      </w:r>
      <w:r>
        <w:tab/>
        <w:t>NGL, s. 24(4) and s. 28(2</w:t>
      </w:r>
      <w:proofErr w:type="gramStart"/>
      <w:r>
        <w:t>)(</w:t>
      </w:r>
      <w:proofErr w:type="gramEnd"/>
      <w:r>
        <w:t>a)(</w:t>
      </w:r>
      <w:proofErr w:type="spellStart"/>
      <w:r>
        <w:t>i</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11F" w:rsidRDefault="00036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9AF41BD4"/>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pLcL34nqOTPJjm6Mn2VdUV2QiL1uvixAKXilAxsId4=" w:saltValue="TvhJ2gcviR48Dv7MzERf4g==" w:algorithmName="SHA-256"/>
  <w:defaultTabStop w:val="34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3B3C"/>
    <w:rsid w:val="000051DC"/>
    <w:rsid w:val="0000658F"/>
    <w:rsid w:val="0001507B"/>
    <w:rsid w:val="00020016"/>
    <w:rsid w:val="00021202"/>
    <w:rsid w:val="00021C2B"/>
    <w:rsid w:val="0002498B"/>
    <w:rsid w:val="0002517F"/>
    <w:rsid w:val="00025AC6"/>
    <w:rsid w:val="00026187"/>
    <w:rsid w:val="000266FC"/>
    <w:rsid w:val="000273B3"/>
    <w:rsid w:val="00027E2D"/>
    <w:rsid w:val="000334A3"/>
    <w:rsid w:val="0003578C"/>
    <w:rsid w:val="0003611F"/>
    <w:rsid w:val="00044DA3"/>
    <w:rsid w:val="000474DF"/>
    <w:rsid w:val="00055A67"/>
    <w:rsid w:val="00063247"/>
    <w:rsid w:val="00065BFC"/>
    <w:rsid w:val="0006624E"/>
    <w:rsid w:val="00067491"/>
    <w:rsid w:val="00070F9F"/>
    <w:rsid w:val="0007137B"/>
    <w:rsid w:val="00073B74"/>
    <w:rsid w:val="00075758"/>
    <w:rsid w:val="00076416"/>
    <w:rsid w:val="000805A8"/>
    <w:rsid w:val="0008190B"/>
    <w:rsid w:val="000822CD"/>
    <w:rsid w:val="000836D9"/>
    <w:rsid w:val="00085663"/>
    <w:rsid w:val="00085EBF"/>
    <w:rsid w:val="00091B15"/>
    <w:rsid w:val="0009279D"/>
    <w:rsid w:val="00095186"/>
    <w:rsid w:val="000A0E71"/>
    <w:rsid w:val="000A1C0C"/>
    <w:rsid w:val="000A3020"/>
    <w:rsid w:val="000A4840"/>
    <w:rsid w:val="000A62C1"/>
    <w:rsid w:val="000A6A79"/>
    <w:rsid w:val="000A6C7B"/>
    <w:rsid w:val="000B0A7B"/>
    <w:rsid w:val="000B1173"/>
    <w:rsid w:val="000B51E7"/>
    <w:rsid w:val="000B5827"/>
    <w:rsid w:val="000B7037"/>
    <w:rsid w:val="000B7327"/>
    <w:rsid w:val="000C02D1"/>
    <w:rsid w:val="000C0C63"/>
    <w:rsid w:val="000C21A1"/>
    <w:rsid w:val="000C2B40"/>
    <w:rsid w:val="000C5255"/>
    <w:rsid w:val="000D07A7"/>
    <w:rsid w:val="000D122C"/>
    <w:rsid w:val="000D75B0"/>
    <w:rsid w:val="000E1819"/>
    <w:rsid w:val="000E4821"/>
    <w:rsid w:val="000E4AA9"/>
    <w:rsid w:val="000E6C72"/>
    <w:rsid w:val="000E7F39"/>
    <w:rsid w:val="000F0B92"/>
    <w:rsid w:val="000F754B"/>
    <w:rsid w:val="00100EA2"/>
    <w:rsid w:val="00101AA1"/>
    <w:rsid w:val="00102338"/>
    <w:rsid w:val="00104566"/>
    <w:rsid w:val="00104FF6"/>
    <w:rsid w:val="001114AA"/>
    <w:rsid w:val="00112684"/>
    <w:rsid w:val="00115743"/>
    <w:rsid w:val="00116EB2"/>
    <w:rsid w:val="0012132C"/>
    <w:rsid w:val="001225EA"/>
    <w:rsid w:val="00122DD7"/>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4384"/>
    <w:rsid w:val="00165E0D"/>
    <w:rsid w:val="00166760"/>
    <w:rsid w:val="0017232E"/>
    <w:rsid w:val="00174102"/>
    <w:rsid w:val="001754EE"/>
    <w:rsid w:val="00180157"/>
    <w:rsid w:val="001809BC"/>
    <w:rsid w:val="00180E97"/>
    <w:rsid w:val="001820B4"/>
    <w:rsid w:val="00184351"/>
    <w:rsid w:val="00184573"/>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1BC0"/>
    <w:rsid w:val="001D055E"/>
    <w:rsid w:val="001D3C67"/>
    <w:rsid w:val="001E1B3F"/>
    <w:rsid w:val="001E7161"/>
    <w:rsid w:val="001E7F9D"/>
    <w:rsid w:val="001F05A4"/>
    <w:rsid w:val="001F3D4A"/>
    <w:rsid w:val="001F492E"/>
    <w:rsid w:val="001F64EF"/>
    <w:rsid w:val="001F6C30"/>
    <w:rsid w:val="001F6DA3"/>
    <w:rsid w:val="001F7385"/>
    <w:rsid w:val="002010BC"/>
    <w:rsid w:val="002016E7"/>
    <w:rsid w:val="00202E03"/>
    <w:rsid w:val="002033B9"/>
    <w:rsid w:val="002043D0"/>
    <w:rsid w:val="0020492C"/>
    <w:rsid w:val="00204EC9"/>
    <w:rsid w:val="00206505"/>
    <w:rsid w:val="0020743F"/>
    <w:rsid w:val="00207B67"/>
    <w:rsid w:val="00216C93"/>
    <w:rsid w:val="00223051"/>
    <w:rsid w:val="00224DB9"/>
    <w:rsid w:val="0022569A"/>
    <w:rsid w:val="0023005C"/>
    <w:rsid w:val="00231012"/>
    <w:rsid w:val="00233775"/>
    <w:rsid w:val="0023414B"/>
    <w:rsid w:val="00243635"/>
    <w:rsid w:val="00247079"/>
    <w:rsid w:val="002510B7"/>
    <w:rsid w:val="00251745"/>
    <w:rsid w:val="002518D0"/>
    <w:rsid w:val="002552BA"/>
    <w:rsid w:val="002564D3"/>
    <w:rsid w:val="00260016"/>
    <w:rsid w:val="00263AC0"/>
    <w:rsid w:val="00264264"/>
    <w:rsid w:val="0026689B"/>
    <w:rsid w:val="0026772D"/>
    <w:rsid w:val="002730B2"/>
    <w:rsid w:val="00274C7E"/>
    <w:rsid w:val="002777CF"/>
    <w:rsid w:val="002810F2"/>
    <w:rsid w:val="00283B64"/>
    <w:rsid w:val="00286874"/>
    <w:rsid w:val="00290C63"/>
    <w:rsid w:val="00291A99"/>
    <w:rsid w:val="00293B6D"/>
    <w:rsid w:val="00294120"/>
    <w:rsid w:val="00294B08"/>
    <w:rsid w:val="0029518C"/>
    <w:rsid w:val="002963DD"/>
    <w:rsid w:val="00296B65"/>
    <w:rsid w:val="002A679D"/>
    <w:rsid w:val="002A7DEF"/>
    <w:rsid w:val="002B0696"/>
    <w:rsid w:val="002C0222"/>
    <w:rsid w:val="002C1499"/>
    <w:rsid w:val="002C233C"/>
    <w:rsid w:val="002C517B"/>
    <w:rsid w:val="002C53E2"/>
    <w:rsid w:val="002D0F67"/>
    <w:rsid w:val="002D3509"/>
    <w:rsid w:val="002D5457"/>
    <w:rsid w:val="002D5B52"/>
    <w:rsid w:val="002D72E8"/>
    <w:rsid w:val="002D79AD"/>
    <w:rsid w:val="002E268F"/>
    <w:rsid w:val="002E78DD"/>
    <w:rsid w:val="002E7B22"/>
    <w:rsid w:val="002F12EC"/>
    <w:rsid w:val="002F7986"/>
    <w:rsid w:val="00301B40"/>
    <w:rsid w:val="00301C82"/>
    <w:rsid w:val="003029EE"/>
    <w:rsid w:val="00304D38"/>
    <w:rsid w:val="00305C70"/>
    <w:rsid w:val="00305CC8"/>
    <w:rsid w:val="00307F6D"/>
    <w:rsid w:val="00314D83"/>
    <w:rsid w:val="0031571F"/>
    <w:rsid w:val="003177A2"/>
    <w:rsid w:val="00317E02"/>
    <w:rsid w:val="003271B5"/>
    <w:rsid w:val="00327A1E"/>
    <w:rsid w:val="00327E28"/>
    <w:rsid w:val="00331264"/>
    <w:rsid w:val="00332DE4"/>
    <w:rsid w:val="00334C8D"/>
    <w:rsid w:val="00334CC9"/>
    <w:rsid w:val="003378BD"/>
    <w:rsid w:val="003424EA"/>
    <w:rsid w:val="00342C2F"/>
    <w:rsid w:val="003436EB"/>
    <w:rsid w:val="00343A18"/>
    <w:rsid w:val="00345744"/>
    <w:rsid w:val="003518B3"/>
    <w:rsid w:val="00353E79"/>
    <w:rsid w:val="0036283F"/>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85ACA"/>
    <w:rsid w:val="00390E6A"/>
    <w:rsid w:val="00393ABE"/>
    <w:rsid w:val="00395DB6"/>
    <w:rsid w:val="00397398"/>
    <w:rsid w:val="003A371A"/>
    <w:rsid w:val="003A401E"/>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1EE9"/>
    <w:rsid w:val="003F2329"/>
    <w:rsid w:val="003F32A5"/>
    <w:rsid w:val="00400FD2"/>
    <w:rsid w:val="00403711"/>
    <w:rsid w:val="00404C52"/>
    <w:rsid w:val="00406BFB"/>
    <w:rsid w:val="004156D5"/>
    <w:rsid w:val="00415BA9"/>
    <w:rsid w:val="00415F31"/>
    <w:rsid w:val="0041691D"/>
    <w:rsid w:val="0042000C"/>
    <w:rsid w:val="0042090E"/>
    <w:rsid w:val="00420C6C"/>
    <w:rsid w:val="00421F27"/>
    <w:rsid w:val="004238D8"/>
    <w:rsid w:val="00423A77"/>
    <w:rsid w:val="004324F4"/>
    <w:rsid w:val="00434544"/>
    <w:rsid w:val="00445D43"/>
    <w:rsid w:val="00446CD2"/>
    <w:rsid w:val="00455033"/>
    <w:rsid w:val="0045777E"/>
    <w:rsid w:val="00457AA2"/>
    <w:rsid w:val="00465258"/>
    <w:rsid w:val="00471BC6"/>
    <w:rsid w:val="00471D08"/>
    <w:rsid w:val="00475365"/>
    <w:rsid w:val="00476221"/>
    <w:rsid w:val="004766F5"/>
    <w:rsid w:val="00480B4B"/>
    <w:rsid w:val="004838D8"/>
    <w:rsid w:val="00485DC4"/>
    <w:rsid w:val="00494D04"/>
    <w:rsid w:val="004A40BA"/>
    <w:rsid w:val="004A43D1"/>
    <w:rsid w:val="004A492B"/>
    <w:rsid w:val="004A6177"/>
    <w:rsid w:val="004B4412"/>
    <w:rsid w:val="004B76C0"/>
    <w:rsid w:val="004C348C"/>
    <w:rsid w:val="004C462E"/>
    <w:rsid w:val="004C6CA3"/>
    <w:rsid w:val="004C7F5E"/>
    <w:rsid w:val="004D343C"/>
    <w:rsid w:val="004D372A"/>
    <w:rsid w:val="004D55BA"/>
    <w:rsid w:val="004D720C"/>
    <w:rsid w:val="004E0FA7"/>
    <w:rsid w:val="004E22EC"/>
    <w:rsid w:val="004F0BFA"/>
    <w:rsid w:val="004F13DA"/>
    <w:rsid w:val="004F31C3"/>
    <w:rsid w:val="004F4D69"/>
    <w:rsid w:val="004F6883"/>
    <w:rsid w:val="004F6A0E"/>
    <w:rsid w:val="004F6BB3"/>
    <w:rsid w:val="005009CD"/>
    <w:rsid w:val="00501088"/>
    <w:rsid w:val="00504E5F"/>
    <w:rsid w:val="00507EED"/>
    <w:rsid w:val="0051337E"/>
    <w:rsid w:val="00513FA7"/>
    <w:rsid w:val="0051768F"/>
    <w:rsid w:val="00520DF7"/>
    <w:rsid w:val="0052104F"/>
    <w:rsid w:val="00522DC2"/>
    <w:rsid w:val="00530128"/>
    <w:rsid w:val="00532467"/>
    <w:rsid w:val="005332A9"/>
    <w:rsid w:val="00534E65"/>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1369"/>
    <w:rsid w:val="005829C2"/>
    <w:rsid w:val="00584D8F"/>
    <w:rsid w:val="005864F6"/>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1B2"/>
    <w:rsid w:val="005E4AF4"/>
    <w:rsid w:val="005F387E"/>
    <w:rsid w:val="00601E0B"/>
    <w:rsid w:val="0060258B"/>
    <w:rsid w:val="00610EF9"/>
    <w:rsid w:val="00612F4F"/>
    <w:rsid w:val="00612FFB"/>
    <w:rsid w:val="00614EA0"/>
    <w:rsid w:val="00615C6B"/>
    <w:rsid w:val="00617D4C"/>
    <w:rsid w:val="00621DCE"/>
    <w:rsid w:val="00621FC5"/>
    <w:rsid w:val="00624F2C"/>
    <w:rsid w:val="0062744B"/>
    <w:rsid w:val="00632D6D"/>
    <w:rsid w:val="00636569"/>
    <w:rsid w:val="00636EF9"/>
    <w:rsid w:val="00640B9E"/>
    <w:rsid w:val="00642C3E"/>
    <w:rsid w:val="00644A01"/>
    <w:rsid w:val="00651E2D"/>
    <w:rsid w:val="00652324"/>
    <w:rsid w:val="00652A2C"/>
    <w:rsid w:val="006577FB"/>
    <w:rsid w:val="0066104A"/>
    <w:rsid w:val="00663066"/>
    <w:rsid w:val="00663DAD"/>
    <w:rsid w:val="00664206"/>
    <w:rsid w:val="006649E7"/>
    <w:rsid w:val="00666634"/>
    <w:rsid w:val="00671692"/>
    <w:rsid w:val="00675E20"/>
    <w:rsid w:val="00676679"/>
    <w:rsid w:val="00683C89"/>
    <w:rsid w:val="00691B53"/>
    <w:rsid w:val="006925E3"/>
    <w:rsid w:val="00696CD3"/>
    <w:rsid w:val="00697D0B"/>
    <w:rsid w:val="006A12BA"/>
    <w:rsid w:val="006A4739"/>
    <w:rsid w:val="006A4DE2"/>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59FA"/>
    <w:rsid w:val="00707563"/>
    <w:rsid w:val="00715F61"/>
    <w:rsid w:val="007200BE"/>
    <w:rsid w:val="00722132"/>
    <w:rsid w:val="007228F7"/>
    <w:rsid w:val="0072348C"/>
    <w:rsid w:val="00724A37"/>
    <w:rsid w:val="007303C3"/>
    <w:rsid w:val="00731188"/>
    <w:rsid w:val="007323EB"/>
    <w:rsid w:val="00732A88"/>
    <w:rsid w:val="007336D6"/>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A04"/>
    <w:rsid w:val="00763E5D"/>
    <w:rsid w:val="00767740"/>
    <w:rsid w:val="00767B5E"/>
    <w:rsid w:val="00771928"/>
    <w:rsid w:val="00775460"/>
    <w:rsid w:val="00777EE6"/>
    <w:rsid w:val="00782EEA"/>
    <w:rsid w:val="007909B4"/>
    <w:rsid w:val="00790E86"/>
    <w:rsid w:val="007949D7"/>
    <w:rsid w:val="007A0143"/>
    <w:rsid w:val="007A271E"/>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275F"/>
    <w:rsid w:val="007D456E"/>
    <w:rsid w:val="007D5837"/>
    <w:rsid w:val="007D7456"/>
    <w:rsid w:val="007E1ED0"/>
    <w:rsid w:val="007E24C3"/>
    <w:rsid w:val="007E4904"/>
    <w:rsid w:val="007E4CB5"/>
    <w:rsid w:val="007E4DAE"/>
    <w:rsid w:val="007F066B"/>
    <w:rsid w:val="007F4EAB"/>
    <w:rsid w:val="007F5B16"/>
    <w:rsid w:val="007F60BB"/>
    <w:rsid w:val="007F7C9D"/>
    <w:rsid w:val="007F7E9B"/>
    <w:rsid w:val="008033C4"/>
    <w:rsid w:val="00806731"/>
    <w:rsid w:val="00806AB7"/>
    <w:rsid w:val="00806C88"/>
    <w:rsid w:val="0081034E"/>
    <w:rsid w:val="00810806"/>
    <w:rsid w:val="00815882"/>
    <w:rsid w:val="00820454"/>
    <w:rsid w:val="00822AC7"/>
    <w:rsid w:val="00822E86"/>
    <w:rsid w:val="008276C5"/>
    <w:rsid w:val="008344F6"/>
    <w:rsid w:val="0083510F"/>
    <w:rsid w:val="00835B33"/>
    <w:rsid w:val="00835D6A"/>
    <w:rsid w:val="00837BF3"/>
    <w:rsid w:val="008415DE"/>
    <w:rsid w:val="00841DED"/>
    <w:rsid w:val="008420DE"/>
    <w:rsid w:val="00845865"/>
    <w:rsid w:val="0084799B"/>
    <w:rsid w:val="00850C90"/>
    <w:rsid w:val="00850DC7"/>
    <w:rsid w:val="00851209"/>
    <w:rsid w:val="0085171F"/>
    <w:rsid w:val="00857DC3"/>
    <w:rsid w:val="008658A1"/>
    <w:rsid w:val="0086716A"/>
    <w:rsid w:val="00870613"/>
    <w:rsid w:val="0087380F"/>
    <w:rsid w:val="0087648F"/>
    <w:rsid w:val="00876612"/>
    <w:rsid w:val="00882BB1"/>
    <w:rsid w:val="008837AC"/>
    <w:rsid w:val="008909DC"/>
    <w:rsid w:val="00894255"/>
    <w:rsid w:val="008945AD"/>
    <w:rsid w:val="008A0645"/>
    <w:rsid w:val="008A0AEE"/>
    <w:rsid w:val="008A1C02"/>
    <w:rsid w:val="008A2686"/>
    <w:rsid w:val="008A370D"/>
    <w:rsid w:val="008A587D"/>
    <w:rsid w:val="008B16B0"/>
    <w:rsid w:val="008B1BD5"/>
    <w:rsid w:val="008B35CD"/>
    <w:rsid w:val="008B4093"/>
    <w:rsid w:val="008B5FCC"/>
    <w:rsid w:val="008B7F36"/>
    <w:rsid w:val="008C357F"/>
    <w:rsid w:val="008C532F"/>
    <w:rsid w:val="008C5486"/>
    <w:rsid w:val="008C7DE0"/>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2419"/>
    <w:rsid w:val="00907683"/>
    <w:rsid w:val="009113CF"/>
    <w:rsid w:val="009132B7"/>
    <w:rsid w:val="00916A2C"/>
    <w:rsid w:val="009233EE"/>
    <w:rsid w:val="00923595"/>
    <w:rsid w:val="00930B1A"/>
    <w:rsid w:val="00932612"/>
    <w:rsid w:val="009327DC"/>
    <w:rsid w:val="009338D9"/>
    <w:rsid w:val="009339BD"/>
    <w:rsid w:val="00934663"/>
    <w:rsid w:val="009356CF"/>
    <w:rsid w:val="00945E53"/>
    <w:rsid w:val="009460AA"/>
    <w:rsid w:val="00951978"/>
    <w:rsid w:val="00952C8B"/>
    <w:rsid w:val="00961A4A"/>
    <w:rsid w:val="00965019"/>
    <w:rsid w:val="009661DE"/>
    <w:rsid w:val="00970E0E"/>
    <w:rsid w:val="00972C7C"/>
    <w:rsid w:val="009776F4"/>
    <w:rsid w:val="00982DA2"/>
    <w:rsid w:val="00983C25"/>
    <w:rsid w:val="0098466D"/>
    <w:rsid w:val="009856B7"/>
    <w:rsid w:val="009859D6"/>
    <w:rsid w:val="00985C86"/>
    <w:rsid w:val="00986F52"/>
    <w:rsid w:val="009915D1"/>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3BBA"/>
    <w:rsid w:val="009F43B4"/>
    <w:rsid w:val="009F4940"/>
    <w:rsid w:val="009F4B71"/>
    <w:rsid w:val="009F5BA1"/>
    <w:rsid w:val="00A00E9D"/>
    <w:rsid w:val="00A02A88"/>
    <w:rsid w:val="00A04012"/>
    <w:rsid w:val="00A046FA"/>
    <w:rsid w:val="00A0562E"/>
    <w:rsid w:val="00A0726D"/>
    <w:rsid w:val="00A073AE"/>
    <w:rsid w:val="00A11AC7"/>
    <w:rsid w:val="00A12204"/>
    <w:rsid w:val="00A12750"/>
    <w:rsid w:val="00A13CB0"/>
    <w:rsid w:val="00A1561F"/>
    <w:rsid w:val="00A16544"/>
    <w:rsid w:val="00A27C8F"/>
    <w:rsid w:val="00A30BF5"/>
    <w:rsid w:val="00A31BE6"/>
    <w:rsid w:val="00A32FBB"/>
    <w:rsid w:val="00A40068"/>
    <w:rsid w:val="00A40BE9"/>
    <w:rsid w:val="00A428EE"/>
    <w:rsid w:val="00A443C2"/>
    <w:rsid w:val="00A4478A"/>
    <w:rsid w:val="00A44852"/>
    <w:rsid w:val="00A50502"/>
    <w:rsid w:val="00A52718"/>
    <w:rsid w:val="00A53409"/>
    <w:rsid w:val="00A53796"/>
    <w:rsid w:val="00A53848"/>
    <w:rsid w:val="00A56945"/>
    <w:rsid w:val="00A56A6E"/>
    <w:rsid w:val="00A57D04"/>
    <w:rsid w:val="00A60A26"/>
    <w:rsid w:val="00A61598"/>
    <w:rsid w:val="00A61777"/>
    <w:rsid w:val="00A63646"/>
    <w:rsid w:val="00A63914"/>
    <w:rsid w:val="00A84007"/>
    <w:rsid w:val="00A84A99"/>
    <w:rsid w:val="00A84F46"/>
    <w:rsid w:val="00A85E87"/>
    <w:rsid w:val="00A86AEA"/>
    <w:rsid w:val="00A86EBF"/>
    <w:rsid w:val="00A870D1"/>
    <w:rsid w:val="00A871F4"/>
    <w:rsid w:val="00A9033B"/>
    <w:rsid w:val="00A932E8"/>
    <w:rsid w:val="00A9431A"/>
    <w:rsid w:val="00A95988"/>
    <w:rsid w:val="00A959DF"/>
    <w:rsid w:val="00A97A1B"/>
    <w:rsid w:val="00AA2180"/>
    <w:rsid w:val="00AA2927"/>
    <w:rsid w:val="00AB2CB8"/>
    <w:rsid w:val="00AB4617"/>
    <w:rsid w:val="00AB6F8C"/>
    <w:rsid w:val="00AC1B2C"/>
    <w:rsid w:val="00AC3264"/>
    <w:rsid w:val="00AC46AD"/>
    <w:rsid w:val="00AC4D2D"/>
    <w:rsid w:val="00AC58EC"/>
    <w:rsid w:val="00AC7282"/>
    <w:rsid w:val="00AC7961"/>
    <w:rsid w:val="00AD085A"/>
    <w:rsid w:val="00AD19FC"/>
    <w:rsid w:val="00AD314E"/>
    <w:rsid w:val="00AD5FCD"/>
    <w:rsid w:val="00AD6B48"/>
    <w:rsid w:val="00AD7A3A"/>
    <w:rsid w:val="00AE0F96"/>
    <w:rsid w:val="00AE1BF1"/>
    <w:rsid w:val="00AE23AB"/>
    <w:rsid w:val="00AE58FB"/>
    <w:rsid w:val="00AE5AF0"/>
    <w:rsid w:val="00AE663D"/>
    <w:rsid w:val="00AE73B3"/>
    <w:rsid w:val="00AF07E7"/>
    <w:rsid w:val="00AF0DD2"/>
    <w:rsid w:val="00AF31E1"/>
    <w:rsid w:val="00AF3BBA"/>
    <w:rsid w:val="00AF4231"/>
    <w:rsid w:val="00AF6CD9"/>
    <w:rsid w:val="00B00B0E"/>
    <w:rsid w:val="00B00B26"/>
    <w:rsid w:val="00B02385"/>
    <w:rsid w:val="00B02F9D"/>
    <w:rsid w:val="00B05766"/>
    <w:rsid w:val="00B13048"/>
    <w:rsid w:val="00B13611"/>
    <w:rsid w:val="00B13883"/>
    <w:rsid w:val="00B1716D"/>
    <w:rsid w:val="00B17A1D"/>
    <w:rsid w:val="00B207A0"/>
    <w:rsid w:val="00B21C21"/>
    <w:rsid w:val="00B22F54"/>
    <w:rsid w:val="00B24A7E"/>
    <w:rsid w:val="00B25C0C"/>
    <w:rsid w:val="00B27C0C"/>
    <w:rsid w:val="00B304B5"/>
    <w:rsid w:val="00B308A9"/>
    <w:rsid w:val="00B31047"/>
    <w:rsid w:val="00B33148"/>
    <w:rsid w:val="00B35CDF"/>
    <w:rsid w:val="00B403C2"/>
    <w:rsid w:val="00B405A1"/>
    <w:rsid w:val="00B4438A"/>
    <w:rsid w:val="00B45140"/>
    <w:rsid w:val="00B45AA2"/>
    <w:rsid w:val="00B46128"/>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96845"/>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BE6F73"/>
    <w:rsid w:val="00BF2903"/>
    <w:rsid w:val="00BF48EA"/>
    <w:rsid w:val="00BF748F"/>
    <w:rsid w:val="00C0079E"/>
    <w:rsid w:val="00C0572A"/>
    <w:rsid w:val="00C13EBD"/>
    <w:rsid w:val="00C1631B"/>
    <w:rsid w:val="00C163AB"/>
    <w:rsid w:val="00C170F0"/>
    <w:rsid w:val="00C25962"/>
    <w:rsid w:val="00C25FA6"/>
    <w:rsid w:val="00C3099D"/>
    <w:rsid w:val="00C33011"/>
    <w:rsid w:val="00C362C1"/>
    <w:rsid w:val="00C41950"/>
    <w:rsid w:val="00C42C3B"/>
    <w:rsid w:val="00C51661"/>
    <w:rsid w:val="00C51672"/>
    <w:rsid w:val="00C538A9"/>
    <w:rsid w:val="00C53B5A"/>
    <w:rsid w:val="00C53E41"/>
    <w:rsid w:val="00C54909"/>
    <w:rsid w:val="00C54AF3"/>
    <w:rsid w:val="00C54F5A"/>
    <w:rsid w:val="00C569B4"/>
    <w:rsid w:val="00C57DDE"/>
    <w:rsid w:val="00C61468"/>
    <w:rsid w:val="00C61A97"/>
    <w:rsid w:val="00C61E44"/>
    <w:rsid w:val="00C64003"/>
    <w:rsid w:val="00C64FF3"/>
    <w:rsid w:val="00C662AD"/>
    <w:rsid w:val="00C67A92"/>
    <w:rsid w:val="00C71280"/>
    <w:rsid w:val="00C717BF"/>
    <w:rsid w:val="00C76178"/>
    <w:rsid w:val="00C76C9B"/>
    <w:rsid w:val="00C84560"/>
    <w:rsid w:val="00C86679"/>
    <w:rsid w:val="00C8792F"/>
    <w:rsid w:val="00C90472"/>
    <w:rsid w:val="00C91D6E"/>
    <w:rsid w:val="00CA489E"/>
    <w:rsid w:val="00CB0279"/>
    <w:rsid w:val="00CB61C0"/>
    <w:rsid w:val="00CB666B"/>
    <w:rsid w:val="00CB734B"/>
    <w:rsid w:val="00CC41B6"/>
    <w:rsid w:val="00CC7ADA"/>
    <w:rsid w:val="00CC7F1D"/>
    <w:rsid w:val="00CD0A88"/>
    <w:rsid w:val="00CD125D"/>
    <w:rsid w:val="00CD283C"/>
    <w:rsid w:val="00CD3641"/>
    <w:rsid w:val="00CD66EA"/>
    <w:rsid w:val="00CD7432"/>
    <w:rsid w:val="00CD7C77"/>
    <w:rsid w:val="00CE0FA5"/>
    <w:rsid w:val="00CE2A23"/>
    <w:rsid w:val="00CE31C8"/>
    <w:rsid w:val="00CE484B"/>
    <w:rsid w:val="00CE7CBA"/>
    <w:rsid w:val="00CF0DEE"/>
    <w:rsid w:val="00CF42AA"/>
    <w:rsid w:val="00CF5EAA"/>
    <w:rsid w:val="00CF6AE3"/>
    <w:rsid w:val="00CF77BB"/>
    <w:rsid w:val="00D006AE"/>
    <w:rsid w:val="00D00905"/>
    <w:rsid w:val="00D010C1"/>
    <w:rsid w:val="00D01840"/>
    <w:rsid w:val="00D01CF0"/>
    <w:rsid w:val="00D0442A"/>
    <w:rsid w:val="00D12A7B"/>
    <w:rsid w:val="00D12ADB"/>
    <w:rsid w:val="00D15E63"/>
    <w:rsid w:val="00D238D7"/>
    <w:rsid w:val="00D25A39"/>
    <w:rsid w:val="00D27CFA"/>
    <w:rsid w:val="00D310FA"/>
    <w:rsid w:val="00D325C6"/>
    <w:rsid w:val="00D327F2"/>
    <w:rsid w:val="00D35A10"/>
    <w:rsid w:val="00D37213"/>
    <w:rsid w:val="00D37627"/>
    <w:rsid w:val="00D4360D"/>
    <w:rsid w:val="00D5015C"/>
    <w:rsid w:val="00D5607F"/>
    <w:rsid w:val="00D61388"/>
    <w:rsid w:val="00D61A54"/>
    <w:rsid w:val="00D62108"/>
    <w:rsid w:val="00D64AA4"/>
    <w:rsid w:val="00D64DEA"/>
    <w:rsid w:val="00D64F84"/>
    <w:rsid w:val="00D651CD"/>
    <w:rsid w:val="00D663CD"/>
    <w:rsid w:val="00D6726A"/>
    <w:rsid w:val="00D7001B"/>
    <w:rsid w:val="00D7160D"/>
    <w:rsid w:val="00D7168E"/>
    <w:rsid w:val="00D71E57"/>
    <w:rsid w:val="00D72D27"/>
    <w:rsid w:val="00D7786B"/>
    <w:rsid w:val="00D80893"/>
    <w:rsid w:val="00D82519"/>
    <w:rsid w:val="00D83DE6"/>
    <w:rsid w:val="00D84854"/>
    <w:rsid w:val="00D9061A"/>
    <w:rsid w:val="00D924AE"/>
    <w:rsid w:val="00D92CF1"/>
    <w:rsid w:val="00D92D38"/>
    <w:rsid w:val="00D950F5"/>
    <w:rsid w:val="00D96D44"/>
    <w:rsid w:val="00D97379"/>
    <w:rsid w:val="00DA2F6B"/>
    <w:rsid w:val="00DA4752"/>
    <w:rsid w:val="00DA4C09"/>
    <w:rsid w:val="00DA58CA"/>
    <w:rsid w:val="00DA61F3"/>
    <w:rsid w:val="00DA7913"/>
    <w:rsid w:val="00DA7CB3"/>
    <w:rsid w:val="00DB0D00"/>
    <w:rsid w:val="00DB0F93"/>
    <w:rsid w:val="00DB1A67"/>
    <w:rsid w:val="00DB3721"/>
    <w:rsid w:val="00DB5074"/>
    <w:rsid w:val="00DC0281"/>
    <w:rsid w:val="00DC1930"/>
    <w:rsid w:val="00DC1C76"/>
    <w:rsid w:val="00DC35CB"/>
    <w:rsid w:val="00DC4DBF"/>
    <w:rsid w:val="00DC4E19"/>
    <w:rsid w:val="00DC65FE"/>
    <w:rsid w:val="00DC7981"/>
    <w:rsid w:val="00DD4C07"/>
    <w:rsid w:val="00DD577D"/>
    <w:rsid w:val="00DD5ADC"/>
    <w:rsid w:val="00DE1093"/>
    <w:rsid w:val="00DE25B0"/>
    <w:rsid w:val="00DE4EFA"/>
    <w:rsid w:val="00DE5520"/>
    <w:rsid w:val="00DE563D"/>
    <w:rsid w:val="00DE7AB5"/>
    <w:rsid w:val="00DF0152"/>
    <w:rsid w:val="00DF1958"/>
    <w:rsid w:val="00DF4359"/>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50A02"/>
    <w:rsid w:val="00E52A15"/>
    <w:rsid w:val="00E54106"/>
    <w:rsid w:val="00E54697"/>
    <w:rsid w:val="00E57A08"/>
    <w:rsid w:val="00E63631"/>
    <w:rsid w:val="00E64C2A"/>
    <w:rsid w:val="00E65C85"/>
    <w:rsid w:val="00E66199"/>
    <w:rsid w:val="00E70526"/>
    <w:rsid w:val="00E735DC"/>
    <w:rsid w:val="00E754B4"/>
    <w:rsid w:val="00E755EC"/>
    <w:rsid w:val="00E7624D"/>
    <w:rsid w:val="00E81724"/>
    <w:rsid w:val="00E819A4"/>
    <w:rsid w:val="00E833FA"/>
    <w:rsid w:val="00E84B74"/>
    <w:rsid w:val="00E87066"/>
    <w:rsid w:val="00E9230B"/>
    <w:rsid w:val="00E94967"/>
    <w:rsid w:val="00E966BF"/>
    <w:rsid w:val="00EA0C04"/>
    <w:rsid w:val="00EA3D42"/>
    <w:rsid w:val="00EA6B1B"/>
    <w:rsid w:val="00EB1CBD"/>
    <w:rsid w:val="00EB3A34"/>
    <w:rsid w:val="00EB3C3F"/>
    <w:rsid w:val="00EB5D40"/>
    <w:rsid w:val="00EB68EB"/>
    <w:rsid w:val="00EC04F1"/>
    <w:rsid w:val="00EC237F"/>
    <w:rsid w:val="00EC573A"/>
    <w:rsid w:val="00ED214E"/>
    <w:rsid w:val="00ED35C8"/>
    <w:rsid w:val="00ED3968"/>
    <w:rsid w:val="00ED5226"/>
    <w:rsid w:val="00ED7323"/>
    <w:rsid w:val="00EE28F3"/>
    <w:rsid w:val="00EE50D1"/>
    <w:rsid w:val="00EE7614"/>
    <w:rsid w:val="00EF0341"/>
    <w:rsid w:val="00EF5110"/>
    <w:rsid w:val="00EF5890"/>
    <w:rsid w:val="00EF76BA"/>
    <w:rsid w:val="00F0231A"/>
    <w:rsid w:val="00F03463"/>
    <w:rsid w:val="00F036B7"/>
    <w:rsid w:val="00F06DE6"/>
    <w:rsid w:val="00F0700F"/>
    <w:rsid w:val="00F07F1F"/>
    <w:rsid w:val="00F10411"/>
    <w:rsid w:val="00F10A9A"/>
    <w:rsid w:val="00F11B2D"/>
    <w:rsid w:val="00F121C2"/>
    <w:rsid w:val="00F1485B"/>
    <w:rsid w:val="00F15882"/>
    <w:rsid w:val="00F170C7"/>
    <w:rsid w:val="00F17116"/>
    <w:rsid w:val="00F171E0"/>
    <w:rsid w:val="00F20BD3"/>
    <w:rsid w:val="00F22A8C"/>
    <w:rsid w:val="00F322E9"/>
    <w:rsid w:val="00F3231B"/>
    <w:rsid w:val="00F33808"/>
    <w:rsid w:val="00F373A5"/>
    <w:rsid w:val="00F37864"/>
    <w:rsid w:val="00F404F9"/>
    <w:rsid w:val="00F44B0A"/>
    <w:rsid w:val="00F47559"/>
    <w:rsid w:val="00F50B30"/>
    <w:rsid w:val="00F51F5F"/>
    <w:rsid w:val="00F52D75"/>
    <w:rsid w:val="00F55582"/>
    <w:rsid w:val="00F57647"/>
    <w:rsid w:val="00F623CE"/>
    <w:rsid w:val="00F62A14"/>
    <w:rsid w:val="00F644AB"/>
    <w:rsid w:val="00F64C7B"/>
    <w:rsid w:val="00F6575B"/>
    <w:rsid w:val="00F676DD"/>
    <w:rsid w:val="00F67AB6"/>
    <w:rsid w:val="00F70028"/>
    <w:rsid w:val="00F70434"/>
    <w:rsid w:val="00F7236A"/>
    <w:rsid w:val="00F737DA"/>
    <w:rsid w:val="00F75A26"/>
    <w:rsid w:val="00F76706"/>
    <w:rsid w:val="00F77D6D"/>
    <w:rsid w:val="00F80206"/>
    <w:rsid w:val="00F83034"/>
    <w:rsid w:val="00F83FAD"/>
    <w:rsid w:val="00F844C6"/>
    <w:rsid w:val="00F84D77"/>
    <w:rsid w:val="00F92FA6"/>
    <w:rsid w:val="00F9353B"/>
    <w:rsid w:val="00F937F1"/>
    <w:rsid w:val="00F93B45"/>
    <w:rsid w:val="00F952A0"/>
    <w:rsid w:val="00F96A28"/>
    <w:rsid w:val="00FA31B1"/>
    <w:rsid w:val="00FA3320"/>
    <w:rsid w:val="00FA3C7F"/>
    <w:rsid w:val="00FA6246"/>
    <w:rsid w:val="00FB24ED"/>
    <w:rsid w:val="00FB3304"/>
    <w:rsid w:val="00FB5005"/>
    <w:rsid w:val="00FB60FE"/>
    <w:rsid w:val="00FB7479"/>
    <w:rsid w:val="00FB74E2"/>
    <w:rsid w:val="00FB778B"/>
    <w:rsid w:val="00FC0681"/>
    <w:rsid w:val="00FD4812"/>
    <w:rsid w:val="00FD5614"/>
    <w:rsid w:val="00FD5E78"/>
    <w:rsid w:val="00FE0BE1"/>
    <w:rsid w:val="00FE11BB"/>
    <w:rsid w:val="00FE1DE9"/>
    <w:rsid w:val="00FE36AF"/>
    <w:rsid w:val="00FE39C2"/>
    <w:rsid w:val="00FE3C32"/>
    <w:rsid w:val="00FE64AE"/>
    <w:rsid w:val="00FF2944"/>
    <w:rsid w:val="00FF3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2C600445</Template>
  <TotalTime>0</TotalTime>
  <Pages>17</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2017-07-04T08:19:00Z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