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A74A533" wp14:editId="07F266F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3E08B5">
            <w:t xml:space="preserve">DRAFT </w:t>
          </w:r>
          <w:r w:rsidR="00DA4752">
            <w:t>DECISION</w:t>
          </w:r>
        </w:p>
        <w:p w:rsidR="00404457" w:rsidRDefault="00183794" w:rsidP="008F07A3">
          <w:pPr>
            <w:pStyle w:val="ReportSubtitle"/>
          </w:pPr>
          <w:r>
            <w:t>A</w:t>
          </w:r>
          <w:r w:rsidR="00404457">
            <w:t xml:space="preserve">ustralian </w:t>
          </w:r>
          <w:r>
            <w:t>G</w:t>
          </w:r>
          <w:r w:rsidR="00404457">
            <w:t xml:space="preserve">as </w:t>
          </w:r>
          <w:r>
            <w:t>N</w:t>
          </w:r>
          <w:r w:rsidR="00404457">
            <w:t>etworks</w:t>
          </w:r>
        </w:p>
        <w:p w:rsidR="00404457" w:rsidRDefault="00404457" w:rsidP="008F07A3">
          <w:pPr>
            <w:pStyle w:val="ReportSubtitle"/>
          </w:pPr>
          <w:r>
            <w:t>Victoria and Albury gas access arrangement</w:t>
          </w:r>
        </w:p>
        <w:p w:rsidR="000A6C7B" w:rsidRDefault="004A1240" w:rsidP="008F07A3">
          <w:pPr>
            <w:pStyle w:val="ReportSubtitle"/>
          </w:pPr>
          <w:r>
            <w:t>2018</w:t>
          </w:r>
          <w:r w:rsidR="003870A9">
            <w:t>-2022</w:t>
          </w:r>
        </w:p>
        <w:p w:rsidR="008F07A3" w:rsidRPr="000A6C7B" w:rsidRDefault="008F07A3" w:rsidP="008F07A3">
          <w:pPr>
            <w:pStyle w:val="ReportSubtitle"/>
          </w:pPr>
        </w:p>
        <w:p w:rsidR="000A6C7B" w:rsidRPr="000A6C7B" w:rsidRDefault="00E14A44" w:rsidP="008F07A3">
          <w:pPr>
            <w:pStyle w:val="ReportSubtitle"/>
          </w:pPr>
          <w:r>
            <w:t>Attachment 4</w:t>
          </w:r>
          <w:r w:rsidR="00DA4752">
            <w:t xml:space="preserve"> </w:t>
          </w:r>
          <w:r w:rsidR="00415F31">
            <w:rPr>
              <w:rFonts w:cs="Arial"/>
            </w:rPr>
            <w:t>–</w:t>
          </w:r>
          <w:r w:rsidR="00DA4752">
            <w:t xml:space="preserve"> </w:t>
          </w:r>
          <w:r>
            <w:t>Value of imputation credits</w:t>
          </w:r>
        </w:p>
        <w:p w:rsidR="00B9733D" w:rsidRDefault="00B9733D" w:rsidP="00327A1E">
          <w:pPr>
            <w:pStyle w:val="ReportDate"/>
          </w:pPr>
        </w:p>
        <w:p w:rsidR="000A6C7B" w:rsidRPr="00327A1E" w:rsidRDefault="00404457" w:rsidP="00327A1E">
          <w:pPr>
            <w:pStyle w:val="ReportDate"/>
          </w:pPr>
          <w:r>
            <w:t xml:space="preserve">July </w:t>
          </w:r>
          <w:r w:rsidR="003870A9">
            <w:t>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4134F9">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EB5E79" w:rsidP="00961A4A">
      <w:pPr>
        <w:pStyle w:val="Copyright"/>
      </w:pPr>
      <w:r>
        <w:t xml:space="preserve">Tel: </w:t>
      </w:r>
      <w:r w:rsidRPr="00EB5E79">
        <w:t>1300 585 165</w:t>
      </w:r>
      <w:r w:rsidR="00951978">
        <w:br/>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C52695">
      <w:pPr>
        <w:pStyle w:val="UnnumberedHeading"/>
        <w:numPr>
          <w:ilvl w:val="0"/>
          <w:numId w:val="23"/>
        </w:numPr>
      </w:pPr>
      <w:r>
        <w:lastRenderedPageBreak/>
        <w:t>N</w:t>
      </w:r>
      <w:r w:rsidR="008F07A3">
        <w:t>ote</w:t>
      </w:r>
      <w:bookmarkEnd w:id="0"/>
      <w:bookmarkEnd w:id="1"/>
      <w:bookmarkEnd w:id="2"/>
      <w:bookmarkEnd w:id="3"/>
    </w:p>
    <w:p w:rsidR="00415F31" w:rsidRDefault="00415F31" w:rsidP="00C52695">
      <w:pPr>
        <w:numPr>
          <w:ilvl w:val="0"/>
          <w:numId w:val="24"/>
        </w:numPr>
        <w:spacing w:before="0" w:after="240" w:line="288" w:lineRule="auto"/>
        <w:jc w:val="both"/>
      </w:pPr>
    </w:p>
    <w:p w:rsidR="00415F31" w:rsidRDefault="008F07A3" w:rsidP="00C52695">
      <w:pPr>
        <w:numPr>
          <w:ilvl w:val="0"/>
          <w:numId w:val="24"/>
        </w:numPr>
        <w:spacing w:before="0" w:after="240" w:line="288" w:lineRule="auto"/>
        <w:jc w:val="both"/>
      </w:pPr>
      <w:r>
        <w:t xml:space="preserve">This </w:t>
      </w:r>
      <w:r w:rsidR="00415F31">
        <w:t xml:space="preserve">attachment forms part of the AER's </w:t>
      </w:r>
      <w:r w:rsidR="00AB2F1E">
        <w:t>draft</w:t>
      </w:r>
      <w:r w:rsidR="00415F31">
        <w:t xml:space="preserve"> decision on </w:t>
      </w:r>
      <w:r w:rsidR="00404457">
        <w:t>the access arrangement for AGN's Victoria and Albury gas distribution networks for 2018</w:t>
      </w:r>
      <w:r w:rsidR="00404457">
        <w:noBreakHyphen/>
        <w:t>22</w:t>
      </w:r>
      <w:r w:rsidR="00AB2F1E">
        <w:t xml:space="preserve"> 2018-2022</w:t>
      </w:r>
      <w:r w:rsidR="00415F31">
        <w:t xml:space="preserve">. It should be read with other parts of the </w:t>
      </w:r>
      <w:r w:rsidR="00AB2F1E">
        <w:t>draft</w:t>
      </w:r>
      <w:r w:rsidR="00415F31">
        <w:t xml:space="preserve"> decision.</w:t>
      </w:r>
    </w:p>
    <w:p w:rsidR="00415F31" w:rsidRDefault="00415F31" w:rsidP="00C52695">
      <w:pPr>
        <w:numPr>
          <w:ilvl w:val="0"/>
          <w:numId w:val="24"/>
        </w:numPr>
        <w:spacing w:before="0" w:after="240" w:line="288" w:lineRule="auto"/>
        <w:jc w:val="both"/>
      </w:pPr>
      <w:r>
        <w:t xml:space="preserve">The </w:t>
      </w:r>
      <w:r w:rsidR="00AB2F1E">
        <w:t xml:space="preserve">draft </w:t>
      </w:r>
      <w:r>
        <w:t>decision includes the following documents:</w:t>
      </w:r>
    </w:p>
    <w:p w:rsidR="00415F31" w:rsidRDefault="00415F31" w:rsidP="00C52695">
      <w:pPr>
        <w:numPr>
          <w:ilvl w:val="0"/>
          <w:numId w:val="24"/>
        </w:numPr>
        <w:spacing w:before="0" w:after="240" w:line="288" w:lineRule="auto"/>
        <w:jc w:val="both"/>
      </w:pPr>
      <w:r>
        <w:t>Overview</w:t>
      </w:r>
    </w:p>
    <w:p w:rsidR="00404457" w:rsidRPr="00404457" w:rsidRDefault="00404457" w:rsidP="0007085B">
      <w:r w:rsidRPr="00404457">
        <w:t>Attachment 1 - Services covered by the access arrangement</w:t>
      </w:r>
    </w:p>
    <w:p w:rsidR="00404457" w:rsidRPr="00404457" w:rsidRDefault="00404457" w:rsidP="0007085B">
      <w:r w:rsidRPr="00404457">
        <w:t>Attachment 2 - Capital base</w:t>
      </w:r>
    </w:p>
    <w:p w:rsidR="00404457" w:rsidRPr="00404457" w:rsidRDefault="00404457" w:rsidP="0007085B">
      <w:r w:rsidRPr="00404457">
        <w:t>Attachment 3 - Rate of return</w:t>
      </w:r>
    </w:p>
    <w:p w:rsidR="00404457" w:rsidRPr="00404457" w:rsidRDefault="00404457" w:rsidP="0007085B">
      <w:r w:rsidRPr="00404457">
        <w:t>Attachment 4 - Value of imputation credits</w:t>
      </w:r>
    </w:p>
    <w:p w:rsidR="00404457" w:rsidRPr="00404457" w:rsidRDefault="00404457" w:rsidP="0007085B">
      <w:r w:rsidRPr="00404457">
        <w:t>Attachment 5 - Regulatory depreciation</w:t>
      </w:r>
    </w:p>
    <w:p w:rsidR="00404457" w:rsidRPr="00404457" w:rsidRDefault="00404457" w:rsidP="0007085B">
      <w:r w:rsidRPr="00404457">
        <w:t xml:space="preserve">Attachment 6 - Capital expenditure </w:t>
      </w:r>
    </w:p>
    <w:p w:rsidR="00404457" w:rsidRPr="00404457" w:rsidRDefault="00404457" w:rsidP="0007085B">
      <w:r w:rsidRPr="00404457">
        <w:t>Attachment 7 - Operating expenditure</w:t>
      </w:r>
    </w:p>
    <w:p w:rsidR="00404457" w:rsidRPr="00404457" w:rsidRDefault="00404457" w:rsidP="0007085B">
      <w:r w:rsidRPr="00404457">
        <w:t>Attachment 8 - Corporate income tax</w:t>
      </w:r>
    </w:p>
    <w:p w:rsidR="00404457" w:rsidRPr="00404457" w:rsidRDefault="00404457" w:rsidP="0007085B">
      <w:r w:rsidRPr="00404457">
        <w:t>Attachment 9 - Efficiency carryover mechanism</w:t>
      </w:r>
    </w:p>
    <w:p w:rsidR="00404457" w:rsidRPr="00404457" w:rsidRDefault="00404457" w:rsidP="0007085B">
      <w:r w:rsidRPr="00404457">
        <w:t>Attachment 10 - Reference tariff setting</w:t>
      </w:r>
    </w:p>
    <w:p w:rsidR="00404457" w:rsidRPr="00404457" w:rsidRDefault="00404457" w:rsidP="0007085B">
      <w:r w:rsidRPr="00404457">
        <w:t>Attachment 11 - Reference tariff variation mechanism</w:t>
      </w:r>
    </w:p>
    <w:p w:rsidR="00404457" w:rsidRPr="00404457" w:rsidRDefault="00404457" w:rsidP="0007085B">
      <w:r w:rsidRPr="00404457">
        <w:t>Attachment 12 - Non-tariff components</w:t>
      </w:r>
    </w:p>
    <w:p w:rsidR="00404457" w:rsidRPr="00404457" w:rsidRDefault="00404457" w:rsidP="0007085B">
      <w:r w:rsidRPr="00404457">
        <w:t>Attachment 13 - Demand</w:t>
      </w:r>
    </w:p>
    <w:p w:rsidR="00404457" w:rsidRPr="00404457" w:rsidRDefault="00404457" w:rsidP="0007085B">
      <w:r w:rsidRPr="00404457">
        <w:t>Attachment 14 - Other incentive schemes</w:t>
      </w:r>
    </w:p>
    <w:p w:rsidR="008F07A3" w:rsidRPr="008F07A3" w:rsidRDefault="008F07A3" w:rsidP="00C52695">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5D7BA2" w:rsidRDefault="00611EC0" w:rsidP="00611EC0">
      <w:pPr>
        <w:pStyle w:val="Numbered11111111"/>
      </w:pPr>
      <w:r>
        <w:lastRenderedPageBreak/>
        <w:t xml:space="preserve">Contents </w:t>
      </w:r>
    </w:p>
    <w:sdt>
      <w:sdtPr>
        <w:rPr>
          <w:b w:val="0"/>
          <w:noProof w:val="0"/>
          <w:color w:val="auto"/>
          <w:sz w:val="22"/>
          <w:lang w:val="en-AU" w:eastAsia="en-US"/>
        </w:rPr>
        <w:id w:val="2101907916"/>
        <w:docPartObj>
          <w:docPartGallery w:val="Table of Contents"/>
          <w:docPartUnique/>
        </w:docPartObj>
      </w:sdtPr>
      <w:sdtEndPr>
        <w:rPr>
          <w:b/>
          <w:noProof/>
          <w:color w:val="70635A" w:themeColor="text2"/>
          <w:sz w:val="24"/>
          <w:lang w:val="en-US" w:eastAsia="ja-JP"/>
        </w:rPr>
      </w:sdtEndPr>
      <w:sdtContent>
        <w:p w:rsidR="00B93D90" w:rsidRDefault="0014602B">
          <w:pPr>
            <w:pStyle w:val="TOC1"/>
            <w:rPr>
              <w:rFonts w:asciiTheme="minorHAnsi" w:eastAsiaTheme="minorEastAsia" w:hAnsiTheme="minorHAnsi"/>
              <w:b w:val="0"/>
              <w:color w:val="auto"/>
              <w:sz w:val="22"/>
              <w:lang w:val="en-AU" w:eastAsia="en-AU"/>
            </w:rPr>
          </w:pPr>
          <w:r>
            <w:fldChar w:fldCharType="begin"/>
          </w:r>
          <w:r>
            <w:instrText xml:space="preserve"> TOC \o "2-2" \h \z \t "Heading 1,1,Heading 3,3,Heading 7,1,Heading 8,2,Heading 9,3,Chapter title,1" </w:instrText>
          </w:r>
          <w:r>
            <w:fldChar w:fldCharType="separate"/>
          </w:r>
          <w:hyperlink w:anchor="_Toc487014295" w:history="1">
            <w:r w:rsidR="00B93D90" w:rsidRPr="00674B57">
              <w:rPr>
                <w:rStyle w:val="Hyperlink"/>
              </w:rPr>
              <w:t>4</w:t>
            </w:r>
            <w:r w:rsidR="00B93D90">
              <w:rPr>
                <w:rFonts w:asciiTheme="minorHAnsi" w:eastAsiaTheme="minorEastAsia" w:hAnsiTheme="minorHAnsi"/>
                <w:b w:val="0"/>
                <w:color w:val="auto"/>
                <w:sz w:val="22"/>
                <w:lang w:val="en-AU" w:eastAsia="en-AU"/>
              </w:rPr>
              <w:tab/>
            </w:r>
            <w:r w:rsidR="00B93D90" w:rsidRPr="00674B57">
              <w:rPr>
                <w:rStyle w:val="Hyperlink"/>
              </w:rPr>
              <w:t>Value of imputation credits</w:t>
            </w:r>
            <w:r w:rsidR="00B93D90">
              <w:rPr>
                <w:webHidden/>
              </w:rPr>
              <w:tab/>
            </w:r>
            <w:r w:rsidR="00B93D90">
              <w:rPr>
                <w:webHidden/>
              </w:rPr>
              <w:fldChar w:fldCharType="begin"/>
            </w:r>
            <w:r w:rsidR="00B93D90">
              <w:rPr>
                <w:webHidden/>
              </w:rPr>
              <w:instrText xml:space="preserve"> PAGEREF _Toc487014295 \h </w:instrText>
            </w:r>
            <w:r w:rsidR="00B93D90">
              <w:rPr>
                <w:webHidden/>
              </w:rPr>
            </w:r>
            <w:r w:rsidR="00B93D90">
              <w:rPr>
                <w:webHidden/>
              </w:rPr>
              <w:fldChar w:fldCharType="separate"/>
            </w:r>
            <w:r w:rsidR="00BF66D3">
              <w:rPr>
                <w:webHidden/>
              </w:rPr>
              <w:t>4-7</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296" w:history="1">
            <w:r w:rsidR="00B93D90" w:rsidRPr="00674B57">
              <w:rPr>
                <w:rStyle w:val="Hyperlink"/>
              </w:rPr>
              <w:t>4.1</w:t>
            </w:r>
            <w:r w:rsidR="00B93D90">
              <w:rPr>
                <w:rFonts w:asciiTheme="minorHAnsi" w:eastAsiaTheme="minorEastAsia" w:hAnsiTheme="minorHAnsi"/>
                <w:b w:val="0"/>
                <w:color w:val="auto"/>
                <w:sz w:val="22"/>
                <w:lang w:eastAsia="en-AU"/>
              </w:rPr>
              <w:tab/>
            </w:r>
            <w:r w:rsidR="00B93D90" w:rsidRPr="00674B57">
              <w:rPr>
                <w:rStyle w:val="Hyperlink"/>
              </w:rPr>
              <w:t>Draft decision</w:t>
            </w:r>
            <w:r w:rsidR="00B93D90">
              <w:rPr>
                <w:webHidden/>
              </w:rPr>
              <w:tab/>
            </w:r>
            <w:r w:rsidR="00B93D90">
              <w:rPr>
                <w:webHidden/>
              </w:rPr>
              <w:fldChar w:fldCharType="begin"/>
            </w:r>
            <w:r w:rsidR="00B93D90">
              <w:rPr>
                <w:webHidden/>
              </w:rPr>
              <w:instrText xml:space="preserve"> PAGEREF _Toc487014296 \h </w:instrText>
            </w:r>
            <w:r w:rsidR="00B93D90">
              <w:rPr>
                <w:webHidden/>
              </w:rPr>
            </w:r>
            <w:r w:rsidR="00B93D90">
              <w:rPr>
                <w:webHidden/>
              </w:rPr>
              <w:fldChar w:fldCharType="separate"/>
            </w:r>
            <w:r>
              <w:rPr>
                <w:webHidden/>
              </w:rPr>
              <w:t>4-8</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297" w:history="1">
            <w:r w:rsidR="00B93D90" w:rsidRPr="00674B57">
              <w:rPr>
                <w:rStyle w:val="Hyperlink"/>
              </w:rPr>
              <w:t>4.2</w:t>
            </w:r>
            <w:r w:rsidR="00B93D90">
              <w:rPr>
                <w:rFonts w:asciiTheme="minorHAnsi" w:eastAsiaTheme="minorEastAsia" w:hAnsiTheme="minorHAnsi"/>
                <w:b w:val="0"/>
                <w:color w:val="auto"/>
                <w:sz w:val="22"/>
                <w:lang w:eastAsia="en-AU"/>
              </w:rPr>
              <w:tab/>
            </w:r>
            <w:r w:rsidR="00B93D90" w:rsidRPr="00674B57">
              <w:rPr>
                <w:rStyle w:val="Hyperlink"/>
              </w:rPr>
              <w:t>AGN's initial proposal</w:t>
            </w:r>
            <w:r w:rsidR="00B93D90">
              <w:rPr>
                <w:webHidden/>
              </w:rPr>
              <w:tab/>
            </w:r>
            <w:r w:rsidR="00B93D90">
              <w:rPr>
                <w:webHidden/>
              </w:rPr>
              <w:fldChar w:fldCharType="begin"/>
            </w:r>
            <w:r w:rsidR="00B93D90">
              <w:rPr>
                <w:webHidden/>
              </w:rPr>
              <w:instrText xml:space="preserve"> PAGEREF _Toc487014297 \h </w:instrText>
            </w:r>
            <w:r w:rsidR="00B93D90">
              <w:rPr>
                <w:webHidden/>
              </w:rPr>
            </w:r>
            <w:r w:rsidR="00B93D90">
              <w:rPr>
                <w:webHidden/>
              </w:rPr>
              <w:fldChar w:fldCharType="separate"/>
            </w:r>
            <w:r>
              <w:rPr>
                <w:webHidden/>
              </w:rPr>
              <w:t>4-16</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298" w:history="1">
            <w:r w:rsidR="00B93D90" w:rsidRPr="00674B57">
              <w:rPr>
                <w:rStyle w:val="Hyperlink"/>
              </w:rPr>
              <w:t>4.3</w:t>
            </w:r>
            <w:r w:rsidR="00B93D90">
              <w:rPr>
                <w:rFonts w:asciiTheme="minorHAnsi" w:eastAsiaTheme="minorEastAsia" w:hAnsiTheme="minorHAnsi"/>
                <w:b w:val="0"/>
                <w:color w:val="auto"/>
                <w:sz w:val="22"/>
                <w:lang w:eastAsia="en-AU"/>
              </w:rPr>
              <w:tab/>
            </w:r>
            <w:r w:rsidR="00B93D90" w:rsidRPr="00674B57">
              <w:rPr>
                <w:rStyle w:val="Hyperlink"/>
              </w:rPr>
              <w:t>AER’s assessment approach</w:t>
            </w:r>
            <w:r w:rsidR="00B93D90">
              <w:rPr>
                <w:webHidden/>
              </w:rPr>
              <w:tab/>
            </w:r>
            <w:r w:rsidR="00B93D90">
              <w:rPr>
                <w:webHidden/>
              </w:rPr>
              <w:fldChar w:fldCharType="begin"/>
            </w:r>
            <w:r w:rsidR="00B93D90">
              <w:rPr>
                <w:webHidden/>
              </w:rPr>
              <w:instrText xml:space="preserve"> PAGEREF _Toc487014298 \h </w:instrText>
            </w:r>
            <w:r w:rsidR="00B93D90">
              <w:rPr>
                <w:webHidden/>
              </w:rPr>
            </w:r>
            <w:r w:rsidR="00B93D90">
              <w:rPr>
                <w:webHidden/>
              </w:rPr>
              <w:fldChar w:fldCharType="separate"/>
            </w:r>
            <w:r>
              <w:rPr>
                <w:webHidden/>
              </w:rPr>
              <w:t>4-18</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299" w:history="1">
            <w:r w:rsidR="00B93D90" w:rsidRPr="00674B57">
              <w:rPr>
                <w:rStyle w:val="Hyperlink"/>
              </w:rPr>
              <w:t>4.3.1</w:t>
            </w:r>
            <w:r w:rsidR="00B93D90">
              <w:rPr>
                <w:rFonts w:asciiTheme="minorHAnsi" w:eastAsiaTheme="minorEastAsia" w:hAnsiTheme="minorHAnsi"/>
                <w:lang w:eastAsia="en-AU"/>
              </w:rPr>
              <w:tab/>
            </w:r>
            <w:r w:rsidR="00B93D90" w:rsidRPr="00674B57">
              <w:rPr>
                <w:rStyle w:val="Hyperlink"/>
              </w:rPr>
              <w:t>Requirements of the NEL/NGL and NER/NGR</w:t>
            </w:r>
            <w:r w:rsidR="00B93D90">
              <w:rPr>
                <w:webHidden/>
              </w:rPr>
              <w:tab/>
            </w:r>
            <w:r w:rsidR="00B93D90">
              <w:rPr>
                <w:webHidden/>
              </w:rPr>
              <w:fldChar w:fldCharType="begin"/>
            </w:r>
            <w:r w:rsidR="00B93D90">
              <w:rPr>
                <w:webHidden/>
              </w:rPr>
              <w:instrText xml:space="preserve"> PAGEREF _Toc487014299 \h </w:instrText>
            </w:r>
            <w:r w:rsidR="00B93D90">
              <w:rPr>
                <w:webHidden/>
              </w:rPr>
            </w:r>
            <w:r w:rsidR="00B93D90">
              <w:rPr>
                <w:webHidden/>
              </w:rPr>
              <w:fldChar w:fldCharType="separate"/>
            </w:r>
            <w:r>
              <w:rPr>
                <w:webHidden/>
              </w:rPr>
              <w:t>4-18</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0" w:history="1">
            <w:r w:rsidR="00B93D90" w:rsidRPr="00674B57">
              <w:rPr>
                <w:rStyle w:val="Hyperlink"/>
              </w:rPr>
              <w:t>4.3.2</w:t>
            </w:r>
            <w:r w:rsidR="00B93D90">
              <w:rPr>
                <w:rFonts w:asciiTheme="minorHAnsi" w:eastAsiaTheme="minorEastAsia" w:hAnsiTheme="minorHAnsi"/>
                <w:lang w:eastAsia="en-AU"/>
              </w:rPr>
              <w:tab/>
            </w:r>
            <w:r w:rsidR="00B93D90" w:rsidRPr="00674B57">
              <w:rPr>
                <w:rStyle w:val="Hyperlink"/>
              </w:rPr>
              <w:t>Rate of return Guideline</w:t>
            </w:r>
            <w:r w:rsidR="00B93D90">
              <w:rPr>
                <w:webHidden/>
              </w:rPr>
              <w:tab/>
            </w:r>
            <w:r w:rsidR="00B93D90">
              <w:rPr>
                <w:webHidden/>
              </w:rPr>
              <w:fldChar w:fldCharType="begin"/>
            </w:r>
            <w:r w:rsidR="00B93D90">
              <w:rPr>
                <w:webHidden/>
              </w:rPr>
              <w:instrText xml:space="preserve"> PAGEREF _Toc487014300 \h </w:instrText>
            </w:r>
            <w:r w:rsidR="00B93D90">
              <w:rPr>
                <w:webHidden/>
              </w:rPr>
            </w:r>
            <w:r w:rsidR="00B93D90">
              <w:rPr>
                <w:webHidden/>
              </w:rPr>
              <w:fldChar w:fldCharType="separate"/>
            </w:r>
            <w:r>
              <w:rPr>
                <w:webHidden/>
              </w:rPr>
              <w:t>4-21</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1" w:history="1">
            <w:r w:rsidR="00B93D90" w:rsidRPr="00674B57">
              <w:rPr>
                <w:rStyle w:val="Hyperlink"/>
              </w:rPr>
              <w:t>4.3.3</w:t>
            </w:r>
            <w:r w:rsidR="00B93D90">
              <w:rPr>
                <w:rFonts w:asciiTheme="minorHAnsi" w:eastAsiaTheme="minorEastAsia" w:hAnsiTheme="minorHAnsi"/>
                <w:lang w:eastAsia="en-AU"/>
              </w:rPr>
              <w:tab/>
            </w:r>
            <w:r w:rsidR="00B93D90" w:rsidRPr="00674B57">
              <w:rPr>
                <w:rStyle w:val="Hyperlink"/>
              </w:rPr>
              <w:t>Definition of a benchmark efficient entity</w:t>
            </w:r>
            <w:r w:rsidR="00B93D90">
              <w:rPr>
                <w:webHidden/>
              </w:rPr>
              <w:tab/>
            </w:r>
            <w:r w:rsidR="00B93D90">
              <w:rPr>
                <w:webHidden/>
              </w:rPr>
              <w:fldChar w:fldCharType="begin"/>
            </w:r>
            <w:r w:rsidR="00B93D90">
              <w:rPr>
                <w:webHidden/>
              </w:rPr>
              <w:instrText xml:space="preserve"> PAGEREF _Toc487014301 \h </w:instrText>
            </w:r>
            <w:r w:rsidR="00B93D90">
              <w:rPr>
                <w:webHidden/>
              </w:rPr>
            </w:r>
            <w:r w:rsidR="00B93D90">
              <w:rPr>
                <w:webHidden/>
              </w:rPr>
              <w:fldChar w:fldCharType="separate"/>
            </w:r>
            <w:r>
              <w:rPr>
                <w:webHidden/>
              </w:rPr>
              <w:t>4-22</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2" w:history="1">
            <w:r w:rsidR="00B93D90" w:rsidRPr="00674B57">
              <w:rPr>
                <w:rStyle w:val="Hyperlink"/>
              </w:rPr>
              <w:t>4.3.4</w:t>
            </w:r>
            <w:r w:rsidR="00B93D90">
              <w:rPr>
                <w:rFonts w:asciiTheme="minorHAnsi" w:eastAsiaTheme="minorEastAsia" w:hAnsiTheme="minorHAnsi"/>
                <w:lang w:eastAsia="en-AU"/>
              </w:rPr>
              <w:tab/>
            </w:r>
            <w:r w:rsidR="00B93D90" w:rsidRPr="00674B57">
              <w:rPr>
                <w:rStyle w:val="Hyperlink"/>
              </w:rPr>
              <w:t>Interrelationships</w:t>
            </w:r>
            <w:r w:rsidR="00B93D90">
              <w:rPr>
                <w:webHidden/>
              </w:rPr>
              <w:tab/>
            </w:r>
            <w:r w:rsidR="00B93D90">
              <w:rPr>
                <w:webHidden/>
              </w:rPr>
              <w:fldChar w:fldCharType="begin"/>
            </w:r>
            <w:r w:rsidR="00B93D90">
              <w:rPr>
                <w:webHidden/>
              </w:rPr>
              <w:instrText xml:space="preserve"> PAGEREF _Toc487014302 \h </w:instrText>
            </w:r>
            <w:r w:rsidR="00B93D90">
              <w:rPr>
                <w:webHidden/>
              </w:rPr>
            </w:r>
            <w:r w:rsidR="00B93D90">
              <w:rPr>
                <w:webHidden/>
              </w:rPr>
              <w:fldChar w:fldCharType="separate"/>
            </w:r>
            <w:r>
              <w:rPr>
                <w:webHidden/>
              </w:rPr>
              <w:t>4-23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3" w:history="1">
            <w:r w:rsidR="00B93D90" w:rsidRPr="00674B57">
              <w:rPr>
                <w:rStyle w:val="Hyperlink"/>
              </w:rPr>
              <w:t>4.3.5</w:t>
            </w:r>
            <w:r w:rsidR="00B93D90">
              <w:rPr>
                <w:rFonts w:asciiTheme="minorHAnsi" w:eastAsiaTheme="minorEastAsia" w:hAnsiTheme="minorHAnsi"/>
                <w:lang w:eastAsia="en-AU"/>
              </w:rPr>
              <w:tab/>
            </w:r>
            <w:r w:rsidR="00B93D90" w:rsidRPr="00674B57">
              <w:rPr>
                <w:rStyle w:val="Hyperlink"/>
              </w:rPr>
              <w:t>Expert reports</w:t>
            </w:r>
            <w:r w:rsidR="00B93D90">
              <w:rPr>
                <w:webHidden/>
              </w:rPr>
              <w:tab/>
            </w:r>
            <w:r w:rsidR="00B93D90">
              <w:rPr>
                <w:webHidden/>
              </w:rPr>
              <w:fldChar w:fldCharType="begin"/>
            </w:r>
            <w:r w:rsidR="00B93D90">
              <w:rPr>
                <w:webHidden/>
              </w:rPr>
              <w:instrText xml:space="preserve"> PAGEREF _Toc487014303 \h </w:instrText>
            </w:r>
            <w:r w:rsidR="00B93D90">
              <w:rPr>
                <w:webHidden/>
              </w:rPr>
            </w:r>
            <w:r w:rsidR="00B93D90">
              <w:rPr>
                <w:webHidden/>
              </w:rPr>
              <w:fldChar w:fldCharType="separate"/>
            </w:r>
            <w:r>
              <w:rPr>
                <w:webHidden/>
              </w:rPr>
              <w:t>4-24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4" w:history="1">
            <w:r w:rsidR="00B93D90" w:rsidRPr="00674B57">
              <w:rPr>
                <w:rStyle w:val="Hyperlink"/>
              </w:rPr>
              <w:t>4.3.6</w:t>
            </w:r>
            <w:r w:rsidR="00B93D90">
              <w:rPr>
                <w:rFonts w:asciiTheme="minorHAnsi" w:eastAsiaTheme="minorEastAsia" w:hAnsiTheme="minorHAnsi"/>
                <w:lang w:eastAsia="en-AU"/>
              </w:rPr>
              <w:tab/>
            </w:r>
            <w:r w:rsidR="00B93D90" w:rsidRPr="00674B57">
              <w:rPr>
                <w:rStyle w:val="Hyperlink"/>
              </w:rPr>
              <w:t>Approach to determining the value of imputation credits</w:t>
            </w:r>
            <w:r w:rsidR="00B93D90">
              <w:rPr>
                <w:webHidden/>
              </w:rPr>
              <w:tab/>
            </w:r>
            <w:r w:rsidR="00B93D90">
              <w:rPr>
                <w:webHidden/>
              </w:rPr>
              <w:fldChar w:fldCharType="begin"/>
            </w:r>
            <w:r w:rsidR="00B93D90">
              <w:rPr>
                <w:webHidden/>
              </w:rPr>
              <w:instrText xml:space="preserve"> PAGEREF _Toc487014304 \h </w:instrText>
            </w:r>
            <w:r w:rsidR="00B93D90">
              <w:rPr>
                <w:webHidden/>
              </w:rPr>
            </w:r>
            <w:r w:rsidR="00B93D90">
              <w:rPr>
                <w:webHidden/>
              </w:rPr>
              <w:fldChar w:fldCharType="separate"/>
            </w:r>
            <w:r>
              <w:rPr>
                <w:webHidden/>
              </w:rPr>
              <w:t>4-25</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05" w:history="1">
            <w:r w:rsidR="00B93D90" w:rsidRPr="00674B57">
              <w:rPr>
                <w:rStyle w:val="Hyperlink"/>
              </w:rPr>
              <w:t>4.4</w:t>
            </w:r>
            <w:r w:rsidR="00B93D90">
              <w:rPr>
                <w:rFonts w:asciiTheme="minorHAnsi" w:eastAsiaTheme="minorEastAsia" w:hAnsiTheme="minorHAnsi"/>
                <w:b w:val="0"/>
                <w:color w:val="auto"/>
                <w:sz w:val="22"/>
                <w:lang w:eastAsia="en-AU"/>
              </w:rPr>
              <w:tab/>
            </w:r>
            <w:r w:rsidR="00B93D90" w:rsidRPr="00674B57">
              <w:rPr>
                <w:rStyle w:val="Hyperlink"/>
              </w:rPr>
              <w:t>Reasons for draft decision</w:t>
            </w:r>
            <w:r w:rsidR="00B93D90">
              <w:rPr>
                <w:webHidden/>
              </w:rPr>
              <w:tab/>
            </w:r>
            <w:r w:rsidR="00B93D90">
              <w:rPr>
                <w:webHidden/>
              </w:rPr>
              <w:fldChar w:fldCharType="begin"/>
            </w:r>
            <w:r w:rsidR="00B93D90">
              <w:rPr>
                <w:webHidden/>
              </w:rPr>
              <w:instrText xml:space="preserve"> PAGEREF _Toc487014305 \h </w:instrText>
            </w:r>
            <w:r w:rsidR="00B93D90">
              <w:rPr>
                <w:webHidden/>
              </w:rPr>
            </w:r>
            <w:r w:rsidR="00B93D90">
              <w:rPr>
                <w:webHidden/>
              </w:rPr>
              <w:fldChar w:fldCharType="separate"/>
            </w:r>
            <w:r>
              <w:rPr>
                <w:webHidden/>
              </w:rPr>
              <w:t>4-27</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6" w:history="1">
            <w:r w:rsidR="00B93D90" w:rsidRPr="00674B57">
              <w:rPr>
                <w:rStyle w:val="Hyperlink"/>
              </w:rPr>
              <w:t>4.4.1</w:t>
            </w:r>
            <w:r w:rsidR="00B93D90">
              <w:rPr>
                <w:rFonts w:asciiTheme="minorHAnsi" w:eastAsiaTheme="minorEastAsia" w:hAnsiTheme="minorHAnsi"/>
                <w:lang w:eastAsia="en-AU"/>
              </w:rPr>
              <w:tab/>
            </w:r>
            <w:r w:rsidR="00B93D90" w:rsidRPr="00674B57">
              <w:rPr>
                <w:rStyle w:val="Hyperlink"/>
              </w:rPr>
              <w:t>Evidence underlying our estimate of the value of imputation credits</w:t>
            </w:r>
            <w:r w:rsidR="00B93D90">
              <w:rPr>
                <w:webHidden/>
              </w:rPr>
              <w:tab/>
            </w:r>
            <w:r w:rsidR="00B93D90">
              <w:rPr>
                <w:webHidden/>
              </w:rPr>
              <w:fldChar w:fldCharType="begin"/>
            </w:r>
            <w:r w:rsidR="00B93D90">
              <w:rPr>
                <w:webHidden/>
              </w:rPr>
              <w:instrText xml:space="preserve"> PAGEREF _Toc487014306 \h </w:instrText>
            </w:r>
            <w:r w:rsidR="00B93D90">
              <w:rPr>
                <w:webHidden/>
              </w:rPr>
            </w:r>
            <w:r w:rsidR="00B93D90">
              <w:rPr>
                <w:webHidden/>
              </w:rPr>
              <w:fldChar w:fldCharType="separate"/>
            </w:r>
            <w:r>
              <w:rPr>
                <w:webHidden/>
              </w:rPr>
              <w:t>4-33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07" w:history="1">
            <w:r w:rsidR="00B93D90" w:rsidRPr="00674B57">
              <w:rPr>
                <w:rStyle w:val="Hyperlink"/>
              </w:rPr>
              <w:t>4.4.2</w:t>
            </w:r>
            <w:r w:rsidR="00B93D90">
              <w:rPr>
                <w:rFonts w:asciiTheme="minorHAnsi" w:eastAsiaTheme="minorEastAsia" w:hAnsiTheme="minorHAnsi"/>
                <w:lang w:eastAsia="en-AU"/>
              </w:rPr>
              <w:tab/>
            </w:r>
            <w:r w:rsidR="00B93D90" w:rsidRPr="00674B57">
              <w:rPr>
                <w:rStyle w:val="Hyperlink"/>
              </w:rPr>
              <w:t>Response to submissions by stakeholders</w:t>
            </w:r>
            <w:r w:rsidR="00B93D90">
              <w:rPr>
                <w:webHidden/>
              </w:rPr>
              <w:tab/>
            </w:r>
            <w:r w:rsidR="00B93D90">
              <w:rPr>
                <w:webHidden/>
              </w:rPr>
              <w:fldChar w:fldCharType="begin"/>
            </w:r>
            <w:r w:rsidR="00B93D90">
              <w:rPr>
                <w:webHidden/>
              </w:rPr>
              <w:instrText xml:space="preserve"> PAGEREF _Toc487014307 \h </w:instrText>
            </w:r>
            <w:r w:rsidR="00B93D90">
              <w:rPr>
                <w:webHidden/>
              </w:rPr>
            </w:r>
            <w:r w:rsidR="00B93D90">
              <w:rPr>
                <w:webHidden/>
              </w:rPr>
              <w:fldChar w:fldCharType="separate"/>
            </w:r>
            <w:r>
              <w:rPr>
                <w:webHidden/>
              </w:rPr>
              <w:t>4-45</w:t>
            </w:r>
            <w:r w:rsidR="00B93D90">
              <w:rPr>
                <w:webHidden/>
              </w:rPr>
              <w:fldChar w:fldCharType="end"/>
            </w:r>
          </w:hyperlink>
        </w:p>
        <w:p w:rsidR="00B93D90" w:rsidRDefault="00BF66D3">
          <w:pPr>
            <w:pStyle w:val="TOC1"/>
            <w:rPr>
              <w:rFonts w:asciiTheme="minorHAnsi" w:eastAsiaTheme="minorEastAsia" w:hAnsiTheme="minorHAnsi"/>
              <w:b w:val="0"/>
              <w:color w:val="auto"/>
              <w:sz w:val="22"/>
              <w:lang w:val="en-AU" w:eastAsia="en-AU"/>
            </w:rPr>
          </w:pPr>
          <w:hyperlink w:anchor="_Toc487014308" w:history="1">
            <w:r w:rsidR="00B93D90" w:rsidRPr="00674B57">
              <w:rPr>
                <w:rStyle w:val="Hyperlink"/>
              </w:rPr>
              <w:t>A</w:t>
            </w:r>
            <w:r w:rsidR="00B93D90">
              <w:rPr>
                <w:rFonts w:asciiTheme="minorHAnsi" w:eastAsiaTheme="minorEastAsia" w:hAnsiTheme="minorHAnsi"/>
                <w:b w:val="0"/>
                <w:color w:val="auto"/>
                <w:sz w:val="22"/>
                <w:lang w:val="en-AU" w:eastAsia="en-AU"/>
              </w:rPr>
              <w:tab/>
            </w:r>
            <w:r w:rsidR="00B93D90" w:rsidRPr="00674B57">
              <w:rPr>
                <w:rStyle w:val="Hyperlink"/>
              </w:rPr>
              <w:t>Value of imputation credits: Detailed analysis</w:t>
            </w:r>
            <w:r w:rsidR="00B93D90">
              <w:rPr>
                <w:webHidden/>
              </w:rPr>
              <w:tab/>
            </w:r>
            <w:r w:rsidR="00B93D90">
              <w:rPr>
                <w:webHidden/>
              </w:rPr>
              <w:fldChar w:fldCharType="begin"/>
            </w:r>
            <w:r w:rsidR="00B93D90">
              <w:rPr>
                <w:webHidden/>
              </w:rPr>
              <w:instrText xml:space="preserve"> PAGEREF _Toc487014308 \h </w:instrText>
            </w:r>
            <w:r w:rsidR="00B93D90">
              <w:rPr>
                <w:webHidden/>
              </w:rPr>
            </w:r>
            <w:r w:rsidR="00B93D90">
              <w:rPr>
                <w:webHidden/>
              </w:rPr>
              <w:fldChar w:fldCharType="separate"/>
            </w:r>
            <w:r>
              <w:rPr>
                <w:webHidden/>
              </w:rPr>
              <w:t>4-59</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09" w:history="1">
            <w:r w:rsidR="00B93D90" w:rsidRPr="00674B57">
              <w:rPr>
                <w:rStyle w:val="Hyperlink"/>
              </w:rPr>
              <w:t>A.1</w:t>
            </w:r>
            <w:r w:rsidR="00B93D90">
              <w:rPr>
                <w:rFonts w:asciiTheme="minorHAnsi" w:eastAsiaTheme="minorEastAsia" w:hAnsiTheme="minorHAnsi"/>
                <w:b w:val="0"/>
                <w:color w:val="auto"/>
                <w:sz w:val="22"/>
                <w:lang w:eastAsia="en-AU"/>
              </w:rPr>
              <w:tab/>
            </w:r>
            <w:r w:rsidR="00B93D90" w:rsidRPr="00674B57">
              <w:rPr>
                <w:rStyle w:val="Hyperlink"/>
              </w:rPr>
              <w:t>Expert views on the value of imputation credits</w:t>
            </w:r>
            <w:r w:rsidR="00B93D90">
              <w:rPr>
                <w:webHidden/>
              </w:rPr>
              <w:tab/>
            </w:r>
            <w:r w:rsidR="00B93D90">
              <w:rPr>
                <w:webHidden/>
              </w:rPr>
              <w:fldChar w:fldCharType="begin"/>
            </w:r>
            <w:r w:rsidR="00B93D90">
              <w:rPr>
                <w:webHidden/>
              </w:rPr>
              <w:instrText xml:space="preserve"> PAGEREF _Toc487014309 \h </w:instrText>
            </w:r>
            <w:r w:rsidR="00B93D90">
              <w:rPr>
                <w:webHidden/>
              </w:rPr>
            </w:r>
            <w:r w:rsidR="00B93D90">
              <w:rPr>
                <w:webHidden/>
              </w:rPr>
              <w:fldChar w:fldCharType="separate"/>
            </w:r>
            <w:r>
              <w:rPr>
                <w:webHidden/>
              </w:rPr>
              <w:t>4-60</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10" w:history="1">
            <w:r w:rsidR="00B93D90" w:rsidRPr="00674B57">
              <w:rPr>
                <w:rStyle w:val="Hyperlink"/>
              </w:rPr>
              <w:t>A.2</w:t>
            </w:r>
            <w:r w:rsidR="00B93D90">
              <w:rPr>
                <w:rFonts w:asciiTheme="minorHAnsi" w:eastAsiaTheme="minorEastAsia" w:hAnsiTheme="minorHAnsi"/>
                <w:b w:val="0"/>
                <w:color w:val="auto"/>
                <w:sz w:val="22"/>
                <w:lang w:eastAsia="en-AU"/>
              </w:rPr>
              <w:tab/>
            </w:r>
            <w:r w:rsidR="00B93D90" w:rsidRPr="00674B57">
              <w:rPr>
                <w:rStyle w:val="Hyperlink"/>
              </w:rPr>
              <w:t>The value of imputation credits used by other regulators</w:t>
            </w:r>
            <w:r w:rsidR="00B93D90">
              <w:rPr>
                <w:webHidden/>
              </w:rPr>
              <w:tab/>
            </w:r>
            <w:r w:rsidR="00B93D90">
              <w:rPr>
                <w:webHidden/>
              </w:rPr>
              <w:fldChar w:fldCharType="begin"/>
            </w:r>
            <w:r w:rsidR="00B93D90">
              <w:rPr>
                <w:webHidden/>
              </w:rPr>
              <w:instrText xml:space="preserve"> PAGEREF _Toc487014310 \h </w:instrText>
            </w:r>
            <w:r w:rsidR="00B93D90">
              <w:rPr>
                <w:webHidden/>
              </w:rPr>
            </w:r>
            <w:r w:rsidR="00B93D90">
              <w:rPr>
                <w:webHidden/>
              </w:rPr>
              <w:fldChar w:fldCharType="separate"/>
            </w:r>
            <w:r>
              <w:rPr>
                <w:webHidden/>
              </w:rPr>
              <w:t>4-63</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11" w:history="1">
            <w:r w:rsidR="00B93D90" w:rsidRPr="00674B57">
              <w:rPr>
                <w:rStyle w:val="Hyperlink"/>
              </w:rPr>
              <w:t>A.3</w:t>
            </w:r>
            <w:r w:rsidR="00B93D90">
              <w:rPr>
                <w:rFonts w:asciiTheme="minorHAnsi" w:eastAsiaTheme="minorEastAsia" w:hAnsiTheme="minorHAnsi"/>
                <w:b w:val="0"/>
                <w:color w:val="auto"/>
                <w:sz w:val="22"/>
                <w:lang w:eastAsia="en-AU"/>
              </w:rPr>
              <w:tab/>
            </w:r>
            <w:r w:rsidR="00B93D90" w:rsidRPr="00674B57">
              <w:rPr>
                <w:rStyle w:val="Hyperlink"/>
              </w:rPr>
              <w:t>Previous Australian Competition Tribunal considerations</w:t>
            </w:r>
            <w:r w:rsidR="00B93D90">
              <w:rPr>
                <w:webHidden/>
              </w:rPr>
              <w:tab/>
            </w:r>
            <w:r w:rsidR="00B93D90">
              <w:rPr>
                <w:webHidden/>
              </w:rPr>
              <w:fldChar w:fldCharType="begin"/>
            </w:r>
            <w:r w:rsidR="00B93D90">
              <w:rPr>
                <w:webHidden/>
              </w:rPr>
              <w:instrText xml:space="preserve"> PAGEREF _Toc487014311 \h </w:instrText>
            </w:r>
            <w:r w:rsidR="00B93D90">
              <w:rPr>
                <w:webHidden/>
              </w:rPr>
            </w:r>
            <w:r w:rsidR="00B93D90">
              <w:rPr>
                <w:webHidden/>
              </w:rPr>
              <w:fldChar w:fldCharType="separate"/>
            </w:r>
            <w:r>
              <w:rPr>
                <w:webHidden/>
              </w:rPr>
              <w:t>4-65</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2" w:history="1">
            <w:r w:rsidR="00B93D90" w:rsidRPr="00674B57">
              <w:rPr>
                <w:rStyle w:val="Hyperlink"/>
                <w14:scene3d>
                  <w14:camera w14:prst="orthographicFront"/>
                  <w14:lightRig w14:rig="threePt" w14:dir="t">
                    <w14:rot w14:lat="0" w14:lon="0" w14:rev="0"/>
                  </w14:lightRig>
                </w14:scene3d>
              </w:rPr>
              <w:t>A.3.1</w:t>
            </w:r>
            <w:r w:rsidR="00B93D90">
              <w:rPr>
                <w:rFonts w:asciiTheme="minorHAnsi" w:eastAsiaTheme="minorEastAsia" w:hAnsiTheme="minorHAnsi"/>
                <w:lang w:eastAsia="en-AU"/>
              </w:rPr>
              <w:tab/>
            </w:r>
            <w:r w:rsidR="00B93D90" w:rsidRPr="00674B57">
              <w:rPr>
                <w:rStyle w:val="Hyperlink"/>
              </w:rPr>
              <w:t>SA Power Networks</w:t>
            </w:r>
            <w:r w:rsidR="00B93D90">
              <w:rPr>
                <w:webHidden/>
              </w:rPr>
              <w:tab/>
            </w:r>
            <w:r w:rsidR="00B93D90">
              <w:rPr>
                <w:webHidden/>
              </w:rPr>
              <w:fldChar w:fldCharType="begin"/>
            </w:r>
            <w:r w:rsidR="00B93D90">
              <w:rPr>
                <w:webHidden/>
              </w:rPr>
              <w:instrText xml:space="preserve"> PAGEREF _Toc487014312 \h </w:instrText>
            </w:r>
            <w:r w:rsidR="00B93D90">
              <w:rPr>
                <w:webHidden/>
              </w:rPr>
            </w:r>
            <w:r w:rsidR="00B93D90">
              <w:rPr>
                <w:webHidden/>
              </w:rPr>
              <w:fldChar w:fldCharType="separate"/>
            </w:r>
            <w:r>
              <w:rPr>
                <w:webHidden/>
              </w:rPr>
              <w:t>4-65</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3" w:history="1">
            <w:r w:rsidR="00B93D90" w:rsidRPr="00674B57">
              <w:rPr>
                <w:rStyle w:val="Hyperlink"/>
                <w14:scene3d>
                  <w14:camera w14:prst="orthographicFront"/>
                  <w14:lightRig w14:rig="threePt" w14:dir="t">
                    <w14:rot w14:lat="0" w14:lon="0" w14:rev="0"/>
                  </w14:lightRig>
                </w14:scene3d>
              </w:rPr>
              <w:t>A.3.2</w:t>
            </w:r>
            <w:r w:rsidR="00B93D90">
              <w:rPr>
                <w:rFonts w:asciiTheme="minorHAnsi" w:eastAsiaTheme="minorEastAsia" w:hAnsiTheme="minorHAnsi"/>
                <w:lang w:eastAsia="en-AU"/>
              </w:rPr>
              <w:tab/>
            </w:r>
            <w:r w:rsidR="00B93D90" w:rsidRPr="00674B57">
              <w:rPr>
                <w:rStyle w:val="Hyperlink"/>
              </w:rPr>
              <w:t>ActewAGL Distribution, Ausgrid, Endeavour Energy, Essential Energy and Jemena Gas Networks</w:t>
            </w:r>
            <w:r w:rsidR="00B93D90">
              <w:rPr>
                <w:webHidden/>
              </w:rPr>
              <w:tab/>
            </w:r>
            <w:r w:rsidR="00B93D90">
              <w:rPr>
                <w:webHidden/>
              </w:rPr>
              <w:fldChar w:fldCharType="begin"/>
            </w:r>
            <w:r w:rsidR="00B93D90">
              <w:rPr>
                <w:webHidden/>
              </w:rPr>
              <w:instrText xml:space="preserve"> PAGEREF _Toc487014313 \h </w:instrText>
            </w:r>
            <w:r w:rsidR="00B93D90">
              <w:rPr>
                <w:webHidden/>
              </w:rPr>
            </w:r>
            <w:r w:rsidR="00B93D90">
              <w:rPr>
                <w:webHidden/>
              </w:rPr>
              <w:fldChar w:fldCharType="separate"/>
            </w:r>
            <w:r>
              <w:rPr>
                <w:webHidden/>
              </w:rPr>
              <w:t>4-70</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4" w:history="1">
            <w:r w:rsidR="00B93D90" w:rsidRPr="00674B57">
              <w:rPr>
                <w:rStyle w:val="Hyperlink"/>
                <w14:scene3d>
                  <w14:camera w14:prst="orthographicFront"/>
                  <w14:lightRig w14:rig="threePt" w14:dir="t">
                    <w14:rot w14:lat="0" w14:lon="0" w14:rev="0"/>
                  </w14:lightRig>
                </w14:scene3d>
              </w:rPr>
              <w:t>A.3.3</w:t>
            </w:r>
            <w:r w:rsidR="00B93D90">
              <w:rPr>
                <w:rFonts w:asciiTheme="minorHAnsi" w:eastAsiaTheme="minorEastAsia" w:hAnsiTheme="minorHAnsi"/>
                <w:lang w:eastAsia="en-AU"/>
              </w:rPr>
              <w:tab/>
            </w:r>
            <w:r w:rsidR="00B93D90" w:rsidRPr="00674B57">
              <w:rPr>
                <w:rStyle w:val="Hyperlink"/>
              </w:rPr>
              <w:t>Energex</w:t>
            </w:r>
            <w:r w:rsidR="00B93D90">
              <w:rPr>
                <w:webHidden/>
              </w:rPr>
              <w:tab/>
            </w:r>
            <w:r w:rsidR="00B93D90">
              <w:rPr>
                <w:webHidden/>
              </w:rPr>
              <w:fldChar w:fldCharType="begin"/>
            </w:r>
            <w:r w:rsidR="00B93D90">
              <w:rPr>
                <w:webHidden/>
              </w:rPr>
              <w:instrText xml:space="preserve"> PAGEREF _Toc487014314 \h </w:instrText>
            </w:r>
            <w:r w:rsidR="00B93D90">
              <w:rPr>
                <w:webHidden/>
              </w:rPr>
            </w:r>
            <w:r w:rsidR="00B93D90">
              <w:rPr>
                <w:webHidden/>
              </w:rPr>
              <w:fldChar w:fldCharType="separate"/>
            </w:r>
            <w:r>
              <w:rPr>
                <w:webHidden/>
              </w:rPr>
              <w:t>4-78</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5" w:history="1">
            <w:r w:rsidR="00B93D90" w:rsidRPr="00674B57">
              <w:rPr>
                <w:rStyle w:val="Hyperlink"/>
                <w14:scene3d>
                  <w14:camera w14:prst="orthographicFront"/>
                  <w14:lightRig w14:rig="threePt" w14:dir="t">
                    <w14:rot w14:lat="0" w14:lon="0" w14:rev="0"/>
                  </w14:lightRig>
                </w14:scene3d>
              </w:rPr>
              <w:t>A.3.4</w:t>
            </w:r>
            <w:r w:rsidR="00B93D90">
              <w:rPr>
                <w:rFonts w:asciiTheme="minorHAnsi" w:eastAsiaTheme="minorEastAsia" w:hAnsiTheme="minorHAnsi"/>
                <w:lang w:eastAsia="en-AU"/>
              </w:rPr>
              <w:tab/>
            </w:r>
            <w:r w:rsidR="00B93D90" w:rsidRPr="00674B57">
              <w:rPr>
                <w:rStyle w:val="Hyperlink"/>
              </w:rPr>
              <w:t>DBNGP and WA Gas Networks</w:t>
            </w:r>
            <w:r w:rsidR="00B93D90">
              <w:rPr>
                <w:webHidden/>
              </w:rPr>
              <w:tab/>
            </w:r>
            <w:r w:rsidR="00B93D90">
              <w:rPr>
                <w:webHidden/>
              </w:rPr>
              <w:fldChar w:fldCharType="begin"/>
            </w:r>
            <w:r w:rsidR="00B93D90">
              <w:rPr>
                <w:webHidden/>
              </w:rPr>
              <w:instrText xml:space="preserve"> PAGEREF _Toc487014315 \h </w:instrText>
            </w:r>
            <w:r w:rsidR="00B93D90">
              <w:rPr>
                <w:webHidden/>
              </w:rPr>
            </w:r>
            <w:r w:rsidR="00B93D90">
              <w:rPr>
                <w:webHidden/>
              </w:rPr>
              <w:fldChar w:fldCharType="separate"/>
            </w:r>
            <w:r>
              <w:rPr>
                <w:webHidden/>
              </w:rPr>
              <w:t>4-82</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16" w:history="1">
            <w:r w:rsidR="00B93D90" w:rsidRPr="00674B57">
              <w:rPr>
                <w:rStyle w:val="Hyperlink"/>
              </w:rPr>
              <w:t>A.4</w:t>
            </w:r>
            <w:r w:rsidR="00B93D90">
              <w:rPr>
                <w:rFonts w:asciiTheme="minorHAnsi" w:eastAsiaTheme="minorEastAsia" w:hAnsiTheme="minorHAnsi"/>
                <w:b w:val="0"/>
                <w:color w:val="auto"/>
                <w:sz w:val="22"/>
                <w:lang w:eastAsia="en-AU"/>
              </w:rPr>
              <w:tab/>
            </w:r>
            <w:r w:rsidR="00B93D90" w:rsidRPr="00674B57">
              <w:rPr>
                <w:rStyle w:val="Hyperlink"/>
              </w:rPr>
              <w:t>Key concerns of the service providers</w:t>
            </w:r>
            <w:r w:rsidR="00B93D90">
              <w:rPr>
                <w:webHidden/>
              </w:rPr>
              <w:tab/>
            </w:r>
            <w:r w:rsidR="00B93D90">
              <w:rPr>
                <w:webHidden/>
              </w:rPr>
              <w:fldChar w:fldCharType="begin"/>
            </w:r>
            <w:r w:rsidR="00B93D90">
              <w:rPr>
                <w:webHidden/>
              </w:rPr>
              <w:instrText xml:space="preserve"> PAGEREF _Toc487014316 \h </w:instrText>
            </w:r>
            <w:r w:rsidR="00B93D90">
              <w:rPr>
                <w:webHidden/>
              </w:rPr>
            </w:r>
            <w:r w:rsidR="00B93D90">
              <w:rPr>
                <w:webHidden/>
              </w:rPr>
              <w:fldChar w:fldCharType="separate"/>
            </w:r>
            <w:r>
              <w:rPr>
                <w:webHidden/>
              </w:rPr>
              <w:t>4-83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7" w:history="1">
            <w:r w:rsidR="00B93D90" w:rsidRPr="00674B57">
              <w:rPr>
                <w:rStyle w:val="Hyperlink"/>
                <w14:scene3d>
                  <w14:camera w14:prst="orthographicFront"/>
                  <w14:lightRig w14:rig="threePt" w14:dir="t">
                    <w14:rot w14:lat="0" w14:lon="0" w14:rev="0"/>
                  </w14:lightRig>
                </w14:scene3d>
              </w:rPr>
              <w:t>A.4.1</w:t>
            </w:r>
            <w:r w:rsidR="00B93D90">
              <w:rPr>
                <w:rFonts w:asciiTheme="minorHAnsi" w:eastAsiaTheme="minorEastAsia" w:hAnsiTheme="minorHAnsi"/>
                <w:lang w:eastAsia="en-AU"/>
              </w:rPr>
              <w:tab/>
            </w:r>
            <w:r w:rsidR="00B93D90" w:rsidRPr="00674B57">
              <w:rPr>
                <w:rStyle w:val="Hyperlink"/>
              </w:rPr>
              <w:t>Ausgrid, Endeavour Energy, Essential Energy, ActewAGL, TransGrid, Directlink, Jemena Gas Networks</w:t>
            </w:r>
            <w:r w:rsidR="00B93D90">
              <w:rPr>
                <w:webHidden/>
              </w:rPr>
              <w:tab/>
            </w:r>
            <w:r w:rsidR="00B93D90">
              <w:rPr>
                <w:webHidden/>
              </w:rPr>
              <w:fldChar w:fldCharType="begin"/>
            </w:r>
            <w:r w:rsidR="00B93D90">
              <w:rPr>
                <w:webHidden/>
              </w:rPr>
              <w:instrText xml:space="preserve"> PAGEREF _Toc487014317 \h </w:instrText>
            </w:r>
            <w:r w:rsidR="00B93D90">
              <w:rPr>
                <w:webHidden/>
              </w:rPr>
            </w:r>
            <w:r w:rsidR="00B93D90">
              <w:rPr>
                <w:webHidden/>
              </w:rPr>
              <w:fldChar w:fldCharType="separate"/>
            </w:r>
            <w:r>
              <w:rPr>
                <w:webHidden/>
              </w:rPr>
              <w:t>4-84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8" w:history="1">
            <w:r w:rsidR="00B93D90" w:rsidRPr="00674B57">
              <w:rPr>
                <w:rStyle w:val="Hyperlink"/>
                <w14:scene3d>
                  <w14:camera w14:prst="orthographicFront"/>
                  <w14:lightRig w14:rig="threePt" w14:dir="t">
                    <w14:rot w14:lat="0" w14:lon="0" w14:rev="0"/>
                  </w14:lightRig>
                </w14:scene3d>
              </w:rPr>
              <w:t>A.4.2</w:t>
            </w:r>
            <w:r w:rsidR="00B93D90">
              <w:rPr>
                <w:rFonts w:asciiTheme="minorHAnsi" w:eastAsiaTheme="minorEastAsia" w:hAnsiTheme="minorHAnsi"/>
                <w:lang w:eastAsia="en-AU"/>
              </w:rPr>
              <w:tab/>
            </w:r>
            <w:r w:rsidR="00B93D90" w:rsidRPr="00674B57">
              <w:rPr>
                <w:rStyle w:val="Hyperlink"/>
              </w:rPr>
              <w:t>SA Power Networks, Ergon Energy, Energex</w:t>
            </w:r>
            <w:r w:rsidR="00B93D90">
              <w:rPr>
                <w:webHidden/>
              </w:rPr>
              <w:tab/>
            </w:r>
            <w:r w:rsidR="00B93D90">
              <w:rPr>
                <w:webHidden/>
              </w:rPr>
              <w:fldChar w:fldCharType="begin"/>
            </w:r>
            <w:r w:rsidR="00B93D90">
              <w:rPr>
                <w:webHidden/>
              </w:rPr>
              <w:instrText xml:space="preserve"> PAGEREF _Toc487014318 \h </w:instrText>
            </w:r>
            <w:r w:rsidR="00B93D90">
              <w:rPr>
                <w:webHidden/>
              </w:rPr>
            </w:r>
            <w:r w:rsidR="00B93D90">
              <w:rPr>
                <w:webHidden/>
              </w:rPr>
              <w:fldChar w:fldCharType="separate"/>
            </w:r>
            <w:r>
              <w:rPr>
                <w:webHidden/>
              </w:rPr>
              <w:t>4-86</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19" w:history="1">
            <w:r w:rsidR="00B93D90" w:rsidRPr="00674B57">
              <w:rPr>
                <w:rStyle w:val="Hyperlink"/>
                <w14:scene3d>
                  <w14:camera w14:prst="orthographicFront"/>
                  <w14:lightRig w14:rig="threePt" w14:dir="t">
                    <w14:rot w14:lat="0" w14:lon="0" w14:rev="0"/>
                  </w14:lightRig>
                </w14:scene3d>
              </w:rPr>
              <w:t>A.4.3</w:t>
            </w:r>
            <w:r w:rsidR="00B93D90">
              <w:rPr>
                <w:rFonts w:asciiTheme="minorHAnsi" w:eastAsiaTheme="minorEastAsia" w:hAnsiTheme="minorHAnsi"/>
                <w:lang w:eastAsia="en-AU"/>
              </w:rPr>
              <w:tab/>
            </w:r>
            <w:r w:rsidR="00B93D90" w:rsidRPr="00674B57">
              <w:rPr>
                <w:rStyle w:val="Hyperlink"/>
              </w:rPr>
              <w:t>Australian Gas Networks, ActewAGL, AusNet Services, CitiPower, Jemena Electricity, United Energy, Powercor</w:t>
            </w:r>
            <w:r w:rsidR="00B93D90">
              <w:rPr>
                <w:webHidden/>
              </w:rPr>
              <w:tab/>
            </w:r>
            <w:r w:rsidR="00B93D90">
              <w:rPr>
                <w:webHidden/>
              </w:rPr>
              <w:fldChar w:fldCharType="begin"/>
            </w:r>
            <w:r w:rsidR="00B93D90">
              <w:rPr>
                <w:webHidden/>
              </w:rPr>
              <w:instrText xml:space="preserve"> PAGEREF _Toc487014319 \h </w:instrText>
            </w:r>
            <w:r w:rsidR="00B93D90">
              <w:rPr>
                <w:webHidden/>
              </w:rPr>
            </w:r>
            <w:r w:rsidR="00B93D90">
              <w:rPr>
                <w:webHidden/>
              </w:rPr>
              <w:fldChar w:fldCharType="separate"/>
            </w:r>
            <w:r>
              <w:rPr>
                <w:webHidden/>
              </w:rPr>
              <w:t>4-87</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0" w:history="1">
            <w:r w:rsidR="00B93D90" w:rsidRPr="00674B57">
              <w:rPr>
                <w:rStyle w:val="Hyperlink"/>
                <w14:scene3d>
                  <w14:camera w14:prst="orthographicFront"/>
                  <w14:lightRig w14:rig="threePt" w14:dir="t">
                    <w14:rot w14:lat="0" w14:lon="0" w14:rev="0"/>
                  </w14:lightRig>
                </w14:scene3d>
              </w:rPr>
              <w:t>A.4.4</w:t>
            </w:r>
            <w:r w:rsidR="00B93D90">
              <w:rPr>
                <w:rFonts w:asciiTheme="minorHAnsi" w:eastAsiaTheme="minorEastAsia" w:hAnsiTheme="minorHAnsi"/>
                <w:lang w:eastAsia="en-AU"/>
              </w:rPr>
              <w:tab/>
            </w:r>
            <w:r w:rsidR="00B93D90" w:rsidRPr="00674B57">
              <w:rPr>
                <w:rStyle w:val="Hyperlink"/>
              </w:rPr>
              <w:t>AusNet Transmission, TasNetworks, Powerlink</w:t>
            </w:r>
            <w:r w:rsidR="00B93D90">
              <w:rPr>
                <w:webHidden/>
              </w:rPr>
              <w:tab/>
            </w:r>
            <w:r w:rsidR="00B93D90">
              <w:rPr>
                <w:webHidden/>
              </w:rPr>
              <w:fldChar w:fldCharType="begin"/>
            </w:r>
            <w:r w:rsidR="00B93D90">
              <w:rPr>
                <w:webHidden/>
              </w:rPr>
              <w:instrText xml:space="preserve"> PAGEREF _Toc487014320 \h </w:instrText>
            </w:r>
            <w:r w:rsidR="00B93D90">
              <w:rPr>
                <w:webHidden/>
              </w:rPr>
            </w:r>
            <w:r w:rsidR="00B93D90">
              <w:rPr>
                <w:webHidden/>
              </w:rPr>
              <w:fldChar w:fldCharType="separate"/>
            </w:r>
            <w:r>
              <w:rPr>
                <w:webHidden/>
              </w:rPr>
              <w:t>4-89</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1" w:history="1">
            <w:r w:rsidR="00B93D90" w:rsidRPr="00674B57">
              <w:rPr>
                <w:rStyle w:val="Hyperlink"/>
                <w14:scene3d>
                  <w14:camera w14:prst="orthographicFront"/>
                  <w14:lightRig w14:rig="threePt" w14:dir="t">
                    <w14:rot w14:lat="0" w14:lon="0" w14:rev="0"/>
                  </w14:lightRig>
                </w14:scene3d>
              </w:rPr>
              <w:t>A.4.5</w:t>
            </w:r>
            <w:r w:rsidR="00B93D90">
              <w:rPr>
                <w:rFonts w:asciiTheme="minorHAnsi" w:eastAsiaTheme="minorEastAsia" w:hAnsiTheme="minorHAnsi"/>
                <w:lang w:eastAsia="en-AU"/>
              </w:rPr>
              <w:tab/>
            </w:r>
            <w:r w:rsidR="00B93D90" w:rsidRPr="00674B57">
              <w:rPr>
                <w:rStyle w:val="Hyperlink"/>
              </w:rPr>
              <w:t>Multinet, APTPPL, AGN, APA VTS, AusNet Services Gas Distribution</w:t>
            </w:r>
            <w:r w:rsidR="00B93D90">
              <w:rPr>
                <w:webHidden/>
              </w:rPr>
              <w:tab/>
            </w:r>
            <w:r w:rsidR="00B93D90">
              <w:rPr>
                <w:webHidden/>
              </w:rPr>
              <w:fldChar w:fldCharType="begin"/>
            </w:r>
            <w:r w:rsidR="00B93D90">
              <w:rPr>
                <w:webHidden/>
              </w:rPr>
              <w:instrText xml:space="preserve"> PAGEREF _Toc487014321 \h </w:instrText>
            </w:r>
            <w:r w:rsidR="00B93D90">
              <w:rPr>
                <w:webHidden/>
              </w:rPr>
            </w:r>
            <w:r w:rsidR="00B93D90">
              <w:rPr>
                <w:webHidden/>
              </w:rPr>
              <w:fldChar w:fldCharType="separate"/>
            </w:r>
            <w:r>
              <w:rPr>
                <w:webHidden/>
              </w:rPr>
              <w:t>4-90</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22" w:history="1">
            <w:r w:rsidR="00B93D90" w:rsidRPr="00674B57">
              <w:rPr>
                <w:rStyle w:val="Hyperlink"/>
              </w:rPr>
              <w:t>A.5</w:t>
            </w:r>
            <w:r w:rsidR="00B93D90">
              <w:rPr>
                <w:rFonts w:asciiTheme="minorHAnsi" w:eastAsiaTheme="minorEastAsia" w:hAnsiTheme="minorHAnsi"/>
                <w:b w:val="0"/>
                <w:color w:val="auto"/>
                <w:sz w:val="22"/>
                <w:lang w:eastAsia="en-AU"/>
              </w:rPr>
              <w:tab/>
            </w:r>
            <w:r w:rsidR="00B93D90" w:rsidRPr="00674B57">
              <w:rPr>
                <w:rStyle w:val="Hyperlink"/>
              </w:rPr>
              <w:t>The role of the value of imputation credits in the regulatory framework</w:t>
            </w:r>
            <w:r w:rsidR="00B93D90">
              <w:rPr>
                <w:webHidden/>
              </w:rPr>
              <w:tab/>
            </w:r>
            <w:r w:rsidR="00B93D90">
              <w:rPr>
                <w:webHidden/>
              </w:rPr>
              <w:fldChar w:fldCharType="begin"/>
            </w:r>
            <w:r w:rsidR="00B93D90">
              <w:rPr>
                <w:webHidden/>
              </w:rPr>
              <w:instrText xml:space="preserve"> PAGEREF _Toc487014322 \h </w:instrText>
            </w:r>
            <w:r w:rsidR="00B93D90">
              <w:rPr>
                <w:webHidden/>
              </w:rPr>
            </w:r>
            <w:r w:rsidR="00B93D90">
              <w:rPr>
                <w:webHidden/>
              </w:rPr>
              <w:fldChar w:fldCharType="separate"/>
            </w:r>
            <w:r>
              <w:rPr>
                <w:webHidden/>
              </w:rPr>
              <w:t>4-91</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3" w:history="1">
            <w:r w:rsidR="00B93D90" w:rsidRPr="00674B57">
              <w:rPr>
                <w:rStyle w:val="Hyperlink"/>
                <w14:scene3d>
                  <w14:camera w14:prst="orthographicFront"/>
                  <w14:lightRig w14:rig="threePt" w14:dir="t">
                    <w14:rot w14:lat="0" w14:lon="0" w14:rev="0"/>
                  </w14:lightRig>
                </w14:scene3d>
              </w:rPr>
              <w:t>A.5.1</w:t>
            </w:r>
            <w:r w:rsidR="00B93D90">
              <w:rPr>
                <w:rFonts w:asciiTheme="minorHAnsi" w:eastAsiaTheme="minorEastAsia" w:hAnsiTheme="minorHAnsi"/>
                <w:lang w:eastAsia="en-AU"/>
              </w:rPr>
              <w:tab/>
            </w:r>
            <w:r w:rsidR="00B93D90" w:rsidRPr="00674B57">
              <w:rPr>
                <w:rStyle w:val="Hyperlink"/>
              </w:rPr>
              <w:t>The building block framework</w:t>
            </w:r>
            <w:r w:rsidR="00B93D90">
              <w:rPr>
                <w:webHidden/>
              </w:rPr>
              <w:tab/>
            </w:r>
            <w:r w:rsidR="00B93D90">
              <w:rPr>
                <w:webHidden/>
              </w:rPr>
              <w:fldChar w:fldCharType="begin"/>
            </w:r>
            <w:r w:rsidR="00B93D90">
              <w:rPr>
                <w:webHidden/>
              </w:rPr>
              <w:instrText xml:space="preserve"> PAGEREF _Toc487014323 \h </w:instrText>
            </w:r>
            <w:r w:rsidR="00B93D90">
              <w:rPr>
                <w:webHidden/>
              </w:rPr>
            </w:r>
            <w:r w:rsidR="00B93D90">
              <w:rPr>
                <w:webHidden/>
              </w:rPr>
              <w:fldChar w:fldCharType="separate"/>
            </w:r>
            <w:r>
              <w:rPr>
                <w:webHidden/>
              </w:rPr>
              <w:t>4-91</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4" w:history="1">
            <w:r w:rsidR="00B93D90" w:rsidRPr="00674B57">
              <w:rPr>
                <w:rStyle w:val="Hyperlink"/>
                <w14:scene3d>
                  <w14:camera w14:prst="orthographicFront"/>
                  <w14:lightRig w14:rig="threePt" w14:dir="t">
                    <w14:rot w14:lat="0" w14:lon="0" w14:rev="0"/>
                  </w14:lightRig>
                </w14:scene3d>
              </w:rPr>
              <w:t>A.5.2</w:t>
            </w:r>
            <w:r w:rsidR="00B93D90">
              <w:rPr>
                <w:rFonts w:asciiTheme="minorHAnsi" w:eastAsiaTheme="minorEastAsia" w:hAnsiTheme="minorHAnsi"/>
                <w:lang w:eastAsia="en-AU"/>
              </w:rPr>
              <w:tab/>
            </w:r>
            <w:r w:rsidR="00B93D90" w:rsidRPr="00674B57">
              <w:rPr>
                <w:rStyle w:val="Hyperlink"/>
              </w:rPr>
              <w:t>The tax building block</w:t>
            </w:r>
            <w:r w:rsidR="00B93D90">
              <w:rPr>
                <w:webHidden/>
              </w:rPr>
              <w:tab/>
            </w:r>
            <w:r w:rsidR="00B93D90">
              <w:rPr>
                <w:webHidden/>
              </w:rPr>
              <w:fldChar w:fldCharType="begin"/>
            </w:r>
            <w:r w:rsidR="00B93D90">
              <w:rPr>
                <w:webHidden/>
              </w:rPr>
              <w:instrText xml:space="preserve"> PAGEREF _Toc487014324 \h </w:instrText>
            </w:r>
            <w:r w:rsidR="00B93D90">
              <w:rPr>
                <w:webHidden/>
              </w:rPr>
            </w:r>
            <w:r w:rsidR="00B93D90">
              <w:rPr>
                <w:webHidden/>
              </w:rPr>
              <w:fldChar w:fldCharType="separate"/>
            </w:r>
            <w:r>
              <w:rPr>
                <w:webHidden/>
              </w:rPr>
              <w:t>4-94</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25" w:history="1">
            <w:r w:rsidR="00B93D90" w:rsidRPr="00674B57">
              <w:rPr>
                <w:rStyle w:val="Hyperlink"/>
              </w:rPr>
              <w:t>A.6</w:t>
            </w:r>
            <w:r w:rsidR="00B93D90">
              <w:rPr>
                <w:rFonts w:asciiTheme="minorHAnsi" w:eastAsiaTheme="minorEastAsia" w:hAnsiTheme="minorHAnsi"/>
                <w:b w:val="0"/>
                <w:color w:val="auto"/>
                <w:sz w:val="22"/>
                <w:lang w:eastAsia="en-AU"/>
              </w:rPr>
              <w:tab/>
            </w:r>
            <w:r w:rsidR="00B93D90" w:rsidRPr="00674B57">
              <w:rPr>
                <w:rStyle w:val="Hyperlink"/>
              </w:rPr>
              <w:t>The conceptual framework for the value of imputation credits</w:t>
            </w:r>
            <w:r w:rsidR="00B93D90">
              <w:rPr>
                <w:webHidden/>
              </w:rPr>
              <w:tab/>
            </w:r>
            <w:r w:rsidR="00B93D90">
              <w:rPr>
                <w:webHidden/>
              </w:rPr>
              <w:fldChar w:fldCharType="begin"/>
            </w:r>
            <w:r w:rsidR="00B93D90">
              <w:rPr>
                <w:webHidden/>
              </w:rPr>
              <w:instrText xml:space="preserve"> PAGEREF _Toc487014325 \h </w:instrText>
            </w:r>
            <w:r w:rsidR="00B93D90">
              <w:rPr>
                <w:webHidden/>
              </w:rPr>
            </w:r>
            <w:r w:rsidR="00B93D90">
              <w:rPr>
                <w:webHidden/>
              </w:rPr>
              <w:fldChar w:fldCharType="separate"/>
            </w:r>
            <w:r>
              <w:rPr>
                <w:webHidden/>
              </w:rPr>
              <w:t>4-94</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26" w:history="1">
            <w:r w:rsidR="00B93D90" w:rsidRPr="00674B57">
              <w:rPr>
                <w:rStyle w:val="Hyperlink"/>
              </w:rPr>
              <w:t>A.7</w:t>
            </w:r>
            <w:r w:rsidR="00B93D90">
              <w:rPr>
                <w:rFonts w:asciiTheme="minorHAnsi" w:eastAsiaTheme="minorEastAsia" w:hAnsiTheme="minorHAnsi"/>
                <w:b w:val="0"/>
                <w:color w:val="auto"/>
                <w:sz w:val="22"/>
                <w:lang w:eastAsia="en-AU"/>
              </w:rPr>
              <w:tab/>
            </w:r>
            <w:r w:rsidR="00B93D90" w:rsidRPr="00674B57">
              <w:rPr>
                <w:rStyle w:val="Hyperlink"/>
              </w:rPr>
              <w:t>Gray's comments on the conceptual framework</w:t>
            </w:r>
            <w:r w:rsidR="00B93D90">
              <w:rPr>
                <w:webHidden/>
              </w:rPr>
              <w:tab/>
            </w:r>
            <w:r w:rsidR="00B93D90">
              <w:rPr>
                <w:webHidden/>
              </w:rPr>
              <w:fldChar w:fldCharType="begin"/>
            </w:r>
            <w:r w:rsidR="00B93D90">
              <w:rPr>
                <w:webHidden/>
              </w:rPr>
              <w:instrText xml:space="preserve"> PAGEREF _Toc487014326 \h </w:instrText>
            </w:r>
            <w:r w:rsidR="00B93D90">
              <w:rPr>
                <w:webHidden/>
              </w:rPr>
            </w:r>
            <w:r w:rsidR="00B93D90">
              <w:rPr>
                <w:webHidden/>
              </w:rPr>
              <w:fldChar w:fldCharType="separate"/>
            </w:r>
            <w:r>
              <w:rPr>
                <w:webHidden/>
              </w:rPr>
              <w:t>4-101</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7" w:history="1">
            <w:r w:rsidR="00B93D90" w:rsidRPr="00674B57">
              <w:rPr>
                <w:rStyle w:val="Hyperlink"/>
                <w14:scene3d>
                  <w14:camera w14:prst="orthographicFront"/>
                  <w14:lightRig w14:rig="threePt" w14:dir="t">
                    <w14:rot w14:lat="0" w14:lon="0" w14:rev="0"/>
                  </w14:lightRig>
                </w14:scene3d>
              </w:rPr>
              <w:t>A.7.1</w:t>
            </w:r>
            <w:r w:rsidR="00B93D90">
              <w:rPr>
                <w:rFonts w:asciiTheme="minorHAnsi" w:eastAsiaTheme="minorEastAsia" w:hAnsiTheme="minorHAnsi"/>
                <w:lang w:eastAsia="en-AU"/>
              </w:rPr>
              <w:tab/>
            </w:r>
            <w:r w:rsidR="00B93D90" w:rsidRPr="00674B57">
              <w:rPr>
                <w:rStyle w:val="Hyperlink"/>
              </w:rPr>
              <w:t>Gray's comments on the AER's position</w:t>
            </w:r>
            <w:r w:rsidR="00B93D90">
              <w:rPr>
                <w:webHidden/>
              </w:rPr>
              <w:tab/>
            </w:r>
            <w:r w:rsidR="00B93D90">
              <w:rPr>
                <w:webHidden/>
              </w:rPr>
              <w:fldChar w:fldCharType="begin"/>
            </w:r>
            <w:r w:rsidR="00B93D90">
              <w:rPr>
                <w:webHidden/>
              </w:rPr>
              <w:instrText xml:space="preserve"> PAGEREF _Toc487014327 \h </w:instrText>
            </w:r>
            <w:r w:rsidR="00B93D90">
              <w:rPr>
                <w:webHidden/>
              </w:rPr>
            </w:r>
            <w:r w:rsidR="00B93D90">
              <w:rPr>
                <w:webHidden/>
              </w:rPr>
              <w:fldChar w:fldCharType="separate"/>
            </w:r>
            <w:r>
              <w:rPr>
                <w:webHidden/>
              </w:rPr>
              <w:t>4-102</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8" w:history="1">
            <w:r w:rsidR="00B93D90" w:rsidRPr="00674B57">
              <w:rPr>
                <w:rStyle w:val="Hyperlink"/>
                <w14:scene3d>
                  <w14:camera w14:prst="orthographicFront"/>
                  <w14:lightRig w14:rig="threePt" w14:dir="t">
                    <w14:rot w14:lat="0" w14:lon="0" w14:rev="0"/>
                  </w14:lightRig>
                </w14:scene3d>
              </w:rPr>
              <w:t>A.7.2</w:t>
            </w:r>
            <w:r w:rsidR="00B93D90">
              <w:rPr>
                <w:rFonts w:asciiTheme="minorHAnsi" w:eastAsiaTheme="minorEastAsia" w:hAnsiTheme="minorHAnsi"/>
                <w:lang w:eastAsia="en-AU"/>
              </w:rPr>
              <w:tab/>
            </w:r>
            <w:r w:rsidR="00B93D90" w:rsidRPr="00674B57">
              <w:rPr>
                <w:rStyle w:val="Hyperlink"/>
              </w:rPr>
              <w:t>Gray's comments on certain evidence and advice cited in the Guideline</w:t>
            </w:r>
            <w:r w:rsidR="00B93D90">
              <w:rPr>
                <w:webHidden/>
              </w:rPr>
              <w:tab/>
            </w:r>
            <w:r w:rsidR="00B93D90">
              <w:rPr>
                <w:webHidden/>
              </w:rPr>
              <w:fldChar w:fldCharType="begin"/>
            </w:r>
            <w:r w:rsidR="00B93D90">
              <w:rPr>
                <w:webHidden/>
              </w:rPr>
              <w:instrText xml:space="preserve"> PAGEREF _Toc487014328 \h </w:instrText>
            </w:r>
            <w:r w:rsidR="00B93D90">
              <w:rPr>
                <w:webHidden/>
              </w:rPr>
            </w:r>
            <w:r w:rsidR="00B93D90">
              <w:rPr>
                <w:webHidden/>
              </w:rPr>
              <w:fldChar w:fldCharType="separate"/>
            </w:r>
            <w:r>
              <w:rPr>
                <w:webHidden/>
              </w:rPr>
              <w:t>4-103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29" w:history="1">
            <w:r w:rsidR="00B93D90" w:rsidRPr="00674B57">
              <w:rPr>
                <w:rStyle w:val="Hyperlink"/>
                <w14:scene3d>
                  <w14:camera w14:prst="orthographicFront"/>
                  <w14:lightRig w14:rig="threePt" w14:dir="t">
                    <w14:rot w14:lat="0" w14:lon="0" w14:rev="0"/>
                  </w14:lightRig>
                </w14:scene3d>
              </w:rPr>
              <w:t>A.7.3</w:t>
            </w:r>
            <w:r w:rsidR="00B93D90">
              <w:rPr>
                <w:rFonts w:asciiTheme="minorHAnsi" w:eastAsiaTheme="minorEastAsia" w:hAnsiTheme="minorHAnsi"/>
                <w:lang w:eastAsia="en-AU"/>
              </w:rPr>
              <w:tab/>
            </w:r>
            <w:r w:rsidR="00B93D90" w:rsidRPr="00674B57">
              <w:rPr>
                <w:rStyle w:val="Hyperlink"/>
              </w:rPr>
              <w:t>Gray's comments on Officer (1994)</w:t>
            </w:r>
            <w:r w:rsidR="00B93D90">
              <w:rPr>
                <w:webHidden/>
              </w:rPr>
              <w:tab/>
            </w:r>
            <w:r w:rsidR="00B93D90">
              <w:rPr>
                <w:webHidden/>
              </w:rPr>
              <w:fldChar w:fldCharType="begin"/>
            </w:r>
            <w:r w:rsidR="00B93D90">
              <w:rPr>
                <w:webHidden/>
              </w:rPr>
              <w:instrText xml:space="preserve"> PAGEREF _Toc487014329 \h </w:instrText>
            </w:r>
            <w:r w:rsidR="00B93D90">
              <w:rPr>
                <w:webHidden/>
              </w:rPr>
            </w:r>
            <w:r w:rsidR="00B93D90">
              <w:rPr>
                <w:webHidden/>
              </w:rPr>
              <w:fldChar w:fldCharType="separate"/>
            </w:r>
            <w:r>
              <w:rPr>
                <w:webHidden/>
              </w:rPr>
              <w:t>4-103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0" w:history="1">
            <w:r w:rsidR="00B93D90" w:rsidRPr="00674B57">
              <w:rPr>
                <w:rStyle w:val="Hyperlink"/>
                <w14:scene3d>
                  <w14:camera w14:prst="orthographicFront"/>
                  <w14:lightRig w14:rig="threePt" w14:dir="t">
                    <w14:rot w14:lat="0" w14:lon="0" w14:rev="0"/>
                  </w14:lightRig>
                </w14:scene3d>
              </w:rPr>
              <w:t>A.7.4</w:t>
            </w:r>
            <w:r w:rsidR="00B93D90">
              <w:rPr>
                <w:rFonts w:asciiTheme="minorHAnsi" w:eastAsiaTheme="minorEastAsia" w:hAnsiTheme="minorHAnsi"/>
                <w:lang w:eastAsia="en-AU"/>
              </w:rPr>
              <w:tab/>
            </w:r>
            <w:r w:rsidR="00B93D90" w:rsidRPr="00674B57">
              <w:rPr>
                <w:rStyle w:val="Hyperlink"/>
              </w:rPr>
              <w:t>Gray's comments on the Monkhouse framework</w:t>
            </w:r>
            <w:r w:rsidR="00B93D90">
              <w:rPr>
                <w:webHidden/>
              </w:rPr>
              <w:tab/>
            </w:r>
            <w:r w:rsidR="00B93D90">
              <w:rPr>
                <w:webHidden/>
              </w:rPr>
              <w:fldChar w:fldCharType="begin"/>
            </w:r>
            <w:r w:rsidR="00B93D90">
              <w:rPr>
                <w:webHidden/>
              </w:rPr>
              <w:instrText xml:space="preserve"> PAGEREF _Toc487014330 \h </w:instrText>
            </w:r>
            <w:r w:rsidR="00B93D90">
              <w:rPr>
                <w:webHidden/>
              </w:rPr>
            </w:r>
            <w:r w:rsidR="00B93D90">
              <w:rPr>
                <w:webHidden/>
              </w:rPr>
              <w:fldChar w:fldCharType="separate"/>
            </w:r>
            <w:r>
              <w:rPr>
                <w:webHidden/>
              </w:rPr>
              <w:t>4-112</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31" w:history="1">
            <w:r w:rsidR="00B93D90" w:rsidRPr="00674B57">
              <w:rPr>
                <w:rStyle w:val="Hyperlink"/>
              </w:rPr>
              <w:t>A.8</w:t>
            </w:r>
            <w:r w:rsidR="00B93D90">
              <w:rPr>
                <w:rFonts w:asciiTheme="minorHAnsi" w:eastAsiaTheme="minorEastAsia" w:hAnsiTheme="minorHAnsi"/>
                <w:b w:val="0"/>
                <w:color w:val="auto"/>
                <w:sz w:val="22"/>
                <w:lang w:eastAsia="en-AU"/>
              </w:rPr>
              <w:tab/>
            </w:r>
            <w:r w:rsidR="00B93D90" w:rsidRPr="00674B57">
              <w:rPr>
                <w:rStyle w:val="Hyperlink"/>
              </w:rPr>
              <w:t>Further issues relating to the utilisation rate</w:t>
            </w:r>
            <w:r w:rsidR="00B93D90">
              <w:rPr>
                <w:webHidden/>
              </w:rPr>
              <w:tab/>
            </w:r>
            <w:r w:rsidR="00B93D90">
              <w:rPr>
                <w:webHidden/>
              </w:rPr>
              <w:fldChar w:fldCharType="begin"/>
            </w:r>
            <w:r w:rsidR="00B93D90">
              <w:rPr>
                <w:webHidden/>
              </w:rPr>
              <w:instrText xml:space="preserve"> PAGEREF _Toc487014331 \h </w:instrText>
            </w:r>
            <w:r w:rsidR="00B93D90">
              <w:rPr>
                <w:webHidden/>
              </w:rPr>
            </w:r>
            <w:r w:rsidR="00B93D90">
              <w:rPr>
                <w:webHidden/>
              </w:rPr>
              <w:fldChar w:fldCharType="separate"/>
            </w:r>
            <w:r>
              <w:rPr>
                <w:webHidden/>
              </w:rPr>
              <w:t>4-115</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2" w:history="1">
            <w:r w:rsidR="00B93D90" w:rsidRPr="00674B57">
              <w:rPr>
                <w:rStyle w:val="Hyperlink"/>
                <w14:scene3d>
                  <w14:camera w14:prst="orthographicFront"/>
                  <w14:lightRig w14:rig="threePt" w14:dir="t">
                    <w14:rot w14:lat="0" w14:lon="0" w14:rev="0"/>
                  </w14:lightRig>
                </w14:scene3d>
              </w:rPr>
              <w:t>A.8.1</w:t>
            </w:r>
            <w:r w:rsidR="00B93D90">
              <w:rPr>
                <w:rFonts w:asciiTheme="minorHAnsi" w:eastAsiaTheme="minorEastAsia" w:hAnsiTheme="minorHAnsi"/>
                <w:lang w:eastAsia="en-AU"/>
              </w:rPr>
              <w:tab/>
            </w:r>
            <w:r w:rsidR="00B93D90" w:rsidRPr="00674B57">
              <w:rPr>
                <w:rStyle w:val="Hyperlink"/>
              </w:rPr>
              <w:t>Consistency with the building block framework</w:t>
            </w:r>
            <w:r w:rsidR="00B93D90">
              <w:rPr>
                <w:webHidden/>
              </w:rPr>
              <w:tab/>
            </w:r>
            <w:r w:rsidR="00B93D90">
              <w:rPr>
                <w:webHidden/>
              </w:rPr>
              <w:fldChar w:fldCharType="begin"/>
            </w:r>
            <w:r w:rsidR="00B93D90">
              <w:rPr>
                <w:webHidden/>
              </w:rPr>
              <w:instrText xml:space="preserve"> PAGEREF _Toc487014332 \h </w:instrText>
            </w:r>
            <w:r w:rsidR="00B93D90">
              <w:rPr>
                <w:webHidden/>
              </w:rPr>
            </w:r>
            <w:r w:rsidR="00B93D90">
              <w:rPr>
                <w:webHidden/>
              </w:rPr>
              <w:fldChar w:fldCharType="separate"/>
            </w:r>
            <w:r>
              <w:rPr>
                <w:webHidden/>
              </w:rPr>
              <w:t>4-115</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3" w:history="1">
            <w:r w:rsidR="00B93D90" w:rsidRPr="00674B57">
              <w:rPr>
                <w:rStyle w:val="Hyperlink"/>
                <w14:scene3d>
                  <w14:camera w14:prst="orthographicFront"/>
                  <w14:lightRig w14:rig="threePt" w14:dir="t">
                    <w14:rot w14:lat="0" w14:lon="0" w14:rev="0"/>
                  </w14:lightRig>
                </w14:scene3d>
              </w:rPr>
              <w:t>A.8.2</w:t>
            </w:r>
            <w:r w:rsidR="00B93D90">
              <w:rPr>
                <w:rFonts w:asciiTheme="minorHAnsi" w:eastAsiaTheme="minorEastAsia" w:hAnsiTheme="minorHAnsi"/>
                <w:lang w:eastAsia="en-AU"/>
              </w:rPr>
              <w:tab/>
            </w:r>
            <w:r w:rsidR="00B93D90" w:rsidRPr="00674B57">
              <w:rPr>
                <w:rStyle w:val="Hyperlink"/>
              </w:rPr>
              <w:t>Consistency with other allowed rate of return parameters</w:t>
            </w:r>
            <w:r w:rsidR="00B93D90">
              <w:rPr>
                <w:webHidden/>
              </w:rPr>
              <w:tab/>
            </w:r>
            <w:r w:rsidR="00B93D90">
              <w:rPr>
                <w:webHidden/>
              </w:rPr>
              <w:fldChar w:fldCharType="begin"/>
            </w:r>
            <w:r w:rsidR="00B93D90">
              <w:rPr>
                <w:webHidden/>
              </w:rPr>
              <w:instrText xml:space="preserve"> PAGEREF _Toc487014333 \h </w:instrText>
            </w:r>
            <w:r w:rsidR="00B93D90">
              <w:rPr>
                <w:webHidden/>
              </w:rPr>
            </w:r>
            <w:r w:rsidR="00B93D90">
              <w:rPr>
                <w:webHidden/>
              </w:rPr>
              <w:fldChar w:fldCharType="separate"/>
            </w:r>
            <w:r>
              <w:rPr>
                <w:webHidden/>
              </w:rPr>
              <w:t>4-119</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4" w:history="1">
            <w:r w:rsidR="00B93D90" w:rsidRPr="00674B57">
              <w:rPr>
                <w:rStyle w:val="Hyperlink"/>
                <w14:scene3d>
                  <w14:camera w14:prst="orthographicFront"/>
                  <w14:lightRig w14:rig="threePt" w14:dir="t">
                    <w14:rot w14:lat="0" w14:lon="0" w14:rev="0"/>
                  </w14:lightRig>
                </w14:scene3d>
              </w:rPr>
              <w:t>A.8.3</w:t>
            </w:r>
            <w:r w:rsidR="00B93D90">
              <w:rPr>
                <w:rFonts w:asciiTheme="minorHAnsi" w:eastAsiaTheme="minorEastAsia" w:hAnsiTheme="minorHAnsi"/>
                <w:lang w:eastAsia="en-AU"/>
              </w:rPr>
              <w:tab/>
            </w:r>
            <w:r w:rsidR="00B93D90" w:rsidRPr="00674B57">
              <w:rPr>
                <w:rStyle w:val="Hyperlink"/>
              </w:rPr>
              <w:t>Market Risk Premium adjustment for gamma</w:t>
            </w:r>
            <w:r w:rsidR="00B93D90">
              <w:rPr>
                <w:webHidden/>
              </w:rPr>
              <w:tab/>
            </w:r>
            <w:r w:rsidR="00B93D90">
              <w:rPr>
                <w:webHidden/>
              </w:rPr>
              <w:fldChar w:fldCharType="begin"/>
            </w:r>
            <w:r w:rsidR="00B93D90">
              <w:rPr>
                <w:webHidden/>
              </w:rPr>
              <w:instrText xml:space="preserve"> PAGEREF _Toc487014334 \h </w:instrText>
            </w:r>
            <w:r w:rsidR="00B93D90">
              <w:rPr>
                <w:webHidden/>
              </w:rPr>
            </w:r>
            <w:r w:rsidR="00B93D90">
              <w:rPr>
                <w:webHidden/>
              </w:rPr>
              <w:fldChar w:fldCharType="separate"/>
            </w:r>
            <w:r>
              <w:rPr>
                <w:webHidden/>
              </w:rPr>
              <w:t>4-124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5" w:history="1">
            <w:r w:rsidR="00B93D90" w:rsidRPr="00674B57">
              <w:rPr>
                <w:rStyle w:val="Hyperlink"/>
                <w14:scene3d>
                  <w14:camera w14:prst="orthographicFront"/>
                  <w14:lightRig w14:rig="threePt" w14:dir="t">
                    <w14:rot w14:lat="0" w14:lon="0" w14:rev="0"/>
                  </w14:lightRig>
                </w14:scene3d>
              </w:rPr>
              <w:t>A.8.4</w:t>
            </w:r>
            <w:r w:rsidR="00B93D90">
              <w:rPr>
                <w:rFonts w:asciiTheme="minorHAnsi" w:eastAsiaTheme="minorEastAsia" w:hAnsiTheme="minorHAnsi"/>
                <w:lang w:eastAsia="en-AU"/>
              </w:rPr>
              <w:tab/>
            </w:r>
            <w:r w:rsidR="00B93D90" w:rsidRPr="00674B57">
              <w:rPr>
                <w:rStyle w:val="Hyperlink"/>
              </w:rPr>
              <w:t>Factors affecting investors' valuation of imputation credits</w:t>
            </w:r>
            <w:r w:rsidR="00B93D90">
              <w:rPr>
                <w:webHidden/>
              </w:rPr>
              <w:tab/>
            </w:r>
            <w:r w:rsidR="00B93D90">
              <w:rPr>
                <w:webHidden/>
              </w:rPr>
              <w:fldChar w:fldCharType="begin"/>
            </w:r>
            <w:r w:rsidR="00B93D90">
              <w:rPr>
                <w:webHidden/>
              </w:rPr>
              <w:instrText xml:space="preserve"> PAGEREF _Toc487014335 \h </w:instrText>
            </w:r>
            <w:r w:rsidR="00B93D90">
              <w:rPr>
                <w:webHidden/>
              </w:rPr>
            </w:r>
            <w:r w:rsidR="00B93D90">
              <w:rPr>
                <w:webHidden/>
              </w:rPr>
              <w:fldChar w:fldCharType="separate"/>
            </w:r>
            <w:r>
              <w:rPr>
                <w:webHidden/>
              </w:rPr>
              <w:t>4-126</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6" w:history="1">
            <w:r w:rsidR="00B93D90" w:rsidRPr="00674B57">
              <w:rPr>
                <w:rStyle w:val="Hyperlink"/>
                <w14:scene3d>
                  <w14:camera w14:prst="orthographicFront"/>
                  <w14:lightRig w14:rig="threePt" w14:dir="t">
                    <w14:rot w14:lat="0" w14:lon="0" w14:rev="0"/>
                  </w14:lightRig>
                </w14:scene3d>
              </w:rPr>
              <w:t>A.8.5</w:t>
            </w:r>
            <w:r w:rsidR="00B93D90">
              <w:rPr>
                <w:rFonts w:asciiTheme="minorHAnsi" w:eastAsiaTheme="minorEastAsia" w:hAnsiTheme="minorHAnsi"/>
                <w:lang w:eastAsia="en-AU"/>
              </w:rPr>
              <w:tab/>
            </w:r>
            <w:r w:rsidR="00B93D90" w:rsidRPr="00674B57">
              <w:rPr>
                <w:rStyle w:val="Hyperlink"/>
              </w:rPr>
              <w:t>NERA's comments on the utilisation rate</w:t>
            </w:r>
            <w:r w:rsidR="00B93D90">
              <w:rPr>
                <w:webHidden/>
              </w:rPr>
              <w:tab/>
            </w:r>
            <w:r w:rsidR="00B93D90">
              <w:rPr>
                <w:webHidden/>
              </w:rPr>
              <w:fldChar w:fldCharType="begin"/>
            </w:r>
            <w:r w:rsidR="00B93D90">
              <w:rPr>
                <w:webHidden/>
              </w:rPr>
              <w:instrText xml:space="preserve"> PAGEREF _Toc487014336 \h </w:instrText>
            </w:r>
            <w:r w:rsidR="00B93D90">
              <w:rPr>
                <w:webHidden/>
              </w:rPr>
            </w:r>
            <w:r w:rsidR="00B93D90">
              <w:rPr>
                <w:webHidden/>
              </w:rPr>
              <w:fldChar w:fldCharType="separate"/>
            </w:r>
            <w:r>
              <w:rPr>
                <w:webHidden/>
              </w:rPr>
              <w:t>4-141</w:t>
            </w:r>
            <w:r w:rsidR="00B93D90">
              <w:rPr>
                <w:webHidden/>
              </w:rPr>
              <w:fldChar w:fldCharType="end"/>
            </w:r>
          </w:hyperlink>
        </w:p>
        <w:p w:rsidR="00B93D90" w:rsidRDefault="00BF66D3">
          <w:pPr>
            <w:pStyle w:val="TOC2"/>
            <w:rPr>
              <w:rFonts w:asciiTheme="minorHAnsi" w:eastAsiaTheme="minorEastAsia" w:hAnsiTheme="minorHAnsi"/>
              <w:b w:val="0"/>
              <w:color w:val="auto"/>
              <w:sz w:val="22"/>
              <w:lang w:eastAsia="en-AU"/>
            </w:rPr>
          </w:pPr>
          <w:hyperlink w:anchor="_Toc487014337" w:history="1">
            <w:r w:rsidR="00B93D90" w:rsidRPr="00674B57">
              <w:rPr>
                <w:rStyle w:val="Hyperlink"/>
              </w:rPr>
              <w:t>A.9</w:t>
            </w:r>
            <w:r w:rsidR="00B93D90">
              <w:rPr>
                <w:rFonts w:asciiTheme="minorHAnsi" w:eastAsiaTheme="minorEastAsia" w:hAnsiTheme="minorHAnsi"/>
                <w:b w:val="0"/>
                <w:color w:val="auto"/>
                <w:sz w:val="22"/>
                <w:lang w:eastAsia="en-AU"/>
              </w:rPr>
              <w:tab/>
            </w:r>
            <w:r w:rsidR="00B93D90" w:rsidRPr="00674B57">
              <w:rPr>
                <w:rStyle w:val="Hyperlink"/>
              </w:rPr>
              <w:t>Estimation approach considerations</w:t>
            </w:r>
            <w:r w:rsidR="00B93D90">
              <w:rPr>
                <w:webHidden/>
              </w:rPr>
              <w:tab/>
            </w:r>
            <w:r w:rsidR="00B93D90">
              <w:rPr>
                <w:webHidden/>
              </w:rPr>
              <w:fldChar w:fldCharType="begin"/>
            </w:r>
            <w:r w:rsidR="00B93D90">
              <w:rPr>
                <w:webHidden/>
              </w:rPr>
              <w:instrText xml:space="preserve"> PAGEREF _Toc487014337 \h </w:instrText>
            </w:r>
            <w:r w:rsidR="00B93D90">
              <w:rPr>
                <w:webHidden/>
              </w:rPr>
            </w:r>
            <w:r w:rsidR="00B93D90">
              <w:rPr>
                <w:webHidden/>
              </w:rPr>
              <w:fldChar w:fldCharType="separate"/>
            </w:r>
            <w:r>
              <w:rPr>
                <w:webHidden/>
              </w:rPr>
              <w:t>4-144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8" w:history="1">
            <w:r w:rsidR="00B93D90" w:rsidRPr="00674B57">
              <w:rPr>
                <w:rStyle w:val="Hyperlink"/>
                <w14:scene3d>
                  <w14:camera w14:prst="orthographicFront"/>
                  <w14:lightRig w14:rig="threePt" w14:dir="t">
                    <w14:rot w14:lat="0" w14:lon="0" w14:rev="0"/>
                  </w14:lightRig>
                </w14:scene3d>
              </w:rPr>
              <w:t>A.9.1</w:t>
            </w:r>
            <w:r w:rsidR="00B93D90">
              <w:rPr>
                <w:rFonts w:asciiTheme="minorHAnsi" w:eastAsiaTheme="minorEastAsia" w:hAnsiTheme="minorHAnsi"/>
                <w:lang w:eastAsia="en-AU"/>
              </w:rPr>
              <w:tab/>
            </w:r>
            <w:r w:rsidR="00B93D90" w:rsidRPr="00674B57">
              <w:rPr>
                <w:rStyle w:val="Hyperlink"/>
              </w:rPr>
              <w:t>Evidence from all equity or only listed equity</w:t>
            </w:r>
            <w:r w:rsidR="00B93D90">
              <w:rPr>
                <w:webHidden/>
              </w:rPr>
              <w:tab/>
            </w:r>
            <w:r w:rsidR="00B93D90">
              <w:rPr>
                <w:webHidden/>
              </w:rPr>
              <w:fldChar w:fldCharType="begin"/>
            </w:r>
            <w:r w:rsidR="00B93D90">
              <w:rPr>
                <w:webHidden/>
              </w:rPr>
              <w:instrText xml:space="preserve"> PAGEREF _Toc487014338 \h </w:instrText>
            </w:r>
            <w:r w:rsidR="00B93D90">
              <w:rPr>
                <w:webHidden/>
              </w:rPr>
            </w:r>
            <w:r w:rsidR="00B93D90">
              <w:rPr>
                <w:webHidden/>
              </w:rPr>
              <w:fldChar w:fldCharType="separate"/>
            </w:r>
            <w:r>
              <w:rPr>
                <w:webHidden/>
              </w:rPr>
              <w:t>4-144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39" w:history="1">
            <w:r w:rsidR="00B93D90" w:rsidRPr="00674B57">
              <w:rPr>
                <w:rStyle w:val="Hyperlink"/>
                <w14:scene3d>
                  <w14:camera w14:prst="orthographicFront"/>
                  <w14:lightRig w14:rig="threePt" w14:dir="t">
                    <w14:rot w14:lat="0" w14:lon="0" w14:rev="0"/>
                  </w14:lightRig>
                </w14:scene3d>
              </w:rPr>
              <w:t>A.9.2</w:t>
            </w:r>
            <w:r w:rsidR="00B93D90">
              <w:rPr>
                <w:rFonts w:asciiTheme="minorHAnsi" w:eastAsiaTheme="minorEastAsia" w:hAnsiTheme="minorHAnsi"/>
                <w:lang w:eastAsia="en-AU"/>
              </w:rPr>
              <w:tab/>
            </w:r>
            <w:r w:rsidR="00B93D90" w:rsidRPr="00674B57">
              <w:rPr>
                <w:rStyle w:val="Hyperlink"/>
              </w:rPr>
              <w:t>Relationship between the distribution rate and the utilisation value</w:t>
            </w:r>
            <w:r w:rsidR="00B93D90">
              <w:rPr>
                <w:webHidden/>
              </w:rPr>
              <w:tab/>
            </w:r>
            <w:r w:rsidR="00B93D90">
              <w:rPr>
                <w:webHidden/>
              </w:rPr>
              <w:fldChar w:fldCharType="begin"/>
            </w:r>
            <w:r w:rsidR="00B93D90">
              <w:rPr>
                <w:webHidden/>
              </w:rPr>
              <w:instrText xml:space="preserve"> PAGEREF _Toc487014339 \h </w:instrText>
            </w:r>
            <w:r w:rsidR="00B93D90">
              <w:rPr>
                <w:webHidden/>
              </w:rPr>
            </w:r>
            <w:r w:rsidR="00B93D90">
              <w:rPr>
                <w:webHidden/>
              </w:rPr>
              <w:fldChar w:fldCharType="separate"/>
            </w:r>
            <w:r>
              <w:rPr>
                <w:webHidden/>
              </w:rPr>
              <w:t>4-147</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0" w:history="1">
            <w:r w:rsidR="00B93D90" w:rsidRPr="00674B57">
              <w:rPr>
                <w:rStyle w:val="Hyperlink"/>
              </w:rPr>
              <w:t>A.10</w:t>
            </w:r>
            <w:r w:rsidR="00B93D90">
              <w:rPr>
                <w:rFonts w:asciiTheme="minorHAnsi" w:eastAsiaTheme="minorEastAsia" w:hAnsiTheme="minorHAnsi"/>
                <w:b w:val="0"/>
                <w:color w:val="auto"/>
                <w:sz w:val="22"/>
                <w:lang w:eastAsia="en-AU"/>
              </w:rPr>
              <w:tab/>
            </w:r>
            <w:r w:rsidR="00B93D90" w:rsidRPr="00674B57">
              <w:rPr>
                <w:rStyle w:val="Hyperlink"/>
              </w:rPr>
              <w:t>Estimating the distribution rate</w:t>
            </w:r>
            <w:r w:rsidR="00B93D90">
              <w:rPr>
                <w:webHidden/>
              </w:rPr>
              <w:tab/>
            </w:r>
            <w:r w:rsidR="00B93D90">
              <w:rPr>
                <w:webHidden/>
              </w:rPr>
              <w:fldChar w:fldCharType="begin"/>
            </w:r>
            <w:r w:rsidR="00B93D90">
              <w:rPr>
                <w:webHidden/>
              </w:rPr>
              <w:instrText xml:space="preserve"> PAGEREF _Toc487014340 \h </w:instrText>
            </w:r>
            <w:r w:rsidR="00B93D90">
              <w:rPr>
                <w:webHidden/>
              </w:rPr>
            </w:r>
            <w:r w:rsidR="00B93D90">
              <w:rPr>
                <w:webHidden/>
              </w:rPr>
              <w:fldChar w:fldCharType="separate"/>
            </w:r>
            <w:r>
              <w:rPr>
                <w:webHidden/>
              </w:rPr>
              <w:t>4-150</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41" w:history="1">
            <w:r w:rsidR="00B93D90" w:rsidRPr="00674B57">
              <w:rPr>
                <w:rStyle w:val="Hyperlink"/>
                <w14:scene3d>
                  <w14:camera w14:prst="orthographicFront"/>
                  <w14:lightRig w14:rig="threePt" w14:dir="t">
                    <w14:rot w14:lat="0" w14:lon="0" w14:rev="0"/>
                  </w14:lightRig>
                </w14:scene3d>
              </w:rPr>
              <w:t>A.10.1</w:t>
            </w:r>
            <w:r w:rsidR="00B93D90">
              <w:rPr>
                <w:rFonts w:asciiTheme="minorHAnsi" w:eastAsiaTheme="minorEastAsia" w:hAnsiTheme="minorHAnsi"/>
                <w:lang w:eastAsia="en-AU"/>
              </w:rPr>
              <w:tab/>
            </w:r>
            <w:r w:rsidR="00B93D90" w:rsidRPr="00674B57">
              <w:rPr>
                <w:rStyle w:val="Hyperlink"/>
              </w:rPr>
              <w:t>Service providers', Gray's and NERA's comments on the distribution rate</w:t>
            </w:r>
            <w:r w:rsidR="00B93D90">
              <w:rPr>
                <w:webHidden/>
              </w:rPr>
              <w:tab/>
            </w:r>
            <w:r w:rsidR="00B93D90">
              <w:rPr>
                <w:webHidden/>
              </w:rPr>
              <w:fldChar w:fldCharType="begin"/>
            </w:r>
            <w:r w:rsidR="00B93D90">
              <w:rPr>
                <w:webHidden/>
              </w:rPr>
              <w:instrText xml:space="preserve"> PAGEREF _Toc487014341 \h </w:instrText>
            </w:r>
            <w:r w:rsidR="00B93D90">
              <w:rPr>
                <w:webHidden/>
              </w:rPr>
            </w:r>
            <w:r w:rsidR="00B93D90">
              <w:rPr>
                <w:webHidden/>
              </w:rPr>
              <w:fldChar w:fldCharType="separate"/>
            </w:r>
            <w:r>
              <w:rPr>
                <w:webHidden/>
              </w:rPr>
              <w:t>4-152</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42" w:history="1">
            <w:r w:rsidR="00B93D90" w:rsidRPr="00674B57">
              <w:rPr>
                <w:rStyle w:val="Hyperlink"/>
                <w14:scene3d>
                  <w14:camera w14:prst="orthographicFront"/>
                  <w14:lightRig w14:rig="threePt" w14:dir="t">
                    <w14:rot w14:lat="0" w14:lon="0" w14:rev="0"/>
                  </w14:lightRig>
                </w14:scene3d>
              </w:rPr>
              <w:t>A.10.2</w:t>
            </w:r>
            <w:r w:rsidR="00B93D90">
              <w:rPr>
                <w:rFonts w:asciiTheme="minorHAnsi" w:eastAsiaTheme="minorEastAsia" w:hAnsiTheme="minorHAnsi"/>
                <w:lang w:eastAsia="en-AU"/>
              </w:rPr>
              <w:tab/>
            </w:r>
            <w:r w:rsidR="00B93D90" w:rsidRPr="00674B57">
              <w:rPr>
                <w:rStyle w:val="Hyperlink"/>
              </w:rPr>
              <w:t>The cumulative payout ratio approach</w:t>
            </w:r>
            <w:r w:rsidR="00B93D90">
              <w:rPr>
                <w:webHidden/>
              </w:rPr>
              <w:tab/>
            </w:r>
            <w:r w:rsidR="00B93D90">
              <w:rPr>
                <w:webHidden/>
              </w:rPr>
              <w:fldChar w:fldCharType="begin"/>
            </w:r>
            <w:r w:rsidR="00B93D90">
              <w:rPr>
                <w:webHidden/>
              </w:rPr>
              <w:instrText xml:space="preserve"> PAGEREF _Toc487014342 \h </w:instrText>
            </w:r>
            <w:r w:rsidR="00B93D90">
              <w:rPr>
                <w:webHidden/>
              </w:rPr>
            </w:r>
            <w:r w:rsidR="00B93D90">
              <w:rPr>
                <w:webHidden/>
              </w:rPr>
              <w:fldChar w:fldCharType="separate"/>
            </w:r>
            <w:r>
              <w:rPr>
                <w:webHidden/>
              </w:rPr>
              <w:t>4-160</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43" w:history="1">
            <w:r w:rsidR="00B93D90" w:rsidRPr="00674B57">
              <w:rPr>
                <w:rStyle w:val="Hyperlink"/>
                <w14:scene3d>
                  <w14:camera w14:prst="orthographicFront"/>
                  <w14:lightRig w14:rig="threePt" w14:dir="t">
                    <w14:rot w14:lat="0" w14:lon="0" w14:rev="0"/>
                  </w14:lightRig>
                </w14:scene3d>
              </w:rPr>
              <w:t>A.10.3</w:t>
            </w:r>
            <w:r w:rsidR="00B93D90">
              <w:rPr>
                <w:rFonts w:asciiTheme="minorHAnsi" w:eastAsiaTheme="minorEastAsia" w:hAnsiTheme="minorHAnsi"/>
                <w:lang w:eastAsia="en-AU"/>
              </w:rPr>
              <w:tab/>
            </w:r>
            <w:r w:rsidR="00B93D90" w:rsidRPr="00674B57">
              <w:rPr>
                <w:rStyle w:val="Hyperlink"/>
              </w:rPr>
              <w:t>Alternative approaches</w:t>
            </w:r>
            <w:r w:rsidR="00B93D90">
              <w:rPr>
                <w:webHidden/>
              </w:rPr>
              <w:tab/>
            </w:r>
            <w:r w:rsidR="00B93D90">
              <w:rPr>
                <w:webHidden/>
              </w:rPr>
              <w:fldChar w:fldCharType="begin"/>
            </w:r>
            <w:r w:rsidR="00B93D90">
              <w:rPr>
                <w:webHidden/>
              </w:rPr>
              <w:instrText xml:space="preserve"> PAGEREF _Toc487014343 \h </w:instrText>
            </w:r>
            <w:r w:rsidR="00B93D90">
              <w:rPr>
                <w:webHidden/>
              </w:rPr>
            </w:r>
            <w:r w:rsidR="00B93D90">
              <w:rPr>
                <w:webHidden/>
              </w:rPr>
              <w:fldChar w:fldCharType="separate"/>
            </w:r>
            <w:r>
              <w:rPr>
                <w:webHidden/>
              </w:rPr>
              <w:t>4-161</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44" w:history="1">
            <w:r w:rsidR="00B93D90" w:rsidRPr="00674B57">
              <w:rPr>
                <w:rStyle w:val="Hyperlink"/>
                <w14:scene3d>
                  <w14:camera w14:prst="orthographicFront"/>
                  <w14:lightRig w14:rig="threePt" w14:dir="t">
                    <w14:rot w14:lat="0" w14:lon="0" w14:rev="0"/>
                  </w14:lightRig>
                </w14:scene3d>
              </w:rPr>
              <w:t>A.10.4</w:t>
            </w:r>
            <w:r w:rsidR="00B93D90">
              <w:rPr>
                <w:rFonts w:asciiTheme="minorHAnsi" w:eastAsiaTheme="minorEastAsia" w:hAnsiTheme="minorHAnsi"/>
                <w:lang w:eastAsia="en-AU"/>
              </w:rPr>
              <w:tab/>
            </w:r>
            <w:r w:rsidR="00B93D90" w:rsidRPr="00674B57">
              <w:rPr>
                <w:rStyle w:val="Hyperlink"/>
              </w:rPr>
              <w:t>Hathaway (2014)</w:t>
            </w:r>
            <w:r w:rsidR="00B93D90">
              <w:rPr>
                <w:webHidden/>
              </w:rPr>
              <w:tab/>
            </w:r>
            <w:r w:rsidR="00B93D90">
              <w:rPr>
                <w:webHidden/>
              </w:rPr>
              <w:fldChar w:fldCharType="begin"/>
            </w:r>
            <w:r w:rsidR="00B93D90">
              <w:rPr>
                <w:webHidden/>
              </w:rPr>
              <w:instrText xml:space="preserve"> PAGEREF _Toc487014344 \h </w:instrText>
            </w:r>
            <w:r w:rsidR="00B93D90">
              <w:rPr>
                <w:webHidden/>
              </w:rPr>
            </w:r>
            <w:r w:rsidR="00B93D90">
              <w:rPr>
                <w:webHidden/>
              </w:rPr>
              <w:fldChar w:fldCharType="separate"/>
            </w:r>
            <w:r>
              <w:rPr>
                <w:webHidden/>
              </w:rPr>
              <w:t>4-162</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5" w:history="1">
            <w:r w:rsidR="00B93D90" w:rsidRPr="00674B57">
              <w:rPr>
                <w:rStyle w:val="Hyperlink"/>
              </w:rPr>
              <w:t>A.11</w:t>
            </w:r>
            <w:r w:rsidR="00B93D90">
              <w:rPr>
                <w:rFonts w:asciiTheme="minorHAnsi" w:eastAsiaTheme="minorEastAsia" w:hAnsiTheme="minorHAnsi"/>
                <w:b w:val="0"/>
                <w:color w:val="auto"/>
                <w:sz w:val="22"/>
                <w:lang w:eastAsia="en-AU"/>
              </w:rPr>
              <w:tab/>
            </w:r>
            <w:r w:rsidR="00B93D90" w:rsidRPr="00674B57">
              <w:rPr>
                <w:rStyle w:val="Hyperlink"/>
              </w:rPr>
              <w:t>Application of rate of return criteria to evidence on the utilisation rate</w:t>
            </w:r>
            <w:r w:rsidR="00B93D90">
              <w:rPr>
                <w:webHidden/>
              </w:rPr>
              <w:tab/>
            </w:r>
            <w:r w:rsidR="00B93D90">
              <w:rPr>
                <w:webHidden/>
              </w:rPr>
              <w:fldChar w:fldCharType="begin"/>
            </w:r>
            <w:r w:rsidR="00B93D90">
              <w:rPr>
                <w:webHidden/>
              </w:rPr>
              <w:instrText xml:space="preserve"> PAGEREF _Toc487014345 \h </w:instrText>
            </w:r>
            <w:r w:rsidR="00B93D90">
              <w:rPr>
                <w:webHidden/>
              </w:rPr>
            </w:r>
            <w:r w:rsidR="00B93D90">
              <w:rPr>
                <w:webHidden/>
              </w:rPr>
              <w:fldChar w:fldCharType="separate"/>
            </w:r>
            <w:r>
              <w:rPr>
                <w:webHidden/>
              </w:rPr>
              <w:t>4-163</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6" w:history="1">
            <w:r w:rsidR="00B93D90" w:rsidRPr="00674B57">
              <w:rPr>
                <w:rStyle w:val="Hyperlink"/>
              </w:rPr>
              <w:t>A.12</w:t>
            </w:r>
            <w:r w:rsidR="00B93D90">
              <w:rPr>
                <w:rFonts w:asciiTheme="minorHAnsi" w:eastAsiaTheme="minorEastAsia" w:hAnsiTheme="minorHAnsi"/>
                <w:b w:val="0"/>
                <w:color w:val="auto"/>
                <w:sz w:val="22"/>
                <w:lang w:eastAsia="en-AU"/>
              </w:rPr>
              <w:tab/>
            </w:r>
            <w:r w:rsidR="00B93D90" w:rsidRPr="00674B57">
              <w:rPr>
                <w:rStyle w:val="Hyperlink"/>
              </w:rPr>
              <w:t>The equity ownership approach</w:t>
            </w:r>
            <w:r w:rsidR="00B93D90">
              <w:rPr>
                <w:webHidden/>
              </w:rPr>
              <w:tab/>
            </w:r>
            <w:r w:rsidR="00B93D90">
              <w:rPr>
                <w:webHidden/>
              </w:rPr>
              <w:fldChar w:fldCharType="begin"/>
            </w:r>
            <w:r w:rsidR="00B93D90">
              <w:rPr>
                <w:webHidden/>
              </w:rPr>
              <w:instrText xml:space="preserve"> PAGEREF _Toc487014346 \h </w:instrText>
            </w:r>
            <w:r w:rsidR="00B93D90">
              <w:rPr>
                <w:webHidden/>
              </w:rPr>
            </w:r>
            <w:r w:rsidR="00B93D90">
              <w:rPr>
                <w:webHidden/>
              </w:rPr>
              <w:fldChar w:fldCharType="separate"/>
            </w:r>
            <w:r>
              <w:rPr>
                <w:webHidden/>
              </w:rPr>
              <w:t>4-166</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7" w:history="1">
            <w:r w:rsidR="00B93D90" w:rsidRPr="00674B57">
              <w:rPr>
                <w:rStyle w:val="Hyperlink"/>
              </w:rPr>
              <w:t>A.13</w:t>
            </w:r>
            <w:r w:rsidR="00B93D90">
              <w:rPr>
                <w:rFonts w:asciiTheme="minorHAnsi" w:eastAsiaTheme="minorEastAsia" w:hAnsiTheme="minorHAnsi"/>
                <w:b w:val="0"/>
                <w:color w:val="auto"/>
                <w:sz w:val="22"/>
                <w:lang w:eastAsia="en-AU"/>
              </w:rPr>
              <w:tab/>
            </w:r>
            <w:r w:rsidR="00B93D90" w:rsidRPr="00674B57">
              <w:rPr>
                <w:rStyle w:val="Hyperlink"/>
              </w:rPr>
              <w:t>Tax statistics</w:t>
            </w:r>
            <w:r w:rsidR="00B93D90">
              <w:rPr>
                <w:webHidden/>
              </w:rPr>
              <w:tab/>
            </w:r>
            <w:r w:rsidR="00B93D90">
              <w:rPr>
                <w:webHidden/>
              </w:rPr>
              <w:fldChar w:fldCharType="begin"/>
            </w:r>
            <w:r w:rsidR="00B93D90">
              <w:rPr>
                <w:webHidden/>
              </w:rPr>
              <w:instrText xml:space="preserve"> PAGEREF _Toc487014347 \h </w:instrText>
            </w:r>
            <w:r w:rsidR="00B93D90">
              <w:rPr>
                <w:webHidden/>
              </w:rPr>
            </w:r>
            <w:r w:rsidR="00B93D90">
              <w:rPr>
                <w:webHidden/>
              </w:rPr>
              <w:fldChar w:fldCharType="separate"/>
            </w:r>
            <w:r>
              <w:rPr>
                <w:webHidden/>
              </w:rPr>
              <w:t>4-172</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8" w:history="1">
            <w:r w:rsidR="00B93D90" w:rsidRPr="00674B57">
              <w:rPr>
                <w:rStyle w:val="Hyperlink"/>
              </w:rPr>
              <w:t>A.14</w:t>
            </w:r>
            <w:r w:rsidR="00B93D90">
              <w:rPr>
                <w:rFonts w:asciiTheme="minorHAnsi" w:eastAsiaTheme="minorEastAsia" w:hAnsiTheme="minorHAnsi"/>
                <w:b w:val="0"/>
                <w:color w:val="auto"/>
                <w:sz w:val="22"/>
                <w:lang w:eastAsia="en-AU"/>
              </w:rPr>
              <w:tab/>
            </w:r>
            <w:r w:rsidR="00B93D90" w:rsidRPr="00674B57">
              <w:rPr>
                <w:rStyle w:val="Hyperlink"/>
              </w:rPr>
              <w:t>Difference between equity ownership approach and tax statistics</w:t>
            </w:r>
            <w:r w:rsidR="00B93D90">
              <w:rPr>
                <w:webHidden/>
              </w:rPr>
              <w:tab/>
            </w:r>
            <w:r w:rsidR="00B93D90">
              <w:rPr>
                <w:webHidden/>
              </w:rPr>
              <w:fldChar w:fldCharType="begin"/>
            </w:r>
            <w:r w:rsidR="00B93D90">
              <w:rPr>
                <w:webHidden/>
              </w:rPr>
              <w:instrText xml:space="preserve"> PAGEREF _Toc487014348 \h </w:instrText>
            </w:r>
            <w:r w:rsidR="00B93D90">
              <w:rPr>
                <w:webHidden/>
              </w:rPr>
            </w:r>
            <w:r w:rsidR="00B93D90">
              <w:rPr>
                <w:webHidden/>
              </w:rPr>
              <w:fldChar w:fldCharType="separate"/>
            </w:r>
            <w:r>
              <w:rPr>
                <w:webHidden/>
              </w:rPr>
              <w:t>4-177</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49" w:history="1">
            <w:r w:rsidR="00B93D90" w:rsidRPr="00674B57">
              <w:rPr>
                <w:rStyle w:val="Hyperlink"/>
              </w:rPr>
              <w:t>A.15</w:t>
            </w:r>
            <w:r w:rsidR="00B93D90">
              <w:rPr>
                <w:rFonts w:asciiTheme="minorHAnsi" w:eastAsiaTheme="minorEastAsia" w:hAnsiTheme="minorHAnsi"/>
                <w:b w:val="0"/>
                <w:color w:val="auto"/>
                <w:sz w:val="22"/>
                <w:lang w:eastAsia="en-AU"/>
              </w:rPr>
              <w:tab/>
            </w:r>
            <w:r w:rsidR="00B93D90" w:rsidRPr="00674B57">
              <w:rPr>
                <w:rStyle w:val="Hyperlink"/>
              </w:rPr>
              <w:t>Implied market value studies</w:t>
            </w:r>
            <w:r w:rsidR="00B93D90">
              <w:rPr>
                <w:webHidden/>
              </w:rPr>
              <w:tab/>
            </w:r>
            <w:r w:rsidR="00B93D90">
              <w:rPr>
                <w:webHidden/>
              </w:rPr>
              <w:fldChar w:fldCharType="begin"/>
            </w:r>
            <w:r w:rsidR="00B93D90">
              <w:rPr>
                <w:webHidden/>
              </w:rPr>
              <w:instrText xml:space="preserve"> PAGEREF _Toc487014349 \h </w:instrText>
            </w:r>
            <w:r w:rsidR="00B93D90">
              <w:rPr>
                <w:webHidden/>
              </w:rPr>
            </w:r>
            <w:r w:rsidR="00B93D90">
              <w:rPr>
                <w:webHidden/>
              </w:rPr>
              <w:fldChar w:fldCharType="separate"/>
            </w:r>
            <w:r>
              <w:rPr>
                <w:webHidden/>
              </w:rPr>
              <w:t>4-179</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0" w:history="1">
            <w:r w:rsidR="00B93D90" w:rsidRPr="00674B57">
              <w:rPr>
                <w:rStyle w:val="Hyperlink"/>
                <w14:scene3d>
                  <w14:camera w14:prst="orthographicFront"/>
                  <w14:lightRig w14:rig="threePt" w14:dir="t">
                    <w14:rot w14:lat="0" w14:lon="0" w14:rev="0"/>
                  </w14:lightRig>
                </w14:scene3d>
              </w:rPr>
              <w:t>A.15.1</w:t>
            </w:r>
            <w:r w:rsidR="00B93D90">
              <w:rPr>
                <w:rFonts w:asciiTheme="minorHAnsi" w:eastAsiaTheme="minorEastAsia" w:hAnsiTheme="minorHAnsi"/>
                <w:lang w:eastAsia="en-AU"/>
              </w:rPr>
              <w:tab/>
            </w:r>
            <w:r w:rsidR="00B93D90" w:rsidRPr="00674B57">
              <w:rPr>
                <w:rStyle w:val="Hyperlink"/>
              </w:rPr>
              <w:t>Types of implied market value studies</w:t>
            </w:r>
            <w:r w:rsidR="00B93D90">
              <w:rPr>
                <w:webHidden/>
              </w:rPr>
              <w:tab/>
            </w:r>
            <w:r w:rsidR="00B93D90">
              <w:rPr>
                <w:webHidden/>
              </w:rPr>
              <w:fldChar w:fldCharType="begin"/>
            </w:r>
            <w:r w:rsidR="00B93D90">
              <w:rPr>
                <w:webHidden/>
              </w:rPr>
              <w:instrText xml:space="preserve"> PAGEREF _Toc487014350 \h </w:instrText>
            </w:r>
            <w:r w:rsidR="00B93D90">
              <w:rPr>
                <w:webHidden/>
              </w:rPr>
            </w:r>
            <w:r w:rsidR="00B93D90">
              <w:rPr>
                <w:webHidden/>
              </w:rPr>
              <w:fldChar w:fldCharType="separate"/>
            </w:r>
            <w:r>
              <w:rPr>
                <w:webHidden/>
              </w:rPr>
              <w:t>4-179</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1" w:history="1">
            <w:r w:rsidR="00B93D90" w:rsidRPr="00674B57">
              <w:rPr>
                <w:rStyle w:val="Hyperlink"/>
                <w14:scene3d>
                  <w14:camera w14:prst="orthographicFront"/>
                  <w14:lightRig w14:rig="threePt" w14:dir="t">
                    <w14:rot w14:lat="0" w14:lon="0" w14:rev="0"/>
                  </w14:lightRig>
                </w14:scene3d>
              </w:rPr>
              <w:t>A.15.2</w:t>
            </w:r>
            <w:r w:rsidR="00B93D90">
              <w:rPr>
                <w:rFonts w:asciiTheme="minorHAnsi" w:eastAsiaTheme="minorEastAsia" w:hAnsiTheme="minorHAnsi"/>
                <w:lang w:eastAsia="en-AU"/>
              </w:rPr>
              <w:tab/>
            </w:r>
            <w:r w:rsidR="00B93D90" w:rsidRPr="00674B57">
              <w:rPr>
                <w:rStyle w:val="Hyperlink"/>
              </w:rPr>
              <w:t>Estimates from implied market value studies</w:t>
            </w:r>
            <w:r w:rsidR="00B93D90">
              <w:rPr>
                <w:webHidden/>
              </w:rPr>
              <w:tab/>
            </w:r>
            <w:r w:rsidR="00B93D90">
              <w:rPr>
                <w:webHidden/>
              </w:rPr>
              <w:fldChar w:fldCharType="begin"/>
            </w:r>
            <w:r w:rsidR="00B93D90">
              <w:rPr>
                <w:webHidden/>
              </w:rPr>
              <w:instrText xml:space="preserve"> PAGEREF _Toc487014351 \h </w:instrText>
            </w:r>
            <w:r w:rsidR="00B93D90">
              <w:rPr>
                <w:webHidden/>
              </w:rPr>
            </w:r>
            <w:r w:rsidR="00B93D90">
              <w:rPr>
                <w:webHidden/>
              </w:rPr>
              <w:fldChar w:fldCharType="separate"/>
            </w:r>
            <w:r>
              <w:rPr>
                <w:webHidden/>
              </w:rPr>
              <w:t>4-183</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2" w:history="1">
            <w:r w:rsidR="00B93D90" w:rsidRPr="00674B57">
              <w:rPr>
                <w:rStyle w:val="Hyperlink"/>
                <w14:scene3d>
                  <w14:camera w14:prst="orthographicFront"/>
                  <w14:lightRig w14:rig="threePt" w14:dir="t">
                    <w14:rot w14:lat="0" w14:lon="0" w14:rev="0"/>
                  </w14:lightRig>
                </w14:scene3d>
              </w:rPr>
              <w:t>A.15.3</w:t>
            </w:r>
            <w:r w:rsidR="00B93D90">
              <w:rPr>
                <w:rFonts w:asciiTheme="minorHAnsi" w:eastAsiaTheme="minorEastAsia" w:hAnsiTheme="minorHAnsi"/>
                <w:lang w:eastAsia="en-AU"/>
              </w:rPr>
              <w:tab/>
            </w:r>
            <w:r w:rsidR="00B93D90" w:rsidRPr="00674B57">
              <w:rPr>
                <w:rStyle w:val="Hyperlink"/>
              </w:rPr>
              <w:t>Comparison with other market-based estimation approaches</w:t>
            </w:r>
            <w:r w:rsidR="00B93D90">
              <w:rPr>
                <w:webHidden/>
              </w:rPr>
              <w:tab/>
            </w:r>
            <w:r w:rsidR="00B93D90">
              <w:rPr>
                <w:webHidden/>
              </w:rPr>
              <w:fldChar w:fldCharType="begin"/>
            </w:r>
            <w:r w:rsidR="00B93D90">
              <w:rPr>
                <w:webHidden/>
              </w:rPr>
              <w:instrText xml:space="preserve"> PAGEREF _Toc487014352 \h </w:instrText>
            </w:r>
            <w:r w:rsidR="00B93D90">
              <w:rPr>
                <w:webHidden/>
              </w:rPr>
            </w:r>
            <w:r w:rsidR="00B93D90">
              <w:rPr>
                <w:webHidden/>
              </w:rPr>
              <w:fldChar w:fldCharType="separate"/>
            </w:r>
            <w:r>
              <w:rPr>
                <w:webHidden/>
              </w:rPr>
              <w:t>4-192</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3" w:history="1">
            <w:r w:rsidR="00B93D90" w:rsidRPr="00674B57">
              <w:rPr>
                <w:rStyle w:val="Hyperlink"/>
                <w14:scene3d>
                  <w14:camera w14:prst="orthographicFront"/>
                  <w14:lightRig w14:rig="threePt" w14:dir="t">
                    <w14:rot w14:lat="0" w14:lon="0" w14:rev="0"/>
                  </w14:lightRig>
                </w14:scene3d>
              </w:rPr>
              <w:t>A.15.4</w:t>
            </w:r>
            <w:r w:rsidR="00B93D90">
              <w:rPr>
                <w:rFonts w:asciiTheme="minorHAnsi" w:eastAsiaTheme="minorEastAsia" w:hAnsiTheme="minorHAnsi"/>
                <w:lang w:eastAsia="en-AU"/>
              </w:rPr>
              <w:tab/>
            </w:r>
            <w:r w:rsidR="00B93D90" w:rsidRPr="00674B57">
              <w:rPr>
                <w:rStyle w:val="Hyperlink"/>
              </w:rPr>
              <w:t>Adjustment of estimates from implied market value studies</w:t>
            </w:r>
            <w:r w:rsidR="00B93D90">
              <w:rPr>
                <w:webHidden/>
              </w:rPr>
              <w:tab/>
            </w:r>
            <w:r w:rsidR="00B93D90">
              <w:rPr>
                <w:webHidden/>
              </w:rPr>
              <w:fldChar w:fldCharType="begin"/>
            </w:r>
            <w:r w:rsidR="00B93D90">
              <w:rPr>
                <w:webHidden/>
              </w:rPr>
              <w:instrText xml:space="preserve"> PAGEREF _Toc487014353 \h </w:instrText>
            </w:r>
            <w:r w:rsidR="00B93D90">
              <w:rPr>
                <w:webHidden/>
              </w:rPr>
            </w:r>
            <w:r w:rsidR="00B93D90">
              <w:rPr>
                <w:webHidden/>
              </w:rPr>
              <w:fldChar w:fldCharType="separate"/>
            </w:r>
            <w:r>
              <w:rPr>
                <w:webHidden/>
              </w:rPr>
              <w:t>4-202</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4" w:history="1">
            <w:r w:rsidR="00B93D90" w:rsidRPr="00674B57">
              <w:rPr>
                <w:rStyle w:val="Hyperlink"/>
                <w14:scene3d>
                  <w14:camera w14:prst="orthographicFront"/>
                  <w14:lightRig w14:rig="threePt" w14:dir="t">
                    <w14:rot w14:lat="0" w14:lon="0" w14:rev="0"/>
                  </w14:lightRig>
                </w14:scene3d>
              </w:rPr>
              <w:t>A.15.5</w:t>
            </w:r>
            <w:r w:rsidR="00B93D90">
              <w:rPr>
                <w:rFonts w:asciiTheme="minorHAnsi" w:eastAsiaTheme="minorEastAsia" w:hAnsiTheme="minorHAnsi"/>
                <w:lang w:eastAsia="en-AU"/>
              </w:rPr>
              <w:tab/>
            </w:r>
            <w:r w:rsidR="00B93D90" w:rsidRPr="00674B57">
              <w:rPr>
                <w:rStyle w:val="Hyperlink"/>
              </w:rPr>
              <w:t>Limitations of SFG's dividend drop off study</w:t>
            </w:r>
            <w:r w:rsidR="00B93D90">
              <w:rPr>
                <w:webHidden/>
              </w:rPr>
              <w:tab/>
            </w:r>
            <w:r w:rsidR="00B93D90">
              <w:rPr>
                <w:webHidden/>
              </w:rPr>
              <w:fldChar w:fldCharType="begin"/>
            </w:r>
            <w:r w:rsidR="00B93D90">
              <w:rPr>
                <w:webHidden/>
              </w:rPr>
              <w:instrText xml:space="preserve"> PAGEREF _Toc487014354 \h </w:instrText>
            </w:r>
            <w:r w:rsidR="00B93D90">
              <w:rPr>
                <w:webHidden/>
              </w:rPr>
            </w:r>
            <w:r w:rsidR="00B93D90">
              <w:rPr>
                <w:webHidden/>
              </w:rPr>
              <w:fldChar w:fldCharType="separate"/>
            </w:r>
            <w:r>
              <w:rPr>
                <w:webHidden/>
              </w:rPr>
              <w:t>4-204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5" w:history="1">
            <w:r w:rsidR="00B93D90" w:rsidRPr="00674B57">
              <w:rPr>
                <w:rStyle w:val="Hyperlink"/>
                <w14:scene3d>
                  <w14:camera w14:prst="orthographicFront"/>
                  <w14:lightRig w14:rig="threePt" w14:dir="t">
                    <w14:rot w14:lat="0" w14:lon="0" w14:rev="0"/>
                  </w14:lightRig>
                </w14:scene3d>
              </w:rPr>
              <w:t>A.15.6</w:t>
            </w:r>
            <w:r w:rsidR="00B93D90">
              <w:rPr>
                <w:rFonts w:asciiTheme="minorHAnsi" w:eastAsiaTheme="minorEastAsia" w:hAnsiTheme="minorHAnsi"/>
                <w:lang w:eastAsia="en-AU"/>
              </w:rPr>
              <w:tab/>
            </w:r>
            <w:r w:rsidR="00B93D90" w:rsidRPr="00674B57">
              <w:rPr>
                <w:rStyle w:val="Hyperlink"/>
              </w:rPr>
              <w:t>The views of academics and other regulators on dividend drop off studies</w:t>
            </w:r>
            <w:r w:rsidR="00B93D90">
              <w:rPr>
                <w:webHidden/>
              </w:rPr>
              <w:tab/>
            </w:r>
            <w:r w:rsidR="00B93D90">
              <w:rPr>
                <w:webHidden/>
              </w:rPr>
              <w:fldChar w:fldCharType="begin"/>
            </w:r>
            <w:r w:rsidR="00B93D90">
              <w:rPr>
                <w:webHidden/>
              </w:rPr>
              <w:instrText xml:space="preserve"> PAGEREF _Toc487014355 \h </w:instrText>
            </w:r>
            <w:r w:rsidR="00B93D90">
              <w:rPr>
                <w:webHidden/>
              </w:rPr>
            </w:r>
            <w:r w:rsidR="00B93D90">
              <w:rPr>
                <w:webHidden/>
              </w:rPr>
              <w:fldChar w:fldCharType="separate"/>
            </w:r>
            <w:r>
              <w:rPr>
                <w:webHidden/>
              </w:rPr>
              <w:t>4-210</w:t>
            </w:r>
            <w:r w:rsidR="00B93D90">
              <w:rPr>
                <w:webHidden/>
              </w:rPr>
              <w:fldChar w:fldCharType="end"/>
            </w:r>
          </w:hyperlink>
        </w:p>
        <w:p w:rsidR="00B93D90" w:rsidRDefault="00BF66D3">
          <w:pPr>
            <w:pStyle w:val="TOC2"/>
            <w:tabs>
              <w:tab w:val="left" w:pos="1276"/>
            </w:tabs>
            <w:rPr>
              <w:rFonts w:asciiTheme="minorHAnsi" w:eastAsiaTheme="minorEastAsia" w:hAnsiTheme="minorHAnsi"/>
              <w:b w:val="0"/>
              <w:color w:val="auto"/>
              <w:sz w:val="22"/>
              <w:lang w:eastAsia="en-AU"/>
            </w:rPr>
          </w:pPr>
          <w:hyperlink w:anchor="_Toc487014356" w:history="1">
            <w:r w:rsidR="00B93D90" w:rsidRPr="00674B57">
              <w:rPr>
                <w:rStyle w:val="Hyperlink"/>
              </w:rPr>
              <w:t>A.16</w:t>
            </w:r>
            <w:r w:rsidR="00B93D90">
              <w:rPr>
                <w:rFonts w:asciiTheme="minorHAnsi" w:eastAsiaTheme="minorEastAsia" w:hAnsiTheme="minorHAnsi"/>
                <w:b w:val="0"/>
                <w:color w:val="auto"/>
                <w:sz w:val="22"/>
                <w:lang w:eastAsia="en-AU"/>
              </w:rPr>
              <w:tab/>
            </w:r>
            <w:r w:rsidR="00B93D90" w:rsidRPr="00674B57">
              <w:rPr>
                <w:rStyle w:val="Hyperlink"/>
              </w:rPr>
              <w:t>Revised consideration of the conceptual goalposts approach</w:t>
            </w:r>
            <w:r w:rsidR="00B93D90">
              <w:rPr>
                <w:webHidden/>
              </w:rPr>
              <w:tab/>
            </w:r>
            <w:r w:rsidR="00B93D90">
              <w:rPr>
                <w:webHidden/>
              </w:rPr>
              <w:fldChar w:fldCharType="begin"/>
            </w:r>
            <w:r w:rsidR="00B93D90">
              <w:rPr>
                <w:webHidden/>
              </w:rPr>
              <w:instrText xml:space="preserve"> PAGEREF _Toc487014356 \h </w:instrText>
            </w:r>
            <w:r w:rsidR="00B93D90">
              <w:rPr>
                <w:webHidden/>
              </w:rPr>
            </w:r>
            <w:r w:rsidR="00B93D90">
              <w:rPr>
                <w:webHidden/>
              </w:rPr>
              <w:fldChar w:fldCharType="separate"/>
            </w:r>
            <w:r>
              <w:rPr>
                <w:webHidden/>
              </w:rPr>
              <w:t>4-214</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7" w:history="1">
            <w:r w:rsidR="00B93D90" w:rsidRPr="00674B57">
              <w:rPr>
                <w:rStyle w:val="Hyperlink"/>
                <w14:scene3d>
                  <w14:camera w14:prst="orthographicFront"/>
                  <w14:lightRig w14:rig="threePt" w14:dir="t">
                    <w14:rot w14:lat="0" w14:lon="0" w14:rev="0"/>
                  </w14:lightRig>
                </w14:scene3d>
              </w:rPr>
              <w:t>A.16.1</w:t>
            </w:r>
            <w:r w:rsidR="00B93D90">
              <w:rPr>
                <w:rFonts w:asciiTheme="minorHAnsi" w:eastAsiaTheme="minorEastAsia" w:hAnsiTheme="minorHAnsi"/>
                <w:lang w:eastAsia="en-AU"/>
              </w:rPr>
              <w:tab/>
            </w:r>
            <w:r w:rsidR="00B93D90" w:rsidRPr="00674B57">
              <w:rPr>
                <w:rStyle w:val="Hyperlink"/>
              </w:rPr>
              <w:t>Description of the approach</w:t>
            </w:r>
            <w:r w:rsidR="00B93D90">
              <w:rPr>
                <w:webHidden/>
              </w:rPr>
              <w:tab/>
            </w:r>
            <w:r w:rsidR="00B93D90">
              <w:rPr>
                <w:webHidden/>
              </w:rPr>
              <w:fldChar w:fldCharType="begin"/>
            </w:r>
            <w:r w:rsidR="00B93D90">
              <w:rPr>
                <w:webHidden/>
              </w:rPr>
              <w:instrText xml:space="preserve"> PAGEREF _Toc487014357 \h </w:instrText>
            </w:r>
            <w:r w:rsidR="00B93D90">
              <w:rPr>
                <w:webHidden/>
              </w:rPr>
            </w:r>
            <w:r w:rsidR="00B93D90">
              <w:rPr>
                <w:webHidden/>
              </w:rPr>
              <w:fldChar w:fldCharType="separate"/>
            </w:r>
            <w:r>
              <w:rPr>
                <w:webHidden/>
              </w:rPr>
              <w:t>4-215</w:t>
            </w:r>
            <w:r w:rsidR="00B93D90">
              <w:rPr>
                <w:webHidden/>
              </w:rPr>
              <w:fldChar w:fldCharType="end"/>
            </w:r>
          </w:hyperlink>
        </w:p>
        <w:p w:rsidR="00B93D90" w:rsidRDefault="00BF66D3">
          <w:pPr>
            <w:pStyle w:val="TOC3"/>
            <w:rPr>
              <w:rFonts w:asciiTheme="minorHAnsi" w:eastAsiaTheme="minorEastAsia" w:hAnsiTheme="minorHAnsi"/>
              <w:lang w:eastAsia="en-AU"/>
            </w:rPr>
          </w:pPr>
          <w:hyperlink w:anchor="_Toc487014358" w:history="1">
            <w:r w:rsidR="00B93D90" w:rsidRPr="00674B57">
              <w:rPr>
                <w:rStyle w:val="Hyperlink"/>
                <w14:scene3d>
                  <w14:camera w14:prst="orthographicFront"/>
                  <w14:lightRig w14:rig="threePt" w14:dir="t">
                    <w14:rot w14:lat="0" w14:lon="0" w14:rev="0"/>
                  </w14:lightRig>
                </w14:scene3d>
              </w:rPr>
              <w:t>A.16.2</w:t>
            </w:r>
            <w:r w:rsidR="00B93D90">
              <w:rPr>
                <w:rFonts w:asciiTheme="minorHAnsi" w:eastAsiaTheme="minorEastAsia" w:hAnsiTheme="minorHAnsi"/>
                <w:lang w:eastAsia="en-AU"/>
              </w:rPr>
              <w:tab/>
            </w:r>
            <w:r w:rsidR="00B93D90" w:rsidRPr="00674B57">
              <w:rPr>
                <w:rStyle w:val="Hyperlink"/>
              </w:rPr>
              <w:t>Advice received since the Guideline</w:t>
            </w:r>
            <w:r w:rsidR="00B93D90">
              <w:rPr>
                <w:webHidden/>
              </w:rPr>
              <w:tab/>
            </w:r>
            <w:r w:rsidR="00B93D90">
              <w:rPr>
                <w:webHidden/>
              </w:rPr>
              <w:fldChar w:fldCharType="begin"/>
            </w:r>
            <w:r w:rsidR="00B93D90">
              <w:rPr>
                <w:webHidden/>
              </w:rPr>
              <w:instrText xml:space="preserve"> PAGEREF _Toc487014358 \h </w:instrText>
            </w:r>
            <w:r w:rsidR="00B93D90">
              <w:rPr>
                <w:webHidden/>
              </w:rPr>
            </w:r>
            <w:r w:rsidR="00B93D90">
              <w:rPr>
                <w:webHidden/>
              </w:rPr>
              <w:fldChar w:fldCharType="separate"/>
            </w:r>
            <w:r>
              <w:rPr>
                <w:webHidden/>
              </w:rPr>
              <w:t>4-218</w:t>
            </w:r>
            <w:r w:rsidR="00B93D90">
              <w:rPr>
                <w:webHidden/>
              </w:rPr>
              <w:fldChar w:fldCharType="end"/>
            </w:r>
          </w:hyperlink>
        </w:p>
        <w:p w:rsidR="00021F98" w:rsidRDefault="0014602B" w:rsidP="0007085B">
          <w:pPr>
            <w:pStyle w:val="TOC1"/>
          </w:pPr>
          <w:r>
            <w:fldChar w:fldCharType="end"/>
          </w:r>
        </w:p>
      </w:sdtContent>
    </w:sdt>
    <w:p w:rsidR="00DE563D" w:rsidRDefault="00C84560">
      <w:pPr>
        <w:spacing w:line="240" w:lineRule="auto"/>
      </w:pPr>
      <w:r>
        <w:t xml:space="preserve"> </w:t>
      </w:r>
    </w:p>
    <w:p w:rsidR="00DE563D" w:rsidRDefault="00DE563D" w:rsidP="00C52695">
      <w:pPr>
        <w:pStyle w:val="UnnumberedHeading"/>
        <w:numPr>
          <w:ilvl w:val="0"/>
          <w:numId w:val="23"/>
        </w:numPr>
      </w:pPr>
      <w:bookmarkStart w:id="4" w:name="_Toc404700925"/>
      <w:r>
        <w:t>Shortened forms</w:t>
      </w:r>
      <w:bookmarkEnd w:id="4"/>
    </w:p>
    <w:tbl>
      <w:tblPr>
        <w:tblStyle w:val="AERtable-numbers"/>
        <w:tblW w:w="0" w:type="auto"/>
        <w:tblLook w:val="04A0" w:firstRow="1" w:lastRow="0" w:firstColumn="1" w:lastColumn="0" w:noHBand="0" w:noVBand="1"/>
      </w:tblPr>
      <w:tblGrid>
        <w:gridCol w:w="4621"/>
        <w:gridCol w:w="4621"/>
      </w:tblGrid>
      <w:tr w:rsidR="00404457" w:rsidTr="00404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Shortened form</w:t>
            </w:r>
          </w:p>
        </w:tc>
        <w:tc>
          <w:tcPr>
            <w:tcW w:w="4621" w:type="dxa"/>
          </w:tcPr>
          <w:p w:rsidR="00404457" w:rsidRDefault="00404457" w:rsidP="00404457">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AER</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ATO</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Australian Tax Office</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capex</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CAPM</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CESS</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CPI</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DRP</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ECM</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ERP</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Expenditure Guideline</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gamma</w:t>
            </w:r>
          </w:p>
        </w:tc>
        <w:tc>
          <w:tcPr>
            <w:tcW w:w="4621" w:type="dxa"/>
          </w:tcPr>
          <w:p w:rsidR="00404457" w:rsidRPr="00404457" w:rsidRDefault="00404457" w:rsidP="00404457">
            <w:pPr>
              <w:cnfStyle w:val="000000000000" w:firstRow="0" w:lastRow="0" w:firstColumn="0" w:lastColumn="0" w:oddVBand="0" w:evenVBand="0" w:oddHBand="0" w:evenHBand="0" w:firstRowFirstColumn="0" w:firstRowLastColumn="0" w:lastRowFirstColumn="0" w:lastRowLastColumn="0"/>
            </w:pPr>
            <w:r>
              <w:t>Value of Imputation Credits</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MRP</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NGL</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NGO</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NGR</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NPV</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net present value</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opex</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PTRM</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RBA</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RFM</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RIN</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RPP</w:t>
            </w:r>
          </w:p>
        </w:tc>
        <w:tc>
          <w:tcPr>
            <w:tcW w:w="4621" w:type="dxa"/>
          </w:tcPr>
          <w:p w:rsidR="00404457" w:rsidRDefault="00404457" w:rsidP="00404457">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SLCAPM</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STTM</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Short Term Trading Market</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TAB</w:t>
            </w:r>
          </w:p>
        </w:tc>
        <w:tc>
          <w:tcPr>
            <w:tcW w:w="4621" w:type="dxa"/>
          </w:tcPr>
          <w:p w:rsidR="00404457" w:rsidRPr="00404457" w:rsidRDefault="00404457" w:rsidP="00404457">
            <w:pPr>
              <w:cnfStyle w:val="000000000000" w:firstRow="0" w:lastRow="0" w:firstColumn="0" w:lastColumn="0" w:oddVBand="0" w:evenVBand="0" w:oddHBand="0" w:evenHBand="0" w:firstRowFirstColumn="0" w:firstRowLastColumn="0" w:lastRowFirstColumn="0" w:lastRowLastColumn="0"/>
            </w:pPr>
            <w:r>
              <w:t>Tax asset base</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UAFG</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Unaccounted for gas</w:t>
            </w:r>
          </w:p>
        </w:tc>
      </w:tr>
      <w:tr w:rsidR="00404457" w:rsidTr="00404457">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WACC</w:t>
            </w:r>
          </w:p>
        </w:tc>
        <w:tc>
          <w:tcPr>
            <w:tcW w:w="4621" w:type="dxa"/>
          </w:tcPr>
          <w:p w:rsidR="00404457" w:rsidRDefault="00404457" w:rsidP="00404457">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04457" w:rsidTr="00404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04457" w:rsidRDefault="00404457" w:rsidP="00404457">
            <w:pPr>
              <w:numPr>
                <w:ilvl w:val="0"/>
                <w:numId w:val="24"/>
              </w:numPr>
            </w:pPr>
            <w:r>
              <w:t>WPI</w:t>
            </w:r>
          </w:p>
        </w:tc>
        <w:tc>
          <w:tcPr>
            <w:tcW w:w="4621" w:type="dxa"/>
          </w:tcPr>
          <w:p w:rsidR="00404457" w:rsidRPr="00404457" w:rsidRDefault="00404457" w:rsidP="00404457">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E14A44" w:rsidP="00E14A44">
      <w:pPr>
        <w:pStyle w:val="Heading1"/>
      </w:pPr>
      <w:bookmarkStart w:id="5" w:name="_Toc486843511"/>
      <w:bookmarkStart w:id="6" w:name="_Toc486843512"/>
      <w:bookmarkStart w:id="7" w:name="_Toc486843513"/>
      <w:bookmarkStart w:id="8" w:name="_Ref477173357"/>
      <w:bookmarkStart w:id="9" w:name="_Toc487014295"/>
      <w:bookmarkStart w:id="10" w:name="_GoBack"/>
      <w:bookmarkEnd w:id="5"/>
      <w:bookmarkEnd w:id="6"/>
      <w:bookmarkEnd w:id="7"/>
      <w:bookmarkEnd w:id="10"/>
      <w:r>
        <w:t>Value of imputation credits</w:t>
      </w:r>
      <w:bookmarkEnd w:id="8"/>
      <w:bookmarkEnd w:id="9"/>
    </w:p>
    <w:p w:rsidR="00437CA2" w:rsidRDefault="00437CA2" w:rsidP="00C52695">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E750F8">
        <w:t xml:space="preserve"> a cash refund for the balance.</w:t>
      </w:r>
    </w:p>
    <w:p w:rsidR="00437CA2" w:rsidRDefault="00437CA2" w:rsidP="00C52695">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437CA2" w:rsidRPr="00E356F9" w:rsidRDefault="00437CA2" w:rsidP="00C52695">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437CA2" w:rsidRDefault="00437CA2" w:rsidP="00C52695">
      <w:pPr>
        <w:numPr>
          <w:ilvl w:val="0"/>
          <w:numId w:val="24"/>
        </w:numPr>
      </w:pPr>
      <w:r>
        <w:t xml:space="preserve">In this attachment, we set out our </w:t>
      </w:r>
      <w:r w:rsidR="007F0C93">
        <w:t>draft</w:t>
      </w:r>
      <w:r w:rsidR="00997BDC">
        <w:t xml:space="preserve"> </w:t>
      </w:r>
      <w:r>
        <w:t xml:space="preserve">decision on the value of imputation credits and our key reasons for this decision. We also consider </w:t>
      </w:r>
      <w:r w:rsidR="00183794">
        <w:t>AGN</w:t>
      </w:r>
      <w:r w:rsidR="007F0C93">
        <w:t>'s</w:t>
      </w:r>
      <w:r w:rsidR="00997BDC">
        <w:t xml:space="preserve"> </w:t>
      </w:r>
      <w:r>
        <w:t xml:space="preserve">proposed value of imputation credits and the </w:t>
      </w:r>
      <w:r w:rsidR="007F0C93">
        <w:t xml:space="preserve">material </w:t>
      </w:r>
      <w:r w:rsidR="00183794">
        <w:t>submitted by APTPP</w:t>
      </w:r>
      <w:r w:rsidR="00120120">
        <w:t>L, Multinet, AusNet Gas and APA</w:t>
      </w:r>
      <w:r>
        <w:t>.</w:t>
      </w:r>
      <w:r w:rsidR="007F0C93">
        <w:t xml:space="preserve"> This includes a </w:t>
      </w:r>
      <w:r w:rsidR="00180548">
        <w:t xml:space="preserve">new </w:t>
      </w:r>
      <w:r w:rsidR="007F0C93">
        <w:t>report by Frontier on perspectives for the estimation of Gamma.</w:t>
      </w:r>
      <w:r w:rsidR="007F0C93">
        <w:rPr>
          <w:rStyle w:val="FootnoteReference"/>
        </w:rPr>
        <w:footnoteReference w:id="4"/>
      </w:r>
      <w:r w:rsidR="009B6CBD">
        <w:t xml:space="preserve"> </w:t>
      </w:r>
      <w:r w:rsidR="00991FC6">
        <w:t xml:space="preserve"> We </w:t>
      </w:r>
      <w:r w:rsidR="00651532">
        <w:t xml:space="preserve">have </w:t>
      </w:r>
      <w:r w:rsidR="00991FC6">
        <w:t>had our consultant consider the report</w:t>
      </w:r>
      <w:r w:rsidR="00651532">
        <w:t>. Having considered the report and our consultant's advice</w:t>
      </w:r>
      <w:r w:rsidR="00991FC6">
        <w:t xml:space="preserve"> nothing in the new material changes our </w:t>
      </w:r>
      <w:r w:rsidR="00CD6421">
        <w:t>views on how we estimate gamma</w:t>
      </w:r>
      <w:r w:rsidR="00651532">
        <w:t>, or that a value of 0.4 remains appropriate</w:t>
      </w:r>
      <w:r w:rsidR="00CD6421">
        <w:t xml:space="preserve">. </w:t>
      </w:r>
      <w:r w:rsidR="009B6CBD">
        <w:t>We note</w:t>
      </w:r>
      <w:r w:rsidR="00180548">
        <w:t xml:space="preserve"> </w:t>
      </w:r>
      <w:r w:rsidR="00934727">
        <w:t>some service providers</w:t>
      </w:r>
      <w:r w:rsidR="00180548">
        <w:t xml:space="preserve"> also submitted two Frontier's reports with </w:t>
      </w:r>
      <w:r w:rsidR="00934727">
        <w:t>their draft</w:t>
      </w:r>
      <w:r w:rsidR="00180548">
        <w:t xml:space="preserve"> proposal</w:t>
      </w:r>
      <w:r w:rsidR="00934727">
        <w:t>s</w:t>
      </w:r>
      <w:r w:rsidR="00180548">
        <w:t xml:space="preserve"> that were submitted earlier by AusNet Services.</w:t>
      </w:r>
      <w:r w:rsidR="00323FDA">
        <w:rPr>
          <w:rStyle w:val="FootnoteReference"/>
        </w:rPr>
        <w:footnoteReference w:id="5"/>
      </w:r>
      <w:r w:rsidR="002C1C0B">
        <w:t xml:space="preserve"> </w:t>
      </w:r>
      <w:r w:rsidR="00180548">
        <w:t>T</w:t>
      </w:r>
      <w:r w:rsidR="009B6CBD">
        <w:t>he sec</w:t>
      </w:r>
      <w:r w:rsidR="00180548">
        <w:t>tions below also respond to the two Frontier's reports</w:t>
      </w:r>
      <w:r w:rsidR="00490D58">
        <w:t xml:space="preserve"> </w:t>
      </w:r>
      <w:r w:rsidR="00180548">
        <w:t xml:space="preserve">and the arguments in AusNet Services' proposal </w:t>
      </w:r>
      <w:r w:rsidR="00490D58">
        <w:t xml:space="preserve">given we have considered it in reaching our draft decision for </w:t>
      </w:r>
      <w:r w:rsidR="00934727">
        <w:t>AGN</w:t>
      </w:r>
      <w:r w:rsidR="00490D58">
        <w:t>.</w:t>
      </w:r>
      <w:r>
        <w:t xml:space="preserve"> </w:t>
      </w:r>
      <w:r w:rsidR="002C1C0B">
        <w:t xml:space="preserve">We considered these 2 earlier reports when making our final determination for AusNet Services eletricity transmision in April 2017 and our views on those reports expressed in that decision remain unchanged. </w:t>
      </w:r>
      <w:r>
        <w:t xml:space="preserve">In appendix A, we include further supporting detail on our position on the value of imputation credits and also respond to </w:t>
      </w:r>
      <w:r w:rsidR="00934727">
        <w:t>t</w:t>
      </w:r>
      <w:r w:rsidR="00BA21E4">
        <w:t>he new material submitted by</w:t>
      </w:r>
      <w:r w:rsidR="00934727">
        <w:t xml:space="preserve"> service providers</w:t>
      </w:r>
      <w:r>
        <w:t xml:space="preserve"> in detail.</w:t>
      </w:r>
    </w:p>
    <w:p w:rsidR="00DE563D" w:rsidRPr="001754EE" w:rsidRDefault="003E08B5" w:rsidP="001754EE">
      <w:pPr>
        <w:pStyle w:val="Heading2"/>
      </w:pPr>
      <w:bookmarkStart w:id="11" w:name="_Toc486843515"/>
      <w:bookmarkStart w:id="12" w:name="_Toc486843516"/>
      <w:bookmarkStart w:id="13" w:name="_Toc403144136"/>
      <w:bookmarkStart w:id="14" w:name="_Ref476324220"/>
      <w:bookmarkStart w:id="15" w:name="_Ref476564330"/>
      <w:bookmarkStart w:id="16" w:name="_Ref477173369"/>
      <w:bookmarkStart w:id="17" w:name="_Toc487014296"/>
      <w:bookmarkEnd w:id="11"/>
      <w:bookmarkEnd w:id="12"/>
      <w:r>
        <w:t>Draft</w:t>
      </w:r>
      <w:r w:rsidR="00AB2F1E">
        <w:t xml:space="preserve"> </w:t>
      </w:r>
      <w:r w:rsidR="00DE563D" w:rsidRPr="001754EE">
        <w:t>decision</w:t>
      </w:r>
      <w:bookmarkEnd w:id="13"/>
      <w:bookmarkEnd w:id="14"/>
      <w:bookmarkEnd w:id="15"/>
      <w:bookmarkEnd w:id="16"/>
      <w:bookmarkEnd w:id="17"/>
    </w:p>
    <w:p w:rsidR="00437CA2" w:rsidRPr="00C94AE8" w:rsidRDefault="00934727" w:rsidP="00C52695">
      <w:pPr>
        <w:numPr>
          <w:ilvl w:val="0"/>
          <w:numId w:val="24"/>
        </w:numPr>
      </w:pPr>
      <w:bookmarkStart w:id="18" w:name="_Toc403144137"/>
      <w:r>
        <w:t>AGN</w:t>
      </w:r>
      <w:r w:rsidR="00F07ACD">
        <w:t xml:space="preserve"> in its draft proposal</w:t>
      </w:r>
      <w:r w:rsidR="00286D94">
        <w:t xml:space="preserve"> </w:t>
      </w:r>
      <w:r w:rsidR="00437CA2" w:rsidRPr="00883125">
        <w:t>proposed</w:t>
      </w:r>
      <w:r w:rsidR="00F07ACD">
        <w:t xml:space="preserve"> to adopt the AER's previous decision on the</w:t>
      </w:r>
      <w:r w:rsidR="00437CA2" w:rsidRPr="00883125">
        <w:t xml:space="preserve"> value of imputation credits</w:t>
      </w:r>
      <w:r w:rsidR="00437CA2">
        <w:t xml:space="preserve"> (or gamma)</w:t>
      </w:r>
      <w:r w:rsidR="00437CA2" w:rsidRPr="00883125">
        <w:t xml:space="preserve"> of 0.</w:t>
      </w:r>
      <w:r>
        <w:t>4</w:t>
      </w:r>
      <w:r w:rsidR="00437CA2" w:rsidRPr="00883125">
        <w:t>.</w:t>
      </w:r>
      <w:r w:rsidR="00FC5558">
        <w:rPr>
          <w:rStyle w:val="FootnoteReference"/>
        </w:rPr>
        <w:footnoteReference w:id="6"/>
      </w:r>
      <w:r w:rsidR="00437CA2" w:rsidRPr="00883125">
        <w:t xml:space="preserve"> </w:t>
      </w:r>
      <w:r w:rsidR="00286D94">
        <w:t xml:space="preserve"> </w:t>
      </w:r>
      <w:r w:rsidR="00437CA2"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rsidR="00437CA2">
        <w:t>a</w:t>
      </w:r>
      <w:r w:rsidR="00437CA2" w:rsidRPr="00C94AE8">
        <w:t xml:space="preserve"> benchmark efficient entity.</w:t>
      </w:r>
    </w:p>
    <w:p w:rsidR="00437CA2" w:rsidRPr="00883125" w:rsidRDefault="00437CA2" w:rsidP="00C52695">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7"/>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8"/>
      </w:r>
    </w:p>
    <w:p w:rsidR="00437CA2" w:rsidRPr="005942A6" w:rsidRDefault="00437CA2" w:rsidP="00437CA2">
      <w:pPr>
        <w:rPr>
          <w:rStyle w:val="AERbody"/>
        </w:rPr>
      </w:pPr>
      <w:r w:rsidRPr="005942A6">
        <w:rPr>
          <w:rStyle w:val="AERbody"/>
        </w:rPr>
        <w:t>In coming to a value of imputation credits of 0.4:</w:t>
      </w:r>
    </w:p>
    <w:p w:rsidR="00437CA2" w:rsidRPr="001D37D5" w:rsidRDefault="00437CA2" w:rsidP="00437CA2">
      <w:pPr>
        <w:pStyle w:val="AERbulletlistfirststyle"/>
      </w:pPr>
      <w:r w:rsidRPr="00DD1139">
        <w:t>We a</w:t>
      </w:r>
      <w:r w:rsidRPr="001D37D5">
        <w:t>dopt a conceptual approach consistent with the Officer framework,</w:t>
      </w:r>
      <w:r w:rsidRPr="00247000">
        <w:rPr>
          <w:rStyle w:val="FootnoteReference"/>
        </w:rPr>
        <w:footnoteReference w:id="9"/>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10"/>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11"/>
      </w:r>
    </w:p>
    <w:p w:rsidR="00437CA2" w:rsidRPr="001D37D5" w:rsidRDefault="00437CA2" w:rsidP="00437CA2">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2"/>
      </w:r>
      <w:r w:rsidRPr="001D37D5">
        <w:t xml:space="preserve"> </w:t>
      </w:r>
    </w:p>
    <w:p w:rsidR="00437CA2" w:rsidRPr="001D37D5" w:rsidRDefault="00437CA2" w:rsidP="00437CA2">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3"/>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BF66D3">
        <w:t>table 4</w:t>
      </w:r>
      <w:r w:rsidR="00BF66D3">
        <w:noBreakHyphen/>
        <w:t>1</w:t>
      </w:r>
      <w:r w:rsidRPr="001D37D5">
        <w:fldChar w:fldCharType="end"/>
      </w:r>
      <w:r w:rsidRPr="001D37D5">
        <w:t>.</w:t>
      </w:r>
    </w:p>
    <w:p w:rsidR="00437CA2" w:rsidRDefault="00437CA2" w:rsidP="00437CA2">
      <w:pPr>
        <w:pStyle w:val="Caption"/>
      </w:pPr>
      <w:bookmarkStart w:id="19" w:name="_Ref450662555"/>
      <w:r>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w:t>
      </w:r>
      <w:r w:rsidRPr="001D37D5">
        <w:fldChar w:fldCharType="end"/>
      </w:r>
      <w:bookmarkEnd w:id="19"/>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437CA2" w:rsidTr="00437CA2">
        <w:trPr>
          <w:cnfStyle w:val="100000000000" w:firstRow="1" w:lastRow="0" w:firstColumn="0" w:lastColumn="0" w:oddVBand="0" w:evenVBand="0" w:oddHBand="0" w:evenHBand="0" w:firstRowFirstColumn="0" w:firstRowLastColumn="0" w:lastRowFirstColumn="0" w:lastRowLastColumn="0"/>
        </w:trPr>
        <w:tc>
          <w:tcPr>
            <w:tcW w:w="2518" w:type="dxa"/>
          </w:tcPr>
          <w:p w:rsidR="00437CA2" w:rsidRDefault="00437CA2" w:rsidP="00C52695">
            <w:pPr>
              <w:numPr>
                <w:ilvl w:val="0"/>
                <w:numId w:val="24"/>
              </w:numPr>
            </w:pPr>
            <w:r>
              <w:t>Sub-parameter</w:t>
            </w:r>
          </w:p>
        </w:tc>
        <w:tc>
          <w:tcPr>
            <w:tcW w:w="2977" w:type="dxa"/>
          </w:tcPr>
          <w:p w:rsidR="00437CA2" w:rsidRDefault="00437CA2" w:rsidP="00C52695">
            <w:pPr>
              <w:numPr>
                <w:ilvl w:val="0"/>
                <w:numId w:val="24"/>
              </w:numPr>
            </w:pPr>
            <w:r>
              <w:t>Definition</w:t>
            </w:r>
          </w:p>
        </w:tc>
        <w:tc>
          <w:tcPr>
            <w:tcW w:w="3747" w:type="dxa"/>
          </w:tcPr>
          <w:p w:rsidR="00437CA2" w:rsidRDefault="00437CA2" w:rsidP="00C52695">
            <w:pPr>
              <w:numPr>
                <w:ilvl w:val="0"/>
                <w:numId w:val="24"/>
              </w:numPr>
            </w:pPr>
            <w:r>
              <w:t>Estimation approach</w:t>
            </w:r>
          </w:p>
        </w:tc>
      </w:tr>
      <w:tr w:rsidR="00437CA2" w:rsidTr="00437CA2">
        <w:tc>
          <w:tcPr>
            <w:tcW w:w="2518" w:type="dxa"/>
          </w:tcPr>
          <w:p w:rsidR="00437CA2" w:rsidRDefault="00437CA2" w:rsidP="00C52695">
            <w:pPr>
              <w:numPr>
                <w:ilvl w:val="0"/>
                <w:numId w:val="24"/>
              </w:numPr>
            </w:pPr>
            <w:r>
              <w:t>Distribution rate (or payout ratio)</w:t>
            </w:r>
          </w:p>
        </w:tc>
        <w:tc>
          <w:tcPr>
            <w:tcW w:w="2977" w:type="dxa"/>
          </w:tcPr>
          <w:p w:rsidR="00437CA2" w:rsidRDefault="00437CA2" w:rsidP="00C52695">
            <w:pPr>
              <w:numPr>
                <w:ilvl w:val="0"/>
                <w:numId w:val="24"/>
              </w:numPr>
            </w:pPr>
            <w:r>
              <w:t>T</w:t>
            </w:r>
            <w:r w:rsidRPr="004746B6">
              <w:t>he proportion of imputation credits generated that is distributed to investors</w:t>
            </w:r>
          </w:p>
        </w:tc>
        <w:tc>
          <w:tcPr>
            <w:tcW w:w="3747" w:type="dxa"/>
          </w:tcPr>
          <w:p w:rsidR="00437CA2" w:rsidRDefault="00437CA2" w:rsidP="00C52695">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437CA2" w:rsidTr="00437CA2">
        <w:trPr>
          <w:cnfStyle w:val="000000010000" w:firstRow="0" w:lastRow="0" w:firstColumn="0" w:lastColumn="0" w:oddVBand="0" w:evenVBand="0" w:oddHBand="0" w:evenHBand="1" w:firstRowFirstColumn="0" w:firstRowLastColumn="0" w:lastRowFirstColumn="0" w:lastRowLastColumn="0"/>
        </w:trPr>
        <w:tc>
          <w:tcPr>
            <w:tcW w:w="2518" w:type="dxa"/>
          </w:tcPr>
          <w:p w:rsidR="00437CA2" w:rsidRDefault="00437CA2" w:rsidP="00C52695">
            <w:pPr>
              <w:numPr>
                <w:ilvl w:val="0"/>
                <w:numId w:val="24"/>
              </w:numPr>
            </w:pPr>
            <w:r>
              <w:t>Utilisation rate (or theta)</w:t>
            </w:r>
          </w:p>
        </w:tc>
        <w:tc>
          <w:tcPr>
            <w:tcW w:w="2977" w:type="dxa"/>
          </w:tcPr>
          <w:p w:rsidR="00437CA2" w:rsidRDefault="00437CA2" w:rsidP="00C52695">
            <w:pPr>
              <w:numPr>
                <w:ilvl w:val="0"/>
                <w:numId w:val="24"/>
              </w:numPr>
            </w:pPr>
            <w:r>
              <w:t>T</w:t>
            </w:r>
            <w:r w:rsidRPr="004746B6">
              <w:t>he utilisation value to investors in the market per dollar of imputation credits distributed</w:t>
            </w:r>
            <w:r>
              <w:rPr>
                <w:rStyle w:val="FootnoteReference"/>
              </w:rPr>
              <w:footnoteReference w:id="14"/>
            </w:r>
          </w:p>
        </w:tc>
        <w:tc>
          <w:tcPr>
            <w:tcW w:w="3747" w:type="dxa"/>
          </w:tcPr>
          <w:p w:rsidR="00437CA2" w:rsidRDefault="00437CA2" w:rsidP="00C52695">
            <w:pPr>
              <w:numPr>
                <w:ilvl w:val="0"/>
                <w:numId w:val="24"/>
              </w:numPr>
            </w:pPr>
            <w:r>
              <w:t>A range of approaches, with due regard to the merit of each approach:</w:t>
            </w:r>
          </w:p>
          <w:p w:rsidR="00437CA2" w:rsidRPr="00437CA2" w:rsidRDefault="00437CA2" w:rsidP="00437CA2">
            <w:pPr>
              <w:pStyle w:val="AERbulletlistfirststyle"/>
            </w:pPr>
            <w:r>
              <w:t>equity ownership approach</w:t>
            </w:r>
          </w:p>
          <w:p w:rsidR="00437CA2" w:rsidRPr="00437CA2" w:rsidRDefault="00437CA2" w:rsidP="00437CA2">
            <w:pPr>
              <w:pStyle w:val="AERbulletlistfirststyle"/>
            </w:pPr>
            <w:r>
              <w:t>tax statistics</w:t>
            </w:r>
          </w:p>
          <w:p w:rsidR="00437CA2" w:rsidRPr="00437CA2" w:rsidRDefault="00437CA2" w:rsidP="00437CA2">
            <w:pPr>
              <w:pStyle w:val="AERbulletlistfirststyle"/>
            </w:pPr>
            <w:r>
              <w:t>implied market value studies</w:t>
            </w:r>
          </w:p>
        </w:tc>
      </w:tr>
    </w:tbl>
    <w:p w:rsidR="00437CA2" w:rsidRPr="00CA67C0" w:rsidRDefault="00437CA2" w:rsidP="00437CA2">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BF66D3">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BF66D3">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BF66D3">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BF66D3">
        <w:t>A.15</w:t>
      </w:r>
      <w:r w:rsidRPr="00CA67C0">
        <w:fldChar w:fldCharType="end"/>
      </w:r>
      <w:r w:rsidRPr="00CA67C0">
        <w:t>.</w:t>
      </w:r>
    </w:p>
    <w:p w:rsidR="00437CA2" w:rsidRPr="00883125" w:rsidRDefault="00437CA2" w:rsidP="00C52695">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437CA2" w:rsidRDefault="00437CA2" w:rsidP="00437CA2">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8146B5" w:rsidRPr="00883125" w:rsidRDefault="008146B5" w:rsidP="007F6EED">
      <w:pPr>
        <w:pStyle w:val="HeadingBoldItalic"/>
      </w:pPr>
      <w:bookmarkStart w:id="20" w:name="_Toc480814854"/>
      <w:bookmarkStart w:id="21" w:name="_Toc481056642"/>
      <w:bookmarkStart w:id="22" w:name="_Toc481061436"/>
      <w:bookmarkStart w:id="23" w:name="_Toc456614271"/>
      <w:r>
        <w:t>Recent litigation</w:t>
      </w:r>
      <w:bookmarkEnd w:id="20"/>
      <w:bookmarkEnd w:id="21"/>
      <w:bookmarkEnd w:id="22"/>
    </w:p>
    <w:p w:rsidR="008146B5" w:rsidRDefault="008146B5" w:rsidP="008146B5">
      <w:pPr>
        <w:rPr>
          <w:rStyle w:val="AERbody"/>
        </w:rPr>
      </w:pPr>
      <w:r>
        <w:rPr>
          <w:rStyle w:val="AERbody"/>
        </w:rPr>
        <w:t xml:space="preserve">In February 2016 the </w:t>
      </w:r>
      <w:r w:rsidR="00F34CD4">
        <w:rPr>
          <w:rStyle w:val="AERbody"/>
        </w:rPr>
        <w:t xml:space="preserve">Australian Competition </w:t>
      </w:r>
      <w:r>
        <w:rPr>
          <w:rStyle w:val="AERbody"/>
        </w:rPr>
        <w:t>Tribunal (</w:t>
      </w:r>
      <w:r w:rsidR="00F34CD4">
        <w:rPr>
          <w:rStyle w:val="AERbody"/>
        </w:rPr>
        <w:t xml:space="preserve">the </w:t>
      </w:r>
      <w:r>
        <w:rPr>
          <w:rStyle w:val="AERbody"/>
        </w:rPr>
        <w:t xml:space="preserve">Ausgrid Tribunal) handed down its decision for </w:t>
      </w:r>
      <w:r w:rsidR="00913303">
        <w:rPr>
          <w:rStyle w:val="AERbody"/>
        </w:rPr>
        <w:t>ActewAGL</w:t>
      </w:r>
      <w:r w:rsidRPr="005942A6">
        <w:rPr>
          <w:rStyle w:val="AERbody"/>
        </w:rPr>
        <w:t xml:space="preserve"> Distribution, Ausgrid, Endeavour Energy, Essential Energy and Jemena Gas Networks</w:t>
      </w:r>
      <w:r>
        <w:rPr>
          <w:rStyle w:val="AERbody"/>
        </w:rPr>
        <w:t>.</w:t>
      </w:r>
      <w:r w:rsidR="00F34CD4">
        <w:rPr>
          <w:rStyle w:val="FootnoteReference"/>
        </w:rPr>
        <w:footnoteReference w:id="15"/>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8146B5" w:rsidRDefault="008146B5" w:rsidP="008146B5">
      <w:pPr>
        <w:rPr>
          <w:rStyle w:val="AERbody"/>
        </w:rPr>
      </w:pPr>
      <w:r>
        <w:rPr>
          <w:rStyle w:val="AERbody"/>
        </w:rPr>
        <w:t xml:space="preserve">We </w:t>
      </w:r>
      <w:r w:rsidR="00CF58DD">
        <w:rPr>
          <w:rStyle w:val="AERbody"/>
        </w:rPr>
        <w:t xml:space="preserve">judicial </w:t>
      </w:r>
      <w:r>
        <w:rPr>
          <w:rStyle w:val="AERbody"/>
        </w:rPr>
        <w:t xml:space="preserve">sought review of the Ausgrid Tribunal's decision in the Full Federal Court and our </w:t>
      </w:r>
      <w:r w:rsidR="00CF58DD">
        <w:rPr>
          <w:rStyle w:val="AERbody"/>
        </w:rPr>
        <w:t>applications were</w:t>
      </w:r>
      <w:r>
        <w:rPr>
          <w:rStyle w:val="AERbody"/>
        </w:rPr>
        <w:t xml:space="preserve"> heard in October 2016. </w:t>
      </w:r>
      <w:r w:rsidR="009C1656">
        <w:rPr>
          <w:rStyle w:val="AERbody"/>
        </w:rPr>
        <w:t xml:space="preserve"> The decision </w:t>
      </w:r>
      <w:r w:rsidR="004B01DC">
        <w:rPr>
          <w:rStyle w:val="AERbody"/>
        </w:rPr>
        <w:t xml:space="preserve">of the Full Federal Court </w:t>
      </w:r>
      <w:r w:rsidR="009C1656">
        <w:rPr>
          <w:rStyle w:val="AERbody"/>
        </w:rPr>
        <w:t xml:space="preserve">was handed down </w:t>
      </w:r>
      <w:r w:rsidR="00BE354A">
        <w:rPr>
          <w:rStyle w:val="AERbody"/>
        </w:rPr>
        <w:t>on 24</w:t>
      </w:r>
      <w:r w:rsidR="009C1656">
        <w:rPr>
          <w:rStyle w:val="AERbody"/>
        </w:rPr>
        <w:t xml:space="preserve"> May 2017.</w:t>
      </w:r>
      <w:r w:rsidR="00D97EE4">
        <w:rPr>
          <w:rStyle w:val="FootnoteReference"/>
        </w:rPr>
        <w:footnoteReference w:id="16"/>
      </w:r>
      <w:r w:rsidR="009C1656">
        <w:rPr>
          <w:rStyle w:val="AERbody"/>
        </w:rPr>
        <w:t xml:space="preserve"> </w:t>
      </w:r>
      <w:r w:rsidR="00CF58DD">
        <w:t>The Court found</w:t>
      </w:r>
      <w:r w:rsidR="00397C86">
        <w:t xml:space="preserve"> it was </w:t>
      </w:r>
      <w:r w:rsidR="00484398">
        <w:t>not an error of construction</w:t>
      </w:r>
      <w:r w:rsidR="00397C86">
        <w:t xml:space="preserve"> for the AER </w:t>
      </w:r>
      <w:r w:rsidR="00FA1A9B">
        <w:t>to focus on utilisation</w:t>
      </w:r>
      <w:r w:rsidR="00CF58DD" w:rsidRPr="00CF58DD">
        <w:t xml:space="preserve"> rather than on implied market value</w:t>
      </w:r>
      <w:r w:rsidR="00397C86">
        <w:t>.</w:t>
      </w:r>
      <w:r w:rsidR="00484398">
        <w:rPr>
          <w:rStyle w:val="FootnoteReference"/>
        </w:rPr>
        <w:footnoteReference w:id="17"/>
      </w:r>
      <w:r w:rsidR="00FA1A9B">
        <w:t xml:space="preserve">. </w:t>
      </w:r>
      <w:r w:rsidR="00F8507B">
        <w:t>It accepted</w:t>
      </w:r>
      <w:r w:rsidR="00840BBE">
        <w:t xml:space="preserve"> the AER's submission that the Rules require consistency in the way the relevant building blocks interact</w:t>
      </w:r>
      <w:r w:rsidR="00CF58DD">
        <w:t>, that is,</w:t>
      </w:r>
      <w:r w:rsidR="00840BBE">
        <w:t xml:space="preserve"> on a post-company tax and pre-personal tax and personal costs basis.</w:t>
      </w:r>
      <w:r w:rsidR="00484398">
        <w:rPr>
          <w:rStyle w:val="FootnoteReference"/>
        </w:rPr>
        <w:footnoteReference w:id="18"/>
      </w:r>
      <w:r w:rsidR="00840BBE">
        <w:t xml:space="preserve"> </w:t>
      </w:r>
      <w:r w:rsidR="00C40C2B">
        <w:t xml:space="preserve">It </w:t>
      </w:r>
      <w:r w:rsidR="00D97EE4">
        <w:rPr>
          <w:rStyle w:val="AERbody"/>
        </w:rPr>
        <w:t xml:space="preserve">found the Tribunal erred in concluding that the value of gamma is </w:t>
      </w:r>
      <w:r w:rsidR="00484398">
        <w:rPr>
          <w:rStyle w:val="AERbody"/>
        </w:rPr>
        <w:t xml:space="preserve">(only) </w:t>
      </w:r>
      <w:r w:rsidR="00397C86">
        <w:rPr>
          <w:rStyle w:val="AERbody"/>
        </w:rPr>
        <w:t xml:space="preserve">the value </w:t>
      </w:r>
      <w:r w:rsidR="00D97EE4">
        <w:rPr>
          <w:rStyle w:val="AERbody"/>
        </w:rPr>
        <w:t>claimed or utilised as demonstrated by the behaviour of the shareholder recipients of the imputation credits.</w:t>
      </w:r>
      <w:r w:rsidR="00261C5F">
        <w:rPr>
          <w:rStyle w:val="FootnoteReference"/>
        </w:rPr>
        <w:footnoteReference w:id="19"/>
      </w:r>
      <w:r w:rsidR="00D97EE4">
        <w:rPr>
          <w:rStyle w:val="AERbody"/>
        </w:rPr>
        <w:t xml:space="preserve"> </w:t>
      </w:r>
      <w:r w:rsidR="00A566D0" w:rsidRPr="00A566D0">
        <w:rPr>
          <w:rStyle w:val="AERbody"/>
        </w:rPr>
        <w:t xml:space="preserve"> </w:t>
      </w:r>
      <w:r w:rsidR="00A566D0">
        <w:rPr>
          <w:rStyle w:val="AERbody"/>
        </w:rPr>
        <w:t>The Full Federal Courts decision on this point is consistent with the approach we have taken in all regulatory decision released since November 2014 and the approach we have taken in this draft decision.</w:t>
      </w:r>
    </w:p>
    <w:p w:rsidR="008146B5" w:rsidRPr="00BD61CE" w:rsidRDefault="008146B5" w:rsidP="008146B5">
      <w:pPr>
        <w:rPr>
          <w:rStyle w:val="AERbody"/>
        </w:rPr>
      </w:pPr>
      <w:r w:rsidRPr="00BD61CE">
        <w:rPr>
          <w:rStyle w:val="AERbody"/>
        </w:rPr>
        <w:t xml:space="preserve">In October 2016 the </w:t>
      </w:r>
      <w:r w:rsidR="00F34CD4">
        <w:rPr>
          <w:rStyle w:val="AERbody"/>
        </w:rPr>
        <w:t xml:space="preserve">Australian Competition </w:t>
      </w:r>
      <w:r w:rsidRPr="00BD61CE">
        <w:rPr>
          <w:rStyle w:val="AERbody"/>
        </w:rPr>
        <w:t>Tribunal (</w:t>
      </w:r>
      <w:r w:rsidR="00F34CD4">
        <w:rPr>
          <w:rStyle w:val="AERbody"/>
        </w:rPr>
        <w:t xml:space="preserve">the </w:t>
      </w:r>
      <w:r w:rsidRPr="00BD61CE">
        <w:rPr>
          <w:rStyle w:val="AERbody"/>
        </w:rPr>
        <w:t>SAPN Tribunal) handed down its decision for SA Power Networks.</w:t>
      </w:r>
      <w:r w:rsidR="00F34CD4">
        <w:rPr>
          <w:rStyle w:val="FootnoteReference"/>
        </w:rPr>
        <w:footnoteReference w:id="20"/>
      </w:r>
      <w:r w:rsidRPr="00BD61CE">
        <w:rPr>
          <w:rStyle w:val="AERbody"/>
        </w:rPr>
        <w:t xml:space="preserve"> </w:t>
      </w:r>
      <w:r>
        <w:rPr>
          <w:rStyle w:val="AERbody"/>
        </w:rPr>
        <w:t>T</w:t>
      </w:r>
      <w:r w:rsidRPr="00BD61CE">
        <w:rPr>
          <w:rStyle w:val="AERbody"/>
        </w:rPr>
        <w:t>he SAPN Tribunal upheld the AER's</w:t>
      </w:r>
      <w:r>
        <w:rPr>
          <w:rStyle w:val="AERbody"/>
        </w:rPr>
        <w:t xml:space="preserve"> d</w:t>
      </w:r>
      <w:r w:rsidR="00011740">
        <w:rPr>
          <w:rStyle w:val="AERbody"/>
        </w:rPr>
        <w:t xml:space="preserve">ecision to value gamma at 0.4. </w:t>
      </w:r>
      <w:r>
        <w:rPr>
          <w:rStyle w:val="AERbody"/>
        </w:rPr>
        <w:t>The SAPN Tribunal was invited to follow the decision and reasoning of the Ausgrid Tribunal but chose not to do so.</w:t>
      </w:r>
      <w:r w:rsidR="00011740">
        <w:rPr>
          <w:rStyle w:val="AERbody"/>
        </w:rPr>
        <w:t xml:space="preserve"> </w:t>
      </w:r>
      <w:r>
        <w:rPr>
          <w:rStyle w:val="AERbody"/>
        </w:rPr>
        <w:t>It found there was no error in the AER’s approach or conclusion.</w:t>
      </w:r>
    </w:p>
    <w:p w:rsidR="008146B5" w:rsidRDefault="008146B5" w:rsidP="008146B5">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 xml:space="preserve">tter </w:t>
      </w:r>
      <w:r w:rsidR="007F0C93">
        <w:rPr>
          <w:rStyle w:val="AERbody"/>
        </w:rPr>
        <w:t xml:space="preserve">was </w:t>
      </w:r>
      <w:r>
        <w:rPr>
          <w:rStyle w:val="AERbody"/>
        </w:rPr>
        <w:t>heard in May 2017.</w:t>
      </w:r>
      <w:r w:rsidR="002C4A34">
        <w:rPr>
          <w:rStyle w:val="AERbody"/>
        </w:rPr>
        <w:t xml:space="preserve"> </w:t>
      </w:r>
      <w:r w:rsidR="00484398">
        <w:rPr>
          <w:rStyle w:val="AERbody"/>
        </w:rPr>
        <w:t>The Full Federal Court decision is currently reserved</w:t>
      </w:r>
      <w:r w:rsidR="00CF58DD">
        <w:rPr>
          <w:rStyle w:val="AERbody"/>
        </w:rPr>
        <w:t>.</w:t>
      </w:r>
    </w:p>
    <w:p w:rsidR="008146B5" w:rsidRDefault="008146B5" w:rsidP="008146B5">
      <w:pPr>
        <w:rPr>
          <w:rStyle w:val="AERbody"/>
        </w:rPr>
      </w:pPr>
      <w:r>
        <w:rPr>
          <w:rStyle w:val="AERbody"/>
        </w:rPr>
        <w:t>There are therefore conflicting decisions from two differently constituted Tribunals as to both the value of gamma and the approach to valuing gamma</w:t>
      </w:r>
      <w:r w:rsidR="00E14153">
        <w:rPr>
          <w:rStyle w:val="AERbody"/>
        </w:rPr>
        <w:t>. However,</w:t>
      </w:r>
      <w:r w:rsidR="00656863">
        <w:rPr>
          <w:rStyle w:val="AERbody"/>
        </w:rPr>
        <w:t xml:space="preserve"> </w:t>
      </w:r>
      <w:r w:rsidR="00C8459C">
        <w:rPr>
          <w:rStyle w:val="AERbody"/>
        </w:rPr>
        <w:t>in the review of the Ausgrid Tribunal's dec</w:t>
      </w:r>
      <w:r w:rsidR="00AE2B29">
        <w:rPr>
          <w:rStyle w:val="AERbody"/>
        </w:rPr>
        <w:t>i</w:t>
      </w:r>
      <w:r w:rsidR="00C8459C">
        <w:rPr>
          <w:rStyle w:val="AERbody"/>
        </w:rPr>
        <w:t>sion, the</w:t>
      </w:r>
      <w:r w:rsidR="00656863">
        <w:rPr>
          <w:rStyle w:val="AERbody"/>
        </w:rPr>
        <w:t xml:space="preserve"> Full Federal Court </w:t>
      </w:r>
      <w:r w:rsidR="00C8459C">
        <w:rPr>
          <w:rStyle w:val="AERbody"/>
        </w:rPr>
        <w:t>found the Ausgrid Tribunal erred in limiting attention to the word "value" and give it a meaning in isolation, it thereby misunderstood the function of imputation credits under the Rules in relation to the return on capital and the tax building block.</w:t>
      </w:r>
      <w:r w:rsidR="00261C5F">
        <w:rPr>
          <w:rStyle w:val="FootnoteReference"/>
        </w:rPr>
        <w:footnoteReference w:id="21"/>
      </w:r>
      <w:r w:rsidR="009F08EB">
        <w:rPr>
          <w:rStyle w:val="AERbody"/>
        </w:rPr>
        <w:t>.</w:t>
      </w:r>
    </w:p>
    <w:p w:rsidR="00F94F9F" w:rsidRDefault="00F94F9F" w:rsidP="008146B5">
      <w:pPr>
        <w:rPr>
          <w:rStyle w:val="AERbody"/>
        </w:rPr>
      </w:pPr>
      <w:r>
        <w:rPr>
          <w:rStyle w:val="AERbody"/>
        </w:rPr>
        <w:t>In May 2017</w:t>
      </w:r>
      <w:r w:rsidR="00AE2B29">
        <w:rPr>
          <w:rStyle w:val="AERbody"/>
        </w:rPr>
        <w:t>, before the NSW Full Federal Court handed down its decision,</w:t>
      </w:r>
      <w:r>
        <w:rPr>
          <w:rStyle w:val="AERbody"/>
        </w:rPr>
        <w:t xml:space="preserve"> AusNet Transmission sought review of the AER's final decision in respect to gamma being 0.4 rather than a value of imputation credits of 0.25 proposed in AusNet Transmission's proposal.</w:t>
      </w:r>
      <w:r w:rsidR="00AE2B29">
        <w:rPr>
          <w:rStyle w:val="AERbody"/>
        </w:rPr>
        <w:t xml:space="preserve"> </w:t>
      </w:r>
      <w:r w:rsidR="0050114F">
        <w:rPr>
          <w:rStyle w:val="AERbody"/>
        </w:rPr>
        <w:t xml:space="preserve">It submitted that the AER's gamma decision was based on an incorrect construction and application of the NER and thus the exercise of the AER's discretion was incorrect and/or its final decision </w:t>
      </w:r>
      <w:r w:rsidR="00B958AD">
        <w:rPr>
          <w:rStyle w:val="AERbody"/>
        </w:rPr>
        <w:t xml:space="preserve">is </w:t>
      </w:r>
      <w:r w:rsidR="0050114F">
        <w:rPr>
          <w:rStyle w:val="AERbody"/>
        </w:rPr>
        <w:t xml:space="preserve">unreasonable. </w:t>
      </w:r>
      <w:r w:rsidR="00A566D0">
        <w:rPr>
          <w:rStyle w:val="AERbody"/>
        </w:rPr>
        <w:t xml:space="preserve">At the time this draft </w:t>
      </w:r>
      <w:r w:rsidR="00A560AC">
        <w:rPr>
          <w:rStyle w:val="AERbody"/>
        </w:rPr>
        <w:t>decision</w:t>
      </w:r>
      <w:r w:rsidR="00A566D0">
        <w:rPr>
          <w:rStyle w:val="AERbody"/>
        </w:rPr>
        <w:t xml:space="preserve"> AusNet's application for review of the AER decision before the Australian Competition Tribunal remained on foot.</w:t>
      </w:r>
    </w:p>
    <w:p w:rsidR="001E6A60" w:rsidRPr="005F293C" w:rsidRDefault="001E6A60" w:rsidP="007F6EED">
      <w:pPr>
        <w:pStyle w:val="HeadingBoldItalic"/>
      </w:pPr>
      <w:bookmarkStart w:id="24" w:name="_Toc480814855"/>
      <w:bookmarkStart w:id="25" w:name="_Toc481056643"/>
      <w:bookmarkStart w:id="26" w:name="_Toc481061437"/>
      <w:r w:rsidRPr="005F293C">
        <w:t xml:space="preserve">Summary of </w:t>
      </w:r>
      <w:r>
        <w:t xml:space="preserve">our </w:t>
      </w:r>
      <w:r w:rsidRPr="005F293C">
        <w:t>conclusions</w:t>
      </w:r>
      <w:bookmarkEnd w:id="24"/>
      <w:bookmarkEnd w:id="25"/>
      <w:bookmarkEnd w:id="26"/>
    </w:p>
    <w:p w:rsidR="001E6A60" w:rsidRPr="005764F6" w:rsidRDefault="001E6A60" w:rsidP="001E6A60">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1E6A60" w:rsidRPr="001D37D5" w:rsidRDefault="001E6A60" w:rsidP="001E6A60">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w:t>
      </w:r>
      <w:r w:rsidR="00011740">
        <w:t xml:space="preserve">. </w:t>
      </w:r>
      <w:r>
        <w:t>We</w:t>
      </w:r>
      <w:r w:rsidRPr="001D37D5">
        <w:t xml:space="preserve"> must therefore choose an appropriate value for gamma </w:t>
      </w:r>
      <w:r>
        <w:t>based on our own assessment</w:t>
      </w:r>
      <w:r w:rsidR="00011740">
        <w:t xml:space="preserve"> of all the relevant evidence.</w:t>
      </w:r>
    </w:p>
    <w:p w:rsidR="001E6A60" w:rsidRDefault="001E6A60" w:rsidP="001E6A60">
      <w:pPr>
        <w:pStyle w:val="AERbulletlistfirststyle"/>
      </w:pPr>
      <w:r w:rsidRPr="005764F6">
        <w:t xml:space="preserve">Our conceptual approach considers the value of gamma </w:t>
      </w:r>
      <w:r>
        <w:t>as</w:t>
      </w:r>
      <w:r w:rsidRPr="005764F6">
        <w:t xml:space="preserve"> a post</w:t>
      </w:r>
      <w:r w:rsidR="00F34CD4">
        <w:t xml:space="preserve"> (company) </w:t>
      </w:r>
      <w:r w:rsidRPr="005764F6">
        <w:t>tax</w:t>
      </w:r>
      <w:r>
        <w:t xml:space="preserve"> </w:t>
      </w:r>
      <w:r w:rsidRPr="005764F6">
        <w:t xml:space="preserve">value before the impact of personal taxes and </w:t>
      </w:r>
      <w:r w:rsidR="007B2660">
        <w:t>personal</w:t>
      </w:r>
      <w:r w:rsidRPr="005764F6">
        <w:t xml:space="preserve"> costs. </w:t>
      </w:r>
      <w:r>
        <w:t>This is because we use a post-tax revenue model for revenue regulat</w:t>
      </w:r>
      <w:r w:rsidR="00011740">
        <w:t xml:space="preserve">ion for each regulated entity. </w:t>
      </w:r>
      <w:r>
        <w:t xml:space="preserve">The value of gamma has to be understood, and consistently estimated and applied, </w:t>
      </w:r>
      <w:r w:rsidR="00011740">
        <w:t>in that overall context.</w:t>
      </w:r>
    </w:p>
    <w:p w:rsidR="001E6A60" w:rsidRPr="001D37D5" w:rsidRDefault="001E6A60" w:rsidP="001E6A60">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BF66D3">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BF66D3">
        <w:t>A.6</w:t>
      </w:r>
      <w:r w:rsidRPr="001D37D5">
        <w:fldChar w:fldCharType="end"/>
      </w:r>
      <w:r w:rsidRPr="001D37D5">
        <w:t xml:space="preserve">. </w:t>
      </w:r>
    </w:p>
    <w:p w:rsidR="001E6A60" w:rsidRPr="001D37D5" w:rsidRDefault="001E6A60" w:rsidP="001E6A60">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BF66D3">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BF66D3">
        <w:t>A.6</w:t>
      </w:r>
      <w:r w:rsidRPr="001D37D5">
        <w:fldChar w:fldCharType="end"/>
      </w:r>
      <w:r w:rsidRPr="001D37D5">
        <w:t>.</w:t>
      </w:r>
    </w:p>
    <w:p w:rsidR="001E6A60" w:rsidRPr="001D37D5" w:rsidRDefault="001E6A60" w:rsidP="001E6A60">
      <w:pPr>
        <w:pStyle w:val="AERbulletlistfirststyle"/>
      </w:pPr>
      <w:r w:rsidRPr="005764F6">
        <w:t>We use a range of relevant evidence to estimate the utilisation</w:t>
      </w:r>
      <w:r w:rsidRPr="001D37D5">
        <w:t xml:space="preserve"> rate. We consider:</w:t>
      </w:r>
    </w:p>
    <w:p w:rsidR="001E6A60" w:rsidRPr="005764F6" w:rsidRDefault="001E6A60" w:rsidP="001E6A6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BF66D3">
        <w:t>A.12</w:t>
      </w:r>
      <w:r w:rsidRPr="005764F6">
        <w:fldChar w:fldCharType="end"/>
      </w:r>
      <w:r w:rsidRPr="005764F6">
        <w:t>).</w:t>
      </w:r>
      <w:r w:rsidRPr="00F07FE8">
        <w:t xml:space="preserve"> </w:t>
      </w: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BF66D3">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1E6A60" w:rsidRPr="005764F6" w:rsidRDefault="001E6A60" w:rsidP="001E6A60">
      <w:pPr>
        <w:pStyle w:val="AERbulletlistsecondstyle"/>
      </w:pPr>
      <w:r w:rsidRPr="005764F6">
        <w:t>Taxation statistics (tax statistics) can also provide a</w:t>
      </w:r>
      <w:r w:rsidR="00913303">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E750F8">
        <w:rPr>
          <w:rStyle w:val="FootnoteReference"/>
        </w:rPr>
        <w:footnoteReference w:id="22"/>
      </w:r>
      <w:r w:rsidRPr="005764F6">
        <w:t xml:space="preserve"> Having regard to the potential data limitations and alternate estimates, the evidence from tax statistics is not inconsistent with the evidence from the equity ownership approach, but we pla</w:t>
      </w:r>
      <w:r w:rsidR="00F143A3">
        <w:t>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BF66D3">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rsidR="00011740">
        <w:t xml:space="preserve">. </w:t>
      </w:r>
      <w:r>
        <w:t>T</w:t>
      </w:r>
      <w:r w:rsidRPr="001D37D5">
        <w:t>he</w:t>
      </w:r>
      <w:r>
        <w:t xml:space="preserve"> Ausgrid</w:t>
      </w:r>
      <w:r w:rsidRPr="001D37D5">
        <w:t xml:space="preserve"> Tribunal found</w:t>
      </w:r>
      <w:r>
        <w:t xml:space="preserve"> that it did provide an upper bound</w:t>
      </w:r>
      <w:r w:rsidRPr="001D37D5">
        <w:t>.</w:t>
      </w:r>
      <w:r w:rsidRPr="00E750F8">
        <w:rPr>
          <w:rStyle w:val="FootnoteReference"/>
        </w:rPr>
        <w:footnoteReference w:id="23"/>
      </w:r>
      <w:r w:rsidRPr="001D37D5">
        <w:t xml:space="preserve"> </w:t>
      </w:r>
      <w:r>
        <w:t>In contrast, the SAPN Tribunal found that it did not.</w:t>
      </w:r>
      <w:r w:rsidR="00493F01" w:rsidRPr="0088743A">
        <w:rPr>
          <w:rStyle w:val="FootnoteReference"/>
        </w:rPr>
        <w:footnoteReference w:id="24"/>
      </w:r>
      <w:r w:rsidR="004576F7">
        <w:t xml:space="preserve"> </w:t>
      </w:r>
      <w:r>
        <w:t xml:space="preserve">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E750F8">
        <w:rPr>
          <w:rStyle w:val="FootnoteReference"/>
        </w:rPr>
        <w:footnoteReference w:id="25"/>
      </w:r>
      <w:r w:rsidRPr="001D37D5">
        <w:t xml:space="preserve"> We consider tax statistics provide a point estimate of the utilisation rate</w:t>
      </w:r>
      <w:r w:rsidR="00913303">
        <w:t xml:space="preserve"> of questionable reliability</w:t>
      </w:r>
      <w:r w:rsidRPr="001D37D5">
        <w:t xml:space="preserve">. </w:t>
      </w:r>
    </w:p>
    <w:p w:rsidR="001E6A60" w:rsidRPr="005764F6" w:rsidRDefault="001E6A60" w:rsidP="001E6A60">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rsidR="00F34CD4">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BF66D3">
        <w:t>A.15</w:t>
      </w:r>
      <w:r w:rsidRPr="005764F6">
        <w:fldChar w:fldCharType="end"/>
      </w:r>
      <w:r w:rsidRPr="005764F6">
        <w:t>).</w:t>
      </w:r>
      <w:r w:rsidRPr="00583683">
        <w:rPr>
          <w:rStyle w:val="FootnoteReference"/>
        </w:rPr>
        <w:footnoteReference w:id="26"/>
      </w:r>
    </w:p>
    <w:p w:rsidR="001E6A60" w:rsidRPr="001D37D5" w:rsidRDefault="001E6A60" w:rsidP="001E6A60">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BF66D3">
        <w:t>A.10</w:t>
      </w:r>
      <w:r w:rsidRPr="001D37D5">
        <w:fldChar w:fldCharType="end"/>
      </w:r>
      <w:r w:rsidRPr="001D37D5">
        <w:t>).</w:t>
      </w:r>
      <w:r w:rsidRPr="001D37D5">
        <w:rPr>
          <w:rStyle w:val="FootnoteReference"/>
        </w:rPr>
        <w:footnoteReference w:id="27"/>
      </w:r>
      <w:r w:rsidRPr="001D37D5">
        <w:t xml:space="preserve"> </w:t>
      </w:r>
      <w:r>
        <w:t xml:space="preserve">While our consultant's advice is 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8"/>
      </w:r>
      <w:r>
        <w:t xml:space="preserve"> Our approach leads to conservative estimate</w:t>
      </w:r>
      <w:r w:rsidR="00490FB7">
        <w:t xml:space="preserve"> (in favour of the service providers)</w:t>
      </w:r>
      <w:r>
        <w:t>,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9"/>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rsidR="00011740">
        <w:t xml:space="preserve"> </w:t>
      </w:r>
      <w:r>
        <w:t>This additional evidence also supports a value of gamma of 0.4.</w:t>
      </w:r>
    </w:p>
    <w:p w:rsidR="00437CA2" w:rsidRPr="001D37D5" w:rsidRDefault="001E6A60">
      <w:pPr>
        <w:pStyle w:val="AERbulletlistfirststyle"/>
      </w:pPr>
      <w:r w:rsidRPr="00C64627">
        <w:t>Lally supports, among other things, our conceptual approach to estimating gamma and the relative reliance we place on different sources of evidence to estimate the utilisation rate.</w:t>
      </w:r>
      <w:r w:rsidRPr="00E750F8">
        <w:rPr>
          <w:rStyle w:val="FootnoteReference"/>
        </w:rPr>
        <w:footnoteReference w:id="30"/>
      </w:r>
      <w:r w:rsidRPr="00C64627">
        <w:t xml:space="preserve"> However, he recommended an estimate of the value of gamma of at least 0.5. This is higher than the estimate of 0.4 we adopt in this decision. </w:t>
      </w:r>
      <w:r>
        <w:t>Other expert reports, s</w:t>
      </w:r>
      <w:r w:rsidR="00E4542B">
        <w:t xml:space="preserve">uch as those provided by </w:t>
      </w:r>
      <w:r w:rsidR="00AF450C">
        <w:t>Multinet</w:t>
      </w:r>
      <w:r w:rsidR="00F07ACD">
        <w:t>,</w:t>
      </w:r>
      <w:r w:rsidR="009B6CBD">
        <w:t xml:space="preserve"> </w:t>
      </w:r>
      <w:r w:rsidR="00F07ACD">
        <w:t>AGN</w:t>
      </w:r>
      <w:r w:rsidR="009B2737">
        <w:t xml:space="preserve"> </w:t>
      </w:r>
      <w:r w:rsidR="009B6CBD">
        <w:t xml:space="preserve">and </w:t>
      </w:r>
      <w:r w:rsidR="00E4542B">
        <w:t xml:space="preserve">AusNet Services </w:t>
      </w:r>
      <w:r>
        <w:t xml:space="preserve">in support of </w:t>
      </w:r>
      <w:r w:rsidR="009B6CBD">
        <w:t>their</w:t>
      </w:r>
      <w:r>
        <w:t xml:space="preserve"> proposal</w:t>
      </w:r>
      <w:r w:rsidR="009B6CBD">
        <w:t>s</w:t>
      </w:r>
      <w:r>
        <w:t xml:space="preserve">,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reflects our best j</w:t>
      </w:r>
      <w:r w:rsidR="00493F01">
        <w:t xml:space="preserve">udgement in the circumstances. </w:t>
      </w:r>
      <w:r>
        <w:t xml:space="preserve">It is based on our assessment of the available evidence having regard to </w:t>
      </w:r>
      <w:r w:rsidRPr="00C64627">
        <w:t>the requirements of the NER/NGR</w:t>
      </w:r>
      <w:r>
        <w:t>.</w:t>
      </w:r>
      <w:bookmarkEnd w:id="23"/>
    </w:p>
    <w:p w:rsidR="00437CA2" w:rsidRDefault="00437CA2" w:rsidP="007F6EED">
      <w:pPr>
        <w:pStyle w:val="HeadingBoldItalic"/>
      </w:pPr>
      <w:bookmarkStart w:id="27" w:name="_Toc456614272"/>
      <w:bookmarkStart w:id="28" w:name="_Toc480814856"/>
      <w:bookmarkStart w:id="29" w:name="_Toc481056644"/>
      <w:bookmarkStart w:id="30" w:name="_Toc481061438"/>
      <w:r>
        <w:t>The use of taxation statistics</w:t>
      </w:r>
      <w:bookmarkEnd w:id="27"/>
      <w:bookmarkEnd w:id="28"/>
      <w:bookmarkEnd w:id="29"/>
      <w:bookmarkEnd w:id="30"/>
    </w:p>
    <w:p w:rsidR="00437CA2" w:rsidRDefault="00437CA2" w:rsidP="00437CA2">
      <w:r>
        <w:t xml:space="preserve">In response to the </w:t>
      </w:r>
      <w:r w:rsidR="00910E36">
        <w:t>Ausgrid</w:t>
      </w:r>
      <w:r>
        <w:t xml:space="preserv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437CA2" w:rsidRPr="00243100" w:rsidRDefault="00437CA2" w:rsidP="00437CA2">
      <w:r w:rsidRPr="00243100">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w:t>
      </w:r>
      <w:r w:rsidR="00910E36">
        <w:t xml:space="preserve"> and</w:t>
      </w:r>
      <w:r w:rsidRPr="00243100">
        <w:t xml:space="preserve"> Handley.</w:t>
      </w:r>
      <w:r>
        <w:rPr>
          <w:rStyle w:val="FootnoteReference"/>
        </w:rPr>
        <w:footnoteReference w:id="31"/>
      </w:r>
      <w:r>
        <w:t xml:space="preserve"> </w:t>
      </w:r>
      <w:r w:rsidR="00910E36">
        <w:t>Frontier has submitted that tax statistics can estimate gamma reliably as the ratio of imputation credits redeemed to imputation credit created.</w:t>
      </w:r>
      <w:r w:rsidR="00493F01">
        <w:rPr>
          <w:rStyle w:val="FootnoteReference"/>
        </w:rPr>
        <w:footnoteReference w:id="32"/>
      </w:r>
      <w:r w:rsidR="00910E36">
        <w:t xml:space="preserve"> However, </w:t>
      </w:r>
      <w:r w:rsidR="003575D8">
        <w:t xml:space="preserve">we are not convinced following our review of the Hathaway paper and our recent advice from Lally (see section </w:t>
      </w:r>
      <w:r w:rsidR="003575D8">
        <w:fldChar w:fldCharType="begin"/>
      </w:r>
      <w:r w:rsidR="003575D8">
        <w:instrText xml:space="preserve"> REF _Ref402179420 \n \h </w:instrText>
      </w:r>
      <w:r w:rsidR="003575D8">
        <w:fldChar w:fldCharType="separate"/>
      </w:r>
      <w:r w:rsidR="00BF66D3">
        <w:t>A.13</w:t>
      </w:r>
      <w:r w:rsidR="003575D8">
        <w:fldChar w:fldCharType="end"/>
      </w:r>
      <w:r w:rsidR="003575D8">
        <w:t xml:space="preserve">). </w:t>
      </w:r>
      <w:r>
        <w:t>For this reason, in this decision, we have placed limited weight on tax statistics.</w:t>
      </w:r>
    </w:p>
    <w:p w:rsidR="00437CA2" w:rsidRDefault="00437CA2" w:rsidP="00437CA2">
      <w:r w:rsidRPr="00243100">
        <w:t xml:space="preserve">Lally considers tax statistics </w:t>
      </w:r>
      <w:r>
        <w:t xml:space="preserve">do not provide a reliable </w:t>
      </w:r>
      <w:r w:rsidRPr="00243100">
        <w:t>estimate of the utilisation rate.</w:t>
      </w:r>
      <w:r>
        <w:rPr>
          <w:rStyle w:val="FootnoteReference"/>
        </w:rPr>
        <w:footnoteReference w:id="33"/>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34"/>
      </w:r>
      <w:r>
        <w:t xml:space="preserve"> We consider that any uncertain estimate is not an upper bound.</w:t>
      </w:r>
    </w:p>
    <w:p w:rsidR="00437CA2" w:rsidRDefault="00437CA2" w:rsidP="00437CA2">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BF66D3" w:rsidRPr="00883125">
        <w:t xml:space="preserve">Table </w:t>
      </w:r>
      <w:r w:rsidR="00BF66D3">
        <w:rPr>
          <w:noProof/>
        </w:rPr>
        <w:t>4</w:t>
      </w:r>
      <w:r w:rsidR="00BF66D3">
        <w:noBreakHyphen/>
      </w:r>
      <w:r w:rsidR="00BF66D3">
        <w:rPr>
          <w:noProof/>
        </w:rPr>
        <w:t>2</w:t>
      </w:r>
      <w:r>
        <w:fldChar w:fldCharType="end"/>
      </w:r>
      <w:r>
        <w:t>.</w:t>
      </w:r>
    </w:p>
    <w:p w:rsidR="00437CA2" w:rsidRPr="00883125" w:rsidRDefault="00437CA2" w:rsidP="00404457">
      <w:pPr>
        <w:pStyle w:val="Caption"/>
      </w:pPr>
      <w:bookmarkStart w:id="31" w:name="_Ref451627331"/>
      <w:r w:rsidRPr="00883125">
        <w:t xml:space="preserve">Table </w:t>
      </w:r>
      <w:r w:rsidRPr="00962162">
        <w:fldChar w:fldCharType="begin"/>
      </w:r>
      <w:r>
        <w:instrText xml:space="preserve"> STYLEREF 1 \s </w:instrText>
      </w:r>
      <w:r w:rsidRPr="00962162">
        <w:fldChar w:fldCharType="separate"/>
      </w:r>
      <w:r w:rsidR="00BF66D3">
        <w:rPr>
          <w:noProof/>
        </w:rPr>
        <w:t>4</w:t>
      </w:r>
      <w:r w:rsidRPr="00962162">
        <w:fldChar w:fldCharType="end"/>
      </w:r>
      <w:r>
        <w:noBreakHyphen/>
      </w:r>
      <w:r w:rsidRPr="00962162">
        <w:fldChar w:fldCharType="begin"/>
      </w:r>
      <w:r>
        <w:instrText xml:space="preserve"> SEQ Table \* ARABIC \s 1 </w:instrText>
      </w:r>
      <w:r w:rsidRPr="00962162">
        <w:fldChar w:fldCharType="separate"/>
      </w:r>
      <w:r w:rsidR="00BF66D3">
        <w:rPr>
          <w:noProof/>
        </w:rPr>
        <w:t>2</w:t>
      </w:r>
      <w:r w:rsidRPr="00962162">
        <w:fldChar w:fldCharType="end"/>
      </w:r>
      <w:bookmarkEnd w:id="3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437CA2" w:rsidTr="00437C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07085B">
            <w:pPr>
              <w:keepNext/>
              <w:numPr>
                <w:ilvl w:val="0"/>
                <w:numId w:val="24"/>
              </w:numPr>
              <w:rPr>
                <w:rFonts w:eastAsiaTheme="minorHAnsi" w:cstheme="minorBidi"/>
                <w:b w:val="0"/>
                <w:color w:val="auto"/>
                <w:sz w:val="22"/>
                <w:szCs w:val="22"/>
                <w:lang w:eastAsia="en-US"/>
              </w:rPr>
            </w:pPr>
          </w:p>
        </w:tc>
        <w:tc>
          <w:tcPr>
            <w:tcW w:w="2052" w:type="dxa"/>
          </w:tcPr>
          <w:p w:rsidR="00437CA2" w:rsidRPr="00437CA2" w:rsidRDefault="00437CA2" w:rsidP="0007085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 xml:space="preserve">Utilisation </w:t>
            </w:r>
            <w:r w:rsidRPr="00437CA2">
              <w:t>rate</w:t>
            </w:r>
          </w:p>
        </w:tc>
        <w:tc>
          <w:tcPr>
            <w:tcW w:w="2052" w:type="dxa"/>
          </w:tcPr>
          <w:p w:rsidR="00437CA2" w:rsidRPr="00437CA2" w:rsidRDefault="00437CA2" w:rsidP="0007085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Distribution rate</w:t>
            </w:r>
          </w:p>
        </w:tc>
        <w:tc>
          <w:tcPr>
            <w:tcW w:w="2053" w:type="dxa"/>
          </w:tcPr>
          <w:p w:rsidR="00437CA2" w:rsidRPr="00437CA2" w:rsidRDefault="00437CA2" w:rsidP="0007085B">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 xml:space="preserve">Value of </w:t>
            </w:r>
            <w:r w:rsidRPr="00437CA2">
              <w:t>Imputation Credits</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07085B">
            <w:pPr>
              <w:keepNext/>
              <w:numPr>
                <w:ilvl w:val="0"/>
                <w:numId w:val="24"/>
              </w:numPr>
              <w:rPr>
                <w:rFonts w:eastAsiaTheme="minorHAnsi" w:cstheme="minorBidi"/>
                <w:sz w:val="22"/>
                <w:szCs w:val="22"/>
                <w:lang w:eastAsia="en-US"/>
              </w:rPr>
            </w:pPr>
            <w:r>
              <w:t>All equity</w:t>
            </w:r>
          </w:p>
        </w:tc>
        <w:tc>
          <w:tcPr>
            <w:tcW w:w="2052" w:type="dxa"/>
          </w:tcPr>
          <w:p w:rsidR="00437CA2" w:rsidRPr="00437CA2" w:rsidRDefault="00437CA2" w:rsidP="0007085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w:t>
            </w:r>
            <w:r w:rsidRPr="00437CA2">
              <w:t>48</w:t>
            </w:r>
          </w:p>
        </w:tc>
        <w:tc>
          <w:tcPr>
            <w:tcW w:w="2052" w:type="dxa"/>
          </w:tcPr>
          <w:p w:rsidR="00437CA2" w:rsidRPr="00883125" w:rsidRDefault="00437CA2"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0.7</w:t>
            </w:r>
            <w:r>
              <w:rPr>
                <w:rStyle w:val="FootnoteReference"/>
              </w:rPr>
              <w:footnoteReference w:id="35"/>
            </w:r>
          </w:p>
        </w:tc>
        <w:tc>
          <w:tcPr>
            <w:tcW w:w="2053" w:type="dxa"/>
          </w:tcPr>
          <w:p w:rsidR="00437CA2" w:rsidRPr="00883125" w:rsidRDefault="00437CA2"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0.34</w:t>
            </w:r>
          </w:p>
        </w:tc>
      </w:tr>
      <w:tr w:rsidR="00437CA2" w:rsidTr="00437C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07085B">
            <w:pPr>
              <w:keepNext/>
              <w:numPr>
                <w:ilvl w:val="0"/>
                <w:numId w:val="24"/>
              </w:numPr>
              <w:rPr>
                <w:rFonts w:eastAsiaTheme="minorHAnsi" w:cstheme="minorBidi"/>
                <w:b/>
                <w:bCs/>
                <w:sz w:val="22"/>
                <w:szCs w:val="22"/>
                <w:lang w:eastAsia="en-US"/>
              </w:rPr>
            </w:pPr>
            <w:r>
              <w:t>Listed equity</w:t>
            </w:r>
          </w:p>
        </w:tc>
        <w:tc>
          <w:tcPr>
            <w:tcW w:w="2052" w:type="dxa"/>
          </w:tcPr>
          <w:p w:rsidR="00437CA2" w:rsidRPr="00437CA2" w:rsidRDefault="00437CA2" w:rsidP="0007085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0.</w:t>
            </w:r>
            <w:r w:rsidRPr="00437CA2">
              <w:t>48</w:t>
            </w:r>
            <w:r w:rsidR="00CD04C8">
              <w:rPr>
                <w:rStyle w:val="FootnoteReference"/>
              </w:rPr>
              <w:footnoteReference w:id="36"/>
            </w:r>
          </w:p>
        </w:tc>
        <w:tc>
          <w:tcPr>
            <w:tcW w:w="2052" w:type="dxa"/>
          </w:tcPr>
          <w:p w:rsidR="00437CA2" w:rsidRPr="00437CA2" w:rsidRDefault="00437CA2" w:rsidP="0007085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0.7</w:t>
            </w:r>
            <w:r w:rsidRPr="00437CA2">
              <w:t>5</w:t>
            </w:r>
            <w:r w:rsidRPr="00437CA2">
              <w:rPr>
                <w:rStyle w:val="FootnoteReference"/>
              </w:rPr>
              <w:footnoteReference w:id="37"/>
            </w:r>
          </w:p>
        </w:tc>
        <w:tc>
          <w:tcPr>
            <w:tcW w:w="2053" w:type="dxa"/>
          </w:tcPr>
          <w:p w:rsidR="00437CA2" w:rsidRPr="00437CA2" w:rsidRDefault="00437CA2" w:rsidP="0007085B">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0.36</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07085B">
            <w:pPr>
              <w:keepNext/>
              <w:numPr>
                <w:ilvl w:val="0"/>
                <w:numId w:val="24"/>
              </w:numPr>
              <w:rPr>
                <w:rFonts w:eastAsiaTheme="minorHAnsi" w:cstheme="minorBidi"/>
                <w:b/>
                <w:bCs/>
                <w:sz w:val="22"/>
                <w:szCs w:val="22"/>
                <w:lang w:eastAsia="en-US"/>
              </w:rPr>
            </w:pPr>
            <w:r>
              <w:t>Australian Securities Exchange (ASX) top 20 firms</w:t>
            </w:r>
          </w:p>
        </w:tc>
        <w:tc>
          <w:tcPr>
            <w:tcW w:w="2052" w:type="dxa"/>
          </w:tcPr>
          <w:p w:rsidR="00437CA2" w:rsidRPr="00437CA2" w:rsidRDefault="00437CA2" w:rsidP="0007085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w:t>
            </w:r>
            <w:r w:rsidRPr="00437CA2">
              <w:t>48 to 0.62</w:t>
            </w:r>
            <w:r w:rsidR="00BC11CF">
              <w:rPr>
                <w:rStyle w:val="FootnoteReference"/>
              </w:rPr>
              <w:footnoteReference w:id="38"/>
            </w:r>
          </w:p>
        </w:tc>
        <w:tc>
          <w:tcPr>
            <w:tcW w:w="2052" w:type="dxa"/>
          </w:tcPr>
          <w:p w:rsidR="00437CA2" w:rsidRPr="00437CA2" w:rsidRDefault="00437CA2" w:rsidP="0007085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0.83</w:t>
            </w:r>
            <w:r w:rsidRPr="00437CA2">
              <w:rPr>
                <w:rStyle w:val="FootnoteReference"/>
              </w:rPr>
              <w:footnoteReference w:id="39"/>
            </w:r>
          </w:p>
        </w:tc>
        <w:tc>
          <w:tcPr>
            <w:tcW w:w="2053" w:type="dxa"/>
          </w:tcPr>
          <w:p w:rsidR="00437CA2" w:rsidRPr="00437CA2" w:rsidRDefault="00437CA2" w:rsidP="0007085B">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0.40</w:t>
            </w:r>
            <w:r w:rsidRPr="00437CA2">
              <w:t xml:space="preserve"> to 0.51</w:t>
            </w:r>
            <w:r w:rsidRPr="00437CA2">
              <w:rPr>
                <w:rStyle w:val="FootnoteReference"/>
              </w:rPr>
              <w:footnoteReference w:id="40"/>
            </w:r>
          </w:p>
        </w:tc>
      </w:tr>
    </w:tbl>
    <w:p w:rsidR="00437CA2" w:rsidRPr="00CA67C0" w:rsidRDefault="00437CA2" w:rsidP="0007085B">
      <w:pPr>
        <w:pStyle w:val="AERtablesource"/>
        <w:keepNext/>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437CA2" w:rsidRDefault="00437CA2" w:rsidP="00437CA2">
      <w:r>
        <w:t>Using different distribution rates, tax statistics can potentially provide a range for gamma of 0.34 to 0.51 for the benchmark efficient entity. When Lally's preferred distribution rate is used, this implies a gamma of at least 0.4.</w:t>
      </w:r>
    </w:p>
    <w:p w:rsidR="00437CA2" w:rsidRPr="00243100" w:rsidRDefault="00437CA2" w:rsidP="00437CA2">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4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4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4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4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492389" w:rsidRDefault="00437CA2" w:rsidP="00437CA2">
      <w:r>
        <w:t>For the reasons explained above (and in section</w:t>
      </w:r>
      <w:r w:rsidR="00AC44F5">
        <w:t xml:space="preserve"> </w:t>
      </w:r>
      <w:r w:rsidR="00AC44F5">
        <w:fldChar w:fldCharType="begin"/>
      </w:r>
      <w:r w:rsidR="00AC44F5">
        <w:instrText xml:space="preserve"> REF _Ref476520062 \r \h </w:instrText>
      </w:r>
      <w:r w:rsidR="00AC44F5">
        <w:fldChar w:fldCharType="separate"/>
      </w:r>
      <w:r w:rsidR="00BF66D3">
        <w:t>4.4</w:t>
      </w:r>
      <w:r w:rsidR="00AC44F5">
        <w:fldChar w:fldCharType="end"/>
      </w:r>
      <w:r>
        <w:t xml:space="preserve"> and section </w:t>
      </w:r>
      <w:r>
        <w:fldChar w:fldCharType="begin"/>
      </w:r>
      <w:r>
        <w:instrText xml:space="preserve"> REF _Ref402179420 \r \h </w:instrText>
      </w:r>
      <w:r>
        <w:fldChar w:fldCharType="separate"/>
      </w:r>
      <w:r w:rsidR="00BF66D3">
        <w:t>A.13</w:t>
      </w:r>
      <w:r>
        <w:fldChar w:fldCharType="end"/>
      </w:r>
      <w:r>
        <w:t>), we consider tax statistics do not demonstrate our gamma value of 0.4 is unreasonable.</w:t>
      </w:r>
    </w:p>
    <w:p w:rsidR="00882ECD" w:rsidRPr="00882ECD" w:rsidRDefault="00900DAF" w:rsidP="00882ECD">
      <w:pPr>
        <w:pStyle w:val="Heading2"/>
      </w:pPr>
      <w:bookmarkStart w:id="32" w:name="_Ref477201690"/>
      <w:bookmarkStart w:id="33" w:name="_Toc487014297"/>
      <w:r>
        <w:t>AGN</w:t>
      </w:r>
      <w:bookmarkEnd w:id="18"/>
      <w:bookmarkEnd w:id="32"/>
      <w:r w:rsidR="00142226" w:rsidRPr="00142226">
        <w:t>'s initial proposal</w:t>
      </w:r>
      <w:bookmarkEnd w:id="33"/>
      <w:r w:rsidR="00142226" w:rsidRPr="00142226">
        <w:t xml:space="preserve"> </w:t>
      </w:r>
    </w:p>
    <w:p w:rsidR="00900DAF" w:rsidRDefault="00900DAF" w:rsidP="00882ECD">
      <w:pPr>
        <w:numPr>
          <w:ilvl w:val="0"/>
          <w:numId w:val="24"/>
        </w:numPr>
      </w:pPr>
      <w:r w:rsidRPr="00112C06">
        <w:t xml:space="preserve">AGN proposed to adopt the AER's </w:t>
      </w:r>
      <w:r>
        <w:t xml:space="preserve">previous </w:t>
      </w:r>
      <w:r w:rsidRPr="00112C06">
        <w:t>decision on gamma of 0.4 pending further information resolving current areas of uncertainty.</w:t>
      </w:r>
      <w:r>
        <w:rPr>
          <w:rStyle w:val="FootnoteReference"/>
        </w:rPr>
        <w:footnoteReference w:id="45"/>
      </w:r>
      <w:r>
        <w:t xml:space="preserve"> While </w:t>
      </w:r>
      <w:r w:rsidR="00882ECD" w:rsidRPr="00882ECD">
        <w:t>Multinet and other service providers have proposed a value of imputation credits of 0.25 in their proposals.</w:t>
      </w:r>
      <w:r w:rsidR="00882ECD" w:rsidRPr="00882ECD">
        <w:rPr>
          <w:rStyle w:val="FootnoteReference"/>
        </w:rPr>
        <w:footnoteReference w:id="46"/>
      </w:r>
      <w:r w:rsidR="00882ECD" w:rsidRPr="00882ECD" w:rsidDel="00D85A4C">
        <w:t xml:space="preserve"> </w:t>
      </w:r>
      <w:r w:rsidR="00882ECD" w:rsidRPr="00882ECD">
        <w:t>This being the product of a distribution rate of 0.7 and a theta (utilisation value) of 0.35</w:t>
      </w:r>
      <w:r w:rsidR="00882ECD">
        <w:t>.</w:t>
      </w:r>
      <w:r w:rsidR="00882ECD">
        <w:rPr>
          <w:rStyle w:val="FootnoteReference"/>
        </w:rPr>
        <w:footnoteReference w:id="47"/>
      </w:r>
      <w:r w:rsidR="00882ECD">
        <w:t xml:space="preserve"> </w:t>
      </w:r>
    </w:p>
    <w:p w:rsidR="00900DAF" w:rsidRDefault="00900DAF" w:rsidP="00900DAF">
      <w:pPr>
        <w:numPr>
          <w:ilvl w:val="0"/>
          <w:numId w:val="24"/>
        </w:numPr>
      </w:pPr>
      <w:r>
        <w:t>In making the draft decision for AGN, we have taken the initial proposals of Multinet, APA, APTPPL, AusNet, AGN and AusNet's revised electricity transmission proposal into consideration. For this reason, we consider it is necessary to include the material submitted by the service</w:t>
      </w:r>
      <w:r w:rsidRPr="00882ECD">
        <w:t xml:space="preserve"> </w:t>
      </w:r>
      <w:r>
        <w:t xml:space="preserve">providers into consideration </w:t>
      </w:r>
      <w:r w:rsidR="00961119">
        <w:t>even though</w:t>
      </w:r>
      <w:r>
        <w:t xml:space="preserve"> AGN has accepted our approach to estimat</w:t>
      </w:r>
      <w:r w:rsidR="00961119">
        <w:t>ing</w:t>
      </w:r>
      <w:r>
        <w:t xml:space="preserve"> gamma.</w:t>
      </w:r>
    </w:p>
    <w:p w:rsidR="00882ECD" w:rsidRDefault="00882ECD" w:rsidP="00882ECD">
      <w:pPr>
        <w:numPr>
          <w:ilvl w:val="0"/>
          <w:numId w:val="24"/>
        </w:numPr>
      </w:pPr>
      <w:r w:rsidRPr="00882ECD">
        <w:t>Multinet</w:t>
      </w:r>
      <w:r w:rsidR="00900DAF">
        <w:t xml:space="preserve"> and AusNet Services Gas Distribution</w:t>
      </w:r>
      <w:r w:rsidRPr="00882ECD">
        <w:t xml:space="preserve"> argued that the AER's approach to estimating gamma which relies on the pre-personal tax and pre-personal costs value of imputation credits results in an overestimate of the 'value of imputation credits' to equity investors and the business will not be able to recover at least its efficient costs.</w:t>
      </w:r>
      <w:r w:rsidRPr="00882ECD">
        <w:rPr>
          <w:rStyle w:val="FootnoteReference"/>
        </w:rPr>
        <w:footnoteReference w:id="48"/>
      </w:r>
      <w:r w:rsidRPr="00882ECD">
        <w:t xml:space="preserve"> </w:t>
      </w:r>
    </w:p>
    <w:p w:rsidR="00437CA2" w:rsidRDefault="00113F3B" w:rsidP="00E750F8">
      <w:pPr>
        <w:numPr>
          <w:ilvl w:val="0"/>
          <w:numId w:val="24"/>
        </w:numPr>
      </w:pPr>
      <w:r>
        <w:t>AusNet Service</w:t>
      </w:r>
      <w:r w:rsidR="003634DD">
        <w:t>s</w:t>
      </w:r>
      <w:r w:rsidR="0006499D">
        <w:t xml:space="preserve"> in its </w:t>
      </w:r>
      <w:r w:rsidR="005E11C0">
        <w:t xml:space="preserve">revised transmission </w:t>
      </w:r>
      <w:r w:rsidR="0006499D">
        <w:t>proposal</w:t>
      </w:r>
      <w:r w:rsidR="00D5616B">
        <w:t xml:space="preserve"> </w:t>
      </w:r>
      <w:r w:rsidR="005E11C0">
        <w:t xml:space="preserve">lodged last year </w:t>
      </w:r>
      <w:r w:rsidR="0006499D">
        <w:t>also</w:t>
      </w:r>
      <w:r w:rsidR="00D5616B">
        <w:t xml:space="preserve"> proposed a value of imputation credits of 0.25</w:t>
      </w:r>
      <w:r w:rsidR="0006499D">
        <w:t xml:space="preserve"> </w:t>
      </w:r>
      <w:r w:rsidR="0006499D" w:rsidRPr="0006499D">
        <w:t>(the product of a distribution rate of 0.7 and theta of 0.35)</w:t>
      </w:r>
      <w:r w:rsidR="00D5616B">
        <w:t>.</w:t>
      </w:r>
      <w:r w:rsidR="0006499D">
        <w:rPr>
          <w:rStyle w:val="FootnoteReference"/>
        </w:rPr>
        <w:footnoteReference w:id="49"/>
      </w:r>
      <w:r w:rsidR="00D85A4C">
        <w:t xml:space="preserve"> </w:t>
      </w:r>
      <w:r w:rsidR="00AC44F5">
        <w:t>AusNet Services submit</w:t>
      </w:r>
      <w:r w:rsidR="00AD585A">
        <w:t>ted</w:t>
      </w:r>
      <w:r w:rsidR="00AC44F5">
        <w:t xml:space="preserve"> this value has recently been upheld by the Australian Competition Tribunal for the second time and reflects the value implied by the most reliable evidence available.</w:t>
      </w:r>
      <w:r w:rsidR="00AC44F5">
        <w:rPr>
          <w:rStyle w:val="FootnoteReference"/>
        </w:rPr>
        <w:footnoteReference w:id="50"/>
      </w:r>
      <w:r w:rsidR="00AC44F5">
        <w:t xml:space="preserve"> AusNet Services consider</w:t>
      </w:r>
      <w:r w:rsidR="00AD35FD">
        <w:t>ed</w:t>
      </w:r>
      <w:r w:rsidR="00AC44F5">
        <w:t xml:space="preserve"> that regulatory certainty is not promoted by the AER continuing to use an approach for gamma which has found to be in error by the Tribunal.</w:t>
      </w:r>
      <w:r w:rsidR="00AC44F5">
        <w:rPr>
          <w:rStyle w:val="FootnoteReference"/>
        </w:rPr>
        <w:footnoteReference w:id="51"/>
      </w:r>
    </w:p>
    <w:p w:rsidR="003979E9" w:rsidRDefault="00437CA2" w:rsidP="00FE55BF">
      <w:r>
        <w:t xml:space="preserve">In support of its </w:t>
      </w:r>
      <w:r w:rsidR="005E11C0">
        <w:t>transmission proposal</w:t>
      </w:r>
      <w:r>
        <w:t xml:space="preserve"> </w:t>
      </w:r>
      <w:r w:rsidR="00D85A4C">
        <w:t xml:space="preserve">AusNet </w:t>
      </w:r>
      <w:r w:rsidR="003634DD">
        <w:t xml:space="preserve">Services </w:t>
      </w:r>
      <w:r w:rsidR="00D85A4C">
        <w:t>submitted two reports from Frontier Economic</w:t>
      </w:r>
      <w:r w:rsidR="00146239">
        <w:t xml:space="preserve"> which </w:t>
      </w:r>
      <w:r w:rsidR="003634DD">
        <w:t>concluded</w:t>
      </w:r>
      <w:r w:rsidR="00AD585A">
        <w:t>:</w:t>
      </w:r>
      <w:r w:rsidR="003979E9" w:rsidRPr="003979E9">
        <w:rPr>
          <w:rStyle w:val="FootnoteReference"/>
        </w:rPr>
        <w:t xml:space="preserve"> </w:t>
      </w:r>
      <w:r w:rsidR="003979E9">
        <w:rPr>
          <w:rStyle w:val="FootnoteReference"/>
        </w:rPr>
        <w:footnoteReference w:id="52"/>
      </w:r>
    </w:p>
    <w:p w:rsidR="003979E9" w:rsidRDefault="003634DD" w:rsidP="00E750F8">
      <w:pPr>
        <w:pStyle w:val="AERbulletlistfirststyle"/>
      </w:pPr>
      <w:r>
        <w:t>A</w:t>
      </w:r>
      <w:r w:rsidR="00146239">
        <w:t xml:space="preserve"> theta of 0.35 still remains appropriate when the SFG dividend drop off </w:t>
      </w:r>
      <w:r w:rsidR="00192B61">
        <w:t xml:space="preserve">study </w:t>
      </w:r>
      <w:r w:rsidR="00146239">
        <w:t>is updated for the most recent data.</w:t>
      </w:r>
      <w:r w:rsidR="00146239">
        <w:rPr>
          <w:rStyle w:val="FootnoteReference"/>
        </w:rPr>
        <w:footnoteReference w:id="53"/>
      </w:r>
    </w:p>
    <w:p w:rsidR="00146239" w:rsidRDefault="00146239" w:rsidP="00E750F8">
      <w:pPr>
        <w:pStyle w:val="AERbulletlistfirststyle"/>
      </w:pPr>
      <w:r>
        <w:t>The distribution rate should be set with reference to all equity and it is inappropriate to use a listed equity distribution rate. Frontier considers that the li</w:t>
      </w:r>
      <w:r w:rsidR="00E4542B">
        <w:t>sted equity distribution rate</w:t>
      </w:r>
      <w:r>
        <w:t xml:space="preserve"> does not reflect the BEE as it is </w:t>
      </w:r>
      <w:r w:rsidR="00E4542B">
        <w:t>impacted</w:t>
      </w:r>
      <w:r>
        <w:t xml:space="preserve"> by foreign income. Frontier does not agree with Lally's earlier analysis that </w:t>
      </w:r>
      <w:r w:rsidR="00192B61">
        <w:t xml:space="preserve">firms with higher </w:t>
      </w:r>
      <w:r>
        <w:t xml:space="preserve">foreign income </w:t>
      </w:r>
      <w:r w:rsidR="00192B61">
        <w:t>had</w:t>
      </w:r>
      <w:r>
        <w:t xml:space="preserve"> lower imputation distribution</w:t>
      </w:r>
      <w:r w:rsidR="003634DD">
        <w:t>.</w:t>
      </w:r>
      <w:r w:rsidR="003C692F" w:rsidRPr="003C692F">
        <w:rPr>
          <w:rStyle w:val="FootnoteReference"/>
        </w:rPr>
        <w:footnoteReference w:id="54"/>
      </w:r>
    </w:p>
    <w:p w:rsidR="003C692F" w:rsidRDefault="007D69CB" w:rsidP="00E750F8">
      <w:pPr>
        <w:pStyle w:val="AERbulletlistfirststyle"/>
      </w:pPr>
      <w:r>
        <w:t>Tax statistics produce a reliable estimate for gamma when measured as the ratio of credit redeemed to credits created.</w:t>
      </w:r>
      <w:r w:rsidRPr="007D69CB">
        <w:rPr>
          <w:rStyle w:val="FootnoteReference"/>
        </w:rPr>
        <w:footnoteReference w:id="55"/>
      </w:r>
    </w:p>
    <w:p w:rsidR="009B20EA" w:rsidRDefault="00A11A7C" w:rsidP="007A4EAF">
      <w:r>
        <w:t>In a late submission</w:t>
      </w:r>
      <w:r w:rsidR="005E11C0">
        <w:t xml:space="preserve"> to its transmision determination</w:t>
      </w:r>
      <w:r>
        <w:t>, AusNet S</w:t>
      </w:r>
      <w:r w:rsidR="00B12938">
        <w:t xml:space="preserve">ervices </w:t>
      </w:r>
      <w:r>
        <w:t>outline</w:t>
      </w:r>
      <w:r w:rsidR="00AD35FD">
        <w:t>d</w:t>
      </w:r>
      <w:r w:rsidR="00B12938">
        <w:t xml:space="preserve"> </w:t>
      </w:r>
      <w:r w:rsidR="005E2E6D">
        <w:t xml:space="preserve">that it is aware of the recent </w:t>
      </w:r>
      <w:r w:rsidR="003634DD">
        <w:t xml:space="preserve">SAPN </w:t>
      </w:r>
      <w:r w:rsidR="005E2E6D">
        <w:t>Tribunal decision. However, AusNet Services submit</w:t>
      </w:r>
      <w:r w:rsidR="00AD35FD">
        <w:t>ted</w:t>
      </w:r>
      <w:r w:rsidR="005E2E6D">
        <w:t xml:space="preserve"> that </w:t>
      </w:r>
      <w:r>
        <w:t xml:space="preserve">the SAPN </w:t>
      </w:r>
      <w:r w:rsidR="005E2E6D">
        <w:t xml:space="preserve">decision is the subject of a judicial review application, including on grounds that the </w:t>
      </w:r>
      <w:r w:rsidR="003634DD">
        <w:t xml:space="preserve">SAPN </w:t>
      </w:r>
      <w:r w:rsidR="005E2E6D">
        <w:t xml:space="preserve">Tribunal did not determine the correct question. Similarly, AusNet </w:t>
      </w:r>
      <w:r>
        <w:t xml:space="preserve">Services </w:t>
      </w:r>
      <w:r w:rsidR="005E2E6D">
        <w:t>recognise</w:t>
      </w:r>
      <w:r w:rsidR="00AD35FD">
        <w:t>d</w:t>
      </w:r>
      <w:r w:rsidR="005E2E6D">
        <w:t xml:space="preserve"> the judicial review application by the AER in respect to the </w:t>
      </w:r>
      <w:r w:rsidR="003634DD">
        <w:t xml:space="preserve">Ausgrid </w:t>
      </w:r>
      <w:r w:rsidR="005E2E6D">
        <w:t xml:space="preserve">Tribunal's decision </w:t>
      </w:r>
      <w:r w:rsidR="00840BBE">
        <w:t>was</w:t>
      </w:r>
      <w:r w:rsidR="005E2E6D">
        <w:t xml:space="preserve"> outstanding</w:t>
      </w:r>
      <w:r w:rsidR="00840BBE">
        <w:t xml:space="preserve"> at the time it submitted </w:t>
      </w:r>
      <w:r w:rsidR="009545AC">
        <w:t>its</w:t>
      </w:r>
      <w:r w:rsidR="00840BBE">
        <w:t xml:space="preserve"> proposal</w:t>
      </w:r>
      <w:r w:rsidR="005E2E6D">
        <w:t>.</w:t>
      </w:r>
      <w:r w:rsidR="004423C9">
        <w:rPr>
          <w:rStyle w:val="FootnoteReference"/>
        </w:rPr>
        <w:footnoteReference w:id="56"/>
      </w:r>
    </w:p>
    <w:p w:rsidR="00251EEB" w:rsidRPr="00251EEB" w:rsidRDefault="00882ECD" w:rsidP="002E5B8D">
      <w:pPr>
        <w:numPr>
          <w:ilvl w:val="0"/>
          <w:numId w:val="24"/>
        </w:numPr>
      </w:pPr>
      <w:r w:rsidRPr="00882ECD">
        <w:t xml:space="preserve">In addition to the two reports from Frontier submitted earlier by AusNet Services, </w:t>
      </w:r>
      <w:r w:rsidR="002C4EBF">
        <w:t>some service providers</w:t>
      </w:r>
      <w:r w:rsidRPr="00882ECD">
        <w:t xml:space="preserve"> </w:t>
      </w:r>
      <w:r w:rsidR="00323FDA">
        <w:t xml:space="preserve">also </w:t>
      </w:r>
      <w:r w:rsidR="0006499D">
        <w:t xml:space="preserve">submitted </w:t>
      </w:r>
      <w:r w:rsidR="005E11C0">
        <w:t>a new report by</w:t>
      </w:r>
      <w:r w:rsidR="00961119">
        <w:t xml:space="preserve"> </w:t>
      </w:r>
      <w:r w:rsidRPr="00882ECD">
        <w:t>Frontier on perspectives for the estimation of gamma to support its proposed value of gamma of 0.25.</w:t>
      </w:r>
      <w:r w:rsidRPr="00882ECD">
        <w:rPr>
          <w:rStyle w:val="FootnoteReference"/>
        </w:rPr>
        <w:footnoteReference w:id="57"/>
      </w:r>
      <w:r w:rsidRPr="00882ECD">
        <w:t xml:space="preserve"> </w:t>
      </w:r>
      <w:r w:rsidR="0006499D">
        <w:t>In t</w:t>
      </w:r>
      <w:r w:rsidR="00251EEB">
        <w:t>he</w:t>
      </w:r>
      <w:r w:rsidR="009545AC">
        <w:t xml:space="preserve"> new</w:t>
      </w:r>
      <w:r w:rsidR="0006499D">
        <w:t xml:space="preserve"> report, </w:t>
      </w:r>
    </w:p>
    <w:p w:rsidR="00717A85" w:rsidRDefault="00F3718A" w:rsidP="00DE1938">
      <w:pPr>
        <w:numPr>
          <w:ilvl w:val="0"/>
          <w:numId w:val="24"/>
        </w:numPr>
      </w:pPr>
      <w:r>
        <w:rPr>
          <w:rStyle w:val="AERbody"/>
        </w:rPr>
        <w:t xml:space="preserve">Frontier </w:t>
      </w:r>
      <w:r w:rsidR="00A343CA">
        <w:rPr>
          <w:rStyle w:val="AERbody"/>
        </w:rPr>
        <w:t xml:space="preserve">claims </w:t>
      </w:r>
      <w:r>
        <w:rPr>
          <w:rStyle w:val="AERbody"/>
        </w:rPr>
        <w:t>theta (</w:t>
      </w:r>
      <w:r w:rsidR="00A566D0">
        <w:rPr>
          <w:rStyle w:val="AERbody"/>
        </w:rPr>
        <w:t xml:space="preserve">or the </w:t>
      </w:r>
      <w:r>
        <w:rPr>
          <w:rStyle w:val="AERbody"/>
        </w:rPr>
        <w:t xml:space="preserve">utilisation rate) should be the market value of </w:t>
      </w:r>
      <w:r w:rsidR="00526F08">
        <w:rPr>
          <w:rStyle w:val="AERbody"/>
        </w:rPr>
        <w:t xml:space="preserve">$1 of </w:t>
      </w:r>
      <w:r>
        <w:rPr>
          <w:rStyle w:val="AERbody"/>
        </w:rPr>
        <w:t xml:space="preserve">imputation credits rather than the 'simple average' utilisation rate that the AER adopted. </w:t>
      </w:r>
      <w:r>
        <w:rPr>
          <w:rStyle w:val="FootnoteReference"/>
        </w:rPr>
        <w:footnoteReference w:id="58"/>
      </w:r>
      <w:r>
        <w:rPr>
          <w:rStyle w:val="AERbody"/>
        </w:rPr>
        <w:t xml:space="preserve"> We </w:t>
      </w:r>
      <w:r w:rsidR="00AE2B29">
        <w:rPr>
          <w:rStyle w:val="AERbody"/>
        </w:rPr>
        <w:t xml:space="preserve">have </w:t>
      </w:r>
      <w:r>
        <w:rPr>
          <w:rStyle w:val="AERbody"/>
        </w:rPr>
        <w:t>had our consultant consider the arguments put forward in Frontier's new report</w:t>
      </w:r>
      <w:r w:rsidR="0049781D">
        <w:rPr>
          <w:rStyle w:val="AERbody"/>
        </w:rPr>
        <w:t>.</w:t>
      </w:r>
      <w:r>
        <w:rPr>
          <w:rStyle w:val="AERbody"/>
        </w:rPr>
        <w:t xml:space="preserve"> </w:t>
      </w:r>
      <w:r w:rsidR="00173FC3">
        <w:rPr>
          <w:rStyle w:val="AERbody"/>
        </w:rPr>
        <w:t xml:space="preserve">Following this review </w:t>
      </w:r>
      <w:r w:rsidR="00173FC3">
        <w:t>o</w:t>
      </w:r>
      <w:r w:rsidR="005259C1" w:rsidRPr="005259C1">
        <w:t>ur consultant Dr Lally remains</w:t>
      </w:r>
      <w:r w:rsidR="00A566D0">
        <w:t xml:space="preserve"> of</w:t>
      </w:r>
      <w:r w:rsidR="005259C1" w:rsidRPr="005259C1">
        <w:t xml:space="preserve"> the view that</w:t>
      </w:r>
      <w:r w:rsidR="000238AD">
        <w:t xml:space="preserve"> the AER's focus upon</w:t>
      </w:r>
      <w:r w:rsidR="005259C1" w:rsidRPr="005259C1">
        <w:t xml:space="preserve"> the 'utilisation value' of the distributed credits (rather than the market value) is appropriate </w:t>
      </w:r>
      <w:r w:rsidR="005259C1">
        <w:t>and the AER's value of gamma of 0.4 is more than sufficient to contribute to a rate of return that meets the ARORO</w:t>
      </w:r>
      <w:r w:rsidR="005259C1" w:rsidRPr="005259C1">
        <w:t>.</w:t>
      </w:r>
      <w:r w:rsidR="005259C1">
        <w:rPr>
          <w:rStyle w:val="FootnoteReference"/>
        </w:rPr>
        <w:footnoteReference w:id="59"/>
      </w:r>
      <w:r w:rsidR="005259C1" w:rsidRPr="005259C1">
        <w:t xml:space="preserve"> </w:t>
      </w:r>
      <w:r w:rsidR="00E70737">
        <w:rPr>
          <w:rStyle w:val="AERbody"/>
        </w:rPr>
        <w:t>In light of our consultant's report and also the Full Federal Court decision released on 24 May 2017</w:t>
      </w:r>
      <w:r w:rsidR="00A566D0">
        <w:rPr>
          <w:rStyle w:val="AERbody"/>
        </w:rPr>
        <w:t xml:space="preserve"> that found our utilisation approach to theta to be legally </w:t>
      </w:r>
      <w:r w:rsidR="003217B7">
        <w:rPr>
          <w:rStyle w:val="AERbody"/>
        </w:rPr>
        <w:t>open to us</w:t>
      </w:r>
      <w:r w:rsidR="00E70737">
        <w:rPr>
          <w:rStyle w:val="AERbody"/>
        </w:rPr>
        <w:t xml:space="preserve">, </w:t>
      </w:r>
      <w:r w:rsidR="00E70737">
        <w:t>n</w:t>
      </w:r>
      <w:r w:rsidR="00A107D0">
        <w:t xml:space="preserve">othing in the new material submitted changes our views </w:t>
      </w:r>
      <w:r w:rsidR="00F21D44">
        <w:t xml:space="preserve">expressed above on how we estimate gamma. </w:t>
      </w:r>
      <w:r w:rsidR="0049781D">
        <w:t xml:space="preserve">Our responses to the specific criticisms of our approach are covered in </w:t>
      </w:r>
      <w:r w:rsidR="00041282">
        <w:t xml:space="preserve">Section </w:t>
      </w:r>
      <w:r w:rsidR="00041282">
        <w:fldChar w:fldCharType="begin"/>
      </w:r>
      <w:r w:rsidR="00041282">
        <w:instrText xml:space="preserve"> REF _Ref451240961 \r \h </w:instrText>
      </w:r>
      <w:r w:rsidR="00041282">
        <w:fldChar w:fldCharType="separate"/>
      </w:r>
      <w:r w:rsidR="00BF66D3">
        <w:t>4.4.2</w:t>
      </w:r>
      <w:r w:rsidR="00041282">
        <w:fldChar w:fldCharType="end"/>
      </w:r>
      <w:r w:rsidR="00041282">
        <w:t xml:space="preserve">. </w:t>
      </w:r>
    </w:p>
    <w:p w:rsidR="00DE563D" w:rsidRDefault="00DE563D" w:rsidP="001754EE">
      <w:pPr>
        <w:pStyle w:val="Heading2"/>
      </w:pPr>
      <w:bookmarkStart w:id="34" w:name="_Toc486843519"/>
      <w:bookmarkStart w:id="35" w:name="_Toc403144138"/>
      <w:bookmarkStart w:id="36" w:name="_Toc487014298"/>
      <w:bookmarkEnd w:id="34"/>
      <w:r w:rsidRPr="001754EE">
        <w:t>AER’s</w:t>
      </w:r>
      <w:r>
        <w:t xml:space="preserve"> assessment approach</w:t>
      </w:r>
      <w:bookmarkEnd w:id="35"/>
      <w:bookmarkEnd w:id="36"/>
    </w:p>
    <w:p w:rsidR="00437CA2" w:rsidRPr="00883125" w:rsidRDefault="00437CA2" w:rsidP="00C52695">
      <w:pPr>
        <w:numPr>
          <w:ilvl w:val="0"/>
          <w:numId w:val="24"/>
        </w:numPr>
      </w:pPr>
      <w:r w:rsidRPr="00883125">
        <w:t>In this section we set out the approach we have taken to assessing proposals on the value of imputation credits. This approach includes consideration of:</w:t>
      </w:r>
    </w:p>
    <w:p w:rsidR="00437CA2" w:rsidRPr="00883125" w:rsidRDefault="00437CA2" w:rsidP="00437CA2">
      <w:pPr>
        <w:pStyle w:val="AERbulletlistfirststyle"/>
      </w:pPr>
      <w:r w:rsidRPr="00883125">
        <w:t>the requirements of the NEL/NGL and NER/NGR</w:t>
      </w:r>
    </w:p>
    <w:p w:rsidR="00437CA2" w:rsidRPr="00883125" w:rsidRDefault="00437CA2" w:rsidP="00437CA2">
      <w:pPr>
        <w:pStyle w:val="AERbulletlistfirststyle"/>
      </w:pPr>
      <w:r w:rsidRPr="00883125">
        <w:t>the Guideline</w:t>
      </w:r>
    </w:p>
    <w:p w:rsidR="00437CA2" w:rsidRPr="00883125" w:rsidRDefault="00437CA2" w:rsidP="00437CA2">
      <w:pPr>
        <w:pStyle w:val="AERbulletlistfirststyle"/>
      </w:pPr>
      <w:r w:rsidRPr="00883125">
        <w:t>our definition of the benchmark efficient entity</w:t>
      </w:r>
    </w:p>
    <w:p w:rsidR="00437CA2" w:rsidRPr="00883125" w:rsidRDefault="00437CA2" w:rsidP="00437CA2">
      <w:pPr>
        <w:pStyle w:val="AERbulletlistfirststyle"/>
      </w:pPr>
      <w:r w:rsidRPr="00883125">
        <w:t>interrelationships with other aspects of the decision</w:t>
      </w:r>
    </w:p>
    <w:p w:rsidR="00437CA2" w:rsidRPr="00883125" w:rsidRDefault="00437CA2" w:rsidP="00437CA2">
      <w:pPr>
        <w:pStyle w:val="AERbulletlistfirststyle"/>
      </w:pPr>
      <w:r w:rsidRPr="00883125">
        <w:t>expert reports</w:t>
      </w:r>
    </w:p>
    <w:p w:rsidR="00437CA2" w:rsidRPr="00883125" w:rsidRDefault="00437CA2" w:rsidP="00437CA2">
      <w:pPr>
        <w:pStyle w:val="AERbulletlistfirststyle"/>
      </w:pPr>
      <w:r w:rsidRPr="00883125">
        <w:t>our approach to determining the value of imputation credits.</w:t>
      </w:r>
    </w:p>
    <w:p w:rsidR="00437CA2" w:rsidRPr="00437CA2" w:rsidRDefault="00437CA2" w:rsidP="00437CA2">
      <w:pPr>
        <w:pStyle w:val="Heading3"/>
      </w:pPr>
      <w:bookmarkStart w:id="37" w:name="_Ref400272912"/>
      <w:bookmarkStart w:id="38" w:name="_Ref416802130"/>
      <w:bookmarkStart w:id="39" w:name="_Ref416802459"/>
      <w:bookmarkStart w:id="40" w:name="_Toc451842236"/>
      <w:bookmarkStart w:id="41" w:name="_Toc451938292"/>
      <w:bookmarkStart w:id="42" w:name="_Toc456614275"/>
      <w:bookmarkStart w:id="43" w:name="_Toc462823298"/>
      <w:bookmarkStart w:id="44" w:name="_Toc487014299"/>
      <w:r w:rsidRPr="00883125">
        <w:t xml:space="preserve">Requirements of the </w:t>
      </w:r>
      <w:bookmarkEnd w:id="37"/>
      <w:r w:rsidRPr="00883125">
        <w:t>NEL/NGL and NER/NGR</w:t>
      </w:r>
      <w:bookmarkEnd w:id="38"/>
      <w:bookmarkEnd w:id="39"/>
      <w:bookmarkEnd w:id="40"/>
      <w:bookmarkEnd w:id="41"/>
      <w:bookmarkEnd w:id="42"/>
      <w:bookmarkEnd w:id="43"/>
      <w:bookmarkEnd w:id="44"/>
    </w:p>
    <w:p w:rsidR="00437CA2" w:rsidRPr="00883125" w:rsidRDefault="00437CA2" w:rsidP="00C52695">
      <w:pPr>
        <w:numPr>
          <w:ilvl w:val="0"/>
          <w:numId w:val="24"/>
        </w:numPr>
      </w:pPr>
      <w:r w:rsidRPr="00883125">
        <w:t>The NER/NGR require that the estimated cost of corporate income tax of a service provider for each regulatory year (</w:t>
      </w:r>
      <w:bookmarkStart w:id="45"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45"/>
      <w:r w:rsidRPr="00883125">
        <w:t>) must be estimated in accordance with the following formula:</w:t>
      </w:r>
      <w:r>
        <w:rPr>
          <w:rStyle w:val="FootnoteReference"/>
        </w:rPr>
        <w:footnoteReference w:id="60"/>
      </w:r>
    </w:p>
    <w:p w:rsidR="00437CA2" w:rsidRPr="00883125" w:rsidRDefault="00BF66D3"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437CA2" w:rsidRPr="00883125" w:rsidRDefault="00437CA2" w:rsidP="00C52695">
      <w:pPr>
        <w:numPr>
          <w:ilvl w:val="0"/>
          <w:numId w:val="24"/>
        </w:numPr>
      </w:pPr>
      <w:r w:rsidRPr="00883125">
        <w:t>where:</w:t>
      </w:r>
    </w:p>
    <w:p w:rsidR="00437CA2" w:rsidRPr="001D37D5" w:rsidRDefault="00BF66D3" w:rsidP="00437CA2">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437CA2"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437CA2" w:rsidRPr="001D37D5" w:rsidRDefault="00BF66D3" w:rsidP="00437CA2">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437CA2" w:rsidRPr="001D37D5">
        <w:t> is the expected statutory income tax rate for that regulatory year as determined by the AER.</w:t>
      </w:r>
    </w:p>
    <w:p w:rsidR="00437CA2" w:rsidRPr="001D37D5" w:rsidRDefault="00437CA2" w:rsidP="00437CA2">
      <w:pPr>
        <w:pStyle w:val="AERbulletlistfirststyle"/>
      </w:pPr>
      <m:oMath>
        <m:r>
          <w:rPr>
            <w:rFonts w:ascii="Cambria Math" w:hAnsi="Cambria Math"/>
          </w:rPr>
          <m:t>γ</m:t>
        </m:r>
      </m:oMath>
      <w:r w:rsidRPr="001D37D5">
        <w:t> is the value of imputation credits.</w:t>
      </w:r>
    </w:p>
    <w:p w:rsidR="00437CA2" w:rsidRPr="00883125" w:rsidRDefault="00437CA2" w:rsidP="00C52695">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61"/>
      </w:r>
    </w:p>
    <w:p w:rsidR="00437CA2" w:rsidRPr="00883125" w:rsidRDefault="00437CA2" w:rsidP="00C52695">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62"/>
      </w:r>
      <w:r w:rsidRPr="00883125">
        <w:t xml:space="preserve"> This is because:</w:t>
      </w:r>
    </w:p>
    <w:p w:rsidR="00437CA2" w:rsidRPr="001D37D5" w:rsidRDefault="00437CA2" w:rsidP="00437CA2">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63"/>
      </w:r>
    </w:p>
    <w:p w:rsidR="00437CA2" w:rsidRPr="001D37D5" w:rsidRDefault="00437CA2" w:rsidP="00437CA2">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64"/>
      </w:r>
      <w:r w:rsidRPr="001D37D5">
        <w:t xml:space="preserve"> Previous statements by the consultant for the majority of the service providers', Gray, and their industry association appear to support this consideration:</w:t>
      </w:r>
    </w:p>
    <w:p w:rsidR="00437CA2" w:rsidRPr="00883125" w:rsidRDefault="00437CA2" w:rsidP="00437CA2">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65"/>
      </w:r>
    </w:p>
    <w:p w:rsidR="00437CA2" w:rsidRPr="00883125" w:rsidRDefault="00437CA2" w:rsidP="00437CA2">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66"/>
      </w:r>
      <w:r w:rsidRPr="00883125">
        <w:t xml:space="preserve"> </w:t>
      </w:r>
    </w:p>
    <w:p w:rsidR="00437CA2" w:rsidRPr="00883125" w:rsidRDefault="00437CA2" w:rsidP="00437CA2">
      <w:r w:rsidRPr="00883125">
        <w:t>The NER/NGR require that we determine the rate of return on a nominal vanilla basis that is consistent with our estimate of the value of imputation credits.</w:t>
      </w:r>
      <w:r w:rsidRPr="00883125">
        <w:rPr>
          <w:rStyle w:val="FootnoteReference"/>
        </w:rPr>
        <w:footnoteReference w:id="67"/>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68"/>
      </w:r>
      <w:r w:rsidRPr="00883125">
        <w:t xml:space="preserve"> An important implication of this is that gamma is not a standalone concept or parameter. It is part of a broader framework, and should be interpreted and estimated accordingly.</w:t>
      </w:r>
    </w:p>
    <w:p w:rsidR="00437CA2" w:rsidRPr="00883125" w:rsidRDefault="00437CA2" w:rsidP="00C52695">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69"/>
      </w:r>
      <w:r w:rsidRPr="00883125">
        <w:t xml:space="preserve"> and other requirements of the NER/NGR.</w:t>
      </w:r>
    </w:p>
    <w:p w:rsidR="00437CA2" w:rsidRPr="00883125" w:rsidRDefault="00437CA2" w:rsidP="00C52695">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BF66D3">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70"/>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71"/>
      </w:r>
    </w:p>
    <w:p w:rsidR="00437CA2" w:rsidRPr="00883125" w:rsidRDefault="00437CA2" w:rsidP="00C52695">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72"/>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73"/>
      </w:r>
      <w:r w:rsidRPr="00883125">
        <w:t xml:space="preserve"> The RPP provide, amongst other things, that:</w:t>
      </w:r>
      <w:r w:rsidRPr="00883125">
        <w:rPr>
          <w:rStyle w:val="FootnoteReference"/>
        </w:rPr>
        <w:footnoteReference w:id="74"/>
      </w:r>
    </w:p>
    <w:p w:rsidR="00437CA2" w:rsidRPr="00883125" w:rsidRDefault="00437CA2" w:rsidP="00437CA2">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437CA2" w:rsidRPr="00883125" w:rsidRDefault="00437CA2" w:rsidP="00437CA2">
      <w:pPr>
        <w:pStyle w:val="AERbulletlistfirststyle"/>
      </w:pPr>
      <w:r w:rsidRPr="00883125">
        <w:t xml:space="preserve">a service provider should be provided with effective incentives in order to promote economic efficiency with respect to the regulated services it provides, and </w:t>
      </w:r>
    </w:p>
    <w:p w:rsidR="00437CA2" w:rsidRPr="00883125" w:rsidRDefault="00437CA2" w:rsidP="00437CA2">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437CA2" w:rsidRPr="00883125" w:rsidRDefault="00437CA2" w:rsidP="00C52695">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437CA2" w:rsidRPr="00883125" w:rsidRDefault="00437CA2" w:rsidP="00C52695">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437CA2" w:rsidRPr="00883125" w:rsidRDefault="00437CA2" w:rsidP="00437CA2">
      <w:pPr>
        <w:pStyle w:val="AERbulletlistfirststyle"/>
      </w:pPr>
      <w:r w:rsidRPr="00883125">
        <w:t>not too low, in that it contributes to providing a reasonable opportunity to recover at least efficient corporate tax costs</w:t>
      </w:r>
    </w:p>
    <w:p w:rsidR="00437CA2" w:rsidRPr="00883125" w:rsidRDefault="00437CA2" w:rsidP="00437CA2">
      <w:pPr>
        <w:pStyle w:val="AERbulletlistfirststyle"/>
      </w:pPr>
      <w:r w:rsidRPr="00883125">
        <w:t>not too high, in that it contributes to a return that is not excessive and is commensurate with the relevant risks.</w:t>
      </w:r>
    </w:p>
    <w:p w:rsidR="00437CA2" w:rsidRDefault="00437CA2" w:rsidP="00C52695">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437CA2" w:rsidRPr="00437CA2" w:rsidRDefault="00437CA2" w:rsidP="00437CA2">
      <w:pPr>
        <w:pStyle w:val="Heading3"/>
      </w:pPr>
      <w:bookmarkStart w:id="46" w:name="_Toc486843522"/>
      <w:bookmarkStart w:id="47" w:name="_Ref401234016"/>
      <w:bookmarkStart w:id="48" w:name="_Toc451842237"/>
      <w:bookmarkStart w:id="49" w:name="_Toc451938293"/>
      <w:bookmarkStart w:id="50" w:name="_Toc456614276"/>
      <w:bookmarkStart w:id="51" w:name="_Toc462823299"/>
      <w:bookmarkStart w:id="52" w:name="_Toc487014300"/>
      <w:bookmarkEnd w:id="46"/>
      <w:r w:rsidRPr="00883125">
        <w:t>Rate of return Guideline</w:t>
      </w:r>
      <w:bookmarkEnd w:id="47"/>
      <w:bookmarkEnd w:id="48"/>
      <w:bookmarkEnd w:id="49"/>
      <w:bookmarkEnd w:id="50"/>
      <w:bookmarkEnd w:id="51"/>
      <w:bookmarkEnd w:id="52"/>
    </w:p>
    <w:p w:rsidR="00437CA2" w:rsidRPr="00883125" w:rsidRDefault="00437CA2" w:rsidP="00C52695">
      <w:pPr>
        <w:numPr>
          <w:ilvl w:val="0"/>
          <w:numId w:val="24"/>
        </w:numPr>
      </w:pPr>
      <w:r w:rsidRPr="00883125">
        <w:t>In December 2013, we published the Guideline which is available on our website.</w:t>
      </w:r>
      <w:r w:rsidRPr="00883125">
        <w:rPr>
          <w:rStyle w:val="FootnoteReference"/>
        </w:rPr>
        <w:footnoteReference w:id="75"/>
      </w:r>
      <w:r w:rsidRPr="00883125">
        <w:t xml:space="preserve"> Within it we specified:</w:t>
      </w:r>
      <w:r w:rsidRPr="00883125">
        <w:rPr>
          <w:rStyle w:val="FootnoteReference"/>
        </w:rPr>
        <w:footnoteReference w:id="76"/>
      </w:r>
    </w:p>
    <w:p w:rsidR="00437CA2" w:rsidRPr="001D37D5" w:rsidRDefault="00437CA2" w:rsidP="00437CA2">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437CA2" w:rsidRPr="001D37D5" w:rsidRDefault="00437CA2" w:rsidP="00437CA2">
      <w:pPr>
        <w:pStyle w:val="AERbulletlistfirststyle"/>
      </w:pPr>
      <w:r>
        <w:t>t</w:t>
      </w:r>
      <w:r w:rsidRPr="001D37D5">
        <w:t>he method we propose to use to estimate the value of imputation credits</w:t>
      </w:r>
    </w:p>
    <w:p w:rsidR="00437CA2" w:rsidRPr="001D37D5" w:rsidRDefault="00437CA2" w:rsidP="00437CA2">
      <w:pPr>
        <w:pStyle w:val="AERbulletlistfirststyle"/>
      </w:pPr>
      <w:r>
        <w:t>h</w:t>
      </w:r>
      <w:r w:rsidRPr="001D37D5">
        <w:t>ow these methods will result in an allowed return on equity and return on debt which we are satisfied achieve the allowed rate of return objective.</w:t>
      </w:r>
    </w:p>
    <w:p w:rsidR="00437CA2" w:rsidRPr="00883125" w:rsidRDefault="00437CA2" w:rsidP="00C52695">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77"/>
      </w:r>
      <w:r w:rsidRPr="00883125">
        <w:t xml:space="preserve"> We discuss our development of the Guideline in detail in </w:t>
      </w:r>
      <w:r w:rsidR="00F143A3">
        <w:t>attachment 3 of this decision.</w:t>
      </w:r>
    </w:p>
    <w:p w:rsidR="00437CA2" w:rsidRPr="00883125" w:rsidRDefault="00437CA2" w:rsidP="00C52695">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78"/>
      </w:r>
      <w:r w:rsidRPr="00883125">
        <w:t xml:space="preserve"> Equally, it is open to service providers to propose departures from the Guideline, so long as they provide reasons.</w:t>
      </w:r>
      <w:r w:rsidRPr="00883125">
        <w:rPr>
          <w:rStyle w:val="FootnoteReference"/>
        </w:rPr>
        <w:footnoteReference w:id="79"/>
      </w:r>
      <w:r w:rsidRPr="00883125">
        <w:t xml:space="preserve"> </w:t>
      </w:r>
    </w:p>
    <w:p w:rsidR="00437CA2" w:rsidRPr="00611EC0" w:rsidRDefault="00437CA2" w:rsidP="00611EC0">
      <w:pPr>
        <w:pStyle w:val="Heading3"/>
      </w:pPr>
      <w:bookmarkStart w:id="53" w:name="_Ref404065332"/>
      <w:bookmarkStart w:id="54" w:name="_Toc451842238"/>
      <w:bookmarkStart w:id="55" w:name="_Toc451938294"/>
      <w:bookmarkStart w:id="56" w:name="_Toc456614277"/>
      <w:bookmarkStart w:id="57" w:name="_Toc462823300"/>
      <w:bookmarkStart w:id="58" w:name="_Toc487014301"/>
      <w:r w:rsidRPr="00611EC0">
        <w:t>Definition of a benchmark efficient entity</w:t>
      </w:r>
      <w:bookmarkEnd w:id="53"/>
      <w:bookmarkEnd w:id="54"/>
      <w:bookmarkEnd w:id="55"/>
      <w:bookmarkEnd w:id="56"/>
      <w:bookmarkEnd w:id="57"/>
      <w:bookmarkEnd w:id="58"/>
    </w:p>
    <w:p w:rsidR="00437CA2" w:rsidRPr="00883125" w:rsidRDefault="00437CA2" w:rsidP="00C52695">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BF66D3">
        <w:t>4.3.1</w:t>
      </w:r>
      <w:r w:rsidRPr="00883125">
        <w:fldChar w:fldCharType="end"/>
      </w:r>
      <w:r w:rsidRPr="00883125">
        <w:t xml:space="preserve">, the NER/NGR refer to a 'benchmark efficient entity'. </w:t>
      </w:r>
      <w:r>
        <w:t>W</w:t>
      </w:r>
      <w:r w:rsidRPr="00883125">
        <w:t>e have adopted:</w:t>
      </w:r>
    </w:p>
    <w:p w:rsidR="00437CA2" w:rsidRPr="00883125" w:rsidRDefault="00437CA2" w:rsidP="00437CA2">
      <w:pPr>
        <w:pStyle w:val="AERbulletlistfirststyle"/>
      </w:pPr>
      <w:r w:rsidRPr="00883125">
        <w:t>a single benchmark across gas, electricity, transmission and distribution</w:t>
      </w:r>
    </w:p>
    <w:p w:rsidR="00437CA2" w:rsidRPr="001D37D5" w:rsidRDefault="00437CA2" w:rsidP="00437CA2">
      <w:pPr>
        <w:pStyle w:val="AERbulletlistfirststyle"/>
      </w:pPr>
      <w:r w:rsidRPr="00883125">
        <w:t>a conceptual definition of the benchmark efficient entity as 'a 'pure play', regulated energy network business operating within Australia'.</w:t>
      </w:r>
      <w:r w:rsidRPr="001D37D5">
        <w:rPr>
          <w:rStyle w:val="FootnoteReference"/>
        </w:rPr>
        <w:footnoteReference w:id="80"/>
      </w:r>
    </w:p>
    <w:p w:rsidR="00437CA2" w:rsidRDefault="00437CA2" w:rsidP="00C52695">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437CA2" w:rsidRPr="00FF606F" w:rsidRDefault="00437CA2" w:rsidP="00437CA2">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437CA2" w:rsidRPr="00437CA2" w:rsidRDefault="00437CA2" w:rsidP="00437CA2">
      <w:pPr>
        <w:pStyle w:val="Heading3"/>
      </w:pPr>
      <w:bookmarkStart w:id="59" w:name="_Ref415070818"/>
      <w:bookmarkStart w:id="60" w:name="_Toc451842239"/>
      <w:bookmarkStart w:id="61" w:name="_Toc451938295"/>
      <w:bookmarkStart w:id="62" w:name="_Toc456614278"/>
      <w:bookmarkStart w:id="63" w:name="_Toc462823301"/>
      <w:bookmarkStart w:id="64" w:name="_Toc487014302"/>
      <w:r w:rsidRPr="00883125">
        <w:t>Interrelationships</w:t>
      </w:r>
      <w:bookmarkEnd w:id="59"/>
      <w:bookmarkEnd w:id="60"/>
      <w:bookmarkEnd w:id="61"/>
      <w:bookmarkEnd w:id="62"/>
      <w:bookmarkEnd w:id="63"/>
      <w:bookmarkEnd w:id="64"/>
    </w:p>
    <w:p w:rsidR="00437CA2" w:rsidRPr="00883125" w:rsidRDefault="00437CA2" w:rsidP="00437CA2">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437CA2" w:rsidRPr="00883125" w:rsidRDefault="00437CA2" w:rsidP="00437CA2">
      <w:r w:rsidRPr="00883125">
        <w:t>The CCP</w:t>
      </w:r>
      <w:r w:rsidR="007D69CB">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rsidR="007D69CB">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81"/>
      </w:r>
      <w:r w:rsidRPr="00883125">
        <w:t xml:space="preserve"> The CCP </w:t>
      </w:r>
      <w:r w:rsidR="007D69CB">
        <w:t xml:space="preserve">for the NSW electricity network </w:t>
      </w:r>
      <w:r w:rsidRPr="00883125">
        <w:t>then concluded:</w:t>
      </w:r>
      <w:r w:rsidRPr="00883125">
        <w:rPr>
          <w:rStyle w:val="FootnoteReference"/>
        </w:rPr>
        <w:footnoteReference w:id="82"/>
      </w:r>
    </w:p>
    <w:p w:rsidR="00437CA2" w:rsidRPr="00883125" w:rsidRDefault="00437CA2" w:rsidP="00437CA2">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437CA2" w:rsidRPr="00883125" w:rsidRDefault="00437CA2" w:rsidP="00437CA2">
      <w:r w:rsidRPr="00883125">
        <w:t>We agree with the CCP</w:t>
      </w:r>
      <w:r w:rsidR="007D69CB">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w:t>
      </w:r>
      <w:r w:rsidR="001568D8">
        <w:t>draft</w:t>
      </w:r>
      <w:r w:rsidR="001568D8" w:rsidRPr="00883125">
        <w:t xml:space="preserve"> </w:t>
      </w:r>
      <w:r w:rsidRPr="00883125">
        <w:t>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6E09A5" w:rsidRPr="006E09A5" w:rsidRDefault="00437CA2" w:rsidP="006E09A5">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83"/>
      </w:r>
    </w:p>
    <w:p w:rsidR="00437CA2" w:rsidRPr="00437CA2" w:rsidRDefault="00437CA2" w:rsidP="00437CA2">
      <w:pPr>
        <w:pStyle w:val="Heading3"/>
      </w:pPr>
      <w:bookmarkStart w:id="65" w:name="_Toc451842240"/>
      <w:bookmarkStart w:id="66" w:name="_Toc451938296"/>
      <w:bookmarkStart w:id="67" w:name="_Toc456614279"/>
      <w:bookmarkStart w:id="68" w:name="_Toc462823302"/>
      <w:bookmarkStart w:id="69" w:name="_Toc487014303"/>
      <w:r w:rsidRPr="00883125">
        <w:t>Expert reports</w:t>
      </w:r>
      <w:bookmarkEnd w:id="65"/>
      <w:bookmarkEnd w:id="66"/>
      <w:bookmarkEnd w:id="67"/>
      <w:bookmarkEnd w:id="68"/>
      <w:bookmarkEnd w:id="69"/>
    </w:p>
    <w:p w:rsidR="00437CA2" w:rsidRPr="00883125" w:rsidRDefault="00437CA2" w:rsidP="00C52695">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84"/>
      </w:r>
    </w:p>
    <w:p w:rsidR="00437CA2" w:rsidRPr="00883125" w:rsidRDefault="00437CA2" w:rsidP="00C52695">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85"/>
      </w:r>
      <w:r w:rsidRPr="00883125">
        <w:t xml:space="preserve"> We have also had regard to, among other things:</w:t>
      </w:r>
    </w:p>
    <w:p w:rsidR="00437CA2" w:rsidRPr="001D37D5" w:rsidRDefault="00437CA2" w:rsidP="00437CA2">
      <w:pPr>
        <w:pStyle w:val="AERbulletlistfirststyle"/>
      </w:pPr>
      <w:r w:rsidRPr="00883125">
        <w:t>the May 2014, February 2015,</w:t>
      </w:r>
      <w:r w:rsidRPr="001D37D5">
        <w:t xml:space="preserve"> June 2015</w:t>
      </w:r>
      <w:r w:rsidR="00AD585A">
        <w:t>,</w:t>
      </w:r>
      <w:r w:rsidR="00AD585A" w:rsidRPr="001D37D5">
        <w:t xml:space="preserve"> January</w:t>
      </w:r>
      <w:r w:rsidRPr="001D37D5">
        <w:t xml:space="preserve"> 2016 </w:t>
      </w:r>
      <w:r w:rsidR="009C153C">
        <w:t xml:space="preserve">and September 2016 </w:t>
      </w:r>
      <w:r w:rsidRPr="001D37D5">
        <w:t>reports by Professor Stephen Gray that were commissioned by service providers.</w:t>
      </w:r>
      <w:r w:rsidRPr="001D37D5">
        <w:rPr>
          <w:rStyle w:val="FootnoteReference"/>
        </w:rPr>
        <w:footnoteReference w:id="86"/>
      </w:r>
    </w:p>
    <w:p w:rsidR="00437CA2" w:rsidRPr="001D37D5" w:rsidRDefault="00437CA2" w:rsidP="00437CA2">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87"/>
      </w:r>
    </w:p>
    <w:p w:rsidR="00437CA2" w:rsidRPr="001D37D5" w:rsidRDefault="00437CA2" w:rsidP="00437CA2">
      <w:pPr>
        <w:pStyle w:val="AERbulletlistfirststyle"/>
      </w:pPr>
      <w:r w:rsidRPr="00883125">
        <w:t>the November 2013 and March 2014 reports by Associate Professor Lally that were commissioned by the Queensland Competition Authority.</w:t>
      </w:r>
      <w:r w:rsidRPr="001D37D5">
        <w:rPr>
          <w:rStyle w:val="FootnoteReference"/>
        </w:rPr>
        <w:footnoteReference w:id="88"/>
      </w:r>
    </w:p>
    <w:p w:rsidR="00437CA2" w:rsidRPr="001D37D5" w:rsidRDefault="00437CA2" w:rsidP="00437CA2">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89"/>
      </w:r>
      <w:r w:rsidRPr="001D37D5">
        <w:t xml:space="preserve"> This review was commissioned by the Queensland Resources Council and submitted to the Queensland Competition Authority.</w:t>
      </w:r>
    </w:p>
    <w:p w:rsidR="00437CA2" w:rsidRPr="001D37D5" w:rsidRDefault="00437CA2" w:rsidP="00437CA2">
      <w:pPr>
        <w:pStyle w:val="AERbulletlistfirststyle"/>
      </w:pPr>
      <w:r w:rsidRPr="00883125">
        <w:t>a September 2013 report on tax statistics by Dr. Neville Hathaway that was commissioned by the Energy Networks Association.</w:t>
      </w:r>
      <w:r w:rsidRPr="001D37D5">
        <w:rPr>
          <w:rStyle w:val="FootnoteReference"/>
        </w:rPr>
        <w:footnoteReference w:id="90"/>
      </w:r>
    </w:p>
    <w:p w:rsidR="00437CA2" w:rsidRPr="001D37D5" w:rsidRDefault="00437CA2" w:rsidP="00437CA2">
      <w:pPr>
        <w:pStyle w:val="AERbulletlistfirststyle"/>
      </w:pPr>
      <w:r w:rsidRPr="00883125">
        <w:t>a June 2013 report on the distribution rate by NERA that was commissioned by the Energy Networks Association.</w:t>
      </w:r>
      <w:r w:rsidRPr="001D37D5">
        <w:rPr>
          <w:rStyle w:val="FootnoteReference"/>
        </w:rPr>
        <w:footnoteReference w:id="91"/>
      </w:r>
    </w:p>
    <w:p w:rsidR="00437CA2" w:rsidRPr="00437CA2" w:rsidRDefault="00437CA2" w:rsidP="00437CA2">
      <w:pPr>
        <w:pStyle w:val="Heading3"/>
      </w:pPr>
      <w:bookmarkStart w:id="70" w:name="_Ref415048973"/>
      <w:bookmarkStart w:id="71" w:name="_Toc451842241"/>
      <w:bookmarkStart w:id="72" w:name="_Toc451938297"/>
      <w:bookmarkStart w:id="73" w:name="_Toc456614280"/>
      <w:bookmarkStart w:id="74" w:name="_Toc462823303"/>
      <w:bookmarkStart w:id="75" w:name="_Toc487014304"/>
      <w:r w:rsidRPr="00883125">
        <w:t>Approach to determining the value of imputation credits</w:t>
      </w:r>
      <w:bookmarkEnd w:id="70"/>
      <w:bookmarkEnd w:id="71"/>
      <w:bookmarkEnd w:id="72"/>
      <w:bookmarkEnd w:id="73"/>
      <w:bookmarkEnd w:id="74"/>
      <w:bookmarkEnd w:id="75"/>
    </w:p>
    <w:p w:rsidR="00437CA2" w:rsidRPr="00883125" w:rsidRDefault="00437CA2" w:rsidP="00C52695">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92"/>
      </w:r>
      <w:r w:rsidRPr="00883125">
        <w:t xml:space="preserve"> Our approach to determining the value of imputation credits is guided by:</w:t>
      </w:r>
    </w:p>
    <w:p w:rsidR="00437CA2" w:rsidRPr="001D37D5" w:rsidRDefault="00437CA2" w:rsidP="00437CA2">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BF66D3">
        <w:t>4.3.1</w:t>
      </w:r>
      <w:r w:rsidRPr="001D37D5">
        <w:fldChar w:fldCharType="end"/>
      </w:r>
      <w:r w:rsidRPr="001D37D5">
        <w:t>.</w:t>
      </w:r>
    </w:p>
    <w:p w:rsidR="00437CA2" w:rsidRPr="001D37D5" w:rsidRDefault="00437CA2" w:rsidP="00437CA2">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93"/>
      </w:r>
    </w:p>
    <w:p w:rsidR="00437CA2" w:rsidRPr="001D37D5" w:rsidRDefault="00437CA2" w:rsidP="00437CA2">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94"/>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437CA2" w:rsidRPr="001D37D5" w:rsidRDefault="00437CA2" w:rsidP="00437CA2">
      <w:pPr>
        <w:pStyle w:val="AERbulletlistfirststyle"/>
      </w:pPr>
      <w:r>
        <w:t>Relevant academic literature (Monkhouse)—t</w:t>
      </w:r>
      <w:r w:rsidRPr="001D37D5">
        <w:t>he work of Monkhouse (and others) extends the Officer framework, and shows that the value of imputation credits can be estimated as the product of two parameters:</w:t>
      </w:r>
    </w:p>
    <w:p w:rsidR="00437CA2" w:rsidRPr="00883125" w:rsidRDefault="00437CA2" w:rsidP="00437CA2">
      <w:pPr>
        <w:pStyle w:val="AERbulletlistsecondstyle"/>
      </w:pPr>
      <w:r w:rsidRPr="00883125">
        <w:t xml:space="preserve">the proportion of imputation credits generated that is distributed to investors (the distribution rate) </w:t>
      </w:r>
    </w:p>
    <w:p w:rsidR="00437CA2" w:rsidRPr="00883125" w:rsidRDefault="00437CA2" w:rsidP="00437CA2">
      <w:pPr>
        <w:pStyle w:val="AERbulletlistsecondstyle"/>
      </w:pPr>
      <w:r w:rsidRPr="00883125">
        <w:t>the utilisation value to investors in the market per dollar of imputation credits distributed (the utilisation rate).</w:t>
      </w:r>
      <w:r w:rsidRPr="00883125">
        <w:rPr>
          <w:rStyle w:val="FootnoteReference"/>
        </w:rPr>
        <w:footnoteReference w:id="95"/>
      </w:r>
      <w:r w:rsidRPr="00883125">
        <w:t xml:space="preserve"> </w:t>
      </w:r>
    </w:p>
    <w:p w:rsidR="00437CA2" w:rsidRPr="00883125" w:rsidRDefault="00437CA2" w:rsidP="00437CA2">
      <w:pPr>
        <w:pStyle w:val="ListContinue"/>
      </w:pPr>
      <w:r w:rsidRPr="00883125">
        <w:t>Consistent with this literature, we determine the value of imputation credits as the product of these two parameters.</w:t>
      </w:r>
    </w:p>
    <w:p w:rsidR="00437CA2" w:rsidRPr="001D37D5" w:rsidRDefault="00437CA2" w:rsidP="00437CA2">
      <w:pPr>
        <w:pStyle w:val="AERbulletlistfirststyle"/>
      </w:pPr>
      <w:r>
        <w:t>A</w:t>
      </w:r>
      <w:r w:rsidRPr="001D37D5">
        <w:t xml:space="preserve"> wide range of relevant evidence—we use this range of evidence to estimate the distribution rate and utilisation rate. In particular:</w:t>
      </w:r>
    </w:p>
    <w:p w:rsidR="00437CA2" w:rsidRDefault="00437CA2" w:rsidP="00437CA2">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96"/>
      </w:r>
    </w:p>
    <w:p w:rsidR="00437CA2" w:rsidRPr="00883125" w:rsidRDefault="00437CA2" w:rsidP="00437CA2">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437CA2" w:rsidRPr="00883125" w:rsidRDefault="00437CA2" w:rsidP="00437CA2">
      <w:pPr>
        <w:pStyle w:val="AERbulletlistthirdstyle"/>
      </w:pPr>
      <w:r w:rsidRPr="00883125">
        <w:t>the proportion of Australian equity held by domestic investors (the 'equity ownership approach')</w:t>
      </w:r>
      <w:r>
        <w:rPr>
          <w:rStyle w:val="FootnoteReference"/>
        </w:rPr>
        <w:footnoteReference w:id="97"/>
      </w:r>
    </w:p>
    <w:p w:rsidR="00437CA2" w:rsidRPr="00883125" w:rsidRDefault="00437CA2" w:rsidP="00437CA2">
      <w:pPr>
        <w:pStyle w:val="AERbulletlistthirdstyle"/>
      </w:pPr>
      <w:r w:rsidRPr="00883125">
        <w:t>the reported value of credits utilised by investors in Australian Taxation Office (ATO) statistics ('tax statistics')</w:t>
      </w:r>
      <w:r>
        <w:rPr>
          <w:rStyle w:val="FootnoteReference"/>
        </w:rPr>
        <w:footnoteReference w:id="98"/>
      </w:r>
    </w:p>
    <w:p w:rsidR="00437CA2" w:rsidRDefault="00437CA2" w:rsidP="00437CA2">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99"/>
      </w:r>
    </w:p>
    <w:p w:rsidR="00437CA2" w:rsidRDefault="00437CA2" w:rsidP="00437CA2">
      <w:pPr>
        <w:pStyle w:val="ListContinue3"/>
      </w:pPr>
      <w:r>
        <w:t>We place varying levels of reliance on these sources of evidence (which is supported by Lally).</w:t>
      </w:r>
      <w:r w:rsidRPr="00A316AD">
        <w:rPr>
          <w:rStyle w:val="FootnoteReference"/>
        </w:rPr>
        <w:footnoteReference w:id="100"/>
      </w:r>
      <w:r>
        <w:t xml:space="preserve"> That is:</w:t>
      </w:r>
    </w:p>
    <w:p w:rsidR="00437CA2" w:rsidRDefault="00437CA2" w:rsidP="00437CA2">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437CA2" w:rsidRDefault="00437CA2" w:rsidP="00437CA2">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437CA2" w:rsidRDefault="00437CA2" w:rsidP="00437CA2">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101"/>
      </w:r>
      <w:r>
        <w:t xml:space="preserve"> </w:t>
      </w:r>
    </w:p>
    <w:p w:rsidR="00437CA2" w:rsidRDefault="00437CA2" w:rsidP="00437CA2">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102"/>
      </w:r>
      <w:r w:rsidRPr="00A90D90">
        <w:t xml:space="preserve"> In determining the value of imputation credits, we rely on the results from both approaches.</w:t>
      </w:r>
    </w:p>
    <w:p w:rsidR="00437CA2" w:rsidRPr="00883125" w:rsidRDefault="00437CA2" w:rsidP="00437CA2">
      <w:pPr>
        <w:pStyle w:val="AERbulletlistfirststyle"/>
      </w:pPr>
      <w:r w:rsidRPr="00883125">
        <w:t>the views of experts—experts differ in their interpretations of the:</w:t>
      </w:r>
    </w:p>
    <w:p w:rsidR="00437CA2" w:rsidRPr="00883125" w:rsidRDefault="00437CA2" w:rsidP="00437CA2">
      <w:pPr>
        <w:pStyle w:val="AERbulletlistsecondstyle"/>
      </w:pPr>
      <w:r w:rsidRPr="00883125">
        <w:t>role of the value of imputation credits in the regulatory framework</w:t>
      </w:r>
    </w:p>
    <w:p w:rsidR="00437CA2" w:rsidRPr="00883125" w:rsidRDefault="00437CA2" w:rsidP="00437CA2">
      <w:pPr>
        <w:pStyle w:val="AERbulletlistsecondstyle"/>
      </w:pPr>
      <w:r w:rsidRPr="00883125">
        <w:t>underlying theory and academic literature</w:t>
      </w:r>
    </w:p>
    <w:p w:rsidR="000B321F" w:rsidRDefault="00437CA2" w:rsidP="002C233C">
      <w:pPr>
        <w:pStyle w:val="AERbulletlistsecondstyle"/>
      </w:pPr>
      <w:r w:rsidRPr="00883125">
        <w:t>relevance of different estimation techniques, particularly for the utilisation rate</w:t>
      </w:r>
      <w:r>
        <w:t>.</w:t>
      </w:r>
    </w:p>
    <w:p w:rsidR="00DE563D" w:rsidRPr="008A31CC" w:rsidRDefault="00DE563D" w:rsidP="008A31CC">
      <w:pPr>
        <w:pStyle w:val="Heading2"/>
      </w:pPr>
      <w:bookmarkStart w:id="76" w:name="_Toc403144140"/>
      <w:bookmarkStart w:id="77" w:name="_Ref475371808"/>
      <w:bookmarkStart w:id="78" w:name="_Ref475439085"/>
      <w:bookmarkStart w:id="79" w:name="_Ref475454898"/>
      <w:bookmarkStart w:id="80" w:name="_Ref475456919"/>
      <w:bookmarkStart w:id="81" w:name="_Ref475972971"/>
      <w:bookmarkStart w:id="82" w:name="_Ref476520062"/>
      <w:bookmarkStart w:id="83" w:name="_Ref476520189"/>
      <w:bookmarkStart w:id="84" w:name="_Ref476520204"/>
      <w:bookmarkStart w:id="85" w:name="_Ref476520210"/>
      <w:bookmarkStart w:id="86" w:name="_Ref476520604"/>
      <w:bookmarkStart w:id="87" w:name="_Ref476565842"/>
      <w:bookmarkStart w:id="88" w:name="_Ref476580949"/>
      <w:bookmarkStart w:id="89" w:name="_Ref476580960"/>
      <w:bookmarkStart w:id="90" w:name="_Ref476648777"/>
      <w:bookmarkStart w:id="91" w:name="_Ref476650811"/>
      <w:bookmarkStart w:id="92" w:name="_Ref477216695"/>
      <w:bookmarkStart w:id="93" w:name="_Ref477266198"/>
      <w:bookmarkStart w:id="94" w:name="_Ref477362088"/>
      <w:bookmarkStart w:id="95" w:name="_Ref479785023"/>
      <w:bookmarkStart w:id="96" w:name="_Ref479785029"/>
      <w:bookmarkStart w:id="97" w:name="_Toc487014305"/>
      <w:r w:rsidRPr="008A31CC">
        <w:t>Reasons</w:t>
      </w:r>
      <w:r w:rsidRPr="005271EF">
        <w:t xml:space="preserve"> for </w:t>
      </w:r>
      <w:r w:rsidR="007F089A">
        <w:t>draft</w:t>
      </w:r>
      <w:r w:rsidR="007F089A" w:rsidRPr="005F797E">
        <w:t xml:space="preserve"> </w:t>
      </w:r>
      <w:r w:rsidRPr="005F797E">
        <w:t>decision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F797E">
        <w:t xml:space="preserve"> </w:t>
      </w:r>
    </w:p>
    <w:p w:rsidR="00C52695" w:rsidRPr="005764F6" w:rsidRDefault="00C52695" w:rsidP="00C52695">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BF66D3">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C52695" w:rsidRPr="001D37D5" w:rsidRDefault="00C52695" w:rsidP="00C52695">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52695" w:rsidRPr="001D37D5" w:rsidRDefault="00C52695" w:rsidP="00C52695">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103"/>
      </w:r>
      <w:r w:rsidRPr="001D37D5">
        <w:t xml:space="preserve"> The equity ownership approach was Lally's second preference after his recommendation for a utilisation rate of 1.</w:t>
      </w:r>
      <w:r w:rsidRPr="001D37D5">
        <w:rPr>
          <w:rStyle w:val="FootnoteReference"/>
        </w:rPr>
        <w:footnoteReference w:id="104"/>
      </w:r>
    </w:p>
    <w:p w:rsidR="00C52695" w:rsidRPr="001D37D5" w:rsidRDefault="00C52695" w:rsidP="00C52695">
      <w:pPr>
        <w:pStyle w:val="AERbulletlistfirststyle"/>
      </w:pPr>
      <w:r w:rsidRPr="005764F6">
        <w:t xml:space="preserve">It </w:t>
      </w:r>
      <w:r w:rsidRPr="001D37D5">
        <w:t>is within the 'preferred' range for the value of imputation credits (0.4 to 0.5) in Handley's September 2014 advice.</w:t>
      </w:r>
      <w:r w:rsidRPr="001D37D5">
        <w:rPr>
          <w:rStyle w:val="FootnoteReference"/>
        </w:rPr>
        <w:footnoteReference w:id="105"/>
      </w:r>
    </w:p>
    <w:p w:rsidR="00C52695" w:rsidRPr="001D37D5" w:rsidRDefault="00C52695" w:rsidP="00C52695">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106"/>
      </w:r>
      <w:r w:rsidRPr="001D37D5">
        <w:t xml:space="preserve"> This suggests a gamma of at least 0.50 based on Lally's preferred estimate of the distribution rate and using the equity ownership data based on all equity (which Lally prefers). </w:t>
      </w:r>
    </w:p>
    <w:p w:rsidR="00C52695" w:rsidRPr="001D37D5" w:rsidRDefault="00C52695" w:rsidP="00C52695">
      <w:pPr>
        <w:pStyle w:val="AERbulletlistfirststyle"/>
      </w:pPr>
      <w:r w:rsidRPr="005764F6">
        <w:t>It is consistent with providing regulatory certainty given it is consistent with the value we used for all regulatory decisions released in 2015</w:t>
      </w:r>
      <w:r>
        <w:t xml:space="preserve"> and 2016.</w:t>
      </w:r>
    </w:p>
    <w:p w:rsidR="00C52695" w:rsidRPr="001D37D5" w:rsidRDefault="00C52695" w:rsidP="00C52695">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107"/>
      </w:r>
      <w:r w:rsidRPr="001D37D5">
        <w:t xml:space="preserve"> The imprecision of determining the value of imputation credits was emphasised by Handley.</w:t>
      </w:r>
      <w:r w:rsidRPr="001D37D5">
        <w:rPr>
          <w:rStyle w:val="FootnoteReference"/>
        </w:rPr>
        <w:footnoteReference w:id="108"/>
      </w:r>
    </w:p>
    <w:p w:rsidR="00C52695" w:rsidRPr="005764F6" w:rsidRDefault="00C52695" w:rsidP="00C52695">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52695" w:rsidRPr="005764F6" w:rsidRDefault="00C52695" w:rsidP="0049781D">
      <w:pPr>
        <w:numPr>
          <w:ilvl w:val="0"/>
          <w:numId w:val="24"/>
        </w:numPr>
        <w:rPr>
          <w:rStyle w:val="AERbody"/>
        </w:rPr>
      </w:pPr>
      <w:r w:rsidRPr="005764F6">
        <w:rPr>
          <w:rStyle w:val="AERbody"/>
        </w:rPr>
        <w:t xml:space="preserve">Further to the Guideline approach, in this </w:t>
      </w:r>
      <w:r w:rsidR="005C0A2B">
        <w:rPr>
          <w:rStyle w:val="AERbody"/>
        </w:rPr>
        <w:t>draft</w:t>
      </w:r>
      <w:r w:rsidR="00120638">
        <w:rPr>
          <w:rStyle w:val="AERbody"/>
        </w:rPr>
        <w:t xml:space="preserve">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BF66D3">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BF66D3">
        <w:rPr>
          <w:rStyle w:val="AERbody"/>
        </w:rPr>
        <w:t>A.8.5</w:t>
      </w:r>
      <w:r w:rsidRPr="005764F6">
        <w:rPr>
          <w:rStyle w:val="AERbody"/>
        </w:rPr>
        <w:fldChar w:fldCharType="end"/>
      </w:r>
      <w:r w:rsidRPr="005764F6">
        <w:rPr>
          <w:rStyle w:val="AERbody"/>
        </w:rPr>
        <w:t>. We did not consider this issue in the Guideline.</w:t>
      </w:r>
      <w:r w:rsidR="005C0A2B">
        <w:rPr>
          <w:rStyle w:val="AERbody"/>
        </w:rPr>
        <w:t xml:space="preserve"> </w:t>
      </w:r>
    </w:p>
    <w:p w:rsidR="00CF4EC3" w:rsidRPr="005764F6" w:rsidRDefault="00CF4EC3" w:rsidP="00DB09A8">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109"/>
      </w:r>
      <w:r w:rsidRPr="00CF4EC3">
        <w:t xml:space="preserve"> </w:t>
      </w:r>
      <w:r w:rsidR="00452BA3">
        <w:t>However, we note given Lally's advice our approach appears to lead to a conservative gamma estimate (in favour of the service provider)</w:t>
      </w:r>
      <w:r w:rsidRPr="00CF4EC3">
        <w:t xml:space="preserve">, as Lally considered that only listed firms should be used to determine the distribution rate and all equity </w:t>
      </w:r>
      <w:r w:rsidR="00A11A7C">
        <w:t xml:space="preserve">firms </w:t>
      </w:r>
      <w:r w:rsidRPr="00CF4EC3">
        <w:t>should be used to estimate the utilisation value which result</w:t>
      </w:r>
      <w:r w:rsidR="00E4542B">
        <w:t>s</w:t>
      </w:r>
      <w:r w:rsidRPr="00CF4EC3">
        <w:t xml:space="preserve"> in a gamma estimate of 0.5</w:t>
      </w:r>
      <w:r>
        <w:t>.</w:t>
      </w:r>
      <w:r w:rsidR="00490FB7">
        <w:t xml:space="preserve"> </w:t>
      </w:r>
      <w:r w:rsidR="00C52695" w:rsidRPr="005764F6">
        <w:rPr>
          <w:rStyle w:val="AERbody"/>
        </w:rPr>
        <w:t xml:space="preserve">Following </w:t>
      </w:r>
      <w:r w:rsidR="00452BA3">
        <w:rPr>
          <w:rStyle w:val="AERbody"/>
        </w:rPr>
        <w:t>Lally's most recent advice</w:t>
      </w:r>
      <w:r w:rsidR="00C52695" w:rsidRPr="005764F6">
        <w:rPr>
          <w:rStyle w:val="AERbody"/>
        </w:rPr>
        <w:t xml:space="preserve"> we </w:t>
      </w:r>
      <w:r w:rsidR="00452BA3">
        <w:rPr>
          <w:rStyle w:val="AERbody"/>
        </w:rPr>
        <w:t>remain of the view</w:t>
      </w:r>
      <w:r w:rsidR="00C52695" w:rsidRPr="005764F6">
        <w:rPr>
          <w:rStyle w:val="AERbody"/>
        </w:rPr>
        <w:t xml:space="preserve"> it </w:t>
      </w:r>
      <w:r w:rsidR="00C52695">
        <w:rPr>
          <w:rStyle w:val="AERbody"/>
        </w:rPr>
        <w:t>is</w:t>
      </w:r>
      <w:r w:rsidR="00C52695" w:rsidRPr="005764F6">
        <w:rPr>
          <w:rStyle w:val="AERbody"/>
        </w:rPr>
        <w:t xml:space="preserve"> not necessary to </w:t>
      </w:r>
      <w:r w:rsidR="00C52695">
        <w:rPr>
          <w:rStyle w:val="AERbody"/>
        </w:rPr>
        <w:t>'</w:t>
      </w:r>
      <w:r w:rsidR="00C52695" w:rsidRPr="005764F6">
        <w:rPr>
          <w:rStyle w:val="AERbody"/>
        </w:rPr>
        <w:t>match</w:t>
      </w:r>
      <w:r w:rsidR="00C52695">
        <w:rPr>
          <w:rStyle w:val="AERbody"/>
        </w:rPr>
        <w:t>'</w:t>
      </w:r>
      <w:r w:rsidR="00C52695" w:rsidRPr="005764F6">
        <w:rPr>
          <w:rStyle w:val="AERbody"/>
        </w:rPr>
        <w:t xml:space="preserve"> estimates of distribution rates and utilisation rates based on the dataset used</w:t>
      </w:r>
      <w:r w:rsidR="00C52695">
        <w:rPr>
          <w:rStyle w:val="AERbody"/>
        </w:rPr>
        <w:t xml:space="preserve">; although we </w:t>
      </w:r>
      <w:r w:rsidR="00452BA3">
        <w:rPr>
          <w:rStyle w:val="AERbody"/>
        </w:rPr>
        <w:t>still consider</w:t>
      </w:r>
      <w:r w:rsidR="00C52695">
        <w:rPr>
          <w:rStyle w:val="AERbody"/>
        </w:rPr>
        <w:t xml:space="preserve"> the choice is open to us</w:t>
      </w:r>
      <w:r w:rsidR="00C52695" w:rsidRPr="005764F6">
        <w:rPr>
          <w:rStyle w:val="AERbody"/>
        </w:rPr>
        <w:t xml:space="preserve">. We discuss this further in section 4.4.1 and </w:t>
      </w:r>
      <w:r w:rsidR="00C52695" w:rsidRPr="005764F6">
        <w:rPr>
          <w:rStyle w:val="AERbody"/>
        </w:rPr>
        <w:fldChar w:fldCharType="begin"/>
      </w:r>
      <w:r w:rsidR="00C52695" w:rsidRPr="005764F6">
        <w:rPr>
          <w:rStyle w:val="AERbody"/>
        </w:rPr>
        <w:instrText xml:space="preserve"> REF _Ref403481194 \r \h  \* MERGEFORMAT </w:instrText>
      </w:r>
      <w:r w:rsidR="00C52695" w:rsidRPr="005764F6">
        <w:rPr>
          <w:rStyle w:val="AERbody"/>
        </w:rPr>
      </w:r>
      <w:r w:rsidR="00C52695" w:rsidRPr="005764F6">
        <w:rPr>
          <w:rStyle w:val="AERbody"/>
        </w:rPr>
        <w:fldChar w:fldCharType="separate"/>
      </w:r>
      <w:r w:rsidR="00BF66D3">
        <w:rPr>
          <w:rStyle w:val="AERbody"/>
        </w:rPr>
        <w:t>A.9.2</w:t>
      </w:r>
      <w:r w:rsidR="00C52695" w:rsidRPr="005764F6">
        <w:rPr>
          <w:rStyle w:val="AERbody"/>
        </w:rPr>
        <w:fldChar w:fldCharType="end"/>
      </w:r>
      <w:r w:rsidR="00C52695" w:rsidRPr="005764F6">
        <w:rPr>
          <w:rStyle w:val="AERbody"/>
        </w:rPr>
        <w:t>.</w:t>
      </w:r>
    </w:p>
    <w:p w:rsidR="00C52695" w:rsidRPr="005764F6" w:rsidRDefault="00C52695" w:rsidP="00C52695">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110"/>
      </w:r>
      <w:r w:rsidRPr="005764F6">
        <w:rPr>
          <w:rStyle w:val="AERbody"/>
        </w:rPr>
        <w:t xml:space="preserve"> </w:t>
      </w:r>
    </w:p>
    <w:p w:rsidR="00C52695" w:rsidRPr="005764F6" w:rsidRDefault="00C52695" w:rsidP="00C52695">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BF66D3" w:rsidRPr="00BF66D3">
        <w:rPr>
          <w:rStyle w:val="AERbody"/>
        </w:rPr>
        <w:t>table 4</w:t>
      </w:r>
      <w:r w:rsidR="00BF66D3" w:rsidRPr="00BF66D3">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BF66D3" w:rsidRPr="00BF66D3">
        <w:rPr>
          <w:rStyle w:val="AERbody"/>
        </w:rPr>
        <w:t>table 4</w:t>
      </w:r>
      <w:r w:rsidR="00BF66D3" w:rsidRPr="00BF66D3">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111"/>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52695" w:rsidRPr="00883125" w:rsidRDefault="00C52695" w:rsidP="00C52695">
      <w:pPr>
        <w:pStyle w:val="Caption"/>
      </w:pPr>
      <w:bookmarkStart w:id="98" w:name="_Ref400900366"/>
      <w:bookmarkStart w:id="99" w:name="_Ref400900335"/>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3</w:t>
      </w:r>
      <w:r w:rsidRPr="001D37D5">
        <w:fldChar w:fldCharType="end"/>
      </w:r>
      <w:bookmarkEnd w:id="98"/>
      <w:r w:rsidRPr="00883125">
        <w:tab/>
        <w:t>Estimates of the value of imputation credits—evidence from all equity</w:t>
      </w:r>
      <w:bookmarkEnd w:id="99"/>
    </w:p>
    <w:tbl>
      <w:tblPr>
        <w:tblStyle w:val="AERtable-numbers"/>
        <w:tblW w:w="0" w:type="auto"/>
        <w:tblLook w:val="04A0" w:firstRow="1" w:lastRow="0" w:firstColumn="1" w:lastColumn="0" w:noHBand="0" w:noVBand="1"/>
      </w:tblPr>
      <w:tblGrid>
        <w:gridCol w:w="3085"/>
        <w:gridCol w:w="2052"/>
        <w:gridCol w:w="2052"/>
        <w:gridCol w:w="205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 xml:space="preserve">Evidence on utilisation </w:t>
            </w:r>
            <w:r>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52695">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Distribution</w:t>
            </w:r>
            <w:r w:rsidRPr="00C52695">
              <w:t xml:space="preserve"> rate</w:t>
            </w:r>
          </w:p>
        </w:tc>
        <w:tc>
          <w:tcPr>
            <w:tcW w:w="205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Equity ownership approach</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C52695" w:rsidRDefault="00C52695" w:rsidP="00C52695">
            <w:r w:rsidRPr="000C3267">
              <w:t xml:space="preserve">Equity ownership approach (Lally recommended distribution </w:t>
            </w:r>
            <w:r w:rsidRPr="00C52695">
              <w:t>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0.56 to 0.68</w:t>
            </w:r>
            <w:r w:rsidR="00BC11CF">
              <w:rPr>
                <w:rStyle w:val="FootnoteReference"/>
              </w:rPr>
              <w:footnoteReference w:id="112"/>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0.8</w:t>
            </w:r>
            <w:r w:rsidRPr="00C52695">
              <w:t>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0.4</w:t>
            </w:r>
            <w:r w:rsidRPr="00C52695">
              <w:t>6 to 0.56</w:t>
            </w:r>
            <w:r w:rsidRPr="00C52695">
              <w:rPr>
                <w:rStyle w:val="FootnoteReference"/>
              </w:rPr>
              <w:footnoteReference w:id="113"/>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0.34</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r>
              <w:t xml:space="preserve"> (Lally recommended distribution 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0.40</w:t>
            </w:r>
          </w:p>
        </w:tc>
      </w:tr>
    </w:tbl>
    <w:p w:rsidR="00C52695" w:rsidRPr="00883125" w:rsidRDefault="00C52695" w:rsidP="00C52695">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00" w:name="_Ref400900373"/>
    </w:p>
    <w:p w:rsidR="00C52695" w:rsidRPr="00883125" w:rsidRDefault="00C52695" w:rsidP="00C52695">
      <w:pPr>
        <w:pStyle w:val="Caption"/>
      </w:pPr>
      <w:bookmarkStart w:id="101" w:name="_Ref404072148"/>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4</w:t>
      </w:r>
      <w:r w:rsidRPr="001D37D5">
        <w:fldChar w:fldCharType="end"/>
      </w:r>
      <w:bookmarkEnd w:id="100"/>
      <w:bookmarkEnd w:id="101"/>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 xml:space="preserve">Evidence on utilisation </w:t>
            </w:r>
            <w:r>
              <w:t>rate</w:t>
            </w:r>
          </w:p>
        </w:tc>
        <w:tc>
          <w:tcPr>
            <w:tcW w:w="2146"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Equity ownership approach</w:t>
            </w:r>
          </w:p>
        </w:tc>
        <w:tc>
          <w:tcPr>
            <w:tcW w:w="2146"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52695" w:rsidRPr="00C52695" w:rsidRDefault="00C52695" w:rsidP="00C52695">
            <w:r w:rsidRPr="00883125">
              <w:t>Implied market value studies</w:t>
            </w:r>
          </w:p>
          <w:p w:rsidR="00C52695" w:rsidRPr="00C52695" w:rsidRDefault="00C52695" w:rsidP="00C52695">
            <w:pPr>
              <w:rPr>
                <w:rStyle w:val="AERtextitalic"/>
              </w:rPr>
            </w:pPr>
            <w:r w:rsidRPr="00883125">
              <w:rPr>
                <w:rStyle w:val="AERtextitalic"/>
              </w:rPr>
              <w:t>SFG dividend drop off study</w:t>
            </w:r>
          </w:p>
        </w:tc>
        <w:tc>
          <w:tcPr>
            <w:tcW w:w="2146"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1</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52695">
              <w:rPr>
                <w:rStyle w:val="AERsuperscript"/>
              </w:rPr>
              <w:t>(a)</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0.75</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C52695">
              <w:rPr>
                <w:rStyle w:val="AERtextitalic"/>
              </w:rPr>
              <w:t>(0.30)</w:t>
            </w:r>
            <w:r w:rsidRPr="00C52695">
              <w:rPr>
                <w:rStyle w:val="AERsuperscript"/>
              </w:rPr>
              <w:t>(b)</w:t>
            </w:r>
          </w:p>
        </w:tc>
      </w:tr>
    </w:tbl>
    <w:p w:rsidR="00C52695" w:rsidRPr="00883125" w:rsidRDefault="00C52695" w:rsidP="00C52695">
      <w:pPr>
        <w:pStyle w:val="AERtablesource"/>
      </w:pPr>
      <w:r w:rsidRPr="00883125">
        <w:t>Source:</w:t>
      </w:r>
      <w:r w:rsidRPr="00883125">
        <w:tab/>
        <w:t>AER analysis.</w:t>
      </w:r>
    </w:p>
    <w:p w:rsidR="00C52695" w:rsidRDefault="00C52695" w:rsidP="00C52695">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52695" w:rsidRPr="00883125" w:rsidRDefault="00C52695" w:rsidP="00C52695">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BF66D3">
        <w:t>A.15.4</w:t>
      </w:r>
      <w:r>
        <w:fldChar w:fldCharType="end"/>
      </w:r>
      <w:r w:rsidRPr="00883125">
        <w:t xml:space="preserve">. </w:t>
      </w:r>
    </w:p>
    <w:p w:rsidR="00C52695" w:rsidRPr="005764F6" w:rsidRDefault="00C52695" w:rsidP="00C52695">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114"/>
      </w:r>
      <w:r w:rsidRPr="005764F6">
        <w:rPr>
          <w:rStyle w:val="AERbody"/>
        </w:rPr>
        <w:t xml:space="preserve"> From within these possible ranges, we choose a value for gamma of 0.4 based on the following considerations: </w:t>
      </w:r>
    </w:p>
    <w:p w:rsidR="00C52695" w:rsidRPr="001D37D5" w:rsidRDefault="00C52695" w:rsidP="00C52695">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52695" w:rsidRPr="001D37D5" w:rsidRDefault="00C52695" w:rsidP="00C52695">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52695" w:rsidRPr="001D37D5" w:rsidRDefault="00C52695" w:rsidP="00C52695">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C52695" w:rsidRPr="005764F6" w:rsidRDefault="00C52695" w:rsidP="00C52695">
      <w:pPr>
        <w:rPr>
          <w:rStyle w:val="AERbody"/>
        </w:rPr>
      </w:pPr>
      <w:r w:rsidRPr="005764F6">
        <w:rPr>
          <w:rStyle w:val="AERbody"/>
        </w:rPr>
        <w:t xml:space="preserve">On balance, we have considered it appropriate to continue to apply a value of imputation credits of 0.4 in this </w:t>
      </w:r>
      <w:r w:rsidR="00AB2F1E">
        <w:rPr>
          <w:rStyle w:val="AERbody"/>
        </w:rPr>
        <w:t>draft</w:t>
      </w:r>
      <w:r w:rsidR="00C4634F">
        <w:rPr>
          <w:rStyle w:val="AERbody"/>
        </w:rPr>
        <w:t xml:space="preserve">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52695" w:rsidRPr="005764F6" w:rsidRDefault="00C52695" w:rsidP="00C52695">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sidR="00C4634F">
        <w:rPr>
          <w:rStyle w:val="FootnoteReference"/>
        </w:rPr>
        <w:footnoteReference w:id="115"/>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sidR="008D6237">
        <w:rPr>
          <w:rStyle w:val="AERbody"/>
        </w:rPr>
        <w:t>remain of the view</w:t>
      </w:r>
      <w:r w:rsidRPr="005764F6">
        <w:rPr>
          <w:rStyle w:val="AERbody"/>
        </w:rPr>
        <w:t xml:space="preserve"> Lally's </w:t>
      </w:r>
      <w:r w:rsidR="008D6237">
        <w:rPr>
          <w:rStyle w:val="AERbody"/>
        </w:rPr>
        <w:t>advice does not indicate</w:t>
      </w:r>
      <w:r w:rsidRPr="005764F6">
        <w:rPr>
          <w:rStyle w:val="AERbody"/>
        </w:rPr>
        <w:t xml:space="preserve"> 0.4 is not open to us to choose when exercising our regulatory discretion.</w:t>
      </w:r>
    </w:p>
    <w:p w:rsidR="00C52695" w:rsidRPr="005764F6" w:rsidRDefault="00C52695" w:rsidP="00C52695">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52695" w:rsidRPr="005764F6" w:rsidRDefault="00C52695" w:rsidP="00C52695">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BF66D3">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BF66D3" w:rsidRPr="00BF66D3">
        <w:rPr>
          <w:rStyle w:val="AERbody"/>
        </w:rPr>
        <w:t>table 4</w:t>
      </w:r>
      <w:r w:rsidR="00BF66D3" w:rsidRPr="00BF66D3">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BF66D3" w:rsidRPr="00BF66D3">
        <w:rPr>
          <w:rStyle w:val="AERbody"/>
        </w:rPr>
        <w:t>table 4</w:t>
      </w:r>
      <w:r w:rsidR="00BF66D3" w:rsidRPr="00BF66D3">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52695" w:rsidRPr="000C3267" w:rsidRDefault="00DB68C3" w:rsidP="00C52695">
      <w:pPr>
        <w:rPr>
          <w:rStyle w:val="AERbody"/>
        </w:rPr>
      </w:pPr>
      <w:r w:rsidRPr="00DB68C3">
        <w:t>We do not accept the service providers' proposed value of imputation credits of 0.25, calculated as the product of a distribution rate of 0.7 and a utilisati</w:t>
      </w:r>
      <w:r>
        <w:t xml:space="preserve">on </w:t>
      </w:r>
      <w:r w:rsidR="0010651C">
        <w:t>rate</w:t>
      </w:r>
      <w:r>
        <w:t xml:space="preserve"> of 0.35 (see section </w:t>
      </w:r>
      <w:r>
        <w:fldChar w:fldCharType="begin"/>
      </w:r>
      <w:r>
        <w:instrText xml:space="preserve"> REF _Ref477201690 \n \h </w:instrText>
      </w:r>
      <w:r>
        <w:fldChar w:fldCharType="separate"/>
      </w:r>
      <w:r w:rsidR="00BF66D3">
        <w:t>4.2</w:t>
      </w:r>
      <w:r>
        <w:fldChar w:fldCharType="end"/>
      </w:r>
      <w:r w:rsidRPr="00DB68C3">
        <w:t xml:space="preserve">). </w:t>
      </w:r>
      <w:r w:rsidR="00C52695" w:rsidRPr="005764F6">
        <w:rPr>
          <w:rStyle w:val="AERbody"/>
        </w:rPr>
        <w:t xml:space="preserve">Specifically, we do not accept </w:t>
      </w:r>
      <w:r w:rsidR="00C52695">
        <w:rPr>
          <w:rStyle w:val="AERbody"/>
        </w:rPr>
        <w:t xml:space="preserve">the recent </w:t>
      </w:r>
      <w:r>
        <w:rPr>
          <w:rStyle w:val="AERbody"/>
        </w:rPr>
        <w:t xml:space="preserve">Ausgrid </w:t>
      </w:r>
      <w:r w:rsidR="00C52695">
        <w:rPr>
          <w:rStyle w:val="AERbody"/>
        </w:rPr>
        <w:t xml:space="preserve">Tribunals decision that </w:t>
      </w:r>
      <w:r w:rsidR="00C52695" w:rsidRPr="005764F6">
        <w:rPr>
          <w:rStyle w:val="AERbody"/>
        </w:rPr>
        <w:t>the</w:t>
      </w:r>
      <w:r w:rsidR="00C52695">
        <w:rPr>
          <w:rStyle w:val="AERbody"/>
        </w:rPr>
        <w:t xml:space="preserve"> estimated</w:t>
      </w:r>
      <w:r w:rsidR="00C52695" w:rsidRPr="005764F6">
        <w:rPr>
          <w:rStyle w:val="AERbody"/>
        </w:rPr>
        <w:t xml:space="preserve"> utilisation rate of 0.35</w:t>
      </w:r>
      <w:r w:rsidR="00C52695">
        <w:rPr>
          <w:rStyle w:val="AERbody"/>
        </w:rPr>
        <w:t xml:space="preserve"> from the SFG dividend drop off study should be used to estimate gamma</w:t>
      </w:r>
      <w:r w:rsidR="00C52695" w:rsidRPr="005764F6">
        <w:rPr>
          <w:rStyle w:val="AERbody"/>
        </w:rPr>
        <w:t>. This is because we do not consider it appropriate to rely exclusively on implied market value studies (or SFG's single dividend drop off study). This position is supported by a number of experts.</w:t>
      </w:r>
      <w:r w:rsidR="00C52695" w:rsidRPr="006D590A">
        <w:rPr>
          <w:rStyle w:val="FootnoteReference"/>
        </w:rPr>
        <w:footnoteReference w:id="116"/>
      </w:r>
      <w:r w:rsidR="00C52695" w:rsidRPr="000C3267">
        <w:rPr>
          <w:rStyle w:val="AERbody"/>
        </w:rPr>
        <w:t xml:space="preserve"> The South Australian Centre for Economic Studies suggested that dividend drop off studies be disregarded entirely.</w:t>
      </w:r>
      <w:r w:rsidR="00C52695" w:rsidRPr="006D590A">
        <w:rPr>
          <w:rStyle w:val="FootnoteReference"/>
        </w:rPr>
        <w:footnoteReference w:id="117"/>
      </w:r>
      <w:r w:rsidR="00C52695" w:rsidRPr="000C3267">
        <w:rPr>
          <w:rStyle w:val="AERbody"/>
        </w:rPr>
        <w:t xml:space="preserve"> </w:t>
      </w:r>
    </w:p>
    <w:p w:rsidR="00C52695" w:rsidRPr="00883125" w:rsidRDefault="00C52695" w:rsidP="00C52695">
      <w:pPr>
        <w:numPr>
          <w:ilvl w:val="0"/>
          <w:numId w:val="24"/>
        </w:numPr>
      </w:pPr>
      <w:r w:rsidRPr="00883125">
        <w:t>Even if we were to rely solely on the estimate of the utilisation rate of 0.35 from SFG's study, we consider that a value of imputation credits of 0.25 is unreasonable. This is because:</w:t>
      </w:r>
    </w:p>
    <w:p w:rsidR="00C52695" w:rsidRPr="001D37D5" w:rsidRDefault="00C52695" w:rsidP="00C52695">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18"/>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52695" w:rsidRPr="001D37D5" w:rsidRDefault="00C52695" w:rsidP="00C52695">
      <w:pPr>
        <w:pStyle w:val="AERbulletlistfirststyle"/>
      </w:pPr>
      <w:r w:rsidRPr="00883125">
        <w:t xml:space="preserve">This is an estimate of the utilisation rate of investors in only listed equity, and therefore </w:t>
      </w:r>
      <w:r w:rsidRPr="001D37D5">
        <w:t>we remain of the view it should be paired with either an estimate of the distribution rate from only listed equity using the cumulative payout approach (that is, 0.75); or Lally's estimate for only listed equity estimated using the top 2</w:t>
      </w:r>
      <w:r w:rsidR="00DD0283">
        <w:t>0 listed firms (that is, 0.83).</w:t>
      </w:r>
    </w:p>
    <w:p w:rsidR="00C52695" w:rsidRDefault="00C52695" w:rsidP="00C52695">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BF66D3">
        <w:t>4.4.1</w:t>
      </w:r>
      <w:r>
        <w:fldChar w:fldCharType="end"/>
      </w:r>
      <w:r>
        <w:t>).</w:t>
      </w:r>
    </w:p>
    <w:p w:rsidR="00C52695" w:rsidRPr="000C3267" w:rsidRDefault="00C52695" w:rsidP="00C52695">
      <w:pPr>
        <w:numPr>
          <w:ilvl w:val="0"/>
          <w:numId w:val="24"/>
        </w:numPr>
        <w:rPr>
          <w:rStyle w:val="AERbody"/>
        </w:rPr>
      </w:pPr>
      <w:r w:rsidRPr="000C3267">
        <w:rPr>
          <w:rStyle w:val="AERbody"/>
        </w:rPr>
        <w:t>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19"/>
      </w:r>
      <w:r w:rsidRPr="000C3267">
        <w:rPr>
          <w:rStyle w:val="AERbody"/>
        </w:rPr>
        <w:t xml:space="preserve"> We remain of the view the 45 day holding rule does not be have a material impact on the utilisation of imputation credits by otherwise eligible (that is, domestic) investors.</w:t>
      </w:r>
    </w:p>
    <w:p w:rsidR="00C52695" w:rsidRPr="00E43EA2" w:rsidRDefault="00490FB7" w:rsidP="00D979B2">
      <w:r>
        <w:t xml:space="preserve">In </w:t>
      </w:r>
      <w:r w:rsidR="00C52695" w:rsidRPr="00E43EA2">
        <w:t xml:space="preserve">section </w:t>
      </w:r>
      <w:r w:rsidR="00C52695" w:rsidRPr="00E43EA2">
        <w:fldChar w:fldCharType="begin"/>
      </w:r>
      <w:r w:rsidR="00C52695" w:rsidRPr="00E43EA2">
        <w:instrText xml:space="preserve"> REF _Ref451240961 \r \h </w:instrText>
      </w:r>
      <w:r w:rsidR="00C52695" w:rsidRPr="00E43EA2">
        <w:fldChar w:fldCharType="separate"/>
      </w:r>
      <w:r w:rsidR="00BF66D3">
        <w:t>4.4.2</w:t>
      </w:r>
      <w:r w:rsidR="00C52695" w:rsidRPr="00E43EA2">
        <w:fldChar w:fldCharType="end"/>
      </w:r>
      <w:r w:rsidR="00C52695" w:rsidRPr="00E43EA2">
        <w:t xml:space="preserve"> (and appendix A) we </w:t>
      </w:r>
      <w:r w:rsidR="00C52695">
        <w:t>address</w:t>
      </w:r>
      <w:r w:rsidR="00C52695" w:rsidRPr="00E43EA2">
        <w:t xml:space="preserve"> </w:t>
      </w:r>
      <w:r w:rsidR="003021A6">
        <w:t>AGN's</w:t>
      </w:r>
      <w:r w:rsidR="00041282">
        <w:t xml:space="preserve"> proposal</w:t>
      </w:r>
      <w:r w:rsidR="00E926F4">
        <w:t xml:space="preserve"> and </w:t>
      </w:r>
      <w:r w:rsidR="003021A6">
        <w:t>the new material submitted by other service providers</w:t>
      </w:r>
      <w:r w:rsidR="00323FDA">
        <w:t xml:space="preserve"> in more detail. </w:t>
      </w:r>
      <w:r w:rsidR="003021A6">
        <w:t xml:space="preserve">This includes a CEG report on perspectives for the estimation of gamma submitted by some service providers. </w:t>
      </w:r>
      <w:r w:rsidR="00323FDA">
        <w:t>We include</w:t>
      </w:r>
      <w:r w:rsidR="00041282">
        <w:t xml:space="preserve"> our response to the material submitted by </w:t>
      </w:r>
      <w:r w:rsidR="00AE6459">
        <w:t>AusNet Services</w:t>
      </w:r>
      <w:r w:rsidR="00041282">
        <w:t xml:space="preserve"> given </w:t>
      </w:r>
      <w:r w:rsidR="003021A6">
        <w:t>some service providers</w:t>
      </w:r>
      <w:r w:rsidR="00323FDA">
        <w:t xml:space="preserve"> ha</w:t>
      </w:r>
      <w:r w:rsidR="003021A6">
        <w:t>ve</w:t>
      </w:r>
      <w:r w:rsidR="00323FDA">
        <w:t xml:space="preserve"> also submitted the two Frontier's reports that were previously submitted by AusNet Services and </w:t>
      </w:r>
      <w:r w:rsidR="00041282">
        <w:t xml:space="preserve">we have considered </w:t>
      </w:r>
      <w:r w:rsidR="006A7DA8">
        <w:t>them</w:t>
      </w:r>
      <w:r w:rsidR="00041282">
        <w:t xml:space="preserve"> in reaching our draft decision for </w:t>
      </w:r>
      <w:r w:rsidR="003021A6">
        <w:t>AGN</w:t>
      </w:r>
      <w:r w:rsidR="00C52695" w:rsidRPr="00E43EA2">
        <w:t xml:space="preserve">. We also </w:t>
      </w:r>
      <w:r w:rsidR="00C52695">
        <w:t>address</w:t>
      </w:r>
      <w:r w:rsidR="00C52695" w:rsidRPr="00E43EA2">
        <w:t xml:space="preserve"> other service providers</w:t>
      </w:r>
      <w:r w:rsidR="00C52695">
        <w:t>'</w:t>
      </w:r>
      <w:r w:rsidR="00C52695" w:rsidRPr="00E43EA2">
        <w:t xml:space="preserve"> proposals</w:t>
      </w:r>
      <w:r w:rsidR="00AE6459">
        <w:t xml:space="preserve"> submitted prior to </w:t>
      </w:r>
      <w:r w:rsidR="003021A6">
        <w:t>AGN</w:t>
      </w:r>
      <w:r w:rsidR="00041282">
        <w:t xml:space="preserve">'s </w:t>
      </w:r>
      <w:r w:rsidR="00AE6459">
        <w:t>proposal and at the same time</w:t>
      </w:r>
      <w:r w:rsidR="00041282">
        <w:t xml:space="preserve"> </w:t>
      </w:r>
      <w:r w:rsidR="003021A6">
        <w:t>AGN</w:t>
      </w:r>
      <w:r w:rsidR="00AE6459">
        <w:t xml:space="preserve"> submitted its proposal.</w:t>
      </w:r>
    </w:p>
    <w:p w:rsidR="00C52695" w:rsidRPr="00C52695" w:rsidRDefault="00C52695" w:rsidP="00C52695">
      <w:pPr>
        <w:pStyle w:val="Heading3"/>
      </w:pPr>
      <w:bookmarkStart w:id="102" w:name="_Ref450761230"/>
      <w:bookmarkStart w:id="103" w:name="_Toc451842243"/>
      <w:bookmarkStart w:id="104" w:name="_Toc451938299"/>
      <w:bookmarkStart w:id="105" w:name="_Toc456614282"/>
      <w:bookmarkStart w:id="106" w:name="_Toc462823305"/>
      <w:bookmarkStart w:id="107" w:name="_Toc487014306"/>
      <w:r>
        <w:t>Evidence underlying our estimate of the value of imputation credits</w:t>
      </w:r>
      <w:bookmarkEnd w:id="102"/>
      <w:bookmarkEnd w:id="103"/>
      <w:bookmarkEnd w:id="104"/>
      <w:bookmarkEnd w:id="105"/>
      <w:bookmarkEnd w:id="106"/>
      <w:bookmarkEnd w:id="107"/>
    </w:p>
    <w:p w:rsidR="00C52695" w:rsidRDefault="00C52695" w:rsidP="00C52695">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52695" w:rsidRDefault="00C52695" w:rsidP="007F6EED">
      <w:pPr>
        <w:pStyle w:val="HeadingBoldItalic"/>
      </w:pPr>
      <w:bookmarkStart w:id="108" w:name="_Toc456614283"/>
      <w:bookmarkStart w:id="109" w:name="_Toc481056655"/>
      <w:bookmarkStart w:id="110" w:name="_Toc481061449"/>
      <w:r>
        <w:t>The distribution rate</w:t>
      </w:r>
      <w:bookmarkEnd w:id="108"/>
      <w:bookmarkEnd w:id="109"/>
      <w:bookmarkEnd w:id="110"/>
    </w:p>
    <w:p w:rsidR="00C52695" w:rsidRDefault="00C52695" w:rsidP="00C52695">
      <w:r w:rsidRPr="00883125">
        <w:t>The distribution rate is the proportion of imputation credits generated by the benchmark efficient entity that is distributed to investors.</w:t>
      </w:r>
      <w:r w:rsidRPr="00883125">
        <w:rPr>
          <w:rStyle w:val="FootnoteReference"/>
        </w:rPr>
        <w:footnoteReference w:id="120"/>
      </w:r>
      <w:r w:rsidRPr="00883125">
        <w:t xml:space="preserve"> We consider</w:t>
      </w:r>
      <w:r>
        <w:t>:</w:t>
      </w:r>
    </w:p>
    <w:p w:rsidR="00C52695" w:rsidRPr="001D37D5" w:rsidRDefault="00C52695" w:rsidP="00C52695">
      <w:pPr>
        <w:pStyle w:val="AERbulletlistfirststyle"/>
      </w:pPr>
      <w:r w:rsidRPr="00856171">
        <w:t xml:space="preserve">an estimate of 0.75 for the distribution rate is </w:t>
      </w:r>
      <w:r w:rsidRPr="001D37D5">
        <w:t>reasonable when considering estimates of the utilisation rate tha</w:t>
      </w:r>
      <w:r w:rsidR="00DD0283">
        <w:t>t relate to only listed equity.</w:t>
      </w:r>
    </w:p>
    <w:p w:rsidR="00C52695" w:rsidRPr="001D37D5" w:rsidRDefault="00C52695" w:rsidP="00C52695">
      <w:pPr>
        <w:pStyle w:val="AERbulletlistfirststyle"/>
      </w:pPr>
      <w:r w:rsidRPr="00856171">
        <w:t xml:space="preserve">an estimate of 0.7 for the distribution rate is </w:t>
      </w:r>
      <w:r w:rsidRPr="001D37D5">
        <w:t xml:space="preserve">reasonable when considering estimates of the utilisation </w:t>
      </w:r>
      <w:r w:rsidR="00DD0283">
        <w:t>rate that relate to all equity.</w:t>
      </w:r>
    </w:p>
    <w:p w:rsidR="00C52695" w:rsidRDefault="00C52695" w:rsidP="00C52695">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21"/>
      </w:r>
    </w:p>
    <w:p w:rsidR="00C52695" w:rsidRPr="00883125" w:rsidRDefault="00C52695" w:rsidP="00C52695">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22"/>
      </w:r>
      <w:r w:rsidRPr="00AE6B35">
        <w:t xml:space="preserve"> </w:t>
      </w:r>
      <w:r w:rsidRPr="00883125">
        <w:t>We use the cumulative payout ratio approach because it:</w:t>
      </w:r>
    </w:p>
    <w:p w:rsidR="00C52695" w:rsidRPr="00883125" w:rsidRDefault="00C52695" w:rsidP="00C52695">
      <w:pPr>
        <w:pStyle w:val="AERbulletlistfirststyle"/>
      </w:pPr>
      <w:r w:rsidRPr="00883125">
        <w:t>uses long-term, published data</w:t>
      </w:r>
    </w:p>
    <w:p w:rsidR="00C52695" w:rsidRPr="001D37D5" w:rsidRDefault="00C52695" w:rsidP="00C52695">
      <w:pPr>
        <w:pStyle w:val="AERbulletlistfirststyle"/>
      </w:pPr>
      <w:r w:rsidRPr="00883125">
        <w:t>is supported by the service providers, Gray (for SFG), Handley, and McKenzie and Partington</w:t>
      </w:r>
      <w:r w:rsidRPr="001D37D5">
        <w:rPr>
          <w:rStyle w:val="FootnoteReference"/>
        </w:rPr>
        <w:footnoteReference w:id="123"/>
      </w:r>
    </w:p>
    <w:p w:rsidR="00C52695" w:rsidRPr="00883125" w:rsidRDefault="00C52695" w:rsidP="00C52695">
      <w:pPr>
        <w:pStyle w:val="AERbulletlistfirststyle"/>
      </w:pPr>
      <w:r w:rsidRPr="00883125">
        <w:t>is simple and intuitive.</w:t>
      </w:r>
    </w:p>
    <w:p w:rsidR="00C52695" w:rsidRPr="00856171" w:rsidRDefault="00C52695" w:rsidP="00C52695">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24"/>
      </w:r>
      <w:r w:rsidRPr="00856171">
        <w:t xml:space="preserve"> Hathaway found a similar estimate for the period 2004 to 2011.</w:t>
      </w:r>
      <w:r w:rsidRPr="00856171">
        <w:rPr>
          <w:rStyle w:val="FootnoteReference"/>
        </w:rPr>
        <w:footnoteReference w:id="125"/>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26"/>
      </w:r>
      <w:r w:rsidRPr="00856171">
        <w:t xml:space="preserve"> </w:t>
      </w:r>
    </w:p>
    <w:p w:rsidR="00C52695" w:rsidRPr="00856171" w:rsidRDefault="00C52695" w:rsidP="00C52695">
      <w:r w:rsidRPr="00883125">
        <w:t xml:space="preserve">Gray </w:t>
      </w:r>
      <w:r w:rsidRPr="00856171">
        <w:t xml:space="preserve">(for Frontier) updated the ATO data up to 2012-13 and found that the payout ratio for all equity latest year is </w:t>
      </w:r>
      <w:r w:rsidR="00490FB7">
        <w:t>0.64</w:t>
      </w:r>
      <w:r w:rsidRPr="00856171">
        <w:t xml:space="preserve"> and the cumulative ratio is </w:t>
      </w:r>
      <w:r w:rsidR="00490FB7">
        <w:t>0.67</w:t>
      </w:r>
      <w:r w:rsidRPr="00856171">
        <w:t>.</w:t>
      </w:r>
      <w:r w:rsidRPr="00856171">
        <w:rPr>
          <w:rStyle w:val="FootnoteReference"/>
        </w:rPr>
        <w:footnoteReference w:id="127"/>
      </w:r>
      <w:r w:rsidRPr="00856171">
        <w:t xml:space="preserve"> However, recognising the volatility in the data Frontier considered that 0.7 distribution rate still remained appropriate for all equity.</w:t>
      </w:r>
      <w:r w:rsidRPr="00856171">
        <w:rPr>
          <w:rStyle w:val="FootnoteReference"/>
        </w:rPr>
        <w:footnoteReference w:id="128"/>
      </w:r>
      <w:r w:rsidRPr="00856171">
        <w:t xml:space="preserve"> We have updated this data to 2014 and find the cumulative payout ratio for listed equity is 0.75 and for all equity is 0.68. However, we remain of the view that a distribution rate of 0.7 is appropriate for all equity.</w:t>
      </w:r>
    </w:p>
    <w:p w:rsidR="00C52695" w:rsidRPr="00883125" w:rsidRDefault="00C52695" w:rsidP="00C52695">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29"/>
      </w:r>
      <w:r w:rsidRPr="00883125">
        <w:t xml:space="preserve"> We found a similar estimate for the period 2004 to 2011.</w:t>
      </w:r>
      <w:r w:rsidRPr="00883125">
        <w:rPr>
          <w:rStyle w:val="FootnoteReference"/>
        </w:rPr>
        <w:footnoteReference w:id="130"/>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31"/>
      </w:r>
      <w:r w:rsidRPr="00883125">
        <w:t xml:space="preserve"> In this </w:t>
      </w:r>
      <w:r w:rsidR="00862855">
        <w:t xml:space="preserve">draft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October and November 2015 decisions.</w:t>
      </w:r>
    </w:p>
    <w:p w:rsidR="00C52695" w:rsidRDefault="00C52695" w:rsidP="00C52695">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BF66D3">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BF66D3">
        <w:t>A.10</w:t>
      </w:r>
      <w:r>
        <w:fldChar w:fldCharType="end"/>
      </w:r>
      <w:r>
        <w:t>).</w:t>
      </w:r>
      <w:r>
        <w:rPr>
          <w:rStyle w:val="FootnoteReference"/>
        </w:rPr>
        <w:footnoteReference w:id="132"/>
      </w:r>
      <w:r>
        <w:t xml:space="preserve"> </w:t>
      </w:r>
    </w:p>
    <w:p w:rsidR="00C52695" w:rsidRDefault="00C52695" w:rsidP="00C52695">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33"/>
      </w:r>
    </w:p>
    <w:p w:rsidR="00C52695" w:rsidRPr="001D37D5" w:rsidRDefault="00C52695" w:rsidP="00C52695">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663AD0" w:rsidRDefault="00C52695" w:rsidP="00C52695">
      <w:pPr>
        <w:pStyle w:val="AERbulletlistfirststyle"/>
        <w:numPr>
          <w:ilvl w:val="0"/>
          <w:numId w:val="24"/>
        </w:numPr>
        <w:rPr>
          <w:rStyle w:val="AERtexthighlight"/>
        </w:rPr>
      </w:pPr>
      <w:r>
        <w:t xml:space="preserve">Lally also </w:t>
      </w:r>
      <w:r w:rsidRPr="005764F6">
        <w:t xml:space="preserve">considered </w:t>
      </w:r>
      <w:r w:rsidR="00CF4EC3">
        <w:t xml:space="preserve">that there is no necessity to combine </w:t>
      </w:r>
      <w:r w:rsidR="00CF4EC3" w:rsidRPr="001D37D5">
        <w:t>estimates of the distribution rate and utilisation rate from the same dataset</w:t>
      </w:r>
      <w:r w:rsidR="00CF4EC3">
        <w:t xml:space="preserve"> and good reason not for not doing so</w:t>
      </w:r>
      <w:r w:rsidRPr="005764F6">
        <w:t>.</w:t>
      </w:r>
      <w:r w:rsidR="00CF4EC3">
        <w:rPr>
          <w:rStyle w:val="FootnoteReference"/>
        </w:rPr>
        <w:footnoteReference w:id="134"/>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35"/>
      </w:r>
      <w:r w:rsidRPr="005764F6">
        <w:t xml:space="preserve"> Following this, </w:t>
      </w:r>
      <w:r w:rsidR="009A643F">
        <w:t xml:space="preserve">Lally's most recent advice </w:t>
      </w:r>
      <w:r w:rsidRPr="005764F6">
        <w:t xml:space="preserve">we </w:t>
      </w:r>
      <w:r w:rsidR="009A643F">
        <w:t xml:space="preserve">remain of the view </w:t>
      </w:r>
      <w:r w:rsidRPr="005764F6">
        <w:t>it is not necessary to 'match' estimates of distribution rates and utilisation rates based on the dataset used</w:t>
      </w:r>
      <w:r>
        <w:rPr>
          <w:rStyle w:val="AERbody"/>
        </w:rPr>
        <w:t xml:space="preserve">; although we </w:t>
      </w:r>
      <w:r w:rsidR="009A643F">
        <w:rPr>
          <w:rStyle w:val="AERbody"/>
        </w:rPr>
        <w:t xml:space="preserve">still consider </w:t>
      </w:r>
      <w:r>
        <w:rPr>
          <w:rStyle w:val="AERbody"/>
        </w:rPr>
        <w:t>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36"/>
      </w:r>
      <w:r w:rsidR="00B428E3">
        <w:t xml:space="preserve"> We note that using Lally's preferred approach results in a significantly higher gamma estimate than 0.4.</w:t>
      </w:r>
      <w:r w:rsidR="00CF4EC3">
        <w:rPr>
          <w:rStyle w:val="FootnoteReference"/>
        </w:rPr>
        <w:footnoteReference w:id="137"/>
      </w:r>
      <w:r w:rsidR="00B428E3">
        <w:t xml:space="preserve"> While we have given this limited weight, Lally's advice does provide further support for our view that our use of gamma value of 0.4 should result in an overall return (inclusive of the value of imputation credits) that is (at least) sufficient to compensate </w:t>
      </w:r>
      <w:r w:rsidR="003021A6">
        <w:t>AGN</w:t>
      </w:r>
      <w:r w:rsidR="00862855">
        <w:t xml:space="preserve">'s </w:t>
      </w:r>
      <w:r w:rsidR="00B428E3">
        <w:t>investors.</w:t>
      </w:r>
      <w:r w:rsidRPr="00663AD0">
        <w:rPr>
          <w:rStyle w:val="AERtexthighlight"/>
        </w:rPr>
        <w:t xml:space="preserve"> </w:t>
      </w:r>
    </w:p>
    <w:p w:rsidR="00C52695" w:rsidRDefault="00C52695" w:rsidP="00C52695">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BF66D3">
        <w:t>A.8</w:t>
      </w:r>
      <w:r>
        <w:fldChar w:fldCharType="end"/>
      </w:r>
      <w:r>
        <w:t xml:space="preserve"> and </w:t>
      </w:r>
      <w:r>
        <w:fldChar w:fldCharType="begin"/>
      </w:r>
      <w:r>
        <w:instrText xml:space="preserve"> REF _Ref415068711 \r \h </w:instrText>
      </w:r>
      <w:r>
        <w:fldChar w:fldCharType="separate"/>
      </w:r>
      <w:r w:rsidR="00BF66D3">
        <w:t>A.8.5</w:t>
      </w:r>
      <w:r>
        <w:fldChar w:fldCharType="end"/>
      </w:r>
      <w:r w:rsidRPr="00883125">
        <w:t>.</w:t>
      </w:r>
    </w:p>
    <w:p w:rsidR="00C52695" w:rsidRPr="00856171" w:rsidRDefault="00C52695" w:rsidP="0007085B">
      <w:pPr>
        <w:pStyle w:val="HeadingBoldItalic"/>
        <w:keepNext/>
      </w:pPr>
      <w:bookmarkStart w:id="111" w:name="_Toc456614284"/>
      <w:bookmarkStart w:id="112" w:name="_Toc481056656"/>
      <w:bookmarkStart w:id="113" w:name="_Toc481061450"/>
      <w:r>
        <w:t>The utilisation</w:t>
      </w:r>
      <w:r w:rsidRPr="00856171">
        <w:t xml:space="preserve"> rate</w:t>
      </w:r>
      <w:bookmarkEnd w:id="111"/>
      <w:bookmarkEnd w:id="112"/>
      <w:bookmarkEnd w:id="113"/>
      <w:r w:rsidRPr="00856171">
        <w:t xml:space="preserve"> </w:t>
      </w:r>
    </w:p>
    <w:p w:rsidR="00C52695" w:rsidRPr="00883125" w:rsidRDefault="00C52695" w:rsidP="0007085B">
      <w:pPr>
        <w:keepNext/>
        <w:numPr>
          <w:ilvl w:val="0"/>
          <w:numId w:val="24"/>
        </w:numPr>
      </w:pPr>
      <w:r w:rsidRPr="00883125">
        <w:t>We understand the utilisation rate to be the utilisation value to investors in the market per dollar of imputation credits distributed.</w:t>
      </w:r>
      <w:r>
        <w:rPr>
          <w:rStyle w:val="FootnoteReference"/>
        </w:rPr>
        <w:footnoteReference w:id="138"/>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39"/>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C52695" w:rsidRPr="00883125" w:rsidRDefault="00C52695" w:rsidP="00C52695">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C52695" w:rsidRPr="00883125" w:rsidRDefault="00C52695" w:rsidP="00C52695">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rsidR="000421CC">
        <w:t xml:space="preserve"> due to differential taxes</w:t>
      </w:r>
      <w:r w:rsidRPr="00856171">
        <w:t xml:space="preserve">. </w:t>
      </w:r>
      <w:r w:rsidR="000421CC">
        <w:t>Our consultant supports that market value studies need to be adjusted to correct for the biases in the estimates (likely to be principally driven by differential taxation).</w:t>
      </w:r>
      <w:r w:rsidR="0010651C">
        <w:rPr>
          <w:rStyle w:val="FootnoteReference"/>
        </w:rPr>
        <w:footnoteReference w:id="140"/>
      </w:r>
      <w:r w:rsidR="000421CC">
        <w:t xml:space="preserve"> As a result, w</w:t>
      </w:r>
      <w:r w:rsidR="000421CC" w:rsidRPr="00856171">
        <w:t xml:space="preserve">e </w:t>
      </w:r>
      <w:r w:rsidRPr="00856171">
        <w:t xml:space="preserve">do not consider this is appropriate </w:t>
      </w:r>
      <w:r w:rsidR="000421CC">
        <w:t xml:space="preserve">to use implied market value studies to estimate the utilisation value </w:t>
      </w:r>
      <w:r w:rsidRPr="00856171">
        <w:t>given our post (corporate) tax regulatory framework based on Officer 1994.</w:t>
      </w:r>
      <w:r w:rsidRPr="00856171">
        <w:rPr>
          <w:rStyle w:val="FootnoteReference"/>
        </w:rPr>
        <w:footnoteReference w:id="141"/>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42"/>
      </w:r>
    </w:p>
    <w:p w:rsidR="00C52695" w:rsidRPr="00883125" w:rsidRDefault="00C52695" w:rsidP="00C52695">
      <w:pPr>
        <w:numPr>
          <w:ilvl w:val="0"/>
          <w:numId w:val="24"/>
        </w:numPr>
      </w:pPr>
      <w:r w:rsidRPr="00883125">
        <w:t>Consistent with the Guideline, when estimating the utilisation rate we place:</w:t>
      </w:r>
    </w:p>
    <w:p w:rsidR="00C52695" w:rsidRPr="00883125" w:rsidRDefault="00C52695" w:rsidP="00C52695">
      <w:pPr>
        <w:pStyle w:val="AERbulletlistfirststyle"/>
      </w:pPr>
      <w:r w:rsidRPr="00883125">
        <w:t>significant reliance upon the equity ownership approach</w:t>
      </w:r>
    </w:p>
    <w:p w:rsidR="00C52695" w:rsidRPr="00883125" w:rsidRDefault="00C52695" w:rsidP="00C52695">
      <w:pPr>
        <w:pStyle w:val="AERbulletlistfirststyle"/>
      </w:pPr>
      <w:r w:rsidRPr="00883125">
        <w:t>some reliance upon tax statistics</w:t>
      </w:r>
    </w:p>
    <w:p w:rsidR="00C52695" w:rsidRPr="001D37D5" w:rsidRDefault="00C52695" w:rsidP="00C52695">
      <w:pPr>
        <w:pStyle w:val="AERbulletlistfirststyle"/>
      </w:pPr>
      <w:r w:rsidRPr="00883125">
        <w:t>less reliance upon implied market value studies.</w:t>
      </w:r>
    </w:p>
    <w:p w:rsidR="00C52695" w:rsidRPr="00883125" w:rsidRDefault="00C52695" w:rsidP="00C52695">
      <w:r>
        <w:t>This weighting is supported by Lally.</w:t>
      </w:r>
      <w:r>
        <w:rPr>
          <w:rStyle w:val="FootnoteReference"/>
        </w:rPr>
        <w:footnoteReference w:id="143"/>
      </w:r>
      <w:r w:rsidR="000421CC">
        <w:t xml:space="preserve"> The SAPN Tribunal also considered the AER did not err, nor was it unreasonable, in giving most weight to the "utilisation" approach.</w:t>
      </w:r>
      <w:r w:rsidR="00254FC7">
        <w:rPr>
          <w:rStyle w:val="FootnoteReference"/>
        </w:rPr>
        <w:footnoteReference w:id="144"/>
      </w:r>
    </w:p>
    <w:p w:rsidR="00C52695" w:rsidRDefault="00C52695" w:rsidP="00C52695">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BF66D3" w:rsidRPr="00883125">
        <w:t xml:space="preserve">table </w:t>
      </w:r>
      <w:r w:rsidR="00BF66D3">
        <w:rPr>
          <w:noProof/>
        </w:rPr>
        <w:t>4</w:t>
      </w:r>
      <w:r w:rsidR="00BF66D3">
        <w:noBreakHyphen/>
      </w:r>
      <w:r w:rsidR="00BF66D3">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BF66D3" w:rsidRPr="00883125">
        <w:t xml:space="preserve">table </w:t>
      </w:r>
      <w:r w:rsidR="00BF66D3">
        <w:rPr>
          <w:noProof/>
        </w:rPr>
        <w:t>4</w:t>
      </w:r>
      <w:r w:rsidR="00BF66D3">
        <w:noBreakHyphen/>
      </w:r>
      <w:r w:rsidR="00BF66D3">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45"/>
      </w:r>
      <w:r w:rsidRPr="00883125">
        <w:t xml:space="preserve"> We discuss each approach in the sections below.</w:t>
      </w:r>
      <w:r w:rsidRPr="00883125">
        <w:rPr>
          <w:rStyle w:val="FootnoteReference"/>
        </w:rPr>
        <w:footnoteReference w:id="146"/>
      </w:r>
      <w:r w:rsidRPr="00883125">
        <w:t xml:space="preserve"> We depart from the Guideline by not relying upon the 'conceptual goalposts approach'.</w:t>
      </w:r>
    </w:p>
    <w:p w:rsidR="00C52695" w:rsidRDefault="00C52695" w:rsidP="00C52695">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BF66D3">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BF66D3">
        <w:t>A.8</w:t>
      </w:r>
      <w:r w:rsidRPr="00883125">
        <w:fldChar w:fldCharType="end"/>
      </w:r>
      <w:r w:rsidRPr="00883125">
        <w:t xml:space="preserve">. </w:t>
      </w:r>
    </w:p>
    <w:p w:rsidR="00C52695" w:rsidRPr="00856171" w:rsidRDefault="00C52695" w:rsidP="00C52695">
      <w:pPr>
        <w:pStyle w:val="HeadingBoldItalic"/>
      </w:pPr>
      <w:bookmarkStart w:id="114" w:name="_Toc456614285"/>
      <w:bookmarkStart w:id="115" w:name="_Toc481056657"/>
      <w:bookmarkStart w:id="116" w:name="_Toc481061451"/>
      <w:r>
        <w:t>The equity ownership approach</w:t>
      </w:r>
      <w:bookmarkEnd w:id="114"/>
      <w:bookmarkEnd w:id="115"/>
      <w:bookmarkEnd w:id="116"/>
    </w:p>
    <w:p w:rsidR="00C52695" w:rsidRPr="00883125" w:rsidRDefault="00C52695" w:rsidP="00C52695">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47"/>
      </w:r>
    </w:p>
    <w:p w:rsidR="00C52695" w:rsidRPr="00883125" w:rsidRDefault="00C52695" w:rsidP="00C52695">
      <w:pPr>
        <w:numPr>
          <w:ilvl w:val="0"/>
          <w:numId w:val="24"/>
        </w:numPr>
      </w:pPr>
      <w:r w:rsidRPr="00883125">
        <w:t>We place significant reliance upon the equity ownership approach when considering estimates of the utilisation rate. This is because:</w:t>
      </w:r>
    </w:p>
    <w:p w:rsidR="00C52695" w:rsidRPr="00883125" w:rsidRDefault="00C52695" w:rsidP="00C52695">
      <w:pPr>
        <w:pStyle w:val="AERbulletlistfirststyle"/>
      </w:pPr>
      <w:r w:rsidRPr="00883125">
        <w:t>it is well aligned with the definition of the utilisation rate in the Monkhouse framework</w:t>
      </w:r>
    </w:p>
    <w:p w:rsidR="00C52695" w:rsidRPr="00883125" w:rsidRDefault="00C52695" w:rsidP="00C52695">
      <w:pPr>
        <w:pStyle w:val="AERbulletlistfirststyle"/>
      </w:pPr>
      <w:r w:rsidRPr="00883125">
        <w:t>it employs a relatively simple and intuitive methodology</w:t>
      </w:r>
    </w:p>
    <w:p w:rsidR="00C52695" w:rsidRPr="00883125" w:rsidRDefault="00C52695" w:rsidP="00C52695">
      <w:pPr>
        <w:pStyle w:val="AERbulletlistfirststyle"/>
      </w:pPr>
      <w:r w:rsidRPr="00883125">
        <w:t>it uses a reliable and transparent source of data</w:t>
      </w:r>
    </w:p>
    <w:p w:rsidR="00C52695" w:rsidRPr="001D37D5" w:rsidRDefault="00C52695" w:rsidP="00C52695">
      <w:pPr>
        <w:pStyle w:val="AERbulletlistfirststyle"/>
      </w:pPr>
      <w:r w:rsidRPr="00883125">
        <w:t>it provides estimates of the utilisation rate for investors in both all equity and only listed equity</w:t>
      </w:r>
      <w:r w:rsidR="00AD35FD">
        <w:t>.</w:t>
      </w:r>
    </w:p>
    <w:p w:rsidR="00C52695" w:rsidRDefault="00C52695" w:rsidP="00C52695">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48"/>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52695" w:rsidRDefault="00C52695" w:rsidP="00C52695">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49"/>
      </w:r>
      <w:r w:rsidRPr="004F21F7">
        <w:t xml:space="preserve"> </w:t>
      </w:r>
      <w:r>
        <w:t>We also note Lally's statement that:</w:t>
      </w:r>
      <w:r>
        <w:rPr>
          <w:rStyle w:val="FootnoteReference"/>
        </w:rPr>
        <w:footnoteReference w:id="150"/>
      </w:r>
    </w:p>
    <w:p w:rsidR="00C52695" w:rsidRPr="00883125" w:rsidRDefault="00C52695" w:rsidP="00C52695">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w:t>
      </w:r>
    </w:p>
    <w:p w:rsidR="00C52695" w:rsidRPr="00883125" w:rsidRDefault="00C52695" w:rsidP="00C52695">
      <w:pPr>
        <w:pStyle w:val="AERbulletlistfirststyle"/>
      </w:pPr>
      <w:r w:rsidRPr="00883125">
        <w:t>0.38 and 0.55, if only listed equity is considered.</w:t>
      </w:r>
    </w:p>
    <w:p w:rsidR="00C52695" w:rsidRDefault="00C52695" w:rsidP="00C52695">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C52695" w:rsidRDefault="00C52695" w:rsidP="00C52695">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BF66D3">
        <w:t>A.12</w:t>
      </w:r>
      <w:r w:rsidRPr="00883125">
        <w:fldChar w:fldCharType="end"/>
      </w:r>
      <w:r w:rsidRPr="00883125">
        <w:t>.</w:t>
      </w:r>
    </w:p>
    <w:p w:rsidR="00C52695" w:rsidRPr="00856171" w:rsidRDefault="00C52695" w:rsidP="00C52695">
      <w:pPr>
        <w:pStyle w:val="HeadingBoldItalic"/>
      </w:pPr>
      <w:bookmarkStart w:id="117" w:name="_Toc456614286"/>
      <w:bookmarkStart w:id="118" w:name="_Toc481056658"/>
      <w:bookmarkStart w:id="119" w:name="_Toc481061452"/>
      <w:r>
        <w:t>Tax statistics</w:t>
      </w:r>
      <w:bookmarkEnd w:id="117"/>
      <w:bookmarkEnd w:id="118"/>
      <w:bookmarkEnd w:id="119"/>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51"/>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52695" w:rsidRDefault="00C52695" w:rsidP="00C52695">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52"/>
      </w:r>
      <w:r w:rsidRPr="00883125">
        <w:t xml:space="preserve"> Lally considered that the tax statistics approach lacks precision, and he did not prefer it to the equity ownership approach.</w:t>
      </w:r>
      <w:r w:rsidRPr="00883125">
        <w:rPr>
          <w:rStyle w:val="FootnoteReference"/>
        </w:rPr>
        <w:footnoteReference w:id="153"/>
      </w:r>
      <w:r w:rsidRPr="00883125">
        <w:t xml:space="preserve"> However, Lally still preferred tax statistics to implied market value studies.</w:t>
      </w:r>
      <w:r w:rsidRPr="00883125">
        <w:rPr>
          <w:rStyle w:val="FootnoteReference"/>
        </w:rPr>
        <w:footnoteReference w:id="154"/>
      </w:r>
    </w:p>
    <w:p w:rsidR="00C52695" w:rsidRPr="00883125" w:rsidRDefault="00C52695" w:rsidP="00C52695">
      <w:pPr>
        <w:numPr>
          <w:ilvl w:val="0"/>
          <w:numId w:val="24"/>
        </w:numPr>
      </w:pPr>
      <w:r w:rsidRPr="00883125">
        <w:t>We have placed less reliance upon tax statistics compared with the equity ownership approach because we consider that tax statistics have a number of limitations:</w:t>
      </w:r>
    </w:p>
    <w:p w:rsidR="00C52695" w:rsidRPr="001D37D5" w:rsidRDefault="00C52695" w:rsidP="00C52695">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55"/>
      </w:r>
    </w:p>
    <w:p w:rsidR="00C52695" w:rsidRPr="00883125" w:rsidRDefault="00C52695" w:rsidP="00C52695">
      <w:pPr>
        <w:pStyle w:val="AERbulletlistfirststyle"/>
      </w:pPr>
      <w:r w:rsidRPr="00883125">
        <w:t>They do not reflect the amount of credits refunded to individuals that do not have to fill out a tax return.</w:t>
      </w:r>
    </w:p>
    <w:p w:rsidR="00C52695" w:rsidRPr="001D37D5" w:rsidRDefault="00C52695" w:rsidP="00C52695">
      <w:pPr>
        <w:pStyle w:val="AERbulletlistfirststyle"/>
      </w:pPr>
      <w:r w:rsidRPr="00883125">
        <w:t>They might not reflect the amount of credits refunded to certain types of entities.</w:t>
      </w:r>
      <w:r w:rsidRPr="001D37D5">
        <w:rPr>
          <w:rStyle w:val="FootnoteReference"/>
        </w:rPr>
        <w:footnoteReference w:id="156"/>
      </w:r>
      <w:r w:rsidRPr="001D37D5">
        <w:t xml:space="preserve"> </w:t>
      </w:r>
    </w:p>
    <w:p w:rsidR="00C52695" w:rsidRPr="001D37D5" w:rsidRDefault="00C52695" w:rsidP="00C52695">
      <w:pPr>
        <w:pStyle w:val="AERbulletlistfirststyle"/>
      </w:pPr>
      <w:r w:rsidRPr="00883125">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57"/>
      </w:r>
    </w:p>
    <w:p w:rsidR="00C52695" w:rsidRPr="001D37D5" w:rsidRDefault="00C52695" w:rsidP="00C52695">
      <w:pPr>
        <w:pStyle w:val="AERbulletlistfirststyle"/>
      </w:pPr>
      <w:r w:rsidRPr="005764F6">
        <w:t>Lally</w:t>
      </w:r>
      <w:r w:rsidR="008802AB">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58"/>
      </w:r>
    </w:p>
    <w:p w:rsidR="00C52695" w:rsidRPr="00883125" w:rsidRDefault="00C52695" w:rsidP="00C52695">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59"/>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52695" w:rsidRPr="00883125" w:rsidRDefault="00C52695" w:rsidP="00C52695">
      <w:pPr>
        <w:numPr>
          <w:ilvl w:val="0"/>
          <w:numId w:val="24"/>
        </w:numPr>
      </w:pPr>
      <w:r w:rsidRPr="00883125">
        <w:t>Since the Guideline, we have continued to examine this evidence. We now consider that greater reliance should be placed upon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60"/>
      </w:r>
    </w:p>
    <w:p w:rsidR="00C52695" w:rsidRPr="001D37D5" w:rsidRDefault="00C52695" w:rsidP="00C52695">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61"/>
      </w:r>
      <w:r w:rsidRPr="001D37D5">
        <w:t xml:space="preserve"> </w:t>
      </w:r>
    </w:p>
    <w:p w:rsidR="00C52695" w:rsidRPr="00856171" w:rsidRDefault="00C52695" w:rsidP="00C52695">
      <w:r w:rsidRPr="00883125">
        <w:t xml:space="preserve">In this </w:t>
      </w:r>
      <w:r w:rsidR="00F37A59">
        <w:t>draft</w:t>
      </w:r>
      <w:r w:rsidR="00AB2F1E">
        <w:t xml:space="preserve"> </w:t>
      </w:r>
      <w:r w:rsidRPr="00856171">
        <w:t>decision, we have regard to NERA's updated analysis of the ATO data to the 2012 tax year.</w:t>
      </w:r>
      <w:r w:rsidRPr="00856171">
        <w:rPr>
          <w:rStyle w:val="FootnoteReference"/>
        </w:rPr>
        <w:footnoteReference w:id="162"/>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651429" w:rsidRDefault="00C52695" w:rsidP="00C52695">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rsidR="00651429">
        <w:t>We note that Frontier has submitted that gamma can be estimate reliably from tax statistics as the ratio of credits redeemed to credit credits created.</w:t>
      </w:r>
      <w:r w:rsidR="0010651C">
        <w:rPr>
          <w:rStyle w:val="FootnoteReference"/>
        </w:rPr>
        <w:footnoteReference w:id="163"/>
      </w:r>
      <w:r w:rsidR="00651429">
        <w:t xml:space="preserve"> However, after </w:t>
      </w:r>
      <w:r w:rsidR="006418BE">
        <w:t>reviewing</w:t>
      </w:r>
      <w:r w:rsidR="00651429">
        <w:t xml:space="preserve"> the Hathaway paper and </w:t>
      </w:r>
      <w:r w:rsidR="00447949">
        <w:t xml:space="preserve">Lally's </w:t>
      </w:r>
      <w:r w:rsidR="00651429">
        <w:t xml:space="preserve">advice, we are not convinced. This is further discussed in section </w:t>
      </w:r>
      <w:r w:rsidR="00651429">
        <w:fldChar w:fldCharType="begin"/>
      </w:r>
      <w:r w:rsidR="00651429">
        <w:instrText xml:space="preserve"> REF _Ref402179420 \r \h </w:instrText>
      </w:r>
      <w:r w:rsidR="00651429">
        <w:fldChar w:fldCharType="separate"/>
      </w:r>
      <w:r w:rsidR="00BF66D3">
        <w:t>A.13</w:t>
      </w:r>
      <w:r w:rsidR="00651429">
        <w:fldChar w:fldCharType="end"/>
      </w:r>
      <w:r w:rsidR="00651429">
        <w:t>.</w:t>
      </w:r>
    </w:p>
    <w:p w:rsidR="00C52695" w:rsidRPr="00856171" w:rsidRDefault="00C52695" w:rsidP="00C52695">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p>
    <w:p w:rsidR="00C52695" w:rsidRDefault="00C52695" w:rsidP="00C52695">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BF66D3">
        <w:t>A.13</w:t>
      </w:r>
      <w:r w:rsidRPr="00883125">
        <w:fldChar w:fldCharType="end"/>
      </w:r>
      <w:r w:rsidRPr="00883125">
        <w:t>.</w:t>
      </w:r>
    </w:p>
    <w:p w:rsidR="00C52695" w:rsidRPr="00856171" w:rsidRDefault="00C52695" w:rsidP="00C52695">
      <w:pPr>
        <w:pStyle w:val="HeadingBoldItalic"/>
      </w:pPr>
      <w:bookmarkStart w:id="120" w:name="_Toc456614287"/>
      <w:bookmarkStart w:id="121" w:name="_Toc481056659"/>
      <w:bookmarkStart w:id="122" w:name="_Toc481061453"/>
      <w:r>
        <w:t>Implied market value studies</w:t>
      </w:r>
      <w:bookmarkEnd w:id="120"/>
      <w:bookmarkEnd w:id="121"/>
      <w:bookmarkEnd w:id="122"/>
    </w:p>
    <w:p w:rsidR="00C52695" w:rsidRPr="00883125" w:rsidRDefault="00C52695" w:rsidP="00C52695">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BF66D3">
        <w:t>A.15.1</w:t>
      </w:r>
      <w:r w:rsidRPr="00883125">
        <w:fldChar w:fldCharType="end"/>
      </w:r>
      <w:r w:rsidRPr="00883125">
        <w:t>.</w:t>
      </w:r>
    </w:p>
    <w:p w:rsidR="004B6A76" w:rsidRPr="004B6A76" w:rsidRDefault="00C52695" w:rsidP="004B6A76">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64"/>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65"/>
      </w:r>
      <w:r>
        <w:t xml:space="preserve"> Lally preferred both the equity ownership approach and tax statistics to dividend drop off studies.</w:t>
      </w:r>
      <w:r>
        <w:rPr>
          <w:rStyle w:val="FootnoteReference"/>
        </w:rPr>
        <w:footnoteReference w:id="166"/>
      </w:r>
      <w:r w:rsidR="00C87BA0">
        <w:t xml:space="preserve"> The </w:t>
      </w:r>
      <w:r w:rsidR="00173FC3">
        <w:t xml:space="preserve">May 2017 decision of the </w:t>
      </w:r>
      <w:r w:rsidR="00C87BA0">
        <w:t xml:space="preserve">Full Federal Court </w:t>
      </w:r>
      <w:r w:rsidR="004B6A76">
        <w:t>stated</w:t>
      </w:r>
      <w:r w:rsidR="00C87BA0">
        <w:t xml:space="preserve"> that </w:t>
      </w:r>
      <w:r w:rsidR="00BD6803">
        <w:t>the expression "the value of imputation credits" is to be construed as a whole rather than limiting attention to the word "value" and</w:t>
      </w:r>
      <w:r w:rsidR="004B6A76" w:rsidRPr="004B6A76">
        <w:t xml:space="preserve"> </w:t>
      </w:r>
      <w:r w:rsidR="004B6A76">
        <w:t>give it a meaning in isolation</w:t>
      </w:r>
      <w:r w:rsidR="00BD6803">
        <w:t>.</w:t>
      </w:r>
      <w:r w:rsidR="00173FC3">
        <w:rPr>
          <w:rStyle w:val="FootnoteReference"/>
        </w:rPr>
        <w:footnoteReference w:id="167"/>
      </w:r>
      <w:r w:rsidR="00BD6803">
        <w:t xml:space="preserve"> </w:t>
      </w:r>
      <w:r w:rsidR="004B6A76" w:rsidRPr="004B6A76">
        <w:t>The Court found that the Tribunal was distracted by the apparent simplicity of the concept of market studies and data into mistaking what was to be estimated as real in a market rather than as estimates within a model</w:t>
      </w:r>
      <w:r w:rsidR="004B6A76">
        <w:t>.</w:t>
      </w:r>
      <w:r w:rsidR="004B6A76">
        <w:rPr>
          <w:rStyle w:val="FootnoteReference"/>
        </w:rPr>
        <w:footnoteReference w:id="168"/>
      </w:r>
    </w:p>
    <w:p w:rsidR="00C52695" w:rsidRPr="00883125" w:rsidRDefault="00C52695" w:rsidP="004B6A76">
      <w:pPr>
        <w:numPr>
          <w:ilvl w:val="0"/>
          <w:numId w:val="24"/>
        </w:numPr>
      </w:pPr>
      <w:r w:rsidRPr="00883125">
        <w:t>We also consider that these studies can be subject to a number of limitations. The limitations of implied market value studies can include:</w:t>
      </w:r>
    </w:p>
    <w:p w:rsidR="00C52695" w:rsidRPr="00883125" w:rsidRDefault="00C52695" w:rsidP="00C52695">
      <w:pPr>
        <w:pStyle w:val="AERbulletlistfirststyle"/>
      </w:pPr>
      <w:r w:rsidRPr="00883125">
        <w:t>These studies can produce nonsensical estimates of the utilisation rate; that is, greater than one or less than zero.</w:t>
      </w:r>
    </w:p>
    <w:p w:rsidR="00C52695" w:rsidRPr="00883125" w:rsidRDefault="00C52695" w:rsidP="00C52695">
      <w:pPr>
        <w:pStyle w:val="AERbulletlistfirststyle"/>
      </w:pPr>
      <w:r w:rsidRPr="00883125">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r w:rsidR="00BD6803">
        <w:t xml:space="preserve"> This is supported by the </w:t>
      </w:r>
      <w:r w:rsidR="00173FC3">
        <w:t xml:space="preserve">May 2017 </w:t>
      </w:r>
      <w:r w:rsidR="00BD6803">
        <w:t>Full Federal Court decision</w:t>
      </w:r>
      <w:r w:rsidR="00173FC3">
        <w:t xml:space="preserve"> where the court found</w:t>
      </w:r>
      <w:r w:rsidR="00BD6803">
        <w:t xml:space="preserve"> that the Rules require consistency in the way the relevant building blocks interact</w:t>
      </w:r>
      <w:r w:rsidR="00A2267E">
        <w:t>, that is,</w:t>
      </w:r>
      <w:r w:rsidR="00BD6803">
        <w:t xml:space="preserve"> on a post-company tax and pre-personal tax and personal costs basis.</w:t>
      </w:r>
      <w:r w:rsidR="00173FC3">
        <w:rPr>
          <w:rStyle w:val="FootnoteReference"/>
        </w:rPr>
        <w:footnoteReference w:id="169"/>
      </w:r>
      <w:r w:rsidR="00BD6803">
        <w:t xml:space="preserve">  </w:t>
      </w:r>
    </w:p>
    <w:p w:rsidR="00C52695" w:rsidRPr="001D37D5" w:rsidRDefault="00C52695" w:rsidP="00C52695">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1D37D5">
        <w:rPr>
          <w:rStyle w:val="FootnoteReference"/>
        </w:rPr>
        <w:footnoteReference w:id="170"/>
      </w:r>
      <w:r w:rsidRPr="001D37D5">
        <w:t xml:space="preserve"> </w:t>
      </w:r>
      <w:r w:rsidR="003200DF">
        <w:t xml:space="preserve"> </w:t>
      </w:r>
      <w:r w:rsidR="00A2267E" w:rsidRPr="001D37D5" w:rsidDel="00EF56D7">
        <w:t xml:space="preserve"> </w:t>
      </w:r>
      <w:r w:rsidR="00A2267E">
        <w:t>T</w:t>
      </w:r>
      <w:r w:rsidRPr="001D37D5">
        <w: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71"/>
      </w:r>
    </w:p>
    <w:p w:rsidR="00C52695" w:rsidRPr="00883125" w:rsidRDefault="00C52695" w:rsidP="00C52695">
      <w:pPr>
        <w:pStyle w:val="AERbulletlistfirststyle"/>
      </w:pPr>
      <w:r w:rsidRPr="00883125">
        <w:t>These studies can be data intensive and employ complex and sometimes problematic estimation methodologies.</w:t>
      </w:r>
    </w:p>
    <w:p w:rsidR="00C52695" w:rsidRPr="00883125" w:rsidRDefault="00C52695" w:rsidP="00C52695">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DA5171" w:rsidRDefault="00AA7999" w:rsidP="00DA5171">
      <w:pPr>
        <w:numPr>
          <w:ilvl w:val="0"/>
          <w:numId w:val="24"/>
        </w:numPr>
      </w:pPr>
      <w:r>
        <w:t>Lally</w:t>
      </w:r>
      <w:r w:rsidR="00682278">
        <w:t>,</w:t>
      </w:r>
      <w:r>
        <w:t xml:space="preserve"> in </w:t>
      </w:r>
      <w:r w:rsidR="001F59A2">
        <w:t>a</w:t>
      </w:r>
      <w:r>
        <w:t xml:space="preserve">recent </w:t>
      </w:r>
      <w:r w:rsidR="00682278">
        <w:t>report,</w:t>
      </w:r>
      <w:r>
        <w:t xml:space="preserve"> has outlined eleven concerns with the SFG dividend drop off study and many of these concerns </w:t>
      </w:r>
      <w:r w:rsidR="00254FC7">
        <w:t>generally apply to all dividend-</w:t>
      </w:r>
      <w:r>
        <w:t>drop off studies.</w:t>
      </w:r>
      <w:r>
        <w:rPr>
          <w:rStyle w:val="FootnoteReference"/>
        </w:rPr>
        <w:footnoteReference w:id="172"/>
      </w:r>
    </w:p>
    <w:p w:rsidR="00C52695" w:rsidRDefault="00C52695" w:rsidP="00C52695">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BF66D3">
        <w:t>A.15</w:t>
      </w:r>
      <w:r>
        <w:fldChar w:fldCharType="end"/>
      </w:r>
      <w:r w:rsidRPr="00883125">
        <w:t>.</w:t>
      </w:r>
      <w:r w:rsidRPr="00375E4D">
        <w:t xml:space="preserve"> </w:t>
      </w:r>
      <w:r>
        <w:t>However, we note here the following statement from Lally:</w:t>
      </w:r>
      <w:r>
        <w:rPr>
          <w:rStyle w:val="FootnoteReference"/>
        </w:rPr>
        <w:footnoteReference w:id="173"/>
      </w:r>
    </w:p>
    <w:p w:rsidR="00C52695" w:rsidRPr="00883125" w:rsidRDefault="00C52695" w:rsidP="00C52695">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C52695" w:rsidRPr="00883125" w:rsidRDefault="00C52695" w:rsidP="00C52695">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BF66D3">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52695" w:rsidRPr="001D37D5" w:rsidRDefault="00C52695" w:rsidP="00C52695">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74"/>
      </w:r>
    </w:p>
    <w:p w:rsidR="00C52695" w:rsidRPr="001D37D5" w:rsidRDefault="00C52695" w:rsidP="00C52695">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75"/>
      </w:r>
    </w:p>
    <w:p w:rsidR="00C52695" w:rsidRPr="001D37D5" w:rsidRDefault="00C52695" w:rsidP="00C52695">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76"/>
      </w:r>
      <w:r w:rsidRPr="001D37D5">
        <w:t xml:space="preserve"> Lally also raised a number of issues in relation to SFG's dividend drop off study.</w:t>
      </w:r>
      <w:r w:rsidRPr="001D37D5">
        <w:rPr>
          <w:rStyle w:val="FootnoteReference"/>
        </w:rPr>
        <w:footnoteReference w:id="177"/>
      </w:r>
      <w:r w:rsidRPr="001D37D5">
        <w:t xml:space="preserve"> Lally </w:t>
      </w:r>
      <w:r w:rsidR="00682278">
        <w:t>considers</w:t>
      </w:r>
      <w:r w:rsidRPr="001D37D5">
        <w:t xml:space="preserve"> that 'minimal weight' should be placed on dividend drop off studies.</w:t>
      </w:r>
      <w:r w:rsidRPr="001D37D5">
        <w:rPr>
          <w:rStyle w:val="FootnoteReference"/>
        </w:rPr>
        <w:footnoteReference w:id="178"/>
      </w:r>
    </w:p>
    <w:p w:rsidR="00C52695" w:rsidRPr="001D37D5" w:rsidRDefault="00C52695" w:rsidP="00C52695">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79"/>
      </w:r>
    </w:p>
    <w:p w:rsidR="00C52695" w:rsidRPr="001D37D5" w:rsidRDefault="00C52695" w:rsidP="00C52695">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80"/>
      </w:r>
    </w:p>
    <w:p w:rsidR="00C52695" w:rsidRPr="005764F6" w:rsidRDefault="00C52695" w:rsidP="00C52695">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81"/>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82"/>
      </w:r>
      <w:r w:rsidRPr="005764F6">
        <w:rPr>
          <w:rStyle w:val="AERbody"/>
        </w:rPr>
        <w:t xml:space="preserve"> Therefore, Handley and Lally advised that the 0.35 estimate from SFG's dividend drop off study should in fact be interpreted as an estimate of around 0.4.</w:t>
      </w:r>
    </w:p>
    <w:p w:rsidR="00C52695" w:rsidRDefault="00C52695" w:rsidP="00C52695">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BF66D3">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52695" w:rsidRPr="00883125" w:rsidRDefault="00C52695" w:rsidP="00C52695">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52695" w:rsidRPr="00883125" w:rsidRDefault="00C52695" w:rsidP="00C52695">
      <w:pPr>
        <w:pStyle w:val="AERbulletlistfirststyle"/>
      </w:pPr>
      <w:r w:rsidRPr="00883125">
        <w:t>used longer data periods</w:t>
      </w:r>
    </w:p>
    <w:p w:rsidR="00C52695" w:rsidRPr="00883125" w:rsidRDefault="00C52695" w:rsidP="00C52695">
      <w:pPr>
        <w:pStyle w:val="AERbulletlistfirststyle"/>
      </w:pPr>
      <w:r w:rsidRPr="00883125">
        <w:t>used data since 2000, when the change in tax law entitled eligible investors to a refund of credits that exceeded their tax liability</w:t>
      </w:r>
    </w:p>
    <w:p w:rsidR="00C52695" w:rsidRPr="00883125" w:rsidRDefault="00C52695" w:rsidP="00C52695">
      <w:pPr>
        <w:pStyle w:val="AERbulletlistfirststyle"/>
      </w:pPr>
      <w:r w:rsidRPr="00883125">
        <w:t>encompassed the breadth of the market instead of just selected firms, and</w:t>
      </w:r>
    </w:p>
    <w:p w:rsidR="00C52695" w:rsidRPr="00883125" w:rsidRDefault="00C52695" w:rsidP="00C52695">
      <w:pPr>
        <w:pStyle w:val="AERbulletlistfirststyle"/>
      </w:pPr>
      <w:r w:rsidRPr="00883125">
        <w:t>appeared to use more reasonable and robust econometric treatments.</w:t>
      </w:r>
    </w:p>
    <w:p w:rsidR="00C52695" w:rsidRPr="00883125" w:rsidRDefault="00C52695" w:rsidP="00C52695">
      <w:pPr>
        <w:numPr>
          <w:ilvl w:val="0"/>
          <w:numId w:val="24"/>
        </w:numPr>
      </w:pPr>
      <w:r w:rsidRPr="00883125">
        <w:t xml:space="preserve">However, in this </w:t>
      </w:r>
      <w:r w:rsidR="00A01BA1">
        <w:t xml:space="preserve">draft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83"/>
      </w:r>
      <w:r w:rsidRPr="00883125">
        <w:t xml:space="preserve"> In Gray's view (for SFG), there is no reasonable basis for adopting an estimate from dividend drop off analysis above the 0.35 estimate from SFG's study.</w:t>
      </w:r>
      <w:r w:rsidRPr="00883125">
        <w:rPr>
          <w:rStyle w:val="FootnoteReference"/>
        </w:rPr>
        <w:footnoteReference w:id="184"/>
      </w:r>
      <w:r w:rsidRPr="00883125">
        <w:t xml:space="preserve"> It appears that Gray (for Frontier) continues to hold this view.</w:t>
      </w:r>
      <w:r w:rsidRPr="00883125">
        <w:rPr>
          <w:rStyle w:val="FootnoteReference"/>
        </w:rPr>
        <w:footnoteReference w:id="185"/>
      </w:r>
    </w:p>
    <w:p w:rsidR="00C52695" w:rsidRPr="00883125" w:rsidRDefault="00C52695" w:rsidP="00C52695">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BF66D3">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86"/>
      </w:r>
      <w:r>
        <w:t xml:space="preserve"> </w:t>
      </w:r>
      <w:r w:rsidRPr="00883125">
        <w:t>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w:t>
      </w:r>
      <w:r w:rsidR="00DD0283">
        <w:t>f study in making our decision.</w:t>
      </w:r>
    </w:p>
    <w:p w:rsidR="00C52695" w:rsidRDefault="00C52695" w:rsidP="00C52695">
      <w:r>
        <w:t>We discuss our consideration of implied market value studies in detail in section A.15.</w:t>
      </w:r>
    </w:p>
    <w:p w:rsidR="00C52695" w:rsidRPr="00C52695" w:rsidRDefault="00C52695" w:rsidP="00C52695">
      <w:pPr>
        <w:pStyle w:val="Heading3"/>
      </w:pPr>
      <w:bookmarkStart w:id="123" w:name="_Ref451240961"/>
      <w:bookmarkStart w:id="124" w:name="_Ref451816460"/>
      <w:bookmarkStart w:id="125" w:name="_Toc451842244"/>
      <w:bookmarkStart w:id="126" w:name="_Toc451938300"/>
      <w:bookmarkStart w:id="127" w:name="_Toc456614288"/>
      <w:bookmarkStart w:id="128" w:name="_Toc462823306"/>
      <w:bookmarkStart w:id="129" w:name="_Toc487014307"/>
      <w:r>
        <w:t>Response to submissions by stakeholders</w:t>
      </w:r>
      <w:bookmarkEnd w:id="123"/>
      <w:bookmarkEnd w:id="124"/>
      <w:bookmarkEnd w:id="125"/>
      <w:bookmarkEnd w:id="126"/>
      <w:bookmarkEnd w:id="127"/>
      <w:bookmarkEnd w:id="128"/>
      <w:bookmarkEnd w:id="129"/>
    </w:p>
    <w:p w:rsidR="00C52695" w:rsidRDefault="00C52695" w:rsidP="00C52695">
      <w:r>
        <w:t xml:space="preserve">In section </w:t>
      </w:r>
      <w:r>
        <w:fldChar w:fldCharType="begin"/>
      </w:r>
      <w:r>
        <w:instrText xml:space="preserve"> REF _Ref415070393 \r \h </w:instrText>
      </w:r>
      <w:r>
        <w:fldChar w:fldCharType="separate"/>
      </w:r>
      <w:r w:rsidR="00BF66D3">
        <w:t>A.4</w:t>
      </w:r>
      <w:r>
        <w:fldChar w:fldCharType="end"/>
      </w:r>
      <w:r>
        <w:t>, we set out the key issues raised by</w:t>
      </w:r>
      <w:r w:rsidR="00A01BA1">
        <w:t xml:space="preserve"> </w:t>
      </w:r>
      <w:r w:rsidR="003021A6">
        <w:t>the service providers for which we are currently releasing decisions</w:t>
      </w:r>
      <w:r>
        <w:t xml:space="preserve">, as well as the key issues raised by other service providers we have assessed recently (post-Guideline). The key issues raised are broadly consistent across the service providers. </w:t>
      </w:r>
    </w:p>
    <w:p w:rsidR="00C52695" w:rsidRPr="00E43EA2" w:rsidRDefault="00C52695" w:rsidP="00C52695">
      <w:pPr>
        <w:pStyle w:val="ListParagraph"/>
        <w:numPr>
          <w:ilvl w:val="0"/>
          <w:numId w:val="24"/>
        </w:numPr>
      </w:pPr>
      <w:r w:rsidRPr="00E43EA2">
        <w:fldChar w:fldCharType="begin"/>
      </w:r>
      <w:r w:rsidRPr="00E43EA2">
        <w:instrText xml:space="preserve"> REF _Ref450761546 \h </w:instrText>
      </w:r>
      <w:r w:rsidRPr="00E43EA2">
        <w:fldChar w:fldCharType="separate"/>
      </w:r>
      <w:r w:rsidR="00BF66D3">
        <w:t xml:space="preserve">Table </w:t>
      </w:r>
      <w:r w:rsidR="00BF66D3">
        <w:rPr>
          <w:noProof/>
        </w:rPr>
        <w:t>4</w:t>
      </w:r>
      <w:r w:rsidR="00BF66D3" w:rsidRPr="00856171">
        <w:noBreakHyphen/>
      </w:r>
      <w:r w:rsidR="00BF66D3">
        <w:rPr>
          <w:noProof/>
        </w:rPr>
        <w:t>5</w:t>
      </w:r>
      <w:r w:rsidRPr="00E43EA2">
        <w:fldChar w:fldCharType="end"/>
      </w:r>
      <w:r w:rsidRPr="00E43EA2">
        <w:t xml:space="preserve"> sets out the key issues raised by</w:t>
      </w:r>
      <w:r w:rsidR="00113F4C">
        <w:t xml:space="preserve"> Multinet</w:t>
      </w:r>
      <w:r w:rsidR="003021A6">
        <w:t>, AusNet</w:t>
      </w:r>
      <w:r w:rsidR="005F224E">
        <w:t xml:space="preserve"> </w:t>
      </w:r>
      <w:r>
        <w:t>and other</w:t>
      </w:r>
      <w:r w:rsidRPr="00E43EA2">
        <w:t xml:space="preserve"> service providers in their recent proposals. We also provide a summary of our response and a reference</w:t>
      </w:r>
      <w:r w:rsidR="00DD0283">
        <w:t xml:space="preserve"> to our more detailed response.</w:t>
      </w:r>
    </w:p>
    <w:p w:rsidR="00C52695" w:rsidRPr="00856171" w:rsidRDefault="00C52695" w:rsidP="00C52695">
      <w:pPr>
        <w:pStyle w:val="Caption"/>
      </w:pPr>
      <w:bookmarkStart w:id="130" w:name="_Ref450761546"/>
      <w:r>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BF66D3">
        <w:rPr>
          <w:noProof/>
        </w:rPr>
        <w:t>5</w:t>
      </w:r>
      <w:r w:rsidRPr="001D37D5">
        <w:fldChar w:fldCharType="end"/>
      </w:r>
      <w:bookmarkEnd w:id="130"/>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3652" w:type="dxa"/>
          </w:tcPr>
          <w:p w:rsidR="00C52695" w:rsidRPr="00C52695" w:rsidRDefault="00C52695" w:rsidP="00C52695">
            <w:r>
              <w:t>Issue</w:t>
            </w:r>
          </w:p>
        </w:tc>
        <w:tc>
          <w:tcPr>
            <w:tcW w:w="4394" w:type="dxa"/>
          </w:tcPr>
          <w:p w:rsidR="00C52695" w:rsidRPr="00C52695" w:rsidRDefault="00C52695" w:rsidP="00C52695">
            <w:r>
              <w:t>Summary of response</w:t>
            </w:r>
          </w:p>
        </w:tc>
        <w:tc>
          <w:tcPr>
            <w:tcW w:w="851" w:type="dxa"/>
          </w:tcPr>
          <w:p w:rsidR="00C52695" w:rsidRPr="00C52695" w:rsidRDefault="00C52695" w:rsidP="00C52695">
            <w:r>
              <w:t>S</w:t>
            </w:r>
            <w:r w:rsidRPr="00C52695">
              <w:t>ection</w:t>
            </w:r>
          </w:p>
        </w:tc>
      </w:tr>
      <w:tr w:rsidR="00C52695" w:rsidTr="006425B8">
        <w:tc>
          <w:tcPr>
            <w:tcW w:w="3652" w:type="dxa"/>
          </w:tcPr>
          <w:p w:rsidR="00C52695" w:rsidRPr="00C52695" w:rsidRDefault="00C52695" w:rsidP="00C52695">
            <w:pPr>
              <w:rPr>
                <w:rStyle w:val="Strong"/>
              </w:rPr>
            </w:pPr>
            <w:r w:rsidRPr="00E82D06">
              <w:rPr>
                <w:rStyle w:val="Strong"/>
              </w:rPr>
              <w:t xml:space="preserve">Conceptual </w:t>
            </w:r>
            <w:r w:rsidRPr="00C52695">
              <w:rPr>
                <w:rStyle w:val="Strong"/>
              </w:rPr>
              <w:t>framework</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Our </w:t>
            </w:r>
            <w:r w:rsidRPr="00C52695">
              <w:t>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objective of ensuring a market rate of return on equity.</w:t>
            </w:r>
            <w:r w:rsidRPr="00C52695">
              <w:rPr>
                <w:rStyle w:val="FootnoteReference"/>
              </w:rPr>
              <w:footnoteReference w:id="187"/>
            </w:r>
            <w:r w:rsidRPr="00C52695">
              <w:t xml:space="preserve"> Frontier considers that theta should be measured as value and not the utilisation of imputation credits.</w:t>
            </w:r>
            <w:r w:rsidRPr="00C52695">
              <w:rPr>
                <w:rStyle w:val="FootnoteReference"/>
              </w:rPr>
              <w:footnoteReference w:id="188"/>
            </w:r>
            <w:r w:rsidRPr="00C52695">
              <w:t xml:space="preserve"> Frontier considers that if gamma is set anything other than value of imputation credits to investors, investors will be either over or under compensated.</w:t>
            </w:r>
            <w:r w:rsidRPr="00C52695">
              <w:rPr>
                <w:rStyle w:val="FootnoteReference"/>
              </w:rPr>
              <w:footnoteReference w:id="189"/>
            </w:r>
          </w:p>
          <w:p w:rsidR="00C52695" w:rsidRPr="00C52695" w:rsidRDefault="00C52695" w:rsidP="00C52695">
            <w:r>
              <w:t xml:space="preserve">The </w:t>
            </w:r>
            <w:r w:rsidR="00C062AF">
              <w:t xml:space="preserve">Ausgrid </w:t>
            </w:r>
            <w:r>
              <w:t>Tribunal considered</w:t>
            </w:r>
            <w:r w:rsidRPr="00C52695">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52695">
              <w:rPr>
                <w:rStyle w:val="FootnoteReference"/>
              </w:rPr>
              <w:footnoteReference w:id="190"/>
            </w:r>
          </w:p>
        </w:tc>
        <w:tc>
          <w:tcPr>
            <w:tcW w:w="4394" w:type="dxa"/>
          </w:tcPr>
          <w:p w:rsidR="00C52695" w:rsidRPr="00C52695" w:rsidRDefault="00C52695" w:rsidP="00C52695">
            <w:r w:rsidRPr="00365D40">
              <w:t xml:space="preserve">We have not redefined gamma as the value of imputation credits available for redemption. Rather, our conceptual approach considers </w:t>
            </w:r>
            <w:r w:rsidRPr="00C52695">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on this, we consider gamma to be equal to the product of the distribution rate and the utilisation rate to investors in the market per dollar of credits distributed (the 'utilisation rate'). </w:t>
            </w:r>
          </w:p>
          <w:p w:rsidR="00C52695" w:rsidRPr="00C52695" w:rsidRDefault="00C52695" w:rsidP="00C52695">
            <w:r>
              <w:t xml:space="preserve">The equity ownership approach and tax statistics are consistent with our conceptual approach. They value </w:t>
            </w:r>
            <w:r w:rsidRPr="00C52695">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52695" w:rsidRPr="00C52695" w:rsidRDefault="00C52695" w:rsidP="00C52695">
            <w:r>
              <w:t>Also, v</w:t>
            </w:r>
            <w:r w:rsidRPr="00C52695">
              <w:t>aluing imputation credits at face value is consistent with how all inputs into the allowed rate of return are estimated.</w:t>
            </w:r>
          </w:p>
          <w:p w:rsidR="00C52695" w:rsidRPr="00C52695" w:rsidRDefault="00C52695" w:rsidP="00C52695">
            <w:r>
              <w:t>In regards to the 'factors', w</w:t>
            </w:r>
            <w:r w:rsidRPr="00C52695">
              <w:t>e have received advice from Handley on these factors. We consider such factors are either immaterial or should not be accounted for when estimating the properly defined utilisation rate.</w:t>
            </w:r>
          </w:p>
        </w:tc>
        <w:tc>
          <w:tcPr>
            <w:tcW w:w="851" w:type="dxa"/>
          </w:tcPr>
          <w:p w:rsidR="005E2393" w:rsidRDefault="00DC1EEF" w:rsidP="00C52695">
            <w:r>
              <w:fldChar w:fldCharType="begin"/>
            </w:r>
            <w:r>
              <w:instrText xml:space="preserve"> REF _Ref476564330 \r \h </w:instrText>
            </w:r>
            <w:r>
              <w:fldChar w:fldCharType="separate"/>
            </w:r>
            <w:r w:rsidR="00BF66D3">
              <w:t>4.1</w:t>
            </w:r>
            <w:r>
              <w:fldChar w:fldCharType="end"/>
            </w:r>
          </w:p>
          <w:p w:rsidR="00C52695" w:rsidRPr="00C52695" w:rsidRDefault="00C52695" w:rsidP="00C52695">
            <w:r w:rsidRPr="00C52695">
              <w:fldChar w:fldCharType="begin"/>
            </w:r>
            <w:r w:rsidRPr="00C52695">
              <w:instrText xml:space="preserve"> REF _Ref416802130 \r \h </w:instrText>
            </w:r>
            <w:r w:rsidRPr="00C52695">
              <w:fldChar w:fldCharType="separate"/>
            </w:r>
            <w:r w:rsidR="00BF66D3">
              <w:t>4.3.1</w:t>
            </w:r>
            <w:r w:rsidRPr="00C52695">
              <w:fldChar w:fldCharType="end"/>
            </w:r>
          </w:p>
          <w:p w:rsidR="00C52695" w:rsidRPr="00C52695" w:rsidRDefault="00C52695" w:rsidP="00C52695">
            <w:r w:rsidRPr="00C52695">
              <w:fldChar w:fldCharType="begin"/>
            </w:r>
            <w:r w:rsidRPr="00C52695">
              <w:instrText xml:space="preserve"> REF _Ref415144114 \r \h </w:instrText>
            </w:r>
            <w:r w:rsidRPr="00C52695">
              <w:fldChar w:fldCharType="separate"/>
            </w:r>
            <w:r w:rsidR="00BF66D3">
              <w:t>A.5</w:t>
            </w:r>
            <w:r w:rsidRPr="00C52695">
              <w:fldChar w:fldCharType="end"/>
            </w:r>
          </w:p>
          <w:p w:rsidR="00C52695" w:rsidRPr="00C52695" w:rsidRDefault="00C52695" w:rsidP="00C52695">
            <w:r w:rsidRPr="00C52695">
              <w:fldChar w:fldCharType="begin"/>
            </w:r>
            <w:r w:rsidRPr="00C52695">
              <w:instrText xml:space="preserve"> REF _Ref400965182 \r \h </w:instrText>
            </w:r>
            <w:r w:rsidRPr="00C52695">
              <w:fldChar w:fldCharType="separate"/>
            </w:r>
            <w:r w:rsidR="00BF66D3">
              <w:t>A.6</w:t>
            </w:r>
            <w:r w:rsidRPr="00C52695">
              <w:fldChar w:fldCharType="end"/>
            </w:r>
          </w:p>
          <w:p w:rsidR="00C52695" w:rsidRPr="00C52695" w:rsidRDefault="00C52695" w:rsidP="00C52695">
            <w:r w:rsidRPr="00C52695">
              <w:fldChar w:fldCharType="begin"/>
            </w:r>
            <w:r w:rsidRPr="00C52695">
              <w:instrText xml:space="preserve"> REF _Ref451789926 \r \h </w:instrText>
            </w:r>
            <w:r w:rsidRPr="00C52695">
              <w:fldChar w:fldCharType="separate"/>
            </w:r>
            <w:r w:rsidR="00BF66D3">
              <w:t>A.7</w:t>
            </w:r>
            <w:r w:rsidRPr="00C52695">
              <w:fldChar w:fldCharType="end"/>
            </w:r>
          </w:p>
          <w:p w:rsidR="00C52695" w:rsidRPr="00C52695" w:rsidRDefault="00C52695" w:rsidP="00C52695">
            <w:r w:rsidRPr="00C52695">
              <w:fldChar w:fldCharType="begin"/>
            </w:r>
            <w:r w:rsidRPr="00C52695">
              <w:instrText xml:space="preserve"> REF _Ref414623120 \r \h </w:instrText>
            </w:r>
            <w:r w:rsidRPr="00C52695">
              <w:fldChar w:fldCharType="separate"/>
            </w:r>
            <w:r w:rsidR="00BF66D3">
              <w:t>A.8</w:t>
            </w:r>
            <w:r w:rsidRPr="00C52695">
              <w:fldChar w:fldCharType="end"/>
            </w:r>
          </w:p>
        </w:tc>
      </w:tr>
      <w:tr w:rsidR="00C52695" w:rsidTr="006425B8">
        <w:tc>
          <w:tcPr>
            <w:tcW w:w="3652" w:type="dxa"/>
          </w:tcPr>
          <w:p w:rsidR="00C52695" w:rsidRPr="00C52695" w:rsidRDefault="00C52695" w:rsidP="00C52695">
            <w:pPr>
              <w:rPr>
                <w:rStyle w:val="Strong"/>
              </w:rPr>
            </w:pPr>
            <w:r w:rsidRPr="00E82D06">
              <w:rPr>
                <w:rStyle w:val="Strong"/>
              </w:rPr>
              <w:t>Distribution rate</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It is appropriate to use an all equity based estimate of the distribution rate.</w:t>
            </w:r>
            <w:r w:rsidRPr="00C52695">
              <w:rPr>
                <w:rStyle w:val="FootnoteReference"/>
              </w:rPr>
              <w:footnoteReference w:id="191"/>
            </w:r>
            <w:r w:rsidRPr="00C52695">
              <w:t xml:space="preserve"> The distribution rate for listed equity is likely to be a poor proxy for a benchmark efficient entity.</w:t>
            </w:r>
            <w:r w:rsidRPr="00C52695">
              <w:rPr>
                <w:rStyle w:val="FootnoteReference"/>
              </w:rPr>
              <w:footnoteReference w:id="192"/>
            </w:r>
          </w:p>
          <w:p w:rsidR="00C52695" w:rsidRPr="00C52695" w:rsidRDefault="00C52695" w:rsidP="00C52695">
            <w:r w:rsidRPr="00692B72">
              <w:t xml:space="preserve">The </w:t>
            </w:r>
            <w:r w:rsidR="008F4235">
              <w:t xml:space="preserve">Ausgrid </w:t>
            </w:r>
            <w:r w:rsidRPr="00692B72">
              <w:t>Tribunal considered we provided insufficient</w:t>
            </w:r>
            <w:r w:rsidRPr="00C52695">
              <w:t xml:space="preserve"> reasoning for introducing listed equity distribution rate.</w:t>
            </w:r>
            <w:r w:rsidRPr="00C52695">
              <w:rPr>
                <w:rStyle w:val="FootnoteReference"/>
              </w:rPr>
              <w:footnoteReference w:id="193"/>
            </w:r>
          </w:p>
        </w:tc>
        <w:tc>
          <w:tcPr>
            <w:tcW w:w="4394" w:type="dxa"/>
          </w:tcPr>
          <w:p w:rsidR="00C52695" w:rsidRPr="00C52695" w:rsidRDefault="00C52695" w:rsidP="00C52695">
            <w:r>
              <w:t xml:space="preserve">We consider the use of a </w:t>
            </w:r>
            <w:r w:rsidRPr="00C52695">
              <w:t>distribution rate for listed equity is open to us and reasonably reflective of a benchmark 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C52695" w:rsidRPr="00C52695" w:rsidRDefault="00C52695" w:rsidP="00C52695">
            <w:r>
              <w:t>Further, w</w:t>
            </w:r>
            <w:r w:rsidRPr="00C52695">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52695" w:rsidRPr="00C52695" w:rsidRDefault="00C52695" w:rsidP="00C52695">
            <w:r w:rsidRPr="000076F2">
              <w:t>Finally, it is not clear that foreign income results in a higher imputation payout ratio. In fact, Lally's analysis suggests the opposite.</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rsidRPr="00C52695">
              <w:fldChar w:fldCharType="begin"/>
            </w:r>
            <w:r w:rsidRPr="00C52695">
              <w:instrText xml:space="preserve"> REF _Ref401133206 \r \h </w:instrText>
            </w:r>
            <w:r w:rsidRPr="00C52695">
              <w:fldChar w:fldCharType="separate"/>
            </w:r>
            <w:r w:rsidR="00BF66D3">
              <w:t>A.10</w:t>
            </w:r>
            <w:r w:rsidRPr="00C52695">
              <w:fldChar w:fldCharType="end"/>
            </w:r>
          </w:p>
        </w:tc>
      </w:tr>
      <w:tr w:rsidR="00C52695" w:rsidTr="006425B8">
        <w:tc>
          <w:tcPr>
            <w:tcW w:w="3652" w:type="dxa"/>
          </w:tcPr>
          <w:p w:rsidR="00C52695" w:rsidRPr="00C52695" w:rsidRDefault="00C52695" w:rsidP="00C52695">
            <w:r>
              <w:t>Estimates of the utilisation rate from listed equity (all equity) do not have to be paired with estimates of the distribution rate from listed equity (all equity).</w:t>
            </w:r>
            <w:r w:rsidRPr="00C52695">
              <w:rPr>
                <w:rStyle w:val="FootnoteReference"/>
              </w:rPr>
              <w:footnoteReference w:id="194"/>
            </w:r>
            <w:r w:rsidRPr="00C52695">
              <w:t xml:space="preserve"> </w:t>
            </w:r>
          </w:p>
        </w:tc>
        <w:tc>
          <w:tcPr>
            <w:tcW w:w="4394" w:type="dxa"/>
          </w:tcPr>
          <w:p w:rsidR="00C52695" w:rsidRPr="00C52695" w:rsidRDefault="002110F5" w:rsidP="00357F78">
            <w:r>
              <w:t>W</w:t>
            </w:r>
            <w:r w:rsidR="00C52695" w:rsidRPr="00C52695">
              <w:t>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r>
              <w:t xml:space="preserve"> Lally considered there is good reason not to match datasets.</w:t>
            </w:r>
            <w:r w:rsidR="003B47A6">
              <w:rPr>
                <w:rStyle w:val="FootnoteReference"/>
              </w:rPr>
              <w:footnoteReference w:id="195"/>
            </w:r>
            <w:r>
              <w:t xml:space="preserve"> However</w:t>
            </w:r>
            <w:r w:rsidR="00357F78">
              <w:t xml:space="preserve">, we note given Lally's advice our approach appears to lead to a conservative gamma estimate (in favour of the service provider), as Lally's </w:t>
            </w:r>
            <w:r>
              <w:t xml:space="preserve">preferred gamma estimate </w:t>
            </w:r>
            <w:r w:rsidR="00357F78">
              <w:t>is</w:t>
            </w:r>
            <w:r>
              <w:t xml:space="preserve"> 0.5.</w:t>
            </w:r>
            <w:r w:rsidR="00CC480F">
              <w:rPr>
                <w:rStyle w:val="FootnoteReference"/>
              </w:rPr>
              <w:footnoteReference w:id="196"/>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rsidRPr="00C52695">
              <w:fldChar w:fldCharType="begin"/>
            </w:r>
            <w:r w:rsidRPr="00C52695">
              <w:instrText xml:space="preserve"> REF _Ref451790065 \r \h </w:instrText>
            </w:r>
            <w:r w:rsidRPr="00C52695">
              <w:fldChar w:fldCharType="separate"/>
            </w:r>
            <w:r w:rsidR="00BF66D3">
              <w:t>A.9</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pPr>
              <w:rPr>
                <w:rStyle w:val="Strong"/>
              </w:rPr>
            </w:pPr>
            <w:r w:rsidRPr="00E82D06">
              <w:rPr>
                <w:rStyle w:val="Strong"/>
              </w:rPr>
              <w:t>Utilisation rate</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6B5C23">
              <w:rPr>
                <w:rStyle w:val="AERtextitalic"/>
              </w:rPr>
              <w:t>Equity ownership approach</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overstates the utilisation rate (</w:t>
            </w:r>
            <w:r w:rsidRPr="00C52695">
              <w:t>relative to an upper bound based on tax statistics).</w:t>
            </w:r>
            <w:r w:rsidRPr="00C52695">
              <w:rPr>
                <w:rStyle w:val="FootnoteReference"/>
              </w:rPr>
              <w:footnoteReference w:id="197"/>
            </w:r>
            <w:r w:rsidRPr="00C52695">
              <w:t xml:space="preserve"> </w:t>
            </w:r>
          </w:p>
          <w:p w:rsidR="00C52695" w:rsidRPr="00C52695" w:rsidRDefault="00C52695" w:rsidP="00C52695">
            <w:pPr>
              <w:rPr>
                <w:rStyle w:val="AERtextitalic"/>
              </w:rPr>
            </w:pPr>
            <w:r>
              <w:t>The</w:t>
            </w:r>
            <w:r w:rsidR="008F4235">
              <w:t xml:space="preserve"> Ausgrid</w:t>
            </w:r>
            <w:r>
              <w:t xml:space="preserve"> Tribunal consider</w:t>
            </w:r>
            <w:r w:rsidRPr="00C52695">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52695">
              <w:rPr>
                <w:rStyle w:val="FootnoteReference"/>
              </w:rPr>
              <w:footnoteReference w:id="198"/>
            </w:r>
          </w:p>
        </w:tc>
        <w:tc>
          <w:tcPr>
            <w:tcW w:w="4394" w:type="dxa"/>
          </w:tcPr>
          <w:p w:rsidR="00C52695" w:rsidRPr="00C52695" w:rsidRDefault="00C52695" w:rsidP="00C52695">
            <w:r>
              <w:t xml:space="preserve">We do not consider the estimate of the utilisation rate from tax statistics is an upper bound (see </w:t>
            </w:r>
            <w:r w:rsidRPr="00C52695">
              <w:t xml:space="preserve">response under 'Tax statistics'). </w:t>
            </w:r>
          </w:p>
          <w:p w:rsidR="00C52695" w:rsidRPr="00C52695" w:rsidRDefault="00C52695" w:rsidP="00C52695">
            <w:r>
              <w:t>We consider the 45 day rule</w:t>
            </w:r>
            <w:r w:rsidRPr="00C52695">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52695">
              <w:rPr>
                <w:rStyle w:val="FootnoteReference"/>
              </w:rPr>
              <w:footnoteReference w:id="199"/>
            </w:r>
          </w:p>
          <w:p w:rsidR="00C52695" w:rsidRPr="00C52695" w:rsidRDefault="00C52695" w:rsidP="00C52695">
            <w:r>
              <w:t>We use an estimate of the utilisation rate below the top of the range from the equity ownership approach.</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BF66D3">
              <w:t>A.12</w:t>
            </w:r>
            <w:r w:rsidRPr="00C52695">
              <w:fldChar w:fldCharType="end"/>
            </w:r>
          </w:p>
          <w:p w:rsidR="00C52695" w:rsidRPr="00C52695" w:rsidRDefault="00C52695" w:rsidP="00C52695">
            <w:r w:rsidRPr="00C52695">
              <w:fldChar w:fldCharType="begin"/>
            </w:r>
            <w:r w:rsidRPr="00C52695">
              <w:instrText xml:space="preserve"> REF _Ref450298682 \r \h </w:instrText>
            </w:r>
            <w:r w:rsidRPr="00C52695">
              <w:fldChar w:fldCharType="separate"/>
            </w:r>
            <w:r w:rsidR="00BF66D3">
              <w:t>A.14</w:t>
            </w:r>
            <w:r w:rsidRPr="00C52695">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BF66D3">
              <w:t>A.8.3</w:t>
            </w:r>
            <w:r w:rsidRPr="00C52695">
              <w:fldChar w:fldCharType="end"/>
            </w:r>
          </w:p>
        </w:tc>
      </w:tr>
      <w:tr w:rsidR="00C52695" w:rsidTr="006425B8">
        <w:tc>
          <w:tcPr>
            <w:tcW w:w="3652" w:type="dxa"/>
          </w:tcPr>
          <w:p w:rsidR="00C52695" w:rsidRPr="00C52695" w:rsidRDefault="00C52695" w:rsidP="00C52695">
            <w:r>
              <w:t>T</w:t>
            </w:r>
            <w:r w:rsidRPr="00C52695">
              <w:t>he equity ownership approach is inconsistent with the proper interpretation of the Officer framework.</w:t>
            </w:r>
            <w:r w:rsidRPr="00C52695">
              <w:rPr>
                <w:rStyle w:val="FootnoteReference"/>
              </w:rPr>
              <w:footnoteReference w:id="200"/>
            </w:r>
          </w:p>
          <w:p w:rsidR="00C52695" w:rsidRPr="00C52695" w:rsidRDefault="00C52695" w:rsidP="00C52695">
            <w:r>
              <w:t xml:space="preserve">The equity ownership approach does not </w:t>
            </w:r>
            <w:r w:rsidRPr="00C52695">
              <w:t>reflect factors which affect investors' valuation of imputation credits (below their full face value).</w:t>
            </w:r>
            <w:r w:rsidRPr="00C52695">
              <w:rPr>
                <w:rStyle w:val="FootnoteReference"/>
              </w:rPr>
              <w:footnoteReference w:id="201"/>
            </w:r>
          </w:p>
        </w:tc>
        <w:tc>
          <w:tcPr>
            <w:tcW w:w="4394" w:type="dxa"/>
          </w:tcPr>
          <w:p w:rsidR="00C52695" w:rsidRPr="00C52695" w:rsidRDefault="00C52695" w:rsidP="00C52695">
            <w:r>
              <w:t>See response under 'Conceptual framework'</w:t>
            </w:r>
            <w:r w:rsidRPr="00C52695">
              <w:t xml:space="preserve">. </w:t>
            </w:r>
          </w:p>
        </w:tc>
        <w:tc>
          <w:tcPr>
            <w:tcW w:w="851" w:type="dxa"/>
          </w:tcPr>
          <w:p w:rsidR="00C52695" w:rsidRPr="00C52695" w:rsidRDefault="00C52695" w:rsidP="00C52695">
            <w:r w:rsidRPr="00C52695">
              <w:fldChar w:fldCharType="begin"/>
            </w:r>
            <w:r w:rsidRPr="00C52695">
              <w:instrText xml:space="preserve"> REF _Ref414099389 \r \h </w:instrText>
            </w:r>
            <w:r w:rsidRPr="00C52695">
              <w:fldChar w:fldCharType="separate"/>
            </w:r>
            <w:r w:rsidR="00BF66D3">
              <w:t>A.8.3</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BF66D3">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can only be used informatively</w:t>
            </w:r>
            <w:r w:rsidRPr="00C52695">
              <w:t xml:space="preserve"> as an upper bound or as a check on other estimates (like tax statistics).</w:t>
            </w:r>
            <w:r w:rsidRPr="00C52695">
              <w:rPr>
                <w:rStyle w:val="FootnoteReference"/>
              </w:rPr>
              <w:footnoteReference w:id="202"/>
            </w:r>
          </w:p>
        </w:tc>
        <w:tc>
          <w:tcPr>
            <w:tcW w:w="4394" w:type="dxa"/>
          </w:tcPr>
          <w:p w:rsidR="00C52695" w:rsidRPr="00C52695" w:rsidRDefault="00C52695" w:rsidP="00C52695">
            <w:r>
              <w:t>The equity ownership approach (and tax statistics) can</w:t>
            </w:r>
            <w:r w:rsidRPr="00C52695">
              <w:t xml:space="preserve"> used to generate a point estimate of the utilisation rate.</w:t>
            </w:r>
            <w:r w:rsidRPr="00C52695">
              <w:tab/>
            </w:r>
          </w:p>
        </w:tc>
        <w:tc>
          <w:tcPr>
            <w:tcW w:w="851" w:type="dxa"/>
          </w:tcPr>
          <w:p w:rsidR="005E2393" w:rsidRDefault="00F07197" w:rsidP="00C52695">
            <w:r>
              <w:fldChar w:fldCharType="begin"/>
            </w:r>
            <w:r>
              <w:instrText xml:space="preserve"> REF _Ref476520604 \r \h </w:instrText>
            </w:r>
            <w:r>
              <w:fldChar w:fldCharType="separate"/>
            </w:r>
            <w:r w:rsidR="00BF66D3">
              <w:t>4.4</w:t>
            </w:r>
            <w:r>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BF66D3">
              <w:t>A.12</w:t>
            </w:r>
            <w:r w:rsidRPr="00C52695">
              <w:fldChar w:fldCharType="end"/>
            </w:r>
          </w:p>
        </w:tc>
      </w:tr>
      <w:tr w:rsidR="00C52695" w:rsidTr="006425B8">
        <w:tc>
          <w:tcPr>
            <w:tcW w:w="3652" w:type="dxa"/>
          </w:tcPr>
          <w:p w:rsidR="00C52695" w:rsidRPr="00C52695" w:rsidRDefault="00C52695" w:rsidP="00C52695">
            <w:r>
              <w:t>The equity ownership approach estimate of the utilisation rate should be based on listed equity</w:t>
            </w:r>
            <w:r w:rsidRPr="00C52695">
              <w:t>.</w:t>
            </w:r>
            <w:r w:rsidRPr="00C52695">
              <w:rPr>
                <w:rStyle w:val="FootnoteReference"/>
              </w:rPr>
              <w:footnoteReference w:id="203"/>
            </w:r>
          </w:p>
        </w:tc>
        <w:tc>
          <w:tcPr>
            <w:tcW w:w="4394" w:type="dxa"/>
          </w:tcPr>
          <w:p w:rsidR="00C52695" w:rsidRPr="00C52695" w:rsidRDefault="00C52695" w:rsidP="00C52695">
            <w:r>
              <w:t>We consider utilisation rates from the equity ownership approach based on listed equity and all equity.</w:t>
            </w:r>
          </w:p>
        </w:tc>
        <w:tc>
          <w:tcPr>
            <w:tcW w:w="851" w:type="dxa"/>
          </w:tcPr>
          <w:p w:rsidR="00C52695" w:rsidRPr="00C52695" w:rsidRDefault="00C52695" w:rsidP="00C52695">
            <w:r w:rsidRPr="00C52695">
              <w:fldChar w:fldCharType="begin"/>
            </w:r>
            <w:r w:rsidRPr="00C52695">
              <w:instrText xml:space="preserve"> REF _Ref401048631 \r \h </w:instrText>
            </w:r>
            <w:r w:rsidRPr="00C52695">
              <w:fldChar w:fldCharType="separate"/>
            </w:r>
            <w:r w:rsidR="00BF66D3">
              <w:t>A.9.1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BF66D3">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O</w:t>
            </w:r>
            <w:r w:rsidRPr="00C52695">
              <w:t>nly the most recent point estimates of the equity ownership share are relevant.</w:t>
            </w:r>
            <w:r w:rsidRPr="00C52695">
              <w:rPr>
                <w:rStyle w:val="FootnoteReference"/>
              </w:rPr>
              <w:footnoteReference w:id="204"/>
            </w:r>
          </w:p>
        </w:tc>
        <w:tc>
          <w:tcPr>
            <w:tcW w:w="4394" w:type="dxa"/>
          </w:tcPr>
          <w:p w:rsidR="00C52695" w:rsidRPr="00C52695" w:rsidRDefault="00C52695" w:rsidP="00C52695">
            <w:r w:rsidRPr="005B650B">
              <w:t xml:space="preserve">We disagree. Given that the series exhibits considerable volatility, we </w:t>
            </w:r>
            <w:r w:rsidRPr="00C52695">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52695" w:rsidRPr="00C52695" w:rsidRDefault="00C52695" w:rsidP="00C52695">
            <w:r w:rsidRPr="00C52695">
              <w:fldChar w:fldCharType="begin"/>
            </w:r>
            <w:r w:rsidRPr="00C52695">
              <w:instrText xml:space="preserve"> REF _Ref415049811 \r \h </w:instrText>
            </w:r>
            <w:r w:rsidRPr="00C52695">
              <w:fldChar w:fldCharType="separate"/>
            </w:r>
            <w:r w:rsidR="00BF66D3">
              <w:t>A.12</w:t>
            </w:r>
            <w:r w:rsidRPr="00C52695">
              <w:fldChar w:fldCharType="end"/>
            </w:r>
          </w:p>
        </w:tc>
      </w:tr>
      <w:tr w:rsidR="00C52695" w:rsidTr="006425B8">
        <w:tc>
          <w:tcPr>
            <w:tcW w:w="3652" w:type="dxa"/>
          </w:tcPr>
          <w:p w:rsidR="00C52695" w:rsidRPr="00C52695" w:rsidRDefault="00C52695" w:rsidP="00C52695">
            <w:r w:rsidRPr="006B5C23">
              <w:rPr>
                <w:rStyle w:val="AERtextitalic"/>
              </w:rPr>
              <w:t>Tax statistics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Tax statistics are inconsistent with the </w:t>
            </w:r>
            <w:r w:rsidRPr="00C52695">
              <w:t>proper interpretation of the Officer framework</w:t>
            </w:r>
            <w:r w:rsidRPr="00C52695">
              <w:rPr>
                <w:rStyle w:val="FootnoteReference"/>
              </w:rPr>
              <w:footnoteReference w:id="205"/>
            </w:r>
          </w:p>
          <w:p w:rsidR="00C52695" w:rsidRPr="00C52695" w:rsidRDefault="00C52695" w:rsidP="00C52695">
            <w:r>
              <w:t>Tax statistics do</w:t>
            </w:r>
            <w:r w:rsidRPr="00C52695">
              <w:t xml:space="preserve"> not reflect factors which affect investors' valuation of imputation credits (below their full face value).</w:t>
            </w:r>
            <w:r w:rsidRPr="00C52695">
              <w:rPr>
                <w:rStyle w:val="FootnoteReference"/>
              </w:rPr>
              <w:footnoteReference w:id="206"/>
            </w:r>
          </w:p>
        </w:tc>
        <w:tc>
          <w:tcPr>
            <w:tcW w:w="4394" w:type="dxa"/>
          </w:tcPr>
          <w:p w:rsidR="00C52695" w:rsidRPr="00C52695" w:rsidRDefault="00C52695" w:rsidP="00C52695">
            <w:r>
              <w:t xml:space="preserve">See </w:t>
            </w:r>
            <w:r w:rsidRPr="00C52695">
              <w:t>response under 'Conceptual framework'.</w:t>
            </w:r>
          </w:p>
        </w:tc>
        <w:tc>
          <w:tcPr>
            <w:tcW w:w="851" w:type="dxa"/>
          </w:tcPr>
          <w:p w:rsidR="005E2393" w:rsidRDefault="002D1212" w:rsidP="00C52695">
            <w:r>
              <w:fldChar w:fldCharType="begin"/>
            </w:r>
            <w:r>
              <w:instrText xml:space="preserve"> REF _Ref476324220 \r \h </w:instrText>
            </w:r>
            <w:r>
              <w:fldChar w:fldCharType="separate"/>
            </w:r>
            <w:r w:rsidR="00BF66D3">
              <w:t>4.1</w:t>
            </w:r>
            <w:r>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BF66D3">
              <w:t>A.8.3</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BF66D3">
              <w:t>A.13</w:t>
            </w:r>
            <w:r w:rsidRPr="00C52695">
              <w:fldChar w:fldCharType="end"/>
            </w:r>
          </w:p>
        </w:tc>
      </w:tr>
      <w:tr w:rsidR="00C52695" w:rsidTr="006425B8">
        <w:tc>
          <w:tcPr>
            <w:tcW w:w="3652" w:type="dxa"/>
          </w:tcPr>
          <w:p w:rsidR="00C52695" w:rsidRPr="00C52695" w:rsidRDefault="00C52695" w:rsidP="00C52695">
            <w:pPr>
              <w:rPr>
                <w:rStyle w:val="AERtextitalic"/>
              </w:rPr>
            </w:pPr>
            <w:r>
              <w:t>Tax statistics can only provide an upper bound for the estimate of</w:t>
            </w:r>
            <w:r w:rsidRPr="00C52695">
              <w:t xml:space="preserve"> the utilisation rate.</w:t>
            </w:r>
            <w:r w:rsidRPr="00C52695">
              <w:rPr>
                <w:rStyle w:val="FootnoteReference"/>
              </w:rPr>
              <w:footnoteReference w:id="207"/>
            </w:r>
          </w:p>
        </w:tc>
        <w:tc>
          <w:tcPr>
            <w:tcW w:w="4394" w:type="dxa"/>
          </w:tcPr>
          <w:p w:rsidR="00C52695" w:rsidRPr="00C52695" w:rsidRDefault="00C52695" w:rsidP="00C52695">
            <w:r>
              <w:t>We do not consider t</w:t>
            </w:r>
            <w:r w:rsidRPr="00C52695">
              <w:t>ax statistics provide an upper bound estimate. An upper bound is a value above which the true value cannot exceed.</w:t>
            </w:r>
            <w:r w:rsidRPr="00C52695">
              <w:rPr>
                <w:rStyle w:val="FootnoteReference"/>
              </w:rPr>
              <w:footnoteReference w:id="208"/>
            </w:r>
          </w:p>
          <w:p w:rsidR="00C52695" w:rsidRPr="00C52695" w:rsidRDefault="00C52695" w:rsidP="00C52695">
            <w:r w:rsidRPr="00C70506">
              <w:t xml:space="preserve">Rather, tax statistics provide one point estimate for the </w:t>
            </w:r>
            <w:r w:rsidRPr="00C52695">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52695">
              <w:rPr>
                <w:rStyle w:val="FootnoteReference"/>
              </w:rPr>
              <w:footnoteReference w:id="209"/>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BF66D3">
              <w:t>A.13</w:t>
            </w:r>
            <w:r w:rsidRPr="00C52695">
              <w:fldChar w:fldCharType="end"/>
            </w:r>
          </w:p>
        </w:tc>
      </w:tr>
      <w:tr w:rsidR="004E5CF9"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4E5CF9" w:rsidRDefault="0010651C" w:rsidP="0010651C">
            <w:r>
              <w:t>T</w:t>
            </w:r>
            <w:r w:rsidR="004E5CF9">
              <w:t xml:space="preserve">ax statistics </w:t>
            </w:r>
            <w:r>
              <w:t xml:space="preserve">can estimate </w:t>
            </w:r>
            <w:r w:rsidR="004E5CF9">
              <w:t xml:space="preserve">gamma </w:t>
            </w:r>
            <w:r>
              <w:t>reliably as</w:t>
            </w:r>
            <w:r w:rsidR="004E5CF9">
              <w:t xml:space="preserve"> the ratio of credits redeemed to credits created.</w:t>
            </w:r>
            <w:r w:rsidR="00094970">
              <w:rPr>
                <w:rStyle w:val="FootnoteReference"/>
              </w:rPr>
              <w:footnoteReference w:id="210"/>
            </w:r>
          </w:p>
        </w:tc>
        <w:tc>
          <w:tcPr>
            <w:tcW w:w="4394" w:type="dxa"/>
          </w:tcPr>
          <w:p w:rsidR="004E5CF9" w:rsidRDefault="00094970" w:rsidP="00CC480F">
            <w:r>
              <w:t xml:space="preserve">We do not agree and consistent with Hathaway's </w:t>
            </w:r>
            <w:r w:rsidR="00CC480F">
              <w:t>paper,</w:t>
            </w:r>
            <w:r>
              <w:t xml:space="preserve"> </w:t>
            </w:r>
            <w:r w:rsidR="00F45579">
              <w:t xml:space="preserve">we consider </w:t>
            </w:r>
            <w:r>
              <w:t xml:space="preserve">that caution should be exercised </w:t>
            </w:r>
            <w:r w:rsidR="00F45579">
              <w:t>when</w:t>
            </w:r>
            <w:r>
              <w:t xml:space="preserve"> using ATO statistics </w:t>
            </w:r>
            <w:r w:rsidR="00F45579">
              <w:t xml:space="preserve">to estimate </w:t>
            </w:r>
            <w:r>
              <w:t xml:space="preserve">any </w:t>
            </w:r>
            <w:r w:rsidR="00F45579">
              <w:t>parameter</w:t>
            </w:r>
            <w:r>
              <w:t xml:space="preserve"> </w:t>
            </w:r>
            <w:r w:rsidR="00F45579">
              <w:t>associated</w:t>
            </w:r>
            <w:r>
              <w:t xml:space="preserve"> with franking credits.</w:t>
            </w:r>
          </w:p>
        </w:tc>
        <w:tc>
          <w:tcPr>
            <w:tcW w:w="851" w:type="dxa"/>
          </w:tcPr>
          <w:p w:rsidR="004E5CF9" w:rsidRPr="00C52695" w:rsidRDefault="004E5CF9" w:rsidP="00C52695">
            <w:r w:rsidRPr="004E5CF9">
              <w:fldChar w:fldCharType="begin"/>
            </w:r>
            <w:r w:rsidRPr="004E5CF9">
              <w:instrText xml:space="preserve"> REF _Ref402179420 \r \h </w:instrText>
            </w:r>
            <w:r w:rsidRPr="004E5CF9">
              <w:fldChar w:fldCharType="separate"/>
            </w:r>
            <w:r w:rsidR="00BF66D3">
              <w:t>A.13</w:t>
            </w:r>
            <w:r w:rsidRPr="004E5CF9">
              <w:fldChar w:fldCharType="end"/>
            </w:r>
          </w:p>
        </w:tc>
      </w:tr>
      <w:tr w:rsidR="00C52695" w:rsidTr="006425B8">
        <w:tc>
          <w:tcPr>
            <w:tcW w:w="3652" w:type="dxa"/>
          </w:tcPr>
          <w:p w:rsidR="00C52695" w:rsidRPr="00C52695" w:rsidRDefault="00C52695" w:rsidP="00C52695">
            <w:r w:rsidRPr="006B5C23">
              <w:rPr>
                <w:rStyle w:val="AERtextitalic"/>
              </w:rPr>
              <w:t>Implied market value studies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W</w:t>
            </w:r>
            <w:r w:rsidRPr="00C52695">
              <w:t>e should rely more on estimates of the utilisation rate from implied market value studies as they are direct evidence on the value of imputation credits to investors.</w:t>
            </w:r>
            <w:r w:rsidRPr="00C52695">
              <w:rPr>
                <w:rStyle w:val="FootnoteReference"/>
              </w:rPr>
              <w:footnoteReference w:id="211"/>
            </w:r>
            <w:r w:rsidRPr="00C52695">
              <w:t xml:space="preserve"> </w:t>
            </w:r>
            <w:r w:rsidR="002A5A14">
              <w:t>I</w:t>
            </w:r>
            <w:r w:rsidR="002A5A14" w:rsidRPr="00C52695">
              <w:t xml:space="preserve">f </w:t>
            </w:r>
            <w:r w:rsidRPr="00C52695">
              <w:t>the value interpretation is adopted, gamma must be estimated with a market based approach.</w:t>
            </w:r>
            <w:r w:rsidRPr="00C52695">
              <w:rPr>
                <w:rStyle w:val="FootnoteReference"/>
              </w:rPr>
              <w:footnoteReference w:id="212"/>
            </w:r>
          </w:p>
          <w:p w:rsidR="00C52695" w:rsidRPr="00C52695" w:rsidRDefault="00C52695" w:rsidP="00C52695">
            <w:pPr>
              <w:rPr>
                <w:rStyle w:val="AERtextitalic"/>
              </w:rPr>
            </w:pPr>
            <w:r>
              <w:t>T</w:t>
            </w:r>
            <w:r w:rsidRPr="00C52695">
              <w:t xml:space="preserve">he </w:t>
            </w:r>
            <w:r w:rsidR="00001B62">
              <w:t xml:space="preserve">Ausgrid </w:t>
            </w:r>
            <w:r w:rsidRPr="00C52695">
              <w:t>Tribunal considered implied market value studies are best placed to capture the considerations investors make in determining the utilisation rate (or the worth of imputation credits to them).</w:t>
            </w:r>
            <w:r w:rsidRPr="00C52695">
              <w:rPr>
                <w:rStyle w:val="FootnoteReference"/>
              </w:rPr>
              <w:footnoteReference w:id="213"/>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E</w:t>
            </w:r>
            <w:r w:rsidRPr="00C52695">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52695" w:rsidRPr="00C52695" w:rsidRDefault="00C52695" w:rsidP="00C52695">
            <w:r>
              <w:t>We consider m</w:t>
            </w:r>
            <w:r w:rsidRPr="00C52695">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C52695" w:rsidRDefault="00C52695" w:rsidP="00C52695"/>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t>A.15</w:t>
            </w:r>
          </w:p>
        </w:tc>
      </w:tr>
      <w:tr w:rsidR="00C52695" w:rsidTr="006425B8">
        <w:tc>
          <w:tcPr>
            <w:tcW w:w="3652" w:type="dxa"/>
          </w:tcPr>
          <w:p w:rsidR="00C52695" w:rsidRPr="00C52695" w:rsidRDefault="005A67B5" w:rsidP="00C52695">
            <w:r>
              <w:t>We</w:t>
            </w:r>
            <w:r w:rsidR="00C52695" w:rsidRPr="00C52695">
              <w:t xml:space="preserve"> should exclusively rely on SFG's study, which suggests a best estimate of 0.35 for the utilisation rate.</w:t>
            </w:r>
            <w:r w:rsidR="00C52695" w:rsidRPr="00C52695">
              <w:rPr>
                <w:rStyle w:val="FootnoteReference"/>
              </w:rPr>
              <w:footnoteReference w:id="214"/>
            </w:r>
          </w:p>
        </w:tc>
        <w:tc>
          <w:tcPr>
            <w:tcW w:w="4394" w:type="dxa"/>
          </w:tcPr>
          <w:p w:rsidR="00C52695" w:rsidRPr="00C52695" w:rsidRDefault="00C52695" w:rsidP="00C52695">
            <w:r>
              <w:t>See response to '</w:t>
            </w:r>
            <w:r w:rsidRPr="00C52695">
              <w:t>We should rely more on estimates of the utilisation rate from implied market value studies'.</w:t>
            </w:r>
          </w:p>
          <w:p w:rsidR="00C52695" w:rsidRPr="00C52695" w:rsidRDefault="00C52695" w:rsidP="00C52695">
            <w:r>
              <w:t>W</w:t>
            </w:r>
            <w:r w:rsidRPr="00C52695">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52695" w:rsidRPr="00C52695" w:rsidRDefault="00C52695" w:rsidP="00C52695">
            <w:r>
              <w:t>4.4</w:t>
            </w:r>
          </w:p>
          <w:p w:rsidR="00C52695" w:rsidRPr="00C52695" w:rsidRDefault="00C52695" w:rsidP="00C52695">
            <w:r>
              <w:t>4.4.1</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w:t>
            </w:r>
            <w:r w:rsidRPr="00C52695">
              <w:t>he use of implied market value studies to estimate the utilisation rate (and thus gamma) is consistent with the approach to estimating other rate of return parameters.</w:t>
            </w:r>
            <w:r w:rsidRPr="00C52695">
              <w:rPr>
                <w:rStyle w:val="FootnoteReference"/>
              </w:rPr>
              <w:footnoteReference w:id="215"/>
            </w:r>
          </w:p>
        </w:tc>
        <w:tc>
          <w:tcPr>
            <w:tcW w:w="4394" w:type="dxa"/>
          </w:tcPr>
          <w:p w:rsidR="00C52695" w:rsidRPr="00C52695" w:rsidRDefault="00C52695" w:rsidP="00C52695">
            <w:r>
              <w:t xml:space="preserve">We disagree. See </w:t>
            </w:r>
            <w:r w:rsidRPr="00C52695">
              <w:t>response under 'Conceptual framework'.</w:t>
            </w:r>
          </w:p>
        </w:tc>
        <w:tc>
          <w:tcPr>
            <w:tcW w:w="851" w:type="dxa"/>
          </w:tcPr>
          <w:p w:rsidR="00C52695" w:rsidRPr="00C52695" w:rsidRDefault="00C52695" w:rsidP="00C52695">
            <w:r w:rsidRPr="00C52695">
              <w:fldChar w:fldCharType="begin"/>
            </w:r>
            <w:r w:rsidRPr="00C52695">
              <w:instrText xml:space="preserve"> REF _Ref450298425 \r \h </w:instrText>
            </w:r>
            <w:r w:rsidRPr="00C52695">
              <w:fldChar w:fldCharType="separate"/>
            </w:r>
            <w:r w:rsidR="00BF66D3">
              <w:t>A.8.2</w:t>
            </w:r>
            <w:r w:rsidRPr="00C52695">
              <w:fldChar w:fldCharType="end"/>
            </w:r>
          </w:p>
          <w:p w:rsidR="00C52695" w:rsidRPr="00C52695" w:rsidRDefault="00C52695" w:rsidP="00C52695">
            <w:r>
              <w:t>A.15</w:t>
            </w:r>
          </w:p>
        </w:tc>
      </w:tr>
      <w:tr w:rsidR="00C52695" w:rsidTr="006425B8">
        <w:tc>
          <w:tcPr>
            <w:tcW w:w="3652" w:type="dxa"/>
          </w:tcPr>
          <w:p w:rsidR="00C52695" w:rsidRPr="00C52695" w:rsidRDefault="00C52695" w:rsidP="00C52695">
            <w:r>
              <w:t xml:space="preserve">Under our conceptual approach to gamma, the appropriate adjustment to </w:t>
            </w:r>
            <w:r w:rsidRPr="00C52695">
              <w:t>the results of SFG's study results in a gamma of 0.3. However, this adjustment is not necessary because our conceptual approach is incorrect.</w:t>
            </w:r>
            <w:r w:rsidRPr="00C52695">
              <w:rPr>
                <w:rStyle w:val="FootnoteReference"/>
              </w:rPr>
              <w:footnoteReference w:id="216"/>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 xml:space="preserve">We </w:t>
            </w:r>
            <w:r w:rsidRPr="00C52695">
              <w:t>disagree and consider the Handley/Lally adjustment is necessary.</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BF66D3">
              <w:t>4.4.1</w:t>
            </w:r>
            <w:r w:rsidRPr="00C52695">
              <w:fldChar w:fldCharType="end"/>
            </w:r>
          </w:p>
          <w:p w:rsidR="00C52695" w:rsidRPr="00C52695" w:rsidRDefault="00C52695" w:rsidP="00C52695">
            <w:r>
              <w:t>A.15</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S</w:t>
            </w:r>
            <w:r w:rsidRPr="00C52695">
              <w:t>everal of the limitations that we have identified as applying to implied market value studies do not apply to SFG's study, which has not been assessed individually on its merits.</w:t>
            </w:r>
            <w:r w:rsidRPr="00C52695">
              <w:rPr>
                <w:rStyle w:val="FootnoteReference"/>
              </w:rPr>
              <w:footnoteReference w:id="217"/>
            </w:r>
          </w:p>
        </w:tc>
        <w:tc>
          <w:tcPr>
            <w:tcW w:w="4394" w:type="dxa"/>
          </w:tcPr>
          <w:p w:rsidR="00C52695" w:rsidRPr="00C52695" w:rsidRDefault="00C52695" w:rsidP="00C52695">
            <w:r>
              <w:t>We consider the key limitations that apply to implied market value studies also apply to SFG's study.</w:t>
            </w:r>
          </w:p>
        </w:tc>
        <w:tc>
          <w:tcPr>
            <w:tcW w:w="851" w:type="dxa"/>
          </w:tcPr>
          <w:p w:rsidR="00C52695" w:rsidRPr="00C52695" w:rsidRDefault="00C52695" w:rsidP="00C52695">
            <w:r>
              <w:t>A.15</w:t>
            </w:r>
          </w:p>
        </w:tc>
      </w:tr>
      <w:tr w:rsidR="00C52695" w:rsidTr="006425B8">
        <w:tc>
          <w:tcPr>
            <w:tcW w:w="3652" w:type="dxa"/>
          </w:tcPr>
          <w:p w:rsidR="00C52695" w:rsidRPr="00C52695" w:rsidRDefault="00C52695" w:rsidP="00C52695">
            <w:r>
              <w:t xml:space="preserve">Instead of adjusting the estimate of the utilisation rate (theta) to correct for </w:t>
            </w:r>
            <w:r w:rsidRPr="00C52695">
              <w:t>the apparent incorrect valuation of cash dividends, the appropriate response is not to adjust the theta estimate. Rather it is to adjust the allowed return on equity.</w:t>
            </w:r>
            <w:r w:rsidRPr="00C52695">
              <w:rPr>
                <w:rStyle w:val="FootnoteReference"/>
              </w:rPr>
              <w:footnoteReference w:id="218"/>
            </w:r>
          </w:p>
        </w:tc>
        <w:tc>
          <w:tcPr>
            <w:tcW w:w="4394" w:type="dxa"/>
          </w:tcPr>
          <w:p w:rsidR="00001B62" w:rsidRDefault="00C52695" w:rsidP="00C52695">
            <w:r w:rsidRPr="00C80AFF">
              <w:t>We consider that such an adjustment to the allowed return on equity would not be appropriate. The post-co</w:t>
            </w:r>
            <w:r w:rsidRPr="00C52695">
              <w:t>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imputation credits).</w:t>
            </w:r>
          </w:p>
          <w:p w:rsidR="00C52695" w:rsidRPr="00C52695" w:rsidRDefault="00001B62" w:rsidP="00001B62">
            <w:r>
              <w:t>Lally considers that if dividend drop</w:t>
            </w:r>
            <w:r w:rsidR="007B3CAB">
              <w:t>-</w:t>
            </w:r>
            <w:r>
              <w:t>off studies produce an estimate of cash dividends of less than one</w:t>
            </w:r>
            <w:r w:rsidR="001A0EE0">
              <w:t>,</w:t>
            </w:r>
            <w:r>
              <w:t xml:space="preserve"> this implies that shareholders do not value dividends as highly as capital gain and this does not suggest that revenue should be increased.</w:t>
            </w:r>
            <w:r w:rsidRPr="00BF2DCE">
              <w:rPr>
                <w:rStyle w:val="FootnoteReference"/>
              </w:rPr>
              <w:footnoteReference w:id="219"/>
            </w:r>
          </w:p>
        </w:tc>
        <w:tc>
          <w:tcPr>
            <w:tcW w:w="851" w:type="dxa"/>
          </w:tcPr>
          <w:p w:rsidR="00C52695" w:rsidRDefault="00001B62" w:rsidP="00C52695">
            <w:r w:rsidRPr="00001B62">
              <w:fldChar w:fldCharType="begin"/>
            </w:r>
            <w:r w:rsidRPr="00001B62">
              <w:instrText xml:space="preserve"> REF _Ref435171205 \r \h </w:instrText>
            </w:r>
            <w:r w:rsidRPr="00001B62">
              <w:fldChar w:fldCharType="separate"/>
            </w:r>
            <w:r w:rsidR="00BF66D3">
              <w:t>A.15.3</w:t>
            </w:r>
            <w:r w:rsidRPr="00001B62">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rsidRPr="006B5C23">
              <w:rPr>
                <w:rStyle w:val="Strong"/>
              </w:rPr>
              <w:t>Other</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E82D06">
              <w:t>There is an inconsistency between the corporate income tax and the allowed rate of return.</w:t>
            </w:r>
            <w:r w:rsidRPr="00C52695">
              <w:rPr>
                <w:rStyle w:val="FootnoteReference"/>
              </w:rPr>
              <w:footnoteReference w:id="220"/>
            </w:r>
          </w:p>
        </w:tc>
        <w:tc>
          <w:tcPr>
            <w:tcW w:w="4394" w:type="dxa"/>
          </w:tcPr>
          <w:p w:rsidR="00C52695" w:rsidRPr="00C52695" w:rsidRDefault="00C52695" w:rsidP="00C52695">
            <w:r>
              <w:t>We disagree. We discuss this</w:t>
            </w:r>
            <w:r w:rsidRPr="00C52695">
              <w:t xml:space="preserve"> in detail in section C.6 of Attachment 3.</w:t>
            </w:r>
          </w:p>
        </w:tc>
        <w:tc>
          <w:tcPr>
            <w:tcW w:w="851" w:type="dxa"/>
          </w:tcPr>
          <w:p w:rsidR="00C52695" w:rsidRDefault="00C52695" w:rsidP="00C52695"/>
        </w:tc>
      </w:tr>
    </w:tbl>
    <w:p w:rsidR="00C52695" w:rsidRDefault="00C52695" w:rsidP="00C52695">
      <w:pPr>
        <w:pStyle w:val="AERtablesource"/>
      </w:pPr>
      <w:r>
        <w:t>Source:</w:t>
      </w:r>
      <w:r>
        <w:tab/>
        <w:t>AER analysis; service providers' initial and revised proposals; Tribunal decisions.</w:t>
      </w:r>
    </w:p>
    <w:p w:rsidR="00C52695" w:rsidRPr="00883125" w:rsidRDefault="00C52695" w:rsidP="00C52695">
      <w:r>
        <w:t>We have also received a number of submissions on gamma from consumer representatives. These are</w:t>
      </w:r>
      <w:r w:rsidRPr="00031E20">
        <w:t xml:space="preserve"> </w:t>
      </w:r>
      <w:r w:rsidRPr="00883125">
        <w:t>summarised below:</w:t>
      </w:r>
    </w:p>
    <w:p w:rsidR="00C52695" w:rsidRPr="001D37D5" w:rsidRDefault="00C52695" w:rsidP="00C52695">
      <w:pPr>
        <w:pStyle w:val="AERbulletlistfirststyle"/>
      </w:pPr>
      <w:r w:rsidRPr="00883125">
        <w:t xml:space="preserve">The CCP </w:t>
      </w:r>
      <w:r w:rsidR="007D69CB">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21"/>
      </w:r>
      <w:r w:rsidRPr="001D37D5">
        <w:t xml:space="preserve"> We address this in section </w:t>
      </w:r>
      <w:r w:rsidRPr="001D37D5">
        <w:fldChar w:fldCharType="begin"/>
      </w:r>
      <w:r w:rsidRPr="001D37D5">
        <w:instrText xml:space="preserve"> REF _Ref415070818 \r \h </w:instrText>
      </w:r>
      <w:r w:rsidRPr="001D37D5">
        <w:fldChar w:fldCharType="separate"/>
      </w:r>
      <w:r w:rsidR="00BF66D3">
        <w:t>4.3.4</w:t>
      </w:r>
      <w:r w:rsidRPr="001D37D5">
        <w:fldChar w:fldCharType="end"/>
      </w:r>
      <w:r w:rsidRPr="001D37D5">
        <w:t>.</w:t>
      </w:r>
    </w:p>
    <w:p w:rsidR="00C52695" w:rsidRPr="001D37D5" w:rsidRDefault="00C52695" w:rsidP="00C52695">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22"/>
      </w:r>
      <w:r w:rsidRPr="001D37D5">
        <w:t xml:space="preserve"> We agree with these comments in light of the Tribunal's finding that:</w:t>
      </w:r>
      <w:r w:rsidRPr="001D37D5">
        <w:rPr>
          <w:rStyle w:val="FootnoteReference"/>
        </w:rPr>
        <w:footnoteReference w:id="223"/>
      </w:r>
    </w:p>
    <w:p w:rsidR="00C52695" w:rsidRPr="00883125" w:rsidRDefault="00C52695" w:rsidP="00C52695">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C52695" w:rsidRPr="001D37D5" w:rsidRDefault="00C52695" w:rsidP="00C52695">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24"/>
      </w:r>
    </w:p>
    <w:p w:rsidR="00C52695" w:rsidRPr="001D37D5" w:rsidRDefault="00C52695" w:rsidP="00C52695">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225"/>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226"/>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27"/>
      </w:r>
    </w:p>
    <w:p w:rsidR="00C52695" w:rsidRPr="001D37D5" w:rsidRDefault="00C52695" w:rsidP="00C52695">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28"/>
      </w:r>
      <w:r w:rsidRPr="001D37D5">
        <w:t xml:space="preserve"> SACOSS supported a value of imputation credits of at least 0.4. In a subsequent submission on the AER's preliminary decision for SA Power Networks</w:t>
      </w:r>
      <w:r w:rsidR="00DD0283">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29"/>
      </w:r>
    </w:p>
    <w:p w:rsidR="00C52695" w:rsidRPr="001D37D5" w:rsidRDefault="00C52695" w:rsidP="00C52695">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30"/>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31"/>
      </w:r>
    </w:p>
    <w:p w:rsidR="00C52695" w:rsidRPr="001D37D5" w:rsidRDefault="00C52695" w:rsidP="00C52695">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32"/>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BF66D3">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BF66D3">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33"/>
      </w:r>
      <w:r w:rsidRPr="001D37D5">
        <w:t xml:space="preserve"> In response, the AER considers that gamma and the return on equity are estimated on a consistent basis.</w:t>
      </w:r>
    </w:p>
    <w:p w:rsidR="00C52695" w:rsidRPr="001D37D5" w:rsidRDefault="00C52695" w:rsidP="00C52695">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34"/>
      </w:r>
      <w:r w:rsidRPr="001D37D5">
        <w:t xml:space="preserve"> QCOSS had regard to a recent decision by the Queensland Competition Authority for a value of 0.47. We set out in this decision why we consider 0.4 to be the best estimate from within the range 0.3 to 0.5.</w:t>
      </w:r>
    </w:p>
    <w:p w:rsidR="00C52695" w:rsidRPr="001D37D5" w:rsidRDefault="00C52695" w:rsidP="00C52695">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35"/>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52695" w:rsidRDefault="00C52695" w:rsidP="00C52695">
      <w:pPr>
        <w:pStyle w:val="AERbulletlistfirststyle"/>
      </w:pPr>
      <w:r w:rsidRPr="00883125">
        <w:t>UnitingCare Australia supported our value for gamma, if a value for gamma is necessary.</w:t>
      </w:r>
      <w:r w:rsidRPr="001D37D5">
        <w:rPr>
          <w:rStyle w:val="FootnoteReference"/>
        </w:rPr>
        <w:footnoteReference w:id="236"/>
      </w:r>
      <w:bookmarkStart w:id="131" w:name="_Toc450119234"/>
      <w:bookmarkStart w:id="132" w:name="_Toc450119396"/>
      <w:bookmarkStart w:id="133" w:name="_Toc450119236"/>
      <w:bookmarkStart w:id="134" w:name="_Toc450119398"/>
      <w:bookmarkStart w:id="135" w:name="_Toc450119239"/>
      <w:bookmarkStart w:id="136" w:name="_Toc450119401"/>
      <w:bookmarkEnd w:id="131"/>
      <w:bookmarkEnd w:id="132"/>
      <w:bookmarkEnd w:id="133"/>
      <w:bookmarkEnd w:id="134"/>
      <w:bookmarkEnd w:id="135"/>
      <w:bookmarkEnd w:id="136"/>
    </w:p>
    <w:p w:rsidR="00C52695" w:rsidRDefault="00C52695" w:rsidP="00C52695">
      <w:pPr>
        <w:pStyle w:val="AERbulletlistfirststyle"/>
      </w:pPr>
      <w:r>
        <w:t xml:space="preserve">The CCP </w:t>
      </w:r>
      <w:r w:rsidR="003B47A6">
        <w:t xml:space="preserve">for AusNet Service Transmission </w:t>
      </w:r>
      <w:r>
        <w:t>sees no clear reason for a further downward departure from the guideline gamma estimate of 0.5.</w:t>
      </w:r>
      <w:r>
        <w:rPr>
          <w:rStyle w:val="FootnoteReference"/>
        </w:rPr>
        <w:footnoteReference w:id="237"/>
      </w:r>
      <w:r>
        <w:t xml:space="preserve"> Their view is that gamma should be at least 0.5 because a higher gamma better meets the NEO and given the imprecision around estimating this input in the revenue calculation.</w:t>
      </w:r>
      <w:r>
        <w:rPr>
          <w:rStyle w:val="FootnoteReference"/>
        </w:rPr>
        <w:footnoteReference w:id="238"/>
      </w:r>
      <w:r>
        <w:t xml:space="preserve"> We agree that estimating gamma is an imprecise exercise. However, we consider that a gamma estimate of 0.4 meets the requirement of the NEO.</w:t>
      </w:r>
    </w:p>
    <w:p w:rsidR="00C52695" w:rsidRPr="007E0D5C" w:rsidRDefault="00C52695" w:rsidP="00C52695">
      <w:pPr>
        <w:pStyle w:val="AERbulletlistfirststyle"/>
      </w:pPr>
      <w:r w:rsidRPr="007E0D5C">
        <w:t xml:space="preserve">Tasmanian Counsel of Social Service (TasCOSS) </w:t>
      </w:r>
      <w:r w:rsidR="00DD0283">
        <w:t>believes</w:t>
      </w:r>
      <w:r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39"/>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40"/>
      </w:r>
      <w:r w:rsidRPr="007E0D5C">
        <w:t xml:space="preserve"> However, the AER considers there is persuasive evidence to move away from the 0.5 gamma estimate in the rate of return guideline</w:t>
      </w:r>
      <w:r>
        <w:t>, as set out in this chapter</w:t>
      </w:r>
      <w:r w:rsidRPr="007E0D5C">
        <w:t>. The AER considers that a gamma of 0.4 is currently appropriate.</w:t>
      </w:r>
    </w:p>
    <w:p w:rsidR="00C52695" w:rsidRPr="00C52695" w:rsidRDefault="00C52695" w:rsidP="00C52695">
      <w:pPr>
        <w:pStyle w:val="AERbulletlistfirststyle"/>
      </w:pPr>
      <w:r w:rsidRPr="007E0D5C">
        <w:t>The CCP</w:t>
      </w:r>
      <w:r w:rsidR="005E2393">
        <w:t>4</w:t>
      </w:r>
      <w:r w:rsidRPr="007E0D5C">
        <w:t xml:space="preserve"> </w:t>
      </w:r>
      <w:r w:rsidR="007D69CB">
        <w:t xml:space="preserve">for TasNetworks </w:t>
      </w:r>
      <w:r w:rsidR="00DD0283">
        <w:t>considered</w:t>
      </w:r>
      <w:r w:rsidRPr="007E0D5C">
        <w:t xml:space="preserve"> the AER guideline </w:t>
      </w:r>
      <w:r w:rsidRPr="00C52695">
        <w:t>should be applied in respect to gamma, especially as gamma only has value where there are shareholders subject to the Commonwealth 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41"/>
      </w:r>
      <w:r w:rsidRPr="00C52695">
        <w:t xml:space="preserve"> </w:t>
      </w:r>
      <w:r w:rsidR="00452BA3">
        <w:t>I</w:t>
      </w:r>
      <w:r w:rsidR="00CC480F">
        <w:t xml:space="preserve">n </w:t>
      </w:r>
      <w:r w:rsidR="00452BA3">
        <w:t>its</w:t>
      </w:r>
      <w:r w:rsidR="00CC480F">
        <w:t xml:space="preserve"> submission on the AER draft decision and TasNetworks revised proposal, the CCP</w:t>
      </w:r>
      <w:r w:rsidR="005E2393">
        <w:t>4</w:t>
      </w:r>
      <w:r w:rsidR="00CC480F">
        <w:t xml:space="preserve"> for TasNetworks continues to hold this view.</w:t>
      </w:r>
      <w:r w:rsidR="00CC480F">
        <w:rPr>
          <w:rStyle w:val="FootnoteReference"/>
        </w:rPr>
        <w:footnoteReference w:id="242"/>
      </w:r>
      <w:r w:rsidR="00CC480F">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1A13F8" w:rsidRDefault="001A13F8" w:rsidP="00B01A20">
      <w:pPr>
        <w:pStyle w:val="AERbulletlistfirststyle"/>
      </w:pPr>
      <w:r>
        <w:t xml:space="preserve">The CCP for AusNet Services' Transmission considers there is no correct value for gamma and there is </w:t>
      </w:r>
      <w:r w:rsidR="000E71C3">
        <w:t>considerable</w:t>
      </w:r>
      <w:r>
        <w:t xml:space="preserve"> </w:t>
      </w:r>
      <w:r w:rsidR="000E71C3">
        <w:t xml:space="preserve">imprecision around estimating </w:t>
      </w:r>
      <w:r w:rsidR="00EE209C">
        <w:t>it</w:t>
      </w:r>
      <w:r w:rsidR="000E71C3">
        <w:t xml:space="preserve">. The CCP for AusNet Services' </w:t>
      </w:r>
      <w:r w:rsidR="00EE209C">
        <w:t xml:space="preserve">Transmission </w:t>
      </w:r>
      <w:r w:rsidR="000E71C3">
        <w:t>considers the AER's approach is more robust than the methodology sought by the regulated businesses and that the AER should not buy into technical arguments from the regulated businesses that contain many debateable assumptions.</w:t>
      </w:r>
      <w:r w:rsidR="000E71C3">
        <w:rPr>
          <w:rStyle w:val="FootnoteReference"/>
        </w:rPr>
        <w:footnoteReference w:id="243"/>
      </w:r>
      <w:r w:rsidR="000E71C3">
        <w:t xml:space="preserve"> </w:t>
      </w:r>
      <w:r w:rsidR="00EE209C">
        <w:t>We agree</w:t>
      </w:r>
      <w:r w:rsidR="000E71C3">
        <w:t xml:space="preserve"> that gamma is a parameter that is imprecise to measure. </w:t>
      </w:r>
      <w:r w:rsidR="00EE209C">
        <w:t>We have</w:t>
      </w:r>
      <w:r w:rsidR="000E71C3">
        <w:t xml:space="preserve"> assesse</w:t>
      </w:r>
      <w:r w:rsidR="00C4561A">
        <w:t>d</w:t>
      </w:r>
      <w:r w:rsidR="000E71C3">
        <w:t xml:space="preserve"> the regulated businesses submission</w:t>
      </w:r>
      <w:r w:rsidR="009528C0">
        <w:t>s and overall consider</w:t>
      </w:r>
      <w:r w:rsidR="000E71C3">
        <w:t xml:space="preserve"> a gamma estimate of 0.4 </w:t>
      </w:r>
      <w:r w:rsidR="001A0EE0">
        <w:t xml:space="preserve">still </w:t>
      </w:r>
      <w:r w:rsidR="000E71C3">
        <w:t>remains appropriate</w:t>
      </w:r>
      <w:r w:rsidR="00B01A20">
        <w:t>.</w:t>
      </w:r>
    </w:p>
    <w:p w:rsidR="00B01A20" w:rsidRDefault="00C43D62" w:rsidP="00B01A20">
      <w:pPr>
        <w:pStyle w:val="AERbulletlistfirststyle"/>
      </w:pPr>
      <w:r>
        <w:t xml:space="preserve">The CCP4 (Headberry) for TasNetworks considers that the AER's gamma estimate is conservative and it </w:t>
      </w:r>
      <w:r w:rsidR="00116542">
        <w:t>should be reassessed in the next guideline review in the next 2 years. Given this</w:t>
      </w:r>
      <w:r w:rsidR="00850EA5">
        <w:t>,</w:t>
      </w:r>
      <w:r w:rsidR="00116542">
        <w:t xml:space="preserve"> the current guideline estimate should apply to TasNetworks.</w:t>
      </w:r>
      <w:r w:rsidR="00116542">
        <w:rPr>
          <w:rStyle w:val="FootnoteReference"/>
        </w:rPr>
        <w:footnoteReference w:id="244"/>
      </w:r>
      <w:r w:rsidR="00116542">
        <w:t xml:space="preserve"> We do not agree as we have moved away from the guidelines gamma estimate of 0.5. Reassessing the evidence before us since the guideline review, we consider a gamma estimate of 0.4 is appropriate.</w:t>
      </w:r>
    </w:p>
    <w:p w:rsidR="00857430" w:rsidRDefault="00857430" w:rsidP="00B01A20">
      <w:pPr>
        <w:pStyle w:val="AERbulletlistfirststyle"/>
      </w:pPr>
      <w:r>
        <w:t xml:space="preserve">The </w:t>
      </w:r>
      <w:r w:rsidR="00452BA3" w:rsidRPr="007E0D5C">
        <w:t xml:space="preserve">Tasmanian Small Business Council </w:t>
      </w:r>
      <w:r>
        <w:t>supports the AER's gamma estimate of 0.4, and notes that this value has been set with extensive and wide ranging consultation. It believes the 0.4 gamma value should stand unless it is overturned by the eventual outcome of the appeals process.</w:t>
      </w:r>
      <w:r>
        <w:rPr>
          <w:rStyle w:val="FootnoteReference"/>
        </w:rPr>
        <w:footnoteReference w:id="245"/>
      </w:r>
      <w:r>
        <w:t xml:space="preserve"> The CCP</w:t>
      </w:r>
      <w:r w:rsidR="005E2393">
        <w:t>4</w:t>
      </w:r>
      <w:r>
        <w:t xml:space="preserve"> (Headberry) </w:t>
      </w:r>
      <w:r w:rsidR="005E2393">
        <w:t xml:space="preserve">for Powerlink </w:t>
      </w:r>
      <w:r>
        <w:t>notes that despite the SAPN Tribunal upholding the 0.</w:t>
      </w:r>
      <w:r w:rsidR="00452BA3">
        <w:t>4</w:t>
      </w:r>
      <w:r>
        <w:t xml:space="preserve"> gamma estimate, Powerlink expresses a desire to benefit from a lower gamma estimate if this is the result of the Full Federal Court.</w:t>
      </w:r>
      <w:r w:rsidR="00F439A9">
        <w:rPr>
          <w:rStyle w:val="FootnoteReference"/>
        </w:rPr>
        <w:footnoteReference w:id="246"/>
      </w:r>
      <w:r>
        <w:t xml:space="preserve"> At the time </w:t>
      </w:r>
      <w:r w:rsidR="00BF378B">
        <w:t>we released</w:t>
      </w:r>
      <w:r w:rsidR="009B2737">
        <w:t xml:space="preserve"> </w:t>
      </w:r>
      <w:r w:rsidR="00EE66C0">
        <w:t>the</w:t>
      </w:r>
      <w:r w:rsidR="00BF378B">
        <w:t xml:space="preserve"> final decision</w:t>
      </w:r>
      <w:r w:rsidR="00EE66C0">
        <w:t xml:space="preserve"> for Powerlink</w:t>
      </w:r>
      <w:r w:rsidR="00BF378B">
        <w:t>, the outcome of both Full Federal Court decisions was unknown. As a result, we ha</w:t>
      </w:r>
      <w:r w:rsidR="00EE66C0">
        <w:t>d</w:t>
      </w:r>
      <w:r w:rsidR="00BF378B">
        <w:t xml:space="preserve"> been unable to incorporate the Full Federal Court</w:t>
      </w:r>
      <w:r w:rsidR="00922C6D">
        <w:t>'</w:t>
      </w:r>
      <w:r w:rsidR="00BF378B">
        <w:t xml:space="preserve">s decision in </w:t>
      </w:r>
      <w:r w:rsidR="00EE66C0">
        <w:t>the final</w:t>
      </w:r>
      <w:r w:rsidR="00BF378B">
        <w:t xml:space="preserve"> decision. Further, we </w:t>
      </w:r>
      <w:r w:rsidR="00913303">
        <w:t>consider</w:t>
      </w:r>
      <w:r w:rsidR="00894933">
        <w:t>ed</w:t>
      </w:r>
      <w:r w:rsidR="00BF378B">
        <w:t xml:space="preserve"> it </w:t>
      </w:r>
      <w:r w:rsidR="00894933">
        <w:t>wa</w:t>
      </w:r>
      <w:r w:rsidR="00BF378B">
        <w:t xml:space="preserve">s inappropriate to adjust the total revenue for the service providers within the access arrangement (either via cost pass through or x-factor mechanism) for the </w:t>
      </w:r>
      <w:r w:rsidR="00664394">
        <w:t>outcome of the Full Federal Court decision on gamma.</w:t>
      </w:r>
      <w:r w:rsidR="00EE66C0">
        <w:t xml:space="preserve"> </w:t>
      </w:r>
      <w:r w:rsidR="001F59A2">
        <w:t>Subsequent to these</w:t>
      </w:r>
      <w:r w:rsidR="00894933">
        <w:t xml:space="preserve"> earlier AER</w:t>
      </w:r>
      <w:r w:rsidR="001F59A2">
        <w:t xml:space="preserve"> decisions</w:t>
      </w:r>
      <w:r w:rsidR="00EE66C0">
        <w:t xml:space="preserve"> the Full Federal Court </w:t>
      </w:r>
      <w:r w:rsidR="00894933">
        <w:t xml:space="preserve">has now </w:t>
      </w:r>
      <w:r w:rsidR="00EE66C0">
        <w:t xml:space="preserve">handed down </w:t>
      </w:r>
      <w:r w:rsidR="00894933">
        <w:t xml:space="preserve">its decision </w:t>
      </w:r>
      <w:r w:rsidR="006A7DA8">
        <w:t>on 24</w:t>
      </w:r>
      <w:r w:rsidR="00EE66C0">
        <w:t xml:space="preserve"> May 2017</w:t>
      </w:r>
      <w:r w:rsidR="001F59A2">
        <w:t xml:space="preserve"> </w:t>
      </w:r>
      <w:r w:rsidR="00894933">
        <w:t xml:space="preserve">and </w:t>
      </w:r>
      <w:r w:rsidR="001F59A2">
        <w:t>found error in the Tribunal's decision on the value of imputation credits</w:t>
      </w:r>
      <w:r w:rsidR="002E5B8D">
        <w:t xml:space="preserve">. This decision </w:t>
      </w:r>
      <w:r w:rsidR="001F59A2">
        <w:t xml:space="preserve">has not resulted in a change in our approach </w:t>
      </w:r>
      <w:r w:rsidR="00894933">
        <w:t xml:space="preserve">to estimating gamma </w:t>
      </w:r>
      <w:r w:rsidR="001F59A2">
        <w:t xml:space="preserve">or </w:t>
      </w:r>
      <w:r w:rsidR="00894933">
        <w:t xml:space="preserve">our point </w:t>
      </w:r>
      <w:r w:rsidR="001F59A2">
        <w:t>estimate of</w:t>
      </w:r>
      <w:r w:rsidR="00894933">
        <w:t xml:space="preserve"> the value</w:t>
      </w:r>
      <w:r w:rsidR="001F59A2">
        <w:t>.</w:t>
      </w:r>
      <w:r w:rsidR="00EE66C0">
        <w:t xml:space="preserve"> </w:t>
      </w:r>
    </w:p>
    <w:p w:rsidR="00B63B14" w:rsidRDefault="00B63B14" w:rsidP="00B01A20">
      <w:pPr>
        <w:pStyle w:val="AERbulletlistfirststyle"/>
      </w:pPr>
      <w:r>
        <w:t>Origin Energy supports AGN's stance of adopting the AER's gamma estimate of 0.4, but understands each business will interpret the parameter according to its own independent advice and review.</w:t>
      </w:r>
      <w:r>
        <w:rPr>
          <w:rStyle w:val="FootnoteReference"/>
        </w:rPr>
        <w:footnoteReference w:id="247"/>
      </w:r>
    </w:p>
    <w:p w:rsidR="00C52695" w:rsidRPr="00021F98" w:rsidRDefault="00C52695" w:rsidP="00021F98">
      <w:pPr>
        <w:pStyle w:val="Heading7"/>
      </w:pPr>
      <w:bookmarkStart w:id="137" w:name="_Toc436049441"/>
      <w:bookmarkStart w:id="138" w:name="_Toc451842245"/>
      <w:bookmarkStart w:id="139" w:name="_Toc451938301"/>
      <w:bookmarkStart w:id="140" w:name="_Toc456614289"/>
      <w:bookmarkStart w:id="141" w:name="_Toc462823307"/>
      <w:bookmarkStart w:id="142" w:name="_Toc487014308"/>
      <w:r w:rsidRPr="00021F98">
        <w:t>Value of imputation credits: Detailed analysis</w:t>
      </w:r>
      <w:bookmarkEnd w:id="137"/>
      <w:bookmarkEnd w:id="138"/>
      <w:bookmarkEnd w:id="139"/>
      <w:bookmarkEnd w:id="140"/>
      <w:bookmarkEnd w:id="141"/>
      <w:bookmarkEnd w:id="142"/>
    </w:p>
    <w:p w:rsidR="00C52695" w:rsidRPr="00883125" w:rsidRDefault="00C52695" w:rsidP="00C52695">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4575C1" w:rsidRDefault="004575C1" w:rsidP="00C52695">
      <w:r w:rsidRPr="00112C06">
        <w:t>AGN</w:t>
      </w:r>
      <w:r>
        <w:t xml:space="preserve"> </w:t>
      </w:r>
      <w:r w:rsidRPr="00112C06">
        <w:t xml:space="preserve">proposed to adopt the AER's </w:t>
      </w:r>
      <w:r>
        <w:t xml:space="preserve">previous </w:t>
      </w:r>
      <w:r w:rsidRPr="00112C06">
        <w:t>decision on gamma of 0.4 pending further information resolving current areas of uncertainty.</w:t>
      </w:r>
      <w:r>
        <w:rPr>
          <w:rStyle w:val="FootnoteReference"/>
        </w:rPr>
        <w:footnoteReference w:id="248"/>
      </w:r>
      <w:r>
        <w:t xml:space="preserve"> </w:t>
      </w:r>
      <w:r w:rsidR="0043393C">
        <w:t xml:space="preserve">Multinet </w:t>
      </w:r>
      <w:r>
        <w:t xml:space="preserve">and some other service providers </w:t>
      </w:r>
      <w:r w:rsidR="00001B62">
        <w:t>ha</w:t>
      </w:r>
      <w:r>
        <w:t>ve</w:t>
      </w:r>
      <w:r w:rsidR="00001B62">
        <w:t xml:space="preserve"> proposed a value of imputation credits of 0.25.</w:t>
      </w:r>
      <w:r w:rsidR="00001B62">
        <w:rPr>
          <w:rStyle w:val="FootnoteReference"/>
        </w:rPr>
        <w:footnoteReference w:id="249"/>
      </w:r>
      <w:r w:rsidR="00001B62" w:rsidDel="00D85A4C">
        <w:t xml:space="preserve"> </w:t>
      </w:r>
      <w:r w:rsidR="00001B62">
        <w:t xml:space="preserve">This being the product of </w:t>
      </w:r>
      <w:r w:rsidR="001A0EE0">
        <w:t>a</w:t>
      </w:r>
      <w:r w:rsidR="00001B62">
        <w:t xml:space="preserve"> distribution rate of 0.7 and </w:t>
      </w:r>
      <w:r w:rsidR="00F45579">
        <w:t xml:space="preserve">a </w:t>
      </w:r>
      <w:r w:rsidR="00001B62">
        <w:t>theta (utilisation value) of 0.35.</w:t>
      </w:r>
      <w:r w:rsidR="00001B62">
        <w:rPr>
          <w:rStyle w:val="FootnoteReference"/>
        </w:rPr>
        <w:footnoteReference w:id="250"/>
      </w:r>
      <w:r w:rsidR="00815596">
        <w:t xml:space="preserve"> </w:t>
      </w:r>
    </w:p>
    <w:p w:rsidR="00C52695" w:rsidRDefault="000F2EAB" w:rsidP="00C52695">
      <w:r>
        <w:t xml:space="preserve">Multinet </w:t>
      </w:r>
      <w:r w:rsidR="004575C1">
        <w:t xml:space="preserve">and AusNet Gas Distribution </w:t>
      </w:r>
      <w:r>
        <w:t xml:space="preserve">stated in </w:t>
      </w:r>
      <w:r w:rsidR="004575C1">
        <w:t>their</w:t>
      </w:r>
      <w:r>
        <w:t xml:space="preserve"> proposal</w:t>
      </w:r>
      <w:r w:rsidR="004575C1">
        <w:t>s</w:t>
      </w:r>
      <w:r>
        <w:t xml:space="preserve"> that the estimate </w:t>
      </w:r>
      <w:r w:rsidR="004575C1">
        <w:t xml:space="preserve">of gamma </w:t>
      </w:r>
      <w:r>
        <w:t>is based on the post personal tax and personal cost market value of imputation credits to shareholders, consistent with the correct interpretation of the Nationa</w:t>
      </w:r>
      <w:r w:rsidR="00720626">
        <w:t>l</w:t>
      </w:r>
      <w:r>
        <w:t xml:space="preserve"> Gas Rules and the most up to date and best estimate of the value of imputation credits.</w:t>
      </w:r>
      <w:r>
        <w:rPr>
          <w:rStyle w:val="FootnoteReference"/>
        </w:rPr>
        <w:footnoteReference w:id="251"/>
      </w:r>
      <w:r>
        <w:t xml:space="preserve"> </w:t>
      </w:r>
      <w:r w:rsidR="008D06D8">
        <w:t>However, w</w:t>
      </w:r>
      <w:r w:rsidR="008D06D8" w:rsidRPr="008D06D8">
        <w:t xml:space="preserve">e note that </w:t>
      </w:r>
      <w:r w:rsidR="008D06D8">
        <w:t>consistent with AER's Guid</w:t>
      </w:r>
      <w:r w:rsidR="00E54575">
        <w:t>e</w:t>
      </w:r>
      <w:r w:rsidR="008D06D8">
        <w:t xml:space="preserve">line and this draft decision, </w:t>
      </w:r>
      <w:r w:rsidR="008D06D8" w:rsidRPr="008D06D8">
        <w:t xml:space="preserve">the Full Federal Court </w:t>
      </w:r>
      <w:r w:rsidR="008D06D8">
        <w:t>in its May 2017</w:t>
      </w:r>
      <w:r w:rsidR="008D06D8" w:rsidRPr="008D06D8">
        <w:t xml:space="preserve"> decision </w:t>
      </w:r>
      <w:r w:rsidR="00196AEF">
        <w:t>found</w:t>
      </w:r>
      <w:r w:rsidR="008D06D8" w:rsidRPr="008D06D8">
        <w:t xml:space="preserve"> that the Rule require</w:t>
      </w:r>
      <w:r w:rsidR="00196AEF">
        <w:t>s</w:t>
      </w:r>
      <w:r w:rsidR="008D06D8" w:rsidRPr="008D06D8">
        <w:t xml:space="preserve"> the estimate to be based on a post-company tax and pre-personal tax and personal costs basis.</w:t>
      </w:r>
      <w:r w:rsidR="00196AEF">
        <w:rPr>
          <w:rStyle w:val="FootnoteReference"/>
        </w:rPr>
        <w:footnoteReference w:id="252"/>
      </w:r>
      <w:r w:rsidR="008D06D8">
        <w:t xml:space="preserve"> </w:t>
      </w:r>
      <w:r>
        <w:t xml:space="preserve">Along with </w:t>
      </w:r>
      <w:r w:rsidR="004575C1">
        <w:t>their</w:t>
      </w:r>
      <w:r>
        <w:t xml:space="preserve"> proposal</w:t>
      </w:r>
      <w:r w:rsidR="004575C1">
        <w:t>s</w:t>
      </w:r>
      <w:r>
        <w:t>, Multinet</w:t>
      </w:r>
      <w:r w:rsidR="004575C1">
        <w:t xml:space="preserve">, AusNet Gas Distribution and AGN </w:t>
      </w:r>
      <w:r>
        <w:t>ha</w:t>
      </w:r>
      <w:r w:rsidR="004575C1">
        <w:t>ve</w:t>
      </w:r>
      <w:r>
        <w:t xml:space="preserve"> submitted a new consulting report from Frontier Economics.</w:t>
      </w:r>
      <w:r>
        <w:rPr>
          <w:rStyle w:val="FootnoteReference"/>
        </w:rPr>
        <w:footnoteReference w:id="253"/>
      </w:r>
      <w:r>
        <w:t xml:space="preserve"> </w:t>
      </w:r>
      <w:r w:rsidR="008D06D8">
        <w:t xml:space="preserve"> </w:t>
      </w:r>
      <w:r w:rsidR="004575C1">
        <w:t>Multinet and AusNet Gas Distribution</w:t>
      </w:r>
      <w:r w:rsidR="008D06D8">
        <w:t xml:space="preserve"> also relied on two Frontier's consulting reports that were previously submitted by AusNet Services</w:t>
      </w:r>
      <w:r w:rsidR="004575C1">
        <w:t xml:space="preserve"> Electricity Transmission</w:t>
      </w:r>
      <w:r w:rsidR="008D06D8">
        <w:t xml:space="preserve"> to support its proposed value for gam</w:t>
      </w:r>
      <w:r w:rsidR="009F10AE">
        <w:t>ma of 0.25.</w:t>
      </w:r>
      <w:r w:rsidR="009F10AE">
        <w:rPr>
          <w:rStyle w:val="FootnoteReference"/>
        </w:rPr>
        <w:footnoteReference w:id="254"/>
      </w:r>
      <w:r w:rsidR="009F10AE">
        <w:t xml:space="preserve"> For completeness, w</w:t>
      </w:r>
      <w:r w:rsidR="00512695">
        <w:t xml:space="preserve">e </w:t>
      </w:r>
      <w:r w:rsidR="009F10AE">
        <w:t xml:space="preserve">also </w:t>
      </w:r>
      <w:r w:rsidR="00BE2C3C" w:rsidRPr="00BE2C3C">
        <w:t>incl</w:t>
      </w:r>
      <w:r w:rsidR="009F10AE">
        <w:t>ude our response to the two Frontier's reports</w:t>
      </w:r>
      <w:r w:rsidR="00BE2C3C" w:rsidRPr="00BE2C3C">
        <w:t xml:space="preserve"> </w:t>
      </w:r>
      <w:r w:rsidR="00A53C3A">
        <w:t xml:space="preserve">previously </w:t>
      </w:r>
      <w:r w:rsidR="00BE2C3C" w:rsidRPr="00BE2C3C">
        <w:t xml:space="preserve">submitted by AusNet </w:t>
      </w:r>
      <w:r w:rsidR="00512695">
        <w:t xml:space="preserve">Services </w:t>
      </w:r>
      <w:r w:rsidR="002E5B8D">
        <w:t xml:space="preserve">in support of its transmission proposal </w:t>
      </w:r>
      <w:r w:rsidR="00BE2C3C" w:rsidRPr="00BE2C3C">
        <w:t xml:space="preserve">in this draft decision given we have considered </w:t>
      </w:r>
      <w:r w:rsidR="002E5B8D">
        <w:t>these</w:t>
      </w:r>
      <w:r w:rsidR="00BE2C3C" w:rsidRPr="00BE2C3C">
        <w:t xml:space="preserve"> in reaching th</w:t>
      </w:r>
      <w:r w:rsidR="00196AEF">
        <w:t>is</w:t>
      </w:r>
      <w:r w:rsidR="00BE2C3C" w:rsidRPr="00BE2C3C">
        <w:t xml:space="preserve"> decision. </w:t>
      </w:r>
      <w:r w:rsidR="00C52695" w:rsidRPr="00883125">
        <w:t>Consistent with our</w:t>
      </w:r>
      <w:r w:rsidR="00C52695">
        <w:t xml:space="preserve"> 2016</w:t>
      </w:r>
      <w:r w:rsidR="00C52695" w:rsidRPr="00883125">
        <w:t xml:space="preserve"> decision</w:t>
      </w:r>
      <w:r w:rsidR="00C52695">
        <w:t>s</w:t>
      </w:r>
      <w:r w:rsidR="0043393C">
        <w:t xml:space="preserve"> and recent April 2017 decisions</w:t>
      </w:r>
      <w:r w:rsidR="00C52695" w:rsidRPr="00883125">
        <w:t xml:space="preserve"> in </w:t>
      </w:r>
      <w:r w:rsidR="00180C78">
        <w:t xml:space="preserve">this </w:t>
      </w:r>
      <w:r w:rsidR="0043393C">
        <w:t>draft</w:t>
      </w:r>
      <w:r w:rsidR="00332BB9" w:rsidRPr="00883125">
        <w:t xml:space="preserve"> </w:t>
      </w:r>
      <w:r w:rsidR="00C52695" w:rsidRPr="00883125">
        <w:t>decision we have adopted a value of 0.4 for gamma. We remain of the view 0.4 is appropriate having given careful consideration</w:t>
      </w:r>
      <w:r w:rsidR="001453E4">
        <w:t xml:space="preserve"> to all the material before us.</w:t>
      </w:r>
      <w:r>
        <w:t xml:space="preserve"> </w:t>
      </w:r>
      <w:r w:rsidR="00C52695">
        <w:t>This appendix is structured under the following headings:</w:t>
      </w:r>
    </w:p>
    <w:p w:rsidR="00C52695" w:rsidRPr="001D37D5" w:rsidRDefault="00C52695" w:rsidP="00C52695">
      <w:pPr>
        <w:pStyle w:val="AERbulletlistfirststyle"/>
      </w:pPr>
      <w:r>
        <w:t>expert views</w:t>
      </w:r>
      <w:r w:rsidRPr="001D37D5">
        <w:t xml:space="preserve"> on the value of imputation credits</w:t>
      </w:r>
      <w:r w:rsidRPr="001D37D5" w:rsidDel="00BD4879">
        <w:t xml:space="preserve"> </w:t>
      </w:r>
    </w:p>
    <w:p w:rsidR="00C52695" w:rsidRPr="001D37D5" w:rsidRDefault="00C52695" w:rsidP="00C52695">
      <w:pPr>
        <w:pStyle w:val="AERbulletlistfirststyle"/>
      </w:pPr>
      <w:r>
        <w:t xml:space="preserve">the </w:t>
      </w:r>
      <w:r w:rsidRPr="001D37D5">
        <w:t>value of imputation credits used by other regulators</w:t>
      </w:r>
      <w:r w:rsidRPr="001D37D5" w:rsidDel="00BD4879">
        <w:t xml:space="preserve"> </w:t>
      </w:r>
    </w:p>
    <w:p w:rsidR="00C52695" w:rsidRPr="001D37D5" w:rsidRDefault="00C52695" w:rsidP="00C52695">
      <w:pPr>
        <w:pStyle w:val="AERbulletlistfirststyle"/>
      </w:pPr>
      <w:r>
        <w:t xml:space="preserve">previous </w:t>
      </w:r>
      <w:r w:rsidRPr="001D37D5">
        <w:t>Australian Competition Tribunal (Tribunal) considerations</w:t>
      </w:r>
    </w:p>
    <w:p w:rsidR="00C52695" w:rsidRPr="001D37D5" w:rsidRDefault="00C52695" w:rsidP="00C52695">
      <w:pPr>
        <w:pStyle w:val="AERbulletlistfirststyle"/>
      </w:pPr>
      <w:r>
        <w:t>key</w:t>
      </w:r>
      <w:r w:rsidRPr="001D37D5" w:rsidDel="00BD4879">
        <w:t xml:space="preserve"> </w:t>
      </w:r>
      <w:r w:rsidRPr="001D37D5">
        <w:t>concerns of the service providers</w:t>
      </w:r>
      <w:r w:rsidRPr="001D37D5" w:rsidDel="00BD4879">
        <w:t xml:space="preserve"> </w:t>
      </w:r>
    </w:p>
    <w:p w:rsidR="00C52695" w:rsidRPr="001D37D5" w:rsidRDefault="00C52695" w:rsidP="00C52695">
      <w:pPr>
        <w:pStyle w:val="AERbulletlistfirststyle"/>
      </w:pPr>
      <w:r>
        <w:t xml:space="preserve">the </w:t>
      </w:r>
      <w:r w:rsidRPr="001D37D5">
        <w:t>role of the value of imputation credits in the regulatory framework</w:t>
      </w:r>
      <w:r w:rsidRPr="001D37D5" w:rsidDel="00BD4879">
        <w:t xml:space="preserve"> </w:t>
      </w:r>
    </w:p>
    <w:p w:rsidR="00C52695" w:rsidRPr="001D37D5" w:rsidRDefault="00C52695" w:rsidP="00C52695">
      <w:pPr>
        <w:pStyle w:val="AERbulletlistfirststyle"/>
      </w:pPr>
      <w:r>
        <w:t xml:space="preserve">the </w:t>
      </w:r>
      <w:r w:rsidRPr="001D37D5">
        <w:t>conceptual framework for the value of imputation credits</w:t>
      </w:r>
      <w:r w:rsidRPr="001D37D5" w:rsidDel="00BD4879">
        <w:t xml:space="preserve"> </w:t>
      </w:r>
    </w:p>
    <w:p w:rsidR="00C52695" w:rsidRPr="001D37D5" w:rsidRDefault="00C52695" w:rsidP="00C52695">
      <w:pPr>
        <w:pStyle w:val="AERbulletlistfirststyle"/>
      </w:pPr>
      <w:r>
        <w:t xml:space="preserve">Professor Stephen Gray's (Gray's) </w:t>
      </w:r>
      <w:r w:rsidRPr="001D37D5">
        <w:t>comments on the conceptual framework</w:t>
      </w:r>
    </w:p>
    <w:p w:rsidR="00C52695" w:rsidRPr="001D37D5" w:rsidRDefault="00C52695" w:rsidP="00C52695">
      <w:pPr>
        <w:pStyle w:val="AERbulletlistfirststyle"/>
      </w:pPr>
      <w:r>
        <w:t>further</w:t>
      </w:r>
      <w:r w:rsidRPr="001D37D5" w:rsidDel="00BD4879">
        <w:t xml:space="preserve"> </w:t>
      </w:r>
      <w:r w:rsidRPr="001D37D5">
        <w:t>issues relating to the utilisation rate</w:t>
      </w:r>
      <w:r w:rsidRPr="001D37D5" w:rsidDel="00BD4879">
        <w:t xml:space="preserve"> </w:t>
      </w:r>
    </w:p>
    <w:p w:rsidR="00C52695" w:rsidRPr="001D37D5" w:rsidRDefault="00C52695" w:rsidP="00C52695">
      <w:pPr>
        <w:pStyle w:val="AERbulletlistfirststyle"/>
      </w:pPr>
      <w:r>
        <w:t xml:space="preserve">estimation </w:t>
      </w:r>
      <w:r w:rsidRPr="001D37D5">
        <w:t>approach considerations</w:t>
      </w:r>
      <w:r w:rsidRPr="001D37D5" w:rsidDel="00BD4879">
        <w:t xml:space="preserve"> </w:t>
      </w:r>
    </w:p>
    <w:p w:rsidR="00C52695" w:rsidRPr="001D37D5" w:rsidRDefault="00C52695" w:rsidP="00C52695">
      <w:pPr>
        <w:pStyle w:val="AERbulletlistfirststyle"/>
      </w:pPr>
      <w:r>
        <w:t xml:space="preserve">estimating </w:t>
      </w:r>
      <w:r w:rsidRPr="001D37D5">
        <w:t>the distribution rate</w:t>
      </w:r>
    </w:p>
    <w:p w:rsidR="00C52695" w:rsidRPr="001D37D5" w:rsidRDefault="00C52695" w:rsidP="00C52695">
      <w:pPr>
        <w:pStyle w:val="AERbulletlistfirststyle"/>
      </w:pPr>
      <w:r>
        <w:t xml:space="preserve">application </w:t>
      </w:r>
      <w:r w:rsidRPr="001D37D5">
        <w:t>of rate of return criteria to evidence on the utilisation rate</w:t>
      </w:r>
    </w:p>
    <w:p w:rsidR="00C52695" w:rsidRPr="001D37D5" w:rsidRDefault="00C52695" w:rsidP="00C52695">
      <w:pPr>
        <w:pStyle w:val="AERbulletlistfirststyle"/>
      </w:pPr>
      <w:r>
        <w:t xml:space="preserve">the </w:t>
      </w:r>
      <w:r w:rsidRPr="001D37D5">
        <w:t>equity ownership approach</w:t>
      </w:r>
    </w:p>
    <w:p w:rsidR="00C52695" w:rsidRPr="001D37D5" w:rsidRDefault="00C52695" w:rsidP="00C52695">
      <w:pPr>
        <w:pStyle w:val="AERbulletlistfirststyle"/>
      </w:pPr>
      <w:r>
        <w:t>tax statistics</w:t>
      </w:r>
    </w:p>
    <w:p w:rsidR="00C52695" w:rsidRPr="001D37D5" w:rsidRDefault="00C52695" w:rsidP="00C52695">
      <w:pPr>
        <w:pStyle w:val="AERbulletlistfirststyle"/>
      </w:pPr>
      <w:r>
        <w:t xml:space="preserve">the </w:t>
      </w:r>
      <w:r w:rsidRPr="001D37D5">
        <w:t>difference between equity ownership approach and tax statistics</w:t>
      </w:r>
    </w:p>
    <w:p w:rsidR="00C52695" w:rsidRDefault="00C52695" w:rsidP="00C52695">
      <w:pPr>
        <w:pStyle w:val="AERbulletlistfirststyle"/>
      </w:pPr>
      <w:r w:rsidRPr="00B27BE5">
        <w:t>implied market value studies</w:t>
      </w:r>
    </w:p>
    <w:p w:rsidR="00547DB6" w:rsidRPr="00B27BE5" w:rsidRDefault="00AD35FD" w:rsidP="00C52695">
      <w:pPr>
        <w:pStyle w:val="AERbulletlistfirststyle"/>
      </w:pPr>
      <w:r>
        <w:t>r</w:t>
      </w:r>
      <w:r w:rsidR="00547DB6">
        <w:t>evised consideration of the conceptual goalposts approach</w:t>
      </w:r>
      <w:r>
        <w:t>.</w:t>
      </w:r>
    </w:p>
    <w:p w:rsidR="00C52695" w:rsidRPr="00883125" w:rsidRDefault="00C52695" w:rsidP="00C52695">
      <w:pPr>
        <w:pStyle w:val="Heading8"/>
      </w:pPr>
      <w:bookmarkStart w:id="143" w:name="_Ref414621676"/>
      <w:bookmarkStart w:id="144" w:name="_Toc436049442"/>
      <w:bookmarkStart w:id="145" w:name="_Toc451842246"/>
      <w:bookmarkStart w:id="146" w:name="_Toc451938302"/>
      <w:bookmarkStart w:id="147" w:name="_Toc456614290"/>
      <w:bookmarkStart w:id="148" w:name="_Toc462823308"/>
      <w:bookmarkStart w:id="149" w:name="_Toc487014309"/>
      <w:r w:rsidRPr="00883125">
        <w:t>Expert views on the value of imputation credits</w:t>
      </w:r>
      <w:bookmarkEnd w:id="143"/>
      <w:bookmarkEnd w:id="144"/>
      <w:bookmarkEnd w:id="145"/>
      <w:bookmarkEnd w:id="146"/>
      <w:bookmarkEnd w:id="147"/>
      <w:bookmarkEnd w:id="148"/>
      <w:bookmarkEnd w:id="149"/>
    </w:p>
    <w:p w:rsidR="00C52695" w:rsidRDefault="00C52695" w:rsidP="00C52695">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BF66D3" w:rsidRPr="00883125">
        <w:t xml:space="preserve">Table </w:t>
      </w:r>
      <w:r w:rsidR="00BF66D3">
        <w:rPr>
          <w:noProof/>
        </w:rPr>
        <w:t>4</w:t>
      </w:r>
      <w:r w:rsidR="00BF66D3">
        <w:noBreakHyphen/>
      </w:r>
      <w:r w:rsidR="00BF66D3">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w:t>
      </w:r>
      <w:r w:rsidR="00160A89">
        <w:t xml:space="preserve"> December 2016</w:t>
      </w:r>
      <w:r w:rsidR="00D577C3">
        <w:t>.</w:t>
      </w:r>
      <w:r w:rsidR="00D577C3">
        <w:rPr>
          <w:rStyle w:val="FootnoteReference"/>
        </w:rPr>
        <w:footnoteReference w:id="255"/>
      </w:r>
      <w:r w:rsidR="00D577C3">
        <w:t xml:space="preserve">  We</w:t>
      </w:r>
      <w:r w:rsidR="00160A89">
        <w:t xml:space="preserve"> also</w:t>
      </w:r>
      <w:r w:rsidR="00D577C3">
        <w:t xml:space="preserve"> include</w:t>
      </w:r>
      <w:r w:rsidR="00160A89">
        <w:t xml:space="preserve"> </w:t>
      </w:r>
      <w:r w:rsidR="00D51D81">
        <w:t>the expert reports</w:t>
      </w:r>
      <w:r w:rsidR="00D577C3">
        <w:t xml:space="preserve"> submitted by service providers</w:t>
      </w:r>
      <w:r w:rsidR="00D51D81">
        <w:t xml:space="preserve"> </w:t>
      </w:r>
      <w:r w:rsidR="00160A89">
        <w:t xml:space="preserve">in </w:t>
      </w:r>
      <w:r>
        <w:t xml:space="preserve">January 2016 and </w:t>
      </w:r>
      <w:r w:rsidR="0036034D">
        <w:t>September 2016</w:t>
      </w:r>
      <w:r>
        <w:t>.</w:t>
      </w:r>
      <w:r>
        <w:rPr>
          <w:rStyle w:val="FootnoteReference"/>
        </w:rPr>
        <w:footnoteReference w:id="256"/>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57"/>
      </w:r>
      <w:r w:rsidRPr="00883125">
        <w:t xml:space="preserve"> We consider the new expert report do not provide new evidence to justify a departure from the position we adopted in the decisions we released in </w:t>
      </w:r>
      <w:r w:rsidR="00332BB9">
        <w:t>2016</w:t>
      </w:r>
      <w:r w:rsidR="00D577C3">
        <w:t xml:space="preserve"> and April 2017</w:t>
      </w:r>
      <w:r w:rsidRPr="00883125">
        <w:t>.</w:t>
      </w:r>
    </w:p>
    <w:p w:rsidR="00C52695" w:rsidRPr="00883125" w:rsidRDefault="00C52695" w:rsidP="00C52695">
      <w:pPr>
        <w:pStyle w:val="Caption"/>
      </w:pPr>
      <w:bookmarkStart w:id="150" w:name="_Ref400609043"/>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6</w:t>
      </w:r>
      <w:r w:rsidRPr="001D37D5">
        <w:fldChar w:fldCharType="end"/>
      </w:r>
      <w:bookmarkEnd w:id="150"/>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52695" w:rsidRPr="00883125" w:rsidRDefault="00C52695" w:rsidP="00C52695">
            <w:pPr>
              <w:numPr>
                <w:ilvl w:val="0"/>
                <w:numId w:val="24"/>
              </w:numPr>
            </w:pPr>
            <w:r w:rsidRPr="00883125">
              <w:t>Expert</w:t>
            </w:r>
          </w:p>
        </w:tc>
        <w:tc>
          <w:tcPr>
            <w:tcW w:w="2560" w:type="dxa"/>
          </w:tcPr>
          <w:p w:rsidR="00C52695" w:rsidRPr="00883125" w:rsidRDefault="00C52695" w:rsidP="00C52695">
            <w:pPr>
              <w:numPr>
                <w:ilvl w:val="0"/>
                <w:numId w:val="24"/>
              </w:numPr>
            </w:pPr>
            <w:r w:rsidRPr="00883125">
              <w:t>Distribution rate</w:t>
            </w:r>
          </w:p>
        </w:tc>
        <w:tc>
          <w:tcPr>
            <w:tcW w:w="2560" w:type="dxa"/>
          </w:tcPr>
          <w:p w:rsidR="00C52695" w:rsidRPr="00883125" w:rsidRDefault="00C52695" w:rsidP="00C52695">
            <w:pPr>
              <w:numPr>
                <w:ilvl w:val="0"/>
                <w:numId w:val="24"/>
              </w:numPr>
            </w:pPr>
            <w:r w:rsidRPr="00883125">
              <w:t>Utilisation rate</w:t>
            </w:r>
          </w:p>
        </w:tc>
        <w:tc>
          <w:tcPr>
            <w:tcW w:w="2560" w:type="dxa"/>
          </w:tcPr>
          <w:p w:rsidR="00C52695" w:rsidRPr="00883125" w:rsidRDefault="00C52695" w:rsidP="00C52695">
            <w:pPr>
              <w:numPr>
                <w:ilvl w:val="0"/>
                <w:numId w:val="24"/>
              </w:numPr>
            </w:pPr>
            <w:r w:rsidRPr="00883125">
              <w:t>Value of imputation credits</w:t>
            </w:r>
          </w:p>
        </w:tc>
      </w:tr>
      <w:tr w:rsidR="00C52695" w:rsidTr="006425B8">
        <w:trPr>
          <w:cantSplit/>
        </w:trPr>
        <w:tc>
          <w:tcPr>
            <w:tcW w:w="1562" w:type="dxa"/>
          </w:tcPr>
          <w:p w:rsidR="00C52695" w:rsidRPr="00883125" w:rsidRDefault="00C52695" w:rsidP="00C52695">
            <w:pPr>
              <w:numPr>
                <w:ilvl w:val="0"/>
                <w:numId w:val="24"/>
              </w:numPr>
            </w:pPr>
            <w:r>
              <w:t>Lally (2016</w:t>
            </w:r>
            <w:r w:rsidR="0036034D">
              <w:t>a, 2017</w:t>
            </w:r>
            <w:r>
              <w:t>)</w:t>
            </w:r>
            <w:r>
              <w:rPr>
                <w:rStyle w:val="FootnoteReference"/>
              </w:rPr>
              <w:footnoteReference w:id="258"/>
            </w:r>
          </w:p>
        </w:tc>
        <w:tc>
          <w:tcPr>
            <w:tcW w:w="2560" w:type="dxa"/>
          </w:tcPr>
          <w:p w:rsidR="00C52695" w:rsidRPr="00883125" w:rsidRDefault="00C52695" w:rsidP="00C52695">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52695" w:rsidRPr="00883125" w:rsidRDefault="00C52695" w:rsidP="00C52695">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52695" w:rsidRPr="00C52695" w:rsidRDefault="00C52695" w:rsidP="00C52695">
            <w:pPr>
              <w:rPr>
                <w:rStyle w:val="Strong"/>
              </w:rPr>
            </w:pPr>
            <w:r>
              <w:rPr>
                <w:rStyle w:val="Strong"/>
              </w:rPr>
              <w:t>At least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Lally (2013a, 2013b, 2014)</w:t>
            </w:r>
            <w:r w:rsidRPr="00883125">
              <w:rPr>
                <w:rStyle w:val="FootnoteReference"/>
              </w:rPr>
              <w:footnoteReference w:id="259"/>
            </w:r>
          </w:p>
        </w:tc>
        <w:tc>
          <w:tcPr>
            <w:tcW w:w="2560" w:type="dxa"/>
          </w:tcPr>
          <w:p w:rsidR="00C52695" w:rsidRPr="00883125" w:rsidRDefault="00C52695" w:rsidP="00C52695">
            <w:pPr>
              <w:numPr>
                <w:ilvl w:val="0"/>
                <w:numId w:val="24"/>
              </w:numPr>
            </w:pPr>
            <w:r w:rsidRPr="00883125">
              <w:rPr>
                <w:rStyle w:val="Strong"/>
              </w:rPr>
              <w:t>0.84</w:t>
            </w:r>
            <w:r w:rsidRPr="00883125">
              <w:t xml:space="preserve"> using the financial statements of 20 largest ASX-listed companies</w:t>
            </w:r>
          </w:p>
        </w:tc>
        <w:tc>
          <w:tcPr>
            <w:tcW w:w="2560" w:type="dxa"/>
          </w:tcPr>
          <w:p w:rsidR="00C52695" w:rsidRPr="00883125" w:rsidRDefault="00C52695" w:rsidP="00C52695">
            <w:pPr>
              <w:numPr>
                <w:ilvl w:val="0"/>
                <w:numId w:val="24"/>
              </w:numPr>
            </w:pPr>
            <w:r w:rsidRPr="00883125">
              <w:rPr>
                <w:rStyle w:val="Strong"/>
              </w:rPr>
              <w:t>1.0</w:t>
            </w:r>
            <w:r w:rsidRPr="00883125">
              <w:t>, based on assumption that all investors in the Officer CAPM are domestic investors</w:t>
            </w:r>
          </w:p>
          <w:p w:rsidR="00C52695" w:rsidRPr="00883125" w:rsidRDefault="00C52695" w:rsidP="00C52695">
            <w:pPr>
              <w:numPr>
                <w:ilvl w:val="0"/>
                <w:numId w:val="24"/>
              </w:numPr>
            </w:pPr>
            <w:r w:rsidRPr="00883125">
              <w:t>0.54 to 0.7, using equity ownership as second preference</w:t>
            </w:r>
          </w:p>
        </w:tc>
        <w:tc>
          <w:tcPr>
            <w:tcW w:w="2560" w:type="dxa"/>
          </w:tcPr>
          <w:p w:rsidR="00C52695" w:rsidRPr="00C52695" w:rsidRDefault="00C52695" w:rsidP="00C52695">
            <w:pPr>
              <w:rPr>
                <w:rStyle w:val="Strong"/>
              </w:rPr>
            </w:pPr>
            <w:r w:rsidRPr="00883125">
              <w:rPr>
                <w:rStyle w:val="Strong"/>
              </w:rPr>
              <w:t>0.84</w:t>
            </w:r>
          </w:p>
          <w:p w:rsidR="00C52695" w:rsidRPr="00C52695" w:rsidRDefault="00C52695" w:rsidP="00C52695">
            <w:pPr>
              <w:rPr>
                <w:rStyle w:val="Strong"/>
              </w:rPr>
            </w:pPr>
            <w:r w:rsidRPr="00883125">
              <w:t xml:space="preserve">0.45 to 0.59 using second preference utilisation </w:t>
            </w:r>
            <w:r w:rsidRPr="00C52695">
              <w:t>rate</w:t>
            </w:r>
          </w:p>
        </w:tc>
      </w:tr>
      <w:tr w:rsidR="00C52695" w:rsidTr="006425B8">
        <w:trPr>
          <w:cantSplit/>
        </w:trPr>
        <w:tc>
          <w:tcPr>
            <w:tcW w:w="1562" w:type="dxa"/>
          </w:tcPr>
          <w:p w:rsidR="00C52695" w:rsidRPr="00883125" w:rsidRDefault="00C52695" w:rsidP="00C52695">
            <w:pPr>
              <w:numPr>
                <w:ilvl w:val="0"/>
                <w:numId w:val="24"/>
              </w:numPr>
            </w:pPr>
            <w:r w:rsidRPr="00883125">
              <w:t>McKenzie and Partington (2013)</w:t>
            </w:r>
            <w:r w:rsidRPr="00883125">
              <w:rPr>
                <w:rStyle w:val="FootnoteReference"/>
              </w:rPr>
              <w:footnoteReference w:id="260"/>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52695" w:rsidRPr="00C52695" w:rsidRDefault="00C52695" w:rsidP="00C52695">
            <w:pPr>
              <w:rPr>
                <w:rStyle w:val="Strong"/>
              </w:rPr>
            </w:pPr>
            <w:r w:rsidRPr="001A60DE">
              <w:t>Evidence not compelling enough to depart from</w:t>
            </w:r>
            <w:r w:rsidRPr="00C52695">
              <w:rPr>
                <w:rStyle w:val="Strong"/>
              </w:rPr>
              <w:t xml:space="preserve">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Handley (2014)</w:t>
            </w:r>
            <w:r w:rsidRPr="00883125">
              <w:rPr>
                <w:rStyle w:val="FootnoteReference"/>
              </w:rPr>
              <w:footnoteReference w:id="261"/>
            </w:r>
          </w:p>
        </w:tc>
        <w:tc>
          <w:tcPr>
            <w:tcW w:w="2560" w:type="dxa"/>
          </w:tcPr>
          <w:p w:rsidR="00C52695" w:rsidRPr="00883125" w:rsidRDefault="00C52695" w:rsidP="00C52695">
            <w:pPr>
              <w:numPr>
                <w:ilvl w:val="0"/>
                <w:numId w:val="24"/>
              </w:numPr>
            </w:pPr>
            <w:r w:rsidRPr="00883125">
              <w:rPr>
                <w:rStyle w:val="Strong"/>
              </w:rPr>
              <w:t>0.8</w:t>
            </w:r>
            <w:r w:rsidRPr="00883125">
              <w:t xml:space="preserve">, using cumulative payout ratio approach over only listed equity </w:t>
            </w:r>
          </w:p>
        </w:tc>
        <w:tc>
          <w:tcPr>
            <w:tcW w:w="2560" w:type="dxa"/>
          </w:tcPr>
          <w:p w:rsidR="00C52695" w:rsidRPr="00883125" w:rsidRDefault="00C52695" w:rsidP="00C52695">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52695" w:rsidRPr="00883125" w:rsidRDefault="00C52695" w:rsidP="00C52695">
            <w:pPr>
              <w:numPr>
                <w:ilvl w:val="0"/>
                <w:numId w:val="24"/>
              </w:numPr>
              <w:rPr>
                <w:rStyle w:val="Strong"/>
              </w:rPr>
            </w:pPr>
            <w:r w:rsidRPr="00883125">
              <w:rPr>
                <w:rStyle w:val="Strong"/>
              </w:rPr>
              <w:t>0.4 to 0.5</w:t>
            </w:r>
          </w:p>
        </w:tc>
      </w:tr>
      <w:tr w:rsidR="00C52695" w:rsidTr="006425B8">
        <w:trPr>
          <w:cantSplit/>
        </w:trPr>
        <w:tc>
          <w:tcPr>
            <w:tcW w:w="1562" w:type="dxa"/>
          </w:tcPr>
          <w:p w:rsidR="00C52695" w:rsidRPr="00883125" w:rsidRDefault="00C52695" w:rsidP="00C52695">
            <w:pPr>
              <w:numPr>
                <w:ilvl w:val="0"/>
                <w:numId w:val="24"/>
              </w:numPr>
            </w:pPr>
            <w:r w:rsidRPr="00883125">
              <w:t>SACES (2015)</w:t>
            </w:r>
            <w:r w:rsidRPr="00883125">
              <w:rPr>
                <w:rStyle w:val="FootnoteReference"/>
              </w:rPr>
              <w:footnoteReference w:id="262"/>
            </w:r>
          </w:p>
        </w:tc>
        <w:tc>
          <w:tcPr>
            <w:tcW w:w="2560" w:type="dxa"/>
          </w:tcPr>
          <w:p w:rsidR="00C52695" w:rsidRPr="00C52695" w:rsidRDefault="00C52695" w:rsidP="00C52695">
            <w:pPr>
              <w:rPr>
                <w:rStyle w:val="Strong"/>
              </w:rPr>
            </w:pPr>
            <w:r w:rsidRPr="00883125">
              <w:rPr>
                <w:rStyle w:val="Strong"/>
              </w:rPr>
              <w:t>0.8</w:t>
            </w:r>
            <w:r w:rsidRPr="00C52695">
              <w:t>, using cumulative payout ratio approach over only listed equity</w:t>
            </w:r>
          </w:p>
        </w:tc>
        <w:tc>
          <w:tcPr>
            <w:tcW w:w="2560" w:type="dxa"/>
          </w:tcPr>
          <w:p w:rsidR="00C52695" w:rsidRPr="00883125" w:rsidRDefault="00C52695" w:rsidP="00C52695">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52695" w:rsidRPr="00883125" w:rsidRDefault="00C52695" w:rsidP="00C52695">
            <w:pPr>
              <w:numPr>
                <w:ilvl w:val="0"/>
                <w:numId w:val="24"/>
              </w:numPr>
              <w:rPr>
                <w:rStyle w:val="Strong"/>
              </w:rPr>
            </w:pPr>
            <w:r w:rsidRPr="00883125">
              <w:rPr>
                <w:rStyle w:val="Strong"/>
              </w:rPr>
              <w:t>0.36</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CEG (2014)</w:t>
            </w:r>
            <w:r w:rsidRPr="00883125">
              <w:rPr>
                <w:rStyle w:val="FootnoteReference"/>
              </w:rPr>
              <w:footnoteReference w:id="263"/>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antSplit/>
        </w:trPr>
        <w:tc>
          <w:tcPr>
            <w:tcW w:w="1562" w:type="dxa"/>
          </w:tcPr>
          <w:p w:rsidR="00C52695" w:rsidRPr="00883125" w:rsidRDefault="00C52695" w:rsidP="00C52695">
            <w:pPr>
              <w:numPr>
                <w:ilvl w:val="0"/>
                <w:numId w:val="24"/>
              </w:numPr>
            </w:pPr>
            <w:r w:rsidRPr="00883125">
              <w:t>Gray (for SFG) (2015)</w:t>
            </w:r>
            <w:r w:rsidRPr="00883125">
              <w:rPr>
                <w:rStyle w:val="FootnoteReference"/>
              </w:rPr>
              <w:footnoteReference w:id="264"/>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Gray (for Frontier) (2015</w:t>
            </w:r>
            <w:r w:rsidR="00BB2B15">
              <w:t>, 2016</w:t>
            </w:r>
            <w:r w:rsidRPr="00883125">
              <w:t>)</w:t>
            </w:r>
            <w:r w:rsidRPr="00883125">
              <w:rPr>
                <w:rStyle w:val="FootnoteReference"/>
              </w:rPr>
              <w:footnoteReference w:id="265"/>
            </w:r>
          </w:p>
        </w:tc>
        <w:tc>
          <w:tcPr>
            <w:tcW w:w="2560" w:type="dxa"/>
          </w:tcPr>
          <w:p w:rsidR="00C52695" w:rsidRPr="00C52695" w:rsidRDefault="00C52695" w:rsidP="00C52695">
            <w:pPr>
              <w:rPr>
                <w:rStyle w:val="Strong"/>
              </w:rPr>
            </w:pPr>
            <w:r w:rsidRPr="00883125">
              <w:rPr>
                <w:rStyle w:val="Strong"/>
              </w:rPr>
              <w:t>0.7</w:t>
            </w:r>
            <w:r w:rsidRPr="00C52695">
              <w:t>, using cumulative payout ratio approach over all equity, or alternatively using an estimate of the payout ratio for listed equity excluding the 20 largest firms.</w:t>
            </w:r>
          </w:p>
        </w:tc>
        <w:tc>
          <w:tcPr>
            <w:tcW w:w="2560" w:type="dxa"/>
          </w:tcPr>
          <w:p w:rsidR="00C52695" w:rsidRPr="00C52695" w:rsidRDefault="00C52695" w:rsidP="00C52695">
            <w:pPr>
              <w:rPr>
                <w:rStyle w:val="Strong"/>
              </w:rPr>
            </w:pPr>
            <w:r w:rsidRPr="00883125">
              <w:rPr>
                <w:rStyle w:val="Strong"/>
              </w:rPr>
              <w:t>0.35</w:t>
            </w:r>
            <w:r w:rsidRPr="00C5269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bl>
    <w:p w:rsidR="00C52695" w:rsidRPr="00883125" w:rsidRDefault="00C52695" w:rsidP="00C52695">
      <w:pPr>
        <w:pStyle w:val="AERtablesource"/>
      </w:pPr>
      <w:r w:rsidRPr="00883125">
        <w:t>Source:</w:t>
      </w:r>
      <w:r w:rsidRPr="00883125">
        <w:tab/>
        <w:t>As specified in table.</w:t>
      </w:r>
    </w:p>
    <w:p w:rsidR="00C52695" w:rsidRPr="00883125" w:rsidRDefault="00C52695" w:rsidP="00C52695">
      <w:pPr>
        <w:numPr>
          <w:ilvl w:val="0"/>
          <w:numId w:val="24"/>
        </w:numPr>
      </w:pPr>
      <w:r w:rsidRPr="00883125">
        <w:t xml:space="preserve">In summary: </w:t>
      </w:r>
    </w:p>
    <w:p w:rsidR="00C52695" w:rsidRPr="001D37D5" w:rsidRDefault="00C52695" w:rsidP="00187D9E">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BF66D3">
        <w:t>A.10.2</w:t>
      </w:r>
      <w:r w:rsidRPr="001D37D5">
        <w:fldChar w:fldCharType="end"/>
      </w:r>
      <w:r w:rsidRPr="001D37D5">
        <w:t xml:space="preserve">. However, Handley considers that this approach should be applied to only listed equity, and this produces a higher estimate of the distribution rate. The South Australian Centre for Economic Studies (SACES) accepts Handley's approach. Lally </w:t>
      </w:r>
      <w:r w:rsidR="00187D9E">
        <w:t xml:space="preserve">considers </w:t>
      </w:r>
      <w:r w:rsidR="008919F2">
        <w:t xml:space="preserve">there is no necessity to combine </w:t>
      </w:r>
      <w:r w:rsidR="008919F2" w:rsidRPr="001D37D5">
        <w:t>estimates of the distribution rate and utilisation rate from the same dataset</w:t>
      </w:r>
      <w:r w:rsidR="008919F2">
        <w:t xml:space="preserve"> and good reason not for not doing so.</w:t>
      </w:r>
      <w:r w:rsidR="008919F2">
        <w:rPr>
          <w:rStyle w:val="FootnoteReference"/>
        </w:rPr>
        <w:footnoteReference w:id="266"/>
      </w:r>
      <w:r w:rsidR="008919F2">
        <w:t xml:space="preserve"> </w:t>
      </w:r>
      <w:r w:rsidR="00452BA3">
        <w:t>However, we note given Lally's advice our approach appears to lead to a conservative gamma estimate (in favour of the service provider)</w:t>
      </w:r>
      <w:r w:rsidR="00187D9E">
        <w:t>, as</w:t>
      </w:r>
      <w:r w:rsidR="00452BA3" w:rsidRPr="00CF4EC3">
        <w:t xml:space="preserve"> Lally considered that only listed firms should be used to determine the distribution rate and all equity </w:t>
      </w:r>
      <w:r w:rsidR="00452BA3">
        <w:t xml:space="preserve">firms </w:t>
      </w:r>
      <w:r w:rsidR="00452BA3" w:rsidRPr="00CF4EC3">
        <w:t>should be used to estimate the utilisation value which result</w:t>
      </w:r>
      <w:r w:rsidR="00452BA3">
        <w:t>s</w:t>
      </w:r>
      <w:r w:rsidR="00452BA3" w:rsidRPr="00CF4EC3">
        <w:t xml:space="preserve"> in a gamma estimate of 0.5</w:t>
      </w:r>
      <w:r w:rsidR="00452BA3">
        <w:t>.</w:t>
      </w:r>
      <w:r w:rsidR="00922C6D">
        <w:t xml:space="preserve"> </w:t>
      </w:r>
      <w:r w:rsidRPr="001D37D5">
        <w:t>Lally considers the best estimate of the distribution rate for a benchmark efficient entity is 0.83, calculated using the financial statements of the 20 largest ASX-listed companies.</w:t>
      </w:r>
    </w:p>
    <w:p w:rsidR="00C52695" w:rsidRPr="001D37D5" w:rsidRDefault="00C52695" w:rsidP="00C52695">
      <w:pPr>
        <w:pStyle w:val="AERbulletlistfirststyle"/>
      </w:pPr>
      <w:r w:rsidRPr="00883125">
        <w:t>There is no widely accepted utilisation rate or method for estimating it. The recommended values for the utilisation rate range from 0.35 to 1</w:t>
      </w:r>
      <w:r w:rsidRPr="001D37D5">
        <w:t xml:space="preserve">.0. </w:t>
      </w:r>
    </w:p>
    <w:p w:rsidR="00C52695" w:rsidRPr="00883125" w:rsidRDefault="00C52695" w:rsidP="00C52695">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52695" w:rsidRPr="001D37D5" w:rsidRDefault="00C52695" w:rsidP="00C52695">
      <w:pPr>
        <w:pStyle w:val="AERbulletlistfirststyle"/>
      </w:pPr>
      <w:r w:rsidRPr="00883125">
        <w:t>As a result of the differing approaches, particularly to the utilisation rate, the range of estimates of the value of imputation credits is 0.25 to 0.8</w:t>
      </w:r>
      <w:r w:rsidRPr="001D37D5">
        <w:t>3.</w:t>
      </w:r>
    </w:p>
    <w:p w:rsidR="00C52695" w:rsidRPr="00883125" w:rsidRDefault="00C52695" w:rsidP="00C52695">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rsidR="00D577C3">
        <w:t>draft</w:t>
      </w:r>
      <w:r w:rsidR="00D577C3" w:rsidRPr="00883125">
        <w:t xml:space="preserve"> </w:t>
      </w:r>
      <w:r w:rsidRPr="00883125">
        <w:t>decision value of imputation credits of 0.4 sits in the lower half of the range recommended by experts, which is more favourable to service providers.</w:t>
      </w:r>
    </w:p>
    <w:p w:rsidR="00C52695" w:rsidRPr="00883125" w:rsidRDefault="00C52695" w:rsidP="00C52695">
      <w:pPr>
        <w:pStyle w:val="Heading8"/>
      </w:pPr>
      <w:bookmarkStart w:id="151" w:name="_Toc450119245"/>
      <w:bookmarkStart w:id="152" w:name="_Toc450119407"/>
      <w:bookmarkStart w:id="153" w:name="_Ref414621875"/>
      <w:bookmarkStart w:id="154" w:name="_Toc436049443"/>
      <w:bookmarkStart w:id="155" w:name="_Toc451842247"/>
      <w:bookmarkStart w:id="156" w:name="_Toc451938303"/>
      <w:bookmarkStart w:id="157" w:name="_Toc456614291"/>
      <w:bookmarkStart w:id="158" w:name="_Toc462823309"/>
      <w:bookmarkStart w:id="159" w:name="_Toc487014310"/>
      <w:bookmarkEnd w:id="151"/>
      <w:bookmarkEnd w:id="152"/>
      <w:r w:rsidRPr="00883125">
        <w:t>The value of imputation credits used by other regulators</w:t>
      </w:r>
      <w:bookmarkEnd w:id="153"/>
      <w:bookmarkEnd w:id="154"/>
      <w:bookmarkEnd w:id="155"/>
      <w:bookmarkEnd w:id="156"/>
      <w:bookmarkEnd w:id="157"/>
      <w:bookmarkEnd w:id="158"/>
      <w:bookmarkEnd w:id="159"/>
    </w:p>
    <w:p w:rsidR="00EB5A7B" w:rsidRDefault="00C52695" w:rsidP="00C52695">
      <w:r w:rsidRPr="00883125">
        <w:t>Australian regulators have applied a wide range of approaches to estimate the value of imputation credits, resulting in varied outcomes.</w:t>
      </w:r>
      <w:r w:rsidR="00DB750D">
        <w:t xml:space="preserve"> </w:t>
      </w:r>
      <w:r w:rsidR="00DB750D">
        <w:fldChar w:fldCharType="begin"/>
      </w:r>
      <w:r w:rsidR="00DB750D">
        <w:instrText xml:space="preserve"> REF _Ref477212377 \h </w:instrText>
      </w:r>
      <w:r w:rsidR="00DB750D">
        <w:fldChar w:fldCharType="separate"/>
      </w:r>
      <w:r w:rsidR="00BF66D3" w:rsidRPr="00883125">
        <w:t xml:space="preserve">Table </w:t>
      </w:r>
      <w:r w:rsidR="00BF66D3">
        <w:rPr>
          <w:noProof/>
        </w:rPr>
        <w:t>4</w:t>
      </w:r>
      <w:r w:rsidR="00BF66D3">
        <w:noBreakHyphen/>
      </w:r>
      <w:r w:rsidR="00BF66D3">
        <w:rPr>
          <w:noProof/>
        </w:rPr>
        <w:t>7</w:t>
      </w:r>
      <w:r w:rsidR="00DB750D">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60" w:name="_Ref401082422"/>
    </w:p>
    <w:p w:rsidR="00C52695" w:rsidRPr="00883125" w:rsidRDefault="00C52695" w:rsidP="00EB5A7B">
      <w:pPr>
        <w:pStyle w:val="Caption"/>
      </w:pPr>
      <w:bookmarkStart w:id="161" w:name="_Ref477212377"/>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7</w:t>
      </w:r>
      <w:r w:rsidRPr="001D37D5">
        <w:fldChar w:fldCharType="end"/>
      </w:r>
      <w:bookmarkEnd w:id="160"/>
      <w:bookmarkEnd w:id="161"/>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07085B">
            <w:pPr>
              <w:keepNext/>
              <w:numPr>
                <w:ilvl w:val="0"/>
                <w:numId w:val="24"/>
              </w:numPr>
              <w:rPr>
                <w:rFonts w:eastAsiaTheme="minorHAnsi" w:cstheme="minorBidi"/>
                <w:b w:val="0"/>
                <w:color w:val="auto"/>
                <w:sz w:val="22"/>
                <w:szCs w:val="22"/>
                <w:lang w:eastAsia="en-US"/>
              </w:rPr>
            </w:pPr>
            <w:r w:rsidRPr="00883125">
              <w:t>Regulator</w:t>
            </w:r>
          </w:p>
        </w:tc>
        <w:tc>
          <w:tcPr>
            <w:tcW w:w="1842" w:type="dxa"/>
          </w:tcPr>
          <w:p w:rsidR="00C52695" w:rsidRPr="00883125" w:rsidRDefault="00C52695" w:rsidP="0007085B">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Form of adoption</w:t>
            </w:r>
          </w:p>
        </w:tc>
        <w:tc>
          <w:tcPr>
            <w:tcW w:w="709" w:type="dxa"/>
          </w:tcPr>
          <w:p w:rsidR="00C52695" w:rsidRPr="00883125" w:rsidRDefault="00C52695" w:rsidP="0007085B">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Year</w:t>
            </w:r>
          </w:p>
        </w:tc>
        <w:tc>
          <w:tcPr>
            <w:tcW w:w="1768" w:type="dxa"/>
          </w:tcPr>
          <w:p w:rsidR="00C52695" w:rsidRPr="00883125" w:rsidRDefault="00C52695" w:rsidP="0007085B">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Distribution rate</w:t>
            </w:r>
          </w:p>
        </w:tc>
        <w:tc>
          <w:tcPr>
            <w:tcW w:w="1911" w:type="dxa"/>
          </w:tcPr>
          <w:p w:rsidR="00C52695" w:rsidRPr="00883125" w:rsidRDefault="00C52695" w:rsidP="0007085B">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Utilisation rate</w:t>
            </w:r>
          </w:p>
        </w:tc>
        <w:tc>
          <w:tcPr>
            <w:tcW w:w="1911" w:type="dxa"/>
          </w:tcPr>
          <w:p w:rsidR="00C52695" w:rsidRPr="00883125" w:rsidRDefault="00C52695" w:rsidP="0007085B">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07085B">
            <w:pPr>
              <w:keepNext/>
              <w:rPr>
                <w:rFonts w:eastAsiaTheme="minorHAnsi" w:cstheme="minorBidi"/>
                <w:sz w:val="22"/>
                <w:szCs w:val="22"/>
                <w:lang w:eastAsia="en-US"/>
              </w:rPr>
            </w:pPr>
            <w:r w:rsidRPr="00883125">
              <w:t>IPART</w:t>
            </w:r>
            <w:r w:rsidRPr="00C52695">
              <w:rPr>
                <w:rStyle w:val="FootnoteReference"/>
              </w:rPr>
              <w:footnoteReference w:id="267"/>
            </w:r>
          </w:p>
        </w:tc>
        <w:tc>
          <w:tcPr>
            <w:tcW w:w="1842" w:type="dxa"/>
          </w:tcPr>
          <w:p w:rsidR="00C52695" w:rsidRPr="00883125" w:rsidRDefault="00664394"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Sydney Desalination Plant Review of Prices</w:t>
            </w:r>
          </w:p>
        </w:tc>
        <w:tc>
          <w:tcPr>
            <w:tcW w:w="709" w:type="dxa"/>
          </w:tcPr>
          <w:p w:rsidR="00C52695" w:rsidRPr="00883125" w:rsidRDefault="00664394"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7</w:t>
            </w:r>
          </w:p>
        </w:tc>
        <w:tc>
          <w:tcPr>
            <w:tcW w:w="1768"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0.7</w:t>
            </w:r>
            <w:r w:rsidRPr="00883125">
              <w:t>, using cumulative payout ratio approach</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0.35</w:t>
            </w:r>
            <w:r w:rsidRPr="00883125">
              <w:t>, using 2011 version of SFG dividend drop off study</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07085B">
            <w:pPr>
              <w:keepNext/>
              <w:rPr>
                <w:rFonts w:eastAsiaTheme="minorHAnsi" w:cstheme="minorBidi"/>
                <w:b/>
                <w:bCs/>
                <w:sz w:val="22"/>
                <w:szCs w:val="22"/>
                <w:lang w:eastAsia="en-US"/>
              </w:rPr>
            </w:pPr>
            <w:r w:rsidRPr="00883125">
              <w:t>ESC</w:t>
            </w:r>
            <w:r w:rsidRPr="00C52695">
              <w:rPr>
                <w:rStyle w:val="AERsuperscript"/>
              </w:rPr>
              <w:footnoteReference w:id="268"/>
            </w:r>
          </w:p>
        </w:tc>
        <w:tc>
          <w:tcPr>
            <w:tcW w:w="1842" w:type="dxa"/>
          </w:tcPr>
          <w:p w:rsidR="00C52695" w:rsidRPr="00883125" w:rsidRDefault="006D36C8"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Melbourne Water 2016-17</w:t>
            </w:r>
          </w:p>
        </w:tc>
        <w:tc>
          <w:tcPr>
            <w:tcW w:w="709"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rPr>
                <w:rStyle w:val="Strong"/>
              </w:rPr>
              <w:t>0.5</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07085B">
            <w:pPr>
              <w:keepNext/>
              <w:rPr>
                <w:rFonts w:eastAsiaTheme="minorHAnsi" w:cstheme="minorBidi"/>
                <w:b/>
                <w:bCs/>
                <w:sz w:val="22"/>
                <w:szCs w:val="22"/>
                <w:lang w:eastAsia="en-US"/>
              </w:rPr>
            </w:pPr>
            <w:r w:rsidRPr="00883125">
              <w:t>QCA</w:t>
            </w:r>
            <w:r w:rsidRPr="00C52695">
              <w:rPr>
                <w:rStyle w:val="FootnoteReference"/>
              </w:rPr>
              <w:footnoteReference w:id="269"/>
            </w:r>
            <w:r w:rsidRPr="00C52695">
              <w:t xml:space="preserve">  </w:t>
            </w:r>
          </w:p>
        </w:tc>
        <w:tc>
          <w:tcPr>
            <w:tcW w:w="1842" w:type="dxa"/>
          </w:tcPr>
          <w:p w:rsidR="00C52695" w:rsidRPr="00883125" w:rsidRDefault="009A78E0"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 xml:space="preserve">Dalrymple Bay Coal Terminal access undertaking </w:t>
            </w:r>
          </w:p>
        </w:tc>
        <w:tc>
          <w:tcPr>
            <w:tcW w:w="709"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0.56</w:t>
            </w:r>
            <w:r w:rsidRPr="00883125">
              <w:t>, based primarily on the domestic ownership share of listed equity</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07085B">
            <w:pPr>
              <w:keepNext/>
              <w:numPr>
                <w:ilvl w:val="0"/>
                <w:numId w:val="24"/>
              </w:numPr>
              <w:rPr>
                <w:rFonts w:eastAsiaTheme="minorHAnsi" w:cstheme="minorBidi"/>
                <w:b/>
                <w:bCs/>
                <w:sz w:val="22"/>
                <w:szCs w:val="22"/>
                <w:lang w:eastAsia="en-US"/>
              </w:rPr>
            </w:pPr>
            <w:r w:rsidRPr="00883125">
              <w:t>ERA</w:t>
            </w:r>
            <w:r w:rsidRPr="00883125">
              <w:rPr>
                <w:rStyle w:val="FootnoteReference"/>
              </w:rPr>
              <w:footnoteReference w:id="270"/>
            </w:r>
            <w:r w:rsidRPr="00883125">
              <w:t xml:space="preserve">  </w:t>
            </w:r>
          </w:p>
        </w:tc>
        <w:tc>
          <w:tcPr>
            <w:tcW w:w="1842"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Proposed Revisions to the Access Arrangement for the Dampier to Bunbury National Gas Pipeline 2016-30, final decision</w:t>
            </w:r>
            <w:r w:rsidRPr="00883125">
              <w:t xml:space="preserve"> </w:t>
            </w:r>
          </w:p>
        </w:tc>
        <w:tc>
          <w:tcPr>
            <w:tcW w:w="709"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7 to 0.8</w:t>
            </w:r>
          </w:p>
        </w:tc>
        <w:tc>
          <w:tcPr>
            <w:tcW w:w="1911"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C52695" w:rsidRPr="00883125" w:rsidRDefault="00C52695" w:rsidP="0007085B">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4</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07085B">
            <w:pPr>
              <w:keepNext/>
              <w:numPr>
                <w:ilvl w:val="0"/>
                <w:numId w:val="24"/>
              </w:numPr>
              <w:rPr>
                <w:rFonts w:eastAsiaTheme="minorHAnsi" w:cstheme="minorBidi"/>
                <w:b/>
                <w:bCs/>
                <w:sz w:val="22"/>
                <w:szCs w:val="22"/>
                <w:lang w:eastAsia="en-US"/>
              </w:rPr>
            </w:pPr>
            <w:r w:rsidRPr="00883125">
              <w:t>ACCC</w:t>
            </w:r>
            <w:r w:rsidRPr="00883125">
              <w:rPr>
                <w:rStyle w:val="FootnoteReference"/>
              </w:rPr>
              <w:footnoteReference w:id="271"/>
            </w:r>
            <w:r w:rsidRPr="00883125">
              <w:t xml:space="preserve"> </w:t>
            </w:r>
          </w:p>
        </w:tc>
        <w:tc>
          <w:tcPr>
            <w:tcW w:w="1842"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Australian Postal Corporation 2015 Price Notification</w:t>
            </w:r>
          </w:p>
        </w:tc>
        <w:tc>
          <w:tcPr>
            <w:tcW w:w="709"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2015</w:t>
            </w:r>
          </w:p>
        </w:tc>
        <w:tc>
          <w:tcPr>
            <w:tcW w:w="1768"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07085B">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0.4</w:t>
            </w:r>
            <w:r w:rsidRPr="00883125">
              <w:t>, set for consistency with previous ACCC</w:t>
            </w:r>
            <w:r>
              <w:t xml:space="preserve"> and AER </w:t>
            </w:r>
            <w:r w:rsidRPr="00883125">
              <w:t>decisions</w:t>
            </w:r>
          </w:p>
        </w:tc>
      </w:tr>
    </w:tbl>
    <w:p w:rsidR="00C52695" w:rsidRPr="00883125" w:rsidRDefault="00C52695" w:rsidP="0007085B">
      <w:pPr>
        <w:pStyle w:val="AERtablesource"/>
        <w:keepNext/>
      </w:pPr>
      <w:r w:rsidRPr="00883125">
        <w:t>Source:</w:t>
      </w:r>
      <w:r w:rsidRPr="00883125">
        <w:tab/>
        <w:t>As specified in table.</w:t>
      </w:r>
    </w:p>
    <w:p w:rsidR="00C52695" w:rsidRPr="00883125" w:rsidRDefault="00C52695" w:rsidP="00C52695">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D577C3">
        <w:t xml:space="preserve">draft </w:t>
      </w:r>
      <w:r w:rsidRPr="00883125">
        <w:t>decision value of imputation credits of 0.4 sits within the range adopted by regulators.</w:t>
      </w:r>
    </w:p>
    <w:p w:rsidR="00C52695" w:rsidRPr="00883125" w:rsidRDefault="00C52695" w:rsidP="00C52695">
      <w:pPr>
        <w:pStyle w:val="Heading8"/>
      </w:pPr>
      <w:bookmarkStart w:id="162" w:name="_Toc436049444"/>
      <w:bookmarkStart w:id="163" w:name="_Toc451842248"/>
      <w:bookmarkStart w:id="164" w:name="_Toc451938304"/>
      <w:bookmarkStart w:id="165" w:name="_Toc456614292"/>
      <w:bookmarkStart w:id="166" w:name="_Toc462823310"/>
      <w:bookmarkStart w:id="167" w:name="_Toc487014311"/>
      <w:r w:rsidRPr="00883125">
        <w:t>Previous Australian Competition Tribunal considerations</w:t>
      </w:r>
      <w:bookmarkEnd w:id="162"/>
      <w:bookmarkEnd w:id="163"/>
      <w:bookmarkEnd w:id="164"/>
      <w:bookmarkEnd w:id="165"/>
      <w:bookmarkEnd w:id="166"/>
      <w:bookmarkEnd w:id="167"/>
    </w:p>
    <w:p w:rsidR="00C52695" w:rsidRPr="00883125" w:rsidRDefault="00C52695" w:rsidP="00C52695">
      <w:pPr>
        <w:numPr>
          <w:ilvl w:val="0"/>
          <w:numId w:val="24"/>
        </w:numPr>
      </w:pPr>
      <w:r w:rsidRPr="00883125">
        <w:t xml:space="preserve">The Australian Competition Tribunal has considered in detail the value of imputation credits (gamma) in </w:t>
      </w:r>
      <w:r w:rsidR="006425B8">
        <w:t>five</w:t>
      </w:r>
      <w:r w:rsidR="006425B8" w:rsidRPr="00883125">
        <w:t xml:space="preserve"> </w:t>
      </w:r>
      <w:r w:rsidRPr="00883125">
        <w:t>proceedings since 2010, relating to applications by:</w:t>
      </w:r>
    </w:p>
    <w:p w:rsidR="006425B8" w:rsidRDefault="00F7230D" w:rsidP="006425B8">
      <w:pPr>
        <w:pStyle w:val="AERbulletlistfirststyle"/>
      </w:pPr>
      <w:r>
        <w:t>SA Power Networks</w:t>
      </w:r>
    </w:p>
    <w:p w:rsidR="00C52695" w:rsidRPr="00F7230D" w:rsidRDefault="00C52695" w:rsidP="006425B8">
      <w:pPr>
        <w:pStyle w:val="AERbulletlistfirststyle"/>
        <w:rPr>
          <w:rStyle w:val="CommentReference"/>
          <w:sz w:val="22"/>
          <w:szCs w:val="22"/>
        </w:rPr>
      </w:pPr>
      <w:r w:rsidRPr="002614DB">
        <w:t xml:space="preserve">ActewAGL Distribution, Ausgrid, Endeavour Energy, Essential Energy and Jemena Gas </w:t>
      </w:r>
      <w:r w:rsidRPr="006425B8">
        <w:t>Networks</w:t>
      </w:r>
      <w:r w:rsidRPr="00C52695" w:rsidDel="00C2259D">
        <w:rPr>
          <w:rStyle w:val="CommentReference"/>
        </w:rPr>
        <w:t xml:space="preserve"> </w:t>
      </w:r>
    </w:p>
    <w:p w:rsidR="00C52695" w:rsidRPr="00883125" w:rsidRDefault="00C52695" w:rsidP="00C52695">
      <w:pPr>
        <w:pStyle w:val="AERbulletlistfirststyle"/>
      </w:pPr>
      <w:r w:rsidRPr="00883125">
        <w:t>Energex Limited</w:t>
      </w:r>
    </w:p>
    <w:p w:rsidR="00C52695" w:rsidRPr="00883125" w:rsidRDefault="00C52695" w:rsidP="00C52695">
      <w:pPr>
        <w:pStyle w:val="AERbulletlistfirststyle"/>
      </w:pPr>
      <w:r w:rsidRPr="00883125">
        <w:t>DBNGP (WA) Transmission Pty Ltd, and</w:t>
      </w:r>
    </w:p>
    <w:p w:rsidR="00C52695" w:rsidRPr="00883125" w:rsidRDefault="00C52695" w:rsidP="00C52695">
      <w:pPr>
        <w:pStyle w:val="AERbulletlistfirststyle"/>
      </w:pPr>
      <w:r w:rsidRPr="00883125">
        <w:t>WA Gas Networks Pty Ltd.</w:t>
      </w:r>
    </w:p>
    <w:p w:rsidR="00C52695" w:rsidRDefault="00C52695" w:rsidP="00C52695">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F7230D" w:rsidRPr="00883125" w:rsidRDefault="00F7230D" w:rsidP="00F7230D">
      <w:pPr>
        <w:pStyle w:val="Heading9"/>
      </w:pPr>
      <w:bookmarkStart w:id="168" w:name="_Toc487014312"/>
      <w:r>
        <w:t>SA Power Networks</w:t>
      </w:r>
      <w:bookmarkEnd w:id="168"/>
    </w:p>
    <w:p w:rsidR="00893A37" w:rsidRDefault="00EE4781" w:rsidP="004B237A">
      <w:r w:rsidRPr="00883125">
        <w:t xml:space="preserve">In </w:t>
      </w:r>
      <w:r>
        <w:t>October</w:t>
      </w:r>
      <w:r w:rsidRPr="00883125">
        <w:t xml:space="preserve"> 2015 we released our final decisions for </w:t>
      </w:r>
      <w:r>
        <w:t>SA Power Networks</w:t>
      </w:r>
      <w:r w:rsidR="006B645D">
        <w:t xml:space="preserve">, where </w:t>
      </w:r>
      <w:r w:rsidRPr="00883125">
        <w:t>we adopted a gamma estimate of 0.4.</w:t>
      </w:r>
      <w:r w:rsidR="006B645D">
        <w:t xml:space="preserve"> The </w:t>
      </w:r>
      <w:r w:rsidR="00096A14">
        <w:t xml:space="preserve">SAPN </w:t>
      </w:r>
      <w:r w:rsidR="006B645D">
        <w:t>Tribunal upheld the AER's decision</w:t>
      </w:r>
      <w:r w:rsidR="00EC7124">
        <w:t>.</w:t>
      </w:r>
      <w:r w:rsidR="006B645D">
        <w:t xml:space="preserve"> </w:t>
      </w:r>
      <w:r w:rsidR="001E0C22" w:rsidRPr="008F5D24">
        <w:t xml:space="preserve">In reaching its position, the </w:t>
      </w:r>
      <w:r w:rsidR="00096A14">
        <w:t xml:space="preserve">SAPN </w:t>
      </w:r>
      <w:r w:rsidR="001E0C22" w:rsidRPr="008F5D24">
        <w:t xml:space="preserve">Tribunal expressed views on the important factors in its decision. The </w:t>
      </w:r>
      <w:r w:rsidR="00096A14">
        <w:t xml:space="preserve">SAPN </w:t>
      </w:r>
      <w:r w:rsidR="001E0C22" w:rsidRPr="008F5D24">
        <w:t>Tribunal</w:t>
      </w:r>
      <w:r w:rsidR="00913303">
        <w:t>'</w:t>
      </w:r>
      <w:r w:rsidR="001E0C22" w:rsidRPr="008F5D24">
        <w:t xml:space="preserve">s views </w:t>
      </w:r>
      <w:r w:rsidR="009528C0">
        <w:t>are</w:t>
      </w:r>
      <w:r w:rsidR="001E0C22" w:rsidRPr="008F5D24">
        <w:t xml:space="preserve"> summarised in </w:t>
      </w:r>
      <w:r w:rsidR="001E0C22" w:rsidRPr="001E0C22">
        <w:fldChar w:fldCharType="begin"/>
      </w:r>
      <w:r w:rsidR="001E0C22" w:rsidRPr="001E0C22">
        <w:instrText xml:space="preserve"> REF  _Ref450040370 \* Lower \h  \* MERGEFORMAT </w:instrText>
      </w:r>
      <w:r w:rsidR="001E0C22" w:rsidRPr="001E0C22">
        <w:fldChar w:fldCharType="separate"/>
      </w:r>
      <w:r w:rsidR="00BF66D3" w:rsidRPr="005764F6">
        <w:t xml:space="preserve">table </w:t>
      </w:r>
      <w:r w:rsidR="00BF66D3">
        <w:t>4</w:t>
      </w:r>
      <w:r w:rsidR="00BF66D3" w:rsidRPr="005764F6">
        <w:noBreakHyphen/>
      </w:r>
      <w:r w:rsidR="00BF66D3">
        <w:t>9</w:t>
      </w:r>
      <w:r w:rsidR="001E0C22" w:rsidRPr="001E0C22">
        <w:fldChar w:fldCharType="end"/>
      </w:r>
      <w:r w:rsidR="00AB2A83">
        <w:t xml:space="preserve"> below.</w:t>
      </w:r>
    </w:p>
    <w:p w:rsidR="00893A37" w:rsidRPr="00883125" w:rsidRDefault="00893A37" w:rsidP="00BB71EE"/>
    <w:p w:rsidR="00BB71EE" w:rsidRPr="00883125" w:rsidRDefault="00BB71EE" w:rsidP="00BB71EE">
      <w:pPr>
        <w:sectPr w:rsidR="00BB71EE" w:rsidRPr="00883125" w:rsidSect="006425B8">
          <w:footerReference w:type="even" r:id="rId14"/>
          <w:footerReference w:type="default" r:id="rId15"/>
          <w:pgSz w:w="11906" w:h="16838"/>
          <w:pgMar w:top="1440" w:right="1440" w:bottom="1440" w:left="1440" w:header="708" w:footer="708" w:gutter="0"/>
          <w:pgNumType w:chapStyle="1"/>
          <w:cols w:space="708"/>
          <w:docGrid w:linePitch="360"/>
        </w:sectPr>
      </w:pPr>
    </w:p>
    <w:p w:rsidR="00E05498" w:rsidRPr="005764F6" w:rsidRDefault="00E05498" w:rsidP="00E05498">
      <w:pPr>
        <w:pStyle w:val="Tabletitle"/>
      </w:pPr>
      <w:bookmarkStart w:id="169" w:name="_Ref478471962"/>
      <w:r w:rsidRPr="005764F6">
        <w:t xml:space="preserve">Table </w:t>
      </w:r>
      <w:r w:rsidRPr="00CA67C0">
        <w:fldChar w:fldCharType="begin"/>
      </w:r>
      <w:r>
        <w:instrText xml:space="preserve"> STYLEREF 1 \s </w:instrText>
      </w:r>
      <w:r w:rsidRPr="00CA67C0">
        <w:fldChar w:fldCharType="separate"/>
      </w:r>
      <w:r w:rsidR="00BF66D3">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BF66D3">
        <w:rPr>
          <w:noProof/>
        </w:rPr>
        <w:t>8</w:t>
      </w:r>
      <w:r w:rsidRPr="00CA67C0">
        <w:fldChar w:fldCharType="end"/>
      </w:r>
      <w:bookmarkEnd w:id="169"/>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55269A" w:rsidTr="00E750F8">
        <w:trPr>
          <w:cnfStyle w:val="100000000000" w:firstRow="1" w:lastRow="0" w:firstColumn="0" w:lastColumn="0" w:oddVBand="0" w:evenVBand="0" w:oddHBand="0" w:evenHBand="0" w:firstRowFirstColumn="0" w:firstRowLastColumn="0" w:lastRowFirstColumn="0" w:lastRowLastColumn="0"/>
          <w:tblHeader/>
        </w:trPr>
        <w:tc>
          <w:tcPr>
            <w:tcW w:w="778" w:type="pct"/>
          </w:tcPr>
          <w:p w:rsidR="0055269A" w:rsidRPr="00E05498" w:rsidRDefault="0055269A" w:rsidP="00E05498">
            <w:r w:rsidRPr="00883125">
              <w:t>Issue</w:t>
            </w:r>
          </w:p>
        </w:tc>
        <w:tc>
          <w:tcPr>
            <w:tcW w:w="4222" w:type="pct"/>
          </w:tcPr>
          <w:p w:rsidR="0055269A" w:rsidRPr="00E05498" w:rsidRDefault="0055269A" w:rsidP="00E05498">
            <w:r w:rsidRPr="00883125">
              <w:t>Tribunal comments</w:t>
            </w:r>
          </w:p>
        </w:tc>
      </w:tr>
      <w:tr w:rsidR="0055269A" w:rsidTr="00E750F8">
        <w:tc>
          <w:tcPr>
            <w:tcW w:w="778" w:type="pct"/>
          </w:tcPr>
          <w:p w:rsidR="0055269A" w:rsidRPr="00883125" w:rsidRDefault="0055269A" w:rsidP="00E05498">
            <w:r>
              <w:t>Transaction costs</w:t>
            </w:r>
          </w:p>
        </w:tc>
        <w:tc>
          <w:tcPr>
            <w:tcW w:w="4222" w:type="pct"/>
          </w:tcPr>
          <w:p w:rsidR="0055269A" w:rsidRPr="006C6D7F" w:rsidRDefault="005A64FC" w:rsidP="006C6D7F">
            <w:r>
              <w:t>T</w:t>
            </w:r>
            <w:r w:rsidR="0055269A" w:rsidRPr="006C6D7F">
              <w:t>ime value of money</w:t>
            </w:r>
            <w:r>
              <w:t>:</w:t>
            </w:r>
            <w:r w:rsidR="0055269A" w:rsidRPr="006C6D7F">
              <w:t xml:space="preserve"> the Tribunal considered that it might hold for some investors, but would appear to imply logically that such investors will also discount the tax costs associated with any taxes yet to be paid on dividends.</w:t>
            </w:r>
            <w:r w:rsidR="0055269A" w:rsidRPr="006C6D7F">
              <w:rPr>
                <w:rStyle w:val="FootnoteReference"/>
              </w:rPr>
              <w:footnoteReference w:id="272"/>
            </w:r>
            <w:r w:rsidR="0055269A" w:rsidRPr="006C6D7F">
              <w:t xml:space="preserve"> In any case, the Tribunal considered that the relatively short time lags and the current low discount rates would suggest the time value of money effect is likely to be small.</w:t>
            </w:r>
            <w:r w:rsidR="0055269A" w:rsidRPr="006C6D7F">
              <w:rPr>
                <w:rStyle w:val="FootnoteReference"/>
              </w:rPr>
              <w:t xml:space="preserve"> </w:t>
            </w:r>
            <w:r w:rsidR="0055269A" w:rsidRPr="006C6D7F">
              <w:rPr>
                <w:rStyle w:val="FootnoteReference"/>
              </w:rPr>
              <w:footnoteReference w:id="273"/>
            </w:r>
            <w:r w:rsidR="0055269A" w:rsidRPr="006C6D7F">
              <w:t xml:space="preserve"> </w:t>
            </w:r>
          </w:p>
          <w:p w:rsidR="0055269A" w:rsidRPr="006C6D7F" w:rsidRDefault="005A64FC" w:rsidP="006C6D7F">
            <w:r>
              <w:t xml:space="preserve">45 day rule: </w:t>
            </w:r>
            <w:r w:rsidR="0055269A" w:rsidRPr="006C6D7F">
              <w:t>the Tribunal considered that the evidence presented to it about the reliability of tax statistics suggested the materiality of this point is hard to judge</w:t>
            </w:r>
            <w:r w:rsidR="009528C0">
              <w:t>.</w:t>
            </w:r>
            <w:r w:rsidR="0055269A" w:rsidRPr="006C6D7F">
              <w:rPr>
                <w:rStyle w:val="FootnoteReference"/>
              </w:rPr>
              <w:t xml:space="preserve"> </w:t>
            </w:r>
            <w:r w:rsidR="0055269A" w:rsidRPr="006C6D7F">
              <w:rPr>
                <w:rStyle w:val="FootnoteReference"/>
              </w:rPr>
              <w:footnoteReference w:id="274"/>
            </w:r>
            <w:r w:rsidR="0055269A" w:rsidRPr="006C6D7F">
              <w:t xml:space="preserve"> </w:t>
            </w:r>
          </w:p>
          <w:p w:rsidR="0055269A" w:rsidRPr="007B43C4" w:rsidRDefault="005A64FC" w:rsidP="007B43C4">
            <w:r>
              <w:t>P</w:t>
            </w:r>
            <w:r w:rsidR="0055269A" w:rsidRPr="007B43C4">
              <w:t>ortfolio effects</w:t>
            </w:r>
            <w:r>
              <w:t>:</w:t>
            </w:r>
            <w:r w:rsidR="0055269A" w:rsidRPr="007B43C4">
              <w:t xml:space="preserve">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0055269A" w:rsidRPr="007B43C4">
              <w:rPr>
                <w:rStyle w:val="FootnoteReference"/>
              </w:rPr>
              <w:footnoteReference w:id="275"/>
            </w:r>
          </w:p>
          <w:p w:rsidR="0055269A" w:rsidRPr="00E05498" w:rsidRDefault="005A64FC" w:rsidP="005A64FC">
            <w:r>
              <w:t>P</w:t>
            </w:r>
            <w:r w:rsidR="0055269A" w:rsidRPr="00ED4EF3">
              <w:t>ersonal costs</w:t>
            </w:r>
            <w:r>
              <w:t>:</w:t>
            </w:r>
            <w:r w:rsidR="0055269A" w:rsidRPr="00ED4EF3">
              <w:t xml:space="preserve"> the Tribunal </w:t>
            </w:r>
            <w:r w:rsidR="0055269A" w:rsidRPr="00424391">
              <w:t>is of the view that while some investors do experience investor level (personal) costs in dealing in equities, these can vary substa</w:t>
            </w:r>
            <w:r w:rsidR="0055269A">
              <w:t>ntially across investor groups.</w:t>
            </w:r>
            <w:r w:rsidR="0055269A" w:rsidRPr="00424391">
              <w:t xml:space="preserve"> It is thus not clear what effect such costs will have on equity market prices or on the need to adjust estimates for implied values of franking credits drawn from shareholder distribution or tax statistics.</w:t>
            </w:r>
            <w:r w:rsidR="0055269A" w:rsidRPr="007B43C4">
              <w:rPr>
                <w:rStyle w:val="FootnoteReference"/>
              </w:rPr>
              <w:footnoteReference w:id="276"/>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Equity ownership approach</w:t>
            </w:r>
          </w:p>
        </w:tc>
        <w:tc>
          <w:tcPr>
            <w:tcW w:w="4222" w:type="pct"/>
          </w:tcPr>
          <w:p w:rsidR="0055269A" w:rsidRPr="001F50E5" w:rsidRDefault="0055269A" w:rsidP="001F50E5">
            <w:r w:rsidRPr="007A336C">
              <w:t>The</w:t>
            </w:r>
            <w:r w:rsidRPr="001F50E5">
              <w:t xml:space="preserve"> equity ownership approach does not produce an upper bound if it is believed that stock prices are determined by some marginal investor.</w:t>
            </w:r>
            <w:r w:rsidRPr="001F50E5">
              <w:rPr>
                <w:rStyle w:val="FootnoteReference"/>
              </w:rPr>
              <w:footnoteReference w:id="277"/>
            </w:r>
            <w:r w:rsidRPr="001F50E5">
              <w:t xml:space="preserve"> Even if the average investor perspective is taken, there may be other relevant factors, not adequately captured in theoretical models, which preclude an interpretation as an upper bound.</w:t>
            </w:r>
            <w:r w:rsidRPr="001F50E5">
              <w:rPr>
                <w:rStyle w:val="FootnoteReference"/>
              </w:rPr>
              <w:footnoteReference w:id="278"/>
            </w:r>
          </w:p>
          <w:p w:rsidR="0055269A" w:rsidRPr="001F50E5" w:rsidRDefault="0055269A" w:rsidP="001F50E5">
            <w:r w:rsidRPr="007A336C">
              <w:t xml:space="preserve">While the </w:t>
            </w:r>
            <w:r w:rsidRPr="001F50E5">
              <w:t xml:space="preserve">Tribunal recognises the need for analysis of historical data to reduce uncertainty surrounding current figures, it would expect that sound reasons would be provided for using figures significantly different from the current value given that </w:t>
            </w:r>
            <w:r w:rsidR="00E119AC">
              <w:t>current value</w:t>
            </w:r>
            <w:r w:rsidRPr="001F50E5">
              <w:t xml:space="preserve"> is c</w:t>
            </w:r>
            <w:r>
              <w:t>lose to the historical average</w:t>
            </w:r>
            <w:r w:rsidRPr="001F50E5">
              <w:t>.</w:t>
            </w:r>
            <w:r w:rsidRPr="001F50E5">
              <w:rPr>
                <w:rStyle w:val="FootnoteReference"/>
              </w:rPr>
              <w:footnoteReference w:id="279"/>
            </w:r>
          </w:p>
          <w:p w:rsidR="0055269A" w:rsidRPr="00E05498" w:rsidRDefault="0055269A" w:rsidP="00942BBE">
            <w:r w:rsidRPr="006D64E7">
              <w:t xml:space="preserve">The Tribunal </w:t>
            </w:r>
            <w:r w:rsidRPr="00942BBE">
              <w:t>does not find that the AER erred or that its decision was unreasonable in considering historical data on domestic equity ownership shares for both listed and all companies.</w:t>
            </w:r>
            <w:r w:rsidRPr="00942BBE">
              <w:rPr>
                <w:rStyle w:val="FootnoteReference"/>
              </w:rPr>
              <w:footnoteReference w:id="280"/>
            </w:r>
          </w:p>
        </w:tc>
      </w:tr>
      <w:tr w:rsidR="0055269A" w:rsidRPr="00B45BDD" w:rsidTr="00E750F8">
        <w:tc>
          <w:tcPr>
            <w:tcW w:w="778" w:type="pct"/>
          </w:tcPr>
          <w:p w:rsidR="0055269A" w:rsidRPr="00E05498" w:rsidRDefault="0055269A" w:rsidP="00E05498">
            <w:r w:rsidRPr="00883125">
              <w:t>Tax statistic estimates</w:t>
            </w:r>
          </w:p>
        </w:tc>
        <w:tc>
          <w:tcPr>
            <w:tcW w:w="4222" w:type="pct"/>
          </w:tcPr>
          <w:p w:rsidR="0055269A" w:rsidRPr="0088743A" w:rsidRDefault="0055269A" w:rsidP="0088743A">
            <w:r w:rsidRPr="00FF0F25">
              <w:t>T</w:t>
            </w:r>
            <w:r w:rsidRPr="0088743A">
              <w:t>he Tribunal considered that if a marginal price-setting investor perspective is taken, the average utilisation rate implies nothing about va</w:t>
            </w:r>
            <w:r>
              <w:t>luation by a marginal investor.</w:t>
            </w:r>
            <w:r w:rsidR="00E119AC">
              <w:t xml:space="preserve"> However, i</w:t>
            </w:r>
            <w:r w:rsidRPr="0088743A">
              <w:t xml:space="preserve">f an average investor perspective is taken, </w:t>
            </w:r>
            <w:r w:rsidR="00E119AC" w:rsidRPr="0088743A">
              <w:t>the redemption rate figure from tax statistics is not an upper bound for the utilisation rate, but rather a noisy estimate.</w:t>
            </w:r>
            <w:r w:rsidR="00E119AC" w:rsidRPr="00E119AC">
              <w:rPr>
                <w:rStyle w:val="FootnoteReference"/>
              </w:rPr>
              <w:footnoteReference w:id="281"/>
            </w:r>
          </w:p>
          <w:p w:rsidR="0055269A" w:rsidRPr="00E05498" w:rsidRDefault="0055269A" w:rsidP="00112F3A">
            <w:r w:rsidRPr="00C96FA2">
              <w:t>In regards to whether redemption rates reflect the value of imputation credits to investors, the Tribunal has noted that experts are dividend on the issue and had found no reason to accept that the interpretation by the AER is incorrect.</w:t>
            </w:r>
            <w:r w:rsidRPr="0088743A">
              <w:rPr>
                <w:rStyle w:val="FootnoteReference"/>
              </w:rPr>
              <w:footnoteReference w:id="282"/>
            </w:r>
          </w:p>
        </w:tc>
      </w:tr>
      <w:tr w:rsidR="0055269A" w:rsidRPr="00B45BDD"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conceptual basis for dividend drop off studies</w:t>
            </w:r>
          </w:p>
        </w:tc>
        <w:tc>
          <w:tcPr>
            <w:tcW w:w="4222" w:type="pct"/>
          </w:tcPr>
          <w:p w:rsidR="0055269A" w:rsidRDefault="0055269A" w:rsidP="00246DAF">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t>.</w:t>
            </w:r>
            <w:r w:rsidRPr="0088743A">
              <w:rPr>
                <w:rStyle w:val="FootnoteReference"/>
              </w:rPr>
              <w:footnoteReference w:id="283"/>
            </w:r>
          </w:p>
          <w:p w:rsidR="0055269A" w:rsidRPr="00D65957" w:rsidRDefault="0055269A" w:rsidP="00D65957">
            <w:r w:rsidRPr="00122670">
              <w:t xml:space="preserve">However, </w:t>
            </w:r>
            <w:r w:rsidRPr="00D65957">
              <w:t>the fundamental issue is whether valid tax related valuation parameters can be reliably inferred f</w:t>
            </w:r>
            <w:r w:rsidR="004B0B95">
              <w:t xml:space="preserve">rom such statistical results. </w:t>
            </w:r>
            <w:r w:rsidRPr="00D65957">
              <w:t>Because of the weight of expert evidence questioning that such inferences can be reliably drawn, and the AER reliance on that evidence in forming a judgement, the Tribunal does not believe it needs to address those other crit</w:t>
            </w:r>
            <w:r w:rsidR="004B0B95">
              <w:t xml:space="preserve">icisms. </w:t>
            </w:r>
            <w:r w:rsidRPr="00D65957">
              <w:t>The uncertainty associated with drawing conclusions about the value of imputation credits from any existing drop-off study (no matter how well specified and conducted) was sufficient for the AER to make a judgement to accord limited weight to this</w:t>
            </w:r>
            <w:r w:rsidR="004B0B95">
              <w:t xml:space="preserve"> type of evidence.</w:t>
            </w:r>
            <w:r w:rsidRPr="00D65957">
              <w:t xml:space="preserve"> Consequently, the Tribunal does not agree that the AER erred or was unreasonable in placing less weight on dividend drop-off studies in the estimation of the value of gamma.</w:t>
            </w:r>
            <w:r w:rsidRPr="00D65957">
              <w:rPr>
                <w:rStyle w:val="FootnoteReference"/>
              </w:rPr>
              <w:footnoteReference w:id="284"/>
            </w:r>
          </w:p>
          <w:p w:rsidR="0055269A" w:rsidRPr="00E05498" w:rsidRDefault="0055269A" w:rsidP="00D65957">
            <w:r w:rsidRPr="00122670">
              <w:t>The Tribunal also questions whether the existence of the 45-day rule (which voids imputation credits from short-term trading around the ex-div date) impedes the ability of dividend drop-off studies to inform on the value of imputation credits.</w:t>
            </w:r>
            <w:r w:rsidRPr="00D65957">
              <w:rPr>
                <w:rStyle w:val="FootnoteReference"/>
              </w:rPr>
              <w:footnoteReference w:id="285"/>
            </w:r>
          </w:p>
        </w:tc>
      </w:tr>
      <w:tr w:rsidR="0055269A" w:rsidRPr="00B45BDD" w:rsidTr="00E750F8">
        <w:tc>
          <w:tcPr>
            <w:tcW w:w="778" w:type="pct"/>
          </w:tcPr>
          <w:p w:rsidR="0055269A" w:rsidRPr="00883125" w:rsidRDefault="0055269A" w:rsidP="0060460E">
            <w:r>
              <w:t>Weighting different approaches</w:t>
            </w:r>
          </w:p>
        </w:tc>
        <w:tc>
          <w:tcPr>
            <w:tcW w:w="4222" w:type="pct"/>
          </w:tcPr>
          <w:p w:rsidR="0055269A" w:rsidRPr="00D65957" w:rsidRDefault="0055269A" w:rsidP="00D65957">
            <w:r w:rsidRPr="00122670">
              <w:t xml:space="preserve">The Tribunal </w:t>
            </w:r>
            <w:r w:rsidRPr="00D65957">
              <w:t>considers that different theoretical models, all of which are simplifications of reality, with different strengths and weaknesses, and with different degrees of support among experts, may</w:t>
            </w:r>
            <w:r w:rsidR="004B0B95">
              <w:t xml:space="preserve"> suggest differing approaches. </w:t>
            </w:r>
            <w:r w:rsidRPr="00D65957">
              <w:t>Judgement about the weight to be given to alternative approaches would then be required, with resulting consequences for judgements about the subsequent issues.</w:t>
            </w:r>
            <w:r w:rsidRPr="00D65957">
              <w:rPr>
                <w:rStyle w:val="FootnoteReference"/>
              </w:rPr>
              <w:footnoteReference w:id="286"/>
            </w:r>
          </w:p>
          <w:p w:rsidR="0055269A" w:rsidRPr="00332686" w:rsidRDefault="0055269A" w:rsidP="00332686">
            <w:r w:rsidRPr="00350A7B">
              <w:t>T</w:t>
            </w:r>
            <w:r w:rsidRPr="00332686">
              <w:t xml:space="preserve">he Tribunal is of the view that the AER did not err, nor was unreasonable, in giving most weight </w:t>
            </w:r>
            <w:r w:rsidR="004B0B95">
              <w:t xml:space="preserve">to the “utilisation” approach. </w:t>
            </w:r>
            <w:r w:rsidRPr="00332686">
              <w:t>It considered the range of alternative approaches, recognised the diversity of views of experts on their merits (both theoretical and empirica</w:t>
            </w:r>
            <w:r w:rsidR="004B0B95">
              <w:t xml:space="preserve">l), and made a judgement call. </w:t>
            </w:r>
            <w:r w:rsidRPr="00332686">
              <w:t>In doing so, it demonstrated responsiveness to the empirical evidence in lowering its estimate of gamma from 0.5 as proposed in its ROR Guidelines to a value of 0.4.</w:t>
            </w:r>
            <w:r w:rsidRPr="00332686">
              <w:rPr>
                <w:rStyle w:val="FootnoteReference"/>
              </w:rPr>
              <w:footnoteReference w:id="287"/>
            </w:r>
          </w:p>
          <w:p w:rsidR="0055269A" w:rsidRPr="00E05498" w:rsidRDefault="0055269A" w:rsidP="003F3CEB">
            <w:r w:rsidRPr="000831E2">
              <w:t xml:space="preserve">In the face of significant uncertainty, the approach by the AER of considering a range of approaches to estimating gamma and applying different weights to those approaches is, the Tribunal believes, </w:t>
            </w:r>
            <w:r w:rsidR="004B0B95">
              <w:t xml:space="preserve">appropriate. </w:t>
            </w:r>
            <w:r w:rsidRPr="000831E2">
              <w:t>It is clear that some experts would apply different weights to the alternative types of evidence, and that some support the AER’s relative</w:t>
            </w:r>
            <w:r w:rsidR="004B0B95">
              <w:t xml:space="preserve"> ranking while others disagree.</w:t>
            </w:r>
            <w:r w:rsidRPr="000831E2">
              <w:t xml:space="preserve"> In particular, some would accord much higher weight to results of divid</w:t>
            </w:r>
            <w:r w:rsidR="004B0B95">
              <w:t>end drop-off studies.</w:t>
            </w:r>
            <w:r w:rsidRPr="000831E2">
              <w:t xml:space="preserve">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0831E2">
              <w:rPr>
                <w:rStyle w:val="FootnoteReference"/>
              </w:rPr>
              <w:footnoteReference w:id="288"/>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Default="0055269A" w:rsidP="00E05498">
            <w:r>
              <w:t>Listed equity vs. all equity measures</w:t>
            </w:r>
          </w:p>
        </w:tc>
        <w:tc>
          <w:tcPr>
            <w:tcW w:w="4222" w:type="pct"/>
          </w:tcPr>
          <w:p w:rsidR="0055269A" w:rsidRPr="004D6623" w:rsidRDefault="0055269A" w:rsidP="004D6623">
            <w:pPr>
              <w:rPr>
                <w:highlight w:val="yellow"/>
              </w:rPr>
            </w:pPr>
            <w:r w:rsidRPr="007B51E6">
              <w:t>There is no compelling reason which has been advanced to believe that the “average” unlisted company is any better or worse than the “average” listed c</w:t>
            </w:r>
            <w:r w:rsidR="004B0B95">
              <w:t xml:space="preserve">ompany as a proxy for the BEE. </w:t>
            </w:r>
            <w:r w:rsidRPr="007B51E6">
              <w:t>Consequently the Tribunal does not believe that the AER made an error or was unreasonable or incorrectly exercised its discretion in considering estimates of distribution rates for listed entities.</w:t>
            </w:r>
            <w:r w:rsidRPr="000831E2">
              <w:rPr>
                <w:rStyle w:val="FootnoteReference"/>
              </w:rPr>
              <w:footnoteReference w:id="289"/>
            </w:r>
          </w:p>
          <w:p w:rsidR="0055269A" w:rsidRPr="008648BF" w:rsidRDefault="0055269A" w:rsidP="00582254">
            <w:pPr>
              <w:rPr>
                <w:highlight w:val="cyan"/>
              </w:rPr>
            </w:pPr>
            <w:r w:rsidRPr="002E14E7">
              <w:t>The Tribunal is willing to accept that there might be different proxies better suited to estimation of different characteri</w:t>
            </w:r>
            <w:r w:rsidR="004B0B95">
              <w:t xml:space="preserve">stics of the hypothetical BEE. </w:t>
            </w:r>
            <w:r w:rsidRPr="002E14E7">
              <w:t>Nevertheless, the Tribunal has not been presented with convincing evidence that the listed equity data should not have been considered by the AER.</w:t>
            </w:r>
            <w:r w:rsidRPr="000831E2">
              <w:rPr>
                <w:rStyle w:val="FootnoteReference"/>
              </w:rPr>
              <w:footnoteReference w:id="290"/>
            </w:r>
          </w:p>
        </w:tc>
      </w:tr>
      <w:tr w:rsidR="0055269A" w:rsidTr="00E750F8">
        <w:tc>
          <w:tcPr>
            <w:tcW w:w="778" w:type="pct"/>
          </w:tcPr>
          <w:p w:rsidR="0055269A" w:rsidRPr="00883125" w:rsidRDefault="0055269A" w:rsidP="00E05498">
            <w:r>
              <w:t>Marginal investor vs. average investor</w:t>
            </w:r>
          </w:p>
        </w:tc>
        <w:tc>
          <w:tcPr>
            <w:tcW w:w="4222" w:type="pct"/>
          </w:tcPr>
          <w:p w:rsidR="0055269A" w:rsidRPr="001E51E2" w:rsidRDefault="0055269A" w:rsidP="001E51E2">
            <w:r w:rsidRPr="00FC66FD">
              <w:t>The marginal investor is not the</w:t>
            </w:r>
            <w:r w:rsidR="004B0B95">
              <w:t xml:space="preserve"> same as the average investor. </w:t>
            </w:r>
            <w:r w:rsidRPr="00FC66FD">
              <w:t>The proportion of tax credits used in aggregate (i.e. the average utilisation) provides no information about the value of tax cre</w:t>
            </w:r>
            <w:r w:rsidR="004B0B95">
              <w:t xml:space="preserve">dits to the marginal investor. </w:t>
            </w:r>
            <w:r w:rsidRPr="001E51E2">
              <w:t>Hence, contrary to the arguments advanced, the usage of tax credits is not an upper bound on the market value of tax credits – if that is set by some “marginal investor”.</w:t>
            </w:r>
            <w:r w:rsidRPr="001E51E2">
              <w:rPr>
                <w:rStyle w:val="FootnoteReference"/>
              </w:rPr>
              <w:footnoteReference w:id="291"/>
            </w:r>
          </w:p>
          <w:p w:rsidR="0055269A" w:rsidRDefault="0055269A" w:rsidP="001E51E2">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1E51E2">
              <w:t>ucing factors.</w:t>
            </w:r>
            <w:r w:rsidRPr="001E51E2">
              <w:rPr>
                <w:rStyle w:val="FootnoteReference"/>
              </w:rPr>
              <w:footnoteReference w:id="292"/>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need to re-evaluate gamma</w:t>
            </w:r>
          </w:p>
        </w:tc>
        <w:tc>
          <w:tcPr>
            <w:tcW w:w="4222" w:type="pct"/>
          </w:tcPr>
          <w:p w:rsidR="0055269A" w:rsidRPr="00716BBE" w:rsidRDefault="0055269A" w:rsidP="00716BBE">
            <w:pPr>
              <w:rPr>
                <w:highlight w:val="cyan"/>
              </w:rPr>
            </w:pPr>
            <w:r w:rsidRPr="0025548E">
              <w:t xml:space="preserve">This Tribunal determined that despite the </w:t>
            </w:r>
            <w:r w:rsidRPr="00716BBE">
              <w:t>AER seeking a review of the Ausgrid Tribunal decision to the Full Federal Court, it was appropriate for it to hear the SAPN review rather than leave the matter to be determined conditional on the outcome of the hearing of the F</w:t>
            </w:r>
            <w:r w:rsidR="00642B2F">
              <w:t>ull Court of the Federal Court.</w:t>
            </w:r>
            <w:r w:rsidRPr="00716BBE">
              <w:t xml:space="preserve"> The Tribunal has a legislative responsibility to hear and determine the review (within a statutorily delineated period of time), and should proceed accordingly.</w:t>
            </w:r>
            <w:r w:rsidRPr="00716BBE">
              <w:rPr>
                <w:rStyle w:val="FootnoteReference"/>
              </w:rPr>
              <w:footnoteReference w:id="293"/>
            </w:r>
          </w:p>
          <w:p w:rsidR="0055269A" w:rsidRPr="00716BBE" w:rsidRDefault="0055269A" w:rsidP="00716BBE">
            <w:r w:rsidRPr="0025548E">
              <w:t>T</w:t>
            </w:r>
            <w:r w:rsidRPr="00716BBE">
              <w:t>he function of the Tribunal is a reviewer of decisions, and is</w:t>
            </w:r>
            <w:r w:rsidR="00642B2F">
              <w:t xml:space="preserve"> not a primary decision-maker. </w:t>
            </w:r>
            <w:r w:rsidRPr="00716BBE">
              <w:t>The Tribunal has a responsibility to determine individual cases based upon the evidence and arguments put before it.</w:t>
            </w:r>
            <w:r w:rsidRPr="00716BBE">
              <w:rPr>
                <w:rStyle w:val="FootnoteReference"/>
              </w:rPr>
              <w:t xml:space="preserve"> </w:t>
            </w:r>
            <w:r w:rsidRPr="00716BBE">
              <w:rPr>
                <w:rStyle w:val="FootnoteReference"/>
              </w:rPr>
              <w:footnoteReference w:id="294"/>
            </w:r>
          </w:p>
          <w:p w:rsidR="0055269A" w:rsidRPr="002E14E7" w:rsidRDefault="0055269A" w:rsidP="00716BBE">
            <w:r w:rsidRPr="0025548E">
              <w:t>The Tribunal recognises that this decision is the converse of that made by a differently constitute</w:t>
            </w:r>
            <w:r w:rsidR="00642B2F">
              <w:t>d Tribunal in the Ausgrid case.</w:t>
            </w:r>
            <w:r w:rsidRPr="0025548E">
              <w:t xml:space="preserve"> The reason f</w:t>
            </w:r>
            <w:r w:rsidR="00642B2F">
              <w:t xml:space="preserve">or this difference is </w:t>
            </w:r>
            <w:r w:rsidR="00922C6D">
              <w:t>twofold</w:t>
            </w:r>
            <w:r w:rsidR="00642B2F">
              <w:t xml:space="preserve">. </w:t>
            </w:r>
            <w:r w:rsidRPr="0025548E">
              <w:t>First, submissions in this hearing gave greater attention to the theoretical underpinnings of the PTRM and “vanilla WACC” framework.</w:t>
            </w:r>
            <w:r w:rsidR="00642B2F">
              <w:t xml:space="preserve"> </w:t>
            </w:r>
            <w:r w:rsidRPr="0025548E">
              <w:t>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25548E">
              <w:rPr>
                <w:rStyle w:val="FootnoteReference"/>
              </w:rPr>
              <w:footnoteReference w:id="295"/>
            </w:r>
          </w:p>
          <w:p w:rsidR="0055269A" w:rsidRPr="00E05498" w:rsidRDefault="0055269A" w:rsidP="00716BBE"/>
        </w:tc>
      </w:tr>
    </w:tbl>
    <w:p w:rsidR="00E05498" w:rsidRPr="00883125" w:rsidRDefault="00E05498" w:rsidP="00E05498">
      <w:pPr>
        <w:pStyle w:val="AERtablesource"/>
      </w:pPr>
      <w:r w:rsidRPr="00883125">
        <w:t xml:space="preserve">Source: </w:t>
      </w:r>
      <w:r w:rsidRPr="00883125">
        <w:tab/>
        <w:t>As specified in table.</w:t>
      </w:r>
    </w:p>
    <w:p w:rsidR="00747591" w:rsidRDefault="00747591" w:rsidP="00716BBE"/>
    <w:p w:rsidR="00747591" w:rsidRDefault="00747591" w:rsidP="00716BBE">
      <w:pPr>
        <w:sectPr w:rsidR="00747591" w:rsidSect="00E47334">
          <w:footerReference w:type="even" r:id="rId16"/>
          <w:footerReference w:type="default" r:id="rId17"/>
          <w:pgSz w:w="16838" w:h="11906" w:orient="landscape"/>
          <w:pgMar w:top="1440" w:right="1440" w:bottom="1440" w:left="1440" w:header="709" w:footer="709" w:gutter="0"/>
          <w:pgNumType w:chapStyle="1"/>
          <w:cols w:space="708"/>
          <w:docGrid w:linePitch="360"/>
        </w:sectPr>
      </w:pPr>
    </w:p>
    <w:p w:rsidR="00716BBE" w:rsidRDefault="00716BBE" w:rsidP="00716BBE">
      <w:r>
        <w:t xml:space="preserve">We note that SA Power Networks has </w:t>
      </w:r>
      <w:r w:rsidR="0009187D">
        <w:t xml:space="preserve">sought judicial review of </w:t>
      </w:r>
      <w:r>
        <w:t xml:space="preserve">the </w:t>
      </w:r>
      <w:r w:rsidR="00096A14">
        <w:t xml:space="preserve">SAPN </w:t>
      </w:r>
      <w:r>
        <w:t xml:space="preserve">Tribunal's decision </w:t>
      </w:r>
      <w:r w:rsidR="0009187D">
        <w:t>in</w:t>
      </w:r>
      <w:r>
        <w:t xml:space="preserve"> the Full Federal Court on </w:t>
      </w:r>
      <w:r w:rsidR="003C5E38">
        <w:t xml:space="preserve">a range of </w:t>
      </w:r>
      <w:r w:rsidR="000D7F98">
        <w:t>grounds</w:t>
      </w:r>
      <w:r w:rsidR="0009187D">
        <w:t>,</w:t>
      </w:r>
      <w:r w:rsidR="000D7F98">
        <w:t xml:space="preserve"> </w:t>
      </w:r>
      <w:r w:rsidR="0009187D">
        <w:t>in relation to gamma.</w:t>
      </w:r>
      <w:r w:rsidR="00C84AEE">
        <w:t xml:space="preserve">The SAPN Full Federal Court </w:t>
      </w:r>
      <w:r w:rsidR="00934207">
        <w:t xml:space="preserve">judicial review </w:t>
      </w:r>
      <w:r w:rsidR="00C84AEE">
        <w:t xml:space="preserve"> </w:t>
      </w:r>
      <w:r w:rsidR="00FC179B" w:rsidRPr="00FC179B">
        <w:t xml:space="preserve">was heard in May 2017. </w:t>
      </w:r>
      <w:r w:rsidR="00934207">
        <w:t>The Court's decision is currently reserved.</w:t>
      </w:r>
      <w:r w:rsidR="00481AB4">
        <w:t xml:space="preserve"> </w:t>
      </w:r>
      <w:r w:rsidR="003128F2">
        <w:t>However,</w:t>
      </w:r>
      <w:r w:rsidR="00481AB4">
        <w:t xml:space="preserve"> the</w:t>
      </w:r>
      <w:r w:rsidR="00BF6311">
        <w:t xml:space="preserve"> Full Federal Court</w:t>
      </w:r>
      <w:r w:rsidR="003128F2">
        <w:t xml:space="preserve"> has</w:t>
      </w:r>
      <w:r w:rsidR="00BF6311">
        <w:t xml:space="preserve"> released its </w:t>
      </w:r>
      <w:r w:rsidR="003128F2">
        <w:t>decision on</w:t>
      </w:r>
      <w:r w:rsidR="00BF6311">
        <w:t xml:space="preserve"> the </w:t>
      </w:r>
      <w:r w:rsidR="003128F2">
        <w:t xml:space="preserve">AER's application for </w:t>
      </w:r>
      <w:r w:rsidR="00BF6311">
        <w:t xml:space="preserve">review </w:t>
      </w:r>
      <w:r w:rsidR="003128F2">
        <w:t>of</w:t>
      </w:r>
      <w:r w:rsidR="00BF6311">
        <w:t xml:space="preserve"> the Ausgrid Tribunal's</w:t>
      </w:r>
      <w:r w:rsidR="00481AB4">
        <w:t xml:space="preserve"> deci</w:t>
      </w:r>
      <w:r w:rsidR="003128F2">
        <w:t>s</w:t>
      </w:r>
      <w:r w:rsidR="00481AB4">
        <w:t>ion. It</w:t>
      </w:r>
      <w:r w:rsidR="003B59F5">
        <w:t xml:space="preserve"> </w:t>
      </w:r>
      <w:r w:rsidR="00934207">
        <w:t>found it was not an error of construction for the AER to focus on a utilisation value in its approach to theta</w:t>
      </w:r>
      <w:r w:rsidR="00BF6311">
        <w:t>.</w:t>
      </w:r>
      <w:r w:rsidR="007C109E">
        <w:rPr>
          <w:rStyle w:val="FootnoteReference"/>
        </w:rPr>
        <w:footnoteReference w:id="296"/>
      </w:r>
      <w:r w:rsidR="00BF6311">
        <w:t xml:space="preserve">  </w:t>
      </w:r>
    </w:p>
    <w:p w:rsidR="00747591" w:rsidRPr="00E750F8" w:rsidRDefault="00E8071F" w:rsidP="00E8071F">
      <w:pPr>
        <w:rPr>
          <w:rStyle w:val="AERtexthighlight"/>
        </w:rPr>
      </w:pPr>
      <w:r>
        <w:t>The SAPN Tribunal's key finding was the AER was not in error. This applied to all key areas of the gamma decision as noted in the table above.</w:t>
      </w:r>
    </w:p>
    <w:p w:rsidR="00C52695" w:rsidRPr="00883125" w:rsidRDefault="00C52695" w:rsidP="00C52695">
      <w:pPr>
        <w:pStyle w:val="Heading9"/>
      </w:pPr>
      <w:bookmarkStart w:id="170" w:name="_Ref451813952"/>
      <w:bookmarkStart w:id="171" w:name="_Toc456614293"/>
      <w:bookmarkStart w:id="172" w:name="_Toc462823311"/>
      <w:bookmarkStart w:id="173" w:name="_Toc487014313"/>
      <w:r w:rsidRPr="00883125">
        <w:t>ActewAGL Distribution, Ausgrid, Endeavour Energy, Essential Energy and Jemena Gas Networks</w:t>
      </w:r>
      <w:bookmarkEnd w:id="170"/>
      <w:bookmarkEnd w:id="171"/>
      <w:bookmarkEnd w:id="172"/>
      <w:bookmarkEnd w:id="173"/>
      <w:r w:rsidRPr="00883125">
        <w:t xml:space="preserve"> </w:t>
      </w:r>
    </w:p>
    <w:p w:rsidR="00C52695" w:rsidRPr="00883125" w:rsidRDefault="00C52695" w:rsidP="00C52695">
      <w:r w:rsidRPr="00883125">
        <w:t>In April and June 2015 we released our final decisions for ActewAGL Distribution, Ausgrid, Endeavour Energy, Essential Energy and Jemena Gas Networks. In these decisions, we adopted a gamma estimate of 0.4.</w:t>
      </w:r>
    </w:p>
    <w:p w:rsidR="00C52695" w:rsidRPr="00B27BE5" w:rsidRDefault="00C52695" w:rsidP="00C52695">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97"/>
      </w:r>
      <w:r w:rsidRPr="00B27BE5">
        <w:t xml:space="preserve"> The</w:t>
      </w:r>
      <w:r w:rsidR="00C25A56">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rsidR="00C25A56">
        <w:t xml:space="preserve">Ausgrid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EB5A7B" w:rsidRDefault="00C52695" w:rsidP="00C52695">
      <w:pPr>
        <w:sectPr w:rsidR="00EB5A7B" w:rsidSect="0007085B">
          <w:pgSz w:w="11906" w:h="16838"/>
          <w:pgMar w:top="1440" w:right="1440" w:bottom="1440" w:left="1440" w:header="709" w:footer="709" w:gutter="0"/>
          <w:pgNumType w:chapStyle="1"/>
          <w:cols w:space="708"/>
          <w:docGrid w:linePitch="360"/>
        </w:sectPr>
      </w:pPr>
      <w:r w:rsidRPr="008F5D24">
        <w:t xml:space="preserve">In reaching its position, the </w:t>
      </w:r>
      <w:r w:rsidR="00C25A56">
        <w:t xml:space="preserve">Ausgrid </w:t>
      </w:r>
      <w:r w:rsidRPr="008F5D24">
        <w:t>Tribunal expressed views on the important factors in its decisions. The</w:t>
      </w:r>
      <w:r w:rsidR="00C25A56">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BF66D3" w:rsidRPr="005764F6">
        <w:t xml:space="preserve">table </w:t>
      </w:r>
      <w:r w:rsidR="00BF66D3">
        <w:t>4</w:t>
      </w:r>
      <w:r w:rsidR="00BF66D3" w:rsidRPr="005764F6">
        <w:noBreakHyphen/>
      </w:r>
      <w:r w:rsidR="00BF66D3">
        <w:t>9</w:t>
      </w:r>
      <w:r w:rsidRPr="00C43CF0">
        <w:fldChar w:fldCharType="end"/>
      </w:r>
      <w:r w:rsidRPr="008F5D24">
        <w:t xml:space="preserve"> below. </w:t>
      </w:r>
      <w:r w:rsidR="00BF6311">
        <w:t xml:space="preserve">The </w:t>
      </w:r>
      <w:r w:rsidR="007C109E">
        <w:t xml:space="preserve">AER's </w:t>
      </w:r>
      <w:r w:rsidR="00934207">
        <w:t xml:space="preserve">applications for judicial review of the Ausgrid Tribunal decision were </w:t>
      </w:r>
      <w:r w:rsidR="00BF6311">
        <w:t xml:space="preserve">heard in October 2016 and the decision was handed down </w:t>
      </w:r>
      <w:r w:rsidR="007C109E">
        <w:t>on 24</w:t>
      </w:r>
      <w:r w:rsidR="00BF6311">
        <w:t xml:space="preserve"> May 2017.</w:t>
      </w:r>
      <w:r w:rsidR="007C109E">
        <w:rPr>
          <w:rStyle w:val="FootnoteReference"/>
        </w:rPr>
        <w:footnoteReference w:id="298"/>
      </w:r>
      <w:r w:rsidR="00BF6311">
        <w:t xml:space="preserve"> </w:t>
      </w:r>
      <w:r w:rsidR="006A34E1">
        <w:t>As note earlier, t</w:t>
      </w:r>
      <w:r w:rsidR="00BF6311">
        <w:t xml:space="preserve">he Full Federal Court </w:t>
      </w:r>
      <w:r w:rsidR="00934207">
        <w:t>found it was not an error of construction for the the AER to focuse on utilisation in its approach to theta.</w:t>
      </w:r>
      <w:r w:rsidR="00934207">
        <w:rPr>
          <w:rStyle w:val="FootnoteReference"/>
        </w:rPr>
        <w:footnoteReference w:id="299"/>
      </w:r>
    </w:p>
    <w:p w:rsidR="00C52695" w:rsidRPr="005764F6" w:rsidRDefault="00C52695" w:rsidP="00C52695">
      <w:pPr>
        <w:pStyle w:val="Tabletitle"/>
      </w:pPr>
      <w:bookmarkStart w:id="174" w:name="_Ref450040370"/>
      <w:r w:rsidRPr="005764F6">
        <w:t xml:space="preserve">Table </w:t>
      </w:r>
      <w:r w:rsidRPr="00CA67C0">
        <w:fldChar w:fldCharType="begin"/>
      </w:r>
      <w:r>
        <w:instrText xml:space="preserve"> STYLEREF 1 \s </w:instrText>
      </w:r>
      <w:r w:rsidRPr="00CA67C0">
        <w:fldChar w:fldCharType="separate"/>
      </w:r>
      <w:r w:rsidR="00BF66D3">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BF66D3">
        <w:rPr>
          <w:noProof/>
        </w:rPr>
        <w:t>9</w:t>
      </w:r>
      <w:r w:rsidRPr="00CA67C0">
        <w:fldChar w:fldCharType="end"/>
      </w:r>
      <w:bookmarkEnd w:id="174"/>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 xml:space="preserve">AER </w:t>
            </w:r>
            <w:r w:rsidRPr="00C52695">
              <w:t>initial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By placing </w:t>
            </w:r>
            <w:r w:rsidRPr="00C52695">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52695">
              <w:rPr>
                <w:rStyle w:val="FootnoteReference"/>
              </w:rPr>
              <w:footnoteReference w:id="300"/>
            </w:r>
            <w:r w:rsidRPr="00C52695">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52695">
              <w:rPr>
                <w:rStyle w:val="FootnoteReference"/>
              </w:rPr>
              <w:footnoteReference w:id="301"/>
            </w:r>
          </w:p>
          <w:p w:rsidR="00C52695" w:rsidRPr="00C52695" w:rsidRDefault="00C52695" w:rsidP="00C52695">
            <w:r w:rsidRPr="00883125">
              <w:t xml:space="preserve">It </w:t>
            </w:r>
            <w:r w:rsidRPr="00C52695">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52695">
              <w:rPr>
                <w:rStyle w:val="FootnoteReference"/>
              </w:rPr>
              <w:footnoteReference w:id="302"/>
            </w:r>
          </w:p>
          <w:p w:rsidR="00C52695" w:rsidRPr="00C52695" w:rsidRDefault="00C52695" w:rsidP="00C52695">
            <w:r w:rsidRPr="00883125">
              <w:t xml:space="preserve">Handley's extension of the Officer Framework does not appear to present an empirically robust and internally consistent explanation for the link </w:t>
            </w:r>
            <w:r w:rsidRPr="00C52695">
              <w:t>between the existence of imputation credits and the applicability of the vanilla WACC.</w:t>
            </w:r>
            <w:r w:rsidRPr="00C52695">
              <w:rPr>
                <w:rStyle w:val="FootnoteReference"/>
              </w:rPr>
              <w:footnoteReference w:id="303"/>
            </w:r>
          </w:p>
        </w:tc>
        <w:tc>
          <w:tcPr>
            <w:tcW w:w="1945" w:type="pct"/>
          </w:tcPr>
          <w:p w:rsidR="00C52695" w:rsidRPr="00C52695" w:rsidRDefault="00C52695" w:rsidP="00C52695">
            <w:r w:rsidRPr="00883125">
              <w:t>In developing the Guideline, we re-evaluated the conceptual framework for the value of imputation credits</w:t>
            </w:r>
            <w:r w:rsidRPr="00C52695">
              <w:t xml:space="preserve"> in consultation with stakeholders. In making this </w:t>
            </w:r>
            <w:r w:rsidR="009B2737">
              <w:t>draft</w:t>
            </w:r>
            <w:r w:rsidR="00E57D43"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BF66D3">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BF66D3">
              <w:t>A.6</w:t>
            </w:r>
            <w:r w:rsidRPr="00C52695">
              <w:fldChar w:fldCharType="end"/>
            </w:r>
            <w:r w:rsidRPr="00C52695">
              <w:t>.</w:t>
            </w:r>
          </w:p>
          <w:p w:rsidR="00C52695" w:rsidRPr="00C52695" w:rsidRDefault="00C52695" w:rsidP="00C52695">
            <w:r>
              <w:t>We</w:t>
            </w:r>
            <w:r w:rsidRPr="00C52695">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52695" w:rsidRPr="00C52695" w:rsidRDefault="00C52695" w:rsidP="00C52695">
            <w:r w:rsidRPr="00883125">
              <w:t xml:space="preserve">The </w:t>
            </w:r>
            <w:r w:rsidRPr="00C52695">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52695" w:rsidRPr="00C52695" w:rsidRDefault="00C52695" w:rsidP="00C52695">
            <w:r w:rsidRPr="00883125">
              <w:t>However, t</w:t>
            </w:r>
            <w:r w:rsidRPr="00C52695">
              <w:t xml:space="preserve">he dividend drop off imputation credit estimate is neither a pre-personal tax nor a post-personal tax estimate. As a result, this estimate (absent adjustment) cannot be used at all in our regulatory context as it is inconsistent with the post-tax Officer framework. This is further discussed in section </w:t>
            </w:r>
            <w:r w:rsidRPr="00C52695">
              <w:fldChar w:fldCharType="begin"/>
            </w:r>
            <w:r w:rsidRPr="00C52695">
              <w:instrText xml:space="preserve"> REF _Ref435171205 \r \h  \* MERGEFORMAT </w:instrText>
            </w:r>
            <w:r w:rsidRPr="00C52695">
              <w:fldChar w:fldCharType="separate"/>
            </w:r>
            <w:r w:rsidR="00BF66D3">
              <w:t>A.15.3</w:t>
            </w:r>
            <w:r w:rsidRPr="00C52695">
              <w:fldChar w:fldCharType="end"/>
            </w:r>
            <w:r w:rsidRPr="00C52695">
              <w:t>.</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There is insufficient explanation for introducing the distribution rate for only listed equity.</w:t>
            </w:r>
            <w:r w:rsidRPr="00C52695">
              <w:rPr>
                <w:rStyle w:val="FootnoteReference"/>
              </w:rPr>
              <w:footnoteReference w:id="304"/>
            </w:r>
          </w:p>
        </w:tc>
        <w:tc>
          <w:tcPr>
            <w:tcW w:w="1945" w:type="pct"/>
          </w:tcPr>
          <w:p w:rsidR="00C52695" w:rsidRPr="00C52695" w:rsidRDefault="00C52695" w:rsidP="00C52695">
            <w:r w:rsidRPr="00B31DF2">
              <w:t>As discussed in section</w:t>
            </w:r>
            <w:r w:rsidRPr="00C52695">
              <w:t xml:space="preserve"> </w:t>
            </w:r>
            <w:r w:rsidR="00747414">
              <w:fldChar w:fldCharType="begin"/>
            </w:r>
            <w:r w:rsidR="00747414">
              <w:instrText xml:space="preserve"> REF _Ref476580960 \r \h </w:instrText>
            </w:r>
            <w:r w:rsidR="00747414">
              <w:fldChar w:fldCharType="separate"/>
            </w:r>
            <w:r w:rsidR="00BF66D3">
              <w:t>4.4</w:t>
            </w:r>
            <w:r w:rsidR="00747414">
              <w:fldChar w:fldCharType="end"/>
            </w:r>
            <w:r w:rsidRPr="00C52695">
              <w:t xml:space="preserve"> of attachment 4 and section </w:t>
            </w:r>
            <w:r w:rsidRPr="00C52695">
              <w:fldChar w:fldCharType="begin"/>
            </w:r>
            <w:r w:rsidRPr="00C52695">
              <w:instrText xml:space="preserve"> REF _Ref401133206 \r \h </w:instrText>
            </w:r>
            <w:r w:rsidRPr="00C52695">
              <w:fldChar w:fldCharType="separate"/>
            </w:r>
            <w:r w:rsidR="00BF66D3">
              <w:t>A.10</w:t>
            </w:r>
            <w:r w:rsidRPr="00C52695">
              <w:fldChar w:fldCharType="end"/>
            </w:r>
            <w:r w:rsidRPr="00C52695">
              <w:t xml:space="preserve"> of this appendix, we consider the use of a distribution rate for listed equity is open to us and reasonably reflective of a benchmark efficient entity given the difficulties associated with choosing a representative dataset.</w:t>
            </w:r>
            <w:r w:rsidRPr="00C52695">
              <w:rPr>
                <w:rStyle w:val="FootnoteReference"/>
              </w:rPr>
              <w:footnoteReference w:id="305"/>
            </w:r>
            <w:r w:rsidRPr="00C52695">
              <w:t xml:space="preserve"> Lally also recommends distribution rate based on listed equity for a benchmark efficient entity, although he estimates this using financial statements of the top 20 listed firms.</w:t>
            </w:r>
            <w:r w:rsidRPr="00C52695">
              <w:rPr>
                <w:rStyle w:val="FootnoteReference"/>
              </w:rPr>
              <w:footnoteReference w:id="306"/>
            </w:r>
          </w:p>
          <w:p w:rsidR="00C52695" w:rsidRPr="00C52695" w:rsidRDefault="00C52695" w:rsidP="00E8071F">
            <w:r w:rsidRPr="00B31DF2">
              <w:t>As discussed in section</w:t>
            </w:r>
            <w:r w:rsidRPr="00C52695">
              <w:t xml:space="preserve"> </w:t>
            </w:r>
            <w:r w:rsidR="00747414">
              <w:fldChar w:fldCharType="begin"/>
            </w:r>
            <w:r w:rsidR="00747414">
              <w:instrText xml:space="preserve"> REF _Ref476580949 \r \h </w:instrText>
            </w:r>
            <w:r w:rsidR="00747414">
              <w:fldChar w:fldCharType="separate"/>
            </w:r>
            <w:r w:rsidR="00BF66D3">
              <w:t>4.4</w:t>
            </w:r>
            <w:r w:rsidR="00747414">
              <w:fldChar w:fldCharType="end"/>
            </w:r>
            <w:r w:rsidR="00EC4C53">
              <w:t xml:space="preserve"> </w:t>
            </w:r>
            <w:r w:rsidRPr="00C52695">
              <w:t xml:space="preserve">of attachment 4 and section </w:t>
            </w:r>
            <w:r w:rsidRPr="00C52695">
              <w:fldChar w:fldCharType="begin"/>
            </w:r>
            <w:r w:rsidRPr="00C52695">
              <w:instrText xml:space="preserve"> REF _Ref450299300 \r \h </w:instrText>
            </w:r>
            <w:r w:rsidRPr="00C52695">
              <w:fldChar w:fldCharType="separate"/>
            </w:r>
            <w:r w:rsidR="00BF66D3">
              <w:t>A.9.2</w:t>
            </w:r>
            <w:r w:rsidRPr="00C52695">
              <w:fldChar w:fldCharType="end"/>
            </w:r>
            <w:r w:rsidRPr="00C52695">
              <w:t xml:space="preserve"> of this appendix, </w:t>
            </w:r>
            <w:r w:rsidR="00E8071F">
              <w:t xml:space="preserve">Lally considers there is no necessity to combine </w:t>
            </w:r>
            <w:r w:rsidR="00E8071F" w:rsidRPr="001D37D5">
              <w:t>estimates of the distribution rate and utilisation rate from the same dataset</w:t>
            </w:r>
            <w:r w:rsidR="00E8071F">
              <w:t xml:space="preserve"> and good reason not for not doing so</w:t>
            </w:r>
            <w:r w:rsidR="00EC4C53">
              <w:t>.</w:t>
            </w:r>
            <w:r w:rsidR="00E8071F">
              <w:rPr>
                <w:rStyle w:val="FootnoteReference"/>
              </w:rPr>
              <w:footnoteReference w:id="307"/>
            </w:r>
            <w:r w:rsidR="00E8071F">
              <w:t xml:space="preserve"> However, </w:t>
            </w:r>
            <w:r w:rsidR="00452BA3">
              <w:t xml:space="preserve">we note given Lally's advice </w:t>
            </w:r>
            <w:r w:rsidR="00E8071F">
              <w:t xml:space="preserve">our approach </w:t>
            </w:r>
            <w:r w:rsidR="00452BA3">
              <w:t xml:space="preserve">appears </w:t>
            </w:r>
            <w:r w:rsidR="00E8071F">
              <w:t xml:space="preserve">to </w:t>
            </w:r>
            <w:r w:rsidR="00452BA3">
              <w:t xml:space="preserve">lead to a </w:t>
            </w:r>
            <w:r w:rsidR="00E8071F">
              <w:t>conservative gamma estimate</w:t>
            </w:r>
            <w:r w:rsidR="00452BA3">
              <w:t xml:space="preserve"> (in favour of the service provider)</w:t>
            </w:r>
            <w:r w:rsidR="00E8071F">
              <w:t xml:space="preserve">, as Lally considers only listed firms should be used to determine the distribution rate and all equity should be used to estimate the utilisation value which results in a gamma estimate of 0.5. </w:t>
            </w:r>
            <w:r w:rsidRPr="00C52695">
              <w:t>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52695">
              <w:rPr>
                <w:rStyle w:val="FootnoteReference"/>
              </w:rPr>
              <w:footnoteReference w:id="308"/>
            </w:r>
          </w:p>
        </w:tc>
      </w:tr>
      <w:tr w:rsidR="00C52695" w:rsidTr="006425B8">
        <w:tc>
          <w:tcPr>
            <w:tcW w:w="784" w:type="pct"/>
          </w:tcPr>
          <w:p w:rsidR="00C52695" w:rsidRPr="00C52695" w:rsidRDefault="00C52695" w:rsidP="00C52695">
            <w:r w:rsidRPr="00883125">
              <w:t>Equity ownership approach</w:t>
            </w:r>
          </w:p>
        </w:tc>
        <w:tc>
          <w:tcPr>
            <w:tcW w:w="2271" w:type="pct"/>
          </w:tcPr>
          <w:p w:rsidR="00C52695" w:rsidRPr="00C52695" w:rsidRDefault="00C52695" w:rsidP="00C52695">
            <w:r w:rsidRPr="00883125">
              <w:t xml:space="preserve">To the extent that the equity ownership approach indicates that theta is above the </w:t>
            </w:r>
            <w:r w:rsidRPr="00C52695">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C52695">
              <w:rPr>
                <w:rStyle w:val="FootnoteReference"/>
              </w:rPr>
              <w:footnoteReference w:id="309"/>
            </w:r>
          </w:p>
          <w:p w:rsidR="00C52695" w:rsidRPr="00C52695" w:rsidRDefault="00C52695" w:rsidP="00C52695">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52695">
              <w:rPr>
                <w:rStyle w:val="FootnoteReference"/>
              </w:rPr>
              <w:footnoteReference w:id="310"/>
            </w:r>
          </w:p>
          <w:p w:rsidR="00C52695" w:rsidRPr="00C52695" w:rsidRDefault="00C52695" w:rsidP="00C52695">
            <w:r w:rsidRPr="00883125">
              <w:t>The equity ownership approach overstates the redemption rates and would only be useful a further check on other estimates.</w:t>
            </w:r>
            <w:r w:rsidRPr="00C52695">
              <w:rPr>
                <w:rStyle w:val="FootnoteReference"/>
              </w:rPr>
              <w:footnoteReference w:id="311"/>
            </w:r>
          </w:p>
          <w:p w:rsidR="00C52695" w:rsidRPr="00C52695" w:rsidRDefault="00C52695" w:rsidP="00C52695">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52695">
              <w:rPr>
                <w:rStyle w:val="FootnoteReference"/>
              </w:rPr>
              <w:footnoteReference w:id="312"/>
            </w:r>
          </w:p>
        </w:tc>
        <w:tc>
          <w:tcPr>
            <w:tcW w:w="1945" w:type="pct"/>
          </w:tcPr>
          <w:p w:rsidR="00C52695" w:rsidRPr="00C52695" w:rsidRDefault="00C52695" w:rsidP="00C52695">
            <w:r>
              <w:t>We</w:t>
            </w:r>
            <w:r w:rsidRPr="00C52695">
              <w:t xml:space="preserve"> consider the equity ownership approach remains the best method to estimate the utilisation rate. We do not consider the difference between the equity ownership approach and tax statistics is due to the 45 day holding rule and Lally agrees with this.</w:t>
            </w:r>
            <w:r w:rsidRPr="00C52695">
              <w:rPr>
                <w:rStyle w:val="FootnoteReference"/>
              </w:rPr>
              <w:footnoteReference w:id="313"/>
            </w:r>
            <w:r w:rsidRPr="00C52695">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C52695">
              <w:rPr>
                <w:rStyle w:val="FootnoteReference"/>
              </w:rPr>
              <w:footnoteReference w:id="314"/>
            </w:r>
            <w:r w:rsidRPr="00C52695">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52695">
              <w:rPr>
                <w:rStyle w:val="FootnoteReference"/>
              </w:rPr>
              <w:footnoteReference w:id="315"/>
            </w:r>
          </w:p>
          <w:p w:rsidR="00C52695" w:rsidRPr="00C52695" w:rsidRDefault="00C52695" w:rsidP="00C52695">
            <w:r>
              <w:t>We</w:t>
            </w:r>
            <w:r w:rsidRPr="00C52695">
              <w:t xml:space="preserve"> remain of the view that the 45 day rule does not have a material impact on the utilisation rate. This is supported by Lally.</w:t>
            </w:r>
            <w:r w:rsidRPr="00C52695">
              <w:rPr>
                <w:rStyle w:val="FootnoteReference"/>
              </w:rPr>
              <w:footnoteReference w:id="316"/>
            </w:r>
            <w:r w:rsidRPr="00C52695">
              <w:t xml:space="preserve"> We have not been presented with any data that would suggest the 45 day rule is having any impact on the utilisation of imputation credits. </w:t>
            </w:r>
          </w:p>
          <w:p w:rsidR="00C52695" w:rsidRPr="00C52695" w:rsidRDefault="00C52695" w:rsidP="00C52695">
            <w:r>
              <w:t>We</w:t>
            </w:r>
            <w:r w:rsidRPr="00C52695">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post-company pre-personal tax value of the imputation credit.</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 xml:space="preserve">Tax statistics can only </w:t>
            </w:r>
            <w:r w:rsidRPr="00C52695">
              <w:t>provide an upper bound on the estimate of theta.</w:t>
            </w:r>
            <w:r w:rsidRPr="00C52695">
              <w:rPr>
                <w:rStyle w:val="FootnoteReference"/>
              </w:rPr>
              <w:footnoteReference w:id="317"/>
            </w:r>
          </w:p>
          <w:p w:rsidR="00C52695" w:rsidRPr="00C52695" w:rsidRDefault="00C52695" w:rsidP="00C52695">
            <w:r w:rsidRPr="00883125">
              <w:t xml:space="preserve">The value of theta produced by taxation statistics is evidence that Australian investors do not value </w:t>
            </w:r>
            <w:r w:rsidRPr="00C52695">
              <w:t>imputation credits at their face value, because they may be unable to use them.</w:t>
            </w:r>
            <w:r w:rsidRPr="00C52695">
              <w:rPr>
                <w:rStyle w:val="FootnoteReference"/>
              </w:rPr>
              <w:footnoteReference w:id="318"/>
            </w:r>
          </w:p>
          <w:p w:rsidR="00C52695" w:rsidRPr="00C52695" w:rsidRDefault="00C52695" w:rsidP="00C52695">
            <w:r w:rsidRPr="00883125">
              <w:t>The ATO data relied by Hathaway has since been acknowledged by Hathaway to be of some concern.</w:t>
            </w:r>
            <w:r w:rsidRPr="00C52695">
              <w:rPr>
                <w:rStyle w:val="FootnoteReference"/>
              </w:rPr>
              <w:footnoteReference w:id="319"/>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C52695">
              <w:t xml:space="preserve">rate. We discussed Handley's views in section A.6.1 of the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BF66D3">
              <w:t>A.13</w:t>
            </w:r>
            <w:r w:rsidRPr="00C52695">
              <w:fldChar w:fldCharType="end"/>
            </w:r>
            <w:r w:rsidRPr="00C52695">
              <w:t xml:space="preserve"> of this appendix.</w:t>
            </w:r>
          </w:p>
          <w:p w:rsidR="00C52695" w:rsidRPr="00C52695" w:rsidRDefault="00C52695" w:rsidP="00C52695">
            <w:r>
              <w:t xml:space="preserve">Lally advised that the correct tax statistic </w:t>
            </w:r>
            <w:r w:rsidRPr="00C52695">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52695">
              <w:rPr>
                <w:rStyle w:val="FootnoteReference"/>
              </w:rPr>
              <w:footnoteReference w:id="320"/>
            </w:r>
            <w:r w:rsidRPr="00C52695">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52695" w:rsidRPr="00C52695" w:rsidRDefault="00C52695" w:rsidP="00C52695">
            <w:r w:rsidRPr="00FF12F1">
              <w:t>Having regard to the potential data limitations and alternate estimates, the evidence from tax statistics is not inconsistent with the evidence from the equity ownership approach, but we place less reliance upon it.</w:t>
            </w:r>
            <w:r w:rsidRPr="00C52695">
              <w:t xml:space="preserve"> </w:t>
            </w:r>
          </w:p>
          <w:p w:rsidR="00C52695" w:rsidRPr="00C52695" w:rsidRDefault="00C52695" w:rsidP="00C52695">
            <w:r>
              <w:t>We do</w:t>
            </w:r>
            <w:r w:rsidRPr="00C52695">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C52695">
              <w:rPr>
                <w:rStyle w:val="FootnoteReference"/>
              </w:rPr>
              <w:footnoteReference w:id="321"/>
            </w:r>
          </w:p>
        </w:tc>
      </w:tr>
      <w:tr w:rsidR="00C52695" w:rsidRPr="00B45BDD" w:rsidTr="006425B8">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t>O</w:t>
            </w:r>
            <w:r w:rsidRPr="00C52695">
              <w:t>f the various methodologies for estimating gamma employed by the AER, market value studies are best placed to capture the considerations that investors make in determining the worth of imputation credits to them.</w:t>
            </w:r>
            <w:r w:rsidRPr="00C52695">
              <w:rPr>
                <w:rStyle w:val="FootnoteReference"/>
              </w:rPr>
              <w:footnoteReference w:id="322"/>
            </w:r>
          </w:p>
          <w:p w:rsidR="00C52695" w:rsidRPr="00C52695" w:rsidRDefault="00C52695" w:rsidP="00C52695">
            <w:r w:rsidRPr="00883125">
              <w:t>The AER could have excluded earlier market based studies that were not relevant, such as the studies that were conducted on pre 2000 data.</w:t>
            </w:r>
            <w:r w:rsidRPr="00C52695">
              <w:rPr>
                <w:rStyle w:val="FootnoteReference"/>
              </w:rPr>
              <w:footnoteReference w:id="323"/>
            </w:r>
          </w:p>
          <w:p w:rsidR="00C52695" w:rsidRPr="00C52695" w:rsidRDefault="00C52695" w:rsidP="00C52695">
            <w:r w:rsidRPr="00883125">
              <w:t xml:space="preserve">That the econometric issues identified in market based studies is at odds with the AER's </w:t>
            </w:r>
            <w:r w:rsidRPr="00C52695">
              <w:t>reliance on economic modelling in other aspects of its determinations.</w:t>
            </w:r>
            <w:r w:rsidRPr="00C52695">
              <w:rPr>
                <w:rStyle w:val="FootnoteReference"/>
              </w:rPr>
              <w:footnoteReference w:id="324"/>
            </w:r>
          </w:p>
          <w:p w:rsidR="00C52695" w:rsidRPr="00C52695" w:rsidRDefault="00C52695" w:rsidP="00C52695">
            <w:r w:rsidRPr="00883125">
              <w:t xml:space="preserve">The best estimate derived by the updated SFG study is 0.35 and it </w:t>
            </w:r>
            <w:r w:rsidRPr="00C52695">
              <w:t xml:space="preserve">is incorrect for the AER to </w:t>
            </w:r>
            <w:r w:rsidR="00AD585A" w:rsidRPr="00C52695">
              <w:t>adjust</w:t>
            </w:r>
            <w:r w:rsidRPr="00C52695">
              <w:t xml:space="preserve"> the SFG study for factors, such as differential personal taxes and risk.</w:t>
            </w:r>
            <w:r w:rsidRPr="00C52695">
              <w:rPr>
                <w:rStyle w:val="FootnoteReference"/>
              </w:rPr>
              <w:footnoteReference w:id="325"/>
            </w:r>
          </w:p>
          <w:p w:rsidR="00C52695" w:rsidRPr="00C52695" w:rsidRDefault="00C52695" w:rsidP="00C52695">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52695">
              <w:rPr>
                <w:rStyle w:val="FootnoteReference"/>
              </w:rPr>
              <w:footnoteReference w:id="326"/>
            </w:r>
          </w:p>
        </w:tc>
        <w:tc>
          <w:tcPr>
            <w:tcW w:w="1945" w:type="pct"/>
          </w:tcPr>
          <w:p w:rsidR="00C52695" w:rsidRPr="00C52695" w:rsidRDefault="00C52695" w:rsidP="00C52695">
            <w:r w:rsidRPr="00883125">
              <w:t xml:space="preserve">The limitations of dividend drop off studies have been widely identified—we provide a selection of comments from academics and regulators in section </w:t>
            </w:r>
            <w:r w:rsidRPr="00C52695">
              <w:fldChar w:fldCharType="begin"/>
            </w:r>
            <w:r w:rsidRPr="00C52695">
              <w:instrText xml:space="preserve"> REF _Ref451266265 \r \h  \* MERGEFORMAT </w:instrText>
            </w:r>
            <w:r w:rsidRPr="00C52695">
              <w:fldChar w:fldCharType="separate"/>
            </w:r>
            <w:r w:rsidR="00BF66D3">
              <w:t>A.15</w:t>
            </w:r>
            <w:r w:rsidRPr="00C52695">
              <w:fldChar w:fldCharType="end"/>
            </w:r>
            <w:r w:rsidRPr="00C52695">
              <w:t xml:space="preserve"> and </w:t>
            </w:r>
            <w:r w:rsidRPr="00C52695">
              <w:fldChar w:fldCharType="begin"/>
            </w:r>
            <w:r w:rsidRPr="00C52695">
              <w:instrText xml:space="preserve"> REF _Ref450761230 \r \h </w:instrText>
            </w:r>
            <w:r w:rsidRPr="00C52695">
              <w:fldChar w:fldCharType="separate"/>
            </w:r>
            <w:r w:rsidR="00BF66D3">
              <w:t>4.4.1</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rsidRPr="00883125">
              <w:t xml:space="preserve">The issue with dividend </w:t>
            </w:r>
            <w:r w:rsidRPr="00C52695">
              <w:t>drop off estimates of the utilisation rate (or value) is that they do not produce a post</w:t>
            </w:r>
            <w:r w:rsidR="00E57D43">
              <w:t xml:space="preserve"> </w:t>
            </w:r>
            <w:r w:rsidRPr="00C52695">
              <w:t xml:space="preserve">(company)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52695">
              <w:fldChar w:fldCharType="begin"/>
            </w:r>
            <w:r w:rsidRPr="00C52695">
              <w:instrText xml:space="preserve"> REF _Ref435171205 \r \h  \* MERGEFORMAT </w:instrText>
            </w:r>
            <w:r w:rsidRPr="00C52695">
              <w:fldChar w:fldCharType="separate"/>
            </w:r>
            <w:r w:rsidR="00BF66D3">
              <w:t>A.15.3</w:t>
            </w:r>
            <w:r w:rsidRPr="00C52695">
              <w:fldChar w:fldCharType="end"/>
            </w:r>
            <w:r w:rsidRPr="00C52695">
              <w:t>.</w:t>
            </w:r>
          </w:p>
          <w:p w:rsidR="00C52695" w:rsidRPr="00C52695" w:rsidRDefault="00C52695" w:rsidP="00C52695">
            <w:r w:rsidRPr="00883125">
              <w:t xml:space="preserve">The </w:t>
            </w:r>
            <w:r w:rsidRPr="00C52695">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Consistency of allowed rate of return parameters</w:t>
            </w:r>
          </w:p>
        </w:tc>
        <w:tc>
          <w:tcPr>
            <w:tcW w:w="2271" w:type="pct"/>
          </w:tcPr>
          <w:p w:rsidR="00C52695" w:rsidRPr="00C52695" w:rsidRDefault="00C52695" w:rsidP="00C52695">
            <w:r w:rsidRPr="00883125">
              <w:t xml:space="preserve">The AER's reasoning ignores the fact that other parameters in the WACC </w:t>
            </w:r>
            <w:r w:rsidRPr="00C52695">
              <w:t>calculation are market values that already incorporate the effects of the difference in investors' tax position and transaction costs'.</w:t>
            </w:r>
            <w:r w:rsidRPr="00C52695">
              <w:rPr>
                <w:rStyle w:val="FootnoteReference"/>
              </w:rPr>
              <w:footnoteReference w:id="327"/>
            </w:r>
            <w:r w:rsidRPr="00C52695">
              <w:t xml:space="preserve"> There is no inconsistency between the use of market studies to estimate the value of imputation credits and the method used to calculate other parameters of the cost of debt and equity from market data.</w:t>
            </w:r>
            <w:r w:rsidRPr="00C52695">
              <w:rPr>
                <w:rStyle w:val="FootnoteReference"/>
              </w:rPr>
              <w:footnoteReference w:id="328"/>
            </w:r>
            <w:r w:rsidRPr="00C52695">
              <w:t xml:space="preserve"> The Tribunal consider that return on equity is derived from market prices of government bonds (the risk free rate) and from the market prices of shares (beta and MRP).</w:t>
            </w:r>
            <w:r w:rsidRPr="00C52695">
              <w:rPr>
                <w:rStyle w:val="FootnoteReference"/>
              </w:rPr>
              <w:footnoteReference w:id="329"/>
            </w:r>
            <w:r w:rsidRPr="00C52695">
              <w:t xml:space="preserve"> The cost of debt is calculated by reference to bond yields which are derived directly from traded market prices.</w:t>
            </w:r>
            <w:r w:rsidRPr="00C52695">
              <w:rPr>
                <w:rStyle w:val="FootnoteReference"/>
              </w:rPr>
              <w:footnoteReference w:id="330"/>
            </w:r>
            <w:r w:rsidRPr="00C52695">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52695">
              <w:rPr>
                <w:rStyle w:val="FootnoteReference"/>
              </w:rPr>
              <w:footnoteReference w:id="331"/>
            </w:r>
          </w:p>
        </w:tc>
        <w:tc>
          <w:tcPr>
            <w:tcW w:w="1945" w:type="pct"/>
          </w:tcPr>
          <w:p w:rsidR="00C52695" w:rsidRPr="00C52695" w:rsidRDefault="00C52695" w:rsidP="00C52695">
            <w:r w:rsidRPr="00B27BE5">
              <w:t>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C52695">
              <w:t>company pre-personal tax value consistent with the framework in the NER/NGR based on Officer's work.</w:t>
            </w:r>
          </w:p>
          <w:p w:rsidR="00C52695" w:rsidRPr="00C52695" w:rsidRDefault="00C52695" w:rsidP="00C52695">
            <w:r>
              <w:t>We</w:t>
            </w:r>
            <w:r w:rsidRPr="00C52695">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 xml:space="preserve">Changes to the NER and the NEL allow </w:t>
            </w:r>
            <w:r w:rsidRPr="00C52695">
              <w:t>the AER greater flexibility to adopt a more sophisticated approach to the cost of capital than previously envisaged by the NER and the NEL.</w:t>
            </w:r>
            <w:r w:rsidRPr="00C52695">
              <w:rPr>
                <w:rStyle w:val="FootnoteReference"/>
              </w:rPr>
              <w:footnoteReference w:id="332"/>
            </w:r>
            <w:r w:rsidRPr="00C52695">
              <w:t xml:space="preserve"> It is appropriate that the AER should use that additional flexibility to seek advice on alternatives to the Officer Framework that better define the impact of imputation credits on the cost of capital.</w:t>
            </w:r>
            <w:r w:rsidRPr="00C52695">
              <w:rPr>
                <w:rStyle w:val="FootnoteReference"/>
              </w:rPr>
              <w:footnoteReference w:id="333"/>
            </w:r>
          </w:p>
          <w:p w:rsidR="00C52695" w:rsidRPr="00C52695" w:rsidRDefault="00C52695" w:rsidP="00C52695">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C52695">
              <w:rPr>
                <w:rStyle w:val="FootnoteReference"/>
              </w:rPr>
              <w:footnoteReference w:id="334"/>
            </w:r>
          </w:p>
          <w:p w:rsidR="00C52695" w:rsidRPr="00C52695" w:rsidRDefault="00C52695" w:rsidP="00C52695">
            <w:r w:rsidRPr="00883125">
              <w:t xml:space="preserve">Experts present no consistently coherent CAPM framework for the </w:t>
            </w:r>
            <w:r w:rsidRPr="00C52695">
              <w:t>assessment of the components of the cost of capital. There are models with disputed applicability which may or may not be consistent with the application of a vanilla WACC.</w:t>
            </w:r>
            <w:r w:rsidRPr="00C52695">
              <w:rPr>
                <w:rStyle w:val="FootnoteReference"/>
              </w:rPr>
              <w:footnoteReference w:id="335"/>
            </w:r>
          </w:p>
        </w:tc>
        <w:tc>
          <w:tcPr>
            <w:tcW w:w="1945" w:type="pct"/>
          </w:tcPr>
          <w:p w:rsidR="00C52695" w:rsidRPr="00C52695" w:rsidRDefault="00C52695" w:rsidP="00022C1D">
            <w:r>
              <w:t>We</w:t>
            </w:r>
            <w:r w:rsidRPr="00C52695">
              <w:t xml:space="preserve"> remain of the view that Officer Framework remains appropriate for the current </w:t>
            </w:r>
            <w:r w:rsidR="009B2737">
              <w:t>draft</w:t>
            </w:r>
            <w:r w:rsidR="00022C1D" w:rsidRPr="00C52695">
              <w:t xml:space="preserve"> </w:t>
            </w:r>
            <w:r w:rsidRPr="00C52695">
              <w:t>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C52695" w:rsidRPr="00883125" w:rsidRDefault="00C52695" w:rsidP="00C52695">
      <w:pPr>
        <w:pStyle w:val="AERtablesource"/>
      </w:pPr>
      <w:r w:rsidRPr="00883125">
        <w:t xml:space="preserve">Source: </w:t>
      </w:r>
      <w:r w:rsidRPr="00883125">
        <w:tab/>
        <w:t>As specified in table.</w:t>
      </w:r>
    </w:p>
    <w:p w:rsidR="00DD71F3" w:rsidRDefault="00DD71F3" w:rsidP="00DD71F3"/>
    <w:p w:rsidR="00797A7F" w:rsidRPr="00883125" w:rsidRDefault="00797A7F" w:rsidP="00C52695"/>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08"/>
          <w:docGrid w:linePitch="360"/>
        </w:sectPr>
      </w:pPr>
    </w:p>
    <w:p w:rsidR="00C52695" w:rsidRPr="00883125" w:rsidRDefault="00C52695" w:rsidP="00C52695">
      <w:pPr>
        <w:pStyle w:val="Heading9"/>
      </w:pPr>
      <w:r>
        <w:t xml:space="preserve"> </w:t>
      </w:r>
      <w:bookmarkStart w:id="175" w:name="_Toc456614294"/>
      <w:bookmarkStart w:id="176" w:name="_Toc462823312"/>
      <w:bookmarkStart w:id="177" w:name="_Toc487014314"/>
      <w:r w:rsidRPr="00883125">
        <w:t>Energex</w:t>
      </w:r>
      <w:bookmarkEnd w:id="175"/>
      <w:bookmarkEnd w:id="176"/>
      <w:bookmarkEnd w:id="177"/>
    </w:p>
    <w:p w:rsidR="00C52695" w:rsidRPr="00883125" w:rsidRDefault="00C52695" w:rsidP="00C52695">
      <w:pPr>
        <w:numPr>
          <w:ilvl w:val="0"/>
          <w:numId w:val="24"/>
        </w:numPr>
      </w:pPr>
      <w:r w:rsidRPr="00883125">
        <w:t>In our 2009 industry wide review of rate of return parameters (the 2009 WACC review), we adopted a gamma of 0.65.</w:t>
      </w:r>
      <w:r w:rsidRPr="00883125">
        <w:rPr>
          <w:rStyle w:val="FootnoteReference"/>
        </w:rPr>
        <w:footnoteReference w:id="336"/>
      </w:r>
      <w:r w:rsidRPr="00883125">
        <w:t xml:space="preserve"> In 2009, we applied this value in the Queensland and South Australian electricity distribution determinations. Energex and Ergon successfully sought review of this decision by the Australian Competition Tribunal. The </w:t>
      </w:r>
      <w:r w:rsidR="00C25A56">
        <w:t xml:space="preserve">Energex </w:t>
      </w:r>
      <w:r w:rsidRPr="00883125">
        <w:t>Tribunal set the distribution rate to 0.7 and initiated a dividend drop off study from SFG to estimate the utilisation rate. The</w:t>
      </w:r>
      <w:r w:rsidR="00C25A56">
        <w:t xml:space="preserve"> Energex</w:t>
      </w:r>
      <w:r w:rsidRPr="00883125">
        <w:t xml:space="preserve"> Tribunal adopted SFG's recommendation that the utilisation rate be set at 0.35. This resulted in a gamma of 0.25. </w:t>
      </w:r>
    </w:p>
    <w:p w:rsidR="00C52695" w:rsidRPr="00883125" w:rsidRDefault="00C52695" w:rsidP="00C52695">
      <w:r w:rsidRPr="00883125">
        <w:t xml:space="preserve">In reaching its position, the </w:t>
      </w:r>
      <w:r w:rsidR="00C25A56">
        <w:t xml:space="preserve">Energex </w:t>
      </w:r>
      <w:r w:rsidRPr="00883125">
        <w:t xml:space="preserve">Tribunal expressed views on the important factors in its decisions. This included areas where the </w:t>
      </w:r>
      <w:r w:rsidR="00C25A56">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BF66D3" w:rsidRPr="00883125">
        <w:t xml:space="preserve">table </w:t>
      </w:r>
      <w:r w:rsidR="00BF66D3">
        <w:t>4</w:t>
      </w:r>
      <w:r w:rsidR="00BF66D3">
        <w:noBreakHyphen/>
        <w:t>10</w:t>
      </w:r>
      <w:r w:rsidRPr="00883125">
        <w:fldChar w:fldCharType="end"/>
      </w:r>
      <w:r w:rsidRPr="00883125">
        <w:t xml:space="preserve"> below. We have carefully considered these views.</w:t>
      </w:r>
    </w:p>
    <w:p w:rsidR="00C52695" w:rsidRPr="00883125" w:rsidRDefault="00C52695" w:rsidP="00C52695"/>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p w:rsidR="00C52695" w:rsidRPr="00883125" w:rsidRDefault="00C52695" w:rsidP="00C52695"/>
    <w:p w:rsidR="00C52695" w:rsidRPr="00883125" w:rsidRDefault="00C52695" w:rsidP="00C52695">
      <w:pPr>
        <w:pStyle w:val="Caption"/>
      </w:pPr>
      <w:bookmarkStart w:id="178" w:name="_Ref400609646"/>
      <w:bookmarkStart w:id="179" w:name="_Ref401260171"/>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10</w:t>
      </w:r>
      <w:r w:rsidRPr="001D37D5">
        <w:fldChar w:fldCharType="end"/>
      </w:r>
      <w:bookmarkEnd w:id="178"/>
      <w:r w:rsidRPr="00883125">
        <w:tab/>
        <w:t>Australian Competition Tribunal's observations on imputation credits</w:t>
      </w:r>
      <w:bookmarkEnd w:id="179"/>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AER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52695" w:rsidRPr="00C52695" w:rsidRDefault="00C52695" w:rsidP="00C52695">
            <w:r w:rsidRPr="00883125">
              <w:t>The Tribunal would be assisted in its consideration of the issues before it if the AER were to provide relevant extrinsic material explaining:</w:t>
            </w:r>
          </w:p>
          <w:p w:rsidR="00C52695" w:rsidRPr="00C52695" w:rsidRDefault="00C52695" w:rsidP="00C52695">
            <w:r w:rsidRPr="00883125">
              <w:t>(a) the rationale for including the gamma component in the formula for calculating the estimated cost of corporate income tax; and</w:t>
            </w:r>
          </w:p>
          <w:p w:rsidR="00C52695" w:rsidRPr="00C52695" w:rsidRDefault="00C52695" w:rsidP="00C52695">
            <w:r w:rsidRPr="00883125">
              <w:t>(b) how it relates to the rest of the building blocks, especially the rate of return (cl 6.4.3(a) and cl 6.5.2(b) of the Rules)."</w:t>
            </w:r>
            <w:r w:rsidRPr="00C52695">
              <w:rPr>
                <w:rStyle w:val="FootnoteReference"/>
              </w:rPr>
              <w:footnoteReference w:id="337"/>
            </w:r>
          </w:p>
        </w:tc>
        <w:tc>
          <w:tcPr>
            <w:tcW w:w="1945" w:type="pct"/>
          </w:tcPr>
          <w:p w:rsidR="00C52695" w:rsidRPr="00C52695" w:rsidRDefault="00C52695" w:rsidP="00C52695">
            <w:r w:rsidRPr="00883125">
              <w:t xml:space="preserve">In developing the Guideline, we re-evaluated the conceptual framework for the value of imputation credits. In making this </w:t>
            </w:r>
            <w:r w:rsidR="009B2737">
              <w:t>draft</w:t>
            </w:r>
            <w:r w:rsidR="00022C1D"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BF66D3">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BF66D3">
              <w:t>A.6</w:t>
            </w:r>
            <w:r w:rsidRPr="00C52695">
              <w:fldChar w:fldCharType="end"/>
            </w:r>
            <w:r w:rsidRPr="00C52695">
              <w:t>.</w:t>
            </w:r>
          </w:p>
          <w:p w:rsidR="00C52695" w:rsidRPr="00C52695" w:rsidRDefault="00C52695" w:rsidP="00C52695">
            <w:r>
              <w:t xml:space="preserve">Also see our response above in section </w:t>
            </w:r>
            <w:r w:rsidRPr="00C52695">
              <w:fldChar w:fldCharType="begin"/>
            </w:r>
            <w:r w:rsidRPr="00C52695">
              <w:instrText xml:space="preserve"> REF _Ref451813952 \r \h </w:instrText>
            </w:r>
            <w:r w:rsidRPr="00C52695">
              <w:fldChar w:fldCharType="separate"/>
            </w:r>
            <w:r w:rsidR="00BF66D3">
              <w:t>A.3.2</w:t>
            </w:r>
            <w:r w:rsidRPr="00C52695">
              <w:fldChar w:fldCharType="end"/>
            </w:r>
            <w:r w:rsidRPr="00C52695">
              <w:t xml:space="preserve"> under ' The conceptual framework for gamma'.</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 xml:space="preserve">"…there is [was] no empirical evidence currently available supporting </w:t>
            </w:r>
            <w:r w:rsidRPr="00C52695">
              <w:t>a distribution ratio higher than 0.70."</w:t>
            </w:r>
            <w:r w:rsidRPr="00C52695">
              <w:rPr>
                <w:rStyle w:val="FootnoteReference"/>
              </w:rPr>
              <w:footnoteReference w:id="338"/>
            </w:r>
          </w:p>
        </w:tc>
        <w:tc>
          <w:tcPr>
            <w:tcW w:w="1945" w:type="pct"/>
          </w:tcPr>
          <w:p w:rsidR="00C52695" w:rsidRPr="00C52695" w:rsidRDefault="00C52695" w:rsidP="00C52695">
            <w:r w:rsidRPr="00883125">
              <w:t xml:space="preserve">As discussed in </w:t>
            </w:r>
            <w:r w:rsidRPr="00C52695">
              <w:t xml:space="preserve">section </w:t>
            </w:r>
            <w:r w:rsidRPr="00C52695">
              <w:fldChar w:fldCharType="begin"/>
            </w:r>
            <w:r w:rsidRPr="00C52695">
              <w:instrText xml:space="preserve"> REF _Ref401133206 \r \h  \* MERGEFORMAT </w:instrText>
            </w:r>
            <w:r w:rsidRPr="00C52695">
              <w:fldChar w:fldCharType="separate"/>
            </w:r>
            <w:r w:rsidR="00BF66D3">
              <w:t>A.10</w:t>
            </w:r>
            <w:r w:rsidRPr="00C52695">
              <w:fldChar w:fldCharType="end"/>
            </w:r>
            <w:r w:rsidRPr="00C52695">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C52695" w:rsidRPr="00C52695" w:rsidRDefault="00C52695" w:rsidP="00C52695">
            <w:r>
              <w:t xml:space="preserve">Also see </w:t>
            </w:r>
            <w:r w:rsidRPr="00C52695">
              <w:t xml:space="preserve">our response above in section </w:t>
            </w:r>
            <w:r w:rsidRPr="00C52695">
              <w:fldChar w:fldCharType="begin"/>
            </w:r>
            <w:r w:rsidRPr="00C52695">
              <w:instrText xml:space="preserve"> REF _Ref451813952 \r \h </w:instrText>
            </w:r>
            <w:r w:rsidRPr="00C52695">
              <w:fldChar w:fldCharType="separate"/>
            </w:r>
            <w:r w:rsidR="00BF66D3">
              <w:t>A.3.2</w:t>
            </w:r>
            <w:r w:rsidRPr="00C52695">
              <w:fldChar w:fldCharType="end"/>
            </w:r>
            <w:r w:rsidRPr="00C52695">
              <w:t xml:space="preserve"> under 'The distribution rate (payout ratio)'. </w:t>
            </w:r>
          </w:p>
        </w:tc>
      </w:tr>
      <w:tr w:rsidR="00C52695" w:rsidRPr="00B45BDD" w:rsidTr="006425B8">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52695">
              <w:rPr>
                <w:rStyle w:val="FootnoteReference"/>
              </w:rPr>
              <w:footnoteReference w:id="339"/>
            </w:r>
          </w:p>
          <w:p w:rsidR="00C52695" w:rsidRPr="00C52695" w:rsidRDefault="00C52695" w:rsidP="00C52695">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52695" w:rsidRPr="00C52695" w:rsidRDefault="00C52695" w:rsidP="00C52695">
            <w:r w:rsidRPr="00883125">
              <w:t xml:space="preserve">- estimates from dividend drop-off studies are very imprecise and of questionable reliability; </w:t>
            </w:r>
          </w:p>
          <w:p w:rsidR="00C52695" w:rsidRPr="00C52695" w:rsidRDefault="00C52695" w:rsidP="00C52695">
            <w:r w:rsidRPr="00883125">
              <w:t xml:space="preserve">- such studies are likely to produce downwardly-biased estimates of theta; and </w:t>
            </w:r>
          </w:p>
          <w:p w:rsidR="00C52695" w:rsidRPr="00C52695" w:rsidRDefault="00C52695" w:rsidP="00C52695">
            <w:r w:rsidRPr="00883125">
              <w:t>- taxation studies do not give an upper bound to theta.</w:t>
            </w:r>
          </w:p>
          <w:p w:rsidR="00C52695" w:rsidRPr="00C52695" w:rsidRDefault="00C52695" w:rsidP="00C52695">
            <w:r w:rsidRPr="00883125">
              <w:t>By way of background, the Tribunal in earlier reasons noted</w:t>
            </w:r>
            <w:r w:rsidRPr="00C52695">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52695" w:rsidRPr="00C52695" w:rsidRDefault="00C52695" w:rsidP="00C52695">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C52695">
              <w:rPr>
                <w:rStyle w:val="FootnoteReference"/>
              </w:rPr>
              <w:footnoteReference w:id="340"/>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52695">
              <w:t xml:space="preserve">our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BF66D3">
              <w:t>A.13</w:t>
            </w:r>
            <w:r w:rsidRPr="00C52695">
              <w:fldChar w:fldCharType="end"/>
            </w:r>
            <w:r w:rsidRPr="00C52695">
              <w:t xml:space="preserve"> of this appendix.</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BF66D3">
              <w:t>A.3.2</w:t>
            </w:r>
            <w:r w:rsidRPr="00C52695">
              <w:fldChar w:fldCharType="end"/>
            </w:r>
            <w:r w:rsidRPr="00C52695">
              <w:t xml:space="preserve"> under 'Tax statistic estimates'.</w:t>
            </w:r>
          </w:p>
          <w:p w:rsidR="00C52695" w:rsidRPr="00B27BE5" w:rsidRDefault="00C52695" w:rsidP="00C52695"/>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52695" w:rsidRPr="00C52695" w:rsidRDefault="00C52695" w:rsidP="00C52695">
            <w:r w:rsidRPr="00883125">
              <w:t xml:space="preserve">However, SIRCA's March 2011 report does not resolve these issues and </w:t>
            </w:r>
            <w:r w:rsidRPr="00C52695">
              <w:t>the AER has provided no conclusions of its own."</w:t>
            </w:r>
            <w:r w:rsidRPr="00C52695">
              <w:rPr>
                <w:rStyle w:val="FootnoteReference"/>
              </w:rPr>
              <w:footnoteReference w:id="341"/>
            </w:r>
          </w:p>
        </w:tc>
        <w:tc>
          <w:tcPr>
            <w:tcW w:w="1945" w:type="pct"/>
          </w:tcPr>
          <w:p w:rsidR="00C52695" w:rsidRPr="00C52695" w:rsidRDefault="00C52695" w:rsidP="00C52695">
            <w:r w:rsidRPr="00883125">
              <w:t xml:space="preserve">The limitations of dividend drop off studies have been widely identified since these proceedings—we provide a selection of comments from academics and regulators in section </w:t>
            </w:r>
            <w:r w:rsidRPr="00C52695">
              <w:fldChar w:fldCharType="begin"/>
            </w:r>
            <w:r w:rsidRPr="00C52695">
              <w:instrText xml:space="preserve"> REF _Ref451267181 \r \h  \* MERGEFORMAT </w:instrText>
            </w:r>
            <w:r w:rsidRPr="00C52695">
              <w:fldChar w:fldCharType="separate"/>
            </w:r>
            <w:r w:rsidR="00BF66D3">
              <w:t>A.15</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BF66D3">
              <w:t>A.3.2</w:t>
            </w:r>
            <w:r w:rsidRPr="00C52695">
              <w:fldChar w:fldCharType="end"/>
            </w:r>
            <w:r w:rsidRPr="00C52695">
              <w:t xml:space="preserve"> under 'The conceptual basis for dividend drop off studies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"Further, the Tribunal notes that estimation of a parameter such as gamma is necessarily, and desirably, an ongoing intellectual and empirical endeavour. Its decision in these proceedings is based on the material before it.”</w:t>
            </w:r>
            <w:r w:rsidRPr="00C52695">
              <w:rPr>
                <w:rStyle w:val="FootnoteReference"/>
              </w:rPr>
              <w:footnoteReference w:id="342"/>
            </w:r>
          </w:p>
        </w:tc>
        <w:tc>
          <w:tcPr>
            <w:tcW w:w="1945" w:type="pct"/>
          </w:tcPr>
          <w:p w:rsidR="00C52695" w:rsidRPr="00C52695" w:rsidRDefault="00C52695" w:rsidP="00C52695">
            <w:r w:rsidRPr="00883125">
              <w:t xml:space="preserve">Consistent with this comment, we have not sought to apply the Tribunal's previous considerations in this </w:t>
            </w:r>
            <w:r w:rsidR="009B2737">
              <w:t>draft</w:t>
            </w:r>
            <w:r w:rsidR="0085480B" w:rsidRPr="00C52695">
              <w:t xml:space="preserve"> </w:t>
            </w:r>
            <w:r w:rsidRPr="00C52695">
              <w:t xml:space="preserve">decision. Instead, we adopt a value of imputation credits that is based on our assessment of the merits of the evidence before us, which includes a large amount of material that was not before the Tribunal in these proceedings. </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BF66D3">
              <w:t>A.3.2</w:t>
            </w:r>
            <w:r w:rsidRPr="00C52695">
              <w:fldChar w:fldCharType="end"/>
            </w:r>
            <w:r w:rsidRPr="00C52695">
              <w:t xml:space="preserve"> under 'The need to re-evaluate gamma '.</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numPr>
          <w:ilvl w:val="0"/>
          <w:numId w:val="24"/>
        </w:numPr>
        <w:sectPr w:rsidR="00C52695" w:rsidRPr="00883125" w:rsidSect="006425B8">
          <w:pgSz w:w="16838" w:h="11906" w:orient="landscape"/>
          <w:pgMar w:top="1440" w:right="1440" w:bottom="1440" w:left="1440" w:header="708" w:footer="708" w:gutter="0"/>
          <w:pgNumType w:chapStyle="1"/>
          <w:cols w:space="708"/>
          <w:docGrid w:linePitch="360"/>
        </w:sectPr>
      </w:pPr>
    </w:p>
    <w:p w:rsidR="00C52695" w:rsidRPr="00883125" w:rsidRDefault="00C52695" w:rsidP="00C52695">
      <w:pPr>
        <w:numPr>
          <w:ilvl w:val="0"/>
          <w:numId w:val="24"/>
        </w:numPr>
      </w:pPr>
      <w:r w:rsidRPr="00883125">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43"/>
      </w:r>
      <w:r w:rsidRPr="00883125">
        <w:t xml:space="preserve"> However, the last quote from the </w:t>
      </w:r>
      <w:r w:rsidR="00C25A56">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rsidR="00C25A56">
        <w:t xml:space="preserve">Energex </w:t>
      </w:r>
      <w:r w:rsidRPr="00883125">
        <w:t xml:space="preserve">Tribunal's decision as if it were precedent. Rather, they propose a value of imputation credits, and reasons for that value, which are consistent with the </w:t>
      </w:r>
      <w:r w:rsidR="00C25A56">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44"/>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BF66D3">
        <w:t>A.15</w:t>
      </w:r>
      <w:r>
        <w:fldChar w:fldCharType="end"/>
      </w:r>
      <w:r w:rsidRPr="00883125">
        <w:t>.</w:t>
      </w:r>
    </w:p>
    <w:p w:rsidR="00C52695" w:rsidRPr="00883125" w:rsidRDefault="00C52695" w:rsidP="00C52695">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rsidR="00C25A56">
        <w:t xml:space="preserve">Energex </w:t>
      </w:r>
      <w:r w:rsidRPr="00883125">
        <w:t>Tribunal's expectation that the value of imputation credits is 'necessarily, and desirably, an ongoing intellectual and empirical endeavour'.</w:t>
      </w:r>
    </w:p>
    <w:p w:rsidR="00C52695" w:rsidRPr="00883125" w:rsidRDefault="00C52695" w:rsidP="00C52695">
      <w:pPr>
        <w:pStyle w:val="Heading9"/>
      </w:pPr>
      <w:bookmarkStart w:id="180" w:name="_Toc456614295"/>
      <w:bookmarkStart w:id="181" w:name="_Toc462823313"/>
      <w:bookmarkStart w:id="182" w:name="_Toc487014315"/>
      <w:r w:rsidRPr="00883125">
        <w:t>DBNGP and WA Gas Networks</w:t>
      </w:r>
      <w:bookmarkEnd w:id="180"/>
      <w:bookmarkEnd w:id="181"/>
      <w:bookmarkEnd w:id="182"/>
    </w:p>
    <w:p w:rsidR="00C52695" w:rsidRPr="00883125" w:rsidRDefault="00C52695" w:rsidP="00C52695">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45"/>
      </w:r>
    </w:p>
    <w:p w:rsidR="00C52695" w:rsidRPr="00883125" w:rsidRDefault="00C52695" w:rsidP="00C52695">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52695" w:rsidRPr="00883125" w:rsidRDefault="00C52695" w:rsidP="00C52695">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52695" w:rsidRPr="00883125" w:rsidRDefault="00C52695" w:rsidP="00C52695">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52695" w:rsidRPr="00883125" w:rsidRDefault="00C52695" w:rsidP="00C52695">
      <w:r w:rsidRPr="00883125">
        <w:t>The Tribunal made similar comments in the earlier WA Gas Networks matter.</w:t>
      </w:r>
      <w:r w:rsidRPr="00883125">
        <w:rPr>
          <w:rStyle w:val="FootnoteReference"/>
        </w:rPr>
        <w:footnoteReference w:id="346"/>
      </w:r>
    </w:p>
    <w:p w:rsidR="00C52695" w:rsidRPr="00883125" w:rsidRDefault="00C52695" w:rsidP="00C52695">
      <w:pPr>
        <w:pStyle w:val="Heading8"/>
      </w:pPr>
      <w:bookmarkStart w:id="183" w:name="_Ref415070393"/>
      <w:bookmarkStart w:id="184" w:name="_Toc436049445"/>
      <w:bookmarkStart w:id="185" w:name="_Toc451842249"/>
      <w:bookmarkStart w:id="186" w:name="_Toc451938305"/>
      <w:bookmarkStart w:id="187" w:name="_Toc456614296"/>
      <w:bookmarkStart w:id="188" w:name="_Toc462823314"/>
      <w:bookmarkStart w:id="189" w:name="_Toc487014316"/>
      <w:r w:rsidRPr="00883125">
        <w:t>Key concerns of the service providers</w:t>
      </w:r>
      <w:bookmarkEnd w:id="183"/>
      <w:bookmarkEnd w:id="184"/>
      <w:bookmarkEnd w:id="185"/>
      <w:bookmarkEnd w:id="186"/>
      <w:bookmarkEnd w:id="187"/>
      <w:bookmarkEnd w:id="188"/>
      <w:bookmarkEnd w:id="189"/>
    </w:p>
    <w:p w:rsidR="00D04AA1" w:rsidRDefault="00DC1EEF" w:rsidP="00C52695">
      <w:r>
        <w:t xml:space="preserve">Since the rate of return guideline we have </w:t>
      </w:r>
      <w:r w:rsidR="00E21E18">
        <w:t xml:space="preserve">effectively </w:t>
      </w:r>
      <w:r>
        <w:t xml:space="preserve">reviewed </w:t>
      </w:r>
      <w:r w:rsidR="00F809D6">
        <w:t>four</w:t>
      </w:r>
      <w:r>
        <w:t xml:space="preserve"> tranches of submissions from the regulated businesses</w:t>
      </w:r>
      <w:r w:rsidR="00E21E18">
        <w:t xml:space="preserve"> and other related stakeholder submissions</w:t>
      </w:r>
      <w:r>
        <w:t xml:space="preserve">. </w:t>
      </w:r>
      <w:r w:rsidR="00E30CB4">
        <w:t>These tranches related to common gamma decision in AER decisions released in May and June 2015</w:t>
      </w:r>
      <w:r w:rsidR="00AD35FD">
        <w:t>,</w:t>
      </w:r>
      <w:r w:rsidR="00E30CB4">
        <w:rPr>
          <w:rStyle w:val="FootnoteReference"/>
        </w:rPr>
        <w:footnoteReference w:id="347"/>
      </w:r>
      <w:r w:rsidR="00E30CB4">
        <w:t xml:space="preserve"> October and November 2015</w:t>
      </w:r>
      <w:r w:rsidR="00AD35FD">
        <w:t>,</w:t>
      </w:r>
      <w:r w:rsidR="00E30CB4">
        <w:rPr>
          <w:rStyle w:val="FootnoteReference"/>
        </w:rPr>
        <w:footnoteReference w:id="348"/>
      </w:r>
      <w:r w:rsidR="00E30CB4">
        <w:t xml:space="preserve"> May 2016</w:t>
      </w:r>
      <w:r w:rsidR="00E30CB4">
        <w:rPr>
          <w:rStyle w:val="FootnoteReference"/>
        </w:rPr>
        <w:footnoteReference w:id="349"/>
      </w:r>
      <w:r w:rsidR="00194D86">
        <w:t>, April 2017</w:t>
      </w:r>
      <w:r w:rsidR="00E30CB4">
        <w:rPr>
          <w:rStyle w:val="FootnoteReference"/>
        </w:rPr>
        <w:footnoteReference w:id="350"/>
      </w:r>
      <w:r w:rsidR="00E30CB4">
        <w:t xml:space="preserve"> </w:t>
      </w:r>
      <w:r w:rsidR="00194D86">
        <w:t>and the current decisions.</w:t>
      </w:r>
      <w:r w:rsidR="00194D86">
        <w:rPr>
          <w:rStyle w:val="FootnoteReference"/>
        </w:rPr>
        <w:footnoteReference w:id="351"/>
      </w:r>
      <w:r w:rsidR="00194D86">
        <w:t xml:space="preserve"> </w:t>
      </w:r>
      <w:r>
        <w:t xml:space="preserve">Below we highlight the key concerns raised by regulated businesses in </w:t>
      </w:r>
      <w:r w:rsidR="00D04AA1">
        <w:t xml:space="preserve">each </w:t>
      </w:r>
      <w:r>
        <w:t xml:space="preserve">tranche of submissions. Overall most businesses submit that gamma should be set </w:t>
      </w:r>
      <w:r w:rsidR="00D04AA1">
        <w:t>to 0.25 based on a 0.</w:t>
      </w:r>
      <w:r w:rsidR="00E21E18">
        <w:t>3</w:t>
      </w:r>
      <w:r w:rsidR="00D04AA1">
        <w:t xml:space="preserve">5 utilisation value </w:t>
      </w:r>
      <w:r w:rsidR="00E21E18">
        <w:t xml:space="preserve">from </w:t>
      </w:r>
      <w:r w:rsidR="00D04AA1">
        <w:t>the SFG dividend drop off study an</w:t>
      </w:r>
      <w:r w:rsidR="00894576">
        <w:t xml:space="preserve">d a 0.7 all equity distribution </w:t>
      </w:r>
      <w:r w:rsidR="00D04AA1">
        <w:t>rate</w:t>
      </w:r>
      <w:r w:rsidR="00E21E18">
        <w:t xml:space="preserve"> based on franking account balance data from the Australian Taxation Office</w:t>
      </w:r>
      <w:r w:rsidR="00D04AA1">
        <w:t xml:space="preserve">. </w:t>
      </w:r>
    </w:p>
    <w:p w:rsidR="008E3F2C" w:rsidRDefault="00BC0D27" w:rsidP="00C52695">
      <w:r>
        <w:t xml:space="preserve">AGN in its </w:t>
      </w:r>
      <w:r w:rsidR="005F4F09">
        <w:t>proposal</w:t>
      </w:r>
      <w:r w:rsidR="00D04AA1">
        <w:t xml:space="preserve"> submitted a gamma estimate of 0.4</w:t>
      </w:r>
      <w:r w:rsidR="00C845C2">
        <w:t>,</w:t>
      </w:r>
      <w:r w:rsidR="00D04AA1">
        <w:t xml:space="preserve"> consistent with the AER's earlier decisions.</w:t>
      </w:r>
      <w:r w:rsidR="00FC5558">
        <w:rPr>
          <w:rStyle w:val="FootnoteReference"/>
        </w:rPr>
        <w:footnoteReference w:id="352"/>
      </w:r>
    </w:p>
    <w:p w:rsidR="008E3F2C" w:rsidRDefault="008E3F2C" w:rsidP="00E750F8">
      <w:pPr>
        <w:pStyle w:val="Heading9"/>
      </w:pPr>
      <w:bookmarkStart w:id="190" w:name="_Toc487014317"/>
      <w:r>
        <w:t>Ausgrid, Endeavour Energy, Essential Energy, ActewAGL, TransGrid, Directlink, Jemena Gas Networks</w:t>
      </w:r>
      <w:bookmarkEnd w:id="190"/>
    </w:p>
    <w:p w:rsidR="00C52695" w:rsidRPr="00883125" w:rsidRDefault="00C52695" w:rsidP="00C52695">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53"/>
      </w:r>
      <w:r w:rsidRPr="00883125">
        <w:t xml:space="preserve"> Below we set out each of these and identify where we have responded to each of these eight key concerns in this </w:t>
      </w:r>
      <w:r w:rsidR="009B2737">
        <w:t>draft</w:t>
      </w:r>
      <w:r w:rsidR="00022C1D" w:rsidRPr="00883125">
        <w:t xml:space="preserve"> </w:t>
      </w:r>
      <w:r w:rsidRPr="00883125">
        <w:t>decision.</w:t>
      </w:r>
    </w:p>
    <w:p w:rsidR="00C52695" w:rsidRPr="001D37D5" w:rsidRDefault="00C52695" w:rsidP="00C52695">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BF66D3">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BF66D3">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BF66D3">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BF66D3">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BF66D3">
        <w:t>A.7</w:t>
      </w:r>
      <w:r w:rsidRPr="001D37D5">
        <w:fldChar w:fldCharType="end"/>
      </w:r>
      <w:r w:rsidRPr="001D37D5">
        <w:t>. As shown there, our understanding is consistent with the theoretical framework that underpins the NER/NGR and is supported by expert advice from Handley and Lally.</w:t>
      </w:r>
    </w:p>
    <w:p w:rsidR="00C52695" w:rsidRPr="001D37D5" w:rsidRDefault="00C52695" w:rsidP="00C52695">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BF66D3">
        <w:t>A.12</w:t>
      </w:r>
      <w:r w:rsidRPr="001D37D5">
        <w:fldChar w:fldCharType="end"/>
      </w:r>
      <w:r w:rsidRPr="001D37D5">
        <w:t xml:space="preserve"> why the equity ownership approach provides a reasonable estimate.</w:t>
      </w:r>
    </w:p>
    <w:p w:rsidR="00C52695" w:rsidRPr="001D37D5" w:rsidRDefault="00C52695" w:rsidP="00C52695">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BF66D3">
        <w:t>A.12</w:t>
      </w:r>
      <w:r w:rsidRPr="001D37D5">
        <w:fldChar w:fldCharType="end"/>
      </w:r>
      <w:r w:rsidRPr="001D37D5">
        <w:t xml:space="preserve">, the service providers who raised this did not recognise that our ranges were based on the evidence from two alternative applications of the equity ownership approach. In this </w:t>
      </w:r>
      <w:r w:rsidR="009B2737">
        <w:t>draft</w:t>
      </w:r>
      <w:r w:rsidR="00DE3646">
        <w:t xml:space="preserve">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C52695" w:rsidRPr="001D37D5" w:rsidRDefault="00C52695" w:rsidP="00C52695">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BF66D3">
        <w:t>A.13</w:t>
      </w:r>
      <w:r w:rsidRPr="001D37D5">
        <w:fldChar w:fldCharType="end"/>
      </w:r>
      <w:r w:rsidRPr="001D37D5">
        <w:t xml:space="preserve"> why tax statistics provide a valid, albeit uncertain, estimate.</w:t>
      </w:r>
    </w:p>
    <w:p w:rsidR="00C52695" w:rsidRPr="001D37D5" w:rsidRDefault="00C52695" w:rsidP="00C52695">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BF66D3">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BF66D3">
        <w:t>A.15.5</w:t>
      </w:r>
      <w:r w:rsidRPr="001D37D5">
        <w:fldChar w:fldCharType="end"/>
      </w:r>
      <w:r w:rsidRPr="001D37D5">
        <w:t xml:space="preserve"> why the results of implied market value studies can reflect factors that are not relevant to the utilisation rate.</w:t>
      </w:r>
    </w:p>
    <w:p w:rsidR="00C52695" w:rsidRPr="001D37D5" w:rsidRDefault="00C52695" w:rsidP="00C52695">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BF66D3">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BF66D3">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BF66D3">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BF66D3">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BF66D3">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BF66D3">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52695" w:rsidRPr="001D37D5" w:rsidRDefault="00C52695" w:rsidP="00C52695">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BF66D3">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BF66D3">
        <w:t>A.10.1</w:t>
      </w:r>
      <w:r w:rsidRPr="001D37D5">
        <w:fldChar w:fldCharType="end"/>
      </w:r>
      <w:r w:rsidR="00922C6D">
        <w:t xml:space="preserve"> this is further discussed.</w:t>
      </w:r>
    </w:p>
    <w:p w:rsidR="00C52695" w:rsidRPr="001D37D5" w:rsidRDefault="00C52695" w:rsidP="00C52695">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rsidR="008E3F2C">
        <w:fldChar w:fldCharType="begin"/>
      </w:r>
      <w:r w:rsidR="008E3F2C">
        <w:instrText xml:space="preserve"> REF _Ref476565842 \r \h </w:instrText>
      </w:r>
      <w:r w:rsidR="008E3F2C">
        <w:fldChar w:fldCharType="separate"/>
      </w:r>
      <w:r w:rsidR="00BF66D3">
        <w:t>4.4</w:t>
      </w:r>
      <w:r w:rsidR="008E3F2C">
        <w:fldChar w:fldCharType="end"/>
      </w:r>
      <w:r w:rsidRPr="001D37D5">
        <w:t>, the evidence presented in this</w:t>
      </w:r>
      <w:r>
        <w:t xml:space="preserve"> </w:t>
      </w:r>
      <w:r w:rsidR="009B2737">
        <w:t>draft</w:t>
      </w:r>
      <w:r w:rsidR="00DE3646" w:rsidRPr="001D37D5">
        <w:t xml:space="preserve"> </w:t>
      </w:r>
      <w:r w:rsidRPr="001D37D5">
        <w:t>decision suggests that a reasonable estimate for the value of imputation credits is within the range 0.3 to 0.5. Our estimate of 0.4 is within this range.</w:t>
      </w:r>
    </w:p>
    <w:p w:rsidR="008E3F2C" w:rsidRPr="008E3F2C" w:rsidRDefault="008E3F2C" w:rsidP="00B93D90">
      <w:pPr>
        <w:pStyle w:val="Heading9"/>
        <w:keepNext/>
      </w:pPr>
      <w:bookmarkStart w:id="191" w:name="_Toc487014318"/>
      <w:r>
        <w:t>SA Power Networks, Ergon Energy, Energex</w:t>
      </w:r>
      <w:bookmarkEnd w:id="191"/>
    </w:p>
    <w:p w:rsidR="00C52695" w:rsidRPr="00883125" w:rsidRDefault="00C52695" w:rsidP="00B93D90">
      <w:pPr>
        <w:keepNext/>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54"/>
      </w:r>
      <w:r w:rsidRPr="00883125">
        <w:rPr>
          <w:rStyle w:val="AERbody"/>
        </w:rPr>
        <w:t xml:space="preserve"> These issues were also raised in Gray's June 2015 report (for Frontier</w:t>
      </w:r>
      <w:r w:rsidR="00C845C2">
        <w:rPr>
          <w:rStyle w:val="AERbody"/>
        </w:rPr>
        <w:t>)</w:t>
      </w:r>
      <w:r>
        <w:rPr>
          <w:rStyle w:val="AERbody"/>
        </w:rPr>
        <w:t>. These issues are</w:t>
      </w:r>
      <w:r w:rsidRPr="00883125">
        <w:rPr>
          <w:rStyle w:val="AERbody"/>
        </w:rPr>
        <w:t>:</w:t>
      </w:r>
    </w:p>
    <w:p w:rsidR="00C52695" w:rsidRPr="001D37D5" w:rsidRDefault="00C52695" w:rsidP="00C52695">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355"/>
      </w:r>
      <w:r w:rsidRPr="001D37D5">
        <w:t xml:space="preserve"> In sections </w:t>
      </w:r>
      <w:r w:rsidRPr="001D37D5">
        <w:fldChar w:fldCharType="begin"/>
      </w:r>
      <w:r w:rsidRPr="001D37D5">
        <w:instrText xml:space="preserve"> REF _Ref415144114 \r \h  \* MERGEFORMAT </w:instrText>
      </w:r>
      <w:r w:rsidRPr="001D37D5">
        <w:fldChar w:fldCharType="separate"/>
      </w:r>
      <w:r w:rsidR="00BF66D3">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BF66D3">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p>
    <w:p w:rsidR="00C52695" w:rsidRPr="001D37D5" w:rsidRDefault="00C52695" w:rsidP="00C52695">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56"/>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57"/>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BF66D3">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BF66D3">
        <w:t>A.10</w:t>
      </w:r>
      <w:r w:rsidRPr="001D37D5">
        <w:fldChar w:fldCharType="end"/>
      </w:r>
      <w:r w:rsidRPr="001D37D5">
        <w:t>.</w:t>
      </w:r>
    </w:p>
    <w:p w:rsidR="00C52695" w:rsidRPr="00883125" w:rsidRDefault="00C52695" w:rsidP="00C52695">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58"/>
      </w:r>
      <w:r>
        <w:rPr>
          <w:rStyle w:val="AERbody"/>
        </w:rPr>
        <w:t xml:space="preserve"> </w:t>
      </w:r>
    </w:p>
    <w:p w:rsidR="00F809D6" w:rsidRPr="00F809D6" w:rsidRDefault="00651C88" w:rsidP="00B93D90">
      <w:pPr>
        <w:pStyle w:val="Heading9"/>
        <w:keepNext/>
      </w:pPr>
      <w:bookmarkStart w:id="192" w:name="_Toc487014319"/>
      <w:r>
        <w:t>Australian Gas Networks, ActewAGL, AusNet Services, CitiPower, Jemena Electricity, United Energy, Powercor</w:t>
      </w:r>
      <w:bookmarkEnd w:id="192"/>
    </w:p>
    <w:p w:rsidR="00651C88" w:rsidRPr="00651C88" w:rsidRDefault="00651C88" w:rsidP="00B93D90">
      <w:pPr>
        <w:keepNext/>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651C88" w:rsidRPr="00651C88" w:rsidRDefault="00651C88" w:rsidP="00651C88">
      <w:pPr>
        <w:pStyle w:val="AERbulletlistfirststyle"/>
      </w:pPr>
      <w:r w:rsidRPr="00651C88">
        <w:t>A redemption rate study can only provide an upper bound for estimating theta.</w:t>
      </w:r>
      <w:r w:rsidRPr="00651C88">
        <w:rPr>
          <w:rStyle w:val="FootnoteReference"/>
        </w:rPr>
        <w:footnoteReference w:id="359"/>
      </w:r>
      <w:r w:rsidRPr="00651C88">
        <w:t xml:space="preserve"> In section </w:t>
      </w:r>
      <w:r w:rsidRPr="00651C88">
        <w:fldChar w:fldCharType="begin"/>
      </w:r>
      <w:r w:rsidRPr="00651C88">
        <w:instrText xml:space="preserve"> REF _Ref414099389 \r \h  \* MERGEFORMAT </w:instrText>
      </w:r>
      <w:r w:rsidRPr="00651C88">
        <w:fldChar w:fldCharType="separate"/>
      </w:r>
      <w:r w:rsidR="00BF66D3">
        <w:t>A.8.3</w:t>
      </w:r>
      <w:r w:rsidRPr="00651C88">
        <w:fldChar w:fldCharType="end"/>
      </w:r>
      <w:r w:rsidR="00922C6D">
        <w:t xml:space="preserve"> we consider this further.</w:t>
      </w:r>
    </w:p>
    <w:p w:rsidR="00651C88" w:rsidRPr="00651C88" w:rsidRDefault="00651C88" w:rsidP="00651C88">
      <w:pPr>
        <w:pStyle w:val="AERbulletlistfirststyle"/>
      </w:pPr>
      <w:r w:rsidRPr="00651C88">
        <w:t>The criticisms of Gray and Hall's dividend drop-off work is not reasonable.</w:t>
      </w:r>
      <w:r w:rsidRPr="00651C88">
        <w:rPr>
          <w:rStyle w:val="FootnoteReference"/>
        </w:rPr>
        <w:footnoteReference w:id="360"/>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BF66D3">
        <w:t>A.15.5</w:t>
      </w:r>
      <w:r w:rsidRPr="00651C88">
        <w:fldChar w:fldCharType="end"/>
      </w:r>
      <w:r w:rsidRPr="00651C88">
        <w:t>.</w:t>
      </w:r>
    </w:p>
    <w:p w:rsidR="00651C88" w:rsidRPr="00651C88" w:rsidRDefault="00651C88" w:rsidP="00651C88">
      <w:pPr>
        <w:rPr>
          <w:rStyle w:val="AERbody"/>
        </w:rPr>
      </w:pPr>
      <w:r w:rsidRPr="00651C88">
        <w:rPr>
          <w:rStyle w:val="AERbody"/>
        </w:rPr>
        <w:t>We note the primary and second order differences of view identified above d</w:t>
      </w:r>
      <w:r w:rsidR="005F4F09">
        <w:rPr>
          <w:rStyle w:val="AERbody"/>
        </w:rPr>
        <w:t>id</w:t>
      </w:r>
      <w:r w:rsidRPr="00651C88">
        <w:rPr>
          <w:rStyle w:val="AERbody"/>
        </w:rPr>
        <w:t xml:space="preserve"> not appear to be new issues and largely overlap</w:t>
      </w:r>
      <w:r w:rsidR="005F4F09">
        <w:rPr>
          <w:rStyle w:val="AERbody"/>
        </w:rPr>
        <w:t>ped</w:t>
      </w:r>
      <w:r w:rsidRPr="00651C88">
        <w:rPr>
          <w:rStyle w:val="AERbody"/>
        </w:rPr>
        <w:t xml:space="preserve"> with the eight key concerns that service providers ha</w:t>
      </w:r>
      <w:r w:rsidR="005F4F09">
        <w:rPr>
          <w:rStyle w:val="AERbody"/>
        </w:rPr>
        <w:t>d</w:t>
      </w:r>
      <w:r w:rsidRPr="00651C88">
        <w:rPr>
          <w:rStyle w:val="AERbody"/>
        </w:rPr>
        <w:t xml:space="preserve"> raised previously. Having considered the</w:t>
      </w:r>
      <w:r w:rsidR="005F4F09">
        <w:rPr>
          <w:rStyle w:val="AERbody"/>
        </w:rPr>
        <w:t>se</w:t>
      </w:r>
      <w:r w:rsidRPr="00651C88">
        <w:rPr>
          <w:rStyle w:val="AERbody"/>
        </w:rPr>
        <w:t xml:space="preserve"> revised proposals</w:t>
      </w:r>
      <w:r w:rsidR="005F4F09">
        <w:rPr>
          <w:rStyle w:val="AERbody"/>
        </w:rPr>
        <w:t xml:space="preserve"> and</w:t>
      </w:r>
      <w:r w:rsidRPr="00651C88">
        <w:rPr>
          <w:rStyle w:val="AERbody"/>
        </w:rPr>
        <w:t xml:space="preserve"> the new experts' reports since our 2015 JGN decision, we remain</w:t>
      </w:r>
      <w:r w:rsidR="005F4F09">
        <w:rPr>
          <w:rStyle w:val="AERbody"/>
        </w:rPr>
        <w:t>ed</w:t>
      </w:r>
      <w:r w:rsidRPr="00651C88">
        <w:rPr>
          <w:rStyle w:val="AERbody"/>
        </w:rPr>
        <w:t xml:space="preserve"> of the view that a gamma value of 0.4 </w:t>
      </w:r>
      <w:r w:rsidR="005F4F09">
        <w:rPr>
          <w:rStyle w:val="AERbody"/>
        </w:rPr>
        <w:t>wa</w:t>
      </w:r>
      <w:r w:rsidRPr="00651C88">
        <w:rPr>
          <w:rStyle w:val="AERbody"/>
        </w:rPr>
        <w:t>s appropriate.</w:t>
      </w:r>
    </w:p>
    <w:p w:rsidR="00651C88" w:rsidRPr="00651C88" w:rsidRDefault="00651C88" w:rsidP="00651C88">
      <w:r w:rsidRPr="00651C88">
        <w:t>In their revised proposals, these service providers ha</w:t>
      </w:r>
      <w:r w:rsidR="005F4F09">
        <w:t>d</w:t>
      </w:r>
      <w:r w:rsidRPr="00651C88">
        <w:t xml:space="preserve"> broadly not submitted anything new. Besides a new report by Frontier Economics, which presented no substantive new arguments, the</w:t>
      </w:r>
      <w:r w:rsidR="005F4F09">
        <w:t>se</w:t>
      </w:r>
      <w:r w:rsidRPr="00651C88">
        <w:t xml:space="preserve"> service providers submitted essentially the same arguments that were considered in our decisions released in October and November 2015. Overall the</w:t>
      </w:r>
      <w:r w:rsidR="005F4F09">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61"/>
      </w:r>
      <w:r w:rsidRPr="00651C88">
        <w:t xml:space="preserve"> </w:t>
      </w:r>
    </w:p>
    <w:p w:rsidR="00651C88" w:rsidRPr="00651C88" w:rsidRDefault="00651C88" w:rsidP="00651C88">
      <w:r w:rsidRPr="00651C88">
        <w:t xml:space="preserve">As a high level summary of the revised proposals, </w:t>
      </w:r>
      <w:r w:rsidR="005F4F09">
        <w:t xml:space="preserve">these </w:t>
      </w:r>
      <w:r w:rsidRPr="00651C88">
        <w:t>service providers submitted:</w:t>
      </w:r>
    </w:p>
    <w:p w:rsidR="00651C88" w:rsidRPr="00651C88" w:rsidRDefault="00651C88" w:rsidP="00651C88">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62"/>
      </w:r>
    </w:p>
    <w:p w:rsidR="00651C88" w:rsidRPr="00651C88" w:rsidRDefault="00651C88" w:rsidP="00651C88">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63"/>
      </w:r>
    </w:p>
    <w:p w:rsidR="00651C88" w:rsidRPr="00651C88" w:rsidRDefault="00651C88" w:rsidP="00651C88">
      <w:pPr>
        <w:pStyle w:val="AERbulletlistfirststyle"/>
        <w:rPr>
          <w:rStyle w:val="AERtexthighlight"/>
        </w:rPr>
      </w:pPr>
      <w:r w:rsidRPr="00651C88">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64"/>
      </w:r>
    </w:p>
    <w:p w:rsidR="00651C88" w:rsidRPr="00651C88" w:rsidRDefault="00651C88" w:rsidP="00651C88">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65"/>
      </w:r>
      <w:r w:rsidRPr="00651C88">
        <w:rPr>
          <w:rStyle w:val="AERtexthighlight"/>
        </w:rPr>
        <w:t xml:space="preserve"> </w:t>
      </w:r>
    </w:p>
    <w:p w:rsidR="00651C88" w:rsidRDefault="00651C88" w:rsidP="00651C88">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66"/>
      </w:r>
    </w:p>
    <w:p w:rsidR="00DE3646" w:rsidRDefault="00B64DFC" w:rsidP="00E750F8">
      <w:pPr>
        <w:pStyle w:val="AERbulletlistfirststyle"/>
      </w:pPr>
      <w:r>
        <w:t>These point</w:t>
      </w:r>
      <w:r w:rsidR="00B330D7">
        <w:t>s</w:t>
      </w:r>
      <w:r>
        <w:t xml:space="preserve"> largely</w:t>
      </w:r>
      <w:r w:rsidR="00B330D7">
        <w:t xml:space="preserve"> reflect</w:t>
      </w:r>
      <w:r>
        <w:t xml:space="preserve"> the same</w:t>
      </w:r>
      <w:r w:rsidR="00B330D7">
        <w:t xml:space="preserve"> issues that were submitted</w:t>
      </w:r>
      <w:r>
        <w:t xml:space="preserve"> by regulated businesses in earlier regulatory proposals.</w:t>
      </w:r>
    </w:p>
    <w:p w:rsidR="00DE3646" w:rsidRDefault="00DE3646" w:rsidP="00DE3646">
      <w:pPr>
        <w:pStyle w:val="Heading9"/>
      </w:pPr>
      <w:bookmarkStart w:id="193" w:name="_Toc487014320"/>
      <w:r w:rsidRPr="00DE3646">
        <w:t xml:space="preserve">AusNet </w:t>
      </w:r>
      <w:r>
        <w:t>Transmission, TasNetworks</w:t>
      </w:r>
      <w:r w:rsidR="00EB0238">
        <w:t>, Powerlink</w:t>
      </w:r>
      <w:bookmarkEnd w:id="193"/>
    </w:p>
    <w:p w:rsidR="009900E7" w:rsidRPr="009900E7" w:rsidRDefault="009900E7" w:rsidP="00B330D7">
      <w:pPr>
        <w:rPr>
          <w:rStyle w:val="AERbody"/>
        </w:rPr>
      </w:pPr>
      <w:r w:rsidRPr="009900E7">
        <w:rPr>
          <w:rStyle w:val="AERbody"/>
        </w:rPr>
        <w:t>In the revised regulatory pr</w:t>
      </w:r>
      <w:r w:rsidR="00D7360C">
        <w:rPr>
          <w:rStyle w:val="AERbody"/>
        </w:rPr>
        <w:t>oposals of AusNet Transmission</w:t>
      </w:r>
      <w:r w:rsidRPr="009900E7">
        <w:rPr>
          <w:rStyle w:val="AERbody"/>
        </w:rPr>
        <w:t>, TasNetworks and Powerlink</w:t>
      </w:r>
      <w:r w:rsidR="005F4F09">
        <w:rPr>
          <w:rStyle w:val="AERbody"/>
        </w:rPr>
        <w:t xml:space="preserve"> we </w:t>
      </w:r>
      <w:r w:rsidR="00A34845">
        <w:rPr>
          <w:rStyle w:val="AERbody"/>
        </w:rPr>
        <w:t>have considered</w:t>
      </w:r>
      <w:r w:rsidRPr="009900E7">
        <w:rPr>
          <w:rStyle w:val="AERbody"/>
        </w:rPr>
        <w:t xml:space="preserve">, </w:t>
      </w:r>
      <w:r w:rsidR="00231EA7">
        <w:t>three</w:t>
      </w:r>
      <w:r w:rsidRPr="009900E7">
        <w:rPr>
          <w:rStyle w:val="AERbody"/>
        </w:rPr>
        <w:t xml:space="preserve"> issues were raised as the key issues in dispute. These issues were also raised in the two Frontier reports submitted in September 2016.</w:t>
      </w:r>
      <w:r w:rsidR="00AC43D6">
        <w:rPr>
          <w:rStyle w:val="FootnoteReference"/>
        </w:rPr>
        <w:footnoteReference w:id="367"/>
      </w:r>
      <w:r w:rsidRPr="009900E7">
        <w:rPr>
          <w:rStyle w:val="AERbody"/>
        </w:rPr>
        <w:t xml:space="preserve"> These issues are:</w:t>
      </w:r>
    </w:p>
    <w:p w:rsidR="006C23B4" w:rsidRDefault="00AC43D6" w:rsidP="00231EA7">
      <w:pPr>
        <w:pStyle w:val="AERbulletlistfirststyle"/>
      </w:pPr>
      <w:r>
        <w:t xml:space="preserve">That using the most recent </w:t>
      </w:r>
      <w:r w:rsidR="00C4792B">
        <w:t xml:space="preserve">available </w:t>
      </w:r>
      <w:r>
        <w:t>data, dividend drop off studies still suggests a theta estimate of 0.35 remains appropriate.</w:t>
      </w:r>
      <w:r w:rsidR="00747414">
        <w:rPr>
          <w:rStyle w:val="FootnoteReference"/>
        </w:rPr>
        <w:footnoteReference w:id="368"/>
      </w:r>
      <w:r>
        <w:t xml:space="preserve"> </w:t>
      </w:r>
      <w:r w:rsidR="0085480B" w:rsidRPr="00E21E18">
        <w:rPr>
          <w:rStyle w:val="AERtexthighlight"/>
          <w:shd w:val="clear" w:color="auto" w:fill="auto"/>
        </w:rPr>
        <w:t xml:space="preserve">Lally has reviewed the updated SFG dividend drop off estimate and </w:t>
      </w:r>
      <w:r w:rsidR="0085480B" w:rsidRPr="00E750F8">
        <w:rPr>
          <w:rStyle w:val="AERbody"/>
        </w:rPr>
        <w:t xml:space="preserve">considers </w:t>
      </w:r>
      <w:r w:rsidR="00A828D8" w:rsidRPr="00E750F8">
        <w:rPr>
          <w:rStyle w:val="AERbody"/>
        </w:rPr>
        <w:t>there are</w:t>
      </w:r>
      <w:r w:rsidR="0085480B" w:rsidRPr="00E21E18">
        <w:rPr>
          <w:rStyle w:val="AERtexthighlight"/>
          <w:shd w:val="clear" w:color="auto" w:fill="auto"/>
        </w:rPr>
        <w:t xml:space="preserve"> eleven </w:t>
      </w:r>
      <w:r w:rsidR="0085480B" w:rsidRPr="00590C66">
        <w:rPr>
          <w:rStyle w:val="AERtexthighlight"/>
          <w:shd w:val="clear" w:color="auto" w:fill="auto"/>
        </w:rPr>
        <w:t>issues that apply to the stu</w:t>
      </w:r>
      <w:r w:rsidR="0085480B" w:rsidRPr="005F4F09">
        <w:rPr>
          <w:rStyle w:val="AERtexthighlight"/>
          <w:shd w:val="clear" w:color="auto" w:fill="auto"/>
        </w:rPr>
        <w:t>dy.</w:t>
      </w:r>
      <w:r w:rsidR="00D7360C">
        <w:rPr>
          <w:rStyle w:val="FootnoteReference"/>
        </w:rPr>
        <w:footnoteReference w:id="369"/>
      </w:r>
      <w:r w:rsidR="0085480B" w:rsidRPr="005F4F09">
        <w:rPr>
          <w:rStyle w:val="AERtexthighlight"/>
          <w:shd w:val="clear" w:color="auto" w:fill="auto"/>
        </w:rPr>
        <w:t xml:space="preserve"> This is further discussed in section </w:t>
      </w:r>
      <w:r w:rsidR="0085480B" w:rsidRPr="005F4F09">
        <w:rPr>
          <w:rStyle w:val="AERtexthighlight"/>
          <w:shd w:val="clear" w:color="auto" w:fill="auto"/>
        </w:rPr>
        <w:fldChar w:fldCharType="begin"/>
      </w:r>
      <w:r w:rsidR="0085480B" w:rsidRPr="00CD04C8">
        <w:rPr>
          <w:rStyle w:val="AERtexthighlight"/>
          <w:shd w:val="clear" w:color="auto" w:fill="auto"/>
        </w:rPr>
        <w:instrText xml:space="preserve"> REF _Ref403482459 \r \h </w:instrText>
      </w:r>
      <w:r w:rsidR="00AF1BD9">
        <w:rPr>
          <w:rStyle w:val="AERtexthighlight"/>
          <w:shd w:val="clear" w:color="auto" w:fill="auto"/>
        </w:rPr>
        <w:instrText xml:space="preserve"> \* MERGEFORMAT </w:instrText>
      </w:r>
      <w:r w:rsidR="0085480B" w:rsidRPr="005F4F09">
        <w:rPr>
          <w:rStyle w:val="AERtexthighlight"/>
          <w:shd w:val="clear" w:color="auto" w:fill="auto"/>
        </w:rPr>
      </w:r>
      <w:r w:rsidR="0085480B" w:rsidRPr="005F4F09">
        <w:rPr>
          <w:rStyle w:val="AERtexthighlight"/>
          <w:shd w:val="clear" w:color="auto" w:fill="auto"/>
        </w:rPr>
        <w:fldChar w:fldCharType="separate"/>
      </w:r>
      <w:r w:rsidR="00BF66D3">
        <w:rPr>
          <w:rStyle w:val="AERtexthighlight"/>
          <w:shd w:val="clear" w:color="auto" w:fill="auto"/>
        </w:rPr>
        <w:t>A.15.2</w:t>
      </w:r>
      <w:r w:rsidR="0085480B" w:rsidRPr="005F4F09">
        <w:rPr>
          <w:rStyle w:val="AERtexthighlight"/>
          <w:shd w:val="clear" w:color="auto" w:fill="auto"/>
        </w:rPr>
        <w:fldChar w:fldCharType="end"/>
      </w:r>
      <w:r w:rsidR="0085480B" w:rsidRPr="005F4F09">
        <w:rPr>
          <w:rStyle w:val="AERtexthighlight"/>
          <w:shd w:val="clear" w:color="auto" w:fill="auto"/>
        </w:rPr>
        <w:t>.</w:t>
      </w:r>
    </w:p>
    <w:p w:rsidR="00747414" w:rsidRDefault="00C4792B" w:rsidP="006C23B4">
      <w:pPr>
        <w:pStyle w:val="AERbulletlistfirststyle"/>
      </w:pPr>
      <w:r>
        <w:t>Gamma can be directly estimated reliably from tax statistics as the ratio of credits redeemed to credits created.</w:t>
      </w:r>
      <w:r>
        <w:rPr>
          <w:rStyle w:val="FootnoteReference"/>
        </w:rPr>
        <w:footnoteReference w:id="370"/>
      </w:r>
      <w:r w:rsidR="0085480B">
        <w:t xml:space="preserve"> The AER does not agree and considers caution should be exercised with using tax statistics to estimate any parameters associated with </w:t>
      </w:r>
      <w:r w:rsidR="00A828D8">
        <w:t xml:space="preserve">the value of </w:t>
      </w:r>
      <w:r w:rsidR="0085480B">
        <w:t xml:space="preserve">imputation credits. This is further discussed in section </w:t>
      </w:r>
      <w:r w:rsidR="0085480B">
        <w:fldChar w:fldCharType="begin"/>
      </w:r>
      <w:r w:rsidR="0085480B">
        <w:instrText xml:space="preserve"> REF _Ref402179420 \r \h </w:instrText>
      </w:r>
      <w:r w:rsidR="0085480B">
        <w:fldChar w:fldCharType="separate"/>
      </w:r>
      <w:r w:rsidR="00BF66D3">
        <w:t>A.13</w:t>
      </w:r>
      <w:r w:rsidR="0085480B">
        <w:fldChar w:fldCharType="end"/>
      </w:r>
      <w:r w:rsidR="0085480B">
        <w:t>.</w:t>
      </w:r>
    </w:p>
    <w:p w:rsidR="006C23B4" w:rsidRDefault="0025680D" w:rsidP="006C23B4">
      <w:pPr>
        <w:pStyle w:val="AERbulletlistfirststyle"/>
      </w:pPr>
      <w:r>
        <w:t>Dr Lally's analysis o</w:t>
      </w:r>
      <w:r w:rsidR="00403CF0">
        <w:t>n the seven largest</w:t>
      </w:r>
      <w:r w:rsidR="00A828D8">
        <w:t xml:space="preserve"> </w:t>
      </w:r>
      <w:r w:rsidR="00403CF0">
        <w:t xml:space="preserve">firms </w:t>
      </w:r>
      <w:r w:rsidR="00A828D8">
        <w:t xml:space="preserve">listed on the Australian Stock Exchange </w:t>
      </w:r>
      <w:r w:rsidR="00403CF0">
        <w:t xml:space="preserve">which demonstrated that firms with more foreign income have a smaller imputation credit distribution rate </w:t>
      </w:r>
      <w:r w:rsidR="00747414">
        <w:t>is flawed as:</w:t>
      </w:r>
    </w:p>
    <w:p w:rsidR="00747414" w:rsidRDefault="00747414" w:rsidP="00D414CC">
      <w:pPr>
        <w:pStyle w:val="ListNumber3"/>
      </w:pPr>
      <w:r>
        <w:t>The relevant question is whether large multinationals have higher imputation credit distribution rates than other firms.</w:t>
      </w:r>
      <w:r>
        <w:rPr>
          <w:rStyle w:val="FootnoteReference"/>
        </w:rPr>
        <w:footnoteReference w:id="371"/>
      </w:r>
    </w:p>
    <w:p w:rsidR="00747414" w:rsidRPr="006C23B4" w:rsidRDefault="00747414" w:rsidP="00D414CC">
      <w:pPr>
        <w:pStyle w:val="ListNumber3"/>
      </w:pPr>
      <w:r>
        <w:t>The analysis does not control for the difference in dividend payout ratios.</w:t>
      </w:r>
      <w:r>
        <w:rPr>
          <w:rStyle w:val="FootnoteReference"/>
        </w:rPr>
        <w:footnoteReference w:id="372"/>
      </w:r>
    </w:p>
    <w:p w:rsidR="00A34845" w:rsidRDefault="00A828D8" w:rsidP="009716F3">
      <w:pPr>
        <w:pStyle w:val="AERbulletlistfirststyle"/>
        <w:numPr>
          <w:ilvl w:val="0"/>
          <w:numId w:val="0"/>
        </w:numPr>
        <w:ind w:left="357" w:hanging="357"/>
        <w:rPr>
          <w:rStyle w:val="AERbody"/>
          <w:rFonts w:cstheme="minorBidi"/>
        </w:rPr>
      </w:pPr>
      <w:r>
        <w:rPr>
          <w:rStyle w:val="AERbody"/>
        </w:rPr>
        <w:t xml:space="preserve">Dr </w:t>
      </w:r>
      <w:r w:rsidR="00AF1BD9" w:rsidRPr="00E750F8">
        <w:rPr>
          <w:rStyle w:val="AERbody"/>
        </w:rPr>
        <w:t xml:space="preserve">Lally </w:t>
      </w:r>
      <w:r>
        <w:rPr>
          <w:rStyle w:val="AERbody"/>
        </w:rPr>
        <w:t xml:space="preserve">has reviewed this criticism and </w:t>
      </w:r>
      <w:r w:rsidR="00AF1BD9" w:rsidRPr="00E750F8">
        <w:rPr>
          <w:rStyle w:val="AERbody"/>
        </w:rPr>
        <w:t>does not agree</w:t>
      </w:r>
      <w:r>
        <w:rPr>
          <w:rStyle w:val="AERbody"/>
        </w:rPr>
        <w:t>.</w:t>
      </w:r>
      <w:r w:rsidR="00AF1BD9" w:rsidRPr="00E750F8">
        <w:rPr>
          <w:rStyle w:val="AERbody"/>
        </w:rPr>
        <w:t xml:space="preserve"> </w:t>
      </w:r>
      <w:r>
        <w:rPr>
          <w:rStyle w:val="AERbody"/>
        </w:rPr>
        <w:t>Dr Lally</w:t>
      </w:r>
      <w:r w:rsidR="00AF1BD9" w:rsidRPr="00E750F8">
        <w:rPr>
          <w:rStyle w:val="AERbody"/>
        </w:rPr>
        <w:t xml:space="preserve"> has </w:t>
      </w:r>
      <w:r>
        <w:rPr>
          <w:rStyle w:val="AERbody"/>
        </w:rPr>
        <w:t>provided further explanation on why his analysis shows</w:t>
      </w:r>
      <w:r w:rsidR="00AF1BD9" w:rsidRPr="00E750F8">
        <w:rPr>
          <w:rStyle w:val="AERbody"/>
        </w:rPr>
        <w:t xml:space="preserve"> that foreign income </w:t>
      </w:r>
      <w:r>
        <w:rPr>
          <w:rStyle w:val="AERbody"/>
        </w:rPr>
        <w:t xml:space="preserve">can be associated with a </w:t>
      </w:r>
      <w:r w:rsidR="00AF1BD9" w:rsidRPr="00E750F8">
        <w:rPr>
          <w:rStyle w:val="AERbody"/>
        </w:rPr>
        <w:t xml:space="preserve">lower imputation </w:t>
      </w:r>
      <w:r>
        <w:rPr>
          <w:rStyle w:val="AERbody"/>
        </w:rPr>
        <w:t xml:space="preserve">credit </w:t>
      </w:r>
      <w:r w:rsidR="00AF1BD9" w:rsidRPr="00E750F8">
        <w:rPr>
          <w:rStyle w:val="AERbody"/>
        </w:rPr>
        <w:t>distribution</w:t>
      </w:r>
      <w:r>
        <w:rPr>
          <w:rStyle w:val="AERbody"/>
        </w:rPr>
        <w:t xml:space="preserve"> rate</w:t>
      </w:r>
      <w:r w:rsidR="00AF1BD9" w:rsidRPr="00E750F8">
        <w:rPr>
          <w:rStyle w:val="AERbody"/>
        </w:rPr>
        <w:t>.</w:t>
      </w:r>
      <w:r>
        <w:rPr>
          <w:rStyle w:val="FootnoteReference"/>
        </w:rPr>
        <w:footnoteReference w:id="373"/>
      </w:r>
      <w:r w:rsidR="00AF1BD9" w:rsidRPr="00E750F8">
        <w:rPr>
          <w:rStyle w:val="AERbody"/>
        </w:rPr>
        <w:t xml:space="preserve"> Further, Lally considers that there is no need to control for the dividend payout ratios and what is important is the overall amount of imputation credits that are distributed by businesses.</w:t>
      </w:r>
      <w:r>
        <w:rPr>
          <w:rStyle w:val="FootnoteReference"/>
        </w:rPr>
        <w:footnoteReference w:id="374"/>
      </w:r>
      <w:r w:rsidR="00AF1BD9" w:rsidRPr="00E750F8">
        <w:rPr>
          <w:rStyle w:val="AERbody"/>
        </w:rPr>
        <w:t xml:space="preserve"> This is further discussed in section </w:t>
      </w:r>
      <w:r w:rsidR="00AF1BD9" w:rsidRPr="00E750F8">
        <w:rPr>
          <w:rStyle w:val="AERbody"/>
        </w:rPr>
        <w:fldChar w:fldCharType="begin"/>
      </w:r>
      <w:r w:rsidR="00AF1BD9" w:rsidRPr="00E750F8">
        <w:rPr>
          <w:rStyle w:val="AERbody"/>
        </w:rPr>
        <w:instrText xml:space="preserve"> REF _Ref414289334 \r \h </w:instrText>
      </w:r>
      <w:r w:rsidR="00AF1BD9">
        <w:rPr>
          <w:rStyle w:val="AERbody"/>
        </w:rPr>
        <w:instrText xml:space="preserve"> \* MERGEFORMAT </w:instrText>
      </w:r>
      <w:r w:rsidR="00AF1BD9" w:rsidRPr="00E750F8">
        <w:rPr>
          <w:rStyle w:val="AERbody"/>
        </w:rPr>
      </w:r>
      <w:r w:rsidR="00AF1BD9" w:rsidRPr="00E750F8">
        <w:rPr>
          <w:rStyle w:val="AERbody"/>
        </w:rPr>
        <w:fldChar w:fldCharType="separate"/>
      </w:r>
      <w:r w:rsidR="00BF66D3">
        <w:rPr>
          <w:rStyle w:val="AERbody"/>
        </w:rPr>
        <w:t>A.10.1</w:t>
      </w:r>
      <w:r w:rsidR="00AF1BD9" w:rsidRPr="00E750F8">
        <w:rPr>
          <w:rStyle w:val="AERbody"/>
        </w:rPr>
        <w:fldChar w:fldCharType="end"/>
      </w:r>
      <w:r w:rsidR="00AF1BD9" w:rsidRPr="00E750F8">
        <w:rPr>
          <w:rStyle w:val="AERbody"/>
        </w:rPr>
        <w:t>.</w:t>
      </w:r>
    </w:p>
    <w:p w:rsidR="00A34845" w:rsidRPr="0007085B" w:rsidRDefault="00A34845" w:rsidP="00EB5A7B">
      <w:pPr>
        <w:pStyle w:val="Heading9"/>
        <w:rPr>
          <w:rStyle w:val="AERbody"/>
          <w:color w:val="70635A" w:themeColor="text2"/>
          <w:sz w:val="28"/>
        </w:rPr>
      </w:pPr>
      <w:bookmarkStart w:id="194" w:name="_Toc487014321"/>
      <w:r w:rsidRPr="00EB5A7B">
        <w:rPr>
          <w:rStyle w:val="AERbody"/>
          <w:color w:val="70635A" w:themeColor="text2"/>
          <w:sz w:val="28"/>
        </w:rPr>
        <w:t>Multinet, APTPPL, AGN, APA VTS, AusNet Services Gas Distribution</w:t>
      </w:r>
      <w:bookmarkEnd w:id="194"/>
      <w:r w:rsidRPr="00EB5A7B">
        <w:rPr>
          <w:rStyle w:val="AERbody"/>
          <w:color w:val="70635A" w:themeColor="text2"/>
          <w:sz w:val="28"/>
        </w:rPr>
        <w:t xml:space="preserve">  </w:t>
      </w:r>
    </w:p>
    <w:p w:rsidR="00E37140" w:rsidRDefault="00AB7072" w:rsidP="009716F3">
      <w:r>
        <w:t xml:space="preserve">In the regulatory proposals of Multinet, APTPPL, AGN, APA VTS and AusNet Services Gas Distribution </w:t>
      </w:r>
      <w:r w:rsidR="001207B2">
        <w:t xml:space="preserve">we are considering currently </w:t>
      </w:r>
      <w:r w:rsidR="00E37140">
        <w:t>one</w:t>
      </w:r>
      <w:r w:rsidR="001207B2">
        <w:t xml:space="preserve"> key </w:t>
      </w:r>
      <w:r>
        <w:t>issue w</w:t>
      </w:r>
      <w:r w:rsidR="00E37140">
        <w:t>as</w:t>
      </w:r>
      <w:r>
        <w:t xml:space="preserve"> raise</w:t>
      </w:r>
      <w:r w:rsidR="00E37140">
        <w:t>d. This was that t</w:t>
      </w:r>
      <w:r w:rsidR="00526F08">
        <w:t xml:space="preserve">heta </w:t>
      </w:r>
      <w:r w:rsidR="00AE4D54">
        <w:t xml:space="preserve">should be the market value of </w:t>
      </w:r>
      <w:r w:rsidR="00526F08">
        <w:t xml:space="preserve">$1 of </w:t>
      </w:r>
      <w:r w:rsidR="00AE4D54">
        <w:t>imputation credits</w:t>
      </w:r>
      <w:r w:rsidR="00526F08">
        <w:t xml:space="preserve"> rather than the simple average utilisation rate estimate that the AER has adopted.</w:t>
      </w:r>
      <w:r w:rsidR="005C5217">
        <w:t xml:space="preserve"> </w:t>
      </w:r>
      <w:r w:rsidR="005C5217">
        <w:rPr>
          <w:rStyle w:val="FootnoteReference"/>
        </w:rPr>
        <w:footnoteReference w:id="375"/>
      </w:r>
      <w:r w:rsidR="009B2737">
        <w:t>Frontier in its Dec 2016 report</w:t>
      </w:r>
      <w:r w:rsidR="00E37140">
        <w:t xml:space="preserve"> claimed e</w:t>
      </w:r>
      <w:r w:rsidR="005C5217">
        <w:t xml:space="preserve">stimating </w:t>
      </w:r>
      <w:r w:rsidR="00CE088F">
        <w:t xml:space="preserve">theta using market prices </w:t>
      </w:r>
      <w:r w:rsidR="005C5217">
        <w:t>is consistent with the way in which every other WACC parameter is estimated.</w:t>
      </w:r>
      <w:r w:rsidR="005C5217">
        <w:rPr>
          <w:rStyle w:val="FootnoteReference"/>
        </w:rPr>
        <w:footnoteReference w:id="376"/>
      </w:r>
      <w:r w:rsidR="00B36D6C">
        <w:t xml:space="preserve"> </w:t>
      </w:r>
      <w:r w:rsidR="004F2C4D">
        <w:t xml:space="preserve">Frontier in </w:t>
      </w:r>
      <w:r w:rsidR="00E37140">
        <w:t>its Dec 2016</w:t>
      </w:r>
      <w:r w:rsidR="004F2C4D">
        <w:t xml:space="preserve"> report</w:t>
      </w:r>
      <w:r w:rsidR="004F2C4D" w:rsidRPr="004F2C4D">
        <w:t xml:space="preserve"> </w:t>
      </w:r>
      <w:r w:rsidR="00E37140">
        <w:t xml:space="preserve">also </w:t>
      </w:r>
      <w:r w:rsidR="004F2C4D" w:rsidRPr="004F2C4D">
        <w:t>argues that the AER's estimate of theta using the equity ownership approach or the tax statistics approach is a simple average.</w:t>
      </w:r>
      <w:r w:rsidR="004F2C4D" w:rsidRPr="004F2C4D">
        <w:rPr>
          <w:rStyle w:val="FootnoteReference"/>
        </w:rPr>
        <w:footnoteReference w:id="377"/>
      </w:r>
      <w:r w:rsidR="004F2C4D" w:rsidRPr="004F2C4D">
        <w:t xml:space="preserve">Our consultant </w:t>
      </w:r>
      <w:r w:rsidR="00E37140">
        <w:t xml:space="preserve">Lally </w:t>
      </w:r>
      <w:r w:rsidR="007E73C0">
        <w:t>does not agree</w:t>
      </w:r>
      <w:r w:rsidR="007C109E">
        <w:t xml:space="preserve"> with either point</w:t>
      </w:r>
      <w:r w:rsidR="007E73C0">
        <w:t>.</w:t>
      </w:r>
      <w:r w:rsidR="004F2C4D" w:rsidRPr="004F2C4D">
        <w:t xml:space="preserve"> </w:t>
      </w:r>
      <w:r w:rsidR="00FC70EB">
        <w:t>In his report to</w:t>
      </w:r>
      <w:r w:rsidR="007E73C0">
        <w:t xml:space="preserve"> the</w:t>
      </w:r>
      <w:r w:rsidR="00FC70EB">
        <w:t xml:space="preserve"> AER,</w:t>
      </w:r>
      <w:r w:rsidR="00D63A1D">
        <w:t xml:space="preserve"> </w:t>
      </w:r>
      <w:r w:rsidR="00FC70EB">
        <w:t>Lally considered that t</w:t>
      </w:r>
      <w:r w:rsidR="00011421">
        <w:t>he equity ownership approach weights the utilization rates of investors by their holidings of risky assets</w:t>
      </w:r>
      <w:r w:rsidR="00FC70EB">
        <w:t>, whilst the tax statistics approach weights the redemption rates of investors by the level of redemptions.</w:t>
      </w:r>
      <w:r w:rsidR="00687400">
        <w:rPr>
          <w:rStyle w:val="FootnoteReference"/>
        </w:rPr>
        <w:footnoteReference w:id="378"/>
      </w:r>
      <w:r w:rsidR="00FC70EB">
        <w:t xml:space="preserve"> </w:t>
      </w:r>
      <w:r w:rsidR="007C109E">
        <w:t xml:space="preserve">We agree with Lally. </w:t>
      </w:r>
      <w:r w:rsidR="00FC70EB">
        <w:t>Hence, the claim that the AER's approach involves a simple average is false.</w:t>
      </w:r>
      <w:r w:rsidR="007E73C0">
        <w:t xml:space="preserve"> Moreover, we </w:t>
      </w:r>
      <w:r w:rsidR="00CE088F">
        <w:t xml:space="preserve">and our consultant </w:t>
      </w:r>
      <w:r w:rsidR="007E73C0">
        <w:t>do not</w:t>
      </w:r>
      <w:r w:rsidR="00CE088F">
        <w:t xml:space="preserve"> agree that every other WACC parameter is estimated using market prices</w:t>
      </w:r>
      <w:r w:rsidR="003217B7">
        <w:t xml:space="preserve"> and</w:t>
      </w:r>
      <w:r w:rsidR="00CE088F">
        <w:t xml:space="preserve"> </w:t>
      </w:r>
      <w:r w:rsidR="003217B7">
        <w:t>therefore</w:t>
      </w:r>
      <w:r w:rsidR="00CE088F">
        <w:t xml:space="preserve"> estimating theta using approaches other than the market prices will be inconsistent with the way in which every other WACC parameter is estimated</w:t>
      </w:r>
      <w:r w:rsidR="00687400">
        <w:t>.</w:t>
      </w:r>
      <w:r w:rsidR="006D62B4">
        <w:rPr>
          <w:rStyle w:val="FootnoteReference"/>
        </w:rPr>
        <w:footnoteReference w:id="379"/>
      </w:r>
      <w:r w:rsidR="00687400">
        <w:t xml:space="preserve"> </w:t>
      </w:r>
    </w:p>
    <w:p w:rsidR="00C865C3" w:rsidRDefault="00687400" w:rsidP="009716F3">
      <w:r>
        <w:t>We</w:t>
      </w:r>
      <w:r w:rsidRPr="00687400">
        <w:t xml:space="preserve"> </w:t>
      </w:r>
      <w:r w:rsidR="002E5B8D">
        <w:t xml:space="preserve">also </w:t>
      </w:r>
      <w:r w:rsidRPr="00687400">
        <w:t>consider</w:t>
      </w:r>
      <w:r>
        <w:t xml:space="preserve"> that</w:t>
      </w:r>
      <w:r w:rsidRPr="00687400">
        <w:t xml:space="preserve"> our estimates across the rate of return inputs and gamma inputs are consistent</w:t>
      </w:r>
      <w:r w:rsidR="006038F6">
        <w:t>ly estimated on a post-company tax and pre-personal tax and personal-c</w:t>
      </w:r>
      <w:r w:rsidR="00E15F9A">
        <w:t>osts</w:t>
      </w:r>
      <w:r w:rsidR="006038F6">
        <w:t xml:space="preserve"> basis.</w:t>
      </w:r>
      <w:r w:rsidRPr="00687400">
        <w:t xml:space="preserve"> </w:t>
      </w:r>
      <w:r w:rsidR="0066341E">
        <w:t xml:space="preserve">This is </w:t>
      </w:r>
      <w:r w:rsidR="006A34E1">
        <w:t xml:space="preserve">consistent with the decision of the Full Federal Court releases on 24 May 2017 and </w:t>
      </w:r>
      <w:r w:rsidR="0066341E">
        <w:t xml:space="preserve">further discussed in section </w:t>
      </w:r>
      <w:r w:rsidR="0066341E">
        <w:fldChar w:fldCharType="begin"/>
      </w:r>
      <w:r w:rsidR="0066341E">
        <w:instrText xml:space="preserve"> REF _Ref450298425 \r \h </w:instrText>
      </w:r>
      <w:r w:rsidR="0066341E">
        <w:fldChar w:fldCharType="separate"/>
      </w:r>
      <w:r w:rsidR="00BF66D3">
        <w:t>A.8.2</w:t>
      </w:r>
      <w:r w:rsidR="0066341E">
        <w:fldChar w:fldCharType="end"/>
      </w:r>
      <w:r w:rsidR="0066341E">
        <w:t>.</w:t>
      </w:r>
      <w:r w:rsidR="00CE088F">
        <w:t xml:space="preserve">  </w:t>
      </w:r>
    </w:p>
    <w:p w:rsidR="006A34E1" w:rsidRPr="001207B2" w:rsidRDefault="001D193B" w:rsidP="009716F3">
      <w:r>
        <w:t>H</w:t>
      </w:r>
      <w:r w:rsidR="003217B7">
        <w:t xml:space="preserve">aving reviewed the new material </w:t>
      </w:r>
      <w:r w:rsidR="006A34E1">
        <w:t>L</w:t>
      </w:r>
      <w:r w:rsidR="00C865C3">
        <w:t xml:space="preserve">ally </w:t>
      </w:r>
      <w:r>
        <w:t>considers</w:t>
      </w:r>
      <w:r w:rsidR="003217B7">
        <w:t xml:space="preserve"> that</w:t>
      </w:r>
      <w:r w:rsidR="006A34E1">
        <w:t xml:space="preserve"> that the AER's </w:t>
      </w:r>
      <w:r w:rsidR="003217B7">
        <w:t>'utilisation</w:t>
      </w:r>
      <w:r>
        <w:t xml:space="preserve"> value'</w:t>
      </w:r>
      <w:r w:rsidR="003217B7">
        <w:t xml:space="preserve"> </w:t>
      </w:r>
      <w:r w:rsidR="006A34E1">
        <w:t xml:space="preserve">approach </w:t>
      </w:r>
      <w:r>
        <w:t>to estimating the value of distributed imputation credits</w:t>
      </w:r>
      <w:r w:rsidR="003217B7">
        <w:t xml:space="preserve"> </w:t>
      </w:r>
      <w:r w:rsidR="007314B6">
        <w:t xml:space="preserve">is </w:t>
      </w:r>
      <w:r>
        <w:t>entirely appopriate</w:t>
      </w:r>
      <w:r w:rsidR="006038F6">
        <w:t>.</w:t>
      </w:r>
      <w:r w:rsidR="00FE7426">
        <w:rPr>
          <w:rStyle w:val="FootnoteReference"/>
        </w:rPr>
        <w:footnoteReference w:id="380"/>
      </w:r>
      <w:r w:rsidR="006038F6">
        <w:t xml:space="preserve"> He also considers </w:t>
      </w:r>
      <w:r w:rsidR="006A34E1">
        <w:t>ou</w:t>
      </w:r>
      <w:r w:rsidR="00C865C3">
        <w:t xml:space="preserve">r estimated value for gamma </w:t>
      </w:r>
      <w:r w:rsidR="006038F6">
        <w:t xml:space="preserve">of 0.4 </w:t>
      </w:r>
      <w:r w:rsidR="00C865C3">
        <w:t xml:space="preserve">will provide for a </w:t>
      </w:r>
      <w:r w:rsidR="006D62B4">
        <w:t xml:space="preserve">post company tax </w:t>
      </w:r>
      <w:r w:rsidR="00C865C3">
        <w:t xml:space="preserve">return </w:t>
      </w:r>
      <w:r w:rsidR="006D62B4">
        <w:t xml:space="preserve">on equity inclusive of imputation credits </w:t>
      </w:r>
      <w:r w:rsidR="00C865C3">
        <w:t>at least sufficient to</w:t>
      </w:r>
      <w:r w:rsidR="006D62B4">
        <w:t xml:space="preserve"> co</w:t>
      </w:r>
      <w:r w:rsidR="00466F26">
        <w:t xml:space="preserve">ntribute to a </w:t>
      </w:r>
      <w:r w:rsidR="006D62B4">
        <w:t xml:space="preserve">return </w:t>
      </w:r>
      <w:r w:rsidR="00466F26">
        <w:t xml:space="preserve">on equity </w:t>
      </w:r>
      <w:r w:rsidR="006D62B4">
        <w:t>that would be expected to meet the ARORO</w:t>
      </w:r>
      <w:r w:rsidR="006A34E1">
        <w:t>.</w:t>
      </w:r>
      <w:r w:rsidR="006A34E1">
        <w:rPr>
          <w:rStyle w:val="FootnoteReference"/>
        </w:rPr>
        <w:footnoteReference w:id="381"/>
      </w:r>
      <w:r w:rsidR="006A34E1">
        <w:t xml:space="preserve"> We </w:t>
      </w:r>
      <w:r w:rsidR="00AD74B8">
        <w:t xml:space="preserve">consider our </w:t>
      </w:r>
      <w:r w:rsidR="000955E7">
        <w:t xml:space="preserve">utilisation </w:t>
      </w:r>
      <w:r w:rsidR="00AD74B8">
        <w:t xml:space="preserve">approach </w:t>
      </w:r>
      <w:r>
        <w:t>is appropriate for the reasons set out in this decision</w:t>
      </w:r>
      <w:r w:rsidR="006D62B4">
        <w:t xml:space="preserve"> and our estimated value for gamma of 0.4 we have used in all final decisions released post 2014 remains appropriate</w:t>
      </w:r>
      <w:r w:rsidR="00AD74B8">
        <w:t xml:space="preserve">. We also </w:t>
      </w:r>
      <w:r w:rsidR="00092B4B">
        <w:t xml:space="preserve">do not consider </w:t>
      </w:r>
      <w:r w:rsidR="006A34E1">
        <w:t xml:space="preserve">implied market value studies give an appropriate or reliable estimate of the value of distributed imputation credits.This is further discussed in section </w:t>
      </w:r>
      <w:r w:rsidR="006A34E1">
        <w:fldChar w:fldCharType="begin"/>
      </w:r>
      <w:r w:rsidR="006A34E1">
        <w:instrText xml:space="preserve"> REF _Ref435171205 \r \h  \* MERGEFORMAT </w:instrText>
      </w:r>
      <w:r w:rsidR="006A34E1">
        <w:fldChar w:fldCharType="separate"/>
      </w:r>
      <w:r w:rsidR="00BF66D3">
        <w:t>A.15.3</w:t>
      </w:r>
      <w:r w:rsidR="006A34E1">
        <w:fldChar w:fldCharType="end"/>
      </w:r>
      <w:r w:rsidR="006A34E1">
        <w:t xml:space="preserve">. </w:t>
      </w:r>
    </w:p>
    <w:p w:rsidR="005C5217" w:rsidRPr="009716F3" w:rsidRDefault="005C5217" w:rsidP="0007085B">
      <w:pPr>
        <w:pStyle w:val="AERbulletlistfirststyle"/>
        <w:numPr>
          <w:ilvl w:val="0"/>
          <w:numId w:val="0"/>
        </w:numPr>
        <w:ind w:left="357"/>
      </w:pPr>
    </w:p>
    <w:p w:rsidR="00C52695" w:rsidRPr="00883125" w:rsidRDefault="00C52695" w:rsidP="00C52695">
      <w:pPr>
        <w:pStyle w:val="Heading8"/>
      </w:pPr>
      <w:bookmarkStart w:id="195" w:name="_Ref415144114"/>
      <w:bookmarkStart w:id="196" w:name="_Toc436049446"/>
      <w:bookmarkStart w:id="197" w:name="_Toc451842251"/>
      <w:bookmarkStart w:id="198" w:name="_Toc451938306"/>
      <w:bookmarkStart w:id="199" w:name="_Toc456614297"/>
      <w:bookmarkStart w:id="200" w:name="_Toc462823315"/>
      <w:bookmarkStart w:id="201" w:name="_Toc487014322"/>
      <w:r w:rsidRPr="00883125">
        <w:t>The role of the value of imputation credits in the regulatory framework</w:t>
      </w:r>
      <w:bookmarkEnd w:id="195"/>
      <w:bookmarkEnd w:id="196"/>
      <w:bookmarkEnd w:id="197"/>
      <w:bookmarkEnd w:id="198"/>
      <w:bookmarkEnd w:id="199"/>
      <w:bookmarkEnd w:id="200"/>
      <w:bookmarkEnd w:id="201"/>
    </w:p>
    <w:p w:rsidR="00C52695" w:rsidRPr="00883125" w:rsidRDefault="00C52695" w:rsidP="00C52695">
      <w:pPr>
        <w:numPr>
          <w:ilvl w:val="0"/>
          <w:numId w:val="24"/>
        </w:numPr>
      </w:pPr>
      <w:r w:rsidRPr="00883125">
        <w:t>To explain the role of the value of imputation credits in the NER/NGR, we must consider:</w:t>
      </w:r>
    </w:p>
    <w:p w:rsidR="00C52695" w:rsidRPr="00883125" w:rsidRDefault="00C52695" w:rsidP="00C52695">
      <w:pPr>
        <w:pStyle w:val="AERbulletlistfirststyle"/>
      </w:pPr>
      <w:r w:rsidRPr="00883125">
        <w:t>the 'building block' revenue framework in the NER/NGR, and</w:t>
      </w:r>
    </w:p>
    <w:p w:rsidR="00C52695" w:rsidRPr="00883125" w:rsidRDefault="00C52695" w:rsidP="00C52695">
      <w:pPr>
        <w:pStyle w:val="AERbulletlistfirststyle"/>
      </w:pPr>
      <w:r w:rsidRPr="00883125">
        <w:t>the construction of the tax building block.</w:t>
      </w:r>
    </w:p>
    <w:p w:rsidR="00C52695" w:rsidRPr="00883125" w:rsidRDefault="00C52695" w:rsidP="00C52695">
      <w:pPr>
        <w:pStyle w:val="Heading9"/>
      </w:pPr>
      <w:bookmarkStart w:id="202" w:name="_Toc456614298"/>
      <w:bookmarkStart w:id="203" w:name="_Toc462823316"/>
      <w:bookmarkStart w:id="204" w:name="_Toc487014323"/>
      <w:r w:rsidRPr="00883125">
        <w:t>The building block framework</w:t>
      </w:r>
      <w:bookmarkEnd w:id="202"/>
      <w:bookmarkEnd w:id="203"/>
      <w:bookmarkEnd w:id="204"/>
    </w:p>
    <w:p w:rsidR="00C52695" w:rsidRPr="00883125" w:rsidRDefault="00C52695" w:rsidP="00C52695">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382"/>
      </w:r>
      <w:r w:rsidRPr="00883125">
        <w:t xml:space="preserve"> The function of this building block revenue estimate is to determine the revenue that a service provider requires to:</w:t>
      </w:r>
    </w:p>
    <w:p w:rsidR="00C52695" w:rsidRPr="00883125" w:rsidRDefault="00C52695" w:rsidP="00C52695">
      <w:pPr>
        <w:pStyle w:val="AERbulletlistfirststyle"/>
      </w:pPr>
      <w:r w:rsidRPr="00883125">
        <w:t>fund its operating expenses.</w:t>
      </w:r>
    </w:p>
    <w:p w:rsidR="00C52695" w:rsidRPr="00883125" w:rsidRDefault="00C52695" w:rsidP="00C52695">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52695" w:rsidRPr="00883125" w:rsidRDefault="00C52695" w:rsidP="00C52695">
      <w:pPr>
        <w:pStyle w:val="AERbulletlistfirststyle"/>
      </w:pPr>
      <w:r w:rsidRPr="00883125">
        <w:t>pay its tax liability.</w:t>
      </w:r>
    </w:p>
    <w:p w:rsidR="00C52695" w:rsidRPr="00883125" w:rsidRDefault="00C52695" w:rsidP="00C52695">
      <w:pPr>
        <w:pStyle w:val="AERbulletlistfirststyle"/>
      </w:pPr>
      <w:r w:rsidRPr="00883125">
        <w:t>reflect any revenue increments or decrements from incentive mechanisms in the design of the regulatory regime.</w:t>
      </w:r>
    </w:p>
    <w:p w:rsidR="00C52695" w:rsidRPr="00883125" w:rsidRDefault="00C52695" w:rsidP="00C52695">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83"/>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pStyle w:val="AERquote"/>
      </w:pPr>
      <w:r w:rsidRPr="00883125">
        <w:t>…</w:t>
      </w:r>
    </w:p>
    <w:p w:rsidR="00C52695" w:rsidRPr="00883125" w:rsidRDefault="00C52695" w:rsidP="00C52695">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C52695" w:rsidRPr="00883125" w:rsidRDefault="00C52695" w:rsidP="00C52695">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BF66D3">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BF66D3">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BF66D3">
        <w:t>A.8.1</w:t>
      </w:r>
      <w:r w:rsidRPr="00883125">
        <w:fldChar w:fldCharType="end"/>
      </w:r>
      <w:r w:rsidRPr="00883125">
        <w:t>.</w:t>
      </w:r>
    </w:p>
    <w:p w:rsidR="00C52695" w:rsidRPr="00883125" w:rsidRDefault="00C52695" w:rsidP="00C52695">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52695" w:rsidRPr="001D37D5" w:rsidRDefault="00C52695" w:rsidP="00C52695">
      <w:pPr>
        <w:pStyle w:val="AERbulletlistfirststyle"/>
      </w:pPr>
      <w:r w:rsidRPr="005764F6">
        <w:t>There is no market for imputation credits and therefore there is no directly observable market price</w:t>
      </w:r>
      <w:r w:rsidRPr="001D37D5">
        <w:t>.</w:t>
      </w:r>
      <w:r w:rsidRPr="001D37D5">
        <w:rPr>
          <w:rStyle w:val="FootnoteReference"/>
        </w:rPr>
        <w:footnoteReference w:id="384"/>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BF66D3">
        <w:t>A.15.3</w:t>
      </w:r>
      <w:r w:rsidRPr="001D37D5">
        <w:fldChar w:fldCharType="end"/>
      </w:r>
      <w:r w:rsidRPr="001D37D5">
        <w:t>.</w:t>
      </w:r>
    </w:p>
    <w:p w:rsidR="00C52695" w:rsidRPr="005764F6" w:rsidRDefault="00C52695" w:rsidP="00C52695">
      <w:pPr>
        <w:pStyle w:val="AERbulletlistfirststyle"/>
      </w:pPr>
      <w:r w:rsidRPr="005764F6">
        <w:t>The value of imputation credits as estimated through a dividend drop off study:</w:t>
      </w:r>
    </w:p>
    <w:p w:rsidR="00C52695" w:rsidRPr="005764F6" w:rsidRDefault="00C52695" w:rsidP="00C52695">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is not clearly measuring a value to long term investors supplying capital to the benchmark efficient entity (even where adjusted for adjusted for differential tax impacts)</w:t>
      </w:r>
    </w:p>
    <w:p w:rsidR="00C52695" w:rsidRPr="005764F6" w:rsidRDefault="00C52695" w:rsidP="00C52695">
      <w:pPr>
        <w:pStyle w:val="AERbulletlistsecondstyle"/>
      </w:pPr>
      <w:r w:rsidRPr="005764F6">
        <w:t xml:space="preserve">is subject to significant uncertainty. </w:t>
      </w:r>
    </w:p>
    <w:p w:rsidR="00C52695" w:rsidRPr="001D37D5" w:rsidRDefault="00C52695" w:rsidP="00C52695">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BF66D3">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BF66D3">
        <w:rPr>
          <w:rStyle w:val="AERbody"/>
        </w:rPr>
        <w:t>A.15.5</w:t>
      </w:r>
      <w:r w:rsidRPr="001D37D5">
        <w:rPr>
          <w:rStyle w:val="AERbody"/>
        </w:rPr>
        <w:fldChar w:fldCharType="end"/>
      </w:r>
      <w:r w:rsidRPr="001D37D5">
        <w:rPr>
          <w:rStyle w:val="AERbody"/>
        </w:rPr>
        <w:t>.</w:t>
      </w:r>
    </w:p>
    <w:p w:rsidR="00C52695" w:rsidRPr="001D37D5" w:rsidRDefault="00C52695" w:rsidP="00C52695">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85"/>
      </w:r>
      <w:r w:rsidRPr="001D37D5">
        <w:rPr>
          <w:rStyle w:val="AERtexthighlight"/>
        </w:rPr>
        <w:t xml:space="preserve"> </w:t>
      </w:r>
    </w:p>
    <w:p w:rsidR="00C52695" w:rsidRPr="001D37D5" w:rsidRDefault="00C52695" w:rsidP="00C52695">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386"/>
      </w:r>
    </w:p>
    <w:p w:rsidR="00C52695" w:rsidRPr="009716F3" w:rsidRDefault="00C52695" w:rsidP="00C52695">
      <w:pPr>
        <w:pStyle w:val="AERbulletlistfirststyle"/>
        <w:rPr>
          <w:shd w:val="clear" w:color="auto" w:fill="FFFF00"/>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87"/>
      </w:r>
      <w:r w:rsidRPr="001D37D5">
        <w:t xml:space="preserve"> As these after-tax net cash flows are at the company level they are before personal taxes and personal transaction costs. This is supported by the advice of Handley and Lally.</w:t>
      </w:r>
      <w:r w:rsidRPr="001D37D5">
        <w:rPr>
          <w:rStyle w:val="FootnoteReference"/>
        </w:rPr>
        <w:footnoteReference w:id="388"/>
      </w:r>
    </w:p>
    <w:p w:rsidR="00517655" w:rsidRPr="009716F3" w:rsidRDefault="00517655" w:rsidP="00C52695">
      <w:pPr>
        <w:pStyle w:val="AERbulletlistfirststyle"/>
        <w:rPr>
          <w:shd w:val="clear" w:color="auto" w:fill="FFFF00"/>
        </w:rPr>
      </w:pPr>
      <w:r>
        <w:t>The Full Federal recently found:</w:t>
      </w:r>
      <w:r>
        <w:rPr>
          <w:rStyle w:val="FootnoteReference"/>
        </w:rPr>
        <w:footnoteReference w:id="389"/>
      </w:r>
    </w:p>
    <w:p w:rsidR="00517655" w:rsidRDefault="00517655" w:rsidP="009716F3">
      <w:pPr>
        <w:pStyle w:val="AERquote"/>
      </w:pPr>
      <w:r>
        <w:t>the expression "the value of imputation credits" is to be construed as a whole, in its context and having regard to the subject matter of the exercise. It would be an error to limit attendtion to the word "value" and give it a meaning in isolation.</w:t>
      </w:r>
    </w:p>
    <w:p w:rsidR="00517655" w:rsidRPr="009716F3" w:rsidRDefault="007A0E11" w:rsidP="009716F3">
      <w:pPr>
        <w:pStyle w:val="AERquote"/>
        <w:ind w:left="0"/>
        <w:rPr>
          <w:rStyle w:val="AERbody"/>
        </w:rPr>
      </w:pPr>
      <w:r>
        <w:rPr>
          <w:rStyle w:val="AERbody"/>
        </w:rPr>
        <w:tab/>
      </w:r>
      <w:r w:rsidR="00B02FD0">
        <w:rPr>
          <w:rStyle w:val="AERbody"/>
        </w:rPr>
        <w:t>….</w:t>
      </w:r>
    </w:p>
    <w:p w:rsidR="00517655" w:rsidRDefault="00517655" w:rsidP="009716F3">
      <w:pPr>
        <w:pStyle w:val="AERquote"/>
      </w:pPr>
      <w:r>
        <w:t>We accept the AER's submission that the context is the determination of a regulated return using a post-tax revenue model based on a nominal WACC. We accept the AER's submission that the Rules require consistency in the way the relevant building blocks interact, that is, a post-company tax and pre-personal tax and personal costs basis.</w:t>
      </w:r>
    </w:p>
    <w:p w:rsidR="00B02FD0" w:rsidRDefault="00B02FD0" w:rsidP="009716F3">
      <w:pPr>
        <w:pStyle w:val="AERquote"/>
      </w:pPr>
      <w:r>
        <w:t>….</w:t>
      </w:r>
    </w:p>
    <w:p w:rsidR="00B02FD0" w:rsidRPr="009716F3" w:rsidRDefault="00B02FD0" w:rsidP="009716F3">
      <w:pPr>
        <w:pStyle w:val="AERquote"/>
      </w:pPr>
      <w:r>
        <w:t>it is not an error of construction for the AER to focus on utilisation rather than on implied market value.</w:t>
      </w:r>
    </w:p>
    <w:p w:rsidR="00C52695" w:rsidRPr="00883125" w:rsidRDefault="00C52695" w:rsidP="00C52695">
      <w:pPr>
        <w:pStyle w:val="Heading9"/>
      </w:pPr>
      <w:bookmarkStart w:id="205" w:name="_Ref400962032"/>
      <w:bookmarkStart w:id="206" w:name="_Toc456614299"/>
      <w:bookmarkStart w:id="207" w:name="_Toc462823317"/>
      <w:bookmarkStart w:id="208" w:name="_Toc487014324"/>
      <w:r w:rsidRPr="00883125">
        <w:t>The tax building block</w:t>
      </w:r>
      <w:bookmarkEnd w:id="205"/>
      <w:bookmarkEnd w:id="206"/>
      <w:bookmarkEnd w:id="207"/>
      <w:bookmarkEnd w:id="208"/>
    </w:p>
    <w:p w:rsidR="00C52695" w:rsidRPr="00883125" w:rsidRDefault="00C52695" w:rsidP="00C52695">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90"/>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52695" w:rsidRPr="00883125" w:rsidRDefault="00C52695" w:rsidP="00C52695">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52695" w:rsidRPr="00883125" w:rsidRDefault="00C52695" w:rsidP="00C52695">
      <w:pPr>
        <w:numPr>
          <w:ilvl w:val="0"/>
          <w:numId w:val="24"/>
        </w:numPr>
      </w:pPr>
      <w:r w:rsidRPr="00883125">
        <w:t>The cost of corporate income tax building block takes the following form:</w:t>
      </w:r>
    </w:p>
    <w:p w:rsidR="00C52695" w:rsidRPr="00883125" w:rsidRDefault="00BF66D3"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52695" w:rsidRPr="00883125" w:rsidRDefault="00C52695" w:rsidP="00C52695">
      <w:pPr>
        <w:numPr>
          <w:ilvl w:val="0"/>
          <w:numId w:val="24"/>
        </w:numPr>
      </w:pPr>
      <w:r w:rsidRPr="00883125">
        <w:t>where:</w:t>
      </w:r>
    </w:p>
    <w:p w:rsidR="00C52695" w:rsidRPr="001D37D5" w:rsidRDefault="00BF66D3" w:rsidP="00C52695">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52695" w:rsidRPr="001D37D5" w:rsidDel="00CE0EED">
        <w:t xml:space="preserve"> </w:t>
      </w:r>
      <w:r w:rsidR="00C52695" w:rsidRPr="001D37D5">
        <w:t>is an estimate of the benchmark efficient entity's tax liability.</w:t>
      </w:r>
    </w:p>
    <w:p w:rsidR="00C52695" w:rsidRPr="001D37D5" w:rsidRDefault="00C52695" w:rsidP="00C52695">
      <w:pPr>
        <w:pStyle w:val="AERbulletlistfirststyle"/>
      </w:pPr>
      <m:oMath>
        <m:r>
          <w:rPr>
            <w:rFonts w:ascii="Cambria Math" w:hAnsi="Cambria Math"/>
          </w:rPr>
          <m:t>γ</m:t>
        </m:r>
      </m:oMath>
      <w:r w:rsidRPr="001D37D5">
        <w:t xml:space="preserve"> is the value of imputation credits.</w:t>
      </w:r>
    </w:p>
    <w:p w:rsidR="00C52695" w:rsidRPr="00883125" w:rsidRDefault="00C52695" w:rsidP="00C52695">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391"/>
      </w:r>
    </w:p>
    <w:p w:rsidR="00C52695" w:rsidRPr="00883125" w:rsidRDefault="00C52695" w:rsidP="00C52695">
      <w:pPr>
        <w:pStyle w:val="Heading8"/>
      </w:pPr>
      <w:bookmarkStart w:id="209" w:name="_Ref400965182"/>
      <w:bookmarkStart w:id="210" w:name="_Toc436049447"/>
      <w:bookmarkStart w:id="211" w:name="_Ref451826492"/>
      <w:bookmarkStart w:id="212" w:name="_Toc451842252"/>
      <w:bookmarkStart w:id="213" w:name="_Toc451938307"/>
      <w:bookmarkStart w:id="214" w:name="_Toc456614300"/>
      <w:bookmarkStart w:id="215" w:name="_Toc462823318"/>
      <w:bookmarkStart w:id="216" w:name="_Toc487014325"/>
      <w:r w:rsidRPr="00883125">
        <w:t>The conceptual framework for the value of imputation credits</w:t>
      </w:r>
      <w:bookmarkEnd w:id="209"/>
      <w:bookmarkEnd w:id="210"/>
      <w:bookmarkEnd w:id="211"/>
      <w:bookmarkEnd w:id="212"/>
      <w:bookmarkEnd w:id="213"/>
      <w:bookmarkEnd w:id="214"/>
      <w:bookmarkEnd w:id="215"/>
      <w:bookmarkEnd w:id="216"/>
    </w:p>
    <w:p w:rsidR="00C52695" w:rsidRPr="00883125" w:rsidRDefault="00C52695" w:rsidP="00C52695">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BF66D3">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pre-personal tax value of imputation credits to those investors that we seek to estimate. The issue is then how to interpret and estimate the value of imputation credits. Our approach to interpreting and estimating the value of imputation credits is guided in the first instance by the conceptual framework developed by Officer.</w:t>
      </w:r>
      <w:r w:rsidRPr="00883125">
        <w:rPr>
          <w:rStyle w:val="FootnoteReference"/>
        </w:rPr>
        <w:footnoteReference w:id="392"/>
      </w:r>
      <w:r w:rsidRPr="00883125">
        <w:t xml:space="preserve"> This is because:</w:t>
      </w:r>
    </w:p>
    <w:p w:rsidR="00C52695" w:rsidRPr="001D37D5" w:rsidRDefault="00C52695" w:rsidP="00C52695">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93"/>
      </w:r>
    </w:p>
    <w:p w:rsidR="00C52695" w:rsidRPr="001D37D5" w:rsidRDefault="00C52695" w:rsidP="00C52695">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94"/>
      </w:r>
    </w:p>
    <w:p w:rsidR="00C52695" w:rsidRPr="001D37D5" w:rsidRDefault="00C52695" w:rsidP="00C52695">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95"/>
      </w:r>
    </w:p>
    <w:p w:rsidR="00C52695" w:rsidRPr="00ED480E" w:rsidRDefault="00C52695" w:rsidP="00C52695">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52695" w:rsidRPr="00ED480E" w:rsidRDefault="00C52695" w:rsidP="00C52695">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396"/>
      </w:r>
    </w:p>
    <w:p w:rsidR="00C52695" w:rsidRPr="00C52695" w:rsidRDefault="00C52695" w:rsidP="00C52695">
      <w:pPr>
        <w:pStyle w:val="AERquote"/>
        <w:rPr>
          <w:rFonts w:eastAsia="Arial"/>
        </w:rPr>
      </w:pPr>
      <w:r w:rsidRPr="00C52695">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52695" w:rsidRDefault="00C52695" w:rsidP="00C52695">
      <w:r w:rsidRPr="00ED480E">
        <w:t>The Officer Paper makes clear that gamma is:</w:t>
      </w:r>
    </w:p>
    <w:p w:rsidR="00C52695" w:rsidRDefault="00C52695" w:rsidP="00C52695">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52695" w:rsidRDefault="00C52695" w:rsidP="00C52695">
      <w:pPr>
        <w:pStyle w:val="AERnumberedlistsecondstyle"/>
      </w:pPr>
      <w:r w:rsidRPr="00705187">
        <w:t xml:space="preserve">the value of a dollar of tax credit to the shareholder; </w:t>
      </w:r>
      <w:r w:rsidRPr="005764F6">
        <w:rPr>
          <w:rStyle w:val="AERtextitalic"/>
        </w:rPr>
        <w:t>with the result that</w:t>
      </w:r>
    </w:p>
    <w:p w:rsidR="00C52695" w:rsidRDefault="00C52695" w:rsidP="00C52695">
      <w:pPr>
        <w:pStyle w:val="AERnumberedlistsecondstyle"/>
      </w:pPr>
      <w:r w:rsidRPr="00705187">
        <w:t>if the shareholder can fully utilise the imputation tax credits then the value of gamma =1.</w:t>
      </w:r>
      <w:r>
        <w:rPr>
          <w:rStyle w:val="FootnoteReference"/>
        </w:rPr>
        <w:footnoteReference w:id="397"/>
      </w:r>
    </w:p>
    <w:p w:rsidR="00C52695" w:rsidRPr="001D37D5" w:rsidRDefault="00C52695" w:rsidP="00C52695">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52695" w:rsidRPr="00FD036B" w:rsidRDefault="00C52695" w:rsidP="00C52695">
      <w:r w:rsidRPr="00FD036B">
        <w:t xml:space="preserve">The Officer Paper included the following explanation of gamma at </w:t>
      </w:r>
      <w:r w:rsidR="00116FD8" w:rsidRPr="00FD036B">
        <w:t>pp.</w:t>
      </w:r>
      <w:r w:rsidRPr="00FD036B">
        <w:t xml:space="preserve"> 2-4 (emphasis added):</w:t>
      </w:r>
    </w:p>
    <w:p w:rsidR="00C52695" w:rsidRPr="00FD036B" w:rsidRDefault="00C52695" w:rsidP="00C52695">
      <w:pPr>
        <w:pStyle w:val="AERquote"/>
      </w:pPr>
      <w:r w:rsidRPr="00C52695">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52695" w:rsidRPr="00C52695" w:rsidRDefault="00C52695" w:rsidP="00C52695">
      <w:pPr>
        <w:pStyle w:val="AERquote"/>
        <w:rPr>
          <w:rFonts w:eastAsia="Arial"/>
        </w:rPr>
      </w:pPr>
      <w:r w:rsidRPr="00C52695">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C52695" w:rsidRPr="00C52695" w:rsidRDefault="00C52695" w:rsidP="00C52695">
      <w:pPr>
        <w:pStyle w:val="AERquote"/>
        <w:rPr>
          <w:rFonts w:eastAsia="Arial"/>
        </w:rPr>
      </w:pPr>
      <w:r w:rsidRPr="00C52695">
        <w:rPr>
          <w:rFonts w:eastAsia="Arial"/>
        </w:rPr>
        <w:t>The amount of tax collected from the company by the government is found by applying the effective tax rate (T) to the operating income less interest, i.e.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FD036B" w:rsidRDefault="00C52695" w:rsidP="00C52695">
      <w:pPr>
        <w:pStyle w:val="AERquote"/>
      </w:pPr>
      <w:r w:rsidRPr="00C52695">
        <w:rPr>
          <w:rFonts w:eastAsia="Arial"/>
        </w:rPr>
        <w:t>This amount, i.e.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52695" w:rsidRPr="00C52695" w:rsidRDefault="00C52695" w:rsidP="00C52695">
      <w:pPr>
        <w:pStyle w:val="AERquote"/>
        <w:rPr>
          <w:rFonts w:eastAsia="Arial"/>
        </w:rPr>
      </w:pPr>
      <w:r w:rsidRPr="00C52695">
        <w:rPr>
          <w:rFonts w:eastAsia="Arial"/>
        </w:rPr>
        <w:t>In these circumstances, the effective level of company tax paid is defined by:</w:t>
      </w:r>
    </w:p>
    <w:p w:rsidR="00C52695" w:rsidRPr="00C52695" w:rsidRDefault="00C52695" w:rsidP="00C52695">
      <w:pPr>
        <w:pStyle w:val="AERquote"/>
        <w:rPr>
          <w:rFonts w:eastAsia="Arial"/>
        </w:rPr>
      </w:pPr>
      <w:r w:rsidRPr="00C52695">
        <w:rPr>
          <w:rFonts w:eastAsia="Arial"/>
        </w:rPr>
        <w:t>XG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 γ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C52695" w:rsidRDefault="00C52695" w:rsidP="00C52695">
      <w:pPr>
        <w:pStyle w:val="AERquote"/>
        <w:rPr>
          <w:rFonts w:eastAsia="Arial"/>
        </w:rPr>
      </w:pPr>
      <w:r w:rsidRPr="00C52695">
        <w:rPr>
          <w:rFonts w:eastAsia="Arial"/>
        </w:rPr>
        <w:t>= T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(1-γ)</w:t>
      </w:r>
      <w:r w:rsidRPr="00C52695">
        <w:rPr>
          <w:rFonts w:eastAsia="Arial"/>
        </w:rPr>
        <w:tab/>
        <w:t>(2)</w:t>
      </w:r>
    </w:p>
    <w:p w:rsidR="00C52695" w:rsidRPr="00C52695" w:rsidRDefault="00C52695" w:rsidP="00C52695">
      <w:pPr>
        <w:pStyle w:val="AERquote"/>
        <w:rPr>
          <w:rFonts w:eastAsia="Arial"/>
        </w:rPr>
      </w:pPr>
      <w:r w:rsidRPr="00C52695">
        <w:rPr>
          <w:rFonts w:eastAsia="Arial"/>
        </w:rPr>
        <w:t>where</w:t>
      </w:r>
    </w:p>
    <w:p w:rsidR="00C52695" w:rsidRPr="00C52695" w:rsidRDefault="00C52695" w:rsidP="00C52695">
      <w:pPr>
        <w:pStyle w:val="AERquote"/>
        <w:rPr>
          <w:rFonts w:eastAsia="Arial"/>
        </w:rPr>
      </w:pPr>
      <w:r w:rsidRPr="00C52695">
        <w:rPr>
          <w:rFonts w:eastAsia="Arial"/>
        </w:rPr>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52695">
        <w:rPr>
          <w:rFonts w:eastAsia="Arial"/>
        </w:rPr>
        <w:t>credit can be utilized as tax credit against the personal tax liabilities of the shareholder. γ can be interpreted as the value of a dollar of tax credit to the shareholder.</w:t>
      </w:r>
    </w:p>
    <w:p w:rsidR="00C52695" w:rsidRPr="00FD036B" w:rsidRDefault="00C52695" w:rsidP="00C52695">
      <w:pPr>
        <w:pStyle w:val="ListParagraph"/>
        <w:numPr>
          <w:ilvl w:val="0"/>
          <w:numId w:val="24"/>
        </w:numPr>
      </w:pPr>
      <w:r w:rsidRPr="00FD036B">
        <w:t>The Officer Paper set out the following example of its interpretation of gamma:</w:t>
      </w:r>
      <w:r>
        <w:rPr>
          <w:rStyle w:val="FootnoteReference"/>
        </w:rPr>
        <w:footnoteReference w:id="398"/>
      </w:r>
    </w:p>
    <w:p w:rsidR="00C52695" w:rsidRPr="00C52695" w:rsidRDefault="00C52695" w:rsidP="00C52695">
      <w:pPr>
        <w:pStyle w:val="AERquote"/>
        <w:rPr>
          <w:rFonts w:eastAsia="Arial"/>
        </w:rPr>
      </w:pPr>
      <w:r w:rsidRPr="00C52695">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52695" w:rsidRDefault="00C52695" w:rsidP="00C52695">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52695" w:rsidRPr="00883125" w:rsidRDefault="00C52695" w:rsidP="00C52695">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99"/>
      </w:r>
    </w:p>
    <w:p w:rsidR="00C52695" w:rsidRPr="00883125" w:rsidRDefault="00C52695" w:rsidP="00C52695">
      <w:pPr>
        <w:pStyle w:val="AERquote"/>
      </w:pPr>
      <w:r w:rsidRPr="00883125">
        <w:t>Similarly, Officer has described gamma in seemingly different ways. For example he refers to:</w:t>
      </w:r>
    </w:p>
    <w:p w:rsidR="00C52695" w:rsidRPr="00883125" w:rsidRDefault="00C52695" w:rsidP="00C52695">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52695" w:rsidRPr="00883125" w:rsidRDefault="00C52695" w:rsidP="00C52695">
      <w:pPr>
        <w:pStyle w:val="AERquote"/>
      </w:pPr>
      <w:r w:rsidRPr="00883125">
        <w:t>and shortly thereafter:</w:t>
      </w:r>
    </w:p>
    <w:p w:rsidR="00C52695" w:rsidRPr="00883125" w:rsidRDefault="00C52695" w:rsidP="00C52695">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52695" w:rsidRPr="00883125" w:rsidRDefault="00C52695" w:rsidP="00C52695">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C52695" w:rsidRPr="00883125" w:rsidRDefault="00C52695" w:rsidP="00C52695">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52695" w:rsidRPr="005764F6" w:rsidRDefault="00AF1BD9" w:rsidP="00C52695">
      <w:pPr>
        <w:numPr>
          <w:ilvl w:val="0"/>
          <w:numId w:val="24"/>
        </w:numPr>
        <w:rPr>
          <w:rStyle w:val="AERbody"/>
        </w:rPr>
      </w:pPr>
      <w:r>
        <w:rPr>
          <w:rStyle w:val="AERbody"/>
        </w:rPr>
        <w:t>T</w:t>
      </w:r>
      <w:r w:rsidR="00C52695" w:rsidRPr="005764F6">
        <w:rPr>
          <w:rStyle w:val="AERbody"/>
        </w:rPr>
        <w:t xml:space="preserve">he </w:t>
      </w:r>
      <w:r>
        <w:rPr>
          <w:rStyle w:val="AERbody"/>
        </w:rPr>
        <w:t xml:space="preserve">Ausgrid </w:t>
      </w:r>
      <w:r w:rsidR="00C52695" w:rsidRPr="005764F6">
        <w:rPr>
          <w:rStyle w:val="AERbody"/>
        </w:rPr>
        <w:t xml:space="preserve">Tribunal considered </w:t>
      </w:r>
      <w:r w:rsidR="00C52695">
        <w:rPr>
          <w:rStyle w:val="AERbody"/>
        </w:rPr>
        <w:t>we</w:t>
      </w:r>
      <w:r w:rsidR="00C52695" w:rsidRPr="005764F6">
        <w:rPr>
          <w:rStyle w:val="AERbody"/>
        </w:rPr>
        <w:t xml:space="preserve"> had erred in adopting a conceptual approach to gamma that redefines it as the value of imputation credits that are available for redemption.</w:t>
      </w:r>
      <w:r w:rsidR="00C52695" w:rsidRPr="00857C5F">
        <w:rPr>
          <w:rStyle w:val="FootnoteReference"/>
        </w:rPr>
        <w:footnoteReference w:id="400"/>
      </w:r>
      <w:r w:rsidR="00C52695" w:rsidRPr="005764F6">
        <w:rPr>
          <w:rStyle w:val="AERbody"/>
        </w:rPr>
        <w:t xml:space="preserve"> The </w:t>
      </w:r>
      <w:r>
        <w:rPr>
          <w:rStyle w:val="AERbody"/>
        </w:rPr>
        <w:t xml:space="preserve">Ausgrid </w:t>
      </w:r>
      <w:r w:rsidR="00C52695" w:rsidRPr="005764F6">
        <w:rPr>
          <w:rStyle w:val="AERbody"/>
        </w:rPr>
        <w:t xml:space="preserve">Tribunal found this due to </w:t>
      </w:r>
      <w:r w:rsidR="00C52695">
        <w:rPr>
          <w:rStyle w:val="AERbody"/>
        </w:rPr>
        <w:t>us</w:t>
      </w:r>
      <w:r w:rsidR="00C52695" w:rsidRPr="005764F6">
        <w:rPr>
          <w:rStyle w:val="AERbody"/>
        </w:rPr>
        <w:t xml:space="preserve"> placing most reliance on the equity ownership approach and effectively defining the utilisation value as the proportion of distributed imputation credits that are available for redemption.</w:t>
      </w:r>
      <w:r w:rsidR="00C52695" w:rsidRPr="00857C5F">
        <w:rPr>
          <w:rStyle w:val="FootnoteReference"/>
        </w:rPr>
        <w:footnoteReference w:id="401"/>
      </w:r>
      <w:r w:rsidR="00C52695" w:rsidRPr="005764F6">
        <w:rPr>
          <w:rStyle w:val="AERbody"/>
        </w:rPr>
        <w:t xml:space="preserve"> The </w:t>
      </w:r>
      <w:r>
        <w:rPr>
          <w:rStyle w:val="AERbody"/>
        </w:rPr>
        <w:t xml:space="preserve">Ausgrid </w:t>
      </w:r>
      <w:r w:rsidR="00C52695" w:rsidRPr="005764F6">
        <w:rPr>
          <w:rStyle w:val="AERbody"/>
        </w:rPr>
        <w:t>Tribunal considered that such an approach:</w:t>
      </w:r>
      <w:r w:rsidR="00C52695" w:rsidRPr="00857C5F">
        <w:rPr>
          <w:rStyle w:val="FootnoteReference"/>
        </w:rPr>
        <w:footnoteReference w:id="402"/>
      </w:r>
    </w:p>
    <w:p w:rsidR="00C52695" w:rsidRPr="005764F6" w:rsidRDefault="00C52695" w:rsidP="00C52695">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008B34DF">
        <w:t xml:space="preserve"> for imputation credits.</w:t>
      </w:r>
    </w:p>
    <w:p w:rsidR="00C52695" w:rsidRPr="005764F6" w:rsidRDefault="00C52695" w:rsidP="00C52695">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403"/>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BF66D3">
        <w:t>A.15.3</w:t>
      </w:r>
      <w:r w:rsidRPr="005764F6">
        <w:fldChar w:fldCharType="end"/>
      </w:r>
      <w:r w:rsidRPr="005764F6">
        <w:t>.</w:t>
      </w:r>
    </w:p>
    <w:p w:rsidR="00C52695" w:rsidRPr="00883125" w:rsidRDefault="00C52695" w:rsidP="00C52695">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404"/>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405"/>
      </w:r>
    </w:p>
    <w:p w:rsidR="00C52695" w:rsidRPr="00883125" w:rsidRDefault="00C52695" w:rsidP="00C52695">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52695" w:rsidRPr="00883125" w:rsidRDefault="00C52695" w:rsidP="00C52695">
      <w:pPr>
        <w:numPr>
          <w:ilvl w:val="0"/>
          <w:numId w:val="24"/>
        </w:numPr>
      </w:pPr>
      <w:r w:rsidRPr="00883125">
        <w:t>where:</w:t>
      </w:r>
    </w:p>
    <w:p w:rsidR="00C52695" w:rsidRPr="001D37D5" w:rsidRDefault="00C52695" w:rsidP="00C52695">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52695" w:rsidRPr="001D37D5" w:rsidRDefault="00C52695" w:rsidP="00C52695">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52695" w:rsidRPr="001D37D5" w:rsidRDefault="00C52695" w:rsidP="00C52695">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52695" w:rsidRPr="00883125" w:rsidRDefault="00C52695" w:rsidP="00C52695">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406"/>
      </w:r>
    </w:p>
    <w:p w:rsidR="00C52695" w:rsidRPr="00883125" w:rsidRDefault="00C52695" w:rsidP="00C52695">
      <w:pPr>
        <w:pStyle w:val="AERquote"/>
      </w:pPr>
      <w:r w:rsidRPr="00883125">
        <w:t>This interpretation of theta as a complex weighted average of investor utilisation rates is consistent with that appearing in Monkhouse (1993) and Lally and van Zijl (2003)…</w:t>
      </w:r>
    </w:p>
    <w:p w:rsidR="00C52695" w:rsidRPr="00883125" w:rsidRDefault="00C52695" w:rsidP="00C52695">
      <w:pPr>
        <w:numPr>
          <w:ilvl w:val="0"/>
          <w:numId w:val="24"/>
        </w:numPr>
      </w:pPr>
      <w:r w:rsidRPr="00883125">
        <w:t>This is also supported by Lally's remarks on the work of Lally and van Zijl:</w:t>
      </w:r>
      <w:r w:rsidRPr="00883125">
        <w:rPr>
          <w:rStyle w:val="FootnoteReference"/>
        </w:rPr>
        <w:footnoteReference w:id="407"/>
      </w:r>
    </w:p>
    <w:p w:rsidR="00C52695" w:rsidRPr="00883125" w:rsidRDefault="00C52695" w:rsidP="00C52695">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52695" w:rsidRPr="00883125" w:rsidRDefault="00C52695" w:rsidP="00C52695">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F80840">
        <w:t>draft</w:t>
      </w:r>
      <w:r w:rsidR="00180C78">
        <w:t xml:space="preserve">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BF66D3">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BF66D3">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BF66D3">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408"/>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BF66D3">
        <w:t>A.8.1</w:t>
      </w:r>
      <w:r w:rsidRPr="00883125">
        <w:fldChar w:fldCharType="end"/>
      </w:r>
      <w:r w:rsidRPr="00883125">
        <w:t>.</w:t>
      </w:r>
    </w:p>
    <w:p w:rsidR="00C52695" w:rsidRPr="00883125" w:rsidRDefault="00C52695" w:rsidP="00C52695">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409"/>
      </w:r>
    </w:p>
    <w:p w:rsidR="00C52695" w:rsidRPr="00883125" w:rsidRDefault="00C52695" w:rsidP="00C52695">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52695" w:rsidRPr="00B27BE5" w:rsidRDefault="00C52695" w:rsidP="00C52695">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410"/>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411"/>
      </w:r>
    </w:p>
    <w:p w:rsidR="00C52695" w:rsidRPr="00B27BE5" w:rsidRDefault="00C52695" w:rsidP="00C52695">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w:t>
      </w:r>
      <w:r w:rsidR="00116FD8" w:rsidRPr="00B27BE5">
        <w:t>than</w:t>
      </w:r>
      <w:r w:rsidRPr="00B27BE5">
        <w:t xml:space="preserve">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52695" w:rsidRPr="00883125" w:rsidRDefault="00C52695" w:rsidP="00C52695">
      <w:pPr>
        <w:pStyle w:val="Heading8"/>
      </w:pPr>
      <w:bookmarkStart w:id="217" w:name="_Ref414282622"/>
      <w:bookmarkStart w:id="218" w:name="_Toc436049448"/>
      <w:bookmarkStart w:id="219" w:name="_Ref451789926"/>
      <w:bookmarkStart w:id="220" w:name="_Toc451842253"/>
      <w:bookmarkStart w:id="221" w:name="_Ref451849752"/>
      <w:bookmarkStart w:id="222" w:name="_Toc451938308"/>
      <w:bookmarkStart w:id="223" w:name="_Toc456614301"/>
      <w:bookmarkStart w:id="224" w:name="_Toc462823319"/>
      <w:bookmarkStart w:id="225" w:name="_Toc487014326"/>
      <w:r w:rsidRPr="00883125">
        <w:t>Gray's comments on the conceptual framework</w:t>
      </w:r>
      <w:bookmarkEnd w:id="217"/>
      <w:r w:rsidRPr="00883125">
        <w:rPr>
          <w:rStyle w:val="FootnoteReference"/>
        </w:rPr>
        <w:footnoteReference w:id="412"/>
      </w:r>
      <w:bookmarkEnd w:id="218"/>
      <w:bookmarkEnd w:id="219"/>
      <w:bookmarkEnd w:id="220"/>
      <w:bookmarkEnd w:id="221"/>
      <w:bookmarkEnd w:id="222"/>
      <w:bookmarkEnd w:id="223"/>
      <w:bookmarkEnd w:id="224"/>
      <w:bookmarkEnd w:id="225"/>
    </w:p>
    <w:p w:rsidR="00C52695" w:rsidRPr="00883125" w:rsidRDefault="00C52695" w:rsidP="00C52695">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C52695" w:rsidRPr="00883125" w:rsidRDefault="00C52695" w:rsidP="00C52695">
      <w:pPr>
        <w:numPr>
          <w:ilvl w:val="0"/>
          <w:numId w:val="24"/>
        </w:numPr>
      </w:pPr>
      <w:r w:rsidRPr="00883125">
        <w:t>Gray's May 2014 report (for SFG) for the service providers submitted that:</w:t>
      </w:r>
    </w:p>
    <w:p w:rsidR="00C52695" w:rsidRPr="00883125" w:rsidRDefault="00C52695" w:rsidP="00C52695">
      <w:pPr>
        <w:pStyle w:val="AERbulletlistfirststyle"/>
      </w:pPr>
      <w:r w:rsidRPr="00883125">
        <w:t>The advice and evidence cited in the Guideline does not support the interpretation of the utilisation rate in the Guidel</w:t>
      </w:r>
      <w:r w:rsidR="008B34DF">
        <w:t>ine.</w:t>
      </w:r>
    </w:p>
    <w:p w:rsidR="00C52695" w:rsidRPr="00883125" w:rsidRDefault="00C52695" w:rsidP="00C52695">
      <w:pPr>
        <w:pStyle w:val="AERbulletlistfirststyle"/>
      </w:pPr>
      <w:r w:rsidRPr="00883125">
        <w:t>Officer shows that the value of imputation credits (gamma) represents the extent to which imputation credits are capitalised into the stock price.</w:t>
      </w:r>
    </w:p>
    <w:p w:rsidR="00C52695" w:rsidRPr="00883125" w:rsidRDefault="00C52695" w:rsidP="00C52695">
      <w:pPr>
        <w:pStyle w:val="AERbulletlistfirststyle"/>
      </w:pPr>
      <w:r w:rsidRPr="00883125">
        <w:t>The utilisation rate in the framework provided by Monkhouse (and Lally and van Zijl) should not be used to estimate the value of imputation credits.</w:t>
      </w:r>
    </w:p>
    <w:p w:rsidR="00C52695" w:rsidRPr="00883125" w:rsidRDefault="00C52695" w:rsidP="00C52695">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413"/>
      </w:r>
      <w:r w:rsidRPr="00883125">
        <w:t xml:space="preserve"> We set out our reasoning below.</w:t>
      </w:r>
    </w:p>
    <w:p w:rsidR="00C52695" w:rsidRPr="00883125" w:rsidRDefault="00C52695" w:rsidP="0007085B">
      <w:pPr>
        <w:pStyle w:val="Heading9"/>
        <w:keepNext/>
      </w:pPr>
      <w:bookmarkStart w:id="226" w:name="_Toc456614302"/>
      <w:bookmarkStart w:id="227" w:name="_Toc462823320"/>
      <w:bookmarkStart w:id="228" w:name="_Toc487014327"/>
      <w:bookmarkStart w:id="229" w:name="_Ref402179374"/>
      <w:r w:rsidRPr="00883125">
        <w:t>Gray's comments on the AER's position</w:t>
      </w:r>
      <w:bookmarkEnd w:id="226"/>
      <w:bookmarkEnd w:id="227"/>
      <w:bookmarkEnd w:id="228"/>
    </w:p>
    <w:p w:rsidR="00C52695" w:rsidRPr="00883125" w:rsidRDefault="00C52695" w:rsidP="0007085B">
      <w:pPr>
        <w:keepNext/>
      </w:pPr>
      <w:r w:rsidRPr="00883125">
        <w:t>Gray (for SFG) submitted that '…the AER's position is that theta (and consequently gamma) no longer represents the value (as in "worth" or "market value to investors")…'.</w:t>
      </w:r>
      <w:r w:rsidRPr="00883125">
        <w:rPr>
          <w:rStyle w:val="FootnoteReference"/>
        </w:rPr>
        <w:footnoteReference w:id="414"/>
      </w:r>
      <w:r w:rsidRPr="00883125">
        <w:t xml:space="preserve"> This is incorrect. Our definition of the utilisation rate in this</w:t>
      </w:r>
      <w:r>
        <w:t xml:space="preserve"> </w:t>
      </w:r>
      <w:r w:rsidR="00493CF5">
        <w:t>draft</w:t>
      </w:r>
      <w:r w:rsidR="00493CF5" w:rsidRPr="00883125">
        <w:t xml:space="preserve"> </w:t>
      </w:r>
      <w:r w:rsidRPr="00883125">
        <w:t>decision and our prior decisions released in 2014</w:t>
      </w:r>
      <w:r>
        <w:t>,</w:t>
      </w:r>
      <w:r w:rsidRPr="00883125">
        <w:t xml:space="preserve"> 2015</w:t>
      </w:r>
      <w:r w:rsidR="00493CF5">
        <w:t>,</w:t>
      </w:r>
      <w:r>
        <w:t xml:space="preserve"> 2016</w:t>
      </w:r>
      <w:r w:rsidRPr="00883125">
        <w:t xml:space="preserve"> </w:t>
      </w:r>
      <w:r w:rsidR="00493CF5">
        <w:t xml:space="preserve">and 2017 </w:t>
      </w:r>
      <w:r w:rsidRPr="00883125">
        <w:t xml:space="preserve">(our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BF66D3">
        <w:t>A.7.3</w:t>
      </w:r>
      <w:r w:rsidRPr="00883125">
        <w:fldChar w:fldCharType="end"/>
      </w:r>
      <w:r w:rsidRPr="00883125">
        <w:t>.</w:t>
      </w:r>
    </w:p>
    <w:p w:rsidR="00C52695" w:rsidRPr="00883125" w:rsidRDefault="001D5F36" w:rsidP="00C52695">
      <w:r>
        <w:t>T</w:t>
      </w:r>
      <w:r w:rsidR="00C52695" w:rsidRPr="00883125">
        <w:t xml:space="preserve">he </w:t>
      </w:r>
      <w:r w:rsidR="00C25A56">
        <w:t xml:space="preserve">Ausgrid </w:t>
      </w:r>
      <w:r w:rsidR="00C52695" w:rsidRPr="00883125">
        <w:t xml:space="preserve">Tribunal considered </w:t>
      </w:r>
      <w:r w:rsidR="00C52695">
        <w:t xml:space="preserve">our </w:t>
      </w:r>
      <w:r w:rsidR="00C52695" w:rsidRPr="00883125">
        <w:t>reasoning ignored the fact that other parameters in the allowed rate return calculation are market values that already incorporate the effects of the difference in investors' tax position and transaction costs.</w:t>
      </w:r>
      <w:r w:rsidR="00C52695" w:rsidRPr="00883125">
        <w:rPr>
          <w:rStyle w:val="FootnoteReference"/>
        </w:rPr>
        <w:footnoteReference w:id="415"/>
      </w:r>
    </w:p>
    <w:p w:rsidR="00C52695" w:rsidRPr="00883125" w:rsidRDefault="00C52695" w:rsidP="00C52695">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BF66D3">
        <w:t>A.8.2</w:t>
      </w:r>
      <w:r>
        <w:fldChar w:fldCharType="end"/>
      </w:r>
      <w:r>
        <w:t>.</w:t>
      </w:r>
    </w:p>
    <w:p w:rsidR="00C52695" w:rsidRPr="00883125" w:rsidRDefault="00C52695" w:rsidP="00C52695">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416"/>
      </w:r>
      <w:r w:rsidRPr="00883125">
        <w:t xml:space="preserve"> This is also incorrect. In this </w:t>
      </w:r>
      <w:r w:rsidR="002C0BAC">
        <w:t xml:space="preserve">draft </w:t>
      </w:r>
      <w:r w:rsidRPr="00883125">
        <w:t>decision and our prior decisions we estimate the utilisation rate. Further, nowhere in this</w:t>
      </w:r>
      <w:r>
        <w:t xml:space="preserve"> </w:t>
      </w:r>
      <w:r w:rsidR="002C0BAC">
        <w:t>draft</w:t>
      </w:r>
      <w:r w:rsidR="001C6A1D" w:rsidRPr="00883125">
        <w:t xml:space="preserve"> </w:t>
      </w:r>
      <w:r w:rsidRPr="00883125">
        <w:t>decision or in our prior decisions do we seek to support any aspect of our position with 'specific reference to "value" in the Rules in that it is "the number that is adopted" for imputation credits'.</w:t>
      </w:r>
    </w:p>
    <w:p w:rsidR="00C52695" w:rsidRPr="00883125" w:rsidRDefault="00C52695" w:rsidP="00C52695">
      <w:r w:rsidRPr="00883125">
        <w:t>We also disagree with Gray's view that:</w:t>
      </w:r>
      <w:r w:rsidRPr="00883125">
        <w:rPr>
          <w:rStyle w:val="FootnoteReference"/>
        </w:rPr>
        <w:footnoteReference w:id="417"/>
      </w:r>
    </w:p>
    <w:p w:rsidR="00C52695" w:rsidRPr="00883125" w:rsidRDefault="00C52695" w:rsidP="00C52695">
      <w:pPr>
        <w:pStyle w:val="AERquote"/>
      </w:pPr>
      <w:r w:rsidRPr="00883125">
        <w:t>The AER is not saying that it has identified a number of approaches for estimating the value (as in "worth to investors in the market") of imputation credits. Rather, the AER considers:</w:t>
      </w:r>
    </w:p>
    <w:p w:rsidR="00C52695" w:rsidRPr="00883125" w:rsidRDefault="00C52695" w:rsidP="00C52695">
      <w:pPr>
        <w:pStyle w:val="AERquote"/>
      </w:pPr>
      <w:r w:rsidRPr="00883125">
        <w:t>a) Some approaches for estimating the value (as in "worth to investors in the market") of imputation credits – the market value studies; and</w:t>
      </w:r>
    </w:p>
    <w:p w:rsidR="00C52695" w:rsidRPr="00883125" w:rsidRDefault="00C52695" w:rsidP="00C52695">
      <w:pPr>
        <w:pStyle w:val="AERquote"/>
      </w:pPr>
      <w:r w:rsidRPr="00883125">
        <w:t>b) Some approaches for estimating the redemption rate – the equity ownership and ATO tax statistic approaches.</w:t>
      </w:r>
    </w:p>
    <w:p w:rsidR="00C52695" w:rsidRPr="00883125" w:rsidRDefault="00C52695" w:rsidP="00C52695">
      <w:r w:rsidRPr="00883125">
        <w:t xml:space="preserve">By contrast, the approaches on which we rely in this decision to estimate the utilisation rate are all relevant for the reasons discussed in section </w:t>
      </w:r>
      <w:r w:rsidR="00602BA7">
        <w:fldChar w:fldCharType="begin"/>
      </w:r>
      <w:r w:rsidR="00602BA7">
        <w:instrText xml:space="preserve"> REF _Ref477362088 \r \h </w:instrText>
      </w:r>
      <w:r w:rsidR="00602BA7">
        <w:fldChar w:fldCharType="separate"/>
      </w:r>
      <w:r w:rsidR="00BF66D3">
        <w:t>4.4</w:t>
      </w:r>
      <w:r w:rsidR="00602BA7">
        <w:fldChar w:fldCharType="end"/>
      </w:r>
      <w:r w:rsidRPr="00883125">
        <w:t xml:space="preserve"> of attachment 4.</w:t>
      </w:r>
    </w:p>
    <w:p w:rsidR="00C52695" w:rsidRPr="00883125" w:rsidRDefault="00C52695" w:rsidP="00C52695">
      <w:pPr>
        <w:pStyle w:val="Heading9"/>
      </w:pPr>
      <w:bookmarkStart w:id="230" w:name="_Toc456614303"/>
      <w:bookmarkStart w:id="231" w:name="_Toc462823321"/>
      <w:bookmarkStart w:id="232" w:name="_Toc487014328"/>
      <w:r w:rsidRPr="00883125">
        <w:t>Gray's comments on certain evidence and advice cited in the Guideline</w:t>
      </w:r>
      <w:bookmarkEnd w:id="229"/>
      <w:bookmarkEnd w:id="230"/>
      <w:bookmarkEnd w:id="231"/>
      <w:bookmarkEnd w:id="232"/>
    </w:p>
    <w:p w:rsidR="00C52695" w:rsidRPr="00883125" w:rsidRDefault="00C52695" w:rsidP="00C52695">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418"/>
      </w:r>
      <w:r w:rsidRPr="00883125">
        <w:t xml:space="preserve"> This evidence included:</w:t>
      </w:r>
    </w:p>
    <w:p w:rsidR="00C52695" w:rsidRPr="00883125" w:rsidRDefault="00C52695" w:rsidP="00C52695">
      <w:pPr>
        <w:pStyle w:val="AERbulletlistfirststyle"/>
      </w:pPr>
      <w:r w:rsidRPr="00883125">
        <w:t>The AEMC's 2012 rule change</w:t>
      </w:r>
    </w:p>
    <w:p w:rsidR="00C52695" w:rsidRPr="00883125" w:rsidRDefault="00C52695" w:rsidP="00C52695">
      <w:pPr>
        <w:pStyle w:val="AERbulletlistfirststyle"/>
      </w:pPr>
      <w:r w:rsidRPr="00883125">
        <w:t>McKenzie and Partington (2013)</w:t>
      </w:r>
    </w:p>
    <w:p w:rsidR="00C52695" w:rsidRPr="00883125" w:rsidRDefault="00C52695" w:rsidP="00C52695">
      <w:pPr>
        <w:pStyle w:val="AERbulletlistfirststyle"/>
      </w:pPr>
      <w:r w:rsidRPr="00883125">
        <w:t>Handley (2008), and</w:t>
      </w:r>
    </w:p>
    <w:p w:rsidR="00C52695" w:rsidRPr="00883125" w:rsidRDefault="00C52695" w:rsidP="00C52695">
      <w:pPr>
        <w:pStyle w:val="AERbulletlistfirststyle"/>
      </w:pPr>
      <w:r w:rsidRPr="00883125">
        <w:t>Hathaway and Officer (2004).</w:t>
      </w:r>
    </w:p>
    <w:p w:rsidR="00C52695" w:rsidRPr="00883125" w:rsidRDefault="00C52695" w:rsidP="00C52695">
      <w:pPr>
        <w:numPr>
          <w:ilvl w:val="0"/>
          <w:numId w:val="24"/>
        </w:numPr>
      </w:pPr>
      <w:r w:rsidRPr="00883125">
        <w:t>In our decisions released in 2014, we set out why we disagreed with Gray's view on each piece of evidence.</w:t>
      </w:r>
      <w:r w:rsidRPr="00883125">
        <w:rPr>
          <w:rStyle w:val="FootnoteReference"/>
        </w:rPr>
        <w:footnoteReference w:id="419"/>
      </w:r>
      <w:r w:rsidRPr="00883125">
        <w:t xml:space="preserve"> In his February 2015 report (for SFG), Gray set out why his view on this evidence has not changed.</w:t>
      </w:r>
      <w:r w:rsidRPr="00883125">
        <w:rPr>
          <w:rStyle w:val="FootnoteReference"/>
        </w:rPr>
        <w:footnoteReference w:id="420"/>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52695" w:rsidRPr="00883125" w:rsidRDefault="00C52695" w:rsidP="00C52695">
      <w:pPr>
        <w:pStyle w:val="Heading9"/>
      </w:pPr>
      <w:bookmarkStart w:id="233" w:name="_Ref414028398"/>
      <w:bookmarkStart w:id="234" w:name="_Toc456614304"/>
      <w:bookmarkStart w:id="235" w:name="_Toc462823322"/>
      <w:bookmarkStart w:id="236" w:name="_Toc487014329"/>
      <w:r w:rsidRPr="00883125">
        <w:t>Gray's comments on Officer (1994)</w:t>
      </w:r>
      <w:bookmarkEnd w:id="233"/>
      <w:bookmarkEnd w:id="234"/>
      <w:bookmarkEnd w:id="235"/>
      <w:bookmarkEnd w:id="236"/>
      <w:r w:rsidRPr="00883125">
        <w:t xml:space="preserve"> </w:t>
      </w:r>
    </w:p>
    <w:p w:rsidR="00C52695" w:rsidRPr="00883125" w:rsidRDefault="00C52695" w:rsidP="00C52695">
      <w:r w:rsidRPr="00883125">
        <w:t>Gray set out his views on Officer's 1994 paper in his May 2014 and February 2015 reports for SFG, and in his 2015</w:t>
      </w:r>
      <w:r>
        <w:t xml:space="preserve"> and 2016</w:t>
      </w:r>
      <w:r w:rsidRPr="00883125">
        <w:t xml:space="preserve"> report</w:t>
      </w:r>
      <w:r w:rsidR="00705600">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C52695" w:rsidRPr="00883125" w:rsidRDefault="00C52695" w:rsidP="00B93D90">
      <w:pPr>
        <w:pStyle w:val="HeadingBoldItalic"/>
        <w:keepNext/>
      </w:pPr>
      <w:bookmarkStart w:id="237" w:name="_Toc456614305"/>
      <w:bookmarkStart w:id="238" w:name="_Toc481056682"/>
      <w:bookmarkStart w:id="239" w:name="_Toc481061476"/>
      <w:r w:rsidRPr="00883125">
        <w:t>The text in Officer (1994)</w:t>
      </w:r>
      <w:bookmarkEnd w:id="237"/>
      <w:bookmarkEnd w:id="238"/>
      <w:bookmarkEnd w:id="239"/>
    </w:p>
    <w:p w:rsidR="00C52695" w:rsidRPr="00883125" w:rsidRDefault="00C52695" w:rsidP="00B93D90">
      <w:pPr>
        <w:keepNext/>
      </w:pPr>
      <w:r w:rsidRPr="00883125">
        <w:t>Gray (for SFG) submitted that Officer's paper suggests that there are two possible interpretations of gamma:</w:t>
      </w:r>
      <w:r w:rsidRPr="00883125">
        <w:rPr>
          <w:rStyle w:val="FootnoteReference"/>
        </w:rPr>
        <w:footnoteReference w:id="421"/>
      </w:r>
    </w:p>
    <w:p w:rsidR="00C52695" w:rsidRPr="00883125" w:rsidRDefault="00C52695" w:rsidP="00C52695">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52695" w:rsidRPr="00883125" w:rsidRDefault="00C52695" w:rsidP="00C52695">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52695" w:rsidRPr="00883125" w:rsidRDefault="00C52695" w:rsidP="00C52695">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52695" w:rsidRPr="00883125" w:rsidRDefault="00C52695" w:rsidP="00C52695">
      <w:r w:rsidRPr="00883125">
        <w:t>We do not agree with Gray's opinion. As explained by Handley in his September 2014 report, interpretation of gamma on a before-personal-tax and before-personal-costs basis reconciles this apparent inconsistency in Officer;</w:t>
      </w:r>
      <w:r w:rsidRPr="00883125">
        <w:rPr>
          <w:rStyle w:val="FootnoteReference"/>
        </w:rPr>
        <w:footnoteReference w:id="422"/>
      </w:r>
      <w:r w:rsidRPr="00883125">
        <w:t xml:space="preserve"> that is, on this basis the 'value' and 'utilisation' interpretations are consistent. Handley reiterates this in his April 2015 report:</w:t>
      </w:r>
      <w:r w:rsidRPr="00883125">
        <w:rPr>
          <w:rStyle w:val="FootnoteReference"/>
        </w:rPr>
        <w:footnoteReference w:id="423"/>
      </w:r>
    </w:p>
    <w:p w:rsidR="00C52695" w:rsidRPr="00883125" w:rsidRDefault="00C52695" w:rsidP="00C52695">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52695" w:rsidRPr="00883125" w:rsidRDefault="00C52695" w:rsidP="00C52695">
      <w:r w:rsidRPr="00883125">
        <w:t>There would appear to be further support for Handley's view in the first line of footnote 5 of Officer's paper, which seemingly equates the ideas of 'utilisation' and 'value':</w:t>
      </w:r>
      <w:r w:rsidRPr="00883125">
        <w:rPr>
          <w:rStyle w:val="FootnoteReference"/>
        </w:rPr>
        <w:footnoteReference w:id="424"/>
      </w:r>
    </w:p>
    <w:p w:rsidR="00C52695" w:rsidRPr="00883125" w:rsidRDefault="00C52695" w:rsidP="00C52695">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52695" w:rsidRPr="00883125" w:rsidRDefault="00C52695" w:rsidP="00C52695">
      <w:r w:rsidRPr="00883125">
        <w:t>Handley also noted:</w:t>
      </w:r>
      <w:r w:rsidRPr="00883125">
        <w:rPr>
          <w:rStyle w:val="FootnoteReference"/>
        </w:rPr>
        <w:footnoteReference w:id="425"/>
      </w:r>
    </w:p>
    <w:p w:rsidR="00C52695" w:rsidRPr="00883125" w:rsidRDefault="00C52695" w:rsidP="00C52695">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52695" w:rsidRPr="00883125" w:rsidRDefault="00C52695" w:rsidP="00C52695">
      <w:r w:rsidRPr="00883125">
        <w:t>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w:t>
      </w:r>
      <w:r w:rsidR="008B34DF">
        <w:t>er, this is unconvincing to us.</w:t>
      </w:r>
    </w:p>
    <w:p w:rsidR="00C52695" w:rsidRPr="00883125" w:rsidRDefault="00C52695" w:rsidP="00C52695">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426"/>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427"/>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52695" w:rsidRPr="00883125" w:rsidRDefault="00C52695" w:rsidP="00C52695">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428"/>
      </w:r>
    </w:p>
    <w:p w:rsidR="00C52695" w:rsidRPr="00883125" w:rsidRDefault="00C52695" w:rsidP="00C52695">
      <w:pPr>
        <w:pStyle w:val="AERquote"/>
      </w:pPr>
      <w:r w:rsidRPr="00883125">
        <w:t xml:space="preserve">Assume that 50 </w:t>
      </w:r>
      <w:r w:rsidR="00116FD8" w:rsidRPr="00883125">
        <w:t>per cent</w:t>
      </w:r>
      <w:r w:rsidRPr="00883125">
        <w:t xml:space="preserve"> of the tax collected at the company level represents personal tax, i.e. 50 </w:t>
      </w:r>
      <w:r w:rsidR="00116FD8" w:rsidRPr="00883125">
        <w:t>per cent</w:t>
      </w:r>
      <w:r w:rsidRPr="00883125">
        <w:t xml:space="preserve"> of tax credits can be utilized against personal tax liabilities so that </w:t>
      </w:r>
      <m:oMath>
        <m:r>
          <w:rPr>
            <w:rFonts w:ascii="Cambria Math" w:hAnsi="Cambria Math"/>
          </w:rPr>
          <m:t>γ</m:t>
        </m:r>
      </m:oMath>
      <w:r w:rsidRPr="00883125">
        <w:t xml:space="preserve"> = 0.5.</w:t>
      </w:r>
    </w:p>
    <w:p w:rsidR="00C52695" w:rsidRPr="00883125" w:rsidRDefault="00C52695" w:rsidP="007F6EED">
      <w:pPr>
        <w:pStyle w:val="HeadingBoldItalic"/>
      </w:pPr>
      <w:bookmarkStart w:id="240" w:name="_Toc456614306"/>
      <w:bookmarkStart w:id="241" w:name="_Toc481056683"/>
      <w:bookmarkStart w:id="242" w:name="_Toc481061477"/>
      <w:r w:rsidRPr="00883125">
        <w:t>The formulas in Officer (1994)</w:t>
      </w:r>
      <w:bookmarkEnd w:id="240"/>
      <w:bookmarkEnd w:id="241"/>
      <w:bookmarkEnd w:id="242"/>
    </w:p>
    <w:p w:rsidR="00C52695" w:rsidRPr="00883125" w:rsidRDefault="00C52695" w:rsidP="00C52695">
      <w:r w:rsidRPr="00883125">
        <w:t>Gray (for SFG) submitted that the formulas in Officer (1994) support his interpretation of the value of imputation credits:</w:t>
      </w:r>
      <w:r w:rsidRPr="00883125">
        <w:rPr>
          <w:rStyle w:val="FootnoteReference"/>
        </w:rPr>
        <w:footnoteReference w:id="429"/>
      </w:r>
    </w:p>
    <w:p w:rsidR="00C52695" w:rsidRPr="00883125" w:rsidRDefault="00C52695" w:rsidP="00C52695">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52695" w:rsidRPr="00883125" w:rsidRDefault="00C52695" w:rsidP="00C52695">
      <w:pPr>
        <w:pStyle w:val="AERquote"/>
      </w:pPr>
      <w:r w:rsidRPr="00883125">
        <w:t>Another way to see this is to rearrange the formula to isolate gamma as follows:</w:t>
      </w:r>
    </w:p>
    <w:p w:rsidR="00C52695" w:rsidRPr="00883125" w:rsidRDefault="00BF66D3" w:rsidP="00C52695">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52695" w:rsidRPr="00883125" w:rsidRDefault="00C52695" w:rsidP="00C52695">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52695" w:rsidRPr="00883125" w:rsidRDefault="00C52695" w:rsidP="00C52695">
      <w:r w:rsidRPr="00883125">
        <w:t>Handley reviewed Gray's submission and considered:</w:t>
      </w:r>
      <w:r w:rsidRPr="00883125">
        <w:rPr>
          <w:rStyle w:val="FootnoteReference"/>
        </w:rPr>
        <w:footnoteReference w:id="430"/>
      </w:r>
    </w:p>
    <w:p w:rsidR="00C52695" w:rsidRPr="00883125" w:rsidRDefault="00C52695" w:rsidP="00C52695">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52695" w:rsidRPr="00883125" w:rsidRDefault="00C52695" w:rsidP="00C52695">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52695" w:rsidRPr="00883125" w:rsidRDefault="00C52695" w:rsidP="007F6EED">
      <w:pPr>
        <w:pStyle w:val="HeadingBoldItalic"/>
      </w:pPr>
      <w:bookmarkStart w:id="243" w:name="_Toc456614307"/>
      <w:bookmarkStart w:id="244" w:name="_Toc481056684"/>
      <w:bookmarkStart w:id="245" w:name="_Toc481061478"/>
      <w:r w:rsidRPr="00883125">
        <w:t>Interpretation of gamma in textbooks</w:t>
      </w:r>
      <w:bookmarkEnd w:id="243"/>
      <w:bookmarkEnd w:id="244"/>
      <w:bookmarkEnd w:id="245"/>
    </w:p>
    <w:p w:rsidR="00C52695" w:rsidRPr="00883125" w:rsidRDefault="00C52695" w:rsidP="00C52695">
      <w:r w:rsidRPr="00883125">
        <w:t>In his June 2015 report (for Frontier), Gray stated:</w:t>
      </w:r>
      <w:r w:rsidRPr="00883125">
        <w:rPr>
          <w:rStyle w:val="FootnoteReference"/>
        </w:rPr>
        <w:footnoteReference w:id="431"/>
      </w:r>
    </w:p>
    <w:p w:rsidR="00C52695" w:rsidRPr="00883125" w:rsidRDefault="00C52695" w:rsidP="00C52695">
      <w:pPr>
        <w:pStyle w:val="AERquote"/>
      </w:pPr>
      <w:r w:rsidRPr="00883125">
        <w:t>I am unaware of any published work that interprets gamma in terms of the redemption rate.</w:t>
      </w:r>
    </w:p>
    <w:p w:rsidR="00C52695" w:rsidRPr="00883125" w:rsidRDefault="00C52695" w:rsidP="00C52695">
      <w:r w:rsidRPr="00883125">
        <w:t>However, there are several textbooks that describe gamma in a manner consistent with our understanding. For example, Peirson et al (2009):</w:t>
      </w:r>
      <w:r w:rsidRPr="00883125">
        <w:rPr>
          <w:rStyle w:val="FootnoteReference"/>
        </w:rPr>
        <w:footnoteReference w:id="432"/>
      </w:r>
    </w:p>
    <w:p w:rsidR="00C52695" w:rsidRPr="00883125" w:rsidRDefault="00C52695" w:rsidP="00C52695">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52695" w:rsidRPr="00883125" w:rsidRDefault="00C52695" w:rsidP="00C52695">
      <w:r w:rsidRPr="00883125">
        <w:t>Berk et al (2014):</w:t>
      </w:r>
      <w:r w:rsidRPr="00883125">
        <w:rPr>
          <w:rStyle w:val="FootnoteReference"/>
        </w:rPr>
        <w:footnoteReference w:id="433"/>
      </w:r>
    </w:p>
    <w:p w:rsidR="00C52695" w:rsidRPr="00883125" w:rsidRDefault="00C52695" w:rsidP="00C52695">
      <w:pPr>
        <w:pStyle w:val="AERquote"/>
      </w:pPr>
      <w:r w:rsidRPr="00883125">
        <w:t>In a 1994 study, Officer shows that for valuation purposes the cost of equity under an imputation system should be adjusted by a factor equal to:</w:t>
      </w:r>
    </w:p>
    <w:p w:rsidR="00C52695" w:rsidRPr="00883125" w:rsidRDefault="00BF66D3" w:rsidP="00C52695">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52695" w:rsidRPr="00883125" w:rsidRDefault="00C52695" w:rsidP="00C52695">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52695" w:rsidRPr="00883125" w:rsidRDefault="00C52695" w:rsidP="00C52695">
      <w:r w:rsidRPr="00883125">
        <w:t>Gitman et al (2011):</w:t>
      </w:r>
      <w:r w:rsidRPr="00883125">
        <w:rPr>
          <w:rStyle w:val="FootnoteReference"/>
        </w:rPr>
        <w:footnoteReference w:id="434"/>
      </w:r>
    </w:p>
    <w:p w:rsidR="00C52695" w:rsidRPr="00883125" w:rsidRDefault="00C52695" w:rsidP="00C52695">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52695" w:rsidRPr="00883125" w:rsidRDefault="00C52695" w:rsidP="00C52695">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435"/>
      </w:r>
    </w:p>
    <w:p w:rsidR="00C52695" w:rsidRPr="00883125" w:rsidRDefault="00C52695" w:rsidP="00C52695">
      <w:pPr>
        <w:pStyle w:val="AERquote"/>
      </w:pPr>
      <m:oMath>
        <m:r>
          <w:rPr>
            <w:rFonts w:ascii="Cambria Math" w:hAnsi="Cambria Math"/>
          </w:rPr>
          <m:t>γ</m:t>
        </m:r>
      </m:oMath>
      <w:r w:rsidRPr="00883125">
        <w:t xml:space="preserve"> = the market value of franking credits as a percentage of face value.</w:t>
      </w:r>
    </w:p>
    <w:p w:rsidR="00C52695" w:rsidRPr="00883125" w:rsidRDefault="00C52695" w:rsidP="00C52695">
      <w:r w:rsidRPr="00883125">
        <w:t>However, there is no dispute here. As Handley explained:</w:t>
      </w:r>
      <w:r w:rsidRPr="00883125">
        <w:rPr>
          <w:rStyle w:val="FootnoteReference"/>
        </w:rPr>
        <w:footnoteReference w:id="436"/>
      </w:r>
    </w:p>
    <w:p w:rsidR="00C52695" w:rsidRPr="00883125" w:rsidRDefault="00C52695" w:rsidP="00C52695">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52695" w:rsidRPr="00883125" w:rsidRDefault="00C52695" w:rsidP="00C52695">
      <w:r w:rsidRPr="00883125">
        <w:t>Moreover, there are other references to gamma in Partington's textbook that accord more closely with the characterisation in Officer's paper:</w:t>
      </w:r>
    </w:p>
    <w:p w:rsidR="00C52695" w:rsidRPr="00883125" w:rsidRDefault="00C52695" w:rsidP="00C52695">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437"/>
      </w:r>
    </w:p>
    <w:p w:rsidR="00C52695" w:rsidRPr="00883125" w:rsidRDefault="008B34DF" w:rsidP="00C52695">
      <w:pPr>
        <w:pStyle w:val="AERquote"/>
      </w:pPr>
      <w:r>
        <w:t>…</w:t>
      </w:r>
    </w:p>
    <w:p w:rsidR="00C52695" w:rsidRPr="00883125" w:rsidRDefault="00C52695" w:rsidP="00C52695">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438"/>
      </w:r>
    </w:p>
    <w:p w:rsidR="00C52695" w:rsidRPr="00883125" w:rsidRDefault="00C52695" w:rsidP="00C52695">
      <w:r w:rsidRPr="00883125">
        <w:t>Gray also quoted:</w:t>
      </w:r>
      <w:r w:rsidRPr="00883125">
        <w:rPr>
          <w:rStyle w:val="FootnoteReference"/>
        </w:rPr>
        <w:footnoteReference w:id="439"/>
      </w:r>
    </w:p>
    <w:p w:rsidR="00C52695" w:rsidRPr="00883125" w:rsidRDefault="00C52695" w:rsidP="00C52695">
      <w:pPr>
        <w:pStyle w:val="AERquote"/>
      </w:pPr>
      <w:r w:rsidRPr="00883125">
        <w:t>The results have been mixed, but they suggest that the market value of franking credits is positive, but significantly less than the credit’s face value.</w:t>
      </w:r>
    </w:p>
    <w:p w:rsidR="00C52695" w:rsidRPr="00883125" w:rsidRDefault="00C52695" w:rsidP="00C52695">
      <w:pPr>
        <w:pStyle w:val="AERquote"/>
      </w:pPr>
      <w:r w:rsidRPr="00883125">
        <w:t>…</w:t>
      </w:r>
    </w:p>
    <w:p w:rsidR="00C52695" w:rsidRPr="00883125" w:rsidRDefault="00C52695" w:rsidP="00C52695">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52695" w:rsidRPr="00883125" w:rsidRDefault="00C52695" w:rsidP="00C52695">
      <w:r w:rsidRPr="00883125">
        <w:t>Again, there is no dispute. The estimates of the utilisation rate on which we rely are all significantly less than one, and our estimate of gamma is significantly less than one.</w:t>
      </w:r>
    </w:p>
    <w:p w:rsidR="00C52695" w:rsidRPr="00883125" w:rsidRDefault="00C52695" w:rsidP="00C52695">
      <w:r w:rsidRPr="00883125">
        <w:t>Finally, Gray quoted an explanation, with which he agreed, as to why imputation may have had an immaterial effect on the corporate cost of equity capital:</w:t>
      </w:r>
      <w:r w:rsidRPr="00883125">
        <w:rPr>
          <w:rStyle w:val="FootnoteReference"/>
        </w:rPr>
        <w:footnoteReference w:id="440"/>
      </w:r>
    </w:p>
    <w:p w:rsidR="00C52695" w:rsidRPr="00883125" w:rsidRDefault="00C52695" w:rsidP="00C52695">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C52695" w:rsidRPr="00883125" w:rsidRDefault="00C52695" w:rsidP="00C52695">
      <w:r w:rsidRPr="00883125">
        <w:t>The implications of this quote for understanding or determining gamma are unclear to us. For instance:</w:t>
      </w:r>
    </w:p>
    <w:p w:rsidR="00C52695" w:rsidRPr="001D37D5" w:rsidRDefault="00C52695" w:rsidP="008B34DF">
      <w:pPr>
        <w:pStyle w:val="AERbulletlistfirststyle"/>
      </w:pPr>
      <w:r w:rsidRPr="00883125">
        <w:t xml:space="preserve">Gray appeared elsewhere to be of the view that </w:t>
      </w:r>
      <w:r w:rsidRPr="008B34DF">
        <w:t xml:space="preserve">imputation </w:t>
      </w:r>
      <w:r w:rsidRPr="008B34DF">
        <w:rPr>
          <w:rStyle w:val="AERtextitalic"/>
          <w:i w:val="0"/>
        </w:rPr>
        <w:t>is</w:t>
      </w:r>
      <w:r w:rsidRPr="008B34DF">
        <w:t xml:space="preserve"> having</w:t>
      </w:r>
      <w:r w:rsidRPr="001D37D5">
        <w:t xml:space="preserve">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41"/>
      </w:r>
    </w:p>
    <w:p w:rsidR="00C52695" w:rsidRPr="001D37D5" w:rsidRDefault="00C52695" w:rsidP="00C52695">
      <w:pPr>
        <w:pStyle w:val="AERbulletlistfirststyle"/>
      </w:pPr>
      <w:r w:rsidRPr="00883125">
        <w:t>The view in a recent paper co-authored by Partington did not appear to align with that in the quote:</w:t>
      </w:r>
      <w:r w:rsidRPr="001D37D5">
        <w:rPr>
          <w:rStyle w:val="FootnoteReference"/>
        </w:rPr>
        <w:footnoteReference w:id="442"/>
      </w:r>
    </w:p>
    <w:p w:rsidR="00C52695" w:rsidRPr="00883125" w:rsidRDefault="00C52695" w:rsidP="00C52695">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52695" w:rsidRPr="00CA67C0" w:rsidRDefault="00C52695" w:rsidP="007F6EED">
      <w:pPr>
        <w:pStyle w:val="HeadingBoldItalic"/>
      </w:pPr>
      <w:bookmarkStart w:id="246" w:name="_Toc456614308"/>
      <w:bookmarkStart w:id="247" w:name="_Toc481056685"/>
      <w:bookmarkStart w:id="248" w:name="_Toc481061479"/>
      <w:r w:rsidRPr="00883125">
        <w:t>Recent academic work</w:t>
      </w:r>
      <w:bookmarkEnd w:id="246"/>
      <w:bookmarkEnd w:id="247"/>
      <w:bookmarkEnd w:id="248"/>
    </w:p>
    <w:p w:rsidR="00C52695" w:rsidRPr="00CA67C0" w:rsidRDefault="00C52695" w:rsidP="00C52695">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43"/>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44"/>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45"/>
      </w:r>
    </w:p>
    <w:p w:rsidR="00C52695" w:rsidRPr="00883125" w:rsidRDefault="00C52695" w:rsidP="00C52695">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52695" w:rsidRPr="00883125" w:rsidRDefault="00C52695" w:rsidP="00C52695">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46"/>
      </w:r>
      <w:r w:rsidRPr="00883125">
        <w:t xml:space="preserve"> the paper makes clear this evidence needs to be treated with caution stating:</w:t>
      </w:r>
      <w:r w:rsidRPr="00883125">
        <w:rPr>
          <w:rStyle w:val="FootnoteReference"/>
        </w:rPr>
        <w:footnoteReference w:id="447"/>
      </w:r>
    </w:p>
    <w:p w:rsidR="00C52695" w:rsidRPr="00883125" w:rsidRDefault="00C52695" w:rsidP="00C52695">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8B34DF">
        <w:t>s.</w:t>
      </w:r>
      <w:r w:rsidRPr="00883125">
        <w:t xml:space="preserve"> The fact that the earnings yield results have the wrong sign suggests that caution needs to be applied in interpreting these findings (similar to Lajbcygier and Wheatley, 2012).</w:t>
      </w:r>
    </w:p>
    <w:p w:rsidR="00C52695" w:rsidRPr="00883125" w:rsidRDefault="00C52695" w:rsidP="00C52695">
      <w:r w:rsidRPr="00883125">
        <w:t>On the same page the paper also states in relation to some empirical evidence more generally:</w:t>
      </w:r>
      <w:r w:rsidRPr="00883125">
        <w:rPr>
          <w:rStyle w:val="FootnoteReference"/>
        </w:rPr>
        <w:footnoteReference w:id="448"/>
      </w:r>
    </w:p>
    <w:p w:rsidR="00C52695" w:rsidRDefault="00C52695" w:rsidP="00C52695">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EE2785" w:rsidRPr="004D25AD" w:rsidRDefault="00EE2785" w:rsidP="00E750F8">
      <w:r w:rsidRPr="006C032A">
        <w:t xml:space="preserve">Frontier considers </w:t>
      </w:r>
      <w:r w:rsidR="00763CE4" w:rsidRPr="002B7E95">
        <w:t xml:space="preserve">that the </w:t>
      </w:r>
      <w:r w:rsidR="00763CE4" w:rsidRPr="000169CB">
        <w:t>Ainsworth, Partington and Warren (2015) paper support their posit</w:t>
      </w:r>
      <w:r w:rsidR="008B34DF">
        <w:t>i</w:t>
      </w:r>
      <w:r w:rsidR="00763CE4" w:rsidRPr="000169CB">
        <w:t>on on gamma. However</w:t>
      </w:r>
      <w:r w:rsidR="0069134C">
        <w:t>,</w:t>
      </w:r>
      <w:r w:rsidR="00763CE4" w:rsidRPr="000169CB">
        <w:t xml:space="preserve"> Lally considers that Frontier has misrepresented the views of Ainsworth, Partington and Warren (2015)</w:t>
      </w:r>
      <w:r w:rsidR="009B225F">
        <w:t>.</w:t>
      </w:r>
      <w:r w:rsidR="00E6185B" w:rsidRPr="00E6185B">
        <w:rPr>
          <w:rStyle w:val="FootnoteReference"/>
        </w:rPr>
        <w:footnoteReference w:id="449"/>
      </w:r>
      <w:r w:rsidR="009B225F">
        <w:t xml:space="preserve"> Some key find</w:t>
      </w:r>
      <w:r w:rsidR="00356933">
        <w:t>ing</w:t>
      </w:r>
      <w:r w:rsidR="009B225F">
        <w:t>s of Lally in respect to the paper are as follows:</w:t>
      </w:r>
    </w:p>
    <w:p w:rsidR="00EE2785" w:rsidRPr="00EF2DC5" w:rsidRDefault="004E4D73" w:rsidP="00E750F8">
      <w:pPr>
        <w:pStyle w:val="AERbulletlistfirststyle"/>
      </w:pPr>
      <w:r w:rsidRPr="004D25AD">
        <w:t>Frontier</w:t>
      </w:r>
      <w:r w:rsidRPr="00E85280">
        <w:t xml:space="preserve"> cites Ainsworth et al </w:t>
      </w:r>
      <w:r w:rsidRPr="002915B0">
        <w:t>in support of the claim th</w:t>
      </w:r>
      <w:r w:rsidRPr="006C6181">
        <w:t>at imputation credits do not a</w:t>
      </w:r>
      <w:r w:rsidR="007D0028" w:rsidRPr="006C6181">
        <w:t>dd to the value of a business.</w:t>
      </w:r>
      <w:r w:rsidR="0043564A">
        <w:rPr>
          <w:rStyle w:val="FootnoteReference"/>
        </w:rPr>
        <w:footnoteReference w:id="450"/>
      </w:r>
      <w:r w:rsidR="007D0028" w:rsidRPr="006C6181">
        <w:t xml:space="preserve"> </w:t>
      </w:r>
      <w:r w:rsidR="007D0028" w:rsidRPr="00DC246F">
        <w:t>Lally considers t</w:t>
      </w:r>
      <w:r w:rsidRPr="00DC246F">
        <w:t>his claim is false</w:t>
      </w:r>
      <w:r w:rsidR="007D0028" w:rsidRPr="00022C1D">
        <w:t xml:space="preserve"> as </w:t>
      </w:r>
      <w:r w:rsidRPr="00022C1D">
        <w:t xml:space="preserve">Ainsworth et al </w:t>
      </w:r>
      <w:r w:rsidRPr="00D979B2">
        <w:t xml:space="preserve">summarise evidence on the value of credits and conclude that “imputation credits are priced </w:t>
      </w:r>
      <w:r w:rsidR="007D0028" w:rsidRPr="00D979B2">
        <w:t xml:space="preserve">at about $0.38 in the dollar”. </w:t>
      </w:r>
      <w:r w:rsidRPr="00D979B2">
        <w:t>Ainsworth et al</w:t>
      </w:r>
      <w:r w:rsidR="007D0028" w:rsidRPr="00447949">
        <w:t xml:space="preserve"> </w:t>
      </w:r>
      <w:r w:rsidRPr="00447949">
        <w:t xml:space="preserve">also note that some types of studies point to no valuation impact but they are sceptical of such </w:t>
      </w:r>
      <w:r w:rsidR="007D0028" w:rsidRPr="00447949">
        <w:t>studies.</w:t>
      </w:r>
      <w:r w:rsidR="007D0028" w:rsidRPr="00EF2DC5">
        <w:rPr>
          <w:rStyle w:val="FootnoteReference"/>
        </w:rPr>
        <w:footnoteReference w:id="451"/>
      </w:r>
    </w:p>
    <w:p w:rsidR="00D719B9" w:rsidRPr="000C17A3" w:rsidRDefault="00D719B9" w:rsidP="00E750F8">
      <w:pPr>
        <w:pStyle w:val="AERbulletlistfirststyle"/>
      </w:pPr>
      <w:r w:rsidRPr="00E750F8">
        <w:t>Frontier cite</w:t>
      </w:r>
      <w:r w:rsidR="007D0028" w:rsidRPr="000C17A3">
        <w:t>s</w:t>
      </w:r>
      <w:r w:rsidRPr="00E750F8">
        <w:t xml:space="preserve"> Ainsworth et al in respect </w:t>
      </w:r>
      <w:r w:rsidR="0069134C">
        <w:t>to</w:t>
      </w:r>
      <w:r w:rsidRPr="00E750F8">
        <w:t xml:space="preserve"> the claim that Australian companies in general do not explicitly take account of imputation credits in their ass</w:t>
      </w:r>
      <w:r w:rsidR="007D0028" w:rsidRPr="00E750F8">
        <w:t>essment of investment projects.</w:t>
      </w:r>
      <w:r w:rsidR="0043564A" w:rsidRPr="0043564A">
        <w:rPr>
          <w:rStyle w:val="FootnoteReference"/>
        </w:rPr>
        <w:t xml:space="preserve"> </w:t>
      </w:r>
      <w:r w:rsidR="0043564A" w:rsidRPr="0043564A">
        <w:rPr>
          <w:rStyle w:val="FootnoteReference"/>
        </w:rPr>
        <w:footnoteReference w:id="452"/>
      </w:r>
      <w:r w:rsidRPr="00E750F8">
        <w:t xml:space="preserve"> However,</w:t>
      </w:r>
      <w:r w:rsidR="007D0028" w:rsidRPr="000C17A3">
        <w:t xml:space="preserve"> Lally considers that</w:t>
      </w:r>
      <w:r w:rsidRPr="00E750F8">
        <w:t xml:space="preserve"> Frontier fails to note that Ainsworth et al argues that there are potentially offsetting errors from not explicitly accounting for credits and that this mitigates the consequences of not explicitly accounting for them.</w:t>
      </w:r>
      <w:r w:rsidR="00BD2C2C" w:rsidRPr="000C17A3">
        <w:rPr>
          <w:rStyle w:val="FootnoteReference"/>
        </w:rPr>
        <w:footnoteReference w:id="453"/>
      </w:r>
    </w:p>
    <w:p w:rsidR="004D45D1" w:rsidRDefault="00D719B9" w:rsidP="00E750F8">
      <w:pPr>
        <w:pStyle w:val="AERbulletlistfirststyle"/>
      </w:pPr>
      <w:r w:rsidRPr="00E750F8">
        <w:t>Frontier cite</w:t>
      </w:r>
      <w:r w:rsidR="007D0028" w:rsidRPr="000C17A3">
        <w:t>s</w:t>
      </w:r>
      <w:r w:rsidRPr="00E750F8">
        <w:t xml:space="preserve"> Ainsworth et al in support of the claim that the AER’s a</w:t>
      </w:r>
      <w:r w:rsidR="0069134C" w:rsidRPr="0069134C">
        <w:t>pproach to estimating the utili</w:t>
      </w:r>
      <w:r w:rsidR="0069134C">
        <w:t>s</w:t>
      </w:r>
      <w:r w:rsidRPr="00E750F8">
        <w:t>ation rate is “inconsistent with standard economic concepts of equilibrium”.</w:t>
      </w:r>
      <w:r w:rsidR="0043564A" w:rsidRPr="0043564A">
        <w:rPr>
          <w:rStyle w:val="FootnoteReference"/>
        </w:rPr>
        <w:t xml:space="preserve"> </w:t>
      </w:r>
      <w:r w:rsidR="0043564A" w:rsidRPr="0043564A">
        <w:rPr>
          <w:rStyle w:val="FootnoteReference"/>
        </w:rPr>
        <w:footnoteReference w:id="454"/>
      </w:r>
      <w:r w:rsidR="002B7973" w:rsidRPr="000C17A3">
        <w:t xml:space="preserve"> Lally considers the</w:t>
      </w:r>
      <w:r w:rsidR="004D45D1">
        <w:t xml:space="preserve"> concerns raised </w:t>
      </w:r>
      <w:r w:rsidR="002B7973" w:rsidRPr="000C17A3">
        <w:t>by Ainsworth et al about the aggregation approach are in</w:t>
      </w:r>
      <w:r w:rsidR="004D45D1">
        <w:t>valid</w:t>
      </w:r>
      <w:r w:rsidR="002B7973" w:rsidRPr="000C17A3">
        <w:t>, and therefore do not support Frontier’s claim that the aggregation approach is “inconsistent with standard economic concepts of equilibrium”</w:t>
      </w:r>
      <w:r w:rsidR="002B7973" w:rsidRPr="00245EB8">
        <w:t>.</w:t>
      </w:r>
      <w:r w:rsidR="005C46D8" w:rsidRPr="005C46D8">
        <w:rPr>
          <w:rStyle w:val="FootnoteReference"/>
        </w:rPr>
        <w:footnoteReference w:id="455"/>
      </w:r>
      <w:r w:rsidR="002B7973" w:rsidRPr="00245EB8">
        <w:t xml:space="preserve"> </w:t>
      </w:r>
      <w:r w:rsidR="004D45D1">
        <w:t>Irrespective, we do not consider the Ainsworth paper clearly expresses a view</w:t>
      </w:r>
      <w:r w:rsidR="00356933">
        <w:t xml:space="preserve"> that</w:t>
      </w:r>
      <w:r w:rsidR="004D45D1">
        <w:t xml:space="preserve"> the aggregation method is not correct, rather it expresses the view that the aggregation method may correctly capture equilibrium even if it does not describe how </w:t>
      </w:r>
      <w:r w:rsidR="00581D1C">
        <w:t>equilibrium</w:t>
      </w:r>
      <w:r w:rsidR="004D45D1">
        <w:t xml:space="preserve"> is reached.</w:t>
      </w:r>
      <w:r w:rsidR="004D45D1">
        <w:rPr>
          <w:rStyle w:val="FootnoteReference"/>
        </w:rPr>
        <w:footnoteReference w:id="456"/>
      </w:r>
    </w:p>
    <w:p w:rsidR="00EC4C53" w:rsidRDefault="002B7973" w:rsidP="00E750F8">
      <w:pPr>
        <w:pStyle w:val="AERbulletlistfirststyle"/>
      </w:pPr>
      <w:r w:rsidRPr="00E750F8">
        <w:t>Frontier adds the claim that the “AER’s aggregation approach simply counts up the number of credits that are distributed to domestic investors and assumes that those investors value all credits at the full face amount and that this is reflected in the equilibrium sha</w:t>
      </w:r>
      <w:r w:rsidR="007D0028" w:rsidRPr="00E750F8">
        <w:t>re price and cost of capital”.</w:t>
      </w:r>
      <w:r w:rsidR="0043564A" w:rsidRPr="0043564A">
        <w:rPr>
          <w:rStyle w:val="FootnoteReference"/>
        </w:rPr>
        <w:t xml:space="preserve"> </w:t>
      </w:r>
      <w:r w:rsidR="0043564A" w:rsidRPr="0043564A">
        <w:rPr>
          <w:rStyle w:val="FootnoteReference"/>
        </w:rPr>
        <w:footnoteReference w:id="457"/>
      </w:r>
      <w:r w:rsidR="007D0028" w:rsidRPr="00E750F8">
        <w:t xml:space="preserve"> </w:t>
      </w:r>
      <w:r w:rsidR="000C17A3" w:rsidRPr="000C17A3">
        <w:t>However, Lally notes that t</w:t>
      </w:r>
      <w:r w:rsidRPr="00E750F8">
        <w:t>he AER adopts the Officer (1994) CAPM, as</w:t>
      </w:r>
      <w:r w:rsidR="007D0028" w:rsidRPr="00E750F8">
        <w:t xml:space="preserve"> do all Australian regulators. </w:t>
      </w:r>
      <w:r w:rsidRPr="00E750F8">
        <w:t xml:space="preserve">Having made that choice, </w:t>
      </w:r>
      <w:r w:rsidR="002D0F57">
        <w:t xml:space="preserve">Lally considers </w:t>
      </w:r>
      <w:r w:rsidRPr="00E750F8">
        <w:t>the AER must adopt definitions for parameters within that model in accordance with a rigorous derivation of the</w:t>
      </w:r>
      <w:r w:rsidR="000C17A3" w:rsidRPr="000C17A3">
        <w:t xml:space="preserve"> model. This leads to the utili</w:t>
      </w:r>
      <w:r w:rsidR="000C17A3">
        <w:t>s</w:t>
      </w:r>
      <w:r w:rsidRPr="00E750F8">
        <w:t>ation rate being defined as the weighte</w:t>
      </w:r>
      <w:r w:rsidR="000C17A3" w:rsidRPr="000C17A3">
        <w:t>d average over investors’ utili</w:t>
      </w:r>
      <w:r w:rsidR="000C17A3">
        <w:t>s</w:t>
      </w:r>
      <w:r w:rsidRPr="00E750F8">
        <w:t>ation rates for imputation credits.</w:t>
      </w:r>
      <w:r w:rsidR="00C13700" w:rsidRPr="00E750F8">
        <w:t xml:space="preserve"> </w:t>
      </w:r>
      <w:r w:rsidRPr="00E750F8">
        <w:t xml:space="preserve">Consistent with Australian tax law, </w:t>
      </w:r>
      <w:r w:rsidR="000C17A3" w:rsidRPr="000C17A3">
        <w:t>the AER (sensibly) adopts utili</w:t>
      </w:r>
      <w:r w:rsidR="000C17A3">
        <w:t>s</w:t>
      </w:r>
      <w:r w:rsidRPr="00E750F8">
        <w:t>ation rates of 1 and 0 for local and foreign investors respectively.</w:t>
      </w:r>
      <w:r w:rsidR="00BD2C2C" w:rsidRPr="000C17A3">
        <w:rPr>
          <w:rStyle w:val="FootnoteReference"/>
        </w:rPr>
        <w:footnoteReference w:id="458"/>
      </w:r>
    </w:p>
    <w:p w:rsidR="00C845C2" w:rsidRDefault="00C845C2" w:rsidP="00D414CC">
      <w:pPr>
        <w:pStyle w:val="AERbulletlistfirststyle"/>
        <w:numPr>
          <w:ilvl w:val="0"/>
          <w:numId w:val="0"/>
        </w:numPr>
        <w:ind w:left="357"/>
      </w:pPr>
    </w:p>
    <w:p w:rsidR="00C52695" w:rsidRPr="00883125" w:rsidRDefault="00C52695" w:rsidP="00C52695">
      <w:pPr>
        <w:pStyle w:val="Heading9"/>
      </w:pPr>
      <w:bookmarkStart w:id="249" w:name="_Toc456614309"/>
      <w:bookmarkStart w:id="250" w:name="_Toc462823323"/>
      <w:bookmarkStart w:id="251" w:name="_Toc487014330"/>
      <w:r w:rsidRPr="00883125">
        <w:t>Gray's comments on the Monkhouse framework</w:t>
      </w:r>
      <w:bookmarkEnd w:id="249"/>
      <w:bookmarkEnd w:id="250"/>
      <w:bookmarkEnd w:id="251"/>
    </w:p>
    <w:p w:rsidR="00C52695" w:rsidRPr="00883125" w:rsidRDefault="00C52695" w:rsidP="00C5269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BF66D3">
        <w:t>A.6</w:t>
      </w:r>
      <w:r w:rsidRPr="00883125">
        <w:fldChar w:fldCharType="end"/>
      </w:r>
      <w:r w:rsidRPr="00883125">
        <w:t>, we consider that:</w:t>
      </w:r>
    </w:p>
    <w:p w:rsidR="00C52695" w:rsidRPr="00883125" w:rsidRDefault="00C52695" w:rsidP="00C52695">
      <w:pPr>
        <w:pStyle w:val="AERbulletlistfirststyle"/>
      </w:pPr>
      <w:r w:rsidRPr="00883125">
        <w:t>The Officer framework provides the basis for the value of imputation credits adjustment in the NER/NGR.</w:t>
      </w:r>
    </w:p>
    <w:p w:rsidR="00C52695" w:rsidRPr="00883125" w:rsidRDefault="00C52695" w:rsidP="00C52695">
      <w:pPr>
        <w:pStyle w:val="AERbulletlistfirststyle"/>
      </w:pPr>
      <w:r w:rsidRPr="00883125">
        <w:t>Monkhouse extends the Officer framework to a non-perpetuity setting, and shows that—assuming retained credits have no value—gamma from the Officer framework effectively equals the product of:</w:t>
      </w:r>
    </w:p>
    <w:p w:rsidR="00C52695" w:rsidRPr="00883125" w:rsidRDefault="00C52695" w:rsidP="00C52695">
      <w:pPr>
        <w:pStyle w:val="AERbulletlistsecondstyle"/>
      </w:pPr>
      <w:r w:rsidRPr="00883125">
        <w:t>the distribution rate, and</w:t>
      </w:r>
    </w:p>
    <w:p w:rsidR="00C52695" w:rsidRPr="00883125" w:rsidRDefault="00C52695" w:rsidP="00C52695">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52695" w:rsidRPr="00883125" w:rsidRDefault="00C52695" w:rsidP="00C52695">
      <w:r w:rsidRPr="00883125">
        <w:t>In his May 2014 and February 2015 reports, Gray (for SFG) provided a discussion of the class of CAPM employed by Monkhouse (and related literature).</w:t>
      </w:r>
      <w:r w:rsidRPr="00883125">
        <w:rPr>
          <w:rStyle w:val="FootnoteReference"/>
        </w:rPr>
        <w:footnoteReference w:id="459"/>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8B34DF">
        <w:t>.</w:t>
      </w:r>
      <w:r w:rsidRPr="00883125">
        <w:rPr>
          <w:rStyle w:val="FootnoteReference"/>
        </w:rPr>
        <w:footnoteReference w:id="460"/>
      </w:r>
      <w:r w:rsidR="002E6000">
        <w:t>Gray's December 2016 report continues to express the same view.</w:t>
      </w:r>
      <w:r w:rsidR="002E6000">
        <w:rPr>
          <w:rStyle w:val="FootnoteReference"/>
        </w:rPr>
        <w:footnoteReference w:id="461"/>
      </w:r>
    </w:p>
    <w:p w:rsidR="00C52695" w:rsidRPr="00883125" w:rsidRDefault="00C52695" w:rsidP="00C52695">
      <w:r w:rsidRPr="00883125">
        <w:t xml:space="preserve">Handley responded to Gray's view in his September 2014 and April 2015 reports and his response is equally applicable to the June 2015 </w:t>
      </w:r>
      <w:r w:rsidR="002E6000">
        <w:t xml:space="preserve">and December 2016 </w:t>
      </w:r>
      <w:r w:rsidRPr="00883125">
        <w:t>report</w:t>
      </w:r>
      <w:r w:rsidR="002E6000">
        <w:t>s</w:t>
      </w:r>
      <w:r w:rsidRPr="00883125">
        <w:t xml:space="preserve"> by Gray (for Frontier). He disagrees with Gray's view, and considers reasonable our use of:</w:t>
      </w:r>
      <w:r w:rsidRPr="00883125">
        <w:rPr>
          <w:rStyle w:val="FootnoteReference"/>
        </w:rPr>
        <w:footnoteReference w:id="462"/>
      </w:r>
    </w:p>
    <w:p w:rsidR="00C52695" w:rsidRPr="00883125" w:rsidRDefault="00C52695" w:rsidP="00C52695">
      <w:pPr>
        <w:pStyle w:val="AERbulletlistfirststyle"/>
      </w:pPr>
      <w:r w:rsidRPr="00883125">
        <w:t>the definition of theta from the Monkhouse framework, and</w:t>
      </w:r>
    </w:p>
    <w:p w:rsidR="00C52695" w:rsidRPr="00883125" w:rsidRDefault="00C52695" w:rsidP="00C52695">
      <w:pPr>
        <w:pStyle w:val="AERbulletlistfirststyle"/>
      </w:pPr>
      <w:r w:rsidRPr="00883125">
        <w:t>the equity ownership approach to estimate theta.</w:t>
      </w:r>
    </w:p>
    <w:p w:rsidR="00C52695" w:rsidRPr="00883125" w:rsidRDefault="00C52695" w:rsidP="00C52695">
      <w:r w:rsidRPr="00883125">
        <w:t>In the remainder of this section we identify what we consider to be the key points of this debate, and their implications for our estimation of the value of imputation credits.</w:t>
      </w:r>
    </w:p>
    <w:p w:rsidR="00C52695" w:rsidRPr="00883125" w:rsidRDefault="00C52695" w:rsidP="00C52695">
      <w:r w:rsidRPr="00883125">
        <w:t>Gray's key point appears to be that:</w:t>
      </w:r>
      <w:r w:rsidRPr="00883125">
        <w:rPr>
          <w:rStyle w:val="FootnoteReference"/>
        </w:rPr>
        <w:footnoteReference w:id="463"/>
      </w:r>
    </w:p>
    <w:p w:rsidR="00C52695" w:rsidRPr="00883125" w:rsidRDefault="00C52695" w:rsidP="00C52695">
      <w:pPr>
        <w:pStyle w:val="AERquote"/>
      </w:pPr>
      <w:r w:rsidRPr="00883125">
        <w:t>[The relevant class of CAPM models] derive an equilibrium by solving a market clearing condition. This involves noting that:</w:t>
      </w:r>
    </w:p>
    <w:p w:rsidR="00C52695" w:rsidRPr="00883125" w:rsidRDefault="00C52695" w:rsidP="00C52695">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52695" w:rsidRPr="00883125" w:rsidRDefault="00C52695" w:rsidP="00C52695">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52695" w:rsidRPr="00883125" w:rsidRDefault="00C52695" w:rsidP="00C52695">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64"/>
      </w:r>
    </w:p>
    <w:p w:rsidR="00C52695" w:rsidRPr="00883125" w:rsidRDefault="00C52695" w:rsidP="00C52695">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52695" w:rsidRPr="00883125" w:rsidRDefault="00C52695" w:rsidP="00C52695">
      <w:pPr>
        <w:pStyle w:val="AERquote"/>
      </w:pPr>
      <w:r w:rsidRPr="00883125">
        <w:t>But the CAPM makes no such assumption – it is SFG who does.</w:t>
      </w:r>
    </w:p>
    <w:p w:rsidR="00C52695" w:rsidRPr="00883125" w:rsidRDefault="00C52695" w:rsidP="00C52695">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52695" w:rsidRPr="00883125" w:rsidRDefault="00C52695" w:rsidP="00C52695">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52695" w:rsidRPr="00883125" w:rsidRDefault="00C52695" w:rsidP="00C52695">
      <w:r w:rsidRPr="00883125">
        <w:t>Therefore, it would seem that the criticisms of our use of the definition of theta from the Monkhouse framework, and our responses to those criticisms, might be summarised as follows:</w:t>
      </w:r>
    </w:p>
    <w:p w:rsidR="00C52695" w:rsidRPr="00883125" w:rsidRDefault="00C52695" w:rsidP="00C52695">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C52695" w:rsidRPr="001D37D5" w:rsidRDefault="00C52695" w:rsidP="00C52695">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65"/>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66"/>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67"/>
      </w:r>
    </w:p>
    <w:p w:rsidR="00C52695" w:rsidRPr="00883125" w:rsidRDefault="00C52695" w:rsidP="00C52695">
      <w:r w:rsidRPr="00883125">
        <w:t xml:space="preserve">In conclusion, we are not convinced that we should disregard the definition of theta from the Monkhouse framework when estimating the value of imputation credits. </w:t>
      </w:r>
    </w:p>
    <w:p w:rsidR="00C52695" w:rsidRPr="00883125" w:rsidRDefault="00C52695" w:rsidP="00B93D90">
      <w:pPr>
        <w:pStyle w:val="Heading8"/>
        <w:keepNext/>
      </w:pPr>
      <w:bookmarkStart w:id="252" w:name="_Ref414623120"/>
      <w:bookmarkStart w:id="253" w:name="_Toc436049449"/>
      <w:bookmarkStart w:id="254" w:name="_Toc451842254"/>
      <w:bookmarkStart w:id="255" w:name="_Toc451938309"/>
      <w:bookmarkStart w:id="256" w:name="_Toc456614310"/>
      <w:bookmarkStart w:id="257" w:name="_Toc462823324"/>
      <w:bookmarkStart w:id="258" w:name="_Toc487014331"/>
      <w:r w:rsidRPr="00883125">
        <w:t>Further issues relating to the utilisation rate</w:t>
      </w:r>
      <w:bookmarkEnd w:id="252"/>
      <w:bookmarkEnd w:id="253"/>
      <w:bookmarkEnd w:id="254"/>
      <w:bookmarkEnd w:id="255"/>
      <w:bookmarkEnd w:id="256"/>
      <w:bookmarkEnd w:id="257"/>
      <w:bookmarkEnd w:id="258"/>
    </w:p>
    <w:p w:rsidR="00C52695" w:rsidRPr="00883125" w:rsidRDefault="00C52695" w:rsidP="00B93D90">
      <w:pPr>
        <w:keepNext/>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BF66D3">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BF66D3">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52695" w:rsidRDefault="00C52695" w:rsidP="00C52695">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468"/>
      </w:r>
    </w:p>
    <w:p w:rsidR="00C52695" w:rsidRPr="00883125" w:rsidRDefault="00C52695" w:rsidP="00C52695">
      <w:pPr>
        <w:numPr>
          <w:ilvl w:val="0"/>
          <w:numId w:val="24"/>
        </w:numPr>
      </w:pPr>
      <w:r w:rsidRPr="00883125">
        <w:t>In this section we provide further support for our position on the utilisation rate. In particular, we:</w:t>
      </w:r>
    </w:p>
    <w:p w:rsidR="00C52695" w:rsidRPr="00883125" w:rsidRDefault="00C52695" w:rsidP="00C52695">
      <w:pPr>
        <w:pStyle w:val="AERbulletlistfirststyle"/>
      </w:pPr>
      <w:r w:rsidRPr="00883125">
        <w:t xml:space="preserve">explain how our position is consistent with the basis of the building block framework </w:t>
      </w:r>
    </w:p>
    <w:p w:rsidR="00C52695" w:rsidRPr="00883125" w:rsidRDefault="00C52695" w:rsidP="00C52695">
      <w:pPr>
        <w:pStyle w:val="AERbulletlistfirststyle"/>
      </w:pPr>
      <w:r w:rsidRPr="00883125">
        <w:t>contrast our position with that of the service providers, including with reference to factors they considered should be reflected in the utilisation rate, and</w:t>
      </w:r>
    </w:p>
    <w:p w:rsidR="00C52695" w:rsidRPr="00883125" w:rsidRDefault="00C52695" w:rsidP="00C52695">
      <w:pPr>
        <w:pStyle w:val="AERbulletlistfirststyle"/>
      </w:pPr>
      <w:r w:rsidRPr="00883125">
        <w:t>respond to NERA's view.</w:t>
      </w:r>
    </w:p>
    <w:p w:rsidR="00C52695" w:rsidRPr="00883125" w:rsidRDefault="00C52695" w:rsidP="00C52695">
      <w:pPr>
        <w:pStyle w:val="Heading9"/>
      </w:pPr>
      <w:bookmarkStart w:id="259" w:name="_Ref401748758"/>
      <w:bookmarkStart w:id="260" w:name="_Toc456614311"/>
      <w:bookmarkStart w:id="261" w:name="_Toc462823325"/>
      <w:bookmarkStart w:id="262" w:name="_Toc487014332"/>
      <w:r w:rsidRPr="00883125">
        <w:t>Consistency with the building block framework</w:t>
      </w:r>
      <w:bookmarkEnd w:id="259"/>
      <w:bookmarkEnd w:id="260"/>
      <w:bookmarkEnd w:id="261"/>
      <w:bookmarkEnd w:id="262"/>
    </w:p>
    <w:p w:rsidR="00C52695" w:rsidRPr="00883125" w:rsidRDefault="00C52695" w:rsidP="00C52695">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52695" w:rsidRPr="00883125" w:rsidRDefault="00C52695" w:rsidP="00C52695">
      <w:pPr>
        <w:numPr>
          <w:ilvl w:val="0"/>
          <w:numId w:val="24"/>
        </w:numPr>
      </w:pPr>
      <w:r w:rsidRPr="00883125">
        <w:t>This consideration is supported by Handley's advice on the basis of the regulatory (building block) framework:</w:t>
      </w:r>
      <w:r w:rsidRPr="00883125">
        <w:rPr>
          <w:rStyle w:val="FootnoteReference"/>
        </w:rPr>
        <w:footnoteReference w:id="469"/>
      </w:r>
      <w:r w:rsidRPr="00883125">
        <w:t xml:space="preserve"> </w:t>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numPr>
          <w:ilvl w:val="0"/>
          <w:numId w:val="24"/>
        </w:numPr>
      </w:pPr>
      <w:r w:rsidRPr="00883125">
        <w:t>Handley also referred specifically to the basis on which the utilisation rate should be estimated:</w:t>
      </w:r>
      <w:r w:rsidRPr="00883125">
        <w:rPr>
          <w:rStyle w:val="FootnoteReference"/>
        </w:rPr>
        <w:footnoteReference w:id="470"/>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52695" w:rsidRPr="00883125" w:rsidRDefault="00C52695" w:rsidP="00C52695">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71"/>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72"/>
      </w:r>
      <w:r w:rsidRPr="00883125">
        <w:t xml:space="preserve"> </w:t>
      </w:r>
      <w:r>
        <w:t>Further</w:t>
      </w:r>
      <w:r w:rsidRPr="00883125">
        <w:t>, a number of service providers submitted:</w:t>
      </w:r>
      <w:r w:rsidRPr="00883125">
        <w:rPr>
          <w:rStyle w:val="FootnoteReference"/>
        </w:rPr>
        <w:footnoteReference w:id="473"/>
      </w:r>
    </w:p>
    <w:p w:rsidR="00C52695" w:rsidRPr="00883125" w:rsidRDefault="00C52695" w:rsidP="00C52695">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C52695" w:rsidRDefault="00C52695" w:rsidP="00C52695">
      <w:r>
        <w:t>Frontier submits that the value of distributed imputation credits can only be estimated using a market based approach such as dividend drop-off studies and simultaneous pricing analysis.</w:t>
      </w:r>
      <w:r>
        <w:rPr>
          <w:rStyle w:val="FootnoteReference"/>
        </w:rPr>
        <w:footnoteReference w:id="474"/>
      </w:r>
      <w:r>
        <w:t xml:space="preserve"> Frontier considers that such an approach is consistent with the regulatory framework.</w:t>
      </w:r>
      <w:r>
        <w:rPr>
          <w:rStyle w:val="FootnoteReference"/>
        </w:rPr>
        <w:footnoteReference w:id="475"/>
      </w:r>
    </w:p>
    <w:p w:rsidR="00C52695" w:rsidRPr="00883125" w:rsidRDefault="00C52695" w:rsidP="00C52695">
      <w:r w:rsidRPr="00883125">
        <w:t xml:space="preserve">We disagree. We consider our approach is consistent with the NER/NGR. We have previously noted in the Guideline and in our prior decisions, and maintain in this </w:t>
      </w:r>
      <w:r w:rsidR="003C1824">
        <w:t xml:space="preserve">draft </w:t>
      </w:r>
      <w:r w:rsidRPr="00883125">
        <w:t>decision, that the Officer framework provides the basis for the rate of return framework in the NER/NGR.</w:t>
      </w:r>
      <w:r w:rsidRPr="00883125">
        <w:rPr>
          <w:rStyle w:val="FootnoteReference"/>
        </w:rPr>
        <w:footnoteReference w:id="476"/>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BF66D3">
        <w:t>A.7.3</w:t>
      </w:r>
      <w:r w:rsidRPr="00883125">
        <w:fldChar w:fldCharType="end"/>
      </w:r>
      <w:r w:rsidRPr="00883125">
        <w:t>, Gray's interpretation is unconvincing to us.</w:t>
      </w:r>
      <w:r w:rsidR="00F730F4">
        <w:t xml:space="preserve"> The relevance of personal cost i</w:t>
      </w:r>
      <w:r w:rsidR="003C5E38">
        <w:t>s</w:t>
      </w:r>
      <w:r w:rsidR="00F730F4">
        <w:t xml:space="preserve"> further discussed in section </w:t>
      </w:r>
      <w:r w:rsidR="00F730F4">
        <w:fldChar w:fldCharType="begin"/>
      </w:r>
      <w:r w:rsidR="00F730F4">
        <w:instrText xml:space="preserve"> REF _Ref475361170 \r \h </w:instrText>
      </w:r>
      <w:r w:rsidR="00F730F4">
        <w:fldChar w:fldCharType="separate"/>
      </w:r>
      <w:r w:rsidR="00BF66D3">
        <w:t>A.8.4</w:t>
      </w:r>
      <w:r w:rsidR="00F730F4">
        <w:fldChar w:fldCharType="end"/>
      </w:r>
      <w:r w:rsidR="005F6361">
        <w:t xml:space="preserve"> below.</w:t>
      </w:r>
    </w:p>
    <w:p w:rsidR="00C52695" w:rsidRPr="00883125" w:rsidRDefault="00C52695" w:rsidP="00C52695">
      <w:r w:rsidRPr="00883125">
        <w:t xml:space="preserve">Put another way, our approach to estimating the value of imputation credits recognises that this parameter does not exist in isolation. That is, the NER/NGR </w:t>
      </w:r>
      <w:r w:rsidR="00F730F4" w:rsidRPr="00883125">
        <w:t>employs</w:t>
      </w:r>
      <w:r w:rsidRPr="00883125">
        <w:t xml:space="preserve">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52695" w:rsidRPr="00883125" w:rsidRDefault="00C52695" w:rsidP="001453E4">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77"/>
      </w:r>
    </w:p>
    <w:p w:rsidR="00C52695" w:rsidRPr="00C52695" w:rsidRDefault="00C52695" w:rsidP="00C52695">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52695" w:rsidRPr="005764F6" w:rsidRDefault="00C52695" w:rsidP="00C52695">
      <w:pPr>
        <w:pStyle w:val="AERquote"/>
      </w:pPr>
      <w:r w:rsidRPr="005764F6">
        <w:t>This is why it is very important to be absolutely precise about how the key inputs of a WACC analysis – cash flow and discount rate – are defined and to ensure that they are defined on the same basis.</w:t>
      </w:r>
    </w:p>
    <w:p w:rsidR="00C52695" w:rsidRPr="005764F6" w:rsidRDefault="00C52695" w:rsidP="00C52695">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52695" w:rsidRPr="00883125" w:rsidRDefault="002E6000" w:rsidP="00C52695">
      <w:pPr>
        <w:rPr>
          <w:rStyle w:val="AERbody"/>
        </w:rPr>
      </w:pPr>
      <w:r>
        <w:rPr>
          <w:rStyle w:val="AERbody"/>
        </w:rPr>
        <w:t>G</w:t>
      </w:r>
      <w:r w:rsidR="00C52695" w:rsidRPr="00883125">
        <w:rPr>
          <w:rStyle w:val="AERbody"/>
        </w:rPr>
        <w:t>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00C52695" w:rsidRPr="00883125">
        <w:rPr>
          <w:rStyle w:val="FootnoteReference"/>
        </w:rPr>
        <w:footnoteReference w:id="478"/>
      </w:r>
    </w:p>
    <w:p w:rsidR="00C52695" w:rsidRPr="00C52695" w:rsidRDefault="00C52695" w:rsidP="00C52695">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52695" w:rsidRPr="00883125" w:rsidRDefault="00C52695" w:rsidP="00C52695">
      <w:pPr>
        <w:rPr>
          <w:rStyle w:val="AERbody"/>
        </w:rPr>
      </w:pPr>
      <w:r w:rsidRPr="00883125">
        <w:rPr>
          <w:rStyle w:val="AERbody"/>
        </w:rPr>
        <w:t>Handley also states:</w:t>
      </w:r>
      <w:r w:rsidRPr="00883125">
        <w:rPr>
          <w:rStyle w:val="FootnoteReference"/>
        </w:rPr>
        <w:footnoteReference w:id="479"/>
      </w:r>
    </w:p>
    <w:p w:rsidR="00C52695" w:rsidRDefault="00C52695" w:rsidP="00C52695">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D35DB1" w:rsidRDefault="002E6000" w:rsidP="00D35DB1">
      <w:pPr>
        <w:numPr>
          <w:ilvl w:val="0"/>
          <w:numId w:val="24"/>
        </w:numPr>
      </w:pPr>
      <w:r>
        <w:t xml:space="preserve">Finally, we note that </w:t>
      </w:r>
      <w:r w:rsidRPr="002E6000">
        <w:t xml:space="preserve">the Full Federal Court in its May 2017 decision </w:t>
      </w:r>
      <w:r w:rsidR="00D35DB1">
        <w:t xml:space="preserve">found that </w:t>
      </w:r>
      <w:r w:rsidR="00D35DB1" w:rsidRPr="00D35DB1">
        <w:t>that the expression "the value of imputation credits" is to be construed as a whole rather than limiting attention to the word "value"</w:t>
      </w:r>
      <w:r w:rsidR="00D35DB1" w:rsidRPr="00D35DB1">
        <w:rPr>
          <w:rStyle w:val="FootnoteReference"/>
        </w:rPr>
        <w:footnoteReference w:id="480"/>
      </w:r>
      <w:r w:rsidR="00D35DB1">
        <w:t xml:space="preserve"> and stated:</w:t>
      </w:r>
      <w:r w:rsidR="00D35DB1">
        <w:rPr>
          <w:rStyle w:val="FootnoteReference"/>
        </w:rPr>
        <w:footnoteReference w:id="481"/>
      </w:r>
    </w:p>
    <w:p w:rsidR="002E6000" w:rsidRPr="002E6000" w:rsidRDefault="00D35DB1" w:rsidP="00D35DB1">
      <w:pPr>
        <w:pStyle w:val="AERquote"/>
      </w:pPr>
      <w:r>
        <w:t xml:space="preserve">We accept the AER's submission that the context is the determination of a regulated return usign a post-tax revenue model based on a nominal vanilla WACC. We accept the aER's submission that the Rules require consistency in the way the relevant building blocks interact, that is, a post-company tax and pre-personal tax and personal costs basis. We also nto that the nature of gamma is an estiamte to be used in a model. </w:t>
      </w:r>
      <w:r w:rsidRPr="00D35DB1">
        <w:t xml:space="preserve"> </w:t>
      </w:r>
    </w:p>
    <w:p w:rsidR="00C52695" w:rsidRPr="00883125" w:rsidRDefault="00C52695" w:rsidP="00C52695">
      <w:pPr>
        <w:pStyle w:val="Heading9"/>
      </w:pPr>
      <w:bookmarkStart w:id="263" w:name="_Ref450298425"/>
      <w:bookmarkStart w:id="264" w:name="_Ref450300692"/>
      <w:bookmarkStart w:id="265" w:name="_Ref450840388"/>
      <w:bookmarkStart w:id="266" w:name="_Toc456614312"/>
      <w:bookmarkStart w:id="267" w:name="_Toc462823326"/>
      <w:bookmarkStart w:id="268" w:name="_Toc487014333"/>
      <w:r w:rsidRPr="00883125">
        <w:t>Consistency with other allowed rate of return parameters</w:t>
      </w:r>
      <w:bookmarkEnd w:id="263"/>
      <w:bookmarkEnd w:id="264"/>
      <w:bookmarkEnd w:id="265"/>
      <w:bookmarkEnd w:id="266"/>
      <w:bookmarkEnd w:id="267"/>
      <w:bookmarkEnd w:id="268"/>
    </w:p>
    <w:p w:rsidR="00C52695" w:rsidRPr="00883125" w:rsidRDefault="00C52695" w:rsidP="00C52695">
      <w:r w:rsidRPr="00883125">
        <w:t xml:space="preserve">We consider we are estimating the value of imputation credits consistently with the other allowed rate of return parameters on a post company tax basis before personal taxes and personal costs. </w:t>
      </w:r>
    </w:p>
    <w:p w:rsidR="0087471D" w:rsidRDefault="00E37976" w:rsidP="00C52695">
      <w:r w:rsidRPr="00E37976">
        <w:t>Several service providers submitted a new report from Frontier.</w:t>
      </w:r>
      <w:r w:rsidR="00D35DB1">
        <w:rPr>
          <w:rStyle w:val="FootnoteReference"/>
        </w:rPr>
        <w:footnoteReference w:id="482"/>
      </w:r>
      <w:r w:rsidRPr="00E37976">
        <w:t xml:space="preserve"> In the new report, Frontier argues that because the other terms</w:t>
      </w:r>
      <w:r>
        <w:t xml:space="preserve"> </w:t>
      </w:r>
      <w:r w:rsidRPr="00E37976">
        <w:t>in the MRP (dividends and capital gains) are market values, the market value of imputation credits must be added in the "grossing up" process</w:t>
      </w:r>
      <w:r>
        <w:t xml:space="preserve"> to </w:t>
      </w:r>
      <w:r w:rsidR="00D12039">
        <w:t>reflect the total return to equity holders</w:t>
      </w:r>
      <w:r w:rsidRPr="00E37976">
        <w:t>.</w:t>
      </w:r>
      <w:r w:rsidR="00DA22CC">
        <w:rPr>
          <w:rStyle w:val="FootnoteReference"/>
        </w:rPr>
        <w:footnoteReference w:id="483"/>
      </w:r>
      <w:r w:rsidRPr="00E37976">
        <w:t xml:space="preserve">  </w:t>
      </w:r>
      <w:r w:rsidR="005F3F18">
        <w:t>We disagree.</w:t>
      </w:r>
      <w:r w:rsidR="00C52695" w:rsidRPr="005764F6">
        <w:t xml:space="preserve"> </w:t>
      </w:r>
      <w:r w:rsidR="005F3F18">
        <w:t>W</w:t>
      </w:r>
      <w:r w:rsidR="00C52695" w:rsidRPr="005764F6">
        <w:t>hen estimating the MRP</w:t>
      </w:r>
      <w:r w:rsidR="00C52695">
        <w:t>,</w:t>
      </w:r>
      <w:r w:rsidR="00C52695"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w:t>
      </w:r>
      <w:r w:rsidR="005F3F18">
        <w:t xml:space="preserve">This is supported by Lally. In his new report to the AER Lally </w:t>
      </w:r>
      <w:r w:rsidR="00096343">
        <w:t>notes</w:t>
      </w:r>
      <w:r w:rsidR="005F3F18">
        <w:t xml:space="preserve"> that the dividends used in MRP calculation are the pre-personal tax </w:t>
      </w:r>
      <w:r w:rsidR="00096343">
        <w:t xml:space="preserve">and transaction costs </w:t>
      </w:r>
      <w:r w:rsidR="005F3F18">
        <w:t>payments, not market value (</w:t>
      </w:r>
      <w:r w:rsidR="0087471D">
        <w:t>which will be affected by the personal tax rate on dividends relative to capital gains, and transaction costs).</w:t>
      </w:r>
      <w:r w:rsidR="0087471D">
        <w:rPr>
          <w:rStyle w:val="FootnoteReference"/>
        </w:rPr>
        <w:footnoteReference w:id="484"/>
      </w:r>
      <w:r w:rsidR="00815C5D">
        <w:t xml:space="preserve"> </w:t>
      </w:r>
    </w:p>
    <w:p w:rsidR="00C52695" w:rsidRPr="005764F6" w:rsidRDefault="00C52695" w:rsidP="00C52695">
      <w:r w:rsidRPr="005764F6">
        <w:t>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85"/>
      </w:r>
      <w:r w:rsidRPr="005764F6">
        <w:t xml:space="preserve"> This highlights that dividend drop off studies are not 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tax return. Absent such an adjustment they are not appropriate to use as estimates of the post-</w:t>
      </w:r>
      <w:r>
        <w:t xml:space="preserve">company pre-personal </w:t>
      </w:r>
      <w:r w:rsidRPr="005764F6">
        <w:t>tax value of distributed imputation credits for use in the Officer Framework underpinning the rules.</w:t>
      </w:r>
    </w:p>
    <w:p w:rsidR="00C52695" w:rsidRPr="005764F6" w:rsidRDefault="00C52695" w:rsidP="00C52695">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86"/>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87"/>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BF66D3">
        <w:t>A.15.3</w:t>
      </w:r>
      <w:r w:rsidRPr="005764F6">
        <w:fldChar w:fldCharType="end"/>
      </w:r>
      <w:r w:rsidRPr="005764F6">
        <w:t xml:space="preserve">, where it is shown that the pre-personal tax value of an imputation credit is equal to the face </w:t>
      </w:r>
      <w:r w:rsidR="005F6361">
        <w:t>value of the imputation credit.</w:t>
      </w:r>
    </w:p>
    <w:p w:rsidR="00C52695" w:rsidRPr="00883125" w:rsidRDefault="00C52695" w:rsidP="00C52695">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BF66D3">
        <w:t>A.15.3</w:t>
      </w:r>
      <w:r w:rsidRPr="00883125">
        <w:fldChar w:fldCharType="end"/>
      </w:r>
      <w:r w:rsidRPr="00883125">
        <w:t>.</w:t>
      </w:r>
    </w:p>
    <w:p w:rsidR="00C52695" w:rsidRPr="005764F6" w:rsidRDefault="001247E2" w:rsidP="00C52695">
      <w:r w:rsidRPr="001247E2">
        <w:t xml:space="preserve">Frontier </w:t>
      </w:r>
      <w:r w:rsidR="00A344C5">
        <w:t>in its new repor</w:t>
      </w:r>
      <w:r w:rsidR="008E7B6F">
        <w:t>t</w:t>
      </w:r>
      <w:r w:rsidR="00A344C5">
        <w:t xml:space="preserve"> </w:t>
      </w:r>
      <w:r w:rsidRPr="001247E2">
        <w:t>claims that</w:t>
      </w:r>
      <w:r w:rsidR="00A344C5">
        <w:t xml:space="preserve"> the </w:t>
      </w:r>
      <w:r>
        <w:t xml:space="preserve">value </w:t>
      </w:r>
      <w:r w:rsidR="00A344C5">
        <w:t xml:space="preserve">of imputation credits </w:t>
      </w:r>
      <w:r>
        <w:t>estimate</w:t>
      </w:r>
      <w:r w:rsidR="00A344C5">
        <w:t>d</w:t>
      </w:r>
      <w:r>
        <w:t xml:space="preserve"> from market studies should be used given this is the same approach that is used to estimate every other WACC parameter.</w:t>
      </w:r>
      <w:r>
        <w:rPr>
          <w:rStyle w:val="FootnoteReference"/>
        </w:rPr>
        <w:footnoteReference w:id="488"/>
      </w:r>
      <w:r>
        <w:t xml:space="preserve"> </w:t>
      </w:r>
      <w:r w:rsidR="00C52695" w:rsidRPr="005764F6">
        <w:t xml:space="preserve">The </w:t>
      </w:r>
      <w:r w:rsidR="00476EB6">
        <w:t xml:space="preserve">Ausgrid </w:t>
      </w:r>
      <w:r w:rsidR="00C52695" w:rsidRPr="005764F6">
        <w:t>Tribunal decision</w:t>
      </w:r>
      <w:r>
        <w:t xml:space="preserve"> also</w:t>
      </w:r>
      <w:r w:rsidR="00C52695" w:rsidRPr="005764F6">
        <w:t xml:space="preserve"> considered </w:t>
      </w:r>
      <w:r w:rsidR="00C52695">
        <w:t>our</w:t>
      </w:r>
      <w:r w:rsidR="00C52695" w:rsidRPr="005764F6">
        <w:t xml:space="preserve"> reasoning ignores the fact that other parameters in the WACC calculation are market values that already incorporate the effects of the difference in investors' tax posit</w:t>
      </w:r>
      <w:r w:rsidR="005F6361">
        <w:t>i</w:t>
      </w:r>
      <w:r w:rsidR="00C52695" w:rsidRPr="005764F6">
        <w:t>on and transaction costs.</w:t>
      </w:r>
      <w:r w:rsidR="00C52695" w:rsidRPr="00B31DF2">
        <w:rPr>
          <w:rStyle w:val="FootnoteReference"/>
        </w:rPr>
        <w:footnoteReference w:id="489"/>
      </w:r>
      <w:r w:rsidR="00C52695"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w:t>
      </w:r>
      <w:r w:rsidR="008E7B6F">
        <w:t>Lally also considered that there is no method for estimating the MRP directly using market prices.</w:t>
      </w:r>
      <w:r w:rsidR="008E7B6F">
        <w:rPr>
          <w:rStyle w:val="FootnoteReference"/>
        </w:rPr>
        <w:footnoteReference w:id="490"/>
      </w:r>
      <w:r w:rsidR="008E7B6F">
        <w:t xml:space="preserve"> </w:t>
      </w:r>
      <w:r w:rsidR="00C52695" w:rsidRPr="005764F6">
        <w:t>For instance:</w:t>
      </w:r>
    </w:p>
    <w:p w:rsidR="00C52695" w:rsidRPr="005764F6" w:rsidRDefault="00C52695" w:rsidP="00C52695">
      <w:pPr>
        <w:pStyle w:val="AERbulletlistfirststyle"/>
      </w:pPr>
      <w:r w:rsidRPr="005764F6">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C52695" w:rsidRPr="005764F6" w:rsidRDefault="00C52695" w:rsidP="00C52695">
      <w:pPr>
        <w:pStyle w:val="AERbulletlistfirststyle"/>
      </w:pPr>
      <w:r w:rsidRPr="005764F6">
        <w:t xml:space="preserve">Historical capital gains used in estimating the market risk premium are directly observable post (company) tax returns to investors in the market before personal taxes and personal </w:t>
      </w:r>
      <w:r w:rsidR="0056734B">
        <w:t>transaction costs are incurred.</w:t>
      </w:r>
    </w:p>
    <w:p w:rsidR="00C52695" w:rsidRPr="005764F6" w:rsidRDefault="00C52695" w:rsidP="00C52695">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BF66D3" w:rsidRPr="00883125">
        <w:t xml:space="preserve">table </w:t>
      </w:r>
      <w:r w:rsidR="00BF66D3">
        <w:t>4</w:t>
      </w:r>
      <w:r w:rsidR="00BF66D3" w:rsidRPr="00B27BE5">
        <w:noBreakHyphen/>
      </w:r>
      <w:r w:rsidR="00BF66D3">
        <w:t>11</w:t>
      </w:r>
      <w:r>
        <w:fldChar w:fldCharType="end"/>
      </w:r>
      <w:r w:rsidRPr="005764F6">
        <w:t xml:space="preserve"> below, we highlight all the parameters that are used in order to calculate the return on equity using the CAPM.</w:t>
      </w:r>
    </w:p>
    <w:p w:rsidR="00C52695" w:rsidRPr="00B27BE5" w:rsidRDefault="00C52695" w:rsidP="00C52695">
      <w:pPr>
        <w:pStyle w:val="Caption"/>
      </w:pPr>
      <w:bookmarkStart w:id="269" w:name="_Ref450297354"/>
      <w:bookmarkStart w:id="270" w:name="_Ref450322149"/>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BF66D3">
        <w:rPr>
          <w:noProof/>
        </w:rPr>
        <w:t>11</w:t>
      </w:r>
      <w:r w:rsidRPr="001D37D5">
        <w:fldChar w:fldCharType="end"/>
      </w:r>
      <w:bookmarkEnd w:id="269"/>
      <w:r w:rsidRPr="00B27BE5">
        <w:tab/>
        <w:t>Parameters used to determine the return on equity</w:t>
      </w:r>
      <w:bookmarkEnd w:id="270"/>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Risk Free Rate</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Market Risk Premium</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Beta</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52695" w:rsidRPr="005764F6" w:rsidRDefault="00C52695" w:rsidP="00C52695">
      <w:r w:rsidRPr="005764F6">
        <w:t xml:space="preserve">As is evident in </w:t>
      </w:r>
      <w:r>
        <w:fldChar w:fldCharType="begin"/>
      </w:r>
      <w:r>
        <w:instrText xml:space="preserve"> REF  _Ref450297354 \* Lower \h  \* MERGEFORMAT </w:instrText>
      </w:r>
      <w:r>
        <w:fldChar w:fldCharType="separate"/>
      </w:r>
      <w:r w:rsidR="00BF66D3" w:rsidRPr="00883125">
        <w:t xml:space="preserve">table </w:t>
      </w:r>
      <w:r w:rsidR="00BF66D3">
        <w:t>4</w:t>
      </w:r>
      <w:r w:rsidR="00BF66D3" w:rsidRPr="00B27BE5">
        <w:noBreakHyphen/>
      </w:r>
      <w:r w:rsidR="00BF66D3">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BF66D3" w:rsidRPr="00883125">
        <w:t xml:space="preserve">table </w:t>
      </w:r>
      <w:r w:rsidR="00BF66D3">
        <w:t>4</w:t>
      </w:r>
      <w:r w:rsidR="00BF66D3" w:rsidRPr="00B27BE5">
        <w:noBreakHyphen/>
      </w:r>
      <w:r w:rsidR="00BF66D3">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52695" w:rsidRDefault="00C52695" w:rsidP="00C52695">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BF66D3" w:rsidRPr="005764F6">
        <w:t xml:space="preserve">table </w:t>
      </w:r>
      <w:r w:rsidR="00BF66D3">
        <w:t>4</w:t>
      </w:r>
      <w:r w:rsidR="00BF66D3" w:rsidRPr="005764F6">
        <w:noBreakHyphen/>
      </w:r>
      <w:r w:rsidR="00BF66D3">
        <w:t>12</w:t>
      </w:r>
      <w:r>
        <w:fldChar w:fldCharType="end"/>
      </w:r>
      <w:r w:rsidRPr="005764F6">
        <w:t>.</w:t>
      </w:r>
    </w:p>
    <w:p w:rsidR="00C52695" w:rsidRPr="005764F6" w:rsidRDefault="00C52695" w:rsidP="00C52695">
      <w:pPr>
        <w:pStyle w:val="Tabletitle"/>
      </w:pPr>
      <w:bookmarkStart w:id="271" w:name="_Ref450297391"/>
      <w:r w:rsidRPr="005764F6">
        <w:t xml:space="preserve">Table </w:t>
      </w:r>
      <w:r w:rsidRPr="00CA67C0">
        <w:fldChar w:fldCharType="begin"/>
      </w:r>
      <w:r>
        <w:instrText xml:space="preserve"> STYLEREF 1 \s </w:instrText>
      </w:r>
      <w:r w:rsidRPr="00CA67C0">
        <w:fldChar w:fldCharType="separate"/>
      </w:r>
      <w:r w:rsidR="00BF66D3">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BF66D3">
        <w:rPr>
          <w:noProof/>
        </w:rPr>
        <w:t>12</w:t>
      </w:r>
      <w:r w:rsidRPr="00CA67C0">
        <w:fldChar w:fldCharType="end"/>
      </w:r>
      <w:bookmarkEnd w:id="271"/>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52695" w:rsidRPr="00663AD0"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5764F6" w:rsidRDefault="00C52695" w:rsidP="00C52695"/>
        </w:tc>
        <w:tc>
          <w:tcPr>
            <w:tcW w:w="271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Face Value</w:t>
            </w:r>
          </w:p>
        </w:tc>
      </w:tr>
      <w:tr w:rsidR="00C52695" w:rsidRPr="00663AD0"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Return on </w:t>
            </w:r>
            <w:r w:rsidRPr="00C52695">
              <w:t>debt</w:t>
            </w:r>
          </w:p>
        </w:tc>
        <w:tc>
          <w:tcPr>
            <w:tcW w:w="271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52695" w:rsidRPr="00663AD0"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Risk Free </w:t>
            </w:r>
            <w:r w:rsidRPr="00C52695">
              <w:t>Rate</w:t>
            </w:r>
          </w:p>
        </w:tc>
        <w:tc>
          <w:tcPr>
            <w:tcW w:w="271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52695" w:rsidRPr="005764F6" w:rsidRDefault="00C52695" w:rsidP="00C52695">
      <w:r w:rsidRPr="005764F6">
        <w:t xml:space="preserve">As is evident in </w:t>
      </w:r>
      <w:r>
        <w:fldChar w:fldCharType="begin"/>
      </w:r>
      <w:r>
        <w:instrText xml:space="preserve"> REF  _Ref450297391 \* Lower \h  \* MERGEFORMAT </w:instrText>
      </w:r>
      <w:r>
        <w:fldChar w:fldCharType="separate"/>
      </w:r>
      <w:r w:rsidR="00BF66D3" w:rsidRPr="005764F6">
        <w:t xml:space="preserve">table </w:t>
      </w:r>
      <w:r w:rsidR="00BF66D3">
        <w:t>4</w:t>
      </w:r>
      <w:r w:rsidR="00BF66D3" w:rsidRPr="005764F6">
        <w:noBreakHyphen/>
      </w:r>
      <w:r w:rsidR="00BF66D3">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52695" w:rsidRPr="005053A1" w:rsidRDefault="00C52695" w:rsidP="00C52695">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91"/>
      </w:r>
    </w:p>
    <w:p w:rsidR="00C52695" w:rsidRPr="00663AD0" w:rsidRDefault="00C52695" w:rsidP="00C52695">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52695" w:rsidRPr="005764F6" w:rsidRDefault="00C52695" w:rsidP="00C52695">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52695" w:rsidRDefault="00C52695" w:rsidP="00C52695">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5B77D3" w:rsidRDefault="005B77D3" w:rsidP="00C52695">
      <w:r>
        <w:t xml:space="preserve">Lally agrees that our approach to </w:t>
      </w:r>
      <w:r w:rsidR="00C72D05">
        <w:t xml:space="preserve">estimating </w:t>
      </w:r>
      <w:r>
        <w:t>gamma is consistent with the way we estimate the cost of equity:</w:t>
      </w:r>
      <w:r>
        <w:rPr>
          <w:rStyle w:val="FootnoteReference"/>
        </w:rPr>
        <w:footnoteReference w:id="492"/>
      </w:r>
    </w:p>
    <w:p w:rsidR="005B77D3" w:rsidRDefault="005B77D3" w:rsidP="00E750F8">
      <w:pPr>
        <w:pStyle w:val="AERquote"/>
      </w:pPr>
      <w:r w:rsidRPr="0056734B">
        <w:t>The AER estimates the cost of equity using the Officer model, gamma is a parameter within that model, and therefore the AER must estimate gamma as def</w:t>
      </w:r>
      <w:r w:rsidR="002D0F57" w:rsidRPr="0056734B">
        <w:t xml:space="preserve">ined within the Officer model. </w:t>
      </w:r>
      <w:r w:rsidRPr="0056734B">
        <w:t>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w:t>
      </w:r>
      <w:r w:rsidR="002D0F57" w:rsidRPr="0056734B">
        <w:t xml:space="preserve">zation rates for the credits). </w:t>
      </w:r>
      <w:r w:rsidRPr="0056734B">
        <w:t>The methods used by the AER for estimating these two parameters are consistent with their definitions.</w:t>
      </w:r>
    </w:p>
    <w:p w:rsidR="00A235DE" w:rsidRDefault="00A235DE" w:rsidP="009716F3">
      <w:r>
        <w:t>Finally, on 24 May 2017 the Full Federal Court handed down its decision on the AER's appeal of the Ausgrid Tribunal matter.</w:t>
      </w:r>
      <w:r>
        <w:rPr>
          <w:rStyle w:val="FootnoteReference"/>
        </w:rPr>
        <w:footnoteReference w:id="493"/>
      </w:r>
      <w:r>
        <w:t xml:space="preserve"> The Full Federal Court found the tribunal in error 'in concluding that the value of gamma is (only) what is claimed or utilised as demonstrated by the behaviour of the shareholder recipients of the </w:t>
      </w:r>
      <w:r w:rsidR="00924687">
        <w:t>imputation credits' and went on to state</w:t>
      </w:r>
      <w:r>
        <w:t>:</w:t>
      </w:r>
      <w:r w:rsidR="00924687" w:rsidRPr="00924687">
        <w:rPr>
          <w:rStyle w:val="FootnoteReference"/>
        </w:rPr>
        <w:t xml:space="preserve"> </w:t>
      </w:r>
      <w:r w:rsidR="00924687" w:rsidRPr="00924687">
        <w:rPr>
          <w:rStyle w:val="FootnoteReference"/>
        </w:rPr>
        <w:footnoteReference w:id="494"/>
      </w:r>
    </w:p>
    <w:p w:rsidR="00A235DE" w:rsidRDefault="00A235DE">
      <w:pPr>
        <w:pStyle w:val="AERquote"/>
      </w:pPr>
      <w:r>
        <w:t>we accept the AER's submission the Tribunal's approach to gamm</w:t>
      </w:r>
      <w:r w:rsidR="0082655C">
        <w:t>a</w:t>
      </w:r>
      <w:r>
        <w:t xml:space="preserve"> was underpinned by a misunderstandi</w:t>
      </w:r>
      <w:r w:rsidR="007A0E11">
        <w:t>ng</w:t>
      </w:r>
      <w:r>
        <w:t xml:space="preserve"> on its part about how return to investors was conceptualised in a WACC framework. In our opinion the Tribunal assumed that other parameters in the WACC calculations were market values that already incorporated investors' tax positions and transaction costs but that misconstrued the "post-tax" framework. The rules required gamma to be determined consis</w:t>
      </w:r>
      <w:r w:rsidR="0082655C">
        <w:t>tently with the return on equity.</w:t>
      </w:r>
    </w:p>
    <w:p w:rsidR="0082655C" w:rsidRDefault="0082655C" w:rsidP="009716F3">
      <w:r>
        <w:t>The Federal Court went on to conclude:</w:t>
      </w:r>
      <w:r w:rsidR="00924687">
        <w:rPr>
          <w:rStyle w:val="FootnoteReference"/>
        </w:rPr>
        <w:footnoteReference w:id="495"/>
      </w:r>
    </w:p>
    <w:p w:rsidR="0082655C" w:rsidRDefault="0082655C">
      <w:pPr>
        <w:pStyle w:val="AERquote"/>
      </w:pPr>
      <w:r>
        <w:t>In our opinion, it was not therefore a reviewable error for the AER to prefer one theoretical approach to considering the determination of gamma over another. This means that it is not an error of construction for the AER to focus on utilisation rather than on implied market value.</w:t>
      </w:r>
    </w:p>
    <w:p w:rsidR="00E44905" w:rsidRDefault="00E44905" w:rsidP="00E44905">
      <w:pPr>
        <w:pStyle w:val="Heading9"/>
      </w:pPr>
      <w:bookmarkStart w:id="272" w:name="_Toc486843557"/>
      <w:bookmarkStart w:id="273" w:name="_Toc450119269"/>
      <w:bookmarkStart w:id="274" w:name="_Toc450119429"/>
      <w:bookmarkStart w:id="275" w:name="_Ref477196710"/>
      <w:bookmarkStart w:id="276" w:name="_Toc487014334"/>
      <w:bookmarkStart w:id="277" w:name="_Ref414099389"/>
      <w:bookmarkStart w:id="278" w:name="_Toc456614313"/>
      <w:bookmarkStart w:id="279" w:name="_Toc462823327"/>
      <w:bookmarkEnd w:id="272"/>
      <w:bookmarkEnd w:id="273"/>
      <w:bookmarkEnd w:id="274"/>
      <w:r>
        <w:t>Market Risk Premium a</w:t>
      </w:r>
      <w:r w:rsidR="00013824">
        <w:t>djustment for gamma</w:t>
      </w:r>
      <w:bookmarkEnd w:id="275"/>
      <w:bookmarkEnd w:id="276"/>
    </w:p>
    <w:p w:rsidR="00245EB8" w:rsidRPr="00245EB8" w:rsidRDefault="00245EB8" w:rsidP="00245EB8">
      <w:r w:rsidRPr="00245EB8">
        <w:t xml:space="preserve">In regard to the how the return on equity is </w:t>
      </w:r>
      <w:r w:rsidR="00C72D05">
        <w:t>estimat</w:t>
      </w:r>
      <w:r w:rsidRPr="00245EB8">
        <w:t>ed, it is set out in the Officer paper:</w:t>
      </w:r>
    </w:p>
    <w:p w:rsidR="00245EB8" w:rsidRPr="00245EB8" w:rsidRDefault="00245EB8" w:rsidP="00245EB8"/>
    <w:p w:rsidR="00245EB8" w:rsidRPr="00245EB8" w:rsidRDefault="00245EB8" w:rsidP="00245EB8">
      <w:r w:rsidRPr="00245EB8">
        <w:rPr>
          <w:noProof/>
          <w:lang w:eastAsia="en-AU"/>
        </w:rPr>
        <w:drawing>
          <wp:inline distT="0" distB="0" distL="0" distR="0" wp14:anchorId="283D57BE" wp14:editId="545BD2F6">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AA3CB2" w:rsidP="00245EB8">
      <w:r w:rsidRPr="00AA3CB2">
        <w:rPr>
          <w:noProof/>
          <w:lang w:eastAsia="en-AU"/>
        </w:rPr>
        <w:drawing>
          <wp:inline distT="0" distB="0" distL="0" distR="0" wp14:anchorId="61B91762" wp14:editId="14C2F9A6">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00245EB8"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rsidR="000C7E9B">
        <w:t xml:space="preserve">a </w:t>
      </w:r>
      <w:r w:rsidR="00245EB8" w:rsidRPr="00245EB8">
        <w:t xml:space="preserve">tax credit against personal tax liabilities of the shareholder. </w:t>
      </w:r>
      <w:r w:rsidR="0094542A">
        <w:t xml:space="preserve"> </w:t>
      </w:r>
    </w:p>
    <w:p w:rsidR="00245EB8" w:rsidRPr="00245EB8" w:rsidRDefault="00245EB8" w:rsidP="00245EB8">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245EB8" w:rsidRPr="00245EB8" w:rsidRDefault="00245EB8" w:rsidP="00E750F8">
      <w:pPr>
        <w:pStyle w:val="HeadingOrange"/>
      </w:pPr>
      <w:bookmarkStart w:id="280" w:name="_Toc481056691"/>
      <w:bookmarkStart w:id="281" w:name="_Toc481061485"/>
      <w:r w:rsidRPr="00245EB8">
        <w:t>Historical excess returns</w:t>
      </w:r>
      <w:bookmarkEnd w:id="280"/>
      <w:bookmarkEnd w:id="281"/>
    </w:p>
    <w:p w:rsidR="00245EB8" w:rsidRPr="00245EB8" w:rsidRDefault="00245EB8" w:rsidP="00245EB8">
      <w:r w:rsidRPr="00245EB8">
        <w:t xml:space="preserve">For historical excess returns, we adjust the returns for imputation credits using the methodology applied </w:t>
      </w:r>
      <w:r w:rsidR="002D0F57">
        <w:t xml:space="preserve">in </w:t>
      </w:r>
      <w:r w:rsidRPr="00245EB8">
        <w:t xml:space="preserve">Brailsford et al. The adjustment proposed by Brailsford is different depending on whether the data is pre-1998 or post-1998. For pre-1998, the AER adjusts the MRP for imputation credits using the following formula: </w:t>
      </w:r>
      <w:r w:rsidR="005D01B1">
        <w:rPr>
          <w:rStyle w:val="FootnoteReference"/>
        </w:rPr>
        <w:footnoteReference w:id="496"/>
      </w:r>
    </w:p>
    <w:p w:rsidR="00245EB8" w:rsidRPr="00245EB8" w:rsidRDefault="00245EB8" w:rsidP="00245EB8"/>
    <w:p w:rsidR="00245EB8" w:rsidRPr="00245EB8" w:rsidRDefault="00AA3CB2" w:rsidP="00245EB8">
      <w:r w:rsidRPr="00AA3CB2">
        <w:rPr>
          <w:noProof/>
          <w:lang w:eastAsia="en-AU"/>
        </w:rPr>
        <w:drawing>
          <wp:inline distT="0" distB="0" distL="0" distR="0" wp14:anchorId="16F01020" wp14:editId="12A765A8">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Where d</w:t>
      </w:r>
      <w:r w:rsidRPr="00E750F8">
        <w:rPr>
          <w:rStyle w:val="AERsubscript"/>
        </w:rPr>
        <w:t>t</w:t>
      </w:r>
      <w:r w:rsidRPr="00245EB8">
        <w:t xml:space="preserve"> represents the annual dividend yield implied from the Historical Stock Price Index and the Historical Stock Accumulation Index, p</w:t>
      </w:r>
      <w:r w:rsidRPr="00E750F8">
        <w:rPr>
          <w:rStyle w:val="AERsubscript"/>
        </w:rPr>
        <w:t>t</w:t>
      </w:r>
      <w:r w:rsidRPr="00245EB8">
        <w:t xml:space="preserve"> is the (average) proportion franked and T</w:t>
      </w:r>
      <w:r w:rsidRPr="00E750F8">
        <w:rPr>
          <w:rStyle w:val="AERsubscript"/>
        </w:rPr>
        <w:t>t</w:t>
      </w:r>
      <w:r w:rsidRPr="00245EB8">
        <w:t xml:space="preserve"> is the tax rate </w:t>
      </w:r>
      <w:r w:rsidR="0056734B">
        <w:t>at which dividends are franked.</w:t>
      </w:r>
    </w:p>
    <w:p w:rsidR="00245EB8" w:rsidRPr="00245EB8" w:rsidRDefault="00245EB8" w:rsidP="00245EB8">
      <w:r w:rsidRPr="00245EB8">
        <w:t>This C</w:t>
      </w:r>
      <w:r w:rsidRPr="0056734B">
        <w:rPr>
          <w:rStyle w:val="AERsubscript"/>
        </w:rPr>
        <w:t>t</w:t>
      </w:r>
      <w:r w:rsidRPr="00245EB8">
        <w:t xml:space="preserve"> value can be directly substituted into Officer</w:t>
      </w:r>
      <w:r w:rsidR="00356933">
        <w:t>'</w:t>
      </w:r>
      <w:r w:rsidRPr="00245EB8">
        <w:t>s formula (15) above. It is important to note that d</w:t>
      </w:r>
      <w:r w:rsidRPr="00E750F8">
        <w:rPr>
          <w:rStyle w:val="AERsubscript"/>
        </w:rPr>
        <w:t>t</w:t>
      </w:r>
      <w:r w:rsidRPr="00245EB8">
        <w:t xml:space="preserve"> is the face value of the dividend and it determines the face value of the imputation credit when multiplying the face value of the dividend by T/(1-T).</w:t>
      </w:r>
    </w:p>
    <w:p w:rsidR="00245EB8" w:rsidRPr="00245EB8" w:rsidRDefault="00245EB8" w:rsidP="00245EB8">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sidR="0043564A">
        <w:rPr>
          <w:rStyle w:val="FootnoteReference"/>
        </w:rPr>
        <w:footnoteReference w:id="497"/>
      </w:r>
      <w:r w:rsidRPr="00245EB8">
        <w:t xml:space="preserve"> From this source we obtain C</w:t>
      </w:r>
      <w:r w:rsidRPr="00E750F8">
        <w:rPr>
          <w:rStyle w:val="AERsubscript"/>
        </w:rPr>
        <w:t>t</w:t>
      </w:r>
      <w:r w:rsidRPr="00245EB8">
        <w:t>/p</w:t>
      </w:r>
      <w:r w:rsidRPr="00E750F8">
        <w:rPr>
          <w:rStyle w:val="AERsubscript"/>
        </w:rPr>
        <w:t>t-1</w:t>
      </w:r>
      <w:r w:rsidRPr="00245EB8">
        <w:t xml:space="preserve"> which can be inserted</w:t>
      </w:r>
      <w:r w:rsidR="00AA3CB2">
        <w:t xml:space="preserve"> into the Officer formula (15). </w:t>
      </w:r>
      <w:r w:rsidRPr="00245EB8">
        <w:t>As before Ct is the face value of the imputation credit.</w:t>
      </w:r>
    </w:p>
    <w:p w:rsidR="00245EB8" w:rsidRPr="00245EB8" w:rsidRDefault="00245EB8" w:rsidP="00E750F8">
      <w:pPr>
        <w:pStyle w:val="HeadingOrange"/>
      </w:pPr>
      <w:bookmarkStart w:id="282" w:name="_Toc481056692"/>
      <w:bookmarkStart w:id="283" w:name="_Toc481061486"/>
      <w:r w:rsidRPr="00245EB8">
        <w:t>Dividend growth model</w:t>
      </w:r>
      <w:bookmarkEnd w:id="282"/>
      <w:bookmarkEnd w:id="283"/>
    </w:p>
    <w:p w:rsidR="00245EB8" w:rsidRPr="00245EB8" w:rsidRDefault="00245EB8" w:rsidP="00245EB8">
      <w:r w:rsidRPr="00245EB8">
        <w:t>In the dividend growth model, the face value of cash dividends is multiplied by the formula below to determine the gross dividend which is the sum of the face value of the cash dividend and the face v</w:t>
      </w:r>
      <w:r w:rsidR="00013824">
        <w:t>alue of the imputation credit.</w:t>
      </w:r>
    </w:p>
    <w:p w:rsidR="00245EB8" w:rsidRPr="00245EB8" w:rsidRDefault="00245EB8" w:rsidP="00245EB8"/>
    <w:p w:rsidR="00245EB8" w:rsidRPr="00245EB8" w:rsidRDefault="00AA3CB2" w:rsidP="00245EB8">
      <w:r w:rsidRPr="00AA3CB2">
        <w:rPr>
          <w:noProof/>
          <w:lang w:eastAsia="en-AU"/>
        </w:rPr>
        <w:drawing>
          <wp:inline distT="0" distB="0" distL="0" distR="0" wp14:anchorId="3AF3A331" wp14:editId="2FC85B61">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013824" w:rsidRDefault="00245EB8" w:rsidP="00E750F8">
      <w:r w:rsidRPr="00245EB8">
        <w:t xml:space="preserve">It is clear from the example above that the face value of the imputation credits multiplied by theta is added to the capital gains and dividend component to determine the return on equity. </w:t>
      </w:r>
      <w:r w:rsidR="00A56DF6">
        <w:t>Therefore, i</w:t>
      </w:r>
      <w:r w:rsidRPr="00245EB8">
        <w:t xml:space="preserve">f </w:t>
      </w:r>
      <w:r w:rsidR="00A56DF6">
        <w:t xml:space="preserve">the </w:t>
      </w:r>
      <w:r w:rsidRPr="00245EB8">
        <w:t xml:space="preserve">gamma </w:t>
      </w:r>
      <w:r w:rsidR="001A3115">
        <w:t xml:space="preserve">estimate used </w:t>
      </w:r>
      <w:r w:rsidRPr="00245EB8">
        <w:t xml:space="preserve">is </w:t>
      </w:r>
      <w:r w:rsidR="00A56DF6">
        <w:t>increased (decreased)</w:t>
      </w:r>
      <w:r w:rsidRPr="00245EB8">
        <w:t xml:space="preserve"> then the</w:t>
      </w:r>
      <w:r w:rsidR="001A3115">
        <w:t xml:space="preserve"> </w:t>
      </w:r>
      <w:r w:rsidR="00A56DF6">
        <w:t>estimate</w:t>
      </w:r>
      <w:r w:rsidR="001A3115">
        <w:t>s</w:t>
      </w:r>
      <w:r w:rsidR="00A56DF6">
        <w:t xml:space="preserve"> of the </w:t>
      </w:r>
      <w:r w:rsidR="00013824">
        <w:t xml:space="preserve">MRP </w:t>
      </w:r>
      <w:r w:rsidR="00C72D05">
        <w:t xml:space="preserve">based on historical data </w:t>
      </w:r>
      <w:r w:rsidR="00A56DF6">
        <w:t>will also increase (decrease)</w:t>
      </w:r>
      <w:r w:rsidR="00013824">
        <w:t xml:space="preserve">. </w:t>
      </w:r>
    </w:p>
    <w:p w:rsidR="00C52695" w:rsidRPr="00883125" w:rsidRDefault="00C52695" w:rsidP="0007085B">
      <w:pPr>
        <w:pStyle w:val="Heading9"/>
        <w:keepNext/>
      </w:pPr>
      <w:bookmarkStart w:id="284" w:name="_Ref475361170"/>
      <w:bookmarkStart w:id="285" w:name="_Toc487014335"/>
      <w:r w:rsidRPr="00883125">
        <w:t>Factors affecting investors' valuation of imputation credits</w:t>
      </w:r>
      <w:bookmarkEnd w:id="277"/>
      <w:bookmarkEnd w:id="278"/>
      <w:bookmarkEnd w:id="279"/>
      <w:bookmarkEnd w:id="284"/>
      <w:bookmarkEnd w:id="285"/>
    </w:p>
    <w:p w:rsidR="00C52695" w:rsidRDefault="00C52695" w:rsidP="0007085B">
      <w:pPr>
        <w:keepNext/>
      </w:pPr>
      <w:r w:rsidRPr="00883125">
        <w:t xml:space="preserve">A </w:t>
      </w:r>
      <w:r w:rsidR="001A3115">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98"/>
      </w:r>
      <w:r w:rsidRPr="00883125">
        <w:t xml:space="preserve"> </w:t>
      </w:r>
      <w:r>
        <w:t>They</w:t>
      </w:r>
      <w:r w:rsidRPr="00883125">
        <w:t xml:space="preserve"> </w:t>
      </w:r>
      <w:r w:rsidR="001A3115">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99"/>
      </w:r>
    </w:p>
    <w:p w:rsidR="00C52695" w:rsidRDefault="00C52695" w:rsidP="00C52695">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500"/>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501"/>
      </w:r>
      <w:r w:rsidRPr="00883125">
        <w:t xml:space="preserve"> </w:t>
      </w:r>
      <w:r>
        <w:t>Similarly, Frontier considers that redemption rates cannot be used to estimate theta as they at best provide an upper bound for theta.</w:t>
      </w:r>
      <w:r>
        <w:rPr>
          <w:rStyle w:val="FootnoteReference"/>
        </w:rPr>
        <w:footnoteReference w:id="502"/>
      </w:r>
      <w:r>
        <w:t xml:space="preserve"> </w:t>
      </w:r>
      <w:r w:rsidR="00F46E3F">
        <w:t xml:space="preserve">However, </w:t>
      </w:r>
      <w:r w:rsidRPr="00883125">
        <w:t>Gray (for Frontier) considers that the tax statistics estimate should be preferred to the equity ownership estimate.</w:t>
      </w:r>
      <w:r w:rsidRPr="00883125">
        <w:rPr>
          <w:rStyle w:val="FootnoteReference"/>
        </w:rPr>
        <w:footnoteReference w:id="503"/>
      </w:r>
    </w:p>
    <w:p w:rsidR="00C52695" w:rsidRPr="00883125" w:rsidRDefault="00C52695" w:rsidP="00C52695">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rsidR="00AD585A">
        <w:t>or</w:t>
      </w:r>
      <w:r w:rsidRPr="00883125">
        <w:t xml:space="preserve"> in the </w:t>
      </w:r>
      <w:r>
        <w:t>recent</w:t>
      </w:r>
      <w:r w:rsidR="00C25A56">
        <w:t xml:space="preserve"> Ausgrid</w:t>
      </w:r>
      <w:r>
        <w:t xml:space="preserve"> </w:t>
      </w:r>
      <w:r w:rsidRPr="00883125">
        <w:t>Tribunal decision</w:t>
      </w:r>
      <w:r>
        <w:t>,</w:t>
      </w:r>
      <w:r w:rsidRPr="00883125">
        <w:t xml:space="preserve"> give us cause to change this conclusion. </w:t>
      </w:r>
      <w:r w:rsidR="0056734B">
        <w:t>W</w:t>
      </w:r>
      <w:r w:rsidRPr="00883125">
        <w:t>e have expanded on the following points in other sections of this decision:</w:t>
      </w:r>
    </w:p>
    <w:p w:rsidR="00C52695" w:rsidRPr="001D37D5" w:rsidRDefault="00C52695" w:rsidP="00C52695">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BF66D3">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BF66D3">
        <w:t>A.13</w:t>
      </w:r>
      <w:r w:rsidRPr="001D37D5">
        <w:fldChar w:fldCharType="end"/>
      </w:r>
    </w:p>
    <w:p w:rsidR="00C52695" w:rsidRPr="001D37D5" w:rsidRDefault="00C52695" w:rsidP="00C52695">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52695" w:rsidRPr="00883125" w:rsidRDefault="00C52695" w:rsidP="007F6EED">
      <w:pPr>
        <w:pStyle w:val="HeadingBoldItalic"/>
      </w:pPr>
      <w:bookmarkStart w:id="286" w:name="_Toc456614314"/>
      <w:bookmarkStart w:id="287" w:name="_Toc481056694"/>
      <w:bookmarkStart w:id="288" w:name="_Toc481061488"/>
      <w:r w:rsidRPr="00883125">
        <w:t>The 45-day holding rule</w:t>
      </w:r>
      <w:bookmarkEnd w:id="286"/>
      <w:bookmarkEnd w:id="287"/>
      <w:bookmarkEnd w:id="288"/>
    </w:p>
    <w:p w:rsidR="00C52695" w:rsidRPr="00883125" w:rsidRDefault="00C52695" w:rsidP="00C52695">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504"/>
      </w:r>
      <w:r w:rsidRPr="00883125">
        <w:t xml:space="preserve"> However, this rule does not apply if the investor's total credit entitlement is below $5,000.</w:t>
      </w:r>
      <w:r w:rsidR="00EA1D26">
        <w:t xml:space="preserve"> </w:t>
      </w:r>
      <w:r w:rsidRPr="00883125">
        <w:t>A number of service providers stated:</w:t>
      </w:r>
      <w:r w:rsidRPr="00883125">
        <w:rPr>
          <w:rStyle w:val="FootnoteReference"/>
        </w:rPr>
        <w:footnoteReference w:id="505"/>
      </w:r>
    </w:p>
    <w:p w:rsidR="00C52695" w:rsidRPr="00CA67C0" w:rsidRDefault="00C52695" w:rsidP="00C52695">
      <w:pPr>
        <w:pStyle w:val="AERquote"/>
      </w:pPr>
      <w:r w:rsidRPr="00883125">
        <w:t>It has been estimated that the 45-day rule has about a 5-10% impact on the redemption rate.</w:t>
      </w:r>
    </w:p>
    <w:p w:rsidR="00C52695" w:rsidRPr="00883125" w:rsidRDefault="00C52695" w:rsidP="00C52695">
      <w:pPr>
        <w:numPr>
          <w:ilvl w:val="0"/>
          <w:numId w:val="24"/>
        </w:numPr>
      </w:pPr>
      <w:r w:rsidRPr="00883125">
        <w:t>The source of this estimate is a 2010 paper by Handley. The relevant passage from this paper is:</w:t>
      </w:r>
      <w:r w:rsidRPr="00883125">
        <w:rPr>
          <w:rStyle w:val="FootnoteReference"/>
        </w:rPr>
        <w:footnoteReference w:id="506"/>
      </w:r>
    </w:p>
    <w:p w:rsidR="00C52695" w:rsidRPr="00883125" w:rsidRDefault="00C52695" w:rsidP="00C52695">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C52695" w:rsidRPr="00883125" w:rsidRDefault="00C52695" w:rsidP="00C52695">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507"/>
      </w:r>
      <w:r w:rsidRPr="00883125">
        <w:t xml:space="preserve"> Handley maintained this view in his April 2015 report.</w:t>
      </w:r>
      <w:r w:rsidRPr="00883125">
        <w:rPr>
          <w:rStyle w:val="FootnoteReference"/>
        </w:rPr>
        <w:footnoteReference w:id="508"/>
      </w:r>
    </w:p>
    <w:p w:rsidR="00C52695" w:rsidRPr="00883125" w:rsidRDefault="00C52695" w:rsidP="00C52695">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757B4D" w:rsidRPr="00883125" w:rsidRDefault="00647F58" w:rsidP="00C70961">
      <w:pPr>
        <w:numPr>
          <w:ilvl w:val="0"/>
          <w:numId w:val="24"/>
        </w:numPr>
      </w:pPr>
      <w:r>
        <w:t>T</w:t>
      </w:r>
      <w:r w:rsidRPr="00883125">
        <w:t xml:space="preserve">he </w:t>
      </w:r>
      <w:r>
        <w:t xml:space="preserve">Ausgrid </w:t>
      </w:r>
      <w:r w:rsidR="00C52695" w:rsidRPr="00883125">
        <w:t>Tribunal did not agree with ou</w:t>
      </w:r>
      <w:r w:rsidR="00C52695">
        <w:t>r</w:t>
      </w:r>
      <w:r w:rsidR="00C52695" w:rsidRPr="00883125">
        <w:t xml:space="preserve"> position.</w:t>
      </w:r>
      <w:r w:rsidR="00C52695" w:rsidRPr="00883125">
        <w:rPr>
          <w:rStyle w:val="FootnoteReference"/>
        </w:rPr>
        <w:footnoteReference w:id="509"/>
      </w:r>
      <w:r w:rsidR="00C52695" w:rsidRPr="00883125">
        <w:t xml:space="preserve"> The </w:t>
      </w:r>
      <w:r>
        <w:t xml:space="preserve">Ausgrid </w:t>
      </w:r>
      <w:r w:rsidR="00C52695"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00C52695" w:rsidRPr="00883125">
        <w:rPr>
          <w:rStyle w:val="FootnoteReference"/>
        </w:rPr>
        <w:footnoteReference w:id="510"/>
      </w:r>
      <w:r w:rsidR="00C52695" w:rsidRPr="00883125">
        <w:t xml:space="preserve"> However, as outlined below, </w:t>
      </w:r>
      <w:r w:rsidR="00C52695">
        <w:t>we</w:t>
      </w:r>
      <w:r w:rsidR="00C52695" w:rsidRPr="00883125">
        <w:t xml:space="preserve"> remain of the view that the 45 day rule </w:t>
      </w:r>
      <w:r w:rsidR="00C52695">
        <w:t xml:space="preserve">and other facts preventing utilisation by eligible investors </w:t>
      </w:r>
      <w:r w:rsidR="00C52695" w:rsidRPr="00883125">
        <w:t xml:space="preserve">is likely to be having an immaterial impact on the utilisation </w:t>
      </w:r>
      <w:r w:rsidR="00C52695">
        <w:t>value</w:t>
      </w:r>
      <w:r w:rsidR="00C52695" w:rsidRPr="00883125">
        <w:t xml:space="preserve"> by domestic investors. For clarity, </w:t>
      </w:r>
      <w:r w:rsidR="00C52695">
        <w:t>we do</w:t>
      </w:r>
      <w:r w:rsidR="00C52695" w:rsidRPr="00883125">
        <w:t xml:space="preserve"> not claim there are no domestic investors that hold shares for less than 45 days over the ex-dividend date. However, </w:t>
      </w:r>
      <w:r w:rsidR="00C52695">
        <w:t>we</w:t>
      </w:r>
      <w:r w:rsidR="00C52695"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52695" w:rsidRPr="00883125" w:rsidRDefault="00C52695" w:rsidP="00C52695">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511"/>
      </w:r>
      <w:r w:rsidRPr="00883125">
        <w:t xml:space="preserve"> We know that the amount of imputation credits attached to a dollar of fully franked dividends is $0.43 ($1 x 0.3/(1–0.3)).</w:t>
      </w:r>
      <w:r w:rsidRPr="00883125">
        <w:rPr>
          <w:rStyle w:val="FootnoteReference"/>
        </w:rPr>
        <w:footnoteReference w:id="512"/>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BF66D3" w:rsidRPr="00883125">
        <w:t xml:space="preserve">Table </w:t>
      </w:r>
      <w:r w:rsidR="00BF66D3">
        <w:rPr>
          <w:noProof/>
        </w:rPr>
        <w:t>4</w:t>
      </w:r>
      <w:r w:rsidR="00BF66D3">
        <w:noBreakHyphen/>
      </w:r>
      <w:r w:rsidR="00BF66D3">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513"/>
      </w:r>
      <w:r w:rsidRPr="00883125">
        <w:t xml:space="preserve"> This suggests that the 45-day holding rule is not having a material effect.</w:t>
      </w:r>
    </w:p>
    <w:p w:rsidR="00C52695" w:rsidRPr="00883125" w:rsidRDefault="00C52695" w:rsidP="00C52695">
      <w:pPr>
        <w:pStyle w:val="Caption"/>
      </w:pPr>
      <w:bookmarkStart w:id="289" w:name="_Ref401848641"/>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13</w:t>
      </w:r>
      <w:r w:rsidRPr="001D37D5">
        <w:fldChar w:fldCharType="end"/>
      </w:r>
      <w:bookmarkEnd w:id="289"/>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Fully franked dividends received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rPr>
                <w:rStyle w:val="AERtextitalic"/>
              </w:rPr>
            </w:pPr>
            <w:r w:rsidRPr="00883125">
              <w:rPr>
                <w:rStyle w:val="AERtextitalic"/>
              </w:rPr>
              <w:t>Implied imputation credits received</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Imputation credits utilised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52695" w:rsidRPr="00883125" w:rsidRDefault="00C52695" w:rsidP="00C52695">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52695" w:rsidRPr="00883125" w:rsidRDefault="00C52695" w:rsidP="00C52695">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514"/>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BF66D3">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52695" w:rsidRPr="00883125" w:rsidRDefault="00C52695" w:rsidP="00C52695">
      <w:r w:rsidRPr="00883125">
        <w:t xml:space="preserve">Based on these considerations, the 45-day holding rule does not appear to have a material effect on the utilisation rate. The analysis above was presented in our draft decisions released in 2014, but the service </w:t>
      </w:r>
      <w:r w:rsidR="0056734B">
        <w:t>providers</w:t>
      </w:r>
      <w:r w:rsidRPr="00883125">
        <w:t xml:space="preserve"> subject of those</w:t>
      </w:r>
      <w:r w:rsidR="0056734B">
        <w:t xml:space="preserve"> proposals</w:t>
      </w:r>
      <w:r w:rsidR="00BB4E44" w:rsidRPr="00883125">
        <w:t xml:space="preserve"> </w:t>
      </w:r>
      <w:r w:rsidRPr="00883125">
        <w:t>did not comment on it in their revised proposals. Instead, they submitted:</w:t>
      </w:r>
      <w:r w:rsidRPr="00883125">
        <w:rPr>
          <w:rStyle w:val="FootnoteReference"/>
        </w:rPr>
        <w:footnoteReference w:id="515"/>
      </w:r>
    </w:p>
    <w:p w:rsidR="00C52695" w:rsidRPr="00883125" w:rsidRDefault="00C52695" w:rsidP="00C52695">
      <w:pPr>
        <w:pStyle w:val="AERquote"/>
      </w:pPr>
      <w:r w:rsidRPr="00883125">
        <w:t>The AER seeks to dismiss the impact of tax rules affecting eligibility of domestic investors to redeem imputation credits by saying that:</w:t>
      </w:r>
    </w:p>
    <w:p w:rsidR="00C52695" w:rsidRPr="00883125" w:rsidRDefault="00C52695" w:rsidP="00C52695">
      <w:pPr>
        <w:pStyle w:val="AERquoteindent2"/>
      </w:pPr>
      <w:r w:rsidRPr="00883125">
        <w:t>“…we do not consider that there is clear evidence as to effect that these rules have or should be expected to have.”</w:t>
      </w:r>
    </w:p>
    <w:p w:rsidR="00C52695" w:rsidRPr="00883125" w:rsidRDefault="00C52695" w:rsidP="00C52695">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52695" w:rsidRPr="00883125" w:rsidRDefault="00C52695" w:rsidP="00C52695">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52695" w:rsidRPr="00883125" w:rsidRDefault="00C52695" w:rsidP="00C52695">
      <w:r w:rsidRPr="00883125">
        <w:t xml:space="preserve">We do not consider that this represents clear evidence as to the effect of the 45-day rule and other tax rules. </w:t>
      </w:r>
      <w:r w:rsidR="0056734B">
        <w:t>First</w:t>
      </w:r>
      <w:r w:rsidRPr="00883125">
        <w:t xml:space="preserve">, the service providers' approach does not contemplate error or inaccuracy in the tax statistics. In section </w:t>
      </w:r>
      <w:r w:rsidR="00647F58">
        <w:fldChar w:fldCharType="begin"/>
      </w:r>
      <w:r w:rsidR="00647F58">
        <w:instrText xml:space="preserve"> REF _Ref476650811 \r \h </w:instrText>
      </w:r>
      <w:r w:rsidR="00647F58">
        <w:fldChar w:fldCharType="separate"/>
      </w:r>
      <w:r w:rsidR="00BF66D3">
        <w:t>4.4</w:t>
      </w:r>
      <w:r w:rsidR="00647F58">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516"/>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517"/>
      </w:r>
      <w:r w:rsidRPr="00883125">
        <w:t xml:space="preserve"> we do not consider the above analysis provides compelling evidence that the 45 day rule is having a material impact given residual concerns with the data.</w:t>
      </w:r>
    </w:p>
    <w:p w:rsidR="00C52695" w:rsidRPr="00883125" w:rsidRDefault="0056734B" w:rsidP="00C52695">
      <w:pPr>
        <w:rPr>
          <w:rStyle w:val="AERbody"/>
        </w:rPr>
      </w:pPr>
      <w:r>
        <w:t>Second</w:t>
      </w:r>
      <w:r w:rsidR="00C52695" w:rsidRPr="00883125">
        <w:t>, the service providers' conclusion is contradicted by the analysis of tax statistics we presented in our prior decisions and which we repeat above</w:t>
      </w:r>
      <w:r w:rsidR="00C52695"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52695" w:rsidRPr="00883125" w:rsidRDefault="00C52695" w:rsidP="00C52695">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518"/>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519"/>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52695" w:rsidRDefault="00C52695" w:rsidP="00C52695">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520"/>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52695" w:rsidRPr="00B27BE5" w:rsidRDefault="00C52695" w:rsidP="00C52695">
      <w:pPr>
        <w:rPr>
          <w:rStyle w:val="AERbody"/>
        </w:rPr>
      </w:pPr>
      <w:r>
        <w:rPr>
          <w:rStyle w:val="AERbody"/>
        </w:rPr>
        <w:t>We consider Lally's</w:t>
      </w:r>
      <w:r w:rsidR="0026412F">
        <w:rPr>
          <w:rStyle w:val="AERbody"/>
        </w:rPr>
        <w:t xml:space="preserve"> </w:t>
      </w:r>
      <w:r>
        <w:rPr>
          <w:rStyle w:val="AERbody"/>
        </w:rPr>
        <w:t xml:space="preserve">report supports our </w:t>
      </w:r>
      <w:r w:rsidR="00116FD8">
        <w:rPr>
          <w:rStyle w:val="AERbody"/>
        </w:rPr>
        <w:t>position</w:t>
      </w:r>
      <w:r>
        <w:rPr>
          <w:rStyle w:val="AERbody"/>
        </w:rPr>
        <w:t xml:space="preserve">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521"/>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522"/>
      </w:r>
    </w:p>
    <w:p w:rsidR="00C52695" w:rsidRPr="00883125" w:rsidRDefault="00C52695" w:rsidP="007F6EED">
      <w:pPr>
        <w:pStyle w:val="HeadingBoldItalic"/>
      </w:pPr>
      <w:bookmarkStart w:id="290" w:name="_Ref400540858"/>
      <w:bookmarkStart w:id="291" w:name="_Toc456614315"/>
      <w:bookmarkStart w:id="292" w:name="_Toc481056695"/>
      <w:bookmarkStart w:id="293" w:name="_Toc481061489"/>
      <w:r w:rsidRPr="00883125">
        <w:t>Transactions costs</w:t>
      </w:r>
      <w:bookmarkEnd w:id="290"/>
      <w:bookmarkEnd w:id="291"/>
      <w:bookmarkEnd w:id="292"/>
      <w:bookmarkEnd w:id="293"/>
    </w:p>
    <w:p w:rsidR="00C52695" w:rsidRPr="00883125" w:rsidRDefault="00C52695" w:rsidP="00C52695">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523"/>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524"/>
      </w:r>
      <w:r>
        <w:t xml:space="preserve"> </w:t>
      </w:r>
      <w:r w:rsidR="00647F58">
        <w:t xml:space="preserve">A </w:t>
      </w:r>
      <w:r w:rsidR="00F11F36">
        <w:t>'</w:t>
      </w:r>
      <w:r w:rsidR="00647F58">
        <w:t>transaction cost</w:t>
      </w:r>
      <w:r w:rsidR="00F11F36">
        <w:t>'</w:t>
      </w:r>
      <w:r w:rsidR="00647F58">
        <w:t xml:space="preserve"> </w:t>
      </w:r>
      <w:r w:rsidR="003B39BF">
        <w:t xml:space="preserve">at the investor level </w:t>
      </w:r>
      <w:r w:rsidR="00647F58">
        <w:t xml:space="preserve">is a type of </w:t>
      </w:r>
      <w:r w:rsidR="00F11F36">
        <w:t>'</w:t>
      </w:r>
      <w:r w:rsidR="00647F58">
        <w:t>personal cost</w:t>
      </w:r>
      <w:r w:rsidR="00F11F36">
        <w:t>'</w:t>
      </w:r>
      <w:r w:rsidR="0059076A">
        <w:t xml:space="preserve"> and both terms are used interchangeably in this section.</w:t>
      </w:r>
    </w:p>
    <w:p w:rsidR="00C52695" w:rsidRPr="00883125" w:rsidRDefault="00C52695" w:rsidP="00C52695">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525"/>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632C53" w:rsidRDefault="002364FB" w:rsidP="00630745">
      <w:pPr>
        <w:numPr>
          <w:ilvl w:val="0"/>
          <w:numId w:val="24"/>
        </w:numPr>
      </w:pPr>
      <w:r>
        <w:t xml:space="preserve">To elaborate, all parameters and discount rates need to be measured on a consistent basis. </w:t>
      </w:r>
      <w:r w:rsidR="00E36B57">
        <w:t xml:space="preserve">Multinet </w:t>
      </w:r>
      <w:r w:rsidR="004575C1">
        <w:t xml:space="preserve">and AusNet </w:t>
      </w:r>
      <w:r w:rsidR="007A0E11">
        <w:t xml:space="preserve">Services </w:t>
      </w:r>
      <w:r w:rsidR="004575C1">
        <w:t xml:space="preserve">Gas Distribution </w:t>
      </w:r>
      <w:r w:rsidR="00630745">
        <w:t>submit</w:t>
      </w:r>
      <w:r w:rsidR="004575C1">
        <w:t>ted</w:t>
      </w:r>
      <w:r w:rsidR="00630745">
        <w:t xml:space="preserve"> that </w:t>
      </w:r>
      <w:r w:rsidR="004575C1">
        <w:t>their</w:t>
      </w:r>
      <w:r w:rsidR="00630745">
        <w:t xml:space="preserve"> gamma estimate is based on the post personal tax and personal cost market value and this is consistent with the rules.</w:t>
      </w:r>
      <w:r w:rsidR="00630745">
        <w:rPr>
          <w:rStyle w:val="FootnoteReference"/>
        </w:rPr>
        <w:footnoteReference w:id="526"/>
      </w:r>
      <w:r w:rsidR="00630745">
        <w:t xml:space="preserve"> However, such an approach is incorrect as pre-personal tax/cost estimates cannot be used </w:t>
      </w:r>
      <w:r w:rsidR="00632C53">
        <w:t>in conjunction with</w:t>
      </w:r>
      <w:r w:rsidR="00630745">
        <w:t xml:space="preserve"> post personal tax/cost estimate</w:t>
      </w:r>
      <w:r w:rsidR="00632C53">
        <w:t>s</w:t>
      </w:r>
      <w:r w:rsidR="00630745">
        <w:t>. In a valuation all parameters need to be estimate on an internally consistent basis.</w:t>
      </w:r>
      <w:r w:rsidR="0059076A">
        <w:t xml:space="preserve"> </w:t>
      </w:r>
    </w:p>
    <w:p w:rsidR="002364FB" w:rsidRDefault="002364FB" w:rsidP="00630745">
      <w:pPr>
        <w:numPr>
          <w:ilvl w:val="0"/>
          <w:numId w:val="24"/>
        </w:numPr>
      </w:pPr>
      <w:r>
        <w:t xml:space="preserve">A valuation can be conducted on </w:t>
      </w:r>
      <w:r w:rsidR="00C54418">
        <w:t>many</w:t>
      </w:r>
      <w:r w:rsidR="003A6595">
        <w:t xml:space="preserve"> different </w:t>
      </w:r>
      <w:r w:rsidR="00C54418">
        <w:t>base</w:t>
      </w:r>
      <w:r>
        <w:t>s</w:t>
      </w:r>
      <w:r w:rsidR="003A6595">
        <w:t>,</w:t>
      </w:r>
      <w:r w:rsidR="0056734B">
        <w:t xml:space="preserve"> such as:</w:t>
      </w:r>
    </w:p>
    <w:p w:rsidR="00FF43DC" w:rsidRDefault="00FF43DC" w:rsidP="00D414CC">
      <w:pPr>
        <w:pStyle w:val="AERbulletlistfirststyle"/>
      </w:pPr>
      <w:r>
        <w:t>Nominal vs real</w:t>
      </w:r>
    </w:p>
    <w:p w:rsidR="00C6205E" w:rsidRDefault="002364FB" w:rsidP="00D414CC">
      <w:pPr>
        <w:pStyle w:val="AERbulletlistfirststyle"/>
      </w:pPr>
      <w:r>
        <w:t>Pre-company tax vs post-company tax</w:t>
      </w:r>
      <w:r w:rsidR="00BB4E44">
        <w:t>.</w:t>
      </w:r>
    </w:p>
    <w:p w:rsidR="00932CE6" w:rsidRDefault="003B39BF" w:rsidP="00E750F8">
      <w:r>
        <w:t>In accordance with the rules, w</w:t>
      </w:r>
      <w:r w:rsidR="00C6205E">
        <w:t xml:space="preserve">e </w:t>
      </w:r>
      <w:r>
        <w:t xml:space="preserve">set our cash flows </w:t>
      </w:r>
      <w:r w:rsidR="00C6205E">
        <w:t xml:space="preserve">on </w:t>
      </w:r>
      <w:r w:rsidR="005E594B">
        <w:t xml:space="preserve">a </w:t>
      </w:r>
      <w:r w:rsidR="00C6205E">
        <w:t xml:space="preserve">nominal post-company tax basis. </w:t>
      </w:r>
      <w:r w:rsidR="00932CE6">
        <w:t xml:space="preserve">That is, our regulatory framework we use to set cash flows is effectively a post-company tax valuation framework. </w:t>
      </w:r>
      <w:r>
        <w:t>A post company tax analysis looks at the cash flows after company tax is paid and before investors incur personal level taxes and transaction costs.</w:t>
      </w:r>
    </w:p>
    <w:p w:rsidR="00C6205E" w:rsidRDefault="00E72A4A" w:rsidP="00E750F8">
      <w:r>
        <w:t>However, j</w:t>
      </w:r>
      <w:r w:rsidR="009B4DFC">
        <w:t xml:space="preserve">ust because </w:t>
      </w:r>
      <w:r w:rsidR="00932CE6">
        <w:t>our framework</w:t>
      </w:r>
      <w:r w:rsidR="009B4DFC">
        <w:t xml:space="preserve"> is done </w:t>
      </w:r>
      <w:r w:rsidR="000E792B">
        <w:t xml:space="preserve">on </w:t>
      </w:r>
      <w:r w:rsidR="000A2DAD">
        <w:t xml:space="preserve">a </w:t>
      </w:r>
      <w:r w:rsidR="00932CE6">
        <w:t xml:space="preserve">post-company tax basis (before </w:t>
      </w:r>
      <w:r w:rsidR="000E792B">
        <w:t>personal cost</w:t>
      </w:r>
      <w:r w:rsidR="00932CE6">
        <w:t>s</w:t>
      </w:r>
      <w:r w:rsidR="000E792B">
        <w:t xml:space="preserve"> and personal tax</w:t>
      </w:r>
      <w:r w:rsidR="00932CE6">
        <w:t>es</w:t>
      </w:r>
      <w:r w:rsidR="000E792B">
        <w:t xml:space="preserve"> </w:t>
      </w:r>
      <w:r w:rsidR="00932CE6">
        <w:t xml:space="preserve">are incurred) </w:t>
      </w:r>
      <w:r w:rsidR="000E792B">
        <w:t xml:space="preserve">does not mean that investors are not compensated for </w:t>
      </w:r>
      <w:r w:rsidR="000A2DAD">
        <w:t xml:space="preserve">their </w:t>
      </w:r>
      <w:r w:rsidR="000E792B">
        <w:t xml:space="preserve">personal costs and personal taxes. Rather, </w:t>
      </w:r>
      <w:r w:rsidR="00932CE6">
        <w:t xml:space="preserve">post-company tax returns </w:t>
      </w:r>
      <w:r w:rsidR="008D09C3">
        <w:t xml:space="preserve">by definition </w:t>
      </w:r>
      <w:r w:rsidR="00932CE6">
        <w:t>provide</w:t>
      </w:r>
      <w:r w:rsidR="000E792B">
        <w:t xml:space="preserve"> investors adequate compensation to cover </w:t>
      </w:r>
      <w:r w:rsidR="00ED5BD3">
        <w:t xml:space="preserve">all their </w:t>
      </w:r>
      <w:r w:rsidR="00C54418">
        <w:t xml:space="preserve">expected </w:t>
      </w:r>
      <w:r w:rsidR="00ED5BD3">
        <w:t xml:space="preserve">personal </w:t>
      </w:r>
      <w:r w:rsidR="00C54418">
        <w:t>taxes</w:t>
      </w:r>
      <w:r w:rsidR="00ED5BD3">
        <w:t xml:space="preserve"> and personal costs.</w:t>
      </w:r>
      <w:r w:rsidR="008D09C3">
        <w:t xml:space="preserve"> In setting the WACC we provide </w:t>
      </w:r>
      <w:r w:rsidR="00B2397A">
        <w:t>a</w:t>
      </w:r>
      <w:r w:rsidR="008D09C3">
        <w:t>n equity</w:t>
      </w:r>
      <w:r w:rsidR="00B2397A">
        <w:t xml:space="preserve"> return in line with the post-tax return in the </w:t>
      </w:r>
      <w:r w:rsidR="008D09C3">
        <w:t xml:space="preserve">Australian stock </w:t>
      </w:r>
      <w:r w:rsidR="00B2397A">
        <w:t>market</w:t>
      </w:r>
      <w:r w:rsidR="008D09C3">
        <w:t xml:space="preserve"> (for a firm of equivalent risk</w:t>
      </w:r>
      <w:r w:rsidR="000A2DAD">
        <w:t xml:space="preserve"> to the BEE</w:t>
      </w:r>
      <w:r w:rsidR="008D09C3">
        <w:t>)</w:t>
      </w:r>
      <w:r w:rsidR="00B2397A">
        <w:t xml:space="preserve">. The ex-ante expected post-company tax return on the </w:t>
      </w:r>
      <w:r w:rsidR="008D09C3">
        <w:t xml:space="preserve">Australian </w:t>
      </w:r>
      <w:r w:rsidR="00B2397A">
        <w:t>stock market, directly estimated from historical stock returns, is before investors incur any personal costs or personal taxes. While we acknowledge that pre the introduction of</w:t>
      </w:r>
      <w:r w:rsidR="005E594B">
        <w:t xml:space="preserve"> the imputations credits in 1987</w:t>
      </w:r>
      <w:r w:rsidR="00B2397A">
        <w:t xml:space="preserve"> no incremental personal costs associated with imputation credits were reflected in stock prices, we have advice </w:t>
      </w:r>
      <w:r w:rsidR="008D09C3">
        <w:t xml:space="preserve">from Lally that </w:t>
      </w:r>
      <w:r w:rsidR="00B2397A">
        <w:t xml:space="preserve">these </w:t>
      </w:r>
      <w:r w:rsidR="008D09C3">
        <w:t xml:space="preserve">incremental costs </w:t>
      </w:r>
      <w:r w:rsidR="00B2397A">
        <w:t>are likely to be immaterial.</w:t>
      </w:r>
      <w:r w:rsidR="008D09C3">
        <w:rPr>
          <w:rStyle w:val="FootnoteReference"/>
        </w:rPr>
        <w:footnoteReference w:id="527"/>
      </w:r>
      <w:r w:rsidR="00B2397A">
        <w:t xml:space="preserve"> We also note that </w:t>
      </w:r>
      <w:r w:rsidR="008D09C3">
        <w:t xml:space="preserve">the </w:t>
      </w:r>
      <w:r w:rsidR="00B2397A">
        <w:t xml:space="preserve">observed </w:t>
      </w:r>
      <w:r w:rsidR="008D09C3">
        <w:t>market risk premium</w:t>
      </w:r>
      <w:r w:rsidR="005E594B">
        <w:t xml:space="preserve"> post 1987</w:t>
      </w:r>
      <w:r w:rsidR="00B2397A">
        <w:t xml:space="preserve"> </w:t>
      </w:r>
      <w:r w:rsidR="008D09C3">
        <w:t xml:space="preserve">is lower than earlier periods further supporting that no further compensation is required for </w:t>
      </w:r>
      <w:r w:rsidR="000A2DAD">
        <w:t xml:space="preserve">any (expected immaterial) </w:t>
      </w:r>
      <w:r w:rsidR="008D09C3">
        <w:t>costs not reflected in earlier periods.</w:t>
      </w:r>
      <w:r w:rsidR="008D09C3">
        <w:rPr>
          <w:rStyle w:val="FootnoteReference"/>
        </w:rPr>
        <w:footnoteReference w:id="528"/>
      </w:r>
    </w:p>
    <w:p w:rsidR="00CD67EE" w:rsidRDefault="00B2397A" w:rsidP="00E750F8">
      <w:pPr>
        <w:rPr>
          <w:rStyle w:val="AERbody"/>
        </w:rPr>
      </w:pPr>
      <w:r>
        <w:rPr>
          <w:rStyle w:val="AERbody"/>
        </w:rPr>
        <w:t>Consistent with the post-company tax framework in the rules, t</w:t>
      </w:r>
      <w:r w:rsidR="002F4C1F">
        <w:rPr>
          <w:rStyle w:val="AERbody"/>
        </w:rPr>
        <w:t xml:space="preserve">he AER values redeemed imputation credits at their full face value on a pre-personal cost/tax </w:t>
      </w:r>
      <w:r w:rsidR="005E594B">
        <w:rPr>
          <w:rStyle w:val="AERbody"/>
        </w:rPr>
        <w:t>basis</w:t>
      </w:r>
      <w:r w:rsidR="002F4C1F">
        <w:rPr>
          <w:rStyle w:val="AERbody"/>
        </w:rPr>
        <w:t>. To the extent investors value redeemed imputation credits at less than their face value due to personal cost, this will be picked up in the market value of the s</w:t>
      </w:r>
      <w:r w:rsidR="002C3B6E">
        <w:rPr>
          <w:rStyle w:val="AERbody"/>
        </w:rPr>
        <w:t xml:space="preserve">tock which drives the difference </w:t>
      </w:r>
      <w:r w:rsidR="002F4C1F">
        <w:rPr>
          <w:rStyle w:val="AERbody"/>
        </w:rPr>
        <w:t>between the pre and post personal cost return on equity.</w:t>
      </w:r>
      <w:r w:rsidR="0059076A">
        <w:rPr>
          <w:rStyle w:val="AERbody"/>
        </w:rPr>
        <w:t xml:space="preserve"> This is also supported by Lally </w:t>
      </w:r>
      <w:r w:rsidR="009B225F">
        <w:rPr>
          <w:rStyle w:val="AERbody"/>
        </w:rPr>
        <w:t>who</w:t>
      </w:r>
      <w:r w:rsidR="0059076A">
        <w:rPr>
          <w:rStyle w:val="AERbody"/>
        </w:rPr>
        <w:t xml:space="preserve"> </w:t>
      </w:r>
      <w:r w:rsidR="00632C53">
        <w:rPr>
          <w:rStyle w:val="AERbody"/>
        </w:rPr>
        <w:t>considers</w:t>
      </w:r>
      <w:r w:rsidR="0059076A">
        <w:rPr>
          <w:rStyle w:val="AERbody"/>
        </w:rPr>
        <w:t xml:space="preserve"> no adjustment is required to the MRP for transaction costs because empirical estimates of the MRP will reflect the existence of any such costs.</w:t>
      </w:r>
      <w:r w:rsidR="0059076A">
        <w:rPr>
          <w:rStyle w:val="FootnoteReference"/>
        </w:rPr>
        <w:footnoteReference w:id="529"/>
      </w:r>
      <w:r w:rsidR="009B225F">
        <w:rPr>
          <w:rStyle w:val="AERbody"/>
        </w:rPr>
        <w:t xml:space="preserve"> Lally also notes that these costs will be expected to be immaterial.</w:t>
      </w:r>
      <w:r w:rsidR="009B225F">
        <w:rPr>
          <w:rStyle w:val="FootnoteReference"/>
        </w:rPr>
        <w:footnoteReference w:id="530"/>
      </w:r>
    </w:p>
    <w:p w:rsidR="00C52695" w:rsidRPr="00883125" w:rsidRDefault="0056734B" w:rsidP="00C52695">
      <w:pPr>
        <w:numPr>
          <w:ilvl w:val="0"/>
          <w:numId w:val="24"/>
        </w:numPr>
      </w:pPr>
      <w:r>
        <w:t>Second</w:t>
      </w:r>
      <w:r w:rsidR="00C52695" w:rsidRPr="00883125">
        <w:t>, we are not convinced that transactions costs are likely to dissuade a material number of investors from redeeming imputation credits. Our considerations on this are as follows:</w:t>
      </w:r>
    </w:p>
    <w:p w:rsidR="00C52695" w:rsidRPr="001D37D5" w:rsidRDefault="00C52695" w:rsidP="00C52695">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531"/>
      </w:r>
    </w:p>
    <w:p w:rsidR="00C52695" w:rsidRPr="001D37D5" w:rsidRDefault="00C52695" w:rsidP="00C52695">
      <w:pPr>
        <w:pStyle w:val="AERbulletlistfirststyle"/>
      </w:pPr>
      <w:r w:rsidRPr="00883125">
        <w:t xml:space="preserve">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w:t>
      </w:r>
      <w:r w:rsidR="00F702AF">
        <w:t>Yet</w:t>
      </w:r>
      <w:r w:rsidRPr="00883125">
        <w:t xml:space="preserve"> we consider it </w:t>
      </w:r>
      <w:r w:rsidR="00F702AF">
        <w:t xml:space="preserve">is </w:t>
      </w:r>
      <w:r w:rsidRPr="00883125">
        <w:t>true also of individual investors, particularly when innovations such as 'e-tax' and automatic pre-filling of tax returns would reduce any incremental costs if they exist.</w:t>
      </w:r>
      <w:r w:rsidRPr="001D37D5">
        <w:rPr>
          <w:rStyle w:val="FootnoteReference"/>
        </w:rPr>
        <w:footnoteReference w:id="532"/>
      </w:r>
    </w:p>
    <w:p w:rsidR="00C52695" w:rsidRPr="00883125" w:rsidRDefault="00C52695" w:rsidP="00C52695">
      <w:r w:rsidRPr="00883125">
        <w:t xml:space="preserve">As outlined in </w:t>
      </w:r>
      <w:r w:rsidRPr="00883125">
        <w:fldChar w:fldCharType="begin"/>
      </w:r>
      <w:r w:rsidRPr="00883125">
        <w:instrText xml:space="preserve"> REF _Ref450298425 \r \h </w:instrText>
      </w:r>
      <w:r w:rsidRPr="00883125">
        <w:fldChar w:fldCharType="separate"/>
      </w:r>
      <w:r w:rsidR="00BF66D3">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52695" w:rsidRDefault="00C52695" w:rsidP="00C52695">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AD7E20" w:rsidRDefault="00C52695" w:rsidP="00C52695">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53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534"/>
      </w:r>
      <w:r>
        <w:t xml:space="preserve"> </w:t>
      </w:r>
      <w:r w:rsidR="00AD7E20">
        <w:t>In his recent report</w:t>
      </w:r>
      <w:r w:rsidR="0068558A">
        <w:t xml:space="preserve"> for us</w:t>
      </w:r>
      <w:r w:rsidR="00AD7E20">
        <w:t>, Lally</w:t>
      </w:r>
      <w:r w:rsidR="005E594B">
        <w:t>,</w:t>
      </w:r>
      <w:r w:rsidR="00AD7E20">
        <w:t xml:space="preserve"> </w:t>
      </w:r>
      <w:r w:rsidR="0043564A">
        <w:t>while expressing the view personal costs could theoretically influence the results of a DDO</w:t>
      </w:r>
      <w:r w:rsidR="005E594B">
        <w:t xml:space="preserve"> study</w:t>
      </w:r>
      <w:r w:rsidR="0043564A">
        <w:t>,</w:t>
      </w:r>
      <w:r w:rsidR="00C56A93">
        <w:t xml:space="preserve"> </w:t>
      </w:r>
      <w:r w:rsidR="0043564A">
        <w:t>considers these costs would be immaterial</w:t>
      </w:r>
      <w:r w:rsidR="00AD7E20">
        <w:t>.</w:t>
      </w:r>
      <w:r w:rsidR="00AD7E20">
        <w:rPr>
          <w:rStyle w:val="FootnoteReference"/>
        </w:rPr>
        <w:footnoteReference w:id="535"/>
      </w:r>
    </w:p>
    <w:p w:rsidR="00C52695" w:rsidRPr="00883125" w:rsidRDefault="00C52695" w:rsidP="00C52695">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52695" w:rsidRPr="00E750F8" w:rsidRDefault="00C52695" w:rsidP="007F6EED">
      <w:pPr>
        <w:pStyle w:val="HeadingBoldItalic"/>
        <w:rPr>
          <w:rStyle w:val="AERbody"/>
          <w:color w:val="70635A" w:themeColor="text2"/>
          <w:sz w:val="28"/>
        </w:rPr>
      </w:pPr>
      <w:bookmarkStart w:id="294" w:name="_Toc456614316"/>
      <w:bookmarkStart w:id="295" w:name="_Toc481056696"/>
      <w:bookmarkStart w:id="296" w:name="_Toc481061490"/>
      <w:r w:rsidRPr="007A4EAF">
        <w:rPr>
          <w:rStyle w:val="AERbody"/>
          <w:color w:val="70635A" w:themeColor="text2"/>
          <w:sz w:val="28"/>
        </w:rPr>
        <w:t>Time value of money</w:t>
      </w:r>
      <w:bookmarkEnd w:id="294"/>
      <w:bookmarkEnd w:id="295"/>
      <w:bookmarkEnd w:id="296"/>
    </w:p>
    <w:p w:rsidR="00C52695" w:rsidRPr="00883125" w:rsidRDefault="00C52695" w:rsidP="00C52695">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536"/>
      </w:r>
      <w:r w:rsidRPr="00883125">
        <w:t xml:space="preserve"> In response, we note that:</w:t>
      </w:r>
    </w:p>
    <w:p w:rsidR="00C52695" w:rsidRPr="00883125" w:rsidRDefault="00C52695" w:rsidP="00C52695">
      <w:pPr>
        <w:pStyle w:val="AERbulletlistfirststyle"/>
      </w:pPr>
      <w:r w:rsidRPr="00883125">
        <w:t>We are unaware of any evidence that indicates the average size of this time delay across all investors.</w:t>
      </w:r>
    </w:p>
    <w:p w:rsidR="00C52695" w:rsidRPr="001D37D5" w:rsidRDefault="00C52695" w:rsidP="00C52695">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1D37D5">
        <w:rPr>
          <w:rStyle w:val="FootnoteReference"/>
        </w:rPr>
        <w:footnoteReference w:id="537"/>
      </w:r>
    </w:p>
    <w:p w:rsidR="00C52695" w:rsidRDefault="00C52695" w:rsidP="00C52695">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52695" w:rsidRPr="00883125" w:rsidRDefault="00C52695" w:rsidP="007F6EED">
      <w:pPr>
        <w:pStyle w:val="HeadingBoldItalic"/>
      </w:pPr>
      <w:bookmarkStart w:id="297" w:name="_Toc456614317"/>
      <w:bookmarkStart w:id="298" w:name="_Toc481056697"/>
      <w:bookmarkStart w:id="299" w:name="_Toc481061491"/>
      <w:r w:rsidRPr="00883125">
        <w:t>Portfolio effects</w:t>
      </w:r>
      <w:bookmarkEnd w:id="297"/>
      <w:bookmarkEnd w:id="298"/>
      <w:bookmarkEnd w:id="299"/>
    </w:p>
    <w:p w:rsidR="00C52695" w:rsidRDefault="00C52695" w:rsidP="00C52695">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538"/>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539"/>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BF66D3">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56734B" w:rsidRDefault="006C032A" w:rsidP="0056734B">
      <w:r>
        <w:t>The SAPN Tribunal considered that it was unclear whether portfolio effects would have an impact on the value of imputation credits:</w:t>
      </w:r>
      <w:r>
        <w:rPr>
          <w:rStyle w:val="FootnoteReference"/>
        </w:rPr>
        <w:footnoteReference w:id="540"/>
      </w:r>
    </w:p>
    <w:p w:rsidR="006C032A" w:rsidRPr="00883125" w:rsidRDefault="006C032A" w:rsidP="00E750F8">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C52695" w:rsidRPr="00883125" w:rsidRDefault="00C52695" w:rsidP="007F6EED">
      <w:pPr>
        <w:pStyle w:val="HeadingBoldItalic"/>
      </w:pPr>
      <w:bookmarkStart w:id="300" w:name="_Toc456614318"/>
      <w:bookmarkStart w:id="301" w:name="_Toc481056698"/>
      <w:bookmarkStart w:id="302" w:name="_Toc481061492"/>
      <w:r w:rsidRPr="00883125">
        <w:t>The 'illustrative impact' of these factors</w:t>
      </w:r>
      <w:bookmarkEnd w:id="300"/>
      <w:bookmarkEnd w:id="301"/>
      <w:bookmarkEnd w:id="302"/>
    </w:p>
    <w:p w:rsidR="00C52695" w:rsidRPr="00883125" w:rsidRDefault="00C52695" w:rsidP="00C52695">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541"/>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xml:space="preserve">. </w:t>
      </w:r>
    </w:p>
    <w:p w:rsidR="00C52695" w:rsidRPr="00883125" w:rsidRDefault="00C52695" w:rsidP="00C52695">
      <w:pPr>
        <w:pStyle w:val="Caption"/>
      </w:pPr>
      <w:bookmarkStart w:id="303" w:name="_Ref415078600"/>
      <w:r w:rsidRPr="00883125">
        <w:t xml:space="preserve">Figure </w:t>
      </w:r>
      <w:r w:rsidRPr="00B27BE5">
        <w:fldChar w:fldCharType="begin"/>
      </w:r>
      <w:r>
        <w:instrText xml:space="preserve"> STYLEREF 1 \s </w:instrText>
      </w:r>
      <w:r w:rsidRPr="00B27BE5">
        <w:fldChar w:fldCharType="separate"/>
      </w:r>
      <w:r w:rsidR="00BF66D3">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F66D3">
        <w:rPr>
          <w:noProof/>
        </w:rPr>
        <w:t>1</w:t>
      </w:r>
      <w:r w:rsidRPr="00B27BE5">
        <w:fldChar w:fldCharType="end"/>
      </w:r>
      <w:bookmarkEnd w:id="303"/>
      <w:r w:rsidRPr="00883125">
        <w:tab/>
        <w:t>Illustrative impact on value of imputation credits – listed equity</w:t>
      </w:r>
    </w:p>
    <w:p w:rsidR="00C52695" w:rsidRPr="00883125" w:rsidRDefault="00C52695" w:rsidP="00C52695">
      <w:r w:rsidRPr="00C52695">
        <w:rPr>
          <w:noProof/>
          <w:lang w:eastAsia="en-AU"/>
        </w:rPr>
        <w:drawing>
          <wp:inline distT="0" distB="0" distL="0" distR="0" wp14:anchorId="751AC63F" wp14:editId="1F345DBE">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52695" w:rsidRPr="00883125" w:rsidRDefault="00C52695" w:rsidP="00C52695">
      <w:pPr>
        <w:pStyle w:val="Caption"/>
      </w:pPr>
      <w:bookmarkStart w:id="304" w:name="_Ref415078618"/>
      <w:r w:rsidRPr="00883125">
        <w:t xml:space="preserve">Figure </w:t>
      </w:r>
      <w:r w:rsidRPr="00B27BE5">
        <w:fldChar w:fldCharType="begin"/>
      </w:r>
      <w:r>
        <w:instrText xml:space="preserve"> STYLEREF 1 \s </w:instrText>
      </w:r>
      <w:r w:rsidRPr="00B27BE5">
        <w:fldChar w:fldCharType="separate"/>
      </w:r>
      <w:r w:rsidR="00BF66D3">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F66D3">
        <w:rPr>
          <w:noProof/>
        </w:rPr>
        <w:t>2</w:t>
      </w:r>
      <w:r w:rsidRPr="00B27BE5">
        <w:fldChar w:fldCharType="end"/>
      </w:r>
      <w:bookmarkEnd w:id="304"/>
      <w:r w:rsidRPr="00883125">
        <w:tab/>
        <w:t>Illustrative impact on value of imputation credits – all equity</w:t>
      </w:r>
    </w:p>
    <w:p w:rsidR="00C52695" w:rsidRPr="00883125" w:rsidRDefault="00C52695" w:rsidP="00C52695">
      <w:r w:rsidRPr="00C52695">
        <w:rPr>
          <w:noProof/>
          <w:lang w:eastAsia="en-AU"/>
        </w:rPr>
        <w:drawing>
          <wp:inline distT="0" distB="0" distL="0" distR="0" wp14:anchorId="36FD096E" wp14:editId="245F9EC6">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52695" w:rsidRPr="00883125" w:rsidRDefault="00C52695" w:rsidP="00C52695">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52695" w:rsidRPr="00883125" w:rsidRDefault="00C52695" w:rsidP="00C52695">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52695" w:rsidRPr="00883125" w:rsidRDefault="00C52695" w:rsidP="00C52695">
      <w:pPr>
        <w:pStyle w:val="HeadingBoldItalic"/>
      </w:pPr>
      <w:bookmarkStart w:id="305" w:name="_Toc456614319"/>
      <w:bookmarkStart w:id="306" w:name="_Toc481056699"/>
      <w:bookmarkStart w:id="307" w:name="_Toc481061493"/>
      <w:r w:rsidRPr="00883125">
        <w:t>The relevant equity ownership share</w:t>
      </w:r>
      <w:bookmarkEnd w:id="305"/>
      <w:bookmarkEnd w:id="306"/>
      <w:bookmarkEnd w:id="307"/>
    </w:p>
    <w:p w:rsidR="00C52695" w:rsidRPr="00883125" w:rsidRDefault="00C52695" w:rsidP="00C52695">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542"/>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w:t>
      </w:r>
    </w:p>
    <w:p w:rsidR="00C52695" w:rsidRPr="00883125" w:rsidRDefault="00C52695" w:rsidP="00C52695">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52695" w:rsidRPr="00883125" w:rsidRDefault="00C52695" w:rsidP="00C52695">
      <w:pPr>
        <w:pStyle w:val="HeadingBoldItalic"/>
      </w:pPr>
      <w:bookmarkStart w:id="308" w:name="_Toc456614320"/>
      <w:bookmarkStart w:id="309" w:name="_Toc481056700"/>
      <w:bookmarkStart w:id="310" w:name="_Toc481061494"/>
      <w:r w:rsidRPr="00883125">
        <w:t>Implications for the value of distributed credits across investors in all equity</w:t>
      </w:r>
      <w:bookmarkEnd w:id="308"/>
      <w:bookmarkEnd w:id="309"/>
      <w:bookmarkEnd w:id="310"/>
    </w:p>
    <w:p w:rsidR="00C52695" w:rsidRPr="00883125" w:rsidRDefault="00C52695" w:rsidP="00C52695">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52695" w:rsidRPr="00883125" w:rsidRDefault="00C52695" w:rsidP="00C52695">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543"/>
      </w:r>
    </w:p>
    <w:p w:rsidR="00C52695" w:rsidRPr="00883125" w:rsidRDefault="00C52695" w:rsidP="00C52695">
      <w:pPr>
        <w:pStyle w:val="HeadingBoldItalic"/>
      </w:pPr>
      <w:bookmarkStart w:id="311" w:name="_Toc456614321"/>
      <w:bookmarkStart w:id="312" w:name="_Toc481056701"/>
      <w:bookmarkStart w:id="313" w:name="_Toc481061495"/>
      <w:r w:rsidRPr="00883125">
        <w:t>Comparison to the redemption rate from tax statistics</w:t>
      </w:r>
      <w:bookmarkEnd w:id="311"/>
      <w:bookmarkEnd w:id="312"/>
      <w:bookmarkEnd w:id="313"/>
    </w:p>
    <w:p w:rsidR="00C52695" w:rsidRPr="00883125" w:rsidRDefault="00C52695" w:rsidP="00C52695">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52695" w:rsidRPr="00883125" w:rsidRDefault="00514A99" w:rsidP="00C52695">
      <w:r>
        <w:t>First</w:t>
      </w:r>
      <w:r w:rsidR="00C52695" w:rsidRPr="00883125">
        <w:t>, the redemption rate from tax statistics reflects all equity, and therefore it is inconsistent to compare it to the foreign ownership share of listed equity.</w:t>
      </w:r>
    </w:p>
    <w:p w:rsidR="00197663" w:rsidRDefault="00514A99" w:rsidP="00C52695">
      <w:pPr>
        <w:rPr>
          <w:rStyle w:val="AERbody"/>
        </w:rPr>
      </w:pPr>
      <w:r>
        <w:t>Second</w:t>
      </w:r>
      <w:r w:rsidR="00C52695" w:rsidRPr="00883125">
        <w:t xml:space="preserve">, this estimate does not contemplate error or inaccuracy in the tax statistics. In section </w:t>
      </w:r>
      <w:r w:rsidR="005271EF">
        <w:fldChar w:fldCharType="begin"/>
      </w:r>
      <w:r w:rsidR="005271EF">
        <w:instrText xml:space="preserve"> REF _Ref475371808 \r \h </w:instrText>
      </w:r>
      <w:r w:rsidR="005271EF">
        <w:fldChar w:fldCharType="separate"/>
      </w:r>
      <w:r w:rsidR="00BF66D3">
        <w:t>4.4</w:t>
      </w:r>
      <w:r w:rsidR="005271EF">
        <w:fldChar w:fldCharType="end"/>
      </w:r>
      <w:r w:rsidR="00C52695"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00C52695" w:rsidRPr="00883125">
        <w:rPr>
          <w:rStyle w:val="FootnoteReference"/>
        </w:rPr>
        <w:footnoteReference w:id="544"/>
      </w:r>
      <w:r w:rsidR="00C52695" w:rsidRPr="00883125">
        <w:t xml:space="preserve"> </w:t>
      </w:r>
      <w:r w:rsidR="00C52695" w:rsidRPr="00883125">
        <w:rPr>
          <w:rStyle w:val="AERbody"/>
        </w:rPr>
        <w:t>NERA has subsequently submitted that tax statistics can be used to estimate a value for theta consistent with a 70% distribution rate, and can also be used to estimate an upper bound value for gamma.</w:t>
      </w:r>
      <w:r w:rsidR="00C52695" w:rsidRPr="00883125">
        <w:rPr>
          <w:rStyle w:val="FootnoteReference"/>
        </w:rPr>
        <w:footnoteReference w:id="545"/>
      </w:r>
      <w:r w:rsidR="00C52695" w:rsidRPr="00883125">
        <w:rPr>
          <w:rStyle w:val="AERbody"/>
        </w:rPr>
        <w:t xml:space="preserve"> Gray (for Frontier) appears to support this.</w:t>
      </w:r>
      <w:r w:rsidR="00C52695" w:rsidRPr="00883125">
        <w:rPr>
          <w:rStyle w:val="FootnoteReference"/>
        </w:rPr>
        <w:footnoteReference w:id="546"/>
      </w:r>
      <w:r w:rsidR="00C52695" w:rsidRPr="00883125">
        <w:rPr>
          <w:rStyle w:val="AERbody"/>
        </w:rPr>
        <w:t xml:space="preserve"> </w:t>
      </w:r>
      <w:r w:rsidR="00197663">
        <w:rPr>
          <w:rStyle w:val="AERbody"/>
        </w:rPr>
        <w:t>Frontier considers that</w:t>
      </w:r>
      <w:r w:rsidR="00C21B8A">
        <w:rPr>
          <w:rStyle w:val="AERbody"/>
        </w:rPr>
        <w:t xml:space="preserve"> gamma can be estimate reliably from tax</w:t>
      </w:r>
      <w:r w:rsidR="00197663">
        <w:rPr>
          <w:rStyle w:val="AERbody"/>
        </w:rPr>
        <w:t xml:space="preserve"> statistics as the ratio of credits redeemed to credit generated.</w:t>
      </w:r>
      <w:r w:rsidR="00197663">
        <w:rPr>
          <w:rStyle w:val="FootnoteReference"/>
        </w:rPr>
        <w:footnoteReference w:id="547"/>
      </w:r>
      <w:r w:rsidR="00197663">
        <w:rPr>
          <w:rStyle w:val="AERbody"/>
        </w:rPr>
        <w:t xml:space="preserve"> </w:t>
      </w:r>
    </w:p>
    <w:p w:rsidR="00C52695" w:rsidRPr="00883125" w:rsidRDefault="00C52695" w:rsidP="00C52695">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00BB4E44">
        <w:rPr>
          <w:rStyle w:val="AERbody"/>
        </w:rPr>
        <w:t>,</w:t>
      </w:r>
      <w:r w:rsidRPr="00883125">
        <w:rPr>
          <w:rStyle w:val="FootnoteReference"/>
        </w:rPr>
        <w:footnoteReference w:id="548"/>
      </w:r>
      <w:r w:rsidRPr="00883125">
        <w:rPr>
          <w:rStyle w:val="AERbody"/>
        </w:rPr>
        <w:t xml:space="preserve"> we remain of the view we should treat estimates of theta based on tax data with caution. Hathaway's draft 2014 report gives us no cause to change our view.</w:t>
      </w:r>
      <w:r w:rsidRPr="00883125">
        <w:rPr>
          <w:rStyle w:val="FootnoteReference"/>
        </w:rPr>
        <w:footnoteReference w:id="549"/>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50"/>
      </w:r>
      <w:r w:rsidR="00197663">
        <w:rPr>
          <w:rStyle w:val="AERbody"/>
        </w:rPr>
        <w:t xml:space="preserve"> The reliability of tax statistics is further discussed in section </w:t>
      </w:r>
      <w:r w:rsidR="006C032A">
        <w:rPr>
          <w:rStyle w:val="AERbody"/>
        </w:rPr>
        <w:fldChar w:fldCharType="begin"/>
      </w:r>
      <w:r w:rsidR="006C032A">
        <w:rPr>
          <w:rStyle w:val="AERbody"/>
        </w:rPr>
        <w:instrText xml:space="preserve"> REF _Ref402179420 \r \h </w:instrText>
      </w:r>
      <w:r w:rsidR="006C032A">
        <w:rPr>
          <w:rStyle w:val="AERbody"/>
        </w:rPr>
      </w:r>
      <w:r w:rsidR="006C032A">
        <w:rPr>
          <w:rStyle w:val="AERbody"/>
        </w:rPr>
        <w:fldChar w:fldCharType="separate"/>
      </w:r>
      <w:r w:rsidR="00BF66D3">
        <w:rPr>
          <w:rStyle w:val="AERbody"/>
        </w:rPr>
        <w:t>A.13</w:t>
      </w:r>
      <w:r w:rsidR="006C032A">
        <w:rPr>
          <w:rStyle w:val="AERbody"/>
        </w:rPr>
        <w:fldChar w:fldCharType="end"/>
      </w:r>
      <w:r w:rsidR="002621B0">
        <w:rPr>
          <w:rStyle w:val="AERbody"/>
        </w:rPr>
        <w:t>. Dr Lally, in his most recent report for us, also expresses the view in response to Frontier that the taxation statistics should continue to be viewed with caution</w:t>
      </w:r>
      <w:r w:rsidR="002160C8">
        <w:rPr>
          <w:rStyle w:val="FootnoteReference"/>
        </w:rPr>
        <w:footnoteReference w:id="551"/>
      </w:r>
    </w:p>
    <w:p w:rsidR="00C52695" w:rsidRPr="00883125" w:rsidRDefault="00C52695" w:rsidP="00C52695">
      <w:r w:rsidRPr="00883125">
        <w:t>Thirdly, we are not convinced that the 45-day holding rule and transaction costs are contributing to a material amount of credits not being redeemed. As discussed above, this is because:</w:t>
      </w:r>
    </w:p>
    <w:p w:rsidR="00C52695" w:rsidRPr="00883125" w:rsidRDefault="00C52695" w:rsidP="00C52695">
      <w:pPr>
        <w:pStyle w:val="AERbulletlistfirststyle"/>
      </w:pPr>
      <w:r w:rsidRPr="00883125">
        <w:t>Our analysis of the 45-day rule suggests that it is not having a material effect. Although we acknowledge this analysis is subject to any data quality issues with the tax statistics.</w:t>
      </w:r>
    </w:p>
    <w:p w:rsidR="00C52695" w:rsidRPr="00883125" w:rsidRDefault="00C52695" w:rsidP="00C52695">
      <w:pPr>
        <w:pStyle w:val="AERbulletlistfirststyle"/>
      </w:pPr>
      <w:r w:rsidRPr="00883125">
        <w:t xml:space="preserve">We do not consider that transactions costs are likely to dissuade a material number of investors from redeeming imputation credits. </w:t>
      </w:r>
    </w:p>
    <w:p w:rsidR="00C52695" w:rsidRPr="00883125" w:rsidRDefault="00C52695" w:rsidP="00C52695">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552"/>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53"/>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52695" w:rsidRPr="00883125" w:rsidRDefault="00C52695" w:rsidP="00C52695">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BF66D3">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52695" w:rsidRPr="00883125" w:rsidRDefault="00C52695" w:rsidP="00C52695">
      <w:pPr>
        <w:pStyle w:val="Heading9"/>
      </w:pPr>
      <w:bookmarkStart w:id="314" w:name="_Toc456614322"/>
      <w:bookmarkStart w:id="315" w:name="_Toc462823328"/>
      <w:bookmarkStart w:id="316" w:name="_Toc487014336"/>
      <w:bookmarkStart w:id="317" w:name="_Ref415068711"/>
      <w:bookmarkStart w:id="318" w:name="_Toc436049450"/>
      <w:r w:rsidRPr="00883125">
        <w:t>NERA's comments on the utilisation rate</w:t>
      </w:r>
      <w:bookmarkEnd w:id="314"/>
      <w:bookmarkEnd w:id="315"/>
      <w:bookmarkEnd w:id="316"/>
    </w:p>
    <w:p w:rsidR="00C52695" w:rsidRPr="00883125" w:rsidRDefault="00C52695" w:rsidP="00C52695">
      <w:r w:rsidRPr="00883125">
        <w:t>NERA submitted that theta is the value that a representative investor places on a dollar of distributed imputation credits.</w:t>
      </w:r>
      <w:r w:rsidRPr="00883125">
        <w:rPr>
          <w:rStyle w:val="FootnoteReference"/>
        </w:rPr>
        <w:footnoteReference w:id="554"/>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52695" w:rsidRPr="00883125" w:rsidRDefault="00C52695" w:rsidP="00C52695">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52695" w:rsidRPr="00883125" w:rsidRDefault="00C52695" w:rsidP="00C52695">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55"/>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56"/>
      </w:r>
    </w:p>
    <w:p w:rsidR="00C52695" w:rsidRPr="00883125" w:rsidRDefault="00C52695" w:rsidP="00C52695">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52695" w:rsidRPr="00883125" w:rsidRDefault="00C52695" w:rsidP="00C52695">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52695" w:rsidRPr="00883125" w:rsidRDefault="00C52695" w:rsidP="00C52695">
      <w:r w:rsidRPr="00883125">
        <w:t>Our view is supported by Handley's review of NERA's submission. Handley concluded:</w:t>
      </w:r>
      <w:r w:rsidRPr="00883125">
        <w:rPr>
          <w:rStyle w:val="FootnoteReference"/>
        </w:rPr>
        <w:footnoteReference w:id="557"/>
      </w:r>
    </w:p>
    <w:p w:rsidR="00C52695" w:rsidRPr="00883125" w:rsidRDefault="00C52695" w:rsidP="00C52695">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In my opinion, NERA’s analysis does not establish the presence of a wedge between theta and the redemption rate and so does not invalidate the use of tax statistics to estimate theta. </w:t>
      </w:r>
    </w:p>
    <w:p w:rsidR="00C52695" w:rsidRPr="00883125" w:rsidRDefault="00C52695" w:rsidP="00C52695">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58"/>
      </w:r>
      <w:r w:rsidRPr="00883125">
        <w:rPr>
          <w:rStyle w:val="AERbody"/>
        </w:rPr>
        <w:t xml:space="preserve"> In this report NERA put forward several propositions:</w:t>
      </w:r>
    </w:p>
    <w:p w:rsidR="00C52695" w:rsidRPr="005764F6" w:rsidRDefault="00C52695" w:rsidP="00C52695">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52695" w:rsidRPr="005764F6" w:rsidRDefault="00C52695" w:rsidP="00C52695">
      <w:pPr>
        <w:pStyle w:val="AERbulletlistfirststyle"/>
      </w:pPr>
      <w:r>
        <w:t>Our</w:t>
      </w:r>
      <w:r w:rsidRPr="005764F6">
        <w:t xml:space="preserve"> use of a domestic Australian CAPM does not justify any presumption that theta take a non-negligible value.</w:t>
      </w:r>
    </w:p>
    <w:p w:rsidR="00C52695" w:rsidRPr="005764F6" w:rsidRDefault="00C52695" w:rsidP="00C52695">
      <w:pPr>
        <w:pStyle w:val="AERbulletlistfirststyle"/>
      </w:pPr>
      <w:r w:rsidRPr="005764F6">
        <w:t xml:space="preserve">The estimated cost of capital from a domestic CAPM will equal the cost of capital from an international CAPM under certain assumptions. </w:t>
      </w:r>
    </w:p>
    <w:p w:rsidR="00C52695" w:rsidRPr="00883125" w:rsidRDefault="00C52695" w:rsidP="00C52695">
      <w:pPr>
        <w:rPr>
          <w:rStyle w:val="AERbody"/>
        </w:rPr>
      </w:pPr>
      <w:r w:rsidRPr="00883125">
        <w:rPr>
          <w:rStyle w:val="AERbody"/>
        </w:rPr>
        <w:t>In response, we note that we consider our approach is consistent with our definition of the Australian domestic market in the presence of foreign investors.</w:t>
      </w:r>
    </w:p>
    <w:p w:rsidR="00C52695" w:rsidRPr="00883125" w:rsidRDefault="00C52695" w:rsidP="00C52695">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59"/>
      </w:r>
      <w:r w:rsidRPr="00883125">
        <w:rPr>
          <w:rStyle w:val="AERbody"/>
        </w:rPr>
        <w:t xml:space="preserve"> We also note that NERA's model is an international asset pricing model.</w:t>
      </w:r>
      <w:r w:rsidRPr="00883125">
        <w:rPr>
          <w:rStyle w:val="FootnoteReference"/>
        </w:rPr>
        <w:footnoteReference w:id="560"/>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61"/>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62"/>
      </w:r>
    </w:p>
    <w:p w:rsidR="00C52695" w:rsidRPr="00DA0E8B" w:rsidRDefault="00C52695" w:rsidP="00C52695">
      <w:pPr>
        <w:pStyle w:val="AERquote"/>
      </w:pPr>
      <w:r w:rsidRPr="00DA0E8B">
        <w:t xml:space="preserve">"The assumption that Australian aggregated wealth makes up 60 </w:t>
      </w:r>
      <w:r w:rsidR="00116FD8" w:rsidRPr="00DA0E8B">
        <w:t>per cent</w:t>
      </w:r>
      <w:r w:rsidRPr="00DA0E8B">
        <w:t xml:space="preserve"> of the world wealth is also very clearly at odds with the evidence and so we conclude that Handley's second example is similarly of no practical relevance." </w:t>
      </w:r>
    </w:p>
    <w:p w:rsidR="00C52695" w:rsidRPr="00883125" w:rsidRDefault="00C52695" w:rsidP="00C52695">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52695" w:rsidRPr="00883125" w:rsidRDefault="00C52695" w:rsidP="00C52695">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63"/>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64"/>
      </w:r>
    </w:p>
    <w:p w:rsidR="00C52695" w:rsidRPr="00883125" w:rsidRDefault="00C52695" w:rsidP="00C52695">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565"/>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66"/>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67"/>
      </w:r>
    </w:p>
    <w:p w:rsidR="00C52695" w:rsidRPr="00C52695" w:rsidRDefault="00C52695" w:rsidP="00C52695">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52695" w:rsidRPr="00883125" w:rsidRDefault="00C52695" w:rsidP="00C52695">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68"/>
      </w:r>
      <w:r w:rsidRPr="00883125">
        <w:rPr>
          <w:rStyle w:val="AERbody"/>
        </w:rPr>
        <w:t xml:space="preserve">  </w:t>
      </w:r>
    </w:p>
    <w:p w:rsidR="00C52695" w:rsidRPr="00883125" w:rsidRDefault="00C52695" w:rsidP="00C52695">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69"/>
      </w:r>
    </w:p>
    <w:p w:rsidR="00C52695" w:rsidRPr="00883125" w:rsidRDefault="00C52695" w:rsidP="00C52695">
      <w:pPr>
        <w:pStyle w:val="Heading8"/>
      </w:pPr>
      <w:bookmarkStart w:id="319" w:name="_Ref451790065"/>
      <w:bookmarkStart w:id="320" w:name="_Toc451842255"/>
      <w:bookmarkStart w:id="321" w:name="_Toc451938310"/>
      <w:bookmarkStart w:id="322" w:name="_Toc456614323"/>
      <w:bookmarkStart w:id="323" w:name="_Toc462823329"/>
      <w:bookmarkStart w:id="324" w:name="_Toc487014337"/>
      <w:r w:rsidRPr="00883125">
        <w:t>Estimation approach considerations</w:t>
      </w:r>
      <w:bookmarkEnd w:id="317"/>
      <w:bookmarkEnd w:id="318"/>
      <w:bookmarkEnd w:id="319"/>
      <w:bookmarkEnd w:id="320"/>
      <w:bookmarkEnd w:id="321"/>
      <w:bookmarkEnd w:id="322"/>
      <w:bookmarkEnd w:id="323"/>
      <w:bookmarkEnd w:id="324"/>
    </w:p>
    <w:p w:rsidR="00C52695" w:rsidRPr="00883125" w:rsidRDefault="00C52695" w:rsidP="00C52695">
      <w:pPr>
        <w:numPr>
          <w:ilvl w:val="0"/>
          <w:numId w:val="24"/>
        </w:numPr>
      </w:pPr>
      <w:r w:rsidRPr="00883125">
        <w:t>Two considerations that were not proposed in the Guideline in determining the value of imputation credits are discussed below.</w:t>
      </w:r>
    </w:p>
    <w:p w:rsidR="00C52695" w:rsidRPr="00883125" w:rsidRDefault="00C52695" w:rsidP="00C52695">
      <w:pPr>
        <w:pStyle w:val="Heading9"/>
      </w:pPr>
      <w:bookmarkStart w:id="325" w:name="_Ref401048631"/>
      <w:bookmarkStart w:id="326" w:name="_Toc456614324"/>
      <w:bookmarkStart w:id="327" w:name="_Toc462823330"/>
      <w:bookmarkStart w:id="328" w:name="_Toc487014338"/>
      <w:r w:rsidRPr="00883125">
        <w:t>Evidence from all equity or only listed equity</w:t>
      </w:r>
      <w:bookmarkEnd w:id="325"/>
      <w:bookmarkEnd w:id="326"/>
      <w:bookmarkEnd w:id="327"/>
      <w:bookmarkEnd w:id="328"/>
    </w:p>
    <w:p w:rsidR="00C52695" w:rsidRPr="00883125" w:rsidRDefault="00C52695" w:rsidP="00C52695">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C52695" w:rsidRPr="005764F6" w:rsidRDefault="004D558A" w:rsidP="00C52695">
      <w:r>
        <w:t>T</w:t>
      </w:r>
      <w:r w:rsidR="00C52695" w:rsidRPr="005764F6">
        <w:t xml:space="preserve">he </w:t>
      </w:r>
      <w:r>
        <w:t xml:space="preserve">Ausgrid </w:t>
      </w:r>
      <w:r w:rsidR="00C52695" w:rsidRPr="005764F6">
        <w:t>Tribunal recently considered that the AER had erred in using a listed equity only measure.</w:t>
      </w:r>
      <w:r w:rsidR="00C52695" w:rsidRPr="002110D5">
        <w:rPr>
          <w:rStyle w:val="FootnoteReference"/>
        </w:rPr>
        <w:footnoteReference w:id="570"/>
      </w:r>
      <w:r w:rsidR="00C52695" w:rsidRPr="005764F6">
        <w:t xml:space="preserve"> In this decision the </w:t>
      </w:r>
      <w:r w:rsidR="002B7E95">
        <w:t xml:space="preserve">Ausgrid </w:t>
      </w:r>
      <w:r w:rsidR="00C52695" w:rsidRPr="005764F6">
        <w:t>Tribunal considered that the AER had not provide sufficient explanation for introducing the distribution rate for only listed equity and that the</w:t>
      </w:r>
      <w:r w:rsidR="003852DC">
        <w:t>y</w:t>
      </w:r>
      <w:r w:rsidR="00C52695" w:rsidRPr="005764F6">
        <w:t xml:space="preserve"> considered it</w:t>
      </w:r>
      <w:r w:rsidR="003852DC">
        <w:t xml:space="preserve"> is</w:t>
      </w:r>
      <w:r w:rsidR="00C52695" w:rsidRPr="005764F6">
        <w:t xml:space="preserve"> appropriate to continue to follow past practice.</w:t>
      </w:r>
      <w:r w:rsidR="00C52695" w:rsidRPr="002110D5">
        <w:rPr>
          <w:rStyle w:val="FootnoteReference"/>
        </w:rPr>
        <w:footnoteReference w:id="571"/>
      </w:r>
    </w:p>
    <w:p w:rsidR="00C52695" w:rsidRPr="00883125" w:rsidRDefault="00C52695" w:rsidP="00C52695">
      <w:pPr>
        <w:numPr>
          <w:ilvl w:val="0"/>
          <w:numId w:val="24"/>
        </w:numPr>
      </w:pPr>
      <w:r w:rsidRPr="00883125">
        <w:t>We have had regard to experts' comments on the issue. Lally made some comments in support of considering all equity:</w:t>
      </w:r>
      <w:r w:rsidRPr="00883125">
        <w:rPr>
          <w:rStyle w:val="FootnoteReference"/>
        </w:rPr>
        <w:footnoteReference w:id="572"/>
      </w:r>
    </w:p>
    <w:p w:rsidR="00C52695" w:rsidRPr="00883125" w:rsidRDefault="00C52695" w:rsidP="00C52695">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52695" w:rsidRDefault="00C52695" w:rsidP="00C52695">
      <w:pPr>
        <w:numPr>
          <w:ilvl w:val="0"/>
          <w:numId w:val="24"/>
        </w:numPr>
      </w:pPr>
      <w:r>
        <w:t xml:space="preserve">Lally </w:t>
      </w:r>
      <w:r w:rsidR="002B7E95">
        <w:t>considers</w:t>
      </w:r>
      <w:r>
        <w:t xml:space="preserve"> that all equity rather than listed equity should be used to estimate the utilisation value. Lally considers that using all equity data suggest the utilisation value </w:t>
      </w:r>
      <w:r w:rsidR="00023359">
        <w:t>of</w:t>
      </w:r>
      <w:r>
        <w:t xml:space="preserve"> 0.60.</w:t>
      </w:r>
      <w:r>
        <w:rPr>
          <w:rStyle w:val="FootnoteReference"/>
        </w:rPr>
        <w:footnoteReference w:id="573"/>
      </w:r>
    </w:p>
    <w:p w:rsidR="00C52695" w:rsidRPr="00883125" w:rsidRDefault="00C52695" w:rsidP="00C52695">
      <w:pPr>
        <w:numPr>
          <w:ilvl w:val="0"/>
          <w:numId w:val="24"/>
        </w:numPr>
      </w:pPr>
      <w:r w:rsidRPr="00883125">
        <w:t>However, Handley suggested that evidence from listed equity is more relevant:</w:t>
      </w:r>
      <w:r w:rsidRPr="00883125">
        <w:rPr>
          <w:rStyle w:val="FootnoteReference"/>
        </w:rPr>
        <w:footnoteReference w:id="574"/>
      </w:r>
    </w:p>
    <w:p w:rsidR="00C52695" w:rsidRPr="00883125" w:rsidRDefault="00C52695" w:rsidP="00C52695">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52695" w:rsidRPr="00883125" w:rsidRDefault="00C52695" w:rsidP="00C52695">
      <w:r w:rsidRPr="00883125">
        <w:t>Gray's view (for SFG) is not clear to us. In his May 2014 report, Gray stated:</w:t>
      </w:r>
      <w:r w:rsidRPr="00883125">
        <w:rPr>
          <w:rStyle w:val="FootnoteReference"/>
        </w:rPr>
        <w:footnoteReference w:id="575"/>
      </w:r>
    </w:p>
    <w:p w:rsidR="00C52695" w:rsidRPr="00883125" w:rsidRDefault="00C52695" w:rsidP="00C52695">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C52695" w:rsidRPr="00883125" w:rsidRDefault="00C52695" w:rsidP="00C52695">
      <w:r w:rsidRPr="00883125">
        <w:t>And in his February 2015 report (for SFG) Gray stated:</w:t>
      </w:r>
      <w:r w:rsidRPr="00883125">
        <w:rPr>
          <w:rStyle w:val="FootnoteReference"/>
        </w:rPr>
        <w:footnoteReference w:id="576"/>
      </w:r>
    </w:p>
    <w:p w:rsidR="00C52695" w:rsidRPr="00883125" w:rsidRDefault="00C52695" w:rsidP="00C52695">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52695" w:rsidRPr="00883125" w:rsidRDefault="00C52695" w:rsidP="00C52695">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77"/>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78"/>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BF66D3">
        <w:t>A.8.3</w:t>
      </w:r>
      <w:r w:rsidRPr="00883125">
        <w:fldChar w:fldCharType="end"/>
      </w:r>
      <w:r w:rsidRPr="00883125">
        <w:t>).</w:t>
      </w:r>
    </w:p>
    <w:p w:rsidR="00C52695" w:rsidRDefault="00C52695" w:rsidP="00C52695">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r w:rsidR="00972820">
        <w:t xml:space="preserve">On the information before it, the SAPN Tribunal found </w:t>
      </w:r>
      <w:r w:rsidR="00E21D08">
        <w:t>no error in our decision in SAPN to exercise our discretion to consider estimates of the distribution rate from listed equity</w:t>
      </w:r>
      <w:r w:rsidR="00972820">
        <w:t>.</w:t>
      </w:r>
      <w:r w:rsidR="00023359">
        <w:rPr>
          <w:rStyle w:val="FootnoteReference"/>
        </w:rPr>
        <w:footnoteReference w:id="579"/>
      </w:r>
    </w:p>
    <w:p w:rsidR="00C52695" w:rsidRDefault="00C52695" w:rsidP="00C52695">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80"/>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81"/>
      </w:r>
      <w:r>
        <w:rPr>
          <w:rStyle w:val="AERbody"/>
        </w:rPr>
        <w:t xml:space="preserve"> Lally considers this estimate is reflective of the distribution rate for a benchmark efficient entity. </w:t>
      </w:r>
    </w:p>
    <w:p w:rsidR="00C52695" w:rsidRPr="005764F6" w:rsidRDefault="004D558A" w:rsidP="00C52695">
      <w:pPr>
        <w:rPr>
          <w:rStyle w:val="AERbody"/>
        </w:rPr>
      </w:pPr>
      <w:r>
        <w:t>W</w:t>
      </w:r>
      <w:r w:rsidR="00C52695" w:rsidRPr="00E64E9B">
        <w:t xml:space="preserve">e note </w:t>
      </w:r>
      <w:r>
        <w:t xml:space="preserve">that </w:t>
      </w:r>
      <w:r w:rsidR="00C52695" w:rsidRPr="00E64E9B">
        <w:t xml:space="preserve">the </w:t>
      </w:r>
      <w:r>
        <w:t xml:space="preserve">Ausgrid </w:t>
      </w:r>
      <w:r w:rsidR="00C52695" w:rsidRPr="00E64E9B">
        <w:t xml:space="preserve">Tribunal did not find a clear error in our approach prior to using its preferred approach. We remain of the view that our approach is </w:t>
      </w:r>
      <w:r w:rsidR="00C52695">
        <w:t xml:space="preserve">open to us, and results in a </w:t>
      </w:r>
      <w:r w:rsidR="00C52695" w:rsidRPr="00E64E9B">
        <w:t>conservative</w:t>
      </w:r>
      <w:r w:rsidR="00C52695">
        <w:t xml:space="preserve"> estimate (see section </w:t>
      </w:r>
      <w:r w:rsidR="00C52695">
        <w:fldChar w:fldCharType="begin"/>
      </w:r>
      <w:r w:rsidR="00C52695">
        <w:instrText xml:space="preserve"> REF _Ref401133206 \r \h </w:instrText>
      </w:r>
      <w:r w:rsidR="00C52695">
        <w:fldChar w:fldCharType="separate"/>
      </w:r>
      <w:r w:rsidR="00BF66D3">
        <w:t>A.10</w:t>
      </w:r>
      <w:r w:rsidR="00C52695">
        <w:fldChar w:fldCharType="end"/>
      </w:r>
      <w:r w:rsidR="00C52695">
        <w:t>)</w:t>
      </w:r>
      <w:r w:rsidR="00C52695" w:rsidRPr="00E64E9B">
        <w:t xml:space="preserve">. </w:t>
      </w:r>
    </w:p>
    <w:p w:rsidR="00C52695" w:rsidRPr="00883125" w:rsidRDefault="00C52695" w:rsidP="00C52695">
      <w:pPr>
        <w:pStyle w:val="Heading9"/>
      </w:pPr>
      <w:bookmarkStart w:id="329" w:name="_Ref403481194"/>
      <w:bookmarkStart w:id="330" w:name="_Ref450299300"/>
      <w:bookmarkStart w:id="331" w:name="_Ref450765039"/>
      <w:bookmarkStart w:id="332" w:name="_Toc456614325"/>
      <w:bookmarkStart w:id="333" w:name="_Toc462823331"/>
      <w:bookmarkStart w:id="334" w:name="_Toc487014339"/>
      <w:r w:rsidRPr="00883125">
        <w:t xml:space="preserve">Relationship between the distribution rate and the utilisation </w:t>
      </w:r>
      <w:bookmarkEnd w:id="329"/>
      <w:r w:rsidRPr="00883125">
        <w:t>value</w:t>
      </w:r>
      <w:bookmarkEnd w:id="330"/>
      <w:bookmarkEnd w:id="331"/>
      <w:bookmarkEnd w:id="332"/>
      <w:bookmarkEnd w:id="333"/>
      <w:bookmarkEnd w:id="334"/>
    </w:p>
    <w:p w:rsidR="00C52695" w:rsidRPr="00883125" w:rsidRDefault="00C52695" w:rsidP="00C52695">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52695" w:rsidRPr="00883125" w:rsidRDefault="00C52695" w:rsidP="00C52695">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D75E7C" w:rsidRDefault="00C52695" w:rsidP="00C52695">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82"/>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83"/>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84"/>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85"/>
      </w:r>
    </w:p>
    <w:p w:rsidR="00C52695" w:rsidRPr="00883125" w:rsidRDefault="00C52695" w:rsidP="00C52695">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86"/>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87"/>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588"/>
      </w:r>
    </w:p>
    <w:p w:rsidR="00E72AEB" w:rsidRDefault="00C52695" w:rsidP="00E72AEB">
      <w:pPr>
        <w:numPr>
          <w:ilvl w:val="0"/>
          <w:numId w:val="24"/>
        </w:numPr>
        <w:rPr>
          <w:rStyle w:val="AERbody"/>
        </w:rPr>
      </w:pPr>
      <w:r w:rsidRPr="00883125">
        <w:rPr>
          <w:rStyle w:val="AERbody"/>
        </w:rPr>
        <w:t>Gray (for Frontier) considers that the distribution rate is firm specific, while theta is a market wider parameter.</w:t>
      </w:r>
      <w:r w:rsidRPr="00883125">
        <w:rPr>
          <w:rStyle w:val="FootnoteReference"/>
        </w:rPr>
        <w:footnoteReference w:id="589"/>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BB4E44" w:rsidRPr="00883125">
        <w:rPr>
          <w:rStyle w:val="AERbody"/>
        </w:rPr>
        <w:t>th</w:t>
      </w:r>
      <w:r w:rsidR="00BB4E44">
        <w:rPr>
          <w:rStyle w:val="AERbody"/>
        </w:rPr>
        <w:t>ese</w:t>
      </w:r>
      <w:r w:rsidR="00BB4E44" w:rsidRPr="00883125">
        <w:rPr>
          <w:rStyle w:val="AERbody"/>
        </w:rPr>
        <w:t xml:space="preserve"> </w:t>
      </w:r>
      <w:r w:rsidRPr="00883125">
        <w:rPr>
          <w:rStyle w:val="AERbody"/>
        </w:rPr>
        <w:t>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90"/>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BF66D3">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91"/>
      </w:r>
      <w:r>
        <w:rPr>
          <w:rStyle w:val="AERbody"/>
        </w:rPr>
        <w:t xml:space="preserve"> This demonstrates that foreign income actually decreases the distribution rate and not increases it as suggested by Frontier.</w:t>
      </w:r>
    </w:p>
    <w:p w:rsidR="00C52695" w:rsidRDefault="00C52695" w:rsidP="00C52695">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92"/>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52695" w:rsidRPr="005764F6" w:rsidRDefault="00C52695" w:rsidP="00C52695">
      <w:r w:rsidRPr="00033F58">
        <w:t xml:space="preserve">Lally considered </w:t>
      </w:r>
      <w:r w:rsidR="00E4076C">
        <w:t xml:space="preserve">there is no necessity to combine </w:t>
      </w:r>
      <w:r w:rsidR="00E4076C" w:rsidRPr="001D37D5">
        <w:t>estimates of the distribution rate and utilisation rate from the same dataset</w:t>
      </w:r>
      <w:r w:rsidR="00E4076C">
        <w:t xml:space="preserve"> and g</w:t>
      </w:r>
      <w:r w:rsidR="00C21B8A">
        <w:t>ood reason not for not doing so</w:t>
      </w:r>
      <w:r w:rsidR="00E4076C">
        <w:t>.</w:t>
      </w:r>
      <w:r w:rsidR="00E4076C">
        <w:rPr>
          <w:rStyle w:val="FootnoteReference"/>
        </w:rPr>
        <w:footnoteReference w:id="593"/>
      </w:r>
      <w:r w:rsidR="00E4076C">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94"/>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595"/>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96"/>
      </w:r>
    </w:p>
    <w:p w:rsidR="00C52695" w:rsidRPr="00883125" w:rsidRDefault="00C52695" w:rsidP="00C52695">
      <w:pPr>
        <w:pStyle w:val="Heading8"/>
      </w:pPr>
      <w:bookmarkStart w:id="335" w:name="_Toc451842256"/>
      <w:bookmarkStart w:id="336" w:name="_Ref401133206"/>
      <w:bookmarkStart w:id="337" w:name="_Toc436049451"/>
      <w:bookmarkStart w:id="338" w:name="_Toc451842257"/>
      <w:bookmarkStart w:id="339" w:name="_Toc451938311"/>
      <w:bookmarkStart w:id="340" w:name="_Toc456614326"/>
      <w:bookmarkStart w:id="341" w:name="_Toc462823332"/>
      <w:bookmarkStart w:id="342" w:name="_Toc487014340"/>
      <w:bookmarkEnd w:id="335"/>
      <w:r w:rsidRPr="00883125">
        <w:t>Estimating the distribution rate</w:t>
      </w:r>
      <w:bookmarkEnd w:id="336"/>
      <w:bookmarkEnd w:id="337"/>
      <w:bookmarkEnd w:id="338"/>
      <w:bookmarkEnd w:id="339"/>
      <w:bookmarkEnd w:id="340"/>
      <w:bookmarkEnd w:id="341"/>
      <w:bookmarkEnd w:id="342"/>
    </w:p>
    <w:p w:rsidR="00C52695" w:rsidRPr="00883125" w:rsidRDefault="00C52695" w:rsidP="00C52695">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BF66D3">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97"/>
      </w:r>
      <w:r w:rsidRPr="00883125">
        <w:t xml:space="preserve"> Hathaway found a similar estimate for the period 2004 to 2011.</w:t>
      </w:r>
      <w:r w:rsidRPr="00883125">
        <w:rPr>
          <w:rStyle w:val="FootnoteReference"/>
        </w:rPr>
        <w:footnoteReference w:id="598"/>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99"/>
      </w:r>
      <w:r w:rsidRPr="00883125">
        <w:t xml:space="preserve"> Also using this approach, Handley estimated a distribution rate across only listed equity of 0.8 for the period 1987 to 2011.</w:t>
      </w:r>
      <w:r w:rsidRPr="00883125">
        <w:rPr>
          <w:rStyle w:val="FootnoteReference"/>
        </w:rPr>
        <w:footnoteReference w:id="600"/>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52695" w:rsidRPr="00883125" w:rsidRDefault="00C52695" w:rsidP="00C52695">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601"/>
      </w:r>
      <w:r w:rsidRPr="00883125">
        <w:t xml:space="preserve"> Handley also reviewed NERA's analysis, and provided his own report.</w:t>
      </w:r>
      <w:r w:rsidRPr="00883125">
        <w:rPr>
          <w:rStyle w:val="FootnoteReference"/>
        </w:rPr>
        <w:footnoteReference w:id="602"/>
      </w:r>
      <w:r w:rsidRPr="00883125">
        <w:t xml:space="preserve"> Both NERA and Handley found an estimate of 0.7 for the period 2004 to 2012.</w:t>
      </w:r>
      <w:r w:rsidRPr="00883125">
        <w:rPr>
          <w:rStyle w:val="FootnoteReference"/>
        </w:rPr>
        <w:footnoteReference w:id="603"/>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52695" w:rsidRPr="00883125" w:rsidRDefault="00C52695" w:rsidP="00C52695">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604"/>
      </w:r>
      <w:r w:rsidRPr="00883125">
        <w:t xml:space="preserve"> However, Gray's (for frontier) replication of Handley (2014) and Handley (2015) cumulative payout ratio is slightly different due to what Gray </w:t>
      </w:r>
      <w:r w:rsidR="00514A99">
        <w:t>considers</w:t>
      </w:r>
      <w:r w:rsidRPr="00883125">
        <w:t xml:space="preserve"> to be a different rounding method.</w:t>
      </w:r>
      <w:r w:rsidRPr="00883125">
        <w:rPr>
          <w:rStyle w:val="FootnoteReference"/>
        </w:rPr>
        <w:footnoteReference w:id="605"/>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BF66D3" w:rsidRPr="00883125">
        <w:t xml:space="preserve">Table </w:t>
      </w:r>
      <w:r w:rsidR="00BF66D3">
        <w:rPr>
          <w:noProof/>
        </w:rPr>
        <w:t>4</w:t>
      </w:r>
      <w:r w:rsidR="00BF66D3">
        <w:noBreakHyphen/>
      </w:r>
      <w:r w:rsidR="00BF66D3">
        <w:rPr>
          <w:noProof/>
        </w:rPr>
        <w:t>14</w:t>
      </w:r>
      <w:r w:rsidRPr="00883125">
        <w:fldChar w:fldCharType="end"/>
      </w:r>
      <w:r w:rsidRPr="00883125">
        <w:t>.</w:t>
      </w:r>
    </w:p>
    <w:p w:rsidR="00C52695" w:rsidRPr="00883125" w:rsidRDefault="00C52695" w:rsidP="00C52695">
      <w:pPr>
        <w:pStyle w:val="Caption"/>
      </w:pPr>
      <w:bookmarkStart w:id="343" w:name="_Ref450332920"/>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14</w:t>
      </w:r>
      <w:r w:rsidRPr="001D37D5">
        <w:fldChar w:fldCharType="end"/>
      </w:r>
      <w:bookmarkEnd w:id="343"/>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52695" w:rsidRPr="00CA67C0" w:rsidRDefault="00C52695" w:rsidP="00C52695">
      <w:pPr>
        <w:pStyle w:val="AERtablesource"/>
      </w:pPr>
      <w:r w:rsidRPr="00883125">
        <w:t xml:space="preserve">Source: </w:t>
      </w:r>
      <w:r w:rsidRPr="00883125">
        <w:tab/>
        <w:t xml:space="preserve">Frontier, </w:t>
      </w:r>
      <w:r w:rsidRPr="00E750F8">
        <w:rPr>
          <w:rStyle w:val="AERtextitalic"/>
        </w:rPr>
        <w:t>The appropriate use of tax statistics when estimating gamma</w:t>
      </w:r>
      <w:r w:rsidRPr="00883125">
        <w:t>, January 2016, p. 22.</w:t>
      </w:r>
    </w:p>
    <w:p w:rsidR="00C52695" w:rsidRDefault="00C52695" w:rsidP="00C52695">
      <w:pPr>
        <w:numPr>
          <w:ilvl w:val="0"/>
          <w:numId w:val="24"/>
        </w:numPr>
        <w:rPr>
          <w:rStyle w:val="AERbody"/>
        </w:rPr>
      </w:pPr>
      <w:r w:rsidRPr="00883125">
        <w:rPr>
          <w:rStyle w:val="AERbody"/>
        </w:rPr>
        <w:t xml:space="preserve">For this </w:t>
      </w:r>
      <w:r w:rsidR="00C87D45">
        <w:rPr>
          <w:rStyle w:val="AERbody"/>
        </w:rPr>
        <w:t xml:space="preserve">draft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sidR="00C87D45">
        <w:rPr>
          <w:rStyle w:val="AERbody"/>
        </w:rPr>
        <w:t xml:space="preserve">draft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sidR="00C87D45">
        <w:rPr>
          <w:rStyle w:val="AERbody"/>
        </w:rPr>
        <w:t>draft</w:t>
      </w:r>
      <w:r w:rsidRPr="00883125">
        <w:rPr>
          <w:rStyle w:val="AERbody"/>
        </w:rPr>
        <w:t xml:space="preserve">decision. </w:t>
      </w:r>
    </w:p>
    <w:p w:rsidR="00C52695" w:rsidRDefault="00C52695" w:rsidP="00C52695">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606"/>
      </w:r>
      <w:r w:rsidRPr="005764F6">
        <w:t xml:space="preserve"> </w:t>
      </w:r>
    </w:p>
    <w:p w:rsidR="00C52695" w:rsidRDefault="00C52695" w:rsidP="00C52695">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5764F6" w:rsidRDefault="00C52695" w:rsidP="00C52695">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607"/>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rsidR="00C25A56">
        <w:t xml:space="preserve">Ausgrid </w:t>
      </w:r>
      <w:r w:rsidRPr="005764F6">
        <w:t xml:space="preserve">Tribunal decision. </w:t>
      </w:r>
    </w:p>
    <w:p w:rsidR="00C52695" w:rsidRPr="00883125" w:rsidRDefault="00C52695" w:rsidP="00C52695">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52695" w:rsidRPr="00883125" w:rsidRDefault="00C52695" w:rsidP="00C52695">
      <w:pPr>
        <w:pStyle w:val="Heading9"/>
      </w:pPr>
      <w:bookmarkStart w:id="344" w:name="_Ref414289334"/>
      <w:bookmarkStart w:id="345" w:name="_Toc456614327"/>
      <w:bookmarkStart w:id="346" w:name="_Toc462823333"/>
      <w:bookmarkStart w:id="347" w:name="_Toc487014341"/>
      <w:r w:rsidRPr="00883125">
        <w:t>Service providers', Gray's and NERA's comments on the distribution rate</w:t>
      </w:r>
      <w:bookmarkEnd w:id="344"/>
      <w:bookmarkEnd w:id="345"/>
      <w:bookmarkEnd w:id="346"/>
      <w:bookmarkEnd w:id="347"/>
    </w:p>
    <w:p w:rsidR="00C52695" w:rsidRPr="00883125" w:rsidRDefault="00C52695" w:rsidP="00C52695">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608"/>
      </w:r>
      <w:r w:rsidR="00514A99">
        <w:t xml:space="preserve"> </w:t>
      </w:r>
      <w:r w:rsidRPr="00883125">
        <w:t>We disagree and set out our reasons below</w:t>
      </w:r>
      <w:r>
        <w:t>.</w:t>
      </w:r>
    </w:p>
    <w:p w:rsidR="00C52695" w:rsidRPr="00883125" w:rsidRDefault="00C52695" w:rsidP="00C52695">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609"/>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t>I</w:t>
      </w:r>
      <w:r w:rsidRPr="00883125">
        <w:t>n the decisions previously released in 2014</w:t>
      </w:r>
      <w:r>
        <w:t>, 2015</w:t>
      </w:r>
      <w:r w:rsidR="00C87D45">
        <w:t xml:space="preserve">, </w:t>
      </w:r>
      <w:r w:rsidRPr="00883125">
        <w:t>201</w:t>
      </w:r>
      <w:r>
        <w:t>6</w:t>
      </w:r>
      <w:r w:rsidR="00C87D45">
        <w:t xml:space="preserve"> and in April 2017</w:t>
      </w:r>
      <w:r w:rsidRPr="00883125">
        <w:t xml:space="preserve"> and in section </w:t>
      </w:r>
      <w:r>
        <w:fldChar w:fldCharType="begin"/>
      </w:r>
      <w:r>
        <w:instrText xml:space="preserve"> REF _Ref451790065 \r \h </w:instrText>
      </w:r>
      <w:r>
        <w:fldChar w:fldCharType="separate"/>
      </w:r>
      <w:r w:rsidR="00BF66D3">
        <w:t>A.9</w:t>
      </w:r>
      <w:r>
        <w:fldChar w:fldCharType="end"/>
      </w:r>
      <w:r>
        <w:t xml:space="preserve"> and </w:t>
      </w:r>
      <w:r>
        <w:fldChar w:fldCharType="begin"/>
      </w:r>
      <w:r>
        <w:instrText xml:space="preserve"> REF _Ref401133206 \r \h </w:instrText>
      </w:r>
      <w:r>
        <w:fldChar w:fldCharType="separate"/>
      </w:r>
      <w:r w:rsidR="00BF66D3">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C52695" w:rsidRPr="00883125" w:rsidRDefault="00C52695" w:rsidP="00C52695">
      <w:r w:rsidRPr="00883125">
        <w:t>Gray's report (for SFG) appears to support an estimate of the distribution rate that is not affected by the distribution behaviour of very large public firms or very small private firms. That is, Gray (for SFG) stated:</w:t>
      </w:r>
    </w:p>
    <w:p w:rsidR="00C52695" w:rsidRPr="00883125" w:rsidRDefault="00C52695" w:rsidP="00C52695">
      <w:pPr>
        <w:pStyle w:val="AERquote"/>
      </w:pPr>
      <w:r w:rsidRPr="00883125">
        <w:t>Conceptually, the task is…to estimate the distribution rate for the benchmark efficient firm.</w:t>
      </w:r>
      <w:r w:rsidRPr="00883125">
        <w:rPr>
          <w:rStyle w:val="FootnoteReference"/>
        </w:rPr>
        <w:footnoteReference w:id="610"/>
      </w:r>
    </w:p>
    <w:p w:rsidR="00C52695" w:rsidRPr="00883125" w:rsidRDefault="00C52695" w:rsidP="00C52695">
      <w:pPr>
        <w:pStyle w:val="AERquote"/>
      </w:pPr>
      <w:r w:rsidRPr="00883125">
        <w:t>…</w:t>
      </w:r>
    </w:p>
    <w:p w:rsidR="00C52695" w:rsidRPr="00883125" w:rsidRDefault="00C52695" w:rsidP="00C52695">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611"/>
      </w:r>
    </w:p>
    <w:p w:rsidR="00C52695" w:rsidRPr="00883125" w:rsidRDefault="00C52695" w:rsidP="00C52695">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612"/>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613"/>
      </w:r>
      <w:r w:rsidRPr="00883125">
        <w:t xml:space="preserve"> Handley considered Gray's analysis to be ' incomplete and oversimplified to support such a strong conclusion'.</w:t>
      </w:r>
      <w:r w:rsidRPr="00883125">
        <w:rPr>
          <w:rStyle w:val="FootnoteReference"/>
        </w:rPr>
        <w:footnoteReference w:id="614"/>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615"/>
      </w:r>
    </w:p>
    <w:p w:rsidR="00C52695" w:rsidRDefault="00C52695" w:rsidP="00C52695">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616"/>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C52695" w:rsidRPr="005764F6" w:rsidRDefault="00C52695" w:rsidP="00C52695">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617"/>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618"/>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619"/>
      </w:r>
      <w:r w:rsidRPr="005764F6">
        <w:t xml:space="preserve"> </w:t>
      </w:r>
    </w:p>
    <w:p w:rsidR="004733FE" w:rsidRDefault="004733FE" w:rsidP="00C52695">
      <w:r>
        <w:t>Frontier responded to the Lally analysis by noting that the relevant question is whether large multinationals have higher imputation distribution rates than other firms.</w:t>
      </w:r>
      <w:r w:rsidR="00443010">
        <w:rPr>
          <w:rStyle w:val="FootnoteReference"/>
        </w:rPr>
        <w:footnoteReference w:id="620"/>
      </w:r>
      <w:r>
        <w:t xml:space="preserve"> Further, Frontier considers Lally's analysis of the top 7 firms did not control for difference in dividend payout ratios.</w:t>
      </w:r>
      <w:r w:rsidR="00443010">
        <w:rPr>
          <w:rStyle w:val="FootnoteReference"/>
        </w:rPr>
        <w:footnoteReference w:id="621"/>
      </w:r>
      <w:r w:rsidR="00B62735">
        <w:t xml:space="preserve"> Frontier concludes that:</w:t>
      </w:r>
      <w:r w:rsidR="005957B5">
        <w:rPr>
          <w:rStyle w:val="FootnoteReference"/>
        </w:rPr>
        <w:footnoteReference w:id="622"/>
      </w:r>
    </w:p>
    <w:p w:rsidR="00B62735" w:rsidRDefault="00B62735" w:rsidP="00E750F8">
      <w:pPr>
        <w:pStyle w:val="AERquoteindent1"/>
      </w:pPr>
      <w:r>
        <w:t>a.</w:t>
      </w:r>
      <w:r>
        <w:tab/>
        <w:t>Mathematically, for any given dividend payout ratio, the imputation credit distribution rate is an increasing function of the proportion of foreign profits; and</w:t>
      </w:r>
    </w:p>
    <w:p w:rsidR="00B62735" w:rsidRDefault="00B62735" w:rsidP="00E750F8">
      <w:pPr>
        <w:pStyle w:val="AERquoteindent1"/>
      </w:pPr>
      <w:r>
        <w:t>b.</w:t>
      </w:r>
      <w:r>
        <w:tab/>
        <w:t>The e</w:t>
      </w:r>
      <w:r w:rsidR="00420370">
        <w:t>vidence clearly supports the proposition that large multinationals are able to distribute a higher proportion of the imputation credits that they create (83%) relative to the average firm (70%).</w:t>
      </w:r>
    </w:p>
    <w:p w:rsidR="00D75E7C" w:rsidRPr="00514A99" w:rsidRDefault="00D75E7C">
      <w:r w:rsidRPr="00514A99">
        <w:t xml:space="preserve">Frontier argues that </w:t>
      </w:r>
      <w:r w:rsidR="0027533B" w:rsidRPr="00514A99">
        <w:t xml:space="preserve">to determine the effects of foreign income on imputation distribution </w:t>
      </w:r>
      <w:r w:rsidRPr="00514A99">
        <w:t xml:space="preserve">the correct comparison </w:t>
      </w:r>
      <w:r w:rsidR="0027533B" w:rsidRPr="00514A99">
        <w:t>should be</w:t>
      </w:r>
      <w:r w:rsidRPr="00514A99">
        <w:t xml:space="preserve"> between firms without foreign income and those with it</w:t>
      </w:r>
      <w:r w:rsidR="0027533B" w:rsidRPr="00514A99">
        <w:t xml:space="preserve">, </w:t>
      </w:r>
      <w:r w:rsidRPr="00514A99">
        <w:t>rather than amongst firms that</w:t>
      </w:r>
      <w:r w:rsidR="00A316DD" w:rsidRPr="00514A99">
        <w:t xml:space="preserve"> h</w:t>
      </w:r>
      <w:r w:rsidR="00E11684" w:rsidRPr="00514A99">
        <w:t>ave some foreign income.</w:t>
      </w:r>
      <w:r w:rsidR="00E11684" w:rsidRPr="00514A99">
        <w:rPr>
          <w:rStyle w:val="FootnoteReference"/>
        </w:rPr>
        <w:footnoteReference w:id="623"/>
      </w:r>
      <w:r w:rsidR="001224E1" w:rsidRPr="00514A99">
        <w:t xml:space="preserve"> However, Lally considers </w:t>
      </w:r>
      <w:r w:rsidR="0027533B" w:rsidRPr="00514A99">
        <w:t xml:space="preserve">the far superior approach </w:t>
      </w:r>
      <w:r w:rsidRPr="00514A99">
        <w:t>would be to examine the entire distribution of firms, as Lally (2016a, section 3.5) has done.</w:t>
      </w:r>
      <w:r w:rsidR="000028DB" w:rsidRPr="00514A99">
        <w:rPr>
          <w:rStyle w:val="FootnoteReference"/>
        </w:rPr>
        <w:t xml:space="preserve"> </w:t>
      </w:r>
      <w:r w:rsidR="000028DB" w:rsidRPr="00514A99">
        <w:rPr>
          <w:rStyle w:val="FootnoteReference"/>
        </w:rPr>
        <w:footnoteReference w:id="624"/>
      </w:r>
      <w:r w:rsidR="000028DB" w:rsidRPr="00514A99">
        <w:t xml:space="preserve"> The seven firms examined by Lally (Lally, 2016a, Table 1) have foreign income proportions ranging from 6% to 60%, and therefore the degree of extrapolation is minor to estimate the imputation distribution rate with the absence of foreign activities.</w:t>
      </w:r>
      <w:r w:rsidR="000028DB" w:rsidRPr="00514A99">
        <w:rPr>
          <w:rStyle w:val="FootnoteReference"/>
        </w:rPr>
        <w:footnoteReference w:id="625"/>
      </w:r>
      <w:r w:rsidR="000028DB" w:rsidRPr="00514A99">
        <w:t xml:space="preserve"> Lally considers </w:t>
      </w:r>
      <w:r w:rsidR="00800B10" w:rsidRPr="00514A99">
        <w:t xml:space="preserve">that </w:t>
      </w:r>
      <w:r w:rsidR="000028DB" w:rsidRPr="00514A99">
        <w:t>the most important requirement is for the firms in the analysis to have large company tax payments to the ATO, so as to obtain the best estimate of the imputation distribution rate for the market in aggregate.</w:t>
      </w:r>
      <w:r w:rsidR="000028DB" w:rsidRPr="00514A99">
        <w:rPr>
          <w:rStyle w:val="FootnoteReference"/>
        </w:rPr>
        <w:footnoteReference w:id="626"/>
      </w:r>
      <w:r w:rsidR="000028DB" w:rsidRPr="00514A99">
        <w:t xml:space="preserve"> Lally considers that </w:t>
      </w:r>
      <w:r w:rsidRPr="00514A99">
        <w:t>examining a set of firms that had no foreign activities but constituted 10% of the value of the market would be very unsatisfactory.</w:t>
      </w:r>
      <w:r w:rsidR="00F7654C" w:rsidRPr="00514A99">
        <w:rPr>
          <w:rStyle w:val="FootnoteReference"/>
        </w:rPr>
        <w:footnoteReference w:id="627"/>
      </w:r>
    </w:p>
    <w:p w:rsidR="00A436D9" w:rsidRPr="00514A99" w:rsidRDefault="00D232C2" w:rsidP="00D232C2">
      <w:r w:rsidRPr="00514A99">
        <w:t xml:space="preserve">Frontier </w:t>
      </w:r>
      <w:r w:rsidR="001D08B7" w:rsidRPr="00514A99">
        <w:t xml:space="preserve">submits </w:t>
      </w:r>
      <w:r w:rsidRPr="00514A99">
        <w:t xml:space="preserve">that the average Australian company has a distribution rate of about 70%, compared to the 84% for the 20 largest ASX firms, </w:t>
      </w:r>
      <w:r w:rsidR="005957B5" w:rsidRPr="00514A99">
        <w:t xml:space="preserve">given </w:t>
      </w:r>
      <w:r w:rsidRPr="00514A99">
        <w:t>the latter firms have foreign income</w:t>
      </w:r>
      <w:r w:rsidR="00027D9E" w:rsidRPr="00514A99">
        <w:t xml:space="preserve"> it is</w:t>
      </w:r>
      <w:r w:rsidRPr="00514A99">
        <w:t xml:space="preserve"> not suitable for estimating the distribution rate </w:t>
      </w:r>
      <w:r w:rsidR="00027D9E" w:rsidRPr="00514A99">
        <w:t>for</w:t>
      </w:r>
      <w:r w:rsidRPr="00514A99">
        <w:t xml:space="preserve"> the BEE.</w:t>
      </w:r>
      <w:r w:rsidR="001D08B7" w:rsidRPr="00514A99">
        <w:rPr>
          <w:rStyle w:val="FootnoteReference"/>
        </w:rPr>
        <w:footnoteReference w:id="628"/>
      </w:r>
      <w:r w:rsidR="001D08B7" w:rsidRPr="00514A99">
        <w:t xml:space="preserve"> However, Lally has demonstrated that the top 20 firm's imputation credit distribution is 0.84 and when adjustments are made for foreign income this imputation credit distribution actually increases </w:t>
      </w:r>
      <w:r w:rsidR="00356933" w:rsidRPr="00514A99">
        <w:t>rather than</w:t>
      </w:r>
      <w:r w:rsidR="001D08B7" w:rsidRPr="00514A99">
        <w:t xml:space="preserve"> decreases.</w:t>
      </w:r>
      <w:r w:rsidR="001D08B7" w:rsidRPr="00514A99">
        <w:rPr>
          <w:rStyle w:val="FootnoteReference"/>
        </w:rPr>
        <w:footnoteReference w:id="629"/>
      </w:r>
      <w:r w:rsidR="001D08B7" w:rsidRPr="00514A99">
        <w:t xml:space="preserve"> As a result, Lally does not consider the difference between the imputation distribution rate for the top 20 firms and all firms is explained by foreign income.</w:t>
      </w:r>
      <w:r w:rsidR="007471FF" w:rsidRPr="00514A99">
        <w:rPr>
          <w:rStyle w:val="FootnoteReference"/>
        </w:rPr>
        <w:footnoteReference w:id="630"/>
      </w:r>
      <w:r w:rsidR="001D08B7" w:rsidRPr="00514A99">
        <w:t xml:space="preserve"> </w:t>
      </w:r>
      <w:r w:rsidR="007471FF" w:rsidRPr="00514A99">
        <w:t>Rather Lally considers the difference is driven by unlisted equities lower dividend distribution rates</w:t>
      </w:r>
      <w:r w:rsidR="00500ED3" w:rsidRPr="00514A99">
        <w:t>.</w:t>
      </w:r>
      <w:r w:rsidR="00E43353" w:rsidRPr="00514A99">
        <w:rPr>
          <w:rStyle w:val="FootnoteReference"/>
        </w:rPr>
        <w:footnoteReference w:id="631"/>
      </w:r>
      <w:r w:rsidR="00500ED3" w:rsidRPr="00514A99">
        <w:t xml:space="preserve"> </w:t>
      </w:r>
      <w:r w:rsidR="00A436D9" w:rsidRPr="00514A99">
        <w:t>The SAPN Tribunal</w:t>
      </w:r>
      <w:r w:rsidR="00130940" w:rsidRPr="00514A99">
        <w:t xml:space="preserve"> also</w:t>
      </w:r>
      <w:r w:rsidR="00A436D9" w:rsidRPr="00514A99">
        <w:t xml:space="preserve"> recognised this:</w:t>
      </w:r>
      <w:r w:rsidR="000169CB" w:rsidRPr="00514A99">
        <w:rPr>
          <w:rStyle w:val="FootnoteReference"/>
        </w:rPr>
        <w:footnoteReference w:id="632"/>
      </w:r>
    </w:p>
    <w:p w:rsidR="00A436D9" w:rsidRPr="00514A99" w:rsidRDefault="00A436D9" w:rsidP="00E750F8">
      <w:pPr>
        <w:pStyle w:val="AERquoteindent1"/>
      </w:pPr>
      <w:r w:rsidRPr="00514A99">
        <w:t>At one extreme there are small companies owned by individuals on high marginal tax rates who may prefer earnings retention to generate concessionally-taxed long-term capital gains or to defer the additional tax which would need to</w:t>
      </w:r>
      <w:r w:rsidR="00130940" w:rsidRPr="00514A99">
        <w:t xml:space="preserve"> be paid on franked dividends. </w:t>
      </w:r>
      <w:r w:rsidRPr="00514A99">
        <w:t>At the other extreme, large foreign-owned Australian registered companies may also prefer retention and reinvestment of earnings rather than distribution of dividends and attached franking credits which would be wasted.</w:t>
      </w:r>
    </w:p>
    <w:p w:rsidR="0078679C" w:rsidRPr="00514A99" w:rsidRDefault="00D232C2">
      <w:r w:rsidRPr="00514A99">
        <w:t xml:space="preserve">In respect </w:t>
      </w:r>
      <w:r w:rsidR="00E707D5" w:rsidRPr="00514A99">
        <w:t>to</w:t>
      </w:r>
      <w:r w:rsidRPr="00514A99">
        <w:t xml:space="preserve"> using listed firms other than the top 20</w:t>
      </w:r>
      <w:r w:rsidR="000531CA" w:rsidRPr="00514A99">
        <w:t xml:space="preserve"> to estimate the imputation distribution rate</w:t>
      </w:r>
      <w:r w:rsidRPr="00514A99">
        <w:t xml:space="preserve">, </w:t>
      </w:r>
      <w:r w:rsidR="000531CA" w:rsidRPr="00514A99">
        <w:t xml:space="preserve">Lally considers </w:t>
      </w:r>
      <w:r w:rsidRPr="00514A99">
        <w:t>some of these will have foreign activities</w:t>
      </w:r>
      <w:r w:rsidR="000531CA" w:rsidRPr="00514A99">
        <w:t xml:space="preserve"> and the effect of this foreign income would have to be determined</w:t>
      </w:r>
      <w:r w:rsidR="00E707D5" w:rsidRPr="00514A99">
        <w:t xml:space="preserve"> before this rate can be used.</w:t>
      </w:r>
      <w:r w:rsidR="00E707D5" w:rsidRPr="00514A99">
        <w:rPr>
          <w:rStyle w:val="FootnoteReference"/>
        </w:rPr>
        <w:footnoteReference w:id="633"/>
      </w:r>
      <w:r w:rsidR="00E707D5" w:rsidRPr="00514A99">
        <w:rPr>
          <w:rStyle w:val="FootnoteReference"/>
        </w:rPr>
        <w:t xml:space="preserve"> </w:t>
      </w:r>
      <w:r w:rsidR="00E707D5" w:rsidRPr="00514A99">
        <w:t xml:space="preserve"> Lally notes that Frontier has not determined the impact of foreign income on the imputation distribution of the listed firms minus the top 20 firms.</w:t>
      </w:r>
      <w:r w:rsidR="00E707D5" w:rsidRPr="00514A99">
        <w:rPr>
          <w:rStyle w:val="FootnoteReference"/>
        </w:rPr>
        <w:footnoteReference w:id="634"/>
      </w:r>
      <w:r w:rsidR="00E707D5" w:rsidRPr="00514A99">
        <w:t xml:space="preserve"> </w:t>
      </w:r>
      <w:r w:rsidR="0078679C" w:rsidRPr="00514A99">
        <w:t xml:space="preserve">Further, Lally considers that imputation distribution rate for the listed firms excluding the top 20 firms </w:t>
      </w:r>
      <w:r w:rsidR="00BF1C4B" w:rsidRPr="00514A99">
        <w:t>draws upon</w:t>
      </w:r>
      <w:r w:rsidR="0078679C" w:rsidRPr="00514A99">
        <w:t xml:space="preserve"> ATO data and such data is unreliable because </w:t>
      </w:r>
      <w:r w:rsidRPr="00514A99">
        <w:t>it generates markedly different estimates of the credits distributed according to whether dividend or company tax data is used</w:t>
      </w:r>
      <w:r w:rsidR="0078679C" w:rsidRPr="00514A99">
        <w:t xml:space="preserve"> </w:t>
      </w:r>
      <w:r w:rsidRPr="00514A99">
        <w:t>and even Frontier, a</w:t>
      </w:r>
      <w:r w:rsidR="0078679C" w:rsidRPr="00514A99">
        <w:t>ccepts this reliability problem</w:t>
      </w:r>
      <w:r w:rsidRPr="00514A99">
        <w:t>.</w:t>
      </w:r>
      <w:r w:rsidR="0078679C" w:rsidRPr="00514A99">
        <w:rPr>
          <w:rStyle w:val="FootnoteReference"/>
        </w:rPr>
        <w:footnoteReference w:id="635"/>
      </w:r>
      <w:r w:rsidR="0078679C" w:rsidRPr="00514A99">
        <w:t xml:space="preserve"> Overall, Lally considers that </w:t>
      </w:r>
      <w:r w:rsidRPr="00514A99">
        <w:t xml:space="preserve">suitable firms to use </w:t>
      </w:r>
      <w:r w:rsidR="00130940" w:rsidRPr="00514A99">
        <w:t>to determine the distribution rate is</w:t>
      </w:r>
      <w:r w:rsidRPr="00514A99">
        <w:t xml:space="preserve"> publicly listed </w:t>
      </w:r>
      <w:r w:rsidR="00130940" w:rsidRPr="00514A99">
        <w:t>firms</w:t>
      </w:r>
      <w:r w:rsidRPr="00514A99">
        <w:t xml:space="preserve"> and </w:t>
      </w:r>
      <w:r w:rsidR="00356933" w:rsidRPr="00514A99">
        <w:t xml:space="preserve">the </w:t>
      </w:r>
      <w:r w:rsidRPr="00514A99">
        <w:t>suitable means of estimating the distribution rate of these firms (stripped of the effect of foreign activities) is from their financial statements.</w:t>
      </w:r>
      <w:r w:rsidR="0078679C" w:rsidRPr="00514A99">
        <w:rPr>
          <w:rStyle w:val="FootnoteReference"/>
        </w:rPr>
        <w:footnoteReference w:id="636"/>
      </w:r>
      <w:r w:rsidR="00887BE2" w:rsidRPr="00514A99">
        <w:t xml:space="preserve"> Consistent with th</w:t>
      </w:r>
      <w:r w:rsidR="00D157E2" w:rsidRPr="00514A99">
        <w:t>is</w:t>
      </w:r>
      <w:r w:rsidR="00887BE2" w:rsidRPr="00514A99">
        <w:t xml:space="preserve">, Lally </w:t>
      </w:r>
      <w:r w:rsidR="00DD57D7" w:rsidRPr="00514A99">
        <w:t>considers</w:t>
      </w:r>
      <w:r w:rsidR="00887BE2" w:rsidRPr="00514A99">
        <w:t xml:space="preserve"> that the imputation distribution rate </w:t>
      </w:r>
      <w:r w:rsidR="00DD57D7" w:rsidRPr="00514A99">
        <w:t xml:space="preserve">should be set </w:t>
      </w:r>
      <w:r w:rsidR="00887BE2" w:rsidRPr="00514A99">
        <w:t>at</w:t>
      </w:r>
      <w:r w:rsidR="00677BC6" w:rsidRPr="00514A99">
        <w:t xml:space="preserve"> least</w:t>
      </w:r>
      <w:r w:rsidR="00887BE2" w:rsidRPr="00514A99">
        <w:t xml:space="preserve"> 0.8</w:t>
      </w:r>
      <w:r w:rsidR="00DD57D7" w:rsidRPr="00514A99">
        <w:t xml:space="preserve">3 which is the imputation distribution rate of the top 20 firms </w:t>
      </w:r>
      <w:r w:rsidR="00330980" w:rsidRPr="00514A99">
        <w:t>estimated from their</w:t>
      </w:r>
      <w:r w:rsidR="00DD57D7" w:rsidRPr="00514A99">
        <w:t xml:space="preserve"> financial statements data</w:t>
      </w:r>
      <w:r w:rsidR="00887BE2" w:rsidRPr="00514A99">
        <w:t>.</w:t>
      </w:r>
      <w:r w:rsidR="00887BE2" w:rsidRPr="00514A99">
        <w:rPr>
          <w:rStyle w:val="FootnoteReference"/>
        </w:rPr>
        <w:footnoteReference w:id="637"/>
      </w:r>
    </w:p>
    <w:p w:rsidR="009701ED" w:rsidRPr="00514A99" w:rsidRDefault="00FE50AF" w:rsidP="009701ED">
      <w:r w:rsidRPr="00514A99">
        <w:t>In response to Frontier</w:t>
      </w:r>
      <w:r w:rsidR="00356933" w:rsidRPr="00514A99">
        <w:t>'</w:t>
      </w:r>
      <w:r w:rsidRPr="00514A99">
        <w:t xml:space="preserve">s </w:t>
      </w:r>
      <w:r w:rsidR="00FA2A41" w:rsidRPr="00514A99">
        <w:t xml:space="preserve">submission that Lally failed to control </w:t>
      </w:r>
      <w:r w:rsidR="009C5004" w:rsidRPr="00514A99">
        <w:t xml:space="preserve">for the </w:t>
      </w:r>
      <w:r w:rsidR="00FA2A41" w:rsidRPr="00514A99">
        <w:t>difference in dividend payout rate</w:t>
      </w:r>
      <w:r w:rsidR="009C5004" w:rsidRPr="00514A99">
        <w:t>s</w:t>
      </w:r>
      <w:r w:rsidR="00CF66C7" w:rsidRPr="00514A99">
        <w:t xml:space="preserve"> when determining the impact of foreign income</w:t>
      </w:r>
      <w:r w:rsidR="00FA2A41" w:rsidRPr="00514A99">
        <w:t>, Lally agree</w:t>
      </w:r>
      <w:r w:rsidR="004D25AD" w:rsidRPr="00514A99">
        <w:t>s</w:t>
      </w:r>
      <w:r w:rsidR="00FA2A41" w:rsidRPr="00514A99">
        <w:t>.</w:t>
      </w:r>
      <w:r w:rsidR="009C5004" w:rsidRPr="00514A99">
        <w:rPr>
          <w:rStyle w:val="FootnoteReference"/>
        </w:rPr>
        <w:footnoteReference w:id="638"/>
      </w:r>
      <w:r w:rsidR="00FA2A41" w:rsidRPr="00514A99">
        <w:t xml:space="preserve"> </w:t>
      </w:r>
      <w:r w:rsidR="009C5004" w:rsidRPr="00514A99">
        <w:t xml:space="preserve">However, Lally considers </w:t>
      </w:r>
      <w:r w:rsidR="009701ED" w:rsidRPr="00514A99">
        <w:t xml:space="preserve">that </w:t>
      </w:r>
      <w:r w:rsidR="009C5004" w:rsidRPr="00514A99">
        <w:t xml:space="preserve">Frontier has failed to provide a valid reason for why it is important to control </w:t>
      </w:r>
      <w:r w:rsidR="009701ED" w:rsidRPr="00514A99">
        <w:t>for dividend payout rates and none is evident.</w:t>
      </w:r>
      <w:r w:rsidR="009701ED" w:rsidRPr="00514A99">
        <w:rPr>
          <w:rStyle w:val="FootnoteReference"/>
        </w:rPr>
        <w:footnoteReference w:id="639"/>
      </w:r>
      <w:r w:rsidR="009701ED" w:rsidRPr="00514A99">
        <w:t xml:space="preserve"> Lally considers </w:t>
      </w:r>
      <w:r w:rsidR="00CF66C7" w:rsidRPr="00514A99">
        <w:t>that</w:t>
      </w:r>
      <w:r w:rsidR="009701ED" w:rsidRPr="00514A99">
        <w:t xml:space="preserve"> all phenomena that arise from foreign activities must be accounted for, which comprise not only the foreign income but any change in the dividend payout rate arising from foreign activities.</w:t>
      </w:r>
      <w:r w:rsidR="009701ED" w:rsidRPr="00514A99">
        <w:rPr>
          <w:rStyle w:val="FootnoteReference"/>
        </w:rPr>
        <w:footnoteReference w:id="640"/>
      </w:r>
      <w:r w:rsidR="009701ED" w:rsidRPr="00514A99">
        <w:t xml:space="preserve"> Controlling for any changes in the dividend payout rate would subvert that purpose.</w:t>
      </w:r>
      <w:r w:rsidR="00396EBB" w:rsidRPr="00514A99">
        <w:rPr>
          <w:rStyle w:val="FootnoteReference"/>
        </w:rPr>
        <w:footnoteReference w:id="641"/>
      </w:r>
    </w:p>
    <w:p w:rsidR="00074FE0" w:rsidRPr="00514A99" w:rsidRDefault="002D6646">
      <w:r w:rsidRPr="00514A99">
        <w:t xml:space="preserve">In regards </w:t>
      </w:r>
      <w:r w:rsidR="00814F86" w:rsidRPr="00514A99">
        <w:t xml:space="preserve">to </w:t>
      </w:r>
      <w:r w:rsidRPr="00514A99">
        <w:t>Frontiers submission that Lally only focus on the largest seven firms, Lally responds that the purpose of the exercise is to estimate the imputation credit distribution rate of the market.</w:t>
      </w:r>
      <w:r w:rsidRPr="00514A99">
        <w:rPr>
          <w:rStyle w:val="FootnoteReference"/>
        </w:rPr>
        <w:footnoteReference w:id="642"/>
      </w:r>
      <w:r w:rsidRPr="00514A99">
        <w:t xml:space="preserve"> Lally submits that the top seven firms collectively account for 79% of the taxes paid to the ATO by the 20 largest ASX firms.</w:t>
      </w:r>
      <w:r w:rsidRPr="00514A99">
        <w:rPr>
          <w:rStyle w:val="FootnoteReference"/>
        </w:rPr>
        <w:footnoteReference w:id="643"/>
      </w:r>
      <w:r w:rsidRPr="00514A99">
        <w:t xml:space="preserve"> As a result, Lally considers the number of firms </w:t>
      </w:r>
      <w:r w:rsidR="00814F86" w:rsidRPr="00514A99">
        <w:t xml:space="preserve">in his </w:t>
      </w:r>
      <w:r w:rsidRPr="00514A99">
        <w:t xml:space="preserve">sample is </w:t>
      </w:r>
      <w:r w:rsidR="00814F86" w:rsidRPr="00514A99">
        <w:t xml:space="preserve">sufficient. He considers it is </w:t>
      </w:r>
      <w:r w:rsidRPr="00514A99">
        <w:t xml:space="preserve">not </w:t>
      </w:r>
      <w:r w:rsidR="00814F86" w:rsidRPr="00514A99">
        <w:t xml:space="preserve">the number of firms that is </w:t>
      </w:r>
      <w:r w:rsidRPr="00514A99">
        <w:t>important</w:t>
      </w:r>
      <w:r w:rsidR="00814F86" w:rsidRPr="00514A99">
        <w:t>, rather</w:t>
      </w:r>
      <w:r w:rsidRPr="00514A99">
        <w:t xml:space="preserve"> it is the collective size of those firms that is important.</w:t>
      </w:r>
      <w:r w:rsidRPr="00514A99">
        <w:rPr>
          <w:rStyle w:val="FootnoteReference"/>
        </w:rPr>
        <w:footnoteReference w:id="644"/>
      </w:r>
      <w:r w:rsidR="00814F86" w:rsidRPr="00514A99">
        <w:t xml:space="preserve"> </w:t>
      </w:r>
    </w:p>
    <w:p w:rsidR="00C52695" w:rsidRPr="00883125" w:rsidRDefault="00C52695" w:rsidP="00C52695">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64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w:t>
      </w:r>
      <w:r w:rsidR="001453E4">
        <w:t>r of the regulated businesses).</w:t>
      </w:r>
    </w:p>
    <w:p w:rsidR="00C52695" w:rsidRPr="00883125" w:rsidRDefault="00C52695" w:rsidP="00C52695">
      <w:r w:rsidRPr="00883125">
        <w:t>Regarding internal consistency when combining estimates of the distribution and utilisation rates, Gray (for SFG) submitted:</w:t>
      </w:r>
      <w:r w:rsidRPr="00883125">
        <w:rPr>
          <w:rStyle w:val="FootnoteReference"/>
        </w:rPr>
        <w:footnoteReference w:id="646"/>
      </w:r>
    </w:p>
    <w:p w:rsidR="00C52695" w:rsidRPr="00883125" w:rsidRDefault="00C52695" w:rsidP="00C52695">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52695" w:rsidRPr="00883125" w:rsidRDefault="00C52695" w:rsidP="00C52695">
      <w:r w:rsidRPr="00883125">
        <w:t>That is, if the only value of theta is the market-wide value, then it is internally consistent to combine it with any estimate of the distribution rate. NERA agreed:</w:t>
      </w:r>
      <w:r w:rsidRPr="00883125">
        <w:rPr>
          <w:rStyle w:val="FootnoteReference"/>
        </w:rPr>
        <w:footnoteReference w:id="647"/>
      </w:r>
    </w:p>
    <w:p w:rsidR="00C52695" w:rsidRPr="00883125" w:rsidRDefault="00C52695" w:rsidP="00C52695">
      <w:pPr>
        <w:pStyle w:val="AERquote"/>
      </w:pPr>
      <w:r w:rsidRPr="00883125">
        <w:t>As theta should not vary from firm to firm, however, there should be no link between how one estimates theta and how one estimates the distribution rate.</w:t>
      </w:r>
    </w:p>
    <w:p w:rsidR="00C52695" w:rsidRPr="00883125" w:rsidRDefault="00C52695" w:rsidP="00C52695">
      <w:pPr>
        <w:rPr>
          <w:rStyle w:val="AERbody"/>
        </w:rPr>
      </w:pPr>
      <w:r w:rsidRPr="00883125">
        <w:rPr>
          <w:rStyle w:val="AERbody"/>
        </w:rPr>
        <w:t>Gray (for Frontier) considered this matter again in his June 2015 report (for Frontier) and stated:</w:t>
      </w:r>
      <w:r w:rsidRPr="00883125">
        <w:rPr>
          <w:rStyle w:val="FootnoteReference"/>
        </w:rPr>
        <w:footnoteReference w:id="648"/>
      </w:r>
    </w:p>
    <w:p w:rsidR="00C52695" w:rsidRPr="00C52695" w:rsidRDefault="00C52695" w:rsidP="00C52695">
      <w:pPr>
        <w:pStyle w:val="AERquote"/>
        <w:rPr>
          <w:rFonts w:eastAsiaTheme="minorHAnsi"/>
        </w:rPr>
      </w:pPr>
      <w:r w:rsidRPr="005764F6">
        <w:t>In my view, when estimating the distribution rate there are two reasons to be concerned about the weight that is afforded to the top 20 listed firms:</w:t>
      </w:r>
    </w:p>
    <w:p w:rsidR="00C52695" w:rsidRPr="00C52695" w:rsidRDefault="00C52695" w:rsidP="00C52695">
      <w:pPr>
        <w:pStyle w:val="AERquoteindent1"/>
        <w:rPr>
          <w:rFonts w:eastAsiaTheme="minorHAnsi"/>
        </w:rPr>
      </w:pPr>
      <w:r w:rsidRPr="005764F6">
        <w:t>a. The AER has specifically stated that the benchmark efficient entity should not be assumed to be a large listed company, as set out above; and</w:t>
      </w:r>
    </w:p>
    <w:p w:rsidR="00C52695" w:rsidRPr="005764F6" w:rsidRDefault="00C52695" w:rsidP="00C52695">
      <w:pPr>
        <w:pStyle w:val="AERquote"/>
      </w:pPr>
      <w:r w:rsidRPr="005764F6">
        <w:t>b. The top 20 listed firms differ from the benchmark entity in that their foreign sourced profits enable a higher distribution rate.</w:t>
      </w:r>
    </w:p>
    <w:p w:rsidR="00C52695" w:rsidRPr="00883125" w:rsidRDefault="00C52695" w:rsidP="00C52695">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649"/>
      </w:r>
    </w:p>
    <w:p w:rsidR="00C52695" w:rsidRPr="00883125" w:rsidRDefault="00C52695" w:rsidP="00C52695">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5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C52695" w:rsidRPr="00883125" w:rsidRDefault="00C52695" w:rsidP="00C52695">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51"/>
      </w:r>
    </w:p>
    <w:p w:rsidR="00C52695" w:rsidRDefault="006919E7" w:rsidP="00C52695">
      <w:pPr>
        <w:rPr>
          <w:rStyle w:val="AERbody"/>
        </w:rPr>
      </w:pPr>
      <w:r>
        <w:rPr>
          <w:rStyle w:val="AERbody"/>
        </w:rPr>
        <w:t>S</w:t>
      </w:r>
      <w:r w:rsidR="00C52695" w:rsidRPr="00883125">
        <w:rPr>
          <w:rStyle w:val="AERbody"/>
        </w:rPr>
        <w:t>ervice providers have submitted that the appropriate distribution rate for both listed and all equity is 70</w:t>
      </w:r>
      <w:r w:rsidR="00C52695">
        <w:rPr>
          <w:rStyle w:val="AERbody"/>
        </w:rPr>
        <w:t xml:space="preserve"> per cent</w:t>
      </w:r>
      <w:r w:rsidR="00C52695" w:rsidRPr="00883125">
        <w:rPr>
          <w:rStyle w:val="AERbody"/>
        </w:rPr>
        <w:t xml:space="preserve"> consistent with the advice from Gray and NERA.</w:t>
      </w:r>
      <w:r w:rsidR="00C52695" w:rsidRPr="00883125">
        <w:rPr>
          <w:rStyle w:val="FootnoteReference"/>
        </w:rPr>
        <w:footnoteReference w:id="652"/>
      </w:r>
      <w:r w:rsidR="00C52695"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sidR="00C52695">
        <w:rPr>
          <w:rStyle w:val="AERbody"/>
        </w:rPr>
        <w:t>service providers</w:t>
      </w:r>
      <w:r w:rsidR="00C52695"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sidR="00C52695">
        <w:rPr>
          <w:rStyle w:val="FootnoteReference"/>
        </w:rPr>
        <w:footnoteReference w:id="653"/>
      </w:r>
      <w:r w:rsidR="00C52695" w:rsidRPr="00883125">
        <w:rPr>
          <w:rStyle w:val="AERbody"/>
        </w:rPr>
        <w:t xml:space="preserve"> </w:t>
      </w:r>
      <w:r w:rsidR="00C52695">
        <w:rPr>
          <w:rStyle w:val="AERbody"/>
        </w:rPr>
        <w:t>We</w:t>
      </w:r>
      <w:r w:rsidR="00C52695" w:rsidRPr="00883125">
        <w:rPr>
          <w:rStyle w:val="AERbody"/>
        </w:rPr>
        <w:t xml:space="preserve"> do not agree with this approach</w:t>
      </w:r>
      <w:r w:rsidR="00C52695">
        <w:rPr>
          <w:rStyle w:val="AERbody"/>
        </w:rPr>
        <w:t xml:space="preserve"> and considers it will not give a reasonable estimate of gamma for the benchmark efficient entity</w:t>
      </w:r>
      <w:r w:rsidR="00C52695" w:rsidRPr="00883125">
        <w:rPr>
          <w:rStyle w:val="AERbody"/>
        </w:rPr>
        <w:t xml:space="preserve"> </w:t>
      </w:r>
      <w:r w:rsidR="00C52695">
        <w:rPr>
          <w:rStyle w:val="AERbody"/>
        </w:rPr>
        <w:t>for the reasons outline above.</w:t>
      </w:r>
      <w:r w:rsidR="00C52695" w:rsidRPr="00883125">
        <w:rPr>
          <w:rStyle w:val="AERbody"/>
        </w:rPr>
        <w:t xml:space="preserve"> </w:t>
      </w:r>
    </w:p>
    <w:p w:rsidR="00C52695" w:rsidRPr="00883125" w:rsidRDefault="00C52695" w:rsidP="00C52695">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654"/>
      </w:r>
    </w:p>
    <w:p w:rsidR="00C52695" w:rsidRPr="00883125" w:rsidRDefault="00C52695" w:rsidP="00C52695">
      <w:pPr>
        <w:pStyle w:val="AERquote"/>
      </w:pPr>
      <w:r w:rsidRPr="00883125">
        <w:t>If theta is estimated using a market value approach, the estimate will represent an average across all listed firms.</w:t>
      </w:r>
    </w:p>
    <w:p w:rsidR="00C52695" w:rsidRPr="00883125" w:rsidRDefault="00C52695" w:rsidP="00C52695">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BF66D3" w:rsidRPr="00883125">
        <w:t xml:space="preserve">figure </w:t>
      </w:r>
      <w:r w:rsidR="00BF66D3">
        <w:rPr>
          <w:noProof/>
        </w:rPr>
        <w:t>4</w:t>
      </w:r>
      <w:r w:rsidR="00BF66D3" w:rsidRPr="00883125">
        <w:t>.</w:t>
      </w:r>
      <w:r w:rsidR="00BF66D3">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BF66D3" w:rsidRPr="00883125">
        <w:t xml:space="preserve">figure </w:t>
      </w:r>
      <w:r w:rsidR="00BF66D3">
        <w:rPr>
          <w:noProof/>
        </w:rPr>
        <w:t>4</w:t>
      </w:r>
      <w:r w:rsidR="00BF66D3" w:rsidRPr="00883125">
        <w:t>.</w:t>
      </w:r>
      <w:r w:rsidR="00BF66D3">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52695" w:rsidRPr="00883125" w:rsidRDefault="00C52695" w:rsidP="00C52695">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55"/>
      </w:r>
    </w:p>
    <w:p w:rsidR="00C52695" w:rsidRPr="00883125" w:rsidRDefault="00C52695" w:rsidP="00C52695">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52695" w:rsidRPr="00883125" w:rsidRDefault="00C52695" w:rsidP="00C52695">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52695" w:rsidRDefault="004D25AD" w:rsidP="00C0453E">
      <w:pPr>
        <w:rPr>
          <w:rStyle w:val="AERbody"/>
        </w:rPr>
      </w:pPr>
      <w:r>
        <w:rPr>
          <w:rStyle w:val="AERbody"/>
        </w:rPr>
        <w:t>T</w:t>
      </w:r>
      <w:r w:rsidR="006919E7">
        <w:rPr>
          <w:rStyle w:val="AERbody"/>
        </w:rPr>
        <w:t xml:space="preserve">he regulated businesses submit that </w:t>
      </w:r>
      <w:r w:rsidR="00C52695">
        <w:rPr>
          <w:rStyle w:val="AERbody"/>
        </w:rPr>
        <w:t>Lally considers that consistency between the distribution rate and utilisation value is not essential nor is it precluded.</w:t>
      </w:r>
      <w:r w:rsidR="00C52695" w:rsidRPr="0016735E">
        <w:rPr>
          <w:rStyle w:val="FootnoteReference"/>
        </w:rPr>
        <w:footnoteReference w:id="656"/>
      </w:r>
      <w:r w:rsidR="00C52695">
        <w:rPr>
          <w:rStyle w:val="AERbody"/>
        </w:rPr>
        <w:t xml:space="preserve"> </w:t>
      </w:r>
      <w:r w:rsidR="006919E7">
        <w:rPr>
          <w:rStyle w:val="AERbody"/>
        </w:rPr>
        <w:t xml:space="preserve">In his </w:t>
      </w:r>
      <w:r w:rsidR="00AF679B">
        <w:rPr>
          <w:rStyle w:val="AERbody"/>
        </w:rPr>
        <w:t>recent</w:t>
      </w:r>
      <w:r w:rsidR="006919E7">
        <w:rPr>
          <w:rStyle w:val="AERbody"/>
        </w:rPr>
        <w:t xml:space="preserve"> report, Lally has updated his </w:t>
      </w:r>
      <w:r>
        <w:rPr>
          <w:rStyle w:val="AERbody"/>
        </w:rPr>
        <w:t>positio</w:t>
      </w:r>
      <w:r w:rsidR="006919E7">
        <w:rPr>
          <w:rStyle w:val="AERbody"/>
        </w:rPr>
        <w:t>n</w:t>
      </w:r>
      <w:r>
        <w:rPr>
          <w:rStyle w:val="AERbody"/>
        </w:rPr>
        <w:t xml:space="preserve"> to say that there is good reason for not matching.</w:t>
      </w:r>
      <w:r>
        <w:rPr>
          <w:rStyle w:val="FootnoteReference"/>
        </w:rPr>
        <w:footnoteReference w:id="657"/>
      </w:r>
      <w:r w:rsidR="00C0453E">
        <w:rPr>
          <w:rStyle w:val="AERbody"/>
        </w:rPr>
        <w:t xml:space="preserve"> While we acknowledge this, </w:t>
      </w:r>
      <w:r w:rsidR="00C52695">
        <w:rPr>
          <w:rStyle w:val="AERbody"/>
        </w:rPr>
        <w:t xml:space="preserve">Lally considers that the distribution rate (for listed equity) should be estimated with reference to </w:t>
      </w:r>
      <w:r w:rsidR="00C52695" w:rsidRPr="0016735E">
        <w:rPr>
          <w:rStyle w:val="AERbody"/>
        </w:rPr>
        <w:t xml:space="preserve">the top 20 listed firms </w:t>
      </w:r>
      <w:r w:rsidR="00C52695">
        <w:rPr>
          <w:rStyle w:val="AERbody"/>
        </w:rPr>
        <w:t>and the utilisation value should be estimated with reference to all equity.</w:t>
      </w:r>
      <w:r w:rsidR="00C52695" w:rsidRPr="0016735E">
        <w:rPr>
          <w:rStyle w:val="FootnoteReference"/>
        </w:rPr>
        <w:footnoteReference w:id="658"/>
      </w:r>
      <w:r w:rsidR="00C52695">
        <w:rPr>
          <w:rStyle w:val="AERbody"/>
        </w:rPr>
        <w:t xml:space="preserve"> This implies that gamma is at least 0.5, which indicates our value of gamma may be too low.</w:t>
      </w:r>
      <w:r w:rsidR="00EB58A2">
        <w:rPr>
          <w:rStyle w:val="FootnoteReference"/>
        </w:rPr>
        <w:footnoteReference w:id="659"/>
      </w:r>
    </w:p>
    <w:p w:rsidR="00C52695" w:rsidRPr="00883125" w:rsidRDefault="00C52695" w:rsidP="00C52695">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60"/>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C52695" w:rsidRPr="00883125" w:rsidRDefault="00C52695" w:rsidP="00C52695">
      <w:pPr>
        <w:rPr>
          <w:rStyle w:val="AERbody"/>
        </w:rPr>
      </w:pPr>
      <w:r w:rsidRPr="00883125">
        <w:rPr>
          <w:rStyle w:val="AERbody"/>
        </w:rPr>
        <w:t>Handley indicated that Gray's analysis was 'incomplete and oversimplified' to support the restriction proposed, and we consider that Gray's June 2015 report (for Frontier) and NERA's June 2015 report add noth</w:t>
      </w:r>
      <w:r w:rsidR="00514A99">
        <w:rPr>
          <w:rStyle w:val="AERbody"/>
        </w:rPr>
        <w:t>ing material to the discussion.</w:t>
      </w:r>
    </w:p>
    <w:p w:rsidR="00C52695" w:rsidRPr="00883125" w:rsidRDefault="00C52695" w:rsidP="00C52695">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61"/>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62"/>
      </w:r>
    </w:p>
    <w:p w:rsidR="00C52695" w:rsidRPr="00883125" w:rsidRDefault="00C52695" w:rsidP="00C52695">
      <w:pPr>
        <w:pStyle w:val="Heading9"/>
      </w:pPr>
      <w:bookmarkStart w:id="348" w:name="_Toc450119282"/>
      <w:bookmarkStart w:id="349" w:name="_Toc450119442"/>
      <w:bookmarkStart w:id="350" w:name="_Ref415126827"/>
      <w:bookmarkStart w:id="351" w:name="_Toc456614328"/>
      <w:bookmarkStart w:id="352" w:name="_Toc462823334"/>
      <w:bookmarkStart w:id="353" w:name="_Toc487014342"/>
      <w:bookmarkEnd w:id="348"/>
      <w:bookmarkEnd w:id="349"/>
      <w:r w:rsidRPr="00883125">
        <w:t>The cumulative payout ratio approach</w:t>
      </w:r>
      <w:bookmarkEnd w:id="350"/>
      <w:bookmarkEnd w:id="351"/>
      <w:bookmarkEnd w:id="352"/>
      <w:bookmarkEnd w:id="353"/>
    </w:p>
    <w:p w:rsidR="00C52695" w:rsidRPr="00883125" w:rsidRDefault="00C52695" w:rsidP="00C52695">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52695" w:rsidRPr="00883125" w:rsidRDefault="00C52695" w:rsidP="00C52695">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663"/>
      </w:r>
      <w:r w:rsidRPr="00883125">
        <w:t xml:space="preserve"> However, we are unaware of the materiality of these factors. Moreover, as discussed in the next section:</w:t>
      </w:r>
    </w:p>
    <w:p w:rsidR="00C52695" w:rsidRPr="00883125" w:rsidRDefault="00C52695" w:rsidP="00C52695">
      <w:pPr>
        <w:pStyle w:val="AERbulletlistfirststyle"/>
      </w:pPr>
      <w:r w:rsidRPr="00883125">
        <w:t>Hathaway and NERA each preferred this approach to an approach involving data on franked dividends, and</w:t>
      </w:r>
    </w:p>
    <w:p w:rsidR="00C52695" w:rsidRPr="00883125" w:rsidRDefault="00C52695" w:rsidP="00C52695">
      <w:pPr>
        <w:pStyle w:val="AERbulletlistfirststyle"/>
      </w:pPr>
      <w:r w:rsidRPr="00883125">
        <w:t>an estimate of the distribution rate across only listed equity using this approach is broadly reinforced by evidence from the financial statements of the largest listed companies.</w:t>
      </w:r>
    </w:p>
    <w:p w:rsidR="00C52695" w:rsidRPr="00883125" w:rsidRDefault="00C52695" w:rsidP="00C52695">
      <w:pPr>
        <w:pStyle w:val="Heading9"/>
      </w:pPr>
      <w:bookmarkStart w:id="354" w:name="_Toc456614329"/>
      <w:bookmarkStart w:id="355" w:name="_Toc462823335"/>
      <w:bookmarkStart w:id="356" w:name="_Toc487014343"/>
      <w:r w:rsidRPr="00883125">
        <w:t>Alternative approaches</w:t>
      </w:r>
      <w:bookmarkEnd w:id="354"/>
      <w:bookmarkEnd w:id="355"/>
      <w:bookmarkEnd w:id="356"/>
    </w:p>
    <w:p w:rsidR="00C52695" w:rsidRPr="00883125" w:rsidRDefault="00C52695" w:rsidP="00C52695">
      <w:pPr>
        <w:numPr>
          <w:ilvl w:val="0"/>
          <w:numId w:val="24"/>
        </w:numPr>
      </w:pPr>
      <w:r w:rsidRPr="00883125">
        <w:t>There are at least two alternative approaches to estimating the distribution rate:</w:t>
      </w:r>
    </w:p>
    <w:p w:rsidR="00C52695" w:rsidRPr="001D37D5" w:rsidRDefault="00C52695" w:rsidP="00C52695">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64"/>
      </w:r>
      <w:r w:rsidRPr="001D37D5">
        <w:t xml:space="preserve"> However, neither advocated the use of this estimate. NERA considered:</w:t>
      </w:r>
      <w:r w:rsidRPr="001D37D5">
        <w:rPr>
          <w:rStyle w:val="FootnoteReference"/>
        </w:rPr>
        <w:footnoteReference w:id="665"/>
      </w:r>
    </w:p>
    <w:p w:rsidR="00C52695" w:rsidRPr="00883125" w:rsidRDefault="00C52695" w:rsidP="00C52695">
      <w:pPr>
        <w:pStyle w:val="AERquote"/>
      </w:pPr>
      <w:r w:rsidRPr="00883125">
        <w:t xml:space="preserve">In our opinion, the cumulative payout ratio is the most reliable estimate that is least likely to be affected by potential distortions in the underlying data set. </w:t>
      </w:r>
    </w:p>
    <w:p w:rsidR="00C52695" w:rsidRPr="001D37D5" w:rsidRDefault="00C52695" w:rsidP="00C52695">
      <w:pPr>
        <w:pStyle w:val="AERbulletlistfirststyle"/>
      </w:pPr>
      <w:r w:rsidRPr="00883125">
        <w:t>And Hathaway considered:</w:t>
      </w:r>
      <w:r w:rsidRPr="001D37D5">
        <w:rPr>
          <w:rStyle w:val="FootnoteReference"/>
        </w:rPr>
        <w:footnoteReference w:id="666"/>
      </w:r>
    </w:p>
    <w:p w:rsidR="00C52695" w:rsidRPr="00883125" w:rsidRDefault="00C52695" w:rsidP="00C52695">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52695" w:rsidRDefault="00C52695" w:rsidP="00C52695">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67"/>
      </w:r>
      <w:r w:rsidRPr="00883125">
        <w:t xml:space="preserve"> We consider that this broadly reinforces the higher cumulative payout ratio estimate across only listed equity.</w:t>
      </w:r>
    </w:p>
    <w:p w:rsidR="00E37CE4" w:rsidRDefault="00E37CE4" w:rsidP="00C52695"/>
    <w:p w:rsidR="00E37CE4" w:rsidRPr="00883125" w:rsidRDefault="00E37CE4" w:rsidP="00C52695"/>
    <w:p w:rsidR="00C52695" w:rsidRPr="00883125" w:rsidRDefault="00C52695" w:rsidP="00C52695">
      <w:pPr>
        <w:pStyle w:val="Heading9"/>
      </w:pPr>
      <w:bookmarkStart w:id="357" w:name="_Ref450297745"/>
      <w:bookmarkStart w:id="358" w:name="_Toc456614330"/>
      <w:bookmarkStart w:id="359" w:name="_Toc462823336"/>
      <w:bookmarkStart w:id="360" w:name="_Toc487014344"/>
      <w:r w:rsidRPr="00883125">
        <w:t>Hathaway (2014)</w:t>
      </w:r>
      <w:bookmarkEnd w:id="357"/>
      <w:bookmarkEnd w:id="358"/>
      <w:bookmarkEnd w:id="359"/>
      <w:bookmarkEnd w:id="360"/>
    </w:p>
    <w:p w:rsidR="00C52695" w:rsidRPr="00883125" w:rsidRDefault="00C52695" w:rsidP="00C52695">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68"/>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69"/>
      </w:r>
    </w:p>
    <w:p w:rsidR="00C52695" w:rsidRPr="00883125" w:rsidRDefault="00C52695" w:rsidP="00C52695">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52695" w:rsidRPr="00883125" w:rsidRDefault="00C52695" w:rsidP="00C52695">
      <w:pPr>
        <w:pStyle w:val="AERquote"/>
      </w:pPr>
      <w:r w:rsidRPr="00883125">
        <w:t>This gross distribution seems highly improbable and is quite inconsistent with the recorded franking credit income. It represents a gross payout ratio of 88% of all company tax as franking credits for the period 2004-12. This is in stark contrast to the gross 66% distribution recorded by the payment of franked dividends. We conclude that the FAB data are a concern.</w:t>
      </w:r>
    </w:p>
    <w:p w:rsidR="00C52695" w:rsidRPr="00883125" w:rsidRDefault="00C52695" w:rsidP="00C52695">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52695" w:rsidRPr="00883125" w:rsidRDefault="00C52695" w:rsidP="00C52695">
      <w:r w:rsidRPr="00883125">
        <w:t>While we are aware of it, we do not place reliance on the conclusion in Hathaway (2014) regarding the FAB data in this</w:t>
      </w:r>
      <w:r>
        <w:t xml:space="preserve"> </w:t>
      </w:r>
      <w:r w:rsidR="00924CC4">
        <w:t>d</w:t>
      </w:r>
      <w:r w:rsidR="007A0E11">
        <w:t>ra</w:t>
      </w:r>
      <w:r w:rsidR="00924CC4">
        <w:t>ft</w:t>
      </w:r>
      <w:r w:rsidR="00022C1D" w:rsidRPr="00883125">
        <w:t xml:space="preserve"> </w:t>
      </w:r>
      <w:r w:rsidRPr="00883125">
        <w:t>decision. This is because:</w:t>
      </w:r>
    </w:p>
    <w:p w:rsidR="00C52695" w:rsidRPr="001D37D5" w:rsidRDefault="00C52695" w:rsidP="00C52695">
      <w:pPr>
        <w:pStyle w:val="AERbulletlistfirststyle"/>
      </w:pPr>
      <w:r w:rsidRPr="00883125">
        <w:t>We do not find Hathaway's reasoning for his conclusion</w:t>
      </w:r>
      <w:r w:rsidRPr="001D37D5">
        <w:t xml:space="preserve"> convincing.</w:t>
      </w:r>
    </w:p>
    <w:p w:rsidR="00C52695" w:rsidRPr="00883125" w:rsidRDefault="00C52695" w:rsidP="00C52695">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52695" w:rsidRDefault="00C52695" w:rsidP="00C52695">
      <w:r w:rsidRPr="00883125">
        <w:t>We also note the report is still marked draft nearly one year after initially being completed.</w:t>
      </w:r>
    </w:p>
    <w:p w:rsidR="00E37CE4" w:rsidRDefault="00E37CE4" w:rsidP="00C52695"/>
    <w:p w:rsidR="00E37CE4" w:rsidRPr="00883125" w:rsidRDefault="00E37CE4" w:rsidP="00C52695"/>
    <w:p w:rsidR="00C52695" w:rsidRPr="00883125" w:rsidRDefault="00C52695" w:rsidP="00C52695">
      <w:pPr>
        <w:pStyle w:val="Heading8"/>
      </w:pPr>
      <w:bookmarkStart w:id="361" w:name="_Ref403481535"/>
      <w:bookmarkStart w:id="362" w:name="_Toc436049452"/>
      <w:bookmarkStart w:id="363" w:name="_Toc451842258"/>
      <w:bookmarkStart w:id="364" w:name="_Toc451938312"/>
      <w:bookmarkStart w:id="365" w:name="_Toc456614331"/>
      <w:bookmarkStart w:id="366" w:name="_Toc462823337"/>
      <w:bookmarkStart w:id="367" w:name="_Toc487014345"/>
      <w:r w:rsidRPr="00883125">
        <w:t>Application of rate of return criteria to evidence on the utilisation rate</w:t>
      </w:r>
      <w:bookmarkEnd w:id="361"/>
      <w:bookmarkEnd w:id="362"/>
      <w:bookmarkEnd w:id="363"/>
      <w:bookmarkEnd w:id="364"/>
      <w:bookmarkEnd w:id="365"/>
      <w:bookmarkEnd w:id="366"/>
      <w:bookmarkEnd w:id="367"/>
    </w:p>
    <w:p w:rsidR="00C52695" w:rsidRPr="00883125" w:rsidRDefault="00C52695" w:rsidP="00C52695">
      <w:pPr>
        <w:numPr>
          <w:ilvl w:val="0"/>
          <w:numId w:val="24"/>
        </w:numPr>
      </w:pPr>
      <w:r w:rsidRPr="00883125">
        <w:t xml:space="preserve">Our main assessment of the various approaches to estimating the utilisation rate is set out in section </w:t>
      </w:r>
      <w:r w:rsidR="001A5B30">
        <w:fldChar w:fldCharType="begin"/>
      </w:r>
      <w:r w:rsidR="001A5B30">
        <w:instrText xml:space="preserve"> REF _Ref475439085 \r \h </w:instrText>
      </w:r>
      <w:r w:rsidR="001A5B30">
        <w:fldChar w:fldCharType="separate"/>
      </w:r>
      <w:r w:rsidR="00BF66D3">
        <w:t>4.4</w:t>
      </w:r>
      <w:r w:rsidR="001A5B30">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BF66D3" w:rsidRPr="00883125">
        <w:t xml:space="preserve">table </w:t>
      </w:r>
      <w:r w:rsidR="00BF66D3">
        <w:rPr>
          <w:noProof/>
        </w:rPr>
        <w:t>4</w:t>
      </w:r>
      <w:r w:rsidR="00BF66D3">
        <w:noBreakHyphen/>
      </w:r>
      <w:r w:rsidR="00BF66D3">
        <w:rPr>
          <w:noProof/>
        </w:rPr>
        <w:t>15</w:t>
      </w:r>
      <w:r w:rsidRPr="00883125">
        <w:fldChar w:fldCharType="end"/>
      </w:r>
      <w:r w:rsidRPr="00883125">
        <w:t>). Assessment against these criteria broadly supports our main assessment of the approaches.</w:t>
      </w:r>
    </w:p>
    <w:p w:rsidR="00C52695" w:rsidRPr="00883125" w:rsidRDefault="00C52695" w:rsidP="00C52695">
      <w:pPr>
        <w:numPr>
          <w:ilvl w:val="0"/>
          <w:numId w:val="24"/>
        </w:numPr>
      </w:pPr>
    </w:p>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52695" w:rsidRPr="00FE391A" w:rsidTr="006425B8">
        <w:trPr>
          <w:cnfStyle w:val="100000000000" w:firstRow="1" w:lastRow="0" w:firstColumn="0" w:lastColumn="0" w:oddVBand="0" w:evenVBand="0" w:oddHBand="0" w:evenHBand="0" w:firstRowFirstColumn="0" w:firstRowLastColumn="0" w:lastRowFirstColumn="0" w:lastRowLastColumn="0"/>
          <w:cantSplit/>
        </w:trPr>
        <w:tc>
          <w:tcPr>
            <w:tcW w:w="3936" w:type="dxa"/>
          </w:tcPr>
          <w:p w:rsidR="00C52695" w:rsidRPr="00883125" w:rsidRDefault="00C52695" w:rsidP="00C52695">
            <w:pPr>
              <w:pStyle w:val="ListParagraph"/>
              <w:numPr>
                <w:ilvl w:val="0"/>
                <w:numId w:val="24"/>
              </w:numPr>
            </w:pPr>
            <w:r>
              <w:t>Criteria</w:t>
            </w:r>
            <w:r w:rsidRPr="00E30AF3">
              <w:rPr>
                <w:rStyle w:val="AERsuperscript"/>
              </w:rPr>
              <w:t>(a)</w:t>
            </w:r>
          </w:p>
        </w:tc>
        <w:tc>
          <w:tcPr>
            <w:tcW w:w="3140" w:type="dxa"/>
          </w:tcPr>
          <w:p w:rsidR="00C52695" w:rsidRPr="00C52695" w:rsidRDefault="00C52695" w:rsidP="00C52695">
            <w:r>
              <w:t>Equity ownership approach</w:t>
            </w:r>
          </w:p>
        </w:tc>
        <w:tc>
          <w:tcPr>
            <w:tcW w:w="3238" w:type="dxa"/>
          </w:tcPr>
          <w:p w:rsidR="00C52695" w:rsidRPr="00C52695" w:rsidRDefault="00C52695" w:rsidP="00C52695">
            <w:r>
              <w:t>Tax statistics</w:t>
            </w:r>
          </w:p>
        </w:tc>
        <w:tc>
          <w:tcPr>
            <w:tcW w:w="3838" w:type="dxa"/>
          </w:tcPr>
          <w:p w:rsidR="00C52695" w:rsidRPr="00C52695" w:rsidRDefault="00C52695" w:rsidP="00C52695">
            <w:r>
              <w:t>Implied market value studies</w:t>
            </w:r>
          </w:p>
        </w:tc>
      </w:tr>
      <w:tr w:rsidR="00C52695" w:rsidRPr="00FE391A" w:rsidTr="006425B8">
        <w:trPr>
          <w:cantSplit/>
        </w:trPr>
        <w:tc>
          <w:tcPr>
            <w:tcW w:w="3936" w:type="dxa"/>
          </w:tcPr>
          <w:p w:rsidR="00C52695" w:rsidRPr="00883125" w:rsidRDefault="00C52695" w:rsidP="00C52695">
            <w:pPr>
              <w:pStyle w:val="ListParagraph"/>
              <w:numPr>
                <w:ilvl w:val="0"/>
                <w:numId w:val="24"/>
              </w:numPr>
            </w:pPr>
            <w:r w:rsidRPr="00883125">
              <w:t xml:space="preserve">Where applicable, reflective of economic and finance principles and market information. </w:t>
            </w:r>
          </w:p>
          <w:p w:rsidR="00C52695" w:rsidRPr="00883125" w:rsidRDefault="00C52695" w:rsidP="00C52695">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52695" w:rsidRPr="00C52695" w:rsidRDefault="00C52695" w:rsidP="00C52695">
            <w:r w:rsidRPr="00883125">
              <w:t>Accords with Monkhouse framework and principle of investor rationality (e.g. eligible investors expected to utilise</w:t>
            </w:r>
            <w:r w:rsidRPr="00C52695">
              <w:t xml:space="preserve"> credits to which they are entitled).</w:t>
            </w:r>
          </w:p>
          <w:p w:rsidR="00C52695" w:rsidRPr="00C52695" w:rsidRDefault="00C52695" w:rsidP="00C52695">
            <w:r w:rsidRPr="00883125">
              <w:t xml:space="preserve">Analysis is </w:t>
            </w:r>
            <w:r w:rsidRPr="00C52695">
              <w:t>straightforward and sound. Data is from credible source (ABS).</w:t>
            </w:r>
          </w:p>
        </w:tc>
        <w:tc>
          <w:tcPr>
            <w:tcW w:w="3238" w:type="dxa"/>
          </w:tcPr>
          <w:p w:rsidR="00C52695" w:rsidRPr="00C52695" w:rsidRDefault="00C52695" w:rsidP="00C52695">
            <w:r w:rsidRPr="00883125">
              <w:t>Market information on the amount of imputation credits utilised.</w:t>
            </w:r>
          </w:p>
          <w:p w:rsidR="00C52695" w:rsidRPr="00C52695" w:rsidRDefault="00C52695" w:rsidP="00C52695">
            <w:r w:rsidRPr="00883125">
              <w:t>Analysis is straightforward and sound. Data is from credible source (ATO), but some data concerns have been identified.</w:t>
            </w:r>
          </w:p>
        </w:tc>
        <w:tc>
          <w:tcPr>
            <w:tcW w:w="3838" w:type="dxa"/>
          </w:tcPr>
          <w:p w:rsidR="00C52695" w:rsidRPr="00C52695" w:rsidRDefault="00C52695" w:rsidP="00C52695">
            <w:r w:rsidRPr="00883125">
              <w:t>Mainly based on the principle that share prices reflect the present value of future dividends (and imputation credits) and 'no arbitrage'.</w:t>
            </w:r>
          </w:p>
          <w:p w:rsidR="00C52695" w:rsidRPr="00C52695" w:rsidRDefault="00C52695" w:rsidP="00C52695">
            <w:r w:rsidRPr="00883125">
              <w:t>Varying opinions on the soundness of analysis across studies. Underlying data is typically from credible sources (e.g. Bloomberg, ASX).</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Fit for purpose. </w:t>
            </w:r>
          </w:p>
          <w:p w:rsidR="00C52695" w:rsidRPr="00C52695" w:rsidRDefault="00C52695" w:rsidP="00C52695">
            <w:r w:rsidRPr="00883125">
              <w:t xml:space="preserve">- The use of estimation methods, financial models, market data and other evidence should be consistent with the original purpose for which it was compiled and have regard to the limitations of that purpose. </w:t>
            </w:r>
          </w:p>
          <w:p w:rsidR="00C52695" w:rsidRPr="00C52695" w:rsidRDefault="00C52695" w:rsidP="00C52695">
            <w:r w:rsidRPr="00883125">
              <w:t xml:space="preserve">- Promote simple </w:t>
            </w:r>
            <w:r w:rsidRPr="00C52695">
              <w:t>over complex approaches where appropriate.</w:t>
            </w:r>
          </w:p>
        </w:tc>
        <w:tc>
          <w:tcPr>
            <w:tcW w:w="3140" w:type="dxa"/>
          </w:tcPr>
          <w:p w:rsidR="00C52695" w:rsidRPr="00C52695" w:rsidRDefault="00C52695" w:rsidP="00C52695">
            <w:r w:rsidRPr="00883125">
              <w:t>ABS data used to estimate the domestic ownership share of Australian equity, which is consistent with its purpose. Approach is simple.</w:t>
            </w:r>
          </w:p>
        </w:tc>
        <w:tc>
          <w:tcPr>
            <w:tcW w:w="3238" w:type="dxa"/>
          </w:tcPr>
          <w:p w:rsidR="00C52695" w:rsidRPr="00C52695" w:rsidRDefault="00C52695" w:rsidP="00C52695">
            <w:r w:rsidRPr="00883125">
              <w:t>ATO statistics used to observe the reported amount of imputation credits utilised by investors, which is consistent with their purpose. Approach is simple.</w:t>
            </w:r>
          </w:p>
        </w:tc>
        <w:tc>
          <w:tcPr>
            <w:tcW w:w="3838" w:type="dxa"/>
          </w:tcPr>
          <w:p w:rsidR="00C52695" w:rsidRPr="00C52695" w:rsidRDefault="00C52695" w:rsidP="00C52695">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52695" w:rsidRPr="00FE391A" w:rsidTr="006425B8">
        <w:trPr>
          <w:cantSplit/>
        </w:trPr>
        <w:tc>
          <w:tcPr>
            <w:tcW w:w="3936" w:type="dxa"/>
          </w:tcPr>
          <w:p w:rsidR="00C52695" w:rsidRPr="00C52695" w:rsidRDefault="00C52695" w:rsidP="00C52695">
            <w:r w:rsidRPr="00883125">
              <w:t xml:space="preserve">Implemented in accordance with good practice. </w:t>
            </w:r>
          </w:p>
          <w:p w:rsidR="00C52695" w:rsidRPr="00C52695" w:rsidRDefault="00C52695" w:rsidP="00C52695">
            <w:r w:rsidRPr="00883125">
              <w:t xml:space="preserve">- Supported by robust, transparent and </w:t>
            </w:r>
            <w:r w:rsidRPr="00C52695">
              <w:t>replicable analysis that is derived from available credible datasets.</w:t>
            </w:r>
          </w:p>
        </w:tc>
        <w:tc>
          <w:tcPr>
            <w:tcW w:w="3140" w:type="dxa"/>
          </w:tcPr>
          <w:p w:rsidR="00C52695" w:rsidRPr="00C52695" w:rsidRDefault="00C52695" w:rsidP="00C52695">
            <w:r w:rsidRPr="00883125">
              <w:t>Transparent and replicable using published data. Some knowledge of ABS classifications required.</w:t>
            </w:r>
          </w:p>
        </w:tc>
        <w:tc>
          <w:tcPr>
            <w:tcW w:w="3238" w:type="dxa"/>
          </w:tcPr>
          <w:p w:rsidR="00C52695" w:rsidRPr="00C52695" w:rsidRDefault="00C52695" w:rsidP="00C52695">
            <w:r w:rsidRPr="00883125">
              <w:t>Transparent and replicable using published data, although detailed knowledge of tax return labels required. Some data concerns have been identified.</w:t>
            </w:r>
          </w:p>
        </w:tc>
        <w:tc>
          <w:tcPr>
            <w:tcW w:w="3838" w:type="dxa"/>
          </w:tcPr>
          <w:p w:rsidR="00C52695" w:rsidRPr="00C52695" w:rsidRDefault="00C52695" w:rsidP="00C52695">
            <w:r w:rsidRPr="00883125">
              <w:t>Less transparent and replicable, as econometrics knowledge required and data not always publicly or freely available.</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Where market data and other information is used, this information is: credible and verifiable; comparable and timely; and clearly </w:t>
            </w:r>
            <w:r w:rsidRPr="00C52695">
              <w:t>sourced.</w:t>
            </w:r>
          </w:p>
        </w:tc>
        <w:tc>
          <w:tcPr>
            <w:tcW w:w="3140" w:type="dxa"/>
          </w:tcPr>
          <w:p w:rsidR="00C52695" w:rsidRPr="00C52695" w:rsidRDefault="00C52695" w:rsidP="00C52695">
            <w:r w:rsidRPr="00883125">
              <w:t xml:space="preserve">ABS is a credible source. Relevant statistics are published online on a quarterly basis. </w:t>
            </w:r>
          </w:p>
        </w:tc>
        <w:tc>
          <w:tcPr>
            <w:tcW w:w="3238" w:type="dxa"/>
          </w:tcPr>
          <w:p w:rsidR="00C52695" w:rsidRPr="00C52695" w:rsidRDefault="00C52695" w:rsidP="00C52695">
            <w:r w:rsidRPr="00883125">
              <w:t>ATO is a credible source. Relevant statistics are published online on an annual basis, with a two-year lag (e.g. 2011–12 statistics published in 2014). Some data concerns have been identified.</w:t>
            </w:r>
          </w:p>
        </w:tc>
        <w:tc>
          <w:tcPr>
            <w:tcW w:w="3838" w:type="dxa"/>
          </w:tcPr>
          <w:p w:rsidR="00C52695" w:rsidRPr="00C52695" w:rsidRDefault="00C52695" w:rsidP="00C52695">
            <w:r w:rsidRPr="00883125">
              <w:t>Underlying data typically from credible sources (e.g. Bloomberg, ASX) and is produced on a timely basis. Data not always publicly or freely available.</w:t>
            </w:r>
          </w:p>
          <w:p w:rsidR="00C52695" w:rsidRPr="00C52695" w:rsidRDefault="00C52695" w:rsidP="00C52695">
            <w:r w:rsidRPr="00883125">
              <w:t>Use of econometrics makes the results difficult and complex to verify.</w:t>
            </w:r>
          </w:p>
        </w:tc>
      </w:tr>
      <w:tr w:rsidR="00C52695" w:rsidRPr="00FE391A" w:rsidTr="006425B8">
        <w:trPr>
          <w:cantSplit/>
        </w:trPr>
        <w:tc>
          <w:tcPr>
            <w:tcW w:w="3936" w:type="dxa"/>
          </w:tcPr>
          <w:p w:rsidR="00C52695" w:rsidRPr="00C52695" w:rsidRDefault="00C52695" w:rsidP="00C52695">
            <w:r w:rsidRPr="00883125">
              <w:t xml:space="preserve">Sufficiently flexible as to </w:t>
            </w:r>
            <w:r w:rsidRPr="00C52695">
              <w:t>allow changing market conditions and new information to be reflected in regulatory outcomes, as appropriate.</w:t>
            </w:r>
          </w:p>
        </w:tc>
        <w:tc>
          <w:tcPr>
            <w:tcW w:w="3140" w:type="dxa"/>
          </w:tcPr>
          <w:p w:rsidR="00C52695" w:rsidRPr="00C52695" w:rsidRDefault="00C52695" w:rsidP="00C52695">
            <w:r w:rsidRPr="00883125">
              <w:t xml:space="preserve">Reflects current ownership of Australian equities. However, might not reflect any tax law changes that reduce eligible investors’ utilisation rates below 1.  </w:t>
            </w:r>
          </w:p>
        </w:tc>
        <w:tc>
          <w:tcPr>
            <w:tcW w:w="3238" w:type="dxa"/>
          </w:tcPr>
          <w:p w:rsidR="00C52695" w:rsidRPr="00C52695" w:rsidRDefault="00C52695" w:rsidP="00C52695">
            <w:r w:rsidRPr="00883125">
              <w:t>Reflects conditions up to two years ago.</w:t>
            </w:r>
          </w:p>
        </w:tc>
        <w:tc>
          <w:tcPr>
            <w:tcW w:w="3838" w:type="dxa"/>
          </w:tcPr>
          <w:p w:rsidR="00C52695" w:rsidRPr="00C52695" w:rsidRDefault="00C52695" w:rsidP="00C52695">
            <w:r w:rsidRPr="00883125">
              <w:t>Reflects current conditions to the extent that recent data is used. Different studies span various time periods.</w:t>
            </w:r>
          </w:p>
        </w:tc>
      </w:tr>
    </w:tbl>
    <w:p w:rsidR="00C52695" w:rsidRPr="00883125" w:rsidRDefault="00C52695" w:rsidP="00C52695">
      <w:pPr>
        <w:pStyle w:val="Caption"/>
      </w:pPr>
      <w:bookmarkStart w:id="368" w:name="_Ref415046112"/>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15</w:t>
      </w:r>
      <w:r w:rsidRPr="001D37D5">
        <w:fldChar w:fldCharType="end"/>
      </w:r>
      <w:bookmarkEnd w:id="368"/>
      <w:r w:rsidRPr="00883125">
        <w:tab/>
        <w:t>Application of rate of return criteria to evidence on the utilisation rate</w:t>
      </w:r>
    </w:p>
    <w:p w:rsidR="00C52695" w:rsidRPr="00883125" w:rsidRDefault="00C52695" w:rsidP="00C52695">
      <w:pPr>
        <w:pStyle w:val="AERtablesource"/>
      </w:pPr>
      <w:r w:rsidRPr="00883125">
        <w:t xml:space="preserve">Source: </w:t>
      </w:r>
      <w:r w:rsidRPr="00883125">
        <w:tab/>
        <w:t>AER analysis.</w:t>
      </w:r>
    </w:p>
    <w:p w:rsidR="00C52695" w:rsidRPr="00883125" w:rsidRDefault="00C52695" w:rsidP="00C52695">
      <w:pPr>
        <w:pStyle w:val="AERtablesource"/>
      </w:pPr>
      <w:r w:rsidRPr="00883125">
        <w:t>(a):</w:t>
      </w:r>
      <w:r w:rsidRPr="00883125">
        <w:tab/>
        <w:t>The criteria relating specifically to return on equity and return on debt quantitative models are excluded because they are not applicable.</w:t>
      </w:r>
    </w:p>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20"/>
          <w:docGrid w:linePitch="326"/>
        </w:sectPr>
      </w:pPr>
    </w:p>
    <w:p w:rsidR="00C52695" w:rsidRPr="00883125" w:rsidRDefault="00C52695" w:rsidP="00C52695">
      <w:pPr>
        <w:pStyle w:val="Heading8"/>
      </w:pPr>
      <w:bookmarkStart w:id="369" w:name="_Ref415049811"/>
      <w:bookmarkStart w:id="370" w:name="_Toc436049453"/>
      <w:bookmarkStart w:id="371" w:name="_Toc451842259"/>
      <w:bookmarkStart w:id="372" w:name="_Toc451938313"/>
      <w:bookmarkStart w:id="373" w:name="_Toc456614332"/>
      <w:bookmarkStart w:id="374" w:name="_Toc462823338"/>
      <w:bookmarkStart w:id="375" w:name="_Toc487014346"/>
      <w:r w:rsidRPr="00883125">
        <w:t>The equity ownership approach</w:t>
      </w:r>
      <w:bookmarkEnd w:id="369"/>
      <w:bookmarkEnd w:id="370"/>
      <w:bookmarkEnd w:id="371"/>
      <w:bookmarkEnd w:id="372"/>
      <w:bookmarkEnd w:id="373"/>
      <w:bookmarkEnd w:id="374"/>
      <w:bookmarkEnd w:id="375"/>
    </w:p>
    <w:p w:rsidR="00C52695" w:rsidRPr="00883125" w:rsidRDefault="00C52695" w:rsidP="00C52695">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70"/>
      </w:r>
    </w:p>
    <w:p w:rsidR="00C52695" w:rsidRPr="00883125" w:rsidRDefault="00C52695" w:rsidP="00C52695">
      <w:pPr>
        <w:numPr>
          <w:ilvl w:val="0"/>
          <w:numId w:val="24"/>
        </w:numPr>
      </w:pPr>
      <w:r w:rsidRPr="00883125">
        <w:t xml:space="preserve">Our views on the equity ownership approach to estimating the utilisation rate are set out in section </w:t>
      </w:r>
      <w:r w:rsidR="001A5B30">
        <w:fldChar w:fldCharType="begin"/>
      </w:r>
      <w:r w:rsidR="001A5B30">
        <w:instrText xml:space="preserve"> REF _Ref475439085 \r \h </w:instrText>
      </w:r>
      <w:r w:rsidR="001A5B30">
        <w:fldChar w:fldCharType="separate"/>
      </w:r>
      <w:r w:rsidR="00BF66D3">
        <w:t>4.4</w:t>
      </w:r>
      <w:r w:rsidR="001A5B30">
        <w:fldChar w:fldCharType="end"/>
      </w:r>
      <w:r w:rsidRPr="00883125">
        <w:t xml:space="preserve"> of attachment 4. In this section, we provide further detail on our application of the approach. We also compare our assessment of the approach in this </w:t>
      </w:r>
      <w:r w:rsidR="00830AD2">
        <w:t>draft</w:t>
      </w:r>
      <w:r w:rsidR="00022C1D">
        <w:t xml:space="preserve"> </w:t>
      </w:r>
      <w:r w:rsidRPr="00883125">
        <w:t>decision with our assessment in the Guideline.</w:t>
      </w:r>
    </w:p>
    <w:p w:rsidR="00C52695" w:rsidRPr="00883125" w:rsidRDefault="00C52695" w:rsidP="00C52695">
      <w:pPr>
        <w:numPr>
          <w:ilvl w:val="0"/>
          <w:numId w:val="24"/>
        </w:numPr>
      </w:pPr>
      <w:r w:rsidRPr="00883125">
        <w:t xml:space="preserve">We place significant reliance on the equity ownership approach for the reasons set out in section </w:t>
      </w:r>
      <w:r w:rsidR="001A5B30">
        <w:fldChar w:fldCharType="begin"/>
      </w:r>
      <w:r w:rsidR="001A5B30">
        <w:instrText xml:space="preserve"> REF _Ref475439085 \r \h </w:instrText>
      </w:r>
      <w:r w:rsidR="001A5B30">
        <w:fldChar w:fldCharType="separate"/>
      </w:r>
      <w:r w:rsidR="00BF66D3">
        <w:t>4.4</w:t>
      </w:r>
      <w:r w:rsidR="001A5B30">
        <w:fldChar w:fldCharType="end"/>
      </w:r>
      <w:r w:rsidRPr="00883125">
        <w:t xml:space="preserve"> of attachment 4. We have regard also to the limitations of this approach, but we do not consider them significant:</w:t>
      </w:r>
    </w:p>
    <w:p w:rsidR="00C52695" w:rsidRPr="001D37D5" w:rsidRDefault="00C52695" w:rsidP="00C52695">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BF66D3">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52695" w:rsidRPr="001D37D5" w:rsidRDefault="00C52695" w:rsidP="00C52695">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71"/>
      </w:r>
    </w:p>
    <w:p w:rsidR="00C52695" w:rsidRDefault="00C52695" w:rsidP="00C52695">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72"/>
      </w:r>
      <w:r>
        <w:t xml:space="preserve"> This is consistent with our equity ownership approach.</w:t>
      </w:r>
      <w:r>
        <w:rPr>
          <w:rStyle w:val="FootnoteReference"/>
        </w:rPr>
        <w:footnoteReference w:id="673"/>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 and</w:t>
      </w:r>
    </w:p>
    <w:p w:rsidR="00C52695" w:rsidRPr="00883125" w:rsidRDefault="00C52695" w:rsidP="00C52695">
      <w:pPr>
        <w:pStyle w:val="AERbulletlistfirststyle"/>
      </w:pPr>
      <w:r w:rsidRPr="00883125">
        <w:t>0.38 and 0.55, if only listed equity is considered.</w:t>
      </w:r>
    </w:p>
    <w:p w:rsidR="00C52695" w:rsidRPr="00883125" w:rsidRDefault="00C52695" w:rsidP="00C52695">
      <w:pPr>
        <w:numPr>
          <w:ilvl w:val="0"/>
          <w:numId w:val="24"/>
        </w:numPr>
      </w:pPr>
      <w:r w:rsidRPr="00883125">
        <w:t>In the Guideline, we considered that the equity ownership approach supported a utilisation rate between 0.7 and 0.8. This range was based on:</w:t>
      </w:r>
    </w:p>
    <w:p w:rsidR="00C52695" w:rsidRPr="001D37D5" w:rsidRDefault="00C52695" w:rsidP="00C52695">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74"/>
      </w:r>
    </w:p>
    <w:p w:rsidR="00C52695" w:rsidRPr="001D37D5" w:rsidRDefault="00C52695" w:rsidP="00C52695">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75"/>
      </w:r>
      <w:r w:rsidRPr="001D37D5">
        <w:t xml:space="preserve"> The data underlying this graph also came from the National Accounts.</w:t>
      </w:r>
    </w:p>
    <w:p w:rsidR="00C52695" w:rsidRPr="00883125" w:rsidRDefault="00C52695" w:rsidP="00C52695">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BF66D3">
        <w:t>A.9</w:t>
      </w:r>
      <w:r>
        <w:fldChar w:fldCharType="end"/>
      </w:r>
      <w:r>
        <w:t xml:space="preserve"> and </w:t>
      </w:r>
      <w:r>
        <w:fldChar w:fldCharType="begin"/>
      </w:r>
      <w:r>
        <w:instrText xml:space="preserve"> REF _Ref401133206 \r \h </w:instrText>
      </w:r>
      <w:r>
        <w:fldChar w:fldCharType="separate"/>
      </w:r>
      <w:r w:rsidR="00BF66D3">
        <w:t>A.10</w:t>
      </w:r>
      <w:r>
        <w:fldChar w:fldCharType="end"/>
      </w:r>
      <w:r w:rsidRPr="00883125">
        <w:t>.</w:t>
      </w:r>
    </w:p>
    <w:p w:rsidR="00C52695" w:rsidRPr="00883125" w:rsidRDefault="00C52695" w:rsidP="00C52695">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52695" w:rsidRPr="00883125" w:rsidRDefault="00C52695" w:rsidP="00C52695">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52695" w:rsidRPr="001D37D5" w:rsidRDefault="00C52695" w:rsidP="00C52695">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rsidR="00C42924">
        <w:t>draft</w:t>
      </w:r>
      <w:r w:rsidR="00022C1D">
        <w:t xml:space="preserve"> </w:t>
      </w:r>
      <w:r w:rsidRPr="00AC2168">
        <w:t xml:space="preserve">decision, consistent with the approach we took for the decisions we released in </w:t>
      </w:r>
      <w:r>
        <w:t>2015 (</w:t>
      </w:r>
      <w:r w:rsidRPr="00AC2168">
        <w:t>October</w:t>
      </w:r>
      <w:r>
        <w:t xml:space="preserve"> and </w:t>
      </w:r>
      <w:r w:rsidRPr="00AC2168">
        <w:t>November</w:t>
      </w:r>
      <w:r>
        <w:t>)</w:t>
      </w:r>
      <w:r w:rsidR="00C42924">
        <w:t>,</w:t>
      </w:r>
      <w:r>
        <w:t xml:space="preserve"> 2016 (May</w:t>
      </w:r>
      <w:r w:rsidR="00FE3642">
        <w:t xml:space="preserve"> and September</w:t>
      </w:r>
      <w:r>
        <w:t>)</w:t>
      </w:r>
      <w:r w:rsidR="00C42924">
        <w:t xml:space="preserve"> and 2017 (April),</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efficient entity.</w:t>
      </w:r>
      <w:r w:rsidRPr="001D37D5">
        <w:rPr>
          <w:rStyle w:val="FootnoteReference"/>
        </w:rPr>
        <w:footnoteReference w:id="676"/>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w:t>
      </w:r>
      <w:r w:rsidR="00FE3642">
        <w:t>nvestment in regulated assets.</w:t>
      </w:r>
    </w:p>
    <w:p w:rsidR="00C52695" w:rsidRDefault="00C52695" w:rsidP="00C52695">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77"/>
      </w:r>
      <w:r w:rsidRPr="00883125">
        <w:t xml:space="preserve"> </w:t>
      </w:r>
      <w:r>
        <w:t xml:space="preserve">Further, </w:t>
      </w:r>
      <w:r w:rsidR="00A91911">
        <w:t>Frontier</w:t>
      </w:r>
      <w:r>
        <w:t xml:space="preserve"> considers that if the redemption rate is to be estimated as a market-wide parameter, then all of the credits in the market should be considered and not just a subset of the market.</w:t>
      </w:r>
      <w:r>
        <w:rPr>
          <w:rStyle w:val="FootnoteReference"/>
        </w:rPr>
        <w:footnoteReference w:id="678"/>
      </w:r>
      <w:r>
        <w:t xml:space="preserve"> Frontier considers the AER's equity ownership rate is neither a market wide nor a firm specific estimate.</w:t>
      </w:r>
      <w:r>
        <w:rPr>
          <w:rStyle w:val="FootnoteReference"/>
        </w:rPr>
        <w:footnoteReference w:id="679"/>
      </w:r>
    </w:p>
    <w:p w:rsidR="00C52695" w:rsidRPr="00883125" w:rsidRDefault="00C52695" w:rsidP="00C52695">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52695" w:rsidRPr="00883125" w:rsidRDefault="00C52695" w:rsidP="00C52695">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BF66D3">
        <w:t>A.14</w:t>
      </w:r>
      <w:r w:rsidRPr="00883125">
        <w:fldChar w:fldCharType="end"/>
      </w:r>
      <w:r w:rsidRPr="00883125">
        <w:t>.</w:t>
      </w:r>
    </w:p>
    <w:p w:rsidR="00C52695" w:rsidRPr="00883125" w:rsidRDefault="00C52695" w:rsidP="00C52695">
      <w:pPr>
        <w:numPr>
          <w:ilvl w:val="0"/>
          <w:numId w:val="24"/>
        </w:numPr>
      </w:pPr>
      <w:r w:rsidRPr="00883125">
        <w:t xml:space="preserve">Our estimate ranges in this </w:t>
      </w:r>
      <w:r w:rsidR="006A327F">
        <w:t>draft</w:t>
      </w:r>
      <w:r w:rsidR="003819D6">
        <w:t xml:space="preserve"> </w:t>
      </w:r>
      <w:r w:rsidRPr="00883125">
        <w:t>decision differ from the corresponding ranges in the draft decisions released in 2014. These changes in part reflect the views of service providers, Gray (for SFG) and Handley. We discuss our consideration of these views below.</w:t>
      </w:r>
    </w:p>
    <w:p w:rsidR="00C52695" w:rsidRPr="00883125" w:rsidRDefault="00C52695" w:rsidP="00C52695">
      <w:r w:rsidRPr="00883125">
        <w:t>A number of service providers have submitted that we erred in our earlier decisions because:</w:t>
      </w:r>
      <w:r w:rsidRPr="00883125">
        <w:rPr>
          <w:rStyle w:val="FootnoteReference"/>
        </w:rPr>
        <w:footnoteReference w:id="680"/>
      </w:r>
    </w:p>
    <w:p w:rsidR="00C52695" w:rsidRPr="00883125" w:rsidRDefault="00C52695" w:rsidP="00C52695">
      <w:pPr>
        <w:pStyle w:val="AERquote"/>
      </w:pPr>
      <w:r w:rsidRPr="00883125">
        <w:t>…the ranges used by the AER for the equity ownership rate are inconsistent with the evidence in the Draft Decision.</w:t>
      </w:r>
    </w:p>
    <w:p w:rsidR="00C52695" w:rsidRPr="00883125" w:rsidRDefault="00C52695" w:rsidP="00C52695">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C52695" w:rsidRPr="00883125" w:rsidRDefault="00C52695" w:rsidP="00C52695">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81"/>
      </w:r>
      <w:r w:rsidRPr="00883125">
        <w:t xml:space="preserve"> Accordingly, as we did in the decisions released in 2015</w:t>
      </w:r>
      <w:r>
        <w:t xml:space="preserve"> (</w:t>
      </w:r>
      <w:r w:rsidRPr="00883125">
        <w:t>April, June, October and November</w:t>
      </w:r>
      <w:r>
        <w:t>)</w:t>
      </w:r>
      <w:r w:rsidR="006A327F">
        <w:t>,</w:t>
      </w:r>
      <w:r>
        <w:t xml:space="preserve"> 2016 (May</w:t>
      </w:r>
      <w:r w:rsidR="00E4076C">
        <w:t xml:space="preserve">, </w:t>
      </w:r>
      <w:r w:rsidR="00BF1C4B">
        <w:t xml:space="preserve">July </w:t>
      </w:r>
      <w:r w:rsidR="00E4076C">
        <w:t>and September</w:t>
      </w:r>
      <w:r>
        <w:t>)</w:t>
      </w:r>
      <w:r w:rsidR="006A327F">
        <w:t xml:space="preserve"> and 2017 (April),</w:t>
      </w:r>
      <w:r w:rsidRPr="00883125">
        <w:t xml:space="preserve"> in this </w:t>
      </w:r>
      <w:r w:rsidR="006A327F">
        <w:t>draft</w:t>
      </w:r>
      <w:r w:rsidR="003F15A6" w:rsidRPr="00883125">
        <w:t xml:space="preserve"> </w:t>
      </w:r>
      <w:r w:rsidRPr="00883125">
        <w:t>decision we rely only on the refined domestic ownership share.</w:t>
      </w:r>
    </w:p>
    <w:p w:rsidR="00C52695" w:rsidRDefault="00C52695" w:rsidP="00C52695">
      <w:r w:rsidRPr="00883125">
        <w:t>Service providers have also submitted that only the most recent point estimates of the equity ownership share are relevant.</w:t>
      </w:r>
      <w:r w:rsidRPr="00883125">
        <w:rPr>
          <w:rStyle w:val="FootnoteReference"/>
        </w:rPr>
        <w:footnoteReference w:id="682"/>
      </w:r>
      <w:r w:rsidRPr="00883125">
        <w:t xml:space="preserve"> </w:t>
      </w:r>
      <w:r>
        <w:t>Frontier, also considers that the prevailing rate for equity ownership should be used.</w:t>
      </w:r>
      <w:r>
        <w:rPr>
          <w:rStyle w:val="FootnoteReference"/>
        </w:rPr>
        <w:footnoteReference w:id="683"/>
      </w:r>
    </w:p>
    <w:p w:rsidR="00C52695" w:rsidRPr="00883125" w:rsidRDefault="00C52695" w:rsidP="00C52695">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84"/>
      </w:r>
    </w:p>
    <w:p w:rsidR="00C52695" w:rsidRPr="00883125" w:rsidRDefault="00C52695" w:rsidP="00C52695">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C52695" w:rsidRDefault="00C52695" w:rsidP="00C52695">
      <w:r>
        <w:t>Frontier, considers that there is insufficient support for the upper bound of the range for listed equity (0.6) and for all equity (0.7) for the equity ownership approach ranges we adopted.</w:t>
      </w:r>
      <w:r>
        <w:rPr>
          <w:rStyle w:val="FootnoteReference"/>
        </w:rPr>
        <w:footnoteReference w:id="685"/>
      </w:r>
      <w:r>
        <w:t xml:space="preserve"> However, as outlined in </w:t>
      </w:r>
      <w:r>
        <w:fldChar w:fldCharType="begin"/>
      </w:r>
      <w:r>
        <w:instrText xml:space="preserve"> REF _Ref414273399 \h </w:instrText>
      </w:r>
      <w:r>
        <w:fldChar w:fldCharType="separate"/>
      </w:r>
      <w:r w:rsidR="00BF66D3" w:rsidRPr="00883125">
        <w:t xml:space="preserve">Figure </w:t>
      </w:r>
      <w:r w:rsidR="00BF66D3">
        <w:rPr>
          <w:noProof/>
        </w:rPr>
        <w:t>4</w:t>
      </w:r>
      <w:r w:rsidR="00BF66D3" w:rsidRPr="00883125">
        <w:t>.</w:t>
      </w:r>
      <w:r w:rsidR="00BF66D3">
        <w:rPr>
          <w:noProof/>
        </w:rPr>
        <w:t>3</w:t>
      </w:r>
      <w:r>
        <w:fldChar w:fldCharType="end"/>
      </w:r>
      <w:r>
        <w:t>, the upper estimate of the range we relied upon is 0.55 for listed equity and 0.68 for all equity.</w:t>
      </w:r>
    </w:p>
    <w:p w:rsidR="00C52695" w:rsidRDefault="00C52695" w:rsidP="00C52695">
      <w:r>
        <w:t>In determining whether to use the current value of equity ownership or a historical average, Lally considers that it depends on whether the series is following a random walk or mean reversion.</w:t>
      </w:r>
      <w:r>
        <w:rPr>
          <w:rStyle w:val="FootnoteReference"/>
        </w:rPr>
        <w:footnoteReference w:id="686"/>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87"/>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C52695" w:rsidRPr="00883125" w:rsidRDefault="00C52695" w:rsidP="00C52695">
      <w:r w:rsidRPr="00883125">
        <w:t>On Handley's point regarding the length of period to considered, we agree with Gray's view (for SFG) that:</w:t>
      </w:r>
      <w:r w:rsidRPr="00883125">
        <w:rPr>
          <w:rStyle w:val="FootnoteReference"/>
        </w:rPr>
        <w:footnoteReference w:id="688"/>
      </w:r>
    </w:p>
    <w:p w:rsidR="00C52695" w:rsidRPr="00883125" w:rsidRDefault="00C52695" w:rsidP="00C52695">
      <w:pPr>
        <w:pStyle w:val="AERquote"/>
      </w:pPr>
      <w:r w:rsidRPr="00883125">
        <w:t>It is not clear why estimates of what the domestic equity ownership proportion was in the 1980s are relevant to the current determination for the forthcoming regulatory period.</w:t>
      </w:r>
    </w:p>
    <w:p w:rsidR="00C52695" w:rsidRPr="00883125" w:rsidRDefault="00C52695" w:rsidP="00C52695">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89"/>
      </w:r>
      <w:r w:rsidRPr="00883125">
        <w:t xml:space="preserve"> It is also consistent with the service providers' proposed estimation of the value of distributed credits via SFG's dividend drop off study. This study employs data from July 2001 to October 2012.</w:t>
      </w:r>
    </w:p>
    <w:p w:rsidR="00C52695" w:rsidRPr="00883125" w:rsidRDefault="00C52695" w:rsidP="00C52695">
      <w:r w:rsidRPr="00883125">
        <w:t>The service providers submit that the July 2000 start date is arbitrary and that more recent events such as the GFC could provide a more appropriate start date.</w:t>
      </w:r>
      <w:r w:rsidRPr="00883125">
        <w:rPr>
          <w:rStyle w:val="FootnoteReference"/>
        </w:rPr>
        <w:footnoteReference w:id="690"/>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C52695" w:rsidRPr="00883125" w:rsidRDefault="00C52695" w:rsidP="00C52695">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91"/>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w:t>
      </w:r>
      <w:r w:rsidR="001453E4">
        <w:rPr>
          <w:rStyle w:val="AERbody"/>
        </w:rPr>
        <w:t>eem credits is not appropriate.</w:t>
      </w:r>
    </w:p>
    <w:p w:rsidR="00C52695" w:rsidRDefault="00413BA1" w:rsidP="00C52695">
      <w:r>
        <w:rPr>
          <w:rStyle w:val="AERbody"/>
        </w:rPr>
        <w:t>T</w:t>
      </w:r>
      <w:r w:rsidRPr="00883125">
        <w:rPr>
          <w:rStyle w:val="AERbody"/>
        </w:rPr>
        <w:t xml:space="preserve">he </w:t>
      </w:r>
      <w:r>
        <w:rPr>
          <w:rStyle w:val="AERbody"/>
        </w:rPr>
        <w:t xml:space="preserve">Ausgrid </w:t>
      </w:r>
      <w:r w:rsidR="00C52695" w:rsidRPr="00883125">
        <w:rPr>
          <w:rStyle w:val="AERbody"/>
        </w:rPr>
        <w:t xml:space="preserve">Tribunal </w:t>
      </w:r>
      <w:r w:rsidR="00C52695">
        <w:rPr>
          <w:rStyle w:val="AERbody"/>
        </w:rPr>
        <w:t xml:space="preserve">in its decision handed down on 26 February 2016 </w:t>
      </w:r>
      <w:r w:rsidR="00C52695" w:rsidRPr="00883125">
        <w:rPr>
          <w:rStyle w:val="AERbody"/>
        </w:rPr>
        <w:t xml:space="preserve">found that the </w:t>
      </w:r>
      <w:r w:rsidR="00C52695" w:rsidRPr="00883125">
        <w:t>equity ownership approach overstates the redemption rates and would only be useful as a further check on other estimates.</w:t>
      </w:r>
      <w:r w:rsidR="00C52695" w:rsidRPr="00883125">
        <w:rPr>
          <w:rStyle w:val="FootnoteReference"/>
        </w:rPr>
        <w:footnoteReference w:id="692"/>
      </w:r>
      <w:r w:rsidR="00C52695" w:rsidRPr="00883125">
        <w:t xml:space="preserve"> In this decision the </w:t>
      </w:r>
      <w:r w:rsidR="00ED4259">
        <w:t xml:space="preserve">Ausgrid </w:t>
      </w:r>
      <w:r w:rsidR="00C52695" w:rsidRPr="00883125">
        <w:t xml:space="preserve">Tribunal also indicated that since the equity ownership approach utilisation value is higher than the </w:t>
      </w:r>
      <w:r w:rsidR="00C52695">
        <w:t xml:space="preserve">estimation of the redemption rate from </w:t>
      </w:r>
      <w:r w:rsidR="00C52695" w:rsidRPr="00883125">
        <w:t xml:space="preserve">tax statistics this implies that there are investors who </w:t>
      </w:r>
      <w:r w:rsidR="00C52695">
        <w:t>we</w:t>
      </w:r>
      <w:r w:rsidR="00C52695" w:rsidRPr="00883125">
        <w:t xml:space="preserve"> assume are eligible to redeem imputation credits but, for whatever reasons, either cannot redeem them or attribute so little value to the credits that they do not </w:t>
      </w:r>
      <w:r w:rsidR="00C52695">
        <w:t>redeem</w:t>
      </w:r>
      <w:r w:rsidR="00C52695" w:rsidRPr="00883125">
        <w:t xml:space="preserve"> them.</w:t>
      </w:r>
      <w:r w:rsidR="00C52695" w:rsidRPr="00883125">
        <w:rPr>
          <w:rStyle w:val="FootnoteReference"/>
        </w:rPr>
        <w:footnoteReference w:id="693"/>
      </w:r>
      <w:r w:rsidR="00C52695" w:rsidRPr="00883125">
        <w:t xml:space="preserve"> </w:t>
      </w:r>
      <w:r w:rsidR="00C52695">
        <w:t>We have</w:t>
      </w:r>
      <w:r w:rsidR="00C52695" w:rsidRPr="00883125">
        <w:t xml:space="preserve"> carefully considered the </w:t>
      </w:r>
      <w:r w:rsidR="00C25A56">
        <w:t xml:space="preserve">Ausgrid </w:t>
      </w:r>
      <w:r w:rsidR="00C52695" w:rsidRPr="00883125">
        <w:t xml:space="preserve">Tribunal reasoning and remain of the view that the equity ownership approach </w:t>
      </w:r>
      <w:r w:rsidR="00C52695">
        <w:t xml:space="preserve">based estimate </w:t>
      </w:r>
      <w:r w:rsidR="00C52695" w:rsidRPr="00883125">
        <w:t>can be used as a point estimate for the utilisation value.</w:t>
      </w:r>
      <w:r w:rsidR="00C52695">
        <w:t xml:space="preserve"> Lally supports this view by noting the equity ownership approach is not an upper bound on the utilisation value but an unbiased estimate.</w:t>
      </w:r>
      <w:r w:rsidR="00C52695">
        <w:rPr>
          <w:rStyle w:val="FootnoteReference"/>
        </w:rPr>
        <w:footnoteReference w:id="694"/>
      </w:r>
    </w:p>
    <w:p w:rsidR="00C52695" w:rsidRPr="00883125" w:rsidRDefault="00413BA1" w:rsidP="00C52695">
      <w:pPr>
        <w:rPr>
          <w:rStyle w:val="AERbody"/>
        </w:rPr>
      </w:pPr>
      <w:r>
        <w:t>T</w:t>
      </w:r>
      <w:r w:rsidRPr="00883125">
        <w:t xml:space="preserve">he </w:t>
      </w:r>
      <w:r>
        <w:t xml:space="preserve">Ausgrid </w:t>
      </w:r>
      <w:r w:rsidR="00C52695" w:rsidRPr="00883125">
        <w:t xml:space="preserve">Tribunal found that </w:t>
      </w:r>
      <w:r w:rsidR="00C52695">
        <w:t>we are</w:t>
      </w:r>
      <w:r w:rsidR="00C52695" w:rsidRPr="00883125">
        <w:t xml:space="preserve"> effectively redefining the utilisation value as the proportion of distributed imputation credits available for redemption, and this is inconsistent with the concept of gamma in the Office</w:t>
      </w:r>
      <w:r w:rsidR="00C52695">
        <w:t>r</w:t>
      </w:r>
      <w:r w:rsidR="00C52695" w:rsidRPr="00883125">
        <w:t xml:space="preserve"> Framework for the WACC.</w:t>
      </w:r>
      <w:r w:rsidR="00C52695" w:rsidRPr="00883125">
        <w:rPr>
          <w:rStyle w:val="FootnoteReference"/>
        </w:rPr>
        <w:footnoteReference w:id="695"/>
      </w:r>
      <w:r w:rsidR="00C52695" w:rsidRPr="00883125">
        <w:t xml:space="preserve"> </w:t>
      </w:r>
      <w:r w:rsidR="00C52695">
        <w:t xml:space="preserve">As set out in sections </w:t>
      </w:r>
      <w:r w:rsidR="00C52695">
        <w:fldChar w:fldCharType="begin"/>
      </w:r>
      <w:r w:rsidR="00C52695">
        <w:instrText xml:space="preserve"> REF _Ref415144114 \r \h </w:instrText>
      </w:r>
      <w:r w:rsidR="00C52695">
        <w:fldChar w:fldCharType="separate"/>
      </w:r>
      <w:r w:rsidR="00BF66D3">
        <w:t>A.5</w:t>
      </w:r>
      <w:r w:rsidR="00C52695">
        <w:fldChar w:fldCharType="end"/>
      </w:r>
      <w:r w:rsidR="00C52695">
        <w:t xml:space="preserve">, </w:t>
      </w:r>
      <w:r w:rsidR="00C52695">
        <w:fldChar w:fldCharType="begin"/>
      </w:r>
      <w:r w:rsidR="00C52695">
        <w:instrText xml:space="preserve"> REF _Ref451826492 \r \h </w:instrText>
      </w:r>
      <w:r w:rsidR="00C52695">
        <w:fldChar w:fldCharType="separate"/>
      </w:r>
      <w:r w:rsidR="00BF66D3">
        <w:t>A.6</w:t>
      </w:r>
      <w:r w:rsidR="00C52695">
        <w:fldChar w:fldCharType="end"/>
      </w:r>
      <w:r w:rsidR="00C52695">
        <w:t xml:space="preserve"> and </w:t>
      </w:r>
      <w:r w:rsidR="00C52695">
        <w:fldChar w:fldCharType="begin"/>
      </w:r>
      <w:r w:rsidR="00C52695">
        <w:instrText xml:space="preserve"> REF _Ref451849752 \r \h </w:instrText>
      </w:r>
      <w:r w:rsidR="00C52695">
        <w:fldChar w:fldCharType="separate"/>
      </w:r>
      <w:r w:rsidR="00BF66D3">
        <w:t>A.7</w:t>
      </w:r>
      <w:r w:rsidR="00C52695">
        <w:fldChar w:fldCharType="end"/>
      </w:r>
      <w:r w:rsidR="00C52695">
        <w:t>, we</w:t>
      </w:r>
      <w:r w:rsidR="00C52695" w:rsidRPr="00883125">
        <w:t xml:space="preserve"> consider </w:t>
      </w:r>
      <w:r w:rsidR="00C52695">
        <w:t>our</w:t>
      </w:r>
      <w:r w:rsidR="00C52695" w:rsidRPr="00883125">
        <w:t xml:space="preserve"> approach is consistent with the post-tax Officer Framework for the WACC. </w:t>
      </w:r>
      <w:r w:rsidR="00C52695">
        <w:t>We</w:t>
      </w:r>
      <w:r w:rsidR="00C52695" w:rsidRPr="00883125">
        <w:t xml:space="preserve"> consider the face value of imputation credits is the post</w:t>
      </w:r>
      <w:r w:rsidR="00C52695">
        <w:t>-company pre-personal</w:t>
      </w:r>
      <w:r w:rsidR="00C52695" w:rsidRPr="00883125">
        <w:t xml:space="preserve"> </w:t>
      </w:r>
      <w:r w:rsidR="00C52695">
        <w:t xml:space="preserve">tax </w:t>
      </w:r>
      <w:r w:rsidR="00C52695" w:rsidRPr="00883125">
        <w:t xml:space="preserve">value of imputation credits </w:t>
      </w:r>
      <w:r w:rsidR="00C52695">
        <w:t xml:space="preserve">distributed to eligible investors </w:t>
      </w:r>
      <w:r w:rsidR="00C52695" w:rsidRPr="00883125">
        <w:t xml:space="preserve">and reflects the cost of </w:t>
      </w:r>
      <w:r w:rsidR="00C52695">
        <w:t xml:space="preserve">these </w:t>
      </w:r>
      <w:r w:rsidR="00C52695" w:rsidRPr="00883125">
        <w:t>imputation credits to the regulated businesses</w:t>
      </w:r>
      <w:r w:rsidR="00C52695">
        <w:t xml:space="preserve">. The face value of imputation credits distributed to eligible investors also reflects </w:t>
      </w:r>
      <w:r w:rsidR="00C52695" w:rsidRPr="00883125">
        <w:t>the post</w:t>
      </w:r>
      <w:r w:rsidR="00C52695">
        <w:t xml:space="preserve">-company pre-personal </w:t>
      </w:r>
      <w:r w:rsidR="00C52695" w:rsidRPr="00883125">
        <w:t xml:space="preserve">tax value of </w:t>
      </w:r>
      <w:r w:rsidR="00C52695">
        <w:t xml:space="preserve">distributed </w:t>
      </w:r>
      <w:r w:rsidR="00C52695" w:rsidRPr="00883125">
        <w:t xml:space="preserve">imputation credits to </w:t>
      </w:r>
      <w:r w:rsidR="00C52695">
        <w:t xml:space="preserve">these </w:t>
      </w:r>
      <w:r w:rsidR="00C52695" w:rsidRPr="00883125">
        <w:t>equity investors.</w:t>
      </w:r>
      <w:r w:rsidR="00D06BBC">
        <w:t xml:space="preserve"> As note above, the Full Federal Court found error in the Tribunal's approach to construction of the term "the value of imputation credits" and found 'it was not an error of construction for the AER to focus on utilisation rather than on implied market value'.</w:t>
      </w:r>
      <w:r w:rsidR="00D06BBC">
        <w:rPr>
          <w:rStyle w:val="FootnoteReference"/>
        </w:rPr>
        <w:footnoteReference w:id="696"/>
      </w:r>
    </w:p>
    <w:p w:rsidR="00C52695" w:rsidRDefault="00C52695" w:rsidP="00C52695">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BF66D3" w:rsidRPr="00883125">
        <w:t xml:space="preserve">figure </w:t>
      </w:r>
      <w:r w:rsidR="00BF66D3">
        <w:rPr>
          <w:noProof/>
        </w:rPr>
        <w:t>4</w:t>
      </w:r>
      <w:r w:rsidR="00BF66D3" w:rsidRPr="00883125">
        <w:t>.</w:t>
      </w:r>
      <w:r w:rsidR="00BF66D3">
        <w:rPr>
          <w:noProof/>
        </w:rPr>
        <w:t>3</w:t>
      </w:r>
      <w:r w:rsidRPr="00883125">
        <w:fldChar w:fldCharType="end"/>
      </w:r>
      <w:r w:rsidRPr="00883125">
        <w:t>.</w:t>
      </w:r>
    </w:p>
    <w:p w:rsidR="00C52695" w:rsidRPr="00883125" w:rsidRDefault="00C52695" w:rsidP="00C52695">
      <w:pPr>
        <w:pStyle w:val="Caption"/>
      </w:pPr>
      <w:bookmarkStart w:id="376" w:name="_Ref414273399"/>
      <w:r w:rsidRPr="00883125">
        <w:t xml:space="preserve">Figure </w:t>
      </w:r>
      <w:r w:rsidRPr="00B27BE5">
        <w:fldChar w:fldCharType="begin"/>
      </w:r>
      <w:r>
        <w:instrText xml:space="preserve"> STYLEREF 1 \s </w:instrText>
      </w:r>
      <w:r w:rsidRPr="00B27BE5">
        <w:fldChar w:fldCharType="separate"/>
      </w:r>
      <w:r w:rsidR="00BF66D3">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BF66D3">
        <w:rPr>
          <w:noProof/>
        </w:rPr>
        <w:t>3</w:t>
      </w:r>
      <w:r w:rsidRPr="00B27BE5">
        <w:fldChar w:fldCharType="end"/>
      </w:r>
      <w:bookmarkEnd w:id="376"/>
      <w:r w:rsidRPr="00883125">
        <w:tab/>
        <w:t>Refined domestic ownership share of Australian equity</w:t>
      </w:r>
    </w:p>
    <w:p w:rsidR="00037D9B" w:rsidRDefault="00037D9B" w:rsidP="00C52695">
      <w:pPr>
        <w:pStyle w:val="AERtablesource"/>
      </w:pPr>
      <w:r w:rsidRPr="00037D9B">
        <w:rPr>
          <w:noProof/>
          <w:lang w:eastAsia="en-AU"/>
        </w:rPr>
        <w:drawing>
          <wp:inline distT="0" distB="0" distL="0" distR="0" wp14:anchorId="41427DD3" wp14:editId="2EE1D5A7">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695" w:rsidRPr="00883125" w:rsidRDefault="00C52695" w:rsidP="00037D9B">
      <w:pPr>
        <w:pStyle w:val="AERtablesource"/>
        <w:ind w:left="0" w:firstLine="0"/>
      </w:pPr>
      <w:r w:rsidRPr="00883125">
        <w:t xml:space="preserve">Source: </w:t>
      </w:r>
      <w:r w:rsidRPr="00883125">
        <w:tab/>
        <w:t>Australian National Accounts: Finance and Wealth (ABS cat. 5232.0), tables 47 and 48.</w:t>
      </w:r>
    </w:p>
    <w:p w:rsidR="00C52695" w:rsidRPr="00883125" w:rsidRDefault="00C52695" w:rsidP="00C52695">
      <w:r w:rsidRPr="00883125">
        <w:fldChar w:fldCharType="begin"/>
      </w:r>
      <w:r w:rsidRPr="00883125">
        <w:instrText xml:space="preserve"> REF _Ref414273399 \h </w:instrText>
      </w:r>
      <w:r w:rsidRPr="00883125">
        <w:fldChar w:fldCharType="separate"/>
      </w:r>
      <w:r w:rsidR="00BF66D3" w:rsidRPr="00883125">
        <w:t xml:space="preserve">Figure </w:t>
      </w:r>
      <w:r w:rsidR="00BF66D3">
        <w:rPr>
          <w:noProof/>
        </w:rPr>
        <w:t>4</w:t>
      </w:r>
      <w:r w:rsidR="00BF66D3" w:rsidRPr="00883125">
        <w:t>.</w:t>
      </w:r>
      <w:r w:rsidR="00BF66D3">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52695" w:rsidRPr="00883125" w:rsidRDefault="00C52695" w:rsidP="00C52695">
      <w:pPr>
        <w:pStyle w:val="Heading8"/>
      </w:pPr>
      <w:bookmarkStart w:id="377" w:name="_Ref402179420"/>
      <w:bookmarkStart w:id="378" w:name="_Toc436049454"/>
      <w:bookmarkStart w:id="379" w:name="_Toc451842260"/>
      <w:bookmarkStart w:id="380" w:name="_Toc451938314"/>
      <w:bookmarkStart w:id="381" w:name="_Toc456614333"/>
      <w:bookmarkStart w:id="382" w:name="_Toc462823339"/>
      <w:bookmarkStart w:id="383" w:name="_Toc487014347"/>
      <w:r w:rsidRPr="00883125">
        <w:t>Tax statistics</w:t>
      </w:r>
      <w:bookmarkEnd w:id="377"/>
      <w:bookmarkEnd w:id="378"/>
      <w:bookmarkEnd w:id="379"/>
      <w:bookmarkEnd w:id="380"/>
      <w:bookmarkEnd w:id="381"/>
      <w:bookmarkEnd w:id="382"/>
      <w:bookmarkEnd w:id="383"/>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97"/>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52695" w:rsidRPr="00883125" w:rsidRDefault="00C52695" w:rsidP="00C52695">
      <w:pPr>
        <w:numPr>
          <w:ilvl w:val="0"/>
          <w:numId w:val="24"/>
        </w:numPr>
      </w:pPr>
      <w:r w:rsidRPr="00883125">
        <w:t xml:space="preserve">Our position on the use of tax statistics to estimate the utilisation rate is set out in section </w:t>
      </w:r>
      <w:r w:rsidR="00F32DCE">
        <w:fldChar w:fldCharType="begin"/>
      </w:r>
      <w:r w:rsidR="00F32DCE">
        <w:instrText xml:space="preserve"> REF _Ref475454898 \r \h </w:instrText>
      </w:r>
      <w:r w:rsidR="00F32DCE">
        <w:fldChar w:fldCharType="separate"/>
      </w:r>
      <w:r w:rsidR="00BF66D3">
        <w:t>4.4</w:t>
      </w:r>
      <w:r w:rsidR="00F32DCE">
        <w:fldChar w:fldCharType="end"/>
      </w:r>
      <w:r w:rsidRPr="00883125">
        <w:t xml:space="preserve"> of attachment 4. In this section, we explain how our position has changed compared to that in the Guideline.</w:t>
      </w:r>
    </w:p>
    <w:p w:rsidR="00C52695" w:rsidRPr="00883125" w:rsidRDefault="00C52695" w:rsidP="00C52695">
      <w:pPr>
        <w:numPr>
          <w:ilvl w:val="0"/>
          <w:numId w:val="24"/>
        </w:numPr>
      </w:pPr>
      <w:r w:rsidRPr="00883125">
        <w:t>In the Guideline, we considered that tax statistics supported a utilisation rate between 0.4 and 0.8. This was based on:</w:t>
      </w:r>
    </w:p>
    <w:p w:rsidR="00C52695" w:rsidRPr="001D37D5" w:rsidRDefault="00C52695" w:rsidP="00C52695">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BF66D3">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98"/>
      </w:r>
      <w:r w:rsidRPr="001D37D5">
        <w:t xml:space="preserve"> </w:t>
      </w:r>
    </w:p>
    <w:p w:rsidR="00C52695" w:rsidRPr="00883125" w:rsidRDefault="00C52695" w:rsidP="00C52695">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52695" w:rsidRPr="00883125" w:rsidRDefault="00C52695" w:rsidP="00C52695">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99"/>
      </w:r>
      <w:r w:rsidRPr="001D37D5">
        <w:t xml:space="preserve"> and</w:t>
      </w:r>
    </w:p>
    <w:p w:rsidR="00C52695" w:rsidRPr="001D37D5" w:rsidRDefault="00C52695" w:rsidP="00C52695">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52695" w:rsidRPr="00883125" w:rsidRDefault="00C52695" w:rsidP="00C52695">
      <w:pPr>
        <w:numPr>
          <w:ilvl w:val="0"/>
          <w:numId w:val="24"/>
        </w:numPr>
      </w:pPr>
      <w:r w:rsidRPr="00883125">
        <w:t>Applying these considerations, in our prior decisions</w:t>
      </w:r>
      <w:r>
        <w:t>,</w:t>
      </w:r>
      <w:r w:rsidRPr="00883125">
        <w:t xml:space="preserve"> we did not rely on:</w:t>
      </w:r>
    </w:p>
    <w:p w:rsidR="00C52695" w:rsidRPr="00883125" w:rsidRDefault="00C52695" w:rsidP="00C52695">
      <w:pPr>
        <w:pStyle w:val="AERbulletlistfirststyle"/>
      </w:pPr>
      <w:r w:rsidRPr="00883125">
        <w:t>Handley and Maheswaran's estimate of 0.81, because this is (predominantly) derived from pre-2004 data.</w:t>
      </w:r>
    </w:p>
    <w:p w:rsidR="00C52695" w:rsidRPr="001D37D5" w:rsidRDefault="00C52695" w:rsidP="00C52695">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700"/>
      </w:r>
      <w:r w:rsidRPr="001D37D5">
        <w:t xml:space="preserve"> </w:t>
      </w:r>
    </w:p>
    <w:p w:rsidR="00C52695" w:rsidRDefault="00C52695" w:rsidP="00C52695">
      <w:r w:rsidRPr="00883125">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701"/>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702"/>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001453E4">
        <w:t xml:space="preserve"> a utilisation value of 0.48.</w:t>
      </w:r>
    </w:p>
    <w:p w:rsidR="00C52695" w:rsidRPr="00883125" w:rsidRDefault="00C52695" w:rsidP="00C52695">
      <w:r w:rsidRPr="00883125">
        <w:t xml:space="preserve">As discussed in section </w:t>
      </w:r>
      <w:r w:rsidRPr="00883125">
        <w:fldChar w:fldCharType="begin"/>
      </w:r>
      <w:r w:rsidRPr="00883125">
        <w:instrText xml:space="preserve"> REF _Ref401133206 \r \h </w:instrText>
      </w:r>
      <w:r w:rsidRPr="00883125">
        <w:fldChar w:fldCharType="separate"/>
      </w:r>
      <w:r w:rsidR="00BF66D3">
        <w:t>A.10</w:t>
      </w:r>
      <w:r w:rsidRPr="00883125">
        <w:fldChar w:fldCharType="end"/>
      </w:r>
      <w:r w:rsidRPr="00883125">
        <w:t>, for this decision we place no reliance on Hathaway's new report and therefore it does not change our conclusions regarding the utilisation rate indicated by tax statistics.</w:t>
      </w:r>
    </w:p>
    <w:p w:rsidR="005516CF" w:rsidRDefault="00413BA1" w:rsidP="00C52695">
      <w:r>
        <w:t>T</w:t>
      </w:r>
      <w:r w:rsidR="00C52695" w:rsidRPr="00883125">
        <w:t xml:space="preserve">he </w:t>
      </w:r>
      <w:r>
        <w:t xml:space="preserve">Ausgrid </w:t>
      </w:r>
      <w:r w:rsidR="00C52695" w:rsidRPr="00883125">
        <w:t>Tribunal considers that tax statistics can only provide an upper bound on the estimate of theta.</w:t>
      </w:r>
      <w:r w:rsidR="00C52695" w:rsidRPr="00883125">
        <w:rPr>
          <w:rStyle w:val="FootnoteReference"/>
        </w:rPr>
        <w:footnoteReference w:id="703"/>
      </w:r>
      <w:r w:rsidR="00C52695" w:rsidRPr="00883125">
        <w:t xml:space="preserve"> </w:t>
      </w:r>
      <w:r w:rsidR="00C52695">
        <w:t>Frontier, also consider redemption rates are at best an upper bound for theta if theta is defined as the value of imputation credits.</w:t>
      </w:r>
      <w:r w:rsidR="00C52695">
        <w:rPr>
          <w:rStyle w:val="FootnoteReference"/>
        </w:rPr>
        <w:footnoteReference w:id="704"/>
      </w:r>
      <w:r w:rsidR="00C52695">
        <w:t xml:space="preserve"> We</w:t>
      </w:r>
      <w:r w:rsidR="00C52695" w:rsidRPr="00883125">
        <w:t xml:space="preserve"> remain of the view that tax statistics can be used as </w:t>
      </w:r>
      <w:r w:rsidR="00C52695">
        <w:t xml:space="preserve">a </w:t>
      </w:r>
      <w:r w:rsidR="00C52695" w:rsidRPr="00883125">
        <w:t>point estimate for the utilisation value</w:t>
      </w:r>
      <w:r w:rsidR="00C52695">
        <w:t xml:space="preserve"> (see section </w:t>
      </w:r>
      <w:r w:rsidR="00C52695">
        <w:fldChar w:fldCharType="begin"/>
      </w:r>
      <w:r w:rsidR="00C52695">
        <w:instrText xml:space="preserve"> REF _Ref450761230 \r \h </w:instrText>
      </w:r>
      <w:r w:rsidR="00C52695">
        <w:fldChar w:fldCharType="separate"/>
      </w:r>
      <w:r w:rsidR="00BF66D3">
        <w:t>4.4.1</w:t>
      </w:r>
      <w:r w:rsidR="00C52695">
        <w:fldChar w:fldCharType="end"/>
      </w:r>
      <w:r w:rsidR="00C52695">
        <w:t xml:space="preserve"> and our reasoning below)</w:t>
      </w:r>
      <w:r w:rsidR="00C52695" w:rsidRPr="00883125">
        <w:t>.</w:t>
      </w:r>
      <w:r w:rsidR="00FE3642">
        <w:t xml:space="preserve"> </w:t>
      </w:r>
      <w:r w:rsidR="00C52695">
        <w:t xml:space="preserve">We consider tax statistics produce estimates of the utilisation rate. These estimates are uncertain and dependent on the quality of the underlying data (which is an issue for tax statistics, as shown in section </w:t>
      </w:r>
      <w:r w:rsidR="00C52695">
        <w:fldChar w:fldCharType="begin"/>
      </w:r>
      <w:r w:rsidR="00C52695">
        <w:instrText xml:space="preserve"> REF _Ref450761230 \r \h </w:instrText>
      </w:r>
      <w:r w:rsidR="00C52695">
        <w:fldChar w:fldCharType="separate"/>
      </w:r>
      <w:r w:rsidR="00BF66D3">
        <w:t>4.4.1</w:t>
      </w:r>
      <w:r w:rsidR="00C52695">
        <w:fldChar w:fldCharType="end"/>
      </w:r>
      <w:r w:rsidR="00C52695">
        <w:t xml:space="preserve">). As such, </w:t>
      </w:r>
      <w:r w:rsidR="00C52695" w:rsidRPr="00883125">
        <w:t>the true (unknown) value could be higher or lower.</w:t>
      </w:r>
      <w:r w:rsidR="00C52695">
        <w:t xml:space="preserve"> We consider this cannot constitute an upper bound for the true utilisation rate.</w:t>
      </w:r>
      <w:r w:rsidR="00C03DF6" w:rsidRPr="00C03DF6">
        <w:t xml:space="preserve"> </w:t>
      </w:r>
      <w:r w:rsidR="00962A4A">
        <w:t>Having considered all the information before us</w:t>
      </w:r>
      <w:r w:rsidR="00BC1E8B">
        <w:t>,</w:t>
      </w:r>
      <w:r w:rsidR="00962A4A">
        <w:t xml:space="preserve"> we remain of the view</w:t>
      </w:r>
      <w:r w:rsidR="00C03DF6">
        <w:t xml:space="preserve"> </w:t>
      </w:r>
      <w:r w:rsidR="00114985">
        <w:t xml:space="preserve">that </w:t>
      </w:r>
      <w:r w:rsidR="00C03DF6">
        <w:t>tax statistics do not provide an upper bound for the utilisation rate, but rather a</w:t>
      </w:r>
      <w:r w:rsidR="00FE3642">
        <w:t>n</w:t>
      </w:r>
      <w:r w:rsidR="00C03DF6">
        <w:t xml:space="preserve"> </w:t>
      </w:r>
      <w:r w:rsidR="00BD6891">
        <w:t>unreliable</w:t>
      </w:r>
      <w:r w:rsidR="00C03DF6">
        <w:t xml:space="preserve"> estimate.</w:t>
      </w:r>
      <w:r w:rsidR="00962A4A">
        <w:t xml:space="preserve"> We note the SAPN Tribunal decision supports this view</w:t>
      </w:r>
      <w:r w:rsidR="00102BE4">
        <w:t>.</w:t>
      </w:r>
      <w:r w:rsidR="00C03DF6" w:rsidRPr="005A1971">
        <w:rPr>
          <w:rStyle w:val="FootnoteReference"/>
        </w:rPr>
        <w:footnoteReference w:id="705"/>
      </w:r>
    </w:p>
    <w:p w:rsidR="00177813" w:rsidRPr="00177813" w:rsidRDefault="00C52695" w:rsidP="00177813">
      <w:pPr>
        <w:rPr>
          <w:lang w:val="en-US"/>
        </w:rPr>
      </w:pPr>
      <w:r>
        <w:t>Lally considers that the correctly measured tax statistics provides an upward biased estimate for the utilisation value.</w:t>
      </w:r>
      <w:r>
        <w:rPr>
          <w:rStyle w:val="FootnoteReference"/>
        </w:rPr>
        <w:footnoteReference w:id="706"/>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707"/>
      </w:r>
    </w:p>
    <w:p w:rsidR="00E24154" w:rsidRDefault="00524BC1" w:rsidP="00C52695">
      <w:r w:rsidRPr="00BF2DCE">
        <w:t xml:space="preserve">Further, Lally notes that the Ausgrid Tribunal considered tax statistics produce an upper bound estimate on utilisation value, </w:t>
      </w:r>
      <w:r w:rsidRPr="00E750F8">
        <w:t>due to time delays, administrative costs in distributing the credits, portfolio effects, and the effect of the 45 day rule.</w:t>
      </w:r>
      <w:r w:rsidR="00BF2DCE" w:rsidRPr="00BF2DCE">
        <w:rPr>
          <w:rStyle w:val="FootnoteReference"/>
        </w:rPr>
        <w:footnoteReference w:id="708"/>
      </w:r>
      <w:r w:rsidRPr="00E750F8">
        <w:t xml:space="preserve"> Lally considers the Ausgrid Tribunal based this on the belief that the utilisation </w:t>
      </w:r>
      <w:r w:rsidRPr="00BF2DCE">
        <w:t xml:space="preserve">value </w:t>
      </w:r>
      <w:r w:rsidR="00BF2DCE" w:rsidRPr="00BF2DCE">
        <w:t xml:space="preserve">is a market value and </w:t>
      </w:r>
      <w:r w:rsidRPr="00E750F8">
        <w:t>the fact that these phenomena would depress the market value of the credi</w:t>
      </w:r>
      <w:r w:rsidR="00BF2DCE" w:rsidRPr="00E750F8">
        <w:t>ts.</w:t>
      </w:r>
      <w:r w:rsidR="00BF2DCE" w:rsidRPr="00BF2DCE">
        <w:rPr>
          <w:rStyle w:val="FootnoteReference"/>
        </w:rPr>
        <w:footnoteReference w:id="709"/>
      </w:r>
      <w:r w:rsidR="00BF2DCE" w:rsidRPr="00BF2DCE">
        <w:t xml:space="preserve"> However, Lally considers that the utilisation value is not a market value, rather it is </w:t>
      </w:r>
      <w:r w:rsidRPr="00E750F8">
        <w:t xml:space="preserve">a weighted-average of investors’ </w:t>
      </w:r>
      <w:r w:rsidR="00BF2DCE">
        <w:t>utilisation</w:t>
      </w:r>
      <w:r w:rsidRPr="00E750F8">
        <w:t xml:space="preserve"> rates for </w:t>
      </w:r>
      <w:r w:rsidR="00BF2DCE">
        <w:t>imputation</w:t>
      </w:r>
      <w:r w:rsidRPr="00E750F8">
        <w:t xml:space="preserve"> credits, and this alone </w:t>
      </w:r>
      <w:r w:rsidR="00BF2DCE">
        <w:t>undermines the Ausgrid Tribunal's reasoning.</w:t>
      </w:r>
      <w:r w:rsidR="00E24154">
        <w:rPr>
          <w:rStyle w:val="FootnoteReference"/>
        </w:rPr>
        <w:footnoteReference w:id="710"/>
      </w:r>
      <w:r w:rsidR="004741BD">
        <w:t xml:space="preserve"> Furthermore, Lally considers that the inability to estimate the redemption rate from ATO data would also preclude any such estimate being an upper bound on theta</w:t>
      </w:r>
      <w:r w:rsidR="00BD6891">
        <w:t xml:space="preserve">, although noting that </w:t>
      </w:r>
      <w:r w:rsidR="004741BD">
        <w:t>if anything the ATO data would be biased up.</w:t>
      </w:r>
      <w:r w:rsidR="004741BD">
        <w:rPr>
          <w:rStyle w:val="FootnoteReference"/>
        </w:rPr>
        <w:footnoteReference w:id="711"/>
      </w:r>
    </w:p>
    <w:p w:rsidR="00C52695" w:rsidRPr="00883125" w:rsidRDefault="00C52695" w:rsidP="00C52695">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712"/>
      </w:r>
    </w:p>
    <w:p w:rsidR="00D76D53" w:rsidRDefault="00C52695" w:rsidP="00C52695">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BF66D3">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0D5934" w:rsidRDefault="00882758" w:rsidP="00C52695">
      <w:r>
        <w:t>Frontier considers that gamma can be measure</w:t>
      </w:r>
      <w:r w:rsidR="00487822">
        <w:t>d</w:t>
      </w:r>
      <w:r>
        <w:t xml:space="preserve"> reliably from tax statistics as the ratio of credits redeemed and credits created.</w:t>
      </w:r>
      <w:r w:rsidR="00487822">
        <w:rPr>
          <w:rStyle w:val="FootnoteReference"/>
        </w:rPr>
        <w:footnoteReference w:id="713"/>
      </w:r>
      <w:r w:rsidR="00487822">
        <w:t xml:space="preserve"> It submit</w:t>
      </w:r>
      <w:r w:rsidR="00FA19F3">
        <w:t>s</w:t>
      </w:r>
      <w:r w:rsidR="00487822">
        <w:t xml:space="preserve"> that the </w:t>
      </w:r>
      <w:r w:rsidR="000D5934">
        <w:t xml:space="preserve">credits distributed data is the unreliable data in </w:t>
      </w:r>
      <w:r w:rsidR="00D157E2">
        <w:t xml:space="preserve">the </w:t>
      </w:r>
      <w:r w:rsidR="000D5934">
        <w:t>tax statistics and this data is not required to determine gamma directly.</w:t>
      </w:r>
      <w:r w:rsidR="000D5934">
        <w:rPr>
          <w:rStyle w:val="FootnoteReference"/>
        </w:rPr>
        <w:footnoteReference w:id="714"/>
      </w:r>
      <w:r w:rsidR="000D5934">
        <w:t xml:space="preserve"> This data is only required when the gamma statistic is separated into two components, theta and distribution rate. Frontier considers that the gamma estimate from tax statistic is at best an upper bound for gamma.</w:t>
      </w:r>
      <w:r w:rsidR="00221105">
        <w:rPr>
          <w:rStyle w:val="FootnoteReference"/>
        </w:rPr>
        <w:footnoteReference w:id="715"/>
      </w:r>
    </w:p>
    <w:p w:rsidR="000D5934" w:rsidRDefault="000B4231" w:rsidP="00C52695">
      <w:r>
        <w:t>However, we do not agree that tax statistics are reliable</w:t>
      </w:r>
      <w:r w:rsidR="005516CF">
        <w:t xml:space="preserve"> to estimate any parameter concerned with franking credits. This is supported by </w:t>
      </w:r>
      <w:r>
        <w:t>Neville Hathaway</w:t>
      </w:r>
      <w:r w:rsidR="00D32E5E">
        <w:t>,</w:t>
      </w:r>
      <w:r>
        <w:t xml:space="preserve"> </w:t>
      </w:r>
      <w:r w:rsidR="006B14BA">
        <w:t>who</w:t>
      </w:r>
      <w:r w:rsidR="008E1126">
        <w:t xml:space="preserve"> considers that caution should be exercised when using ATO statistics.</w:t>
      </w:r>
    </w:p>
    <w:p w:rsidR="000B4231" w:rsidRDefault="000B4231" w:rsidP="00E750F8">
      <w:pPr>
        <w:pStyle w:val="AERquoteindent3"/>
      </w:pPr>
      <w:r>
        <w:t xml:space="preserve">Until </w:t>
      </w:r>
      <w:r w:rsidR="00D32E5E">
        <w:t>the reconciliation has occurred or it can be explained to me how to account for those credits, I urge all caution in using ATO statistics for any estimates of parameters concerned with franking credits.</w:t>
      </w:r>
      <w:r w:rsidR="00D32E5E">
        <w:rPr>
          <w:rStyle w:val="FootnoteReference"/>
        </w:rPr>
        <w:footnoteReference w:id="716"/>
      </w:r>
    </w:p>
    <w:p w:rsidR="00485A29" w:rsidRDefault="00697C8E" w:rsidP="00C52695">
      <w:r>
        <w:t>We recognise</w:t>
      </w:r>
      <w:r w:rsidR="005516CF">
        <w:t xml:space="preserve"> Hathaway's comment that the tax data of the ATO is the most likely to be accurate </w:t>
      </w:r>
      <w:r w:rsidR="003D4F01">
        <w:t>as</w:t>
      </w:r>
      <w:r w:rsidR="005516CF">
        <w:t xml:space="preserve"> after all what other </w:t>
      </w:r>
      <w:r>
        <w:t>tax data is there but tax collection by the ATO. However, we also note Hathaway</w:t>
      </w:r>
      <w:r w:rsidR="006B14BA">
        <w:t>'s</w:t>
      </w:r>
      <w:r>
        <w:t xml:space="preserve"> statement in regards to estimating gamma directly</w:t>
      </w:r>
      <w:r w:rsidR="00283230">
        <w:t xml:space="preserve"> [emphasis added]</w:t>
      </w:r>
      <w:r>
        <w:t>:</w:t>
      </w:r>
    </w:p>
    <w:p w:rsidR="00697C8E" w:rsidRDefault="00187ED0" w:rsidP="00697C8E">
      <w:pPr>
        <w:pStyle w:val="AERquoteindent3"/>
      </w:pPr>
      <w:r>
        <w:t xml:space="preserve">This overall approach is reasonable as the tax statistics are </w:t>
      </w:r>
      <w:r w:rsidRPr="00E750F8">
        <w:rPr>
          <w:rStyle w:val="Strong"/>
        </w:rPr>
        <w:t>unlikely to be in major error</w:t>
      </w:r>
      <w:r>
        <w:t xml:space="preserve"> for the amount of tax paid and the amount of tax credits claimed</w:t>
      </w:r>
      <w:r w:rsidR="00697C8E">
        <w:t>.</w:t>
      </w:r>
      <w:r w:rsidR="00697C8E">
        <w:rPr>
          <w:rStyle w:val="FootnoteReference"/>
        </w:rPr>
        <w:footnoteReference w:id="717"/>
      </w:r>
    </w:p>
    <w:p w:rsidR="00697C8E" w:rsidRDefault="00187ED0" w:rsidP="00C52695">
      <w:r>
        <w:t xml:space="preserve">Stating that a data set is unlikely to be in major error is not equivalent to saying that the data is reliable. </w:t>
      </w:r>
    </w:p>
    <w:p w:rsidR="00C03DF6" w:rsidRDefault="004C4498" w:rsidP="00C52695">
      <w:r>
        <w:t xml:space="preserve">Further, we note that Hathaway </w:t>
      </w:r>
      <w:r w:rsidR="00F76631">
        <w:t xml:space="preserve">states that the only reliable estimate that can be obtained </w:t>
      </w:r>
      <w:r w:rsidR="0023036D">
        <w:t>from the taxation statistics is the access fraction (imputation distribution rate), which is obtained from FAB data.</w:t>
      </w:r>
      <w:r w:rsidR="0023036D">
        <w:rPr>
          <w:rStyle w:val="FootnoteReference"/>
        </w:rPr>
        <w:footnoteReference w:id="718"/>
      </w:r>
      <w:r w:rsidR="0023036D">
        <w:t xml:space="preserve"> </w:t>
      </w:r>
      <w:r w:rsidR="005A1971">
        <w:t>Hathaway considers there are too many unreconciled problems with the ATO data for reliable estimate to be made about the utilisation of franking credits.</w:t>
      </w:r>
      <w:r w:rsidR="005A1971">
        <w:rPr>
          <w:rStyle w:val="FootnoteReference"/>
        </w:rPr>
        <w:footnoteReference w:id="719"/>
      </w:r>
      <w:r w:rsidR="005A1971">
        <w:t xml:space="preserve"> Consistent with Hathaway's statement of conclusions we consider caution should be exercised with using ATO statistics to estimate any parameters concerned with franking credit which include gamma, distribution rate and utilisation value.</w:t>
      </w:r>
    </w:p>
    <w:p w:rsidR="00944EFE" w:rsidRDefault="00586F6B" w:rsidP="00C52695">
      <w:r>
        <w:t xml:space="preserve">Lally also has concerns </w:t>
      </w:r>
      <w:r w:rsidR="00944EFE">
        <w:t>with Frontier</w:t>
      </w:r>
      <w:r w:rsidR="006B14BA">
        <w:t>'</w:t>
      </w:r>
      <w:r w:rsidR="00944EFE">
        <w:t>s argument that tax statistics produce a reliable estimate for gamma, such as:</w:t>
      </w:r>
    </w:p>
    <w:p w:rsidR="003A0C07" w:rsidRDefault="00944EFE" w:rsidP="00E750F8">
      <w:pPr>
        <w:pStyle w:val="AERbulletlistfirststyle"/>
      </w:pPr>
      <w:r>
        <w:t xml:space="preserve">The Officer model requires an estimate of the utilisation value to determine the MRP. Given the data reliability issues tax statistics cannot produce </w:t>
      </w:r>
      <w:r w:rsidR="003A0C07">
        <w:t>a reliable estimate of the utilisation value.</w:t>
      </w:r>
      <w:r w:rsidR="003A0C07" w:rsidRPr="003A0C07">
        <w:rPr>
          <w:rStyle w:val="FootnoteReference"/>
        </w:rPr>
        <w:t xml:space="preserve"> </w:t>
      </w:r>
      <w:r w:rsidR="003A0C07" w:rsidRPr="003A0C07">
        <w:rPr>
          <w:rStyle w:val="FootnoteReference"/>
        </w:rPr>
        <w:footnoteReference w:id="720"/>
      </w:r>
    </w:p>
    <w:p w:rsidR="003A0C07" w:rsidRDefault="003A0C07" w:rsidP="00E750F8">
      <w:pPr>
        <w:pStyle w:val="AERbulletlistfirststyle"/>
      </w:pPr>
      <w:r>
        <w:t xml:space="preserve">Using tax statistics to directly estimate </w:t>
      </w:r>
      <w:r w:rsidR="00A041D8">
        <w:t xml:space="preserve">gamma </w:t>
      </w:r>
      <w:r>
        <w:t>require</w:t>
      </w:r>
      <w:r w:rsidR="00A041D8">
        <w:t>s</w:t>
      </w:r>
      <w:r>
        <w:t xml:space="preserve"> all equity data to be used for both the distribution rate and the utilisation value. However, Lally considers there is no necessity to do so and good reason for not doing so. Lally considers that the distribution rate should be determined by listed equity only and the utilisation rate should be set with reference to all equity.</w:t>
      </w:r>
      <w:r w:rsidRPr="003A0C07">
        <w:rPr>
          <w:rStyle w:val="FootnoteReference"/>
        </w:rPr>
        <w:footnoteReference w:id="721"/>
      </w:r>
    </w:p>
    <w:p w:rsidR="00586F6B" w:rsidRPr="00E750F8" w:rsidRDefault="003A0C07" w:rsidP="00E750F8">
      <w:pPr>
        <w:pStyle w:val="AERbulletlistfirststyle"/>
      </w:pPr>
      <w:r>
        <w:t>W</w:t>
      </w:r>
      <w:r w:rsidR="00586F6B" w:rsidRPr="00E750F8">
        <w:t xml:space="preserve">hilst the problems in the ATO may be limited to </w:t>
      </w:r>
      <w:r w:rsidR="002928B6">
        <w:t>credits distributed</w:t>
      </w:r>
      <w:r w:rsidR="00586F6B" w:rsidRPr="00E750F8">
        <w:t xml:space="preserve"> (because the data offers two conflicting estimates of that </w:t>
      </w:r>
      <w:r w:rsidR="002928B6">
        <w:t>quantity, from dividend data and FAB data</w:t>
      </w:r>
      <w:r w:rsidR="00586F6B" w:rsidRPr="00E750F8">
        <w:t xml:space="preserve">), the credibility of the entire ATO database is damaged by both the conflicting estimates of the </w:t>
      </w:r>
      <w:r w:rsidR="002928B6">
        <w:t xml:space="preserve">credit </w:t>
      </w:r>
      <w:r w:rsidR="00586F6B" w:rsidRPr="00E750F8">
        <w:t>distribution rate and the inability of the ATO to identify the source of that conflict.</w:t>
      </w:r>
      <w:r w:rsidR="00BF2DCE" w:rsidRPr="00BF2DCE">
        <w:rPr>
          <w:rStyle w:val="FootnoteReference"/>
        </w:rPr>
        <w:footnoteReference w:id="722"/>
      </w:r>
    </w:p>
    <w:p w:rsidR="00C641FD" w:rsidRDefault="00C641FD" w:rsidP="00C52695">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C52695" w:rsidRPr="00883125" w:rsidRDefault="00C52695" w:rsidP="00C52695">
      <w:r w:rsidRPr="00883125">
        <w:t xml:space="preserve">In comparison to tax statistics market studies do not provide as appropriate an estimate of the utilisation value as they are determined by the marginal investor and </w:t>
      </w:r>
      <w:r w:rsidR="00AF0CB7">
        <w:t>not the</w:t>
      </w:r>
      <w:r w:rsidRPr="00883125">
        <w:t xml:space="preserve"> aggregate investors. As a result, we consider market studies do not provide as good an estimate of the value of distributed imputation credits as estimates from the equity ownership approach and tax statistics. </w:t>
      </w:r>
      <w:r w:rsidR="00DA2D69">
        <w:t>M</w:t>
      </w:r>
      <w:r w:rsidRPr="00883125">
        <w:t xml:space="preserve">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BF66D3">
        <w:t>A.15.3</w:t>
      </w:r>
      <w:r w:rsidRPr="00883125">
        <w:fldChar w:fldCharType="end"/>
      </w:r>
      <w:r w:rsidRPr="00883125">
        <w:t>). For these reasons we provide them relatively less weight.</w:t>
      </w:r>
    </w:p>
    <w:p w:rsidR="00C52695" w:rsidRPr="00883125" w:rsidRDefault="00C52695" w:rsidP="00C52695">
      <w:pPr>
        <w:pStyle w:val="Heading8"/>
      </w:pPr>
      <w:bookmarkStart w:id="384" w:name="_Ref450298682"/>
      <w:bookmarkStart w:id="385" w:name="_Ref450299464"/>
      <w:bookmarkStart w:id="386" w:name="_Toc451842261"/>
      <w:bookmarkStart w:id="387" w:name="_Toc451938315"/>
      <w:bookmarkStart w:id="388" w:name="_Toc456614334"/>
      <w:bookmarkStart w:id="389" w:name="_Toc462823340"/>
      <w:bookmarkStart w:id="390" w:name="_Toc487014348"/>
      <w:bookmarkStart w:id="391" w:name="_Ref401080753"/>
      <w:bookmarkStart w:id="392" w:name="_Toc436049455"/>
      <w:r w:rsidRPr="00883125">
        <w:t>Difference between equity ownership approach and tax statistics</w:t>
      </w:r>
      <w:bookmarkEnd w:id="384"/>
      <w:bookmarkEnd w:id="385"/>
      <w:bookmarkEnd w:id="386"/>
      <w:bookmarkEnd w:id="387"/>
      <w:bookmarkEnd w:id="388"/>
      <w:bookmarkEnd w:id="389"/>
      <w:bookmarkEnd w:id="390"/>
    </w:p>
    <w:p w:rsidR="00C52695" w:rsidRPr="00883125" w:rsidRDefault="00C52695" w:rsidP="00C52695">
      <w:r w:rsidRPr="00883125">
        <w:t xml:space="preserve">In </w:t>
      </w:r>
      <w:r>
        <w:t>its</w:t>
      </w:r>
      <w:r w:rsidRPr="00883125">
        <w:t xml:space="preserve"> decision</w:t>
      </w:r>
      <w:r>
        <w:t>s</w:t>
      </w:r>
      <w:r w:rsidRPr="00883125">
        <w:t xml:space="preserve">, the </w:t>
      </w:r>
      <w:r w:rsidR="00E85280">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723"/>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rsidR="00E85280">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724"/>
      </w:r>
    </w:p>
    <w:p w:rsidR="00C52695" w:rsidRDefault="00C52695" w:rsidP="00C52695">
      <w:r>
        <w:t>We have</w:t>
      </w:r>
      <w:r w:rsidRPr="00883125">
        <w:t xml:space="preserve"> considered the </w:t>
      </w:r>
      <w:r w:rsidR="00E85280">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 xml:space="preserve">with the tax statistics. The data issues with tax statistics was recognised by the </w:t>
      </w:r>
      <w:r w:rsidR="00E85280">
        <w:t xml:space="preserve">Ausgrid </w:t>
      </w:r>
      <w:r w:rsidRPr="00883125">
        <w:t>Tribunal.</w:t>
      </w:r>
      <w:r w:rsidRPr="00883125">
        <w:rPr>
          <w:rStyle w:val="FootnoteReference"/>
        </w:rPr>
        <w:footnoteReference w:id="725"/>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726"/>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727"/>
      </w:r>
    </w:p>
    <w:p w:rsidR="00C52695" w:rsidRPr="00883125" w:rsidRDefault="00C52695" w:rsidP="00C52695">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728"/>
      </w:r>
    </w:p>
    <w:p w:rsidR="00C52695" w:rsidRDefault="00C52695" w:rsidP="00C52695">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BF66D3">
        <w:t>A.12</w:t>
      </w:r>
      <w:r>
        <w:fldChar w:fldCharType="end"/>
      </w:r>
      <w:r>
        <w:t>) and there are</w:t>
      </w:r>
      <w:r w:rsidRPr="00883125">
        <w:t xml:space="preserve"> data issue</w:t>
      </w:r>
      <w:r>
        <w:t>s associated</w:t>
      </w:r>
      <w:r w:rsidRPr="00883125">
        <w:t xml:space="preserve"> with tax statistics. The </w:t>
      </w:r>
      <w:r w:rsidR="00E10FAC">
        <w:t xml:space="preserve">Ausgrid </w:t>
      </w:r>
      <w:r w:rsidRPr="00883125">
        <w:t>Tribunal itself has acknowledged these data issues in its latest decision.</w:t>
      </w:r>
      <w:r w:rsidRPr="00883125">
        <w:rPr>
          <w:rStyle w:val="FootnoteReference"/>
        </w:rPr>
        <w:footnoteReference w:id="729"/>
      </w:r>
      <w:r w:rsidRPr="00883125">
        <w:t xml:space="preserve"> In light of the </w:t>
      </w:r>
      <w:r w:rsidR="00E10FAC">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BF66D3">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2915B0" w:rsidRDefault="006C6181" w:rsidP="00C52695">
      <w:r>
        <w:t xml:space="preserve">The variability in the annual tax statistics and quarterly equity ownership data is evident </w:t>
      </w:r>
      <w:r w:rsidR="0048667E">
        <w:t xml:space="preserve">in </w:t>
      </w:r>
      <w:r>
        <w:fldChar w:fldCharType="begin"/>
      </w:r>
      <w:r>
        <w:instrText xml:space="preserve"> REF _Ref477347991 \h </w:instrText>
      </w:r>
      <w:r>
        <w:fldChar w:fldCharType="separate"/>
      </w:r>
      <w:r w:rsidR="00BF66D3" w:rsidRPr="00883125">
        <w:t xml:space="preserve">Figure </w:t>
      </w:r>
      <w:r w:rsidR="00BF66D3">
        <w:rPr>
          <w:noProof/>
        </w:rPr>
        <w:t>4</w:t>
      </w:r>
      <w:r w:rsidR="00BF66D3" w:rsidRPr="00883125">
        <w:t>.</w:t>
      </w:r>
      <w:r w:rsidR="00BF66D3">
        <w:rPr>
          <w:noProof/>
        </w:rPr>
        <w:t>4</w:t>
      </w:r>
      <w:r>
        <w:fldChar w:fldCharType="end"/>
      </w:r>
      <w:r>
        <w:t xml:space="preserve"> below. </w:t>
      </w:r>
      <w:r w:rsidR="0048667E">
        <w:t>H</w:t>
      </w:r>
      <w:r>
        <w:t>istorically the equity ownership data was higher than</w:t>
      </w:r>
      <w:r w:rsidR="0048667E">
        <w:t xml:space="preserve"> the redemption data from</w:t>
      </w:r>
      <w:r>
        <w:t xml:space="preserve"> tax statistic</w:t>
      </w:r>
      <w:r w:rsidR="0048667E">
        <w:t>s, but this has changed recently. In 2013 tax statistics redemption rates were higher than the proportion of all equity held locally. W</w:t>
      </w:r>
      <w:r w:rsidR="00944227">
        <w:t>hile w</w:t>
      </w:r>
      <w:r w:rsidR="0048667E">
        <w:t>e do not consider that prevailing quarterly or annual data should be used to determine gamma</w:t>
      </w:r>
      <w:r w:rsidR="00944227">
        <w:t xml:space="preserve"> due to volatility in the data</w:t>
      </w:r>
      <w:r w:rsidR="0048667E">
        <w:t xml:space="preserve">, we </w:t>
      </w:r>
      <w:r w:rsidR="00283230">
        <w:t>note that current estimate</w:t>
      </w:r>
      <w:r w:rsidR="00944227">
        <w:t>s from both approaches currently support a gamma estimate of at least 0.40</w:t>
      </w:r>
      <w:r w:rsidR="0048667E">
        <w:t>.</w:t>
      </w:r>
    </w:p>
    <w:p w:rsidR="002915B0" w:rsidRDefault="002915B0" w:rsidP="009716F3">
      <w:pPr>
        <w:pStyle w:val="Caption"/>
      </w:pPr>
      <w:bookmarkStart w:id="393" w:name="_Ref477347991"/>
      <w:r w:rsidRPr="00883125">
        <w:t xml:space="preserve">Figure </w:t>
      </w:r>
      <w:r w:rsidRPr="00B27BE5">
        <w:rPr>
          <w:b w:val="0"/>
          <w:bCs w:val="0"/>
        </w:rPr>
        <w:fldChar w:fldCharType="begin"/>
      </w:r>
      <w:r>
        <w:instrText xml:space="preserve"> STYLEREF 1 \s </w:instrText>
      </w:r>
      <w:r w:rsidRPr="00B27BE5">
        <w:rPr>
          <w:b w:val="0"/>
          <w:bCs w:val="0"/>
        </w:rPr>
        <w:fldChar w:fldCharType="separate"/>
      </w:r>
      <w:r w:rsidR="00BF66D3">
        <w:rPr>
          <w:noProof/>
        </w:rPr>
        <w:t>4</w:t>
      </w:r>
      <w:r w:rsidRPr="00B27BE5">
        <w:rPr>
          <w:b w:val="0"/>
          <w:bCs w:val="0"/>
        </w:rPr>
        <w:fldChar w:fldCharType="end"/>
      </w:r>
      <w:r w:rsidRPr="00883125">
        <w:t>.</w:t>
      </w:r>
      <w:r w:rsidRPr="00B27BE5">
        <w:rPr>
          <w:b w:val="0"/>
          <w:bCs w:val="0"/>
        </w:rPr>
        <w:fldChar w:fldCharType="begin"/>
      </w:r>
      <w:r>
        <w:instrText xml:space="preserve"> SEQ Figure \* ARABIC \s 1 </w:instrText>
      </w:r>
      <w:r w:rsidRPr="00B27BE5">
        <w:rPr>
          <w:b w:val="0"/>
          <w:bCs w:val="0"/>
        </w:rPr>
        <w:fldChar w:fldCharType="separate"/>
      </w:r>
      <w:r w:rsidR="00BF66D3">
        <w:rPr>
          <w:noProof/>
        </w:rPr>
        <w:t>4</w:t>
      </w:r>
      <w:r w:rsidRPr="00B27BE5">
        <w:rPr>
          <w:b w:val="0"/>
          <w:bCs w:val="0"/>
        </w:rPr>
        <w:fldChar w:fldCharType="end"/>
      </w:r>
      <w:bookmarkEnd w:id="393"/>
      <w:r w:rsidRPr="00883125">
        <w:tab/>
      </w:r>
      <w:r>
        <w:t xml:space="preserve">Variability </w:t>
      </w:r>
      <w:r w:rsidR="006C6181">
        <w:t>in tax statistics and equity ownership</w:t>
      </w:r>
      <w:r w:rsidR="00D42C73">
        <w:rPr>
          <w:noProof/>
          <w:lang w:eastAsia="en-AU"/>
        </w:rPr>
        <w:drawing>
          <wp:inline distT="0" distB="0" distL="0" distR="0" wp14:anchorId="28CE44E1" wp14:editId="0C354415">
            <wp:extent cx="5274259" cy="316309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2409" cy="3161984"/>
                    </a:xfrm>
                    <a:prstGeom prst="rect">
                      <a:avLst/>
                    </a:prstGeom>
                    <a:noFill/>
                  </pic:spPr>
                </pic:pic>
              </a:graphicData>
            </a:graphic>
          </wp:inline>
        </w:drawing>
      </w:r>
    </w:p>
    <w:p w:rsidR="008E1126" w:rsidRPr="00883125" w:rsidRDefault="008E1126" w:rsidP="00C52695"/>
    <w:p w:rsidR="00C52695" w:rsidRPr="00883125" w:rsidRDefault="00C52695" w:rsidP="00C52695">
      <w:pPr>
        <w:pStyle w:val="Heading8"/>
      </w:pPr>
      <w:bookmarkStart w:id="394" w:name="_Ref451184082"/>
      <w:bookmarkStart w:id="395" w:name="_Ref451186079"/>
      <w:bookmarkStart w:id="396" w:name="_Ref451242641"/>
      <w:bookmarkStart w:id="397" w:name="_Ref451266265"/>
      <w:bookmarkStart w:id="398" w:name="_Ref451267181"/>
      <w:bookmarkStart w:id="399" w:name="_Ref451267267"/>
      <w:bookmarkStart w:id="400" w:name="_Ref451267696"/>
      <w:bookmarkStart w:id="401" w:name="_Ref451267729"/>
      <w:bookmarkStart w:id="402" w:name="_Ref451267750"/>
      <w:bookmarkStart w:id="403" w:name="_Toc451842262"/>
      <w:bookmarkStart w:id="404" w:name="_Toc451938316"/>
      <w:bookmarkStart w:id="405" w:name="_Toc456614335"/>
      <w:bookmarkStart w:id="406" w:name="_Toc462823341"/>
      <w:bookmarkStart w:id="407" w:name="_Toc487014349"/>
      <w:r w:rsidRPr="00883125">
        <w:t>Implied market value studies</w:t>
      </w:r>
      <w:bookmarkEnd w:id="391"/>
      <w:bookmarkEnd w:id="39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C52695" w:rsidRPr="00883125" w:rsidRDefault="00C52695" w:rsidP="00C52695">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rsidR="00B630B5">
        <w:fldChar w:fldCharType="begin"/>
      </w:r>
      <w:r w:rsidR="00B630B5">
        <w:instrText xml:space="preserve"> REF _Ref475456919 \r \h </w:instrText>
      </w:r>
      <w:r w:rsidR="00B630B5">
        <w:fldChar w:fldCharType="separate"/>
      </w:r>
      <w:r w:rsidR="00BF66D3">
        <w:t>4.4</w:t>
      </w:r>
      <w:r w:rsidR="00B630B5">
        <w:fldChar w:fldCharType="end"/>
      </w:r>
      <w:r w:rsidR="001453E4">
        <w:t xml:space="preserve"> of attachment 4.</w:t>
      </w:r>
    </w:p>
    <w:p w:rsidR="00C52695" w:rsidRPr="00883125" w:rsidRDefault="00C52695" w:rsidP="00C52695">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630B5" w:rsidRPr="00B630B5">
        <w:fldChar w:fldCharType="begin"/>
      </w:r>
      <w:r w:rsidR="00B630B5" w:rsidRPr="00B630B5">
        <w:instrText xml:space="preserve"> REF _Ref475456919 \r \h </w:instrText>
      </w:r>
      <w:r w:rsidR="00B630B5" w:rsidRPr="00B630B5">
        <w:fldChar w:fldCharType="separate"/>
      </w:r>
      <w:r w:rsidR="00BF66D3">
        <w:t>4.4</w:t>
      </w:r>
      <w:r w:rsidR="00B630B5"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BF66D3">
        <w:t>A.15.5</w:t>
      </w:r>
      <w:r w:rsidRPr="00883125">
        <w:fldChar w:fldCharType="end"/>
      </w:r>
      <w:r w:rsidRPr="00883125">
        <w:t>.</w:t>
      </w:r>
    </w:p>
    <w:p w:rsidR="00C52695" w:rsidRPr="00883125" w:rsidRDefault="00C52695" w:rsidP="00C52695">
      <w:pPr>
        <w:pStyle w:val="Heading9"/>
      </w:pPr>
      <w:bookmarkStart w:id="408" w:name="_Ref402791521"/>
      <w:bookmarkStart w:id="409" w:name="_Toc456614336"/>
      <w:bookmarkStart w:id="410" w:name="_Toc462823342"/>
      <w:bookmarkStart w:id="411" w:name="_Toc487014350"/>
      <w:r w:rsidRPr="00883125">
        <w:t>Types of implied market value studies</w:t>
      </w:r>
      <w:bookmarkEnd w:id="408"/>
      <w:bookmarkEnd w:id="409"/>
      <w:bookmarkEnd w:id="410"/>
      <w:bookmarkEnd w:id="411"/>
    </w:p>
    <w:p w:rsidR="00C52695" w:rsidRPr="00883125" w:rsidRDefault="00C52695" w:rsidP="00C52695">
      <w:pPr>
        <w:numPr>
          <w:ilvl w:val="0"/>
          <w:numId w:val="24"/>
        </w:numPr>
      </w:pPr>
      <w:r w:rsidRPr="00883125">
        <w:t>In this section, we describe the key characteristics of dividend drop off studies and other implied market value studies.</w:t>
      </w:r>
    </w:p>
    <w:p w:rsidR="00C52695" w:rsidRPr="00883125" w:rsidRDefault="00C52695" w:rsidP="007F6EED">
      <w:pPr>
        <w:pStyle w:val="HeadingBoldItalic"/>
      </w:pPr>
      <w:bookmarkStart w:id="412" w:name="_Toc456614337"/>
      <w:bookmarkStart w:id="413" w:name="_Toc481056717"/>
      <w:bookmarkStart w:id="414" w:name="_Toc481061511"/>
      <w:r w:rsidRPr="00883125">
        <w:t>Dividend drop off studies</w:t>
      </w:r>
      <w:bookmarkEnd w:id="412"/>
      <w:bookmarkEnd w:id="413"/>
      <w:bookmarkEnd w:id="414"/>
    </w:p>
    <w:p w:rsidR="00C52695" w:rsidRPr="00883125" w:rsidRDefault="00C52695" w:rsidP="00C52695">
      <w:pPr>
        <w:numPr>
          <w:ilvl w:val="0"/>
          <w:numId w:val="24"/>
        </w:numPr>
      </w:pPr>
      <w:r w:rsidRPr="00883125">
        <w:t>Dividend drop off studies are the most common type of implied market value study. These studies involve comparing share prices between:</w:t>
      </w:r>
    </w:p>
    <w:p w:rsidR="00C52695" w:rsidRPr="00883125" w:rsidRDefault="00C52695" w:rsidP="00C52695">
      <w:pPr>
        <w:pStyle w:val="AERbulletlistfirststyle"/>
      </w:pPr>
      <w:r w:rsidRPr="00883125">
        <w:t>the cum-dividend date—the last day on which investors owning shares will be eligible to receive dividends and the attached imputation credits, and</w:t>
      </w:r>
    </w:p>
    <w:p w:rsidR="00C52695" w:rsidRPr="00883125" w:rsidRDefault="00C52695" w:rsidP="00C52695">
      <w:pPr>
        <w:pStyle w:val="AERbulletlistfirststyle"/>
      </w:pPr>
      <w:r w:rsidRPr="00883125">
        <w:t>the ex-dividend date—the first day on which investors owning shares will not be eligible to receive dividends and attached imputation credits.</w:t>
      </w:r>
    </w:p>
    <w:p w:rsidR="00C52695" w:rsidRPr="00883125" w:rsidRDefault="00C52695" w:rsidP="00C52695">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52695" w:rsidRPr="00883125" w:rsidRDefault="00C52695" w:rsidP="00C52695">
      <w:pPr>
        <w:numPr>
          <w:ilvl w:val="0"/>
          <w:numId w:val="24"/>
        </w:numPr>
      </w:pPr>
      <w:r w:rsidRPr="00883125">
        <w:fldChar w:fldCharType="begin"/>
      </w:r>
      <w:r w:rsidRPr="00883125">
        <w:instrText xml:space="preserve"> REF _Ref401075742 \h </w:instrText>
      </w:r>
      <w:r w:rsidRPr="00883125">
        <w:fldChar w:fldCharType="separate"/>
      </w:r>
      <w:r w:rsidR="00BF66D3" w:rsidRPr="00883125">
        <w:t xml:space="preserve">Table </w:t>
      </w:r>
      <w:r w:rsidR="00BF66D3">
        <w:rPr>
          <w:noProof/>
        </w:rPr>
        <w:t>4</w:t>
      </w:r>
      <w:r w:rsidR="00BF66D3">
        <w:noBreakHyphen/>
      </w:r>
      <w:r w:rsidR="00BF66D3">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BF66D3" w:rsidRPr="00883125">
        <w:t xml:space="preserve">table </w:t>
      </w:r>
      <w:r w:rsidR="00BF66D3">
        <w:rPr>
          <w:noProof/>
        </w:rPr>
        <w:t>4</w:t>
      </w:r>
      <w:r w:rsidR="00BF66D3">
        <w:noBreakHyphen/>
      </w:r>
      <w:r w:rsidR="00BF66D3">
        <w:rPr>
          <w:noProof/>
        </w:rPr>
        <w:t>19</w:t>
      </w:r>
      <w:r w:rsidRPr="00883125">
        <w:fldChar w:fldCharType="end"/>
      </w:r>
      <w:r w:rsidRPr="00883125">
        <w:t>.</w:t>
      </w:r>
    </w:p>
    <w:p w:rsidR="00C52695" w:rsidRPr="00883125" w:rsidRDefault="00C52695" w:rsidP="00C52695">
      <w:pPr>
        <w:pStyle w:val="Caption"/>
      </w:pPr>
      <w:bookmarkStart w:id="415" w:name="_Ref401075742"/>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16</w:t>
      </w:r>
      <w:r w:rsidRPr="001D37D5">
        <w:fldChar w:fldCharType="end"/>
      </w:r>
      <w:bookmarkEnd w:id="415"/>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C52695" w:rsidTr="00FD3860">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C52695" w:rsidRPr="00C52695" w:rsidRDefault="00C52695" w:rsidP="00C52695">
            <w:r w:rsidRPr="00883125">
              <w:t>Authors</w:t>
            </w:r>
          </w:p>
        </w:tc>
        <w:tc>
          <w:tcPr>
            <w:tcW w:w="1217" w:type="dxa"/>
          </w:tcPr>
          <w:p w:rsidR="00C52695" w:rsidRPr="00C52695" w:rsidRDefault="00C52695" w:rsidP="00C52695">
            <w:r w:rsidRPr="00883125">
              <w:t>Data range</w:t>
            </w:r>
          </w:p>
        </w:tc>
        <w:tc>
          <w:tcPr>
            <w:tcW w:w="5062" w:type="dxa"/>
          </w:tcPr>
          <w:p w:rsidR="00C52695" w:rsidRPr="00C52695" w:rsidRDefault="00C52695" w:rsidP="00C52695">
            <w:r w:rsidRPr="00883125">
              <w:t>Assessment relative to other studies</w:t>
            </w:r>
            <w:r w:rsidRPr="00C52695">
              <w:t xml:space="preserve"> in that class</w:t>
            </w:r>
          </w:p>
        </w:tc>
      </w:tr>
      <w:tr w:rsidR="00C52695" w:rsidTr="00FD3860">
        <w:trPr>
          <w:cantSplit/>
        </w:trPr>
        <w:tc>
          <w:tcPr>
            <w:tcW w:w="8693" w:type="dxa"/>
            <w:gridSpan w:val="3"/>
          </w:tcPr>
          <w:p w:rsidR="00C52695" w:rsidRPr="00883125" w:rsidRDefault="00C52695" w:rsidP="00C52695">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t>Frontier (2016)</w:t>
            </w:r>
            <w:r w:rsidRPr="00FD3860">
              <w:rPr>
                <w:rStyle w:val="FootnoteReference"/>
              </w:rPr>
              <w:footnoteReference w:id="730"/>
            </w:r>
          </w:p>
        </w:tc>
        <w:tc>
          <w:tcPr>
            <w:tcW w:w="1217" w:type="dxa"/>
          </w:tcPr>
          <w:p w:rsidR="00FD3860" w:rsidRPr="00FD3860" w:rsidRDefault="00FD3860" w:rsidP="00FD3860">
            <w:r>
              <w:t>2001-2016</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Vo et al (2013</w:t>
            </w:r>
            <w:r w:rsidRPr="00FD3860">
              <w:t>)</w:t>
            </w:r>
            <w:r w:rsidRPr="00FD3860">
              <w:rPr>
                <w:rStyle w:val="FootnoteReference"/>
              </w:rPr>
              <w:footnoteReference w:id="731"/>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Builds on SFG (2011), includes additional econometric permutations and sensitivity analysis.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SFG (2013a)</w:t>
            </w:r>
            <w:r w:rsidRPr="00FD3860">
              <w:rPr>
                <w:rStyle w:val="FootnoteReference"/>
              </w:rPr>
              <w:footnoteReference w:id="732"/>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SFG (2011)</w:t>
            </w:r>
            <w:r w:rsidRPr="00FD3860">
              <w:rPr>
                <w:rStyle w:val="FootnoteReference"/>
              </w:rPr>
              <w:footnoteReference w:id="733"/>
            </w:r>
          </w:p>
        </w:tc>
        <w:tc>
          <w:tcPr>
            <w:tcW w:w="1217" w:type="dxa"/>
          </w:tcPr>
          <w:p w:rsidR="00FD3860" w:rsidRPr="00FD3860" w:rsidRDefault="00FD3860" w:rsidP="00FD3860">
            <w:r w:rsidRPr="00883125">
              <w:t>2001-2010</w:t>
            </w:r>
          </w:p>
        </w:tc>
        <w:tc>
          <w:tcPr>
            <w:tcW w:w="5062" w:type="dxa"/>
          </w:tcPr>
          <w:p w:rsidR="00FD3860" w:rsidRPr="00FD3860" w:rsidRDefault="00FD3860" w:rsidP="00FD3860">
            <w:r w:rsidRPr="00883125">
              <w:t>Study commissioned by the Australian Competition Tribunal.</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Minney (2010)</w:t>
            </w:r>
            <w:r w:rsidRPr="00FD3860">
              <w:rPr>
                <w:rStyle w:val="FootnoteReference"/>
              </w:rPr>
              <w:footnoteReference w:id="734"/>
            </w:r>
          </w:p>
        </w:tc>
        <w:tc>
          <w:tcPr>
            <w:tcW w:w="1217" w:type="dxa"/>
          </w:tcPr>
          <w:p w:rsidR="00FD3860" w:rsidRPr="00FD3860" w:rsidRDefault="00FD3860" w:rsidP="00FD3860">
            <w:r w:rsidRPr="00883125">
              <w:t>2001–2009</w:t>
            </w:r>
          </w:p>
        </w:tc>
        <w:tc>
          <w:tcPr>
            <w:tcW w:w="5062" w:type="dxa"/>
          </w:tcPr>
          <w:p w:rsidR="00FD3860" w:rsidRPr="00FD3860" w:rsidRDefault="00FD3860" w:rsidP="00FD3860">
            <w:r w:rsidRPr="00883125">
              <w:t xml:space="preserve">Partitions by firm size; </w:t>
            </w:r>
            <w:r w:rsidRPr="00FD3860">
              <w:t>sub-periods 2001–2005 and 2006–2009.</w:t>
            </w:r>
          </w:p>
        </w:tc>
      </w:tr>
      <w:tr w:rsidR="00FD3860" w:rsidTr="00FD3860">
        <w:trPr>
          <w:cantSplit/>
        </w:trPr>
        <w:tc>
          <w:tcPr>
            <w:tcW w:w="2414" w:type="dxa"/>
          </w:tcPr>
          <w:p w:rsidR="00FD3860" w:rsidRPr="00FD3860" w:rsidRDefault="00FD3860" w:rsidP="00FD3860">
            <w:r w:rsidRPr="00883125">
              <w:t>Beggs and Skeels (2006)</w:t>
            </w:r>
            <w:r w:rsidRPr="00FD3860">
              <w:rPr>
                <w:rStyle w:val="FootnoteReference"/>
              </w:rPr>
              <w:footnoteReference w:id="735"/>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Key study in the AER's 2009 review of rate of return parameters. Data calculated yearly.</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Hathaway and Officer (2004)</w:t>
            </w:r>
            <w:r w:rsidRPr="00FD3860">
              <w:rPr>
                <w:rStyle w:val="FootnoteReference"/>
              </w:rPr>
              <w:footnoteReference w:id="736"/>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Study partitions by firm size, dividend yield level.</w:t>
            </w:r>
          </w:p>
        </w:tc>
      </w:tr>
      <w:tr w:rsidR="00FD3860" w:rsidTr="00FD3860">
        <w:trPr>
          <w:cantSplit/>
        </w:trPr>
        <w:tc>
          <w:tcPr>
            <w:tcW w:w="2414" w:type="dxa"/>
          </w:tcPr>
          <w:p w:rsidR="00FD3860" w:rsidRPr="00FD3860" w:rsidRDefault="00FD3860" w:rsidP="00FD3860">
            <w:r w:rsidRPr="00883125">
              <w:t>Bellamy and Gray (2004)</w:t>
            </w:r>
            <w:r w:rsidRPr="00FD3860">
              <w:rPr>
                <w:rStyle w:val="FootnoteReference"/>
              </w:rPr>
              <w:footnoteReference w:id="737"/>
            </w:r>
          </w:p>
        </w:tc>
        <w:tc>
          <w:tcPr>
            <w:tcW w:w="1217" w:type="dxa"/>
          </w:tcPr>
          <w:p w:rsidR="00FD3860" w:rsidRPr="00FD3860" w:rsidRDefault="00FD3860" w:rsidP="00FD3860">
            <w:r w:rsidRPr="00883125">
              <w:t>1995-2002</w:t>
            </w:r>
          </w:p>
        </w:tc>
        <w:tc>
          <w:tcPr>
            <w:tcW w:w="5062" w:type="dxa"/>
          </w:tcPr>
          <w:p w:rsidR="00FD3860" w:rsidRPr="00FD3860" w:rsidRDefault="00FD3860" w:rsidP="00FD3860">
            <w:r w:rsidRPr="00883125">
              <w:t xml:space="preserve">Several </w:t>
            </w:r>
            <w:r w:rsidRPr="00FD3860">
              <w:t>regression forms and sample selections. Partitions by size and time period (pre and post 45-day holding rule). Use of simulation to inform regression equation.</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Bruckner et al (1994)</w:t>
            </w:r>
            <w:r w:rsidRPr="00FD3860">
              <w:rPr>
                <w:rStyle w:val="FootnoteReference"/>
              </w:rPr>
              <w:footnoteReference w:id="738"/>
            </w:r>
          </w:p>
        </w:tc>
        <w:tc>
          <w:tcPr>
            <w:tcW w:w="1217" w:type="dxa"/>
          </w:tcPr>
          <w:p w:rsidR="00FD3860" w:rsidRPr="00FD3860" w:rsidRDefault="00FD3860" w:rsidP="00FD3860">
            <w:r w:rsidRPr="00883125">
              <w:t>1987-1993</w:t>
            </w:r>
          </w:p>
        </w:tc>
        <w:tc>
          <w:tcPr>
            <w:tcW w:w="5062" w:type="dxa"/>
          </w:tcPr>
          <w:p w:rsidR="00FD3860" w:rsidRPr="00FD3860" w:rsidRDefault="00FD3860" w:rsidP="00FD3860">
            <w:r w:rsidRPr="00883125">
              <w:t>Early study with limited data; sub-periods 1987–1990 and 1991–1993.</w:t>
            </w:r>
          </w:p>
        </w:tc>
      </w:tr>
      <w:tr w:rsidR="00FD3860" w:rsidTr="00FD3860">
        <w:trPr>
          <w:cantSplit/>
        </w:trPr>
        <w:tc>
          <w:tcPr>
            <w:tcW w:w="2414" w:type="dxa"/>
          </w:tcPr>
          <w:p w:rsidR="00FD3860" w:rsidRPr="00FD3860" w:rsidRDefault="00FD3860" w:rsidP="00FD3860">
            <w:r w:rsidRPr="00883125">
              <w:t>Brown and Clarke (1993)</w:t>
            </w:r>
            <w:r w:rsidRPr="00FD3860">
              <w:rPr>
                <w:rStyle w:val="FootnoteReference"/>
              </w:rPr>
              <w:footnoteReference w:id="739"/>
            </w:r>
          </w:p>
        </w:tc>
        <w:tc>
          <w:tcPr>
            <w:tcW w:w="1217" w:type="dxa"/>
          </w:tcPr>
          <w:p w:rsidR="00FD3860" w:rsidRPr="00FD3860" w:rsidRDefault="00FD3860" w:rsidP="00FD3860">
            <w:r w:rsidRPr="00883125">
              <w:t>1973–1991</w:t>
            </w:r>
          </w:p>
        </w:tc>
        <w:tc>
          <w:tcPr>
            <w:tcW w:w="5062" w:type="dxa"/>
          </w:tcPr>
          <w:p w:rsidR="00FD3860" w:rsidRPr="00FD3860" w:rsidRDefault="00FD3860" w:rsidP="00FD3860">
            <w:r w:rsidRPr="00883125">
              <w:t>Compares dividend drop off before and after imputation; presents yearly figures and sub-periods.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7F6EED">
      <w:pPr>
        <w:pStyle w:val="HeadingBoldItalic"/>
      </w:pPr>
      <w:bookmarkStart w:id="416" w:name="_Toc456614338"/>
      <w:bookmarkStart w:id="417" w:name="_Toc481056718"/>
      <w:bookmarkStart w:id="418" w:name="_Toc481061512"/>
      <w:r w:rsidRPr="00883125">
        <w:t>Alternative implied market value studies</w:t>
      </w:r>
      <w:bookmarkEnd w:id="416"/>
      <w:bookmarkEnd w:id="417"/>
      <w:bookmarkEnd w:id="418"/>
    </w:p>
    <w:p w:rsidR="00C52695" w:rsidRPr="00883125" w:rsidRDefault="00C52695" w:rsidP="00C52695">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52695" w:rsidRPr="00883125" w:rsidRDefault="00C52695" w:rsidP="00C52695">
      <w:pPr>
        <w:pStyle w:val="AERbulletlistfirststyle"/>
      </w:pPr>
      <w:r w:rsidRPr="00883125">
        <w:t>Simultaneous trading of shares with and without entitlements.</w:t>
      </w:r>
    </w:p>
    <w:p w:rsidR="00C52695" w:rsidRPr="00883125" w:rsidRDefault="00C52695" w:rsidP="00C52695">
      <w:pPr>
        <w:pStyle w:val="AERbulletlistfirststyle"/>
      </w:pPr>
      <w:r w:rsidRPr="00883125">
        <w:t>Simultaneous trading of derivatives and futures and of their underlying shares.</w:t>
      </w:r>
    </w:p>
    <w:p w:rsidR="00C52695" w:rsidRPr="00883125" w:rsidRDefault="00C52695" w:rsidP="00C52695">
      <w:pPr>
        <w:pStyle w:val="AERbulletlistfirststyle"/>
      </w:pPr>
      <w:r w:rsidRPr="00883125">
        <w:t>Hybrid securities which trade with imputation credits.</w:t>
      </w:r>
    </w:p>
    <w:p w:rsidR="00C52695" w:rsidRPr="00883125" w:rsidRDefault="00C52695" w:rsidP="00C52695">
      <w:pPr>
        <w:pStyle w:val="AERbulletlistfirststyle"/>
      </w:pPr>
      <w:r w:rsidRPr="00883125">
        <w:t>Comparison of the capital gains and (cash) dividend returns across time.</w:t>
      </w:r>
    </w:p>
    <w:p w:rsidR="00C52695" w:rsidRDefault="00C52695" w:rsidP="00C52695">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BF66D3" w:rsidRPr="00BF66D3">
        <w:rPr>
          <w:rStyle w:val="AERbody"/>
        </w:rPr>
        <w:t>Table 4</w:t>
      </w:r>
      <w:r w:rsidR="00BF66D3" w:rsidRPr="00BF66D3">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BF66D3" w:rsidRPr="00883125">
        <w:t xml:space="preserve">Table </w:t>
      </w:r>
      <w:r w:rsidR="00BF66D3">
        <w:rPr>
          <w:noProof/>
        </w:rPr>
        <w:t>4</w:t>
      </w:r>
      <w:r w:rsidR="00BF66D3">
        <w:noBreakHyphen/>
      </w:r>
      <w:r w:rsidR="00BF66D3">
        <w:rPr>
          <w:noProof/>
        </w:rPr>
        <w:t>20</w:t>
      </w:r>
      <w:r w:rsidRPr="00883125">
        <w:rPr>
          <w:rStyle w:val="AERbody"/>
        </w:rPr>
        <w:fldChar w:fldCharType="end"/>
      </w:r>
      <w:r w:rsidRPr="00883125">
        <w:rPr>
          <w:rStyle w:val="AERbody"/>
        </w:rPr>
        <w:t>.</w:t>
      </w:r>
    </w:p>
    <w:p w:rsidR="001453E4" w:rsidRPr="00B27BE5" w:rsidRDefault="001453E4" w:rsidP="00C52695">
      <w:pPr>
        <w:rPr>
          <w:rStyle w:val="AERbody"/>
        </w:rPr>
      </w:pPr>
    </w:p>
    <w:p w:rsidR="00C52695" w:rsidRPr="00883125" w:rsidRDefault="00C52695" w:rsidP="00C52695">
      <w:pPr>
        <w:pStyle w:val="Caption"/>
      </w:pPr>
      <w:bookmarkStart w:id="419" w:name="_Ref401075839"/>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17</w:t>
      </w:r>
      <w:r w:rsidRPr="001D37D5">
        <w:fldChar w:fldCharType="end"/>
      </w:r>
      <w:bookmarkEnd w:id="419"/>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52695" w:rsidRPr="00883125" w:rsidRDefault="00C52695" w:rsidP="00C52695">
            <w:pPr>
              <w:numPr>
                <w:ilvl w:val="0"/>
                <w:numId w:val="24"/>
              </w:numPr>
            </w:pPr>
            <w:r w:rsidRPr="00883125">
              <w:t>Authors</w:t>
            </w:r>
          </w:p>
        </w:tc>
        <w:tc>
          <w:tcPr>
            <w:tcW w:w="1111" w:type="dxa"/>
          </w:tcPr>
          <w:p w:rsidR="00C52695" w:rsidRPr="00883125" w:rsidRDefault="00C52695" w:rsidP="00C52695">
            <w:pPr>
              <w:numPr>
                <w:ilvl w:val="0"/>
                <w:numId w:val="24"/>
              </w:numPr>
            </w:pPr>
            <w:r w:rsidRPr="00883125">
              <w:t>Data range</w:t>
            </w:r>
          </w:p>
        </w:tc>
        <w:tc>
          <w:tcPr>
            <w:tcW w:w="5448" w:type="dxa"/>
          </w:tcPr>
          <w:p w:rsidR="00C52695" w:rsidRPr="00883125" w:rsidRDefault="00C52695" w:rsidP="00C52695">
            <w:pPr>
              <w:numPr>
                <w:ilvl w:val="0"/>
                <w:numId w:val="24"/>
              </w:numPr>
            </w:pPr>
            <w:r w:rsidRPr="00883125">
              <w:t>Assessment relative to other studies in that class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Dividend drop off using hybrids</w:t>
            </w:r>
            <w:r w:rsidRPr="00883125">
              <w:t xml:space="preserve"> – Similar to standard DDO but using debt/equity hybrid securities.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Feuerherdt et al (2010)</w:t>
            </w:r>
            <w:r w:rsidRPr="00C52695">
              <w:rPr>
                <w:rStyle w:val="FootnoteReference"/>
              </w:rPr>
              <w:footnoteReference w:id="740"/>
            </w:r>
          </w:p>
        </w:tc>
        <w:tc>
          <w:tcPr>
            <w:tcW w:w="1111" w:type="dxa"/>
          </w:tcPr>
          <w:p w:rsidR="00C52695" w:rsidRPr="00C52695" w:rsidRDefault="00C52695" w:rsidP="00C52695">
            <w:r w:rsidRPr="00883125">
              <w:t>1995–2002</w:t>
            </w:r>
          </w:p>
        </w:tc>
        <w:tc>
          <w:tcPr>
            <w:tcW w:w="5448" w:type="dxa"/>
          </w:tcPr>
          <w:p w:rsidR="00C52695" w:rsidRPr="00C52695" w:rsidRDefault="00C52695" w:rsidP="00C52695">
            <w:r w:rsidRPr="00883125">
              <w:t xml:space="preserve">Uses hybrid securities (such as convertible preference shares), 165 ex-dividend events for 46 securities which </w:t>
            </w:r>
            <w:r w:rsidRPr="00C52695">
              <w:t>are primarily fully franked.</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SFG (2013b)</w:t>
            </w:r>
            <w:r w:rsidRPr="00C52695">
              <w:rPr>
                <w:rStyle w:val="FootnoteReference"/>
              </w:rPr>
              <w:footnoteReference w:id="741"/>
            </w:r>
          </w:p>
        </w:tc>
        <w:tc>
          <w:tcPr>
            <w:tcW w:w="1111" w:type="dxa"/>
          </w:tcPr>
          <w:p w:rsidR="00C52695" w:rsidRPr="00C52695" w:rsidRDefault="00C52695" w:rsidP="00C52695">
            <w:r w:rsidRPr="00883125">
              <w:t>2000–2013</w:t>
            </w:r>
          </w:p>
        </w:tc>
        <w:tc>
          <w:tcPr>
            <w:tcW w:w="5448" w:type="dxa"/>
          </w:tcPr>
          <w:p w:rsidR="00C52695" w:rsidRPr="00C52695" w:rsidRDefault="00C52695" w:rsidP="00C52695">
            <w:r w:rsidRPr="00883125">
              <w:t>Updates Cannavan et al (2004). Compares matched trades in individual shares to futures</w:t>
            </w:r>
            <w:r w:rsidRPr="00C52695">
              <w:t xml:space="preserve"> contracts and low exercise price options for 98 firms (over 52,000 trades).</w:t>
            </w:r>
          </w:p>
        </w:tc>
      </w:tr>
      <w:tr w:rsidR="00C52695" w:rsidTr="006425B8">
        <w:trPr>
          <w:cantSplit/>
        </w:trPr>
        <w:tc>
          <w:tcPr>
            <w:tcW w:w="2683" w:type="dxa"/>
          </w:tcPr>
          <w:p w:rsidR="00C52695" w:rsidRPr="00C52695" w:rsidRDefault="00C52695" w:rsidP="00C52695">
            <w:r w:rsidRPr="00883125">
              <w:t>Cannavan et al (2004)</w:t>
            </w:r>
            <w:r w:rsidRPr="00C52695">
              <w:rPr>
                <w:rStyle w:val="FootnoteReference"/>
              </w:rPr>
              <w:footnoteReference w:id="742"/>
            </w:r>
          </w:p>
        </w:tc>
        <w:tc>
          <w:tcPr>
            <w:tcW w:w="1111" w:type="dxa"/>
          </w:tcPr>
          <w:p w:rsidR="00C52695" w:rsidRPr="00C52695" w:rsidRDefault="00C52695" w:rsidP="00C52695">
            <w:r w:rsidRPr="00883125">
              <w:t>1994–1999</w:t>
            </w:r>
          </w:p>
        </w:tc>
        <w:tc>
          <w:tcPr>
            <w:tcW w:w="5448" w:type="dxa"/>
          </w:tcPr>
          <w:p w:rsidR="00C52695" w:rsidRPr="00C52695" w:rsidRDefault="00C52695" w:rsidP="00C52695">
            <w:r w:rsidRPr="00883125">
              <w:t>Uses matched trades (four minute window) in individual shares and futures contracts for 19 firms (over 14,000 trades). Sub-periods 1994–1997 and 1997–1999.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Cummings and Frino (2008)</w:t>
            </w:r>
            <w:r w:rsidRPr="00C52695">
              <w:rPr>
                <w:rStyle w:val="FootnoteReference"/>
              </w:rPr>
              <w:footnoteReference w:id="743"/>
            </w:r>
          </w:p>
        </w:tc>
        <w:tc>
          <w:tcPr>
            <w:tcW w:w="1111" w:type="dxa"/>
          </w:tcPr>
          <w:p w:rsidR="00C52695" w:rsidRPr="00C52695" w:rsidRDefault="00C52695" w:rsidP="00C52695">
            <w:r w:rsidRPr="00883125">
              <w:t>2002-2005</w:t>
            </w:r>
          </w:p>
        </w:tc>
        <w:tc>
          <w:tcPr>
            <w:tcW w:w="5448" w:type="dxa"/>
          </w:tcPr>
          <w:p w:rsidR="00C52695" w:rsidRPr="00C52695" w:rsidRDefault="00C52695" w:rsidP="00C52695">
            <w:r w:rsidRPr="00883125">
              <w:t xml:space="preserve">Uses entire ASX200 index (rather than specific firms) and futures over the index, distinct from other studies in this class (which use individual shares). </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(2013b)</w:t>
            </w:r>
            <w:r w:rsidRPr="00C52695">
              <w:rPr>
                <w:rStyle w:val="FootnoteReference"/>
              </w:rPr>
              <w:footnoteReference w:id="744"/>
            </w:r>
          </w:p>
        </w:tc>
        <w:tc>
          <w:tcPr>
            <w:tcW w:w="1111" w:type="dxa"/>
          </w:tcPr>
          <w:p w:rsidR="00C52695" w:rsidRPr="00C52695" w:rsidRDefault="00C52695" w:rsidP="00C52695">
            <w:r w:rsidRPr="00883125">
              <w:t>1987–2012</w:t>
            </w:r>
          </w:p>
        </w:tc>
        <w:tc>
          <w:tcPr>
            <w:tcW w:w="5448" w:type="dxa"/>
          </w:tcPr>
          <w:p w:rsidR="00C52695" w:rsidRPr="00C52695" w:rsidRDefault="00C52695" w:rsidP="00C52695">
            <w:r w:rsidRPr="00883125">
              <w:t xml:space="preserve">Updates the </w:t>
            </w:r>
            <w:r w:rsidRPr="00C52695">
              <w:t>Lajbcygier and Wheatley paper; same author and more relevant data set. Sub-period splits 1987–2000 and 2000–2012.</w:t>
            </w:r>
          </w:p>
        </w:tc>
      </w:tr>
      <w:tr w:rsidR="00C52695" w:rsidTr="006425B8">
        <w:trPr>
          <w:cantSplit/>
        </w:trPr>
        <w:tc>
          <w:tcPr>
            <w:tcW w:w="2683" w:type="dxa"/>
          </w:tcPr>
          <w:p w:rsidR="00C52695" w:rsidRPr="00C52695" w:rsidRDefault="00C52695" w:rsidP="00C52695">
            <w:r w:rsidRPr="00883125">
              <w:t>Lajbcygier and Wheatley (2012)</w:t>
            </w:r>
            <w:r w:rsidRPr="00C52695">
              <w:rPr>
                <w:rStyle w:val="FootnoteReference"/>
              </w:rPr>
              <w:footnoteReference w:id="745"/>
            </w:r>
          </w:p>
        </w:tc>
        <w:tc>
          <w:tcPr>
            <w:tcW w:w="1111" w:type="dxa"/>
          </w:tcPr>
          <w:p w:rsidR="00C52695" w:rsidRPr="00C52695" w:rsidRDefault="00C52695" w:rsidP="00C52695">
            <w:r w:rsidRPr="00883125">
              <w:t>1987–2009</w:t>
            </w:r>
          </w:p>
        </w:tc>
        <w:tc>
          <w:tcPr>
            <w:tcW w:w="5448" w:type="dxa"/>
          </w:tcPr>
          <w:p w:rsidR="00C52695" w:rsidRPr="00C52695" w:rsidRDefault="00C52695" w:rsidP="00C52695">
            <w:r w:rsidRPr="00883125">
              <w:t xml:space="preserve">Compares current prices to past returns </w:t>
            </w:r>
            <w:r w:rsidRPr="00C52695">
              <w:t>from capital gains and dividends. Includes sub-periods from 1987–2000 and 2000-2009.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Siau et al (2013)</w:t>
            </w:r>
            <w:r w:rsidRPr="00C52695">
              <w:rPr>
                <w:rStyle w:val="FootnoteReference"/>
              </w:rPr>
              <w:footnoteReference w:id="746"/>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Compares current prices to expected future returns. Uses ASX300 index firms and consensus analyst dividend forecasts. </w:t>
            </w:r>
          </w:p>
        </w:tc>
      </w:tr>
      <w:tr w:rsidR="00C52695" w:rsidTr="006425B8">
        <w:trPr>
          <w:cantSplit/>
        </w:trPr>
        <w:tc>
          <w:tcPr>
            <w:tcW w:w="2683" w:type="dxa"/>
          </w:tcPr>
          <w:p w:rsidR="00C52695" w:rsidRPr="00C52695" w:rsidRDefault="00C52695" w:rsidP="00C52695">
            <w:r w:rsidRPr="00883125">
              <w:t>Siau et al (2015)</w:t>
            </w:r>
            <w:r w:rsidRPr="00C52695">
              <w:rPr>
                <w:rStyle w:val="FootnoteReference"/>
              </w:rPr>
              <w:footnoteReference w:id="747"/>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Journal published version of the 2013 paper by Siau et al with relatively minor editorial changes </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(2015)</w:t>
            </w:r>
            <w:r w:rsidRPr="00C52695">
              <w:rPr>
                <w:rStyle w:val="FootnoteReference"/>
              </w:rPr>
              <w:footnoteReference w:id="748"/>
            </w:r>
          </w:p>
        </w:tc>
        <w:tc>
          <w:tcPr>
            <w:tcW w:w="1111" w:type="dxa"/>
          </w:tcPr>
          <w:p w:rsidR="00C52695" w:rsidRPr="00C52695" w:rsidRDefault="00C52695" w:rsidP="00C52695">
            <w:r w:rsidRPr="00883125">
              <w:t>1987-2013</w:t>
            </w:r>
          </w:p>
        </w:tc>
        <w:tc>
          <w:tcPr>
            <w:tcW w:w="5448" w:type="dxa"/>
          </w:tcPr>
          <w:p w:rsidR="00C52695" w:rsidRPr="00C52695" w:rsidRDefault="00C52695" w:rsidP="00C52695">
            <w:r w:rsidRPr="00883125">
              <w:t>Updates the results of the Lajbcygier and Wheatley and NERA (2013) studies.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Simultaneous share trades</w:t>
            </w:r>
            <w:r w:rsidRPr="00883125">
              <w:t xml:space="preserve"> – Compare simultaneous prices for shares that are/are not entitled to imputation credits.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Chu and Partington (2008)</w:t>
            </w:r>
            <w:r w:rsidRPr="00C52695">
              <w:rPr>
                <w:rStyle w:val="FootnoteReference"/>
              </w:rPr>
              <w:footnoteReference w:id="749"/>
            </w:r>
          </w:p>
        </w:tc>
        <w:tc>
          <w:tcPr>
            <w:tcW w:w="1111" w:type="dxa"/>
          </w:tcPr>
          <w:p w:rsidR="00C52695" w:rsidRPr="00C52695" w:rsidRDefault="00C52695" w:rsidP="00C52695">
            <w:r w:rsidRPr="00883125">
              <w:t>1996</w:t>
            </w:r>
          </w:p>
        </w:tc>
        <w:tc>
          <w:tcPr>
            <w:tcW w:w="5448" w:type="dxa"/>
          </w:tcPr>
          <w:p w:rsidR="00C52695" w:rsidRPr="00C52695" w:rsidRDefault="00C52695" w:rsidP="00C52695">
            <w:r w:rsidRPr="00883125">
              <w:t xml:space="preserve">Uses shares trading in two forms (one with dividend, one without) as a result of the CRA bonus issue. 154 matched trades (one minute window) across 3 </w:t>
            </w:r>
            <w:r w:rsidRPr="00C52695">
              <w:t>months.</w:t>
            </w:r>
          </w:p>
        </w:tc>
      </w:tr>
      <w:tr w:rsidR="00C52695" w:rsidTr="006425B8">
        <w:trPr>
          <w:cantSplit/>
        </w:trPr>
        <w:tc>
          <w:tcPr>
            <w:tcW w:w="2683" w:type="dxa"/>
          </w:tcPr>
          <w:p w:rsidR="00C52695" w:rsidRPr="00C52695" w:rsidRDefault="00C52695" w:rsidP="00C52695">
            <w:r w:rsidRPr="00883125">
              <w:t>Chu and Partington (2001)</w:t>
            </w:r>
            <w:r w:rsidRPr="00C52695">
              <w:rPr>
                <w:rStyle w:val="FootnoteReference"/>
              </w:rPr>
              <w:footnoteReference w:id="750"/>
            </w:r>
          </w:p>
        </w:tc>
        <w:tc>
          <w:tcPr>
            <w:tcW w:w="1111" w:type="dxa"/>
          </w:tcPr>
          <w:p w:rsidR="00C52695" w:rsidRPr="00C52695" w:rsidRDefault="00C52695" w:rsidP="00C52695">
            <w:r w:rsidRPr="00883125">
              <w:t>1991–1999</w:t>
            </w:r>
          </w:p>
        </w:tc>
        <w:tc>
          <w:tcPr>
            <w:tcW w:w="5448" w:type="dxa"/>
          </w:tcPr>
          <w:p w:rsidR="00C52695" w:rsidRPr="00C52695" w:rsidDel="003D6627" w:rsidRDefault="00C52695" w:rsidP="00C52695">
            <w:r w:rsidRPr="00883125">
              <w:t>Uses shares trading simultaneously with and without dividend</w:t>
            </w:r>
            <w:r w:rsidRPr="00C52695">
              <w:t xml:space="preserve"> after certain rights issues - 3,356 trades (matched within a minute) from 26 rights issues for 23 firms.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Walker and Partington (1999)</w:t>
            </w:r>
            <w:r w:rsidRPr="00C52695">
              <w:rPr>
                <w:rStyle w:val="FootnoteReference"/>
              </w:rPr>
              <w:footnoteReference w:id="751"/>
            </w:r>
          </w:p>
        </w:tc>
        <w:tc>
          <w:tcPr>
            <w:tcW w:w="1111" w:type="dxa"/>
          </w:tcPr>
          <w:p w:rsidR="00C52695" w:rsidRPr="00C52695" w:rsidRDefault="00C52695" w:rsidP="00C52695">
            <w:r w:rsidRPr="00883125">
              <w:t>1995–1997</w:t>
            </w:r>
          </w:p>
        </w:tc>
        <w:tc>
          <w:tcPr>
            <w:tcW w:w="5448" w:type="dxa"/>
          </w:tcPr>
          <w:p w:rsidR="00C52695" w:rsidRPr="00C52695" w:rsidRDefault="00C52695" w:rsidP="00C52695">
            <w:r w:rsidRPr="00883125">
              <w:t>Looks at shares trading cum-dividend in the ex-dividend period. 1,015 data points (trades matched within a minute) for 93 ex-dividend events from 50 securities.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pStyle w:val="Heading9"/>
      </w:pPr>
      <w:bookmarkStart w:id="420" w:name="_Ref403482459"/>
      <w:bookmarkStart w:id="421" w:name="_Toc456614339"/>
      <w:bookmarkStart w:id="422" w:name="_Toc462823343"/>
      <w:bookmarkStart w:id="423" w:name="_Toc487014351"/>
      <w:r w:rsidRPr="00883125">
        <w:t>Estimates from implied market value studies</w:t>
      </w:r>
      <w:bookmarkEnd w:id="420"/>
      <w:bookmarkEnd w:id="421"/>
      <w:bookmarkEnd w:id="422"/>
      <w:bookmarkEnd w:id="423"/>
    </w:p>
    <w:p w:rsidR="00C52695" w:rsidRPr="00883125" w:rsidRDefault="00C52695" w:rsidP="00C52695">
      <w:pPr>
        <w:numPr>
          <w:ilvl w:val="0"/>
          <w:numId w:val="24"/>
        </w:numPr>
      </w:pPr>
      <w:r w:rsidRPr="00883125">
        <w:t>This section presents the results from the available implied market value studies.</w:t>
      </w:r>
    </w:p>
    <w:p w:rsidR="00B52287" w:rsidRPr="00883125" w:rsidRDefault="00C52695" w:rsidP="00C25A56">
      <w:pPr>
        <w:numPr>
          <w:ilvl w:val="0"/>
          <w:numId w:val="24"/>
        </w:numPr>
      </w:pPr>
      <w:r w:rsidRPr="00883125">
        <w:fldChar w:fldCharType="begin"/>
      </w:r>
      <w:r w:rsidRPr="00883125">
        <w:instrText xml:space="preserve"> REF _Ref401075676 \h </w:instrText>
      </w:r>
      <w:r w:rsidRPr="00883125">
        <w:fldChar w:fldCharType="separate"/>
      </w:r>
      <w:r w:rsidR="00BF66D3" w:rsidRPr="00883125">
        <w:t xml:space="preserve">Table </w:t>
      </w:r>
      <w:r w:rsidR="00BF66D3">
        <w:rPr>
          <w:noProof/>
        </w:rPr>
        <w:t>4</w:t>
      </w:r>
      <w:r w:rsidR="00BF66D3">
        <w:noBreakHyphen/>
      </w:r>
      <w:r w:rsidR="00BF66D3">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52"/>
      </w:r>
      <w:r w:rsidRPr="00883125">
        <w:t xml:space="preserve"> This is not true as seen in </w:t>
      </w:r>
      <w:r w:rsidR="00B81184">
        <w:fldChar w:fldCharType="begin"/>
      </w:r>
      <w:r w:rsidR="00B81184">
        <w:instrText xml:space="preserve"> REF _Ref401075676 \h </w:instrText>
      </w:r>
      <w:r w:rsidR="00B81184">
        <w:fldChar w:fldCharType="separate"/>
      </w:r>
      <w:r w:rsidR="00BF66D3" w:rsidRPr="00883125">
        <w:t xml:space="preserve">Table </w:t>
      </w:r>
      <w:r w:rsidR="00BF66D3">
        <w:rPr>
          <w:noProof/>
        </w:rPr>
        <w:t>4</w:t>
      </w:r>
      <w:r w:rsidR="00BF66D3">
        <w:noBreakHyphen/>
      </w:r>
      <w:r w:rsidR="00BF66D3">
        <w:rPr>
          <w:noProof/>
        </w:rPr>
        <w:t>19</w:t>
      </w:r>
      <w:r w:rsidR="00B81184">
        <w:fldChar w:fldCharType="end"/>
      </w:r>
      <w:r w:rsidR="00B81184">
        <w:t xml:space="preserve"> </w:t>
      </w:r>
      <w:r w:rsidRPr="00883125">
        <w:t>where the table separately reports results based on whether the underlying data is (primarily) from before or after 2000, when the change in tax law entitled eligible investors to a full refund of excess imputation credits. In the recent</w:t>
      </w:r>
      <w:r w:rsidR="00C25A56">
        <w:t xml:space="preserve"> Ausgrid</w:t>
      </w:r>
      <w:r w:rsidRPr="00883125">
        <w:t xml:space="preserve"> Tribunal decision, the </w:t>
      </w:r>
      <w:r w:rsidR="00C25A56">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53"/>
      </w:r>
    </w:p>
    <w:p w:rsidR="00CA7D6A" w:rsidRDefault="00C52695" w:rsidP="00D85C45">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regard to pre 2000 studies. </w:t>
      </w:r>
      <w:r w:rsidR="00756336">
        <w:t xml:space="preserve">Post 2000 is the most relevant period, as the year 2000 is </w:t>
      </w:r>
      <w:r w:rsidR="00D85C45">
        <w:t xml:space="preserve">the year </w:t>
      </w:r>
      <w:r w:rsidR="00756336">
        <w:t xml:space="preserve">when the last significant event </w:t>
      </w:r>
      <w:r w:rsidR="00A041D8">
        <w:t>that</w:t>
      </w:r>
      <w:r w:rsidR="00DC246F">
        <w:t xml:space="preserve"> </w:t>
      </w:r>
      <w:r w:rsidR="00812A72">
        <w:t>affects</w:t>
      </w:r>
      <w:r w:rsidR="00756336">
        <w:t xml:space="preserve"> the value of imputation credits </w:t>
      </w:r>
      <w:r w:rsidR="00A041D8">
        <w:t>occurred</w:t>
      </w:r>
      <w:r w:rsidR="00756336">
        <w:t xml:space="preserve">. </w:t>
      </w:r>
      <w:r w:rsidR="006B66C7">
        <w:fldChar w:fldCharType="begin"/>
      </w:r>
      <w:r w:rsidR="006B66C7">
        <w:instrText xml:space="preserve"> REF _Ref483235002 \h </w:instrText>
      </w:r>
      <w:r w:rsidR="006B66C7">
        <w:fldChar w:fldCharType="separate"/>
      </w:r>
      <w:r w:rsidR="00BF66D3" w:rsidRPr="00883125">
        <w:t xml:space="preserve">Table </w:t>
      </w:r>
      <w:r w:rsidR="00BF66D3">
        <w:rPr>
          <w:noProof/>
        </w:rPr>
        <w:t>4</w:t>
      </w:r>
      <w:r w:rsidR="00BF66D3">
        <w:noBreakHyphen/>
      </w:r>
      <w:r w:rsidR="00BF66D3">
        <w:rPr>
          <w:noProof/>
        </w:rPr>
        <w:t>18</w:t>
      </w:r>
      <w:r w:rsidR="006B66C7">
        <w:fldChar w:fldCharType="end"/>
      </w:r>
      <w:r w:rsidR="006B66C7">
        <w:t xml:space="preserve"> </w:t>
      </w:r>
      <w:r w:rsidR="00D85C45">
        <w:t xml:space="preserve">highlights the significant events that occurred since the imputation tax system was introduced in Australia. </w:t>
      </w:r>
      <w:r w:rsidRPr="00883125">
        <w:t xml:space="preserve">However, </w:t>
      </w:r>
      <w:r w:rsidR="00D85C45">
        <w:t xml:space="preserve">it should be noted that </w:t>
      </w:r>
      <w:r w:rsidRPr="00883125">
        <w:t xml:space="preserve">even if the AER was to completely disregard the pre 2000 </w:t>
      </w:r>
      <w:r w:rsidR="004E55C5">
        <w:t xml:space="preserve">market </w:t>
      </w:r>
      <w:r w:rsidRPr="00883125">
        <w:t xml:space="preserve">studies this would not change the outcome of selecting the lowest point estimate in the range from the equity ownership approach. </w:t>
      </w:r>
    </w:p>
    <w:p w:rsidR="00756336" w:rsidRPr="00883125" w:rsidRDefault="00756336" w:rsidP="00756336">
      <w:pPr>
        <w:pStyle w:val="Caption"/>
      </w:pPr>
      <w:bookmarkStart w:id="424" w:name="_Ref483235002"/>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18</w:t>
      </w:r>
      <w:r w:rsidRPr="001D37D5">
        <w:fldChar w:fldCharType="end"/>
      </w:r>
      <w:bookmarkEnd w:id="424"/>
      <w:r w:rsidRPr="00883125">
        <w:tab/>
        <w:t>S</w:t>
      </w:r>
      <w:r w:rsidR="00D85C45">
        <w:t xml:space="preserve">ignificant events </w:t>
      </w:r>
    </w:p>
    <w:tbl>
      <w:tblPr>
        <w:tblStyle w:val="AERtable-text0"/>
        <w:tblW w:w="0" w:type="auto"/>
        <w:tblLook w:val="04A0" w:firstRow="1" w:lastRow="0" w:firstColumn="1" w:lastColumn="0" w:noHBand="0" w:noVBand="1"/>
      </w:tblPr>
      <w:tblGrid>
        <w:gridCol w:w="2235"/>
        <w:gridCol w:w="1430"/>
        <w:gridCol w:w="5028"/>
      </w:tblGrid>
      <w:tr w:rsidR="00756336" w:rsidTr="00E750F8">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756336" w:rsidRPr="00883125" w:rsidRDefault="00D85C45" w:rsidP="00756336">
            <w:pPr>
              <w:numPr>
                <w:ilvl w:val="0"/>
                <w:numId w:val="24"/>
              </w:numPr>
            </w:pPr>
            <w:r>
              <w:t>Event:</w:t>
            </w:r>
          </w:p>
        </w:tc>
        <w:tc>
          <w:tcPr>
            <w:tcW w:w="1430" w:type="dxa"/>
          </w:tcPr>
          <w:p w:rsidR="00756336" w:rsidRPr="00883125" w:rsidRDefault="00D85C45" w:rsidP="00756336">
            <w:pPr>
              <w:numPr>
                <w:ilvl w:val="0"/>
                <w:numId w:val="24"/>
              </w:numPr>
            </w:pPr>
            <w:r>
              <w:t>Date</w:t>
            </w:r>
          </w:p>
        </w:tc>
        <w:tc>
          <w:tcPr>
            <w:tcW w:w="5028" w:type="dxa"/>
          </w:tcPr>
          <w:p w:rsidR="00756336" w:rsidRPr="00883125" w:rsidRDefault="00D85C45" w:rsidP="00756336">
            <w:pPr>
              <w:numPr>
                <w:ilvl w:val="0"/>
                <w:numId w:val="24"/>
              </w:numPr>
            </w:pPr>
            <w:r>
              <w:t>Impact on the value of imputation credits</w:t>
            </w:r>
          </w:p>
        </w:tc>
      </w:tr>
      <w:tr w:rsidR="00756336" w:rsidTr="00E750F8">
        <w:trPr>
          <w:cantSplit/>
        </w:trPr>
        <w:tc>
          <w:tcPr>
            <w:tcW w:w="2235" w:type="dxa"/>
          </w:tcPr>
          <w:p w:rsidR="00756336" w:rsidRPr="00756336" w:rsidRDefault="00D85C45" w:rsidP="00756336">
            <w:r>
              <w:t>45-day rule</w:t>
            </w:r>
          </w:p>
        </w:tc>
        <w:tc>
          <w:tcPr>
            <w:tcW w:w="1430" w:type="dxa"/>
          </w:tcPr>
          <w:p w:rsidR="00756336" w:rsidRPr="00756336" w:rsidRDefault="00DC246F" w:rsidP="00DC246F">
            <w:r>
              <w:t>July 1997</w:t>
            </w:r>
          </w:p>
        </w:tc>
        <w:tc>
          <w:tcPr>
            <w:tcW w:w="5028" w:type="dxa"/>
          </w:tcPr>
          <w:p w:rsidR="00756336" w:rsidRPr="00756336" w:rsidRDefault="00DC246F" w:rsidP="00DC246F">
            <w:r>
              <w:t xml:space="preserve">The holding period rule requires investors to continuously hold shares 'at risk' for at least 45 days (90 days for certain preference shares) to be eligible for a franking tax offset. </w:t>
            </w:r>
          </w:p>
        </w:tc>
      </w:tr>
      <w:tr w:rsidR="00756336" w:rsidTr="00E750F8">
        <w:trPr>
          <w:cnfStyle w:val="000000010000" w:firstRow="0" w:lastRow="0" w:firstColumn="0" w:lastColumn="0" w:oddVBand="0" w:evenVBand="0" w:oddHBand="0" w:evenHBand="1" w:firstRowFirstColumn="0" w:firstRowLastColumn="0" w:lastRowFirstColumn="0" w:lastRowLastColumn="0"/>
          <w:cantSplit/>
        </w:trPr>
        <w:tc>
          <w:tcPr>
            <w:tcW w:w="2235" w:type="dxa"/>
          </w:tcPr>
          <w:p w:rsidR="00756336" w:rsidRPr="00756336" w:rsidRDefault="00DC246F" w:rsidP="00756336">
            <w:r>
              <w:t>Capital gains tax</w:t>
            </w:r>
          </w:p>
        </w:tc>
        <w:tc>
          <w:tcPr>
            <w:tcW w:w="1430" w:type="dxa"/>
          </w:tcPr>
          <w:p w:rsidR="00756336" w:rsidRPr="00756336" w:rsidRDefault="00DC246F" w:rsidP="00756336">
            <w:r>
              <w:t xml:space="preserve">September </w:t>
            </w:r>
            <w:r w:rsidR="00D85C45">
              <w:t>1999</w:t>
            </w:r>
          </w:p>
        </w:tc>
        <w:tc>
          <w:tcPr>
            <w:tcW w:w="5028" w:type="dxa"/>
          </w:tcPr>
          <w:p w:rsidR="00756336" w:rsidRPr="00756336" w:rsidRDefault="00DC246F" w:rsidP="00756336">
            <w:r>
              <w:t>The method to calculate capital gains tax change from the indexation method to the CGT discount method.</w:t>
            </w:r>
          </w:p>
        </w:tc>
      </w:tr>
      <w:tr w:rsidR="00D85C45" w:rsidTr="00E750F8">
        <w:trPr>
          <w:cantSplit/>
        </w:trPr>
        <w:tc>
          <w:tcPr>
            <w:tcW w:w="2235" w:type="dxa"/>
          </w:tcPr>
          <w:p w:rsidR="00D85C45" w:rsidRPr="00756336" w:rsidRDefault="00957389" w:rsidP="00756336">
            <w:r>
              <w:t>Refund of excess credits</w:t>
            </w:r>
          </w:p>
        </w:tc>
        <w:tc>
          <w:tcPr>
            <w:tcW w:w="1430" w:type="dxa"/>
          </w:tcPr>
          <w:p w:rsidR="00D85C45" w:rsidRPr="00756336" w:rsidRDefault="00D85C45" w:rsidP="00756336">
            <w:r>
              <w:t>July 2000</w:t>
            </w:r>
          </w:p>
        </w:tc>
        <w:tc>
          <w:tcPr>
            <w:tcW w:w="5028" w:type="dxa"/>
          </w:tcPr>
          <w:p w:rsidR="00D85C45" w:rsidRPr="00756336" w:rsidRDefault="00957389" w:rsidP="00756336">
            <w:r w:rsidRPr="00A3318E">
              <w:t xml:space="preserve">If the </w:t>
            </w:r>
            <w:r w:rsidRPr="00957389">
              <w:t>amount of imputation credits received exceeds an investor's tax liability, that investor can receive a cash refund for the balance</w:t>
            </w:r>
          </w:p>
        </w:tc>
      </w:tr>
    </w:tbl>
    <w:p w:rsidR="00C52695" w:rsidRPr="00B27BE5" w:rsidRDefault="00C52695" w:rsidP="00C52695">
      <w:r w:rsidRPr="00B27BE5">
        <w:fldChar w:fldCharType="begin"/>
      </w:r>
      <w:r w:rsidRPr="00B27BE5">
        <w:instrText xml:space="preserve"> REF _Ref449538408 \h </w:instrText>
      </w:r>
      <w:r w:rsidRPr="00B27BE5">
        <w:fldChar w:fldCharType="separate"/>
      </w:r>
      <w:r w:rsidR="00BF66D3" w:rsidRPr="00883125">
        <w:t xml:space="preserve">Table </w:t>
      </w:r>
      <w:r w:rsidR="00BF66D3">
        <w:rPr>
          <w:noProof/>
        </w:rPr>
        <w:t>4</w:t>
      </w:r>
      <w:r w:rsidR="00BF66D3">
        <w:noBreakHyphen/>
      </w:r>
      <w:r w:rsidR="00BF66D3">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52695" w:rsidRPr="00883125" w:rsidRDefault="00C52695" w:rsidP="00C52695">
      <w:pPr>
        <w:pStyle w:val="Caption"/>
      </w:pPr>
      <w:bookmarkStart w:id="425" w:name="_Ref401075676"/>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19</w:t>
      </w:r>
      <w:r w:rsidRPr="001D37D5">
        <w:fldChar w:fldCharType="end"/>
      </w:r>
      <w:bookmarkEnd w:id="425"/>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142"/>
        <w:gridCol w:w="2835"/>
        <w:gridCol w:w="1346"/>
        <w:gridCol w:w="1347"/>
        <w:gridCol w:w="3260"/>
      </w:tblGrid>
      <w:tr w:rsidR="00C52695" w:rsidRPr="00222643" w:rsidTr="00BF1C4B">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BF1C4B">
        <w:trPr>
          <w:cantSplit/>
          <w:trHeight w:val="426"/>
        </w:trPr>
        <w:tc>
          <w:tcPr>
            <w:tcW w:w="3227" w:type="dxa"/>
            <w:gridSpan w:val="3"/>
          </w:tcPr>
          <w:p w:rsidR="00C52695" w:rsidRPr="00C52695" w:rsidRDefault="00C52695" w:rsidP="00C52695">
            <w:pPr>
              <w:rPr>
                <w:rStyle w:val="Strong"/>
              </w:rPr>
            </w:pPr>
            <w:r w:rsidRPr="00883125">
              <w:rPr>
                <w:rStyle w:val="Strong"/>
              </w:rPr>
              <w:t xml:space="preserve">Dividend drop off </w:t>
            </w:r>
            <w:r w:rsidRPr="00C52695">
              <w:rPr>
                <w:rStyle w:val="Strong"/>
              </w:rPr>
              <w:t>study</w:t>
            </w:r>
          </w:p>
        </w:tc>
        <w:tc>
          <w:tcPr>
            <w:tcW w:w="1346" w:type="dxa"/>
          </w:tcPr>
          <w:p w:rsidR="00C52695" w:rsidRPr="00883125" w:rsidRDefault="00C52695" w:rsidP="00C52695"/>
        </w:tc>
        <w:tc>
          <w:tcPr>
            <w:tcW w:w="1347" w:type="dxa"/>
          </w:tcPr>
          <w:p w:rsidR="00C52695" w:rsidRPr="00883125" w:rsidRDefault="00C52695" w:rsidP="00C52695"/>
        </w:tc>
        <w:tc>
          <w:tcPr>
            <w:tcW w:w="3260" w:type="dxa"/>
          </w:tcPr>
          <w:p w:rsidR="00C52695" w:rsidRPr="00883125" w:rsidRDefault="00C52695" w:rsidP="00C52695"/>
        </w:tc>
      </w:tr>
      <w:tr w:rsidR="00DA4BFB" w:rsidRPr="00222643" w:rsidTr="00BF1C4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A4BFB" w:rsidRPr="00883125" w:rsidRDefault="00DA4BFB" w:rsidP="00C52695"/>
        </w:tc>
        <w:tc>
          <w:tcPr>
            <w:tcW w:w="2977" w:type="dxa"/>
            <w:gridSpan w:val="2"/>
          </w:tcPr>
          <w:p w:rsidR="00DA4BFB" w:rsidRPr="00883125" w:rsidRDefault="00DA4BFB" w:rsidP="00C52695">
            <w:r>
              <w:t>F</w:t>
            </w:r>
            <w:r w:rsidRPr="00DA4BFB">
              <w:t>rontier (2016)</w:t>
            </w:r>
            <w:r w:rsidRPr="00DA4BFB">
              <w:rPr>
                <w:rStyle w:val="FootnoteReference"/>
              </w:rPr>
              <w:footnoteReference w:id="754"/>
            </w:r>
          </w:p>
        </w:tc>
        <w:tc>
          <w:tcPr>
            <w:tcW w:w="1346" w:type="dxa"/>
          </w:tcPr>
          <w:p w:rsidR="00DA4BFB" w:rsidRPr="00883125" w:rsidRDefault="00DA4BFB" w:rsidP="00C52695"/>
        </w:tc>
        <w:tc>
          <w:tcPr>
            <w:tcW w:w="1347" w:type="dxa"/>
          </w:tcPr>
          <w:p w:rsidR="00DA4BFB" w:rsidRPr="00883125" w:rsidRDefault="00DA4BFB" w:rsidP="00C52695">
            <w:r>
              <w:t>0.35</w:t>
            </w:r>
            <w:r>
              <w:br/>
              <w:t>(2001–2016</w:t>
            </w:r>
            <w:r w:rsidRPr="00883125">
              <w:t>)</w:t>
            </w:r>
          </w:p>
        </w:tc>
        <w:tc>
          <w:tcPr>
            <w:tcW w:w="3260" w:type="dxa"/>
          </w:tcPr>
          <w:p w:rsidR="00DA4BFB" w:rsidRPr="00883125" w:rsidRDefault="00E678B4" w:rsidP="00C52695">
            <w:r>
              <w:t>0.26 to 0.41 (95 per cent confidence interval for all of the specifications).</w:t>
            </w:r>
          </w:p>
        </w:tc>
      </w:tr>
      <w:tr w:rsidR="00C52695" w:rsidRPr="00222643" w:rsidTr="00BF1C4B">
        <w:trPr>
          <w:cantSplit/>
          <w:trHeight w:val="406"/>
        </w:trPr>
        <w:tc>
          <w:tcPr>
            <w:tcW w:w="250" w:type="dxa"/>
          </w:tcPr>
          <w:p w:rsidR="00C52695" w:rsidRPr="00883125" w:rsidRDefault="00C52695" w:rsidP="00C52695"/>
        </w:tc>
        <w:tc>
          <w:tcPr>
            <w:tcW w:w="2977" w:type="dxa"/>
            <w:gridSpan w:val="2"/>
          </w:tcPr>
          <w:p w:rsidR="00C52695" w:rsidRPr="00C52695" w:rsidRDefault="00C52695" w:rsidP="00C52695">
            <w:r w:rsidRPr="00883125">
              <w:t>Vo et al (2013)</w:t>
            </w:r>
            <w:r w:rsidRPr="00C52695">
              <w:rPr>
                <w:rStyle w:val="FootnoteReference"/>
              </w:rPr>
              <w:footnoteReference w:id="755"/>
            </w:r>
          </w:p>
        </w:tc>
        <w:tc>
          <w:tcPr>
            <w:tcW w:w="1346" w:type="dxa"/>
          </w:tcPr>
          <w:p w:rsidR="00C52695" w:rsidRPr="00883125" w:rsidRDefault="00C52695" w:rsidP="00C52695"/>
        </w:tc>
        <w:tc>
          <w:tcPr>
            <w:tcW w:w="1347" w:type="dxa"/>
          </w:tcPr>
          <w:p w:rsidR="00C52695" w:rsidRPr="00C52695" w:rsidRDefault="00C52695" w:rsidP="00C52695">
            <w:r w:rsidRPr="00883125">
              <w:t>0.35–0.55</w:t>
            </w:r>
            <w:r w:rsidRPr="00883125">
              <w:br/>
              <w:t>(2001–2012)</w:t>
            </w:r>
          </w:p>
        </w:tc>
        <w:tc>
          <w:tcPr>
            <w:tcW w:w="3260" w:type="dxa"/>
          </w:tcPr>
          <w:p w:rsidR="00C52695" w:rsidRPr="00C52695" w:rsidRDefault="00C52695" w:rsidP="00C52695">
            <w:r w:rsidRPr="00883125">
              <w:t>Range derived from large number of permutations and sensitivity tests.</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SFG </w:t>
            </w:r>
            <w:r w:rsidRPr="00C52695">
              <w:t>(2013a)</w:t>
            </w:r>
            <w:r w:rsidRPr="00C52695">
              <w:rPr>
                <w:rStyle w:val="FootnoteReference"/>
              </w:rPr>
              <w:footnoteReference w:id="756"/>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t>(2001–2012)</w:t>
            </w:r>
          </w:p>
        </w:tc>
        <w:tc>
          <w:tcPr>
            <w:tcW w:w="3260" w:type="dxa"/>
          </w:tcPr>
          <w:p w:rsidR="00C52695" w:rsidRPr="00C52695" w:rsidRDefault="00C52695" w:rsidP="00C52695">
            <w:r w:rsidRPr="00883125">
              <w:t xml:space="preserve">Author's point estimate </w:t>
            </w:r>
            <w:r w:rsidRPr="00C52695">
              <w:t>across a number of different regression forms.</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SFG (2011)</w:t>
            </w:r>
            <w:r w:rsidRPr="00C52695">
              <w:rPr>
                <w:rStyle w:val="FootnoteReference"/>
              </w:rPr>
              <w:footnoteReference w:id="757"/>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r>
            <w:r w:rsidRPr="00C52695">
              <w:t>(2001–2010)</w:t>
            </w:r>
          </w:p>
        </w:tc>
        <w:tc>
          <w:tcPr>
            <w:tcW w:w="3260" w:type="dxa"/>
          </w:tcPr>
          <w:p w:rsidR="00C52695" w:rsidRPr="00883125" w:rsidRDefault="00C52695" w:rsidP="00C52695"/>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C52695" w:rsidRPr="00883125" w:rsidRDefault="00C52695" w:rsidP="00C52695"/>
        </w:tc>
        <w:tc>
          <w:tcPr>
            <w:tcW w:w="2977" w:type="dxa"/>
            <w:gridSpan w:val="2"/>
          </w:tcPr>
          <w:p w:rsidR="00C52695" w:rsidRPr="00C52695" w:rsidRDefault="00C52695" w:rsidP="00C52695">
            <w:r w:rsidRPr="00883125">
              <w:t>Minney (2010)</w:t>
            </w:r>
            <w:r w:rsidRPr="00C52695">
              <w:rPr>
                <w:rStyle w:val="FootnoteReference"/>
              </w:rPr>
              <w:footnoteReference w:id="758"/>
            </w:r>
          </w:p>
        </w:tc>
        <w:tc>
          <w:tcPr>
            <w:tcW w:w="1346" w:type="dxa"/>
          </w:tcPr>
          <w:p w:rsidR="00C52695" w:rsidRPr="00883125" w:rsidRDefault="00C52695" w:rsidP="00C52695"/>
        </w:tc>
        <w:tc>
          <w:tcPr>
            <w:tcW w:w="1347" w:type="dxa"/>
          </w:tcPr>
          <w:p w:rsidR="00C52695" w:rsidRPr="00C52695" w:rsidRDefault="00C52695" w:rsidP="00C52695">
            <w:r w:rsidRPr="00883125">
              <w:t>0.39</w:t>
            </w:r>
            <w:r w:rsidRPr="00883125">
              <w:br/>
              <w:t>(2001–2009)</w:t>
            </w:r>
          </w:p>
        </w:tc>
        <w:tc>
          <w:tcPr>
            <w:tcW w:w="3260" w:type="dxa"/>
          </w:tcPr>
          <w:p w:rsidR="00C52695" w:rsidRPr="00C52695" w:rsidRDefault="00C52695" w:rsidP="00C52695">
            <w:r w:rsidRPr="00883125">
              <w:t xml:space="preserve">Average of results from 2001–2005 and 2006–2009 sub-periods. For the most recent </w:t>
            </w:r>
            <w:r w:rsidRPr="00C52695">
              <w:t>sub-period (2006–2009), utilisation rate is 0.53.</w:t>
            </w:r>
          </w:p>
        </w:tc>
      </w:tr>
      <w:tr w:rsidR="00C52695" w:rsidRPr="00222643" w:rsidTr="00BF1C4B">
        <w:trPr>
          <w:cantSplit/>
          <w:trHeight w:val="720"/>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Beggs </w:t>
            </w:r>
            <w:r w:rsidRPr="00C52695">
              <w:t>and Skeels (2006)</w:t>
            </w:r>
            <w:r w:rsidRPr="00C52695">
              <w:rPr>
                <w:rStyle w:val="FootnoteReference"/>
              </w:rPr>
              <w:footnoteReference w:id="759"/>
            </w:r>
          </w:p>
        </w:tc>
        <w:tc>
          <w:tcPr>
            <w:tcW w:w="1346" w:type="dxa"/>
          </w:tcPr>
          <w:p w:rsidR="00C52695" w:rsidRPr="00C52695" w:rsidRDefault="00C52695" w:rsidP="00C52695">
            <w:r w:rsidRPr="00883125">
              <w:t>0.20</w:t>
            </w:r>
            <w:r w:rsidRPr="00883125">
              <w:br/>
              <w:t>(1992–1997)</w:t>
            </w:r>
          </w:p>
        </w:tc>
        <w:tc>
          <w:tcPr>
            <w:tcW w:w="1347" w:type="dxa"/>
          </w:tcPr>
          <w:p w:rsidR="00C52695" w:rsidRPr="00C52695" w:rsidRDefault="00C52695" w:rsidP="00C52695">
            <w:r w:rsidRPr="00883125">
              <w:t>0.57</w:t>
            </w:r>
            <w:r w:rsidRPr="00883125">
              <w:br/>
              <w:t>(2001–2004)</w:t>
            </w:r>
          </w:p>
        </w:tc>
        <w:tc>
          <w:tcPr>
            <w:tcW w:w="3260" w:type="dxa"/>
          </w:tcPr>
          <w:p w:rsidR="00C52695" w:rsidRPr="00C52695" w:rsidRDefault="00C52695" w:rsidP="00C52695">
            <w:r w:rsidRPr="00883125">
              <w:t xml:space="preserve">Several other </w:t>
            </w:r>
            <w:r w:rsidRPr="00C52695">
              <w:t>pre-2000 periods are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C52695" w:rsidRPr="00883125" w:rsidRDefault="00C52695" w:rsidP="00C52695"/>
        </w:tc>
        <w:tc>
          <w:tcPr>
            <w:tcW w:w="2977" w:type="dxa"/>
            <w:gridSpan w:val="2"/>
          </w:tcPr>
          <w:p w:rsidR="00C52695" w:rsidRPr="00C52695" w:rsidRDefault="00C52695" w:rsidP="00C52695">
            <w:r w:rsidRPr="00883125">
              <w:t>Hathaway and Officer (2004)</w:t>
            </w:r>
            <w:r w:rsidRPr="00C52695">
              <w:rPr>
                <w:rStyle w:val="FootnoteReference"/>
              </w:rPr>
              <w:footnoteReference w:id="760"/>
            </w:r>
          </w:p>
        </w:tc>
        <w:tc>
          <w:tcPr>
            <w:tcW w:w="1346" w:type="dxa"/>
          </w:tcPr>
          <w:p w:rsidR="00C52695" w:rsidRPr="00C52695" w:rsidRDefault="00C52695" w:rsidP="00C52695">
            <w:r w:rsidRPr="00883125">
              <w:t>0.49</w:t>
            </w:r>
            <w:r w:rsidRPr="00883125">
              <w:br/>
              <w:t>(1986–2004)</w:t>
            </w:r>
          </w:p>
        </w:tc>
        <w:tc>
          <w:tcPr>
            <w:tcW w:w="1347" w:type="dxa"/>
          </w:tcPr>
          <w:p w:rsidR="00C52695" w:rsidRPr="00883125" w:rsidRDefault="00C52695" w:rsidP="00C52695"/>
        </w:tc>
        <w:tc>
          <w:tcPr>
            <w:tcW w:w="3260" w:type="dxa"/>
          </w:tcPr>
          <w:p w:rsidR="00C52695" w:rsidRPr="00C52695" w:rsidRDefault="00C52695" w:rsidP="00C52695">
            <w:r w:rsidRPr="00883125">
              <w:t xml:space="preserve">Authors suggest that estimate has increased </w:t>
            </w:r>
            <w:r w:rsidRPr="00C52695">
              <w:t>post-2000.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Bellamy and Gray (2004)</w:t>
            </w:r>
            <w:r w:rsidRPr="00C52695">
              <w:rPr>
                <w:rStyle w:val="FootnoteReference"/>
              </w:rPr>
              <w:footnoteReference w:id="761"/>
            </w:r>
          </w:p>
        </w:tc>
        <w:tc>
          <w:tcPr>
            <w:tcW w:w="1346" w:type="dxa"/>
          </w:tcPr>
          <w:p w:rsidR="00C52695" w:rsidRPr="00C52695" w:rsidRDefault="00C52695" w:rsidP="00C52695">
            <w:r w:rsidRPr="00883125">
              <w:t>0.36</w:t>
            </w:r>
            <w:r w:rsidRPr="00883125">
              <w:br/>
              <w:t>(1995–2002)</w:t>
            </w:r>
          </w:p>
        </w:tc>
        <w:tc>
          <w:tcPr>
            <w:tcW w:w="1347" w:type="dxa"/>
          </w:tcPr>
          <w:p w:rsidR="00C52695" w:rsidRPr="00883125" w:rsidRDefault="00C52695" w:rsidP="00C52695"/>
        </w:tc>
        <w:tc>
          <w:tcPr>
            <w:tcW w:w="3260" w:type="dxa"/>
          </w:tcPr>
          <w:p w:rsidR="00C52695" w:rsidRPr="00C52695" w:rsidRDefault="00C52695" w:rsidP="00C52695">
            <w:r w:rsidRPr="00883125">
              <w:t>Range of</w:t>
            </w:r>
            <w:r w:rsidRPr="00C52695">
              <w:t xml:space="preserve"> 0.0–0.60 is also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Bruckner et al (1994)</w:t>
            </w:r>
            <w:r w:rsidRPr="00C52695">
              <w:rPr>
                <w:rStyle w:val="FootnoteReference"/>
              </w:rPr>
              <w:footnoteReference w:id="762"/>
            </w:r>
          </w:p>
        </w:tc>
        <w:tc>
          <w:tcPr>
            <w:tcW w:w="1346" w:type="dxa"/>
          </w:tcPr>
          <w:p w:rsidR="00C52695" w:rsidRPr="00C52695" w:rsidRDefault="00C52695" w:rsidP="00C52695">
            <w:r w:rsidRPr="00883125">
              <w:t>0.69</w:t>
            </w:r>
            <w:r w:rsidRPr="00883125">
              <w:br/>
            </w:r>
            <w:r w:rsidRPr="00C52695">
              <w:t>(1991–1993)</w:t>
            </w:r>
          </w:p>
        </w:tc>
        <w:tc>
          <w:tcPr>
            <w:tcW w:w="1347" w:type="dxa"/>
          </w:tcPr>
          <w:p w:rsidR="00C52695" w:rsidRPr="00883125" w:rsidRDefault="00C52695" w:rsidP="00C52695"/>
        </w:tc>
        <w:tc>
          <w:tcPr>
            <w:tcW w:w="3260" w:type="dxa"/>
          </w:tcPr>
          <w:p w:rsidR="00C52695" w:rsidRPr="00C52695" w:rsidRDefault="00C52695" w:rsidP="00C52695">
            <w:r w:rsidRPr="00883125">
              <w:t>Also present an earlier period (1987–1990).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Brown and Clarke (1993)</w:t>
            </w:r>
            <w:r w:rsidRPr="00C52695">
              <w:rPr>
                <w:rStyle w:val="FootnoteReference"/>
              </w:rPr>
              <w:footnoteReference w:id="763"/>
            </w:r>
          </w:p>
        </w:tc>
        <w:tc>
          <w:tcPr>
            <w:tcW w:w="1346" w:type="dxa"/>
          </w:tcPr>
          <w:p w:rsidR="00C52695" w:rsidRPr="00C52695" w:rsidRDefault="00C52695" w:rsidP="00C52695">
            <w:r w:rsidRPr="00883125">
              <w:t>0.80</w:t>
            </w:r>
            <w:r w:rsidRPr="00883125">
              <w:br/>
              <w:t>(1988–1991)</w:t>
            </w:r>
          </w:p>
        </w:tc>
        <w:tc>
          <w:tcPr>
            <w:tcW w:w="1347" w:type="dxa"/>
          </w:tcPr>
          <w:p w:rsidR="00C52695" w:rsidRPr="00883125" w:rsidRDefault="00C52695" w:rsidP="00C52695"/>
        </w:tc>
        <w:tc>
          <w:tcPr>
            <w:tcW w:w="3260" w:type="dxa"/>
          </w:tcPr>
          <w:p w:rsidR="00C52695" w:rsidRPr="00883125" w:rsidRDefault="00C52695" w:rsidP="00C52695"/>
        </w:tc>
      </w:tr>
    </w:tbl>
    <w:p w:rsidR="00C52695" w:rsidRPr="00883125" w:rsidRDefault="00C52695" w:rsidP="00C52695">
      <w:pPr>
        <w:pStyle w:val="AERtablesource"/>
      </w:pPr>
      <w:r w:rsidRPr="00883125">
        <w:t xml:space="preserve">Source: </w:t>
      </w:r>
      <w:r w:rsidRPr="00883125">
        <w:tab/>
        <w:t>As specified in table.</w:t>
      </w:r>
    </w:p>
    <w:p w:rsidR="00C52695" w:rsidRDefault="00C52695" w:rsidP="00C52695">
      <w:pPr>
        <w:rPr>
          <w:rStyle w:val="AERbody"/>
        </w:rPr>
      </w:pPr>
      <w:bookmarkStart w:id="42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764"/>
      </w:r>
    </w:p>
    <w:p w:rsidR="002D1212" w:rsidRPr="00A962CC" w:rsidRDefault="000C5949" w:rsidP="00C52695">
      <w:pPr>
        <w:rPr>
          <w:rStyle w:val="AERbody"/>
        </w:rPr>
      </w:pPr>
      <w:r w:rsidRPr="00A962CC">
        <w:rPr>
          <w:rStyle w:val="AERbody"/>
        </w:rPr>
        <w:t>R</w:t>
      </w:r>
      <w:r w:rsidR="00D83160" w:rsidRPr="00A962CC">
        <w:rPr>
          <w:rStyle w:val="AERbody"/>
        </w:rPr>
        <w:t xml:space="preserve">egulated businesses </w:t>
      </w:r>
      <w:r w:rsidR="0045326E" w:rsidRPr="00A962CC">
        <w:rPr>
          <w:rStyle w:val="AERbody"/>
        </w:rPr>
        <w:t>have solely rel</w:t>
      </w:r>
      <w:r w:rsidR="0045326E" w:rsidRPr="00E2259C">
        <w:rPr>
          <w:rStyle w:val="AERbody"/>
        </w:rPr>
        <w:t>ied</w:t>
      </w:r>
      <w:r w:rsidR="00D83160" w:rsidRPr="00E2259C">
        <w:rPr>
          <w:rStyle w:val="AERbody"/>
        </w:rPr>
        <w:t xml:space="preserve"> </w:t>
      </w:r>
      <w:r w:rsidRPr="00B7446E">
        <w:rPr>
          <w:rStyle w:val="AERbody"/>
        </w:rPr>
        <w:t>on</w:t>
      </w:r>
      <w:r w:rsidRPr="007A77C1">
        <w:rPr>
          <w:rStyle w:val="AERbody"/>
        </w:rPr>
        <w:t xml:space="preserve"> the SFG 2011 dividend drop off study</w:t>
      </w:r>
      <w:r w:rsidRPr="00313CB3">
        <w:rPr>
          <w:rStyle w:val="AERbody"/>
        </w:rPr>
        <w:t xml:space="preserve"> </w:t>
      </w:r>
      <w:r w:rsidR="0045326E" w:rsidRPr="00B505F7">
        <w:rPr>
          <w:rStyle w:val="AERbody"/>
        </w:rPr>
        <w:t>to determine</w:t>
      </w:r>
      <w:r w:rsidRPr="00B505F7">
        <w:rPr>
          <w:rStyle w:val="AERbody"/>
        </w:rPr>
        <w:t xml:space="preserve"> their theta estimate. Frontier </w:t>
      </w:r>
      <w:r w:rsidRPr="005A48E0">
        <w:rPr>
          <w:rStyle w:val="AERbody"/>
        </w:rPr>
        <w:t xml:space="preserve">has updated </w:t>
      </w:r>
      <w:r w:rsidR="00630BA8" w:rsidRPr="005A48E0">
        <w:rPr>
          <w:rStyle w:val="AERbody"/>
        </w:rPr>
        <w:t>this</w:t>
      </w:r>
      <w:r w:rsidRPr="005A48E0">
        <w:rPr>
          <w:rStyle w:val="AERbody"/>
        </w:rPr>
        <w:t xml:space="preserve"> SFG study for the most recent data and </w:t>
      </w:r>
      <w:r w:rsidR="00630BA8" w:rsidRPr="005A48E0">
        <w:rPr>
          <w:rStyle w:val="AERbody"/>
        </w:rPr>
        <w:t xml:space="preserve">has </w:t>
      </w:r>
      <w:r w:rsidRPr="005A48E0">
        <w:rPr>
          <w:rStyle w:val="AERbody"/>
        </w:rPr>
        <w:t xml:space="preserve">concluded that a theta </w:t>
      </w:r>
      <w:r w:rsidR="00630BA8" w:rsidRPr="005A48E0">
        <w:rPr>
          <w:rStyle w:val="AERbody"/>
        </w:rPr>
        <w:t xml:space="preserve">estimate </w:t>
      </w:r>
      <w:r w:rsidRPr="005A48E0">
        <w:rPr>
          <w:rStyle w:val="AERbody"/>
        </w:rPr>
        <w:t xml:space="preserve">of 0.35 </w:t>
      </w:r>
      <w:r w:rsidR="00630BA8" w:rsidRPr="005A48E0">
        <w:rPr>
          <w:rStyle w:val="AERbody"/>
        </w:rPr>
        <w:t xml:space="preserve">still </w:t>
      </w:r>
      <w:r w:rsidRPr="005A48E0">
        <w:rPr>
          <w:rStyle w:val="AERbody"/>
        </w:rPr>
        <w:t>remains appropriate</w:t>
      </w:r>
      <w:r w:rsidR="00630BA8" w:rsidRPr="00A962CC">
        <w:rPr>
          <w:rStyle w:val="AERbody"/>
        </w:rPr>
        <w:t>.</w:t>
      </w:r>
      <w:r w:rsidR="00630BA8" w:rsidRPr="00A962CC">
        <w:rPr>
          <w:rStyle w:val="FootnoteReference"/>
        </w:rPr>
        <w:footnoteReference w:id="765"/>
      </w:r>
      <w:r w:rsidR="004D4040" w:rsidRPr="00A962CC">
        <w:rPr>
          <w:rStyle w:val="AERbody"/>
        </w:rPr>
        <w:t xml:space="preserve"> </w:t>
      </w:r>
      <w:r w:rsidR="002D1212" w:rsidRPr="00A962CC">
        <w:rPr>
          <w:rStyle w:val="AERbody"/>
        </w:rPr>
        <w:t>It is submitted that Professor Gray has exten</w:t>
      </w:r>
      <w:r w:rsidR="002D1212" w:rsidRPr="00E2259C">
        <w:rPr>
          <w:rStyle w:val="AERbody"/>
        </w:rPr>
        <w:t>ded the dataset from 2</w:t>
      </w:r>
      <w:r w:rsidR="00314175">
        <w:rPr>
          <w:rStyle w:val="AERbody"/>
        </w:rPr>
        <w:t>013 update through to June 2016. H</w:t>
      </w:r>
      <w:r w:rsidR="002D1212" w:rsidRPr="00E2259C">
        <w:rPr>
          <w:rStyle w:val="AERbody"/>
        </w:rPr>
        <w:t xml:space="preserve">aving undertaken the same analysis </w:t>
      </w:r>
      <w:r w:rsidR="00A041D8">
        <w:rPr>
          <w:rStyle w:val="AERbody"/>
        </w:rPr>
        <w:t>as in the SFG 2011 study</w:t>
      </w:r>
      <w:r w:rsidR="00314175">
        <w:rPr>
          <w:rStyle w:val="AERbody"/>
        </w:rPr>
        <w:t>,</w:t>
      </w:r>
      <w:r w:rsidR="00A041D8">
        <w:rPr>
          <w:rStyle w:val="AERbody"/>
        </w:rPr>
        <w:t xml:space="preserve"> Gray </w:t>
      </w:r>
      <w:r w:rsidR="002D1212" w:rsidRPr="00E2259C">
        <w:rPr>
          <w:rStyle w:val="AERbody"/>
        </w:rPr>
        <w:t xml:space="preserve">concludes that the updated </w:t>
      </w:r>
      <w:r w:rsidR="00A041D8">
        <w:rPr>
          <w:rStyle w:val="AERbody"/>
        </w:rPr>
        <w:t xml:space="preserve">data </w:t>
      </w:r>
      <w:r w:rsidR="002D1212" w:rsidRPr="00E2259C">
        <w:rPr>
          <w:rStyle w:val="AERbody"/>
        </w:rPr>
        <w:t xml:space="preserve">supports an unchanged theta </w:t>
      </w:r>
      <w:r w:rsidR="00A041D8" w:rsidRPr="00E2259C">
        <w:rPr>
          <w:rStyle w:val="AERbody"/>
        </w:rPr>
        <w:t xml:space="preserve">estimate </w:t>
      </w:r>
      <w:r w:rsidR="002D1212" w:rsidRPr="00E2259C">
        <w:rPr>
          <w:rStyle w:val="AERbody"/>
        </w:rPr>
        <w:t>of 0.35.</w:t>
      </w:r>
      <w:r w:rsidR="00283213" w:rsidRPr="00A962CC">
        <w:rPr>
          <w:rStyle w:val="FootnoteReference"/>
        </w:rPr>
        <w:footnoteReference w:id="766"/>
      </w:r>
    </w:p>
    <w:p w:rsidR="00EE34C4" w:rsidRPr="00B505F7" w:rsidRDefault="00EE34C4" w:rsidP="00C52695">
      <w:pPr>
        <w:rPr>
          <w:rStyle w:val="AERbody"/>
        </w:rPr>
      </w:pPr>
      <w:r w:rsidRPr="00E2259C">
        <w:rPr>
          <w:rStyle w:val="AERbody"/>
        </w:rPr>
        <w:t>Lally has reviewed the update</w:t>
      </w:r>
      <w:r w:rsidR="00314175">
        <w:rPr>
          <w:rStyle w:val="AERbody"/>
        </w:rPr>
        <w:t>d</w:t>
      </w:r>
      <w:r w:rsidRPr="00E2259C">
        <w:rPr>
          <w:rStyle w:val="AERbody"/>
        </w:rPr>
        <w:t xml:space="preserve"> dividend drop-off study and found</w:t>
      </w:r>
      <w:r w:rsidR="00FA0D11" w:rsidRPr="00B7446E">
        <w:rPr>
          <w:rStyle w:val="AERbody"/>
        </w:rPr>
        <w:t xml:space="preserve"> th</w:t>
      </w:r>
      <w:r w:rsidR="00FA0D11" w:rsidRPr="007A77C1">
        <w:rPr>
          <w:rStyle w:val="AERbody"/>
        </w:rPr>
        <w:t>at</w:t>
      </w:r>
      <w:r w:rsidRPr="00313CB3">
        <w:rPr>
          <w:rStyle w:val="AERbody"/>
        </w:rPr>
        <w:t>:</w:t>
      </w:r>
    </w:p>
    <w:p w:rsidR="00FA0D11" w:rsidRPr="00D75E7C" w:rsidRDefault="00B20921" w:rsidP="00E750F8">
      <w:pPr>
        <w:pStyle w:val="AERbulletlistfirststyle"/>
        <w:rPr>
          <w:rStyle w:val="AERbody"/>
        </w:rPr>
      </w:pPr>
      <w:r w:rsidRPr="00B505F7">
        <w:rPr>
          <w:rStyle w:val="AERbody"/>
        </w:rPr>
        <w:t>Other studies using market prices g</w:t>
      </w:r>
      <w:r w:rsidRPr="005A48E0">
        <w:rPr>
          <w:rStyle w:val="AERbody"/>
        </w:rPr>
        <w:t>enerated a very wide range in the estimates of the utilisation r</w:t>
      </w:r>
      <w:r w:rsidR="00A041D8">
        <w:rPr>
          <w:rStyle w:val="AERbody"/>
        </w:rPr>
        <w:t>ate, even over the same period. T</w:t>
      </w:r>
      <w:r w:rsidRPr="005A48E0">
        <w:rPr>
          <w:rStyle w:val="AERbody"/>
        </w:rPr>
        <w:t>his damages the credibility of all such estimates unless it can be demonstrated that one m</w:t>
      </w:r>
      <w:r w:rsidR="00314175">
        <w:rPr>
          <w:rStyle w:val="AERbody"/>
        </w:rPr>
        <w:t>ethodology is clearly superior, which has not been done</w:t>
      </w:r>
      <w:r w:rsidRPr="00D75E7C">
        <w:rPr>
          <w:rStyle w:val="AERbody"/>
        </w:rPr>
        <w:t>.</w:t>
      </w:r>
      <w:r w:rsidRPr="00D75E7C">
        <w:rPr>
          <w:rStyle w:val="FootnoteReference"/>
        </w:rPr>
        <w:footnoteReference w:id="767"/>
      </w:r>
    </w:p>
    <w:p w:rsidR="00037690" w:rsidRPr="001224E1" w:rsidRDefault="00037690" w:rsidP="00E750F8">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E11684">
        <w:rPr>
          <w:rStyle w:val="AERbody"/>
        </w:rPr>
        <w:t>lity of all such estimates.</w:t>
      </w:r>
      <w:r w:rsidRPr="001224E1">
        <w:rPr>
          <w:rStyle w:val="FootnoteReference"/>
        </w:rPr>
        <w:footnoteReference w:id="768"/>
      </w:r>
    </w:p>
    <w:p w:rsidR="004A20C0" w:rsidRPr="000028DB" w:rsidRDefault="004A20C0" w:rsidP="00E750F8">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0028DB">
        <w:rPr>
          <w:rStyle w:val="FootnoteReference"/>
        </w:rPr>
        <w:footnoteReference w:id="769"/>
      </w:r>
    </w:p>
    <w:p w:rsidR="00283213" w:rsidRPr="00A962CC" w:rsidRDefault="00A041D8" w:rsidP="00E750F8">
      <w:pPr>
        <w:pStyle w:val="AERbulletlistfirststyle"/>
      </w:pPr>
      <w:r>
        <w:t>A</w:t>
      </w:r>
      <w:r w:rsidR="00283213" w:rsidRPr="000028DB">
        <w:t xml:space="preserve">pplying the same methodology and data filtering rules to data </w:t>
      </w:r>
      <w:r w:rsidR="00283213" w:rsidRPr="00F7654C">
        <w:t>from an almost identical period to that in SFG (2013), Vo et al (2013) generate</w:t>
      </w:r>
      <w:r w:rsidR="00E84AD8">
        <w:t>s</w:t>
      </w:r>
      <w:r w:rsidR="00283213" w:rsidRPr="00F7654C">
        <w:t xml:space="preserve"> some quite </w:t>
      </w:r>
      <w:r w:rsidR="00E84AD8" w:rsidRPr="00E84AD8">
        <w:t>significant differen</w:t>
      </w:r>
      <w:r w:rsidR="00E84AD8">
        <w:t>t</w:t>
      </w:r>
      <w:r w:rsidR="00283213" w:rsidRPr="00E750F8">
        <w:t xml:space="preserve"> point estimates for the coefficients on the credits and their standard errors</w:t>
      </w:r>
      <w:r w:rsidR="00E84AD8">
        <w:t xml:space="preserve"> in contrast to </w:t>
      </w:r>
      <w:r w:rsidR="00E84AD8" w:rsidRPr="00F7654C">
        <w:t>SFG (2013)</w:t>
      </w:r>
      <w:r w:rsidR="00283213" w:rsidRPr="00E750F8">
        <w:t>. This damages the credibility of both sets of estimates.</w:t>
      </w:r>
      <w:r w:rsidR="00283213" w:rsidRPr="00A962CC">
        <w:rPr>
          <w:rStyle w:val="FootnoteReference"/>
        </w:rPr>
        <w:t xml:space="preserve"> </w:t>
      </w:r>
      <w:r w:rsidR="00283213" w:rsidRPr="00A962CC">
        <w:rPr>
          <w:rStyle w:val="FootnoteReference"/>
        </w:rPr>
        <w:footnoteReference w:id="770"/>
      </w:r>
    </w:p>
    <w:p w:rsidR="00283213" w:rsidRPr="00A962CC" w:rsidRDefault="00875062" w:rsidP="00E750F8">
      <w:pPr>
        <w:pStyle w:val="AERbulletlistfirststyle"/>
      </w:pPr>
      <w:r w:rsidRPr="00E750F8">
        <w:t>Frontier’s method of assessing the impact of outliers on the result</w:t>
      </w:r>
      <w:r w:rsidRPr="00E750F8">
        <w:rPr>
          <w:rStyle w:val="FootnoteReference"/>
        </w:rPr>
        <w:footnoteReference w:id="771"/>
      </w:r>
      <w:r w:rsidRPr="00E750F8">
        <w:t xml:space="preserve"> is unconventional and would have the effect of suppressing the apparent impact of outliers upon the estimated franking credit coefficient. Consistent with this, Vo et al’s (2013) more conventional approach</w:t>
      </w:r>
      <w:r w:rsidRPr="00E750F8">
        <w:rPr>
          <w:rStyle w:val="FootnoteReference"/>
        </w:rPr>
        <w:footnoteReference w:id="772"/>
      </w:r>
      <w:r w:rsidRPr="00E750F8">
        <w:t xml:space="preserve"> shows more variation in the results.</w:t>
      </w:r>
      <w:r w:rsidRPr="00A962CC">
        <w:rPr>
          <w:rStyle w:val="FootnoteReference"/>
        </w:rPr>
        <w:footnoteReference w:id="773"/>
      </w:r>
    </w:p>
    <w:p w:rsidR="00875062" w:rsidRPr="00A962CC" w:rsidRDefault="00875062" w:rsidP="00E750F8">
      <w:pPr>
        <w:pStyle w:val="AERbulletlistfirststyle"/>
      </w:pPr>
      <w:r w:rsidRPr="00A962CC">
        <w:t>I</w:t>
      </w:r>
      <w:r w:rsidRPr="00E750F8">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A962CC">
        <w:t>.</w:t>
      </w:r>
      <w:r w:rsidRPr="00A962CC">
        <w:rPr>
          <w:rStyle w:val="FootnoteReference"/>
        </w:rPr>
        <w:t xml:space="preserve"> </w:t>
      </w:r>
      <w:r w:rsidRPr="00A962CC">
        <w:rPr>
          <w:rStyle w:val="FootnoteReference"/>
        </w:rPr>
        <w:footnoteReference w:id="774"/>
      </w:r>
    </w:p>
    <w:p w:rsidR="00FF38EE" w:rsidRPr="00A962CC" w:rsidRDefault="00FF38EE" w:rsidP="00E750F8">
      <w:pPr>
        <w:pStyle w:val="AERbulletlistfirststyle"/>
      </w:pPr>
      <w:r w:rsidRPr="00E750F8">
        <w:t>Frontier do</w:t>
      </w:r>
      <w:r w:rsidR="009C7B80">
        <w:t>es</w:t>
      </w:r>
      <w:r w:rsidRPr="00E750F8">
        <w:t xml:space="preserve"> not include a constant in their regression model, the case for doing so is not clear, and </w:t>
      </w:r>
      <w:r w:rsidR="009C7B80">
        <w:t xml:space="preserve">the </w:t>
      </w:r>
      <w:r w:rsidRPr="00E750F8">
        <w:t>omission of the constant could materially alter the estimate for the coefficient on the franking credits.</w:t>
      </w:r>
      <w:r w:rsidRPr="00A962CC">
        <w:rPr>
          <w:rStyle w:val="FootnoteReference"/>
        </w:rPr>
        <w:footnoteReference w:id="775"/>
      </w:r>
    </w:p>
    <w:p w:rsidR="00FF38EE" w:rsidRPr="00A962CC" w:rsidRDefault="00FF38EE" w:rsidP="00E750F8">
      <w:pPr>
        <w:pStyle w:val="AERbulletlistfirststyle"/>
      </w:pPr>
      <w:r w:rsidRPr="00E750F8">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A962CC">
        <w:rPr>
          <w:rStyle w:val="FootnoteReference"/>
        </w:rPr>
        <w:footnoteReference w:id="776"/>
      </w:r>
    </w:p>
    <w:p w:rsidR="00FF38EE" w:rsidRPr="00A962CC" w:rsidRDefault="00FF38EE" w:rsidP="00E750F8">
      <w:pPr>
        <w:pStyle w:val="AERbulletlistfirststyle"/>
      </w:pPr>
      <w:r w:rsidRPr="00E750F8">
        <w:t xml:space="preserve">Frontier </w:t>
      </w:r>
      <w:r w:rsidR="00B505F7" w:rsidRPr="00B505F7">
        <w:t>favours</w:t>
      </w:r>
      <w:r w:rsidRPr="00E750F8">
        <w:t xml:space="preserve"> results from Model 4, but their basis for doing so (as described in SFG, 2011) is inadequate in failing to use formal tests and in using the wrong type of graphical analysis.</w:t>
      </w:r>
      <w:r w:rsidRPr="00E750F8">
        <w:rPr>
          <w:rStyle w:val="FootnoteReference"/>
        </w:rPr>
        <w:footnoteReference w:id="777"/>
      </w:r>
    </w:p>
    <w:p w:rsidR="00A962CC" w:rsidRDefault="00A962CC" w:rsidP="00E750F8">
      <w:pPr>
        <w:pStyle w:val="AERbulletlistfirststyle"/>
      </w:pPr>
      <w:r>
        <w:t>A</w:t>
      </w:r>
      <w:r w:rsidRPr="00A962CC">
        <w:t xml:space="preserve">lthough the utilisation rate is a value-weighted average over all investors in the market, the use of DDO studies will produce an estimate of it that reflects the </w:t>
      </w:r>
      <w:r w:rsidR="0072638E">
        <w:t>action of tax arbitrageurs, and these investors</w:t>
      </w:r>
      <w:r w:rsidRPr="00A962CC">
        <w:t xml:space="preserve"> may be quite unrepresentative of the entire</w:t>
      </w:r>
      <w:r w:rsidR="0072638E">
        <w:t xml:space="preserve"> market</w:t>
      </w:r>
      <w:r w:rsidRPr="00A962CC">
        <w:t>.</w:t>
      </w:r>
      <w:r w:rsidRPr="00A962CC">
        <w:rPr>
          <w:rStyle w:val="FootnoteReference"/>
        </w:rPr>
        <w:footnoteReference w:id="778"/>
      </w:r>
    </w:p>
    <w:p w:rsidR="00A962CC" w:rsidRDefault="00A962CC" w:rsidP="00E750F8">
      <w:pPr>
        <w:pStyle w:val="AERbulletlistfirststyle"/>
      </w:pPr>
      <w:r>
        <w:t>M</w:t>
      </w:r>
      <w:r w:rsidRPr="00A962CC">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A962CC">
        <w:rPr>
          <w:rStyle w:val="FootnoteReference"/>
        </w:rPr>
        <w:footnoteReference w:id="779"/>
      </w:r>
    </w:p>
    <w:p w:rsidR="00313CB3" w:rsidRDefault="00313CB3" w:rsidP="00C52695">
      <w:pPr>
        <w:rPr>
          <w:rStyle w:val="AERbody"/>
        </w:rPr>
      </w:pPr>
      <w:r>
        <w:rPr>
          <w:rStyle w:val="AERbody"/>
        </w:rPr>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80"/>
      </w:r>
      <w:r>
        <w:rPr>
          <w:rStyle w:val="AERbody"/>
        </w:rPr>
        <w:t xml:space="preserve"> However, some points can be overcome by:</w:t>
      </w:r>
      <w:r w:rsidRPr="00A962CC">
        <w:rPr>
          <w:rStyle w:val="FootnoteReference"/>
        </w:rPr>
        <w:footnoteReference w:id="781"/>
      </w:r>
    </w:p>
    <w:p w:rsidR="00313CB3" w:rsidRDefault="00313CB3" w:rsidP="00E750F8">
      <w:pPr>
        <w:pStyle w:val="AERbulletlistfirststyle"/>
        <w:rPr>
          <w:rStyle w:val="AERbody"/>
        </w:rPr>
      </w:pPr>
      <w:r>
        <w:rPr>
          <w:rStyle w:val="AERbody"/>
        </w:rPr>
        <w:t>Dividing the estimate coefficient</w:t>
      </w:r>
      <w:r w:rsidR="000A20C4">
        <w:rPr>
          <w:rStyle w:val="AERbody"/>
        </w:rPr>
        <w:t xml:space="preserve"> on the credit by </w:t>
      </w:r>
      <w:r w:rsidR="009C7B80">
        <w:rPr>
          <w:rStyle w:val="AERbody"/>
        </w:rPr>
        <w:t>the estimate</w:t>
      </w:r>
      <w:r w:rsidR="000A20C4">
        <w:rPr>
          <w:rStyle w:val="AERbody"/>
        </w:rPr>
        <w:t xml:space="preserve"> on cash dividends</w:t>
      </w:r>
    </w:p>
    <w:p w:rsidR="000A20C4" w:rsidRDefault="000A20C4" w:rsidP="00E750F8">
      <w:pPr>
        <w:pStyle w:val="AERbulletlistfirststyle"/>
        <w:rPr>
          <w:rStyle w:val="AERbody"/>
        </w:rPr>
      </w:pPr>
      <w:r>
        <w:rPr>
          <w:rStyle w:val="AERbody"/>
        </w:rPr>
        <w:t>Assessing the effect of outliers individually rather in pairs</w:t>
      </w:r>
    </w:p>
    <w:p w:rsidR="000A20C4" w:rsidRDefault="000A20C4" w:rsidP="00E750F8">
      <w:pPr>
        <w:pStyle w:val="AERbulletlistfirststyle"/>
        <w:rPr>
          <w:rStyle w:val="AERbody"/>
        </w:rPr>
      </w:pPr>
      <w:r>
        <w:rPr>
          <w:rStyle w:val="AERbody"/>
        </w:rPr>
        <w:t>Presenting resul</w:t>
      </w:r>
      <w:r w:rsidR="00927B0B">
        <w:rPr>
          <w:rStyle w:val="AERbody"/>
        </w:rPr>
        <w:t>ts for a range of values for th</w:t>
      </w:r>
      <w:r>
        <w:rPr>
          <w:rStyle w:val="AERbody"/>
        </w:rPr>
        <w:t>e tuning coefficient in robust regression</w:t>
      </w:r>
    </w:p>
    <w:p w:rsidR="000A20C4" w:rsidRDefault="000A20C4" w:rsidP="00E750F8">
      <w:pPr>
        <w:pStyle w:val="AERbulletlistfirststyle"/>
        <w:rPr>
          <w:rStyle w:val="AERbody"/>
        </w:rPr>
      </w:pPr>
      <w:r>
        <w:rPr>
          <w:rStyle w:val="AERbody"/>
        </w:rPr>
        <w:t>Additionally presenting results with a constant in the regression model</w:t>
      </w:r>
    </w:p>
    <w:p w:rsidR="00313CB3" w:rsidRDefault="009C7B80" w:rsidP="00E750F8">
      <w:pPr>
        <w:pStyle w:val="AERbulletlistfirststyle"/>
        <w:rPr>
          <w:rStyle w:val="AERbody"/>
        </w:rPr>
      </w:pPr>
      <w:r>
        <w:rPr>
          <w:rStyle w:val="AERbody"/>
        </w:rPr>
        <w:t>Not</w:t>
      </w:r>
      <w:r w:rsidR="000A20C4">
        <w:rPr>
          <w:rStyle w:val="AERbody"/>
        </w:rPr>
        <w:t xml:space="preserve"> deleting observations from small companies</w:t>
      </w:r>
    </w:p>
    <w:p w:rsidR="00EE34C4" w:rsidRDefault="00313CB3" w:rsidP="00C52695">
      <w:pPr>
        <w:rPr>
          <w:rStyle w:val="AERbody"/>
        </w:rPr>
      </w:pPr>
      <w:r>
        <w:rPr>
          <w:rStyle w:val="AERbody"/>
        </w:rPr>
        <w:t xml:space="preserve">As a result of the analysis from Lally, we </w:t>
      </w:r>
      <w:r w:rsidR="00944227">
        <w:rPr>
          <w:rStyle w:val="AERbody"/>
        </w:rPr>
        <w:t>remain of the view</w:t>
      </w:r>
      <w:r>
        <w:rPr>
          <w:rStyle w:val="AERbody"/>
        </w:rPr>
        <w:t xml:space="preserve"> </w:t>
      </w:r>
      <w:r w:rsidR="00944227">
        <w:rPr>
          <w:rStyle w:val="AERbody"/>
        </w:rPr>
        <w:t xml:space="preserve">that estimates from </w:t>
      </w:r>
      <w:r>
        <w:rPr>
          <w:rStyle w:val="AERbody"/>
        </w:rPr>
        <w:t>the 2011 SFG dividend drop off study and subsequent 2016 update</w:t>
      </w:r>
      <w:r w:rsidR="00944227">
        <w:rPr>
          <w:rStyle w:val="AERbody"/>
        </w:rPr>
        <w:t xml:space="preserve"> should be given less weight for estimating the value of theta than the use of estimates from taxation statistics and the equity ownership approach</w:t>
      </w:r>
      <w:r>
        <w:rPr>
          <w:rStyle w:val="AERbody"/>
        </w:rPr>
        <w:t>.</w:t>
      </w:r>
      <w:r w:rsidR="00177813">
        <w:rPr>
          <w:rStyle w:val="AERbody"/>
        </w:rPr>
        <w:t xml:space="preserve"> Lally considers that the drawbacks identified are so severs as to warrant giving the lowest weight on the results from </w:t>
      </w:r>
      <w:r w:rsidR="00986246">
        <w:rPr>
          <w:rStyle w:val="AERbody"/>
        </w:rPr>
        <w:t>dividend drop off studies</w:t>
      </w:r>
      <w:r w:rsidR="00177813">
        <w:rPr>
          <w:rStyle w:val="AERbody"/>
        </w:rPr>
        <w:t>.</w:t>
      </w:r>
      <w:r w:rsidR="00177813">
        <w:rPr>
          <w:rStyle w:val="FootnoteReference"/>
        </w:rPr>
        <w:footnoteReference w:id="782"/>
      </w:r>
    </w:p>
    <w:p w:rsidR="00C628EE" w:rsidRDefault="00EE34C4" w:rsidP="00C52695">
      <w:pPr>
        <w:rPr>
          <w:rStyle w:val="AERbody"/>
        </w:rPr>
      </w:pPr>
      <w:r>
        <w:rPr>
          <w:rStyle w:val="AERbody"/>
        </w:rPr>
        <w:t>Further</w:t>
      </w:r>
      <w:r w:rsidR="0093432E">
        <w:rPr>
          <w:rStyle w:val="AERbody"/>
        </w:rPr>
        <w:t>, we</w:t>
      </w:r>
      <w:r w:rsidR="002D1212">
        <w:rPr>
          <w:rStyle w:val="AERbody"/>
        </w:rPr>
        <w:t xml:space="preserve"> do not agree that Professor Gray has undertaken the same analysis that was undertaken in the 2011</w:t>
      </w:r>
      <w:r w:rsidR="00A962CC">
        <w:rPr>
          <w:rStyle w:val="AERbody"/>
        </w:rPr>
        <w:t xml:space="preserve"> study</w:t>
      </w:r>
      <w:r w:rsidR="000A20C4" w:rsidRPr="000A20C4">
        <w:rPr>
          <w:rStyle w:val="AERbody"/>
        </w:rPr>
        <w:t xml:space="preserve"> </w:t>
      </w:r>
      <w:r w:rsidR="000A20C4">
        <w:rPr>
          <w:rStyle w:val="AERbody"/>
        </w:rPr>
        <w:t>when updating the study for the most recent data</w:t>
      </w:r>
      <w:r w:rsidR="002D1212">
        <w:rPr>
          <w:rStyle w:val="AERbody"/>
        </w:rPr>
        <w:t>. We</w:t>
      </w:r>
      <w:r w:rsidR="0093432E">
        <w:rPr>
          <w:rStyle w:val="AERbody"/>
        </w:rPr>
        <w:t xml:space="preserve"> have reviewed </w:t>
      </w:r>
      <w:r w:rsidR="005E25EB">
        <w:rPr>
          <w:rStyle w:val="AERbody"/>
        </w:rPr>
        <w:t xml:space="preserve">the 2016 </w:t>
      </w:r>
      <w:r w:rsidR="0093432E">
        <w:rPr>
          <w:rStyle w:val="AERbody"/>
        </w:rPr>
        <w:t>Frontier</w:t>
      </w:r>
      <w:r w:rsidR="006B14BA">
        <w:rPr>
          <w:rStyle w:val="AERbody"/>
        </w:rPr>
        <w:t>'</w:t>
      </w:r>
      <w:r w:rsidR="0093432E">
        <w:rPr>
          <w:rStyle w:val="AERbody"/>
        </w:rPr>
        <w:t>s paper and note that it does not determine a new point estimate for theta using the most recent data</w:t>
      </w:r>
      <w:r w:rsidR="002D1212">
        <w:rPr>
          <w:rStyle w:val="AERbody"/>
        </w:rPr>
        <w:t xml:space="preserve"> as per the 2011 study</w:t>
      </w:r>
      <w:r w:rsidR="0093432E">
        <w:rPr>
          <w:rStyle w:val="AERbody"/>
        </w:rPr>
        <w:t>. Rather it determines whether a theta of 0.35 is within the confidence intervals around all of the specifications and hence remains an appropriate estimate for theta.</w:t>
      </w:r>
    </w:p>
    <w:p w:rsidR="0093432E" w:rsidRPr="00C32CF1" w:rsidRDefault="00B84FF5" w:rsidP="00C32CF1">
      <w:pPr>
        <w:pStyle w:val="AERquote"/>
        <w:rPr>
          <w:rStyle w:val="AERbody"/>
          <w:color w:val="000000"/>
          <w:sz w:val="20"/>
        </w:rPr>
      </w:pPr>
      <w:r w:rsidRPr="00C32CF1">
        <w:rPr>
          <w:rStyle w:val="AERbody"/>
          <w:color w:val="000000"/>
          <w:sz w:val="20"/>
        </w:rPr>
        <w:t>We begin by noting</w:t>
      </w:r>
      <w:r w:rsidR="003D5B8B" w:rsidRPr="00C32CF1">
        <w:rPr>
          <w:rStyle w:val="AERbody"/>
          <w:color w:val="000000"/>
          <w:sz w:val="20"/>
        </w:rPr>
        <w:t xml:space="preserve"> that our preferred final estimate </w:t>
      </w:r>
      <w:r w:rsidR="00300124" w:rsidRPr="00C32CF1">
        <w:rPr>
          <w:rStyle w:val="AERbody"/>
          <w:color w:val="000000"/>
          <w:sz w:val="20"/>
        </w:rPr>
        <w:t>of 0.35 lies within the standard statistical 95% confidence interval for all of the specifications. The rang</w:t>
      </w:r>
      <w:r w:rsidR="008500FA" w:rsidRPr="00CF236B">
        <w:rPr>
          <w:rStyle w:val="AERbody"/>
          <w:color w:val="000000"/>
          <w:sz w:val="20"/>
        </w:rPr>
        <w:t>e</w:t>
      </w:r>
      <w:r w:rsidR="00300124" w:rsidRPr="00CF236B">
        <w:rPr>
          <w:rStyle w:val="AERbody"/>
          <w:color w:val="000000"/>
          <w:sz w:val="20"/>
        </w:rPr>
        <w:t xml:space="preserve"> of overlap in the </w:t>
      </w:r>
      <w:r w:rsidR="008500FA" w:rsidRPr="00CF236B">
        <w:rPr>
          <w:rStyle w:val="AERbody"/>
          <w:color w:val="000000"/>
          <w:sz w:val="20"/>
        </w:rPr>
        <w:t xml:space="preserve">confidence intervals is from 0.26 to 0.41, which </w:t>
      </w:r>
      <w:r w:rsidR="00E91AA4" w:rsidRPr="00CF236B">
        <w:rPr>
          <w:rStyle w:val="AERbody"/>
          <w:color w:val="000000"/>
          <w:sz w:val="20"/>
        </w:rPr>
        <w:t>has a mid-point of</w:t>
      </w:r>
      <w:r w:rsidR="00E91AA4" w:rsidRPr="008F407D">
        <w:rPr>
          <w:rStyle w:val="AERbody"/>
          <w:color w:val="000000"/>
          <w:sz w:val="20"/>
        </w:rPr>
        <w:t xml:space="preserve"> 0.34.</w:t>
      </w:r>
      <w:r w:rsidR="002C7983" w:rsidRPr="00C32CF1">
        <w:rPr>
          <w:rStyle w:val="FootnoteReference"/>
        </w:rPr>
        <w:footnoteReference w:id="783"/>
      </w:r>
    </w:p>
    <w:p w:rsidR="00DF5547" w:rsidRDefault="00345A28" w:rsidP="00A3116F">
      <w:pPr>
        <w:rPr>
          <w:rStyle w:val="AERbody"/>
        </w:rPr>
      </w:pPr>
      <w:r>
        <w:rPr>
          <w:rStyle w:val="AERbody"/>
        </w:rPr>
        <w:t>However, we consider</w:t>
      </w:r>
      <w:r w:rsidR="00DF5547">
        <w:rPr>
          <w:rStyle w:val="AERbody"/>
        </w:rPr>
        <w:t xml:space="preserve"> that</w:t>
      </w:r>
      <w:r>
        <w:rPr>
          <w:rStyle w:val="AERbody"/>
        </w:rPr>
        <w:t xml:space="preserve"> </w:t>
      </w:r>
      <w:r w:rsidR="00865144">
        <w:rPr>
          <w:rStyle w:val="AERbody"/>
        </w:rPr>
        <w:t xml:space="preserve">such an approach is </w:t>
      </w:r>
      <w:r w:rsidR="00DF5547">
        <w:rPr>
          <w:rStyle w:val="AERbody"/>
        </w:rPr>
        <w:t>in</w:t>
      </w:r>
      <w:r w:rsidR="00865144">
        <w:rPr>
          <w:rStyle w:val="AERbody"/>
        </w:rPr>
        <w:t>appropriate and Frontier</w:t>
      </w:r>
      <w:r w:rsidR="00DF5547">
        <w:rPr>
          <w:rStyle w:val="AERbody"/>
        </w:rPr>
        <w:t xml:space="preserve"> should determine a new point estimate using the most recent data. In the 2011 study </w:t>
      </w:r>
      <w:r w:rsidR="002C7983">
        <w:rPr>
          <w:rStyle w:val="AERbody"/>
        </w:rPr>
        <w:t>SFG used the following methodology to get a point estimate:</w:t>
      </w:r>
    </w:p>
    <w:p w:rsidR="002C7983" w:rsidRPr="00E750F8" w:rsidRDefault="002C7983" w:rsidP="00C32CF1">
      <w:pPr>
        <w:pStyle w:val="AERquote"/>
        <w:rPr>
          <w:rStyle w:val="AERbody"/>
          <w:color w:val="000000"/>
          <w:sz w:val="20"/>
        </w:rPr>
      </w:pPr>
      <w:r w:rsidRPr="00113F3B">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2C7983" w:rsidRPr="00E750F8" w:rsidRDefault="00CF3F33" w:rsidP="00CF236B">
      <w:pPr>
        <w:pStyle w:val="AERquote"/>
        <w:rPr>
          <w:rStyle w:val="AERbody"/>
          <w:color w:val="000000"/>
          <w:sz w:val="20"/>
        </w:rPr>
      </w:pPr>
      <w:r w:rsidRPr="003D598E">
        <w:rPr>
          <w:rStyle w:val="AERbody"/>
          <w:color w:val="000000"/>
          <w:sz w:val="20"/>
        </w:rPr>
        <w:t xml:space="preserve">a. The average of the robust regression estimate of theta in Table 6 is 0.34; and </w:t>
      </w:r>
    </w:p>
    <w:p w:rsidR="00C32CF1" w:rsidRPr="00113F3B" w:rsidRDefault="00CF3F33" w:rsidP="008F407D">
      <w:pPr>
        <w:pStyle w:val="AERquote"/>
        <w:rPr>
          <w:rStyle w:val="AERbody"/>
          <w:color w:val="000000"/>
          <w:sz w:val="20"/>
        </w:rPr>
      </w:pPr>
      <w:r w:rsidRPr="003D598E">
        <w:rPr>
          <w:rStyle w:val="AERbody"/>
          <w:color w:val="000000"/>
          <w:sz w:val="20"/>
        </w:rPr>
        <w:t xml:space="preserve">b. </w:t>
      </w:r>
      <w:r w:rsidR="00C32CF1" w:rsidRPr="003D598E">
        <w:rPr>
          <w:rStyle w:val="AERbody"/>
          <w:color w:val="000000"/>
          <w:sz w:val="20"/>
        </w:rPr>
        <w:t>The average of the estimate of theta from Model Specification 4 across Table 5 to 8 is 0.35.</w:t>
      </w:r>
      <w:r w:rsidR="00C32CF1" w:rsidRPr="003D598E">
        <w:rPr>
          <w:rStyle w:val="FootnoteReference"/>
          <w:vertAlign w:val="baseline"/>
        </w:rPr>
        <w:t xml:space="preserve"> </w:t>
      </w:r>
      <w:r w:rsidR="00C32CF1" w:rsidRPr="00C32CF1">
        <w:rPr>
          <w:rStyle w:val="FootnoteReference"/>
        </w:rPr>
        <w:footnoteReference w:id="784"/>
      </w:r>
    </w:p>
    <w:p w:rsidR="00CB04CA" w:rsidRDefault="00CB04CA" w:rsidP="00A3116F">
      <w:pPr>
        <w:rPr>
          <w:rStyle w:val="AERbody"/>
        </w:rPr>
      </w:pPr>
      <w:r>
        <w:rPr>
          <w:rStyle w:val="AERbody"/>
        </w:rPr>
        <w:t xml:space="preserve">We note that Frontier </w:t>
      </w:r>
      <w:r w:rsidR="00957389">
        <w:rPr>
          <w:rStyle w:val="AERbody"/>
        </w:rPr>
        <w:t xml:space="preserve">in </w:t>
      </w:r>
      <w:r w:rsidR="006B14BA">
        <w:rPr>
          <w:rStyle w:val="AERbody"/>
        </w:rPr>
        <w:t>its</w:t>
      </w:r>
      <w:r w:rsidR="00957389">
        <w:rPr>
          <w:rStyle w:val="AERbody"/>
        </w:rPr>
        <w:t xml:space="preserve"> recent report </w:t>
      </w:r>
      <w:r w:rsidR="006B14BA">
        <w:rPr>
          <w:rStyle w:val="AERbody"/>
        </w:rPr>
        <w:t>has</w:t>
      </w:r>
      <w:r>
        <w:rPr>
          <w:rStyle w:val="AERbody"/>
        </w:rPr>
        <w:t xml:space="preserve"> not provided enough data to compute a new point estimate</w:t>
      </w:r>
      <w:r w:rsidR="00E84AD8">
        <w:rPr>
          <w:rStyle w:val="AERbody"/>
        </w:rPr>
        <w:t xml:space="preserve"> as per the methodology in the 2011 SFG study</w:t>
      </w:r>
      <w:r>
        <w:rPr>
          <w:rStyle w:val="AERbody"/>
        </w:rPr>
        <w:t xml:space="preserve">. However, from the data that has been presented it appears the point estimate may have </w:t>
      </w:r>
      <w:r w:rsidR="00B505F7">
        <w:rPr>
          <w:rStyle w:val="AERbody"/>
        </w:rPr>
        <w:t xml:space="preserve">slightly </w:t>
      </w:r>
      <w:r>
        <w:rPr>
          <w:rStyle w:val="AERbody"/>
        </w:rPr>
        <w:t>increased.</w:t>
      </w:r>
      <w:r>
        <w:rPr>
          <w:rStyle w:val="FootnoteReference"/>
        </w:rPr>
        <w:footnoteReference w:id="785"/>
      </w:r>
      <w:r>
        <w:rPr>
          <w:rStyle w:val="AERbody"/>
        </w:rPr>
        <w:t xml:space="preserve"> Overall from the </w:t>
      </w:r>
      <w:r w:rsidR="0040224B">
        <w:rPr>
          <w:rStyle w:val="AERbody"/>
        </w:rPr>
        <w:t xml:space="preserve">recent </w:t>
      </w:r>
      <w:r>
        <w:rPr>
          <w:rStyle w:val="AERbody"/>
        </w:rPr>
        <w:t>Frontier report the only outcome that can be obtained is that theta is in between 0.26 to 0.41.</w:t>
      </w:r>
    </w:p>
    <w:p w:rsidR="00B505F7" w:rsidRDefault="00B505F7" w:rsidP="00A3116F">
      <w:pPr>
        <w:rPr>
          <w:rStyle w:val="AERbody"/>
        </w:rPr>
      </w:pPr>
      <w:r>
        <w:rPr>
          <w:rStyle w:val="AERbody"/>
        </w:rPr>
        <w:t>Lally considers that given Frontier methodology and results, and having a preference for Model 4, a 0.35 theta estimate is reasonable.</w:t>
      </w:r>
      <w:r w:rsidRPr="00B505F7">
        <w:rPr>
          <w:rStyle w:val="FootnoteReference"/>
        </w:rPr>
        <w:footnoteReference w:id="786"/>
      </w:r>
      <w:r>
        <w:rPr>
          <w:rStyle w:val="AERbody"/>
        </w:rPr>
        <w:t xml:space="preserve"> However, Lally does have concerns with the methodology and this has been highlighted above.</w:t>
      </w:r>
      <w:r w:rsidRPr="00B505F7">
        <w:rPr>
          <w:rStyle w:val="FootnoteReference"/>
        </w:rPr>
        <w:footnoteReference w:id="787"/>
      </w:r>
    </w:p>
    <w:p w:rsidR="00C52695" w:rsidRPr="00CA67C0" w:rsidRDefault="00C52695" w:rsidP="00C52695">
      <w:pPr>
        <w:rPr>
          <w:rStyle w:val="AERbody"/>
        </w:rPr>
      </w:pPr>
      <w:r>
        <w:rPr>
          <w:rStyle w:val="AERbody"/>
        </w:rPr>
        <w:br w:type="page"/>
      </w:r>
    </w:p>
    <w:p w:rsidR="00C52695" w:rsidRPr="00883125" w:rsidRDefault="00C52695" w:rsidP="00C52695">
      <w:pPr>
        <w:pStyle w:val="Caption"/>
      </w:pPr>
      <w:bookmarkStart w:id="427" w:name="_Ref449538408"/>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F66D3">
        <w:rPr>
          <w:noProof/>
        </w:rPr>
        <w:t>20</w:t>
      </w:r>
      <w:r w:rsidRPr="001D37D5">
        <w:fldChar w:fldCharType="end"/>
      </w:r>
      <w:bookmarkEnd w:id="426"/>
      <w:bookmarkEnd w:id="427"/>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52695" w:rsidRPr="00222643" w:rsidTr="006425B8">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6425B8">
        <w:trPr>
          <w:cantSplit/>
          <w:trHeight w:val="479"/>
        </w:trPr>
        <w:tc>
          <w:tcPr>
            <w:tcW w:w="3227" w:type="dxa"/>
            <w:gridSpan w:val="2"/>
          </w:tcPr>
          <w:p w:rsidR="00C52695" w:rsidRPr="00C52695" w:rsidRDefault="00C52695" w:rsidP="00C52695">
            <w:pPr>
              <w:rPr>
                <w:rStyle w:val="Strong"/>
              </w:rPr>
            </w:pPr>
            <w:r w:rsidRPr="00883125">
              <w:rPr>
                <w:rStyle w:val="Strong"/>
              </w:rPr>
              <w:t>Dividend drop off study using hybrids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Feuerherdt, Gray and Hall (2010)</w:t>
            </w:r>
            <w:r w:rsidRPr="00C52695">
              <w:rPr>
                <w:rStyle w:val="FootnoteReference"/>
              </w:rPr>
              <w:footnoteReference w:id="788"/>
            </w:r>
          </w:p>
        </w:tc>
        <w:tc>
          <w:tcPr>
            <w:tcW w:w="1346" w:type="dxa"/>
          </w:tcPr>
          <w:p w:rsidR="00C52695" w:rsidRPr="00C52695" w:rsidRDefault="00C52695" w:rsidP="00C52695">
            <w:r w:rsidRPr="00883125">
              <w:t>N/A</w:t>
            </w:r>
            <w:r w:rsidRPr="00883125">
              <w:br/>
              <w:t>(1995–2002)</w:t>
            </w:r>
          </w:p>
        </w:tc>
        <w:tc>
          <w:tcPr>
            <w:tcW w:w="1347" w:type="dxa"/>
          </w:tcPr>
          <w:p w:rsidR="00C52695" w:rsidRPr="00883125" w:rsidRDefault="00C52695" w:rsidP="00C52695"/>
        </w:tc>
        <w:tc>
          <w:tcPr>
            <w:tcW w:w="3322" w:type="dxa"/>
            <w:gridSpan w:val="2"/>
          </w:tcPr>
          <w:p w:rsidR="00C52695" w:rsidRPr="00C52695" w:rsidRDefault="00C52695" w:rsidP="00C52695">
            <w:r w:rsidRPr="00883125">
              <w:t xml:space="preserve">Combined drop </w:t>
            </w:r>
            <w:r w:rsidRPr="00C52695">
              <w:t>off of 1.0. With dividends at full value, this is a utilisation rate of 0.</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 xml:space="preserve">Futures study (individual or </w:t>
            </w:r>
            <w:r w:rsidRPr="00C52695">
              <w:rPr>
                <w:rStyle w:val="Strong"/>
              </w:rPr>
              <w:t>index)</w:t>
            </w:r>
          </w:p>
        </w:tc>
        <w:tc>
          <w:tcPr>
            <w:tcW w:w="1346" w:type="dxa"/>
          </w:tcPr>
          <w:p w:rsidR="00C52695" w:rsidRPr="00883125" w:rsidRDefault="00C52695" w:rsidP="00C52695">
            <w:pPr>
              <w:rPr>
                <w:rStyle w:val="Strong"/>
              </w:rPr>
            </w:pPr>
          </w:p>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52695" w:rsidRPr="00883125" w:rsidRDefault="00C52695" w:rsidP="00C52695"/>
        </w:tc>
        <w:tc>
          <w:tcPr>
            <w:tcW w:w="2835" w:type="dxa"/>
          </w:tcPr>
          <w:p w:rsidR="00C52695" w:rsidRPr="00C52695" w:rsidRDefault="00C52695" w:rsidP="00C52695">
            <w:r w:rsidRPr="00883125">
              <w:t xml:space="preserve">SFG </w:t>
            </w:r>
            <w:r w:rsidRPr="00C52695">
              <w:t>(2013b)</w:t>
            </w:r>
            <w:r w:rsidRPr="00C52695">
              <w:rPr>
                <w:rStyle w:val="FootnoteReference"/>
              </w:rPr>
              <w:footnoteReference w:id="789"/>
            </w:r>
          </w:p>
        </w:tc>
        <w:tc>
          <w:tcPr>
            <w:tcW w:w="1346" w:type="dxa"/>
          </w:tcPr>
          <w:p w:rsidR="00C52695" w:rsidRPr="00883125" w:rsidRDefault="00C52695" w:rsidP="00C52695"/>
        </w:tc>
        <w:tc>
          <w:tcPr>
            <w:tcW w:w="1347" w:type="dxa"/>
          </w:tcPr>
          <w:p w:rsidR="00C52695" w:rsidRPr="00C52695" w:rsidRDefault="00C52695" w:rsidP="00C52695">
            <w:r w:rsidRPr="00883125">
              <w:t>0.12</w:t>
            </w:r>
            <w:r w:rsidRPr="00883125">
              <w:br/>
              <w:t>(2000–2013)</w:t>
            </w:r>
          </w:p>
        </w:tc>
        <w:tc>
          <w:tcPr>
            <w:tcW w:w="3322" w:type="dxa"/>
            <w:gridSpan w:val="2"/>
          </w:tcPr>
          <w:p w:rsidR="00C52695" w:rsidRPr="00C52695" w:rsidRDefault="00C52695" w:rsidP="00C52695">
            <w:r w:rsidRPr="00883125">
              <w:t>Uses individual firms.</w:t>
            </w:r>
          </w:p>
        </w:tc>
      </w:tr>
      <w:tr w:rsidR="00C52695" w:rsidRPr="00222643" w:rsidTr="006425B8">
        <w:trPr>
          <w:cantSplit/>
          <w:trHeight w:val="465"/>
        </w:trPr>
        <w:tc>
          <w:tcPr>
            <w:tcW w:w="392" w:type="dxa"/>
          </w:tcPr>
          <w:p w:rsidR="00C52695" w:rsidRPr="00883125" w:rsidRDefault="00C52695" w:rsidP="00C52695"/>
        </w:tc>
        <w:tc>
          <w:tcPr>
            <w:tcW w:w="2835" w:type="dxa"/>
          </w:tcPr>
          <w:p w:rsidR="00C52695" w:rsidRPr="00C52695" w:rsidRDefault="00C52695" w:rsidP="00C52695">
            <w:r w:rsidRPr="00883125">
              <w:t>Cannavan et al (2004)</w:t>
            </w:r>
            <w:r w:rsidRPr="00C52695">
              <w:rPr>
                <w:rStyle w:val="FootnoteReference"/>
              </w:rPr>
              <w:footnoteReference w:id="790"/>
            </w:r>
          </w:p>
        </w:tc>
        <w:tc>
          <w:tcPr>
            <w:tcW w:w="1346" w:type="dxa"/>
          </w:tcPr>
          <w:p w:rsidR="00C52695" w:rsidRPr="00C52695" w:rsidRDefault="00C52695" w:rsidP="00C52695">
            <w:r w:rsidRPr="00883125">
              <w:t>0–0.15</w:t>
            </w:r>
            <w:r w:rsidRPr="00883125">
              <w:br/>
              <w:t>(1994–1999)</w:t>
            </w:r>
          </w:p>
        </w:tc>
        <w:tc>
          <w:tcPr>
            <w:tcW w:w="1347" w:type="dxa"/>
          </w:tcPr>
          <w:p w:rsidR="00C52695" w:rsidRPr="00883125" w:rsidRDefault="00C52695" w:rsidP="00C52695"/>
        </w:tc>
        <w:tc>
          <w:tcPr>
            <w:tcW w:w="3322" w:type="dxa"/>
            <w:gridSpan w:val="2"/>
          </w:tcPr>
          <w:p w:rsidR="00C52695" w:rsidRPr="00C52695" w:rsidRDefault="00C52695" w:rsidP="00C52695">
            <w:r w:rsidRPr="00883125">
              <w:t>Uses individual firms.</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 xml:space="preserve">Cummings and </w:t>
            </w:r>
            <w:r w:rsidRPr="00C52695">
              <w:t>Frino (2008)</w:t>
            </w:r>
            <w:r w:rsidRPr="00C52695">
              <w:rPr>
                <w:rStyle w:val="FootnoteReference"/>
              </w:rPr>
              <w:footnoteReference w:id="791"/>
            </w:r>
          </w:p>
        </w:tc>
        <w:tc>
          <w:tcPr>
            <w:tcW w:w="1346" w:type="dxa"/>
          </w:tcPr>
          <w:p w:rsidR="00C52695" w:rsidRPr="00883125" w:rsidRDefault="00C52695" w:rsidP="00C52695"/>
        </w:tc>
        <w:tc>
          <w:tcPr>
            <w:tcW w:w="1347" w:type="dxa"/>
          </w:tcPr>
          <w:p w:rsidR="00C52695" w:rsidRPr="00C52695" w:rsidRDefault="00C52695" w:rsidP="00C52695">
            <w:r w:rsidRPr="00883125">
              <w:t>0.52</w:t>
            </w:r>
            <w:r w:rsidRPr="00883125">
              <w:br/>
              <w:t>(2002–2005)</w:t>
            </w:r>
          </w:p>
        </w:tc>
        <w:tc>
          <w:tcPr>
            <w:tcW w:w="3322" w:type="dxa"/>
            <w:gridSpan w:val="2"/>
          </w:tcPr>
          <w:p w:rsidR="00C52695" w:rsidRPr="00C52695" w:rsidRDefault="00C52695" w:rsidP="00C52695">
            <w:r w:rsidRPr="00883125">
              <w:t>Uses index.</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Rate of return study</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NERA (2013b)</w:t>
            </w:r>
            <w:r w:rsidRPr="00C52695">
              <w:rPr>
                <w:rStyle w:val="FootnoteReference"/>
              </w:rPr>
              <w:footnoteReference w:id="792"/>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-1.90</w:t>
            </w:r>
            <w:r w:rsidRPr="00883125">
              <w:br/>
              <w:t>(2000–2012)</w:t>
            </w:r>
          </w:p>
        </w:tc>
        <w:tc>
          <w:tcPr>
            <w:tcW w:w="3322" w:type="dxa"/>
            <w:gridSpan w:val="2"/>
          </w:tcPr>
          <w:p w:rsidR="00C52695" w:rsidRPr="00C52695" w:rsidRDefault="00C52695" w:rsidP="00C52695">
            <w:r w:rsidRPr="00883125">
              <w:t>Uses past returns. For the entire period, estimate is -1.50.</w:t>
            </w:r>
          </w:p>
        </w:tc>
      </w:tr>
      <w:tr w:rsidR="00C52695" w:rsidRPr="00222643" w:rsidTr="006425B8">
        <w:trPr>
          <w:cantSplit/>
          <w:trHeight w:val="535"/>
        </w:trPr>
        <w:tc>
          <w:tcPr>
            <w:tcW w:w="392" w:type="dxa"/>
          </w:tcPr>
          <w:p w:rsidR="00C52695" w:rsidRPr="00883125" w:rsidRDefault="00C52695" w:rsidP="00C52695"/>
        </w:tc>
        <w:tc>
          <w:tcPr>
            <w:tcW w:w="2835" w:type="dxa"/>
          </w:tcPr>
          <w:p w:rsidR="00C52695" w:rsidRPr="00C52695" w:rsidRDefault="00C52695" w:rsidP="00C52695">
            <w:r w:rsidRPr="00883125">
              <w:t>Lajbcygier and Wheatley (2012)</w:t>
            </w:r>
            <w:r w:rsidRPr="00C52695">
              <w:rPr>
                <w:rStyle w:val="FootnoteReference"/>
              </w:rPr>
              <w:footnoteReference w:id="793"/>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-1.68</w:t>
            </w:r>
            <w:r w:rsidRPr="00883125">
              <w:br/>
            </w:r>
            <w:r w:rsidRPr="00C52695">
              <w:t>(2000–2009)</w:t>
            </w:r>
          </w:p>
        </w:tc>
        <w:tc>
          <w:tcPr>
            <w:tcW w:w="3322" w:type="dxa"/>
            <w:gridSpan w:val="2"/>
          </w:tcPr>
          <w:p w:rsidR="00C52695" w:rsidRPr="00C52695" w:rsidRDefault="00C52695" w:rsidP="00C52695">
            <w:r w:rsidRPr="00883125">
              <w:t>Uses</w:t>
            </w:r>
            <w:r w:rsidRPr="00C52695">
              <w:t xml:space="preserve"> past returns. For the entire period, estimate is -1.88</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(2013)</w:t>
            </w:r>
            <w:r w:rsidRPr="00C52695">
              <w:rPr>
                <w:rStyle w:val="FootnoteReference"/>
              </w:rPr>
              <w:footnoteReference w:id="794"/>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w:t>
            </w:r>
            <w:r w:rsidRPr="00C52695">
              <w:t>returns. Note range is from negative 0.29 to positive 0.30.</w:t>
            </w:r>
          </w:p>
        </w:tc>
      </w:tr>
      <w:tr w:rsidR="00C52695" w:rsidRPr="00222643" w:rsidTr="006425B8">
        <w:trPr>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(2015)</w:t>
            </w:r>
            <w:r w:rsidRPr="00C52695">
              <w:rPr>
                <w:rStyle w:val="FootnoteReference"/>
              </w:rPr>
              <w:footnoteReference w:id="795"/>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returns. Note range is from negative 0.29 to positive 0.30. </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NERA (2015)</w:t>
            </w:r>
            <w:r w:rsidRPr="00C52695">
              <w:rPr>
                <w:rStyle w:val="FootnoteReference"/>
              </w:rPr>
              <w:footnoteReference w:id="796"/>
            </w:r>
          </w:p>
        </w:tc>
        <w:tc>
          <w:tcPr>
            <w:tcW w:w="1346" w:type="dxa"/>
          </w:tcPr>
          <w:p w:rsidR="00C52695" w:rsidRPr="00C52695" w:rsidRDefault="00C52695" w:rsidP="00C52695">
            <w:r w:rsidRPr="00883125">
              <w:t>-0.90                         (1987-2000)</w:t>
            </w:r>
          </w:p>
        </w:tc>
        <w:tc>
          <w:tcPr>
            <w:tcW w:w="1347" w:type="dxa"/>
          </w:tcPr>
          <w:p w:rsidR="00C52695" w:rsidRPr="00C52695" w:rsidRDefault="00C52695" w:rsidP="00C52695">
            <w:r w:rsidRPr="00883125">
              <w:t xml:space="preserve">-3.18              </w:t>
            </w:r>
            <w:r w:rsidRPr="00C52695">
              <w:t xml:space="preserve">      (2000-2013)</w:t>
            </w:r>
          </w:p>
        </w:tc>
        <w:tc>
          <w:tcPr>
            <w:tcW w:w="3322" w:type="dxa"/>
            <w:gridSpan w:val="2"/>
          </w:tcPr>
          <w:p w:rsidR="00C52695" w:rsidRPr="00C52695" w:rsidRDefault="00C52695" w:rsidP="00C52695">
            <w:r w:rsidRPr="00883125">
              <w:t>Uses past returns. For the entire period, estimate is -1.76</w:t>
            </w:r>
          </w:p>
        </w:tc>
      </w:tr>
      <w:tr w:rsidR="00C52695" w:rsidRPr="00222643" w:rsidTr="006425B8">
        <w:trPr>
          <w:cantSplit/>
          <w:trHeight w:val="402"/>
        </w:trPr>
        <w:tc>
          <w:tcPr>
            <w:tcW w:w="3227" w:type="dxa"/>
            <w:gridSpan w:val="2"/>
          </w:tcPr>
          <w:p w:rsidR="00C52695" w:rsidRPr="00C52695" w:rsidRDefault="00C52695" w:rsidP="00C52695">
            <w:pPr>
              <w:rPr>
                <w:rStyle w:val="Strong"/>
              </w:rPr>
            </w:pPr>
            <w:r w:rsidRPr="00883125">
              <w:rPr>
                <w:rStyle w:val="Strong"/>
              </w:rPr>
              <w:t>Simultaneous share trades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52695" w:rsidRPr="00883125" w:rsidRDefault="00C52695" w:rsidP="00C52695"/>
        </w:tc>
        <w:tc>
          <w:tcPr>
            <w:tcW w:w="2835" w:type="dxa"/>
          </w:tcPr>
          <w:p w:rsidR="00C52695" w:rsidRPr="00C52695" w:rsidRDefault="00C52695" w:rsidP="00C52695">
            <w:r w:rsidRPr="00883125">
              <w:t>Chu and Partington (2008)</w:t>
            </w:r>
            <w:r w:rsidRPr="00C52695">
              <w:rPr>
                <w:rStyle w:val="FootnoteReference"/>
              </w:rPr>
              <w:footnoteReference w:id="797"/>
            </w:r>
          </w:p>
        </w:tc>
        <w:tc>
          <w:tcPr>
            <w:tcW w:w="1346" w:type="dxa"/>
          </w:tcPr>
          <w:p w:rsidR="00C52695" w:rsidRPr="00C52695" w:rsidRDefault="00C52695" w:rsidP="00C52695">
            <w:r w:rsidRPr="00883125">
              <w:t>N/A</w:t>
            </w:r>
            <w:r w:rsidRPr="00883125">
              <w:br/>
              <w:t>(1996)</w:t>
            </w:r>
          </w:p>
        </w:tc>
        <w:tc>
          <w:tcPr>
            <w:tcW w:w="1347" w:type="dxa"/>
          </w:tcPr>
          <w:p w:rsidR="00C52695" w:rsidRPr="00883125" w:rsidRDefault="00C52695" w:rsidP="00C52695"/>
        </w:tc>
        <w:tc>
          <w:tcPr>
            <w:tcW w:w="3322" w:type="dxa"/>
            <w:gridSpan w:val="2"/>
          </w:tcPr>
          <w:p w:rsidR="00C52695" w:rsidRPr="00C52695" w:rsidRDefault="00C52695" w:rsidP="00C52695">
            <w:r w:rsidRPr="00883125">
              <w:t>Combined drop off of 1.29. With dividends at full value, this is a utilisation rate of 0.68.</w:t>
            </w:r>
          </w:p>
        </w:tc>
      </w:tr>
      <w:tr w:rsidR="00C52695" w:rsidRPr="00222643" w:rsidTr="006425B8">
        <w:trPr>
          <w:cantSplit/>
          <w:trHeight w:val="284"/>
        </w:trPr>
        <w:tc>
          <w:tcPr>
            <w:tcW w:w="392" w:type="dxa"/>
          </w:tcPr>
          <w:p w:rsidR="00C52695" w:rsidRPr="00883125" w:rsidRDefault="00C52695" w:rsidP="00C52695"/>
        </w:tc>
        <w:tc>
          <w:tcPr>
            <w:tcW w:w="2835" w:type="dxa"/>
          </w:tcPr>
          <w:p w:rsidR="00C52695" w:rsidRPr="00C52695" w:rsidRDefault="00C52695" w:rsidP="00C52695">
            <w:r w:rsidRPr="00883125">
              <w:t xml:space="preserve">Walker and </w:t>
            </w:r>
            <w:r w:rsidRPr="00C52695">
              <w:t>Partington (1999)</w:t>
            </w:r>
            <w:r w:rsidRPr="00C52695">
              <w:rPr>
                <w:rStyle w:val="FootnoteReference"/>
              </w:rPr>
              <w:footnoteReference w:id="798"/>
            </w:r>
          </w:p>
        </w:tc>
        <w:tc>
          <w:tcPr>
            <w:tcW w:w="1346" w:type="dxa"/>
          </w:tcPr>
          <w:p w:rsidR="00C52695" w:rsidRPr="00C52695" w:rsidRDefault="00C52695" w:rsidP="00C52695">
            <w:r w:rsidRPr="00883125">
              <w:t>0.88–0.96</w:t>
            </w:r>
            <w:r w:rsidRPr="00883125">
              <w:br/>
              <w:t>(1995–1997)</w:t>
            </w:r>
          </w:p>
        </w:tc>
        <w:tc>
          <w:tcPr>
            <w:tcW w:w="1347" w:type="dxa"/>
          </w:tcPr>
          <w:p w:rsidR="00C52695" w:rsidRPr="00883125" w:rsidRDefault="00C52695" w:rsidP="00C52695"/>
        </w:tc>
        <w:tc>
          <w:tcPr>
            <w:tcW w:w="3322" w:type="dxa"/>
            <w:gridSpan w:val="2"/>
          </w:tcPr>
          <w:p w:rsidR="00C52695" w:rsidRPr="00883125" w:rsidDel="003D6627"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52695" w:rsidRPr="00883125" w:rsidRDefault="00C52695" w:rsidP="00C52695"/>
        </w:tc>
        <w:tc>
          <w:tcPr>
            <w:tcW w:w="2835" w:type="dxa"/>
          </w:tcPr>
          <w:p w:rsidR="00C52695" w:rsidRPr="00C52695" w:rsidRDefault="00C52695" w:rsidP="00C52695">
            <w:r w:rsidRPr="00883125">
              <w:t>Chu and Partington (2001)</w:t>
            </w:r>
            <w:r w:rsidRPr="00C52695">
              <w:rPr>
                <w:rStyle w:val="FootnoteReference"/>
              </w:rPr>
              <w:footnoteReference w:id="799"/>
            </w:r>
          </w:p>
        </w:tc>
        <w:tc>
          <w:tcPr>
            <w:tcW w:w="1346" w:type="dxa"/>
          </w:tcPr>
          <w:p w:rsidR="00C52695" w:rsidRPr="00C52695" w:rsidRDefault="00C52695" w:rsidP="00C52695">
            <w:r w:rsidRPr="00883125">
              <w:t>N/A</w:t>
            </w:r>
            <w:r w:rsidRPr="00883125">
              <w:br/>
              <w:t>(1991–1999)</w:t>
            </w:r>
          </w:p>
        </w:tc>
        <w:tc>
          <w:tcPr>
            <w:tcW w:w="1347" w:type="dxa"/>
          </w:tcPr>
          <w:p w:rsidR="00C52695" w:rsidRPr="00883125" w:rsidRDefault="00C52695" w:rsidP="00C52695"/>
        </w:tc>
        <w:tc>
          <w:tcPr>
            <w:tcW w:w="3322" w:type="dxa"/>
            <w:gridSpan w:val="2"/>
          </w:tcPr>
          <w:p w:rsidR="00C52695" w:rsidRPr="00C52695" w:rsidDel="003D6627" w:rsidRDefault="00C52695" w:rsidP="00C52695">
            <w:r w:rsidRPr="00883125">
              <w:t>Combined drop off</w:t>
            </w:r>
            <w:r w:rsidRPr="00C52695">
              <w:t xml:space="preserve"> of 1.5. With dividends at full value, this is a utilisation rate above 1.</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A3116F">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800"/>
      </w:r>
    </w:p>
    <w:p w:rsidR="00C52695" w:rsidRDefault="00C52695" w:rsidP="00A3116F">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801"/>
      </w:r>
      <w:r w:rsidRPr="00883125">
        <w:t xml:space="preserve"> While NERA has responded to the criticism effectively stating the results may indicate there is something wrong with the SLCAPM</w:t>
      </w:r>
      <w:r w:rsidRPr="00883125">
        <w:rPr>
          <w:rStyle w:val="FootnoteReference"/>
        </w:rPr>
        <w:footnoteReference w:id="802"/>
      </w:r>
      <w:r w:rsidRPr="00883125">
        <w:t>, this does not resolve the issue of the reliability of the theta estimate for use in the SLCAPM.</w:t>
      </w:r>
      <w:r w:rsidRPr="00883125">
        <w:rPr>
          <w:rStyle w:val="FootnoteReference"/>
        </w:rPr>
        <w:footnoteReference w:id="803"/>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804"/>
      </w:r>
    </w:p>
    <w:p w:rsidR="00E37CE4" w:rsidRPr="00883125" w:rsidRDefault="00E37CE4" w:rsidP="00A3116F"/>
    <w:p w:rsidR="00C52695" w:rsidRPr="00CA67C0" w:rsidRDefault="00C52695" w:rsidP="00C52695">
      <w:pPr>
        <w:pStyle w:val="Heading9"/>
      </w:pPr>
      <w:bookmarkStart w:id="428" w:name="_Ref435171205"/>
      <w:bookmarkStart w:id="429" w:name="_Toc456614340"/>
      <w:bookmarkStart w:id="430" w:name="_Toc462823344"/>
      <w:bookmarkStart w:id="431" w:name="_Toc487014352"/>
      <w:r w:rsidRPr="00883125">
        <w:t>Comparison with other market-based estimation approaches</w:t>
      </w:r>
      <w:bookmarkEnd w:id="428"/>
      <w:bookmarkEnd w:id="429"/>
      <w:bookmarkEnd w:id="430"/>
      <w:bookmarkEnd w:id="431"/>
    </w:p>
    <w:p w:rsidR="00C52695" w:rsidRPr="00CA67C0" w:rsidRDefault="00C52695" w:rsidP="00C52695">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805"/>
      </w:r>
      <w:r w:rsidRPr="00CA67C0">
        <w:t xml:space="preserve"> </w:t>
      </w:r>
      <w:r w:rsidR="003D52F6">
        <w:t>Multi</w:t>
      </w:r>
      <w:r w:rsidR="007A0E11">
        <w:t>N</w:t>
      </w:r>
      <w:r w:rsidR="003D52F6">
        <w:t xml:space="preserve">et </w:t>
      </w:r>
      <w:r w:rsidR="000E11C3">
        <w:t xml:space="preserve">and AusNet Gas Distribution </w:t>
      </w:r>
      <w:r w:rsidR="003D52F6">
        <w:t>ha</w:t>
      </w:r>
      <w:r w:rsidR="007A0E11">
        <w:t>ve</w:t>
      </w:r>
      <w:r w:rsidR="003D52F6">
        <w:t xml:space="preserve"> submitted a new report</w:t>
      </w:r>
      <w:r w:rsidR="001E3B1D">
        <w:t xml:space="preserve"> by Frontier</w:t>
      </w:r>
      <w:r w:rsidR="003D52F6">
        <w:t xml:space="preserve"> in support of this</w:t>
      </w:r>
      <w:r w:rsidR="002A7E2F">
        <w:t>.</w:t>
      </w:r>
      <w:r w:rsidR="002A7E2F">
        <w:rPr>
          <w:rStyle w:val="FootnoteReference"/>
        </w:rPr>
        <w:footnoteReference w:id="806"/>
      </w:r>
      <w:r w:rsidR="002A7E2F">
        <w:t xml:space="preserve"> </w:t>
      </w:r>
      <w:r w:rsidRPr="00CA67C0">
        <w:t xml:space="preserve">We disagree. As we set our prior decisions, we consider that the use of market prices to estimate the value of imputation credits is fundamentally different to using market prices to estimate other rate of return parameters. </w:t>
      </w:r>
      <w:r w:rsidR="0006482A">
        <w:t xml:space="preserve">This is further discussed in section </w:t>
      </w:r>
      <w:r w:rsidR="00001B62">
        <w:fldChar w:fldCharType="begin"/>
      </w:r>
      <w:r w:rsidR="00001B62">
        <w:instrText xml:space="preserve"> REF _Ref450298425 \r \h </w:instrText>
      </w:r>
      <w:r w:rsidR="00001B62">
        <w:fldChar w:fldCharType="separate"/>
      </w:r>
      <w:r w:rsidR="00BF66D3">
        <w:t>A.8.2</w:t>
      </w:r>
      <w:r w:rsidR="00001B62">
        <w:fldChar w:fldCharType="end"/>
      </w:r>
      <w:r w:rsidR="00CB5775">
        <w:t>, which shows our approach is internally consistent.</w:t>
      </w:r>
    </w:p>
    <w:p w:rsidR="00C52695" w:rsidRPr="00883125" w:rsidRDefault="00C52695" w:rsidP="00C52695">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807"/>
      </w:r>
      <w:r w:rsidRPr="00883125">
        <w:t xml:space="preserve"> By contrast, imputation credits are not separately traded. Therefore, no market price exists for imputation credits in the same manner as that for separately traded assets.</w:t>
      </w:r>
    </w:p>
    <w:p w:rsidR="00C52695" w:rsidRPr="00883125" w:rsidRDefault="00C52695" w:rsidP="00C52695">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these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808"/>
      </w:r>
      <w:r>
        <w:t xml:space="preserve"> </w:t>
      </w:r>
      <w:r w:rsidRPr="00883125">
        <w:t xml:space="preserve">This is further discussed in detail in section </w:t>
      </w:r>
      <w:r>
        <w:fldChar w:fldCharType="begin"/>
      </w:r>
      <w:r>
        <w:instrText xml:space="preserve"> REF _Ref450840388 \r \h </w:instrText>
      </w:r>
      <w:r>
        <w:fldChar w:fldCharType="separate"/>
      </w:r>
      <w:r w:rsidR="00BF66D3">
        <w:t>A.8.2</w:t>
      </w:r>
      <w:r>
        <w:fldChar w:fldCharType="end"/>
      </w:r>
      <w:r w:rsidRPr="00883125">
        <w:t xml:space="preserve"> and an example is provided to demonstrate the impact below.</w:t>
      </w:r>
    </w:p>
    <w:p w:rsidR="00C52695" w:rsidRPr="00883125" w:rsidRDefault="00C52695" w:rsidP="00C52695">
      <w:r w:rsidRPr="00883125">
        <w:t>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beta.</w:t>
      </w:r>
      <w:r w:rsidRPr="00883125">
        <w:rPr>
          <w:rStyle w:val="FootnoteReference"/>
        </w:rPr>
        <w:footnoteReference w:id="809"/>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810"/>
      </w:r>
    </w:p>
    <w:p w:rsidR="00C52695" w:rsidRPr="00883125" w:rsidRDefault="00C52695" w:rsidP="00C52695">
      <w:r w:rsidRPr="00883125">
        <w:t>A number of service providers also submitted, consistent with advice from Gray (for SFG), that we do not seek to adjust other rate of return parameters for personal costs.</w:t>
      </w:r>
      <w:r w:rsidRPr="00883125">
        <w:rPr>
          <w:rStyle w:val="FootnoteReference"/>
        </w:rPr>
        <w:footnoteReference w:id="811"/>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812"/>
      </w:r>
    </w:p>
    <w:p w:rsidR="00C52695" w:rsidRPr="00883125" w:rsidRDefault="00C52695" w:rsidP="00C52695">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813"/>
      </w:r>
    </w:p>
    <w:p w:rsidR="00C52695" w:rsidRPr="00883125" w:rsidRDefault="00C52695" w:rsidP="00C52695">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52695" w:rsidRPr="00883125" w:rsidRDefault="00C52695" w:rsidP="00C52695">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52695" w:rsidRPr="00883125" w:rsidRDefault="00C52695" w:rsidP="00C52695">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814"/>
      </w:r>
    </w:p>
    <w:p w:rsidR="00C52695" w:rsidRPr="001D37D5" w:rsidRDefault="00C52695" w:rsidP="00C52695">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52695" w:rsidRPr="001D37D5" w:rsidRDefault="00C52695" w:rsidP="00C52695">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52695" w:rsidRPr="00883125" w:rsidRDefault="00C52695" w:rsidP="00C52695">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52695" w:rsidRPr="00883125" w:rsidRDefault="00C52695" w:rsidP="00C52695">
      <w:r>
        <w:t xml:space="preserve">Where income and capital gains are taxed at the same rate, </w:t>
      </w:r>
      <w:r w:rsidRPr="00883125">
        <w:t>the investor should be indifferent between receiving the cum-dividend price or the ex-divide</w:t>
      </w:r>
      <w:r w:rsidR="00FE3642">
        <w:t>nd price plus the dividend. That is,</w:t>
      </w:r>
    </w:p>
    <w:p w:rsidR="00C52695" w:rsidRPr="00883125" w:rsidRDefault="00C52695" w:rsidP="00C52695"/>
    <w:p w:rsidR="00C52695" w:rsidRDefault="00C52695" w:rsidP="00C52695">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52695" w:rsidRPr="00B27BE5" w:rsidRDefault="00C52695" w:rsidP="00C52695"/>
    <w:p w:rsidR="00C52695" w:rsidRPr="00883125" w:rsidRDefault="00C52695" w:rsidP="00C52695">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C52695" w:rsidRPr="00883125" w:rsidRDefault="00C52695" w:rsidP="00C52695">
      <w:r w:rsidRPr="00883125">
        <w:t>To demonstrate assume an investor faces the following investment scenario:</w:t>
      </w:r>
    </w:p>
    <w:p w:rsidR="00C52695" w:rsidRPr="00B27BE5" w:rsidRDefault="00C52695" w:rsidP="00D414CC">
      <w:pPr>
        <w:pStyle w:val="AERbulletlistfirststyle"/>
      </w:pPr>
      <w:r w:rsidRPr="00883125">
        <w:t>(P</w:t>
      </w:r>
      <w:r w:rsidRPr="00B27BE5">
        <w:rPr>
          <w:rStyle w:val="AERsubscript"/>
        </w:rPr>
        <w:t>cost</w:t>
      </w:r>
      <w:r w:rsidRPr="00B27BE5">
        <w:t>) Purchased share in 2010 for $10</w:t>
      </w:r>
    </w:p>
    <w:p w:rsidR="00C52695" w:rsidRPr="00B27BE5" w:rsidRDefault="00C52695" w:rsidP="00D414CC">
      <w:pPr>
        <w:pStyle w:val="AERbulletlistfirststyle"/>
      </w:pPr>
      <w:r w:rsidRPr="00883125">
        <w:t>(P</w:t>
      </w:r>
      <w:r w:rsidRPr="00B27BE5">
        <w:rPr>
          <w:rStyle w:val="AERsubscript"/>
        </w:rPr>
        <w:t>cum-div</w:t>
      </w:r>
      <w:r w:rsidRPr="00B27BE5">
        <w:t>) Current cum dividend price in 2016 is $20</w:t>
      </w:r>
    </w:p>
    <w:p w:rsidR="00C52695" w:rsidRPr="00B27BE5" w:rsidRDefault="00C52695" w:rsidP="00D414CC">
      <w:pPr>
        <w:pStyle w:val="AERbulletlistfirststyle"/>
      </w:pPr>
      <w:r w:rsidRPr="00883125">
        <w:t xml:space="preserve">(D) </w:t>
      </w:r>
      <w:r w:rsidRPr="00B27BE5">
        <w:t>2016 dividend is $1 assume fully unfranked</w:t>
      </w:r>
    </w:p>
    <w:p w:rsidR="00C52695" w:rsidRPr="00B27BE5" w:rsidRDefault="00C52695" w:rsidP="00D414CC">
      <w:pPr>
        <w:pStyle w:val="AERbulletlistfirststyle"/>
      </w:pPr>
      <w:r w:rsidRPr="00883125">
        <w:t>(P</w:t>
      </w:r>
      <w:r w:rsidRPr="00B27BE5">
        <w:rPr>
          <w:rStyle w:val="AERsubscript"/>
        </w:rPr>
        <w:t>ex-div</w:t>
      </w:r>
      <w:r w:rsidRPr="00B27BE5">
        <w:t>) Ex-dividend price in 2016 is $19 (calculated as cum-div price minus dividend)</w:t>
      </w:r>
    </w:p>
    <w:p w:rsidR="00C52695" w:rsidRPr="00B27BE5" w:rsidRDefault="00C52695" w:rsidP="00D414CC">
      <w:pPr>
        <w:pStyle w:val="AERbulletlistfirststyle"/>
      </w:pPr>
      <w:r w:rsidRPr="00883125">
        <w:t xml:space="preserve">(MTR) </w:t>
      </w:r>
      <w:r w:rsidRPr="00B27BE5">
        <w:t>Investors marginal tax rate = 47 %</w:t>
      </w:r>
    </w:p>
    <w:p w:rsidR="00C52695" w:rsidRPr="00B27BE5" w:rsidRDefault="00C52695" w:rsidP="00D414CC">
      <w:pPr>
        <w:pStyle w:val="AERbulletlistfirststyle"/>
      </w:pPr>
      <w:r w:rsidRPr="00883125">
        <w:t>(CGT</w:t>
      </w:r>
      <w:r w:rsidRPr="00B27BE5">
        <w:rPr>
          <w:rStyle w:val="AERsubscript"/>
        </w:rPr>
        <w:t>discount</w:t>
      </w:r>
      <w:r w:rsidRPr="00B27BE5">
        <w:t>) capital gains discount (0.5 when shares held for more than 12 months, otherwise 1)</w:t>
      </w:r>
    </w:p>
    <w:p w:rsidR="00C52695" w:rsidRPr="00B27BE5" w:rsidRDefault="00C52695" w:rsidP="00D414CC">
      <w:pPr>
        <w:pStyle w:val="AERbulletlistfirststyle"/>
      </w:pPr>
      <w:r w:rsidRPr="00883125">
        <w:t xml:space="preserve">For the time being it will </w:t>
      </w:r>
      <w:r w:rsidRPr="00B27BE5">
        <w:t>be assumed that there is one type of investor in the economy, however, this assumption will be relaxed.</w:t>
      </w:r>
    </w:p>
    <w:p w:rsidR="00C52695" w:rsidRPr="00E1560E" w:rsidRDefault="00C52695" w:rsidP="00C52695">
      <w:pPr>
        <w:rPr>
          <w:rStyle w:val="AERbody"/>
        </w:rPr>
      </w:pPr>
      <w:r w:rsidRPr="00E1560E">
        <w:rPr>
          <w:rStyle w:val="AERbody"/>
        </w:rPr>
        <w:t>Under this scenario ex-dividend and cum-dividend returns are equal on a pre-personal tax basis:</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C52695" w:rsidRPr="00883125" w:rsidRDefault="00C52695" w:rsidP="00C52695">
      <w:pPr>
        <w:pStyle w:val="AERbodytextcentre"/>
      </w:pPr>
      <w:r w:rsidRPr="00883125">
        <w:t>20 = 19 +1</w:t>
      </w:r>
    </w:p>
    <w:p w:rsidR="00C52695" w:rsidRPr="00B27BE5" w:rsidRDefault="00C52695" w:rsidP="00C52695">
      <w:pPr>
        <w:rPr>
          <w:rStyle w:val="AERbody"/>
        </w:rPr>
      </w:pPr>
    </w:p>
    <w:p w:rsidR="00C52695" w:rsidRPr="00B27BE5" w:rsidRDefault="00C52695" w:rsidP="00C52695">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52695" w:rsidRPr="00B27BE5" w:rsidRDefault="00C52695" w:rsidP="00C52695">
      <w:pPr>
        <w:rPr>
          <w:rStyle w:val="AERbody"/>
        </w:rPr>
      </w:pPr>
    </w:p>
    <w:p w:rsidR="00C52695" w:rsidRPr="00883125" w:rsidRDefault="00C52695" w:rsidP="00C52695">
      <w:pPr>
        <w:pStyle w:val="AERbodytextcentre"/>
      </w:pPr>
      <w:r w:rsidRPr="00883125">
        <w:t>Post Tax return = P</w:t>
      </w:r>
      <w:r w:rsidRPr="00883125">
        <w:rPr>
          <w:rStyle w:val="AERsubscript"/>
        </w:rPr>
        <w:t>cum-div</w:t>
      </w:r>
      <w:r w:rsidRPr="00883125">
        <w:t xml:space="preserve"> - Personal Tax (CGT)</w:t>
      </w:r>
    </w:p>
    <w:p w:rsidR="00C52695" w:rsidRPr="00883125" w:rsidRDefault="00C52695" w:rsidP="00C52695">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52695" w:rsidRPr="00883125" w:rsidRDefault="00C52695" w:rsidP="00C52695">
      <w:pPr>
        <w:pStyle w:val="AERbodytextcentre"/>
      </w:pPr>
      <w:r w:rsidRPr="00883125">
        <w:t>Personal Tax Capital Gain = (20-10) * 0.5 * 0.47</w:t>
      </w:r>
    </w:p>
    <w:p w:rsidR="00C52695" w:rsidRPr="00883125" w:rsidRDefault="00C52695" w:rsidP="00C52695">
      <w:pPr>
        <w:pStyle w:val="AERbodytextcentre"/>
      </w:pPr>
      <w:r w:rsidRPr="00883125">
        <w:t>Personal Tax Capital Gain = 2.35</w:t>
      </w:r>
    </w:p>
    <w:p w:rsidR="00C52695" w:rsidRPr="00883125" w:rsidRDefault="00C52695" w:rsidP="00C52695">
      <w:pPr>
        <w:pStyle w:val="AERbodytextcentre"/>
      </w:pPr>
      <w:r w:rsidRPr="00883125">
        <w:t>Post Tax return = 20 - 2.35 = 17.65</w:t>
      </w:r>
    </w:p>
    <w:p w:rsidR="00C52695" w:rsidRPr="00883125" w:rsidRDefault="00C52695" w:rsidP="00C52695"/>
    <w:p w:rsidR="00C52695" w:rsidRPr="00883125" w:rsidRDefault="00C52695" w:rsidP="00C52695">
      <w:r w:rsidRPr="00883125">
        <w:t>The investors post personal tax return if they sell ex-dividend is:</w:t>
      </w:r>
    </w:p>
    <w:p w:rsidR="00C52695" w:rsidRPr="00883125" w:rsidRDefault="00C52695" w:rsidP="00C52695"/>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Personal Tax (CGT) = (19-10) * 0.5 * 0.47 = 2.115</w:t>
      </w:r>
    </w:p>
    <w:p w:rsidR="00C52695" w:rsidRPr="00883125" w:rsidRDefault="00C52695" w:rsidP="00C52695">
      <w:pPr>
        <w:pStyle w:val="AERbodytextcentre"/>
      </w:pPr>
      <w:r w:rsidRPr="00883125">
        <w:t>Personal Tax (Dividend) = 1 * 0.47 = 0.47</w:t>
      </w:r>
    </w:p>
    <w:p w:rsidR="00C52695" w:rsidRPr="00883125" w:rsidRDefault="00C52695" w:rsidP="00C52695">
      <w:pPr>
        <w:pStyle w:val="AERbodytextcentre"/>
      </w:pPr>
      <w:r w:rsidRPr="00883125">
        <w:t>Total Tax = 2.115 + 0.47 = 2.585</w:t>
      </w:r>
    </w:p>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 19 + 1 - 2.115 - 0.47 = 17.415</w:t>
      </w:r>
    </w:p>
    <w:p w:rsidR="00C52695" w:rsidRPr="00883125" w:rsidRDefault="00C52695" w:rsidP="00C52695"/>
    <w:p w:rsidR="00C52695" w:rsidRPr="00B27BE5" w:rsidRDefault="00C52695" w:rsidP="00C52695">
      <w:r w:rsidRPr="00883125">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52695" w:rsidRPr="00B27BE5" w:rsidRDefault="00C52695" w:rsidP="00C52695">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52695" w:rsidRPr="00883125" w:rsidRDefault="00C52695" w:rsidP="00C52695"/>
    <w:p w:rsidR="00C52695" w:rsidRPr="00883125" w:rsidRDefault="00C52695" w:rsidP="00C52695">
      <w:pPr>
        <w:pStyle w:val="AERbodytextcentre"/>
      </w:pPr>
      <w:r w:rsidRPr="00883125">
        <w:t>Post Tax return cum div = Post Tax return ex div</w:t>
      </w:r>
    </w:p>
    <w:p w:rsidR="00C52695" w:rsidRPr="00883125" w:rsidRDefault="00C52695" w:rsidP="00C52695">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This is the equilibrium condition.</w:t>
      </w:r>
    </w:p>
    <w:p w:rsidR="00C52695" w:rsidRPr="00883125" w:rsidRDefault="00C52695" w:rsidP="00C52695"/>
    <w:p w:rsidR="00C52695" w:rsidRPr="00B27BE5" w:rsidRDefault="00C52695" w:rsidP="00C52695">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52695" w:rsidRPr="00883125" w:rsidRDefault="00C52695" w:rsidP="00C52695"/>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 w:rsidR="00C52695" w:rsidRPr="00B27BE5" w:rsidRDefault="00C52695" w:rsidP="00A3116F">
      <w:r w:rsidRPr="00883125">
        <w:t>S</w:t>
      </w:r>
      <w:r w:rsidRPr="00B27BE5">
        <w:t>ubstituting in all the parameters into the formula and solving for D we get the following:</w:t>
      </w:r>
    </w:p>
    <w:p w:rsidR="00C52695" w:rsidRPr="00883125" w:rsidRDefault="00C52695" w:rsidP="00C52695"/>
    <w:p w:rsidR="00C52695" w:rsidRPr="00883125" w:rsidRDefault="00C52695" w:rsidP="00C52695">
      <w:pPr>
        <w:pStyle w:val="AERbodytextcentre"/>
      </w:pPr>
      <w:r w:rsidRPr="00883125">
        <w:t>20 - (20 - 10)* 0.5*0.47 = 20 - x + 1 - (20 - x - 10) * 0.5 * 0.47 - 0.47</w:t>
      </w:r>
    </w:p>
    <w:p w:rsidR="00C52695" w:rsidRPr="00883125" w:rsidRDefault="00C52695" w:rsidP="00C52695">
      <w:pPr>
        <w:pStyle w:val="AERbodytextcentre"/>
      </w:pPr>
      <w:r w:rsidRPr="00883125">
        <w:t xml:space="preserve">17.65 = 21 - x - (10 - x) * 0.235 - 0.47 </w:t>
      </w:r>
    </w:p>
    <w:p w:rsidR="00C52695" w:rsidRPr="00883125" w:rsidRDefault="00C52695" w:rsidP="00C52695">
      <w:pPr>
        <w:pStyle w:val="AERbodytextcentre"/>
      </w:pPr>
      <w:r w:rsidRPr="00883125">
        <w:t>X = 0.6928</w:t>
      </w:r>
    </w:p>
    <w:p w:rsidR="00C52695" w:rsidRPr="00883125" w:rsidRDefault="00C52695" w:rsidP="00C52695"/>
    <w:p w:rsidR="00C52695" w:rsidRPr="00883125" w:rsidRDefault="00C52695" w:rsidP="00C52695">
      <w:r w:rsidRPr="00883125">
        <w:t>As a result, for arbitrage opportunities to not exist the dollar face value dividend must be worth 69 cents in the dividend drop off study. In such a situation the following market prices will persist in the market:</w:t>
      </w:r>
    </w:p>
    <w:p w:rsidR="00C52695" w:rsidRPr="00883125" w:rsidRDefault="00C52695" w:rsidP="00C52695"/>
    <w:p w:rsidR="00C52695" w:rsidRPr="00883125" w:rsidRDefault="00C52695" w:rsidP="00D414CC">
      <w:pPr>
        <w:pStyle w:val="AERbulletlistfirststyle"/>
      </w:pPr>
      <w:r w:rsidRPr="00883125">
        <w:t>P</w:t>
      </w:r>
      <w:r w:rsidRPr="00883125">
        <w:rPr>
          <w:rStyle w:val="AERsubscript"/>
        </w:rPr>
        <w:t>cum-div</w:t>
      </w:r>
      <w:r w:rsidRPr="00883125">
        <w:t>: $20</w:t>
      </w:r>
    </w:p>
    <w:p w:rsidR="00C52695" w:rsidRPr="00883125" w:rsidRDefault="00C52695" w:rsidP="00D414CC">
      <w:pPr>
        <w:pStyle w:val="AERbulletlistfirststyle"/>
      </w:pPr>
      <w:r w:rsidRPr="00883125">
        <w:t>D: Face value = $1, as per dividend drop off $0.6928</w:t>
      </w:r>
    </w:p>
    <w:p w:rsidR="00C52695" w:rsidRPr="00883125" w:rsidRDefault="00C52695" w:rsidP="00D414CC">
      <w:pPr>
        <w:pStyle w:val="AERbulletlistfirststyle"/>
      </w:pPr>
      <w:r w:rsidRPr="00883125">
        <w:t>P</w:t>
      </w:r>
      <w:r w:rsidRPr="00883125">
        <w:rPr>
          <w:rStyle w:val="AERsubscript"/>
        </w:rPr>
        <w:t>ex-div</w:t>
      </w:r>
      <w:r w:rsidRPr="00883125">
        <w:t>: $19.3072</w:t>
      </w:r>
      <w:r w:rsidRPr="00883125">
        <w:rPr>
          <w:rStyle w:val="FootnoteReference"/>
        </w:rPr>
        <w:footnoteReference w:id="815"/>
      </w:r>
    </w:p>
    <w:p w:rsidR="00C52695" w:rsidRPr="00883125" w:rsidRDefault="00C52695" w:rsidP="00FE3642">
      <w:pPr>
        <w:pStyle w:val="AERbulletlistfirststyle"/>
        <w:numPr>
          <w:ilvl w:val="0"/>
          <w:numId w:val="0"/>
        </w:numPr>
      </w:pPr>
    </w:p>
    <w:p w:rsidR="00C52695" w:rsidRPr="00883125" w:rsidRDefault="00C52695" w:rsidP="00C52695">
      <w:r w:rsidRPr="00883125">
        <w:t>With these arbitrage free market parameters the investors post personal tax return is as follows:</w:t>
      </w:r>
    </w:p>
    <w:p w:rsidR="00C52695" w:rsidRPr="00883125" w:rsidRDefault="00C52695" w:rsidP="00C52695"/>
    <w:p w:rsidR="00C52695" w:rsidRPr="00883125" w:rsidRDefault="00C52695" w:rsidP="00C52695">
      <w:pPr>
        <w:pStyle w:val="AERbodytextcentre"/>
      </w:pPr>
      <w:r w:rsidRPr="00883125">
        <w:t>Post Tax return cum div = P</w:t>
      </w:r>
      <w:r w:rsidRPr="00883125">
        <w:rPr>
          <w:rStyle w:val="AERsubscript"/>
        </w:rPr>
        <w:t>cum-div</w:t>
      </w:r>
      <w:r w:rsidRPr="00883125">
        <w:t xml:space="preserve"> - Personal Tax (CGT)</w:t>
      </w:r>
    </w:p>
    <w:p w:rsidR="00C52695" w:rsidRPr="00883125" w:rsidRDefault="00C52695" w:rsidP="00C52695">
      <w:pPr>
        <w:pStyle w:val="AERbodytextcentre"/>
      </w:pPr>
      <w:r w:rsidRPr="00883125">
        <w:t>Post Tax return cum div = 20 - 0.5 * 0.47 * (20-10)</w:t>
      </w:r>
    </w:p>
    <w:p w:rsidR="00C52695" w:rsidRPr="00AC2168" w:rsidRDefault="00C52695" w:rsidP="00C52695">
      <w:pPr>
        <w:pStyle w:val="AERbodytextcentre"/>
      </w:pPr>
      <w:r w:rsidRPr="00AC2168">
        <w:t>Post Tax return cum div = 20 - 2.35 = 17.65</w:t>
      </w:r>
    </w:p>
    <w:p w:rsidR="00C52695" w:rsidRPr="00883125" w:rsidRDefault="00C52695" w:rsidP="00C52695"/>
    <w:p w:rsidR="00C52695" w:rsidRPr="00883125" w:rsidRDefault="00C52695" w:rsidP="00C52695">
      <w:pPr>
        <w:pStyle w:val="AERbodytextcentre"/>
      </w:pPr>
      <w:r w:rsidRPr="00883125">
        <w:t>Post Tax return ex div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ex div = 19.3072 + 1 - ((19.3072 - 10)*0.47*0.5) - 1*0.47</w:t>
      </w:r>
    </w:p>
    <w:p w:rsidR="00C52695" w:rsidRPr="00883125" w:rsidRDefault="00C52695" w:rsidP="00C52695">
      <w:pPr>
        <w:pStyle w:val="AERbodytextcentre"/>
      </w:pPr>
      <w:r w:rsidRPr="00883125">
        <w:t xml:space="preserve">Post Tax return ex div = </w:t>
      </w:r>
      <w:r w:rsidRPr="00AC2168">
        <w:t>17.65</w:t>
      </w:r>
    </w:p>
    <w:p w:rsidR="00C52695" w:rsidRPr="00883125" w:rsidRDefault="00C52695" w:rsidP="00C52695">
      <w:pPr>
        <w:rPr>
          <w:rStyle w:val="AERbody"/>
        </w:rPr>
      </w:pPr>
    </w:p>
    <w:p w:rsidR="00C52695" w:rsidRPr="00CB38D8" w:rsidRDefault="00C52695" w:rsidP="00C52695">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52695" w:rsidRPr="00CB38D8" w:rsidRDefault="00C52695" w:rsidP="00C52695">
      <w:pPr>
        <w:rPr>
          <w:rStyle w:val="AERbody"/>
        </w:rPr>
      </w:pPr>
      <w:r w:rsidRPr="00CB38D8">
        <w:rPr>
          <w:rStyle w:val="AERbody"/>
        </w:rPr>
        <w:t>As a result, the investor's pre-personal tax return is:</w:t>
      </w:r>
    </w:p>
    <w:p w:rsidR="00C52695" w:rsidRPr="00B27BE5" w:rsidRDefault="00C52695" w:rsidP="00D414CC">
      <w:pPr>
        <w:pStyle w:val="AERbulletlistfirststyle"/>
        <w:rPr>
          <w:rStyle w:val="AERbody"/>
        </w:rPr>
      </w:pPr>
      <w:r w:rsidRPr="00883125">
        <w:rPr>
          <w:rStyle w:val="AERbody"/>
        </w:rPr>
        <w:t>$20 if they sold on the cum-dividend date</w:t>
      </w:r>
    </w:p>
    <w:p w:rsidR="00C52695" w:rsidRPr="00B27BE5" w:rsidRDefault="00C52695" w:rsidP="00D414CC">
      <w:pPr>
        <w:pStyle w:val="AERbulletlistfirststyle"/>
        <w:rPr>
          <w:rStyle w:val="AERbody"/>
        </w:rPr>
      </w:pPr>
      <w:r w:rsidRPr="00883125">
        <w:rPr>
          <w:rStyle w:val="AERbody"/>
        </w:rPr>
        <w:t xml:space="preserve">$20.3072 </w:t>
      </w:r>
      <w:r w:rsidRPr="00B27BE5">
        <w:rPr>
          <w:rStyle w:val="AERbody"/>
        </w:rPr>
        <w:t>($19.3072 + $1) if they sold on the ex-dividend date</w:t>
      </w:r>
      <w:r w:rsidR="00E37CE4">
        <w:rPr>
          <w:rStyle w:val="AERbody"/>
        </w:rPr>
        <w:t>.</w:t>
      </w:r>
    </w:p>
    <w:p w:rsidR="00C52695" w:rsidRPr="00883125" w:rsidRDefault="00C52695" w:rsidP="00C52695">
      <w:pPr>
        <w:rPr>
          <w:rStyle w:val="AERbody"/>
        </w:rPr>
      </w:pPr>
      <w:r w:rsidRPr="00883125">
        <w:rPr>
          <w:rStyle w:val="AERbody"/>
        </w:rPr>
        <w:t>The investor's post-personal tax return is:</w:t>
      </w:r>
    </w:p>
    <w:p w:rsidR="00C52695" w:rsidRPr="00883125" w:rsidRDefault="00C52695" w:rsidP="00D414CC">
      <w:pPr>
        <w:pStyle w:val="AERbulletlistfirststyle"/>
        <w:rPr>
          <w:rStyle w:val="AERbody"/>
        </w:rPr>
      </w:pPr>
      <w:r w:rsidRPr="00883125">
        <w:rPr>
          <w:rStyle w:val="AERbody"/>
        </w:rPr>
        <w:t>$17.65 ($20 - $2.35) if they sold on the cum-dividend date</w:t>
      </w:r>
    </w:p>
    <w:p w:rsidR="00C52695" w:rsidRPr="00883125" w:rsidRDefault="00C52695" w:rsidP="00D414CC">
      <w:pPr>
        <w:pStyle w:val="AERbulletlistfirststyle"/>
        <w:rPr>
          <w:rStyle w:val="AERbody"/>
        </w:rPr>
      </w:pPr>
      <w:r w:rsidRPr="00883125">
        <w:rPr>
          <w:rStyle w:val="AERbody"/>
        </w:rPr>
        <w:t>$17.65 ($20.3072 - $2.6572) if they sold on the ex-dividend date</w:t>
      </w:r>
      <w:r w:rsidR="00E37CE4">
        <w:rPr>
          <w:rStyle w:val="AERbody"/>
        </w:rPr>
        <w:t>.</w:t>
      </w:r>
    </w:p>
    <w:p w:rsidR="00C52695" w:rsidRPr="00883125" w:rsidRDefault="00C52695" w:rsidP="00C52695">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52695" w:rsidRPr="00883125" w:rsidRDefault="00C52695" w:rsidP="00C52695">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rsidR="00AD7E20">
        <w:t>This supported by Lally.</w:t>
      </w:r>
      <w:r w:rsidR="00AD7E20">
        <w:rPr>
          <w:rStyle w:val="FootnoteReference"/>
        </w:rPr>
        <w:footnoteReference w:id="816"/>
      </w:r>
    </w:p>
    <w:p w:rsidR="00C52695" w:rsidRPr="00883125" w:rsidRDefault="00C52695" w:rsidP="00C52695">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817"/>
      </w:r>
    </w:p>
    <w:p w:rsidR="00C52695" w:rsidRPr="00883125" w:rsidRDefault="00C52695" w:rsidP="00C52695">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Solving for X the formula simplifies to:</w:t>
      </w:r>
    </w:p>
    <w:p w:rsidR="00C52695" w:rsidRPr="00B27BE5" w:rsidRDefault="00C52695" w:rsidP="00C52695">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52695" w:rsidRPr="00883125" w:rsidRDefault="00C52695" w:rsidP="00C52695">
      <w:pPr>
        <w:pStyle w:val="AERbodytextcentre"/>
        <w:rPr>
          <w:rStyle w:val="AERbody"/>
        </w:rPr>
      </w:pPr>
    </w:p>
    <w:p w:rsidR="00C52695" w:rsidRPr="00883125" w:rsidRDefault="00C52695" w:rsidP="00C52695">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818"/>
      </w:r>
    </w:p>
    <w:p w:rsidR="00C52695" w:rsidRPr="00883125" w:rsidRDefault="00C52695" w:rsidP="00C52695">
      <w:pPr>
        <w:rPr>
          <w:rStyle w:val="AERbody"/>
        </w:rPr>
      </w:pPr>
    </w:p>
    <w:p w:rsidR="00C52695" w:rsidRPr="00883125" w:rsidRDefault="00BF66D3" w:rsidP="00C52695">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52695" w:rsidRPr="00883125" w:rsidRDefault="00C52695" w:rsidP="00C52695">
      <w:pPr>
        <w:rPr>
          <w:rStyle w:val="AERbody"/>
        </w:rPr>
      </w:pPr>
    </w:p>
    <w:p w:rsidR="00C52695" w:rsidRPr="00883125" w:rsidRDefault="00C52695" w:rsidP="00C52695">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52695" w:rsidRDefault="00C52695" w:rsidP="00C52695">
      <w:r>
        <w:t>Further, Lally generalises the dividend relationship to the following:</w:t>
      </w:r>
      <w:r>
        <w:rPr>
          <w:rStyle w:val="FootnoteReference"/>
        </w:rPr>
        <w:footnoteReference w:id="819"/>
      </w:r>
    </w:p>
    <w:p w:rsidR="00C52695" w:rsidRDefault="00C52695" w:rsidP="00C52695"/>
    <w:p w:rsidR="00C52695" w:rsidRPr="00883125" w:rsidRDefault="00C52695" w:rsidP="00C52695">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52695" w:rsidRDefault="00C52695" w:rsidP="00C52695"/>
    <w:p w:rsidR="00C52695" w:rsidRDefault="00C52695" w:rsidP="00C52695">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820"/>
      </w:r>
      <w:r>
        <w:rPr>
          <w:rStyle w:val="FootnoteReference"/>
        </w:rPr>
        <w:t xml:space="preserve"> </w:t>
      </w:r>
    </w:p>
    <w:p w:rsidR="00C52695" w:rsidRPr="00883125" w:rsidRDefault="00C52695" w:rsidP="00C52695">
      <w:r w:rsidRPr="00883125">
        <w:t>Using different values for MTR (0%, 15%, 21%, 34.5%. 39% 47%) and CGT discount (50% if shares held for more than 12 months and 100% if shares held for less than 12 months)</w:t>
      </w:r>
      <w:r>
        <w:rPr>
          <w:rStyle w:val="FootnoteReference"/>
        </w:rPr>
        <w:footnoteReference w:id="82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52695" w:rsidRPr="00883125" w:rsidRDefault="00C52695" w:rsidP="00C52695">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52695" w:rsidRDefault="00C52695" w:rsidP="00C52695">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C52695" w:rsidRPr="00B27BE5" w:rsidRDefault="00C52695" w:rsidP="00EB5A7B">
      <w:pPr>
        <w:pStyle w:val="Caption"/>
      </w:pPr>
      <w:r w:rsidRPr="00883125">
        <w:t xml:space="preserve">Table </w:t>
      </w:r>
      <w:r w:rsidRPr="001D37D5">
        <w:fldChar w:fldCharType="begin"/>
      </w:r>
      <w:r>
        <w:instrText xml:space="preserve"> STYLEREF 1 \s </w:instrText>
      </w:r>
      <w:r w:rsidRPr="001D37D5">
        <w:fldChar w:fldCharType="separate"/>
      </w:r>
      <w:r w:rsidR="00BF66D3">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BF66D3">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52695" w:rsidRPr="00CF5360" w:rsidTr="006425B8">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52695" w:rsidRPr="00C52695" w:rsidRDefault="00C52695" w:rsidP="0007085B">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CGT</w:t>
            </w:r>
          </w:p>
        </w:tc>
      </w:tr>
      <w:tr w:rsidR="00C52695" w:rsidRPr="00CF5360" w:rsidTr="006425B8">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52695" w:rsidRPr="00F1222E" w:rsidRDefault="00C52695" w:rsidP="0007085B">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C52695" w:rsidRPr="00C52695" w:rsidRDefault="00C52695" w:rsidP="0007085B">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C52695" w:rsidRPr="00C52695" w:rsidRDefault="00C52695" w:rsidP="0007085B">
            <w:pPr>
              <w:keepNext/>
            </w:pPr>
            <w:r w:rsidRPr="005764F6">
              <w:t>100%</w:t>
            </w:r>
          </w:p>
        </w:tc>
      </w:tr>
      <w:tr w:rsidR="00C52695" w:rsidRPr="00CF5360" w:rsidTr="006425B8">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52695" w:rsidRPr="00C52695" w:rsidRDefault="00C52695" w:rsidP="0007085B">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07085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07085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07085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07085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07085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07085B">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07085B">
            <w:pPr>
              <w:pStyle w:val="ListContinue2"/>
              <w:keepNext/>
            </w:pPr>
            <w:r w:rsidRPr="00F1222E">
              <w:t>1</w:t>
            </w:r>
          </w:p>
        </w:tc>
      </w:tr>
    </w:tbl>
    <w:p w:rsidR="00C52695" w:rsidRPr="00883125" w:rsidRDefault="00C52695" w:rsidP="00C52695">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52695" w:rsidRPr="00883125" w:rsidRDefault="00C52695" w:rsidP="00C52695">
      <w:r w:rsidRPr="00883125">
        <w:t>As is evident above, different investors have a different dividend drop off ratio and this is determined by many factors such as:</w:t>
      </w:r>
    </w:p>
    <w:p w:rsidR="00C52695" w:rsidRPr="00B27BE5" w:rsidRDefault="00C52695" w:rsidP="00D414CC">
      <w:pPr>
        <w:pStyle w:val="AERbulletlistfirststyle"/>
      </w:pPr>
      <w:r w:rsidRPr="00883125">
        <w:t xml:space="preserve">Investor </w:t>
      </w:r>
      <w:r w:rsidRPr="00B27BE5">
        <w:t>marginal income tax rate</w:t>
      </w:r>
    </w:p>
    <w:p w:rsidR="00C52695" w:rsidRDefault="00C52695" w:rsidP="00D414CC">
      <w:pPr>
        <w:pStyle w:val="AERbulletlistfirststyle"/>
      </w:pPr>
      <w:r w:rsidRPr="00883125">
        <w:t>Whether the investor held the share for more than 12 months</w:t>
      </w:r>
    </w:p>
    <w:p w:rsidR="00C52695" w:rsidRPr="00B27BE5" w:rsidRDefault="00C52695" w:rsidP="00D414CC">
      <w:pPr>
        <w:pStyle w:val="AERbulletlistfirststyle"/>
      </w:pPr>
      <w:r>
        <w:t>Whether the investor is super fund or not</w:t>
      </w:r>
    </w:p>
    <w:p w:rsidR="00C52695" w:rsidRPr="00B27BE5" w:rsidRDefault="00C52695" w:rsidP="00D414CC">
      <w:pPr>
        <w:pStyle w:val="AERbulletlistfirststyle"/>
      </w:pPr>
      <w:r w:rsidRPr="00883125">
        <w:t xml:space="preserve">Whether the investor is foreign and how foreign income is taxed </w:t>
      </w:r>
      <w:r w:rsidRPr="00B27BE5">
        <w:t>at their home country</w:t>
      </w:r>
      <w:r w:rsidR="00E37CE4">
        <w:t>.</w:t>
      </w:r>
    </w:p>
    <w:p w:rsidR="00C52695" w:rsidRPr="00883125" w:rsidRDefault="00C52695" w:rsidP="00C52695">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822"/>
      </w:r>
    </w:p>
    <w:p w:rsidR="00C52695" w:rsidRPr="00883125" w:rsidRDefault="00C52695" w:rsidP="00C52695">
      <w:r w:rsidRPr="00883125">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82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both of whic</w:t>
      </w:r>
      <w:r w:rsidR="001B2BD0">
        <w:t>h are taxed as ordinary income.</w:t>
      </w:r>
    </w:p>
    <w:p w:rsidR="00FE09C8" w:rsidRDefault="00C52695" w:rsidP="00C52695">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w:t>
      </w:r>
      <w:r w:rsidR="001B2BD0">
        <w:rPr>
          <w:rStyle w:val="AERbody"/>
        </w:rPr>
        <w:t>to the taxation building block.</w:t>
      </w:r>
      <w:r w:rsidR="005C73D7">
        <w:rPr>
          <w:rStyle w:val="AERbody"/>
        </w:rPr>
        <w:t xml:space="preserve"> </w:t>
      </w:r>
    </w:p>
    <w:p w:rsidR="00C52695" w:rsidRPr="00883125" w:rsidRDefault="00C52695" w:rsidP="00C52695">
      <w:r w:rsidRPr="00883125">
        <w:t xml:space="preserve">In the recent </w:t>
      </w:r>
      <w:r w:rsidR="003249E9">
        <w:t xml:space="preserve">Ausgrid </w:t>
      </w:r>
      <w:r w:rsidRPr="00883125">
        <w:t xml:space="preserve">Tribunal decision, the </w:t>
      </w:r>
      <w:r w:rsidR="00C25A56">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rsidR="00107408" w:rsidRPr="00107408">
        <w:t xml:space="preserve">Frontier in its new report </w:t>
      </w:r>
      <w:r w:rsidR="00107408">
        <w:t xml:space="preserve">also </w:t>
      </w:r>
      <w:r w:rsidR="00107408" w:rsidRPr="00107408">
        <w:t>claims that the value of imputation credits estimated from market studies should be used given this is the same approach that is used to estimate every other WACC parameter.</w:t>
      </w:r>
      <w:r w:rsidR="00107408">
        <w:rPr>
          <w:rStyle w:val="FootnoteReference"/>
        </w:rPr>
        <w:footnoteReference w:id="824"/>
      </w:r>
      <w:r w:rsidR="00107408" w:rsidRPr="00107408">
        <w:t xml:space="preserve"> </w:t>
      </w:r>
      <w:r>
        <w:t>We</w:t>
      </w:r>
      <w:r w:rsidRPr="00883125">
        <w:t xml:space="preserve"> do not agree. Other allowed rate of return parameters in the cost of equity and cost of debt are not influence by personal tax factors in a manner that results in estimates not being a gen</w:t>
      </w:r>
      <w:r w:rsidR="001B2BD0">
        <w:t>uine expected post tax returns.</w:t>
      </w:r>
      <w:r w:rsidR="00047AD8">
        <w:t xml:space="preserve"> </w:t>
      </w:r>
    </w:p>
    <w:p w:rsidR="00C52695" w:rsidRPr="00883125" w:rsidRDefault="00C52695" w:rsidP="00C52695">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w:t>
      </w:r>
      <w:r w:rsidR="001B2BD0">
        <w:t>ates of the value to investors.</w:t>
      </w:r>
    </w:p>
    <w:p w:rsidR="00C52695" w:rsidRPr="00883125" w:rsidRDefault="00C52695" w:rsidP="00C52695">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52695" w:rsidRPr="00883125" w:rsidRDefault="00C52695" w:rsidP="00C52695">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w:t>
      </w:r>
      <w:r w:rsidR="00A3116F">
        <w:t>l are used in the calculations.</w:t>
      </w:r>
    </w:p>
    <w:p w:rsidR="00C52695" w:rsidRPr="00883125" w:rsidRDefault="00C52695" w:rsidP="00C52695">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BF66D3">
        <w:t>A.8.2</w:t>
      </w:r>
      <w:r w:rsidRPr="00883125">
        <w:fldChar w:fldCharType="end"/>
      </w:r>
      <w:r w:rsidRPr="00883125">
        <w:t>.</w:t>
      </w:r>
      <w:r w:rsidR="00047AD8">
        <w:t xml:space="preserve"> We also note that in its decision released on 24 May 2017 the Full Federal Court found error in the Tribunal's construction of the term 'the value of imputation credits' and upheld the AER's </w:t>
      </w:r>
      <w:r w:rsidR="00D95082">
        <w:t xml:space="preserve">applications for judicial review </w:t>
      </w:r>
      <w:r w:rsidR="00047AD8">
        <w:t>o</w:t>
      </w:r>
      <w:r w:rsidR="00046AFF">
        <w:t>n this point</w:t>
      </w:r>
      <w:r w:rsidR="00047AD8">
        <w:t>.</w:t>
      </w:r>
      <w:r w:rsidR="00047AD8">
        <w:rPr>
          <w:rStyle w:val="FootnoteReference"/>
        </w:rPr>
        <w:footnoteReference w:id="825"/>
      </w:r>
    </w:p>
    <w:p w:rsidR="00C52695" w:rsidRPr="00883125" w:rsidRDefault="00C52695" w:rsidP="00C52695">
      <w:r w:rsidRPr="00883125">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52695" w:rsidRPr="00883125" w:rsidRDefault="00C52695" w:rsidP="00C52695">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52695" w:rsidRPr="00883125" w:rsidRDefault="00C52695" w:rsidP="00C52695">
      <w:r w:rsidRPr="00883125">
        <w:t>The analysis above is based around dividend drop off studies but is equally applicable to alternative market value studies.</w:t>
      </w:r>
    </w:p>
    <w:p w:rsidR="00C52695" w:rsidRPr="00883125" w:rsidRDefault="00C52695" w:rsidP="00C52695">
      <w:pPr>
        <w:pStyle w:val="Heading9"/>
      </w:pPr>
      <w:bookmarkStart w:id="432" w:name="_Ref415065117"/>
      <w:bookmarkStart w:id="433" w:name="_Toc456614341"/>
      <w:bookmarkStart w:id="434" w:name="_Toc462823345"/>
      <w:bookmarkStart w:id="435" w:name="_Toc487014353"/>
      <w:r w:rsidRPr="00883125">
        <w:t>Adjustment of estimates from implied market value studies</w:t>
      </w:r>
      <w:bookmarkEnd w:id="432"/>
      <w:bookmarkEnd w:id="433"/>
      <w:bookmarkEnd w:id="434"/>
      <w:bookmarkEnd w:id="435"/>
    </w:p>
    <w:p w:rsidR="00C52695" w:rsidRDefault="00C52695" w:rsidP="00C52695">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826"/>
      </w:r>
      <w:r w:rsidRPr="00883125">
        <w:t xml:space="preserve"> </w:t>
      </w:r>
      <w:r>
        <w:t>However, the service providers do not propose this adjustment as they consider it to be unnecessary and inappropriate.</w:t>
      </w:r>
      <w:r w:rsidRPr="00883125">
        <w:rPr>
          <w:rStyle w:val="FootnoteReference"/>
        </w:rPr>
        <w:footnoteReference w:id="827"/>
      </w:r>
    </w:p>
    <w:p w:rsidR="00C52695" w:rsidRPr="00883125" w:rsidRDefault="00C52695" w:rsidP="00C52695">
      <w:r>
        <w:t>W</w:t>
      </w:r>
      <w:r w:rsidRPr="00883125">
        <w:t xml:space="preserve">e do not consider that the relevant adjustment—proposed by Handley and Lally and discussed in section </w:t>
      </w:r>
      <w:r w:rsidR="00D647C5">
        <w:fldChar w:fldCharType="begin"/>
      </w:r>
      <w:r w:rsidR="00D647C5">
        <w:instrText xml:space="preserve"> REF _Ref475972971 \r \h </w:instrText>
      </w:r>
      <w:r w:rsidR="00D647C5">
        <w:fldChar w:fldCharType="separate"/>
      </w:r>
      <w:r w:rsidR="00BF66D3">
        <w:t>4.4</w:t>
      </w:r>
      <w:r w:rsidR="00D647C5">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828"/>
      </w:r>
    </w:p>
    <w:p w:rsidR="00C52695" w:rsidRPr="00883125" w:rsidRDefault="00C52695" w:rsidP="00C52695">
      <w:pPr>
        <w:pStyle w:val="AERquote"/>
      </w:pPr>
      <w:r w:rsidRPr="00883125">
        <w:t>…costs that reasonable, efficient investors would incur in relation to imputation credits, which do not apply to dividends or capital gains.</w:t>
      </w:r>
    </w:p>
    <w:p w:rsidR="00C52695" w:rsidRPr="00883125" w:rsidRDefault="00C52695" w:rsidP="00C52695">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829"/>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52695" w:rsidRDefault="00C52695" w:rsidP="00C52695">
      <w:r w:rsidRPr="00883125">
        <w:t xml:space="preserve">As outlined above in section </w:t>
      </w:r>
      <w:r w:rsidRPr="00883125">
        <w:fldChar w:fldCharType="begin"/>
      </w:r>
      <w:r w:rsidRPr="00883125">
        <w:instrText xml:space="preserve"> REF _Ref435171205 \r \h </w:instrText>
      </w:r>
      <w:r w:rsidRPr="00883125">
        <w:fldChar w:fldCharType="separate"/>
      </w:r>
      <w:r w:rsidR="00BF66D3">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52695" w:rsidRDefault="00C52695" w:rsidP="00C52695">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Pr>
          <w:rStyle w:val="FootnoteReference"/>
        </w:rPr>
        <w:footnoteReference w:id="830"/>
      </w:r>
    </w:p>
    <w:p w:rsidR="00D0581B" w:rsidRDefault="00404C06" w:rsidP="00C52695">
      <w:r>
        <w:t xml:space="preserve">Frontier </w:t>
      </w:r>
      <w:r w:rsidR="009119B6">
        <w:t>submits</w:t>
      </w:r>
      <w:r w:rsidR="00483A35">
        <w:t xml:space="preserve"> that if the coefficient on the dividend is less than one</w:t>
      </w:r>
      <w:r w:rsidR="009119B6">
        <w:t>,</w:t>
      </w:r>
      <w:r w:rsidR="00483A35">
        <w:t xml:space="preserve"> </w:t>
      </w:r>
      <w:r w:rsidR="00D0581B">
        <w:t xml:space="preserve">then </w:t>
      </w:r>
      <w:r w:rsidR="00483A35">
        <w:t xml:space="preserve">the </w:t>
      </w:r>
      <w:r w:rsidR="009119B6">
        <w:t xml:space="preserve">total </w:t>
      </w:r>
      <w:r w:rsidR="00483A35">
        <w:t xml:space="preserve">revenue should be increased and not decreased as is the case with the AER's </w:t>
      </w:r>
      <w:r w:rsidR="009119B6">
        <w:t>proposed adjustment.</w:t>
      </w:r>
      <w:r w:rsidR="0095204D">
        <w:rPr>
          <w:rStyle w:val="FootnoteReference"/>
        </w:rPr>
        <w:footnoteReference w:id="831"/>
      </w:r>
      <w:r w:rsidR="009119B6">
        <w:t xml:space="preserve"> This is </w:t>
      </w:r>
      <w:r w:rsidR="00D0581B">
        <w:t>due to shareholders requiring a higher compensation for them valuing dividend at less than face value. However, Lally does not agree with this proposition.</w:t>
      </w:r>
      <w:r w:rsidR="00D0581B" w:rsidRPr="00BF2DCE">
        <w:rPr>
          <w:rStyle w:val="FootnoteReference"/>
        </w:rPr>
        <w:footnoteReference w:id="832"/>
      </w:r>
      <w:r w:rsidR="00D0581B">
        <w:t xml:space="preserve"> </w:t>
      </w:r>
      <w:r w:rsidR="0057145F">
        <w:t>Lally considers that if dividend drop off studies produce an estimate of cash dividends of less than one this implies that shareholders do not value dividends as highly as capital gain and this does not suggest that revenue should be increased.</w:t>
      </w:r>
      <w:r w:rsidR="0057145F" w:rsidRPr="00BF2DCE">
        <w:rPr>
          <w:rStyle w:val="FootnoteReference"/>
        </w:rPr>
        <w:footnoteReference w:id="833"/>
      </w:r>
      <w:r w:rsidR="0057145F">
        <w:t xml:space="preserve"> </w:t>
      </w:r>
      <w:r w:rsidR="00E21D08">
        <w:t>The result is an artefact of personal costs, almost certainly differential taxation on dividends and capital gains biasing the dividend drop off results.  The effect of differential taxation</w:t>
      </w:r>
      <w:r w:rsidR="005A5848">
        <w:t xml:space="preserve"> </w:t>
      </w:r>
      <w:r w:rsidR="0057145F">
        <w:t xml:space="preserve">is demonstrated in section </w:t>
      </w:r>
      <w:r w:rsidR="0057145F">
        <w:fldChar w:fldCharType="begin"/>
      </w:r>
      <w:r w:rsidR="0057145F">
        <w:instrText xml:space="preserve"> REF _Ref435171205 \r \h </w:instrText>
      </w:r>
      <w:r w:rsidR="0057145F">
        <w:fldChar w:fldCharType="separate"/>
      </w:r>
      <w:r w:rsidR="00BF66D3">
        <w:t>A.15.3</w:t>
      </w:r>
      <w:r w:rsidR="0057145F">
        <w:fldChar w:fldCharType="end"/>
      </w:r>
      <w:r w:rsidR="0057145F">
        <w:t xml:space="preserve"> above.</w:t>
      </w:r>
      <w:r w:rsidR="00E21D08">
        <w:t xml:space="preserve"> </w:t>
      </w:r>
    </w:p>
    <w:p w:rsidR="00C52695" w:rsidRPr="00883125" w:rsidRDefault="00C52695" w:rsidP="00C52695">
      <w:pPr>
        <w:pStyle w:val="Heading9"/>
      </w:pPr>
      <w:bookmarkStart w:id="436" w:name="_Ref414624721"/>
      <w:bookmarkStart w:id="437" w:name="_Toc456614342"/>
      <w:bookmarkStart w:id="438" w:name="_Toc462823346"/>
      <w:bookmarkStart w:id="439" w:name="_Toc487014354"/>
      <w:r w:rsidRPr="00883125">
        <w:t>Limitations of SFG's dividend drop off study</w:t>
      </w:r>
      <w:bookmarkEnd w:id="436"/>
      <w:bookmarkEnd w:id="437"/>
      <w:bookmarkEnd w:id="438"/>
      <w:bookmarkEnd w:id="439"/>
    </w:p>
    <w:p w:rsidR="00C52695" w:rsidRPr="00883125" w:rsidRDefault="00C52695" w:rsidP="00C52695">
      <w:r w:rsidRPr="00883125">
        <w:t>A number of service providers submitted that ‘several of the general limitations [of implied market value studies identified] do not apply to the SFG study’.</w:t>
      </w:r>
      <w:r w:rsidRPr="00883125">
        <w:rPr>
          <w:rStyle w:val="FootnoteReference"/>
        </w:rPr>
        <w:footnoteReference w:id="834"/>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835"/>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836"/>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837"/>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52695" w:rsidRPr="001B2BD0" w:rsidRDefault="00C52695" w:rsidP="007F6EED">
      <w:pPr>
        <w:pStyle w:val="HeadingBoldItalic"/>
      </w:pPr>
      <w:bookmarkStart w:id="440" w:name="_Toc456614343"/>
      <w:bookmarkStart w:id="441" w:name="_Toc481056723"/>
      <w:bookmarkStart w:id="442" w:name="_Toc481061517"/>
      <w:r w:rsidRPr="001B2BD0">
        <w:t>These studies can produce nonsensical estimates of the utilisation rate; that is, greater than one or less than zero.</w:t>
      </w:r>
      <w:bookmarkEnd w:id="440"/>
      <w:bookmarkEnd w:id="441"/>
      <w:bookmarkEnd w:id="442"/>
    </w:p>
    <w:p w:rsidR="00C52695" w:rsidRPr="00883125" w:rsidRDefault="00C52695" w:rsidP="00C52695">
      <w:r w:rsidRPr="00883125">
        <w:t>We accept that this limitation does not apply to SFG’s study. Its estimate of the utilisation rate is 0.35.</w:t>
      </w:r>
    </w:p>
    <w:p w:rsidR="00C52695" w:rsidRPr="00D414CC" w:rsidRDefault="00C52695" w:rsidP="007F6EED">
      <w:pPr>
        <w:pStyle w:val="HeadingBoldItalic"/>
      </w:pPr>
      <w:bookmarkStart w:id="443" w:name="_Toc456614344"/>
      <w:bookmarkStart w:id="444" w:name="_Toc481056724"/>
      <w:bookmarkStart w:id="445" w:name="_Toc481061518"/>
      <w:r w:rsidRPr="00226744">
        <w:t>The results of these studies can reflect factors, such as differential personal taxes and risk, which are not relevant to the utilisation rate.</w:t>
      </w:r>
      <w:bookmarkEnd w:id="443"/>
      <w:bookmarkEnd w:id="444"/>
      <w:bookmarkEnd w:id="445"/>
    </w:p>
    <w:p w:rsidR="00C52695" w:rsidRPr="00883125" w:rsidRDefault="00C52695" w:rsidP="00C52695">
      <w:r w:rsidRPr="00883125">
        <w:t>Both Handley and Lally advised that the results from SFG’s dividend drop off study reflect these factors.</w:t>
      </w:r>
      <w:r w:rsidRPr="00883125">
        <w:rPr>
          <w:rStyle w:val="FootnoteReference"/>
        </w:rPr>
        <w:footnoteReference w:id="838"/>
      </w:r>
      <w:r w:rsidRPr="00883125">
        <w:t xml:space="preserve"> A number of service providers themselves also acknowledged this elsewhere in their proposals:</w:t>
      </w:r>
      <w:r w:rsidRPr="00883125">
        <w:rPr>
          <w:rStyle w:val="FootnoteReference"/>
        </w:rPr>
        <w:footnoteReference w:id="839"/>
      </w:r>
    </w:p>
    <w:p w:rsidR="00C52695" w:rsidRPr="00883125" w:rsidRDefault="00C52695" w:rsidP="00C52695">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52695" w:rsidRPr="00883125" w:rsidRDefault="00C52695" w:rsidP="00C52695">
      <w:r w:rsidRPr="00883125">
        <w:t>Therefore, we conclude that this limitation does apply to SFG’s study.</w:t>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BF66D3">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52695" w:rsidRPr="00D414CC" w:rsidRDefault="00C52695" w:rsidP="007F6EED">
      <w:pPr>
        <w:pStyle w:val="HeadingBoldItalic"/>
      </w:pPr>
      <w:bookmarkStart w:id="446" w:name="_Toc456614345"/>
      <w:bookmarkStart w:id="447" w:name="_Toc481056725"/>
      <w:bookmarkStart w:id="448" w:name="_Toc481061519"/>
      <w:r w:rsidRPr="00226744">
        <w:t>The results of these studies might not be reflective of the value o</w:t>
      </w:r>
      <w:r w:rsidRPr="00D414CC">
        <w:t>f imputation credits to investors in the market as a whole.</w:t>
      </w:r>
      <w:bookmarkEnd w:id="446"/>
      <w:bookmarkEnd w:id="447"/>
      <w:bookmarkEnd w:id="448"/>
    </w:p>
    <w:p w:rsidR="00C52695" w:rsidRPr="00883125" w:rsidRDefault="00C52695" w:rsidP="00C52695">
      <w:r w:rsidRPr="00883125">
        <w:t>Gray’s response to this point (for SFG) was:</w:t>
      </w:r>
      <w:r w:rsidRPr="00883125">
        <w:rPr>
          <w:rStyle w:val="FootnoteReference"/>
        </w:rPr>
        <w:footnoteReference w:id="840"/>
      </w:r>
    </w:p>
    <w:p w:rsidR="00C52695" w:rsidRPr="00883125" w:rsidRDefault="00C52695" w:rsidP="00C52695">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52695" w:rsidRPr="00883125" w:rsidRDefault="00C52695" w:rsidP="00C52695">
      <w:pPr>
        <w:pStyle w:val="AERquote"/>
      </w:pPr>
      <w:r w:rsidRPr="00883125">
        <w:t>I have previously addressed this issue at pp. 31-32 of SFG (2014 Gamma) and at ENA (2013), Section 7.9, pp.119-123.</w:t>
      </w:r>
    </w:p>
    <w:p w:rsidR="00C52695" w:rsidRPr="00883125" w:rsidRDefault="00C52695" w:rsidP="00C52695">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841"/>
      </w:r>
    </w:p>
    <w:p w:rsidR="00C52695" w:rsidRPr="00883125" w:rsidRDefault="00C52695" w:rsidP="00C52695">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C52695" w:rsidRPr="00883125" w:rsidRDefault="00C52695" w:rsidP="00C52695">
      <w:pPr>
        <w:pStyle w:val="AERquote"/>
      </w:pPr>
      <w:r w:rsidRPr="00883125">
        <w:t>…</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Regarding the particular limitation at hand, Lally noted:</w:t>
      </w:r>
      <w:r w:rsidRPr="00883125">
        <w:rPr>
          <w:rStyle w:val="FootnoteReference"/>
        </w:rPr>
        <w:footnoteReference w:id="842"/>
      </w:r>
    </w:p>
    <w:p w:rsidR="00C52695" w:rsidRPr="00883125" w:rsidRDefault="00C52695" w:rsidP="00C52695">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52695" w:rsidRPr="00883125" w:rsidRDefault="00C52695" w:rsidP="00C52695">
      <w:r w:rsidRPr="00883125">
        <w:t>And on the effect of trading around the ex-dividend date, Lally noted:</w:t>
      </w:r>
      <w:r w:rsidRPr="00883125">
        <w:rPr>
          <w:rStyle w:val="FootnoteReference"/>
        </w:rPr>
        <w:footnoteReference w:id="843"/>
      </w:r>
    </w:p>
    <w:p w:rsidR="00C52695" w:rsidRPr="00883125" w:rsidRDefault="00C52695" w:rsidP="00C52695">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52695" w:rsidRPr="00883125" w:rsidRDefault="00C52695" w:rsidP="00C52695">
      <w:r w:rsidRPr="00883125">
        <w:t>Thus, Lally appeared unconvinced by the ENA’s views and provided no indication that SFG’s study (or any implied market value study) should necessarily be deemed free of this limitation.</w:t>
      </w:r>
    </w:p>
    <w:p w:rsidR="00C52695" w:rsidRPr="00883125" w:rsidRDefault="00C52695" w:rsidP="00C52695">
      <w:r w:rsidRPr="00883125">
        <w:t>Handley also appeared unconvinced by the views of Gray (for SFG) in his 2014 report on this limitation, noting in his September 2014 report:</w:t>
      </w:r>
      <w:r w:rsidRPr="00883125">
        <w:rPr>
          <w:rStyle w:val="FootnoteReference"/>
        </w:rPr>
        <w:footnoteReference w:id="844"/>
      </w:r>
    </w:p>
    <w:p w:rsidR="00C52695" w:rsidRPr="00883125" w:rsidRDefault="00C52695" w:rsidP="00C52695">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883125" w:rsidRDefault="00C52695" w:rsidP="00C52695">
      <w:r w:rsidRPr="00883125">
        <w:t>Handley reiterated this view in his April 2015 report.</w:t>
      </w:r>
      <w:r w:rsidRPr="00883125">
        <w:rPr>
          <w:rStyle w:val="FootnoteReference"/>
        </w:rPr>
        <w:footnoteReference w:id="845"/>
      </w:r>
    </w:p>
    <w:p w:rsidR="00C52695" w:rsidRPr="00883125" w:rsidRDefault="00C52695" w:rsidP="00C52695">
      <w:r w:rsidRPr="00883125">
        <w:t>Finally, we note the South Australian Centre for Economic Studies recommended disregarding evidence from all dividend drop off studies due to this limitation entirely:</w:t>
      </w:r>
      <w:r w:rsidRPr="00883125">
        <w:rPr>
          <w:rStyle w:val="FootnoteReference"/>
        </w:rPr>
        <w:footnoteReference w:id="846"/>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We consider that there is sufficient evidence in the expert views quoted above to suggest that SFG's dividend drop off study is subject to this limitation.</w:t>
      </w:r>
    </w:p>
    <w:p w:rsidR="00D45F43" w:rsidRDefault="00607633" w:rsidP="00C52695">
      <w:r>
        <w:t xml:space="preserve">In </w:t>
      </w:r>
      <w:r w:rsidR="006F68EC">
        <w:t>its</w:t>
      </w:r>
      <w:r>
        <w:t xml:space="preserve"> recent report, Frontier submits that McKenzie and Partington support that tax-induced trading around ex-dividend days would "inflate' the estimate of the utilisation rate.</w:t>
      </w:r>
      <w:r w:rsidR="0095204D">
        <w:rPr>
          <w:rStyle w:val="FootnoteReference"/>
        </w:rPr>
        <w:footnoteReference w:id="847"/>
      </w:r>
      <w:r>
        <w:t xml:space="preserve"> Lally does not agree and considers that Frontier is misrepresenting what McKenzie and Partington said </w:t>
      </w:r>
      <w:r w:rsidR="00CF3D56">
        <w:t>in their report:</w:t>
      </w:r>
      <w:r w:rsidR="00CF3D56" w:rsidRPr="00CF3D56">
        <w:rPr>
          <w:rStyle w:val="FootnoteReference"/>
        </w:rPr>
        <w:t xml:space="preserve"> </w:t>
      </w:r>
      <w:r w:rsidR="00CF3D56" w:rsidRPr="003A0C07">
        <w:rPr>
          <w:rStyle w:val="FootnoteReference"/>
        </w:rPr>
        <w:footnoteReference w:id="848"/>
      </w:r>
    </w:p>
    <w:p w:rsidR="00D45F43" w:rsidRPr="00CF3D56" w:rsidRDefault="00CF3D56" w:rsidP="00E750F8">
      <w:pPr>
        <w:pStyle w:val="AERquote"/>
      </w:pPr>
      <w:r w:rsidRPr="00CF3D56">
        <w:t xml:space="preserve">… </w:t>
      </w:r>
      <w:r w:rsidRPr="00E750F8">
        <w:t>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F354FC" w:rsidRDefault="00F354FC">
      <w:r>
        <w:t xml:space="preserve">In his </w:t>
      </w:r>
      <w:r w:rsidR="006F68EC">
        <w:t xml:space="preserve">recent </w:t>
      </w:r>
      <w:r>
        <w:t xml:space="preserve">report, Lally </w:t>
      </w:r>
      <w:r w:rsidR="00B57E75">
        <w:t>demonstrates tax-induced trading around the ex-dividend date can bias the utilisation rate in either direction and there is no apparent means of determining whether overall there will be an over or under estimation.</w:t>
      </w:r>
      <w:r w:rsidR="00B57E75" w:rsidRPr="003A0C07">
        <w:rPr>
          <w:rStyle w:val="FootnoteReference"/>
        </w:rPr>
        <w:footnoteReference w:id="849"/>
      </w:r>
      <w:r w:rsidR="0021673C">
        <w:rPr>
          <w:rStyle w:val="FootnoteReference"/>
        </w:rPr>
        <w:t xml:space="preserve"> </w:t>
      </w:r>
      <w:r w:rsidR="0021673C">
        <w:t>In his simple example, Lally demonstrates the if the actual utilisation value is 0.5 dividend drop off studies can produce a utilisation value in the range of 0 to 1.</w:t>
      </w:r>
      <w:r w:rsidR="0021673C">
        <w:rPr>
          <w:rStyle w:val="FootnoteReference"/>
        </w:rPr>
        <w:footnoteReference w:id="850"/>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BF66D3">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 that trades around the ex-dividend date</w:t>
      </w:r>
      <w:r>
        <w:t>,</w:t>
      </w:r>
      <w:r w:rsidRPr="00883125">
        <w:t xml:space="preserve"> marginal tax rate. However, the marginal investor dividend drop off ratio is not relevant for estimating gamma in the regulatory context for two reasons:</w:t>
      </w:r>
    </w:p>
    <w:p w:rsidR="00C52695" w:rsidRPr="001D37D5" w:rsidRDefault="00C52695" w:rsidP="00C52695">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52695" w:rsidRPr="001D37D5" w:rsidRDefault="00C52695" w:rsidP="00C52695">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BF66D3">
        <w:t>A.15.3</w:t>
      </w:r>
      <w:r w:rsidRPr="001D37D5">
        <w:rPr>
          <w:rStyle w:val="AERtexthighlight"/>
        </w:rPr>
        <w:fldChar w:fldCharType="end"/>
      </w:r>
      <w:r w:rsidRPr="001D37D5">
        <w:t>.</w:t>
      </w:r>
    </w:p>
    <w:p w:rsidR="00C52695" w:rsidRPr="00D414CC" w:rsidRDefault="00C52695" w:rsidP="0007085B">
      <w:pPr>
        <w:pStyle w:val="HeadingBoldItalic"/>
        <w:keepNext/>
      </w:pPr>
      <w:bookmarkStart w:id="449" w:name="_Toc456614346"/>
      <w:bookmarkStart w:id="450" w:name="_Toc481056726"/>
      <w:bookmarkStart w:id="451" w:name="_Toc481061520"/>
      <w:r w:rsidRPr="00226744">
        <w:t>These studies can be data intensive and employ complex and sometimes problematic estimation methodologies.</w:t>
      </w:r>
      <w:bookmarkEnd w:id="449"/>
      <w:bookmarkEnd w:id="450"/>
      <w:bookmarkEnd w:id="451"/>
    </w:p>
    <w:p w:rsidR="00C52695" w:rsidRPr="00883125" w:rsidRDefault="00C52695" w:rsidP="0007085B">
      <w:pPr>
        <w:keepNext/>
      </w:pPr>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851"/>
      </w:r>
    </w:p>
    <w:p w:rsidR="00C52695" w:rsidRPr="00883125" w:rsidRDefault="00C52695" w:rsidP="00C52695">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001B2BD0">
        <w:fldChar w:fldCharType="begin"/>
      </w:r>
      <w:r w:rsidR="001B2BD0">
        <w:instrText xml:space="preserve"> REF _Ref415065117 \r \h </w:instrText>
      </w:r>
      <w:r w:rsidR="001B2BD0">
        <w:fldChar w:fldCharType="separate"/>
      </w:r>
      <w:r w:rsidR="00BF66D3">
        <w:t>A.15.4</w:t>
      </w:r>
      <w:r w:rsidR="001B2BD0">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w:t>
      </w:r>
      <w:r w:rsidR="00C25A56">
        <w:t xml:space="preserve">Energex </w:t>
      </w:r>
      <w:r w:rsidRPr="00883125">
        <w:t>Tribunal's acceptance of the results from SFG's dividend drop off study in 2011.</w:t>
      </w:r>
    </w:p>
    <w:p w:rsidR="00C52695" w:rsidRPr="00883125" w:rsidRDefault="00C52695" w:rsidP="00C52695">
      <w:r w:rsidRPr="00883125">
        <w:t>Therefore, we consider that there is evidence both for and against the idea that this limitation applies to SFG's dividend drop off study.</w:t>
      </w:r>
    </w:p>
    <w:p w:rsidR="00C52695" w:rsidRPr="00883125" w:rsidRDefault="00C52695" w:rsidP="00C52695">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52695" w:rsidRDefault="00C52695" w:rsidP="00C52695">
      <w:r w:rsidRPr="00883125">
        <w:t>First,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852"/>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452" w:name="_Ref402180002"/>
      <w:bookmarkStart w:id="453" w:name="_Ref414619467"/>
    </w:p>
    <w:p w:rsidR="00C52695" w:rsidRPr="00B27BE5" w:rsidRDefault="00C52695" w:rsidP="00337474">
      <w:pPr>
        <w:pStyle w:val="Heading9"/>
        <w:keepNext/>
      </w:pPr>
      <w:bookmarkStart w:id="454" w:name="_Toc456614347"/>
      <w:bookmarkStart w:id="455" w:name="_Toc462823347"/>
      <w:bookmarkStart w:id="456" w:name="_Toc487014355"/>
      <w:r w:rsidRPr="00883125">
        <w:t>The views of academics and other regulators</w:t>
      </w:r>
      <w:bookmarkEnd w:id="452"/>
      <w:r w:rsidRPr="00883125">
        <w:t xml:space="preserve"> on dividend drop off studies</w:t>
      </w:r>
      <w:bookmarkEnd w:id="453"/>
      <w:bookmarkEnd w:id="454"/>
      <w:bookmarkEnd w:id="455"/>
      <w:bookmarkEnd w:id="456"/>
    </w:p>
    <w:p w:rsidR="00C52695" w:rsidRPr="00883125" w:rsidRDefault="00C52695" w:rsidP="00337474">
      <w:pPr>
        <w:keepNext/>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rsidR="00C25A56">
        <w:t xml:space="preserve">Energex </w:t>
      </w:r>
      <w:r w:rsidR="001B2BD0">
        <w:t>Tribunal), and the 2016</w:t>
      </w:r>
      <w:r w:rsidRPr="00883125">
        <w:t xml:space="preserve"> update of that study (which was relied upon in service providers' current proposals).</w:t>
      </w:r>
      <w:r w:rsidRPr="00883125">
        <w:rPr>
          <w:rStyle w:val="FootnoteReference"/>
        </w:rPr>
        <w:footnoteReference w:id="853"/>
      </w:r>
      <w:r w:rsidRPr="00883125">
        <w:t xml:space="preserve"> The comments of academics and other regulators support the lesser reliance we place on SFG's dividend drop off study in estimating the utilisation rate. </w:t>
      </w:r>
    </w:p>
    <w:p w:rsidR="00C52695" w:rsidRPr="00883125" w:rsidRDefault="00C52695" w:rsidP="00C52695">
      <w:pPr>
        <w:numPr>
          <w:ilvl w:val="0"/>
          <w:numId w:val="24"/>
        </w:numPr>
      </w:pPr>
      <w:r w:rsidRPr="00883125">
        <w:t>Some academics have identified a number of practical and methodological issues:</w:t>
      </w:r>
    </w:p>
    <w:p w:rsidR="00C52695" w:rsidRPr="00CA67C0" w:rsidRDefault="00C52695" w:rsidP="00C52695">
      <w:pPr>
        <w:pStyle w:val="AERbulletlistfirststyle"/>
      </w:pPr>
      <w:r w:rsidRPr="00883125">
        <w:t>Cannavan, Finn and Gray (2004):</w:t>
      </w:r>
      <w:r w:rsidRPr="00CA67C0">
        <w:rPr>
          <w:rStyle w:val="FootnoteReference"/>
        </w:rPr>
        <w:footnoteReference w:id="854"/>
      </w:r>
    </w:p>
    <w:p w:rsidR="00C52695" w:rsidRPr="00CA67C0" w:rsidRDefault="00C52695" w:rsidP="00C52695">
      <w:pPr>
        <w:pStyle w:val="AERquote"/>
      </w:pPr>
      <w:r w:rsidRPr="00883125">
        <w:t>…it is unlikely that the traditional ex-dividend day drop-off methodology will be able to separately identify the value of cash dividends and imputation credits.</w:t>
      </w:r>
    </w:p>
    <w:p w:rsidR="00C52695" w:rsidRPr="001D37D5" w:rsidRDefault="00C52695" w:rsidP="00C52695">
      <w:pPr>
        <w:pStyle w:val="AERbulletlistfirststyle"/>
      </w:pPr>
      <w:r w:rsidRPr="00883125">
        <w:t>Siau, Sault and Warren (2013):</w:t>
      </w:r>
      <w:r w:rsidRPr="001D37D5">
        <w:rPr>
          <w:rStyle w:val="FootnoteReference"/>
        </w:rPr>
        <w:footnoteReference w:id="855"/>
      </w:r>
    </w:p>
    <w:p w:rsidR="00C52695" w:rsidRPr="00883125" w:rsidRDefault="00C52695" w:rsidP="00C52695">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C52695" w:rsidRPr="00883125" w:rsidRDefault="00C52695" w:rsidP="00C52695">
      <w:pPr>
        <w:pStyle w:val="AERquote"/>
      </w:pPr>
      <w:r w:rsidRPr="00883125">
        <w:t>…</w:t>
      </w:r>
    </w:p>
    <w:p w:rsidR="00C52695" w:rsidRPr="00883125" w:rsidRDefault="00C52695" w:rsidP="00C52695">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52695" w:rsidRPr="00883125" w:rsidRDefault="00C52695" w:rsidP="00C52695">
      <w:pPr>
        <w:pStyle w:val="AERquote"/>
      </w:pPr>
      <w:r w:rsidRPr="00883125">
        <w:t>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C52695" w:rsidRPr="001D37D5" w:rsidRDefault="00C52695" w:rsidP="00C52695">
      <w:pPr>
        <w:pStyle w:val="AERbulletlistfirststyle"/>
      </w:pPr>
      <w:r w:rsidRPr="00883125">
        <w:t>McKenzie and Partington (2013):</w:t>
      </w:r>
      <w:r w:rsidRPr="001D37D5">
        <w:rPr>
          <w:rStyle w:val="FootnoteReference"/>
        </w:rPr>
        <w:footnoteReference w:id="856"/>
      </w:r>
    </w:p>
    <w:p w:rsidR="00C52695" w:rsidRPr="00883125" w:rsidRDefault="00C52695" w:rsidP="00C52695">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52695" w:rsidRPr="00883125" w:rsidRDefault="00C52695" w:rsidP="00C52695">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52695" w:rsidRPr="00883125" w:rsidRDefault="00C52695" w:rsidP="00C52695">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52695" w:rsidRPr="00883125" w:rsidRDefault="00C52695" w:rsidP="00C52695">
      <w:pPr>
        <w:pStyle w:val="AERquote"/>
      </w:pPr>
      <w:r w:rsidRPr="00883125">
        <w:t>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52695" w:rsidRPr="001D37D5" w:rsidRDefault="00C52695" w:rsidP="00C52695">
      <w:pPr>
        <w:pStyle w:val="AERbulletlistfirststyle"/>
      </w:pPr>
      <w:r w:rsidRPr="00883125">
        <w:t>Lally (2013):</w:t>
      </w:r>
      <w:r w:rsidRPr="001D37D5">
        <w:rPr>
          <w:rStyle w:val="FootnoteReference"/>
        </w:rPr>
        <w:footnoteReference w:id="857"/>
      </w:r>
    </w:p>
    <w:p w:rsidR="00C52695" w:rsidRPr="00883125" w:rsidRDefault="00C52695" w:rsidP="00C52695">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Other academics have focussed on the specific issue of whether dividend drop off studies produce results that are reflective of investors in the market as a whole:</w:t>
      </w:r>
    </w:p>
    <w:p w:rsidR="00C52695" w:rsidRPr="001D37D5" w:rsidRDefault="00C52695" w:rsidP="00C52695">
      <w:pPr>
        <w:pStyle w:val="AERbulletlistfirststyle"/>
      </w:pPr>
      <w:r w:rsidRPr="00883125">
        <w:t>Handley (2014):</w:t>
      </w:r>
      <w:r w:rsidRPr="001D37D5">
        <w:rPr>
          <w:rStyle w:val="FootnoteReference"/>
        </w:rPr>
        <w:footnoteReference w:id="858"/>
      </w:r>
    </w:p>
    <w:p w:rsidR="00C52695" w:rsidRPr="00883125" w:rsidRDefault="00C52695" w:rsidP="00C52695">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CA67C0" w:rsidRDefault="00C52695" w:rsidP="00C52695">
      <w:pPr>
        <w:pStyle w:val="AERbulletlistfirststyle"/>
      </w:pPr>
      <w:r w:rsidRPr="00883125">
        <w:t>South Australian Centre for Economic Studies (2015):</w:t>
      </w:r>
      <w:r w:rsidRPr="00CA67C0">
        <w:rPr>
          <w:rStyle w:val="FootnoteReference"/>
        </w:rPr>
        <w:footnoteReference w:id="859"/>
      </w:r>
    </w:p>
    <w:p w:rsidR="00C52695" w:rsidRPr="00CA67C0" w:rsidRDefault="00C52695" w:rsidP="00C52695">
      <w:pPr>
        <w:pStyle w:val="AERquote"/>
      </w:pPr>
      <w:r w:rsidRPr="00883125">
        <w:t>In order for a dividend drop-off study to provide useful evidence of the value of franking credits to a representative owner of equity three conditions need to be met:</w:t>
      </w:r>
    </w:p>
    <w:p w:rsidR="00C52695" w:rsidRPr="00883125" w:rsidRDefault="00C52695" w:rsidP="00C52695">
      <w:pPr>
        <w:pStyle w:val="AERquotebullet1"/>
      </w:pPr>
      <w:r w:rsidRPr="00883125">
        <w:t>the studies being drawn on need to be of high quality;</w:t>
      </w:r>
    </w:p>
    <w:p w:rsidR="00C52695" w:rsidRPr="00883125" w:rsidRDefault="00C52695" w:rsidP="00C52695">
      <w:pPr>
        <w:pStyle w:val="AERquotebullet1"/>
      </w:pPr>
      <w:r w:rsidRPr="00883125">
        <w:t>the equity holders who buy shares in the period after dividends are issued need to be representative of the whole class of equity holders; and</w:t>
      </w:r>
    </w:p>
    <w:p w:rsidR="00C52695" w:rsidRPr="00883125" w:rsidRDefault="00C52695" w:rsidP="00C52695">
      <w:pPr>
        <w:pStyle w:val="AERquotebullet1"/>
      </w:pPr>
      <w:r w:rsidRPr="00883125">
        <w:t>the equity for which data is drawn on for the dividend drop off study needs to be representative of the overall stock of equity in the Australian economy</w:t>
      </w:r>
    </w:p>
    <w:p w:rsidR="00C52695" w:rsidRPr="00883125" w:rsidRDefault="00C52695" w:rsidP="00C52695">
      <w:pPr>
        <w:pStyle w:val="AERquote"/>
      </w:pPr>
      <w:r w:rsidRPr="00883125">
        <w:t>We would contend that only the first of these three conditions is definitely met.</w:t>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The limitations identified have been recognised by other regulators and reflected in their respective approaches to determining the utilisation rate:</w:t>
      </w:r>
    </w:p>
    <w:p w:rsidR="00C52695" w:rsidRPr="001D37D5" w:rsidRDefault="00C52695" w:rsidP="00C52695">
      <w:pPr>
        <w:pStyle w:val="AERbulletlistfirststyle"/>
      </w:pPr>
      <w:r w:rsidRPr="00883125">
        <w:t>QCA (2014):</w:t>
      </w:r>
      <w:r w:rsidRPr="001D37D5">
        <w:rPr>
          <w:rStyle w:val="FootnoteReference"/>
        </w:rPr>
        <w:footnoteReference w:id="860"/>
      </w:r>
    </w:p>
    <w:p w:rsidR="00C52695" w:rsidRPr="00883125" w:rsidRDefault="00C52695" w:rsidP="00C52695">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52695" w:rsidRPr="001D37D5" w:rsidRDefault="00C52695" w:rsidP="00C52695">
      <w:pPr>
        <w:pStyle w:val="AERbulletlistfirststyle"/>
      </w:pPr>
      <w:r w:rsidRPr="00883125">
        <w:t>The ERA, which until the publication of a revised draft Guideline in November 2014 preferred the use of dividend drop off studies, stated:</w:t>
      </w:r>
      <w:r w:rsidRPr="001D37D5">
        <w:rPr>
          <w:rStyle w:val="FootnoteReference"/>
        </w:rPr>
        <w:footnoteReference w:id="861"/>
      </w:r>
    </w:p>
    <w:p w:rsidR="00C52695" w:rsidRPr="00883125" w:rsidRDefault="00C52695" w:rsidP="00C52695">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52695" w:rsidRPr="00373BE8" w:rsidRDefault="00C52695" w:rsidP="00C52695">
      <w:pPr>
        <w:pStyle w:val="Heading8"/>
      </w:pPr>
      <w:bookmarkStart w:id="457" w:name="_Ref403481482"/>
      <w:bookmarkStart w:id="458" w:name="_Toc433449226"/>
      <w:bookmarkStart w:id="459" w:name="_Toc451938317"/>
      <w:bookmarkStart w:id="460" w:name="_Toc456614348"/>
      <w:bookmarkStart w:id="461" w:name="_Toc462823348"/>
      <w:bookmarkStart w:id="462" w:name="_Toc487014356"/>
      <w:r w:rsidRPr="00373BE8">
        <w:t>Revised consideration of the conceptual goalposts approach</w:t>
      </w:r>
      <w:bookmarkEnd w:id="457"/>
      <w:bookmarkEnd w:id="458"/>
      <w:bookmarkEnd w:id="459"/>
      <w:bookmarkEnd w:id="460"/>
      <w:bookmarkEnd w:id="461"/>
      <w:bookmarkEnd w:id="462"/>
    </w:p>
    <w:p w:rsidR="00C52695" w:rsidRPr="00373BE8" w:rsidRDefault="00C52695" w:rsidP="00C52695">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w:t>
      </w:r>
      <w:r w:rsidR="00CB73DB">
        <w:t>draft</w:t>
      </w:r>
      <w:r w:rsidR="00022C1D" w:rsidRPr="00373BE8">
        <w:t xml:space="preserve"> </w:t>
      </w:r>
      <w:r w:rsidRPr="00373BE8">
        <w:t>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62"/>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52695" w:rsidRPr="00373BE8" w:rsidRDefault="00C52695" w:rsidP="00C52695">
      <w:pPr>
        <w:pStyle w:val="Heading9"/>
      </w:pPr>
      <w:bookmarkStart w:id="463" w:name="_Toc456614349"/>
      <w:bookmarkStart w:id="464" w:name="_Toc462823349"/>
      <w:bookmarkStart w:id="465" w:name="_Toc487014357"/>
      <w:r w:rsidRPr="00373BE8">
        <w:t>Description of the approach</w:t>
      </w:r>
      <w:bookmarkEnd w:id="463"/>
      <w:bookmarkEnd w:id="464"/>
      <w:bookmarkEnd w:id="465"/>
    </w:p>
    <w:p w:rsidR="00C52695" w:rsidRPr="00373BE8" w:rsidRDefault="00C52695" w:rsidP="00C52695">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63"/>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64"/>
      </w:r>
    </w:p>
    <w:p w:rsidR="00C52695" w:rsidRPr="00373BE8" w:rsidRDefault="00C52695" w:rsidP="00C52695">
      <w:pPr>
        <w:numPr>
          <w:ilvl w:val="0"/>
          <w:numId w:val="24"/>
        </w:numPr>
      </w:pPr>
      <w:r w:rsidRPr="00373BE8">
        <w:t>Lally considered it paramount to estimate the utilisation rate consistently with the underlying theoretical framework:</w:t>
      </w:r>
      <w:r w:rsidRPr="00373BE8">
        <w:rPr>
          <w:rStyle w:val="FootnoteReference"/>
        </w:rPr>
        <w:footnoteReference w:id="865"/>
      </w:r>
    </w:p>
    <w:p w:rsidR="00C52695" w:rsidRPr="00373BE8" w:rsidRDefault="00C52695" w:rsidP="00C52695">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52695" w:rsidRPr="00373BE8" w:rsidRDefault="00C52695" w:rsidP="00C52695">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66"/>
      </w:r>
    </w:p>
    <w:p w:rsidR="00C52695" w:rsidRPr="00373BE8" w:rsidRDefault="00C52695" w:rsidP="00C52695">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52695" w:rsidRPr="00373BE8" w:rsidRDefault="00C52695" w:rsidP="00C52695">
      <w:pPr>
        <w:pStyle w:val="AERquote"/>
      </w:pPr>
      <w:r w:rsidRPr="00373BE8">
        <w:t>…</w:t>
      </w:r>
    </w:p>
    <w:p w:rsidR="00C52695" w:rsidRPr="00373BE8" w:rsidRDefault="00C52695" w:rsidP="00C52695">
      <w:pPr>
        <w:pStyle w:val="AERquote"/>
      </w:pPr>
      <w:r w:rsidRPr="00373BE8">
        <w:t>Using the three criteria described above, my preferred estimate is 1 from the first approach…</w:t>
      </w:r>
    </w:p>
    <w:p w:rsidR="00C52695" w:rsidRPr="00373BE8" w:rsidRDefault="00C52695" w:rsidP="00C52695">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52695" w:rsidRPr="00373BE8" w:rsidRDefault="00C52695" w:rsidP="00C52695">
      <w:pPr>
        <w:numPr>
          <w:ilvl w:val="0"/>
          <w:numId w:val="24"/>
        </w:numPr>
      </w:pPr>
      <w:r w:rsidRPr="00373BE8">
        <w:t xml:space="preserve">Both in the Guideline and in this </w:t>
      </w:r>
      <w:r w:rsidR="00716D95">
        <w:t xml:space="preserve">draft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67"/>
      </w:r>
    </w:p>
    <w:p w:rsidR="00C52695" w:rsidRPr="00373BE8" w:rsidRDefault="00C52695" w:rsidP="00C52695">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52695" w:rsidRPr="00373BE8" w:rsidRDefault="00C52695" w:rsidP="00C52695">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868"/>
      </w:r>
      <w:r w:rsidRPr="00373BE8">
        <w:t xml:space="preserve"> </w:t>
      </w:r>
    </w:p>
    <w:p w:rsidR="00C52695" w:rsidRPr="00373BE8" w:rsidRDefault="00C52695" w:rsidP="00C52695">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52695" w:rsidRPr="00373BE8" w:rsidRDefault="00C52695" w:rsidP="00C52695">
      <w:pPr>
        <w:pStyle w:val="AERquote"/>
      </w:pPr>
      <w:r w:rsidRPr="00373BE8">
        <w:t>To do so it is necessary to consider the implications for the cost of equity of complete integration and complete segmentation of national markets for risky assets.</w:t>
      </w:r>
    </w:p>
    <w:p w:rsidR="00C52695" w:rsidRPr="00373BE8" w:rsidRDefault="00C52695" w:rsidP="00C52695">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69"/>
      </w:r>
      <w:r w:rsidRPr="00373BE8">
        <w:t xml:space="preserve"> </w:t>
      </w:r>
    </w:p>
    <w:p w:rsidR="00C52695" w:rsidRPr="00373BE8" w:rsidRDefault="00C52695" w:rsidP="00C52695">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52695" w:rsidRPr="00373BE8" w:rsidRDefault="00C52695" w:rsidP="00C52695">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52695" w:rsidRPr="00373BE8" w:rsidRDefault="00C52695" w:rsidP="00C52695">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52695" w:rsidRPr="00373BE8" w:rsidRDefault="00C52695" w:rsidP="00C52695">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70"/>
      </w:r>
      <w:r w:rsidRPr="00373BE8">
        <w:t xml:space="preserve"> </w:t>
      </w:r>
    </w:p>
    <w:p w:rsidR="00C52695" w:rsidRPr="00373BE8" w:rsidRDefault="00C52695" w:rsidP="00C52695">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52695" w:rsidRPr="00373BE8" w:rsidRDefault="00C52695" w:rsidP="00C52695">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52695" w:rsidRPr="00373BE8" w:rsidRDefault="00C52695" w:rsidP="00C52695">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52695" w:rsidRPr="00CA67C0" w:rsidRDefault="00C52695" w:rsidP="00C52695">
      <w:pPr>
        <w:pStyle w:val="Heading9"/>
      </w:pPr>
      <w:bookmarkStart w:id="466" w:name="_Toc456614350"/>
      <w:bookmarkStart w:id="467" w:name="_Toc462823350"/>
      <w:bookmarkStart w:id="468" w:name="_Toc487014358"/>
      <w:r w:rsidRPr="00373BE8">
        <w:t>Advice received since the Guideline</w:t>
      </w:r>
      <w:bookmarkEnd w:id="466"/>
      <w:bookmarkEnd w:id="467"/>
      <w:bookmarkEnd w:id="468"/>
    </w:p>
    <w:p w:rsidR="00C52695" w:rsidRPr="00373BE8" w:rsidRDefault="00C52695" w:rsidP="00C52695">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71"/>
      </w:r>
    </w:p>
    <w:p w:rsidR="00C52695" w:rsidRPr="00373BE8" w:rsidRDefault="00C52695" w:rsidP="00C52695">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52695" w:rsidRPr="00373BE8" w:rsidRDefault="00C52695" w:rsidP="00C52695">
      <w:pPr>
        <w:numPr>
          <w:ilvl w:val="0"/>
          <w:numId w:val="24"/>
        </w:numPr>
      </w:pPr>
      <w:r w:rsidRPr="00373BE8">
        <w:t>Handley expanded on his first point elsewhere in his advice:</w:t>
      </w:r>
      <w:r w:rsidRPr="00373BE8">
        <w:rPr>
          <w:rStyle w:val="FootnoteReference"/>
        </w:rPr>
        <w:footnoteReference w:id="872"/>
      </w:r>
    </w:p>
    <w:p w:rsidR="00C52695" w:rsidRPr="00373BE8" w:rsidRDefault="00C52695" w:rsidP="00C52695">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52695" w:rsidRPr="00373BE8" w:rsidRDefault="00C52695" w:rsidP="00C52695">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73"/>
      </w:r>
    </w:p>
    <w:p w:rsidR="00C52695" w:rsidRDefault="00C52695" w:rsidP="00C52695">
      <w:r w:rsidRPr="00373BE8">
        <w:t>Gray (for SFG) also raised concerns with the approach, and a number of these have been responded to by Lally.</w:t>
      </w:r>
      <w:r w:rsidRPr="00373BE8">
        <w:rPr>
          <w:rStyle w:val="FootnoteReference"/>
        </w:rPr>
        <w:footnoteReference w:id="874"/>
      </w:r>
    </w:p>
    <w:p w:rsidR="00C52695" w:rsidRPr="00373BE8" w:rsidRDefault="00C52695" w:rsidP="00C52695"/>
    <w:p w:rsidR="000B321F" w:rsidRDefault="000B321F" w:rsidP="00C52695">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58" w:rsidRPr="00290C63" w:rsidRDefault="00FC5558" w:rsidP="00290C63">
      <w:r>
        <w:separator/>
      </w:r>
    </w:p>
    <w:p w:rsidR="00FC5558" w:rsidRDefault="00FC5558"/>
  </w:endnote>
  <w:endnote w:type="continuationSeparator" w:id="0">
    <w:p w:rsidR="00FC5558" w:rsidRPr="00290C63" w:rsidRDefault="00FC5558" w:rsidP="00290C63">
      <w:r>
        <w:continuationSeparator/>
      </w:r>
    </w:p>
    <w:p w:rsidR="00FC5558" w:rsidRDefault="00FC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58" w:rsidRPr="00290C63" w:rsidRDefault="00FC555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C5558" w:rsidRDefault="00FC5558"/>
  <w:p w:rsidR="00FC5558" w:rsidRDefault="00FC5558"/>
  <w:p w:rsidR="00FC5558" w:rsidRDefault="00FC5558"/>
  <w:p w:rsidR="00FC5558" w:rsidRDefault="00FC5558"/>
  <w:p w:rsidR="00FC5558" w:rsidRDefault="00FC5558"/>
  <w:p w:rsidR="00FC5558" w:rsidRDefault="00FC5558"/>
  <w:p w:rsidR="00FC5558" w:rsidRDefault="00FC55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7441"/>
      <w:docPartObj>
        <w:docPartGallery w:val="Page Numbers (Bottom of Page)"/>
        <w:docPartUnique/>
      </w:docPartObj>
    </w:sdtPr>
    <w:sdtEndPr/>
    <w:sdtContent>
      <w:p w:rsidR="00FC5558" w:rsidRPr="00022C1D" w:rsidRDefault="00FC5558" w:rsidP="00022C1D">
        <w:pPr>
          <w:pStyle w:val="Footer"/>
        </w:pPr>
        <w:r w:rsidRPr="00D81354">
          <w:fldChar w:fldCharType="begin"/>
        </w:r>
        <w:r w:rsidRPr="00022C1D">
          <w:instrText xml:space="preserve"> PAGE   \* MERGEFORMAT </w:instrText>
        </w:r>
        <w:r w:rsidRPr="00D81354">
          <w:fldChar w:fldCharType="separate"/>
        </w:r>
        <w:r w:rsidR="00BF66D3">
          <w:rPr>
            <w:noProof/>
          </w:rPr>
          <w:t>4-0</w:t>
        </w:r>
        <w:r w:rsidRPr="00D81354">
          <w:fldChar w:fldCharType="end"/>
        </w:r>
        <w:r w:rsidRPr="00D81354">
          <w:t xml:space="preserve">          Attachment 4 – Value of imputation credits | </w:t>
        </w:r>
        <w:r>
          <w:t>Draft</w:t>
        </w:r>
        <w:r w:rsidRPr="00D81354">
          <w:t xml:space="preserve"> decision</w:t>
        </w:r>
        <w:r>
          <w:t xml:space="preserve"> - AGN Victoria and Albury gas access arrangement</w:t>
        </w:r>
        <w:r w:rsidRPr="00D81354">
          <w:t xml:space="preserve"> 201</w:t>
        </w:r>
        <w:r>
          <w:t>8</w:t>
        </w:r>
        <w:r w:rsidRPr="00D81354">
          <w:t>–22</w:t>
        </w:r>
      </w:p>
    </w:sdtContent>
  </w:sdt>
  <w:p w:rsidR="00FC5558" w:rsidRDefault="00FC5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58" w:rsidRPr="00290C63" w:rsidRDefault="00FC555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C5558" w:rsidRDefault="00FC5558">
    <w:pPr>
      <w:pStyle w:val="Footer"/>
    </w:pPr>
  </w:p>
  <w:p w:rsidR="00FC5558" w:rsidRDefault="00FC5558"/>
  <w:p w:rsidR="00FC5558" w:rsidRDefault="00FC5558"/>
  <w:p w:rsidR="00FC5558" w:rsidRDefault="00FC5558"/>
  <w:p w:rsidR="00FC5558" w:rsidRDefault="00FC5558"/>
  <w:p w:rsidR="00FC5558" w:rsidRDefault="00FC5558"/>
  <w:p w:rsidR="00FC5558" w:rsidRDefault="00FC5558"/>
  <w:p w:rsidR="00FC5558" w:rsidRDefault="00FC55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86420"/>
      <w:docPartObj>
        <w:docPartGallery w:val="Page Numbers (Bottom of Page)"/>
        <w:docPartUnique/>
      </w:docPartObj>
    </w:sdtPr>
    <w:sdtEndPr/>
    <w:sdtContent>
      <w:p w:rsidR="00FC5558" w:rsidRPr="00824CC8" w:rsidRDefault="00FC5558"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58" w:rsidRPr="00C86DFC" w:rsidRDefault="00FC5558" w:rsidP="006425B8">
    <w:pPr>
      <w:pStyle w:val="Footer"/>
    </w:pPr>
    <w:r w:rsidRPr="00C97C1E">
      <w:fldChar w:fldCharType="begin"/>
    </w:r>
    <w:r w:rsidRPr="00C97C1E">
      <w:instrText xml:space="preserve"> PAGE   \* MERGEFORMAT </w:instrText>
    </w:r>
    <w:r w:rsidRPr="00C97C1E">
      <w:fldChar w:fldCharType="separate"/>
    </w:r>
    <w:r w:rsidR="00BF66D3">
      <w:rPr>
        <w:noProof/>
      </w:rPr>
      <w:t>4-9</w:t>
    </w:r>
    <w:r w:rsidRPr="00C97C1E">
      <w:fldChar w:fldCharType="end"/>
    </w:r>
    <w:r w:rsidRPr="00C86DFC">
      <w:t xml:space="preserve">          </w:t>
    </w:r>
    <w:r w:rsidRPr="0052479E">
      <w:t xml:space="preserve">Attachment 4 – Value of imputation credits | </w:t>
    </w:r>
    <w:r>
      <w:t>Draft</w:t>
    </w:r>
    <w:r w:rsidRPr="0052479E">
      <w:t xml:space="preserve"> decision</w:t>
    </w:r>
    <w:r>
      <w:t xml:space="preserve"> - AGN Victoria and Albury gas access arrangement 2018-22</w:t>
    </w:r>
    <w:r w:rsidDel="00997BDC">
      <w:t xml:space="preserve"> </w:t>
    </w:r>
  </w:p>
  <w:p w:rsidR="00FC5558" w:rsidRPr="00C86DFC" w:rsidRDefault="00FC5558" w:rsidP="006425B8">
    <w:pPr>
      <w:pStyle w:val="Footer"/>
    </w:pPr>
  </w:p>
  <w:p w:rsidR="00FC5558" w:rsidRPr="00C97C1E" w:rsidRDefault="00FC5558" w:rsidP="006425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6171"/>
      <w:docPartObj>
        <w:docPartGallery w:val="Page Numbers (Bottom of Page)"/>
        <w:docPartUnique/>
      </w:docPartObj>
    </w:sdtPr>
    <w:sdtEndPr/>
    <w:sdtContent>
      <w:p w:rsidR="00FC5558" w:rsidRPr="00824CC8" w:rsidRDefault="00FC5558"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58" w:rsidRPr="00C86DFC" w:rsidRDefault="00FC5558" w:rsidP="006425B8">
    <w:pPr>
      <w:pStyle w:val="Footer"/>
    </w:pPr>
    <w:r w:rsidRPr="00C97C1E">
      <w:fldChar w:fldCharType="begin"/>
    </w:r>
    <w:r w:rsidRPr="00C97C1E">
      <w:instrText xml:space="preserve"> PAGE   \* MERGEFORMAT </w:instrText>
    </w:r>
    <w:r w:rsidRPr="00C97C1E">
      <w:fldChar w:fldCharType="separate"/>
    </w:r>
    <w:r w:rsidR="00BF66D3">
      <w:rPr>
        <w:noProof/>
      </w:rPr>
      <w:t>4-184</w:t>
    </w:r>
    <w:r w:rsidRPr="00C97C1E">
      <w:fldChar w:fldCharType="end"/>
    </w:r>
    <w:r w:rsidRPr="00C86DFC">
      <w:t xml:space="preserve">          </w:t>
    </w:r>
    <w:r w:rsidRPr="0052479E">
      <w:t xml:space="preserve">Attachment 4 – Value of imputation credits | </w:t>
    </w:r>
    <w:r>
      <w:t>Draft</w:t>
    </w:r>
    <w:r w:rsidRPr="0052479E">
      <w:t xml:space="preserve"> decision</w:t>
    </w:r>
    <w:r>
      <w:t xml:space="preserve"> - AGN Victoria and Albury gas access arrangement 2018-22</w:t>
    </w:r>
  </w:p>
  <w:p w:rsidR="00FC5558" w:rsidRPr="00C86DFC" w:rsidRDefault="00FC5558" w:rsidP="006425B8">
    <w:pPr>
      <w:pStyle w:val="Footer"/>
    </w:pPr>
  </w:p>
  <w:p w:rsidR="00FC5558" w:rsidRPr="00C97C1E" w:rsidRDefault="00FC5558" w:rsidP="0064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58" w:rsidRPr="00290C63" w:rsidRDefault="00FC5558" w:rsidP="00290C63">
      <w:r>
        <w:separator/>
      </w:r>
    </w:p>
    <w:p w:rsidR="00FC5558" w:rsidRDefault="00FC5558"/>
  </w:footnote>
  <w:footnote w:type="continuationSeparator" w:id="0">
    <w:p w:rsidR="00FC5558" w:rsidRPr="00290C63" w:rsidRDefault="00FC5558" w:rsidP="00290C63">
      <w:r>
        <w:continuationSeparator/>
      </w:r>
    </w:p>
    <w:p w:rsidR="00FC5558" w:rsidRDefault="00FC5558"/>
  </w:footnote>
  <w:footnote w:id="1">
    <w:p w:rsidR="00FC5558" w:rsidRDefault="00FC5558" w:rsidP="00437CA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FC5558" w:rsidRDefault="00FC5558" w:rsidP="00437CA2">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FC5558" w:rsidRDefault="00FC5558" w:rsidP="00437CA2">
      <w:pPr>
        <w:pStyle w:val="FootnoteText"/>
      </w:pPr>
      <w:r>
        <w:rPr>
          <w:rStyle w:val="FootnoteReference"/>
        </w:rPr>
        <w:footnoteRef/>
      </w:r>
      <w:r>
        <w:t xml:space="preserve"> </w:t>
      </w:r>
      <w:r>
        <w:tab/>
        <w:t>NER, cll. 6.4.3(a)(4), 6.4.3(b)(4), 6.5.3, 6A.5.4(a)(4), 6A.5.4(b)(4), 6A.6.4; NGR, rr. 76(c), 87A.</w:t>
      </w:r>
    </w:p>
  </w:footnote>
  <w:footnote w:id="4">
    <w:p w:rsidR="00FC5558" w:rsidRDefault="00FC5558">
      <w:pPr>
        <w:pStyle w:val="FootnoteText"/>
      </w:pPr>
      <w:r>
        <w:rPr>
          <w:rStyle w:val="FootnoteReference"/>
        </w:rPr>
        <w:footnoteRef/>
      </w:r>
      <w:r>
        <w:t xml:space="preserve"> </w:t>
      </w:r>
      <w:r>
        <w:tab/>
        <w:t xml:space="preserve">Frontier, </w:t>
      </w:r>
      <w:r w:rsidRPr="009716F3">
        <w:rPr>
          <w:rStyle w:val="AERtextitalic"/>
        </w:rPr>
        <w:t>perspectives for the estimation of gamma</w:t>
      </w:r>
      <w:r>
        <w:t>, December 2016</w:t>
      </w:r>
    </w:p>
  </w:footnote>
  <w:footnote w:id="5">
    <w:p w:rsidR="00FC5558" w:rsidRDefault="00FC5558" w:rsidP="00DA2C69">
      <w:pPr>
        <w:pStyle w:val="FootnoteText"/>
      </w:pPr>
      <w:r>
        <w:rPr>
          <w:rStyle w:val="FootnoteReference"/>
        </w:rPr>
        <w:footnoteRef/>
      </w:r>
      <w:r>
        <w:t xml:space="preserve"> </w:t>
      </w:r>
      <w:r>
        <w:tab/>
        <w:t>That is AGN, AusNet Gas Distribution and Multinet.</w:t>
      </w:r>
    </w:p>
    <w:p w:rsidR="00FC5558" w:rsidRPr="00DA2C69" w:rsidRDefault="00FC5558" w:rsidP="00DA2C69">
      <w:pPr>
        <w:pStyle w:val="FootnoteText"/>
      </w:pPr>
      <w:r>
        <w:tab/>
      </w:r>
      <w:r w:rsidRPr="00DA2C69">
        <w:t xml:space="preserve">Frontier Economics, </w:t>
      </w:r>
      <w:r w:rsidRPr="009716F3">
        <w:rPr>
          <w:rStyle w:val="AERtextitalic"/>
        </w:rPr>
        <w:t>Issues in the estimation of gamma</w:t>
      </w:r>
      <w:r w:rsidRPr="00DA2C69">
        <w:t>, September 2016</w:t>
      </w:r>
    </w:p>
    <w:p w:rsidR="00FC5558" w:rsidRDefault="00FC5558" w:rsidP="00DA2C69">
      <w:pPr>
        <w:pStyle w:val="FootnoteText"/>
      </w:pPr>
      <w:r>
        <w:tab/>
      </w:r>
      <w:r w:rsidRPr="00DA2C69">
        <w:t xml:space="preserve">Frontier Economics, </w:t>
      </w:r>
      <w:r w:rsidRPr="009716F3">
        <w:rPr>
          <w:rStyle w:val="AERtextitalic"/>
        </w:rPr>
        <w:t>Regulatory An updated dividend drop-off estimate of theta</w:t>
      </w:r>
      <w:r w:rsidRPr="00DA2C69">
        <w:t>, September 2016</w:t>
      </w:r>
    </w:p>
  </w:footnote>
  <w:footnote w:id="6">
    <w:p w:rsidR="00FC5558" w:rsidRDefault="00FC5558">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t>December, p. 123.</w:t>
      </w:r>
    </w:p>
  </w:footnote>
  <w:footnote w:id="7">
    <w:p w:rsidR="00FC5558" w:rsidRDefault="00FC5558" w:rsidP="00437CA2">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BF66D3">
        <w:t>A.1</w:t>
      </w:r>
      <w:r>
        <w:fldChar w:fldCharType="end"/>
      </w:r>
      <w:r>
        <w:t xml:space="preserve"> of appendix A.</w:t>
      </w:r>
    </w:p>
  </w:footnote>
  <w:footnote w:id="8">
    <w:p w:rsidR="00FC5558" w:rsidRDefault="00FC5558" w:rsidP="00437CA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9">
    <w:p w:rsidR="00FC5558" w:rsidRDefault="00FC5558" w:rsidP="00437CA2">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BF66D3">
        <w:t>A.6</w:t>
      </w:r>
      <w:r>
        <w:fldChar w:fldCharType="end"/>
      </w:r>
      <w:r>
        <w:t>.</w:t>
      </w:r>
    </w:p>
  </w:footnote>
  <w:footnote w:id="10">
    <w:p w:rsidR="00FC5558" w:rsidRDefault="00FC5558" w:rsidP="00437CA2">
      <w:pPr>
        <w:pStyle w:val="FootnoteText"/>
      </w:pPr>
      <w:r>
        <w:rPr>
          <w:rStyle w:val="FootnoteReference"/>
        </w:rPr>
        <w:footnoteRef/>
      </w:r>
      <w:r>
        <w:t xml:space="preserve"> </w:t>
      </w:r>
      <w:r>
        <w:tab/>
        <w:t>Post-tax refers to after company tax and before personal tax.</w:t>
      </w:r>
    </w:p>
  </w:footnote>
  <w:footnote w:id="11">
    <w:p w:rsidR="00FC5558" w:rsidRDefault="00FC5558" w:rsidP="00437CA2">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2">
    <w:p w:rsidR="00FC5558" w:rsidRDefault="00FC5558" w:rsidP="00437CA2">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3">
    <w:p w:rsidR="00FC5558" w:rsidRDefault="00FC5558" w:rsidP="00437CA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BF66D3">
        <w:t>4.4</w:t>
      </w:r>
      <w:r>
        <w:fldChar w:fldCharType="end"/>
      </w:r>
      <w:r>
        <w:t>.</w:t>
      </w:r>
    </w:p>
  </w:footnote>
  <w:footnote w:id="14">
    <w:p w:rsidR="00FC5558" w:rsidRDefault="00FC5558" w:rsidP="00437CA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5">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6">
    <w:p w:rsidR="00FC5558" w:rsidRDefault="00FC5558">
      <w:pPr>
        <w:pStyle w:val="FootnoteText"/>
      </w:pPr>
      <w:r>
        <w:rPr>
          <w:rStyle w:val="FootnoteReference"/>
        </w:rPr>
        <w:footnoteRef/>
      </w:r>
      <w:r>
        <w:t xml:space="preserve"> </w:t>
      </w:r>
      <w:r>
        <w:tab/>
        <w:t xml:space="preserve">Federal Court of Australia, </w:t>
      </w:r>
      <w:r w:rsidRPr="009716F3">
        <w:rPr>
          <w:rStyle w:val="AERtextitalic"/>
        </w:rPr>
        <w:t>Australian Energy Regulator v Australian Competition Tribunal (No 2) [2017] FCAFC 79</w:t>
      </w:r>
      <w:r>
        <w:t>, May 2017.</w:t>
      </w:r>
    </w:p>
  </w:footnote>
  <w:footnote w:id="17">
    <w:p w:rsidR="00FC5558" w:rsidRDefault="00FC5558" w:rsidP="00484398">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8">
    <w:p w:rsidR="00FC5558" w:rsidRDefault="00FC5558" w:rsidP="009545AC">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9">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0">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21">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22">
    <w:p w:rsidR="00FC5558" w:rsidRDefault="00FC5558"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23">
    <w:p w:rsidR="00FC5558" w:rsidRDefault="00FC5558" w:rsidP="001E6A60">
      <w:pPr>
        <w:pStyle w:val="FootnoteText"/>
      </w:pPr>
      <w:r>
        <w:rPr>
          <w:rStyle w:val="FootnoteReference"/>
        </w:rPr>
        <w:footnoteRef/>
      </w:r>
      <w:r>
        <w:t xml:space="preserve"> </w:t>
      </w:r>
      <w:r>
        <w:tab/>
      </w:r>
      <w:r w:rsidRPr="009A6FC1">
        <w:t xml:space="preserve">Australian Competition Tribunal, </w:t>
      </w:r>
      <w:r w:rsidRPr="00F143A3">
        <w:rPr>
          <w:rStyle w:val="AERtextitalic"/>
        </w:rPr>
        <w:t>Application by Public Interest Advocacy Centre Ltd and Ausgrid [2016] ACompT 1</w:t>
      </w:r>
      <w:r w:rsidRPr="009A6FC1">
        <w:t>, 26 February 2016, paras. 1048, 1090 and 1095.</w:t>
      </w:r>
    </w:p>
  </w:footnote>
  <w:footnote w:id="24">
    <w:p w:rsidR="00FC5558" w:rsidRDefault="00FC5558" w:rsidP="00493F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5">
    <w:p w:rsidR="00FC5558" w:rsidRDefault="00FC5558" w:rsidP="00E26B5E">
      <w:pPr>
        <w:pStyle w:val="FootnoteText"/>
      </w:pPr>
      <w:r>
        <w:rPr>
          <w:rStyle w:val="FootnoteReference"/>
        </w:rPr>
        <w:footnoteRef/>
      </w:r>
      <w:r>
        <w:t xml:space="preserve"> </w:t>
      </w:r>
      <w:r>
        <w:tab/>
      </w:r>
      <w:r w:rsidRPr="009A6FC1">
        <w:t xml:space="preserve">Lally, </w:t>
      </w:r>
      <w:r w:rsidRPr="00E750F8">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26">
    <w:p w:rsidR="00FC5558" w:rsidRDefault="00FC5558"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27">
    <w:p w:rsidR="00FC5558" w:rsidRDefault="00FC5558" w:rsidP="001E6A60">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8">
    <w:p w:rsidR="00FC5558" w:rsidRPr="00EA3C68" w:rsidRDefault="00FC5558" w:rsidP="001E6A6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E71C3">
        <w:rPr>
          <w:rStyle w:val="AERtextitalic"/>
          <w:i w:val="0"/>
        </w:rPr>
        <w:t>, p. 13.</w:t>
      </w:r>
    </w:p>
  </w:footnote>
  <w:footnote w:id="29">
    <w:p w:rsidR="00FC5558" w:rsidRDefault="00FC5558" w:rsidP="001E6A6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30">
    <w:p w:rsidR="00FC5558" w:rsidRDefault="00FC5558" w:rsidP="001E6A6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31">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32">
    <w:p w:rsidR="00FC5558" w:rsidRDefault="00FC5558">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33">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34">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35">
    <w:p w:rsidR="00FC5558" w:rsidRDefault="00FC5558" w:rsidP="00437CA2">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36">
    <w:p w:rsidR="00FC5558" w:rsidRDefault="00FC5558" w:rsidP="00CD04C8">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of the listed equity value of imputation credits, this utilisation rate has been combined with the listed equity distribution rate.</w:t>
      </w:r>
    </w:p>
  </w:footnote>
  <w:footnote w:id="37">
    <w:p w:rsidR="00FC5558" w:rsidRDefault="00FC5558" w:rsidP="00437CA2">
      <w:pPr>
        <w:pStyle w:val="FootnoteText"/>
      </w:pPr>
      <w:r>
        <w:rPr>
          <w:rStyle w:val="FootnoteReference"/>
        </w:rPr>
        <w:footnoteRef/>
      </w:r>
      <w:r>
        <w:t xml:space="preserve"> </w:t>
      </w:r>
      <w:r>
        <w:tab/>
        <w:t>This relies on cumulative distribution rate based on FAB data being used which matches to the 0.48 tax statistic.</w:t>
      </w:r>
    </w:p>
  </w:footnote>
  <w:footnote w:id="38">
    <w:p w:rsidR="00FC5558" w:rsidRDefault="00FC5558">
      <w:pPr>
        <w:pStyle w:val="FootnoteText"/>
      </w:pPr>
      <w:r>
        <w:rPr>
          <w:rStyle w:val="FootnoteReference"/>
        </w:rPr>
        <w:footnoteRef/>
      </w:r>
      <w:r>
        <w:t xml:space="preserve"> </w:t>
      </w:r>
      <w:r>
        <w:tab/>
        <w:t xml:space="preserve">Depending on whether dividend data or FAB data is used, tax statistics can provide a different utilisation rate. See: </w:t>
      </w:r>
      <w:r w:rsidRPr="005764F6">
        <w:t xml:space="preserve">Lally, </w:t>
      </w:r>
      <w:r w:rsidRPr="00583683">
        <w:rPr>
          <w:rStyle w:val="AERtextitalic"/>
        </w:rPr>
        <w:t>Gamma and the ACT Decision</w:t>
      </w:r>
      <w:r>
        <w:t>, May 2016, p</w:t>
      </w:r>
      <w:r w:rsidRPr="005764F6">
        <w:t>. </w:t>
      </w:r>
      <w:r>
        <w:t>20</w:t>
      </w:r>
      <w:r w:rsidRPr="005764F6">
        <w:t>.</w:t>
      </w:r>
    </w:p>
  </w:footnote>
  <w:footnote w:id="39">
    <w:p w:rsidR="00FC5558" w:rsidRDefault="00FC5558" w:rsidP="00437CA2">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40">
    <w:p w:rsidR="00FC5558" w:rsidRDefault="00FC5558" w:rsidP="00437CA2">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41">
    <w:p w:rsidR="00FC5558" w:rsidRDefault="00FC5558"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42">
    <w:p w:rsidR="00FC5558" w:rsidRPr="00AB0B17" w:rsidRDefault="00FC5558"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43">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44">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45">
    <w:p w:rsidR="00FC5558" w:rsidRDefault="00FC5558" w:rsidP="00900DAF">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t>December, p. 123.</w:t>
      </w:r>
    </w:p>
  </w:footnote>
  <w:footnote w:id="46">
    <w:p w:rsidR="00FC5558" w:rsidRPr="009114B8" w:rsidRDefault="00FC5558" w:rsidP="00900DAF">
      <w:pPr>
        <w:pStyle w:val="FootnoteText"/>
      </w:pPr>
      <w:r>
        <w:rPr>
          <w:rStyle w:val="FootnoteReference"/>
        </w:rPr>
        <w:footnoteRef/>
      </w:r>
      <w:r>
        <w:t xml:space="preserve"> </w:t>
      </w:r>
      <w:r>
        <w:tab/>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p w:rsidR="00FC5558" w:rsidRPr="009114B8" w:rsidRDefault="00FC5558" w:rsidP="00900DAF">
      <w:pPr>
        <w:pStyle w:val="FootnoteText"/>
      </w:pPr>
      <w:r w:rsidRPr="009114B8">
        <w:tab/>
        <w:t>That is AusNet Servic</w:t>
      </w:r>
      <w:r>
        <w:t>es Gas Distribution, APA and Multinet</w:t>
      </w:r>
      <w:r w:rsidRPr="009114B8">
        <w:t>.</w:t>
      </w:r>
    </w:p>
    <w:p w:rsidR="00FC5558" w:rsidRDefault="00FC5558" w:rsidP="00900DAF">
      <w:pPr>
        <w:pStyle w:val="FootnoteText"/>
      </w:pPr>
    </w:p>
  </w:footnote>
  <w:footnote w:id="47">
    <w:p w:rsidR="00FC5558" w:rsidRDefault="00FC5558">
      <w:pPr>
        <w:pStyle w:val="FootnoteText"/>
      </w:pPr>
      <w:r>
        <w:rPr>
          <w:rStyle w:val="FootnoteReference"/>
        </w:rPr>
        <w:footnoteRef/>
      </w:r>
      <w:r>
        <w:t xml:space="preserve"> </w:t>
      </w:r>
      <w:r>
        <w:tab/>
      </w:r>
      <w:r w:rsidRPr="00882ECD">
        <w:t xml:space="preserve">Multinet, </w:t>
      </w:r>
      <w:r w:rsidRPr="00882ECD">
        <w:rPr>
          <w:rStyle w:val="AERtextitalic"/>
        </w:rPr>
        <w:t>2018 to 2022 Access Arrangement Information</w:t>
      </w:r>
      <w:r w:rsidRPr="00882ECD">
        <w:t>, December 2016, p.13</w:t>
      </w:r>
      <w:r>
        <w:t>1;</w:t>
      </w:r>
      <w:r w:rsidRPr="00373B08">
        <w:t xml:space="preserve"> </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footnote>
  <w:footnote w:id="48">
    <w:p w:rsidR="00FC5558" w:rsidRDefault="00FC5558" w:rsidP="00882ECD">
      <w:pPr>
        <w:pStyle w:val="FootnoteText"/>
      </w:pPr>
      <w:r>
        <w:rPr>
          <w:rStyle w:val="FootnoteReference"/>
        </w:rPr>
        <w:footnoteRef/>
      </w:r>
      <w:r>
        <w:t xml:space="preserve"> </w:t>
      </w:r>
      <w:r>
        <w:tab/>
      </w:r>
      <w:r w:rsidRPr="009114B8">
        <w:t xml:space="preserve">AusNet Services Gas Distribution, </w:t>
      </w:r>
      <w:r w:rsidRPr="00704F01">
        <w:rPr>
          <w:rStyle w:val="AERtextitalic"/>
        </w:rPr>
        <w:t>Access Arrangement Review 2018-22</w:t>
      </w:r>
      <w:r w:rsidRPr="009114B8">
        <w:t>, December 2016, p.23 6</w:t>
      </w:r>
      <w:r>
        <w:t>;</w:t>
      </w:r>
      <w:r w:rsidRPr="0014067F">
        <w:t xml:space="preserve">Multinet, </w:t>
      </w:r>
      <w:r w:rsidRPr="0014067F">
        <w:rPr>
          <w:rStyle w:val="AERtextitalic"/>
        </w:rPr>
        <w:t>Corporate Income Tax Overview</w:t>
      </w:r>
      <w:r w:rsidRPr="0014067F">
        <w:t>, December 2016, p. 6.</w:t>
      </w:r>
    </w:p>
  </w:footnote>
  <w:footnote w:id="49">
    <w:p w:rsidR="00FC5558" w:rsidRDefault="00FC5558">
      <w:pPr>
        <w:pStyle w:val="FootnoteText"/>
      </w:pPr>
      <w:r>
        <w:rPr>
          <w:rStyle w:val="FootnoteReference"/>
        </w:rPr>
        <w:footnoteRef/>
      </w:r>
      <w:r>
        <w:t xml:space="preserve"> </w:t>
      </w:r>
      <w:r>
        <w:tab/>
      </w:r>
      <w:r w:rsidRPr="0006499D">
        <w:t xml:space="preserve">AusNet Transmission, </w:t>
      </w:r>
      <w:r w:rsidRPr="0006499D">
        <w:rPr>
          <w:rStyle w:val="AERtextitalic"/>
        </w:rPr>
        <w:t>Transmission Revenue Proposal Review 2017-2022, Revised Revenue Proposal</w:t>
      </w:r>
      <w:r w:rsidRPr="0006499D">
        <w:t>, 21 September 2016, p. 198.</w:t>
      </w:r>
    </w:p>
  </w:footnote>
  <w:footnote w:id="50">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51">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209.</w:t>
      </w:r>
    </w:p>
  </w:footnote>
  <w:footnote w:id="52">
    <w:p w:rsidR="00FC5558" w:rsidRDefault="00FC5558" w:rsidP="003979E9">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53">
    <w:p w:rsidR="00FC5558" w:rsidRDefault="00FC5558">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 p. 6.</w:t>
      </w:r>
    </w:p>
  </w:footnote>
  <w:footnote w:id="54">
    <w:p w:rsidR="00FC5558" w:rsidRDefault="00FC5558" w:rsidP="003C692F">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36-11.</w:t>
      </w:r>
    </w:p>
  </w:footnote>
  <w:footnote w:id="55">
    <w:p w:rsidR="00FC5558" w:rsidRDefault="00FC5558" w:rsidP="007D69CB">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56">
    <w:p w:rsidR="00FC5558" w:rsidRPr="00FA217B" w:rsidRDefault="00FC5558" w:rsidP="004423C9">
      <w:pPr>
        <w:pStyle w:val="FootnoteText"/>
        <w:rPr>
          <w:rStyle w:val="AERtextitalic"/>
          <w:i w:val="0"/>
        </w:rPr>
      </w:pPr>
      <w:r>
        <w:rPr>
          <w:rStyle w:val="FootnoteReference"/>
        </w:rPr>
        <w:footnoteRef/>
      </w:r>
      <w:r>
        <w:t xml:space="preserve"> </w:t>
      </w:r>
      <w:r>
        <w:tab/>
        <w:t xml:space="preserve">AusNet Services, </w:t>
      </w:r>
      <w:r>
        <w:rPr>
          <w:rStyle w:val="AERtextitalic"/>
        </w:rPr>
        <w:t xml:space="preserve">Submission on revised proposal, </w:t>
      </w:r>
      <w:r>
        <w:rPr>
          <w:rStyle w:val="AERtextitalic"/>
          <w:i w:val="0"/>
        </w:rPr>
        <w:t>20 December 2016, p. 4</w:t>
      </w:r>
      <w:r>
        <w:rPr>
          <w:rStyle w:val="AERtextitalic"/>
        </w:rPr>
        <w:t>.</w:t>
      </w:r>
    </w:p>
  </w:footnote>
  <w:footnote w:id="57">
    <w:p w:rsidR="00FC5558" w:rsidRDefault="00FC5558" w:rsidP="00882ECD">
      <w:pPr>
        <w:pStyle w:val="FootnoteText"/>
      </w:pPr>
      <w:r>
        <w:rPr>
          <w:rStyle w:val="FootnoteReference"/>
        </w:rPr>
        <w:footnoteRef/>
      </w:r>
      <w:r>
        <w:t xml:space="preserve"> </w:t>
      </w:r>
      <w:r>
        <w:tab/>
        <w:t xml:space="preserve">Frontier, </w:t>
      </w:r>
      <w:r w:rsidRPr="00274A1F">
        <w:rPr>
          <w:rStyle w:val="AERtextitalic"/>
        </w:rPr>
        <w:t>Perspectives for the estimation of gamma</w:t>
      </w:r>
      <w:r>
        <w:t>, December 2016</w:t>
      </w:r>
    </w:p>
    <w:p w:rsidR="00FC5558" w:rsidRDefault="00FC5558" w:rsidP="00882ECD">
      <w:pPr>
        <w:pStyle w:val="FootnoteText"/>
      </w:pPr>
      <w:r>
        <w:tab/>
        <w:t>That is AusNet Gas, AGN and Multinet.</w:t>
      </w:r>
    </w:p>
  </w:footnote>
  <w:footnote w:id="58">
    <w:p w:rsidR="00FC5558" w:rsidRDefault="00FC5558" w:rsidP="00F3718A">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2016,para 34</w:t>
      </w:r>
    </w:p>
  </w:footnote>
  <w:footnote w:id="59">
    <w:p w:rsidR="00FC5558" w:rsidRDefault="00FC5558">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r w:rsidRPr="00011421">
        <w:t>.</w:t>
      </w:r>
    </w:p>
  </w:footnote>
  <w:footnote w:id="60">
    <w:p w:rsidR="00FC5558" w:rsidRDefault="00FC5558" w:rsidP="00437CA2">
      <w:pPr>
        <w:pStyle w:val="FootnoteText"/>
      </w:pPr>
      <w:r>
        <w:rPr>
          <w:rStyle w:val="FootnoteReference"/>
        </w:rPr>
        <w:footnoteRef/>
      </w:r>
      <w:r>
        <w:t xml:space="preserve"> </w:t>
      </w:r>
      <w:r>
        <w:tab/>
        <w:t>NER, cll. 6.5.3, 6A.6.4; NGR, r. 87A.</w:t>
      </w:r>
    </w:p>
  </w:footnote>
  <w:footnote w:id="61">
    <w:p w:rsidR="00FC5558" w:rsidRDefault="00FC5558" w:rsidP="00437CA2">
      <w:pPr>
        <w:pStyle w:val="FootnoteText"/>
      </w:pPr>
      <w:r>
        <w:rPr>
          <w:rStyle w:val="FootnoteReference"/>
        </w:rPr>
        <w:footnoteRef/>
      </w:r>
      <w:r>
        <w:t xml:space="preserve"> </w:t>
      </w:r>
      <w:r>
        <w:tab/>
        <w:t>NER, cll. 6.5.2(d)(2), 6A.6.2(d)(2); NGR, r. 87(4)(b).</w:t>
      </w:r>
    </w:p>
  </w:footnote>
  <w:footnote w:id="62">
    <w:p w:rsidR="00FC5558" w:rsidRDefault="00FC5558"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63">
    <w:p w:rsidR="00FC5558" w:rsidRDefault="00FC5558"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64">
    <w:p w:rsidR="00FC5558" w:rsidRDefault="00FC5558" w:rsidP="00437CA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65">
    <w:p w:rsidR="00FC5558" w:rsidRDefault="00FC5558" w:rsidP="00437CA2">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66">
    <w:p w:rsidR="00FC5558" w:rsidRDefault="00FC5558" w:rsidP="00437CA2">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67">
    <w:p w:rsidR="00FC5558" w:rsidRDefault="00FC5558" w:rsidP="00437CA2">
      <w:pPr>
        <w:pStyle w:val="FootnoteText"/>
      </w:pPr>
      <w:r>
        <w:rPr>
          <w:rStyle w:val="FootnoteReference"/>
        </w:rPr>
        <w:footnoteRef/>
      </w:r>
      <w:r>
        <w:t xml:space="preserve"> </w:t>
      </w:r>
      <w:r>
        <w:tab/>
        <w:t>NER, cll. 6.5.2, 6A.6.2;</w:t>
      </w:r>
      <w:r w:rsidRPr="0042735A">
        <w:t xml:space="preserve"> </w:t>
      </w:r>
      <w:r>
        <w:t>NGR, r. 87.</w:t>
      </w:r>
    </w:p>
  </w:footnote>
  <w:footnote w:id="68">
    <w:p w:rsidR="00FC5558" w:rsidRDefault="00FC5558" w:rsidP="00437CA2">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69">
    <w:p w:rsidR="00FC5558" w:rsidRDefault="00FC5558" w:rsidP="00437CA2">
      <w:pPr>
        <w:pStyle w:val="FootnoteText"/>
      </w:pPr>
      <w:r>
        <w:rPr>
          <w:rStyle w:val="FootnoteReference"/>
        </w:rPr>
        <w:footnoteRef/>
      </w:r>
      <w:r>
        <w:tab/>
        <w:t>NEL, s. 16(1)(a); NGL, s. 28(1)(a).</w:t>
      </w:r>
    </w:p>
  </w:footnote>
  <w:footnote w:id="70">
    <w:p w:rsidR="00FC5558" w:rsidRDefault="00FC5558" w:rsidP="00437CA2">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71">
    <w:p w:rsidR="00FC5558" w:rsidRDefault="00FC5558" w:rsidP="00437CA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2">
    <w:p w:rsidR="00FC5558" w:rsidRDefault="00FC5558" w:rsidP="00437CA2">
      <w:pPr>
        <w:pStyle w:val="FootnoteText"/>
      </w:pPr>
      <w:r>
        <w:rPr>
          <w:rStyle w:val="FootnoteReference"/>
        </w:rPr>
        <w:footnoteRef/>
      </w:r>
      <w:r>
        <w:tab/>
        <w:t>NEL, s. 16(1)(a); NGL, s. 28(1)(a).</w:t>
      </w:r>
    </w:p>
  </w:footnote>
  <w:footnote w:id="73">
    <w:p w:rsidR="00FC5558" w:rsidRDefault="00FC5558" w:rsidP="00437CA2">
      <w:pPr>
        <w:pStyle w:val="FootnoteText"/>
      </w:pPr>
      <w:r>
        <w:rPr>
          <w:rStyle w:val="FootnoteReference"/>
        </w:rPr>
        <w:footnoteRef/>
      </w:r>
      <w:r>
        <w:t xml:space="preserve"> </w:t>
      </w:r>
      <w:r>
        <w:tab/>
        <w:t>NEL, s. 16(2)(a)(i); NGL, s. 28(2)(a)(i).</w:t>
      </w:r>
    </w:p>
  </w:footnote>
  <w:footnote w:id="74">
    <w:p w:rsidR="00FC5558" w:rsidRDefault="00FC5558" w:rsidP="00437CA2">
      <w:pPr>
        <w:pStyle w:val="FootnoteText"/>
      </w:pPr>
      <w:r>
        <w:rPr>
          <w:rStyle w:val="FootnoteReference"/>
        </w:rPr>
        <w:footnoteRef/>
      </w:r>
      <w:r>
        <w:t xml:space="preserve"> </w:t>
      </w:r>
      <w:r>
        <w:tab/>
        <w:t>NEL, ss. 7A(2)–(7); NGL, ss. 24(2)–(7).</w:t>
      </w:r>
    </w:p>
  </w:footnote>
  <w:footnote w:id="75">
    <w:p w:rsidR="00FC5558" w:rsidRDefault="00FC5558" w:rsidP="00437CA2">
      <w:pPr>
        <w:pStyle w:val="FootnoteText"/>
      </w:pPr>
      <w:r>
        <w:rPr>
          <w:rStyle w:val="FootnoteReference"/>
        </w:rPr>
        <w:footnoteRef/>
      </w:r>
      <w:r>
        <w:t xml:space="preserve"> </w:t>
      </w:r>
      <w:r>
        <w:tab/>
        <w:t xml:space="preserve">The requirements to make and publish the Guideline are set out in: NER, cll. 6.5.2(m) and 6A.6.2(m); NGR, r. 87(13). </w:t>
      </w:r>
      <w:r w:rsidRPr="004B0617">
        <w:t xml:space="preserve">The </w:t>
      </w:r>
      <w:r>
        <w:t>Guideline</w:t>
      </w:r>
      <w:r w:rsidRPr="004B0617">
        <w:t xml:space="preserve"> is available at: </w:t>
      </w:r>
      <w:r w:rsidRPr="00F8556F">
        <w:t>http://www.aer.gov.au/node/18859</w:t>
      </w:r>
      <w:r>
        <w:t>.</w:t>
      </w:r>
    </w:p>
  </w:footnote>
  <w:footnote w:id="76">
    <w:p w:rsidR="00FC5558" w:rsidRDefault="00FC5558" w:rsidP="00437CA2">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77">
    <w:p w:rsidR="00FC5558" w:rsidRDefault="00FC5558" w:rsidP="00437CA2">
      <w:pPr>
        <w:pStyle w:val="FootnoteText"/>
      </w:pPr>
      <w:r>
        <w:rPr>
          <w:rStyle w:val="FootnoteReference"/>
        </w:rPr>
        <w:footnoteRef/>
      </w:r>
      <w:r>
        <w:t xml:space="preserve"> </w:t>
      </w:r>
      <w:r>
        <w:tab/>
        <w:t xml:space="preserve">NER, cll. </w:t>
      </w:r>
      <w:r w:rsidRPr="001E5B06">
        <w:t>6.5.2(n)</w:t>
      </w:r>
      <w:r>
        <w:t>(2), 6.A.6.2(n)(2); NGR, r. 87(14)(b).</w:t>
      </w:r>
    </w:p>
  </w:footnote>
  <w:footnote w:id="78">
    <w:p w:rsidR="00FC5558" w:rsidRDefault="00FC5558" w:rsidP="00437CA2">
      <w:pPr>
        <w:pStyle w:val="FootnoteText"/>
      </w:pPr>
      <w:r>
        <w:rPr>
          <w:rStyle w:val="FootnoteReference"/>
        </w:rPr>
        <w:footnoteRef/>
      </w:r>
      <w:r>
        <w:t xml:space="preserve"> </w:t>
      </w:r>
      <w:r>
        <w:tab/>
        <w:t>NER, cll. 6.2.8(c), 6A.2.3(c); NGR, r. 87(18).</w:t>
      </w:r>
    </w:p>
  </w:footnote>
  <w:footnote w:id="79">
    <w:p w:rsidR="00FC5558" w:rsidRDefault="00FC5558" w:rsidP="00437CA2">
      <w:pPr>
        <w:pStyle w:val="FootnoteText"/>
      </w:pPr>
      <w:r>
        <w:rPr>
          <w:rStyle w:val="FootnoteReference"/>
        </w:rPr>
        <w:footnoteRef/>
      </w:r>
      <w:r>
        <w:t xml:space="preserve"> </w:t>
      </w:r>
      <w:r>
        <w:tab/>
        <w:t xml:space="preserve">NER, ss. </w:t>
      </w:r>
      <w:r w:rsidRPr="00A609E3">
        <w:t>S6.1.3</w:t>
      </w:r>
      <w:r>
        <w:t>(9)–(9B), S6A.1.3(4)(vi),(4A)–(4C); NGR, r. 72(1)(g).</w:t>
      </w:r>
    </w:p>
  </w:footnote>
  <w:footnote w:id="80">
    <w:p w:rsidR="00FC5558" w:rsidRDefault="00FC5558" w:rsidP="00437CA2">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81">
    <w:p w:rsidR="00FC5558" w:rsidRDefault="00FC5558"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82">
    <w:p w:rsidR="00FC5558" w:rsidRDefault="00FC5558"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83">
    <w:p w:rsidR="00FC5558" w:rsidRDefault="00FC5558" w:rsidP="00437CA2">
      <w:pPr>
        <w:pStyle w:val="FootnoteText"/>
      </w:pPr>
      <w:r>
        <w:rPr>
          <w:rStyle w:val="FootnoteReference"/>
        </w:rPr>
        <w:footnoteRef/>
      </w:r>
      <w:r>
        <w:t xml:space="preserve"> </w:t>
      </w:r>
      <w:r>
        <w:tab/>
        <w:t>NER, cll. 6.5.2(d)(2), 6A.6.2(d)(2); NGR, r. 87(4)(b).</w:t>
      </w:r>
    </w:p>
  </w:footnote>
  <w:footnote w:id="84">
    <w:p w:rsidR="00FC5558" w:rsidRDefault="00FC5558" w:rsidP="00437CA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85">
    <w:p w:rsidR="00FC5558" w:rsidRDefault="00FC5558" w:rsidP="00DB720E">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E750F8">
        <w:rPr>
          <w:rStyle w:val="AERtextitalic"/>
        </w:rPr>
        <w:t>Issues in the estimation of gamma</w:t>
      </w:r>
      <w:r>
        <w:t>, April 2017</w:t>
      </w:r>
      <w:r w:rsidRPr="009E16C6">
        <w:rPr>
          <w:rStyle w:val="AERtextitalic"/>
          <w:i w:val="0"/>
        </w:rPr>
        <w:t>.</w:t>
      </w:r>
    </w:p>
  </w:footnote>
  <w:footnote w:id="86">
    <w:p w:rsidR="00FC5558" w:rsidRDefault="00FC5558" w:rsidP="00437CA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87">
    <w:p w:rsidR="00FC5558" w:rsidRDefault="00FC5558" w:rsidP="00437CA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88">
    <w:p w:rsidR="00FC5558" w:rsidRDefault="00FC5558" w:rsidP="00437CA2">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89">
    <w:p w:rsidR="00FC5558" w:rsidRDefault="00FC5558" w:rsidP="00437CA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90">
    <w:p w:rsidR="00FC5558" w:rsidRDefault="00FC5558" w:rsidP="00437CA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91">
    <w:p w:rsidR="00FC5558" w:rsidRDefault="00FC5558" w:rsidP="00437CA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92">
    <w:p w:rsidR="00FC5558" w:rsidRDefault="00FC5558" w:rsidP="00437CA2">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BF66D3">
        <w:t>A.1</w:t>
      </w:r>
      <w:r>
        <w:fldChar w:fldCharType="end"/>
      </w:r>
      <w:r>
        <w:t xml:space="preserve"> and </w:t>
      </w:r>
      <w:r>
        <w:fldChar w:fldCharType="begin"/>
      </w:r>
      <w:r>
        <w:instrText xml:space="preserve"> REF _Ref414621875 \r \h </w:instrText>
      </w:r>
      <w:r>
        <w:fldChar w:fldCharType="separate"/>
      </w:r>
      <w:r w:rsidR="00BF66D3">
        <w:t>A.2</w:t>
      </w:r>
      <w:r>
        <w:fldChar w:fldCharType="end"/>
      </w:r>
      <w:r>
        <w:t xml:space="preserve"> of appendix A.</w:t>
      </w:r>
    </w:p>
  </w:footnote>
  <w:footnote w:id="93">
    <w:p w:rsidR="00FC5558" w:rsidRDefault="00FC5558" w:rsidP="00437CA2">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BF66D3">
        <w:t>A.5</w:t>
      </w:r>
      <w:r>
        <w:fldChar w:fldCharType="end"/>
      </w:r>
      <w:r>
        <w:t xml:space="preserve"> of appendix A.</w:t>
      </w:r>
    </w:p>
  </w:footnote>
  <w:footnote w:id="94">
    <w:p w:rsidR="00FC5558" w:rsidRDefault="00FC5558" w:rsidP="00437CA2">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BF66D3">
        <w:t>4.3.1</w:t>
      </w:r>
      <w:r>
        <w:fldChar w:fldCharType="end"/>
      </w:r>
      <w:r>
        <w:t xml:space="preserve"> and </w:t>
      </w:r>
      <w:r>
        <w:fldChar w:fldCharType="begin"/>
      </w:r>
      <w:r>
        <w:instrText xml:space="preserve"> REF _Ref400965182 \r \h </w:instrText>
      </w:r>
      <w:r>
        <w:fldChar w:fldCharType="separate"/>
      </w:r>
      <w:r w:rsidR="00BF66D3">
        <w:t>A.6</w:t>
      </w:r>
      <w:r>
        <w:fldChar w:fldCharType="end"/>
      </w:r>
      <w:r>
        <w:t xml:space="preserve"> of appendix A.</w:t>
      </w:r>
    </w:p>
  </w:footnote>
  <w:footnote w:id="95">
    <w:p w:rsidR="00FC5558" w:rsidRDefault="00FC5558" w:rsidP="00437CA2">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BF66D3">
        <w:t>A.6</w:t>
      </w:r>
      <w:r>
        <w:fldChar w:fldCharType="end"/>
      </w:r>
      <w:r>
        <w:t xml:space="preserve"> of appendix A.</w:t>
      </w:r>
    </w:p>
  </w:footnote>
  <w:footnote w:id="96">
    <w:p w:rsidR="00FC5558" w:rsidRDefault="00FC5558" w:rsidP="00437CA2">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97">
    <w:p w:rsidR="00FC5558" w:rsidRDefault="00FC5558" w:rsidP="00437CA2">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rsidR="00BF66D3">
        <w:t>4.4</w:t>
      </w:r>
      <w:r>
        <w:fldChar w:fldCharType="end"/>
      </w:r>
      <w:r>
        <w:t>.</w:t>
      </w:r>
    </w:p>
  </w:footnote>
  <w:footnote w:id="98">
    <w:p w:rsidR="00FC5558" w:rsidRDefault="00FC5558" w:rsidP="00437CA2">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rsidR="00BF66D3">
        <w:t>4.4</w:t>
      </w:r>
      <w:r>
        <w:fldChar w:fldCharType="end"/>
      </w:r>
      <w:r>
        <w:t>.</w:t>
      </w:r>
    </w:p>
  </w:footnote>
  <w:footnote w:id="99">
    <w:p w:rsidR="00FC5558" w:rsidRDefault="00FC5558" w:rsidP="00437CA2">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rsidR="00BF66D3">
        <w:t>4.4</w:t>
      </w:r>
      <w:r>
        <w:fldChar w:fldCharType="end"/>
      </w:r>
      <w:r>
        <w:t>.</w:t>
      </w:r>
    </w:p>
  </w:footnote>
  <w:footnote w:id="100">
    <w:p w:rsidR="00FC5558" w:rsidRDefault="00FC5558"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101">
    <w:p w:rsidR="00FC5558" w:rsidRDefault="00FC5558" w:rsidP="00437CA2">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102">
    <w:p w:rsidR="00FC5558" w:rsidRDefault="00FC5558" w:rsidP="00437CA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rsidR="00BF66D3">
        <w:t>A.9.1</w:t>
      </w:r>
      <w:r>
        <w:fldChar w:fldCharType="end"/>
      </w:r>
      <w:r>
        <w:t xml:space="preserve"> of appendix A for more discussion. </w:t>
      </w:r>
    </w:p>
  </w:footnote>
  <w:footnote w:id="103">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104">
    <w:p w:rsidR="00FC5558" w:rsidRDefault="00FC5558" w:rsidP="007D69CB">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E750F8">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105">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106">
    <w:p w:rsidR="00FC5558" w:rsidRDefault="00FC5558" w:rsidP="00C52695">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107">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BF66D3">
        <w:t>A.1</w:t>
      </w:r>
      <w:r>
        <w:fldChar w:fldCharType="end"/>
      </w:r>
      <w:r>
        <w:t xml:space="preserve"> of appendix A.</w:t>
      </w:r>
    </w:p>
  </w:footnote>
  <w:footnote w:id="108">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109">
    <w:p w:rsidR="00FC5558" w:rsidRPr="00EA3C68" w:rsidRDefault="00FC5558"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1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111">
    <w:p w:rsidR="00FC5558" w:rsidRDefault="00FC5558" w:rsidP="00C52695">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112">
    <w:p w:rsidR="00FC5558" w:rsidRDefault="00FC5558">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113">
    <w:p w:rsidR="00FC5558" w:rsidRDefault="00FC5558" w:rsidP="00C52695">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114">
    <w:p w:rsidR="00FC5558" w:rsidRDefault="00FC5558" w:rsidP="00C52695">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115">
    <w:p w:rsidR="00FC5558" w:rsidRPr="00C4634F" w:rsidRDefault="00FC5558" w:rsidP="00C4634F">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 29.</w:t>
      </w:r>
    </w:p>
  </w:footnote>
  <w:footnote w:id="116">
    <w:p w:rsidR="00FC5558" w:rsidRDefault="00FC5558" w:rsidP="00C52695">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rsidR="00BF66D3">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117">
    <w:p w:rsidR="00FC5558" w:rsidRDefault="00FC5558" w:rsidP="00C52695">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18">
    <w:p w:rsidR="00FC5558" w:rsidRDefault="00FC5558" w:rsidP="00C52695">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19">
    <w:p w:rsidR="00FC5558" w:rsidRDefault="00FC5558" w:rsidP="00C52695">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rsidR="00BF66D3">
        <w:t>A.8.3</w:t>
      </w:r>
      <w:r>
        <w:fldChar w:fldCharType="end"/>
      </w:r>
      <w:r>
        <w:t>.</w:t>
      </w:r>
    </w:p>
  </w:footnote>
  <w:footnote w:id="120">
    <w:p w:rsidR="00FC5558" w:rsidRDefault="00FC5558" w:rsidP="00C52695">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21">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22">
    <w:p w:rsidR="00FC5558" w:rsidRDefault="00FC5558" w:rsidP="00C52695">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BF66D3">
        <w:t>A.10</w:t>
      </w:r>
      <w:r>
        <w:fldChar w:fldCharType="end"/>
      </w:r>
      <w:r w:rsidRPr="007F4E38">
        <w:t xml:space="preserve"> of </w:t>
      </w:r>
      <w:r>
        <w:t>appendix A.</w:t>
      </w:r>
    </w:p>
  </w:footnote>
  <w:footnote w:id="123">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24">
    <w:p w:rsidR="00FC5558" w:rsidRDefault="00FC5558"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25">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26">
    <w:p w:rsidR="00FC5558" w:rsidRDefault="00FC5558"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BF66D3">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20 May 2015.</w:t>
      </w:r>
    </w:p>
  </w:footnote>
  <w:footnote w:id="127">
    <w:p w:rsidR="00FC5558" w:rsidRDefault="00FC5558"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28">
    <w:p w:rsidR="00FC5558" w:rsidRDefault="00FC5558"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29">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30">
    <w:p w:rsidR="00FC5558" w:rsidRDefault="00FC5558" w:rsidP="00C52695">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BF66D3">
        <w:t>A.10</w:t>
      </w:r>
      <w:r>
        <w:fldChar w:fldCharType="end"/>
      </w:r>
      <w:r>
        <w:t xml:space="preserve"> for more detail.</w:t>
      </w:r>
    </w:p>
  </w:footnote>
  <w:footnote w:id="131">
    <w:p w:rsidR="00FC5558" w:rsidRDefault="00FC5558"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BF66D3">
        <w:t>A.10</w:t>
      </w:r>
      <w:r>
        <w:fldChar w:fldCharType="end"/>
      </w:r>
      <w:r>
        <w:t xml:space="preserve"> of appendix A. </w:t>
      </w:r>
    </w:p>
  </w:footnote>
  <w:footnote w:id="132">
    <w:p w:rsidR="00FC5558" w:rsidRDefault="00FC5558"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3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34">
    <w:p w:rsidR="00FC5558" w:rsidRPr="00EA3C68" w:rsidRDefault="00FC5558"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35">
    <w:p w:rsidR="00FC5558" w:rsidRDefault="00FC5558" w:rsidP="00C52695">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3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37">
    <w:p w:rsidR="00FC5558" w:rsidRPr="00EA3C68" w:rsidRDefault="00FC5558" w:rsidP="00AC26C8">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38">
    <w:p w:rsidR="00FC5558" w:rsidRDefault="00FC5558" w:rsidP="00C5269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39">
    <w:p w:rsidR="00FC5558" w:rsidRDefault="00FC5558" w:rsidP="00C5269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BF66D3">
        <w:t>A.8.1</w:t>
      </w:r>
      <w:r>
        <w:fldChar w:fldCharType="end"/>
      </w:r>
      <w:r>
        <w:t xml:space="preserve"> of appendix A.</w:t>
      </w:r>
    </w:p>
  </w:footnote>
  <w:footnote w:id="140">
    <w:p w:rsidR="00FC5558" w:rsidRDefault="00FC5558" w:rsidP="00226CB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41">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42">
    <w:p w:rsidR="00FC5558" w:rsidRDefault="00FC5558" w:rsidP="00C52695">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4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4">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45">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46">
    <w:p w:rsidR="00FC5558" w:rsidRDefault="00FC5558" w:rsidP="00C5269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BF66D3">
        <w:t>A.11</w:t>
      </w:r>
      <w:r>
        <w:fldChar w:fldCharType="end"/>
      </w:r>
      <w:r>
        <w:t xml:space="preserve"> of appendix A.</w:t>
      </w:r>
    </w:p>
  </w:footnote>
  <w:footnote w:id="147">
    <w:p w:rsidR="00FC5558" w:rsidRDefault="00FC5558" w:rsidP="00C5269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48">
    <w:p w:rsidR="00FC5558" w:rsidRDefault="00FC555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49">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5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51">
    <w:p w:rsidR="00FC5558" w:rsidRDefault="00FC5558"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52">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53">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54">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55">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56">
    <w:p w:rsidR="00FC5558" w:rsidRDefault="00FC5558" w:rsidP="00C5269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57">
    <w:p w:rsidR="00FC5558" w:rsidRDefault="00FC5558" w:rsidP="00C5269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BF66D3">
        <w:t>A.9.1</w:t>
      </w:r>
      <w:r>
        <w:fldChar w:fldCharType="end"/>
      </w:r>
      <w:r>
        <w:t xml:space="preserve"> of appendix A.</w:t>
      </w:r>
    </w:p>
  </w:footnote>
  <w:footnote w:id="15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59">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60">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61">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62">
    <w:p w:rsidR="00FC5558" w:rsidRDefault="00FC555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63">
    <w:p w:rsidR="00FC5558" w:rsidRDefault="00FC5558">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64">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65">
    <w:p w:rsidR="00FC5558" w:rsidRDefault="00FC5558" w:rsidP="00AA7999">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E750F8">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6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67">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168">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69">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70">
    <w:p w:rsidR="00FC5558" w:rsidRDefault="00FC5558" w:rsidP="002439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1">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2">
    <w:p w:rsidR="00FC5558" w:rsidRDefault="00FC5558" w:rsidP="00AA799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pp. 4-6.</w:t>
      </w:r>
    </w:p>
  </w:footnote>
  <w:footnote w:id="17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74">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75">
    <w:p w:rsidR="00FC5558" w:rsidRDefault="00FC5558" w:rsidP="00C5269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76">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77">
    <w:p w:rsidR="00FC5558" w:rsidRDefault="00FC5558" w:rsidP="0068227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E750F8">
        <w:rPr>
          <w:rStyle w:val="AERtextitalic"/>
        </w:rPr>
        <w:t>Issues in the estimation of gamma</w:t>
      </w:r>
      <w:r>
        <w:t>, April 2017</w:t>
      </w:r>
      <w:r w:rsidRPr="00AF1BD9">
        <w:rPr>
          <w:rStyle w:val="AERtextitalic"/>
          <w:i w:val="0"/>
        </w:rPr>
        <w:t>, pp. 4-6.</w:t>
      </w:r>
    </w:p>
  </w:footnote>
  <w:footnote w:id="17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79">
    <w:p w:rsidR="00FC5558" w:rsidRDefault="00FC5558"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80">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1">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82">
    <w:p w:rsidR="00FC5558" w:rsidRDefault="00FC5558" w:rsidP="00C52695">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83">
    <w:p w:rsidR="00FC5558" w:rsidRDefault="00FC5558"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84">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85">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86">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7">
    <w:p w:rsidR="00FC5558" w:rsidRDefault="00FC5558"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r w:rsidRPr="00B022C2">
        <w:t xml:space="preserve"> Multinet, </w:t>
      </w:r>
      <w:r w:rsidRPr="009716F3">
        <w:rPr>
          <w:rStyle w:val="AERtextitalic"/>
        </w:rPr>
        <w:t>Corporate Income Tax Overview</w:t>
      </w:r>
      <w:r>
        <w:t xml:space="preserve">, December 2016, p. 8; </w:t>
      </w:r>
      <w:r w:rsidRPr="00787430">
        <w:t xml:space="preserve">AusNet Services Gas Distribution, </w:t>
      </w:r>
      <w:r w:rsidRPr="009716F3">
        <w:rPr>
          <w:rStyle w:val="AERtextitalic"/>
        </w:rPr>
        <w:t>Gas Access Arrangement Review 2018-2022</w:t>
      </w:r>
      <w:r>
        <w:t>, December 2016, p. 238</w:t>
      </w:r>
      <w:r w:rsidRPr="00787430">
        <w:t>.</w:t>
      </w:r>
    </w:p>
  </w:footnote>
  <w:footnote w:id="188">
    <w:p w:rsidR="00FC5558" w:rsidRDefault="00FC5558" w:rsidP="00EA4E82">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xml:space="preserve">, January 2016, pp. 7-10;  </w:t>
      </w:r>
      <w:r w:rsidRPr="00EA4E82">
        <w:t xml:space="preserve">Frontier Economics, </w:t>
      </w:r>
      <w:r w:rsidRPr="009716F3">
        <w:rPr>
          <w:rStyle w:val="AERtextitalic"/>
        </w:rPr>
        <w:t>Perspectives for the estimation of gamma</w:t>
      </w:r>
      <w:r w:rsidRPr="00EA4E82">
        <w:t>, December 2016</w:t>
      </w:r>
      <w:r>
        <w:t>, para 35</w:t>
      </w:r>
    </w:p>
  </w:footnote>
  <w:footnote w:id="189">
    <w:p w:rsidR="00FC5558" w:rsidRDefault="00FC5558"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90">
    <w:p w:rsidR="00FC5558" w:rsidRDefault="00FC555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91">
    <w:p w:rsidR="00FC5558" w:rsidRDefault="00FC5558"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xml:space="preserve">, September 2016, p. 3; </w:t>
      </w:r>
      <w:r w:rsidRPr="002D320C">
        <w:t xml:space="preserve"> Multinet, </w:t>
      </w:r>
      <w:r w:rsidRPr="009716F3">
        <w:rPr>
          <w:rStyle w:val="AERtextitalic"/>
        </w:rPr>
        <w:t>Corporate Income Tax Overview</w:t>
      </w:r>
      <w:r>
        <w:t>, December 2016, p. 12;</w:t>
      </w:r>
      <w:r w:rsidRPr="00787430">
        <w:t xml:space="preserve"> </w:t>
      </w:r>
      <w:r>
        <w:t xml:space="preserve">AusNet Services Gas Distribution, </w:t>
      </w:r>
      <w:r w:rsidRPr="009716F3">
        <w:rPr>
          <w:rStyle w:val="AERtextitalic"/>
        </w:rPr>
        <w:t>Gas Access Arrangement Review 2018-2022</w:t>
      </w:r>
      <w:r>
        <w:t>, December 2016, p. 243.</w:t>
      </w:r>
    </w:p>
  </w:footnote>
  <w:footnote w:id="192">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93">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94">
    <w:p w:rsidR="00FC5558" w:rsidRDefault="00FC5558" w:rsidP="00C52695">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95">
    <w:p w:rsidR="00FC5558" w:rsidRPr="00EA3C68" w:rsidRDefault="00FC5558" w:rsidP="003B47A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96">
    <w:p w:rsidR="00FC5558" w:rsidRPr="00EA3C68" w:rsidRDefault="00FC5558" w:rsidP="00CC480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97">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98">
    <w:p w:rsidR="00FC5558" w:rsidRDefault="00FC5558"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99">
    <w:p w:rsidR="00FC5558" w:rsidRDefault="00FC5558" w:rsidP="00C52695">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200">
    <w:p w:rsidR="00FC5558" w:rsidRDefault="00FC5558"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201">
    <w:p w:rsidR="00FC5558" w:rsidRDefault="00FC5558"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xml:space="preserve">, 21 September 2016, pp. 204, 207; </w:t>
      </w:r>
      <w:r w:rsidRPr="003B6C29">
        <w:t xml:space="preserve"> Multinet, </w:t>
      </w:r>
      <w:r w:rsidRPr="009716F3">
        <w:rPr>
          <w:rStyle w:val="AERtextitalic"/>
        </w:rPr>
        <w:t>Corporate Income Tax Overview</w:t>
      </w:r>
      <w:r>
        <w:t>, December 2016, p. 14;</w:t>
      </w:r>
      <w:r w:rsidRPr="00787430">
        <w:t xml:space="preserve"> </w:t>
      </w:r>
      <w:r>
        <w:t xml:space="preserve">AusNet Services Gas Distribution, </w:t>
      </w:r>
      <w:r w:rsidRPr="009716F3">
        <w:rPr>
          <w:rStyle w:val="AERtextitalic"/>
        </w:rPr>
        <w:t>Gas Access Arrangement Review 2018-2022</w:t>
      </w:r>
      <w:r>
        <w:t>, December 2016, p. 245.</w:t>
      </w:r>
    </w:p>
    <w:p w:rsidR="00FC5558" w:rsidRDefault="00FC5558" w:rsidP="003B6C29">
      <w:pPr>
        <w:pStyle w:val="FootnoteText"/>
      </w:pPr>
    </w:p>
  </w:footnote>
  <w:footnote w:id="202">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203">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204">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205">
    <w:p w:rsidR="00FC5558" w:rsidRDefault="00FC5558" w:rsidP="00C52695">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206">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207">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208">
    <w:p w:rsidR="00FC5558" w:rsidRDefault="00FC5558" w:rsidP="00C52695">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209">
    <w:p w:rsidR="00FC5558" w:rsidRDefault="00FC5558" w:rsidP="00C52695">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210">
    <w:p w:rsidR="00FC5558" w:rsidRPr="00341F69" w:rsidRDefault="00FC5558" w:rsidP="00CC480F">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211">
    <w:p w:rsidR="00FC5558" w:rsidRDefault="00FC5558" w:rsidP="00426A1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xml:space="preserve">, 21 September 2016, p. 211; </w:t>
      </w:r>
      <w:r w:rsidRPr="00426A15">
        <w:t xml:space="preserve"> Frontier Economics, </w:t>
      </w:r>
      <w:r w:rsidRPr="009716F3">
        <w:rPr>
          <w:rStyle w:val="AERtextitalic"/>
        </w:rPr>
        <w:t>Perspectives for the estimation of gamma</w:t>
      </w:r>
      <w:r w:rsidRPr="00426A15">
        <w:t>, December 2016</w:t>
      </w:r>
      <w:r>
        <w:t>, para 35</w:t>
      </w:r>
    </w:p>
  </w:footnote>
  <w:footnote w:id="212">
    <w:p w:rsidR="00FC5558" w:rsidRDefault="00FC5558"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213">
    <w:p w:rsidR="00FC5558" w:rsidRDefault="00FC5558"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214">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215">
    <w:p w:rsidR="00FC5558" w:rsidRDefault="00FC5558" w:rsidP="00180548">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xml:space="preserve">, 21 September 2016, p. 204; </w:t>
      </w:r>
      <w:r w:rsidRPr="00180548">
        <w:t>Frontier Economics, Perspectives for the estimation of gamma, December 2016</w:t>
      </w:r>
      <w:r>
        <w:t>, para 35, 39</w:t>
      </w:r>
    </w:p>
  </w:footnote>
  <w:footnote w:id="216">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217">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218">
    <w:p w:rsidR="00FC5558" w:rsidRDefault="00FC5558" w:rsidP="003B47A6">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219">
    <w:p w:rsidR="00FC5558" w:rsidRPr="00D81354" w:rsidRDefault="00FC5558" w:rsidP="00AC26C8">
      <w:pPr>
        <w:pStyle w:val="FootnoteText"/>
      </w:pPr>
      <w:r>
        <w:rPr>
          <w:rStyle w:val="FootnoteReference"/>
        </w:rPr>
        <w:footnoteRef/>
      </w:r>
      <w:r>
        <w:t xml:space="preserve"> </w:t>
      </w:r>
      <w:r>
        <w:tab/>
        <w:t xml:space="preserve">M. Lally, </w:t>
      </w:r>
      <w:r w:rsidRPr="00E750F8">
        <w:rPr>
          <w:rStyle w:val="AERtextitalic"/>
        </w:rPr>
        <w:t xml:space="preserve">Issues in the estimation of gamma, </w:t>
      </w:r>
      <w:r w:rsidRPr="004423C9">
        <w:rPr>
          <w:rStyle w:val="AERtextitalic"/>
          <w:i w:val="0"/>
        </w:rPr>
        <w:t>April</w:t>
      </w:r>
      <w:r w:rsidRPr="00E750F8">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220">
    <w:p w:rsidR="00FC5558" w:rsidRDefault="00FC5558" w:rsidP="00C52695">
      <w:pPr>
        <w:pStyle w:val="FootnoteText"/>
      </w:pPr>
      <w:r>
        <w:rPr>
          <w:rStyle w:val="FootnoteReference"/>
        </w:rPr>
        <w:footnoteRef/>
      </w:r>
      <w:r>
        <w:t xml:space="preserve"> </w:t>
      </w:r>
      <w:r>
        <w:tab/>
      </w:r>
      <w:r w:rsidRPr="008F5D24">
        <w:t xml:space="preserve">HoustonKemp, </w:t>
      </w:r>
      <w:r w:rsidRPr="00D414CC">
        <w:rPr>
          <w:rStyle w:val="Emphasis"/>
        </w:rPr>
        <w:t>A response to the Australian Energy Regulator Draft Decision on Australian Gas Networks AA2016 Revenue Reset</w:t>
      </w:r>
      <w:r w:rsidRPr="008F5D24">
        <w:t xml:space="preserve">, February 2016, p. </w:t>
      </w:r>
      <w:r>
        <w:t>28</w:t>
      </w:r>
      <w:r w:rsidRPr="008F5D24">
        <w:t>.</w:t>
      </w:r>
    </w:p>
  </w:footnote>
  <w:footnote w:id="221">
    <w:p w:rsidR="00FC5558" w:rsidRDefault="00FC5558" w:rsidP="00C5269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22">
    <w:p w:rsidR="00FC5558" w:rsidRPr="001966E3" w:rsidRDefault="00FC5558" w:rsidP="00C52695">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23">
    <w:p w:rsidR="00FC5558" w:rsidRDefault="00FC5558" w:rsidP="00C52695">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24">
    <w:p w:rsidR="00FC5558" w:rsidRDefault="00FC5558" w:rsidP="00C52695">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25">
    <w:p w:rsidR="00FC5558" w:rsidRDefault="00FC555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26">
    <w:p w:rsidR="00FC5558" w:rsidRDefault="00FC5558"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27">
    <w:p w:rsidR="00FC5558" w:rsidRDefault="00FC5558" w:rsidP="00C52695">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28">
    <w:p w:rsidR="00FC5558" w:rsidRDefault="00FC5558" w:rsidP="00C52695">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29">
    <w:p w:rsidR="00FC5558" w:rsidRDefault="00FC5558" w:rsidP="00C52695">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30">
    <w:p w:rsidR="00FC5558" w:rsidRDefault="00FC5558" w:rsidP="00C52695">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w:t>
      </w:r>
      <w:r>
        <w:rPr>
          <w:rStyle w:val="AERtextitalic"/>
        </w:rPr>
        <w:t>'</w:t>
      </w:r>
      <w:r w:rsidRPr="003504FC">
        <w:rPr>
          <w:rStyle w:val="AERtextitalic"/>
        </w:rPr>
        <w:t xml:space="preserve"> Application, A response</w:t>
      </w:r>
      <w:r>
        <w:t>, December 2014, pp. 80–81.</w:t>
      </w:r>
    </w:p>
  </w:footnote>
  <w:footnote w:id="231">
    <w:p w:rsidR="00FC5558" w:rsidRDefault="00FC5558" w:rsidP="00C52695">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32">
    <w:p w:rsidR="00FC5558" w:rsidRDefault="00FC5558" w:rsidP="00C52695">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33">
    <w:p w:rsidR="00FC5558" w:rsidRDefault="00FC5558" w:rsidP="00C52695">
      <w:pPr>
        <w:pStyle w:val="FootnoteText"/>
      </w:pPr>
      <w:r>
        <w:rPr>
          <w:rStyle w:val="FootnoteReference"/>
        </w:rPr>
        <w:footnoteRef/>
      </w:r>
      <w:r>
        <w:t xml:space="preserve"> </w:t>
      </w:r>
      <w:r>
        <w:tab/>
      </w:r>
      <w:r w:rsidRPr="009A6FC1">
        <w:t xml:space="preserve">ECCSA, </w:t>
      </w:r>
      <w:r w:rsidRPr="00D414CC">
        <w:rPr>
          <w:rStyle w:val="Emphasis"/>
        </w:rPr>
        <w:t>A response to the Australian Energy Regulator Draft Decision on Australian Gas Networks AA2016 Revenue Reset</w:t>
      </w:r>
      <w:r w:rsidRPr="009A6FC1">
        <w:t>, February 2016, p. 35.</w:t>
      </w:r>
    </w:p>
  </w:footnote>
  <w:footnote w:id="234">
    <w:p w:rsidR="00FC5558" w:rsidRDefault="00FC5558" w:rsidP="00C52695">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35">
    <w:p w:rsidR="00FC5558" w:rsidRDefault="00FC5558" w:rsidP="00C52695">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36">
    <w:p w:rsidR="00FC5558" w:rsidRDefault="00FC5558" w:rsidP="00C52695">
      <w:pPr>
        <w:pStyle w:val="FootnoteText"/>
      </w:pPr>
      <w:r>
        <w:rPr>
          <w:rStyle w:val="FootnoteReference"/>
        </w:rPr>
        <w:footnoteRef/>
      </w:r>
      <w:r>
        <w:t xml:space="preserve"> </w:t>
      </w:r>
      <w:r>
        <w:tab/>
        <w:t xml:space="preserve">Uniting Care Australia, </w:t>
      </w:r>
      <w:r w:rsidRPr="00D414CC">
        <w:rPr>
          <w:rStyle w:val="Emphasis"/>
        </w:rPr>
        <w:t>Submission to the Australian Energy Regulator -Response to Electricity Distribution Business Revised Regulatory Proposal from 2015–20 from SA Power Networks, and AER Preliminary Determination</w:t>
      </w:r>
      <w:r w:rsidRPr="00B239C6">
        <w:t>, July 2015, p.</w:t>
      </w:r>
      <w:r>
        <w:t> </w:t>
      </w:r>
      <w:r w:rsidRPr="00B239C6">
        <w:t>29.</w:t>
      </w:r>
    </w:p>
  </w:footnote>
  <w:footnote w:id="237">
    <w:p w:rsidR="00FC5558" w:rsidRDefault="00FC5558" w:rsidP="00C52695">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38">
    <w:p w:rsidR="00FC5558" w:rsidRDefault="00FC5558" w:rsidP="00C52695">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39">
    <w:p w:rsidR="00FC5558" w:rsidRDefault="00FC5558" w:rsidP="00C52695">
      <w:pPr>
        <w:pStyle w:val="FootnoteText"/>
      </w:pPr>
      <w:r>
        <w:rPr>
          <w:rStyle w:val="FootnoteReference"/>
        </w:rPr>
        <w:footnoteRef/>
      </w:r>
      <w:r>
        <w:t xml:space="preserve"> </w:t>
      </w:r>
      <w:r>
        <w:tab/>
        <w:t xml:space="preserve">TasCOSS, </w:t>
      </w:r>
      <w:r w:rsidRPr="00D414CC">
        <w:rPr>
          <w:rStyle w:val="Emphasis"/>
        </w:rPr>
        <w:t>Submission on the AER issues paper regarding TasNetworks regulatory proposal</w:t>
      </w:r>
      <w:r>
        <w:t>, April 2016, p. 2.</w:t>
      </w:r>
    </w:p>
  </w:footnote>
  <w:footnote w:id="240">
    <w:p w:rsidR="00FC5558" w:rsidRDefault="00FC5558" w:rsidP="00C52695">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41">
    <w:p w:rsidR="00FC5558" w:rsidRDefault="00FC5558" w:rsidP="00C52695">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42">
    <w:p w:rsidR="00FC5558" w:rsidRDefault="00FC5558">
      <w:pPr>
        <w:pStyle w:val="FootnoteText"/>
      </w:pPr>
      <w:r>
        <w:rPr>
          <w:rStyle w:val="FootnoteReference"/>
        </w:rPr>
        <w:footnoteRef/>
      </w:r>
      <w:r>
        <w:t xml:space="preserve"> </w:t>
      </w:r>
      <w:r>
        <w:tab/>
        <w:t xml:space="preserve">CCP sub panel 4, </w:t>
      </w:r>
      <w:r w:rsidRPr="00E750F8">
        <w:rPr>
          <w:rStyle w:val="AERtextitalic"/>
        </w:rPr>
        <w:t>Submission on TasNetworks' revised proposal and AER's draft decision</w:t>
      </w:r>
      <w:r>
        <w:t>, December 2016, pp. 30-31.</w:t>
      </w:r>
    </w:p>
  </w:footnote>
  <w:footnote w:id="243">
    <w:p w:rsidR="00FC5558" w:rsidRDefault="00FC5558" w:rsidP="000E71C3">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44">
    <w:p w:rsidR="00FC5558" w:rsidRDefault="00FC5558">
      <w:pPr>
        <w:pStyle w:val="FootnoteText"/>
      </w:pPr>
      <w:r>
        <w:rPr>
          <w:rStyle w:val="FootnoteReference"/>
        </w:rPr>
        <w:footnoteRef/>
      </w:r>
      <w:r>
        <w:t xml:space="preserve"> </w:t>
      </w:r>
      <w:r>
        <w:tab/>
        <w:t xml:space="preserve">Consumer Challenge Panel Sub Panel 4 (David Headberry), </w:t>
      </w:r>
      <w:r w:rsidRPr="00E750F8">
        <w:rPr>
          <w:rStyle w:val="AERtextitalic"/>
        </w:rPr>
        <w:t>Response to the AER's Draft Decision and Revised Proposal to Tasmania's electricity distribution network service provider for a revenue reset for the 2017-19 regulatory period</w:t>
      </w:r>
      <w:r>
        <w:t>, 25 November 2016, p. 28.</w:t>
      </w:r>
    </w:p>
  </w:footnote>
  <w:footnote w:id="245">
    <w:p w:rsidR="00FC5558" w:rsidRDefault="00FC5558">
      <w:pPr>
        <w:pStyle w:val="FootnoteText"/>
      </w:pPr>
      <w:r>
        <w:rPr>
          <w:rStyle w:val="FootnoteReference"/>
        </w:rPr>
        <w:footnoteRef/>
      </w:r>
      <w:r>
        <w:t xml:space="preserve"> </w:t>
      </w:r>
      <w:r>
        <w:tab/>
        <w:t xml:space="preserve">Tasmanian Small Business Council, </w:t>
      </w:r>
      <w:r w:rsidRPr="00E750F8">
        <w:rPr>
          <w:rStyle w:val="AERtextitalic"/>
        </w:rPr>
        <w:t>Submission: TasNetworks Distribution - Draft Regulatory and Tariff Structure Statement Determination,</w:t>
      </w:r>
      <w:r>
        <w:t xml:space="preserve"> November 2016, p. 9.</w:t>
      </w:r>
    </w:p>
  </w:footnote>
  <w:footnote w:id="246">
    <w:p w:rsidR="00FC5558" w:rsidRDefault="00FC5558">
      <w:pPr>
        <w:pStyle w:val="FootnoteText"/>
      </w:pPr>
      <w:r>
        <w:rPr>
          <w:rStyle w:val="FootnoteReference"/>
        </w:rPr>
        <w:footnoteRef/>
      </w:r>
      <w:r>
        <w:t xml:space="preserve"> </w:t>
      </w:r>
      <w:r>
        <w:tab/>
        <w:t xml:space="preserve">Consumer Challenge Panel sub Panel 4 (CCP4), </w:t>
      </w:r>
      <w:r w:rsidRPr="00E750F8">
        <w:rPr>
          <w:rStyle w:val="AERtextitalic"/>
        </w:rPr>
        <w:t>Response to the AER Draft decision and Revised Proposal to Powerlink's electricity transmission network for a revenue reset for the 2017-2019 regulatory period</w:t>
      </w:r>
      <w:r>
        <w:t>, 19 December 2016, p. 3.</w:t>
      </w:r>
    </w:p>
  </w:footnote>
  <w:footnote w:id="247">
    <w:p w:rsidR="00FC5558" w:rsidRDefault="00FC5558">
      <w:pPr>
        <w:pStyle w:val="FootnoteText"/>
      </w:pPr>
      <w:r>
        <w:rPr>
          <w:rStyle w:val="FootnoteReference"/>
        </w:rPr>
        <w:footnoteRef/>
      </w:r>
      <w:r>
        <w:t xml:space="preserve"> </w:t>
      </w:r>
      <w:r>
        <w:tab/>
        <w:t xml:space="preserve">Origin Energy, </w:t>
      </w:r>
      <w:r w:rsidRPr="009716F3">
        <w:rPr>
          <w:rStyle w:val="AERtextitalic"/>
        </w:rPr>
        <w:t>Submission on Victorian Gas Access Arrangement Review-2018-22 Response to Gas Distribution Business' proposals</w:t>
      </w:r>
      <w:r>
        <w:t>, February 2017</w:t>
      </w:r>
    </w:p>
  </w:footnote>
  <w:footnote w:id="248">
    <w:p w:rsidR="00FC5558" w:rsidRDefault="00FC5558" w:rsidP="004575C1">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rsidRPr="00DB6F2B">
        <w:t>December, p. 121</w:t>
      </w:r>
      <w:r>
        <w:t>.</w:t>
      </w:r>
    </w:p>
  </w:footnote>
  <w:footnote w:id="249">
    <w:p w:rsidR="00FC5558" w:rsidRPr="009114B8" w:rsidRDefault="00FC5558" w:rsidP="004575C1">
      <w:pPr>
        <w:pStyle w:val="FootnoteText"/>
      </w:pPr>
      <w:r>
        <w:rPr>
          <w:rStyle w:val="FootnoteReference"/>
        </w:rPr>
        <w:footnoteRef/>
      </w:r>
      <w:r>
        <w:t xml:space="preserve"> </w:t>
      </w:r>
      <w:r>
        <w:tab/>
      </w:r>
      <w:r w:rsidRPr="0043393C">
        <w:t xml:space="preserve"> </w:t>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p w:rsidR="00FC5558" w:rsidRPr="009114B8" w:rsidRDefault="00FC5558" w:rsidP="004575C1">
      <w:pPr>
        <w:pStyle w:val="FootnoteText"/>
      </w:pPr>
      <w:r w:rsidRPr="009114B8">
        <w:tab/>
        <w:t>That is AusNet Servic</w:t>
      </w:r>
      <w:r>
        <w:t>es Gas Distribution, APA and Multinet</w:t>
      </w:r>
      <w:r w:rsidRPr="009114B8">
        <w:t>.</w:t>
      </w:r>
    </w:p>
    <w:p w:rsidR="00FC5558" w:rsidRDefault="00FC5558" w:rsidP="0043393C">
      <w:pPr>
        <w:pStyle w:val="FootnoteText"/>
      </w:pPr>
    </w:p>
  </w:footnote>
  <w:footnote w:id="250">
    <w:p w:rsidR="00FC5558" w:rsidRDefault="00FC5558" w:rsidP="00001B62">
      <w:pPr>
        <w:pStyle w:val="FootnoteText"/>
      </w:pPr>
      <w:r>
        <w:rPr>
          <w:rStyle w:val="FootnoteReference"/>
        </w:rPr>
        <w:footnoteRef/>
      </w:r>
      <w:r>
        <w:t xml:space="preserve"> </w:t>
      </w:r>
      <w:r>
        <w:tab/>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footnote>
  <w:footnote w:id="251">
    <w:p w:rsidR="00FC5558" w:rsidRDefault="00FC5558" w:rsidP="004575C1">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 p. 6</w:t>
      </w:r>
      <w:r>
        <w:t>;</w:t>
      </w:r>
      <w:r w:rsidRPr="004575C1">
        <w:t xml:space="preserve"> AusNet Services Gas Distribution, </w:t>
      </w:r>
      <w:r w:rsidRPr="004575C1">
        <w:rPr>
          <w:rStyle w:val="AERtextitalic"/>
        </w:rPr>
        <w:t>Access Arrangement Review 2018-22</w:t>
      </w:r>
      <w:r w:rsidRPr="004575C1">
        <w:t>, December 2016, p.236.</w:t>
      </w:r>
      <w:r>
        <w:tab/>
      </w:r>
    </w:p>
  </w:footnote>
  <w:footnote w:id="252">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53">
    <w:p w:rsidR="00FC5558" w:rsidRDefault="00FC5558">
      <w:pPr>
        <w:pStyle w:val="FootnoteText"/>
      </w:pPr>
      <w:r>
        <w:rPr>
          <w:rStyle w:val="FootnoteReference"/>
        </w:rPr>
        <w:footnoteRef/>
      </w:r>
      <w:r>
        <w:t xml:space="preserve"> </w:t>
      </w:r>
      <w:r>
        <w:tab/>
      </w:r>
      <w:r w:rsidRPr="000F2EAB">
        <w:t xml:space="preserve">Frontier, </w:t>
      </w:r>
      <w:r w:rsidRPr="009716F3">
        <w:rPr>
          <w:rStyle w:val="AERtextitalic"/>
        </w:rPr>
        <w:t>Perspectives for the estimation of gamma</w:t>
      </w:r>
      <w:r w:rsidRPr="000F2EAB">
        <w:t>, December 2016</w:t>
      </w:r>
    </w:p>
  </w:footnote>
  <w:footnote w:id="254">
    <w:p w:rsidR="00FC5558" w:rsidRDefault="00FC5558">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w:t>
      </w:r>
      <w:r>
        <w:t xml:space="preserve">; 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September 2016.</w:t>
      </w:r>
    </w:p>
  </w:footnote>
  <w:footnote w:id="255">
    <w:p w:rsidR="00FC5558" w:rsidRDefault="00FC5558">
      <w:pPr>
        <w:pStyle w:val="FootnoteText"/>
      </w:pPr>
      <w:r>
        <w:rPr>
          <w:rStyle w:val="FootnoteReference"/>
        </w:rPr>
        <w:footnoteRef/>
      </w:r>
      <w:r>
        <w:t xml:space="preserve"> </w:t>
      </w:r>
      <w:r>
        <w:tab/>
        <w:t xml:space="preserve">Frontier, </w:t>
      </w:r>
      <w:r w:rsidRPr="005871DC">
        <w:rPr>
          <w:rStyle w:val="AERtextitalic"/>
        </w:rPr>
        <w:t>Perspectives for the estimation of gamma</w:t>
      </w:r>
      <w:r>
        <w:t>, December 2016</w:t>
      </w:r>
    </w:p>
  </w:footnote>
  <w:footnote w:id="256">
    <w:p w:rsidR="00FC5558" w:rsidRDefault="00FC5558" w:rsidP="0036034D">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57">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58">
    <w:p w:rsidR="00FC5558" w:rsidRPr="0036034D" w:rsidRDefault="00FC5558" w:rsidP="00AC26C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E750F8">
        <w:rPr>
          <w:rStyle w:val="AERtextitalic"/>
        </w:rPr>
        <w:t>Issues in the estimation of gamma</w:t>
      </w:r>
      <w:r w:rsidRPr="00E750F8">
        <w:rPr>
          <w:rStyle w:val="AERtextitalic"/>
          <w:i w:val="0"/>
        </w:rPr>
        <w:t xml:space="preserve">, </w:t>
      </w:r>
      <w:r w:rsidRPr="004423C9">
        <w:rPr>
          <w:rStyle w:val="AERtextitalic"/>
          <w:i w:val="0"/>
        </w:rPr>
        <w:t xml:space="preserve">April </w:t>
      </w:r>
      <w:r w:rsidRPr="00E750F8">
        <w:rPr>
          <w:rStyle w:val="AERtextitalic"/>
          <w:i w:val="0"/>
        </w:rPr>
        <w:t>2017</w:t>
      </w:r>
      <w:r w:rsidRPr="00AC26C8">
        <w:rPr>
          <w:rStyle w:val="AERtextitalic"/>
          <w:i w:val="0"/>
        </w:rPr>
        <w:t>, pp. 27, 29.</w:t>
      </w:r>
    </w:p>
  </w:footnote>
  <w:footnote w:id="259">
    <w:p w:rsidR="00FC5558" w:rsidRDefault="00FC5558"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60">
    <w:p w:rsidR="00FC5558" w:rsidRDefault="00FC5558" w:rsidP="00C52695">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61">
    <w:p w:rsidR="00FC5558" w:rsidRDefault="00FC5558" w:rsidP="00C52695">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62">
    <w:p w:rsidR="00FC5558" w:rsidRPr="00EB47DF" w:rsidRDefault="00FC5558" w:rsidP="00C52695">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63">
    <w:p w:rsidR="00FC5558" w:rsidRDefault="00FC5558" w:rsidP="00C52695">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64">
    <w:p w:rsidR="00FC5558" w:rsidRDefault="00FC5558" w:rsidP="00C52695">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65">
    <w:p w:rsidR="00FC5558" w:rsidRDefault="00FC5558" w:rsidP="00DB750D">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66">
    <w:p w:rsidR="00FC5558" w:rsidRPr="00664394" w:rsidRDefault="00FC5558" w:rsidP="00664394">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664394">
        <w:t>2017</w:t>
      </w:r>
      <w:r w:rsidRPr="00F5204A">
        <w:rPr>
          <w:rStyle w:val="AERtextitalic"/>
          <w:i w:val="0"/>
        </w:rPr>
        <w:t>, p. 13.</w:t>
      </w:r>
    </w:p>
  </w:footnote>
  <w:footnote w:id="267">
    <w:p w:rsidR="00FC5558" w:rsidRDefault="00FC5558" w:rsidP="00C52695">
      <w:pPr>
        <w:pStyle w:val="FootnoteText"/>
      </w:pPr>
      <w:r>
        <w:rPr>
          <w:rStyle w:val="FootnoteReference"/>
        </w:rPr>
        <w:footnoteRef/>
      </w:r>
      <w:r>
        <w:t xml:space="preserve"> </w:t>
      </w:r>
      <w:r>
        <w:tab/>
      </w:r>
      <w:r w:rsidRPr="00227D75">
        <w:t>Independent Pricing and Regulatory Tribunal</w:t>
      </w:r>
      <w:r>
        <w:t xml:space="preserve">, </w:t>
      </w:r>
      <w:r w:rsidRPr="00E750F8">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E750F8">
        <w:rPr>
          <w:rStyle w:val="AERtextitalic"/>
        </w:rPr>
        <w:t>Review of WACC methodology-Final Report</w:t>
      </w:r>
      <w:r>
        <w:t>, December 2013, p. 17</w:t>
      </w:r>
      <w:hyperlink w:history="1"/>
      <w:r>
        <w:t>).</w:t>
      </w:r>
    </w:p>
  </w:footnote>
  <w:footnote w:id="268">
    <w:p w:rsidR="00FC5558" w:rsidRDefault="00FC5558" w:rsidP="00C52695">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69">
    <w:p w:rsidR="00FC5558" w:rsidRDefault="00FC5558" w:rsidP="00C52695">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70">
    <w:p w:rsidR="00FC5558" w:rsidRDefault="00FC5558" w:rsidP="00C52695">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71">
    <w:p w:rsidR="00FC5558" w:rsidRDefault="00FC5558"/>
  </w:footnote>
  <w:footnote w:id="272">
    <w:p w:rsidR="00FC5558" w:rsidRDefault="00FC555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3">
    <w:p w:rsidR="00FC5558" w:rsidRDefault="00FC555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4">
    <w:p w:rsidR="00FC5558" w:rsidRDefault="00FC5558"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75">
    <w:p w:rsidR="00FC5558" w:rsidRDefault="00FC5558" w:rsidP="007B43C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6">
    <w:p w:rsidR="00FC5558" w:rsidRDefault="00FC5558" w:rsidP="0042439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7">
    <w:p w:rsidR="00FC5558" w:rsidRDefault="00FC555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8">
    <w:p w:rsidR="00FC5558" w:rsidRDefault="00FC555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9">
    <w:p w:rsidR="00FC5558" w:rsidRDefault="00FC5558"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80">
    <w:p w:rsidR="00FC5558" w:rsidRDefault="00FC5558" w:rsidP="00942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81">
    <w:p w:rsidR="00FC5558" w:rsidRDefault="00FC5558" w:rsidP="00E119A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82">
    <w:p w:rsidR="00FC5558" w:rsidRDefault="00FC5558" w:rsidP="00112F3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83">
    <w:p w:rsidR="00FC5558" w:rsidRDefault="00FC5558" w:rsidP="00C2776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84">
    <w:p w:rsidR="00FC5558" w:rsidRDefault="00FC555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85">
    <w:p w:rsidR="00FC5558" w:rsidRDefault="00FC555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86">
    <w:p w:rsidR="00FC5558" w:rsidRDefault="00FC5558"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87">
    <w:p w:rsidR="00FC5558" w:rsidRDefault="00FC5558" w:rsidP="0033268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88">
    <w:p w:rsidR="00FC5558" w:rsidRDefault="00FC5558" w:rsidP="003F3CE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89">
    <w:p w:rsidR="00FC5558" w:rsidRDefault="00FC5558" w:rsidP="0012604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90">
    <w:p w:rsidR="00FC5558" w:rsidRDefault="00FC5558" w:rsidP="001176F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91">
    <w:p w:rsidR="00FC5558" w:rsidRDefault="00FC5558"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2">
    <w:p w:rsidR="00FC5558" w:rsidRDefault="00FC5558"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3">
    <w:p w:rsidR="00FC5558" w:rsidRDefault="00FC555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94">
    <w:p w:rsidR="00FC5558" w:rsidRDefault="00FC555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95">
    <w:p w:rsidR="00FC5558" w:rsidRDefault="00FC5558"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96">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 215-216.</w:t>
      </w:r>
    </w:p>
  </w:footnote>
  <w:footnote w:id="297">
    <w:p w:rsidR="00FC5558" w:rsidRDefault="00FC5558" w:rsidP="00C52695">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98">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299">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300">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1">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2">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303">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304">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305">
    <w:p w:rsidR="00FC5558" w:rsidRDefault="00FC5558"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30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307">
    <w:p w:rsidR="00FC5558" w:rsidRPr="00434A21" w:rsidRDefault="00FC5558" w:rsidP="00434A2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41886">
        <w:rPr>
          <w:rStyle w:val="AERtextitalic"/>
          <w:i w:val="0"/>
        </w:rPr>
        <w:t>, p. 13.</w:t>
      </w:r>
    </w:p>
  </w:footnote>
  <w:footnote w:id="30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309">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310">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311">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312">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31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14">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315">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31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317">
    <w:p w:rsidR="00FC5558" w:rsidRPr="00395D01" w:rsidRDefault="00FC5558" w:rsidP="00C52695">
      <w:pPr>
        <w:pStyle w:val="FootnoteText"/>
      </w:pPr>
      <w:r>
        <w:rPr>
          <w:rStyle w:val="FootnoteReference"/>
        </w:rPr>
        <w:footnoteRef/>
      </w:r>
      <w:r>
        <w:t xml:space="preserve"> </w:t>
      </w:r>
      <w:r>
        <w:tab/>
      </w:r>
      <w:r w:rsidRPr="008F5D24">
        <w:t xml:space="preserve">Australian Competition Tribunal, </w:t>
      </w:r>
      <w:r w:rsidRPr="00922C6D">
        <w:rPr>
          <w:rStyle w:val="AERtextitalic"/>
        </w:rPr>
        <w:t>Application by Public Interest Advocacy Centre Ltd and Ausgrid [2016] ACompT 1</w:t>
      </w:r>
      <w:r w:rsidRPr="008F5D24">
        <w:t>, 26 February 2016, paras. 1048, 1090 and 1095.</w:t>
      </w:r>
    </w:p>
  </w:footnote>
  <w:footnote w:id="318">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19">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2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21">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22">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323">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324">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325">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326">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327">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328">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329">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30">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1">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2">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33">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34">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35">
    <w:p w:rsidR="00FC5558" w:rsidRPr="00395D01"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36">
    <w:p w:rsidR="00FC5558" w:rsidRDefault="00FC5558" w:rsidP="00C52695">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37">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38">
    <w:p w:rsidR="00FC5558" w:rsidRDefault="00FC5558" w:rsidP="00C52695">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39">
    <w:p w:rsidR="00FC5558" w:rsidRDefault="00FC5558" w:rsidP="00C52695">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40">
    <w:p w:rsidR="00FC5558" w:rsidRDefault="00FC555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41">
    <w:p w:rsidR="00FC5558" w:rsidRDefault="00FC555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42">
    <w:p w:rsidR="00FC5558" w:rsidRDefault="00FC5558"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43">
    <w:p w:rsidR="00FC5558" w:rsidRDefault="00FC5558" w:rsidP="00C52695">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44">
    <w:p w:rsidR="00FC5558" w:rsidRDefault="00FC5558"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45">
    <w:p w:rsidR="00FC5558" w:rsidRDefault="00FC5558" w:rsidP="00C52695">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46">
    <w:p w:rsidR="00FC5558" w:rsidRDefault="00FC5558" w:rsidP="00C52695">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47">
    <w:p w:rsidR="00FC5558" w:rsidRDefault="00FC5558">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48">
    <w:p w:rsidR="00FC5558" w:rsidRDefault="00FC5558">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922C6D">
        <w:rPr>
          <w:rStyle w:val="AERtextitalic"/>
        </w:rPr>
        <w:t>Submission on value of imputation credits (gamma)</w:t>
      </w:r>
      <w:r>
        <w:t>, July 2015</w:t>
      </w:r>
      <w:r w:rsidRPr="008D7509">
        <w:t xml:space="preserve">; </w:t>
      </w:r>
      <w:r>
        <w:t xml:space="preserve">Energex, </w:t>
      </w:r>
      <w:r w:rsidRPr="00D414CC">
        <w:rPr>
          <w:rStyle w:val="Emphasis"/>
        </w:rPr>
        <w:t>Submission on Energex's regulatory proposal 2015-20 and AER issues paper - attachment 2</w:t>
      </w:r>
      <w:r>
        <w:t>, January 2015.</w:t>
      </w:r>
    </w:p>
  </w:footnote>
  <w:footnote w:id="349">
    <w:p w:rsidR="00FC5558" w:rsidRDefault="00FC5558">
      <w:pPr>
        <w:pStyle w:val="FootnoteText"/>
      </w:pPr>
      <w:r>
        <w:rPr>
          <w:rStyle w:val="FootnoteReference"/>
        </w:rPr>
        <w:footnoteRef/>
      </w:r>
      <w:r>
        <w:t xml:space="preserve"> </w:t>
      </w:r>
      <w:r>
        <w:tab/>
        <w:t xml:space="preserve">AusNet Services, </w:t>
      </w:r>
      <w:r w:rsidRPr="00D414CC">
        <w:rPr>
          <w:rStyle w:val="Emphasis"/>
        </w:rPr>
        <w:t>2016-20 Regulatory Proposal</w:t>
      </w:r>
      <w:r>
        <w:t xml:space="preserve">, April 2015; United Energy, </w:t>
      </w:r>
      <w:r w:rsidRPr="00D414CC">
        <w:rPr>
          <w:rStyle w:val="Emphasis"/>
        </w:rPr>
        <w:t>Assessment of the Value of Imputation Credits - Gamma, Proposal for 2016 to 2020</w:t>
      </w:r>
      <w:r>
        <w:t xml:space="preserve">, April 2015; CitiPower, </w:t>
      </w:r>
      <w:r w:rsidRPr="00D414CC">
        <w:rPr>
          <w:rStyle w:val="Emphasis"/>
        </w:rPr>
        <w:t>Appendix J - Gamma</w:t>
      </w:r>
      <w:r>
        <w:t xml:space="preserve">, April 2015; Powercor, </w:t>
      </w:r>
      <w:r w:rsidRPr="00D414CC">
        <w:rPr>
          <w:rStyle w:val="Emphasis"/>
        </w:rPr>
        <w:t>Appendix J - Gamma</w:t>
      </w:r>
      <w:r>
        <w:t xml:space="preserve">, April 2015; Jemena Electricity, </w:t>
      </w:r>
      <w:r w:rsidRPr="00D414CC">
        <w:rPr>
          <w:rStyle w:val="Emphasis"/>
        </w:rPr>
        <w:t>Attachment 06-06 Gamma proposal</w:t>
      </w:r>
      <w:r>
        <w:t xml:space="preserve">, April 2015; ActewAGL Distribution, </w:t>
      </w:r>
      <w:r w:rsidRPr="00D414CC">
        <w:rPr>
          <w:rStyle w:val="Emphasis"/>
        </w:rPr>
        <w:t>Attachment 8 Detailed gamma proposal</w:t>
      </w:r>
      <w:r>
        <w:t xml:space="preserve">; Australian Gas Networks, </w:t>
      </w:r>
      <w:r w:rsidRPr="00D414CC">
        <w:rPr>
          <w:rStyle w:val="Emphasis"/>
        </w:rPr>
        <w:t>Attachment 11.2 Value of Imputation Credits</w:t>
      </w:r>
      <w:r>
        <w:t>, July 2015.</w:t>
      </w:r>
    </w:p>
  </w:footnote>
  <w:footnote w:id="350">
    <w:p w:rsidR="00FC5558" w:rsidRDefault="00FC5558" w:rsidP="00BF534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51">
    <w:p w:rsidR="00FC5558" w:rsidRDefault="00FC5558" w:rsidP="00194D86">
      <w:pPr>
        <w:pStyle w:val="FootnoteText"/>
      </w:pPr>
      <w:r>
        <w:rPr>
          <w:rStyle w:val="FootnoteReference"/>
        </w:rPr>
        <w:footnoteRef/>
      </w:r>
      <w:r>
        <w:t xml:space="preserve"> </w:t>
      </w:r>
      <w:r>
        <w:tab/>
      </w:r>
      <w:r w:rsidRPr="00194D86">
        <w:t xml:space="preserve">APA, </w:t>
      </w:r>
      <w:r w:rsidRPr="009716F3">
        <w:rPr>
          <w:rStyle w:val="AERtextitalic"/>
        </w:rPr>
        <w:t>Victorian Transmission System Access Arrangement Submission</w:t>
      </w:r>
      <w:r>
        <w:t xml:space="preserve">, January 2017; </w:t>
      </w:r>
      <w:r w:rsidRPr="00194D86">
        <w:t xml:space="preserve">AusNet Services Gas Distribution, </w:t>
      </w:r>
      <w:r w:rsidRPr="009716F3">
        <w:rPr>
          <w:rStyle w:val="AERtextitalic"/>
        </w:rPr>
        <w:t>Access Arrangement Review 2018-22</w:t>
      </w:r>
      <w:r>
        <w:t xml:space="preserve">, December 2016; </w:t>
      </w:r>
      <w:r w:rsidRPr="00194D86">
        <w:t>RBP, Access arrangement submission 2017-22, 16 September 2016</w:t>
      </w:r>
      <w:r>
        <w:t xml:space="preserve">; </w:t>
      </w:r>
      <w:r w:rsidRPr="00194D86">
        <w:t>AGN</w:t>
      </w:r>
      <w:r w:rsidRPr="009716F3">
        <w:rPr>
          <w:rStyle w:val="AERtextitalic"/>
        </w:rPr>
        <w:t>, Final Plan: Access Arrangement Information for our Victorian and Albury natural gas distribution networks 2018-22</w:t>
      </w:r>
      <w:r w:rsidRPr="00194D86">
        <w:t>, December 2016</w:t>
      </w:r>
      <w:r>
        <w:t xml:space="preserve">; </w:t>
      </w:r>
      <w:r w:rsidRPr="00194D86">
        <w:t xml:space="preserve">Multinet, </w:t>
      </w:r>
      <w:r w:rsidRPr="009716F3">
        <w:rPr>
          <w:rStyle w:val="AERtextitalic"/>
        </w:rPr>
        <w:t>2018 to 2022 Access Arrangement Information</w:t>
      </w:r>
      <w:r w:rsidRPr="00194D86">
        <w:t>, December 2016</w:t>
      </w:r>
    </w:p>
  </w:footnote>
  <w:footnote w:id="352">
    <w:p w:rsidR="00FC5558" w:rsidRDefault="00FC5558">
      <w:pPr>
        <w:pStyle w:val="FootnoteText"/>
      </w:pPr>
      <w:r>
        <w:rPr>
          <w:rStyle w:val="FootnoteReference"/>
        </w:rPr>
        <w:footnoteRef/>
      </w:r>
      <w:r>
        <w:t xml:space="preserve"> </w:t>
      </w:r>
      <w:r w:rsidR="00894576">
        <w:tab/>
      </w:r>
      <w:r w:rsidR="00894576" w:rsidRPr="00BC0D27">
        <w:t xml:space="preserve">AGN, </w:t>
      </w:r>
      <w:r w:rsidR="00894576" w:rsidRPr="009716F3">
        <w:rPr>
          <w:rStyle w:val="AERtextitalic"/>
        </w:rPr>
        <w:t>Final Plan: Access Arrangement Information for our Victorian and Albury natural gas distribution networks 2018-22</w:t>
      </w:r>
      <w:r w:rsidR="00894576" w:rsidRPr="00BC0D27">
        <w:t>, December 2016</w:t>
      </w:r>
      <w:r w:rsidR="00894576">
        <w:t>, p.123</w:t>
      </w:r>
      <w:r w:rsidR="00894576" w:rsidRPr="00BC0D27">
        <w:t>.</w:t>
      </w:r>
    </w:p>
  </w:footnote>
  <w:footnote w:id="353">
    <w:p w:rsidR="00FC5558" w:rsidRDefault="00FC5558" w:rsidP="00BC0D27">
      <w:pPr>
        <w:pStyle w:val="FootnoteText"/>
      </w:pPr>
      <w:r>
        <w:rPr>
          <w:rStyle w:val="FootnoteReference"/>
        </w:rPr>
        <w:footnoteRef/>
      </w:r>
      <w:r>
        <w:t xml:space="preserve"> </w:t>
      </w:r>
      <w:r>
        <w:tab/>
      </w:r>
      <w:r w:rsidR="00894576">
        <w:t xml:space="preserve">ActewAGL, </w:t>
      </w:r>
      <w:r w:rsidR="00894576">
        <w:rPr>
          <w:rStyle w:val="AERtextitalic"/>
        </w:rPr>
        <w:t>Revised Regulatory Proposal 2015-19</w:t>
      </w:r>
      <w:r w:rsidR="00894576">
        <w:t xml:space="preserve">, January 2015, pp. 485–486; Ausgrid, </w:t>
      </w:r>
      <w:r w:rsidR="00894576">
        <w:rPr>
          <w:rStyle w:val="AERtextitalic"/>
        </w:rPr>
        <w:t>Ausgrid's revised proposal on gamma</w:t>
      </w:r>
      <w:r w:rsidR="00894576">
        <w:t xml:space="preserve">, January 2015, p. 1; Directlink, </w:t>
      </w:r>
      <w:r w:rsidR="00894576">
        <w:rPr>
          <w:rStyle w:val="AERtextitalic"/>
        </w:rPr>
        <w:t>Directlink submission on gamma (updated)</w:t>
      </w:r>
      <w:r w:rsidR="00894576">
        <w:t xml:space="preserve">, January 2015, pp. 1–2; Endeavour Energy, </w:t>
      </w:r>
      <w:r w:rsidR="00894576">
        <w:rPr>
          <w:rStyle w:val="AERtextitalic"/>
        </w:rPr>
        <w:t>Endeavour Energy's response to the AER draft decision re gamma</w:t>
      </w:r>
      <w:r w:rsidR="00894576">
        <w:t xml:space="preserve">, January 2015, p. 1; Essential Energy, </w:t>
      </w:r>
      <w:r w:rsidR="00894576">
        <w:rPr>
          <w:rStyle w:val="AERtextitalic"/>
        </w:rPr>
        <w:t>Essential's response to AER draft decision re gamma</w:t>
      </w:r>
      <w:r w:rsidR="00894576">
        <w:t xml:space="preserve">, January 2015, p. 1; and JGN, </w:t>
      </w:r>
      <w:r w:rsidR="00894576">
        <w:rPr>
          <w:rStyle w:val="AERtextitalic"/>
        </w:rPr>
        <w:t>Gamma - response to the draft decision</w:t>
      </w:r>
      <w:r w:rsidR="00894576">
        <w:t>, February 2015, p. 1.</w:t>
      </w:r>
    </w:p>
  </w:footnote>
  <w:footnote w:id="354">
    <w:p w:rsidR="00FC5558" w:rsidRDefault="00FC5558" w:rsidP="00C52695">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55">
    <w:p w:rsidR="00FC5558" w:rsidRDefault="00FC555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D414CC">
        <w:rPr>
          <w:rStyle w:val="Emphasis"/>
        </w:rPr>
        <w:t>An appropriate regulatory estimate of gamma</w:t>
      </w:r>
      <w:r>
        <w:t>, p. 8, June 2015.</w:t>
      </w:r>
    </w:p>
  </w:footnote>
  <w:footnote w:id="356">
    <w:p w:rsidR="00FC5558" w:rsidRDefault="00FC555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596AF9">
        <w:rPr>
          <w:i/>
        </w:rPr>
        <w:t>An appropriate regulatory estimate of gamma, pp. 2</w:t>
      </w:r>
      <w:r>
        <w:rPr>
          <w:i/>
        </w:rPr>
        <w:t>6–</w:t>
      </w:r>
      <w:r w:rsidRPr="00596AF9">
        <w:rPr>
          <w:i/>
        </w:rPr>
        <w:t>30, June 2015</w:t>
      </w:r>
      <w:r>
        <w:t>.</w:t>
      </w:r>
    </w:p>
  </w:footnote>
  <w:footnote w:id="357">
    <w:p w:rsidR="00FC5558" w:rsidRDefault="00FC5558" w:rsidP="00C52695">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5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59">
    <w:p w:rsidR="00FC5558" w:rsidRDefault="00FC5558"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60">
    <w:p w:rsidR="00FC5558" w:rsidRDefault="00FC5558"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61">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62">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64">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65">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66">
    <w:p w:rsidR="00FC5558" w:rsidRDefault="00FC5558"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67">
    <w:p w:rsidR="00FC5558" w:rsidRDefault="00FC5558">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68">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69">
    <w:p w:rsidR="00FC5558" w:rsidRPr="00E750F8" w:rsidRDefault="00FC5558" w:rsidP="00E5634C">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70">
    <w:p w:rsidR="00FC5558" w:rsidRDefault="00FC5558">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71">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2">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3">
    <w:p w:rsidR="00FC5558" w:rsidRDefault="00FC5558"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74">
    <w:p w:rsidR="00FC5558" w:rsidRDefault="00FC5558"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pp. 9-12</w:t>
      </w:r>
      <w:r w:rsidRPr="0048052E">
        <w:rPr>
          <w:rStyle w:val="AERtextitalic"/>
        </w:rPr>
        <w:t>.</w:t>
      </w:r>
    </w:p>
  </w:footnote>
  <w:footnote w:id="375">
    <w:p w:rsidR="00FC5558" w:rsidRDefault="00FC5558">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6">
    <w:p w:rsidR="00FC5558" w:rsidRDefault="00FC5558">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35</w:t>
      </w:r>
    </w:p>
  </w:footnote>
  <w:footnote w:id="377">
    <w:p w:rsidR="00FC5558" w:rsidRDefault="00FC5558" w:rsidP="004F2C4D">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8">
    <w:p w:rsidR="00FC5558" w:rsidRDefault="00FC5558">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6</w:t>
      </w:r>
      <w:r w:rsidRPr="00011421">
        <w:t>.</w:t>
      </w:r>
    </w:p>
  </w:footnote>
  <w:footnote w:id="379">
    <w:p w:rsidR="00FC5558" w:rsidRDefault="00FC5558">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5.</w:t>
      </w:r>
    </w:p>
  </w:footnote>
  <w:footnote w:id="380">
    <w:p w:rsidR="00FC5558" w:rsidRDefault="00FC5558">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pp. 8-9.</w:t>
      </w:r>
    </w:p>
  </w:footnote>
  <w:footnote w:id="381">
    <w:p w:rsidR="00FC5558" w:rsidRDefault="00FC5558" w:rsidP="006A34E1">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p>
  </w:footnote>
  <w:footnote w:id="382">
    <w:p w:rsidR="00FC5558" w:rsidRDefault="00FC5558" w:rsidP="00C52695">
      <w:pPr>
        <w:pStyle w:val="FootnoteText"/>
      </w:pPr>
      <w:r>
        <w:rPr>
          <w:rStyle w:val="FootnoteReference"/>
        </w:rPr>
        <w:footnoteRef/>
      </w:r>
      <w:r>
        <w:t xml:space="preserve"> </w:t>
      </w:r>
      <w:r>
        <w:tab/>
      </w:r>
      <w:r w:rsidRPr="00FF5DB5">
        <w:t>NER, cl</w:t>
      </w:r>
      <w:r>
        <w:t xml:space="preserve">l. 6.4.3, </w:t>
      </w:r>
      <w:r w:rsidRPr="00FF5DB5">
        <w:t>6A.5.4; NGR, r. 76.</w:t>
      </w:r>
    </w:p>
  </w:footnote>
  <w:footnote w:id="383">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84">
    <w:p w:rsidR="00FC5558" w:rsidRDefault="00FC5558" w:rsidP="00C52695">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85">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86">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87">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88">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389">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215 - 216.</w:t>
      </w:r>
    </w:p>
  </w:footnote>
  <w:footnote w:id="390">
    <w:p w:rsidR="00FC5558" w:rsidRDefault="00FC5558" w:rsidP="00C52695">
      <w:pPr>
        <w:pStyle w:val="FootnoteText"/>
      </w:pPr>
      <w:r>
        <w:rPr>
          <w:rStyle w:val="FootnoteReference"/>
        </w:rPr>
        <w:footnoteRef/>
      </w:r>
      <w:r>
        <w:t xml:space="preserve"> </w:t>
      </w:r>
      <w:r>
        <w:tab/>
        <w:t>NER, cll. 6.5.2, 6A.6.2;</w:t>
      </w:r>
      <w:r w:rsidRPr="0042735A">
        <w:t xml:space="preserve"> </w:t>
      </w:r>
      <w:r>
        <w:t>NGR, r. 87.</w:t>
      </w:r>
    </w:p>
  </w:footnote>
  <w:footnote w:id="391">
    <w:p w:rsidR="00FC5558" w:rsidRDefault="00FC5558" w:rsidP="00C52695">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92">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93">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94">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95">
    <w:p w:rsidR="00FC5558" w:rsidRDefault="00FC5558" w:rsidP="00C52695">
      <w:pPr>
        <w:pStyle w:val="FootnoteText"/>
      </w:pPr>
      <w:r>
        <w:rPr>
          <w:rStyle w:val="FootnoteReference"/>
        </w:rPr>
        <w:footnoteRef/>
      </w:r>
      <w:r>
        <w:t xml:space="preserve"> </w:t>
      </w:r>
      <w:r>
        <w:tab/>
        <w:t>NER, cll. 6.5.2, 6A.6.2;</w:t>
      </w:r>
      <w:r w:rsidRPr="0042735A">
        <w:t xml:space="preserve"> </w:t>
      </w:r>
      <w:r>
        <w:t>NGR, r. 87.</w:t>
      </w:r>
    </w:p>
  </w:footnote>
  <w:footnote w:id="396">
    <w:p w:rsidR="00FC5558" w:rsidRDefault="00FC5558" w:rsidP="00C52695">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97">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8">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9">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400">
    <w:p w:rsidR="00FC5558" w:rsidRDefault="00FC5558"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401">
    <w:p w:rsidR="00FC5558" w:rsidRDefault="00FC5558"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402">
    <w:p w:rsidR="00FC5558" w:rsidRPr="00CD707C" w:rsidRDefault="00FC5558" w:rsidP="00C52695">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403">
    <w:p w:rsidR="00FC5558" w:rsidRDefault="00FC5558" w:rsidP="00C52695">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rsidR="00BF66D3">
        <w:t>A.8.3</w:t>
      </w:r>
      <w:r>
        <w:fldChar w:fldCharType="end"/>
      </w:r>
    </w:p>
  </w:footnote>
  <w:footnote w:id="404">
    <w:p w:rsidR="00FC5558" w:rsidRDefault="00FC5558" w:rsidP="00C52695">
      <w:pPr>
        <w:pStyle w:val="FootnoteText"/>
      </w:pPr>
      <w:r>
        <w:rPr>
          <w:rStyle w:val="FootnoteReference"/>
        </w:rPr>
        <w:footnoteRef/>
      </w:r>
      <w:r>
        <w:t xml:space="preserve"> </w:t>
      </w:r>
      <w:r>
        <w:tab/>
        <w:t>This is evident in companies having positive franking account balances in aggregate.</w:t>
      </w:r>
    </w:p>
  </w:footnote>
  <w:footnote w:id="405">
    <w:p w:rsidR="00FC5558" w:rsidRDefault="00FC5558" w:rsidP="00C52695">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406">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407">
    <w:p w:rsidR="00FC5558" w:rsidRDefault="00FC5558"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408">
    <w:p w:rsidR="00FC5558" w:rsidRDefault="00FC5558" w:rsidP="00C52695">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BF66D3">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409">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410">
    <w:p w:rsidR="00FC5558" w:rsidRDefault="00FC5558" w:rsidP="00C52695">
      <w:pPr>
        <w:pStyle w:val="FootnoteText"/>
      </w:pPr>
      <w:r>
        <w:rPr>
          <w:rStyle w:val="FootnoteReference"/>
        </w:rPr>
        <w:footnoteRef/>
      </w:r>
      <w:r>
        <w:t xml:space="preserve"> </w:t>
      </w:r>
      <w:r>
        <w:tab/>
      </w:r>
      <w:r w:rsidRPr="003B4589">
        <w:t xml:space="preserve">L. Gitman, R. Juchau and J. Flanagan, </w:t>
      </w:r>
      <w:r w:rsidRPr="00D414CC">
        <w:rPr>
          <w:rStyle w:val="Emphasis"/>
        </w:rPr>
        <w:t>Principles of Managerial Finance</w:t>
      </w:r>
      <w:r>
        <w:t>, 6th Edition, 2011, p</w:t>
      </w:r>
      <w:r w:rsidRPr="003B4589">
        <w:t xml:space="preserve">. </w:t>
      </w:r>
      <w:r>
        <w:t>475</w:t>
      </w:r>
      <w:r w:rsidRPr="003B4589">
        <w:t>.</w:t>
      </w:r>
    </w:p>
  </w:footnote>
  <w:footnote w:id="411">
    <w:p w:rsidR="00FC5558" w:rsidRDefault="00FC5558" w:rsidP="00C52695">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412">
    <w:p w:rsidR="00FC5558" w:rsidRDefault="00FC5558" w:rsidP="00C52695">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413">
    <w:p w:rsidR="00FC5558" w:rsidRDefault="00FC5558"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414">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5">
    <w:p w:rsidR="00FC5558" w:rsidRPr="00CD707C" w:rsidRDefault="00FC5558" w:rsidP="00C52695">
      <w:pPr>
        <w:pStyle w:val="FootnoteText"/>
      </w:pPr>
      <w:r>
        <w:rPr>
          <w:rStyle w:val="FootnoteReference"/>
        </w:rPr>
        <w:footnoteRef/>
      </w:r>
      <w:r>
        <w:t xml:space="preserve"> </w:t>
      </w:r>
      <w:r>
        <w:tab/>
      </w:r>
      <w:r w:rsidRPr="006D49F4">
        <w:t xml:space="preserve">United Energy, </w:t>
      </w:r>
      <w:r w:rsidRPr="00D414CC">
        <w:rPr>
          <w:rStyle w:val="Emphasis"/>
        </w:rPr>
        <w:t>Submission on AER preliminary determination - Submission on gamma</w:t>
      </w:r>
      <w:r w:rsidRPr="006D49F4">
        <w:t xml:space="preserve">, 26 April 2016; CitiPower/Powercor, </w:t>
      </w:r>
      <w:r w:rsidRPr="00D414CC">
        <w:rPr>
          <w:rStyle w:val="Emphasis"/>
        </w:rPr>
        <w:t>Submission on implications of recent Australian Competition Tribunal Decision</w:t>
      </w:r>
      <w:r w:rsidRPr="006D49F4">
        <w:t xml:space="preserve">, 18 April 2016; ActewAGL, </w:t>
      </w:r>
      <w:r w:rsidRPr="00D414CC">
        <w:rPr>
          <w:rStyle w:val="Emphasis"/>
        </w:rPr>
        <w:t>Implication of recent Tribunal decisions for final decision and updates to the allowed rate of return and forecast inflation estimate</w:t>
      </w:r>
      <w:r w:rsidRPr="006D49F4">
        <w:t xml:space="preserve">, 12 May 2016; Australian Competition Tribunal, </w:t>
      </w:r>
      <w:r w:rsidRPr="00D414CC">
        <w:rPr>
          <w:rStyle w:val="Emphasis"/>
        </w:rPr>
        <w:t>Application by Public Interest Advocacy Centre Ltd and Ausgrid</w:t>
      </w:r>
      <w:r w:rsidRPr="006D49F4">
        <w:t xml:space="preserve"> [2016] ACompT 1, 26 February 2016, para. 1073.</w:t>
      </w:r>
    </w:p>
  </w:footnote>
  <w:footnote w:id="416">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7">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418">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419">
    <w:p w:rsidR="00FC5558" w:rsidRDefault="00FC5558" w:rsidP="00C52695">
      <w:pPr>
        <w:pStyle w:val="FootnoteText"/>
      </w:pPr>
      <w:r>
        <w:rPr>
          <w:rStyle w:val="FootnoteReference"/>
        </w:rPr>
        <w:footnoteRef/>
      </w:r>
      <w:r>
        <w:t xml:space="preserve"> </w:t>
      </w:r>
      <w:r>
        <w:tab/>
        <w:t>See section A.6.1 of the draft decisions.</w:t>
      </w:r>
    </w:p>
  </w:footnote>
  <w:footnote w:id="420">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421">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422">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423">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424">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25">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426">
    <w:p w:rsidR="00FC5558" w:rsidRDefault="00FC5558" w:rsidP="00C52695">
      <w:pPr>
        <w:pStyle w:val="FootnoteText"/>
      </w:pPr>
      <w:r>
        <w:rPr>
          <w:rStyle w:val="FootnoteReference"/>
        </w:rPr>
        <w:footnoteRef/>
      </w:r>
      <w:r>
        <w:t xml:space="preserve"> </w:t>
      </w:r>
      <w:r>
        <w:tab/>
        <w:t>Recall that the utilisation rate equals gamma under Officer's perpetuity framework.</w:t>
      </w:r>
    </w:p>
  </w:footnote>
  <w:footnote w:id="427">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428">
    <w:p w:rsidR="00FC5558" w:rsidRDefault="00FC5558"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429">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430">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31">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2">
    <w:p w:rsidR="00FC5558" w:rsidRDefault="00FC5558" w:rsidP="00C52695">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433">
    <w:p w:rsidR="00FC5558" w:rsidRDefault="00FC5558" w:rsidP="00C52695">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434">
    <w:p w:rsidR="00FC5558" w:rsidRDefault="00FC5558" w:rsidP="00C52695">
      <w:pPr>
        <w:pStyle w:val="FootnoteText"/>
      </w:pPr>
      <w:r>
        <w:rPr>
          <w:rStyle w:val="FootnoteReference"/>
        </w:rPr>
        <w:footnoteRef/>
      </w:r>
      <w:r>
        <w:t xml:space="preserve"> </w:t>
      </w:r>
      <w:r>
        <w:tab/>
        <w:t xml:space="preserve">L. Gitman, R. Juchau and J. Flanagan, </w:t>
      </w:r>
      <w:r w:rsidRPr="00D414CC">
        <w:rPr>
          <w:rStyle w:val="Emphasis"/>
        </w:rPr>
        <w:t>Principles of Managerial Finance</w:t>
      </w:r>
      <w:r>
        <w:t>, 6th Edition, 2011, pp. 543 and 546.</w:t>
      </w:r>
    </w:p>
  </w:footnote>
  <w:footnote w:id="435">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6">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437">
    <w:p w:rsidR="00FC5558" w:rsidRDefault="00FC5558"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438">
    <w:p w:rsidR="00FC5558" w:rsidRDefault="00FC5558"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39">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40">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41">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42">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43">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44">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45">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46">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47">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8">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9">
    <w:p w:rsidR="00FC5558" w:rsidRPr="001224E1" w:rsidRDefault="00FC5558" w:rsidP="00E6185B">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50">
    <w:p w:rsidR="00FC5558" w:rsidRDefault="00FC5558">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51">
    <w:p w:rsidR="00FC5558" w:rsidRPr="001224E1" w:rsidRDefault="00FC555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52">
    <w:p w:rsidR="00FC5558" w:rsidRDefault="00FC555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53">
    <w:p w:rsidR="00FC5558" w:rsidRPr="001224E1" w:rsidRDefault="00FC555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54">
    <w:p w:rsidR="00FC5558" w:rsidRDefault="00FC555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5">
    <w:p w:rsidR="00FC5558" w:rsidRPr="001224E1" w:rsidRDefault="00FC5558" w:rsidP="005C46D8">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56">
    <w:p w:rsidR="00FC5558" w:rsidRDefault="00FC5558">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57">
    <w:p w:rsidR="00FC5558" w:rsidRDefault="00FC5558"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8">
    <w:p w:rsidR="00FC5558" w:rsidRPr="001224E1" w:rsidRDefault="00FC5558"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59">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60">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61">
    <w:p w:rsidR="00FC5558" w:rsidRDefault="00FC5558">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pp.5- 6.</w:t>
      </w:r>
    </w:p>
  </w:footnote>
  <w:footnote w:id="462">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3">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64">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65">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66">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67">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69">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70">
    <w:p w:rsidR="00FC5558" w:rsidRDefault="00FC5558"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71">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72">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73">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June 2015, p. 7.</w:t>
      </w:r>
    </w:p>
  </w:footnote>
  <w:footnote w:id="474">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75">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76">
    <w:p w:rsidR="00FC5558" w:rsidRDefault="00FC5558" w:rsidP="00C52695">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77">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78">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79">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80">
    <w:p w:rsidR="00FC5558" w:rsidRDefault="00FC5558" w:rsidP="00D35DB1">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481">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82">
    <w:p w:rsidR="00FC5558" w:rsidRDefault="00FC5558">
      <w:pPr>
        <w:pStyle w:val="FootnoteText"/>
      </w:pPr>
      <w:r>
        <w:rPr>
          <w:rStyle w:val="FootnoteReference"/>
        </w:rPr>
        <w:footnoteRef/>
      </w:r>
      <w:r>
        <w:t xml:space="preserve"> </w:t>
      </w:r>
      <w:r>
        <w:tab/>
      </w:r>
      <w:r w:rsidRPr="00DA22CC">
        <w:t xml:space="preserve">Frontier Economics, </w:t>
      </w:r>
      <w:r w:rsidRPr="009716F3">
        <w:rPr>
          <w:rStyle w:val="AERtextitalic"/>
        </w:rPr>
        <w:t>Perspectives for the estimation of gamma</w:t>
      </w:r>
      <w:r w:rsidRPr="00DA22CC">
        <w:t>, December 2016</w:t>
      </w:r>
    </w:p>
  </w:footnote>
  <w:footnote w:id="483">
    <w:p w:rsidR="00FC5558" w:rsidRDefault="00FC5558" w:rsidP="00DA22CC">
      <w:pPr>
        <w:pStyle w:val="FootnoteText"/>
      </w:pPr>
      <w:r>
        <w:rPr>
          <w:rStyle w:val="FootnoteReference"/>
        </w:rPr>
        <w:footnoteRef/>
      </w:r>
      <w:r>
        <w:t xml:space="preserve"> </w:t>
      </w:r>
      <w:r>
        <w:tab/>
      </w:r>
      <w:r w:rsidRPr="00DA22CC">
        <w:t xml:space="preserve">Frontier Economics, </w:t>
      </w:r>
      <w:r w:rsidRPr="009716F3">
        <w:rPr>
          <w:rStyle w:val="AERtextitalic"/>
        </w:rPr>
        <w:t>Perspectives for the estimation of gamma</w:t>
      </w:r>
      <w:r w:rsidRPr="00DA22CC">
        <w:t>, December 2016</w:t>
      </w:r>
      <w:r>
        <w:t>, para. 39.</w:t>
      </w:r>
    </w:p>
  </w:footnote>
  <w:footnote w:id="484">
    <w:p w:rsidR="00FC5558" w:rsidRDefault="00FC5558">
      <w:pPr>
        <w:pStyle w:val="FootnoteText"/>
      </w:pPr>
      <w:r>
        <w:rPr>
          <w:rStyle w:val="FootnoteReference"/>
        </w:rPr>
        <w:footnoteRef/>
      </w:r>
      <w:r>
        <w:t xml:space="preserve"> </w:t>
      </w:r>
      <w:r>
        <w:tab/>
      </w:r>
      <w:r w:rsidRPr="0087471D">
        <w:t xml:space="preserve">M. Lally, </w:t>
      </w:r>
      <w:r w:rsidRPr="009716F3">
        <w:rPr>
          <w:rStyle w:val="AERtextitalic"/>
        </w:rPr>
        <w:t>Review of Frontier Report of Gamma</w:t>
      </w:r>
      <w:r w:rsidRPr="0087471D">
        <w:t xml:space="preserve">, </w:t>
      </w:r>
      <w:r>
        <w:t>June</w:t>
      </w:r>
      <w:r w:rsidRPr="0087471D">
        <w:t xml:space="preserve"> 2017, </w:t>
      </w:r>
      <w:r>
        <w:t>p. 6.</w:t>
      </w:r>
    </w:p>
  </w:footnote>
  <w:footnote w:id="485">
    <w:p w:rsidR="00FC5558" w:rsidRDefault="00FC5558" w:rsidP="00C52695">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86">
    <w:p w:rsidR="00FC5558" w:rsidRDefault="00FC5558" w:rsidP="00C52695">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87">
    <w:p w:rsidR="00FC5558" w:rsidRDefault="00FC555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88">
    <w:p w:rsidR="00FC5558" w:rsidRDefault="00FC5558" w:rsidP="001247E2">
      <w:pPr>
        <w:pStyle w:val="FootnoteText"/>
      </w:pPr>
      <w:r>
        <w:rPr>
          <w:rStyle w:val="FootnoteReference"/>
        </w:rPr>
        <w:footnoteRef/>
      </w:r>
      <w:r>
        <w:t xml:space="preserve"> </w:t>
      </w:r>
      <w:r>
        <w:tab/>
      </w:r>
      <w:r w:rsidRPr="001247E2">
        <w:t xml:space="preserve">Frontier Economics, </w:t>
      </w:r>
      <w:r w:rsidRPr="009716F3">
        <w:rPr>
          <w:rStyle w:val="AERtextitalic"/>
        </w:rPr>
        <w:t>Perspectives for the estimation of gamma</w:t>
      </w:r>
      <w:r w:rsidRPr="001247E2">
        <w:t>, December 2016</w:t>
      </w:r>
      <w:r>
        <w:t>, para. 35.</w:t>
      </w:r>
    </w:p>
  </w:footnote>
  <w:footnote w:id="489">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90">
    <w:p w:rsidR="00FC5558" w:rsidRDefault="00FC5558">
      <w:pPr>
        <w:pStyle w:val="FootnoteText"/>
      </w:pPr>
      <w:r>
        <w:rPr>
          <w:rStyle w:val="FootnoteReference"/>
        </w:rPr>
        <w:footnoteRef/>
      </w:r>
      <w:r>
        <w:t xml:space="preserve"> </w:t>
      </w:r>
      <w:r>
        <w:tab/>
      </w:r>
      <w:r w:rsidRPr="0087471D">
        <w:t xml:space="preserve">M. Lally, </w:t>
      </w:r>
      <w:r w:rsidRPr="001A43CB">
        <w:rPr>
          <w:rStyle w:val="AERtextitalic"/>
        </w:rPr>
        <w:t>Review of Frontier Report of Gamma</w:t>
      </w:r>
      <w:r w:rsidRPr="0087471D">
        <w:t xml:space="preserve">, </w:t>
      </w:r>
      <w:r>
        <w:t>June</w:t>
      </w:r>
      <w:r w:rsidRPr="0087471D">
        <w:t xml:space="preserve"> 2017, </w:t>
      </w:r>
      <w:r>
        <w:t>p. 5.</w:t>
      </w:r>
    </w:p>
  </w:footnote>
  <w:footnote w:id="491">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92">
    <w:p w:rsidR="00FC5558" w:rsidRDefault="00FC5558" w:rsidP="005B77D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 27.</w:t>
      </w:r>
    </w:p>
  </w:footnote>
  <w:footnote w:id="493">
    <w:p w:rsidR="00FC5558" w:rsidRDefault="00FC5558" w:rsidP="00A235DE">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494">
    <w:p w:rsidR="00FC5558" w:rsidRDefault="00FC5558" w:rsidP="00924687">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5">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6">
    <w:p w:rsidR="00FC5558" w:rsidRDefault="00FC5558" w:rsidP="0056734B">
      <w:pPr>
        <w:pStyle w:val="FootnoteText"/>
      </w:pPr>
      <w:r>
        <w:rPr>
          <w:rStyle w:val="FootnoteReference"/>
        </w:rPr>
        <w:footnoteRef/>
      </w:r>
      <w:r>
        <w:t xml:space="preserve"> </w:t>
      </w:r>
      <w:r>
        <w:tab/>
      </w:r>
      <w:r w:rsidRPr="005D01B1">
        <w:t>Brailsford, Handley, Maheswaran</w:t>
      </w:r>
      <w:r w:rsidRPr="0056734B">
        <w:t>, ‘</w:t>
      </w:r>
      <w:r w:rsidRPr="0056734B">
        <w:rPr>
          <w:rStyle w:val="AERtextitalic"/>
          <w:i w:val="0"/>
        </w:rPr>
        <w:t>Re-examination of the historical equity risk premium in Australia’</w:t>
      </w:r>
      <w:r w:rsidRPr="005D01B1">
        <w:t xml:space="preserve">, </w:t>
      </w:r>
      <w:r w:rsidRPr="0056734B">
        <w:rPr>
          <w:rStyle w:val="AERtextitalic"/>
        </w:rPr>
        <w:t>Accounting and Finance</w:t>
      </w:r>
      <w:r w:rsidRPr="005D01B1">
        <w:t>, Vol. 48, 2008, pp. 84–85</w:t>
      </w:r>
      <w:r>
        <w:t>.</w:t>
      </w:r>
    </w:p>
  </w:footnote>
  <w:footnote w:id="497">
    <w:p w:rsidR="00FC5558" w:rsidRDefault="00FC5558" w:rsidP="00E750F8">
      <w:pPr>
        <w:pStyle w:val="FootnoteText"/>
      </w:pPr>
      <w:r>
        <w:rPr>
          <w:rStyle w:val="FootnoteReference"/>
        </w:rPr>
        <w:footnoteRef/>
      </w:r>
      <w:r>
        <w:t xml:space="preserve"> </w:t>
      </w:r>
      <w:r>
        <w:tab/>
        <w:t>Source:</w:t>
      </w:r>
    </w:p>
    <w:p w:rsidR="00FC5558" w:rsidRDefault="00FC5558">
      <w:pPr>
        <w:pStyle w:val="FootnoteText"/>
      </w:pPr>
      <w:r>
        <w:tab/>
      </w:r>
      <w:r w:rsidRPr="00245EB8">
        <w:t>https://www.ato.gov.au/Rates/Company-tax---imputation--average-franking-credit---rebate-yields/?page=2#List_of_yields</w:t>
      </w:r>
    </w:p>
  </w:footnote>
  <w:footnote w:id="498">
    <w:p w:rsidR="00FC5558" w:rsidRDefault="00FC5558" w:rsidP="00C60A7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r w:rsidRPr="00C60A75">
        <w:t xml:space="preserve"> Multinet, </w:t>
      </w:r>
      <w:r w:rsidRPr="009716F3">
        <w:rPr>
          <w:rStyle w:val="AERtextitalic"/>
        </w:rPr>
        <w:t>Corporate Income Tax Overview</w:t>
      </w:r>
      <w:r w:rsidRPr="00C60A75">
        <w:t xml:space="preserve">, December 2016, p. </w:t>
      </w:r>
      <w:r>
        <w:t>14</w:t>
      </w:r>
      <w:r w:rsidRPr="00C60A75">
        <w:t xml:space="preserve">; AusNet Services Gas Distribution, </w:t>
      </w:r>
      <w:r w:rsidRPr="009716F3">
        <w:rPr>
          <w:rStyle w:val="AERtextitalic"/>
        </w:rPr>
        <w:t>Gas Access Arrangement Review 2018-2022</w:t>
      </w:r>
      <w:r w:rsidRPr="00C60A75">
        <w:t>, December 2016, p. 2</w:t>
      </w:r>
      <w:r>
        <w:t>45</w:t>
      </w:r>
      <w:r w:rsidRPr="00C60A75">
        <w:t>.</w:t>
      </w:r>
    </w:p>
  </w:footnote>
  <w:footnote w:id="499">
    <w:p w:rsidR="00FC5558" w:rsidRDefault="00FC555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r w:rsidRPr="00C60A75">
        <w:t xml:space="preserve"> Multinet, </w:t>
      </w:r>
      <w:r w:rsidRPr="001F32F3">
        <w:rPr>
          <w:rStyle w:val="AERtextitalic"/>
        </w:rPr>
        <w:t>Corporate Income Tax Overview</w:t>
      </w:r>
      <w:r>
        <w:t>, December 2016, p. 8;</w:t>
      </w:r>
      <w:r w:rsidRPr="00C60A75">
        <w:t xml:space="preserve"> AusNet Services Gas Distribution, </w:t>
      </w:r>
      <w:r w:rsidRPr="001F32F3">
        <w:rPr>
          <w:rStyle w:val="AERtextitalic"/>
        </w:rPr>
        <w:t>Gas Access Arrangement Review 2018-2022</w:t>
      </w:r>
      <w:r w:rsidRPr="00C60A75">
        <w:t>, December 2016, p. 23</w:t>
      </w:r>
      <w:r>
        <w:t>8.</w:t>
      </w:r>
    </w:p>
  </w:footnote>
  <w:footnote w:id="500">
    <w:p w:rsidR="00FC5558" w:rsidRDefault="00FC5558" w:rsidP="00902B9B">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w:t>
      </w:r>
      <w:r w:rsidRPr="00902B9B">
        <w:t xml:space="preserve"> Multinet, </w:t>
      </w:r>
      <w:r w:rsidRPr="009716F3">
        <w:rPr>
          <w:rStyle w:val="AERtextitalic"/>
        </w:rPr>
        <w:t>Corporate Income Tax Overview</w:t>
      </w:r>
      <w:r w:rsidRPr="00902B9B">
        <w:t xml:space="preserve">, December 2016, p. </w:t>
      </w:r>
      <w:r>
        <w:t>19</w:t>
      </w:r>
      <w:r w:rsidRPr="00902B9B">
        <w:t xml:space="preserve">; AusNet Services Gas Distribution, </w:t>
      </w:r>
      <w:r w:rsidRPr="009716F3">
        <w:rPr>
          <w:rStyle w:val="AERtextitalic"/>
        </w:rPr>
        <w:t>Gas Access Arrangement Review 2018-2022</w:t>
      </w:r>
      <w:r>
        <w:t>, December 2016, p. 252</w:t>
      </w:r>
      <w:r w:rsidRPr="00902B9B">
        <w:t>.</w:t>
      </w:r>
    </w:p>
  </w:footnote>
  <w:footnote w:id="501">
    <w:p w:rsidR="00FC5558" w:rsidRDefault="00FC555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2">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503">
    <w:p w:rsidR="00FC5558" w:rsidRDefault="00FC555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4">
    <w:p w:rsidR="00FC5558" w:rsidRDefault="00FC5558" w:rsidP="00C52695">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505">
    <w:p w:rsidR="00FC5558" w:rsidRDefault="00FC555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506">
    <w:p w:rsidR="00FC5558" w:rsidRDefault="00FC5558"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7">
    <w:p w:rsidR="00FC5558" w:rsidRDefault="00FC5558"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8">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509">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510">
    <w:p w:rsidR="00FC5558" w:rsidRPr="00590D86"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511">
    <w:p w:rsidR="00FC5558" w:rsidRDefault="00FC5558"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12">
    <w:p w:rsidR="00FC5558" w:rsidRDefault="00FC5558" w:rsidP="00C52695">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513">
    <w:p w:rsidR="00FC5558" w:rsidRDefault="00FC5558" w:rsidP="00C52695">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rsidR="00BF66D3">
        <w:t>4.4</w:t>
      </w:r>
      <w:r>
        <w:fldChar w:fldCharType="end"/>
      </w:r>
      <w:r>
        <w:t xml:space="preserve"> of attachment 4.  </w:t>
      </w:r>
    </w:p>
  </w:footnote>
  <w:footnote w:id="514">
    <w:p w:rsidR="00FC5558" w:rsidRDefault="00FC5558" w:rsidP="00536674">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xml:space="preserve">, January 2016, p. 356; </w:t>
      </w:r>
      <w:r w:rsidRPr="00536674">
        <w:t xml:space="preserve"> Multinet, </w:t>
      </w:r>
      <w:r w:rsidRPr="009716F3">
        <w:rPr>
          <w:rStyle w:val="AERtextitalic"/>
        </w:rPr>
        <w:t>Corporate Income Tax Overview</w:t>
      </w:r>
      <w:r w:rsidRPr="00536674">
        <w:t xml:space="preserve">, December 2016, p. </w:t>
      </w:r>
      <w:r>
        <w:t>20</w:t>
      </w:r>
      <w:r w:rsidRPr="00536674">
        <w:t xml:space="preserve">; AusNet Services Gas Distribution, </w:t>
      </w:r>
      <w:r w:rsidRPr="009716F3">
        <w:rPr>
          <w:rStyle w:val="AERtextitalic"/>
        </w:rPr>
        <w:t>Gas Access Arrangement Review 2018-2022</w:t>
      </w:r>
      <w:r w:rsidRPr="00536674">
        <w:t>, December 2016, p. 252.</w:t>
      </w:r>
    </w:p>
  </w:footnote>
  <w:footnote w:id="515">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516">
    <w:p w:rsidR="00FC5558" w:rsidRDefault="00FC555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17">
    <w:p w:rsidR="00FC5558" w:rsidRDefault="00FC5558"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518">
    <w:p w:rsidR="00FC5558" w:rsidRDefault="00FC5558"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xml:space="preserve">, January 2016, </w:t>
      </w:r>
      <w:r w:rsidRPr="006D49F4">
        <w:t>p. 28.</w:t>
      </w:r>
    </w:p>
  </w:footnote>
  <w:footnote w:id="519">
    <w:p w:rsidR="00FC5558" w:rsidRDefault="00FC5558" w:rsidP="00C52695">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520">
    <w:p w:rsidR="00FC5558" w:rsidRDefault="00FC5558" w:rsidP="00C52695">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521">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2">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3">
    <w:p w:rsidR="00FC5558" w:rsidRDefault="00FC5558" w:rsidP="0026412F">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r w:rsidRPr="0026412F">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24">
    <w:p w:rsidR="00FC5558" w:rsidRDefault="00FC555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525">
    <w:p w:rsidR="00FC5558" w:rsidRDefault="00FC555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26">
    <w:p w:rsidR="00FC5558" w:rsidRDefault="00FC5558" w:rsidP="00E36B57">
      <w:pPr>
        <w:pStyle w:val="FootnoteText"/>
      </w:pPr>
      <w:r>
        <w:rPr>
          <w:rStyle w:val="FootnoteReference"/>
        </w:rPr>
        <w:footnoteRef/>
      </w:r>
      <w:r>
        <w:t xml:space="preserve"> </w:t>
      </w:r>
      <w:r>
        <w:tab/>
      </w:r>
      <w:r w:rsidRPr="00E36B57">
        <w:t xml:space="preserve"> Multinet, </w:t>
      </w:r>
      <w:r w:rsidRPr="009716F3">
        <w:rPr>
          <w:rStyle w:val="AERtextitalic"/>
        </w:rPr>
        <w:t>Corporate Income Tax Overview</w:t>
      </w:r>
      <w:r w:rsidRPr="00E36B57">
        <w:t>, December 2016, p. 6</w:t>
      </w:r>
      <w:r>
        <w:t>;</w:t>
      </w:r>
      <w:r w:rsidRPr="004575C1">
        <w:t xml:space="preserve"> </w:t>
      </w:r>
      <w:r w:rsidRPr="00536674">
        <w:t xml:space="preserve">AusNet Services Gas Distribution, </w:t>
      </w:r>
      <w:r w:rsidRPr="00571BBD">
        <w:rPr>
          <w:rStyle w:val="AERtextitalic"/>
        </w:rPr>
        <w:t>Gas Access Arrangement Review 2018-2022</w:t>
      </w:r>
      <w:r>
        <w:t>, December 2016, p. 236</w:t>
      </w:r>
      <w:r w:rsidRPr="00536674">
        <w:t>.</w:t>
      </w:r>
    </w:p>
  </w:footnote>
  <w:footnote w:id="527">
    <w:p w:rsidR="00FC5558" w:rsidRDefault="00FC5558" w:rsidP="00C21B8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542B">
        <w:rPr>
          <w:rStyle w:val="AERtextitalic"/>
          <w:i w:val="0"/>
        </w:rPr>
        <w:t>, p. 25</w:t>
      </w:r>
      <w:r>
        <w:rPr>
          <w:rStyle w:val="AERtextitalic"/>
        </w:rPr>
        <w:t>.</w:t>
      </w:r>
    </w:p>
  </w:footnote>
  <w:footnote w:id="528">
    <w:p w:rsidR="00FC5558" w:rsidRDefault="00FC5558">
      <w:pPr>
        <w:pStyle w:val="FootnoteText"/>
      </w:pPr>
      <w:r>
        <w:rPr>
          <w:rStyle w:val="FootnoteReference"/>
        </w:rPr>
        <w:footnoteRef/>
      </w:r>
      <w:r>
        <w:t xml:space="preserve"> </w:t>
      </w:r>
      <w:r>
        <w:tab/>
        <w:t>See tables 3-11 and 3-12 in Attachment 3.</w:t>
      </w:r>
    </w:p>
  </w:footnote>
  <w:footnote w:id="529">
    <w:p w:rsidR="00FC5558" w:rsidRDefault="00FC5558"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pp. 28-29.</w:t>
      </w:r>
    </w:p>
  </w:footnote>
  <w:footnote w:id="530">
    <w:p w:rsidR="00FC5558" w:rsidRDefault="00FC5558" w:rsidP="00177A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531">
    <w:p w:rsidR="00FC5558" w:rsidRDefault="00FC5558"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32">
    <w:p w:rsidR="00FC5558" w:rsidRDefault="00FC5558" w:rsidP="00C52695">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533">
    <w:p w:rsidR="00FC5558" w:rsidRDefault="00FC5558"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534">
    <w:p w:rsidR="00FC5558" w:rsidRDefault="00FC5558" w:rsidP="00C56A9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E750F8">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535">
    <w:p w:rsidR="00FC5558" w:rsidRDefault="00FC5558"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536">
    <w:p w:rsidR="00FC5558" w:rsidRDefault="00FC5558" w:rsidP="00D94AA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xml:space="preserve">, 21 September 2016, pp. 204, 207;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7">
    <w:p w:rsidR="00FC5558" w:rsidRDefault="00FC555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38">
    <w:p w:rsidR="00FC5558" w:rsidRDefault="00FC5558" w:rsidP="00E10ABB">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xml:space="preserve">, 21 September 2016, pp. 204, 207; </w:t>
      </w:r>
      <w:r w:rsidRPr="00E10ABB">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9">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540">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541">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542">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543">
    <w:p w:rsidR="00FC5558" w:rsidRDefault="00FC5558" w:rsidP="00C52695">
      <w:pPr>
        <w:pStyle w:val="FootnoteText"/>
      </w:pPr>
      <w:r>
        <w:rPr>
          <w:rStyle w:val="FootnoteReference"/>
        </w:rPr>
        <w:footnoteRef/>
      </w:r>
      <w:r>
        <w:t xml:space="preserve"> </w:t>
      </w:r>
      <w:r>
        <w:tab/>
        <w:t>The refined foreign ownership share of all equity between June 2001 and December 2012 was 0.39 on average.</w:t>
      </w:r>
    </w:p>
  </w:footnote>
  <w:footnote w:id="544">
    <w:p w:rsidR="00FC5558" w:rsidRDefault="00FC5558"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45">
    <w:p w:rsidR="00FC5558" w:rsidRDefault="00FC5558" w:rsidP="00C52695">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546">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547">
    <w:p w:rsidR="00FC5558" w:rsidRDefault="00FC5558" w:rsidP="005D01B1">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548">
    <w:p w:rsidR="00FC5558" w:rsidRDefault="00FC5558" w:rsidP="00C52695">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549">
    <w:p w:rsidR="00FC5558" w:rsidRDefault="00FC5558" w:rsidP="00C52695">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50">
    <w:p w:rsidR="00FC5558" w:rsidRDefault="00FC5558"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51">
    <w:p w:rsidR="00FC5558" w:rsidRDefault="00FC5558" w:rsidP="00C56A9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52">
    <w:p w:rsidR="00FC5558" w:rsidRDefault="00FC5558"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53">
    <w:p w:rsidR="00FC5558" w:rsidRDefault="00FC555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54">
    <w:p w:rsidR="00FC5558" w:rsidRDefault="00FC555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5">
    <w:p w:rsidR="00FC5558" w:rsidRDefault="00FC5558" w:rsidP="00C52695">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56">
    <w:p w:rsidR="00FC5558" w:rsidRDefault="00FC555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7">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58">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59">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60">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1">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62">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63">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4">
    <w:p w:rsidR="00FC5558" w:rsidRDefault="00FC555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65">
    <w:p w:rsidR="00FC5558" w:rsidRDefault="00FC5558"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6">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67">
    <w:p w:rsidR="00FC5558" w:rsidRDefault="00FC5558"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8">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69">
    <w:p w:rsidR="00FC5558" w:rsidRDefault="00FC5558" w:rsidP="00C52695">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70">
    <w:p w:rsidR="00FC5558" w:rsidRDefault="00FC5558" w:rsidP="00C52695">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71">
    <w:p w:rsidR="00FC5558" w:rsidRPr="00B27BE5" w:rsidRDefault="00FC5558" w:rsidP="00C52695">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72">
    <w:p w:rsidR="00FC5558" w:rsidRDefault="00FC5558"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7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E750F8">
        <w:rPr>
          <w:rStyle w:val="AERtextitalic"/>
        </w:rPr>
        <w:t>Issues in the estimation of gamma</w:t>
      </w:r>
      <w:r>
        <w:t>, April 2017</w:t>
      </w:r>
      <w:r w:rsidRPr="002B7E95">
        <w:rPr>
          <w:rStyle w:val="AERtextitalic"/>
          <w:i w:val="0"/>
        </w:rPr>
        <w:t>, p. 29.</w:t>
      </w:r>
    </w:p>
  </w:footnote>
  <w:footnote w:id="574">
    <w:p w:rsidR="00FC5558" w:rsidRDefault="00FC5558"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75">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76">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77">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78">
    <w:p w:rsidR="00FC5558" w:rsidRDefault="00FC555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79">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80">
    <w:p w:rsidR="00FC5558" w:rsidRDefault="00FC5558"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81">
    <w:p w:rsidR="00FC5558" w:rsidRDefault="00FC5558"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82">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83">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pp. 354, 363, 368.</w:t>
      </w:r>
    </w:p>
  </w:footnote>
  <w:footnote w:id="584">
    <w:p w:rsidR="00FC5558" w:rsidRPr="00CB3A71" w:rsidRDefault="00FC5558" w:rsidP="00CB3A71">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85">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86">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87">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88">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89">
    <w:p w:rsidR="00FC5558" w:rsidRDefault="00FC5558" w:rsidP="00C52695">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90">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91">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92">
    <w:p w:rsidR="00FC5558" w:rsidRDefault="00FC5558"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93">
    <w:p w:rsidR="00FC5558" w:rsidRPr="00EA3C68" w:rsidRDefault="00FC5558" w:rsidP="0002335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94">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95">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7">
    <w:p w:rsidR="00FC5558" w:rsidRDefault="00FC5558"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98">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99">
    <w:p w:rsidR="00FC5558" w:rsidRDefault="00FC555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15.</w:t>
      </w:r>
    </w:p>
  </w:footnote>
  <w:footnote w:id="600">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601">
    <w:p w:rsidR="00FC5558" w:rsidRDefault="00FC555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602">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603">
    <w:p w:rsidR="00FC5558" w:rsidRDefault="00FC5558" w:rsidP="00C52695">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BF66D3">
        <w:t>A.13</w:t>
      </w:r>
      <w:r>
        <w:fldChar w:fldCharType="end"/>
      </w:r>
      <w:r>
        <w:t xml:space="preserve">, we have regard to </w:t>
      </w:r>
      <w:r w:rsidRPr="007938F1">
        <w:t>Hathaway's finding that the ATO statistics are subject to a number of issues prior to 2004</w:t>
      </w:r>
      <w:r>
        <w:t>.</w:t>
      </w:r>
    </w:p>
  </w:footnote>
  <w:footnote w:id="604">
    <w:p w:rsidR="00FC5558" w:rsidRDefault="00FC555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5">
    <w:p w:rsidR="00FC5558" w:rsidRDefault="00FC5558"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607">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608">
    <w:p w:rsidR="00FC5558" w:rsidRDefault="00FC5558" w:rsidP="0099731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r>
        <w:rPr>
          <w:rStyle w:val="AERtextitalic"/>
        </w:rPr>
        <w:t xml:space="preserve">; </w:t>
      </w:r>
      <w:r w:rsidRPr="00997314">
        <w:t xml:space="preserve"> </w:t>
      </w:r>
      <w:r w:rsidRPr="00536674">
        <w:t xml:space="preserve">Multinet, </w:t>
      </w:r>
      <w:r w:rsidRPr="00571BBD">
        <w:rPr>
          <w:rStyle w:val="AERtextitalic"/>
        </w:rPr>
        <w:t>Corporate Income Tax Overview</w:t>
      </w:r>
      <w:r w:rsidRPr="00536674">
        <w:t xml:space="preserve">, December 2016, p. </w:t>
      </w:r>
      <w:r>
        <w:t>12</w:t>
      </w:r>
      <w:r w:rsidRPr="00536674">
        <w:t xml:space="preserve">; AusNet Services Gas Distribution, </w:t>
      </w:r>
      <w:r w:rsidRPr="00571BBD">
        <w:rPr>
          <w:rStyle w:val="AERtextitalic"/>
        </w:rPr>
        <w:t>Gas Access Arrangement Review 2018-2022</w:t>
      </w:r>
      <w:r>
        <w:t>, December 2016, p. 243.</w:t>
      </w:r>
    </w:p>
  </w:footnote>
  <w:footnote w:id="609">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610">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611">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612">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217–218; </w:t>
      </w:r>
      <w:r w:rsidRPr="003168FF">
        <w:t xml:space="preserve">Frontier, </w:t>
      </w:r>
      <w:r w:rsidRPr="00E750F8">
        <w:rPr>
          <w:rStyle w:val="AERtextitalic"/>
        </w:rPr>
        <w:t>The appropriate use of tax statistics when estimating gamm</w:t>
      </w:r>
      <w:r w:rsidRPr="003168FF">
        <w:t>a, January 2016, p. </w:t>
      </w:r>
      <w:r>
        <w:t>6.</w:t>
      </w:r>
    </w:p>
  </w:footnote>
  <w:footnote w:id="613">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614">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615">
    <w:p w:rsidR="00FC5558" w:rsidRDefault="00FC5558" w:rsidP="00C52695">
      <w:pPr>
        <w:pStyle w:val="FootnoteText"/>
      </w:pPr>
      <w:r>
        <w:rPr>
          <w:rStyle w:val="FootnoteReference"/>
        </w:rPr>
        <w:footnoteRef/>
      </w:r>
      <w:r>
        <w:t xml:space="preserve"> </w:t>
      </w:r>
      <w:r>
        <w:tab/>
      </w:r>
      <w:r w:rsidRPr="003168FF">
        <w:t xml:space="preserve">Frontier, </w:t>
      </w:r>
      <w:r w:rsidRPr="009A3D22">
        <w:rPr>
          <w:rStyle w:val="AERtextitalic"/>
        </w:rPr>
        <w:t>The appropriate use of tax statistics when estimating gamma</w:t>
      </w:r>
      <w:r w:rsidRPr="003168FF">
        <w:t>, January 2016, p. </w:t>
      </w:r>
      <w:r>
        <w:t>12.</w:t>
      </w:r>
    </w:p>
  </w:footnote>
  <w:footnote w:id="616">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617">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1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619">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620">
    <w:p w:rsidR="00FC5558" w:rsidRDefault="00FC5558"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621">
    <w:p w:rsidR="00FC5558" w:rsidRDefault="00FC5558"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622">
    <w:p w:rsidR="00FC5558" w:rsidRDefault="00FC555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623">
    <w:p w:rsidR="00FC5558" w:rsidRPr="001224E1" w:rsidRDefault="00FC555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624">
    <w:p w:rsidR="00FC5558" w:rsidRPr="001224E1" w:rsidRDefault="00FC5558"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9.</w:t>
      </w:r>
    </w:p>
  </w:footnote>
  <w:footnote w:id="625">
    <w:p w:rsidR="00FC5558" w:rsidRPr="001224E1" w:rsidRDefault="00FC5558"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626">
    <w:p w:rsidR="00FC5558" w:rsidRPr="001224E1" w:rsidRDefault="00FC5558"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7">
    <w:p w:rsidR="00FC5558" w:rsidRPr="001224E1" w:rsidRDefault="00FC5558"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8">
    <w:p w:rsidR="00FC5558" w:rsidRPr="001224E1" w:rsidRDefault="00FC5558"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629">
    <w:p w:rsidR="00FC5558" w:rsidRDefault="00FC5558" w:rsidP="005D01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 p. 10.</w:t>
      </w:r>
    </w:p>
  </w:footnote>
  <w:footnote w:id="630">
    <w:p w:rsidR="00FC5558" w:rsidRPr="001224E1" w:rsidRDefault="00FC555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631">
    <w:p w:rsidR="00FC5558" w:rsidRPr="001224E1" w:rsidRDefault="00FC555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632">
    <w:p w:rsidR="00FC5558" w:rsidRDefault="00FC5558">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633">
    <w:p w:rsidR="00FC5558" w:rsidRPr="001224E1" w:rsidRDefault="00FC5558" w:rsidP="00E43353">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634">
    <w:p w:rsidR="00FC5558" w:rsidRPr="001224E1" w:rsidRDefault="00FC555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635">
    <w:p w:rsidR="00FC5558" w:rsidRPr="001224E1" w:rsidRDefault="00FC5558" w:rsidP="00BF1C4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636">
    <w:p w:rsidR="00FC5558" w:rsidRPr="001224E1" w:rsidRDefault="00FC5558"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637">
    <w:p w:rsidR="00FC5558" w:rsidRPr="001224E1" w:rsidRDefault="00FC5558"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638">
    <w:p w:rsidR="00FC5558" w:rsidRPr="001224E1" w:rsidRDefault="00FC555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639">
    <w:p w:rsidR="00FC5558" w:rsidRPr="00396EBB" w:rsidRDefault="00FC555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640">
    <w:p w:rsidR="00FC5558" w:rsidRPr="001224E1" w:rsidRDefault="00FC555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641">
    <w:p w:rsidR="00FC5558" w:rsidRPr="001224E1" w:rsidRDefault="00FC5558"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642">
    <w:p w:rsidR="00FC5558" w:rsidRPr="001224E1" w:rsidRDefault="00FC5558"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643">
    <w:p w:rsidR="00FC5558" w:rsidRPr="001224E1" w:rsidRDefault="00FC5558"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4">
    <w:p w:rsidR="00FC5558" w:rsidRPr="001224E1" w:rsidRDefault="00FC5558"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5">
    <w:p w:rsidR="00FC5558" w:rsidRDefault="00FC555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646">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647">
    <w:p w:rsidR="00FC5558" w:rsidRDefault="00FC5558" w:rsidP="00C5269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648">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649">
    <w:p w:rsidR="00FC5558" w:rsidRDefault="00FC555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5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51">
    <w:p w:rsidR="00FC5558" w:rsidRDefault="00FC5558"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52">
    <w:p w:rsidR="00FC5558" w:rsidRDefault="00FC555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w:t>
      </w:r>
      <w:r w:rsidRPr="00D414CC">
        <w:rPr>
          <w:rStyle w:val="Emphasis"/>
        </w:rPr>
        <w:t>2016-20 Regulatory Proposal</w:t>
      </w:r>
      <w:r>
        <w:t xml:space="preserve">, April 2015, pp. 353-354; United Energy, </w:t>
      </w:r>
      <w:r w:rsidRPr="00D414CC">
        <w:rPr>
          <w:rStyle w:val="Emphasis"/>
        </w:rPr>
        <w:t>Assessment of the Value of Imputation Credits - Gamma, Proposal for 2016 to 2020</w:t>
      </w:r>
      <w:r>
        <w:t xml:space="preserve">, April 2015, pp. 1–4; CitiPower, </w:t>
      </w:r>
      <w:r w:rsidRPr="00596AF9">
        <w:rPr>
          <w:i/>
        </w:rPr>
        <w:t>Appendix J - Gamma</w:t>
      </w:r>
      <w:r>
        <w:t xml:space="preserve">, April 2015, pp. 4–7; Powercor, </w:t>
      </w:r>
      <w:r w:rsidRPr="00D414CC">
        <w:rPr>
          <w:rStyle w:val="Emphasis"/>
        </w:rPr>
        <w:t>Appendix J - Gamma</w:t>
      </w:r>
      <w:r>
        <w:t xml:space="preserve">, April 2015, pp. 4–7; Jemena Electricity, </w:t>
      </w:r>
      <w:r w:rsidRPr="00D414CC">
        <w:rPr>
          <w:rStyle w:val="Emphasis"/>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D414CC">
        <w:rPr>
          <w:rStyle w:val="Emphasis"/>
        </w:rPr>
        <w:t>Revised Regulatory Proposal</w:t>
      </w:r>
      <w:r>
        <w:t xml:space="preserve">, July 2015, pp. 124–125; Ergon, </w:t>
      </w:r>
      <w:r w:rsidRPr="00596AF9">
        <w:rPr>
          <w:i/>
        </w:rPr>
        <w:t>Revised Regulatory Proposal</w:t>
      </w:r>
      <w:r>
        <w:t xml:space="preserve">, July 2015, p. 153; ActewAGL Distribution, </w:t>
      </w:r>
      <w:r w:rsidRPr="00D414CC">
        <w:rPr>
          <w:rStyle w:val="Emphasis"/>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53">
    <w:p w:rsidR="00FC5558" w:rsidRDefault="00FC5558" w:rsidP="00C52695">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54">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55">
    <w:p w:rsidR="00FC5558" w:rsidRDefault="00FC5558"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5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57">
    <w:p w:rsidR="00FC5558" w:rsidRPr="004D25AD" w:rsidRDefault="00FC5558" w:rsidP="00CD38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5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59">
    <w:p w:rsidR="00FC5558" w:rsidRDefault="00FC5558" w:rsidP="00EB58A2">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6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61">
    <w:p w:rsidR="00FC5558" w:rsidRDefault="00FC5558" w:rsidP="00514A99">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xml:space="preserve">, </w:t>
      </w:r>
      <w:r w:rsidRPr="00514A99">
        <w:t>pp. 163–164.</w:t>
      </w:r>
    </w:p>
  </w:footnote>
  <w:footnote w:id="662">
    <w:p w:rsidR="00FC5558" w:rsidRDefault="00FC5558"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63">
    <w:p w:rsidR="00FC5558" w:rsidRDefault="00FC5558" w:rsidP="00C52695">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64">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5">
    <w:p w:rsidR="00FC5558" w:rsidRDefault="00FC5558" w:rsidP="00C52695">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6">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67">
    <w:p w:rsidR="00FC5558" w:rsidRDefault="00FC5558"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68">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69">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70">
    <w:p w:rsidR="00FC5558" w:rsidRDefault="00FC5558" w:rsidP="00C52695">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71">
    <w:p w:rsidR="00FC5558" w:rsidRDefault="00FC5558"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72">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3">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4">
    <w:p w:rsidR="00FC5558" w:rsidRDefault="00FC5558" w:rsidP="00C52695">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75">
    <w:p w:rsidR="00FC5558" w:rsidRDefault="00FC5558"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76">
    <w:p w:rsidR="00FC5558" w:rsidRDefault="00FC5558" w:rsidP="00C52695">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77">
    <w:p w:rsidR="00FC5558" w:rsidRDefault="00FC5558" w:rsidP="00C52695">
      <w:pPr>
        <w:pStyle w:val="FootnoteText"/>
      </w:pPr>
      <w:r>
        <w:rPr>
          <w:rStyle w:val="FootnoteReference"/>
        </w:rPr>
        <w:footnoteRef/>
      </w:r>
      <w:r>
        <w:t xml:space="preserve"> </w:t>
      </w:r>
      <w:r>
        <w:tab/>
      </w:r>
      <w:r w:rsidRPr="005F06A5">
        <w:t xml:space="preserve">Frontier, </w:t>
      </w:r>
      <w:r w:rsidRPr="001453E4">
        <w:rPr>
          <w:rStyle w:val="AERtextitalic"/>
        </w:rPr>
        <w:t>The appropriate use of tax statistics when estimating gamma</w:t>
      </w:r>
      <w:r w:rsidRPr="005F06A5">
        <w:t>, January 2016, p. </w:t>
      </w:r>
      <w:r>
        <w:t>7.</w:t>
      </w:r>
    </w:p>
  </w:footnote>
  <w:footnote w:id="678">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79">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80">
    <w:p w:rsidR="00FC5558" w:rsidRDefault="00FC5558" w:rsidP="00C5269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April 2015, pp. 19–20.</w:t>
      </w:r>
    </w:p>
  </w:footnote>
  <w:footnote w:id="681">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82">
    <w:p w:rsidR="00FC5558" w:rsidRDefault="00FC5558"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83">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4">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85">
    <w:p w:rsidR="00FC5558" w:rsidRDefault="00FC5558"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7">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8">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89">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90">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91">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92">
    <w:p w:rsidR="00FC5558" w:rsidRDefault="00FC5558"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93">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94">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95">
    <w:p w:rsidR="00FC5558" w:rsidRDefault="00FC5558"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96">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697">
    <w:p w:rsidR="00FC5558" w:rsidRDefault="00FC5558"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98">
    <w:p w:rsidR="00FC5558" w:rsidRDefault="00FC5558" w:rsidP="00C52695">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w:t>
      </w:r>
    </w:p>
  </w:footnote>
  <w:footnote w:id="699">
    <w:p w:rsidR="00FC5558" w:rsidRDefault="00FC5558" w:rsidP="00C52695">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700">
    <w:p w:rsidR="00FC5558" w:rsidRDefault="00FC5558" w:rsidP="00C52695">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701">
    <w:p w:rsidR="00FC5558" w:rsidRDefault="00FC5558"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702">
    <w:p w:rsidR="00FC5558" w:rsidRDefault="00FC5558"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FE3642">
        <w:rPr>
          <w:rStyle w:val="AERtextitalic"/>
        </w:rPr>
        <w:t>The appropriate use of tax statistics when estimating gamma</w:t>
      </w:r>
      <w:r w:rsidRPr="00312B47">
        <w:t>, January 2016, p. </w:t>
      </w:r>
      <w:r>
        <w:t>31.</w:t>
      </w:r>
    </w:p>
  </w:footnote>
  <w:footnote w:id="703">
    <w:p w:rsidR="00FC5558" w:rsidRDefault="00FC5558" w:rsidP="00C52695">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704">
    <w:p w:rsidR="00FC5558" w:rsidRDefault="00FC5558" w:rsidP="00BC1E8B">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705">
    <w:p w:rsidR="00FC5558" w:rsidRDefault="00FC5558" w:rsidP="00C03DF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706">
    <w:p w:rsidR="00FC5558" w:rsidRDefault="00FC5558" w:rsidP="0017781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20; M. Lally, </w:t>
      </w:r>
      <w:r w:rsidRPr="00FE3642">
        <w:rPr>
          <w:rStyle w:val="AERtextitalic"/>
        </w:rPr>
        <w:t>Issues in the estimation of gamma</w:t>
      </w:r>
      <w:r>
        <w:t>, April 2017</w:t>
      </w:r>
      <w:r w:rsidRPr="00D7695B">
        <w:rPr>
          <w:rStyle w:val="AERtextitalic"/>
          <w:i w:val="0"/>
        </w:rPr>
        <w:t>, p. 24.</w:t>
      </w:r>
    </w:p>
  </w:footnote>
  <w:footnote w:id="707">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08">
    <w:p w:rsidR="00FC5558" w:rsidRPr="001224E1" w:rsidRDefault="00FC5558" w:rsidP="00E8528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709">
    <w:p w:rsidR="00FC5558" w:rsidRPr="001224E1" w:rsidRDefault="00FC5558" w:rsidP="00BF2DC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710">
    <w:p w:rsidR="00FC5558" w:rsidRPr="00E24154" w:rsidRDefault="00FC5558" w:rsidP="00BC1E8B">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711">
    <w:p w:rsidR="00FC5558" w:rsidRDefault="00FC5558" w:rsidP="004741BD">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712">
    <w:p w:rsidR="00FC5558" w:rsidRDefault="00FC5558" w:rsidP="00C52695">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713">
    <w:p w:rsidR="00FC5558" w:rsidRPr="00E750F8" w:rsidRDefault="00FC5558"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714">
    <w:p w:rsidR="00FC5558" w:rsidRPr="00025FF7" w:rsidRDefault="00FC5558"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715">
    <w:p w:rsidR="00FC5558" w:rsidRPr="00574CB8" w:rsidRDefault="00FC5558" w:rsidP="00574CB8">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7A4EAF">
        <w:rPr>
          <w:rStyle w:val="AERtextitalic"/>
          <w:i w:val="0"/>
        </w:rPr>
        <w:t>p</w:t>
      </w:r>
      <w:r w:rsidRPr="00574CB8">
        <w:rPr>
          <w:rStyle w:val="AERtextitalic"/>
          <w:i w:val="0"/>
        </w:rPr>
        <w:t>. 3-4</w:t>
      </w:r>
      <w:r w:rsidRPr="007A4EAF">
        <w:rPr>
          <w:rStyle w:val="AERtextitalic"/>
          <w:i w:val="0"/>
        </w:rPr>
        <w:t>.</w:t>
      </w:r>
    </w:p>
  </w:footnote>
  <w:footnote w:id="716">
    <w:p w:rsidR="00FC5558" w:rsidRPr="00E750F8" w:rsidRDefault="00FC5558" w:rsidP="00D32E5E">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717">
    <w:p w:rsidR="00FC5558" w:rsidRPr="00970F7A" w:rsidRDefault="00FC5558" w:rsidP="00187ED0">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718">
    <w:p w:rsidR="00FC5558" w:rsidRDefault="00FC5558" w:rsidP="0023036D">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719">
    <w:p w:rsidR="00FC5558" w:rsidRDefault="00FC5558" w:rsidP="005A1971">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720">
    <w:p w:rsidR="00FC5558" w:rsidRPr="001224E1" w:rsidRDefault="00FC555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1">
    <w:p w:rsidR="00FC5558" w:rsidRPr="00E24154" w:rsidRDefault="00FC555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2">
    <w:p w:rsidR="00FC5558" w:rsidRPr="007C48E7" w:rsidRDefault="00FC5558"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723">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724">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5">
    <w:p w:rsidR="00FC5558" w:rsidRPr="00EB7A6C"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6">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727">
    <w:p w:rsidR="00FC5558" w:rsidRDefault="00FC5558" w:rsidP="00E10FAC">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r>
        <w:t xml:space="preserve">; M. Lally, </w:t>
      </w:r>
      <w:r w:rsidRPr="00E750F8">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72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29">
    <w:p w:rsidR="00FC5558" w:rsidRPr="00EB7A6C"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30">
    <w:p w:rsidR="00FC5558" w:rsidRDefault="00FC5558">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31">
    <w:p w:rsidR="00FC5558" w:rsidRDefault="00FC5558"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32">
    <w:p w:rsidR="00FC5558" w:rsidRDefault="00FC5558"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733">
    <w:p w:rsidR="00FC5558" w:rsidRDefault="00FC5558"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34">
    <w:p w:rsidR="00FC5558" w:rsidRDefault="00FC5558"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735">
    <w:p w:rsidR="00FC5558" w:rsidRDefault="00FC5558"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36">
    <w:p w:rsidR="00FC5558" w:rsidRDefault="00FC555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737">
    <w:p w:rsidR="00FC5558" w:rsidRDefault="00FC5558"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738">
    <w:p w:rsidR="00FC5558" w:rsidRDefault="00FC5558"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739">
    <w:p w:rsidR="00FC5558" w:rsidRDefault="00FC5558"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740">
    <w:p w:rsidR="00FC5558" w:rsidRDefault="00FC5558"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41">
    <w:p w:rsidR="00FC5558" w:rsidRDefault="00FC5558"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742">
    <w:p w:rsidR="00FC5558" w:rsidRDefault="00FC5558"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743">
    <w:p w:rsidR="00FC5558" w:rsidRDefault="00FC5558"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4">
    <w:p w:rsidR="00FC5558" w:rsidRDefault="00FC5558"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745">
    <w:p w:rsidR="00FC5558" w:rsidRDefault="00FC5558"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46">
    <w:p w:rsidR="00FC5558" w:rsidRDefault="00FC555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747">
    <w:p w:rsidR="00FC5558" w:rsidRDefault="00FC555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48">
    <w:p w:rsidR="00FC5558" w:rsidRDefault="00FC555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749">
    <w:p w:rsidR="00FC5558" w:rsidRDefault="00FC5558"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50">
    <w:p w:rsidR="00FC5558" w:rsidRDefault="00FC5558" w:rsidP="00C52695">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51">
    <w:p w:rsidR="00FC5558" w:rsidRDefault="00FC5558"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52">
    <w:p w:rsidR="00FC5558" w:rsidRDefault="00FC555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53">
    <w:p w:rsidR="00FC5558" w:rsidRDefault="00FC5558"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54">
    <w:p w:rsidR="00FC5558" w:rsidRDefault="00FC5558" w:rsidP="00DA4BFB">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55">
    <w:p w:rsidR="00FC5558" w:rsidRDefault="00FC5558"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56">
    <w:p w:rsidR="00FC5558" w:rsidRDefault="00FC5558"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57">
    <w:p w:rsidR="00FC5558" w:rsidRDefault="00FC5558"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58">
    <w:p w:rsidR="00FC5558" w:rsidRDefault="00FC5558"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59">
    <w:p w:rsidR="00FC5558" w:rsidRDefault="00FC5558"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60">
    <w:p w:rsidR="00FC5558" w:rsidRDefault="00FC5558"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61">
    <w:p w:rsidR="00FC5558" w:rsidRDefault="00FC5558"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62">
    <w:p w:rsidR="00FC5558" w:rsidRDefault="00FC5558"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63">
    <w:p w:rsidR="00FC5558" w:rsidRDefault="00FC5558"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64">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65">
    <w:p w:rsidR="00FC5558" w:rsidRDefault="00FC5558">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66">
    <w:p w:rsidR="00FC5558" w:rsidRDefault="00FC5558">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67">
    <w:p w:rsidR="00FC5558" w:rsidRPr="00037690" w:rsidRDefault="00FC5558" w:rsidP="00037690">
      <w:pPr>
        <w:pStyle w:val="FootnoteText"/>
        <w:rPr>
          <w:rStyle w:val="AERtextitalic"/>
          <w:i w:val="0"/>
        </w:rPr>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8">
    <w:p w:rsidR="00FC5558" w:rsidRDefault="00FC5558" w:rsidP="0003769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9">
    <w:p w:rsidR="00FC5558" w:rsidRDefault="00FC5558" w:rsidP="004A20C0">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E750F8">
        <w:rPr>
          <w:rStyle w:val="AERtextitalic"/>
        </w:rPr>
        <w:t>Issues in the estimation of gamma</w:t>
      </w:r>
      <w:r>
        <w:t>, April 2017</w:t>
      </w:r>
      <w:r w:rsidRPr="00037690">
        <w:rPr>
          <w:rStyle w:val="AERtextitalic"/>
          <w:i w:val="0"/>
        </w:rPr>
        <w:t>, p. 4.</w:t>
      </w:r>
    </w:p>
  </w:footnote>
  <w:footnote w:id="770">
    <w:p w:rsidR="00FC5558" w:rsidRDefault="00FC5558" w:rsidP="0028321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71">
    <w:p w:rsidR="00FC5558" w:rsidRDefault="00FC5558">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72">
    <w:p w:rsidR="00FC5558" w:rsidRDefault="00FC5558">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73">
    <w:p w:rsidR="00FC5558" w:rsidRDefault="00FC5558" w:rsidP="0087506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4">
    <w:p w:rsidR="00FC5558" w:rsidRPr="005A48E0" w:rsidRDefault="00FC5558" w:rsidP="005A48E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75">
    <w:p w:rsidR="00FC5558" w:rsidRDefault="00FC5558" w:rsidP="00FF38E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6">
    <w:p w:rsidR="00FC5558" w:rsidRDefault="00FC555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77">
    <w:p w:rsidR="00FC5558" w:rsidRPr="00032060" w:rsidRDefault="00FC5558" w:rsidP="00E750F8">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E750F8">
        <w:t xml:space="preserve">Mero et al (2017) conduct a number of </w:t>
      </w:r>
      <w:r w:rsidRPr="00FF38EE">
        <w:t>formal tests of these models.</w:t>
      </w:r>
      <w:r w:rsidRPr="00E750F8">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E750F8">
        <w:rPr>
          <w:rStyle w:val="AERtextitalic"/>
          <w:i w:val="0"/>
        </w:rPr>
        <w:t>, pp. 5-6.</w:t>
      </w:r>
    </w:p>
  </w:footnote>
  <w:footnote w:id="778">
    <w:p w:rsidR="00FC5558" w:rsidRDefault="00FC5558"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79">
    <w:p w:rsidR="00FC5558" w:rsidRDefault="00FC5558"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80">
    <w:p w:rsidR="00FC5558" w:rsidRDefault="00FC5558"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1">
    <w:p w:rsidR="00FC5558" w:rsidRPr="00FE3642" w:rsidRDefault="00FC5558"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2">
    <w:p w:rsidR="00FC5558" w:rsidRDefault="00FC5558" w:rsidP="00177813">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p. 25.</w:t>
      </w:r>
    </w:p>
  </w:footnote>
  <w:footnote w:id="783">
    <w:p w:rsidR="00FC5558" w:rsidRDefault="00FC5558" w:rsidP="002C798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84">
    <w:p w:rsidR="00FC5558" w:rsidRDefault="00FC5558" w:rsidP="00C32CF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85">
    <w:p w:rsidR="00FC5558" w:rsidRPr="00CB04CA" w:rsidRDefault="00FC5558" w:rsidP="00CB04CA">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w:t>
      </w:r>
      <w:r>
        <w:rPr>
          <w:rStyle w:val="AERtextunderline"/>
        </w:rPr>
        <w:t>recent</w:t>
      </w:r>
      <w:r w:rsidRPr="00E268FF">
        <w:rPr>
          <w:rStyle w:val="AERbody"/>
          <w:sz w:val="16"/>
        </w:rPr>
        <w:t xml:space="preserve">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86">
    <w:p w:rsidR="00FC5558" w:rsidRDefault="00FC555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7">
    <w:p w:rsidR="00FC5558" w:rsidRDefault="00FC5558"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8">
    <w:p w:rsidR="00FC5558" w:rsidRDefault="00FC5558"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89">
    <w:p w:rsidR="00FC5558" w:rsidRDefault="00FC5558"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90">
    <w:p w:rsidR="00FC5558" w:rsidRDefault="00FC5558"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91">
    <w:p w:rsidR="00FC5558" w:rsidRDefault="00FC5558"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92">
    <w:p w:rsidR="00FC5558" w:rsidRDefault="00FC5558"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93">
    <w:p w:rsidR="00FC5558" w:rsidRDefault="00FC5558"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94">
    <w:p w:rsidR="00FC5558" w:rsidRDefault="00FC5558" w:rsidP="00C52695">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95">
    <w:p w:rsidR="00FC5558" w:rsidRDefault="00FC5558"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96">
    <w:p w:rsidR="00FC5558" w:rsidRDefault="00FC555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97">
    <w:p w:rsidR="00FC5558" w:rsidRDefault="00FC5558"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98">
    <w:p w:rsidR="00FC5558" w:rsidRDefault="00FC5558"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99">
    <w:p w:rsidR="00FC5558" w:rsidRDefault="00FC5558" w:rsidP="00C52695">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800">
    <w:p w:rsidR="00FC5558" w:rsidRDefault="00FC5558" w:rsidP="00C52695">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801">
    <w:p w:rsidR="00FC5558" w:rsidRDefault="00FC5558"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802">
    <w:p w:rsidR="00FC5558" w:rsidRDefault="00FC5558" w:rsidP="00C52695">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803">
    <w:p w:rsidR="00FC5558" w:rsidRDefault="00FC5558" w:rsidP="00C52695">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804">
    <w:p w:rsidR="00FC5558" w:rsidRDefault="00FC5558"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805">
    <w:p w:rsidR="00FC5558" w:rsidRDefault="00FC555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806">
    <w:p w:rsidR="00FC5558" w:rsidRDefault="00FC5558" w:rsidP="002A7E2F">
      <w:pPr>
        <w:pStyle w:val="FootnoteText"/>
      </w:pPr>
      <w:r>
        <w:rPr>
          <w:rStyle w:val="FootnoteReference"/>
        </w:rPr>
        <w:footnoteRef/>
      </w:r>
      <w:r>
        <w:t xml:space="preserve"> </w:t>
      </w:r>
      <w:r>
        <w:tab/>
      </w:r>
      <w:r w:rsidRPr="002A7E2F">
        <w:t xml:space="preserve">Frontier Economics, </w:t>
      </w:r>
      <w:r w:rsidRPr="009716F3">
        <w:rPr>
          <w:rStyle w:val="AERtextitalic"/>
        </w:rPr>
        <w:t>Perspectives for the estimation of gamma</w:t>
      </w:r>
      <w:r w:rsidRPr="002A7E2F">
        <w:t>, December 2016</w:t>
      </w:r>
      <w:r>
        <w:t>, para. 35.</w:t>
      </w:r>
    </w:p>
  </w:footnote>
  <w:footnote w:id="807">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808">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809">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810">
    <w:p w:rsidR="00FC5558" w:rsidRDefault="00FC5558" w:rsidP="00C52695">
      <w:pPr>
        <w:pStyle w:val="FootnoteText"/>
      </w:pPr>
      <w:r>
        <w:rPr>
          <w:rStyle w:val="FootnoteReference"/>
        </w:rPr>
        <w:footnoteRef/>
      </w:r>
      <w:r>
        <w:t xml:space="preserve"> </w:t>
      </w:r>
      <w:r>
        <w:tab/>
        <w:t>SFG</w:t>
      </w:r>
      <w:r w:rsidRPr="007C38AD">
        <w:rPr>
          <w:rStyle w:val="AERtextitalic"/>
        </w:rPr>
        <w:t>, Equity beta</w:t>
      </w:r>
      <w:r>
        <w:t>, 12 May 2014, para. 15.</w:t>
      </w:r>
    </w:p>
  </w:footnote>
  <w:footnote w:id="811">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812">
    <w:p w:rsidR="00FC5558" w:rsidRDefault="00FC5558"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813">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814">
    <w:p w:rsidR="00FC5558" w:rsidRDefault="00FC5558" w:rsidP="00C52695">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815">
    <w:p w:rsidR="00FC5558" w:rsidRDefault="00FC5558" w:rsidP="00C52695">
      <w:pPr>
        <w:pStyle w:val="FootnoteText"/>
      </w:pPr>
      <w:r>
        <w:rPr>
          <w:rStyle w:val="FootnoteReference"/>
        </w:rPr>
        <w:footnoteRef/>
      </w:r>
      <w:r>
        <w:t xml:space="preserve"> </w:t>
      </w:r>
      <w:r>
        <w:tab/>
        <w:t>Defined as 20 minus 0.6928.</w:t>
      </w:r>
    </w:p>
  </w:footnote>
  <w:footnote w:id="816">
    <w:p w:rsidR="00FC5558" w:rsidRDefault="00FC555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817">
    <w:p w:rsidR="00FC5558" w:rsidRDefault="00FC5558" w:rsidP="00C52695">
      <w:pPr>
        <w:pStyle w:val="FootnoteText"/>
      </w:pPr>
      <w:r>
        <w:rPr>
          <w:rStyle w:val="FootnoteReference"/>
        </w:rPr>
        <w:footnoteRef/>
      </w:r>
      <w:r>
        <w:t xml:space="preserve"> </w:t>
      </w:r>
      <w:r>
        <w:tab/>
        <w:t>We also note distributed dividends are directly observable.</w:t>
      </w:r>
    </w:p>
  </w:footnote>
  <w:footnote w:id="818">
    <w:p w:rsidR="00FC5558" w:rsidRDefault="00FC5558" w:rsidP="00C52695">
      <w:pPr>
        <w:pStyle w:val="FootnoteText"/>
      </w:pPr>
      <w:r>
        <w:rPr>
          <w:rStyle w:val="FootnoteReference"/>
        </w:rPr>
        <w:footnoteRef/>
      </w:r>
      <w:r>
        <w:t xml:space="preserve"> </w:t>
      </w:r>
      <w:r>
        <w:tab/>
        <w:t xml:space="preserve">Edwin J. Elton and Martin J. Gruber, 'Marginal Stockholder Tax Rates and the Clientele effect' </w:t>
      </w:r>
      <w:r w:rsidRPr="00FE3642">
        <w:rPr>
          <w:rStyle w:val="AERtextitalic"/>
        </w:rPr>
        <w:t>The Review of Economics and Statistics</w:t>
      </w:r>
      <w:r>
        <w:t>, Vol. 52, No.1 (Feb 1970), pp. 68-74, pin point ref: 69.</w:t>
      </w:r>
    </w:p>
  </w:footnote>
  <w:footnote w:id="819">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20">
    <w:p w:rsidR="00FC5558" w:rsidRDefault="00FC5558"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21">
    <w:p w:rsidR="00FC5558" w:rsidRDefault="00FC5558" w:rsidP="00C52695">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822">
    <w:p w:rsidR="00FC5558" w:rsidRDefault="00FC5558" w:rsidP="00C52695">
      <w:pPr>
        <w:pStyle w:val="FootnoteText"/>
      </w:pPr>
      <w:r>
        <w:rPr>
          <w:rStyle w:val="FootnoteReference"/>
        </w:rPr>
        <w:footnoteRef/>
      </w:r>
      <w:r>
        <w:t xml:space="preserve"> </w:t>
      </w:r>
      <w:r>
        <w:tab/>
        <w:t>Edwin J. Elton and Martin J. Gruber, 'Marginal Stockholder Tax Rates and the Clientele effect</w:t>
      </w:r>
      <w:r>
        <w:rPr>
          <w:rStyle w:val="Emphasis"/>
        </w:rPr>
        <w:t>,</w:t>
      </w:r>
      <w:r w:rsidRPr="00D414CC">
        <w:rPr>
          <w:rStyle w:val="Emphasis"/>
        </w:rPr>
        <w:t xml:space="preserve"> The Review of Economics and Statistics</w:t>
      </w:r>
      <w:r>
        <w:t>, Vol. 52, No.1 (Feb 1970), p. 6.</w:t>
      </w:r>
    </w:p>
  </w:footnote>
  <w:footnote w:id="823">
    <w:p w:rsidR="00FC5558" w:rsidRDefault="00FC5558" w:rsidP="0088298B">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D414CC">
        <w:rPr>
          <w:rStyle w:val="Emphasis"/>
        </w:rPr>
        <w:t>Australian Journal of Management</w:t>
      </w:r>
      <w:r w:rsidRPr="005764F6">
        <w:rPr>
          <w:rStyle w:val="FootnoteReference"/>
          <w:vertAlign w:val="baseline"/>
        </w:rPr>
        <w:t>, January, pp. 1-25.</w:t>
      </w:r>
      <w:r w:rsidRPr="00F267EC">
        <w:t xml:space="preserve"> </w:t>
      </w:r>
    </w:p>
  </w:footnote>
  <w:footnote w:id="824">
    <w:p w:rsidR="00FC5558" w:rsidRDefault="00FC5558">
      <w:pPr>
        <w:pStyle w:val="FootnoteText"/>
      </w:pPr>
      <w:r>
        <w:rPr>
          <w:rStyle w:val="FootnoteReference"/>
        </w:rPr>
        <w:footnoteRef/>
      </w:r>
      <w:r>
        <w:t xml:space="preserve"> </w:t>
      </w:r>
      <w:r>
        <w:tab/>
      </w:r>
      <w:r w:rsidRPr="001247E2">
        <w:t xml:space="preserve">Frontier Economics, </w:t>
      </w:r>
      <w:r w:rsidRPr="001A43CB">
        <w:rPr>
          <w:rStyle w:val="AERtextitalic"/>
        </w:rPr>
        <w:t>Perspectives for the estimation of gamma</w:t>
      </w:r>
      <w:r w:rsidRPr="001247E2">
        <w:t>, December 2016</w:t>
      </w:r>
      <w:r>
        <w:t>, para. 35.</w:t>
      </w:r>
    </w:p>
  </w:footnote>
  <w:footnote w:id="825">
    <w:p w:rsidR="00FC5558" w:rsidRDefault="00FC5558">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pp.215 - 216.</w:t>
      </w:r>
    </w:p>
  </w:footnote>
  <w:footnote w:id="826">
    <w:p w:rsidR="00FC5558" w:rsidRDefault="00FC5558"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827">
    <w:p w:rsidR="00FC5558" w:rsidRDefault="00FC5558" w:rsidP="00647E9D">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xml:space="preserve">, September 2016, paras. 91-93; </w:t>
      </w:r>
      <w:r w:rsidRPr="00647E9D">
        <w:t xml:space="preserve"> Multinet, </w:t>
      </w:r>
      <w:r w:rsidRPr="009716F3">
        <w:rPr>
          <w:rStyle w:val="AERtextitalic"/>
        </w:rPr>
        <w:t>Corporate Income Tax Overview</w:t>
      </w:r>
      <w:r>
        <w:t xml:space="preserve">, December 2016, p. 21; </w:t>
      </w:r>
      <w:r w:rsidRPr="00647E9D">
        <w:t xml:space="preserve">AusNet Services Gas Distribution, </w:t>
      </w:r>
      <w:r w:rsidRPr="009716F3">
        <w:rPr>
          <w:rStyle w:val="AERtextitalic"/>
        </w:rPr>
        <w:t>Gas Access Arrangement Review 2018-2022</w:t>
      </w:r>
      <w:r>
        <w:t>, December 2016, p. 253</w:t>
      </w:r>
      <w:r w:rsidRPr="00647E9D">
        <w:t>.</w:t>
      </w:r>
    </w:p>
  </w:footnote>
  <w:footnote w:id="828">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829">
    <w:p w:rsidR="00FC5558" w:rsidRDefault="00FC5558"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830">
    <w:p w:rsidR="00FC5558" w:rsidRDefault="00FC5558" w:rsidP="00C430A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E750F8">
        <w:rPr>
          <w:rStyle w:val="AERtextitalic"/>
        </w:rPr>
        <w:t>Issues in the estimation of gamma</w:t>
      </w:r>
      <w:r>
        <w:t>, April 2017</w:t>
      </w:r>
      <w:r w:rsidRPr="00447949">
        <w:rPr>
          <w:rStyle w:val="AERtextitalic"/>
          <w:i w:val="0"/>
        </w:rPr>
        <w:t>, pp. 21-22.</w:t>
      </w:r>
    </w:p>
  </w:footnote>
  <w:footnote w:id="831">
    <w:p w:rsidR="00FC5558" w:rsidRDefault="00FC5558" w:rsidP="000E0D4D">
      <w:pPr>
        <w:pStyle w:val="FootnoteText"/>
      </w:pPr>
      <w:r>
        <w:rPr>
          <w:rStyle w:val="FootnoteReference"/>
        </w:rPr>
        <w:footnoteRef/>
      </w:r>
      <w:r>
        <w:t xml:space="preserve"> </w:t>
      </w:r>
      <w:r>
        <w:tab/>
      </w:r>
      <w:r w:rsidRPr="00E750F8">
        <w:rPr>
          <w:rStyle w:val="Hyperlink"/>
          <w:color w:val="auto"/>
          <w:sz w:val="16"/>
          <w:u w:val="none"/>
        </w:rPr>
        <w:t xml:space="preserve">Frontier Economics, </w:t>
      </w:r>
      <w:r w:rsidRPr="00E750F8">
        <w:rPr>
          <w:rStyle w:val="AERtextitalic"/>
        </w:rPr>
        <w:t>Issues in the estimation of gamma</w:t>
      </w:r>
      <w:r w:rsidRPr="00E750F8">
        <w:rPr>
          <w:rStyle w:val="Hyperlink"/>
          <w:color w:val="auto"/>
          <w:sz w:val="16"/>
          <w:u w:val="none"/>
        </w:rPr>
        <w:t>, September 2016, p</w:t>
      </w:r>
      <w:r w:rsidRPr="004423C9">
        <w:rPr>
          <w:rStyle w:val="Hyperlink"/>
          <w:color w:val="auto"/>
          <w:sz w:val="16"/>
          <w:u w:val="none"/>
        </w:rPr>
        <w:t>. 23.</w:t>
      </w:r>
    </w:p>
  </w:footnote>
  <w:footnote w:id="832">
    <w:p w:rsidR="00FC5558" w:rsidRPr="001224E1" w:rsidRDefault="00FC5558" w:rsidP="00D0581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833">
    <w:p w:rsidR="00FC5558" w:rsidRPr="001224E1" w:rsidRDefault="00FC555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834">
    <w:p w:rsidR="00FC5558" w:rsidRDefault="00FC555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835">
    <w:p w:rsidR="00FC5558" w:rsidRDefault="00FC5558" w:rsidP="00EA0A1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 xml:space="preserve">359-360; </w:t>
      </w:r>
      <w:r w:rsidRPr="00647E9D">
        <w:t xml:space="preserve">Multinet, </w:t>
      </w:r>
      <w:r w:rsidRPr="00A50981">
        <w:rPr>
          <w:rStyle w:val="AERtextitalic"/>
        </w:rPr>
        <w:t>Corporate Income Tax Overview</w:t>
      </w:r>
      <w:r>
        <w:t xml:space="preserve">, December 2016, p. 18; </w:t>
      </w:r>
      <w:r w:rsidRPr="00647E9D">
        <w:t xml:space="preserve">AusNet Services Gas Distribution, </w:t>
      </w:r>
      <w:r w:rsidRPr="00A50981">
        <w:rPr>
          <w:rStyle w:val="AERtextitalic"/>
        </w:rPr>
        <w:t>Gas Access Arrangement Review 2018-2022</w:t>
      </w:r>
      <w:r>
        <w:t>, December 2016, p. 249</w:t>
      </w:r>
      <w:r w:rsidRPr="00647E9D">
        <w:t>.</w:t>
      </w:r>
    </w:p>
  </w:footnote>
  <w:footnote w:id="836">
    <w:p w:rsidR="00FC5558" w:rsidRDefault="00FC555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837">
    <w:p w:rsidR="00FC5558" w:rsidRDefault="00FC5558" w:rsidP="00C52695">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838">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839">
    <w:p w:rsidR="00FC5558" w:rsidRDefault="00FC5558"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840">
    <w:p w:rsidR="00FC5558" w:rsidRDefault="00FC5558"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841">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842">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843">
    <w:p w:rsidR="00FC5558" w:rsidRDefault="00FC5558"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844">
    <w:p w:rsidR="00FC5558" w:rsidRDefault="00FC5558"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845">
    <w:p w:rsidR="00FC5558" w:rsidRDefault="00FC5558"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846">
    <w:p w:rsidR="00FC5558" w:rsidRDefault="00FC5558"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847">
    <w:p w:rsidR="00FC5558" w:rsidRDefault="00FC5558" w:rsidP="0095204D">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848">
    <w:p w:rsidR="00FC5558" w:rsidRPr="001224E1" w:rsidRDefault="00FC5558" w:rsidP="00CF3D5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849">
    <w:p w:rsidR="00FC5558" w:rsidRPr="001224E1" w:rsidRDefault="00FC5558"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850">
    <w:p w:rsidR="00FC5558" w:rsidRDefault="00FC5558" w:rsidP="001B0EF1">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E750F8">
        <w:rPr>
          <w:rStyle w:val="AERtextitalic"/>
        </w:rPr>
        <w:t>Issues in the estimation of gamma</w:t>
      </w:r>
      <w:r>
        <w:t>, April 2017</w:t>
      </w:r>
      <w:r w:rsidRPr="004423C9">
        <w:rPr>
          <w:rStyle w:val="AERtextitalic"/>
          <w:i w:val="0"/>
        </w:rPr>
        <w:t>, pp. 14-16</w:t>
      </w:r>
      <w:r w:rsidRPr="0021673C">
        <w:rPr>
          <w:rStyle w:val="AERtextitalic"/>
        </w:rPr>
        <w:t>.</w:t>
      </w:r>
    </w:p>
  </w:footnote>
  <w:footnote w:id="851">
    <w:p w:rsidR="00FC5558" w:rsidRDefault="00FC5558"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852">
    <w:p w:rsidR="00FC5558" w:rsidRDefault="00FC5558"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853">
    <w:p w:rsidR="00FC5558" w:rsidRDefault="00FC5558"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54">
    <w:p w:rsidR="00FC5558" w:rsidRDefault="00FC5558" w:rsidP="00C52695">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55">
    <w:p w:rsidR="00FC5558" w:rsidRDefault="00FC5558" w:rsidP="00C52695">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56">
    <w:p w:rsidR="00FC5558" w:rsidRDefault="00FC5558" w:rsidP="00C52695">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57">
    <w:p w:rsidR="00FC5558" w:rsidRDefault="00FC5558" w:rsidP="00C52695">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58">
    <w:p w:rsidR="00FC5558" w:rsidRDefault="00FC555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59">
    <w:p w:rsidR="00FC5558" w:rsidRDefault="00FC5558"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60">
    <w:p w:rsidR="00FC5558" w:rsidRDefault="00FC5558" w:rsidP="00C52695">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61">
    <w:p w:rsidR="00FC5558" w:rsidRDefault="00FC5558" w:rsidP="00C52695">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62">
    <w:p w:rsidR="00FC5558" w:rsidRDefault="00FC5558"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63">
    <w:p w:rsidR="00FC5558" w:rsidRDefault="00FC555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64">
    <w:p w:rsidR="00FC5558" w:rsidRDefault="00FC5558" w:rsidP="00C52695">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65">
    <w:p w:rsidR="00FC5558" w:rsidRDefault="00FC555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w:t>
      </w:r>
    </w:p>
  </w:footnote>
  <w:footnote w:id="866">
    <w:p w:rsidR="00FC5558" w:rsidRDefault="00FC5558" w:rsidP="00C52695">
      <w:pPr>
        <w:pStyle w:val="FootnoteText"/>
      </w:pPr>
      <w:r>
        <w:rPr>
          <w:rStyle w:val="FootnoteReference"/>
        </w:rPr>
        <w:footnoteRef/>
      </w:r>
      <w:r>
        <w:t xml:space="preserve"> </w:t>
      </w:r>
      <w:r>
        <w:tab/>
        <w:t xml:space="preserve">M. </w:t>
      </w:r>
      <w:r w:rsidRPr="002B01D6">
        <w:t xml:space="preserve">Lally, </w:t>
      </w:r>
      <w:r w:rsidRPr="00A70E2C">
        <w:rPr>
          <w:rStyle w:val="AERtextitalic"/>
        </w:rPr>
        <w:t>The estimation of gamma</w:t>
      </w:r>
      <w:r>
        <w:t>, 23 November 2013, pp. 3 and 4.</w:t>
      </w:r>
    </w:p>
  </w:footnote>
  <w:footnote w:id="867">
    <w:p w:rsidR="00FC5558" w:rsidRDefault="00FC555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14.</w:t>
      </w:r>
    </w:p>
  </w:footnote>
  <w:footnote w:id="868">
    <w:p w:rsidR="00FC5558" w:rsidRDefault="00FC555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38.</w:t>
      </w:r>
    </w:p>
  </w:footnote>
  <w:footnote w:id="869">
    <w:p w:rsidR="00FC5558" w:rsidRDefault="00FC555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38–47.</w:t>
      </w:r>
    </w:p>
  </w:footnote>
  <w:footnote w:id="870">
    <w:p w:rsidR="00FC5558" w:rsidRDefault="00FC5558"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46–47.</w:t>
      </w:r>
    </w:p>
  </w:footnote>
  <w:footnote w:id="871">
    <w:p w:rsidR="00FC5558" w:rsidRDefault="00FC555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72">
    <w:p w:rsidR="00FC5558" w:rsidRDefault="00FC555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73">
    <w:p w:rsidR="00FC5558" w:rsidRDefault="00FC5558"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74">
    <w:p w:rsidR="00FC5558" w:rsidRDefault="00FC5558" w:rsidP="00C52695">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EA7C50"/>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95F6A130"/>
    <w:lvl w:ilvl="0">
      <w:start w:val="1"/>
      <w:numFmt w:val="upperLetter"/>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7F53878"/>
    <w:multiLevelType w:val="hybridMultilevel"/>
    <w:tmpl w:val="45E6ECA4"/>
    <w:lvl w:ilvl="0" w:tplc="C406CFC0">
      <w:start w:val="1"/>
      <w:numFmt w:val="upperLetter"/>
      <w:pStyle w:val="Heading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ECE4384"/>
    <w:multiLevelType w:val="multilevel"/>
    <w:tmpl w:val="82F42BC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3"/>
  </w:num>
  <w:num w:numId="16">
    <w:abstractNumId w:val="22"/>
  </w:num>
  <w:num w:numId="17">
    <w:abstractNumId w:val="10"/>
  </w:num>
  <w:num w:numId="18">
    <w:abstractNumId w:val="15"/>
  </w:num>
  <w:num w:numId="19">
    <w:abstractNumId w:val="23"/>
  </w:num>
  <w:num w:numId="20">
    <w:abstractNumId w:val="30"/>
  </w:num>
  <w:num w:numId="21">
    <w:abstractNumId w:val="26"/>
  </w:num>
  <w:num w:numId="22">
    <w:abstractNumId w:val="24"/>
  </w:num>
  <w:num w:numId="23">
    <w:abstractNumId w:val="16"/>
  </w:num>
  <w:num w:numId="24">
    <w:abstractNumId w:val="25"/>
  </w:num>
  <w:num w:numId="25">
    <w:abstractNumId w:val="28"/>
  </w:num>
  <w:num w:numId="26">
    <w:abstractNumId w:val="17"/>
  </w:num>
  <w:num w:numId="27">
    <w:abstractNumId w:val="14"/>
  </w:num>
  <w:num w:numId="28">
    <w:abstractNumId w:val="9"/>
  </w:num>
  <w:num w:numId="29">
    <w:abstractNumId w:val="18"/>
  </w:num>
  <w:num w:numId="30">
    <w:abstractNumId w:val="20"/>
  </w:num>
  <w:num w:numId="31">
    <w:abstractNumId w:val="27"/>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hideSpelling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6V4nsR3WLaVO88mi4md/Jr//9Q8hsOmzybeO/iu1PU=" w:saltValue="f0MHNPcUjlp0tplW+NpEkg==" w:algorithmName="SHA-256"/>
  <w:defaultTabStop w:val="34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20\D17 70346  AER - Multinet 2017-22 - Attachment 4 - Value of imputation credits - June 2017.DOCX"/>
  </w:docVars>
  <w:rsids>
    <w:rsidRoot w:val="00961A4A"/>
    <w:rsid w:val="00001B62"/>
    <w:rsid w:val="000028DB"/>
    <w:rsid w:val="000035FC"/>
    <w:rsid w:val="00005540"/>
    <w:rsid w:val="0000638D"/>
    <w:rsid w:val="00011421"/>
    <w:rsid w:val="00011740"/>
    <w:rsid w:val="00013824"/>
    <w:rsid w:val="00014158"/>
    <w:rsid w:val="00014EFD"/>
    <w:rsid w:val="000169CB"/>
    <w:rsid w:val="00021202"/>
    <w:rsid w:val="00021C2B"/>
    <w:rsid w:val="00021F98"/>
    <w:rsid w:val="00022C1D"/>
    <w:rsid w:val="00023359"/>
    <w:rsid w:val="000238AD"/>
    <w:rsid w:val="0002517F"/>
    <w:rsid w:val="00027D9E"/>
    <w:rsid w:val="00031065"/>
    <w:rsid w:val="000335EC"/>
    <w:rsid w:val="0003578C"/>
    <w:rsid w:val="00037690"/>
    <w:rsid w:val="00037D9B"/>
    <w:rsid w:val="00040E25"/>
    <w:rsid w:val="00041282"/>
    <w:rsid w:val="000414F1"/>
    <w:rsid w:val="000421CC"/>
    <w:rsid w:val="00046AFF"/>
    <w:rsid w:val="00047AD8"/>
    <w:rsid w:val="000531CA"/>
    <w:rsid w:val="000614C5"/>
    <w:rsid w:val="00063247"/>
    <w:rsid w:val="00063F95"/>
    <w:rsid w:val="0006482A"/>
    <w:rsid w:val="0006499D"/>
    <w:rsid w:val="0006681A"/>
    <w:rsid w:val="000707CC"/>
    <w:rsid w:val="0007085B"/>
    <w:rsid w:val="00070F9F"/>
    <w:rsid w:val="0007137B"/>
    <w:rsid w:val="00074101"/>
    <w:rsid w:val="00074FE0"/>
    <w:rsid w:val="00075D94"/>
    <w:rsid w:val="00077389"/>
    <w:rsid w:val="00081628"/>
    <w:rsid w:val="000818BE"/>
    <w:rsid w:val="00083274"/>
    <w:rsid w:val="00085663"/>
    <w:rsid w:val="00085EBF"/>
    <w:rsid w:val="00086871"/>
    <w:rsid w:val="000873B3"/>
    <w:rsid w:val="0009187D"/>
    <w:rsid w:val="00092B4B"/>
    <w:rsid w:val="00094970"/>
    <w:rsid w:val="000955E7"/>
    <w:rsid w:val="00095A67"/>
    <w:rsid w:val="00096343"/>
    <w:rsid w:val="00096A14"/>
    <w:rsid w:val="000A057F"/>
    <w:rsid w:val="000A1F39"/>
    <w:rsid w:val="000A20C4"/>
    <w:rsid w:val="000A2DAD"/>
    <w:rsid w:val="000A3020"/>
    <w:rsid w:val="000A3573"/>
    <w:rsid w:val="000A6C7B"/>
    <w:rsid w:val="000B321F"/>
    <w:rsid w:val="000B4231"/>
    <w:rsid w:val="000C17A3"/>
    <w:rsid w:val="000C2B40"/>
    <w:rsid w:val="000C5949"/>
    <w:rsid w:val="000C74C5"/>
    <w:rsid w:val="000C7E9B"/>
    <w:rsid w:val="000D122C"/>
    <w:rsid w:val="000D1DAD"/>
    <w:rsid w:val="000D5934"/>
    <w:rsid w:val="000D7F98"/>
    <w:rsid w:val="000E0D4D"/>
    <w:rsid w:val="000E11C3"/>
    <w:rsid w:val="000E1819"/>
    <w:rsid w:val="000E4821"/>
    <w:rsid w:val="000E517D"/>
    <w:rsid w:val="000E6C72"/>
    <w:rsid w:val="000E71C3"/>
    <w:rsid w:val="000E792B"/>
    <w:rsid w:val="000F2EAB"/>
    <w:rsid w:val="000F2FCF"/>
    <w:rsid w:val="000F4D0A"/>
    <w:rsid w:val="000F6C8F"/>
    <w:rsid w:val="0010101C"/>
    <w:rsid w:val="00102BE4"/>
    <w:rsid w:val="0010358A"/>
    <w:rsid w:val="001039FF"/>
    <w:rsid w:val="0010651C"/>
    <w:rsid w:val="00107408"/>
    <w:rsid w:val="001125F3"/>
    <w:rsid w:val="00112F3A"/>
    <w:rsid w:val="00113F3B"/>
    <w:rsid w:val="00113F4C"/>
    <w:rsid w:val="00114985"/>
    <w:rsid w:val="00114B5E"/>
    <w:rsid w:val="00116542"/>
    <w:rsid w:val="00116EB2"/>
    <w:rsid w:val="00116FD8"/>
    <w:rsid w:val="001176FB"/>
    <w:rsid w:val="00120120"/>
    <w:rsid w:val="001203C4"/>
    <w:rsid w:val="00120638"/>
    <w:rsid w:val="001207B2"/>
    <w:rsid w:val="00121F68"/>
    <w:rsid w:val="001224E1"/>
    <w:rsid w:val="00122E82"/>
    <w:rsid w:val="0012365B"/>
    <w:rsid w:val="00124609"/>
    <w:rsid w:val="001247E2"/>
    <w:rsid w:val="0012604C"/>
    <w:rsid w:val="00126272"/>
    <w:rsid w:val="00126A4C"/>
    <w:rsid w:val="00126EC0"/>
    <w:rsid w:val="00130940"/>
    <w:rsid w:val="00131627"/>
    <w:rsid w:val="00132804"/>
    <w:rsid w:val="001362F0"/>
    <w:rsid w:val="0014067F"/>
    <w:rsid w:val="00142226"/>
    <w:rsid w:val="00144DD3"/>
    <w:rsid w:val="00144E73"/>
    <w:rsid w:val="001453E4"/>
    <w:rsid w:val="0014573B"/>
    <w:rsid w:val="0014602B"/>
    <w:rsid w:val="00146239"/>
    <w:rsid w:val="0014698D"/>
    <w:rsid w:val="001568D8"/>
    <w:rsid w:val="001573E4"/>
    <w:rsid w:val="001603C6"/>
    <w:rsid w:val="00160756"/>
    <w:rsid w:val="00160A89"/>
    <w:rsid w:val="0017232E"/>
    <w:rsid w:val="00172F87"/>
    <w:rsid w:val="001737FA"/>
    <w:rsid w:val="00173B8F"/>
    <w:rsid w:val="00173FC3"/>
    <w:rsid w:val="00174102"/>
    <w:rsid w:val="001745BF"/>
    <w:rsid w:val="001754EE"/>
    <w:rsid w:val="00177813"/>
    <w:rsid w:val="00177AB1"/>
    <w:rsid w:val="00180157"/>
    <w:rsid w:val="00180548"/>
    <w:rsid w:val="00180C78"/>
    <w:rsid w:val="00181379"/>
    <w:rsid w:val="00183794"/>
    <w:rsid w:val="00185C55"/>
    <w:rsid w:val="00185CB9"/>
    <w:rsid w:val="00186F77"/>
    <w:rsid w:val="00187D9E"/>
    <w:rsid w:val="00187ED0"/>
    <w:rsid w:val="001908FC"/>
    <w:rsid w:val="001921F2"/>
    <w:rsid w:val="001926A4"/>
    <w:rsid w:val="00192AD5"/>
    <w:rsid w:val="00192B61"/>
    <w:rsid w:val="00193B7C"/>
    <w:rsid w:val="00194D86"/>
    <w:rsid w:val="001958F9"/>
    <w:rsid w:val="00196AEF"/>
    <w:rsid w:val="00197663"/>
    <w:rsid w:val="001A0EE0"/>
    <w:rsid w:val="001A13F8"/>
    <w:rsid w:val="001A1E83"/>
    <w:rsid w:val="001A3115"/>
    <w:rsid w:val="001A5B30"/>
    <w:rsid w:val="001A7113"/>
    <w:rsid w:val="001B0EF1"/>
    <w:rsid w:val="001B2BD0"/>
    <w:rsid w:val="001B45A0"/>
    <w:rsid w:val="001B5B96"/>
    <w:rsid w:val="001C6A1D"/>
    <w:rsid w:val="001D055E"/>
    <w:rsid w:val="001D08B7"/>
    <w:rsid w:val="001D193B"/>
    <w:rsid w:val="001D288D"/>
    <w:rsid w:val="001D5F36"/>
    <w:rsid w:val="001D5F3E"/>
    <w:rsid w:val="001D6A7F"/>
    <w:rsid w:val="001E0C22"/>
    <w:rsid w:val="001E1DD3"/>
    <w:rsid w:val="001E3B1D"/>
    <w:rsid w:val="001E51E2"/>
    <w:rsid w:val="001E6A60"/>
    <w:rsid w:val="001F0046"/>
    <w:rsid w:val="001F03BD"/>
    <w:rsid w:val="001F41CA"/>
    <w:rsid w:val="001F492E"/>
    <w:rsid w:val="001F50E5"/>
    <w:rsid w:val="001F59A2"/>
    <w:rsid w:val="001F5A73"/>
    <w:rsid w:val="001F6DA3"/>
    <w:rsid w:val="002010BC"/>
    <w:rsid w:val="002016E7"/>
    <w:rsid w:val="00202E03"/>
    <w:rsid w:val="0020492C"/>
    <w:rsid w:val="002110F5"/>
    <w:rsid w:val="00213606"/>
    <w:rsid w:val="0021402E"/>
    <w:rsid w:val="002145B0"/>
    <w:rsid w:val="002160C8"/>
    <w:rsid w:val="0021673C"/>
    <w:rsid w:val="00220D0D"/>
    <w:rsid w:val="00221105"/>
    <w:rsid w:val="0022448B"/>
    <w:rsid w:val="00224DB9"/>
    <w:rsid w:val="002265F4"/>
    <w:rsid w:val="00226744"/>
    <w:rsid w:val="00226CBF"/>
    <w:rsid w:val="0023036D"/>
    <w:rsid w:val="00231EA7"/>
    <w:rsid w:val="00233264"/>
    <w:rsid w:val="00233775"/>
    <w:rsid w:val="00233A5A"/>
    <w:rsid w:val="002364FB"/>
    <w:rsid w:val="0024015A"/>
    <w:rsid w:val="002439E6"/>
    <w:rsid w:val="00245EB8"/>
    <w:rsid w:val="00246DAF"/>
    <w:rsid w:val="00251745"/>
    <w:rsid w:val="00251EEB"/>
    <w:rsid w:val="00254FC7"/>
    <w:rsid w:val="0025680D"/>
    <w:rsid w:val="00261C5F"/>
    <w:rsid w:val="002621B0"/>
    <w:rsid w:val="00263AC0"/>
    <w:rsid w:val="0026412F"/>
    <w:rsid w:val="00264264"/>
    <w:rsid w:val="00266B4F"/>
    <w:rsid w:val="0026772D"/>
    <w:rsid w:val="0027092E"/>
    <w:rsid w:val="00273C4F"/>
    <w:rsid w:val="00275256"/>
    <w:rsid w:val="0027533B"/>
    <w:rsid w:val="002808EF"/>
    <w:rsid w:val="00283213"/>
    <w:rsid w:val="00283230"/>
    <w:rsid w:val="00285E87"/>
    <w:rsid w:val="002862CE"/>
    <w:rsid w:val="00286874"/>
    <w:rsid w:val="00286D94"/>
    <w:rsid w:val="002876B3"/>
    <w:rsid w:val="00290C63"/>
    <w:rsid w:val="002915B0"/>
    <w:rsid w:val="002928B6"/>
    <w:rsid w:val="00296B65"/>
    <w:rsid w:val="00297C2E"/>
    <w:rsid w:val="002A0C23"/>
    <w:rsid w:val="002A52C5"/>
    <w:rsid w:val="002A5A14"/>
    <w:rsid w:val="002A7318"/>
    <w:rsid w:val="002A7DEF"/>
    <w:rsid w:val="002A7E2F"/>
    <w:rsid w:val="002B1CEA"/>
    <w:rsid w:val="002B41BB"/>
    <w:rsid w:val="002B7973"/>
    <w:rsid w:val="002B7E95"/>
    <w:rsid w:val="002C0BAC"/>
    <w:rsid w:val="002C1C0B"/>
    <w:rsid w:val="002C233C"/>
    <w:rsid w:val="002C3B6E"/>
    <w:rsid w:val="002C4A34"/>
    <w:rsid w:val="002C4EBF"/>
    <w:rsid w:val="002C7983"/>
    <w:rsid w:val="002D0E02"/>
    <w:rsid w:val="002D0F57"/>
    <w:rsid w:val="002D1212"/>
    <w:rsid w:val="002D1B2C"/>
    <w:rsid w:val="002D320C"/>
    <w:rsid w:val="002D52D3"/>
    <w:rsid w:val="002D6646"/>
    <w:rsid w:val="002D72E8"/>
    <w:rsid w:val="002D7AA8"/>
    <w:rsid w:val="002E5B8D"/>
    <w:rsid w:val="002E6000"/>
    <w:rsid w:val="002E7B22"/>
    <w:rsid w:val="002F37AE"/>
    <w:rsid w:val="002F4C1F"/>
    <w:rsid w:val="002F7986"/>
    <w:rsid w:val="00300124"/>
    <w:rsid w:val="00301B40"/>
    <w:rsid w:val="003021A6"/>
    <w:rsid w:val="003029EE"/>
    <w:rsid w:val="00302E82"/>
    <w:rsid w:val="00305764"/>
    <w:rsid w:val="00305CC8"/>
    <w:rsid w:val="00307F6D"/>
    <w:rsid w:val="003113A6"/>
    <w:rsid w:val="003128F2"/>
    <w:rsid w:val="00313CB3"/>
    <w:rsid w:val="00314175"/>
    <w:rsid w:val="003177A2"/>
    <w:rsid w:val="003200DF"/>
    <w:rsid w:val="00320EAB"/>
    <w:rsid w:val="003217B7"/>
    <w:rsid w:val="00322148"/>
    <w:rsid w:val="0032245F"/>
    <w:rsid w:val="00323FDA"/>
    <w:rsid w:val="003249E9"/>
    <w:rsid w:val="003250CB"/>
    <w:rsid w:val="003271B5"/>
    <w:rsid w:val="00327A1E"/>
    <w:rsid w:val="00330980"/>
    <w:rsid w:val="00330D4E"/>
    <w:rsid w:val="00331264"/>
    <w:rsid w:val="00332686"/>
    <w:rsid w:val="00332BB9"/>
    <w:rsid w:val="00334C8D"/>
    <w:rsid w:val="00336DDF"/>
    <w:rsid w:val="00337474"/>
    <w:rsid w:val="00343A18"/>
    <w:rsid w:val="00345A28"/>
    <w:rsid w:val="003518B3"/>
    <w:rsid w:val="00352F01"/>
    <w:rsid w:val="003547F6"/>
    <w:rsid w:val="00356933"/>
    <w:rsid w:val="003575D8"/>
    <w:rsid w:val="00357F78"/>
    <w:rsid w:val="00357FE8"/>
    <w:rsid w:val="0036034D"/>
    <w:rsid w:val="003634DD"/>
    <w:rsid w:val="00366113"/>
    <w:rsid w:val="00370FAF"/>
    <w:rsid w:val="00374DD7"/>
    <w:rsid w:val="00375A31"/>
    <w:rsid w:val="003819D6"/>
    <w:rsid w:val="003846F1"/>
    <w:rsid w:val="003852DC"/>
    <w:rsid w:val="003870A9"/>
    <w:rsid w:val="003903F6"/>
    <w:rsid w:val="00392905"/>
    <w:rsid w:val="00396EBB"/>
    <w:rsid w:val="003979E9"/>
    <w:rsid w:val="00397C86"/>
    <w:rsid w:val="003A0A04"/>
    <w:rsid w:val="003A0C07"/>
    <w:rsid w:val="003A29CF"/>
    <w:rsid w:val="003A6595"/>
    <w:rsid w:val="003B39BF"/>
    <w:rsid w:val="003B43D1"/>
    <w:rsid w:val="003B47A6"/>
    <w:rsid w:val="003B484F"/>
    <w:rsid w:val="003B59F5"/>
    <w:rsid w:val="003B6C29"/>
    <w:rsid w:val="003B6D7B"/>
    <w:rsid w:val="003B7FBA"/>
    <w:rsid w:val="003C0038"/>
    <w:rsid w:val="003C06B0"/>
    <w:rsid w:val="003C1824"/>
    <w:rsid w:val="003C3017"/>
    <w:rsid w:val="003C303F"/>
    <w:rsid w:val="003C3A9C"/>
    <w:rsid w:val="003C5E38"/>
    <w:rsid w:val="003C692F"/>
    <w:rsid w:val="003D222B"/>
    <w:rsid w:val="003D4F01"/>
    <w:rsid w:val="003D52F6"/>
    <w:rsid w:val="003D598E"/>
    <w:rsid w:val="003D5B8B"/>
    <w:rsid w:val="003E08B5"/>
    <w:rsid w:val="003F14DA"/>
    <w:rsid w:val="003F15A6"/>
    <w:rsid w:val="003F174D"/>
    <w:rsid w:val="003F3CEB"/>
    <w:rsid w:val="00400514"/>
    <w:rsid w:val="0040224B"/>
    <w:rsid w:val="004037F5"/>
    <w:rsid w:val="00403CF0"/>
    <w:rsid w:val="00404457"/>
    <w:rsid w:val="00404C06"/>
    <w:rsid w:val="00407BED"/>
    <w:rsid w:val="004134F9"/>
    <w:rsid w:val="004135F1"/>
    <w:rsid w:val="00413BA1"/>
    <w:rsid w:val="00415F31"/>
    <w:rsid w:val="00420370"/>
    <w:rsid w:val="00423A77"/>
    <w:rsid w:val="00424391"/>
    <w:rsid w:val="00424C45"/>
    <w:rsid w:val="00426A15"/>
    <w:rsid w:val="0043011A"/>
    <w:rsid w:val="0043393C"/>
    <w:rsid w:val="00434A21"/>
    <w:rsid w:val="0043564A"/>
    <w:rsid w:val="00437CA2"/>
    <w:rsid w:val="00441002"/>
    <w:rsid w:val="004423C9"/>
    <w:rsid w:val="00442493"/>
    <w:rsid w:val="00443010"/>
    <w:rsid w:val="00447094"/>
    <w:rsid w:val="00447949"/>
    <w:rsid w:val="00450764"/>
    <w:rsid w:val="00452BA3"/>
    <w:rsid w:val="0045326E"/>
    <w:rsid w:val="004575C1"/>
    <w:rsid w:val="004576F7"/>
    <w:rsid w:val="0045777E"/>
    <w:rsid w:val="00461024"/>
    <w:rsid w:val="00466F26"/>
    <w:rsid w:val="0047297F"/>
    <w:rsid w:val="004733FE"/>
    <w:rsid w:val="004741BD"/>
    <w:rsid w:val="00476EB6"/>
    <w:rsid w:val="0048052E"/>
    <w:rsid w:val="00480B4B"/>
    <w:rsid w:val="00481AB4"/>
    <w:rsid w:val="00483A35"/>
    <w:rsid w:val="00484398"/>
    <w:rsid w:val="00485A29"/>
    <w:rsid w:val="00485DC4"/>
    <w:rsid w:val="0048667E"/>
    <w:rsid w:val="00487822"/>
    <w:rsid w:val="00490D58"/>
    <w:rsid w:val="00490FB7"/>
    <w:rsid w:val="00491349"/>
    <w:rsid w:val="00492389"/>
    <w:rsid w:val="004927A4"/>
    <w:rsid w:val="00493CF5"/>
    <w:rsid w:val="00493F01"/>
    <w:rsid w:val="00496686"/>
    <w:rsid w:val="0049684D"/>
    <w:rsid w:val="0049781D"/>
    <w:rsid w:val="004A1240"/>
    <w:rsid w:val="004A20C0"/>
    <w:rsid w:val="004A2F1A"/>
    <w:rsid w:val="004A43D1"/>
    <w:rsid w:val="004A640B"/>
    <w:rsid w:val="004A6F75"/>
    <w:rsid w:val="004A7047"/>
    <w:rsid w:val="004A7A28"/>
    <w:rsid w:val="004B01DC"/>
    <w:rsid w:val="004B0B95"/>
    <w:rsid w:val="004B1B5E"/>
    <w:rsid w:val="004B237A"/>
    <w:rsid w:val="004B4412"/>
    <w:rsid w:val="004B6A76"/>
    <w:rsid w:val="004C348C"/>
    <w:rsid w:val="004C4498"/>
    <w:rsid w:val="004C667C"/>
    <w:rsid w:val="004D00D8"/>
    <w:rsid w:val="004D178B"/>
    <w:rsid w:val="004D25AD"/>
    <w:rsid w:val="004D4040"/>
    <w:rsid w:val="004D45D1"/>
    <w:rsid w:val="004D4888"/>
    <w:rsid w:val="004D558A"/>
    <w:rsid w:val="004D55BA"/>
    <w:rsid w:val="004D6623"/>
    <w:rsid w:val="004E22EC"/>
    <w:rsid w:val="004E4D73"/>
    <w:rsid w:val="004E55C5"/>
    <w:rsid w:val="004E5CF9"/>
    <w:rsid w:val="004E74F9"/>
    <w:rsid w:val="004F2C4D"/>
    <w:rsid w:val="004F5197"/>
    <w:rsid w:val="004F6A0E"/>
    <w:rsid w:val="00500ED3"/>
    <w:rsid w:val="0050114F"/>
    <w:rsid w:val="00502F39"/>
    <w:rsid w:val="00503A35"/>
    <w:rsid w:val="00511C89"/>
    <w:rsid w:val="00512695"/>
    <w:rsid w:val="005134DC"/>
    <w:rsid w:val="00513A57"/>
    <w:rsid w:val="00514A99"/>
    <w:rsid w:val="005154E4"/>
    <w:rsid w:val="005173FB"/>
    <w:rsid w:val="00517655"/>
    <w:rsid w:val="00524BC1"/>
    <w:rsid w:val="005259C1"/>
    <w:rsid w:val="00526F08"/>
    <w:rsid w:val="005271EF"/>
    <w:rsid w:val="0052722C"/>
    <w:rsid w:val="00530128"/>
    <w:rsid w:val="005319CD"/>
    <w:rsid w:val="00532467"/>
    <w:rsid w:val="00532F24"/>
    <w:rsid w:val="005338F0"/>
    <w:rsid w:val="00536674"/>
    <w:rsid w:val="00540418"/>
    <w:rsid w:val="00540EF3"/>
    <w:rsid w:val="005410EE"/>
    <w:rsid w:val="00541886"/>
    <w:rsid w:val="00541EFC"/>
    <w:rsid w:val="00544C12"/>
    <w:rsid w:val="00547DB6"/>
    <w:rsid w:val="005516CF"/>
    <w:rsid w:val="0055269A"/>
    <w:rsid w:val="00553342"/>
    <w:rsid w:val="00561339"/>
    <w:rsid w:val="005621D1"/>
    <w:rsid w:val="00564A4D"/>
    <w:rsid w:val="0056734B"/>
    <w:rsid w:val="00567BA5"/>
    <w:rsid w:val="0057145F"/>
    <w:rsid w:val="00571B35"/>
    <w:rsid w:val="00571D57"/>
    <w:rsid w:val="00574CB8"/>
    <w:rsid w:val="00577A09"/>
    <w:rsid w:val="00581D1C"/>
    <w:rsid w:val="00582254"/>
    <w:rsid w:val="005829C2"/>
    <w:rsid w:val="00582EDA"/>
    <w:rsid w:val="005832AD"/>
    <w:rsid w:val="005837DD"/>
    <w:rsid w:val="00584D8F"/>
    <w:rsid w:val="00586F6B"/>
    <w:rsid w:val="0059076A"/>
    <w:rsid w:val="00590C66"/>
    <w:rsid w:val="00591AB8"/>
    <w:rsid w:val="005928B2"/>
    <w:rsid w:val="00594627"/>
    <w:rsid w:val="005957B5"/>
    <w:rsid w:val="005A1971"/>
    <w:rsid w:val="005A404D"/>
    <w:rsid w:val="005A48E0"/>
    <w:rsid w:val="005A5848"/>
    <w:rsid w:val="005A64FC"/>
    <w:rsid w:val="005A67B5"/>
    <w:rsid w:val="005A7817"/>
    <w:rsid w:val="005B1E3C"/>
    <w:rsid w:val="005B2BA9"/>
    <w:rsid w:val="005B30A0"/>
    <w:rsid w:val="005B423C"/>
    <w:rsid w:val="005B55D7"/>
    <w:rsid w:val="005B704A"/>
    <w:rsid w:val="005B77D3"/>
    <w:rsid w:val="005B7E4F"/>
    <w:rsid w:val="005C0A2B"/>
    <w:rsid w:val="005C26CC"/>
    <w:rsid w:val="005C46D8"/>
    <w:rsid w:val="005C5217"/>
    <w:rsid w:val="005C5551"/>
    <w:rsid w:val="005C73D7"/>
    <w:rsid w:val="005D01B1"/>
    <w:rsid w:val="005D1658"/>
    <w:rsid w:val="005D2499"/>
    <w:rsid w:val="005D7BA2"/>
    <w:rsid w:val="005E11C0"/>
    <w:rsid w:val="005E1C36"/>
    <w:rsid w:val="005E2393"/>
    <w:rsid w:val="005E25EB"/>
    <w:rsid w:val="005E2725"/>
    <w:rsid w:val="005E28F2"/>
    <w:rsid w:val="005E2A05"/>
    <w:rsid w:val="005E2E6D"/>
    <w:rsid w:val="005E36C2"/>
    <w:rsid w:val="005E4605"/>
    <w:rsid w:val="005E594B"/>
    <w:rsid w:val="005F224E"/>
    <w:rsid w:val="005F3CA6"/>
    <w:rsid w:val="005F3F18"/>
    <w:rsid w:val="005F4611"/>
    <w:rsid w:val="005F4F09"/>
    <w:rsid w:val="005F5503"/>
    <w:rsid w:val="005F59F7"/>
    <w:rsid w:val="005F6361"/>
    <w:rsid w:val="005F64F6"/>
    <w:rsid w:val="005F797E"/>
    <w:rsid w:val="00602BA7"/>
    <w:rsid w:val="006038F6"/>
    <w:rsid w:val="0060460E"/>
    <w:rsid w:val="00605C23"/>
    <w:rsid w:val="006067E5"/>
    <w:rsid w:val="00607633"/>
    <w:rsid w:val="00607773"/>
    <w:rsid w:val="00607A28"/>
    <w:rsid w:val="00610F74"/>
    <w:rsid w:val="00611EC0"/>
    <w:rsid w:val="00612F4F"/>
    <w:rsid w:val="006132A3"/>
    <w:rsid w:val="006141C4"/>
    <w:rsid w:val="00615C6B"/>
    <w:rsid w:val="00621DCE"/>
    <w:rsid w:val="0062564A"/>
    <w:rsid w:val="00630745"/>
    <w:rsid w:val="00630BA8"/>
    <w:rsid w:val="00632C53"/>
    <w:rsid w:val="00632D6D"/>
    <w:rsid w:val="006418BE"/>
    <w:rsid w:val="006425B8"/>
    <w:rsid w:val="00642B2F"/>
    <w:rsid w:val="00642C3E"/>
    <w:rsid w:val="006455B8"/>
    <w:rsid w:val="00647E9D"/>
    <w:rsid w:val="00647F58"/>
    <w:rsid w:val="00651429"/>
    <w:rsid w:val="00651532"/>
    <w:rsid w:val="00651C88"/>
    <w:rsid w:val="00652404"/>
    <w:rsid w:val="006537AA"/>
    <w:rsid w:val="00656863"/>
    <w:rsid w:val="0066104A"/>
    <w:rsid w:val="0066341E"/>
    <w:rsid w:val="00663DAD"/>
    <w:rsid w:val="00664394"/>
    <w:rsid w:val="00666067"/>
    <w:rsid w:val="0066636C"/>
    <w:rsid w:val="00666B2A"/>
    <w:rsid w:val="00675E20"/>
    <w:rsid w:val="00676679"/>
    <w:rsid w:val="00677BC6"/>
    <w:rsid w:val="00682278"/>
    <w:rsid w:val="0068340D"/>
    <w:rsid w:val="00683C89"/>
    <w:rsid w:val="0068558A"/>
    <w:rsid w:val="00687400"/>
    <w:rsid w:val="0069134C"/>
    <w:rsid w:val="006919E7"/>
    <w:rsid w:val="00697C88"/>
    <w:rsid w:val="00697C8E"/>
    <w:rsid w:val="006A08A8"/>
    <w:rsid w:val="006A200A"/>
    <w:rsid w:val="006A327F"/>
    <w:rsid w:val="006A34E1"/>
    <w:rsid w:val="006A3D1E"/>
    <w:rsid w:val="006A7DA8"/>
    <w:rsid w:val="006B14BA"/>
    <w:rsid w:val="006B2395"/>
    <w:rsid w:val="006B4CF9"/>
    <w:rsid w:val="006B5456"/>
    <w:rsid w:val="006B623C"/>
    <w:rsid w:val="006B645D"/>
    <w:rsid w:val="006B66C7"/>
    <w:rsid w:val="006B7AC8"/>
    <w:rsid w:val="006C032A"/>
    <w:rsid w:val="006C1736"/>
    <w:rsid w:val="006C23B4"/>
    <w:rsid w:val="006C6181"/>
    <w:rsid w:val="006C6D7F"/>
    <w:rsid w:val="006D36C8"/>
    <w:rsid w:val="006D5008"/>
    <w:rsid w:val="006D550F"/>
    <w:rsid w:val="006D5D54"/>
    <w:rsid w:val="006D62B4"/>
    <w:rsid w:val="006E09A5"/>
    <w:rsid w:val="006E2795"/>
    <w:rsid w:val="006E6548"/>
    <w:rsid w:val="006F68EC"/>
    <w:rsid w:val="00701CAB"/>
    <w:rsid w:val="00705600"/>
    <w:rsid w:val="00707563"/>
    <w:rsid w:val="00713956"/>
    <w:rsid w:val="00716BBE"/>
    <w:rsid w:val="00716D95"/>
    <w:rsid w:val="0071786E"/>
    <w:rsid w:val="00717A85"/>
    <w:rsid w:val="00720626"/>
    <w:rsid w:val="00720E79"/>
    <w:rsid w:val="007221E9"/>
    <w:rsid w:val="0072348C"/>
    <w:rsid w:val="0072420D"/>
    <w:rsid w:val="00724A37"/>
    <w:rsid w:val="0072638E"/>
    <w:rsid w:val="007273AE"/>
    <w:rsid w:val="007303C3"/>
    <w:rsid w:val="007314B6"/>
    <w:rsid w:val="00731756"/>
    <w:rsid w:val="00741F36"/>
    <w:rsid w:val="007429BE"/>
    <w:rsid w:val="007431C1"/>
    <w:rsid w:val="00743223"/>
    <w:rsid w:val="0074358D"/>
    <w:rsid w:val="00746513"/>
    <w:rsid w:val="00746E01"/>
    <w:rsid w:val="007471FF"/>
    <w:rsid w:val="00747414"/>
    <w:rsid w:val="00747591"/>
    <w:rsid w:val="007521A6"/>
    <w:rsid w:val="00756336"/>
    <w:rsid w:val="00757364"/>
    <w:rsid w:val="00757B4D"/>
    <w:rsid w:val="00757BDF"/>
    <w:rsid w:val="007609D0"/>
    <w:rsid w:val="00760B7C"/>
    <w:rsid w:val="0076179A"/>
    <w:rsid w:val="00763CE4"/>
    <w:rsid w:val="00763E5D"/>
    <w:rsid w:val="007651CE"/>
    <w:rsid w:val="00767740"/>
    <w:rsid w:val="00774F93"/>
    <w:rsid w:val="00775206"/>
    <w:rsid w:val="00777EE6"/>
    <w:rsid w:val="00780052"/>
    <w:rsid w:val="00780D9D"/>
    <w:rsid w:val="00782EEA"/>
    <w:rsid w:val="0078557D"/>
    <w:rsid w:val="007856D1"/>
    <w:rsid w:val="007856FF"/>
    <w:rsid w:val="0078679C"/>
    <w:rsid w:val="00787430"/>
    <w:rsid w:val="007904D6"/>
    <w:rsid w:val="00796270"/>
    <w:rsid w:val="00797A7F"/>
    <w:rsid w:val="007A0E11"/>
    <w:rsid w:val="007A3BE8"/>
    <w:rsid w:val="007A4EAF"/>
    <w:rsid w:val="007A77C1"/>
    <w:rsid w:val="007B04C4"/>
    <w:rsid w:val="007B186E"/>
    <w:rsid w:val="007B2660"/>
    <w:rsid w:val="007B2C72"/>
    <w:rsid w:val="007B3CAB"/>
    <w:rsid w:val="007B43C4"/>
    <w:rsid w:val="007B55A1"/>
    <w:rsid w:val="007C109E"/>
    <w:rsid w:val="007C1C53"/>
    <w:rsid w:val="007C48E7"/>
    <w:rsid w:val="007C5B1C"/>
    <w:rsid w:val="007C5EA7"/>
    <w:rsid w:val="007C74BB"/>
    <w:rsid w:val="007D0028"/>
    <w:rsid w:val="007D456E"/>
    <w:rsid w:val="007D69CB"/>
    <w:rsid w:val="007D76DD"/>
    <w:rsid w:val="007E014A"/>
    <w:rsid w:val="007E04C5"/>
    <w:rsid w:val="007E2DB7"/>
    <w:rsid w:val="007E3916"/>
    <w:rsid w:val="007E4904"/>
    <w:rsid w:val="007E4CB5"/>
    <w:rsid w:val="007E5EE6"/>
    <w:rsid w:val="007E73C0"/>
    <w:rsid w:val="007F066B"/>
    <w:rsid w:val="007F089A"/>
    <w:rsid w:val="007F0C93"/>
    <w:rsid w:val="007F1489"/>
    <w:rsid w:val="007F5902"/>
    <w:rsid w:val="007F6EED"/>
    <w:rsid w:val="007F71B2"/>
    <w:rsid w:val="0080043B"/>
    <w:rsid w:val="00800904"/>
    <w:rsid w:val="00800A30"/>
    <w:rsid w:val="00800B10"/>
    <w:rsid w:val="008033C4"/>
    <w:rsid w:val="00805CE3"/>
    <w:rsid w:val="00806C88"/>
    <w:rsid w:val="00807D00"/>
    <w:rsid w:val="0081034E"/>
    <w:rsid w:val="00812A72"/>
    <w:rsid w:val="008146B5"/>
    <w:rsid w:val="00814F86"/>
    <w:rsid w:val="00815596"/>
    <w:rsid w:val="00815C5D"/>
    <w:rsid w:val="008211F3"/>
    <w:rsid w:val="00823068"/>
    <w:rsid w:val="00823931"/>
    <w:rsid w:val="0082655C"/>
    <w:rsid w:val="0082744A"/>
    <w:rsid w:val="00830AD2"/>
    <w:rsid w:val="00830DAE"/>
    <w:rsid w:val="008344F6"/>
    <w:rsid w:val="0083510F"/>
    <w:rsid w:val="00840BBE"/>
    <w:rsid w:val="00841096"/>
    <w:rsid w:val="00842AFA"/>
    <w:rsid w:val="0084364B"/>
    <w:rsid w:val="008500FA"/>
    <w:rsid w:val="00850361"/>
    <w:rsid w:val="00850EA5"/>
    <w:rsid w:val="00851209"/>
    <w:rsid w:val="00852A6C"/>
    <w:rsid w:val="0085365D"/>
    <w:rsid w:val="0085480B"/>
    <w:rsid w:val="00857430"/>
    <w:rsid w:val="00857606"/>
    <w:rsid w:val="00862855"/>
    <w:rsid w:val="00865144"/>
    <w:rsid w:val="0087471D"/>
    <w:rsid w:val="00874D14"/>
    <w:rsid w:val="00875062"/>
    <w:rsid w:val="008802AB"/>
    <w:rsid w:val="008819C8"/>
    <w:rsid w:val="00882758"/>
    <w:rsid w:val="0088298B"/>
    <w:rsid w:val="00882ECD"/>
    <w:rsid w:val="008837AC"/>
    <w:rsid w:val="00883F85"/>
    <w:rsid w:val="0088616E"/>
    <w:rsid w:val="00886429"/>
    <w:rsid w:val="0088743A"/>
    <w:rsid w:val="00887BE2"/>
    <w:rsid w:val="008919F2"/>
    <w:rsid w:val="0089265C"/>
    <w:rsid w:val="00893A37"/>
    <w:rsid w:val="00894576"/>
    <w:rsid w:val="00894933"/>
    <w:rsid w:val="008A31CC"/>
    <w:rsid w:val="008A587D"/>
    <w:rsid w:val="008B34DF"/>
    <w:rsid w:val="008B35CD"/>
    <w:rsid w:val="008B5FCC"/>
    <w:rsid w:val="008C5486"/>
    <w:rsid w:val="008C7C56"/>
    <w:rsid w:val="008D06D8"/>
    <w:rsid w:val="008D09C3"/>
    <w:rsid w:val="008D0C4A"/>
    <w:rsid w:val="008D1661"/>
    <w:rsid w:val="008D60DA"/>
    <w:rsid w:val="008D6237"/>
    <w:rsid w:val="008D7509"/>
    <w:rsid w:val="008E1126"/>
    <w:rsid w:val="008E2D57"/>
    <w:rsid w:val="008E3F2C"/>
    <w:rsid w:val="008E7031"/>
    <w:rsid w:val="008E77DE"/>
    <w:rsid w:val="008E7B6F"/>
    <w:rsid w:val="008F07A3"/>
    <w:rsid w:val="008F407D"/>
    <w:rsid w:val="008F4235"/>
    <w:rsid w:val="008F4739"/>
    <w:rsid w:val="009001B6"/>
    <w:rsid w:val="00900997"/>
    <w:rsid w:val="00900DAF"/>
    <w:rsid w:val="00900E1B"/>
    <w:rsid w:val="00902B9B"/>
    <w:rsid w:val="0090431C"/>
    <w:rsid w:val="00910E36"/>
    <w:rsid w:val="009119B6"/>
    <w:rsid w:val="00912E57"/>
    <w:rsid w:val="00913303"/>
    <w:rsid w:val="00917D55"/>
    <w:rsid w:val="00917EFE"/>
    <w:rsid w:val="00922C6D"/>
    <w:rsid w:val="009233EE"/>
    <w:rsid w:val="00924687"/>
    <w:rsid w:val="00924CC4"/>
    <w:rsid w:val="0092522D"/>
    <w:rsid w:val="00926026"/>
    <w:rsid w:val="00927008"/>
    <w:rsid w:val="00927B0B"/>
    <w:rsid w:val="00932CE6"/>
    <w:rsid w:val="00933EC6"/>
    <w:rsid w:val="00934207"/>
    <w:rsid w:val="0093432E"/>
    <w:rsid w:val="00934727"/>
    <w:rsid w:val="00936ADD"/>
    <w:rsid w:val="00940CBA"/>
    <w:rsid w:val="00942BBE"/>
    <w:rsid w:val="00944227"/>
    <w:rsid w:val="00944318"/>
    <w:rsid w:val="00944EFE"/>
    <w:rsid w:val="0094542A"/>
    <w:rsid w:val="009460AA"/>
    <w:rsid w:val="00946DE4"/>
    <w:rsid w:val="0094731F"/>
    <w:rsid w:val="00947D29"/>
    <w:rsid w:val="00951978"/>
    <w:rsid w:val="0095204D"/>
    <w:rsid w:val="009528C0"/>
    <w:rsid w:val="009545AC"/>
    <w:rsid w:val="00957389"/>
    <w:rsid w:val="009608B3"/>
    <w:rsid w:val="00961119"/>
    <w:rsid w:val="00961A4A"/>
    <w:rsid w:val="00962A4A"/>
    <w:rsid w:val="00962DCD"/>
    <w:rsid w:val="009661DE"/>
    <w:rsid w:val="009701ED"/>
    <w:rsid w:val="009704EE"/>
    <w:rsid w:val="009716F3"/>
    <w:rsid w:val="009722CF"/>
    <w:rsid w:val="00972820"/>
    <w:rsid w:val="00976D05"/>
    <w:rsid w:val="00983C25"/>
    <w:rsid w:val="009856B7"/>
    <w:rsid w:val="00985C86"/>
    <w:rsid w:val="00986246"/>
    <w:rsid w:val="00987B58"/>
    <w:rsid w:val="009900E7"/>
    <w:rsid w:val="00991FC6"/>
    <w:rsid w:val="0099386D"/>
    <w:rsid w:val="00996349"/>
    <w:rsid w:val="00996A8E"/>
    <w:rsid w:val="00997314"/>
    <w:rsid w:val="0099771D"/>
    <w:rsid w:val="00997BDC"/>
    <w:rsid w:val="009A213E"/>
    <w:rsid w:val="009A39D8"/>
    <w:rsid w:val="009A3D22"/>
    <w:rsid w:val="009A5F3E"/>
    <w:rsid w:val="009A5FC3"/>
    <w:rsid w:val="009A643F"/>
    <w:rsid w:val="009A78E0"/>
    <w:rsid w:val="009A7D9D"/>
    <w:rsid w:val="009B090B"/>
    <w:rsid w:val="009B1B59"/>
    <w:rsid w:val="009B20EA"/>
    <w:rsid w:val="009B225F"/>
    <w:rsid w:val="009B2737"/>
    <w:rsid w:val="009B3B0D"/>
    <w:rsid w:val="009B4DFC"/>
    <w:rsid w:val="009B6CBD"/>
    <w:rsid w:val="009B74B0"/>
    <w:rsid w:val="009C009A"/>
    <w:rsid w:val="009C0D47"/>
    <w:rsid w:val="009C153C"/>
    <w:rsid w:val="009C1656"/>
    <w:rsid w:val="009C171C"/>
    <w:rsid w:val="009C5004"/>
    <w:rsid w:val="009C78E8"/>
    <w:rsid w:val="009C7B80"/>
    <w:rsid w:val="009D3906"/>
    <w:rsid w:val="009D6B46"/>
    <w:rsid w:val="009E16C6"/>
    <w:rsid w:val="009E5DB0"/>
    <w:rsid w:val="009F08EB"/>
    <w:rsid w:val="009F10AE"/>
    <w:rsid w:val="009F3543"/>
    <w:rsid w:val="009F4940"/>
    <w:rsid w:val="009F4F9D"/>
    <w:rsid w:val="009F5BA1"/>
    <w:rsid w:val="00A01BA1"/>
    <w:rsid w:val="00A02A88"/>
    <w:rsid w:val="00A041D8"/>
    <w:rsid w:val="00A0562E"/>
    <w:rsid w:val="00A0726D"/>
    <w:rsid w:val="00A107D0"/>
    <w:rsid w:val="00A11A7C"/>
    <w:rsid w:val="00A126CC"/>
    <w:rsid w:val="00A12D71"/>
    <w:rsid w:val="00A20F7E"/>
    <w:rsid w:val="00A2267E"/>
    <w:rsid w:val="00A23281"/>
    <w:rsid w:val="00A235DE"/>
    <w:rsid w:val="00A3116F"/>
    <w:rsid w:val="00A316DD"/>
    <w:rsid w:val="00A32FBB"/>
    <w:rsid w:val="00A343CA"/>
    <w:rsid w:val="00A344C5"/>
    <w:rsid w:val="00A344D3"/>
    <w:rsid w:val="00A34845"/>
    <w:rsid w:val="00A41A5B"/>
    <w:rsid w:val="00A42583"/>
    <w:rsid w:val="00A428EE"/>
    <w:rsid w:val="00A436D9"/>
    <w:rsid w:val="00A4478A"/>
    <w:rsid w:val="00A44852"/>
    <w:rsid w:val="00A502D4"/>
    <w:rsid w:val="00A534B7"/>
    <w:rsid w:val="00A53C3A"/>
    <w:rsid w:val="00A5534F"/>
    <w:rsid w:val="00A560AC"/>
    <w:rsid w:val="00A566D0"/>
    <w:rsid w:val="00A56DF6"/>
    <w:rsid w:val="00A57D04"/>
    <w:rsid w:val="00A60A26"/>
    <w:rsid w:val="00A61598"/>
    <w:rsid w:val="00A61B2F"/>
    <w:rsid w:val="00A63EDD"/>
    <w:rsid w:val="00A704B2"/>
    <w:rsid w:val="00A81177"/>
    <w:rsid w:val="00A828D8"/>
    <w:rsid w:val="00A84A99"/>
    <w:rsid w:val="00A84F46"/>
    <w:rsid w:val="00A871DE"/>
    <w:rsid w:val="00A871F4"/>
    <w:rsid w:val="00A914ED"/>
    <w:rsid w:val="00A91911"/>
    <w:rsid w:val="00A93524"/>
    <w:rsid w:val="00A962CC"/>
    <w:rsid w:val="00AA3B8E"/>
    <w:rsid w:val="00AA3CB2"/>
    <w:rsid w:val="00AA4603"/>
    <w:rsid w:val="00AA582F"/>
    <w:rsid w:val="00AA6360"/>
    <w:rsid w:val="00AA6387"/>
    <w:rsid w:val="00AA7999"/>
    <w:rsid w:val="00AA7F24"/>
    <w:rsid w:val="00AB2275"/>
    <w:rsid w:val="00AB2A83"/>
    <w:rsid w:val="00AB2F1E"/>
    <w:rsid w:val="00AB4C05"/>
    <w:rsid w:val="00AB4D90"/>
    <w:rsid w:val="00AB7072"/>
    <w:rsid w:val="00AC0C43"/>
    <w:rsid w:val="00AC1B2C"/>
    <w:rsid w:val="00AC1DFF"/>
    <w:rsid w:val="00AC26C8"/>
    <w:rsid w:val="00AC3264"/>
    <w:rsid w:val="00AC43D6"/>
    <w:rsid w:val="00AC44F5"/>
    <w:rsid w:val="00AC4546"/>
    <w:rsid w:val="00AC67DA"/>
    <w:rsid w:val="00AD35FD"/>
    <w:rsid w:val="00AD585A"/>
    <w:rsid w:val="00AD74B8"/>
    <w:rsid w:val="00AD7E20"/>
    <w:rsid w:val="00AE0569"/>
    <w:rsid w:val="00AE1BF1"/>
    <w:rsid w:val="00AE1CAF"/>
    <w:rsid w:val="00AE2B29"/>
    <w:rsid w:val="00AE4D54"/>
    <w:rsid w:val="00AE6459"/>
    <w:rsid w:val="00AF0CB7"/>
    <w:rsid w:val="00AF0DD2"/>
    <w:rsid w:val="00AF1BD9"/>
    <w:rsid w:val="00AF36A7"/>
    <w:rsid w:val="00AF450C"/>
    <w:rsid w:val="00AF679B"/>
    <w:rsid w:val="00B01367"/>
    <w:rsid w:val="00B01A20"/>
    <w:rsid w:val="00B022C2"/>
    <w:rsid w:val="00B02FD0"/>
    <w:rsid w:val="00B03101"/>
    <w:rsid w:val="00B06C2F"/>
    <w:rsid w:val="00B12938"/>
    <w:rsid w:val="00B13048"/>
    <w:rsid w:val="00B1716D"/>
    <w:rsid w:val="00B17A1D"/>
    <w:rsid w:val="00B207A0"/>
    <w:rsid w:val="00B20921"/>
    <w:rsid w:val="00B217BD"/>
    <w:rsid w:val="00B21DBF"/>
    <w:rsid w:val="00B2303F"/>
    <w:rsid w:val="00B2397A"/>
    <w:rsid w:val="00B26935"/>
    <w:rsid w:val="00B330D7"/>
    <w:rsid w:val="00B36D6C"/>
    <w:rsid w:val="00B41274"/>
    <w:rsid w:val="00B424C0"/>
    <w:rsid w:val="00B428E3"/>
    <w:rsid w:val="00B449E0"/>
    <w:rsid w:val="00B505F7"/>
    <w:rsid w:val="00B51329"/>
    <w:rsid w:val="00B514DD"/>
    <w:rsid w:val="00B519E2"/>
    <w:rsid w:val="00B52287"/>
    <w:rsid w:val="00B52AF0"/>
    <w:rsid w:val="00B561BD"/>
    <w:rsid w:val="00B56E03"/>
    <w:rsid w:val="00B57E75"/>
    <w:rsid w:val="00B62735"/>
    <w:rsid w:val="00B630B5"/>
    <w:rsid w:val="00B63B14"/>
    <w:rsid w:val="00B64DFC"/>
    <w:rsid w:val="00B735C0"/>
    <w:rsid w:val="00B7379B"/>
    <w:rsid w:val="00B7446E"/>
    <w:rsid w:val="00B8080B"/>
    <w:rsid w:val="00B80970"/>
    <w:rsid w:val="00B80A25"/>
    <w:rsid w:val="00B81184"/>
    <w:rsid w:val="00B82223"/>
    <w:rsid w:val="00B84FF5"/>
    <w:rsid w:val="00B850CF"/>
    <w:rsid w:val="00B87BA5"/>
    <w:rsid w:val="00B87C39"/>
    <w:rsid w:val="00B93D90"/>
    <w:rsid w:val="00B9562D"/>
    <w:rsid w:val="00B958AD"/>
    <w:rsid w:val="00B961C0"/>
    <w:rsid w:val="00B9733D"/>
    <w:rsid w:val="00B97844"/>
    <w:rsid w:val="00BA0BE9"/>
    <w:rsid w:val="00BA21E4"/>
    <w:rsid w:val="00BA4665"/>
    <w:rsid w:val="00BA6BF6"/>
    <w:rsid w:val="00BA6E01"/>
    <w:rsid w:val="00BB2B15"/>
    <w:rsid w:val="00BB2FB2"/>
    <w:rsid w:val="00BB3304"/>
    <w:rsid w:val="00BB4E44"/>
    <w:rsid w:val="00BB71EE"/>
    <w:rsid w:val="00BC08F9"/>
    <w:rsid w:val="00BC0D27"/>
    <w:rsid w:val="00BC11CF"/>
    <w:rsid w:val="00BC1E8B"/>
    <w:rsid w:val="00BC4377"/>
    <w:rsid w:val="00BD2C2C"/>
    <w:rsid w:val="00BD3446"/>
    <w:rsid w:val="00BD5D87"/>
    <w:rsid w:val="00BD6803"/>
    <w:rsid w:val="00BD6891"/>
    <w:rsid w:val="00BD7E05"/>
    <w:rsid w:val="00BE1F1B"/>
    <w:rsid w:val="00BE2C3C"/>
    <w:rsid w:val="00BE354A"/>
    <w:rsid w:val="00BE473E"/>
    <w:rsid w:val="00BE47B5"/>
    <w:rsid w:val="00BE4C1D"/>
    <w:rsid w:val="00BE4FFA"/>
    <w:rsid w:val="00BF1C4B"/>
    <w:rsid w:val="00BF2DCE"/>
    <w:rsid w:val="00BF378B"/>
    <w:rsid w:val="00BF534C"/>
    <w:rsid w:val="00BF6311"/>
    <w:rsid w:val="00BF66D3"/>
    <w:rsid w:val="00BF76FE"/>
    <w:rsid w:val="00C0053F"/>
    <w:rsid w:val="00C03DF6"/>
    <w:rsid w:val="00C0453E"/>
    <w:rsid w:val="00C05325"/>
    <w:rsid w:val="00C062AF"/>
    <w:rsid w:val="00C07A52"/>
    <w:rsid w:val="00C13381"/>
    <w:rsid w:val="00C13653"/>
    <w:rsid w:val="00C13700"/>
    <w:rsid w:val="00C21B8A"/>
    <w:rsid w:val="00C22762"/>
    <w:rsid w:val="00C25A56"/>
    <w:rsid w:val="00C25FA6"/>
    <w:rsid w:val="00C2638E"/>
    <w:rsid w:val="00C26737"/>
    <w:rsid w:val="00C27763"/>
    <w:rsid w:val="00C32CF1"/>
    <w:rsid w:val="00C3646D"/>
    <w:rsid w:val="00C40C2B"/>
    <w:rsid w:val="00C41752"/>
    <w:rsid w:val="00C420BC"/>
    <w:rsid w:val="00C42924"/>
    <w:rsid w:val="00C430A8"/>
    <w:rsid w:val="00C43D62"/>
    <w:rsid w:val="00C4561A"/>
    <w:rsid w:val="00C4634F"/>
    <w:rsid w:val="00C4792B"/>
    <w:rsid w:val="00C52695"/>
    <w:rsid w:val="00C52A14"/>
    <w:rsid w:val="00C538A9"/>
    <w:rsid w:val="00C53B5A"/>
    <w:rsid w:val="00C54418"/>
    <w:rsid w:val="00C54F5A"/>
    <w:rsid w:val="00C569B4"/>
    <w:rsid w:val="00C56A93"/>
    <w:rsid w:val="00C60A75"/>
    <w:rsid w:val="00C6204B"/>
    <w:rsid w:val="00C6205E"/>
    <w:rsid w:val="00C628EE"/>
    <w:rsid w:val="00C639B9"/>
    <w:rsid w:val="00C641FD"/>
    <w:rsid w:val="00C67A92"/>
    <w:rsid w:val="00C70961"/>
    <w:rsid w:val="00C72D05"/>
    <w:rsid w:val="00C81758"/>
    <w:rsid w:val="00C84560"/>
    <w:rsid w:val="00C8459C"/>
    <w:rsid w:val="00C845C2"/>
    <w:rsid w:val="00C84AEE"/>
    <w:rsid w:val="00C865C3"/>
    <w:rsid w:val="00C86679"/>
    <w:rsid w:val="00C8739E"/>
    <w:rsid w:val="00C87BA0"/>
    <w:rsid w:val="00C87D45"/>
    <w:rsid w:val="00C923B2"/>
    <w:rsid w:val="00C94140"/>
    <w:rsid w:val="00CA0803"/>
    <w:rsid w:val="00CA2D09"/>
    <w:rsid w:val="00CA489E"/>
    <w:rsid w:val="00CA58E1"/>
    <w:rsid w:val="00CA67ED"/>
    <w:rsid w:val="00CA6B82"/>
    <w:rsid w:val="00CA7D6A"/>
    <w:rsid w:val="00CB0279"/>
    <w:rsid w:val="00CB04CA"/>
    <w:rsid w:val="00CB1FC3"/>
    <w:rsid w:val="00CB3A71"/>
    <w:rsid w:val="00CB5775"/>
    <w:rsid w:val="00CB58C3"/>
    <w:rsid w:val="00CB60DB"/>
    <w:rsid w:val="00CB666B"/>
    <w:rsid w:val="00CB73DB"/>
    <w:rsid w:val="00CC0912"/>
    <w:rsid w:val="00CC14F7"/>
    <w:rsid w:val="00CC480F"/>
    <w:rsid w:val="00CC6A70"/>
    <w:rsid w:val="00CC7F1D"/>
    <w:rsid w:val="00CD04C8"/>
    <w:rsid w:val="00CD38B5"/>
    <w:rsid w:val="00CD4CCD"/>
    <w:rsid w:val="00CD51D7"/>
    <w:rsid w:val="00CD6421"/>
    <w:rsid w:val="00CD67EE"/>
    <w:rsid w:val="00CE088F"/>
    <w:rsid w:val="00CE3AAB"/>
    <w:rsid w:val="00CE484B"/>
    <w:rsid w:val="00CE54A1"/>
    <w:rsid w:val="00CE5FDD"/>
    <w:rsid w:val="00CE6AF5"/>
    <w:rsid w:val="00CE7B95"/>
    <w:rsid w:val="00CF236B"/>
    <w:rsid w:val="00CF3D56"/>
    <w:rsid w:val="00CF3F33"/>
    <w:rsid w:val="00CF4CC9"/>
    <w:rsid w:val="00CF4EC3"/>
    <w:rsid w:val="00CF58DD"/>
    <w:rsid w:val="00CF6177"/>
    <w:rsid w:val="00CF66C7"/>
    <w:rsid w:val="00D006AE"/>
    <w:rsid w:val="00D01CF0"/>
    <w:rsid w:val="00D0442A"/>
    <w:rsid w:val="00D04AA1"/>
    <w:rsid w:val="00D054B0"/>
    <w:rsid w:val="00D0581B"/>
    <w:rsid w:val="00D06BBC"/>
    <w:rsid w:val="00D07909"/>
    <w:rsid w:val="00D12039"/>
    <w:rsid w:val="00D13E52"/>
    <w:rsid w:val="00D1563D"/>
    <w:rsid w:val="00D157E2"/>
    <w:rsid w:val="00D17061"/>
    <w:rsid w:val="00D20596"/>
    <w:rsid w:val="00D205DF"/>
    <w:rsid w:val="00D2154B"/>
    <w:rsid w:val="00D22131"/>
    <w:rsid w:val="00D226F0"/>
    <w:rsid w:val="00D232C2"/>
    <w:rsid w:val="00D27530"/>
    <w:rsid w:val="00D27E51"/>
    <w:rsid w:val="00D30ACF"/>
    <w:rsid w:val="00D31492"/>
    <w:rsid w:val="00D325B8"/>
    <w:rsid w:val="00D32E5E"/>
    <w:rsid w:val="00D35DB1"/>
    <w:rsid w:val="00D414CC"/>
    <w:rsid w:val="00D42C73"/>
    <w:rsid w:val="00D45F43"/>
    <w:rsid w:val="00D51D81"/>
    <w:rsid w:val="00D536B1"/>
    <w:rsid w:val="00D5616B"/>
    <w:rsid w:val="00D577C3"/>
    <w:rsid w:val="00D60597"/>
    <w:rsid w:val="00D61388"/>
    <w:rsid w:val="00D61A54"/>
    <w:rsid w:val="00D626D1"/>
    <w:rsid w:val="00D62D25"/>
    <w:rsid w:val="00D63A1D"/>
    <w:rsid w:val="00D63D0F"/>
    <w:rsid w:val="00D647C5"/>
    <w:rsid w:val="00D64DEA"/>
    <w:rsid w:val="00D64E74"/>
    <w:rsid w:val="00D65957"/>
    <w:rsid w:val="00D7168E"/>
    <w:rsid w:val="00D719B9"/>
    <w:rsid w:val="00D71E57"/>
    <w:rsid w:val="00D7360C"/>
    <w:rsid w:val="00D7512E"/>
    <w:rsid w:val="00D75204"/>
    <w:rsid w:val="00D7561B"/>
    <w:rsid w:val="00D75E7C"/>
    <w:rsid w:val="00D7695B"/>
    <w:rsid w:val="00D76D53"/>
    <w:rsid w:val="00D80893"/>
    <w:rsid w:val="00D81354"/>
    <w:rsid w:val="00D819BF"/>
    <w:rsid w:val="00D83160"/>
    <w:rsid w:val="00D8361A"/>
    <w:rsid w:val="00D84854"/>
    <w:rsid w:val="00D85A4C"/>
    <w:rsid w:val="00D85C45"/>
    <w:rsid w:val="00D92681"/>
    <w:rsid w:val="00D92CF1"/>
    <w:rsid w:val="00D92D38"/>
    <w:rsid w:val="00D94AA4"/>
    <w:rsid w:val="00D95082"/>
    <w:rsid w:val="00D950F5"/>
    <w:rsid w:val="00D978D9"/>
    <w:rsid w:val="00D979B2"/>
    <w:rsid w:val="00D97EE4"/>
    <w:rsid w:val="00DA154B"/>
    <w:rsid w:val="00DA22CC"/>
    <w:rsid w:val="00DA2C69"/>
    <w:rsid w:val="00DA2D69"/>
    <w:rsid w:val="00DA4752"/>
    <w:rsid w:val="00DA4BFB"/>
    <w:rsid w:val="00DA5171"/>
    <w:rsid w:val="00DA61F3"/>
    <w:rsid w:val="00DA6A65"/>
    <w:rsid w:val="00DA6FFE"/>
    <w:rsid w:val="00DB09A8"/>
    <w:rsid w:val="00DB0F93"/>
    <w:rsid w:val="00DB1A67"/>
    <w:rsid w:val="00DB1A82"/>
    <w:rsid w:val="00DB3243"/>
    <w:rsid w:val="00DB48C6"/>
    <w:rsid w:val="00DB5074"/>
    <w:rsid w:val="00DB68C3"/>
    <w:rsid w:val="00DB720E"/>
    <w:rsid w:val="00DB750D"/>
    <w:rsid w:val="00DC1EEF"/>
    <w:rsid w:val="00DC246F"/>
    <w:rsid w:val="00DC4215"/>
    <w:rsid w:val="00DC5D3C"/>
    <w:rsid w:val="00DC7981"/>
    <w:rsid w:val="00DD026D"/>
    <w:rsid w:val="00DD0283"/>
    <w:rsid w:val="00DD280B"/>
    <w:rsid w:val="00DD379C"/>
    <w:rsid w:val="00DD4301"/>
    <w:rsid w:val="00DD4941"/>
    <w:rsid w:val="00DD57D7"/>
    <w:rsid w:val="00DD71F3"/>
    <w:rsid w:val="00DE1093"/>
    <w:rsid w:val="00DE1938"/>
    <w:rsid w:val="00DE3646"/>
    <w:rsid w:val="00DE3695"/>
    <w:rsid w:val="00DE4EFA"/>
    <w:rsid w:val="00DE5520"/>
    <w:rsid w:val="00DE563D"/>
    <w:rsid w:val="00DE61AA"/>
    <w:rsid w:val="00DE717B"/>
    <w:rsid w:val="00DF1C36"/>
    <w:rsid w:val="00DF30C3"/>
    <w:rsid w:val="00DF462C"/>
    <w:rsid w:val="00DF5547"/>
    <w:rsid w:val="00DF7A54"/>
    <w:rsid w:val="00E0248B"/>
    <w:rsid w:val="00E04818"/>
    <w:rsid w:val="00E05498"/>
    <w:rsid w:val="00E06442"/>
    <w:rsid w:val="00E10ABB"/>
    <w:rsid w:val="00E10FAC"/>
    <w:rsid w:val="00E11684"/>
    <w:rsid w:val="00E119AC"/>
    <w:rsid w:val="00E12C10"/>
    <w:rsid w:val="00E14153"/>
    <w:rsid w:val="00E14A44"/>
    <w:rsid w:val="00E15F9A"/>
    <w:rsid w:val="00E21D08"/>
    <w:rsid w:val="00E21D48"/>
    <w:rsid w:val="00E21E18"/>
    <w:rsid w:val="00E2259C"/>
    <w:rsid w:val="00E23993"/>
    <w:rsid w:val="00E24154"/>
    <w:rsid w:val="00E24689"/>
    <w:rsid w:val="00E25B8C"/>
    <w:rsid w:val="00E268FF"/>
    <w:rsid w:val="00E26B5E"/>
    <w:rsid w:val="00E30CB4"/>
    <w:rsid w:val="00E30F6E"/>
    <w:rsid w:val="00E365A7"/>
    <w:rsid w:val="00E36B57"/>
    <w:rsid w:val="00E37140"/>
    <w:rsid w:val="00E37976"/>
    <w:rsid w:val="00E37CE4"/>
    <w:rsid w:val="00E4076C"/>
    <w:rsid w:val="00E43353"/>
    <w:rsid w:val="00E43C30"/>
    <w:rsid w:val="00E44905"/>
    <w:rsid w:val="00E4542B"/>
    <w:rsid w:val="00E46526"/>
    <w:rsid w:val="00E47334"/>
    <w:rsid w:val="00E54575"/>
    <w:rsid w:val="00E54768"/>
    <w:rsid w:val="00E5634C"/>
    <w:rsid w:val="00E575F9"/>
    <w:rsid w:val="00E57D43"/>
    <w:rsid w:val="00E60B6C"/>
    <w:rsid w:val="00E6185B"/>
    <w:rsid w:val="00E622F2"/>
    <w:rsid w:val="00E63766"/>
    <w:rsid w:val="00E65C85"/>
    <w:rsid w:val="00E66199"/>
    <w:rsid w:val="00E66D21"/>
    <w:rsid w:val="00E678B4"/>
    <w:rsid w:val="00E70737"/>
    <w:rsid w:val="00E707D5"/>
    <w:rsid w:val="00E723E6"/>
    <w:rsid w:val="00E72A4A"/>
    <w:rsid w:val="00E72AEB"/>
    <w:rsid w:val="00E73A9E"/>
    <w:rsid w:val="00E750F8"/>
    <w:rsid w:val="00E755EC"/>
    <w:rsid w:val="00E7624D"/>
    <w:rsid w:val="00E8071F"/>
    <w:rsid w:val="00E84AD8"/>
    <w:rsid w:val="00E85280"/>
    <w:rsid w:val="00E91AA4"/>
    <w:rsid w:val="00E926F4"/>
    <w:rsid w:val="00E97452"/>
    <w:rsid w:val="00EA0691"/>
    <w:rsid w:val="00EA0A18"/>
    <w:rsid w:val="00EA1B54"/>
    <w:rsid w:val="00EA1C94"/>
    <w:rsid w:val="00EA1D26"/>
    <w:rsid w:val="00EA2249"/>
    <w:rsid w:val="00EA2FC2"/>
    <w:rsid w:val="00EA3C68"/>
    <w:rsid w:val="00EA3D42"/>
    <w:rsid w:val="00EA4E82"/>
    <w:rsid w:val="00EA54D5"/>
    <w:rsid w:val="00EA6B1B"/>
    <w:rsid w:val="00EB0238"/>
    <w:rsid w:val="00EB0D94"/>
    <w:rsid w:val="00EB58A2"/>
    <w:rsid w:val="00EB5A7B"/>
    <w:rsid w:val="00EB5E79"/>
    <w:rsid w:val="00EC04F1"/>
    <w:rsid w:val="00EC4C53"/>
    <w:rsid w:val="00EC7124"/>
    <w:rsid w:val="00ED2A57"/>
    <w:rsid w:val="00ED4259"/>
    <w:rsid w:val="00ED42AE"/>
    <w:rsid w:val="00ED5BD3"/>
    <w:rsid w:val="00ED7323"/>
    <w:rsid w:val="00EE209C"/>
    <w:rsid w:val="00EE2785"/>
    <w:rsid w:val="00EE28F3"/>
    <w:rsid w:val="00EE34C4"/>
    <w:rsid w:val="00EE4781"/>
    <w:rsid w:val="00EE50D1"/>
    <w:rsid w:val="00EE66C0"/>
    <w:rsid w:val="00EE68FB"/>
    <w:rsid w:val="00EF05EC"/>
    <w:rsid w:val="00EF2DC5"/>
    <w:rsid w:val="00EF5110"/>
    <w:rsid w:val="00EF56D7"/>
    <w:rsid w:val="00EF590B"/>
    <w:rsid w:val="00EF6D51"/>
    <w:rsid w:val="00F00740"/>
    <w:rsid w:val="00F0657E"/>
    <w:rsid w:val="00F0689C"/>
    <w:rsid w:val="00F07197"/>
    <w:rsid w:val="00F07ACD"/>
    <w:rsid w:val="00F10411"/>
    <w:rsid w:val="00F11F36"/>
    <w:rsid w:val="00F143A3"/>
    <w:rsid w:val="00F15882"/>
    <w:rsid w:val="00F171E0"/>
    <w:rsid w:val="00F20BD3"/>
    <w:rsid w:val="00F21D44"/>
    <w:rsid w:val="00F24840"/>
    <w:rsid w:val="00F24DB2"/>
    <w:rsid w:val="00F27F31"/>
    <w:rsid w:val="00F32DCE"/>
    <w:rsid w:val="00F33D1C"/>
    <w:rsid w:val="00F34CD4"/>
    <w:rsid w:val="00F354FC"/>
    <w:rsid w:val="00F3718A"/>
    <w:rsid w:val="00F373A5"/>
    <w:rsid w:val="00F37A59"/>
    <w:rsid w:val="00F439A9"/>
    <w:rsid w:val="00F45579"/>
    <w:rsid w:val="00F46E3F"/>
    <w:rsid w:val="00F47559"/>
    <w:rsid w:val="00F51AEE"/>
    <w:rsid w:val="00F5204A"/>
    <w:rsid w:val="00F547E5"/>
    <w:rsid w:val="00F56E3D"/>
    <w:rsid w:val="00F64C7B"/>
    <w:rsid w:val="00F676DD"/>
    <w:rsid w:val="00F702AF"/>
    <w:rsid w:val="00F7048E"/>
    <w:rsid w:val="00F7230D"/>
    <w:rsid w:val="00F72F52"/>
    <w:rsid w:val="00F730F4"/>
    <w:rsid w:val="00F73143"/>
    <w:rsid w:val="00F75877"/>
    <w:rsid w:val="00F75A26"/>
    <w:rsid w:val="00F76190"/>
    <w:rsid w:val="00F7654C"/>
    <w:rsid w:val="00F76631"/>
    <w:rsid w:val="00F76706"/>
    <w:rsid w:val="00F80840"/>
    <w:rsid w:val="00F809D6"/>
    <w:rsid w:val="00F81503"/>
    <w:rsid w:val="00F81E28"/>
    <w:rsid w:val="00F83AA7"/>
    <w:rsid w:val="00F83FAD"/>
    <w:rsid w:val="00F8507B"/>
    <w:rsid w:val="00F87965"/>
    <w:rsid w:val="00F94E7D"/>
    <w:rsid w:val="00F94F9F"/>
    <w:rsid w:val="00F952A0"/>
    <w:rsid w:val="00F96E4A"/>
    <w:rsid w:val="00FA0D11"/>
    <w:rsid w:val="00FA19F3"/>
    <w:rsid w:val="00FA1A9B"/>
    <w:rsid w:val="00FA2A41"/>
    <w:rsid w:val="00FA3C7F"/>
    <w:rsid w:val="00FB5334"/>
    <w:rsid w:val="00FB5673"/>
    <w:rsid w:val="00FB60FE"/>
    <w:rsid w:val="00FB6CA0"/>
    <w:rsid w:val="00FB74E2"/>
    <w:rsid w:val="00FC179B"/>
    <w:rsid w:val="00FC3D7B"/>
    <w:rsid w:val="00FC40BB"/>
    <w:rsid w:val="00FC5558"/>
    <w:rsid w:val="00FC70EB"/>
    <w:rsid w:val="00FD3860"/>
    <w:rsid w:val="00FD5614"/>
    <w:rsid w:val="00FD5E78"/>
    <w:rsid w:val="00FD6B9E"/>
    <w:rsid w:val="00FE09C8"/>
    <w:rsid w:val="00FE0BE1"/>
    <w:rsid w:val="00FE1A21"/>
    <w:rsid w:val="00FE1DE9"/>
    <w:rsid w:val="00FE3642"/>
    <w:rsid w:val="00FE36AF"/>
    <w:rsid w:val="00FE39C2"/>
    <w:rsid w:val="00FE3C32"/>
    <w:rsid w:val="00FE4FB2"/>
    <w:rsid w:val="00FE50AF"/>
    <w:rsid w:val="00FE53CC"/>
    <w:rsid w:val="00FE55BF"/>
    <w:rsid w:val="00FE64AE"/>
    <w:rsid w:val="00FE7426"/>
    <w:rsid w:val="00FF2E6C"/>
    <w:rsid w:val="00FF3134"/>
    <w:rsid w:val="00FF38EE"/>
    <w:rsid w:val="00FF43DC"/>
    <w:rsid w:val="00FF56BB"/>
    <w:rsid w:val="00FF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1.xml"/><Relationship Id="rId10" Type="http://schemas.openxmlformats.org/officeDocument/2006/relationships/hyperlink" Target="mailto:AERInquiry@aer.gov.a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9783424"/>
        <c:axId val="39785216"/>
      </c:lineChart>
      <c:dateAx>
        <c:axId val="39783424"/>
        <c:scaling>
          <c:orientation val="minMax"/>
        </c:scaling>
        <c:delete val="0"/>
        <c:axPos val="b"/>
        <c:numFmt formatCode="mmm\-yyyy" sourceLinked="1"/>
        <c:majorTickMark val="out"/>
        <c:minorTickMark val="none"/>
        <c:tickLblPos val="nextTo"/>
        <c:crossAx val="39785216"/>
        <c:crosses val="autoZero"/>
        <c:auto val="0"/>
        <c:lblOffset val="100"/>
        <c:baseTimeUnit val="months"/>
        <c:majorUnit val="12"/>
        <c:majorTimeUnit val="months"/>
      </c:dateAx>
      <c:valAx>
        <c:axId val="3978521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layout/>
          <c:overlay val="0"/>
        </c:title>
        <c:numFmt formatCode="0.000" sourceLinked="1"/>
        <c:majorTickMark val="out"/>
        <c:minorTickMark val="none"/>
        <c:tickLblPos val="nextTo"/>
        <c:crossAx val="39783424"/>
        <c:crossesAt val="36770"/>
        <c:crossBetween val="midCat"/>
        <c:majorUnit val="5.000000000000001E-2"/>
        <c:minorUnit val="4.000000000000001E-3"/>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DAB52B27</Template>
  <TotalTime>0</TotalTime>
  <Pages>220</Pages>
  <Words>69439</Words>
  <Characters>395806</Characters>
  <Application>Microsoft Office Word</Application>
  <DocSecurity>0</DocSecurity>
  <Lines>3298</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2017-07-05T01:14:00Z</dcterms:created>
  <dcterms:modified xsi:type="dcterms:W3CDTF">2017-07-05T01:15:00Z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