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62C0B42" wp14:editId="72B8B8FE">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39DD632" wp14:editId="492F019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A3285" w:rsidRDefault="008A3285" w:rsidP="00D5015C">
          <w:pPr>
            <w:pStyle w:val="ReportSubtitle"/>
          </w:pPr>
          <w:r w:rsidRPr="008A3285">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7F665B">
            <w:t>5</w:t>
          </w:r>
          <w:r w:rsidR="000474DF">
            <w:t xml:space="preserve"> </w:t>
          </w:r>
          <w:r w:rsidR="00185BA5">
            <w:t>–</w:t>
          </w:r>
          <w:r w:rsidR="000474DF">
            <w:t xml:space="preserve"> </w:t>
          </w:r>
          <w:r w:rsidR="007F665B">
            <w:t>Regulatory depreciation</w:t>
          </w:r>
        </w:p>
        <w:p w:rsidR="00D5015C" w:rsidRDefault="00D5015C" w:rsidP="00327A1E">
          <w:pPr>
            <w:pStyle w:val="ReportDate"/>
          </w:pPr>
        </w:p>
        <w:p w:rsidR="00D5015C" w:rsidRDefault="00D5015C" w:rsidP="00327A1E">
          <w:pPr>
            <w:pStyle w:val="ReportDate"/>
          </w:pPr>
        </w:p>
        <w:p w:rsidR="000A6C7B" w:rsidRPr="00327A1E" w:rsidRDefault="007F6370" w:rsidP="00327A1E">
          <w:pPr>
            <w:pStyle w:val="ReportDate"/>
          </w:pPr>
          <w:r>
            <w:t>Ju</w:t>
          </w:r>
          <w:r w:rsidR="00030F65">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F665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7F6370" w:rsidP="00761454">
      <w:r w:rsidRPr="007F6370">
        <w:rPr>
          <w:rStyle w:val="AERbody"/>
        </w:rPr>
        <w:t>Tel: 1300 585 165</w:t>
      </w:r>
      <w:r w:rsidRPr="007F6370">
        <w:rPr>
          <w:rStyle w:val="AERbody"/>
        </w:rPr>
        <w:br/>
        <w:t>Email:</w:t>
      </w:r>
      <w:r w:rsidRPr="007F6370">
        <w:t xml:space="preserve"> </w:t>
      </w:r>
      <w:hyperlink r:id="rId11" w:history="1">
        <w:r w:rsidRPr="007F6370">
          <w:rPr>
            <w:rStyle w:val="Hyperlink"/>
          </w:rPr>
          <w:t>AERInquiry@aer.gov.au</w:t>
        </w:r>
      </w:hyperlink>
      <w:r w:rsidR="00CE2A23">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2323"/>
      <w:r>
        <w:lastRenderedPageBreak/>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2324"/>
      <w:r>
        <w:t>Contents</w:t>
      </w:r>
      <w:bookmarkEnd w:id="8"/>
      <w:bookmarkEnd w:id="9"/>
    </w:p>
    <w:p w:rsidR="00CE2A23" w:rsidRDefault="00CE2A23" w:rsidP="00CE2A23"/>
    <w:sdt>
      <w:sdtPr>
        <w:id w:val="1269200322"/>
        <w:docPartObj>
          <w:docPartGallery w:val="Table of Contents"/>
          <w:docPartUnique/>
        </w:docPartObj>
      </w:sdtPr>
      <w:sdtEndPr/>
      <w:sdtContent>
        <w:p w:rsidR="00030F65" w:rsidRDefault="009217B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2323" w:history="1">
            <w:r w:rsidR="00030F65" w:rsidRPr="00DE7353">
              <w:rPr>
                <w:rStyle w:val="Hyperlink"/>
              </w:rPr>
              <w:t>Note</w:t>
            </w:r>
            <w:r w:rsidR="00030F65">
              <w:rPr>
                <w:webHidden/>
              </w:rPr>
              <w:tab/>
            </w:r>
            <w:r w:rsidR="00030F65">
              <w:rPr>
                <w:webHidden/>
              </w:rPr>
              <w:fldChar w:fldCharType="begin"/>
            </w:r>
            <w:r w:rsidR="00030F65">
              <w:rPr>
                <w:webHidden/>
              </w:rPr>
              <w:instrText xml:space="preserve"> PAGEREF _Toc486832323 \h </w:instrText>
            </w:r>
            <w:r w:rsidR="00030F65">
              <w:rPr>
                <w:webHidden/>
              </w:rPr>
            </w:r>
            <w:r w:rsidR="00030F65">
              <w:rPr>
                <w:webHidden/>
              </w:rPr>
              <w:fldChar w:fldCharType="separate"/>
            </w:r>
            <w:r w:rsidR="00030F65">
              <w:rPr>
                <w:webHidden/>
              </w:rPr>
              <w:t>5-2</w:t>
            </w:r>
            <w:r w:rsidR="00030F65">
              <w:rPr>
                <w:webHidden/>
              </w:rPr>
              <w:fldChar w:fldCharType="end"/>
            </w:r>
          </w:hyperlink>
        </w:p>
        <w:p w:rsidR="00030F65" w:rsidRDefault="0037044A">
          <w:pPr>
            <w:pStyle w:val="TOC1"/>
            <w:rPr>
              <w:rFonts w:asciiTheme="minorHAnsi" w:eastAsiaTheme="minorEastAsia" w:hAnsiTheme="minorHAnsi"/>
              <w:b w:val="0"/>
              <w:color w:val="auto"/>
              <w:sz w:val="22"/>
              <w:lang w:val="en-AU" w:eastAsia="en-AU"/>
            </w:rPr>
          </w:pPr>
          <w:hyperlink w:anchor="_Toc486832324" w:history="1">
            <w:r w:rsidR="00030F65" w:rsidRPr="00DE7353">
              <w:rPr>
                <w:rStyle w:val="Hyperlink"/>
              </w:rPr>
              <w:t>Contents</w:t>
            </w:r>
            <w:r w:rsidR="00030F65">
              <w:rPr>
                <w:webHidden/>
              </w:rPr>
              <w:tab/>
            </w:r>
            <w:r w:rsidR="00030F65">
              <w:rPr>
                <w:webHidden/>
              </w:rPr>
              <w:fldChar w:fldCharType="begin"/>
            </w:r>
            <w:r w:rsidR="00030F65">
              <w:rPr>
                <w:webHidden/>
              </w:rPr>
              <w:instrText xml:space="preserve"> PAGEREF _Toc486832324 \h </w:instrText>
            </w:r>
            <w:r w:rsidR="00030F65">
              <w:rPr>
                <w:webHidden/>
              </w:rPr>
            </w:r>
            <w:r w:rsidR="00030F65">
              <w:rPr>
                <w:webHidden/>
              </w:rPr>
              <w:fldChar w:fldCharType="separate"/>
            </w:r>
            <w:r w:rsidR="00030F65">
              <w:rPr>
                <w:webHidden/>
              </w:rPr>
              <w:t>5-3</w:t>
            </w:r>
            <w:r w:rsidR="00030F65">
              <w:rPr>
                <w:webHidden/>
              </w:rPr>
              <w:fldChar w:fldCharType="end"/>
            </w:r>
          </w:hyperlink>
        </w:p>
        <w:p w:rsidR="00030F65" w:rsidRDefault="0037044A">
          <w:pPr>
            <w:pStyle w:val="TOC1"/>
            <w:rPr>
              <w:rFonts w:asciiTheme="minorHAnsi" w:eastAsiaTheme="minorEastAsia" w:hAnsiTheme="minorHAnsi"/>
              <w:b w:val="0"/>
              <w:color w:val="auto"/>
              <w:sz w:val="22"/>
              <w:lang w:val="en-AU" w:eastAsia="en-AU"/>
            </w:rPr>
          </w:pPr>
          <w:hyperlink w:anchor="_Toc486832325" w:history="1">
            <w:r w:rsidR="00030F65" w:rsidRPr="00DE7353">
              <w:rPr>
                <w:rStyle w:val="Hyperlink"/>
              </w:rPr>
              <w:t>Shortened forms</w:t>
            </w:r>
            <w:r w:rsidR="00030F65">
              <w:rPr>
                <w:webHidden/>
              </w:rPr>
              <w:tab/>
            </w:r>
            <w:r w:rsidR="00030F65">
              <w:rPr>
                <w:webHidden/>
              </w:rPr>
              <w:fldChar w:fldCharType="begin"/>
            </w:r>
            <w:r w:rsidR="00030F65">
              <w:rPr>
                <w:webHidden/>
              </w:rPr>
              <w:instrText xml:space="preserve"> PAGEREF _Toc486832325 \h </w:instrText>
            </w:r>
            <w:r w:rsidR="00030F65">
              <w:rPr>
                <w:webHidden/>
              </w:rPr>
            </w:r>
            <w:r w:rsidR="00030F65">
              <w:rPr>
                <w:webHidden/>
              </w:rPr>
              <w:fldChar w:fldCharType="separate"/>
            </w:r>
            <w:r w:rsidR="00030F65">
              <w:rPr>
                <w:webHidden/>
              </w:rPr>
              <w:t>5-4</w:t>
            </w:r>
            <w:r w:rsidR="00030F65">
              <w:rPr>
                <w:webHidden/>
              </w:rPr>
              <w:fldChar w:fldCharType="end"/>
            </w:r>
          </w:hyperlink>
        </w:p>
        <w:p w:rsidR="00030F65" w:rsidRDefault="0037044A">
          <w:pPr>
            <w:pStyle w:val="TOC1"/>
            <w:rPr>
              <w:rFonts w:asciiTheme="minorHAnsi" w:eastAsiaTheme="minorEastAsia" w:hAnsiTheme="minorHAnsi"/>
              <w:b w:val="0"/>
              <w:color w:val="auto"/>
              <w:sz w:val="22"/>
              <w:lang w:val="en-AU" w:eastAsia="en-AU"/>
            </w:rPr>
          </w:pPr>
          <w:hyperlink w:anchor="_Toc486832326" w:history="1">
            <w:r w:rsidR="00030F65" w:rsidRPr="00DE7353">
              <w:rPr>
                <w:rStyle w:val="Hyperlink"/>
              </w:rPr>
              <w:t>5</w:t>
            </w:r>
            <w:r w:rsidR="00030F65">
              <w:rPr>
                <w:rFonts w:asciiTheme="minorHAnsi" w:eastAsiaTheme="minorEastAsia" w:hAnsiTheme="minorHAnsi"/>
                <w:b w:val="0"/>
                <w:color w:val="auto"/>
                <w:sz w:val="22"/>
                <w:lang w:val="en-AU" w:eastAsia="en-AU"/>
              </w:rPr>
              <w:tab/>
            </w:r>
            <w:r w:rsidR="00030F65" w:rsidRPr="00DE7353">
              <w:rPr>
                <w:rStyle w:val="Hyperlink"/>
              </w:rPr>
              <w:t>Regulatory depreciation</w:t>
            </w:r>
            <w:r w:rsidR="00030F65">
              <w:rPr>
                <w:webHidden/>
              </w:rPr>
              <w:tab/>
            </w:r>
            <w:r w:rsidR="00030F65">
              <w:rPr>
                <w:webHidden/>
              </w:rPr>
              <w:fldChar w:fldCharType="begin"/>
            </w:r>
            <w:r w:rsidR="00030F65">
              <w:rPr>
                <w:webHidden/>
              </w:rPr>
              <w:instrText xml:space="preserve"> PAGEREF _Toc486832326 \h </w:instrText>
            </w:r>
            <w:r w:rsidR="00030F65">
              <w:rPr>
                <w:webHidden/>
              </w:rPr>
            </w:r>
            <w:r w:rsidR="00030F65">
              <w:rPr>
                <w:webHidden/>
              </w:rPr>
              <w:fldChar w:fldCharType="separate"/>
            </w:r>
            <w:r w:rsidR="00030F65">
              <w:rPr>
                <w:webHidden/>
              </w:rPr>
              <w:t>5-5</w:t>
            </w:r>
            <w:r w:rsidR="00030F65">
              <w:rPr>
                <w:webHidden/>
              </w:rPr>
              <w:fldChar w:fldCharType="end"/>
            </w:r>
          </w:hyperlink>
        </w:p>
        <w:p w:rsidR="00030F65" w:rsidRDefault="0037044A">
          <w:pPr>
            <w:pStyle w:val="TOC2"/>
            <w:rPr>
              <w:rFonts w:asciiTheme="minorHAnsi" w:eastAsiaTheme="minorEastAsia" w:hAnsiTheme="minorHAnsi"/>
              <w:b w:val="0"/>
              <w:color w:val="auto"/>
              <w:sz w:val="22"/>
              <w:lang w:eastAsia="en-AU"/>
            </w:rPr>
          </w:pPr>
          <w:hyperlink w:anchor="_Toc486832327" w:history="1">
            <w:r w:rsidR="00030F65" w:rsidRPr="00DE7353">
              <w:rPr>
                <w:rStyle w:val="Hyperlink"/>
              </w:rPr>
              <w:t>5.1</w:t>
            </w:r>
            <w:r w:rsidR="00030F65">
              <w:rPr>
                <w:rFonts w:asciiTheme="minorHAnsi" w:eastAsiaTheme="minorEastAsia" w:hAnsiTheme="minorHAnsi"/>
                <w:b w:val="0"/>
                <w:color w:val="auto"/>
                <w:sz w:val="22"/>
                <w:lang w:eastAsia="en-AU"/>
              </w:rPr>
              <w:tab/>
            </w:r>
            <w:r w:rsidR="00030F65" w:rsidRPr="00DE7353">
              <w:rPr>
                <w:rStyle w:val="Hyperlink"/>
              </w:rPr>
              <w:t>Draft decision</w:t>
            </w:r>
            <w:r w:rsidR="00030F65">
              <w:rPr>
                <w:webHidden/>
              </w:rPr>
              <w:tab/>
            </w:r>
            <w:r w:rsidR="00030F65">
              <w:rPr>
                <w:webHidden/>
              </w:rPr>
              <w:fldChar w:fldCharType="begin"/>
            </w:r>
            <w:r w:rsidR="00030F65">
              <w:rPr>
                <w:webHidden/>
              </w:rPr>
              <w:instrText xml:space="preserve"> PAGEREF _Toc486832327 \h </w:instrText>
            </w:r>
            <w:r w:rsidR="00030F65">
              <w:rPr>
                <w:webHidden/>
              </w:rPr>
            </w:r>
            <w:r w:rsidR="00030F65">
              <w:rPr>
                <w:webHidden/>
              </w:rPr>
              <w:fldChar w:fldCharType="separate"/>
            </w:r>
            <w:r w:rsidR="00030F65">
              <w:rPr>
                <w:webHidden/>
              </w:rPr>
              <w:t>5-5</w:t>
            </w:r>
            <w:r w:rsidR="00030F65">
              <w:rPr>
                <w:webHidden/>
              </w:rPr>
              <w:fldChar w:fldCharType="end"/>
            </w:r>
          </w:hyperlink>
        </w:p>
        <w:p w:rsidR="00030F65" w:rsidRDefault="0037044A">
          <w:pPr>
            <w:pStyle w:val="TOC2"/>
            <w:rPr>
              <w:rFonts w:asciiTheme="minorHAnsi" w:eastAsiaTheme="minorEastAsia" w:hAnsiTheme="minorHAnsi"/>
              <w:b w:val="0"/>
              <w:color w:val="auto"/>
              <w:sz w:val="22"/>
              <w:lang w:eastAsia="en-AU"/>
            </w:rPr>
          </w:pPr>
          <w:hyperlink w:anchor="_Toc486832328" w:history="1">
            <w:r w:rsidR="00030F65" w:rsidRPr="00DE7353">
              <w:rPr>
                <w:rStyle w:val="Hyperlink"/>
              </w:rPr>
              <w:t>5.2</w:t>
            </w:r>
            <w:r w:rsidR="00030F65">
              <w:rPr>
                <w:rFonts w:asciiTheme="minorHAnsi" w:eastAsiaTheme="minorEastAsia" w:hAnsiTheme="minorHAnsi"/>
                <w:b w:val="0"/>
                <w:color w:val="auto"/>
                <w:sz w:val="22"/>
                <w:lang w:eastAsia="en-AU"/>
              </w:rPr>
              <w:tab/>
            </w:r>
            <w:r w:rsidR="00030F65" w:rsidRPr="00DE7353">
              <w:rPr>
                <w:rStyle w:val="Hyperlink"/>
              </w:rPr>
              <w:t>AGN’s proposal</w:t>
            </w:r>
            <w:r w:rsidR="00030F65">
              <w:rPr>
                <w:webHidden/>
              </w:rPr>
              <w:tab/>
            </w:r>
            <w:r w:rsidR="00030F65">
              <w:rPr>
                <w:webHidden/>
              </w:rPr>
              <w:fldChar w:fldCharType="begin"/>
            </w:r>
            <w:r w:rsidR="00030F65">
              <w:rPr>
                <w:webHidden/>
              </w:rPr>
              <w:instrText xml:space="preserve"> PAGEREF _Toc486832328 \h </w:instrText>
            </w:r>
            <w:r w:rsidR="00030F65">
              <w:rPr>
                <w:webHidden/>
              </w:rPr>
            </w:r>
            <w:r w:rsidR="00030F65">
              <w:rPr>
                <w:webHidden/>
              </w:rPr>
              <w:fldChar w:fldCharType="separate"/>
            </w:r>
            <w:r w:rsidR="00030F65">
              <w:rPr>
                <w:webHidden/>
              </w:rPr>
              <w:t>5-6</w:t>
            </w:r>
            <w:r w:rsidR="00030F65">
              <w:rPr>
                <w:webHidden/>
              </w:rPr>
              <w:fldChar w:fldCharType="end"/>
            </w:r>
          </w:hyperlink>
        </w:p>
        <w:p w:rsidR="00030F65" w:rsidRDefault="0037044A">
          <w:pPr>
            <w:pStyle w:val="TOC2"/>
            <w:rPr>
              <w:rFonts w:asciiTheme="minorHAnsi" w:eastAsiaTheme="minorEastAsia" w:hAnsiTheme="minorHAnsi"/>
              <w:b w:val="0"/>
              <w:color w:val="auto"/>
              <w:sz w:val="22"/>
              <w:lang w:eastAsia="en-AU"/>
            </w:rPr>
          </w:pPr>
          <w:hyperlink w:anchor="_Toc486832329" w:history="1">
            <w:r w:rsidR="00030F65" w:rsidRPr="00DE7353">
              <w:rPr>
                <w:rStyle w:val="Hyperlink"/>
              </w:rPr>
              <w:t>5.3</w:t>
            </w:r>
            <w:r w:rsidR="00030F65">
              <w:rPr>
                <w:rFonts w:asciiTheme="minorHAnsi" w:eastAsiaTheme="minorEastAsia" w:hAnsiTheme="minorHAnsi"/>
                <w:b w:val="0"/>
                <w:color w:val="auto"/>
                <w:sz w:val="22"/>
                <w:lang w:eastAsia="en-AU"/>
              </w:rPr>
              <w:tab/>
            </w:r>
            <w:r w:rsidR="00030F65" w:rsidRPr="00DE7353">
              <w:rPr>
                <w:rStyle w:val="Hyperlink"/>
              </w:rPr>
              <w:t>Assessment approach</w:t>
            </w:r>
            <w:r w:rsidR="00030F65">
              <w:rPr>
                <w:webHidden/>
              </w:rPr>
              <w:tab/>
            </w:r>
            <w:r w:rsidR="00030F65">
              <w:rPr>
                <w:webHidden/>
              </w:rPr>
              <w:fldChar w:fldCharType="begin"/>
            </w:r>
            <w:r w:rsidR="00030F65">
              <w:rPr>
                <w:webHidden/>
              </w:rPr>
              <w:instrText xml:space="preserve"> PAGEREF _Toc486832329 \h </w:instrText>
            </w:r>
            <w:r w:rsidR="00030F65">
              <w:rPr>
                <w:webHidden/>
              </w:rPr>
            </w:r>
            <w:r w:rsidR="00030F65">
              <w:rPr>
                <w:webHidden/>
              </w:rPr>
              <w:fldChar w:fldCharType="separate"/>
            </w:r>
            <w:r w:rsidR="00030F65">
              <w:rPr>
                <w:webHidden/>
              </w:rPr>
              <w:t>5-7</w:t>
            </w:r>
            <w:r w:rsidR="00030F65">
              <w:rPr>
                <w:webHidden/>
              </w:rPr>
              <w:fldChar w:fldCharType="end"/>
            </w:r>
          </w:hyperlink>
        </w:p>
        <w:p w:rsidR="00030F65" w:rsidRDefault="0037044A">
          <w:pPr>
            <w:pStyle w:val="TOC3"/>
            <w:rPr>
              <w:rFonts w:asciiTheme="minorHAnsi" w:eastAsiaTheme="minorEastAsia" w:hAnsiTheme="minorHAnsi"/>
              <w:lang w:eastAsia="en-AU"/>
            </w:rPr>
          </w:pPr>
          <w:hyperlink w:anchor="_Toc486832330" w:history="1">
            <w:r w:rsidR="00030F65" w:rsidRPr="00DE7353">
              <w:rPr>
                <w:rStyle w:val="Hyperlink"/>
              </w:rPr>
              <w:t>5.3.1</w:t>
            </w:r>
            <w:r w:rsidR="00030F65">
              <w:rPr>
                <w:rFonts w:asciiTheme="minorHAnsi" w:eastAsiaTheme="minorEastAsia" w:hAnsiTheme="minorHAnsi"/>
                <w:lang w:eastAsia="en-AU"/>
              </w:rPr>
              <w:tab/>
            </w:r>
            <w:r w:rsidR="00030F65" w:rsidRPr="00DE7353">
              <w:rPr>
                <w:rStyle w:val="Hyperlink"/>
              </w:rPr>
              <w:t>Interrelationships</w:t>
            </w:r>
            <w:r w:rsidR="00030F65">
              <w:rPr>
                <w:webHidden/>
              </w:rPr>
              <w:tab/>
            </w:r>
            <w:r w:rsidR="00030F65">
              <w:rPr>
                <w:webHidden/>
              </w:rPr>
              <w:fldChar w:fldCharType="begin"/>
            </w:r>
            <w:r w:rsidR="00030F65">
              <w:rPr>
                <w:webHidden/>
              </w:rPr>
              <w:instrText xml:space="preserve"> PAGEREF _Toc486832330 \h </w:instrText>
            </w:r>
            <w:r w:rsidR="00030F65">
              <w:rPr>
                <w:webHidden/>
              </w:rPr>
            </w:r>
            <w:r w:rsidR="00030F65">
              <w:rPr>
                <w:webHidden/>
              </w:rPr>
              <w:fldChar w:fldCharType="separate"/>
            </w:r>
            <w:r w:rsidR="00030F65">
              <w:rPr>
                <w:webHidden/>
              </w:rPr>
              <w:t>5-9</w:t>
            </w:r>
            <w:r w:rsidR="00030F65">
              <w:rPr>
                <w:webHidden/>
              </w:rPr>
              <w:fldChar w:fldCharType="end"/>
            </w:r>
          </w:hyperlink>
        </w:p>
        <w:p w:rsidR="00030F65" w:rsidRDefault="0037044A">
          <w:pPr>
            <w:pStyle w:val="TOC2"/>
            <w:rPr>
              <w:rFonts w:asciiTheme="minorHAnsi" w:eastAsiaTheme="minorEastAsia" w:hAnsiTheme="minorHAnsi"/>
              <w:b w:val="0"/>
              <w:color w:val="auto"/>
              <w:sz w:val="22"/>
              <w:lang w:eastAsia="en-AU"/>
            </w:rPr>
          </w:pPr>
          <w:hyperlink w:anchor="_Toc486832331" w:history="1">
            <w:r w:rsidR="00030F65" w:rsidRPr="00DE7353">
              <w:rPr>
                <w:rStyle w:val="Hyperlink"/>
              </w:rPr>
              <w:t>5.4</w:t>
            </w:r>
            <w:r w:rsidR="00030F65">
              <w:rPr>
                <w:rFonts w:asciiTheme="minorHAnsi" w:eastAsiaTheme="minorEastAsia" w:hAnsiTheme="minorHAnsi"/>
                <w:b w:val="0"/>
                <w:color w:val="auto"/>
                <w:sz w:val="22"/>
                <w:lang w:eastAsia="en-AU"/>
              </w:rPr>
              <w:tab/>
            </w:r>
            <w:r w:rsidR="00030F65" w:rsidRPr="00DE7353">
              <w:rPr>
                <w:rStyle w:val="Hyperlink"/>
              </w:rPr>
              <w:t>Reasons for draft decision</w:t>
            </w:r>
            <w:r w:rsidR="00030F65">
              <w:rPr>
                <w:webHidden/>
              </w:rPr>
              <w:tab/>
            </w:r>
            <w:r w:rsidR="00030F65">
              <w:rPr>
                <w:webHidden/>
              </w:rPr>
              <w:fldChar w:fldCharType="begin"/>
            </w:r>
            <w:r w:rsidR="00030F65">
              <w:rPr>
                <w:webHidden/>
              </w:rPr>
              <w:instrText xml:space="preserve"> PAGEREF _Toc486832331 \h </w:instrText>
            </w:r>
            <w:r w:rsidR="00030F65">
              <w:rPr>
                <w:webHidden/>
              </w:rPr>
            </w:r>
            <w:r w:rsidR="00030F65">
              <w:rPr>
                <w:webHidden/>
              </w:rPr>
              <w:fldChar w:fldCharType="separate"/>
            </w:r>
            <w:r w:rsidR="00030F65">
              <w:rPr>
                <w:webHidden/>
              </w:rPr>
              <w:t>5-11</w:t>
            </w:r>
            <w:r w:rsidR="00030F65">
              <w:rPr>
                <w:webHidden/>
              </w:rPr>
              <w:fldChar w:fldCharType="end"/>
            </w:r>
          </w:hyperlink>
        </w:p>
        <w:p w:rsidR="00030F65" w:rsidRDefault="0037044A">
          <w:pPr>
            <w:pStyle w:val="TOC3"/>
            <w:rPr>
              <w:rFonts w:asciiTheme="minorHAnsi" w:eastAsiaTheme="minorEastAsia" w:hAnsiTheme="minorHAnsi"/>
              <w:lang w:eastAsia="en-AU"/>
            </w:rPr>
          </w:pPr>
          <w:hyperlink w:anchor="_Toc486832332" w:history="1">
            <w:r w:rsidR="00030F65" w:rsidRPr="00DE7353">
              <w:rPr>
                <w:rStyle w:val="Hyperlink"/>
              </w:rPr>
              <w:t>5.4.1</w:t>
            </w:r>
            <w:r w:rsidR="00030F65">
              <w:rPr>
                <w:rFonts w:asciiTheme="minorHAnsi" w:eastAsiaTheme="minorEastAsia" w:hAnsiTheme="minorHAnsi"/>
                <w:lang w:eastAsia="en-AU"/>
              </w:rPr>
              <w:tab/>
            </w:r>
            <w:r w:rsidR="00030F65" w:rsidRPr="00DE7353">
              <w:rPr>
                <w:rStyle w:val="Hyperlink"/>
              </w:rPr>
              <w:t>Year-by-year tracking</w:t>
            </w:r>
            <w:r w:rsidR="00030F65">
              <w:rPr>
                <w:webHidden/>
              </w:rPr>
              <w:tab/>
            </w:r>
            <w:r w:rsidR="00030F65">
              <w:rPr>
                <w:webHidden/>
              </w:rPr>
              <w:fldChar w:fldCharType="begin"/>
            </w:r>
            <w:r w:rsidR="00030F65">
              <w:rPr>
                <w:webHidden/>
              </w:rPr>
              <w:instrText xml:space="preserve"> PAGEREF _Toc486832332 \h </w:instrText>
            </w:r>
            <w:r w:rsidR="00030F65">
              <w:rPr>
                <w:webHidden/>
              </w:rPr>
            </w:r>
            <w:r w:rsidR="00030F65">
              <w:rPr>
                <w:webHidden/>
              </w:rPr>
              <w:fldChar w:fldCharType="separate"/>
            </w:r>
            <w:r w:rsidR="00030F65">
              <w:rPr>
                <w:webHidden/>
              </w:rPr>
              <w:t>5-11</w:t>
            </w:r>
            <w:r w:rsidR="00030F65">
              <w:rPr>
                <w:webHidden/>
              </w:rPr>
              <w:fldChar w:fldCharType="end"/>
            </w:r>
          </w:hyperlink>
        </w:p>
        <w:p w:rsidR="00030F65" w:rsidRDefault="0037044A">
          <w:pPr>
            <w:pStyle w:val="TOC3"/>
            <w:rPr>
              <w:rFonts w:asciiTheme="minorHAnsi" w:eastAsiaTheme="minorEastAsia" w:hAnsiTheme="minorHAnsi"/>
              <w:lang w:eastAsia="en-AU"/>
            </w:rPr>
          </w:pPr>
          <w:hyperlink w:anchor="_Toc486832333" w:history="1">
            <w:r w:rsidR="00030F65" w:rsidRPr="00DE7353">
              <w:rPr>
                <w:rStyle w:val="Hyperlink"/>
              </w:rPr>
              <w:t>5.4.2</w:t>
            </w:r>
            <w:r w:rsidR="00030F65">
              <w:rPr>
                <w:rFonts w:asciiTheme="minorHAnsi" w:eastAsiaTheme="minorEastAsia" w:hAnsiTheme="minorHAnsi"/>
                <w:lang w:eastAsia="en-AU"/>
              </w:rPr>
              <w:tab/>
            </w:r>
            <w:r w:rsidR="00030F65" w:rsidRPr="00DE7353">
              <w:rPr>
                <w:rStyle w:val="Hyperlink"/>
              </w:rPr>
              <w:t>Accelerated depreciation</w:t>
            </w:r>
            <w:r w:rsidR="00030F65">
              <w:rPr>
                <w:webHidden/>
              </w:rPr>
              <w:tab/>
            </w:r>
            <w:r w:rsidR="00030F65">
              <w:rPr>
                <w:webHidden/>
              </w:rPr>
              <w:fldChar w:fldCharType="begin"/>
            </w:r>
            <w:r w:rsidR="00030F65">
              <w:rPr>
                <w:webHidden/>
              </w:rPr>
              <w:instrText xml:space="preserve"> PAGEREF _Toc486832333 \h </w:instrText>
            </w:r>
            <w:r w:rsidR="00030F65">
              <w:rPr>
                <w:webHidden/>
              </w:rPr>
            </w:r>
            <w:r w:rsidR="00030F65">
              <w:rPr>
                <w:webHidden/>
              </w:rPr>
              <w:fldChar w:fldCharType="separate"/>
            </w:r>
            <w:r w:rsidR="00030F65">
              <w:rPr>
                <w:webHidden/>
              </w:rPr>
              <w:t>5-12</w:t>
            </w:r>
            <w:r w:rsidR="00030F65">
              <w:rPr>
                <w:webHidden/>
              </w:rPr>
              <w:fldChar w:fldCharType="end"/>
            </w:r>
          </w:hyperlink>
        </w:p>
        <w:p w:rsidR="00030F65" w:rsidRDefault="0037044A">
          <w:pPr>
            <w:pStyle w:val="TOC3"/>
            <w:rPr>
              <w:rFonts w:asciiTheme="minorHAnsi" w:eastAsiaTheme="minorEastAsia" w:hAnsiTheme="minorHAnsi"/>
              <w:lang w:eastAsia="en-AU"/>
            </w:rPr>
          </w:pPr>
          <w:hyperlink w:anchor="_Toc486832334" w:history="1">
            <w:r w:rsidR="00030F65" w:rsidRPr="00DE7353">
              <w:rPr>
                <w:rStyle w:val="Hyperlink"/>
              </w:rPr>
              <w:t>5.4.3</w:t>
            </w:r>
            <w:r w:rsidR="00030F65">
              <w:rPr>
                <w:rFonts w:asciiTheme="minorHAnsi" w:eastAsiaTheme="minorEastAsia" w:hAnsiTheme="minorHAnsi"/>
                <w:lang w:eastAsia="en-AU"/>
              </w:rPr>
              <w:tab/>
            </w:r>
            <w:r w:rsidR="00030F65" w:rsidRPr="00DE7353">
              <w:rPr>
                <w:rStyle w:val="Hyperlink"/>
              </w:rPr>
              <w:t>Standard asset lives</w:t>
            </w:r>
            <w:r w:rsidR="00030F65">
              <w:rPr>
                <w:webHidden/>
              </w:rPr>
              <w:tab/>
            </w:r>
            <w:r w:rsidR="00030F65">
              <w:rPr>
                <w:webHidden/>
              </w:rPr>
              <w:fldChar w:fldCharType="begin"/>
            </w:r>
            <w:r w:rsidR="00030F65">
              <w:rPr>
                <w:webHidden/>
              </w:rPr>
              <w:instrText xml:space="preserve"> PAGEREF _Toc486832334 \h </w:instrText>
            </w:r>
            <w:r w:rsidR="00030F65">
              <w:rPr>
                <w:webHidden/>
              </w:rPr>
            </w:r>
            <w:r w:rsidR="00030F65">
              <w:rPr>
                <w:webHidden/>
              </w:rPr>
              <w:fldChar w:fldCharType="separate"/>
            </w:r>
            <w:r w:rsidR="00030F65">
              <w:rPr>
                <w:webHidden/>
              </w:rPr>
              <w:t>5-12</w:t>
            </w:r>
            <w:r w:rsidR="00030F65">
              <w:rPr>
                <w:webHidden/>
              </w:rPr>
              <w:fldChar w:fldCharType="end"/>
            </w:r>
          </w:hyperlink>
        </w:p>
        <w:p w:rsidR="00030F65" w:rsidRDefault="0037044A">
          <w:pPr>
            <w:pStyle w:val="TOC2"/>
            <w:rPr>
              <w:rFonts w:asciiTheme="minorHAnsi" w:eastAsiaTheme="minorEastAsia" w:hAnsiTheme="minorHAnsi"/>
              <w:b w:val="0"/>
              <w:color w:val="auto"/>
              <w:sz w:val="22"/>
              <w:lang w:eastAsia="en-AU"/>
            </w:rPr>
          </w:pPr>
          <w:hyperlink w:anchor="_Toc486832335" w:history="1">
            <w:r w:rsidR="00030F65" w:rsidRPr="00DE7353">
              <w:rPr>
                <w:rStyle w:val="Hyperlink"/>
              </w:rPr>
              <w:t>5.5</w:t>
            </w:r>
            <w:r w:rsidR="00030F65">
              <w:rPr>
                <w:rFonts w:asciiTheme="minorHAnsi" w:eastAsiaTheme="minorEastAsia" w:hAnsiTheme="minorHAnsi"/>
                <w:b w:val="0"/>
                <w:color w:val="auto"/>
                <w:sz w:val="22"/>
                <w:lang w:eastAsia="en-AU"/>
              </w:rPr>
              <w:tab/>
            </w:r>
            <w:r w:rsidR="00030F65" w:rsidRPr="00DE7353">
              <w:rPr>
                <w:rStyle w:val="Hyperlink"/>
              </w:rPr>
              <w:t>Revisions</w:t>
            </w:r>
            <w:r w:rsidR="00030F65">
              <w:rPr>
                <w:webHidden/>
              </w:rPr>
              <w:tab/>
            </w:r>
            <w:r w:rsidR="00030F65">
              <w:rPr>
                <w:webHidden/>
              </w:rPr>
              <w:fldChar w:fldCharType="begin"/>
            </w:r>
            <w:r w:rsidR="00030F65">
              <w:rPr>
                <w:webHidden/>
              </w:rPr>
              <w:instrText xml:space="preserve"> PAGEREF _Toc486832335 \h </w:instrText>
            </w:r>
            <w:r w:rsidR="00030F65">
              <w:rPr>
                <w:webHidden/>
              </w:rPr>
            </w:r>
            <w:r w:rsidR="00030F65">
              <w:rPr>
                <w:webHidden/>
              </w:rPr>
              <w:fldChar w:fldCharType="separate"/>
            </w:r>
            <w:r w:rsidR="00030F65">
              <w:rPr>
                <w:webHidden/>
              </w:rPr>
              <w:t>5-13</w:t>
            </w:r>
            <w:r w:rsidR="00030F65">
              <w:rPr>
                <w:webHidden/>
              </w:rPr>
              <w:fldChar w:fldCharType="end"/>
            </w:r>
          </w:hyperlink>
        </w:p>
        <w:p w:rsidR="00CE2A23" w:rsidRDefault="009217B9" w:rsidP="009217B9">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2325"/>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91001C" w:rsidTr="0091001C">
        <w:trPr>
          <w:cnfStyle w:val="100000000000" w:firstRow="1" w:lastRow="0" w:firstColumn="0" w:lastColumn="0" w:oddVBand="0" w:evenVBand="0" w:oddHBand="0" w:evenHBand="0" w:firstRowFirstColumn="0" w:firstRowLastColumn="0" w:lastRowFirstColumn="0" w:lastRowLastColumn="0"/>
        </w:trPr>
        <w:tc>
          <w:tcPr>
            <w:tcW w:w="4340" w:type="dxa"/>
          </w:tcPr>
          <w:p w:rsidR="0091001C" w:rsidRDefault="0091001C" w:rsidP="0091001C">
            <w:pPr>
              <w:numPr>
                <w:ilvl w:val="0"/>
                <w:numId w:val="24"/>
              </w:numPr>
            </w:pPr>
            <w:r>
              <w:t>Shortened form</w:t>
            </w:r>
          </w:p>
        </w:tc>
        <w:tc>
          <w:tcPr>
            <w:tcW w:w="4353" w:type="dxa"/>
          </w:tcPr>
          <w:p w:rsidR="0091001C" w:rsidRDefault="0091001C" w:rsidP="0091001C">
            <w:pPr>
              <w:numPr>
                <w:ilvl w:val="0"/>
                <w:numId w:val="24"/>
              </w:numPr>
            </w:pPr>
            <w:r>
              <w:t>Extended form</w:t>
            </w:r>
          </w:p>
        </w:tc>
      </w:tr>
      <w:tr w:rsidR="0091001C" w:rsidTr="0091001C">
        <w:tc>
          <w:tcPr>
            <w:tcW w:w="4340" w:type="dxa"/>
          </w:tcPr>
          <w:p w:rsidR="0091001C" w:rsidRDefault="0091001C" w:rsidP="0091001C">
            <w:pPr>
              <w:numPr>
                <w:ilvl w:val="0"/>
                <w:numId w:val="24"/>
              </w:numPr>
            </w:pPr>
            <w:r>
              <w:t>AER</w:t>
            </w:r>
          </w:p>
        </w:tc>
        <w:tc>
          <w:tcPr>
            <w:tcW w:w="4353" w:type="dxa"/>
          </w:tcPr>
          <w:p w:rsidR="0091001C" w:rsidRDefault="0091001C" w:rsidP="0091001C">
            <w:pPr>
              <w:numPr>
                <w:ilvl w:val="0"/>
                <w:numId w:val="24"/>
              </w:numPr>
            </w:pPr>
            <w:r>
              <w:t>Australian Energy Regulator</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ATO</w:t>
            </w:r>
          </w:p>
        </w:tc>
        <w:tc>
          <w:tcPr>
            <w:tcW w:w="4353" w:type="dxa"/>
          </w:tcPr>
          <w:p w:rsidR="0091001C" w:rsidRPr="0091001C" w:rsidRDefault="0091001C" w:rsidP="0091001C">
            <w:r>
              <w:t>Australian Tax Office</w:t>
            </w:r>
          </w:p>
        </w:tc>
      </w:tr>
      <w:tr w:rsidR="0091001C" w:rsidTr="0091001C">
        <w:tc>
          <w:tcPr>
            <w:tcW w:w="4340" w:type="dxa"/>
          </w:tcPr>
          <w:p w:rsidR="0091001C" w:rsidRDefault="0091001C" w:rsidP="0091001C">
            <w:pPr>
              <w:numPr>
                <w:ilvl w:val="0"/>
                <w:numId w:val="24"/>
              </w:numPr>
            </w:pPr>
            <w:r>
              <w:t>capex</w:t>
            </w:r>
          </w:p>
        </w:tc>
        <w:tc>
          <w:tcPr>
            <w:tcW w:w="4353" w:type="dxa"/>
          </w:tcPr>
          <w:p w:rsidR="0091001C" w:rsidRDefault="0091001C" w:rsidP="0091001C">
            <w:pPr>
              <w:numPr>
                <w:ilvl w:val="0"/>
                <w:numId w:val="24"/>
              </w:numPr>
            </w:pPr>
            <w:r>
              <w:t>capital expenditure</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CAPM</w:t>
            </w:r>
          </w:p>
        </w:tc>
        <w:tc>
          <w:tcPr>
            <w:tcW w:w="4353" w:type="dxa"/>
          </w:tcPr>
          <w:p w:rsidR="0091001C" w:rsidRDefault="0091001C" w:rsidP="0091001C">
            <w:pPr>
              <w:numPr>
                <w:ilvl w:val="0"/>
                <w:numId w:val="24"/>
              </w:numPr>
            </w:pPr>
            <w:r>
              <w:t>capital asset pricing model</w:t>
            </w:r>
          </w:p>
        </w:tc>
      </w:tr>
      <w:tr w:rsidR="0091001C" w:rsidTr="0091001C">
        <w:tc>
          <w:tcPr>
            <w:tcW w:w="4340" w:type="dxa"/>
          </w:tcPr>
          <w:p w:rsidR="0091001C" w:rsidRDefault="0091001C" w:rsidP="0091001C">
            <w:pPr>
              <w:numPr>
                <w:ilvl w:val="0"/>
                <w:numId w:val="24"/>
              </w:numPr>
            </w:pPr>
            <w:r>
              <w:t>CESS</w:t>
            </w:r>
          </w:p>
        </w:tc>
        <w:tc>
          <w:tcPr>
            <w:tcW w:w="4353" w:type="dxa"/>
          </w:tcPr>
          <w:p w:rsidR="0091001C" w:rsidRDefault="0091001C" w:rsidP="0091001C">
            <w:pPr>
              <w:numPr>
                <w:ilvl w:val="0"/>
                <w:numId w:val="24"/>
              </w:numPr>
            </w:pPr>
            <w:r>
              <w:t>Capital Expenditure Sharing Scheme</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CPI</w:t>
            </w:r>
          </w:p>
        </w:tc>
        <w:tc>
          <w:tcPr>
            <w:tcW w:w="4353" w:type="dxa"/>
          </w:tcPr>
          <w:p w:rsidR="0091001C" w:rsidRDefault="0091001C" w:rsidP="0091001C">
            <w:pPr>
              <w:numPr>
                <w:ilvl w:val="0"/>
                <w:numId w:val="24"/>
              </w:numPr>
            </w:pPr>
            <w:r>
              <w:t>consumer price index</w:t>
            </w:r>
          </w:p>
        </w:tc>
      </w:tr>
      <w:tr w:rsidR="0091001C" w:rsidTr="0091001C">
        <w:tc>
          <w:tcPr>
            <w:tcW w:w="4340" w:type="dxa"/>
          </w:tcPr>
          <w:p w:rsidR="0091001C" w:rsidRDefault="0091001C" w:rsidP="0091001C">
            <w:pPr>
              <w:numPr>
                <w:ilvl w:val="0"/>
                <w:numId w:val="24"/>
              </w:numPr>
            </w:pPr>
            <w:r>
              <w:t>DRP</w:t>
            </w:r>
          </w:p>
        </w:tc>
        <w:tc>
          <w:tcPr>
            <w:tcW w:w="4353" w:type="dxa"/>
          </w:tcPr>
          <w:p w:rsidR="0091001C" w:rsidRDefault="0091001C" w:rsidP="0091001C">
            <w:pPr>
              <w:numPr>
                <w:ilvl w:val="0"/>
                <w:numId w:val="24"/>
              </w:numPr>
            </w:pPr>
            <w:r>
              <w:t>debt risk premium</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ECM</w:t>
            </w:r>
          </w:p>
        </w:tc>
        <w:tc>
          <w:tcPr>
            <w:tcW w:w="4353" w:type="dxa"/>
          </w:tcPr>
          <w:p w:rsidR="0091001C" w:rsidRPr="0091001C" w:rsidRDefault="0091001C" w:rsidP="0091001C">
            <w:r>
              <w:t>(Opex) Efficiency Carryover Mechanism</w:t>
            </w:r>
          </w:p>
        </w:tc>
      </w:tr>
      <w:tr w:rsidR="0091001C" w:rsidTr="0091001C">
        <w:tc>
          <w:tcPr>
            <w:tcW w:w="4340" w:type="dxa"/>
          </w:tcPr>
          <w:p w:rsidR="0091001C" w:rsidRDefault="0091001C" w:rsidP="0091001C">
            <w:pPr>
              <w:numPr>
                <w:ilvl w:val="0"/>
                <w:numId w:val="24"/>
              </w:numPr>
            </w:pPr>
            <w:r>
              <w:t>ERP</w:t>
            </w:r>
          </w:p>
        </w:tc>
        <w:tc>
          <w:tcPr>
            <w:tcW w:w="4353" w:type="dxa"/>
          </w:tcPr>
          <w:p w:rsidR="0091001C" w:rsidRDefault="0091001C" w:rsidP="0091001C">
            <w:pPr>
              <w:numPr>
                <w:ilvl w:val="0"/>
                <w:numId w:val="24"/>
              </w:numPr>
            </w:pPr>
            <w:r>
              <w:t>equity risk premium</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Expenditure Guideline</w:t>
            </w:r>
          </w:p>
        </w:tc>
        <w:tc>
          <w:tcPr>
            <w:tcW w:w="4353" w:type="dxa"/>
          </w:tcPr>
          <w:p w:rsidR="0091001C" w:rsidRPr="0091001C" w:rsidRDefault="0091001C" w:rsidP="0091001C">
            <w:r>
              <w:t xml:space="preserve">Expenditure Forecast </w:t>
            </w:r>
            <w:r w:rsidRPr="0091001C">
              <w:t>Assessment Guideline</w:t>
            </w:r>
          </w:p>
        </w:tc>
      </w:tr>
      <w:tr w:rsidR="0091001C" w:rsidTr="0091001C">
        <w:tc>
          <w:tcPr>
            <w:tcW w:w="4340" w:type="dxa"/>
          </w:tcPr>
          <w:p w:rsidR="0091001C" w:rsidRDefault="0091001C" w:rsidP="0091001C">
            <w:pPr>
              <w:numPr>
                <w:ilvl w:val="0"/>
                <w:numId w:val="24"/>
              </w:numPr>
            </w:pPr>
            <w:r>
              <w:t>gamma</w:t>
            </w:r>
          </w:p>
        </w:tc>
        <w:tc>
          <w:tcPr>
            <w:tcW w:w="4353" w:type="dxa"/>
          </w:tcPr>
          <w:p w:rsidR="0091001C" w:rsidRPr="0091001C" w:rsidRDefault="0091001C" w:rsidP="0091001C">
            <w:r>
              <w:t>Value of Imputation Credits</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MRP</w:t>
            </w:r>
          </w:p>
        </w:tc>
        <w:tc>
          <w:tcPr>
            <w:tcW w:w="4353" w:type="dxa"/>
          </w:tcPr>
          <w:p w:rsidR="0091001C" w:rsidRDefault="0091001C" w:rsidP="0091001C">
            <w:pPr>
              <w:numPr>
                <w:ilvl w:val="0"/>
                <w:numId w:val="24"/>
              </w:numPr>
            </w:pPr>
            <w:r>
              <w:t>market risk premium</w:t>
            </w:r>
          </w:p>
        </w:tc>
      </w:tr>
      <w:tr w:rsidR="0091001C" w:rsidTr="0091001C">
        <w:tc>
          <w:tcPr>
            <w:tcW w:w="4340" w:type="dxa"/>
          </w:tcPr>
          <w:p w:rsidR="0091001C" w:rsidRDefault="0091001C" w:rsidP="0091001C">
            <w:pPr>
              <w:numPr>
                <w:ilvl w:val="0"/>
                <w:numId w:val="24"/>
              </w:numPr>
            </w:pPr>
            <w:r>
              <w:t>NGL</w:t>
            </w:r>
          </w:p>
        </w:tc>
        <w:tc>
          <w:tcPr>
            <w:tcW w:w="4353" w:type="dxa"/>
          </w:tcPr>
          <w:p w:rsidR="0091001C" w:rsidRDefault="0091001C" w:rsidP="0091001C">
            <w:pPr>
              <w:numPr>
                <w:ilvl w:val="0"/>
                <w:numId w:val="24"/>
              </w:numPr>
            </w:pPr>
            <w:r>
              <w:t>National Gas Law</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NGO</w:t>
            </w:r>
          </w:p>
        </w:tc>
        <w:tc>
          <w:tcPr>
            <w:tcW w:w="4353" w:type="dxa"/>
          </w:tcPr>
          <w:p w:rsidR="0091001C" w:rsidRDefault="0091001C" w:rsidP="0091001C">
            <w:pPr>
              <w:numPr>
                <w:ilvl w:val="0"/>
                <w:numId w:val="24"/>
              </w:numPr>
            </w:pPr>
            <w:r>
              <w:t>national gas objective</w:t>
            </w:r>
          </w:p>
        </w:tc>
      </w:tr>
      <w:tr w:rsidR="0091001C" w:rsidTr="0091001C">
        <w:tc>
          <w:tcPr>
            <w:tcW w:w="4340" w:type="dxa"/>
          </w:tcPr>
          <w:p w:rsidR="0091001C" w:rsidRDefault="0091001C" w:rsidP="0091001C">
            <w:pPr>
              <w:numPr>
                <w:ilvl w:val="0"/>
                <w:numId w:val="24"/>
              </w:numPr>
            </w:pPr>
            <w:r>
              <w:t>NGR</w:t>
            </w:r>
          </w:p>
        </w:tc>
        <w:tc>
          <w:tcPr>
            <w:tcW w:w="4353" w:type="dxa"/>
          </w:tcPr>
          <w:p w:rsidR="0091001C" w:rsidRDefault="0091001C" w:rsidP="0091001C">
            <w:pPr>
              <w:numPr>
                <w:ilvl w:val="0"/>
                <w:numId w:val="24"/>
              </w:numPr>
            </w:pPr>
            <w:r>
              <w:t>National Gas Rules</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NPV</w:t>
            </w:r>
          </w:p>
        </w:tc>
        <w:tc>
          <w:tcPr>
            <w:tcW w:w="4353" w:type="dxa"/>
          </w:tcPr>
          <w:p w:rsidR="0091001C" w:rsidRPr="0091001C" w:rsidRDefault="0091001C" w:rsidP="0091001C">
            <w:r>
              <w:t>net present value</w:t>
            </w:r>
          </w:p>
        </w:tc>
      </w:tr>
      <w:tr w:rsidR="0091001C" w:rsidTr="0091001C">
        <w:tc>
          <w:tcPr>
            <w:tcW w:w="4340" w:type="dxa"/>
          </w:tcPr>
          <w:p w:rsidR="0091001C" w:rsidRDefault="0091001C" w:rsidP="0091001C">
            <w:pPr>
              <w:numPr>
                <w:ilvl w:val="0"/>
                <w:numId w:val="24"/>
              </w:numPr>
            </w:pPr>
            <w:r>
              <w:t>opex</w:t>
            </w:r>
          </w:p>
        </w:tc>
        <w:tc>
          <w:tcPr>
            <w:tcW w:w="4353" w:type="dxa"/>
          </w:tcPr>
          <w:p w:rsidR="0091001C" w:rsidRDefault="0091001C" w:rsidP="0091001C">
            <w:pPr>
              <w:numPr>
                <w:ilvl w:val="0"/>
                <w:numId w:val="24"/>
              </w:numPr>
            </w:pPr>
            <w:r>
              <w:t>operating expenditure</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PTRM</w:t>
            </w:r>
          </w:p>
        </w:tc>
        <w:tc>
          <w:tcPr>
            <w:tcW w:w="4353" w:type="dxa"/>
          </w:tcPr>
          <w:p w:rsidR="0091001C" w:rsidRDefault="0091001C" w:rsidP="0091001C">
            <w:pPr>
              <w:numPr>
                <w:ilvl w:val="0"/>
                <w:numId w:val="24"/>
              </w:numPr>
            </w:pPr>
            <w:r>
              <w:t>post-tax revenue model</w:t>
            </w:r>
          </w:p>
        </w:tc>
      </w:tr>
      <w:tr w:rsidR="0091001C" w:rsidTr="0091001C">
        <w:tc>
          <w:tcPr>
            <w:tcW w:w="4340" w:type="dxa"/>
          </w:tcPr>
          <w:p w:rsidR="0091001C" w:rsidRDefault="0091001C" w:rsidP="0091001C">
            <w:pPr>
              <w:numPr>
                <w:ilvl w:val="0"/>
                <w:numId w:val="24"/>
              </w:numPr>
            </w:pPr>
            <w:r>
              <w:t>RBA</w:t>
            </w:r>
          </w:p>
        </w:tc>
        <w:tc>
          <w:tcPr>
            <w:tcW w:w="4353" w:type="dxa"/>
          </w:tcPr>
          <w:p w:rsidR="0091001C" w:rsidRDefault="0091001C" w:rsidP="0091001C">
            <w:pPr>
              <w:numPr>
                <w:ilvl w:val="0"/>
                <w:numId w:val="24"/>
              </w:numPr>
            </w:pPr>
            <w:r>
              <w:t>Reserve Bank of Australia</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RFM</w:t>
            </w:r>
          </w:p>
        </w:tc>
        <w:tc>
          <w:tcPr>
            <w:tcW w:w="4353" w:type="dxa"/>
          </w:tcPr>
          <w:p w:rsidR="0091001C" w:rsidRDefault="0091001C" w:rsidP="0091001C">
            <w:pPr>
              <w:numPr>
                <w:ilvl w:val="0"/>
                <w:numId w:val="24"/>
              </w:numPr>
            </w:pPr>
            <w:r>
              <w:t>roll forward model</w:t>
            </w:r>
          </w:p>
        </w:tc>
      </w:tr>
      <w:tr w:rsidR="0091001C" w:rsidTr="0091001C">
        <w:tc>
          <w:tcPr>
            <w:tcW w:w="4340" w:type="dxa"/>
          </w:tcPr>
          <w:p w:rsidR="0091001C" w:rsidRDefault="0091001C" w:rsidP="0091001C">
            <w:pPr>
              <w:numPr>
                <w:ilvl w:val="0"/>
                <w:numId w:val="24"/>
              </w:numPr>
            </w:pPr>
            <w:r>
              <w:t>RIN</w:t>
            </w:r>
          </w:p>
        </w:tc>
        <w:tc>
          <w:tcPr>
            <w:tcW w:w="4353" w:type="dxa"/>
          </w:tcPr>
          <w:p w:rsidR="0091001C" w:rsidRDefault="0091001C" w:rsidP="0091001C">
            <w:pPr>
              <w:numPr>
                <w:ilvl w:val="0"/>
                <w:numId w:val="24"/>
              </w:numPr>
            </w:pPr>
            <w:r>
              <w:t>regulatory information notice</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RPP</w:t>
            </w:r>
          </w:p>
        </w:tc>
        <w:tc>
          <w:tcPr>
            <w:tcW w:w="4353" w:type="dxa"/>
          </w:tcPr>
          <w:p w:rsidR="0091001C" w:rsidRDefault="0091001C" w:rsidP="0091001C">
            <w:pPr>
              <w:numPr>
                <w:ilvl w:val="0"/>
                <w:numId w:val="24"/>
              </w:numPr>
            </w:pPr>
            <w:r>
              <w:t>revenue and pricing principles</w:t>
            </w:r>
          </w:p>
        </w:tc>
      </w:tr>
      <w:tr w:rsidR="0091001C" w:rsidTr="0091001C">
        <w:tc>
          <w:tcPr>
            <w:tcW w:w="4340" w:type="dxa"/>
          </w:tcPr>
          <w:p w:rsidR="0091001C" w:rsidRDefault="0091001C" w:rsidP="0091001C">
            <w:pPr>
              <w:numPr>
                <w:ilvl w:val="0"/>
                <w:numId w:val="24"/>
              </w:numPr>
            </w:pPr>
            <w:r>
              <w:t>SLCAPM</w:t>
            </w:r>
          </w:p>
        </w:tc>
        <w:tc>
          <w:tcPr>
            <w:tcW w:w="4353" w:type="dxa"/>
          </w:tcPr>
          <w:p w:rsidR="0091001C" w:rsidRDefault="0091001C" w:rsidP="0091001C">
            <w:pPr>
              <w:numPr>
                <w:ilvl w:val="0"/>
                <w:numId w:val="24"/>
              </w:numPr>
            </w:pPr>
            <w:r>
              <w:t>Sharpe-Lintner capital asset pricing model</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STTM</w:t>
            </w:r>
          </w:p>
        </w:tc>
        <w:tc>
          <w:tcPr>
            <w:tcW w:w="4353" w:type="dxa"/>
          </w:tcPr>
          <w:p w:rsidR="0091001C" w:rsidRPr="0091001C" w:rsidRDefault="0091001C" w:rsidP="0091001C">
            <w:r>
              <w:t>Short Term Trading Market</w:t>
            </w:r>
          </w:p>
        </w:tc>
      </w:tr>
      <w:tr w:rsidR="0091001C" w:rsidTr="0091001C">
        <w:tc>
          <w:tcPr>
            <w:tcW w:w="4340" w:type="dxa"/>
          </w:tcPr>
          <w:p w:rsidR="0091001C" w:rsidRDefault="0091001C" w:rsidP="0091001C">
            <w:pPr>
              <w:numPr>
                <w:ilvl w:val="0"/>
                <w:numId w:val="24"/>
              </w:numPr>
            </w:pPr>
            <w:r>
              <w:t>TAB</w:t>
            </w:r>
          </w:p>
        </w:tc>
        <w:tc>
          <w:tcPr>
            <w:tcW w:w="4353" w:type="dxa"/>
          </w:tcPr>
          <w:p w:rsidR="0091001C" w:rsidRPr="0091001C" w:rsidRDefault="0091001C" w:rsidP="0091001C">
            <w:r>
              <w:t>Tax asset base</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UAFG</w:t>
            </w:r>
          </w:p>
        </w:tc>
        <w:tc>
          <w:tcPr>
            <w:tcW w:w="4353" w:type="dxa"/>
          </w:tcPr>
          <w:p w:rsidR="0091001C" w:rsidRPr="0091001C" w:rsidRDefault="0091001C" w:rsidP="0091001C">
            <w:r>
              <w:t>Unaccounted for gas</w:t>
            </w:r>
          </w:p>
        </w:tc>
      </w:tr>
      <w:tr w:rsidR="0091001C" w:rsidTr="0091001C">
        <w:tc>
          <w:tcPr>
            <w:tcW w:w="4340" w:type="dxa"/>
          </w:tcPr>
          <w:p w:rsidR="0091001C" w:rsidRDefault="0091001C" w:rsidP="0091001C">
            <w:pPr>
              <w:numPr>
                <w:ilvl w:val="0"/>
                <w:numId w:val="24"/>
              </w:numPr>
            </w:pPr>
            <w:r>
              <w:t>WACC</w:t>
            </w:r>
          </w:p>
        </w:tc>
        <w:tc>
          <w:tcPr>
            <w:tcW w:w="4353" w:type="dxa"/>
          </w:tcPr>
          <w:p w:rsidR="0091001C" w:rsidRDefault="0091001C" w:rsidP="0091001C">
            <w:pPr>
              <w:numPr>
                <w:ilvl w:val="0"/>
                <w:numId w:val="24"/>
              </w:numPr>
            </w:pPr>
            <w:r>
              <w:t>weighted average cost of capital</w:t>
            </w:r>
          </w:p>
        </w:tc>
      </w:tr>
      <w:tr w:rsidR="0091001C" w:rsidTr="0091001C">
        <w:trPr>
          <w:cnfStyle w:val="000000010000" w:firstRow="0" w:lastRow="0" w:firstColumn="0" w:lastColumn="0" w:oddVBand="0" w:evenVBand="0" w:oddHBand="0" w:evenHBand="1" w:firstRowFirstColumn="0" w:firstRowLastColumn="0" w:lastRowFirstColumn="0" w:lastRowLastColumn="0"/>
        </w:trPr>
        <w:tc>
          <w:tcPr>
            <w:tcW w:w="4340" w:type="dxa"/>
          </w:tcPr>
          <w:p w:rsidR="0091001C" w:rsidRDefault="0091001C" w:rsidP="0091001C">
            <w:pPr>
              <w:numPr>
                <w:ilvl w:val="0"/>
                <w:numId w:val="24"/>
              </w:numPr>
            </w:pPr>
            <w:r>
              <w:t>WPI</w:t>
            </w:r>
          </w:p>
        </w:tc>
        <w:tc>
          <w:tcPr>
            <w:tcW w:w="4353" w:type="dxa"/>
          </w:tcPr>
          <w:p w:rsidR="0091001C" w:rsidRPr="0091001C" w:rsidRDefault="0091001C" w:rsidP="0091001C">
            <w:r>
              <w:t>Wage Price Index</w:t>
            </w:r>
          </w:p>
        </w:tc>
      </w:tr>
    </w:tbl>
    <w:p w:rsidR="00DE563D" w:rsidRDefault="007F665B" w:rsidP="007F665B">
      <w:pPr>
        <w:pStyle w:val="Heading1"/>
      </w:pPr>
      <w:bookmarkStart w:id="12" w:name="_Toc485213212"/>
      <w:bookmarkStart w:id="13" w:name="_Toc485213216"/>
      <w:bookmarkStart w:id="14" w:name="_Toc485213219"/>
      <w:bookmarkStart w:id="15" w:name="_Toc485213222"/>
      <w:bookmarkStart w:id="16" w:name="_Toc485213225"/>
      <w:bookmarkStart w:id="17" w:name="_Toc485213228"/>
      <w:bookmarkStart w:id="18" w:name="_Toc485213231"/>
      <w:bookmarkStart w:id="19" w:name="_Toc485213234"/>
      <w:bookmarkStart w:id="20" w:name="_Toc485213237"/>
      <w:bookmarkStart w:id="21" w:name="_Toc485213240"/>
      <w:bookmarkStart w:id="22" w:name="_Toc485213243"/>
      <w:bookmarkStart w:id="23" w:name="_Toc485213246"/>
      <w:bookmarkStart w:id="24" w:name="_Toc485213249"/>
      <w:bookmarkStart w:id="25" w:name="_Toc485213252"/>
      <w:bookmarkStart w:id="26" w:name="_Toc485213255"/>
      <w:bookmarkStart w:id="27" w:name="_Toc485213258"/>
      <w:bookmarkStart w:id="28" w:name="_Toc485213261"/>
      <w:bookmarkStart w:id="29" w:name="_Toc485213264"/>
      <w:bookmarkStart w:id="30" w:name="_Toc485213267"/>
      <w:bookmarkStart w:id="31" w:name="_Toc485213270"/>
      <w:bookmarkStart w:id="32" w:name="_Toc485213273"/>
      <w:bookmarkStart w:id="33" w:name="_Toc485213276"/>
      <w:bookmarkStart w:id="34" w:name="_Toc485213279"/>
      <w:bookmarkStart w:id="35" w:name="_Toc485213282"/>
      <w:bookmarkStart w:id="36" w:name="_Toc485213285"/>
      <w:bookmarkStart w:id="37" w:name="_Toc485213288"/>
      <w:bookmarkStart w:id="38" w:name="_Toc485213291"/>
      <w:bookmarkStart w:id="39" w:name="_Toc485213294"/>
      <w:bookmarkStart w:id="40" w:name="_Toc485213297"/>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83232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Regulatory depreciation</w:t>
      </w:r>
      <w:bookmarkEnd w:id="99"/>
    </w:p>
    <w:p w:rsidR="00102843" w:rsidRPr="00A575B0" w:rsidRDefault="00102843" w:rsidP="00102843">
      <w:r w:rsidRPr="00CA36EA">
        <w:t xml:space="preserve">When determining the total revenue for </w:t>
      </w:r>
      <w:r>
        <w:t>AGN</w:t>
      </w:r>
      <w:r w:rsidRPr="00CA36EA">
        <w:t xml:space="preserve">, </w:t>
      </w:r>
      <w:r>
        <w:t>we</w:t>
      </w:r>
      <w:r w:rsidRPr="00CA36EA">
        <w:t xml:space="preserve"> </w:t>
      </w:r>
      <w:r>
        <w:t>include an allowance for</w:t>
      </w:r>
      <w:r w:rsidRPr="00CA36EA">
        <w:t xml:space="preserve"> the depreciation </w:t>
      </w:r>
      <w:r>
        <w:t>of</w:t>
      </w:r>
      <w:r w:rsidRPr="00CA36EA">
        <w:t xml:space="preserve">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2018–22</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2"/>
      </w:r>
      <w:r>
        <w:t xml:space="preserve"> </w:t>
      </w:r>
    </w:p>
    <w:p w:rsidR="00102843" w:rsidRPr="00CA36EA" w:rsidRDefault="00102843" w:rsidP="00102843">
      <w:r>
        <w:t>This attachment outlines our</w:t>
      </w:r>
      <w:r w:rsidRPr="00CA36EA">
        <w:t xml:space="preserve"> draft decision on </w:t>
      </w:r>
      <w:r>
        <w:t xml:space="preserve">AGN’s </w:t>
      </w:r>
      <w:r w:rsidRPr="00CA36EA">
        <w:t xml:space="preserve">annual regulatory depreciation allowance </w:t>
      </w:r>
      <w:r>
        <w:t>for the</w:t>
      </w:r>
      <w:r w:rsidRPr="00B41164">
        <w:t xml:space="preserve"> </w:t>
      </w:r>
      <w:r>
        <w:t>2018–22</w:t>
      </w:r>
      <w:r w:rsidRPr="00CA36EA">
        <w:t xml:space="preserve"> access arrangement </w:t>
      </w:r>
      <w:proofErr w:type="gramStart"/>
      <w:r w:rsidRPr="00CA36EA">
        <w:t>period</w:t>
      </w:r>
      <w:proofErr w:type="gramEnd"/>
      <w:r w:rsidRPr="00CA36EA">
        <w:t xml:space="preserve">. </w:t>
      </w:r>
      <w:r>
        <w:t>Our</w:t>
      </w:r>
      <w:r w:rsidRPr="00CA36EA">
        <w:t xml:space="preserve"> consideration of specific matters that affect the estimate of regulatory depreciation is also outlined in this attachment. These include:</w:t>
      </w:r>
    </w:p>
    <w:p w:rsidR="00102843" w:rsidRDefault="00102843" w:rsidP="00102843">
      <w:pPr>
        <w:pStyle w:val="AERbulletlistfirststyle"/>
      </w:pPr>
      <w:r w:rsidRPr="00A575B0">
        <w:t>the standard asset lives for depreciating new assets associated with forecast capex</w:t>
      </w:r>
      <w:r w:rsidRPr="006273B7">
        <w:rPr>
          <w:rStyle w:val="FootnoteReference"/>
        </w:rPr>
        <w:footnoteReference w:id="3"/>
      </w:r>
    </w:p>
    <w:p w:rsidR="00132D43" w:rsidRDefault="00102843" w:rsidP="00102843">
      <w:pPr>
        <w:pStyle w:val="AERbulletlistfirststyle"/>
      </w:pPr>
      <w:proofErr w:type="gramStart"/>
      <w:r w:rsidRPr="00A575B0">
        <w:t>the</w:t>
      </w:r>
      <w:proofErr w:type="gramEnd"/>
      <w:r w:rsidRPr="00A575B0">
        <w:t xml:space="preserve"> </w:t>
      </w:r>
      <w:r w:rsidR="00E83E84">
        <w:t>year-by-year</w:t>
      </w:r>
      <w:r>
        <w:t xml:space="preserve"> tracking approach to depreciating </w:t>
      </w:r>
      <w:r w:rsidRPr="00A575B0">
        <w:t>assets in the capital base.</w:t>
      </w:r>
    </w:p>
    <w:p w:rsidR="00571172" w:rsidRPr="00473F9D" w:rsidRDefault="00571172" w:rsidP="00571172">
      <w:r w:rsidRPr="00571172">
        <w:t xml:space="preserve">We also discuss the prospect of accelerated depreciation for mains assets that are replaced. </w:t>
      </w:r>
    </w:p>
    <w:p w:rsidR="00132D43" w:rsidRDefault="00132D43" w:rsidP="00132D43">
      <w:pPr>
        <w:pStyle w:val="Heading2"/>
      </w:pPr>
      <w:bookmarkStart w:id="100" w:name="_Toc486832327"/>
      <w:r>
        <w:t>Draft decision</w:t>
      </w:r>
      <w:bookmarkEnd w:id="100"/>
    </w:p>
    <w:p w:rsidR="00102843" w:rsidRDefault="00102843" w:rsidP="00102843">
      <w:r>
        <w:t>We</w:t>
      </w:r>
      <w:r w:rsidRPr="00CA36EA">
        <w:t xml:space="preserve"> approve</w:t>
      </w:r>
      <w:r>
        <w:t xml:space="preserve"> AGN’s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w:t>
      </w:r>
      <w:r w:rsidR="00EB3447">
        <w:t>We determine a regulatory depreciation allowance of $</w:t>
      </w:r>
      <w:r w:rsidR="00232AC0">
        <w:t>23</w:t>
      </w:r>
      <w:r w:rsidR="00F50687">
        <w:t>8.9</w:t>
      </w:r>
      <w:r w:rsidR="00232AC0" w:rsidDel="00232AC0">
        <w:t xml:space="preserve"> </w:t>
      </w:r>
      <w:r w:rsidR="00EB3447">
        <w:t xml:space="preserve">million ($ nominal) for AGN. </w:t>
      </w:r>
      <w:r w:rsidR="00EB3447" w:rsidRPr="00EB3447">
        <w:t xml:space="preserve">This represents </w:t>
      </w:r>
      <w:r w:rsidR="00232AC0">
        <w:t>a</w:t>
      </w:r>
      <w:r w:rsidR="00B86E12">
        <w:t>n</w:t>
      </w:r>
      <w:r w:rsidR="00232AC0">
        <w:t xml:space="preserve"> increase</w:t>
      </w:r>
      <w:r w:rsidR="00EB3447" w:rsidRPr="00EB3447">
        <w:t xml:space="preserve"> of $</w:t>
      </w:r>
      <w:r w:rsidR="00F50687">
        <w:t>4.1</w:t>
      </w:r>
      <w:r w:rsidR="00EB3447" w:rsidRPr="00EB3447">
        <w:t xml:space="preserve"> million (or </w:t>
      </w:r>
      <w:r w:rsidR="00232AC0">
        <w:t>1.</w:t>
      </w:r>
      <w:r w:rsidR="00F50687">
        <w:t>7</w:t>
      </w:r>
      <w:r w:rsidR="00EB3447" w:rsidRPr="00EB3447">
        <w:t xml:space="preserve"> per cent) </w:t>
      </w:r>
      <w:r w:rsidR="00EB3447">
        <w:t>from AGN's</w:t>
      </w:r>
      <w:r w:rsidR="00EB3447" w:rsidRPr="00EB3447">
        <w:t xml:space="preserve"> proposed </w:t>
      </w:r>
      <w:r>
        <w:t>regulatory depreciation allowance of $</w:t>
      </w:r>
      <w:r w:rsidR="00232AC0">
        <w:t>234.8</w:t>
      </w:r>
      <w:r w:rsidR="0084223B">
        <w:t xml:space="preserve"> </w:t>
      </w:r>
      <w:r>
        <w:t>million ($</w:t>
      </w:r>
      <w:r w:rsidR="00F50687">
        <w:t> </w:t>
      </w:r>
      <w:r>
        <w:t xml:space="preserve">nominal). This is mainly because of </w:t>
      </w:r>
      <w:r w:rsidR="00232AC0">
        <w:t xml:space="preserve">changes to the application of the year-by-year tracking approach and </w:t>
      </w:r>
      <w:r>
        <w:t xml:space="preserve">our </w:t>
      </w:r>
      <w:r w:rsidR="00E83E84">
        <w:t xml:space="preserve">draft </w:t>
      </w:r>
      <w:r>
        <w:t>decision</w:t>
      </w:r>
      <w:r w:rsidR="00FB4141">
        <w:t>s</w:t>
      </w:r>
      <w:r w:rsidR="00E83E84">
        <w:t xml:space="preserve"> on components of AGN's proposal discussed</w:t>
      </w:r>
      <w:r w:rsidR="00FB4141">
        <w:t xml:space="preserve"> </w:t>
      </w:r>
      <w:r>
        <w:t xml:space="preserve">in other attachments </w:t>
      </w:r>
      <w:r w:rsidR="00E83E84">
        <w:t xml:space="preserve">which </w:t>
      </w:r>
      <w:r w:rsidR="00A54B50">
        <w:t xml:space="preserve">impact on the regulatory depreciation allowance. These </w:t>
      </w:r>
      <w:r>
        <w:t>include the</w:t>
      </w:r>
      <w:r w:rsidRPr="001C0783">
        <w:t xml:space="preserve"> opening </w:t>
      </w:r>
      <w:r>
        <w:t xml:space="preserve">capital base (attachment 2) and the </w:t>
      </w:r>
      <w:r w:rsidRPr="001C0783">
        <w:t xml:space="preserve">forecast </w:t>
      </w:r>
      <w:r>
        <w:t>cap</w:t>
      </w:r>
      <w:r w:rsidRPr="001C0783">
        <w:t>ex</w:t>
      </w:r>
      <w:r>
        <w:t xml:space="preserve"> (attachment 6).</w:t>
      </w:r>
    </w:p>
    <w:p w:rsidR="00102843" w:rsidRDefault="00102843" w:rsidP="00102843">
      <w:r w:rsidRPr="00A27483">
        <w:t xml:space="preserve">We </w:t>
      </w:r>
      <w:r>
        <w:t xml:space="preserve">accept the </w:t>
      </w:r>
      <w:r w:rsidRPr="00A27483">
        <w:t xml:space="preserve">standard asset lives </w:t>
      </w:r>
      <w:r>
        <w:t>proposed by AGN</w:t>
      </w:r>
      <w:r w:rsidRPr="00A27483">
        <w:t xml:space="preserve">. </w:t>
      </w:r>
      <w:r>
        <w:t xml:space="preserve">The standard asset lives </w:t>
      </w:r>
      <w:r w:rsidRPr="00A27483">
        <w:t xml:space="preserve">are consistent with the approved standard </w:t>
      </w:r>
      <w:r>
        <w:t>asset</w:t>
      </w:r>
      <w:r w:rsidRPr="00A27483">
        <w:t xml:space="preserve"> lives for the 201</w:t>
      </w:r>
      <w:r>
        <w:t>3</w:t>
      </w:r>
      <w:r w:rsidRPr="00A27483">
        <w:t>–1</w:t>
      </w:r>
      <w:r w:rsidR="0091001C">
        <w:t>7</w:t>
      </w:r>
      <w:r w:rsidRPr="00A27483">
        <w:t xml:space="preserve"> access arrangement </w:t>
      </w:r>
      <w:proofErr w:type="gramStart"/>
      <w:r w:rsidRPr="00A27483">
        <w:t>period</w:t>
      </w:r>
      <w:proofErr w:type="gramEnd"/>
      <w:r w:rsidRPr="00A27483">
        <w:t xml:space="preserve">. </w:t>
      </w:r>
      <w:r>
        <w:t>T</w:t>
      </w:r>
      <w:r w:rsidRPr="00A27483">
        <w:t xml:space="preserve">hey are </w:t>
      </w:r>
      <w:r>
        <w:t xml:space="preserve">also broadly </w:t>
      </w:r>
      <w:r w:rsidRPr="00A27483">
        <w:t xml:space="preserve">comparable with the standard asset lives approved in our recent </w:t>
      </w:r>
      <w:r w:rsidR="0091001C" w:rsidRPr="00A27483">
        <w:t>de</w:t>
      </w:r>
      <w:r w:rsidR="0091001C">
        <w:t>cisions</w:t>
      </w:r>
      <w:r w:rsidR="0091001C" w:rsidRPr="00A27483">
        <w:t xml:space="preserve"> </w:t>
      </w:r>
      <w:r w:rsidRPr="00A27483">
        <w:t>for other gas service providers.</w:t>
      </w:r>
      <w:r w:rsidRPr="00B07FFE">
        <w:rPr>
          <w:rStyle w:val="FootnoteReference"/>
        </w:rPr>
        <w:footnoteReference w:id="4"/>
      </w:r>
      <w:r w:rsidRPr="00B07FFE">
        <w:rPr>
          <w:rStyle w:val="FootnoteReference"/>
        </w:rPr>
        <w:t xml:space="preserve"> </w:t>
      </w:r>
      <w:r w:rsidR="005618F5">
        <w:t xml:space="preserve">However, AGN </w:t>
      </w:r>
      <w:r w:rsidR="00887574">
        <w:t>did n</w:t>
      </w:r>
      <w:r w:rsidR="005618F5">
        <w:t>o</w:t>
      </w:r>
      <w:r w:rsidR="00887574">
        <w:t>t</w:t>
      </w:r>
      <w:r w:rsidR="005618F5">
        <w:t xml:space="preserve"> provide a </w:t>
      </w:r>
      <w:bookmarkStart w:id="101" w:name="_GoBack"/>
      <w:bookmarkEnd w:id="101"/>
      <w:r w:rsidR="005618F5">
        <w:t xml:space="preserve">standard asset life for equity raising costs. We have determined this </w:t>
      </w:r>
      <w:r w:rsidR="005C2F24">
        <w:t xml:space="preserve">asset </w:t>
      </w:r>
      <w:r w:rsidR="005618F5">
        <w:t>life for the draft decision.</w:t>
      </w:r>
    </w:p>
    <w:p w:rsidR="00102843" w:rsidRDefault="00102843" w:rsidP="00102843">
      <w:r>
        <w:t xml:space="preserve">We </w:t>
      </w:r>
      <w:r w:rsidR="00E83E84">
        <w:t xml:space="preserve">also </w:t>
      </w:r>
      <w:r>
        <w:t xml:space="preserve">accept AGN’s proposed </w:t>
      </w:r>
      <w:r w:rsidR="00E83E84">
        <w:t>year-by-year</w:t>
      </w:r>
      <w:r>
        <w:t xml:space="preserve"> tracking approach</w:t>
      </w:r>
      <w:r w:rsidR="00E83E84">
        <w:t xml:space="preserve"> for depreciating its capital base</w:t>
      </w:r>
      <w:r>
        <w:t xml:space="preserve">. </w:t>
      </w:r>
      <w:r w:rsidR="00D67B82">
        <w:t xml:space="preserve">However, we have made changes in its application. </w:t>
      </w:r>
      <w:r w:rsidR="00842D16">
        <w:t>Our assessment is present</w:t>
      </w:r>
      <w:r>
        <w:t>ed in section</w:t>
      </w:r>
      <w:r w:rsidR="00842D16">
        <w:t xml:space="preserve"> </w:t>
      </w:r>
      <w:r w:rsidR="0091001C">
        <w:fldChar w:fldCharType="begin"/>
      </w:r>
      <w:r w:rsidR="0091001C">
        <w:instrText xml:space="preserve"> REF _Ref485212374 \r \h </w:instrText>
      </w:r>
      <w:r w:rsidR="0091001C">
        <w:fldChar w:fldCharType="separate"/>
      </w:r>
      <w:r w:rsidR="003D3A3B">
        <w:t>5.4.1</w:t>
      </w:r>
      <w:r w:rsidR="0091001C">
        <w:fldChar w:fldCharType="end"/>
      </w:r>
      <w:r>
        <w:t>.</w:t>
      </w:r>
    </w:p>
    <w:p w:rsidR="00320985" w:rsidRDefault="00E83E84" w:rsidP="00102843">
      <w:r>
        <w:t>Further, w</w:t>
      </w:r>
      <w:r w:rsidR="00320985" w:rsidRPr="00320985">
        <w:t xml:space="preserve">e accept </w:t>
      </w:r>
      <w:r w:rsidR="00320985">
        <w:t>AGN's</w:t>
      </w:r>
      <w:r w:rsidR="00320985" w:rsidRPr="00320985">
        <w:t xml:space="preserve"> proposed accelerated depreciation of mains and services to be replaced over the 2018</w:t>
      </w:r>
      <w:r w:rsidR="00E72EDF">
        <w:t>–22 access arrangement period</w:t>
      </w:r>
      <w:r w:rsidR="00320985" w:rsidRPr="00320985">
        <w:t xml:space="preserve">, as discussed in attachment 6. </w:t>
      </w:r>
    </w:p>
    <w:p w:rsidR="00102843" w:rsidRPr="00A27483" w:rsidRDefault="00A54B50" w:rsidP="00102843">
      <w:r>
        <w:fldChar w:fldCharType="begin"/>
      </w:r>
      <w:r>
        <w:instrText xml:space="preserve"> REF _Ref398282397 \h </w:instrText>
      </w:r>
      <w:r>
        <w:fldChar w:fldCharType="separate"/>
      </w:r>
      <w:r w:rsidR="003D3A3B" w:rsidRPr="001D3081">
        <w:t xml:space="preserve">Table </w:t>
      </w:r>
      <w:r w:rsidR="003D3A3B">
        <w:rPr>
          <w:noProof/>
        </w:rPr>
        <w:t>5</w:t>
      </w:r>
      <w:r w:rsidR="003D3A3B">
        <w:t>.</w:t>
      </w:r>
      <w:r w:rsidR="003D3A3B">
        <w:rPr>
          <w:noProof/>
        </w:rPr>
        <w:t>1</w:t>
      </w:r>
      <w:r>
        <w:fldChar w:fldCharType="end"/>
      </w:r>
      <w:r>
        <w:t xml:space="preserve"> sets out o</w:t>
      </w:r>
      <w:r w:rsidRPr="00A27483">
        <w:t xml:space="preserve">ur </w:t>
      </w:r>
      <w:r w:rsidR="00102843" w:rsidRPr="00A27483">
        <w:t xml:space="preserve">draft decision on </w:t>
      </w:r>
      <w:r w:rsidR="00102843">
        <w:t>AGN'</w:t>
      </w:r>
      <w:r w:rsidR="00102843" w:rsidRPr="00A27483">
        <w:t xml:space="preserve">s regulatory depreciation allowance </w:t>
      </w:r>
      <w:r w:rsidR="00102843">
        <w:t xml:space="preserve">for </w:t>
      </w:r>
      <w:r w:rsidR="00102843" w:rsidRPr="00A27483">
        <w:t>the 201</w:t>
      </w:r>
      <w:r w:rsidR="00102843">
        <w:t>8</w:t>
      </w:r>
      <w:r w:rsidR="00102843" w:rsidRPr="00A27483">
        <w:t>–2</w:t>
      </w:r>
      <w:r w:rsidR="00102843">
        <w:t>2</w:t>
      </w:r>
      <w:r w:rsidR="00102843" w:rsidRPr="00A27483">
        <w:t xml:space="preserve"> access arrangement </w:t>
      </w:r>
      <w:proofErr w:type="gramStart"/>
      <w:r w:rsidR="00102843" w:rsidRPr="00A27483">
        <w:t>period</w:t>
      </w:r>
      <w:proofErr w:type="gramEnd"/>
      <w:r w:rsidR="00102843" w:rsidRPr="00A27483">
        <w:t>.</w:t>
      </w:r>
    </w:p>
    <w:p w:rsidR="00102843" w:rsidRPr="001D3081" w:rsidRDefault="00102843" w:rsidP="007F6370">
      <w:pPr>
        <w:pStyle w:val="Caption"/>
      </w:pPr>
      <w:bookmarkStart w:id="102" w:name="_Ref398282397"/>
      <w:proofErr w:type="gramStart"/>
      <w:r w:rsidRPr="001D3081">
        <w:t xml:space="preserve">Table </w:t>
      </w:r>
      <w:proofErr w:type="gramEnd"/>
      <w:r w:rsidRPr="006273B7">
        <w:fldChar w:fldCharType="begin"/>
      </w:r>
      <w:r>
        <w:instrText xml:space="preserve"> STYLEREF 1 \s </w:instrText>
      </w:r>
      <w:r w:rsidRPr="006273B7">
        <w:fldChar w:fldCharType="separate"/>
      </w:r>
      <w:r w:rsidR="003D3A3B">
        <w:rPr>
          <w:noProof/>
        </w:rPr>
        <w:t>5</w:t>
      </w:r>
      <w:r w:rsidRPr="006273B7">
        <w:fldChar w:fldCharType="end"/>
      </w:r>
      <w:proofErr w:type="gramStart"/>
      <w:r>
        <w:t>.</w:t>
      </w:r>
      <w:proofErr w:type="gramEnd"/>
      <w:r w:rsidRPr="006273B7">
        <w:fldChar w:fldCharType="begin"/>
      </w:r>
      <w:r>
        <w:instrText xml:space="preserve"> SEQ Table \* ARABIC \s 1 </w:instrText>
      </w:r>
      <w:r w:rsidRPr="006273B7">
        <w:fldChar w:fldCharType="separate"/>
      </w:r>
      <w:r w:rsidR="003D3A3B">
        <w:rPr>
          <w:noProof/>
        </w:rPr>
        <w:t>1</w:t>
      </w:r>
      <w:r w:rsidRPr="006273B7">
        <w:fldChar w:fldCharType="end"/>
      </w:r>
      <w:bookmarkEnd w:id="102"/>
      <w:r w:rsidRPr="001D3081">
        <w:tab/>
        <w:t xml:space="preserve">AER’s draft decision on </w:t>
      </w:r>
      <w:r>
        <w:t>AGN</w:t>
      </w:r>
      <w:r w:rsidRPr="001D3081">
        <w:t xml:space="preserve">’s regulatory depreciation allowance for the </w:t>
      </w:r>
      <w:r>
        <w:t>2018–22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102843" w:rsidRPr="00A575B0" w:rsidTr="00D32A1D">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102843" w:rsidRPr="00A575B0" w:rsidRDefault="00102843" w:rsidP="007F6370">
            <w:pPr>
              <w:keepNext/>
            </w:pPr>
          </w:p>
        </w:tc>
        <w:tc>
          <w:tcPr>
            <w:tcW w:w="1031" w:type="dxa"/>
            <w:noWrap/>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t>20</w:t>
            </w:r>
            <w:r w:rsidRPr="00102843">
              <w:t>18</w:t>
            </w:r>
          </w:p>
        </w:tc>
        <w:tc>
          <w:tcPr>
            <w:tcW w:w="1031" w:type="dxa"/>
            <w:noWrap/>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t>20</w:t>
            </w:r>
            <w:r w:rsidRPr="00102843">
              <w:t>19</w:t>
            </w:r>
          </w:p>
        </w:tc>
        <w:tc>
          <w:tcPr>
            <w:tcW w:w="1031" w:type="dxa"/>
            <w:noWrap/>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t>20</w:t>
            </w:r>
            <w:r w:rsidRPr="00102843">
              <w:t>20</w:t>
            </w:r>
          </w:p>
        </w:tc>
        <w:tc>
          <w:tcPr>
            <w:tcW w:w="1031" w:type="dxa"/>
            <w:noWrap/>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t>20</w:t>
            </w:r>
            <w:r w:rsidRPr="00102843">
              <w:t>21</w:t>
            </w:r>
          </w:p>
        </w:tc>
        <w:tc>
          <w:tcPr>
            <w:tcW w:w="1031" w:type="dxa"/>
            <w:noWrap/>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t>20</w:t>
            </w:r>
            <w:r w:rsidRPr="00102843">
              <w:t>22</w:t>
            </w:r>
          </w:p>
        </w:tc>
        <w:tc>
          <w:tcPr>
            <w:tcW w:w="1031" w:type="dxa"/>
          </w:tcPr>
          <w:p w:rsidR="00102843" w:rsidRPr="00102843" w:rsidRDefault="00102843" w:rsidP="007F6370">
            <w:pPr>
              <w:keepNext/>
              <w:cnfStyle w:val="100000000000" w:firstRow="1" w:lastRow="0" w:firstColumn="0" w:lastColumn="0" w:oddVBand="0" w:evenVBand="0" w:oddHBand="0" w:evenHBand="0" w:firstRowFirstColumn="0" w:firstRowLastColumn="0" w:lastRowFirstColumn="0" w:lastRowLastColumn="0"/>
            </w:pPr>
            <w:r w:rsidRPr="00F77C82">
              <w:t>Total</w:t>
            </w:r>
          </w:p>
        </w:tc>
      </w:tr>
      <w:tr w:rsidR="00F50687" w:rsidRPr="009603F9" w:rsidTr="004D432A">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F50687" w:rsidRPr="00F50687" w:rsidRDefault="00F50687" w:rsidP="00F50687">
            <w:r w:rsidRPr="00F50687">
              <w:t>Straight-line depreciation</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79.5</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87.4</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98.4</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92.0</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98.3</w:t>
            </w:r>
          </w:p>
        </w:tc>
        <w:tc>
          <w:tcPr>
            <w:tcW w:w="1031" w:type="dxa"/>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pPr>
            <w:r w:rsidRPr="00F50687">
              <w:t>455.6</w:t>
            </w:r>
          </w:p>
        </w:tc>
      </w:tr>
      <w:tr w:rsidR="00F50687" w:rsidRPr="009603F9" w:rsidTr="004D432A">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F50687" w:rsidRPr="00F50687" w:rsidRDefault="00F50687" w:rsidP="00F50687">
            <w:r w:rsidRPr="00F50687">
              <w:rPr>
                <w:rStyle w:val="AERtextitalic"/>
              </w:rPr>
              <w:t>Less:</w:t>
            </w:r>
            <w:r w:rsidRPr="00F50687">
              <w:t xml:space="preserve"> indexation on capital base </w:t>
            </w:r>
          </w:p>
        </w:tc>
        <w:tc>
          <w:tcPr>
            <w:tcW w:w="1031" w:type="dxa"/>
            <w:noWrap/>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39.3</w:t>
            </w:r>
          </w:p>
        </w:tc>
        <w:tc>
          <w:tcPr>
            <w:tcW w:w="1031" w:type="dxa"/>
            <w:noWrap/>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41.2</w:t>
            </w:r>
          </w:p>
        </w:tc>
        <w:tc>
          <w:tcPr>
            <w:tcW w:w="1031" w:type="dxa"/>
            <w:noWrap/>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43.5</w:t>
            </w:r>
          </w:p>
        </w:tc>
        <w:tc>
          <w:tcPr>
            <w:tcW w:w="1031" w:type="dxa"/>
            <w:noWrap/>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45.5</w:t>
            </w:r>
          </w:p>
        </w:tc>
        <w:tc>
          <w:tcPr>
            <w:tcW w:w="1031" w:type="dxa"/>
            <w:noWrap/>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47.2</w:t>
            </w:r>
          </w:p>
        </w:tc>
        <w:tc>
          <w:tcPr>
            <w:tcW w:w="1031" w:type="dxa"/>
            <w:vAlign w:val="bottom"/>
          </w:tcPr>
          <w:p w:rsidR="00F50687" w:rsidRPr="00F50687" w:rsidRDefault="00F50687" w:rsidP="00F50687">
            <w:pPr>
              <w:cnfStyle w:val="000000010000" w:firstRow="0" w:lastRow="0" w:firstColumn="0" w:lastColumn="0" w:oddVBand="0" w:evenVBand="0" w:oddHBand="0" w:evenHBand="1" w:firstRowFirstColumn="0" w:firstRowLastColumn="0" w:lastRowFirstColumn="0" w:lastRowLastColumn="0"/>
            </w:pPr>
            <w:r w:rsidRPr="00F50687">
              <w:t>216.7</w:t>
            </w:r>
          </w:p>
        </w:tc>
      </w:tr>
      <w:tr w:rsidR="00F50687" w:rsidRPr="00F50687" w:rsidTr="004D432A">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F50687" w:rsidRPr="00F50687" w:rsidRDefault="00F50687" w:rsidP="00F50687">
            <w:pPr>
              <w:rPr>
                <w:rStyle w:val="Strong"/>
              </w:rPr>
            </w:pPr>
            <w:r w:rsidRPr="00F50687">
              <w:rPr>
                <w:rStyle w:val="Strong"/>
              </w:rPr>
              <w:t>Regulatory depreciation</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40.3</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46.2</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54.9</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46.5</w:t>
            </w:r>
          </w:p>
        </w:tc>
        <w:tc>
          <w:tcPr>
            <w:tcW w:w="1031" w:type="dxa"/>
            <w:noWrap/>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51.1</w:t>
            </w:r>
          </w:p>
        </w:tc>
        <w:tc>
          <w:tcPr>
            <w:tcW w:w="1031" w:type="dxa"/>
            <w:vAlign w:val="bottom"/>
          </w:tcPr>
          <w:p w:rsidR="00F50687" w:rsidRPr="00F50687" w:rsidRDefault="00F50687" w:rsidP="00F50687">
            <w:pPr>
              <w:cnfStyle w:val="000000000000" w:firstRow="0" w:lastRow="0" w:firstColumn="0" w:lastColumn="0" w:oddVBand="0" w:evenVBand="0" w:oddHBand="0" w:evenHBand="0" w:firstRowFirstColumn="0" w:firstRowLastColumn="0" w:lastRowFirstColumn="0" w:lastRowLastColumn="0"/>
              <w:rPr>
                <w:rStyle w:val="Strong"/>
              </w:rPr>
            </w:pPr>
            <w:r w:rsidRPr="00F50687">
              <w:rPr>
                <w:rStyle w:val="Strong"/>
              </w:rPr>
              <w:t>238.9</w:t>
            </w:r>
          </w:p>
        </w:tc>
      </w:tr>
    </w:tbl>
    <w:p w:rsidR="00132D43" w:rsidRDefault="00102843" w:rsidP="007F6370">
      <w:pPr>
        <w:pStyle w:val="AERtablesource"/>
        <w:keepNext/>
      </w:pPr>
      <w:r>
        <w:t xml:space="preserve">Source: </w:t>
      </w:r>
      <w:r>
        <w:tab/>
        <w:t xml:space="preserve">AER analysis. </w:t>
      </w:r>
    </w:p>
    <w:p w:rsidR="00132D43" w:rsidRDefault="00D5015C" w:rsidP="00132D43">
      <w:pPr>
        <w:pStyle w:val="Heading2"/>
      </w:pPr>
      <w:bookmarkStart w:id="103" w:name="_Toc486832328"/>
      <w:r>
        <w:t>AGN</w:t>
      </w:r>
      <w:r w:rsidR="00132D43">
        <w:t>’s proposal</w:t>
      </w:r>
      <w:bookmarkEnd w:id="103"/>
    </w:p>
    <w:p w:rsidR="00A226D5" w:rsidRDefault="00A226D5" w:rsidP="00A226D5">
      <w:r>
        <w:t xml:space="preserve">AGN used the AER's post-tax revenue model (PTRM) to calculate the forecast depreciation for the 2018–22 access arrangement </w:t>
      </w:r>
      <w:proofErr w:type="gramStart"/>
      <w:r>
        <w:t>period</w:t>
      </w:r>
      <w:proofErr w:type="gramEnd"/>
      <w:r>
        <w:t xml:space="preserve">. Its </w:t>
      </w:r>
      <w:r w:rsidRPr="00CA36EA">
        <w:t xml:space="preserve">proposed </w:t>
      </w:r>
      <w:r>
        <w:t xml:space="preserve">regulatory </w:t>
      </w:r>
      <w:r w:rsidRPr="00CA36EA">
        <w:t xml:space="preserve">depreciation for </w:t>
      </w:r>
      <w:r>
        <w:t>the</w:t>
      </w:r>
      <w:r w:rsidRPr="00CA36EA">
        <w:t xml:space="preserve"> </w:t>
      </w:r>
      <w:r>
        <w:t>2018–22</w:t>
      </w:r>
      <w:r w:rsidRPr="00CA36EA">
        <w:t xml:space="preserve"> access arrangement </w:t>
      </w:r>
      <w:proofErr w:type="gramStart"/>
      <w:r w:rsidRPr="00CA36EA">
        <w:t>period</w:t>
      </w:r>
      <w:proofErr w:type="gramEnd"/>
      <w:r w:rsidRPr="00CA36EA">
        <w:t xml:space="preserve"> is set out in</w:t>
      </w:r>
      <w:r>
        <w:t xml:space="preserve"> </w:t>
      </w:r>
      <w:r>
        <w:fldChar w:fldCharType="begin"/>
      </w:r>
      <w:r>
        <w:instrText xml:space="preserve"> REF  _Ref398892142 \* Lower \h  \* MERGEFORMAT </w:instrText>
      </w:r>
      <w:r>
        <w:fldChar w:fldCharType="separate"/>
      </w:r>
      <w:r w:rsidR="003D3A3B">
        <w:t>table 5.2</w:t>
      </w:r>
      <w:r>
        <w:fldChar w:fldCharType="end"/>
      </w:r>
      <w:r>
        <w:t>.</w:t>
      </w:r>
    </w:p>
    <w:p w:rsidR="00E864D4" w:rsidRDefault="00E864D4" w:rsidP="00A226D5">
      <w:r w:rsidRPr="00E864D4">
        <w:t>A</w:t>
      </w:r>
      <w:r w:rsidR="00E83E84">
        <w:t>GN</w:t>
      </w:r>
      <w:r w:rsidRPr="00E864D4">
        <w:t xml:space="preserve"> proposed </w:t>
      </w:r>
      <w:r w:rsidR="00E83E84">
        <w:t>the</w:t>
      </w:r>
      <w:r w:rsidRPr="00E864D4">
        <w:t xml:space="preserve"> year</w:t>
      </w:r>
      <w:r w:rsidR="00E83E84">
        <w:t>-</w:t>
      </w:r>
      <w:r w:rsidRPr="00E864D4">
        <w:t>by</w:t>
      </w:r>
      <w:r w:rsidR="00E83E84">
        <w:t>-</w:t>
      </w:r>
      <w:r w:rsidRPr="00E864D4">
        <w:t>year tracking approach to depreciation</w:t>
      </w:r>
      <w:r w:rsidR="00E83E84">
        <w:t>, which implements the straight-line method</w:t>
      </w:r>
      <w:r w:rsidRPr="00E864D4">
        <w:t>.</w:t>
      </w:r>
      <w:r w:rsidR="00DE400C">
        <w:rPr>
          <w:rStyle w:val="FootnoteReference"/>
        </w:rPr>
        <w:footnoteReference w:id="5"/>
      </w:r>
      <w:r w:rsidRPr="00E864D4">
        <w:t xml:space="preserve"> It also proposed </w:t>
      </w:r>
      <w:r>
        <w:t>accelerated depreciation o</w:t>
      </w:r>
      <w:r w:rsidR="00E83E84">
        <w:t>f its mains and services assets</w:t>
      </w:r>
      <w:r>
        <w:t xml:space="preserve"> </w:t>
      </w:r>
      <w:r w:rsidR="00DA25DC">
        <w:t>(</w:t>
      </w:r>
      <w:r>
        <w:t>distribution pipelines</w:t>
      </w:r>
      <w:r w:rsidR="00DA25DC">
        <w:t>)</w:t>
      </w:r>
      <w:r>
        <w:t xml:space="preserve"> it plans to replace</w:t>
      </w:r>
      <w:r w:rsidRPr="00E864D4">
        <w:t>.</w:t>
      </w:r>
      <w:r w:rsidR="00DE400C">
        <w:rPr>
          <w:rStyle w:val="FootnoteReference"/>
        </w:rPr>
        <w:footnoteReference w:id="6"/>
      </w:r>
      <w:r w:rsidRPr="00E864D4">
        <w:t xml:space="preserve">  Besides these changes, its approach to depreciation is proposed to be the same as the current access arrangement.</w:t>
      </w:r>
    </w:p>
    <w:p w:rsidR="00A226D5" w:rsidRPr="005B5FC5" w:rsidRDefault="00A226D5" w:rsidP="007F6370">
      <w:pPr>
        <w:pStyle w:val="Caption"/>
      </w:pPr>
      <w:bookmarkStart w:id="104" w:name="_Ref398892142"/>
      <w:proofErr w:type="gramStart"/>
      <w:r>
        <w:t xml:space="preserve">Table </w:t>
      </w:r>
      <w:proofErr w:type="gramEnd"/>
      <w:r w:rsidRPr="00A226D5">
        <w:fldChar w:fldCharType="begin"/>
      </w:r>
      <w:r>
        <w:instrText xml:space="preserve"> STYLEREF 1 \s </w:instrText>
      </w:r>
      <w:r w:rsidRPr="00A226D5">
        <w:fldChar w:fldCharType="separate"/>
      </w:r>
      <w:r w:rsidR="003D3A3B">
        <w:rPr>
          <w:noProof/>
        </w:rPr>
        <w:t>5</w:t>
      </w:r>
      <w:r w:rsidRPr="00A226D5">
        <w:fldChar w:fldCharType="end"/>
      </w:r>
      <w:proofErr w:type="gramStart"/>
      <w:r>
        <w:t>.</w:t>
      </w:r>
      <w:proofErr w:type="gramEnd"/>
      <w:r w:rsidRPr="00A226D5">
        <w:fldChar w:fldCharType="begin"/>
      </w:r>
      <w:r>
        <w:instrText xml:space="preserve"> SEQ Table \* ARABIC \s 1 </w:instrText>
      </w:r>
      <w:r w:rsidRPr="00A226D5">
        <w:fldChar w:fldCharType="separate"/>
      </w:r>
      <w:r w:rsidR="003D3A3B">
        <w:rPr>
          <w:noProof/>
        </w:rPr>
        <w:t>2</w:t>
      </w:r>
      <w:r w:rsidRPr="00A226D5">
        <w:fldChar w:fldCharType="end"/>
      </w:r>
      <w:bookmarkEnd w:id="104"/>
      <w:r w:rsidRPr="005B5FC5">
        <w:tab/>
      </w:r>
      <w:r>
        <w:t>AGN</w:t>
      </w:r>
      <w:r w:rsidRPr="005B5FC5">
        <w:t>’s proposed regulatory depreciation for the 201</w:t>
      </w:r>
      <w:r>
        <w:t>8</w:t>
      </w:r>
      <w:r w:rsidRPr="005B5FC5">
        <w:t>–2</w:t>
      </w:r>
      <w:r>
        <w:t>2</w:t>
      </w:r>
      <w:r w:rsidRPr="005B5FC5">
        <w:t xml:space="preserve"> 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A226D5" w:rsidRPr="00A575B0" w:rsidTr="00D32A1D">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A226D5" w:rsidRPr="00A575B0" w:rsidRDefault="00A226D5" w:rsidP="007F6370">
            <w:pPr>
              <w:keepNext/>
            </w:pPr>
          </w:p>
        </w:tc>
        <w:tc>
          <w:tcPr>
            <w:tcW w:w="1032" w:type="dxa"/>
            <w:noWrap/>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t>20</w:t>
            </w:r>
            <w:r w:rsidRPr="00A226D5">
              <w:t>18</w:t>
            </w:r>
          </w:p>
        </w:tc>
        <w:tc>
          <w:tcPr>
            <w:tcW w:w="1032" w:type="dxa"/>
            <w:noWrap/>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t>20</w:t>
            </w:r>
            <w:r w:rsidRPr="00964F02">
              <w:t>19</w:t>
            </w:r>
          </w:p>
        </w:tc>
        <w:tc>
          <w:tcPr>
            <w:tcW w:w="1032" w:type="dxa"/>
            <w:noWrap/>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t>20</w:t>
            </w:r>
            <w:r w:rsidRPr="00964F02">
              <w:t>20</w:t>
            </w:r>
          </w:p>
        </w:tc>
        <w:tc>
          <w:tcPr>
            <w:tcW w:w="1032" w:type="dxa"/>
            <w:noWrap/>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t>20</w:t>
            </w:r>
            <w:r w:rsidRPr="00964F02">
              <w:t>21</w:t>
            </w:r>
          </w:p>
        </w:tc>
        <w:tc>
          <w:tcPr>
            <w:tcW w:w="1032" w:type="dxa"/>
            <w:noWrap/>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t>20</w:t>
            </w:r>
            <w:r w:rsidRPr="00A226D5">
              <w:t>22</w:t>
            </w:r>
          </w:p>
        </w:tc>
        <w:tc>
          <w:tcPr>
            <w:tcW w:w="1032" w:type="dxa"/>
          </w:tcPr>
          <w:p w:rsidR="00A226D5" w:rsidRPr="00A226D5" w:rsidRDefault="00A226D5" w:rsidP="007F6370">
            <w:pPr>
              <w:keepNext/>
              <w:cnfStyle w:val="100000000000" w:firstRow="1" w:lastRow="0" w:firstColumn="0" w:lastColumn="0" w:oddVBand="0" w:evenVBand="0" w:oddHBand="0" w:evenHBand="0" w:firstRowFirstColumn="0" w:firstRowLastColumn="0" w:lastRowFirstColumn="0" w:lastRowLastColumn="0"/>
            </w:pPr>
            <w:r w:rsidRPr="00964F02">
              <w:t>Total</w:t>
            </w:r>
          </w:p>
        </w:tc>
      </w:tr>
      <w:tr w:rsidR="00A226D5" w:rsidRPr="009603F9" w:rsidTr="00D32A1D">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A226D5" w:rsidRPr="00A226D5" w:rsidRDefault="00A226D5" w:rsidP="007F6370">
            <w:pPr>
              <w:keepNext/>
            </w:pPr>
            <w:r w:rsidRPr="002D595E">
              <w:t>Straight-line depreciation</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pPr>
            <w:r>
              <w:t>80.1</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pPr>
            <w:r>
              <w:t>88.0</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pPr>
            <w:r>
              <w:t>93.3</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pPr>
            <w:r>
              <w:t>90.0</w:t>
            </w:r>
            <w:r w:rsidR="00A226D5" w:rsidRPr="002D595E">
              <w:t xml:space="preserve"> </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pPr>
            <w:r>
              <w:t>96.3</w:t>
            </w:r>
            <w:r w:rsidR="00A226D5" w:rsidRPr="002D595E">
              <w:t xml:space="preserve">        </w:t>
            </w:r>
          </w:p>
        </w:tc>
        <w:tc>
          <w:tcPr>
            <w:tcW w:w="1032" w:type="dxa"/>
          </w:tcPr>
          <w:p w:rsidR="00A226D5" w:rsidRPr="00A226D5" w:rsidRDefault="00232AC0" w:rsidP="007F6370">
            <w:pPr>
              <w:keepNext/>
              <w:cnfStyle w:val="000000000000" w:firstRow="0" w:lastRow="0" w:firstColumn="0" w:lastColumn="0" w:oddVBand="0" w:evenVBand="0" w:oddHBand="0" w:evenHBand="0" w:firstRowFirstColumn="0" w:firstRowLastColumn="0" w:lastRowFirstColumn="0" w:lastRowLastColumn="0"/>
            </w:pPr>
            <w:r>
              <w:t>447.7</w:t>
            </w:r>
          </w:p>
        </w:tc>
      </w:tr>
      <w:tr w:rsidR="00A226D5" w:rsidRPr="009603F9" w:rsidTr="00D32A1D">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A226D5" w:rsidRPr="00A226D5" w:rsidRDefault="00A226D5" w:rsidP="007F6370">
            <w:pPr>
              <w:keepNext/>
            </w:pPr>
            <w:r w:rsidRPr="002D595E">
              <w:rPr>
                <w:rStyle w:val="AERtextitalic"/>
              </w:rPr>
              <w:t xml:space="preserve">Less: </w:t>
            </w:r>
            <w:r w:rsidRPr="00A226D5">
              <w:t xml:space="preserve">indexation on capital base </w:t>
            </w:r>
          </w:p>
        </w:tc>
        <w:tc>
          <w:tcPr>
            <w:tcW w:w="1032" w:type="dxa"/>
            <w:noWrap/>
            <w:vAlign w:val="bottom"/>
          </w:tcPr>
          <w:p w:rsidR="00A226D5" w:rsidRPr="00A226D5" w:rsidRDefault="00E864D4" w:rsidP="007F6370">
            <w:pPr>
              <w:keepNext/>
              <w:cnfStyle w:val="000000010000" w:firstRow="0" w:lastRow="0" w:firstColumn="0" w:lastColumn="0" w:oddVBand="0" w:evenVBand="0" w:oddHBand="0" w:evenHBand="1" w:firstRowFirstColumn="0" w:firstRowLastColumn="0" w:lastRowFirstColumn="0" w:lastRowLastColumn="0"/>
            </w:pPr>
            <w:r>
              <w:t>38.6</w:t>
            </w:r>
          </w:p>
        </w:tc>
        <w:tc>
          <w:tcPr>
            <w:tcW w:w="1032" w:type="dxa"/>
            <w:noWrap/>
            <w:vAlign w:val="bottom"/>
          </w:tcPr>
          <w:p w:rsidR="00A226D5" w:rsidRPr="00A226D5" w:rsidRDefault="00E864D4" w:rsidP="007F6370">
            <w:pPr>
              <w:keepNext/>
              <w:cnfStyle w:val="000000010000" w:firstRow="0" w:lastRow="0" w:firstColumn="0" w:lastColumn="0" w:oddVBand="0" w:evenVBand="0" w:oddHBand="0" w:evenHBand="1" w:firstRowFirstColumn="0" w:firstRowLastColumn="0" w:lastRowFirstColumn="0" w:lastRowLastColumn="0"/>
            </w:pPr>
            <w:r>
              <w:t>40.4</w:t>
            </w:r>
          </w:p>
        </w:tc>
        <w:tc>
          <w:tcPr>
            <w:tcW w:w="1032" w:type="dxa"/>
            <w:noWrap/>
            <w:vAlign w:val="bottom"/>
          </w:tcPr>
          <w:p w:rsidR="00A226D5" w:rsidRPr="00A226D5" w:rsidRDefault="00E864D4" w:rsidP="007F6370">
            <w:pPr>
              <w:keepNext/>
              <w:cnfStyle w:val="000000010000" w:firstRow="0" w:lastRow="0" w:firstColumn="0" w:lastColumn="0" w:oddVBand="0" w:evenVBand="0" w:oddHBand="0" w:evenHBand="1" w:firstRowFirstColumn="0" w:firstRowLastColumn="0" w:lastRowFirstColumn="0" w:lastRowLastColumn="0"/>
            </w:pPr>
            <w:r>
              <w:t>42.6</w:t>
            </w:r>
            <w:r w:rsidR="00A226D5" w:rsidRPr="002D595E">
              <w:t xml:space="preserve">          </w:t>
            </w:r>
          </w:p>
        </w:tc>
        <w:tc>
          <w:tcPr>
            <w:tcW w:w="1032" w:type="dxa"/>
            <w:noWrap/>
            <w:vAlign w:val="bottom"/>
          </w:tcPr>
          <w:p w:rsidR="00A226D5" w:rsidRPr="00A226D5" w:rsidRDefault="00E864D4" w:rsidP="007F6370">
            <w:pPr>
              <w:keepNext/>
              <w:cnfStyle w:val="000000010000" w:firstRow="0" w:lastRow="0" w:firstColumn="0" w:lastColumn="0" w:oddVBand="0" w:evenVBand="0" w:oddHBand="0" w:evenHBand="1" w:firstRowFirstColumn="0" w:firstRowLastColumn="0" w:lastRowFirstColumn="0" w:lastRowLastColumn="0"/>
            </w:pPr>
            <w:r>
              <w:t>44.7</w:t>
            </w:r>
            <w:r w:rsidR="00A226D5" w:rsidRPr="002D595E">
              <w:t xml:space="preserve">          </w:t>
            </w:r>
          </w:p>
        </w:tc>
        <w:tc>
          <w:tcPr>
            <w:tcW w:w="1032" w:type="dxa"/>
            <w:noWrap/>
            <w:vAlign w:val="bottom"/>
          </w:tcPr>
          <w:p w:rsidR="00A226D5" w:rsidRPr="00A226D5" w:rsidRDefault="00E864D4" w:rsidP="007F6370">
            <w:pPr>
              <w:keepNext/>
              <w:cnfStyle w:val="000000010000" w:firstRow="0" w:lastRow="0" w:firstColumn="0" w:lastColumn="0" w:oddVBand="0" w:evenVBand="0" w:oddHBand="0" w:evenHBand="1" w:firstRowFirstColumn="0" w:firstRowLastColumn="0" w:lastRowFirstColumn="0" w:lastRowLastColumn="0"/>
            </w:pPr>
            <w:r>
              <w:t>46.4</w:t>
            </w:r>
            <w:r w:rsidR="00A226D5" w:rsidRPr="002D595E">
              <w:t xml:space="preserve">          </w:t>
            </w:r>
          </w:p>
        </w:tc>
        <w:tc>
          <w:tcPr>
            <w:tcW w:w="1032" w:type="dxa"/>
          </w:tcPr>
          <w:p w:rsidR="00A226D5" w:rsidRPr="00A226D5" w:rsidRDefault="00232AC0" w:rsidP="007F6370">
            <w:pPr>
              <w:keepNext/>
              <w:cnfStyle w:val="000000010000" w:firstRow="0" w:lastRow="0" w:firstColumn="0" w:lastColumn="0" w:oddVBand="0" w:evenVBand="0" w:oddHBand="0" w:evenHBand="1" w:firstRowFirstColumn="0" w:firstRowLastColumn="0" w:lastRowFirstColumn="0" w:lastRowLastColumn="0"/>
            </w:pPr>
            <w:r>
              <w:t>212.8</w:t>
            </w:r>
          </w:p>
        </w:tc>
      </w:tr>
      <w:tr w:rsidR="00A226D5" w:rsidRPr="00A575B0" w:rsidTr="00D32A1D">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A226D5" w:rsidRPr="00A226D5" w:rsidRDefault="00A226D5" w:rsidP="007F6370">
            <w:pPr>
              <w:keepNext/>
              <w:rPr>
                <w:rStyle w:val="Strong"/>
              </w:rPr>
            </w:pPr>
            <w:r w:rsidRPr="002D595E">
              <w:rPr>
                <w:rStyle w:val="Strong"/>
              </w:rPr>
              <w:t>Regulatory depreciation</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41.5</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47.6</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50.7</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45.2</w:t>
            </w:r>
          </w:p>
        </w:tc>
        <w:tc>
          <w:tcPr>
            <w:tcW w:w="1032" w:type="dxa"/>
            <w:noWrap/>
            <w:vAlign w:val="bottom"/>
          </w:tcPr>
          <w:p w:rsidR="00A226D5" w:rsidRPr="00A226D5" w:rsidRDefault="00E864D4"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49.9</w:t>
            </w:r>
          </w:p>
        </w:tc>
        <w:tc>
          <w:tcPr>
            <w:tcW w:w="1032" w:type="dxa"/>
          </w:tcPr>
          <w:p w:rsidR="00A226D5" w:rsidRPr="00A226D5" w:rsidRDefault="00232AC0" w:rsidP="007F6370">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234.8</w:t>
            </w:r>
          </w:p>
        </w:tc>
      </w:tr>
    </w:tbl>
    <w:p w:rsidR="003503A7" w:rsidRPr="003503A7" w:rsidRDefault="00A226D5" w:rsidP="000C3953">
      <w:pPr>
        <w:pStyle w:val="AERtablesource"/>
      </w:pPr>
      <w:r w:rsidRPr="00A226D5">
        <w:rPr>
          <w:rFonts w:eastAsia="Calibri"/>
        </w:rPr>
        <w:t xml:space="preserve">Source: </w:t>
      </w:r>
      <w:r w:rsidRPr="00A226D5">
        <w:rPr>
          <w:rFonts w:eastAsia="Calibri"/>
        </w:rPr>
        <w:tab/>
      </w:r>
      <w:r w:rsidR="0091001C" w:rsidRPr="000C3953">
        <w:rPr>
          <w:rStyle w:val="AERtextitalic"/>
          <w:i w:val="0"/>
        </w:rPr>
        <w:t>AGN</w:t>
      </w:r>
      <w:r w:rsidR="0091001C" w:rsidRPr="0091001C">
        <w:rPr>
          <w:rStyle w:val="AERtextitalic"/>
        </w:rPr>
        <w:t xml:space="preserve"> - Final Plan - Access Arrangement Information for our Victorian and Albury natural gas distribution networks 2018-2022 - </w:t>
      </w:r>
      <w:r w:rsidR="0091001C" w:rsidRPr="000C3953">
        <w:rPr>
          <w:rStyle w:val="AERtextitalic"/>
          <w:i w:val="0"/>
        </w:rPr>
        <w:t>20161222</w:t>
      </w:r>
      <w:r w:rsidR="00DE400C">
        <w:rPr>
          <w:rStyle w:val="AERtextitalic"/>
          <w:rFonts w:eastAsia="Calibri"/>
        </w:rPr>
        <w:t>,</w:t>
      </w:r>
      <w:r w:rsidR="00E864D4">
        <w:rPr>
          <w:rStyle w:val="AERtextitalic"/>
        </w:rPr>
        <w:t xml:space="preserve"> </w:t>
      </w:r>
      <w:r w:rsidR="00E864D4" w:rsidRPr="000C3953">
        <w:rPr>
          <w:rStyle w:val="AERtextitalic"/>
          <w:i w:val="0"/>
        </w:rPr>
        <w:t>p.</w:t>
      </w:r>
      <w:r w:rsidR="00D32A1D" w:rsidRPr="000C3953">
        <w:rPr>
          <w:rStyle w:val="AERtextitalic"/>
          <w:i w:val="0"/>
        </w:rPr>
        <w:t xml:space="preserve"> </w:t>
      </w:r>
      <w:r w:rsidR="00E864D4" w:rsidRPr="000C3953">
        <w:rPr>
          <w:rStyle w:val="AERtextitalic"/>
          <w:i w:val="0"/>
        </w:rPr>
        <w:t>112</w:t>
      </w:r>
      <w:r w:rsidRPr="005B5FC5">
        <w:rPr>
          <w:rStyle w:val="AERtextitalic"/>
        </w:rPr>
        <w:t>.</w:t>
      </w:r>
    </w:p>
    <w:p w:rsidR="00132D43" w:rsidRDefault="00132D43" w:rsidP="00132D43">
      <w:pPr>
        <w:pStyle w:val="Heading2"/>
      </w:pPr>
      <w:bookmarkStart w:id="105" w:name="_Toc486832329"/>
      <w:r>
        <w:t>Assessment approach</w:t>
      </w:r>
      <w:bookmarkEnd w:id="105"/>
    </w:p>
    <w:p w:rsidR="00A226D5" w:rsidRDefault="00A226D5" w:rsidP="00A226D5">
      <w:r w:rsidRPr="00471C48">
        <w:t xml:space="preserve">In its access arrangement proposal, </w:t>
      </w:r>
      <w:r w:rsidR="001E30A5">
        <w:t>AGN</w:t>
      </w:r>
      <w:r w:rsidRPr="00471C48">
        <w:t xml:space="preserve"> must provide a forecast of depreciation for the </w:t>
      </w:r>
      <w:r w:rsidR="0021235B">
        <w:t>2018</w:t>
      </w:r>
      <w:r>
        <w:t>–22</w:t>
      </w:r>
      <w:r w:rsidRPr="00471C48">
        <w:t xml:space="preserve"> access arrangement </w:t>
      </w:r>
      <w:proofErr w:type="gramStart"/>
      <w:r w:rsidRPr="00471C48">
        <w:t>period</w:t>
      </w:r>
      <w:proofErr w:type="gramEnd"/>
      <w:r w:rsidRPr="00471C48">
        <w:t>, including a demonstration of how the forecast is derived on the basis of the proposed depreciation method.</w:t>
      </w:r>
      <w:r w:rsidRPr="00471C48">
        <w:rPr>
          <w:rStyle w:val="FootnoteReference"/>
        </w:rPr>
        <w:footnoteReference w:id="7"/>
      </w:r>
      <w:r w:rsidRPr="00471C48">
        <w:t xml:space="preserve"> </w:t>
      </w:r>
    </w:p>
    <w:p w:rsidR="00A226D5" w:rsidRPr="006E4103" w:rsidRDefault="00A226D5" w:rsidP="00A226D5">
      <w:r w:rsidRPr="006E4103">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6E4103">
        <w:rPr>
          <w:rStyle w:val="FootnoteReference"/>
        </w:rPr>
        <w:footnoteReference w:id="8"/>
      </w:r>
      <w:r w:rsidRPr="006E4103">
        <w:t xml:space="preserve"> In making a decision on the proposed depreciation schedule, we assess the compliance of the proposed depreciation schedule with the depreciation criteria set out in the NG</w:t>
      </w:r>
      <w:r w:rsidRPr="006E4103">
        <w:rPr>
          <w:rStyle w:val="AERbody"/>
        </w:rPr>
        <w:t>R.</w:t>
      </w:r>
      <w:r w:rsidRPr="006E4103">
        <w:rPr>
          <w:rStyle w:val="FootnoteReference"/>
        </w:rPr>
        <w:footnoteReference w:id="9"/>
      </w:r>
      <w:r w:rsidRPr="006E4103">
        <w:rPr>
          <w:rStyle w:val="AERbody"/>
        </w:rPr>
        <w:t xml:space="preserve"> </w:t>
      </w:r>
      <w:r>
        <w:t>We</w:t>
      </w:r>
      <w:r w:rsidRPr="00471C48">
        <w:t xml:space="preserve"> must also take into account the NGO and the revenue and pricing principles.</w:t>
      </w:r>
      <w:r w:rsidRPr="00471C48">
        <w:rPr>
          <w:rStyle w:val="FootnoteReference"/>
        </w:rPr>
        <w:footnoteReference w:id="10"/>
      </w:r>
    </w:p>
    <w:p w:rsidR="00A226D5" w:rsidRPr="00471C48" w:rsidRDefault="00A226D5" w:rsidP="00A226D5">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1"/>
      </w:r>
      <w:r w:rsidRPr="00471C48">
        <w:rPr>
          <w:rStyle w:val="AERbody"/>
        </w:rPr>
        <w:t xml:space="preserve"> The depreciation criteria state that </w:t>
      </w:r>
      <w:r w:rsidRPr="00471C48">
        <w:t>the depreciation schedule should be designed:</w:t>
      </w:r>
    </w:p>
    <w:p w:rsidR="00A226D5" w:rsidRPr="00A226D5" w:rsidRDefault="00A226D5" w:rsidP="00A226D5">
      <w:pPr>
        <w:pStyle w:val="AERbulletlistfirststyle"/>
      </w:pPr>
      <w:r w:rsidRPr="00B9583E">
        <w:t>so that reference tariffs will vary, over time, in a way that promotes efficient growth in the market for reference services</w:t>
      </w:r>
      <w:r w:rsidRPr="00A226D5">
        <w:rPr>
          <w:rStyle w:val="FootnoteReference"/>
        </w:rPr>
        <w:footnoteReference w:id="12"/>
      </w:r>
    </w:p>
    <w:p w:rsidR="00A226D5" w:rsidRPr="00A226D5" w:rsidRDefault="00A226D5" w:rsidP="00A226D5">
      <w:pPr>
        <w:pStyle w:val="AERbulletlistfirststyle"/>
      </w:pPr>
      <w:r w:rsidRPr="00B9583E">
        <w:t>so that each asset or group of assets is depreciated over the economic life of that asset or group of assets</w:t>
      </w:r>
      <w:r w:rsidRPr="00A226D5">
        <w:rPr>
          <w:rStyle w:val="FootnoteReference"/>
        </w:rPr>
        <w:footnoteReference w:id="13"/>
      </w:r>
    </w:p>
    <w:p w:rsidR="00A226D5" w:rsidRPr="00A226D5" w:rsidRDefault="00A226D5" w:rsidP="00A226D5">
      <w:pPr>
        <w:pStyle w:val="AERbulletlistfirststyle"/>
      </w:pPr>
      <w:r w:rsidRPr="00B9583E">
        <w:t>so as to allow, as far as reasonably practicable, for adjustment reflecting changes in the expected economic life of a particular asset, or a particular group of assets</w:t>
      </w:r>
      <w:r w:rsidRPr="00A226D5">
        <w:rPr>
          <w:rStyle w:val="FootnoteReference"/>
        </w:rPr>
        <w:footnoteReference w:id="14"/>
      </w:r>
    </w:p>
    <w:p w:rsidR="00A226D5" w:rsidRPr="00A226D5" w:rsidRDefault="00A226D5" w:rsidP="00A226D5">
      <w:pPr>
        <w:pStyle w:val="AERbulletlistfirststyle"/>
      </w:pPr>
      <w:r w:rsidRPr="00B9583E">
        <w:t xml:space="preserve">so that (subject to the rules about capital redundancy), an </w:t>
      </w:r>
      <w:r w:rsidRPr="00A226D5">
        <w:t>asset is depreciated only once</w:t>
      </w:r>
      <w:r w:rsidRPr="00A226D5">
        <w:rPr>
          <w:rStyle w:val="FootnoteReference"/>
        </w:rPr>
        <w:footnoteReference w:id="15"/>
      </w:r>
      <w:r w:rsidRPr="00A226D5">
        <w:t xml:space="preserve"> </w:t>
      </w:r>
    </w:p>
    <w:p w:rsidR="00A226D5" w:rsidRPr="00A226D5" w:rsidRDefault="00A226D5" w:rsidP="00A226D5">
      <w:pPr>
        <w:pStyle w:val="AERbulletlistfirststyle"/>
      </w:pPr>
      <w:proofErr w:type="gramStart"/>
      <w:r w:rsidRPr="00B9583E">
        <w:t>so</w:t>
      </w:r>
      <w:proofErr w:type="gramEnd"/>
      <w:r w:rsidRPr="00B9583E">
        <w:t xml:space="preserve"> as to allow for the service provider's reasonable needs for cash flow to meet financing, non-capital and other costs.</w:t>
      </w:r>
      <w:r w:rsidRPr="00A226D5">
        <w:rPr>
          <w:rStyle w:val="FootnoteReference"/>
        </w:rPr>
        <w:footnoteReference w:id="16"/>
      </w:r>
    </w:p>
    <w:p w:rsidR="00A226D5" w:rsidRDefault="00A226D5" w:rsidP="00A226D5">
      <w:r w:rsidRPr="00471C48">
        <w:t xml:space="preserve">The depreciation criteria also </w:t>
      </w:r>
      <w:r w:rsidR="001B7E71">
        <w:t>provide that</w:t>
      </w:r>
      <w:r>
        <w:t xml:space="preserve"> </w:t>
      </w:r>
      <w:r w:rsidRPr="00471C48">
        <w:t>a substantial amount of depreciation may be deferred.</w:t>
      </w:r>
      <w:r w:rsidRPr="006E4103">
        <w:rPr>
          <w:rStyle w:val="FootnoteReference"/>
        </w:rPr>
        <w:footnoteReference w:id="17"/>
      </w:r>
    </w:p>
    <w:p w:rsidR="008E0B54" w:rsidRPr="00471C48" w:rsidRDefault="008E0B54" w:rsidP="00A226D5">
      <w:pPr>
        <w:rPr>
          <w:rStyle w:val="AERbody"/>
        </w:rPr>
      </w:pPr>
      <w:r w:rsidRPr="008E0B54">
        <w:t>The rules also require that any forecast must be arrived at on a reasonable basis and must represent the best forecast or estimate possible in the circumstances.</w:t>
      </w:r>
      <w:r w:rsidRPr="000C3953">
        <w:rPr>
          <w:rStyle w:val="FootnoteReference"/>
        </w:rPr>
        <w:footnoteReference w:id="18"/>
      </w:r>
    </w:p>
    <w:p w:rsidR="00A226D5" w:rsidRPr="00471C48" w:rsidRDefault="00A226D5" w:rsidP="00A226D5">
      <w:r>
        <w:t>The r</w:t>
      </w:r>
      <w:r w:rsidRPr="00471C48">
        <w:t xml:space="preserve">egulatory depreciation allowance is the net total of the </w:t>
      </w:r>
      <w:r>
        <w:t xml:space="preserve">real </w:t>
      </w:r>
      <w:r w:rsidRPr="00471C48">
        <w:t xml:space="preserve">straight-line depreciation </w:t>
      </w:r>
      <w:r w:rsidR="009E595D">
        <w:t>less</w:t>
      </w:r>
      <w:r w:rsidRPr="00471C48">
        <w:t xml:space="preserve"> t</w:t>
      </w:r>
      <w:r w:rsidR="001E30A5">
        <w:t>he annual inflation indexation</w:t>
      </w:r>
      <w:r w:rsidR="00DA25DC">
        <w:t xml:space="preserve"> </w:t>
      </w:r>
      <w:r w:rsidRPr="00471C48">
        <w:t xml:space="preserve">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19"/>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A226D5" w:rsidRPr="00471C48" w:rsidRDefault="00A226D5" w:rsidP="00A226D5">
      <w:r w:rsidRPr="00471C48">
        <w:t xml:space="preserve">In assessing </w:t>
      </w:r>
      <w:r w:rsidR="001E30A5">
        <w:rPr>
          <w:rStyle w:val="AERbody"/>
        </w:rPr>
        <w:t>AGN</w:t>
      </w:r>
      <w:r>
        <w:t>’s</w:t>
      </w:r>
      <w:r w:rsidRPr="00471C48">
        <w:t xml:space="preserve"> proposed regulatory depreciation allowance, </w:t>
      </w:r>
      <w:r>
        <w:t>we</w:t>
      </w:r>
      <w:r w:rsidRPr="00471C48">
        <w:t xml:space="preserve"> ha</w:t>
      </w:r>
      <w:r>
        <w:t>ve</w:t>
      </w:r>
      <w:r w:rsidRPr="00471C48">
        <w:t xml:space="preserve"> analysed </w:t>
      </w:r>
      <w:r w:rsidR="001E30A5">
        <w:rPr>
          <w:rStyle w:val="AERbody"/>
        </w:rPr>
        <w:t>AGN</w:t>
      </w:r>
      <w:r>
        <w:t>’s</w:t>
      </w:r>
      <w:r w:rsidRPr="00471C48">
        <w:t xml:space="preserve"> proposed </w:t>
      </w:r>
      <w:r>
        <w:t xml:space="preserve">inputs to the PTRM </w:t>
      </w:r>
      <w:r w:rsidRPr="00471C48">
        <w:t>for calculating depreciation</w:t>
      </w:r>
      <w:r w:rsidR="001E30A5">
        <w:t xml:space="preserve"> for the 2018</w:t>
      </w:r>
      <w:r>
        <w:t xml:space="preserve">–22 access arrangement period. </w:t>
      </w:r>
      <w:r w:rsidRPr="00471C48">
        <w:t>These inputs include:</w:t>
      </w:r>
      <w:r>
        <w:t xml:space="preserve"> </w:t>
      </w:r>
    </w:p>
    <w:p w:rsidR="00A226D5" w:rsidRPr="00A226D5" w:rsidRDefault="00AC5AF5" w:rsidP="00A226D5">
      <w:pPr>
        <w:pStyle w:val="AERbulletlistfirststyle"/>
      </w:pPr>
      <w:r w:rsidRPr="009E595D">
        <w:t xml:space="preserve">the depreciation associated </w:t>
      </w:r>
      <w:r>
        <w:t xml:space="preserve">with </w:t>
      </w:r>
      <w:r w:rsidR="00A226D5" w:rsidRPr="00B9583E">
        <w:t>the opening capital base as at 1</w:t>
      </w:r>
      <w:r w:rsidR="007C57EC">
        <w:t xml:space="preserve"> January</w:t>
      </w:r>
      <w:r w:rsidR="00A226D5" w:rsidRPr="00B9583E">
        <w:t xml:space="preserve"> 201</w:t>
      </w:r>
      <w:r w:rsidR="007C57EC">
        <w:t>8</w:t>
      </w:r>
      <w:r w:rsidRPr="009E595D">
        <w:t>—calculated in a separate year-by-year tracking depreciation model</w:t>
      </w:r>
    </w:p>
    <w:p w:rsidR="00A226D5" w:rsidRPr="00A226D5" w:rsidRDefault="00A226D5" w:rsidP="00A226D5">
      <w:pPr>
        <w:pStyle w:val="AERbulletlistfirststyle"/>
      </w:pPr>
      <w:r w:rsidRPr="00B9583E">
        <w:t>the forecast net capex in</w:t>
      </w:r>
      <w:r w:rsidR="00A90C64">
        <w:t xml:space="preserve"> the 2018</w:t>
      </w:r>
      <w:r w:rsidRPr="00A226D5">
        <w:t>–22 access arrangement period</w:t>
      </w:r>
    </w:p>
    <w:p w:rsidR="009E595D" w:rsidRDefault="00A226D5" w:rsidP="00A226D5">
      <w:pPr>
        <w:pStyle w:val="AERbulletlistfirststyle"/>
      </w:pPr>
      <w:r w:rsidRPr="00B9583E">
        <w:t>the standard asset life for each asset class—used for calculating the depreciation of new assets associated with forecast net capex in the 201</w:t>
      </w:r>
      <w:r w:rsidR="00A90C64">
        <w:t>8</w:t>
      </w:r>
      <w:r w:rsidRPr="00A226D5">
        <w:t>–22 access arrangement period</w:t>
      </w:r>
    </w:p>
    <w:p w:rsidR="00AC5AF5" w:rsidRPr="00A226D5" w:rsidRDefault="00AC5AF5" w:rsidP="00AC5AF5">
      <w:pPr>
        <w:pStyle w:val="AERbulletlistfirststyle"/>
      </w:pPr>
      <w:proofErr w:type="gramStart"/>
      <w:r w:rsidRPr="00B9583E">
        <w:t>the</w:t>
      </w:r>
      <w:proofErr w:type="gramEnd"/>
      <w:r w:rsidRPr="00B9583E">
        <w:t xml:space="preserve"> </w:t>
      </w:r>
      <w:r w:rsidRPr="00AC5AF5">
        <w:t>indexation adjustment</w:t>
      </w:r>
      <w:r>
        <w:t>—</w:t>
      </w:r>
      <w:r w:rsidRPr="00AC5AF5">
        <w:t>based on the forecast capital base and expected inflation rate for the 2018–22 access arrangement period</w:t>
      </w:r>
      <w:r>
        <w:t>.</w:t>
      </w:r>
    </w:p>
    <w:p w:rsidR="00A226D5" w:rsidRPr="00471C48" w:rsidRDefault="00A226D5" w:rsidP="00A226D5">
      <w:r>
        <w:t xml:space="preserve">Our </w:t>
      </w:r>
      <w:r w:rsidR="00932AF4">
        <w:t>decisions</w:t>
      </w:r>
      <w:r w:rsidR="00932AF4" w:rsidRPr="00471C48">
        <w:t xml:space="preserve"> </w:t>
      </w:r>
      <w:r w:rsidRPr="00471C48">
        <w:t xml:space="preserve">affecting the opening </w:t>
      </w:r>
      <w:r w:rsidR="001D04C5">
        <w:t xml:space="preserve">and forecast </w:t>
      </w:r>
      <w:r w:rsidRPr="005E445B">
        <w:t xml:space="preserve">capital base (attachment 2), </w:t>
      </w:r>
      <w:r w:rsidR="009E595D">
        <w:t>expected inflation</w:t>
      </w:r>
      <w:r w:rsidRPr="005E445B">
        <w:t xml:space="preserve"> (attachment 3)</w:t>
      </w:r>
      <w:r>
        <w:t xml:space="preserve"> and </w:t>
      </w:r>
      <w:r w:rsidRPr="005E445B">
        <w:t>forecast net capex (attachment 6)</w:t>
      </w:r>
      <w:r w:rsidR="00AC5AF5">
        <w:t xml:space="preserve"> are discussed elsewhere</w:t>
      </w:r>
      <w:r w:rsidRPr="005E445B">
        <w:t>.</w:t>
      </w:r>
      <w:r w:rsidRPr="00471C48">
        <w:t xml:space="preserve"> </w:t>
      </w:r>
      <w:r>
        <w:t xml:space="preserve">Our </w:t>
      </w:r>
      <w:r w:rsidRPr="00471C48">
        <w:t xml:space="preserve">decision on the required amendments to </w:t>
      </w:r>
      <w:r w:rsidR="001E30A5">
        <w:rPr>
          <w:rStyle w:val="AERbody"/>
        </w:rPr>
        <w:t>AGN</w:t>
      </w:r>
      <w:r>
        <w:rPr>
          <w:rStyle w:val="AERbody"/>
        </w:rPr>
        <w:t>’</w:t>
      </w:r>
      <w:r>
        <w:t>s</w:t>
      </w:r>
      <w:r w:rsidRPr="00471C48">
        <w:t xml:space="preserve"> proposed regulatory depreciation allowance reflects </w:t>
      </w:r>
      <w:r>
        <w:t>our</w:t>
      </w:r>
      <w:r w:rsidRPr="00471C48">
        <w:t xml:space="preserve"> determinations on these building block components. </w:t>
      </w:r>
      <w:r w:rsidR="002C033A">
        <w:t xml:space="preserve">Our </w:t>
      </w:r>
      <w:r w:rsidR="002C033A" w:rsidRPr="00471C48">
        <w:t>assessment approach on the remaining input</w:t>
      </w:r>
      <w:r w:rsidR="009E595D">
        <w:t>s</w:t>
      </w:r>
      <w:r w:rsidR="002C033A" w:rsidRPr="00471C48">
        <w:t xml:space="preserve"> in the above list </w:t>
      </w:r>
      <w:r w:rsidR="005C2F24">
        <w:t>is</w:t>
      </w:r>
      <w:r w:rsidR="002C033A" w:rsidRPr="00471C48">
        <w:t xml:space="preserve"> set out below.</w:t>
      </w:r>
    </w:p>
    <w:p w:rsidR="00A226D5" w:rsidRPr="002D7525" w:rsidRDefault="00A226D5" w:rsidP="00A226D5">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0"/>
      </w:r>
      <w:r w:rsidRPr="00471C48">
        <w:t xml:space="preserve"> </w:t>
      </w:r>
      <w:r w:rsidR="00B06719">
        <w:rPr>
          <w:rStyle w:val="AERbody"/>
        </w:rPr>
        <w:t xml:space="preserve">We usually depreciate a service provider's existing assets in the PTRM by using remaining asset lives at the start of an access arrangement period. </w:t>
      </w:r>
      <w:r>
        <w:t>Our</w:t>
      </w:r>
      <w:r w:rsidRPr="00471C48">
        <w:t xml:space="preserve"> standard method for determining the remaining </w:t>
      </w:r>
      <w:r>
        <w:t>asset</w:t>
      </w:r>
      <w:r w:rsidRPr="00471C48">
        <w:t xml:space="preserve"> lives is the weighted average method.</w:t>
      </w:r>
      <w:r>
        <w:rPr>
          <w:rStyle w:val="FootnoteReference"/>
        </w:rPr>
        <w:footnoteReference w:id="21"/>
      </w:r>
      <w:r w:rsidRPr="00471C48">
        <w:t xml:space="preserve"> The weighted average method rolls forward the remaining </w:t>
      </w:r>
      <w:r>
        <w:t>asset</w:t>
      </w:r>
      <w:r w:rsidRPr="00471C48">
        <w:t xml:space="preserve"> life for an asset class from the beginning of the earlier access arrangement period. This </w:t>
      </w:r>
      <w:r>
        <w:t>method</w:t>
      </w:r>
      <w:r w:rsidRPr="00471C48">
        <w:t xml:space="preserve"> reflects the mix of assets within that asset class</w:t>
      </w:r>
      <w:r>
        <w:t>. It also reflects</w:t>
      </w:r>
      <w:r w:rsidRPr="00471C48">
        <w:t xml:space="preserve"> when the</w:t>
      </w:r>
      <w:r>
        <w:t xml:space="preserve"> assets</w:t>
      </w:r>
      <w:r w:rsidR="001E30A5">
        <w:t xml:space="preserve"> were acquired over that period</w:t>
      </w:r>
      <w:r w:rsidRPr="00471C48">
        <w:t xml:space="preserve"> and the remaining </w:t>
      </w:r>
      <w:r>
        <w:t xml:space="preserve">asset lives of existing assets at the end of that period. The remaining </w:t>
      </w:r>
      <w:r w:rsidRPr="00471C48">
        <w:t>value</w:t>
      </w:r>
      <w:r>
        <w:t>s</w:t>
      </w:r>
      <w:r w:rsidRPr="00471C48">
        <w:t xml:space="preserve"> of </w:t>
      </w:r>
      <w:r>
        <w:t>all</w:t>
      </w:r>
      <w:r w:rsidRPr="00471C48">
        <w:t xml:space="preserve"> assets </w:t>
      </w:r>
      <w:r>
        <w:t xml:space="preserve">are </w:t>
      </w:r>
      <w:r w:rsidRPr="00471C48">
        <w:t>used as weight</w:t>
      </w:r>
      <w:r>
        <w:t>s</w:t>
      </w:r>
      <w:r w:rsidRPr="00471C48">
        <w:t xml:space="preserve"> at the end of the period.</w:t>
      </w:r>
      <w:r>
        <w:rPr>
          <w:rStyle w:val="FootnoteReference"/>
        </w:rPr>
        <w:footnoteReference w:id="22"/>
      </w:r>
      <w:r w:rsidRPr="00471C48">
        <w:t xml:space="preserve"> </w:t>
      </w:r>
      <w:r w:rsidR="001E30A5">
        <w:t>AGN</w:t>
      </w:r>
      <w:r>
        <w:t>'s proposal</w:t>
      </w:r>
      <w:r w:rsidR="001E30A5">
        <w:t>, however,</w:t>
      </w:r>
      <w:r>
        <w:t xml:space="preserve"> has adopted </w:t>
      </w:r>
      <w:r w:rsidR="00B06719">
        <w:t>the</w:t>
      </w:r>
      <w:r w:rsidR="001E30A5">
        <w:t xml:space="preserve"> year</w:t>
      </w:r>
      <w:r w:rsidR="00B06719">
        <w:t>-</w:t>
      </w:r>
      <w:r w:rsidR="001E30A5">
        <w:t>by</w:t>
      </w:r>
      <w:r w:rsidR="00B06719">
        <w:t>-</w:t>
      </w:r>
      <w:r w:rsidR="001E30A5">
        <w:t>year tracking</w:t>
      </w:r>
      <w:r>
        <w:t xml:space="preserve"> method to calculate </w:t>
      </w:r>
      <w:r w:rsidR="001E30A5">
        <w:t>depreciation</w:t>
      </w:r>
      <w:r>
        <w:t>.</w:t>
      </w:r>
      <w:r w:rsidR="001E30A5">
        <w:t xml:space="preserve"> We have assessed whether this change </w:t>
      </w:r>
      <w:r w:rsidR="00B06719">
        <w:t xml:space="preserve">of approach </w:t>
      </w:r>
      <w:r w:rsidR="001E30A5">
        <w:t xml:space="preserve">would </w:t>
      </w:r>
      <w:r w:rsidR="00A90C64">
        <w:t>meet the depreciation criteria of the NGR</w:t>
      </w:r>
      <w:r w:rsidR="001E30A5">
        <w:t>, as discussed in section 5.4.</w:t>
      </w:r>
    </w:p>
    <w:p w:rsidR="00A226D5" w:rsidRPr="00A226D5" w:rsidRDefault="00A226D5" w:rsidP="007F6370">
      <w:pPr>
        <w:pStyle w:val="Heading3"/>
        <w:ind w:left="720"/>
      </w:pPr>
      <w:bookmarkStart w:id="106" w:name="_Toc429575820"/>
      <w:bookmarkStart w:id="107" w:name="_Toc436042531"/>
      <w:bookmarkStart w:id="108" w:name="_Toc486832330"/>
      <w:r>
        <w:t>Interrelationships</w:t>
      </w:r>
      <w:bookmarkEnd w:id="106"/>
      <w:bookmarkEnd w:id="107"/>
      <w:bookmarkEnd w:id="108"/>
    </w:p>
    <w:p w:rsidR="00A226D5" w:rsidRPr="00D57689" w:rsidRDefault="00A226D5" w:rsidP="00A226D5">
      <w:r w:rsidRPr="00D57689">
        <w:t>The regulatory depreciation allowance is a building block component of the annual building block revenue requirement.</w:t>
      </w:r>
      <w:r w:rsidRPr="00D57689">
        <w:rPr>
          <w:rStyle w:val="FootnoteReference"/>
        </w:rPr>
        <w:footnoteReference w:id="23"/>
      </w:r>
      <w:r w:rsidRPr="00D57689">
        <w:t xml:space="preserve"> Higher (or quicker) depreciation leads to higher revenues over the </w:t>
      </w:r>
      <w:r>
        <w:t>access arrangement</w:t>
      </w:r>
      <w:r w:rsidRPr="00D57689">
        <w:t xml:space="preserve"> period. It also causes the </w:t>
      </w:r>
      <w:r>
        <w:t xml:space="preserve">capital base </w:t>
      </w:r>
      <w:r w:rsidRPr="00D57689">
        <w:t>to reduce more quickly (assuming no further capex). This reduces the return on capital allowance, although this impact is usually s</w:t>
      </w:r>
      <w:r>
        <w:t>maller that</w:t>
      </w:r>
      <w:r w:rsidRPr="00D57689">
        <w:t xml:space="preserve"> the increased depreciation allowance</w:t>
      </w:r>
      <w:r>
        <w:t xml:space="preserve"> in the short to medium term</w:t>
      </w:r>
      <w:r w:rsidRPr="00D57689">
        <w:t>.</w:t>
      </w:r>
      <w:r>
        <w:rPr>
          <w:rStyle w:val="FootnoteReference"/>
        </w:rPr>
        <w:footnoteReference w:id="24"/>
      </w:r>
      <w:r w:rsidRPr="00D57689">
        <w:t xml:space="preserve"> </w:t>
      </w:r>
    </w:p>
    <w:p w:rsidR="00A226D5" w:rsidRPr="00D57689" w:rsidRDefault="00A226D5" w:rsidP="00A226D5">
      <w:r w:rsidRPr="00D57689">
        <w:t xml:space="preserve">Ultimately, however, a </w:t>
      </w:r>
      <w:r>
        <w:t>service provider</w:t>
      </w:r>
      <w:r w:rsidRPr="00D57689">
        <w:t xml:space="preserve"> can only recover the capex it has incurred on assets once. The depreciation allowance reflects how quickly the </w:t>
      </w:r>
      <w:r>
        <w:t>capital base</w:t>
      </w:r>
      <w:r w:rsidRPr="00D57689">
        <w:t xml:space="preserve"> is being recovered and is based on the remaining and standard </w:t>
      </w:r>
      <w:r>
        <w:t>asset</w:t>
      </w:r>
      <w:r w:rsidRPr="00D57689">
        <w:t xml:space="preserve"> lives used in the depreciation calculation. </w:t>
      </w:r>
      <w:r>
        <w:t xml:space="preserve">It </w:t>
      </w:r>
      <w:r w:rsidRPr="00D57689">
        <w:t xml:space="preserve">also depends on the level of the opening </w:t>
      </w:r>
      <w:r>
        <w:t>capital base</w:t>
      </w:r>
      <w:r w:rsidRPr="00D57689">
        <w:t xml:space="preserve"> and the forecast capex. Any increase in these factors also increases the depreciation allowance. </w:t>
      </w:r>
    </w:p>
    <w:p w:rsidR="00A226D5" w:rsidRDefault="00A226D5" w:rsidP="00A226D5">
      <w:r>
        <w:t>Our standard approach is to maintain the capital base in real terms, meaning the capital base is indexed for expected inflation. The return on capital building block has</w:t>
      </w:r>
      <w:r w:rsidDel="007158C3">
        <w:t xml:space="preserve"> </w:t>
      </w:r>
      <w:r>
        <w:t>to be calculated using a nominal rate of return (WACC) applied to the opening capital base.</w:t>
      </w:r>
      <w:r>
        <w:rPr>
          <w:rStyle w:val="FootnoteReference"/>
        </w:rPr>
        <w:footnoteReference w:id="25"/>
      </w:r>
      <w:r>
        <w:t xml:space="preserve"> The total </w:t>
      </w:r>
      <w:r w:rsidRPr="007158C3">
        <w:t xml:space="preserve">revenue requirement </w:t>
      </w:r>
      <w:r>
        <w:t xml:space="preserve">is calculated </w:t>
      </w:r>
      <w:r w:rsidRPr="007158C3">
        <w:t xml:space="preserve">by adding </w:t>
      </w:r>
      <w:r>
        <w:t xml:space="preserve">up the </w:t>
      </w:r>
      <w:r w:rsidRPr="007158C3">
        <w:t>return on capital</w:t>
      </w:r>
      <w:r>
        <w:t>,</w:t>
      </w:r>
      <w:r w:rsidRPr="007158C3">
        <w:t xml:space="preserve"> </w:t>
      </w:r>
      <w:r>
        <w:t>depreciation, opex, and tax building blocks</w:t>
      </w:r>
      <w:r w:rsidRPr="007158C3">
        <w:t>.</w:t>
      </w:r>
      <w:r>
        <w:t xml:space="preserve"> Because inflation on the capital base is accounted for in both the return on capital—based on a nominal rate—and the depreciation</w:t>
      </w:r>
      <w:r w:rsidRPr="007158C3">
        <w:t xml:space="preserve"> </w:t>
      </w:r>
      <w:r>
        <w:t>calculations—based on an indexed capital base—</w:t>
      </w:r>
      <w:r w:rsidRPr="007158C3">
        <w:t xml:space="preserve">an adjustment </w:t>
      </w:r>
      <w:r>
        <w:t xml:space="preserve">must be </w:t>
      </w:r>
      <w:r w:rsidRPr="007158C3">
        <w:t xml:space="preserve">made </w:t>
      </w:r>
      <w:r>
        <w:t xml:space="preserve">to </w:t>
      </w:r>
      <w:r w:rsidRPr="007158C3">
        <w:t xml:space="preserve">the revenue requirement </w:t>
      </w:r>
      <w:r>
        <w:t>to prevent compensating twice for inflation</w:t>
      </w:r>
      <w:r w:rsidRPr="007158C3">
        <w:t>.</w:t>
      </w:r>
    </w:p>
    <w:p w:rsidR="00A226D5" w:rsidRDefault="00A226D5" w:rsidP="00A226D5">
      <w:r w:rsidRPr="00C9216A">
        <w:t xml:space="preserve">To avoid this double compensation, we make an adjustment by subtracting the annual indexation gain </w:t>
      </w:r>
      <w:r>
        <w:t xml:space="preserve">on the capital base </w:t>
      </w:r>
      <w:r w:rsidRPr="00C9216A">
        <w:t>from the calculation of total revenue</w:t>
      </w:r>
      <w:r>
        <w:t>. Our approach is to subtract the indexation of the opening capital base—</w:t>
      </w:r>
      <w:r w:rsidRPr="00C9216A">
        <w:t xml:space="preserve">the opening </w:t>
      </w:r>
      <w:r>
        <w:t>capital base</w:t>
      </w:r>
      <w:r w:rsidRPr="00C9216A">
        <w:t xml:space="preserve"> </w:t>
      </w:r>
      <w:r>
        <w:t xml:space="preserve">multiplied </w:t>
      </w:r>
      <w:r w:rsidRPr="00C9216A">
        <w:t xml:space="preserve">by the </w:t>
      </w:r>
      <w:r>
        <w:t>expected inflation</w:t>
      </w:r>
      <w:r w:rsidRPr="00C9216A">
        <w:t xml:space="preserve"> </w:t>
      </w:r>
      <w:r>
        <w:t>for</w:t>
      </w:r>
      <w:r w:rsidRPr="00C9216A">
        <w:t xml:space="preserve"> the year</w:t>
      </w:r>
      <w:r>
        <w:t>—from the capital base</w:t>
      </w:r>
      <w:r w:rsidRPr="00C9216A">
        <w:t xml:space="preserve">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26"/>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w:t>
      </w:r>
      <w:r>
        <w:t>capital base,</w:t>
      </w:r>
      <w:r w:rsidRPr="00C9216A">
        <w:t xml:space="preserve"> which is </w:t>
      </w:r>
      <w:r>
        <w:t>indexed for inflation annually</w:t>
      </w:r>
      <w:r w:rsidRPr="00C9216A">
        <w:t>.</w:t>
      </w:r>
    </w:p>
    <w:p w:rsidR="00A226D5" w:rsidRDefault="00A226D5" w:rsidP="00A226D5">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 xml:space="preserve">revenue requirement and </w:t>
      </w:r>
      <w:r>
        <w:rPr>
          <w:rStyle w:val="AERbody"/>
        </w:rPr>
        <w:t>capital base</w:t>
      </w:r>
      <w:r w:rsidRPr="00B85B6D">
        <w:rPr>
          <w:rStyle w:val="AERbody"/>
        </w:rPr>
        <w:t xml:space="preserve"> as if a real rate of return had been used in combination with a</w:t>
      </w:r>
      <w:r>
        <w:rPr>
          <w:rStyle w:val="AERbody"/>
        </w:rPr>
        <w:t>n indexed</w:t>
      </w:r>
      <w:r w:rsidRPr="00B85B6D">
        <w:rPr>
          <w:rStyle w:val="AERbody"/>
        </w:rPr>
        <w:t xml:space="preserve"> </w:t>
      </w:r>
      <w:r>
        <w:rPr>
          <w:rStyle w:val="AERbody"/>
        </w:rPr>
        <w:t>capital base</w:t>
      </w:r>
      <w:r w:rsidRPr="00B85B6D">
        <w:rPr>
          <w:rStyle w:val="AERbody"/>
        </w:rPr>
        <w:t>.</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un-indexed (historical cost) capital base,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overall revenues would be higher early in the asset's life (as a result of more depreciation being returned to the service provider) and lower in the future—producing a steeper downward sloping profile of total revenue.</w:t>
      </w:r>
      <w:r>
        <w:rPr>
          <w:rStyle w:val="FootnoteReference"/>
        </w:rPr>
        <w:footnoteReference w:id="27"/>
      </w:r>
      <w:r>
        <w:rPr>
          <w:rStyle w:val="AERbody"/>
        </w:rPr>
        <w:t xml:space="preserve"> Under both approaches, the total revenues being recovered are in present value neutral terms—that is, returning the initial cost of the capital base. </w:t>
      </w:r>
    </w:p>
    <w:p w:rsidR="00A226D5" w:rsidRDefault="00A226D5" w:rsidP="00A226D5">
      <w:p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3D3A3B">
        <w:t xml:space="preserve">Figure </w:t>
      </w:r>
      <w:r w:rsidR="003D3A3B">
        <w:rPr>
          <w:noProof/>
        </w:rPr>
        <w:t>5</w:t>
      </w:r>
      <w:r w:rsidR="003D3A3B">
        <w:t>.</w:t>
      </w:r>
      <w:r w:rsidR="003D3A3B">
        <w:rPr>
          <w:noProof/>
        </w:rPr>
        <w:t>1</w:t>
      </w:r>
      <w:r>
        <w:rPr>
          <w:rStyle w:val="AERbody"/>
        </w:rPr>
        <w:fldChar w:fldCharType="end"/>
      </w:r>
      <w:r>
        <w:rPr>
          <w:rStyle w:val="AERbody"/>
        </w:rPr>
        <w:t xml:space="preserve"> shows the recovery of revenue under both approaches using a simplified example.</w:t>
      </w:r>
      <w:r>
        <w:rPr>
          <w:rStyle w:val="FootnoteReference"/>
        </w:rPr>
        <w:footnoteReference w:id="28"/>
      </w:r>
      <w:r>
        <w:rPr>
          <w:rStyle w:val="AERbody"/>
        </w:rPr>
        <w:t xml:space="preserve"> Indexation of the capital base and the offsetting adjustment made to depreciation results in smoother revenue recovery profile over the life of an asset than if the capital base was un-indexed. </w:t>
      </w:r>
    </w:p>
    <w:p w:rsidR="00A226D5" w:rsidRDefault="00A226D5" w:rsidP="00A226D5">
      <w:pPr>
        <w:rPr>
          <w:rStyle w:val="AERbody"/>
        </w:rPr>
      </w:pPr>
      <w:r w:rsidRPr="006A34AC">
        <w:rPr>
          <w:rStyle w:val="AERbody"/>
        </w:rPr>
        <w:t xml:space="preserve">The relative size of the inflation </w:t>
      </w:r>
      <w:r>
        <w:rPr>
          <w:rStyle w:val="AERbody"/>
        </w:rPr>
        <w:t xml:space="preserve">indexation </w:t>
      </w:r>
      <w:r w:rsidRPr="006A34AC">
        <w:rPr>
          <w:rStyle w:val="AERbody"/>
        </w:rPr>
        <w:t>and straight-line depreciation</w:t>
      </w:r>
      <w:r>
        <w:rPr>
          <w:rStyle w:val="AERbody"/>
        </w:rPr>
        <w:t>,</w:t>
      </w:r>
      <w:r w:rsidRPr="006A34AC">
        <w:rPr>
          <w:rStyle w:val="AERbody"/>
        </w:rPr>
        <w:t xml:space="preserve"> and their impact on the capital base using </w:t>
      </w:r>
      <w:r w:rsidR="0021235B">
        <w:rPr>
          <w:rStyle w:val="AERbody"/>
        </w:rPr>
        <w:t>AGN</w:t>
      </w:r>
      <w:r>
        <w:rPr>
          <w:rStyle w:val="AERbody"/>
        </w:rPr>
        <w:t>’</w:t>
      </w:r>
      <w:r w:rsidRPr="006A34AC">
        <w:rPr>
          <w:rStyle w:val="AERbody"/>
        </w:rPr>
        <w:t>s proposal is shown in</w:t>
      </w:r>
      <w:r w:rsidRPr="00D639D1">
        <w:rPr>
          <w:rStyle w:val="AERbody"/>
        </w:rPr>
        <w:t xml:space="preserve"> </w:t>
      </w:r>
      <w:r>
        <w:rPr>
          <w:rStyle w:val="AERbody"/>
        </w:rPr>
        <w:t xml:space="preserve">the capital base </w:t>
      </w:r>
      <w:r w:rsidRPr="00D639D1">
        <w:rPr>
          <w:rStyle w:val="AERbody"/>
        </w:rPr>
        <w:t xml:space="preserve">attachment 2. A ten per cent increase in the straight-line depreciation causes revenues to increase by about </w:t>
      </w:r>
      <w:r w:rsidR="00842D16">
        <w:rPr>
          <w:rStyle w:val="AERbody"/>
        </w:rPr>
        <w:t>3.9</w:t>
      </w:r>
      <w:r>
        <w:rPr>
          <w:rStyle w:val="AERbody"/>
        </w:rPr>
        <w:t> </w:t>
      </w:r>
      <w:r w:rsidRPr="00D639D1">
        <w:rPr>
          <w:rStyle w:val="AERbody"/>
        </w:rPr>
        <w:t>per cent.</w:t>
      </w:r>
    </w:p>
    <w:p w:rsidR="00A226D5" w:rsidRDefault="00A226D5" w:rsidP="00A226D5">
      <w:pPr>
        <w:pStyle w:val="Caption"/>
      </w:pPr>
      <w:bookmarkStart w:id="109" w:name="_Ref454186887"/>
      <w:proofErr w:type="gramStart"/>
      <w:r>
        <w:t xml:space="preserve">Figure </w:t>
      </w:r>
      <w:proofErr w:type="gramEnd"/>
      <w:r w:rsidRPr="00005FFA">
        <w:fldChar w:fldCharType="begin"/>
      </w:r>
      <w:r>
        <w:instrText xml:space="preserve"> STYLEREF 1 \s </w:instrText>
      </w:r>
      <w:r w:rsidRPr="00005FFA">
        <w:fldChar w:fldCharType="separate"/>
      </w:r>
      <w:r w:rsidR="003D3A3B">
        <w:rPr>
          <w:noProof/>
        </w:rPr>
        <w:t>5</w:t>
      </w:r>
      <w:r w:rsidRPr="00005FFA">
        <w:fldChar w:fldCharType="end"/>
      </w:r>
      <w:proofErr w:type="gramStart"/>
      <w:r>
        <w:t>.</w:t>
      </w:r>
      <w:proofErr w:type="gramEnd"/>
      <w:r w:rsidRPr="00005FFA">
        <w:fldChar w:fldCharType="begin"/>
      </w:r>
      <w:r>
        <w:instrText xml:space="preserve"> SEQ Figure \* ARABIC \s 1 </w:instrText>
      </w:r>
      <w:r w:rsidRPr="00005FFA">
        <w:fldChar w:fldCharType="separate"/>
      </w:r>
      <w:r w:rsidR="003D3A3B">
        <w:rPr>
          <w:noProof/>
        </w:rPr>
        <w:t>1</w:t>
      </w:r>
      <w:r w:rsidRPr="00005FFA">
        <w:fldChar w:fldCharType="end"/>
      </w:r>
      <w:bookmarkEnd w:id="109"/>
      <w:r>
        <w:tab/>
        <w:t xml:space="preserve">Revenue path example – indexed </w:t>
      </w:r>
      <w:proofErr w:type="spellStart"/>
      <w:r>
        <w:t>vs</w:t>
      </w:r>
      <w:proofErr w:type="spellEnd"/>
      <w:r>
        <w:t xml:space="preserve"> un-indexed capital base ($ nominal)</w:t>
      </w:r>
    </w:p>
    <w:p w:rsidR="00A226D5" w:rsidRPr="00450B2E" w:rsidRDefault="00A226D5" w:rsidP="00A226D5">
      <w:r w:rsidRPr="00A226D5">
        <w:rPr>
          <w:noProof/>
          <w:lang w:eastAsia="en-AU"/>
        </w:rPr>
        <w:drawing>
          <wp:inline distT="0" distB="0" distL="0" distR="0" wp14:anchorId="54403F7C" wp14:editId="3FD06CF0">
            <wp:extent cx="5278581" cy="35616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1435" cy="3563563"/>
                    </a:xfrm>
                    <a:prstGeom prst="rect">
                      <a:avLst/>
                    </a:prstGeom>
                    <a:noFill/>
                  </pic:spPr>
                </pic:pic>
              </a:graphicData>
            </a:graphic>
          </wp:inline>
        </w:drawing>
      </w:r>
    </w:p>
    <w:p w:rsidR="00132D43" w:rsidRPr="00C50BAE" w:rsidRDefault="00A226D5" w:rsidP="00C50BAE">
      <w:pPr>
        <w:pStyle w:val="AERtablesource"/>
        <w:rPr>
          <w:sz w:val="22"/>
        </w:rPr>
      </w:pPr>
      <w:r>
        <w:t>Source:</w:t>
      </w:r>
      <w:r>
        <w:tab/>
        <w:t>AER analysis.</w:t>
      </w:r>
    </w:p>
    <w:p w:rsidR="00132D43" w:rsidRDefault="00132D43" w:rsidP="00132D43">
      <w:pPr>
        <w:pStyle w:val="Heading2"/>
      </w:pPr>
      <w:bookmarkStart w:id="110" w:name="_Toc486832331"/>
      <w:r>
        <w:t>Reasons for draft decision</w:t>
      </w:r>
      <w:bookmarkEnd w:id="110"/>
    </w:p>
    <w:p w:rsidR="00132D43" w:rsidRDefault="001B7E71" w:rsidP="00132D43">
      <w:r>
        <w:t>In our assessment of</w:t>
      </w:r>
      <w:r w:rsidR="00487E46">
        <w:t xml:space="preserve"> AGN's proposal</w:t>
      </w:r>
      <w:r>
        <w:t>, we focused on the following aspects</w:t>
      </w:r>
      <w:r w:rsidR="00644DE7">
        <w:t>:</w:t>
      </w:r>
    </w:p>
    <w:p w:rsidR="00644DE7" w:rsidRPr="00644DE7" w:rsidRDefault="00BD309A" w:rsidP="00644DE7">
      <w:pPr>
        <w:pStyle w:val="AERbulletlistfirststyle"/>
      </w:pPr>
      <w:r>
        <w:t>y</w:t>
      </w:r>
      <w:r w:rsidR="00644DE7" w:rsidRPr="00644DE7">
        <w:t>ear</w:t>
      </w:r>
      <w:r w:rsidR="00487E46">
        <w:t>-</w:t>
      </w:r>
      <w:r w:rsidR="00644DE7" w:rsidRPr="00644DE7">
        <w:t>by</w:t>
      </w:r>
      <w:r w:rsidR="00487E46">
        <w:t>-</w:t>
      </w:r>
      <w:r w:rsidR="00644DE7" w:rsidRPr="00644DE7">
        <w:t>year tracking of depreciation</w:t>
      </w:r>
    </w:p>
    <w:p w:rsidR="00644DE7" w:rsidRPr="00644DE7" w:rsidRDefault="00BD309A" w:rsidP="00644DE7">
      <w:pPr>
        <w:pStyle w:val="AERbulletlistfirststyle"/>
      </w:pPr>
      <w:r>
        <w:t>a</w:t>
      </w:r>
      <w:r w:rsidR="00644DE7" w:rsidRPr="00644DE7">
        <w:t>ccelerated depreciation of replaced mains</w:t>
      </w:r>
      <w:r w:rsidR="00487E46">
        <w:t xml:space="preserve"> and services</w:t>
      </w:r>
    </w:p>
    <w:p w:rsidR="00EF01F9" w:rsidRDefault="00644DE7" w:rsidP="00644DE7">
      <w:pPr>
        <w:pStyle w:val="AERbulletlistfirststyle"/>
      </w:pPr>
      <w:proofErr w:type="gramStart"/>
      <w:r w:rsidRPr="00644DE7">
        <w:t>standard</w:t>
      </w:r>
      <w:proofErr w:type="gramEnd"/>
      <w:r w:rsidRPr="00644DE7">
        <w:t xml:space="preserve"> asset lives</w:t>
      </w:r>
      <w:r w:rsidR="00D67B82">
        <w:t>.</w:t>
      </w:r>
    </w:p>
    <w:p w:rsidR="00644DE7" w:rsidRDefault="00644DE7" w:rsidP="00644DE7">
      <w:pPr>
        <w:pStyle w:val="AERbulletlistfirststyle"/>
        <w:numPr>
          <w:ilvl w:val="0"/>
          <w:numId w:val="0"/>
        </w:numPr>
      </w:pPr>
      <w:r w:rsidRPr="00644DE7">
        <w:t>Each of these is discussed in turn in the following subsections.</w:t>
      </w:r>
    </w:p>
    <w:p w:rsidR="00516C9C" w:rsidRDefault="00516C9C" w:rsidP="007F6370">
      <w:pPr>
        <w:pStyle w:val="Heading3"/>
        <w:ind w:left="720"/>
      </w:pPr>
      <w:bookmarkStart w:id="111" w:name="_Ref485212374"/>
      <w:bookmarkStart w:id="112" w:name="_Toc486832332"/>
      <w:r>
        <w:t>Year</w:t>
      </w:r>
      <w:r w:rsidR="00DA25DC">
        <w:t>-</w:t>
      </w:r>
      <w:r>
        <w:t>by</w:t>
      </w:r>
      <w:r w:rsidR="00DA25DC">
        <w:t>-</w:t>
      </w:r>
      <w:r>
        <w:t>year tracking</w:t>
      </w:r>
      <w:bookmarkEnd w:id="111"/>
      <w:bookmarkEnd w:id="112"/>
    </w:p>
    <w:p w:rsidR="00030783" w:rsidRPr="00030783" w:rsidRDefault="00030783" w:rsidP="00030783">
      <w:r>
        <w:t>AGN</w:t>
      </w:r>
      <w:r w:rsidRPr="00030783">
        <w:t xml:space="preserve"> proposed </w:t>
      </w:r>
      <w:r w:rsidR="00487E46">
        <w:t>the</w:t>
      </w:r>
      <w:r w:rsidRPr="00030783">
        <w:t xml:space="preserve"> year</w:t>
      </w:r>
      <w:r w:rsidR="00487E46">
        <w:t>-</w:t>
      </w:r>
      <w:r w:rsidRPr="00030783">
        <w:t>by</w:t>
      </w:r>
      <w:r w:rsidR="00487E46">
        <w:t>-</w:t>
      </w:r>
      <w:r w:rsidRPr="00030783">
        <w:t>year tracking approach</w:t>
      </w:r>
      <w:r w:rsidR="00487E46">
        <w:t xml:space="preserve"> to implement straight-line depreciation</w:t>
      </w:r>
      <w:r w:rsidRPr="00030783">
        <w:t xml:space="preserve">. This represents a change from the current </w:t>
      </w:r>
      <w:r>
        <w:t xml:space="preserve">depreciation </w:t>
      </w:r>
      <w:r w:rsidRPr="00030783">
        <w:t>approach to determining remaining asset lives</w:t>
      </w:r>
      <w:r w:rsidR="00487E46">
        <w:t xml:space="preserve"> at the end of each access arrangement period</w:t>
      </w:r>
      <w:r w:rsidRPr="00030783">
        <w:t>. Our preferred option (as noted above) is a weighted average remaining life (WARL) approach. We consider that year</w:t>
      </w:r>
      <w:r w:rsidR="00487E46">
        <w:t>-</w:t>
      </w:r>
      <w:r w:rsidRPr="00030783">
        <w:t>by</w:t>
      </w:r>
      <w:r w:rsidR="00487E46">
        <w:t>-</w:t>
      </w:r>
      <w:r w:rsidRPr="00030783">
        <w:t xml:space="preserve">year tracking is administratively more complex and costly than a WARL approach and can increase revenue fluctuations as depreciation depends more on when individual assets expire. </w:t>
      </w:r>
      <w:r>
        <w:t>A</w:t>
      </w:r>
      <w:r w:rsidRPr="00030783">
        <w:t xml:space="preserve"> change of approach can also cause revenue (and price spikes) which may not be helpful to efficient development in the market for reference services. </w:t>
      </w:r>
    </w:p>
    <w:p w:rsidR="00030783" w:rsidRDefault="00030783" w:rsidP="00132D43">
      <w:r w:rsidRPr="00030783">
        <w:t xml:space="preserve">We accept that </w:t>
      </w:r>
      <w:r w:rsidR="00487E46">
        <w:t>the</w:t>
      </w:r>
      <w:r w:rsidRPr="00030783">
        <w:t xml:space="preserve"> year</w:t>
      </w:r>
      <w:r w:rsidR="00487E46">
        <w:t>-</w:t>
      </w:r>
      <w:r w:rsidRPr="00030783">
        <w:t>by</w:t>
      </w:r>
      <w:r w:rsidR="00487E46">
        <w:t>-</w:t>
      </w:r>
      <w:r w:rsidRPr="00030783">
        <w:t>year</w:t>
      </w:r>
      <w:r w:rsidR="00487E46">
        <w:t xml:space="preserve"> tracking</w:t>
      </w:r>
      <w:r w:rsidRPr="00030783">
        <w:t xml:space="preserve"> approach can meet the criteri</w:t>
      </w:r>
      <w:r w:rsidR="00487E46">
        <w:t>on</w:t>
      </w:r>
      <w:r w:rsidRPr="00030783">
        <w:t xml:space="preserve"> of having the depreciation schedule reflect the asset's economic life, where it tracks the asset's technical life. However, we must also assess the approach against the other criteria in the NGR, in particular, whether the approach leads to efficient development in the market for reference services. Under this criterion we also need to consider the impact of the change in the long run and any significant disruption in the short to medium term from a change in previous practice. The proposed change to year</w:t>
      </w:r>
      <w:r w:rsidR="00487E46">
        <w:t>-</w:t>
      </w:r>
      <w:r w:rsidRPr="00030783">
        <w:t>by</w:t>
      </w:r>
      <w:r w:rsidR="00487E46">
        <w:t>-</w:t>
      </w:r>
      <w:r w:rsidRPr="00030783">
        <w:t xml:space="preserve">year tracking does increase depreciation (and prices) over short to medium term, other things being equal. </w:t>
      </w:r>
      <w:r w:rsidR="003475DF" w:rsidRPr="003475DF">
        <w:t>The CCP also raised this potential impact as a concern in its submission.</w:t>
      </w:r>
      <w:r w:rsidR="003475DF">
        <w:rPr>
          <w:rStyle w:val="FootnoteReference"/>
        </w:rPr>
        <w:footnoteReference w:id="29"/>
      </w:r>
      <w:r w:rsidR="003475DF">
        <w:t xml:space="preserve"> </w:t>
      </w:r>
      <w:r w:rsidR="003475DF" w:rsidRPr="003475DF">
        <w:t xml:space="preserve"> </w:t>
      </w:r>
      <w:r w:rsidRPr="00030783">
        <w:t xml:space="preserve">However, our analysis suggests the impact in this case to be modest and therefore unlikely to have a significant impact on the efficient growth in the market for reference services. </w:t>
      </w:r>
      <w:r>
        <w:t>Accordingly</w:t>
      </w:r>
      <w:r w:rsidR="00487E46">
        <w:t>,</w:t>
      </w:r>
      <w:r>
        <w:t xml:space="preserve"> we accept AGN's proposal in this regard.</w:t>
      </w:r>
    </w:p>
    <w:p w:rsidR="00EF01F9" w:rsidRDefault="00D67B82" w:rsidP="00132D43">
      <w:r>
        <w:t xml:space="preserve">However, we do require changes to how the future depreciation profile of depreciation is determined. AGN based it on the forecast capex previously </w:t>
      </w:r>
      <w:r w:rsidR="001B7E71">
        <w:t>approved</w:t>
      </w:r>
      <w:r>
        <w:t xml:space="preserve">, which bears no relationship to the assets actually </w:t>
      </w:r>
      <w:r w:rsidR="00A54B50">
        <w:t>entering the capital base</w:t>
      </w:r>
      <w:r>
        <w:t>. We consider the future depreciation profile should be based on actual capex that reflects the asset</w:t>
      </w:r>
      <w:r w:rsidR="005C2F24">
        <w:t>'</w:t>
      </w:r>
      <w:r>
        <w:t xml:space="preserve">s economic life. </w:t>
      </w:r>
      <w:r w:rsidR="005C2F24">
        <w:t>Therefore, o</w:t>
      </w:r>
      <w:r w:rsidR="00A54B50">
        <w:t>ur draft decision is to base AGN's year-by-year tracking</w:t>
      </w:r>
      <w:r w:rsidR="005C2F24">
        <w:t xml:space="preserve"> depreciation</w:t>
      </w:r>
      <w:r w:rsidR="00A54B50">
        <w:t xml:space="preserve"> on actual capex incurred</w:t>
      </w:r>
      <w:r w:rsidR="005C2F24">
        <w:t xml:space="preserve"> over the 2013–17 access arrangement period</w:t>
      </w:r>
      <w:r w:rsidR="00A54B50">
        <w:t>.</w:t>
      </w:r>
    </w:p>
    <w:p w:rsidR="00320985" w:rsidRDefault="00030783" w:rsidP="007F6370">
      <w:pPr>
        <w:pStyle w:val="Heading3"/>
        <w:ind w:left="720"/>
      </w:pPr>
      <w:bookmarkStart w:id="113" w:name="_Toc486832333"/>
      <w:r>
        <w:t>Accelerated depreciation</w:t>
      </w:r>
      <w:bookmarkEnd w:id="113"/>
    </w:p>
    <w:p w:rsidR="00EF01F9" w:rsidRPr="0038430B" w:rsidRDefault="00320985" w:rsidP="0038430B">
      <w:r>
        <w:t>AGN</w:t>
      </w:r>
      <w:r w:rsidRPr="00320985">
        <w:t xml:space="preserve"> proposed accelerated depreciation over five years on assets to be replaced through </w:t>
      </w:r>
      <w:r w:rsidR="00487E46">
        <w:t>its</w:t>
      </w:r>
      <w:r w:rsidRPr="00320985">
        <w:t xml:space="preserve"> mains replacement programs over the 2018–22 access arrangement </w:t>
      </w:r>
      <w:proofErr w:type="gramStart"/>
      <w:r w:rsidRPr="00320985">
        <w:t>period</w:t>
      </w:r>
      <w:proofErr w:type="gramEnd"/>
      <w:r w:rsidRPr="00320985">
        <w:t xml:space="preserve">. We accept </w:t>
      </w:r>
      <w:r w:rsidR="00E72EDF">
        <w:t xml:space="preserve">this proposal. </w:t>
      </w:r>
      <w:r w:rsidR="00DA25DC">
        <w:t>We have reviewed the information and are satisfied that t</w:t>
      </w:r>
      <w:r w:rsidR="00E72EDF">
        <w:t>he amount proposed for accelerated depreciation reflects the</w:t>
      </w:r>
      <w:r w:rsidRPr="00320985">
        <w:t xml:space="preserve"> </w:t>
      </w:r>
      <w:r w:rsidR="00E72EDF" w:rsidRPr="00320985">
        <w:t>expected kilometres of mains to be replaced</w:t>
      </w:r>
      <w:r w:rsidR="00E72EDF">
        <w:t xml:space="preserve"> over the </w:t>
      </w:r>
      <w:r w:rsidR="00E72EDF" w:rsidRPr="00E72EDF">
        <w:t>2018–22 access arrangement period</w:t>
      </w:r>
      <w:r w:rsidR="00E72EDF">
        <w:t>,</w:t>
      </w:r>
      <w:r w:rsidR="00E72EDF" w:rsidRPr="00320985">
        <w:t xml:space="preserve"> </w:t>
      </w:r>
      <w:r w:rsidRPr="00320985">
        <w:t xml:space="preserve">as discussed in attachment 6. </w:t>
      </w:r>
      <w:r w:rsidR="008327D0">
        <w:t xml:space="preserve">The assets that </w:t>
      </w:r>
      <w:r w:rsidR="00EC71E9">
        <w:t>are forecast to be</w:t>
      </w:r>
      <w:r w:rsidR="008327D0">
        <w:t xml:space="preserve"> replaced will therefore </w:t>
      </w:r>
      <w:r w:rsidR="005C2F24">
        <w:t>reach</w:t>
      </w:r>
      <w:r w:rsidR="008327D0">
        <w:t xml:space="preserve"> the end of their economic life in the </w:t>
      </w:r>
      <w:r w:rsidR="008327D0" w:rsidRPr="008327D0">
        <w:t xml:space="preserve">2018–22 access arrangement </w:t>
      </w:r>
      <w:proofErr w:type="gramStart"/>
      <w:r w:rsidR="008327D0" w:rsidRPr="008327D0">
        <w:t>period</w:t>
      </w:r>
      <w:proofErr w:type="gramEnd"/>
      <w:r w:rsidR="008327D0">
        <w:t>.</w:t>
      </w:r>
    </w:p>
    <w:p w:rsidR="00030783" w:rsidRDefault="00EF7D47" w:rsidP="007F6370">
      <w:pPr>
        <w:pStyle w:val="Heading3"/>
        <w:ind w:left="720"/>
      </w:pPr>
      <w:bookmarkStart w:id="114" w:name="_Toc486832334"/>
      <w:r>
        <w:t>Standard asset lives</w:t>
      </w:r>
      <w:bookmarkEnd w:id="114"/>
    </w:p>
    <w:p w:rsidR="00EF7D47" w:rsidRDefault="00EF7D47" w:rsidP="00EF7D47">
      <w:r>
        <w:t xml:space="preserve">AGN did not propose any changes to the standard asset lives </w:t>
      </w:r>
      <w:r w:rsidR="0038430B">
        <w:t>applied to</w:t>
      </w:r>
      <w:r>
        <w:t xml:space="preserve"> new capex</w:t>
      </w:r>
      <w:r w:rsidR="0038430B">
        <w:t xml:space="preserve"> from that used during the </w:t>
      </w:r>
      <w:r w:rsidR="00487E46">
        <w:t xml:space="preserve">2013–17 </w:t>
      </w:r>
      <w:r w:rsidR="0038430B">
        <w:t>access arrangement period. We consider the</w:t>
      </w:r>
      <w:r w:rsidR="00487E46">
        <w:t xml:space="preserve"> standard assets</w:t>
      </w:r>
      <w:r w:rsidR="0038430B">
        <w:t xml:space="preserve"> lives remain an appropriate reflection of the expected life of newly acquired assets. We therefore accept </w:t>
      </w:r>
      <w:r w:rsidR="00487E46">
        <w:t>AGN's</w:t>
      </w:r>
      <w:r w:rsidR="0038430B">
        <w:t xml:space="preserve"> proposal to continue to apply these lives in determining the depreciation on new assets.</w:t>
      </w:r>
      <w:r w:rsidR="00BF40A3">
        <w:t xml:space="preserve"> We are satisfied the proposed standard asset lives reflect the requirements of r. 89(1) of the NGR.</w:t>
      </w:r>
    </w:p>
    <w:p w:rsidR="005618F5" w:rsidRDefault="005618F5" w:rsidP="00EF7D47">
      <w:r>
        <w:t xml:space="preserve">However, </w:t>
      </w:r>
      <w:r w:rsidRPr="005618F5">
        <w:t xml:space="preserve">AGN </w:t>
      </w:r>
      <w:r w:rsidR="00887574">
        <w:t>did not</w:t>
      </w:r>
      <w:r w:rsidRPr="005618F5">
        <w:t xml:space="preserve"> provide a standard asset life for equity raising costs. We have determined this</w:t>
      </w:r>
      <w:r w:rsidR="005C2F24">
        <w:t xml:space="preserve"> asset</w:t>
      </w:r>
      <w:r w:rsidRPr="005618F5">
        <w:t xml:space="preserve"> life for the draft decision</w:t>
      </w:r>
      <w:r>
        <w:t xml:space="preserve"> based on our standard approach of using the weighted</w:t>
      </w:r>
      <w:r w:rsidR="00887574">
        <w:t xml:space="preserve"> average stan</w:t>
      </w:r>
      <w:r>
        <w:t>dard asset</w:t>
      </w:r>
      <w:r w:rsidR="00887574">
        <w:t xml:space="preserve"> lives of the opening capital base.</w:t>
      </w:r>
    </w:p>
    <w:p w:rsidR="00A42238" w:rsidRPr="00F03D3D" w:rsidRDefault="00A42238" w:rsidP="00A42238">
      <w:r>
        <w:t>Table 5.3</w:t>
      </w:r>
      <w:r w:rsidRPr="00F03D3D">
        <w:t xml:space="preserve"> sets out our draft decision on the standard asset lives for </w:t>
      </w:r>
      <w:r>
        <w:t>AGN</w:t>
      </w:r>
      <w:r w:rsidR="00BF40A3">
        <w:t xml:space="preserve"> over the 2018–22 access arrangement </w:t>
      </w:r>
      <w:proofErr w:type="gramStart"/>
      <w:r w:rsidR="00BF40A3">
        <w:t>period</w:t>
      </w:r>
      <w:proofErr w:type="gramEnd"/>
      <w:r w:rsidRPr="00F03D3D">
        <w:t>.</w:t>
      </w:r>
    </w:p>
    <w:p w:rsidR="00A42238" w:rsidRPr="00F03D3D" w:rsidRDefault="00A42238" w:rsidP="00DD0FF8">
      <w:pPr>
        <w:pStyle w:val="Caption"/>
      </w:pPr>
      <w:r>
        <w:t>Table 5.3</w:t>
      </w:r>
      <w:r w:rsidRPr="00F03D3D">
        <w:tab/>
        <w:t xml:space="preserve">AER's draft decision on </w:t>
      </w:r>
      <w:r>
        <w:t>AGN</w:t>
      </w:r>
      <w:r w:rsidRPr="00F03D3D">
        <w:t>’s standard asset lives (years)</w:t>
      </w:r>
    </w:p>
    <w:tbl>
      <w:tblPr>
        <w:tblStyle w:val="AERtable-numbers"/>
        <w:tblW w:w="8330" w:type="dxa"/>
        <w:tblLayout w:type="fixed"/>
        <w:tblLook w:val="04A0" w:firstRow="1" w:lastRow="0" w:firstColumn="1" w:lastColumn="0" w:noHBand="0" w:noVBand="1"/>
      </w:tblPr>
      <w:tblGrid>
        <w:gridCol w:w="5211"/>
        <w:gridCol w:w="3119"/>
      </w:tblGrid>
      <w:tr w:rsidR="00A42238" w:rsidRPr="00F03D3D" w:rsidTr="00D32A1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11" w:type="dxa"/>
            <w:noWrap/>
            <w:hideMark/>
          </w:tcPr>
          <w:p w:rsidR="00A42238" w:rsidRPr="00A42238" w:rsidRDefault="00A42238" w:rsidP="00A42238">
            <w:pPr>
              <w:rPr>
                <w:lang w:eastAsia="en-US"/>
              </w:rPr>
            </w:pPr>
          </w:p>
        </w:tc>
        <w:tc>
          <w:tcPr>
            <w:tcW w:w="3119" w:type="dxa"/>
          </w:tcPr>
          <w:p w:rsidR="00A42238" w:rsidRPr="00A42238" w:rsidRDefault="00A42238" w:rsidP="00A42238">
            <w:pPr>
              <w:cnfStyle w:val="100000000000" w:firstRow="1" w:lastRow="0" w:firstColumn="0" w:lastColumn="0" w:oddVBand="0" w:evenVBand="0" w:oddHBand="0" w:evenHBand="0" w:firstRowFirstColumn="0" w:firstRowLastColumn="0" w:lastRowFirstColumn="0" w:lastRowLastColumn="0"/>
              <w:rPr>
                <w:lang w:eastAsia="en-US"/>
              </w:rPr>
            </w:pPr>
            <w:r w:rsidRPr="00A42238">
              <w:rPr>
                <w:lang w:eastAsia="en-US"/>
              </w:rPr>
              <w:t xml:space="preserve">Standard asset life </w:t>
            </w:r>
          </w:p>
        </w:tc>
      </w:tr>
      <w:tr w:rsidR="00A42238" w:rsidRPr="00F03D3D" w:rsidTr="00D32A1D">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A42238">
            <w:r w:rsidRPr="00A42238">
              <w:t xml:space="preserve">Mains &amp; </w:t>
            </w:r>
            <w:r w:rsidR="00487E46">
              <w:t>s</w:t>
            </w:r>
            <w:r w:rsidRPr="00A42238">
              <w:t>ervices</w:t>
            </w:r>
          </w:p>
        </w:tc>
        <w:tc>
          <w:tcPr>
            <w:tcW w:w="3119" w:type="dxa"/>
            <w:vAlign w:val="top"/>
          </w:tcPr>
          <w:p w:rsidR="00A42238" w:rsidRPr="00A42238" w:rsidRDefault="00A42238" w:rsidP="00F458C5">
            <w:pPr>
              <w:cnfStyle w:val="000000000000" w:firstRow="0" w:lastRow="0" w:firstColumn="0" w:lastColumn="0" w:oddVBand="0" w:evenVBand="0" w:oddHBand="0" w:evenHBand="0" w:firstRowFirstColumn="0" w:firstRowLastColumn="0" w:lastRowFirstColumn="0" w:lastRowLastColumn="0"/>
            </w:pPr>
            <w:r w:rsidRPr="00A42238">
              <w:t>60</w:t>
            </w:r>
          </w:p>
        </w:tc>
      </w:tr>
      <w:tr w:rsidR="00A42238" w:rsidRPr="00F03D3D" w:rsidTr="00D32A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A42238">
            <w:r w:rsidRPr="00A42238">
              <w:t>Meters</w:t>
            </w:r>
          </w:p>
        </w:tc>
        <w:tc>
          <w:tcPr>
            <w:tcW w:w="3119" w:type="dxa"/>
            <w:vAlign w:val="top"/>
          </w:tcPr>
          <w:p w:rsidR="00A42238" w:rsidRPr="00A42238" w:rsidRDefault="00A42238" w:rsidP="00D32A1D">
            <w:pPr>
              <w:cnfStyle w:val="000000010000" w:firstRow="0" w:lastRow="0" w:firstColumn="0" w:lastColumn="0" w:oddVBand="0" w:evenVBand="0" w:oddHBand="0" w:evenHBand="1" w:firstRowFirstColumn="0" w:firstRowLastColumn="0" w:lastRowFirstColumn="0" w:lastRowLastColumn="0"/>
            </w:pPr>
            <w:r w:rsidRPr="00A42238">
              <w:t>15</w:t>
            </w:r>
          </w:p>
        </w:tc>
      </w:tr>
      <w:tr w:rsidR="00A42238" w:rsidRPr="00F03D3D" w:rsidTr="00D32A1D">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A42238">
            <w:r w:rsidRPr="00A42238">
              <w:t>Buildings</w:t>
            </w:r>
          </w:p>
        </w:tc>
        <w:tc>
          <w:tcPr>
            <w:tcW w:w="3119" w:type="dxa"/>
            <w:vAlign w:val="top"/>
          </w:tcPr>
          <w:p w:rsidR="00A42238" w:rsidRPr="00A42238" w:rsidRDefault="00A42238" w:rsidP="00F458C5">
            <w:pPr>
              <w:cnfStyle w:val="000000000000" w:firstRow="0" w:lastRow="0" w:firstColumn="0" w:lastColumn="0" w:oddVBand="0" w:evenVBand="0" w:oddHBand="0" w:evenHBand="0" w:firstRowFirstColumn="0" w:firstRowLastColumn="0" w:lastRowFirstColumn="0" w:lastRowLastColumn="0"/>
            </w:pPr>
            <w:r w:rsidRPr="00A42238">
              <w:t>50</w:t>
            </w:r>
          </w:p>
        </w:tc>
      </w:tr>
      <w:tr w:rsidR="00A42238" w:rsidRPr="00F03D3D" w:rsidTr="00D32A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A42238">
            <w:r w:rsidRPr="00A42238">
              <w:t>SCADA</w:t>
            </w:r>
          </w:p>
        </w:tc>
        <w:tc>
          <w:tcPr>
            <w:tcW w:w="3119" w:type="dxa"/>
            <w:vAlign w:val="top"/>
          </w:tcPr>
          <w:p w:rsidR="00A42238" w:rsidRPr="00A42238" w:rsidRDefault="00A42238" w:rsidP="00D32A1D">
            <w:pPr>
              <w:cnfStyle w:val="000000010000" w:firstRow="0" w:lastRow="0" w:firstColumn="0" w:lastColumn="0" w:oddVBand="0" w:evenVBand="0" w:oddHBand="0" w:evenHBand="1" w:firstRowFirstColumn="0" w:firstRowLastColumn="0" w:lastRowFirstColumn="0" w:lastRowLastColumn="0"/>
            </w:pPr>
            <w:r w:rsidRPr="00A42238">
              <w:t>15</w:t>
            </w:r>
          </w:p>
        </w:tc>
      </w:tr>
      <w:tr w:rsidR="00A42238" w:rsidRPr="00F03D3D" w:rsidTr="00D32A1D">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A42238">
            <w:r w:rsidRPr="00A42238">
              <w:t xml:space="preserve">Computer </w:t>
            </w:r>
            <w:r w:rsidR="00487E46">
              <w:t>e</w:t>
            </w:r>
            <w:r w:rsidRPr="00A42238">
              <w:t>quipment</w:t>
            </w:r>
          </w:p>
        </w:tc>
        <w:tc>
          <w:tcPr>
            <w:tcW w:w="3119" w:type="dxa"/>
            <w:vAlign w:val="top"/>
          </w:tcPr>
          <w:p w:rsidR="00A42238" w:rsidRPr="00A42238" w:rsidRDefault="00A42238" w:rsidP="00F458C5">
            <w:pPr>
              <w:cnfStyle w:val="000000000000" w:firstRow="0" w:lastRow="0" w:firstColumn="0" w:lastColumn="0" w:oddVBand="0" w:evenVBand="0" w:oddHBand="0" w:evenHBand="0" w:firstRowFirstColumn="0" w:firstRowLastColumn="0" w:lastRowFirstColumn="0" w:lastRowLastColumn="0"/>
            </w:pPr>
            <w:r w:rsidRPr="00A42238">
              <w:t>5</w:t>
            </w:r>
          </w:p>
        </w:tc>
      </w:tr>
      <w:tr w:rsidR="00A42238" w:rsidRPr="00F03D3D" w:rsidTr="00D32A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A42238" w:rsidRPr="00A42238" w:rsidRDefault="00A42238" w:rsidP="00487E46">
            <w:r w:rsidRPr="00A42238">
              <w:t xml:space="preserve">Other </w:t>
            </w:r>
            <w:r w:rsidR="00487E46">
              <w:t>a</w:t>
            </w:r>
            <w:r w:rsidRPr="00A42238">
              <w:t>ssets</w:t>
            </w:r>
          </w:p>
        </w:tc>
        <w:tc>
          <w:tcPr>
            <w:tcW w:w="3119" w:type="dxa"/>
            <w:vAlign w:val="top"/>
          </w:tcPr>
          <w:p w:rsidR="00A42238" w:rsidRPr="00A42238" w:rsidRDefault="00A42238" w:rsidP="00D32A1D">
            <w:pPr>
              <w:cnfStyle w:val="000000010000" w:firstRow="0" w:lastRow="0" w:firstColumn="0" w:lastColumn="0" w:oddVBand="0" w:evenVBand="0" w:oddHBand="0" w:evenHBand="1" w:firstRowFirstColumn="0" w:firstRowLastColumn="0" w:lastRowFirstColumn="0" w:lastRowLastColumn="0"/>
            </w:pPr>
            <w:r w:rsidRPr="00A42238">
              <w:t>15</w:t>
            </w:r>
          </w:p>
        </w:tc>
      </w:tr>
      <w:tr w:rsidR="00B266F6" w:rsidRPr="00F03D3D" w:rsidTr="00D32A1D">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B266F6" w:rsidRPr="00A42238" w:rsidRDefault="00B266F6" w:rsidP="00487E46">
            <w:r>
              <w:t>Equity raising costs</w:t>
            </w:r>
          </w:p>
        </w:tc>
        <w:tc>
          <w:tcPr>
            <w:tcW w:w="3119" w:type="dxa"/>
            <w:vAlign w:val="top"/>
          </w:tcPr>
          <w:p w:rsidR="00B266F6" w:rsidRPr="00A42238" w:rsidRDefault="00B266F6" w:rsidP="00D32A1D">
            <w:pPr>
              <w:cnfStyle w:val="000000000000" w:firstRow="0" w:lastRow="0" w:firstColumn="0" w:lastColumn="0" w:oddVBand="0" w:evenVBand="0" w:oddHBand="0" w:evenHBand="0" w:firstRowFirstColumn="0" w:firstRowLastColumn="0" w:lastRowFirstColumn="0" w:lastRowLastColumn="0"/>
            </w:pPr>
            <w:r>
              <w:t>55.1</w:t>
            </w:r>
          </w:p>
        </w:tc>
      </w:tr>
    </w:tbl>
    <w:p w:rsidR="00A42238" w:rsidRPr="00F03D3D" w:rsidRDefault="00A42238" w:rsidP="00A42238">
      <w:pPr>
        <w:pStyle w:val="AERtablesource"/>
      </w:pPr>
      <w:r w:rsidRPr="00F03D3D">
        <w:t>Source:</w:t>
      </w:r>
      <w:r w:rsidRPr="00F03D3D">
        <w:tab/>
        <w:t xml:space="preserve">AER analysis. </w:t>
      </w:r>
    </w:p>
    <w:p w:rsidR="00A42238" w:rsidRDefault="00A42238" w:rsidP="00A42238">
      <w:pPr>
        <w:pStyle w:val="AERtablesource"/>
      </w:pPr>
      <w:r>
        <w:t xml:space="preserve">Note: </w:t>
      </w:r>
      <w:r>
        <w:tab/>
        <w:t>These asset classes are used for both the Victorian and Albury networks. The same standard asset lives are used on both networks.</w:t>
      </w:r>
    </w:p>
    <w:p w:rsidR="00FB4141" w:rsidRDefault="00D5015C" w:rsidP="00FB4141">
      <w:pPr>
        <w:pStyle w:val="Heading2"/>
      </w:pPr>
      <w:bookmarkStart w:id="115" w:name="_Toc486832335"/>
      <w:r>
        <w:t>Revisions</w:t>
      </w:r>
      <w:bookmarkEnd w:id="115"/>
    </w:p>
    <w:p w:rsidR="00FB4141" w:rsidRDefault="00FB4141" w:rsidP="00FB4141">
      <w:r w:rsidRPr="00FB4141">
        <w:t>We require the following revisions to make the access arrangement proposal acceptable:</w:t>
      </w:r>
    </w:p>
    <w:tbl>
      <w:tblPr>
        <w:tblStyle w:val="AERtable-text0"/>
        <w:tblW w:w="0" w:type="auto"/>
        <w:tblLook w:val="04A0" w:firstRow="1" w:lastRow="0" w:firstColumn="1" w:lastColumn="0" w:noHBand="0" w:noVBand="1"/>
      </w:tblPr>
      <w:tblGrid>
        <w:gridCol w:w="1809"/>
        <w:gridCol w:w="6884"/>
      </w:tblGrid>
      <w:tr w:rsidR="00932AF4" w:rsidTr="000C3953">
        <w:trPr>
          <w:cnfStyle w:val="100000000000" w:firstRow="1" w:lastRow="0" w:firstColumn="0" w:lastColumn="0" w:oddVBand="0" w:evenVBand="0" w:oddHBand="0" w:evenHBand="0" w:firstRowFirstColumn="0" w:firstRowLastColumn="0" w:lastRowFirstColumn="0" w:lastRowLastColumn="0"/>
        </w:trPr>
        <w:tc>
          <w:tcPr>
            <w:tcW w:w="1809" w:type="dxa"/>
          </w:tcPr>
          <w:p w:rsidR="00932AF4" w:rsidRDefault="00932AF4" w:rsidP="00FB4141"/>
        </w:tc>
        <w:tc>
          <w:tcPr>
            <w:tcW w:w="6884" w:type="dxa"/>
          </w:tcPr>
          <w:p w:rsidR="00932AF4" w:rsidRDefault="00932AF4" w:rsidP="00FB4141"/>
        </w:tc>
      </w:tr>
      <w:tr w:rsidR="00932AF4" w:rsidTr="000C3953">
        <w:tc>
          <w:tcPr>
            <w:tcW w:w="1809" w:type="dxa"/>
          </w:tcPr>
          <w:p w:rsidR="00932AF4" w:rsidRDefault="00932AF4" w:rsidP="00FB4141">
            <w:r w:rsidRPr="00932AF4">
              <w:t>Revision 5.1:</w:t>
            </w:r>
          </w:p>
        </w:tc>
        <w:tc>
          <w:tcPr>
            <w:tcW w:w="6884" w:type="dxa"/>
          </w:tcPr>
          <w:p w:rsidR="00932AF4" w:rsidRDefault="00932AF4" w:rsidP="00FB4141">
            <w:r w:rsidRPr="00932AF4">
              <w:t xml:space="preserve">Make all necessary amendments to reflect this draft decision on the regulatory depreciation allowance for the 2018–22 access arrangement </w:t>
            </w:r>
            <w:proofErr w:type="gramStart"/>
            <w:r w:rsidRPr="00932AF4">
              <w:t>period</w:t>
            </w:r>
            <w:proofErr w:type="gramEnd"/>
            <w:r w:rsidRPr="00932AF4">
              <w:t>, as set out in Table 5.1.</w:t>
            </w:r>
          </w:p>
        </w:tc>
      </w:tr>
      <w:tr w:rsidR="00932AF4" w:rsidTr="000C3953">
        <w:trPr>
          <w:cnfStyle w:val="000000010000" w:firstRow="0" w:lastRow="0" w:firstColumn="0" w:lastColumn="0" w:oddVBand="0" w:evenVBand="0" w:oddHBand="0" w:evenHBand="1" w:firstRowFirstColumn="0" w:firstRowLastColumn="0" w:lastRowFirstColumn="0" w:lastRowLastColumn="0"/>
        </w:trPr>
        <w:tc>
          <w:tcPr>
            <w:tcW w:w="1809" w:type="dxa"/>
          </w:tcPr>
          <w:p w:rsidR="00932AF4" w:rsidRDefault="00932AF4" w:rsidP="00FB4141">
            <w:r w:rsidRPr="00932AF4">
              <w:t>Revision 5.2:</w:t>
            </w:r>
          </w:p>
        </w:tc>
        <w:tc>
          <w:tcPr>
            <w:tcW w:w="6884" w:type="dxa"/>
          </w:tcPr>
          <w:p w:rsidR="00932AF4" w:rsidRDefault="00932AF4" w:rsidP="00FB4141">
            <w:r w:rsidRPr="00932AF4">
              <w:t>Make all necessary amendments to reflect this draft decision on the standard asset lives, as set out in Table 5.3.</w:t>
            </w:r>
          </w:p>
        </w:tc>
      </w:tr>
    </w:tbl>
    <w:p w:rsidR="005C2F24" w:rsidRPr="00884B43" w:rsidRDefault="005C2F24" w:rsidP="00F50687"/>
    <w:sectPr w:rsidR="005C2F24" w:rsidRPr="00884B43"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35" w:rsidRPr="00290C63" w:rsidRDefault="00FF3735" w:rsidP="00290C63">
      <w:r>
        <w:separator/>
      </w:r>
    </w:p>
    <w:p w:rsidR="00FF3735" w:rsidRDefault="00FF3735"/>
  </w:endnote>
  <w:endnote w:type="continuationSeparator" w:id="0">
    <w:p w:rsidR="00FF3735" w:rsidRPr="00290C63" w:rsidRDefault="00FF3735" w:rsidP="00290C63">
      <w:r>
        <w:continuationSeparator/>
      </w:r>
    </w:p>
    <w:p w:rsidR="00FF3735" w:rsidRDefault="00FF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5" w:rsidRPr="00290C63" w:rsidRDefault="00FF373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F3735" w:rsidRDefault="00FF3735"/>
  <w:p w:rsidR="00FF3735" w:rsidRDefault="00FF3735"/>
  <w:p w:rsidR="00FF3735" w:rsidRDefault="00FF3735"/>
  <w:p w:rsidR="00FF3735" w:rsidRDefault="00FF3735"/>
  <w:p w:rsidR="00FF3735" w:rsidRDefault="00FF3735"/>
  <w:p w:rsidR="00FF3735" w:rsidRDefault="00FF3735"/>
  <w:p w:rsidR="00FF3735" w:rsidRDefault="00FF37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FF3735" w:rsidRPr="009B6F84" w:rsidRDefault="00FF3735">
        <w:pPr>
          <w:pStyle w:val="Footer"/>
          <w:rPr>
            <w:sz w:val="20"/>
          </w:rPr>
        </w:pPr>
        <w:r>
          <w:fldChar w:fldCharType="begin"/>
        </w:r>
        <w:r>
          <w:instrText xml:space="preserve"> PAGE   \* MERGEFORMAT </w:instrText>
        </w:r>
        <w:r>
          <w:fldChar w:fldCharType="separate"/>
        </w:r>
        <w:r w:rsidR="0037044A">
          <w:rPr>
            <w:noProof/>
          </w:rPr>
          <w:t>5-2</w:t>
        </w:r>
        <w:r>
          <w:rPr>
            <w:noProof/>
          </w:rPr>
          <w:fldChar w:fldCharType="end"/>
        </w:r>
        <w:r>
          <w:rPr>
            <w:noProof/>
          </w:rPr>
          <w:t xml:space="preserve">          </w:t>
        </w:r>
        <w:r>
          <w:t xml:space="preserve">Attachment 5 </w:t>
        </w:r>
        <w:r w:rsidRPr="000474DF">
          <w:t>−</w:t>
        </w:r>
        <w:r>
          <w:t xml:space="preserve"> Regulatory depreciation</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FF3735" w:rsidRDefault="00FF3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5" w:rsidRPr="00290C63" w:rsidRDefault="00FF373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F3735" w:rsidRDefault="00FF3735">
    <w:pPr>
      <w:pStyle w:val="Footer"/>
    </w:pPr>
  </w:p>
  <w:p w:rsidR="00FF3735" w:rsidRDefault="00FF3735"/>
  <w:p w:rsidR="00FF3735" w:rsidRDefault="00FF3735"/>
  <w:p w:rsidR="00FF3735" w:rsidRDefault="00FF3735"/>
  <w:p w:rsidR="00FF3735" w:rsidRDefault="00FF3735"/>
  <w:p w:rsidR="00FF3735" w:rsidRDefault="00FF3735"/>
  <w:p w:rsidR="00FF3735" w:rsidRDefault="00FF3735"/>
  <w:p w:rsidR="00FF3735" w:rsidRDefault="00FF37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5" w:rsidRPr="00290C63" w:rsidRDefault="00FF373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F3735" w:rsidRDefault="00FF3735"/>
  <w:p w:rsidR="00FF3735" w:rsidRDefault="00FF3735"/>
  <w:p w:rsidR="00FF3735" w:rsidRDefault="00FF3735"/>
  <w:p w:rsidR="00FF3735" w:rsidRDefault="00FF3735"/>
  <w:p w:rsidR="00FF3735" w:rsidRDefault="00FF3735"/>
  <w:p w:rsidR="00FF3735" w:rsidRDefault="00FF3735"/>
  <w:p w:rsidR="00FF3735" w:rsidRDefault="00FF37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FF3735" w:rsidRPr="009B6F84" w:rsidRDefault="00FF3735">
        <w:pPr>
          <w:pStyle w:val="Footer"/>
          <w:rPr>
            <w:sz w:val="20"/>
          </w:rPr>
        </w:pPr>
        <w:r>
          <w:fldChar w:fldCharType="begin"/>
        </w:r>
        <w:r>
          <w:instrText xml:space="preserve"> PAGE   \* MERGEFORMAT </w:instrText>
        </w:r>
        <w:r>
          <w:fldChar w:fldCharType="separate"/>
        </w:r>
        <w:r w:rsidR="0037044A">
          <w:rPr>
            <w:noProof/>
          </w:rPr>
          <w:t>5-12</w:t>
        </w:r>
        <w:r>
          <w:rPr>
            <w:noProof/>
          </w:rPr>
          <w:fldChar w:fldCharType="end"/>
        </w:r>
        <w:r>
          <w:rPr>
            <w:noProof/>
          </w:rPr>
          <w:t xml:space="preserve">          </w:t>
        </w:r>
        <w:r>
          <w:t xml:space="preserve">Attachment 5 </w:t>
        </w:r>
        <w:r w:rsidRPr="000474DF">
          <w:t>−</w:t>
        </w:r>
        <w:r>
          <w:t xml:space="preserve"> Regulatory depreciation</w:t>
        </w:r>
        <w:r w:rsidRPr="00D5015C">
          <w:t xml:space="preserve"> | </w:t>
        </w:r>
        <w:r>
          <w:t>Draft decision - AGN Victoria and Albury gas access arrangement</w:t>
        </w:r>
        <w:r w:rsidRPr="00D5015C">
          <w:t xml:space="preserve"> 201</w:t>
        </w:r>
        <w:r>
          <w:t>8</w:t>
        </w:r>
        <w:r w:rsidRPr="00D5015C">
          <w:t>–</w:t>
        </w:r>
        <w:r>
          <w:t>22</w:t>
        </w:r>
      </w:p>
    </w:sdtContent>
  </w:sdt>
  <w:p w:rsidR="00FF3735" w:rsidRDefault="00FF37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5" w:rsidRPr="00290C63" w:rsidRDefault="00FF373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F3735" w:rsidRDefault="00FF3735">
    <w:pPr>
      <w:pStyle w:val="Footer"/>
    </w:pPr>
  </w:p>
  <w:p w:rsidR="00FF3735" w:rsidRDefault="00FF3735"/>
  <w:p w:rsidR="00FF3735" w:rsidRDefault="00FF3735"/>
  <w:p w:rsidR="00FF3735" w:rsidRDefault="00FF3735"/>
  <w:p w:rsidR="00FF3735" w:rsidRDefault="00FF3735"/>
  <w:p w:rsidR="00FF3735" w:rsidRDefault="00FF3735"/>
  <w:p w:rsidR="00FF3735" w:rsidRDefault="00FF3735"/>
  <w:p w:rsidR="00FF3735" w:rsidRDefault="00FF37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35" w:rsidRPr="00290C63" w:rsidRDefault="00FF3735" w:rsidP="00290C63">
      <w:r>
        <w:separator/>
      </w:r>
    </w:p>
    <w:p w:rsidR="00FF3735" w:rsidRDefault="00FF3735"/>
  </w:footnote>
  <w:footnote w:type="continuationSeparator" w:id="0">
    <w:p w:rsidR="00FF3735" w:rsidRPr="00290C63" w:rsidRDefault="00FF3735" w:rsidP="00290C63">
      <w:r>
        <w:continuationSeparator/>
      </w:r>
    </w:p>
    <w:p w:rsidR="00FF3735" w:rsidRDefault="00FF3735"/>
  </w:footnote>
  <w:footnote w:id="1">
    <w:p w:rsidR="00FF3735" w:rsidRDefault="00FF3735" w:rsidP="00102843">
      <w:pPr>
        <w:pStyle w:val="FootnoteText"/>
      </w:pPr>
      <w:r>
        <w:rPr>
          <w:rStyle w:val="FootnoteReference"/>
        </w:rPr>
        <w:footnoteRef/>
      </w:r>
      <w:r>
        <w:t xml:space="preserve"> </w:t>
      </w:r>
      <w:r>
        <w:tab/>
      </w:r>
      <w:proofErr w:type="gramStart"/>
      <w:r>
        <w:t>NGR, r. 76(b).</w:t>
      </w:r>
      <w:proofErr w:type="gramEnd"/>
    </w:p>
  </w:footnote>
  <w:footnote w:id="2">
    <w:p w:rsidR="00FF3735" w:rsidRDefault="00FF3735" w:rsidP="00102843">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FF3735" w:rsidRDefault="00FF3735" w:rsidP="00102843">
      <w:pPr>
        <w:pStyle w:val="FootnoteText"/>
      </w:pPr>
      <w:r>
        <w:rPr>
          <w:rStyle w:val="FootnoteReference"/>
        </w:rPr>
        <w:footnoteRef/>
      </w:r>
      <w:r>
        <w:t xml:space="preserve"> </w:t>
      </w:r>
      <w:r>
        <w:tab/>
        <w:t>The term ‘standard asset life’ may also be referred to as ‘</w:t>
      </w:r>
      <w:r w:rsidRPr="003B3083">
        <w:t xml:space="preserve">standard </w:t>
      </w:r>
      <w:r>
        <w:t xml:space="preserve">economic </w:t>
      </w:r>
      <w:r w:rsidRPr="003B3083">
        <w:t>life</w:t>
      </w:r>
      <w:r>
        <w:t>’, ‘asset life’, ‘economic asset life’ or ‘economic life’.</w:t>
      </w:r>
    </w:p>
  </w:footnote>
  <w:footnote w:id="4">
    <w:p w:rsidR="00FF3735" w:rsidRPr="009A55A7" w:rsidRDefault="00FF3735" w:rsidP="00102843">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r>
        <w:rPr>
          <w:rStyle w:val="AERtextitalic"/>
        </w:rPr>
        <w:t xml:space="preserve"> </w:t>
      </w:r>
      <w:r w:rsidRPr="00464FA3">
        <w:rPr>
          <w:rStyle w:val="AERtextitalic"/>
        </w:rPr>
        <w:t xml:space="preserve">Final Decision Australian Gas Networks Access Arrangement 2016 to 2021 Attachment 5 – Regulatory depreciation, May 2016, p.28. </w:t>
      </w:r>
      <w:proofErr w:type="gramStart"/>
      <w:r w:rsidRPr="00464FA3">
        <w:rPr>
          <w:rStyle w:val="AERtextitalic"/>
        </w:rPr>
        <w:t>Final decision, Jemena Gas Networks (NSW) Ltd Access Arrangement 2015-20 Attachment 5 − Regulatory depreciation, June 2015, p10.</w:t>
      </w:r>
      <w:proofErr w:type="gramEnd"/>
    </w:p>
  </w:footnote>
  <w:footnote w:id="5">
    <w:p w:rsidR="00FF3735" w:rsidRDefault="00FF3735" w:rsidP="0091001C">
      <w:pPr>
        <w:pStyle w:val="FootnoteText"/>
      </w:pPr>
      <w:r>
        <w:rPr>
          <w:rStyle w:val="FootnoteReference"/>
        </w:rPr>
        <w:footnoteRef/>
      </w:r>
      <w:r>
        <w:t xml:space="preserve"> </w:t>
      </w:r>
      <w:r>
        <w:tab/>
      </w:r>
      <w:r w:rsidRPr="00FF3735">
        <w:rPr>
          <w:rStyle w:val="AERtextitalic"/>
          <w:i w:val="0"/>
        </w:rPr>
        <w:t xml:space="preserve">AGN </w:t>
      </w:r>
      <w:r w:rsidRPr="0091001C">
        <w:rPr>
          <w:rStyle w:val="AERtextitalic"/>
        </w:rPr>
        <w:t xml:space="preserve">- Final Plan - Access Arrangement Information for our Victorian and Albury natural gas distribution networks 2018-2022 </w:t>
      </w:r>
      <w:r w:rsidRPr="00FF3735">
        <w:rPr>
          <w:rStyle w:val="AERtextitalic"/>
          <w:i w:val="0"/>
        </w:rPr>
        <w:t>- 20161222</w:t>
      </w:r>
      <w:r>
        <w:rPr>
          <w:rStyle w:val="AERtextitalic"/>
        </w:rPr>
        <w:t xml:space="preserve">, </w:t>
      </w:r>
      <w:r w:rsidRPr="00FF3735">
        <w:rPr>
          <w:rStyle w:val="AERtextitalic"/>
          <w:i w:val="0"/>
        </w:rPr>
        <w:t>pp.104-105</w:t>
      </w:r>
      <w:r w:rsidRPr="005B5FC5">
        <w:rPr>
          <w:rStyle w:val="AERtextitalic"/>
        </w:rPr>
        <w:t>.</w:t>
      </w:r>
    </w:p>
  </w:footnote>
  <w:footnote w:id="6">
    <w:p w:rsidR="00FF3735" w:rsidRDefault="00FF3735" w:rsidP="0091001C">
      <w:pPr>
        <w:pStyle w:val="FootnoteText"/>
      </w:pPr>
      <w:r>
        <w:rPr>
          <w:rStyle w:val="FootnoteReference"/>
        </w:rPr>
        <w:footnoteRef/>
      </w:r>
      <w:r>
        <w:t xml:space="preserve"> </w:t>
      </w:r>
      <w:r>
        <w:tab/>
      </w:r>
      <w:r w:rsidRPr="00FF3735">
        <w:rPr>
          <w:rStyle w:val="AERtextitalic"/>
          <w:i w:val="0"/>
        </w:rPr>
        <w:t>AGN</w:t>
      </w:r>
      <w:r w:rsidRPr="0091001C">
        <w:rPr>
          <w:rStyle w:val="AERtextitalic"/>
        </w:rPr>
        <w:t xml:space="preserve"> - Final Plan - Access Arrangement Information for our Victorian and Albury natural gas distribution networks 2018-2022 - 20161222</w:t>
      </w:r>
      <w:r>
        <w:rPr>
          <w:rStyle w:val="AERtextitalic"/>
        </w:rPr>
        <w:t xml:space="preserve">, </w:t>
      </w:r>
      <w:r w:rsidRPr="00FF3735">
        <w:rPr>
          <w:rStyle w:val="AERtextitalic"/>
          <w:i w:val="0"/>
        </w:rPr>
        <w:t>p.105</w:t>
      </w:r>
      <w:r>
        <w:rPr>
          <w:rStyle w:val="AERtextitalic"/>
        </w:rPr>
        <w:t>.</w:t>
      </w:r>
    </w:p>
  </w:footnote>
  <w:footnote w:id="7">
    <w:p w:rsidR="00FF3735" w:rsidRDefault="00FF3735" w:rsidP="00A226D5">
      <w:pPr>
        <w:pStyle w:val="FootnoteText"/>
      </w:pPr>
      <w:r>
        <w:rPr>
          <w:rStyle w:val="FootnoteReference"/>
        </w:rPr>
        <w:footnoteRef/>
      </w:r>
      <w:r>
        <w:t xml:space="preserve"> </w:t>
      </w:r>
      <w:r>
        <w:tab/>
        <w:t>NGR, r. 72(1</w:t>
      </w:r>
      <w:proofErr w:type="gramStart"/>
      <w:r>
        <w:t>)(</w:t>
      </w:r>
      <w:proofErr w:type="gramEnd"/>
      <w:r>
        <w:t xml:space="preserve">c)(ii). </w:t>
      </w:r>
    </w:p>
  </w:footnote>
  <w:footnote w:id="8">
    <w:p w:rsidR="00FF3735" w:rsidRDefault="00FF3735" w:rsidP="00A226D5">
      <w:pPr>
        <w:pStyle w:val="FootnoteText"/>
      </w:pPr>
      <w:r>
        <w:rPr>
          <w:rStyle w:val="FootnoteReference"/>
        </w:rPr>
        <w:footnoteRef/>
      </w:r>
      <w:r>
        <w:t xml:space="preserve"> </w:t>
      </w:r>
      <w:r>
        <w:tab/>
      </w:r>
      <w:r w:rsidRPr="00CE74A3">
        <w:rPr>
          <w:rFonts w:eastAsia="Calibri"/>
        </w:rPr>
        <w:t xml:space="preserve">NGR, </w:t>
      </w:r>
      <w:proofErr w:type="gramStart"/>
      <w:r w:rsidRPr="00CE74A3">
        <w:rPr>
          <w:rFonts w:eastAsia="Calibri"/>
        </w:rPr>
        <w:t>rr</w:t>
      </w:r>
      <w:proofErr w:type="gramEnd"/>
      <w:r w:rsidRPr="00CE74A3">
        <w:rPr>
          <w:rFonts w:eastAsia="Calibri"/>
        </w:rPr>
        <w:t xml:space="preserve">. </w:t>
      </w:r>
      <w:proofErr w:type="gramStart"/>
      <w:r w:rsidRPr="00CE74A3">
        <w:rPr>
          <w:rFonts w:eastAsia="Calibri"/>
        </w:rPr>
        <w:t>88(1)</w:t>
      </w:r>
      <w:r>
        <w:rPr>
          <w:rFonts w:eastAsia="Calibri"/>
        </w:rPr>
        <w:t>,</w:t>
      </w:r>
      <w:r w:rsidRPr="00CE74A3">
        <w:rPr>
          <w:rFonts w:eastAsia="Calibri"/>
        </w:rPr>
        <w:t xml:space="preserve"> 88(2).</w:t>
      </w:r>
      <w:proofErr w:type="gramEnd"/>
    </w:p>
  </w:footnote>
  <w:footnote w:id="9">
    <w:p w:rsidR="00FF3735" w:rsidRDefault="00FF3735" w:rsidP="00A226D5">
      <w:pPr>
        <w:pStyle w:val="FootnoteText"/>
      </w:pPr>
      <w:r>
        <w:rPr>
          <w:rStyle w:val="FootnoteReference"/>
        </w:rPr>
        <w:footnoteRef/>
      </w:r>
      <w:r>
        <w:t xml:space="preserve"> </w:t>
      </w:r>
      <w:r>
        <w:tab/>
      </w:r>
      <w:proofErr w:type="gramStart"/>
      <w:r>
        <w:t>NGR, r. 89.</w:t>
      </w:r>
      <w:proofErr w:type="gramEnd"/>
    </w:p>
  </w:footnote>
  <w:footnote w:id="10">
    <w:p w:rsidR="00FF3735" w:rsidRDefault="00FF3735" w:rsidP="00A226D5">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w:t>
      </w:r>
      <w:r>
        <w:rPr>
          <w:rFonts w:eastAsia="Calibri"/>
        </w:rPr>
        <w:t> </w:t>
      </w:r>
      <w:r w:rsidRPr="006127F2">
        <w:rPr>
          <w:rFonts w:eastAsia="Calibri"/>
        </w:rPr>
        <w:t>24.</w:t>
      </w:r>
    </w:p>
  </w:footnote>
  <w:footnote w:id="11">
    <w:p w:rsidR="00FF3735" w:rsidRDefault="00FF3735" w:rsidP="00A226D5">
      <w:pPr>
        <w:pStyle w:val="FootnoteText"/>
      </w:pPr>
      <w:r>
        <w:rPr>
          <w:rStyle w:val="FootnoteReference"/>
        </w:rPr>
        <w:footnoteRef/>
      </w:r>
      <w:r>
        <w:t xml:space="preserve"> </w:t>
      </w:r>
      <w:r>
        <w:tab/>
      </w:r>
      <w:r w:rsidRPr="001E0177">
        <w:t xml:space="preserve">NGR, </w:t>
      </w:r>
      <w:proofErr w:type="gramStart"/>
      <w:r>
        <w:t>rr</w:t>
      </w:r>
      <w:proofErr w:type="gramEnd"/>
      <w:r>
        <w:t>.</w:t>
      </w:r>
      <w:r w:rsidRPr="001E0177">
        <w:t xml:space="preserve"> </w:t>
      </w:r>
      <w:proofErr w:type="gramStart"/>
      <w:r w:rsidRPr="001E0177">
        <w:t>89(3) and 40(2).</w:t>
      </w:r>
      <w:proofErr w:type="gramEnd"/>
      <w:r w:rsidRPr="001E0177">
        <w:t xml:space="preserve">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2">
    <w:p w:rsidR="00FF3735" w:rsidRDefault="00FF3735" w:rsidP="00A226D5">
      <w:pPr>
        <w:pStyle w:val="FootnoteText"/>
      </w:pPr>
      <w:r>
        <w:rPr>
          <w:rStyle w:val="FootnoteReference"/>
        </w:rPr>
        <w:footnoteRef/>
      </w:r>
      <w:r>
        <w:t xml:space="preserve"> </w:t>
      </w:r>
      <w:r>
        <w:tab/>
        <w:t>NGR, r. 89(1</w:t>
      </w:r>
      <w:proofErr w:type="gramStart"/>
      <w:r>
        <w:t>)(</w:t>
      </w:r>
      <w:proofErr w:type="gramEnd"/>
      <w:r>
        <w:t>a).</w:t>
      </w:r>
    </w:p>
  </w:footnote>
  <w:footnote w:id="13">
    <w:p w:rsidR="00FF3735" w:rsidRDefault="00FF3735" w:rsidP="00A226D5">
      <w:pPr>
        <w:pStyle w:val="FootnoteText"/>
      </w:pPr>
      <w:r>
        <w:rPr>
          <w:rStyle w:val="FootnoteReference"/>
        </w:rPr>
        <w:footnoteRef/>
      </w:r>
      <w:r>
        <w:t xml:space="preserve"> </w:t>
      </w:r>
      <w:r>
        <w:tab/>
        <w:t>NGR, r. 89(1</w:t>
      </w:r>
      <w:proofErr w:type="gramStart"/>
      <w:r>
        <w:t>)(</w:t>
      </w:r>
      <w:proofErr w:type="gramEnd"/>
      <w:r>
        <w:t>b).</w:t>
      </w:r>
    </w:p>
  </w:footnote>
  <w:footnote w:id="14">
    <w:p w:rsidR="00FF3735" w:rsidRDefault="00FF3735" w:rsidP="00A226D5">
      <w:pPr>
        <w:pStyle w:val="FootnoteText"/>
      </w:pPr>
      <w:r>
        <w:rPr>
          <w:rStyle w:val="FootnoteReference"/>
        </w:rPr>
        <w:footnoteRef/>
      </w:r>
      <w:r>
        <w:t xml:space="preserve"> </w:t>
      </w:r>
      <w:r>
        <w:tab/>
        <w:t>NGR, r. 89(1</w:t>
      </w:r>
      <w:proofErr w:type="gramStart"/>
      <w:r>
        <w:t>)(</w:t>
      </w:r>
      <w:proofErr w:type="gramEnd"/>
      <w:r>
        <w:t>c).</w:t>
      </w:r>
    </w:p>
  </w:footnote>
  <w:footnote w:id="15">
    <w:p w:rsidR="00FF3735" w:rsidRDefault="00FF3735" w:rsidP="00A226D5">
      <w:pPr>
        <w:pStyle w:val="FootnoteText"/>
      </w:pPr>
      <w:r>
        <w:rPr>
          <w:rStyle w:val="FootnoteReference"/>
        </w:rPr>
        <w:footnoteRef/>
      </w:r>
      <w:r>
        <w:t xml:space="preserve"> </w:t>
      </w:r>
      <w:r>
        <w:tab/>
        <w:t>NGR, r. 89(1</w:t>
      </w:r>
      <w:proofErr w:type="gramStart"/>
      <w:r>
        <w:t>)(</w:t>
      </w:r>
      <w:proofErr w:type="gramEnd"/>
      <w:r>
        <w:t>d).</w:t>
      </w:r>
    </w:p>
  </w:footnote>
  <w:footnote w:id="16">
    <w:p w:rsidR="00FF3735" w:rsidRDefault="00FF3735" w:rsidP="00A226D5">
      <w:pPr>
        <w:pStyle w:val="FootnoteText"/>
      </w:pPr>
      <w:r>
        <w:rPr>
          <w:rStyle w:val="FootnoteReference"/>
        </w:rPr>
        <w:footnoteRef/>
      </w:r>
      <w:r>
        <w:t xml:space="preserve"> </w:t>
      </w:r>
      <w:r>
        <w:tab/>
        <w:t>NGR, r. 89(1</w:t>
      </w:r>
      <w:proofErr w:type="gramStart"/>
      <w:r>
        <w:t>)(</w:t>
      </w:r>
      <w:proofErr w:type="gramEnd"/>
      <w:r>
        <w:t>e).</w:t>
      </w:r>
    </w:p>
  </w:footnote>
  <w:footnote w:id="17">
    <w:p w:rsidR="00FF3735" w:rsidRDefault="00FF3735" w:rsidP="00A226D5">
      <w:pPr>
        <w:pStyle w:val="FootnoteText"/>
      </w:pPr>
      <w:r>
        <w:rPr>
          <w:rStyle w:val="FootnoteReference"/>
        </w:rPr>
        <w:footnoteRef/>
      </w:r>
      <w:r>
        <w:t xml:space="preserve"> </w:t>
      </w:r>
      <w:r>
        <w:tab/>
      </w:r>
      <w:proofErr w:type="gramStart"/>
      <w:r>
        <w:t>NGR, r. 89(2).</w:t>
      </w:r>
      <w:proofErr w:type="gramEnd"/>
      <w:r>
        <w:t xml:space="preserve"> </w:t>
      </w:r>
    </w:p>
  </w:footnote>
  <w:footnote w:id="18">
    <w:p w:rsidR="00FF3735" w:rsidRDefault="00FF3735" w:rsidP="008E0B54">
      <w:pPr>
        <w:pStyle w:val="FootnoteText"/>
      </w:pPr>
      <w:r>
        <w:rPr>
          <w:rStyle w:val="FootnoteReference"/>
        </w:rPr>
        <w:footnoteRef/>
      </w:r>
      <w:r>
        <w:t xml:space="preserve"> </w:t>
      </w:r>
      <w:r>
        <w:tab/>
      </w:r>
      <w:proofErr w:type="gramStart"/>
      <w:r>
        <w:t>NGR, r.</w:t>
      </w:r>
      <w:r w:rsidR="00035487">
        <w:t xml:space="preserve"> </w:t>
      </w:r>
      <w:r>
        <w:t>74(2).</w:t>
      </w:r>
      <w:proofErr w:type="gramEnd"/>
    </w:p>
  </w:footnote>
  <w:footnote w:id="19">
    <w:p w:rsidR="00FF3735" w:rsidRDefault="00FF3735" w:rsidP="00A226D5">
      <w:pPr>
        <w:pStyle w:val="FootnoteText"/>
      </w:pPr>
      <w:r>
        <w:rPr>
          <w:rStyle w:val="FootnoteReference"/>
        </w:rPr>
        <w:footnoteRef/>
      </w:r>
      <w:r>
        <w:t xml:space="preserve"> </w:t>
      </w:r>
      <w:r>
        <w:tab/>
      </w:r>
      <w:proofErr w:type="gramStart"/>
      <w:r>
        <w:t>NGR, r. 89.</w:t>
      </w:r>
      <w:proofErr w:type="gramEnd"/>
    </w:p>
  </w:footnote>
  <w:footnote w:id="20">
    <w:p w:rsidR="00FF3735" w:rsidRDefault="00FF3735" w:rsidP="00A226D5">
      <w:pPr>
        <w:pStyle w:val="FootnoteText"/>
      </w:pPr>
      <w:r>
        <w:rPr>
          <w:rStyle w:val="FootnoteReference"/>
        </w:rPr>
        <w:footnoteRef/>
      </w:r>
      <w:r>
        <w:t xml:space="preserve"> </w:t>
      </w:r>
      <w:r>
        <w:tab/>
        <w:t>NGR, r. 89(1</w:t>
      </w:r>
      <w:proofErr w:type="gramStart"/>
      <w:r>
        <w:t>)(</w:t>
      </w:r>
      <w:proofErr w:type="gramEnd"/>
      <w:r>
        <w:t>a).</w:t>
      </w:r>
    </w:p>
  </w:footnote>
  <w:footnote w:id="21">
    <w:p w:rsidR="00FF3735" w:rsidRDefault="00FF3735" w:rsidP="00A226D5">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proofErr w:type="gramStart"/>
      <w:r>
        <w:rPr>
          <w:rStyle w:val="AERtextitalic"/>
        </w:rPr>
        <w:t>P</w:t>
      </w:r>
      <w:r w:rsidRPr="008948ED">
        <w:rPr>
          <w:rStyle w:val="AERtextitalic"/>
        </w:rPr>
        <w:t>roposed</w:t>
      </w:r>
      <w:proofErr w:type="gramEnd"/>
      <w:r w:rsidRPr="008948ED">
        <w:rPr>
          <w:rStyle w:val="AERtextitalic"/>
        </w:rPr>
        <w:t xml:space="preserve"> amendment, Electricity transmission network service providers, Roll forward model</w:t>
      </w:r>
      <w:r w:rsidRPr="00B406D4">
        <w:t>, August 2010, pp. 5–6.</w:t>
      </w:r>
    </w:p>
  </w:footnote>
  <w:footnote w:id="22">
    <w:p w:rsidR="00FF3735" w:rsidRDefault="00FF3735" w:rsidP="00A226D5">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3">
    <w:p w:rsidR="00FF3735" w:rsidRDefault="00FF3735" w:rsidP="00A226D5">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4">
    <w:p w:rsidR="00FF3735" w:rsidRDefault="00FF3735" w:rsidP="00A226D5">
      <w:pPr>
        <w:pStyle w:val="FootnoteText"/>
      </w:pPr>
      <w:r>
        <w:rPr>
          <w:rStyle w:val="FootnoteReference"/>
        </w:rPr>
        <w:footnoteRef/>
      </w:r>
      <w:r>
        <w:t xml:space="preserve"> </w:t>
      </w:r>
      <w:r>
        <w:tab/>
        <w:t>This is generally the case because the reduction in the capital base amount feeds into the higher depreciation building block, whereas the reduced return on capital building block is proportionate to the lower capital base multiplied by the WACC.</w:t>
      </w:r>
    </w:p>
  </w:footnote>
  <w:footnote w:id="25">
    <w:p w:rsidR="00FF3735" w:rsidRDefault="00FF3735" w:rsidP="00A226D5">
      <w:pPr>
        <w:pStyle w:val="FootnoteText"/>
      </w:pPr>
      <w:r>
        <w:rPr>
          <w:rStyle w:val="FootnoteReference"/>
        </w:rPr>
        <w:footnoteRef/>
      </w:r>
      <w:r>
        <w:t xml:space="preserve"> </w:t>
      </w:r>
      <w:r>
        <w:tab/>
        <w:t>NGR, cl. 87(4</w:t>
      </w:r>
      <w:proofErr w:type="gramStart"/>
      <w:r>
        <w:t>)(</w:t>
      </w:r>
      <w:proofErr w:type="gramEnd"/>
      <w:r>
        <w:t>b).</w:t>
      </w:r>
    </w:p>
  </w:footnote>
  <w:footnote w:id="26">
    <w:p w:rsidR="00FF3735" w:rsidRDefault="00FF3735" w:rsidP="00A226D5">
      <w:pPr>
        <w:pStyle w:val="FootnoteText"/>
      </w:pPr>
      <w:r>
        <w:rPr>
          <w:rStyle w:val="FootnoteReference"/>
        </w:rPr>
        <w:footnoteRef/>
      </w:r>
      <w:r>
        <w:t xml:space="preserve"> </w:t>
      </w:r>
      <w:r>
        <w:tab/>
      </w:r>
      <w:r w:rsidRPr="00B06CAD">
        <w:t xml:space="preserve">If the asset lives are extremely long, such that the </w:t>
      </w:r>
      <w:r>
        <w:t>capital base</w:t>
      </w:r>
      <w:r w:rsidRPr="00B06CAD">
        <w:t xml:space="preserve"> 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p>
  </w:footnote>
  <w:footnote w:id="27">
    <w:p w:rsidR="00FF3735" w:rsidRDefault="00FF3735" w:rsidP="00A226D5">
      <w:pPr>
        <w:pStyle w:val="FootnoteText"/>
      </w:pPr>
      <w:r>
        <w:rPr>
          <w:rStyle w:val="FootnoteReference"/>
        </w:rPr>
        <w:footnoteRef/>
      </w:r>
      <w:r>
        <w:t xml:space="preserve"> </w:t>
      </w:r>
      <w:r>
        <w:tab/>
        <w:t>A change of approach from an indexed capital base to an un-indexed capital base would result in an initial step change increase in revenues to preserve NPV neutrality.</w:t>
      </w:r>
    </w:p>
  </w:footnote>
  <w:footnote w:id="28">
    <w:p w:rsidR="00FF3735" w:rsidRDefault="00FF3735" w:rsidP="00A226D5">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29">
    <w:p w:rsidR="00FF3735" w:rsidRDefault="00FF3735" w:rsidP="003475DF">
      <w:pPr>
        <w:pStyle w:val="FootnoteText"/>
      </w:pPr>
      <w:r>
        <w:rPr>
          <w:rStyle w:val="FootnoteReference"/>
        </w:rPr>
        <w:footnoteRef/>
      </w:r>
      <w:r>
        <w:t xml:space="preserve"> </w:t>
      </w:r>
      <w:r>
        <w:tab/>
      </w:r>
      <w:r w:rsidRPr="00932AF4">
        <w:t xml:space="preserve">Consumer Challenge Panel (CCP 11) - </w:t>
      </w:r>
      <w:r w:rsidRPr="000C3953">
        <w:rPr>
          <w:rStyle w:val="AERtextitalic"/>
        </w:rPr>
        <w:t>Response to proposals from AGN, AusNet and Multinet for the 2018-2022 Access Arrangements</w:t>
      </w:r>
      <w:r w:rsidRPr="00932AF4">
        <w:t xml:space="preserve"> - 3 March 2017</w:t>
      </w:r>
      <w:r>
        <w:t>,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5" w:rsidRDefault="00FF3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CAD93C"/>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UReuM0BfMHx5iMMijzioWXQXB3tSf1hUXuihcqetgY=" w:saltValue="Cz9ed/ZTlBX9I3TkbNuwpQ==" w:algorithmName="SHA-256"/>
  <w:defaultTabStop w:val="34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0783"/>
    <w:rsid w:val="00030F65"/>
    <w:rsid w:val="00035487"/>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3953"/>
    <w:rsid w:val="000C5255"/>
    <w:rsid w:val="000D07A7"/>
    <w:rsid w:val="000D122C"/>
    <w:rsid w:val="000D75B0"/>
    <w:rsid w:val="000E1819"/>
    <w:rsid w:val="000E4821"/>
    <w:rsid w:val="000E4AA9"/>
    <w:rsid w:val="000E6C72"/>
    <w:rsid w:val="000E7F39"/>
    <w:rsid w:val="00100EA2"/>
    <w:rsid w:val="00101AA1"/>
    <w:rsid w:val="00102338"/>
    <w:rsid w:val="00102843"/>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1EE2"/>
    <w:rsid w:val="001573E4"/>
    <w:rsid w:val="00157EDB"/>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B7E71"/>
    <w:rsid w:val="001D04C5"/>
    <w:rsid w:val="001D055E"/>
    <w:rsid w:val="001E1B3F"/>
    <w:rsid w:val="001E30A5"/>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235B"/>
    <w:rsid w:val="00216C93"/>
    <w:rsid w:val="00223051"/>
    <w:rsid w:val="00224DB9"/>
    <w:rsid w:val="0022569A"/>
    <w:rsid w:val="0023005C"/>
    <w:rsid w:val="00231012"/>
    <w:rsid w:val="00232AC0"/>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332B"/>
    <w:rsid w:val="002A7DEF"/>
    <w:rsid w:val="002B0696"/>
    <w:rsid w:val="002C0222"/>
    <w:rsid w:val="002C033A"/>
    <w:rsid w:val="002C1499"/>
    <w:rsid w:val="002C233C"/>
    <w:rsid w:val="002C517B"/>
    <w:rsid w:val="002D3509"/>
    <w:rsid w:val="002D5457"/>
    <w:rsid w:val="002D72E8"/>
    <w:rsid w:val="002D79AD"/>
    <w:rsid w:val="002E268F"/>
    <w:rsid w:val="002E327D"/>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0985"/>
    <w:rsid w:val="003271B5"/>
    <w:rsid w:val="00327A1E"/>
    <w:rsid w:val="00327E28"/>
    <w:rsid w:val="00331264"/>
    <w:rsid w:val="00334C8D"/>
    <w:rsid w:val="003378BD"/>
    <w:rsid w:val="003424EA"/>
    <w:rsid w:val="00342C2F"/>
    <w:rsid w:val="003436EB"/>
    <w:rsid w:val="00343A18"/>
    <w:rsid w:val="00345744"/>
    <w:rsid w:val="003475DF"/>
    <w:rsid w:val="003503A7"/>
    <w:rsid w:val="003518B3"/>
    <w:rsid w:val="00353E79"/>
    <w:rsid w:val="00364EA0"/>
    <w:rsid w:val="00366981"/>
    <w:rsid w:val="0037044A"/>
    <w:rsid w:val="00370678"/>
    <w:rsid w:val="0037214E"/>
    <w:rsid w:val="00372C85"/>
    <w:rsid w:val="00373845"/>
    <w:rsid w:val="003744E3"/>
    <w:rsid w:val="00375F71"/>
    <w:rsid w:val="00376219"/>
    <w:rsid w:val="0037663E"/>
    <w:rsid w:val="0037699E"/>
    <w:rsid w:val="00377A29"/>
    <w:rsid w:val="00377C69"/>
    <w:rsid w:val="0038415D"/>
    <w:rsid w:val="0038430B"/>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3A3B"/>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4FA3"/>
    <w:rsid w:val="00465258"/>
    <w:rsid w:val="00471BC6"/>
    <w:rsid w:val="00473F9D"/>
    <w:rsid w:val="00476221"/>
    <w:rsid w:val="004766F5"/>
    <w:rsid w:val="00480B4B"/>
    <w:rsid w:val="004838D8"/>
    <w:rsid w:val="00485DC4"/>
    <w:rsid w:val="00487E46"/>
    <w:rsid w:val="00491ED1"/>
    <w:rsid w:val="00493E01"/>
    <w:rsid w:val="00494D04"/>
    <w:rsid w:val="004A40BA"/>
    <w:rsid w:val="004A43D1"/>
    <w:rsid w:val="004A492B"/>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2C41"/>
    <w:rsid w:val="0051337E"/>
    <w:rsid w:val="00513FA7"/>
    <w:rsid w:val="00516C9C"/>
    <w:rsid w:val="0051768F"/>
    <w:rsid w:val="00522DC2"/>
    <w:rsid w:val="00530128"/>
    <w:rsid w:val="00532467"/>
    <w:rsid w:val="005332A9"/>
    <w:rsid w:val="0053603C"/>
    <w:rsid w:val="00537871"/>
    <w:rsid w:val="00542FE9"/>
    <w:rsid w:val="00544598"/>
    <w:rsid w:val="00544C8D"/>
    <w:rsid w:val="00544DFD"/>
    <w:rsid w:val="00556B1E"/>
    <w:rsid w:val="005618F5"/>
    <w:rsid w:val="00564A4D"/>
    <w:rsid w:val="0056598C"/>
    <w:rsid w:val="00566E0B"/>
    <w:rsid w:val="00567BA5"/>
    <w:rsid w:val="00571172"/>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2F24"/>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44DE7"/>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5172"/>
    <w:rsid w:val="006B797C"/>
    <w:rsid w:val="006B7AC8"/>
    <w:rsid w:val="006C1736"/>
    <w:rsid w:val="006C329B"/>
    <w:rsid w:val="006C6303"/>
    <w:rsid w:val="006D50B2"/>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23E"/>
    <w:rsid w:val="00724A37"/>
    <w:rsid w:val="007303C3"/>
    <w:rsid w:val="00731188"/>
    <w:rsid w:val="007356CC"/>
    <w:rsid w:val="007368E6"/>
    <w:rsid w:val="007375DF"/>
    <w:rsid w:val="007429BE"/>
    <w:rsid w:val="00743223"/>
    <w:rsid w:val="00743349"/>
    <w:rsid w:val="0074403A"/>
    <w:rsid w:val="00746E01"/>
    <w:rsid w:val="00751DCD"/>
    <w:rsid w:val="00754B0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57EC"/>
    <w:rsid w:val="007C74BB"/>
    <w:rsid w:val="007C7F64"/>
    <w:rsid w:val="007D0A95"/>
    <w:rsid w:val="007D0EB5"/>
    <w:rsid w:val="007D456E"/>
    <w:rsid w:val="007D5837"/>
    <w:rsid w:val="007E4904"/>
    <w:rsid w:val="007E4CB5"/>
    <w:rsid w:val="007E4DAE"/>
    <w:rsid w:val="007F066B"/>
    <w:rsid w:val="007F4EAB"/>
    <w:rsid w:val="007F5B16"/>
    <w:rsid w:val="007F6370"/>
    <w:rsid w:val="007F665B"/>
    <w:rsid w:val="007F7C9D"/>
    <w:rsid w:val="008033C4"/>
    <w:rsid w:val="00806731"/>
    <w:rsid w:val="00806C88"/>
    <w:rsid w:val="0081034E"/>
    <w:rsid w:val="00810806"/>
    <w:rsid w:val="00815882"/>
    <w:rsid w:val="00820454"/>
    <w:rsid w:val="00822AC7"/>
    <w:rsid w:val="00822E86"/>
    <w:rsid w:val="008327D0"/>
    <w:rsid w:val="008344F6"/>
    <w:rsid w:val="0083510F"/>
    <w:rsid w:val="00837BF3"/>
    <w:rsid w:val="008415DE"/>
    <w:rsid w:val="008420DE"/>
    <w:rsid w:val="0084223B"/>
    <w:rsid w:val="00842D16"/>
    <w:rsid w:val="00845865"/>
    <w:rsid w:val="0084799B"/>
    <w:rsid w:val="00850C90"/>
    <w:rsid w:val="00851209"/>
    <w:rsid w:val="0085171F"/>
    <w:rsid w:val="008658A1"/>
    <w:rsid w:val="0086716A"/>
    <w:rsid w:val="00870613"/>
    <w:rsid w:val="0087380F"/>
    <w:rsid w:val="0087648F"/>
    <w:rsid w:val="00876612"/>
    <w:rsid w:val="00882BB1"/>
    <w:rsid w:val="00882EEF"/>
    <w:rsid w:val="008837AC"/>
    <w:rsid w:val="00887574"/>
    <w:rsid w:val="008909DC"/>
    <w:rsid w:val="00894255"/>
    <w:rsid w:val="008945AD"/>
    <w:rsid w:val="008A0645"/>
    <w:rsid w:val="008A1C02"/>
    <w:rsid w:val="008A3285"/>
    <w:rsid w:val="008A370D"/>
    <w:rsid w:val="008A587D"/>
    <w:rsid w:val="008B16B0"/>
    <w:rsid w:val="008B1BD5"/>
    <w:rsid w:val="008B35CD"/>
    <w:rsid w:val="008B4093"/>
    <w:rsid w:val="008B5888"/>
    <w:rsid w:val="008B5FCC"/>
    <w:rsid w:val="008B7F36"/>
    <w:rsid w:val="008C32FC"/>
    <w:rsid w:val="008C357F"/>
    <w:rsid w:val="008C5486"/>
    <w:rsid w:val="008D1661"/>
    <w:rsid w:val="008D27E0"/>
    <w:rsid w:val="008D5E7B"/>
    <w:rsid w:val="008D5F90"/>
    <w:rsid w:val="008D6800"/>
    <w:rsid w:val="008D72F1"/>
    <w:rsid w:val="008E0B54"/>
    <w:rsid w:val="008E4089"/>
    <w:rsid w:val="008E5AFF"/>
    <w:rsid w:val="008E7031"/>
    <w:rsid w:val="008E77DE"/>
    <w:rsid w:val="008F040C"/>
    <w:rsid w:val="008F07A3"/>
    <w:rsid w:val="008F3322"/>
    <w:rsid w:val="008F3519"/>
    <w:rsid w:val="008F3A0D"/>
    <w:rsid w:val="009001B6"/>
    <w:rsid w:val="009004DB"/>
    <w:rsid w:val="00900E1B"/>
    <w:rsid w:val="0090131F"/>
    <w:rsid w:val="00907683"/>
    <w:rsid w:val="0091001C"/>
    <w:rsid w:val="009132B7"/>
    <w:rsid w:val="00916A2C"/>
    <w:rsid w:val="009217B9"/>
    <w:rsid w:val="009233EE"/>
    <w:rsid w:val="00930B1A"/>
    <w:rsid w:val="00932612"/>
    <w:rsid w:val="009327DC"/>
    <w:rsid w:val="00932AF4"/>
    <w:rsid w:val="009338D9"/>
    <w:rsid w:val="009339BD"/>
    <w:rsid w:val="009356CF"/>
    <w:rsid w:val="00945E53"/>
    <w:rsid w:val="009460AA"/>
    <w:rsid w:val="00951978"/>
    <w:rsid w:val="00952C8B"/>
    <w:rsid w:val="00961A4A"/>
    <w:rsid w:val="009661DE"/>
    <w:rsid w:val="00972C7C"/>
    <w:rsid w:val="009776F4"/>
    <w:rsid w:val="00981543"/>
    <w:rsid w:val="00982DA2"/>
    <w:rsid w:val="00983C25"/>
    <w:rsid w:val="0098466D"/>
    <w:rsid w:val="009856B7"/>
    <w:rsid w:val="009859D6"/>
    <w:rsid w:val="00985C86"/>
    <w:rsid w:val="009A5FC3"/>
    <w:rsid w:val="009B169D"/>
    <w:rsid w:val="009B6F84"/>
    <w:rsid w:val="009B74B0"/>
    <w:rsid w:val="009C0152"/>
    <w:rsid w:val="009C1A74"/>
    <w:rsid w:val="009C3D42"/>
    <w:rsid w:val="009C491E"/>
    <w:rsid w:val="009D0DF1"/>
    <w:rsid w:val="009D22D6"/>
    <w:rsid w:val="009D2C84"/>
    <w:rsid w:val="009D3906"/>
    <w:rsid w:val="009D6B46"/>
    <w:rsid w:val="009E35B6"/>
    <w:rsid w:val="009E595D"/>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26D5"/>
    <w:rsid w:val="00A30BF5"/>
    <w:rsid w:val="00A31BE6"/>
    <w:rsid w:val="00A32FBB"/>
    <w:rsid w:val="00A40068"/>
    <w:rsid w:val="00A40BE9"/>
    <w:rsid w:val="00A42238"/>
    <w:rsid w:val="00A428EE"/>
    <w:rsid w:val="00A443C2"/>
    <w:rsid w:val="00A4478A"/>
    <w:rsid w:val="00A44852"/>
    <w:rsid w:val="00A50502"/>
    <w:rsid w:val="00A53409"/>
    <w:rsid w:val="00A53796"/>
    <w:rsid w:val="00A53848"/>
    <w:rsid w:val="00A54B50"/>
    <w:rsid w:val="00A56945"/>
    <w:rsid w:val="00A56A6E"/>
    <w:rsid w:val="00A57AA2"/>
    <w:rsid w:val="00A57D04"/>
    <w:rsid w:val="00A60A26"/>
    <w:rsid w:val="00A61598"/>
    <w:rsid w:val="00A61777"/>
    <w:rsid w:val="00A63646"/>
    <w:rsid w:val="00A63914"/>
    <w:rsid w:val="00A84A99"/>
    <w:rsid w:val="00A84F46"/>
    <w:rsid w:val="00A85E87"/>
    <w:rsid w:val="00A86AEA"/>
    <w:rsid w:val="00A871F4"/>
    <w:rsid w:val="00A90C64"/>
    <w:rsid w:val="00A9431A"/>
    <w:rsid w:val="00A95988"/>
    <w:rsid w:val="00A959DF"/>
    <w:rsid w:val="00A97A1B"/>
    <w:rsid w:val="00AA1C6E"/>
    <w:rsid w:val="00AA2927"/>
    <w:rsid w:val="00AB2CB8"/>
    <w:rsid w:val="00AB4617"/>
    <w:rsid w:val="00AC1B2C"/>
    <w:rsid w:val="00AC3264"/>
    <w:rsid w:val="00AC46AD"/>
    <w:rsid w:val="00AC4D2D"/>
    <w:rsid w:val="00AC58EC"/>
    <w:rsid w:val="00AC5AF5"/>
    <w:rsid w:val="00AC7282"/>
    <w:rsid w:val="00AC7961"/>
    <w:rsid w:val="00AD314E"/>
    <w:rsid w:val="00AD5FCD"/>
    <w:rsid w:val="00AD6B48"/>
    <w:rsid w:val="00AD7A3A"/>
    <w:rsid w:val="00AE1BF1"/>
    <w:rsid w:val="00AE23AB"/>
    <w:rsid w:val="00AE58FB"/>
    <w:rsid w:val="00AE5AF0"/>
    <w:rsid w:val="00AE5BDB"/>
    <w:rsid w:val="00AE663D"/>
    <w:rsid w:val="00AE73B3"/>
    <w:rsid w:val="00AF07E7"/>
    <w:rsid w:val="00AF0DD2"/>
    <w:rsid w:val="00AF31E1"/>
    <w:rsid w:val="00AF3BBA"/>
    <w:rsid w:val="00AF4231"/>
    <w:rsid w:val="00B00B0E"/>
    <w:rsid w:val="00B00B26"/>
    <w:rsid w:val="00B02385"/>
    <w:rsid w:val="00B02F9D"/>
    <w:rsid w:val="00B05766"/>
    <w:rsid w:val="00B06719"/>
    <w:rsid w:val="00B13048"/>
    <w:rsid w:val="00B13883"/>
    <w:rsid w:val="00B1716D"/>
    <w:rsid w:val="00B17A1D"/>
    <w:rsid w:val="00B207A0"/>
    <w:rsid w:val="00B21C21"/>
    <w:rsid w:val="00B22F54"/>
    <w:rsid w:val="00B24A7E"/>
    <w:rsid w:val="00B25C0C"/>
    <w:rsid w:val="00B266F6"/>
    <w:rsid w:val="00B304B5"/>
    <w:rsid w:val="00B308A9"/>
    <w:rsid w:val="00B31047"/>
    <w:rsid w:val="00B33148"/>
    <w:rsid w:val="00B35CDF"/>
    <w:rsid w:val="00B3714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1B90"/>
    <w:rsid w:val="00B82223"/>
    <w:rsid w:val="00B86E12"/>
    <w:rsid w:val="00B87BA5"/>
    <w:rsid w:val="00B87C39"/>
    <w:rsid w:val="00B93891"/>
    <w:rsid w:val="00B9562D"/>
    <w:rsid w:val="00BA21DA"/>
    <w:rsid w:val="00BA2B60"/>
    <w:rsid w:val="00BA3C93"/>
    <w:rsid w:val="00BA4665"/>
    <w:rsid w:val="00BA7FD7"/>
    <w:rsid w:val="00BB1681"/>
    <w:rsid w:val="00BB2FB2"/>
    <w:rsid w:val="00BB3304"/>
    <w:rsid w:val="00BB6551"/>
    <w:rsid w:val="00BB6825"/>
    <w:rsid w:val="00BC4A10"/>
    <w:rsid w:val="00BD309A"/>
    <w:rsid w:val="00BD30F4"/>
    <w:rsid w:val="00BD3446"/>
    <w:rsid w:val="00BD59CF"/>
    <w:rsid w:val="00BE1312"/>
    <w:rsid w:val="00BE1F1B"/>
    <w:rsid w:val="00BE3F89"/>
    <w:rsid w:val="00BE4195"/>
    <w:rsid w:val="00BE47B5"/>
    <w:rsid w:val="00BE5FCE"/>
    <w:rsid w:val="00BF40A3"/>
    <w:rsid w:val="00C0079E"/>
    <w:rsid w:val="00C0572A"/>
    <w:rsid w:val="00C13EBD"/>
    <w:rsid w:val="00C1631B"/>
    <w:rsid w:val="00C163AB"/>
    <w:rsid w:val="00C170F0"/>
    <w:rsid w:val="00C25962"/>
    <w:rsid w:val="00C25FA6"/>
    <w:rsid w:val="00C3099D"/>
    <w:rsid w:val="00C33011"/>
    <w:rsid w:val="00C362C1"/>
    <w:rsid w:val="00C41950"/>
    <w:rsid w:val="00C42C3B"/>
    <w:rsid w:val="00C50BAE"/>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96C0B"/>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6E3E"/>
    <w:rsid w:val="00CF77BB"/>
    <w:rsid w:val="00D006AE"/>
    <w:rsid w:val="00D00905"/>
    <w:rsid w:val="00D010C1"/>
    <w:rsid w:val="00D01CF0"/>
    <w:rsid w:val="00D0442A"/>
    <w:rsid w:val="00D12A7B"/>
    <w:rsid w:val="00D12ADB"/>
    <w:rsid w:val="00D15E63"/>
    <w:rsid w:val="00D25A39"/>
    <w:rsid w:val="00D27CFA"/>
    <w:rsid w:val="00D310FA"/>
    <w:rsid w:val="00D325C6"/>
    <w:rsid w:val="00D32A1D"/>
    <w:rsid w:val="00D37213"/>
    <w:rsid w:val="00D427CF"/>
    <w:rsid w:val="00D4360D"/>
    <w:rsid w:val="00D5015C"/>
    <w:rsid w:val="00D5607F"/>
    <w:rsid w:val="00D61388"/>
    <w:rsid w:val="00D61A54"/>
    <w:rsid w:val="00D62108"/>
    <w:rsid w:val="00D64AA4"/>
    <w:rsid w:val="00D64DEA"/>
    <w:rsid w:val="00D64F84"/>
    <w:rsid w:val="00D663CD"/>
    <w:rsid w:val="00D6726A"/>
    <w:rsid w:val="00D67B82"/>
    <w:rsid w:val="00D7001B"/>
    <w:rsid w:val="00D7160D"/>
    <w:rsid w:val="00D7168E"/>
    <w:rsid w:val="00D71E57"/>
    <w:rsid w:val="00D72D27"/>
    <w:rsid w:val="00D7670B"/>
    <w:rsid w:val="00D7786B"/>
    <w:rsid w:val="00D80893"/>
    <w:rsid w:val="00D82519"/>
    <w:rsid w:val="00D84854"/>
    <w:rsid w:val="00D924AE"/>
    <w:rsid w:val="00D92799"/>
    <w:rsid w:val="00D92CF1"/>
    <w:rsid w:val="00D92D38"/>
    <w:rsid w:val="00D950F5"/>
    <w:rsid w:val="00D97379"/>
    <w:rsid w:val="00DA25DC"/>
    <w:rsid w:val="00DA2995"/>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00B"/>
    <w:rsid w:val="00DC65FE"/>
    <w:rsid w:val="00DC7981"/>
    <w:rsid w:val="00DD0FF8"/>
    <w:rsid w:val="00DD4C07"/>
    <w:rsid w:val="00DD577D"/>
    <w:rsid w:val="00DD5ADC"/>
    <w:rsid w:val="00DE1093"/>
    <w:rsid w:val="00DE400C"/>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2EDF"/>
    <w:rsid w:val="00E754B4"/>
    <w:rsid w:val="00E755EC"/>
    <w:rsid w:val="00E7624D"/>
    <w:rsid w:val="00E81724"/>
    <w:rsid w:val="00E819A4"/>
    <w:rsid w:val="00E833FA"/>
    <w:rsid w:val="00E83E84"/>
    <w:rsid w:val="00E84B74"/>
    <w:rsid w:val="00E864D4"/>
    <w:rsid w:val="00E87066"/>
    <w:rsid w:val="00E966BF"/>
    <w:rsid w:val="00EA0C04"/>
    <w:rsid w:val="00EA3D42"/>
    <w:rsid w:val="00EA6B1B"/>
    <w:rsid w:val="00EB1CBD"/>
    <w:rsid w:val="00EB3447"/>
    <w:rsid w:val="00EB3A34"/>
    <w:rsid w:val="00EB3C3F"/>
    <w:rsid w:val="00EC04F1"/>
    <w:rsid w:val="00EC237F"/>
    <w:rsid w:val="00EC573A"/>
    <w:rsid w:val="00EC71E9"/>
    <w:rsid w:val="00ED35C8"/>
    <w:rsid w:val="00ED3968"/>
    <w:rsid w:val="00ED7323"/>
    <w:rsid w:val="00EE28F3"/>
    <w:rsid w:val="00EE2F70"/>
    <w:rsid w:val="00EE50D1"/>
    <w:rsid w:val="00EE7614"/>
    <w:rsid w:val="00EF01F9"/>
    <w:rsid w:val="00EF5110"/>
    <w:rsid w:val="00EF5890"/>
    <w:rsid w:val="00EF76BA"/>
    <w:rsid w:val="00EF7D47"/>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58C5"/>
    <w:rsid w:val="00F47559"/>
    <w:rsid w:val="00F50687"/>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1BB2"/>
    <w:rsid w:val="00F83034"/>
    <w:rsid w:val="00F83FAD"/>
    <w:rsid w:val="00F844C6"/>
    <w:rsid w:val="00F92FA6"/>
    <w:rsid w:val="00F9353B"/>
    <w:rsid w:val="00F937F1"/>
    <w:rsid w:val="00F952A0"/>
    <w:rsid w:val="00FA31B1"/>
    <w:rsid w:val="00FA3320"/>
    <w:rsid w:val="00FA3C7F"/>
    <w:rsid w:val="00FA6246"/>
    <w:rsid w:val="00FB24ED"/>
    <w:rsid w:val="00FB3304"/>
    <w:rsid w:val="00FB4141"/>
    <w:rsid w:val="00FB5005"/>
    <w:rsid w:val="00FB60FE"/>
    <w:rsid w:val="00FB74E2"/>
    <w:rsid w:val="00FB778B"/>
    <w:rsid w:val="00FD5614"/>
    <w:rsid w:val="00FD5E78"/>
    <w:rsid w:val="00FE0BE1"/>
    <w:rsid w:val="00FE11BB"/>
    <w:rsid w:val="00FE1DE9"/>
    <w:rsid w:val="00FE36AF"/>
    <w:rsid w:val="00FE39C2"/>
    <w:rsid w:val="00FE3C32"/>
    <w:rsid w:val="00FE64AE"/>
    <w:rsid w:val="00FF3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093270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A899DF64</Template>
  <TotalTime>0</TotalTime>
  <Pages>14</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