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6BA6A7B3" wp14:editId="737C67C0">
                <wp:simplePos x="0" y="0"/>
                <wp:positionH relativeFrom="column">
                  <wp:posOffset>-1116964</wp:posOffset>
                </wp:positionH>
                <wp:positionV relativeFrom="paragraph">
                  <wp:posOffset>-1000406</wp:posOffset>
                </wp:positionV>
                <wp:extent cx="7734300" cy="10932441"/>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34300" cy="10932441"/>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06A515FB" wp14:editId="064900F3">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8C6DC6" w:rsidRDefault="008C6DC6" w:rsidP="00D5015C">
          <w:pPr>
            <w:pStyle w:val="ReportSubtitle"/>
          </w:pPr>
          <w:r w:rsidRPr="008C6DC6">
            <w:t>DRAFT DECISION</w:t>
          </w:r>
        </w:p>
        <w:p w:rsidR="00D5015C" w:rsidRDefault="00D5015C" w:rsidP="00D5015C">
          <w:pPr>
            <w:pStyle w:val="ReportSubtitle"/>
          </w:pPr>
          <w:r>
            <w:t>Australian Gas Networks</w:t>
          </w:r>
        </w:p>
        <w:p w:rsidR="00D5015C" w:rsidRDefault="00D5015C" w:rsidP="00D5015C">
          <w:pPr>
            <w:pStyle w:val="ReportSubtitle"/>
          </w:pPr>
          <w:r>
            <w:t xml:space="preserve">Victoria </w:t>
          </w:r>
          <w:r w:rsidRPr="00D5015C">
            <w:t>and</w:t>
          </w:r>
          <w:r>
            <w:t xml:space="preserve"> Albury gas access arrangement</w:t>
          </w:r>
        </w:p>
        <w:p w:rsidR="00D5015C" w:rsidRDefault="00D5015C" w:rsidP="00D5015C">
          <w:pPr>
            <w:pStyle w:val="ReportSubtitle"/>
          </w:pPr>
          <w:r>
            <w:t xml:space="preserve"> 2018 to 2022</w:t>
          </w:r>
        </w:p>
        <w:p w:rsidR="008F07A3" w:rsidRPr="000A6C7B" w:rsidRDefault="008F07A3" w:rsidP="00D5015C">
          <w:pPr>
            <w:pStyle w:val="ReportSubtitle"/>
            <w:tabs>
              <w:tab w:val="left" w:pos="1122"/>
              <w:tab w:val="center" w:pos="4238"/>
            </w:tabs>
            <w:jc w:val="left"/>
          </w:pPr>
        </w:p>
        <w:p w:rsidR="000A6C7B" w:rsidRDefault="0037699E" w:rsidP="008F07A3">
          <w:pPr>
            <w:pStyle w:val="ReportSubtitle"/>
          </w:pPr>
          <w:r>
            <w:t xml:space="preserve">Attachment </w:t>
          </w:r>
          <w:r w:rsidR="00CA541D">
            <w:t>7</w:t>
          </w:r>
          <w:r w:rsidR="000474DF">
            <w:t xml:space="preserve"> </w:t>
          </w:r>
          <w:r w:rsidR="00185BA5">
            <w:t>–</w:t>
          </w:r>
          <w:r w:rsidR="000474DF">
            <w:t xml:space="preserve"> </w:t>
          </w:r>
          <w:r w:rsidR="00CA541D">
            <w:t>Operating expenditure</w:t>
          </w:r>
        </w:p>
        <w:p w:rsidR="00D5015C" w:rsidRDefault="00D5015C" w:rsidP="00327A1E">
          <w:pPr>
            <w:pStyle w:val="ReportDate"/>
          </w:pPr>
        </w:p>
        <w:p w:rsidR="00D5015C" w:rsidRDefault="00D5015C" w:rsidP="00327A1E">
          <w:pPr>
            <w:pStyle w:val="ReportDate"/>
          </w:pPr>
        </w:p>
        <w:p w:rsidR="000A6C7B" w:rsidRPr="00327A1E" w:rsidRDefault="004C4694" w:rsidP="00327A1E">
          <w:pPr>
            <w:pStyle w:val="ReportDate"/>
          </w:pPr>
          <w:r>
            <w:t>Ju</w:t>
          </w:r>
          <w:r w:rsidR="00C7435D">
            <w:t>ly</w:t>
          </w:r>
          <w:r w:rsidR="00D5015C">
            <w:t xml:space="preserve"> </w:t>
          </w:r>
          <w:r w:rsidR="00F22A8C">
            <w:t>2017</w:t>
          </w:r>
        </w:p>
      </w:sdtContent>
    </w:sdt>
    <w:p w:rsidR="00327A1E" w:rsidRPr="00290C63" w:rsidRDefault="00327A1E" w:rsidP="00290C63">
      <w:r>
        <w:br w:type="page"/>
      </w:r>
    </w:p>
    <w:p w:rsidR="00CE2A23" w:rsidRDefault="00CE2A23" w:rsidP="00761454">
      <w:bookmarkStart w:id="0" w:name="_Toc411428008"/>
      <w:r>
        <w:lastRenderedPageBreak/>
        <w:t>© Commonwealth of Australia 201</w:t>
      </w:r>
      <w:r w:rsidR="00CA541D">
        <w:t>7</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proofErr w:type="gramStart"/>
      <w:r>
        <w:t>or</w:t>
      </w:r>
      <w:proofErr w:type="gramEnd"/>
      <w:r>
        <w:t xml:space="preserve">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 xml:space="preserve">Tel: </w:t>
      </w:r>
      <w:r w:rsidR="004244A0">
        <w:t>1300 585 165</w:t>
      </w:r>
      <w:r>
        <w:br/>
        <w:t xml:space="preserve">Email: </w:t>
      </w:r>
      <w:hyperlink r:id="rId12"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1" w:name="_Toc404153950"/>
      <w:bookmarkStart w:id="2" w:name="_Toc404437593"/>
      <w:bookmarkStart w:id="3" w:name="_Toc486832591"/>
      <w:r>
        <w:lastRenderedPageBreak/>
        <w:t>Note</w:t>
      </w:r>
      <w:bookmarkEnd w:id="1"/>
      <w:bookmarkEnd w:id="2"/>
      <w:bookmarkEnd w:id="3"/>
    </w:p>
    <w:p w:rsidR="00D5015C" w:rsidRDefault="00D5015C" w:rsidP="00D5015C">
      <w:pPr>
        <w:numPr>
          <w:ilvl w:val="0"/>
          <w:numId w:val="23"/>
        </w:numPr>
      </w:pPr>
      <w:r>
        <w:t>This attachment forms part of the AER's draft decision on the access arrangement for AGN's Victoria and Albury gas distribution networks for 2018</w:t>
      </w:r>
      <w:r>
        <w:noBreakHyphen/>
        <w:t>22. It should be read with all other parts of the draft decision.</w:t>
      </w:r>
    </w:p>
    <w:p w:rsidR="00D5015C" w:rsidRDefault="00D5015C" w:rsidP="00D5015C">
      <w:pPr>
        <w:numPr>
          <w:ilvl w:val="0"/>
          <w:numId w:val="23"/>
        </w:numPr>
      </w:pPr>
      <w:r>
        <w:t>The draft decision includes the following documents:</w:t>
      </w:r>
    </w:p>
    <w:p w:rsidR="00D5015C" w:rsidRDefault="00D5015C" w:rsidP="00D5015C">
      <w:pPr>
        <w:numPr>
          <w:ilvl w:val="0"/>
          <w:numId w:val="23"/>
        </w:numPr>
      </w:pPr>
      <w:r>
        <w:t>Overview</w:t>
      </w:r>
    </w:p>
    <w:p w:rsidR="00D5015C" w:rsidRDefault="00D5015C" w:rsidP="00D5015C">
      <w:r>
        <w:t>Attachment 1 - Services covered by the access arrangement</w:t>
      </w:r>
    </w:p>
    <w:p w:rsidR="00D5015C" w:rsidRDefault="00D5015C" w:rsidP="00D5015C">
      <w:r>
        <w:t>Attachment 2 - Capital base</w:t>
      </w:r>
    </w:p>
    <w:p w:rsidR="00D5015C" w:rsidRDefault="00D5015C" w:rsidP="00D5015C">
      <w:r>
        <w:t>Attachment 3 - Rate of return</w:t>
      </w:r>
    </w:p>
    <w:p w:rsidR="00D5015C" w:rsidRDefault="00D5015C" w:rsidP="00D5015C">
      <w:r>
        <w:t>Attachment 4 - Value of imputation credits</w:t>
      </w:r>
    </w:p>
    <w:p w:rsidR="00D5015C" w:rsidRDefault="00D5015C" w:rsidP="00D5015C">
      <w:r>
        <w:t>Attachment 5 - Regulatory depreciation</w:t>
      </w:r>
    </w:p>
    <w:p w:rsidR="00D5015C" w:rsidRDefault="00D5015C" w:rsidP="00D5015C">
      <w:r>
        <w:t xml:space="preserve">Attachment 6 - Capital expenditure </w:t>
      </w:r>
    </w:p>
    <w:p w:rsidR="00D5015C" w:rsidRDefault="00D5015C" w:rsidP="00D5015C">
      <w:r>
        <w:t>Attachment 7 - Operating expenditure</w:t>
      </w:r>
    </w:p>
    <w:p w:rsidR="00D5015C" w:rsidRDefault="00D5015C" w:rsidP="00D5015C">
      <w:r>
        <w:t>Attachment 8 - Corporate income tax</w:t>
      </w:r>
    </w:p>
    <w:p w:rsidR="00D5015C" w:rsidRDefault="00D5015C" w:rsidP="00D5015C">
      <w:r>
        <w:t>Attachment 9 - Efficiency carryover mechanism</w:t>
      </w:r>
    </w:p>
    <w:p w:rsidR="00D5015C" w:rsidRDefault="00D5015C" w:rsidP="00D5015C">
      <w:r>
        <w:t>Attachment 10 - Reference tariff setting</w:t>
      </w:r>
    </w:p>
    <w:p w:rsidR="00D5015C" w:rsidRDefault="00D5015C" w:rsidP="00D5015C">
      <w:r>
        <w:t>Attachment 11 - Reference tariff variation mechanism</w:t>
      </w:r>
    </w:p>
    <w:p w:rsidR="00D5015C" w:rsidRDefault="00D5015C" w:rsidP="00D5015C">
      <w:r>
        <w:t>Attachment 12 - Non-tariff components</w:t>
      </w:r>
    </w:p>
    <w:p w:rsidR="00D5015C" w:rsidRDefault="00D5015C" w:rsidP="00D5015C">
      <w:r>
        <w:t>Attachment 13 - Demand</w:t>
      </w:r>
    </w:p>
    <w:p w:rsidR="00D5015C" w:rsidRDefault="00D5015C" w:rsidP="00D5015C">
      <w:r>
        <w:t>Attachment 14 - Other incentive schemes</w:t>
      </w:r>
    </w:p>
    <w:p w:rsidR="00761454" w:rsidRPr="009D3906" w:rsidRDefault="00761454" w:rsidP="00761454"/>
    <w:p w:rsidR="00CE2A23" w:rsidRPr="00CE2A23" w:rsidRDefault="00CE2A23" w:rsidP="00CE2A23">
      <w:bookmarkStart w:id="4" w:name="_Toc404354899"/>
      <w:bookmarkStart w:id="5" w:name="_Toc404353070"/>
      <w:bookmarkStart w:id="6" w:name="_Toc404684201"/>
      <w:bookmarkStart w:id="7" w:name="_Toc404700923"/>
      <w:r>
        <w:br w:type="page"/>
      </w:r>
    </w:p>
    <w:bookmarkEnd w:id="4"/>
    <w:bookmarkEnd w:id="5"/>
    <w:bookmarkEnd w:id="6"/>
    <w:bookmarkEnd w:id="7"/>
    <w:p w:rsidR="00CE2A23" w:rsidRPr="008F07A3" w:rsidRDefault="00CE2A23" w:rsidP="00CE2A23">
      <w:pPr>
        <w:numPr>
          <w:ilvl w:val="0"/>
          <w:numId w:val="24"/>
        </w:numPr>
        <w:sectPr w:rsidR="00CE2A23" w:rsidRPr="008F07A3" w:rsidSect="00317E02">
          <w:footerReference w:type="even" r:id="rId13"/>
          <w:footerReference w:type="default" r:id="rId14"/>
          <w:footerReference w:type="first" r:id="rId15"/>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8" w:name="_Toc403144133"/>
      <w:bookmarkStart w:id="9" w:name="_Toc486832592"/>
      <w:r>
        <w:t>Contents</w:t>
      </w:r>
      <w:bookmarkEnd w:id="8"/>
      <w:bookmarkEnd w:id="9"/>
    </w:p>
    <w:p w:rsidR="00CE2A23" w:rsidRDefault="00CE2A23" w:rsidP="00CE2A23"/>
    <w:sdt>
      <w:sdtPr>
        <w:id w:val="1269200322"/>
        <w:docPartObj>
          <w:docPartGallery w:val="Table of Contents"/>
          <w:docPartUnique/>
        </w:docPartObj>
      </w:sdtPr>
      <w:sdtEndPr/>
      <w:sdtContent>
        <w:p w:rsidR="008E0D00" w:rsidRDefault="006E762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 </w:instrText>
          </w:r>
          <w:bookmarkStart w:id="10" w:name="_GoBack"/>
          <w:bookmarkEnd w:id="10"/>
          <w:r>
            <w:fldChar w:fldCharType="separate"/>
          </w:r>
          <w:hyperlink w:anchor="_Toc486832591" w:history="1">
            <w:r w:rsidR="008E0D00" w:rsidRPr="00134689">
              <w:rPr>
                <w:rStyle w:val="Hyperlink"/>
              </w:rPr>
              <w:t>Note</w:t>
            </w:r>
            <w:r w:rsidR="008E0D00">
              <w:rPr>
                <w:webHidden/>
              </w:rPr>
              <w:tab/>
            </w:r>
            <w:r w:rsidR="008E0D00">
              <w:rPr>
                <w:webHidden/>
              </w:rPr>
              <w:fldChar w:fldCharType="begin"/>
            </w:r>
            <w:r w:rsidR="008E0D00">
              <w:rPr>
                <w:webHidden/>
              </w:rPr>
              <w:instrText xml:space="preserve"> PAGEREF _Toc486832591 \h </w:instrText>
            </w:r>
            <w:r w:rsidR="008E0D00">
              <w:rPr>
                <w:webHidden/>
              </w:rPr>
            </w:r>
            <w:r w:rsidR="008E0D00">
              <w:rPr>
                <w:webHidden/>
              </w:rPr>
              <w:fldChar w:fldCharType="separate"/>
            </w:r>
            <w:r w:rsidR="008E59D4">
              <w:rPr>
                <w:webHidden/>
              </w:rPr>
              <w:t>7-2</w:t>
            </w:r>
            <w:r w:rsidR="008E0D00">
              <w:rPr>
                <w:webHidden/>
              </w:rPr>
              <w:fldChar w:fldCharType="end"/>
            </w:r>
          </w:hyperlink>
        </w:p>
        <w:p w:rsidR="008E0D00" w:rsidRDefault="008E59D4">
          <w:pPr>
            <w:pStyle w:val="TOC1"/>
            <w:rPr>
              <w:rFonts w:asciiTheme="minorHAnsi" w:eastAsiaTheme="minorEastAsia" w:hAnsiTheme="minorHAnsi"/>
              <w:b w:val="0"/>
              <w:color w:val="auto"/>
              <w:sz w:val="22"/>
              <w:lang w:val="en-AU" w:eastAsia="en-AU"/>
            </w:rPr>
          </w:pPr>
          <w:hyperlink w:anchor="_Toc486832592" w:history="1">
            <w:r w:rsidR="008E0D00" w:rsidRPr="00134689">
              <w:rPr>
                <w:rStyle w:val="Hyperlink"/>
              </w:rPr>
              <w:t>Contents</w:t>
            </w:r>
            <w:r w:rsidR="008E0D00">
              <w:rPr>
                <w:webHidden/>
              </w:rPr>
              <w:tab/>
            </w:r>
            <w:r w:rsidR="008E0D00">
              <w:rPr>
                <w:webHidden/>
              </w:rPr>
              <w:fldChar w:fldCharType="begin"/>
            </w:r>
            <w:r w:rsidR="008E0D00">
              <w:rPr>
                <w:webHidden/>
              </w:rPr>
              <w:instrText xml:space="preserve"> PAGEREF _Toc486832592 \h </w:instrText>
            </w:r>
            <w:r w:rsidR="008E0D00">
              <w:rPr>
                <w:webHidden/>
              </w:rPr>
            </w:r>
            <w:r w:rsidR="008E0D00">
              <w:rPr>
                <w:webHidden/>
              </w:rPr>
              <w:fldChar w:fldCharType="separate"/>
            </w:r>
            <w:r>
              <w:rPr>
                <w:webHidden/>
              </w:rPr>
              <w:t>7-3</w:t>
            </w:r>
            <w:r w:rsidR="008E0D00">
              <w:rPr>
                <w:webHidden/>
              </w:rPr>
              <w:fldChar w:fldCharType="end"/>
            </w:r>
          </w:hyperlink>
        </w:p>
        <w:p w:rsidR="008E0D00" w:rsidRDefault="008E59D4">
          <w:pPr>
            <w:pStyle w:val="TOC1"/>
            <w:rPr>
              <w:rFonts w:asciiTheme="minorHAnsi" w:eastAsiaTheme="minorEastAsia" w:hAnsiTheme="minorHAnsi"/>
              <w:b w:val="0"/>
              <w:color w:val="auto"/>
              <w:sz w:val="22"/>
              <w:lang w:val="en-AU" w:eastAsia="en-AU"/>
            </w:rPr>
          </w:pPr>
          <w:hyperlink w:anchor="_Toc486832593" w:history="1">
            <w:r w:rsidR="008E0D00" w:rsidRPr="00134689">
              <w:rPr>
                <w:rStyle w:val="Hyperlink"/>
              </w:rPr>
              <w:t>Shortened forms</w:t>
            </w:r>
            <w:r w:rsidR="008E0D00">
              <w:rPr>
                <w:webHidden/>
              </w:rPr>
              <w:tab/>
            </w:r>
            <w:r w:rsidR="008E0D00">
              <w:rPr>
                <w:webHidden/>
              </w:rPr>
              <w:fldChar w:fldCharType="begin"/>
            </w:r>
            <w:r w:rsidR="008E0D00">
              <w:rPr>
                <w:webHidden/>
              </w:rPr>
              <w:instrText xml:space="preserve"> PAGEREF _Toc486832593 \h </w:instrText>
            </w:r>
            <w:r w:rsidR="008E0D00">
              <w:rPr>
                <w:webHidden/>
              </w:rPr>
            </w:r>
            <w:r w:rsidR="008E0D00">
              <w:rPr>
                <w:webHidden/>
              </w:rPr>
              <w:fldChar w:fldCharType="separate"/>
            </w:r>
            <w:r>
              <w:rPr>
                <w:webHidden/>
              </w:rPr>
              <w:t>7-4</w:t>
            </w:r>
            <w:r w:rsidR="008E0D00">
              <w:rPr>
                <w:webHidden/>
              </w:rPr>
              <w:fldChar w:fldCharType="end"/>
            </w:r>
          </w:hyperlink>
        </w:p>
        <w:p w:rsidR="008E0D00" w:rsidRDefault="008E59D4">
          <w:pPr>
            <w:pStyle w:val="TOC1"/>
            <w:rPr>
              <w:rFonts w:asciiTheme="minorHAnsi" w:eastAsiaTheme="minorEastAsia" w:hAnsiTheme="minorHAnsi"/>
              <w:b w:val="0"/>
              <w:color w:val="auto"/>
              <w:sz w:val="22"/>
              <w:lang w:val="en-AU" w:eastAsia="en-AU"/>
            </w:rPr>
          </w:pPr>
          <w:hyperlink w:anchor="_Toc486832594" w:history="1">
            <w:r w:rsidR="008E0D00" w:rsidRPr="00134689">
              <w:rPr>
                <w:rStyle w:val="Hyperlink"/>
              </w:rPr>
              <w:t>7</w:t>
            </w:r>
            <w:r w:rsidR="008E0D00">
              <w:rPr>
                <w:rFonts w:asciiTheme="minorHAnsi" w:eastAsiaTheme="minorEastAsia" w:hAnsiTheme="minorHAnsi"/>
                <w:b w:val="0"/>
                <w:color w:val="auto"/>
                <w:sz w:val="22"/>
                <w:lang w:val="en-AU" w:eastAsia="en-AU"/>
              </w:rPr>
              <w:tab/>
            </w:r>
            <w:r w:rsidR="008E0D00" w:rsidRPr="00134689">
              <w:rPr>
                <w:rStyle w:val="Hyperlink"/>
              </w:rPr>
              <w:t>Operating expenditure</w:t>
            </w:r>
            <w:r w:rsidR="008E0D00">
              <w:rPr>
                <w:webHidden/>
              </w:rPr>
              <w:tab/>
            </w:r>
            <w:r w:rsidR="008E0D00">
              <w:rPr>
                <w:webHidden/>
              </w:rPr>
              <w:fldChar w:fldCharType="begin"/>
            </w:r>
            <w:r w:rsidR="008E0D00">
              <w:rPr>
                <w:webHidden/>
              </w:rPr>
              <w:instrText xml:space="preserve"> PAGEREF _Toc486832594 \h </w:instrText>
            </w:r>
            <w:r w:rsidR="008E0D00">
              <w:rPr>
                <w:webHidden/>
              </w:rPr>
            </w:r>
            <w:r w:rsidR="008E0D00">
              <w:rPr>
                <w:webHidden/>
              </w:rPr>
              <w:fldChar w:fldCharType="separate"/>
            </w:r>
            <w:r>
              <w:rPr>
                <w:webHidden/>
              </w:rPr>
              <w:t>7-5</w:t>
            </w:r>
            <w:r w:rsidR="008E0D00">
              <w:rPr>
                <w:webHidden/>
              </w:rPr>
              <w:fldChar w:fldCharType="end"/>
            </w:r>
          </w:hyperlink>
        </w:p>
        <w:p w:rsidR="008E0D00" w:rsidRDefault="008E59D4">
          <w:pPr>
            <w:pStyle w:val="TOC2"/>
            <w:rPr>
              <w:rFonts w:asciiTheme="minorHAnsi" w:eastAsiaTheme="minorEastAsia" w:hAnsiTheme="minorHAnsi"/>
              <w:b w:val="0"/>
              <w:color w:val="auto"/>
              <w:sz w:val="22"/>
              <w:lang w:eastAsia="en-AU"/>
            </w:rPr>
          </w:pPr>
          <w:hyperlink w:anchor="_Toc486832595" w:history="1">
            <w:r w:rsidR="008E0D00" w:rsidRPr="00134689">
              <w:rPr>
                <w:rStyle w:val="Hyperlink"/>
              </w:rPr>
              <w:t>7.1</w:t>
            </w:r>
            <w:r w:rsidR="008E0D00">
              <w:rPr>
                <w:rFonts w:asciiTheme="minorHAnsi" w:eastAsiaTheme="minorEastAsia" w:hAnsiTheme="minorHAnsi"/>
                <w:b w:val="0"/>
                <w:color w:val="auto"/>
                <w:sz w:val="22"/>
                <w:lang w:eastAsia="en-AU"/>
              </w:rPr>
              <w:tab/>
            </w:r>
            <w:r w:rsidR="008E0D00" w:rsidRPr="00134689">
              <w:rPr>
                <w:rStyle w:val="Hyperlink"/>
              </w:rPr>
              <w:t>Draft decision</w:t>
            </w:r>
            <w:r w:rsidR="008E0D00">
              <w:rPr>
                <w:webHidden/>
              </w:rPr>
              <w:tab/>
            </w:r>
            <w:r w:rsidR="008E0D00">
              <w:rPr>
                <w:webHidden/>
              </w:rPr>
              <w:fldChar w:fldCharType="begin"/>
            </w:r>
            <w:r w:rsidR="008E0D00">
              <w:rPr>
                <w:webHidden/>
              </w:rPr>
              <w:instrText xml:space="preserve"> PAGEREF _Toc486832595 \h </w:instrText>
            </w:r>
            <w:r w:rsidR="008E0D00">
              <w:rPr>
                <w:webHidden/>
              </w:rPr>
            </w:r>
            <w:r w:rsidR="008E0D00">
              <w:rPr>
                <w:webHidden/>
              </w:rPr>
              <w:fldChar w:fldCharType="separate"/>
            </w:r>
            <w:r>
              <w:rPr>
                <w:webHidden/>
              </w:rPr>
              <w:t>7-5</w:t>
            </w:r>
            <w:r w:rsidR="008E0D00">
              <w:rPr>
                <w:webHidden/>
              </w:rPr>
              <w:fldChar w:fldCharType="end"/>
            </w:r>
          </w:hyperlink>
        </w:p>
        <w:p w:rsidR="008E0D00" w:rsidRDefault="008E59D4">
          <w:pPr>
            <w:pStyle w:val="TOC2"/>
            <w:rPr>
              <w:rFonts w:asciiTheme="minorHAnsi" w:eastAsiaTheme="minorEastAsia" w:hAnsiTheme="minorHAnsi"/>
              <w:b w:val="0"/>
              <w:color w:val="auto"/>
              <w:sz w:val="22"/>
              <w:lang w:eastAsia="en-AU"/>
            </w:rPr>
          </w:pPr>
          <w:hyperlink w:anchor="_Toc486832596" w:history="1">
            <w:r w:rsidR="008E0D00" w:rsidRPr="00134689">
              <w:rPr>
                <w:rStyle w:val="Hyperlink"/>
              </w:rPr>
              <w:t>7.2</w:t>
            </w:r>
            <w:r w:rsidR="008E0D00">
              <w:rPr>
                <w:rFonts w:asciiTheme="minorHAnsi" w:eastAsiaTheme="minorEastAsia" w:hAnsiTheme="minorHAnsi"/>
                <w:b w:val="0"/>
                <w:color w:val="auto"/>
                <w:sz w:val="22"/>
                <w:lang w:eastAsia="en-AU"/>
              </w:rPr>
              <w:tab/>
            </w:r>
            <w:r w:rsidR="008E0D00" w:rsidRPr="00134689">
              <w:rPr>
                <w:rStyle w:val="Hyperlink"/>
              </w:rPr>
              <w:t>AGN's proposal</w:t>
            </w:r>
            <w:r w:rsidR="008E0D00">
              <w:rPr>
                <w:webHidden/>
              </w:rPr>
              <w:tab/>
            </w:r>
            <w:r w:rsidR="008E0D00">
              <w:rPr>
                <w:webHidden/>
              </w:rPr>
              <w:fldChar w:fldCharType="begin"/>
            </w:r>
            <w:r w:rsidR="008E0D00">
              <w:rPr>
                <w:webHidden/>
              </w:rPr>
              <w:instrText xml:space="preserve"> PAGEREF _Toc486832596 \h </w:instrText>
            </w:r>
            <w:r w:rsidR="008E0D00">
              <w:rPr>
                <w:webHidden/>
              </w:rPr>
            </w:r>
            <w:r w:rsidR="008E0D00">
              <w:rPr>
                <w:webHidden/>
              </w:rPr>
              <w:fldChar w:fldCharType="separate"/>
            </w:r>
            <w:r>
              <w:rPr>
                <w:webHidden/>
              </w:rPr>
              <w:t>7-6</w:t>
            </w:r>
            <w:r w:rsidR="008E0D00">
              <w:rPr>
                <w:webHidden/>
              </w:rPr>
              <w:fldChar w:fldCharType="end"/>
            </w:r>
          </w:hyperlink>
        </w:p>
        <w:p w:rsidR="008E0D00" w:rsidRDefault="008E59D4">
          <w:pPr>
            <w:pStyle w:val="TOC3"/>
            <w:rPr>
              <w:rFonts w:asciiTheme="minorHAnsi" w:eastAsiaTheme="minorEastAsia" w:hAnsiTheme="minorHAnsi"/>
              <w:lang w:eastAsia="en-AU"/>
            </w:rPr>
          </w:pPr>
          <w:hyperlink w:anchor="_Toc486832597" w:history="1">
            <w:r w:rsidR="008E0D00" w:rsidRPr="00134689">
              <w:rPr>
                <w:rStyle w:val="Hyperlink"/>
              </w:rPr>
              <w:t>7.2.1</w:t>
            </w:r>
            <w:r w:rsidR="008E0D00">
              <w:rPr>
                <w:rFonts w:asciiTheme="minorHAnsi" w:eastAsiaTheme="minorEastAsia" w:hAnsiTheme="minorHAnsi"/>
                <w:lang w:eastAsia="en-AU"/>
              </w:rPr>
              <w:tab/>
            </w:r>
            <w:r w:rsidR="008E0D00" w:rsidRPr="00134689">
              <w:rPr>
                <w:rStyle w:val="Hyperlink"/>
              </w:rPr>
              <w:t>Submissions on AGN's proposal</w:t>
            </w:r>
            <w:r w:rsidR="008E0D00">
              <w:rPr>
                <w:webHidden/>
              </w:rPr>
              <w:tab/>
            </w:r>
            <w:r w:rsidR="008E0D00">
              <w:rPr>
                <w:webHidden/>
              </w:rPr>
              <w:fldChar w:fldCharType="begin"/>
            </w:r>
            <w:r w:rsidR="008E0D00">
              <w:rPr>
                <w:webHidden/>
              </w:rPr>
              <w:instrText xml:space="preserve"> PAGEREF _Toc486832597 \h </w:instrText>
            </w:r>
            <w:r w:rsidR="008E0D00">
              <w:rPr>
                <w:webHidden/>
              </w:rPr>
            </w:r>
            <w:r w:rsidR="008E0D00">
              <w:rPr>
                <w:webHidden/>
              </w:rPr>
              <w:fldChar w:fldCharType="separate"/>
            </w:r>
            <w:r>
              <w:rPr>
                <w:webHidden/>
              </w:rPr>
              <w:t>7-8</w:t>
            </w:r>
            <w:r w:rsidR="008E0D00">
              <w:rPr>
                <w:webHidden/>
              </w:rPr>
              <w:fldChar w:fldCharType="end"/>
            </w:r>
          </w:hyperlink>
        </w:p>
        <w:p w:rsidR="008E0D00" w:rsidRDefault="008E59D4">
          <w:pPr>
            <w:pStyle w:val="TOC2"/>
            <w:rPr>
              <w:rFonts w:asciiTheme="minorHAnsi" w:eastAsiaTheme="minorEastAsia" w:hAnsiTheme="minorHAnsi"/>
              <w:b w:val="0"/>
              <w:color w:val="auto"/>
              <w:sz w:val="22"/>
              <w:lang w:eastAsia="en-AU"/>
            </w:rPr>
          </w:pPr>
          <w:hyperlink w:anchor="_Toc486832598" w:history="1">
            <w:r w:rsidR="008E0D00" w:rsidRPr="00134689">
              <w:rPr>
                <w:rStyle w:val="Hyperlink"/>
              </w:rPr>
              <w:t>7.3</w:t>
            </w:r>
            <w:r w:rsidR="008E0D00">
              <w:rPr>
                <w:rFonts w:asciiTheme="minorHAnsi" w:eastAsiaTheme="minorEastAsia" w:hAnsiTheme="minorHAnsi"/>
                <w:b w:val="0"/>
                <w:color w:val="auto"/>
                <w:sz w:val="22"/>
                <w:lang w:eastAsia="en-AU"/>
              </w:rPr>
              <w:tab/>
            </w:r>
            <w:r w:rsidR="008E0D00" w:rsidRPr="00134689">
              <w:rPr>
                <w:rStyle w:val="Hyperlink"/>
              </w:rPr>
              <w:t>Our assessment approach</w:t>
            </w:r>
            <w:r w:rsidR="008E0D00">
              <w:rPr>
                <w:webHidden/>
              </w:rPr>
              <w:tab/>
            </w:r>
            <w:r w:rsidR="008E0D00">
              <w:rPr>
                <w:webHidden/>
              </w:rPr>
              <w:fldChar w:fldCharType="begin"/>
            </w:r>
            <w:r w:rsidR="008E0D00">
              <w:rPr>
                <w:webHidden/>
              </w:rPr>
              <w:instrText xml:space="preserve"> PAGEREF _Toc486832598 \h </w:instrText>
            </w:r>
            <w:r w:rsidR="008E0D00">
              <w:rPr>
                <w:webHidden/>
              </w:rPr>
            </w:r>
            <w:r w:rsidR="008E0D00">
              <w:rPr>
                <w:webHidden/>
              </w:rPr>
              <w:fldChar w:fldCharType="separate"/>
            </w:r>
            <w:r>
              <w:rPr>
                <w:webHidden/>
              </w:rPr>
              <w:t>7-8</w:t>
            </w:r>
            <w:r w:rsidR="008E0D00">
              <w:rPr>
                <w:webHidden/>
              </w:rPr>
              <w:fldChar w:fldCharType="end"/>
            </w:r>
          </w:hyperlink>
        </w:p>
        <w:p w:rsidR="008E0D00" w:rsidRDefault="008E59D4">
          <w:pPr>
            <w:pStyle w:val="TOC2"/>
            <w:rPr>
              <w:rFonts w:asciiTheme="minorHAnsi" w:eastAsiaTheme="minorEastAsia" w:hAnsiTheme="minorHAnsi"/>
              <w:b w:val="0"/>
              <w:color w:val="auto"/>
              <w:sz w:val="22"/>
              <w:lang w:eastAsia="en-AU"/>
            </w:rPr>
          </w:pPr>
          <w:hyperlink w:anchor="_Toc486832599" w:history="1">
            <w:r w:rsidR="008E0D00" w:rsidRPr="00134689">
              <w:rPr>
                <w:rStyle w:val="Hyperlink"/>
              </w:rPr>
              <w:t>7.4</w:t>
            </w:r>
            <w:r w:rsidR="008E0D00">
              <w:rPr>
                <w:rFonts w:asciiTheme="minorHAnsi" w:eastAsiaTheme="minorEastAsia" w:hAnsiTheme="minorHAnsi"/>
                <w:b w:val="0"/>
                <w:color w:val="auto"/>
                <w:sz w:val="22"/>
                <w:lang w:eastAsia="en-AU"/>
              </w:rPr>
              <w:tab/>
            </w:r>
            <w:r w:rsidR="008E0D00" w:rsidRPr="00134689">
              <w:rPr>
                <w:rStyle w:val="Hyperlink"/>
              </w:rPr>
              <w:t>Reasons for draft decision</w:t>
            </w:r>
            <w:r w:rsidR="008E0D00">
              <w:rPr>
                <w:webHidden/>
              </w:rPr>
              <w:tab/>
            </w:r>
            <w:r w:rsidR="008E0D00">
              <w:rPr>
                <w:webHidden/>
              </w:rPr>
              <w:fldChar w:fldCharType="begin"/>
            </w:r>
            <w:r w:rsidR="008E0D00">
              <w:rPr>
                <w:webHidden/>
              </w:rPr>
              <w:instrText xml:space="preserve"> PAGEREF _Toc486832599 \h </w:instrText>
            </w:r>
            <w:r w:rsidR="008E0D00">
              <w:rPr>
                <w:webHidden/>
              </w:rPr>
            </w:r>
            <w:r w:rsidR="008E0D00">
              <w:rPr>
                <w:webHidden/>
              </w:rPr>
              <w:fldChar w:fldCharType="separate"/>
            </w:r>
            <w:r>
              <w:rPr>
                <w:webHidden/>
              </w:rPr>
              <w:t>7-10</w:t>
            </w:r>
            <w:r w:rsidR="008E0D00">
              <w:rPr>
                <w:webHidden/>
              </w:rPr>
              <w:fldChar w:fldCharType="end"/>
            </w:r>
          </w:hyperlink>
        </w:p>
        <w:p w:rsidR="008E0D00" w:rsidRDefault="008E59D4">
          <w:pPr>
            <w:pStyle w:val="TOC3"/>
            <w:rPr>
              <w:rFonts w:asciiTheme="minorHAnsi" w:eastAsiaTheme="minorEastAsia" w:hAnsiTheme="minorHAnsi"/>
              <w:lang w:eastAsia="en-AU"/>
            </w:rPr>
          </w:pPr>
          <w:hyperlink w:anchor="_Toc486832600" w:history="1">
            <w:r w:rsidR="008E0D00" w:rsidRPr="00134689">
              <w:rPr>
                <w:rStyle w:val="Hyperlink"/>
              </w:rPr>
              <w:t>7.4.1</w:t>
            </w:r>
            <w:r w:rsidR="008E0D00">
              <w:rPr>
                <w:rFonts w:asciiTheme="minorHAnsi" w:eastAsiaTheme="minorEastAsia" w:hAnsiTheme="minorHAnsi"/>
                <w:lang w:eastAsia="en-AU"/>
              </w:rPr>
              <w:tab/>
            </w:r>
            <w:r w:rsidR="008E0D00" w:rsidRPr="00134689">
              <w:rPr>
                <w:rStyle w:val="Hyperlink"/>
              </w:rPr>
              <w:t>Base opex</w:t>
            </w:r>
            <w:r w:rsidR="008E0D00">
              <w:rPr>
                <w:webHidden/>
              </w:rPr>
              <w:tab/>
            </w:r>
            <w:r w:rsidR="008E0D00">
              <w:rPr>
                <w:webHidden/>
              </w:rPr>
              <w:fldChar w:fldCharType="begin"/>
            </w:r>
            <w:r w:rsidR="008E0D00">
              <w:rPr>
                <w:webHidden/>
              </w:rPr>
              <w:instrText xml:space="preserve"> PAGEREF _Toc486832600 \h </w:instrText>
            </w:r>
            <w:r w:rsidR="008E0D00">
              <w:rPr>
                <w:webHidden/>
              </w:rPr>
            </w:r>
            <w:r w:rsidR="008E0D00">
              <w:rPr>
                <w:webHidden/>
              </w:rPr>
              <w:fldChar w:fldCharType="separate"/>
            </w:r>
            <w:r>
              <w:rPr>
                <w:webHidden/>
              </w:rPr>
              <w:t>7-12</w:t>
            </w:r>
            <w:r w:rsidR="008E0D00">
              <w:rPr>
                <w:webHidden/>
              </w:rPr>
              <w:fldChar w:fldCharType="end"/>
            </w:r>
          </w:hyperlink>
        </w:p>
        <w:p w:rsidR="008E0D00" w:rsidRDefault="008E59D4">
          <w:pPr>
            <w:pStyle w:val="TOC3"/>
            <w:rPr>
              <w:rFonts w:asciiTheme="minorHAnsi" w:eastAsiaTheme="minorEastAsia" w:hAnsiTheme="minorHAnsi"/>
              <w:lang w:eastAsia="en-AU"/>
            </w:rPr>
          </w:pPr>
          <w:hyperlink w:anchor="_Toc486832601" w:history="1">
            <w:r w:rsidR="008E0D00" w:rsidRPr="00134689">
              <w:rPr>
                <w:rStyle w:val="Hyperlink"/>
              </w:rPr>
              <w:t>7.4.2</w:t>
            </w:r>
            <w:r w:rsidR="008E0D00">
              <w:rPr>
                <w:rFonts w:asciiTheme="minorHAnsi" w:eastAsiaTheme="minorEastAsia" w:hAnsiTheme="minorHAnsi"/>
                <w:lang w:eastAsia="en-AU"/>
              </w:rPr>
              <w:tab/>
            </w:r>
            <w:r w:rsidR="008E0D00" w:rsidRPr="00134689">
              <w:rPr>
                <w:rStyle w:val="Hyperlink"/>
              </w:rPr>
              <w:t>Rate of change</w:t>
            </w:r>
            <w:r w:rsidR="008E0D00">
              <w:rPr>
                <w:webHidden/>
              </w:rPr>
              <w:tab/>
            </w:r>
            <w:r w:rsidR="008E0D00">
              <w:rPr>
                <w:webHidden/>
              </w:rPr>
              <w:fldChar w:fldCharType="begin"/>
            </w:r>
            <w:r w:rsidR="008E0D00">
              <w:rPr>
                <w:webHidden/>
              </w:rPr>
              <w:instrText xml:space="preserve"> PAGEREF _Toc486832601 \h </w:instrText>
            </w:r>
            <w:r w:rsidR="008E0D00">
              <w:rPr>
                <w:webHidden/>
              </w:rPr>
            </w:r>
            <w:r w:rsidR="008E0D00">
              <w:rPr>
                <w:webHidden/>
              </w:rPr>
              <w:fldChar w:fldCharType="separate"/>
            </w:r>
            <w:r>
              <w:rPr>
                <w:webHidden/>
              </w:rPr>
              <w:t>7-13</w:t>
            </w:r>
            <w:r w:rsidR="008E0D00">
              <w:rPr>
                <w:webHidden/>
              </w:rPr>
              <w:fldChar w:fldCharType="end"/>
            </w:r>
          </w:hyperlink>
        </w:p>
        <w:p w:rsidR="008E0D00" w:rsidRDefault="008E59D4">
          <w:pPr>
            <w:pStyle w:val="TOC3"/>
            <w:rPr>
              <w:rFonts w:asciiTheme="minorHAnsi" w:eastAsiaTheme="minorEastAsia" w:hAnsiTheme="minorHAnsi"/>
              <w:lang w:eastAsia="en-AU"/>
            </w:rPr>
          </w:pPr>
          <w:hyperlink w:anchor="_Toc486832602" w:history="1">
            <w:r w:rsidR="008E0D00" w:rsidRPr="00134689">
              <w:rPr>
                <w:rStyle w:val="Hyperlink"/>
              </w:rPr>
              <w:t>7.4.3</w:t>
            </w:r>
            <w:r w:rsidR="008E0D00">
              <w:rPr>
                <w:rFonts w:asciiTheme="minorHAnsi" w:eastAsiaTheme="minorEastAsia" w:hAnsiTheme="minorHAnsi"/>
                <w:lang w:eastAsia="en-AU"/>
              </w:rPr>
              <w:tab/>
            </w:r>
            <w:r w:rsidR="008E0D00" w:rsidRPr="00134689">
              <w:rPr>
                <w:rStyle w:val="Hyperlink"/>
              </w:rPr>
              <w:t>Step changes</w:t>
            </w:r>
            <w:r w:rsidR="008E0D00">
              <w:rPr>
                <w:webHidden/>
              </w:rPr>
              <w:tab/>
            </w:r>
            <w:r w:rsidR="008E0D00">
              <w:rPr>
                <w:webHidden/>
              </w:rPr>
              <w:fldChar w:fldCharType="begin"/>
            </w:r>
            <w:r w:rsidR="008E0D00">
              <w:rPr>
                <w:webHidden/>
              </w:rPr>
              <w:instrText xml:space="preserve"> PAGEREF _Toc486832602 \h </w:instrText>
            </w:r>
            <w:r w:rsidR="008E0D00">
              <w:rPr>
                <w:webHidden/>
              </w:rPr>
            </w:r>
            <w:r w:rsidR="008E0D00">
              <w:rPr>
                <w:webHidden/>
              </w:rPr>
              <w:fldChar w:fldCharType="separate"/>
            </w:r>
            <w:r>
              <w:rPr>
                <w:webHidden/>
              </w:rPr>
              <w:t>7-16</w:t>
            </w:r>
            <w:r w:rsidR="008E0D00">
              <w:rPr>
                <w:webHidden/>
              </w:rPr>
              <w:fldChar w:fldCharType="end"/>
            </w:r>
          </w:hyperlink>
        </w:p>
        <w:p w:rsidR="008E0D00" w:rsidRDefault="008E59D4">
          <w:pPr>
            <w:pStyle w:val="TOC3"/>
            <w:rPr>
              <w:rFonts w:asciiTheme="minorHAnsi" w:eastAsiaTheme="minorEastAsia" w:hAnsiTheme="minorHAnsi"/>
              <w:lang w:eastAsia="en-AU"/>
            </w:rPr>
          </w:pPr>
          <w:hyperlink w:anchor="_Toc486832603" w:history="1">
            <w:r w:rsidR="008E0D00" w:rsidRPr="00134689">
              <w:rPr>
                <w:rStyle w:val="Hyperlink"/>
              </w:rPr>
              <w:t>7.4.4</w:t>
            </w:r>
            <w:r w:rsidR="008E0D00">
              <w:rPr>
                <w:rFonts w:asciiTheme="minorHAnsi" w:eastAsiaTheme="minorEastAsia" w:hAnsiTheme="minorHAnsi"/>
                <w:lang w:eastAsia="en-AU"/>
              </w:rPr>
              <w:tab/>
            </w:r>
            <w:r w:rsidR="008E0D00" w:rsidRPr="00134689">
              <w:rPr>
                <w:rStyle w:val="Hyperlink"/>
              </w:rPr>
              <w:t>Category specific forecasts</w:t>
            </w:r>
            <w:r w:rsidR="008E0D00">
              <w:rPr>
                <w:webHidden/>
              </w:rPr>
              <w:tab/>
            </w:r>
            <w:r w:rsidR="008E0D00">
              <w:rPr>
                <w:webHidden/>
              </w:rPr>
              <w:fldChar w:fldCharType="begin"/>
            </w:r>
            <w:r w:rsidR="008E0D00">
              <w:rPr>
                <w:webHidden/>
              </w:rPr>
              <w:instrText xml:space="preserve"> PAGEREF _Toc486832603 \h </w:instrText>
            </w:r>
            <w:r w:rsidR="008E0D00">
              <w:rPr>
                <w:webHidden/>
              </w:rPr>
            </w:r>
            <w:r w:rsidR="008E0D00">
              <w:rPr>
                <w:webHidden/>
              </w:rPr>
              <w:fldChar w:fldCharType="separate"/>
            </w:r>
            <w:r>
              <w:rPr>
                <w:webHidden/>
              </w:rPr>
              <w:t>7-16</w:t>
            </w:r>
            <w:r w:rsidR="008E0D00">
              <w:rPr>
                <w:webHidden/>
              </w:rPr>
              <w:fldChar w:fldCharType="end"/>
            </w:r>
          </w:hyperlink>
        </w:p>
        <w:p w:rsidR="008E0D00" w:rsidRDefault="008E59D4">
          <w:pPr>
            <w:pStyle w:val="TOC3"/>
            <w:rPr>
              <w:rFonts w:asciiTheme="minorHAnsi" w:eastAsiaTheme="minorEastAsia" w:hAnsiTheme="minorHAnsi"/>
              <w:lang w:eastAsia="en-AU"/>
            </w:rPr>
          </w:pPr>
          <w:hyperlink w:anchor="_Toc486832604" w:history="1">
            <w:r w:rsidR="008E0D00" w:rsidRPr="00134689">
              <w:rPr>
                <w:rStyle w:val="Hyperlink"/>
              </w:rPr>
              <w:t>7.4.5</w:t>
            </w:r>
            <w:r w:rsidR="008E0D00">
              <w:rPr>
                <w:rFonts w:asciiTheme="minorHAnsi" w:eastAsiaTheme="minorEastAsia" w:hAnsiTheme="minorHAnsi"/>
                <w:lang w:eastAsia="en-AU"/>
              </w:rPr>
              <w:tab/>
            </w:r>
            <w:r w:rsidR="008E0D00" w:rsidRPr="00134689">
              <w:rPr>
                <w:rStyle w:val="Hyperlink"/>
              </w:rPr>
              <w:t>Interrelationships</w:t>
            </w:r>
            <w:r w:rsidR="008E0D00">
              <w:rPr>
                <w:webHidden/>
              </w:rPr>
              <w:tab/>
            </w:r>
            <w:r w:rsidR="008E0D00">
              <w:rPr>
                <w:webHidden/>
              </w:rPr>
              <w:fldChar w:fldCharType="begin"/>
            </w:r>
            <w:r w:rsidR="008E0D00">
              <w:rPr>
                <w:webHidden/>
              </w:rPr>
              <w:instrText xml:space="preserve"> PAGEREF _Toc486832604 \h </w:instrText>
            </w:r>
            <w:r w:rsidR="008E0D00">
              <w:rPr>
                <w:webHidden/>
              </w:rPr>
            </w:r>
            <w:r w:rsidR="008E0D00">
              <w:rPr>
                <w:webHidden/>
              </w:rPr>
              <w:fldChar w:fldCharType="separate"/>
            </w:r>
            <w:r>
              <w:rPr>
                <w:webHidden/>
              </w:rPr>
              <w:t>7-16</w:t>
            </w:r>
            <w:r w:rsidR="008E0D00">
              <w:rPr>
                <w:webHidden/>
              </w:rPr>
              <w:fldChar w:fldCharType="end"/>
            </w:r>
          </w:hyperlink>
        </w:p>
        <w:p w:rsidR="008E0D00" w:rsidRDefault="008E59D4">
          <w:pPr>
            <w:pStyle w:val="TOC2"/>
            <w:rPr>
              <w:rFonts w:asciiTheme="minorHAnsi" w:eastAsiaTheme="minorEastAsia" w:hAnsiTheme="minorHAnsi"/>
              <w:b w:val="0"/>
              <w:color w:val="auto"/>
              <w:sz w:val="22"/>
              <w:lang w:eastAsia="en-AU"/>
            </w:rPr>
          </w:pPr>
          <w:hyperlink w:anchor="_Toc486832605" w:history="1">
            <w:r w:rsidR="008E0D00" w:rsidRPr="00134689">
              <w:rPr>
                <w:rStyle w:val="Hyperlink"/>
              </w:rPr>
              <w:t>7.5</w:t>
            </w:r>
            <w:r w:rsidR="008E0D00">
              <w:rPr>
                <w:rFonts w:asciiTheme="minorHAnsi" w:eastAsiaTheme="minorEastAsia" w:hAnsiTheme="minorHAnsi"/>
                <w:b w:val="0"/>
                <w:color w:val="auto"/>
                <w:sz w:val="22"/>
                <w:lang w:eastAsia="en-AU"/>
              </w:rPr>
              <w:tab/>
            </w:r>
            <w:r w:rsidR="008E0D00" w:rsidRPr="00134689">
              <w:rPr>
                <w:rStyle w:val="Hyperlink"/>
              </w:rPr>
              <w:t>Revisions</w:t>
            </w:r>
            <w:r w:rsidR="008E0D00">
              <w:rPr>
                <w:webHidden/>
              </w:rPr>
              <w:tab/>
            </w:r>
            <w:r w:rsidR="008E0D00">
              <w:rPr>
                <w:webHidden/>
              </w:rPr>
              <w:fldChar w:fldCharType="begin"/>
            </w:r>
            <w:r w:rsidR="008E0D00">
              <w:rPr>
                <w:webHidden/>
              </w:rPr>
              <w:instrText xml:space="preserve"> PAGEREF _Toc486832605 \h </w:instrText>
            </w:r>
            <w:r w:rsidR="008E0D00">
              <w:rPr>
                <w:webHidden/>
              </w:rPr>
            </w:r>
            <w:r w:rsidR="008E0D00">
              <w:rPr>
                <w:webHidden/>
              </w:rPr>
              <w:fldChar w:fldCharType="separate"/>
            </w:r>
            <w:r>
              <w:rPr>
                <w:webHidden/>
              </w:rPr>
              <w:t>7-17</w:t>
            </w:r>
            <w:r w:rsidR="008E0D00">
              <w:rPr>
                <w:webHidden/>
              </w:rPr>
              <w:fldChar w:fldCharType="end"/>
            </w:r>
          </w:hyperlink>
        </w:p>
        <w:p w:rsidR="00CE2A23" w:rsidRDefault="006E762C" w:rsidP="006E762C">
          <w:pPr>
            <w:pStyle w:val="TOC1"/>
          </w:pPr>
          <w:r>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1" w:name="_Toc404700925"/>
      <w:bookmarkStart w:id="12" w:name="_Toc486832593"/>
      <w:r>
        <w:t>Shortened forms</w:t>
      </w:r>
      <w:bookmarkEnd w:id="11"/>
      <w:bookmarkEnd w:id="12"/>
    </w:p>
    <w:tbl>
      <w:tblPr>
        <w:tblStyle w:val="AERtable-numbers"/>
        <w:tblW w:w="0" w:type="auto"/>
        <w:tblLook w:val="04A0" w:firstRow="1" w:lastRow="0" w:firstColumn="1" w:lastColumn="0" w:noHBand="0" w:noVBand="1"/>
      </w:tblPr>
      <w:tblGrid>
        <w:gridCol w:w="3652"/>
        <w:gridCol w:w="5041"/>
      </w:tblGrid>
      <w:tr w:rsidR="004244A0" w:rsidTr="0032237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Pr>
          <w:p w:rsidR="004244A0" w:rsidRDefault="004244A0" w:rsidP="004244A0">
            <w:pPr>
              <w:numPr>
                <w:ilvl w:val="0"/>
                <w:numId w:val="24"/>
              </w:numPr>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End w:id="0"/>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t>Shortened form</w:t>
            </w:r>
          </w:p>
        </w:tc>
        <w:tc>
          <w:tcPr>
            <w:tcW w:w="5041" w:type="dxa"/>
          </w:tcPr>
          <w:p w:rsidR="004244A0" w:rsidRDefault="004244A0" w:rsidP="004244A0">
            <w:pPr>
              <w:numPr>
                <w:ilvl w:val="0"/>
                <w:numId w:val="24"/>
              </w:numPr>
              <w:cnfStyle w:val="100000000000" w:firstRow="1" w:lastRow="0" w:firstColumn="0" w:lastColumn="0" w:oddVBand="0" w:evenVBand="0" w:oddHBand="0" w:evenHBand="0" w:firstRowFirstColumn="0" w:firstRowLastColumn="0" w:lastRowFirstColumn="0" w:lastRowLastColumn="0"/>
            </w:pPr>
            <w:r>
              <w:t>Extended form</w:t>
            </w:r>
          </w:p>
        </w:tc>
      </w:tr>
      <w:tr w:rsidR="004244A0" w:rsidTr="0032237B">
        <w:tc>
          <w:tcPr>
            <w:cnfStyle w:val="001000000000" w:firstRow="0" w:lastRow="0" w:firstColumn="1" w:lastColumn="0" w:oddVBand="0" w:evenVBand="0" w:oddHBand="0" w:evenHBand="0" w:firstRowFirstColumn="0" w:firstRowLastColumn="0" w:lastRowFirstColumn="0" w:lastRowLastColumn="0"/>
            <w:tcW w:w="3652" w:type="dxa"/>
          </w:tcPr>
          <w:p w:rsidR="004244A0" w:rsidRDefault="004244A0" w:rsidP="004244A0">
            <w:pPr>
              <w:numPr>
                <w:ilvl w:val="0"/>
                <w:numId w:val="24"/>
              </w:numPr>
            </w:pPr>
            <w:r>
              <w:t>AER</w:t>
            </w:r>
          </w:p>
        </w:tc>
        <w:tc>
          <w:tcPr>
            <w:tcW w:w="5041" w:type="dxa"/>
          </w:tcPr>
          <w:p w:rsidR="004244A0" w:rsidRDefault="004244A0" w:rsidP="004244A0">
            <w:pPr>
              <w:numPr>
                <w:ilvl w:val="0"/>
                <w:numId w:val="24"/>
              </w:numPr>
              <w:cnfStyle w:val="000000000000" w:firstRow="0" w:lastRow="0" w:firstColumn="0" w:lastColumn="0" w:oddVBand="0" w:evenVBand="0" w:oddHBand="0" w:evenHBand="0" w:firstRowFirstColumn="0" w:firstRowLastColumn="0" w:lastRowFirstColumn="0" w:lastRowLastColumn="0"/>
            </w:pPr>
            <w:r>
              <w:t>Australian Energy Regulator</w:t>
            </w:r>
          </w:p>
        </w:tc>
      </w:tr>
      <w:tr w:rsidR="004244A0" w:rsidTr="003223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4244A0" w:rsidRDefault="004244A0" w:rsidP="004244A0">
            <w:pPr>
              <w:numPr>
                <w:ilvl w:val="0"/>
                <w:numId w:val="24"/>
              </w:numPr>
            </w:pPr>
            <w:r>
              <w:t>ATO</w:t>
            </w:r>
          </w:p>
        </w:tc>
        <w:tc>
          <w:tcPr>
            <w:tcW w:w="5041" w:type="dxa"/>
          </w:tcPr>
          <w:p w:rsidR="004244A0" w:rsidRPr="004244A0" w:rsidRDefault="004244A0" w:rsidP="004244A0">
            <w:pPr>
              <w:cnfStyle w:val="000000010000" w:firstRow="0" w:lastRow="0" w:firstColumn="0" w:lastColumn="0" w:oddVBand="0" w:evenVBand="0" w:oddHBand="0" w:evenHBand="1" w:firstRowFirstColumn="0" w:firstRowLastColumn="0" w:lastRowFirstColumn="0" w:lastRowLastColumn="0"/>
            </w:pPr>
            <w:r>
              <w:t>Australian Tax Office</w:t>
            </w:r>
          </w:p>
        </w:tc>
      </w:tr>
      <w:tr w:rsidR="004244A0" w:rsidTr="0032237B">
        <w:tc>
          <w:tcPr>
            <w:cnfStyle w:val="001000000000" w:firstRow="0" w:lastRow="0" w:firstColumn="1" w:lastColumn="0" w:oddVBand="0" w:evenVBand="0" w:oddHBand="0" w:evenHBand="0" w:firstRowFirstColumn="0" w:firstRowLastColumn="0" w:lastRowFirstColumn="0" w:lastRowLastColumn="0"/>
            <w:tcW w:w="3652" w:type="dxa"/>
          </w:tcPr>
          <w:p w:rsidR="004244A0" w:rsidRDefault="004244A0" w:rsidP="004244A0">
            <w:pPr>
              <w:numPr>
                <w:ilvl w:val="0"/>
                <w:numId w:val="24"/>
              </w:numPr>
            </w:pPr>
            <w:r>
              <w:t>capex</w:t>
            </w:r>
          </w:p>
        </w:tc>
        <w:tc>
          <w:tcPr>
            <w:tcW w:w="5041" w:type="dxa"/>
          </w:tcPr>
          <w:p w:rsidR="004244A0" w:rsidRDefault="004244A0" w:rsidP="004244A0">
            <w:pPr>
              <w:numPr>
                <w:ilvl w:val="0"/>
                <w:numId w:val="24"/>
              </w:numPr>
              <w:cnfStyle w:val="000000000000" w:firstRow="0" w:lastRow="0" w:firstColumn="0" w:lastColumn="0" w:oddVBand="0" w:evenVBand="0" w:oddHBand="0" w:evenHBand="0" w:firstRowFirstColumn="0" w:firstRowLastColumn="0" w:lastRowFirstColumn="0" w:lastRowLastColumn="0"/>
            </w:pPr>
            <w:r>
              <w:t>capital expenditure</w:t>
            </w:r>
          </w:p>
        </w:tc>
      </w:tr>
      <w:tr w:rsidR="004244A0" w:rsidTr="003223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4244A0" w:rsidRDefault="004244A0" w:rsidP="004244A0">
            <w:pPr>
              <w:numPr>
                <w:ilvl w:val="0"/>
                <w:numId w:val="24"/>
              </w:numPr>
            </w:pPr>
            <w:r>
              <w:t>CAPM</w:t>
            </w:r>
          </w:p>
        </w:tc>
        <w:tc>
          <w:tcPr>
            <w:tcW w:w="5041" w:type="dxa"/>
          </w:tcPr>
          <w:p w:rsidR="004244A0" w:rsidRDefault="004244A0" w:rsidP="004244A0">
            <w:pPr>
              <w:numPr>
                <w:ilvl w:val="0"/>
                <w:numId w:val="24"/>
              </w:numPr>
              <w:cnfStyle w:val="000000010000" w:firstRow="0" w:lastRow="0" w:firstColumn="0" w:lastColumn="0" w:oddVBand="0" w:evenVBand="0" w:oddHBand="0" w:evenHBand="1" w:firstRowFirstColumn="0" w:firstRowLastColumn="0" w:lastRowFirstColumn="0" w:lastRowLastColumn="0"/>
            </w:pPr>
            <w:r>
              <w:t>capital asset pricing model</w:t>
            </w:r>
          </w:p>
        </w:tc>
      </w:tr>
      <w:tr w:rsidR="004244A0" w:rsidTr="0032237B">
        <w:tc>
          <w:tcPr>
            <w:cnfStyle w:val="001000000000" w:firstRow="0" w:lastRow="0" w:firstColumn="1" w:lastColumn="0" w:oddVBand="0" w:evenVBand="0" w:oddHBand="0" w:evenHBand="0" w:firstRowFirstColumn="0" w:firstRowLastColumn="0" w:lastRowFirstColumn="0" w:lastRowLastColumn="0"/>
            <w:tcW w:w="3652" w:type="dxa"/>
          </w:tcPr>
          <w:p w:rsidR="004244A0" w:rsidRDefault="004244A0" w:rsidP="004244A0">
            <w:pPr>
              <w:numPr>
                <w:ilvl w:val="0"/>
                <w:numId w:val="24"/>
              </w:numPr>
            </w:pPr>
            <w:r>
              <w:t>CESS</w:t>
            </w:r>
          </w:p>
        </w:tc>
        <w:tc>
          <w:tcPr>
            <w:tcW w:w="5041" w:type="dxa"/>
          </w:tcPr>
          <w:p w:rsidR="004244A0" w:rsidRDefault="004244A0" w:rsidP="004244A0">
            <w:pPr>
              <w:numPr>
                <w:ilvl w:val="0"/>
                <w:numId w:val="24"/>
              </w:numPr>
              <w:cnfStyle w:val="000000000000" w:firstRow="0" w:lastRow="0" w:firstColumn="0" w:lastColumn="0" w:oddVBand="0" w:evenVBand="0" w:oddHBand="0" w:evenHBand="0" w:firstRowFirstColumn="0" w:firstRowLastColumn="0" w:lastRowFirstColumn="0" w:lastRowLastColumn="0"/>
            </w:pPr>
            <w:r>
              <w:t>Capital Expenditure Sharing Scheme</w:t>
            </w:r>
          </w:p>
        </w:tc>
      </w:tr>
      <w:tr w:rsidR="004244A0" w:rsidTr="003223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4244A0" w:rsidRDefault="004244A0" w:rsidP="004244A0">
            <w:pPr>
              <w:numPr>
                <w:ilvl w:val="0"/>
                <w:numId w:val="24"/>
              </w:numPr>
            </w:pPr>
            <w:r>
              <w:t>CPI</w:t>
            </w:r>
          </w:p>
        </w:tc>
        <w:tc>
          <w:tcPr>
            <w:tcW w:w="5041" w:type="dxa"/>
          </w:tcPr>
          <w:p w:rsidR="004244A0" w:rsidRDefault="004244A0" w:rsidP="004244A0">
            <w:pPr>
              <w:numPr>
                <w:ilvl w:val="0"/>
                <w:numId w:val="24"/>
              </w:numPr>
              <w:cnfStyle w:val="000000010000" w:firstRow="0" w:lastRow="0" w:firstColumn="0" w:lastColumn="0" w:oddVBand="0" w:evenVBand="0" w:oddHBand="0" w:evenHBand="1" w:firstRowFirstColumn="0" w:firstRowLastColumn="0" w:lastRowFirstColumn="0" w:lastRowLastColumn="0"/>
            </w:pPr>
            <w:r>
              <w:t>consumer price index</w:t>
            </w:r>
          </w:p>
        </w:tc>
      </w:tr>
      <w:tr w:rsidR="004244A0" w:rsidTr="0032237B">
        <w:tc>
          <w:tcPr>
            <w:cnfStyle w:val="001000000000" w:firstRow="0" w:lastRow="0" w:firstColumn="1" w:lastColumn="0" w:oddVBand="0" w:evenVBand="0" w:oddHBand="0" w:evenHBand="0" w:firstRowFirstColumn="0" w:firstRowLastColumn="0" w:lastRowFirstColumn="0" w:lastRowLastColumn="0"/>
            <w:tcW w:w="3652" w:type="dxa"/>
          </w:tcPr>
          <w:p w:rsidR="004244A0" w:rsidRDefault="004244A0" w:rsidP="004244A0">
            <w:pPr>
              <w:numPr>
                <w:ilvl w:val="0"/>
                <w:numId w:val="24"/>
              </w:numPr>
            </w:pPr>
            <w:r>
              <w:t>DRP</w:t>
            </w:r>
          </w:p>
        </w:tc>
        <w:tc>
          <w:tcPr>
            <w:tcW w:w="5041" w:type="dxa"/>
          </w:tcPr>
          <w:p w:rsidR="004244A0" w:rsidRDefault="004244A0" w:rsidP="004244A0">
            <w:pPr>
              <w:numPr>
                <w:ilvl w:val="0"/>
                <w:numId w:val="24"/>
              </w:numPr>
              <w:cnfStyle w:val="000000000000" w:firstRow="0" w:lastRow="0" w:firstColumn="0" w:lastColumn="0" w:oddVBand="0" w:evenVBand="0" w:oddHBand="0" w:evenHBand="0" w:firstRowFirstColumn="0" w:firstRowLastColumn="0" w:lastRowFirstColumn="0" w:lastRowLastColumn="0"/>
            </w:pPr>
            <w:r>
              <w:t>debt risk premium</w:t>
            </w:r>
          </w:p>
        </w:tc>
      </w:tr>
      <w:tr w:rsidR="004244A0" w:rsidTr="003223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4244A0" w:rsidRDefault="004244A0" w:rsidP="004244A0">
            <w:pPr>
              <w:numPr>
                <w:ilvl w:val="0"/>
                <w:numId w:val="24"/>
              </w:numPr>
            </w:pPr>
            <w:r>
              <w:t>ECM</w:t>
            </w:r>
          </w:p>
        </w:tc>
        <w:tc>
          <w:tcPr>
            <w:tcW w:w="5041" w:type="dxa"/>
          </w:tcPr>
          <w:p w:rsidR="004244A0" w:rsidRPr="004244A0" w:rsidRDefault="004244A0" w:rsidP="004244A0">
            <w:pPr>
              <w:cnfStyle w:val="000000010000" w:firstRow="0" w:lastRow="0" w:firstColumn="0" w:lastColumn="0" w:oddVBand="0" w:evenVBand="0" w:oddHBand="0" w:evenHBand="1" w:firstRowFirstColumn="0" w:firstRowLastColumn="0" w:lastRowFirstColumn="0" w:lastRowLastColumn="0"/>
            </w:pPr>
            <w:r>
              <w:t>(Opex) Efficiency Carryover Mechanism</w:t>
            </w:r>
          </w:p>
        </w:tc>
      </w:tr>
      <w:tr w:rsidR="004244A0" w:rsidTr="0032237B">
        <w:tc>
          <w:tcPr>
            <w:cnfStyle w:val="001000000000" w:firstRow="0" w:lastRow="0" w:firstColumn="1" w:lastColumn="0" w:oddVBand="0" w:evenVBand="0" w:oddHBand="0" w:evenHBand="0" w:firstRowFirstColumn="0" w:firstRowLastColumn="0" w:lastRowFirstColumn="0" w:lastRowLastColumn="0"/>
            <w:tcW w:w="3652" w:type="dxa"/>
          </w:tcPr>
          <w:p w:rsidR="004244A0" w:rsidRDefault="004244A0" w:rsidP="004244A0">
            <w:pPr>
              <w:numPr>
                <w:ilvl w:val="0"/>
                <w:numId w:val="24"/>
              </w:numPr>
            </w:pPr>
            <w:r>
              <w:t>ERP</w:t>
            </w:r>
          </w:p>
        </w:tc>
        <w:tc>
          <w:tcPr>
            <w:tcW w:w="5041" w:type="dxa"/>
          </w:tcPr>
          <w:p w:rsidR="004244A0" w:rsidRDefault="004244A0" w:rsidP="004244A0">
            <w:pPr>
              <w:numPr>
                <w:ilvl w:val="0"/>
                <w:numId w:val="24"/>
              </w:numPr>
              <w:cnfStyle w:val="000000000000" w:firstRow="0" w:lastRow="0" w:firstColumn="0" w:lastColumn="0" w:oddVBand="0" w:evenVBand="0" w:oddHBand="0" w:evenHBand="0" w:firstRowFirstColumn="0" w:firstRowLastColumn="0" w:lastRowFirstColumn="0" w:lastRowLastColumn="0"/>
            </w:pPr>
            <w:r>
              <w:t>equity risk premium</w:t>
            </w:r>
          </w:p>
        </w:tc>
      </w:tr>
      <w:tr w:rsidR="004244A0" w:rsidTr="003223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4244A0" w:rsidRDefault="004244A0" w:rsidP="004244A0">
            <w:pPr>
              <w:numPr>
                <w:ilvl w:val="0"/>
                <w:numId w:val="24"/>
              </w:numPr>
            </w:pPr>
            <w:r>
              <w:t>Expenditure Guideline</w:t>
            </w:r>
          </w:p>
        </w:tc>
        <w:tc>
          <w:tcPr>
            <w:tcW w:w="5041" w:type="dxa"/>
          </w:tcPr>
          <w:p w:rsidR="004244A0" w:rsidRPr="004244A0" w:rsidRDefault="004244A0" w:rsidP="004244A0">
            <w:pPr>
              <w:cnfStyle w:val="000000010000" w:firstRow="0" w:lastRow="0" w:firstColumn="0" w:lastColumn="0" w:oddVBand="0" w:evenVBand="0" w:oddHBand="0" w:evenHBand="1" w:firstRowFirstColumn="0" w:firstRowLastColumn="0" w:lastRowFirstColumn="0" w:lastRowLastColumn="0"/>
            </w:pPr>
            <w:r>
              <w:t xml:space="preserve">Expenditure Forecast </w:t>
            </w:r>
            <w:r w:rsidRPr="004244A0">
              <w:t>Assessment Guideline</w:t>
            </w:r>
          </w:p>
        </w:tc>
      </w:tr>
      <w:tr w:rsidR="004244A0" w:rsidTr="0032237B">
        <w:tc>
          <w:tcPr>
            <w:cnfStyle w:val="001000000000" w:firstRow="0" w:lastRow="0" w:firstColumn="1" w:lastColumn="0" w:oddVBand="0" w:evenVBand="0" w:oddHBand="0" w:evenHBand="0" w:firstRowFirstColumn="0" w:firstRowLastColumn="0" w:lastRowFirstColumn="0" w:lastRowLastColumn="0"/>
            <w:tcW w:w="3652" w:type="dxa"/>
          </w:tcPr>
          <w:p w:rsidR="004244A0" w:rsidRDefault="004244A0" w:rsidP="004244A0">
            <w:pPr>
              <w:numPr>
                <w:ilvl w:val="0"/>
                <w:numId w:val="24"/>
              </w:numPr>
            </w:pPr>
            <w:r>
              <w:t>gamma</w:t>
            </w:r>
          </w:p>
        </w:tc>
        <w:tc>
          <w:tcPr>
            <w:tcW w:w="5041" w:type="dxa"/>
          </w:tcPr>
          <w:p w:rsidR="004244A0" w:rsidRPr="004244A0" w:rsidRDefault="004244A0" w:rsidP="004244A0">
            <w:pPr>
              <w:cnfStyle w:val="000000000000" w:firstRow="0" w:lastRow="0" w:firstColumn="0" w:lastColumn="0" w:oddVBand="0" w:evenVBand="0" w:oddHBand="0" w:evenHBand="0" w:firstRowFirstColumn="0" w:firstRowLastColumn="0" w:lastRowFirstColumn="0" w:lastRowLastColumn="0"/>
            </w:pPr>
            <w:r>
              <w:t>Value of Imputation Credits</w:t>
            </w:r>
          </w:p>
        </w:tc>
      </w:tr>
      <w:tr w:rsidR="004244A0" w:rsidTr="003223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4244A0" w:rsidRDefault="004244A0" w:rsidP="004244A0">
            <w:pPr>
              <w:numPr>
                <w:ilvl w:val="0"/>
                <w:numId w:val="24"/>
              </w:numPr>
            </w:pPr>
            <w:r>
              <w:t>MRP</w:t>
            </w:r>
          </w:p>
        </w:tc>
        <w:tc>
          <w:tcPr>
            <w:tcW w:w="5041" w:type="dxa"/>
          </w:tcPr>
          <w:p w:rsidR="004244A0" w:rsidRDefault="004244A0" w:rsidP="004244A0">
            <w:pPr>
              <w:numPr>
                <w:ilvl w:val="0"/>
                <w:numId w:val="24"/>
              </w:numPr>
              <w:cnfStyle w:val="000000010000" w:firstRow="0" w:lastRow="0" w:firstColumn="0" w:lastColumn="0" w:oddVBand="0" w:evenVBand="0" w:oddHBand="0" w:evenHBand="1" w:firstRowFirstColumn="0" w:firstRowLastColumn="0" w:lastRowFirstColumn="0" w:lastRowLastColumn="0"/>
            </w:pPr>
            <w:r>
              <w:t>market risk premium</w:t>
            </w:r>
          </w:p>
        </w:tc>
      </w:tr>
      <w:tr w:rsidR="004244A0" w:rsidTr="0032237B">
        <w:tc>
          <w:tcPr>
            <w:cnfStyle w:val="001000000000" w:firstRow="0" w:lastRow="0" w:firstColumn="1" w:lastColumn="0" w:oddVBand="0" w:evenVBand="0" w:oddHBand="0" w:evenHBand="0" w:firstRowFirstColumn="0" w:firstRowLastColumn="0" w:lastRowFirstColumn="0" w:lastRowLastColumn="0"/>
            <w:tcW w:w="3652" w:type="dxa"/>
          </w:tcPr>
          <w:p w:rsidR="004244A0" w:rsidRDefault="004244A0" w:rsidP="004244A0">
            <w:pPr>
              <w:numPr>
                <w:ilvl w:val="0"/>
                <w:numId w:val="24"/>
              </w:numPr>
            </w:pPr>
            <w:r>
              <w:t>NGL</w:t>
            </w:r>
          </w:p>
        </w:tc>
        <w:tc>
          <w:tcPr>
            <w:tcW w:w="5041" w:type="dxa"/>
          </w:tcPr>
          <w:p w:rsidR="004244A0" w:rsidRDefault="004244A0" w:rsidP="004244A0">
            <w:pPr>
              <w:numPr>
                <w:ilvl w:val="0"/>
                <w:numId w:val="24"/>
              </w:numPr>
              <w:cnfStyle w:val="000000000000" w:firstRow="0" w:lastRow="0" w:firstColumn="0" w:lastColumn="0" w:oddVBand="0" w:evenVBand="0" w:oddHBand="0" w:evenHBand="0" w:firstRowFirstColumn="0" w:firstRowLastColumn="0" w:lastRowFirstColumn="0" w:lastRowLastColumn="0"/>
            </w:pPr>
            <w:r>
              <w:t>National Gas Law</w:t>
            </w:r>
          </w:p>
        </w:tc>
      </w:tr>
      <w:tr w:rsidR="004244A0" w:rsidTr="003223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4244A0" w:rsidRDefault="004244A0" w:rsidP="004244A0">
            <w:pPr>
              <w:numPr>
                <w:ilvl w:val="0"/>
                <w:numId w:val="24"/>
              </w:numPr>
            </w:pPr>
            <w:r>
              <w:t>NGO</w:t>
            </w:r>
          </w:p>
        </w:tc>
        <w:tc>
          <w:tcPr>
            <w:tcW w:w="5041" w:type="dxa"/>
          </w:tcPr>
          <w:p w:rsidR="004244A0" w:rsidRDefault="004244A0" w:rsidP="004244A0">
            <w:pPr>
              <w:numPr>
                <w:ilvl w:val="0"/>
                <w:numId w:val="24"/>
              </w:numPr>
              <w:cnfStyle w:val="000000010000" w:firstRow="0" w:lastRow="0" w:firstColumn="0" w:lastColumn="0" w:oddVBand="0" w:evenVBand="0" w:oddHBand="0" w:evenHBand="1" w:firstRowFirstColumn="0" w:firstRowLastColumn="0" w:lastRowFirstColumn="0" w:lastRowLastColumn="0"/>
            </w:pPr>
            <w:r>
              <w:t>national gas objective</w:t>
            </w:r>
          </w:p>
        </w:tc>
      </w:tr>
      <w:tr w:rsidR="004244A0" w:rsidTr="0032237B">
        <w:tc>
          <w:tcPr>
            <w:cnfStyle w:val="001000000000" w:firstRow="0" w:lastRow="0" w:firstColumn="1" w:lastColumn="0" w:oddVBand="0" w:evenVBand="0" w:oddHBand="0" w:evenHBand="0" w:firstRowFirstColumn="0" w:firstRowLastColumn="0" w:lastRowFirstColumn="0" w:lastRowLastColumn="0"/>
            <w:tcW w:w="3652" w:type="dxa"/>
          </w:tcPr>
          <w:p w:rsidR="004244A0" w:rsidRDefault="004244A0" w:rsidP="004244A0">
            <w:pPr>
              <w:numPr>
                <w:ilvl w:val="0"/>
                <w:numId w:val="24"/>
              </w:numPr>
            </w:pPr>
            <w:r>
              <w:t>NGR</w:t>
            </w:r>
          </w:p>
        </w:tc>
        <w:tc>
          <w:tcPr>
            <w:tcW w:w="5041" w:type="dxa"/>
          </w:tcPr>
          <w:p w:rsidR="004244A0" w:rsidRDefault="004244A0" w:rsidP="004244A0">
            <w:pPr>
              <w:numPr>
                <w:ilvl w:val="0"/>
                <w:numId w:val="24"/>
              </w:numPr>
              <w:cnfStyle w:val="000000000000" w:firstRow="0" w:lastRow="0" w:firstColumn="0" w:lastColumn="0" w:oddVBand="0" w:evenVBand="0" w:oddHBand="0" w:evenHBand="0" w:firstRowFirstColumn="0" w:firstRowLastColumn="0" w:lastRowFirstColumn="0" w:lastRowLastColumn="0"/>
            </w:pPr>
            <w:r>
              <w:t>National Gas Rules</w:t>
            </w:r>
          </w:p>
        </w:tc>
      </w:tr>
      <w:tr w:rsidR="004244A0" w:rsidTr="003223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4244A0" w:rsidRDefault="004244A0" w:rsidP="004244A0">
            <w:pPr>
              <w:numPr>
                <w:ilvl w:val="0"/>
                <w:numId w:val="24"/>
              </w:numPr>
            </w:pPr>
            <w:r>
              <w:t>NPV</w:t>
            </w:r>
          </w:p>
        </w:tc>
        <w:tc>
          <w:tcPr>
            <w:tcW w:w="5041" w:type="dxa"/>
          </w:tcPr>
          <w:p w:rsidR="004244A0" w:rsidRPr="004244A0" w:rsidRDefault="004244A0" w:rsidP="004244A0">
            <w:pPr>
              <w:cnfStyle w:val="000000010000" w:firstRow="0" w:lastRow="0" w:firstColumn="0" w:lastColumn="0" w:oddVBand="0" w:evenVBand="0" w:oddHBand="0" w:evenHBand="1" w:firstRowFirstColumn="0" w:firstRowLastColumn="0" w:lastRowFirstColumn="0" w:lastRowLastColumn="0"/>
            </w:pPr>
            <w:r>
              <w:t>net present value</w:t>
            </w:r>
          </w:p>
        </w:tc>
      </w:tr>
      <w:tr w:rsidR="004244A0" w:rsidTr="0032237B">
        <w:tc>
          <w:tcPr>
            <w:cnfStyle w:val="001000000000" w:firstRow="0" w:lastRow="0" w:firstColumn="1" w:lastColumn="0" w:oddVBand="0" w:evenVBand="0" w:oddHBand="0" w:evenHBand="0" w:firstRowFirstColumn="0" w:firstRowLastColumn="0" w:lastRowFirstColumn="0" w:lastRowLastColumn="0"/>
            <w:tcW w:w="3652" w:type="dxa"/>
          </w:tcPr>
          <w:p w:rsidR="004244A0" w:rsidRDefault="004244A0" w:rsidP="004244A0">
            <w:pPr>
              <w:numPr>
                <w:ilvl w:val="0"/>
                <w:numId w:val="24"/>
              </w:numPr>
            </w:pPr>
            <w:r>
              <w:t>opex</w:t>
            </w:r>
          </w:p>
        </w:tc>
        <w:tc>
          <w:tcPr>
            <w:tcW w:w="5041" w:type="dxa"/>
          </w:tcPr>
          <w:p w:rsidR="004244A0" w:rsidRDefault="004244A0" w:rsidP="004244A0">
            <w:pPr>
              <w:numPr>
                <w:ilvl w:val="0"/>
                <w:numId w:val="24"/>
              </w:numPr>
              <w:cnfStyle w:val="000000000000" w:firstRow="0" w:lastRow="0" w:firstColumn="0" w:lastColumn="0" w:oddVBand="0" w:evenVBand="0" w:oddHBand="0" w:evenHBand="0" w:firstRowFirstColumn="0" w:firstRowLastColumn="0" w:lastRowFirstColumn="0" w:lastRowLastColumn="0"/>
            </w:pPr>
            <w:r>
              <w:t>operating expenditure</w:t>
            </w:r>
          </w:p>
        </w:tc>
      </w:tr>
      <w:tr w:rsidR="004244A0" w:rsidTr="003223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4244A0" w:rsidRDefault="004244A0" w:rsidP="004244A0">
            <w:pPr>
              <w:numPr>
                <w:ilvl w:val="0"/>
                <w:numId w:val="24"/>
              </w:numPr>
            </w:pPr>
            <w:r>
              <w:t>PTRM</w:t>
            </w:r>
          </w:p>
        </w:tc>
        <w:tc>
          <w:tcPr>
            <w:tcW w:w="5041" w:type="dxa"/>
          </w:tcPr>
          <w:p w:rsidR="004244A0" w:rsidRDefault="004244A0" w:rsidP="004244A0">
            <w:pPr>
              <w:numPr>
                <w:ilvl w:val="0"/>
                <w:numId w:val="24"/>
              </w:numPr>
              <w:cnfStyle w:val="000000010000" w:firstRow="0" w:lastRow="0" w:firstColumn="0" w:lastColumn="0" w:oddVBand="0" w:evenVBand="0" w:oddHBand="0" w:evenHBand="1" w:firstRowFirstColumn="0" w:firstRowLastColumn="0" w:lastRowFirstColumn="0" w:lastRowLastColumn="0"/>
            </w:pPr>
            <w:r>
              <w:t>post-tax revenue model</w:t>
            </w:r>
          </w:p>
        </w:tc>
      </w:tr>
      <w:tr w:rsidR="004244A0" w:rsidTr="0032237B">
        <w:tc>
          <w:tcPr>
            <w:cnfStyle w:val="001000000000" w:firstRow="0" w:lastRow="0" w:firstColumn="1" w:lastColumn="0" w:oddVBand="0" w:evenVBand="0" w:oddHBand="0" w:evenHBand="0" w:firstRowFirstColumn="0" w:firstRowLastColumn="0" w:lastRowFirstColumn="0" w:lastRowLastColumn="0"/>
            <w:tcW w:w="3652" w:type="dxa"/>
          </w:tcPr>
          <w:p w:rsidR="004244A0" w:rsidRDefault="004244A0" w:rsidP="004244A0">
            <w:pPr>
              <w:numPr>
                <w:ilvl w:val="0"/>
                <w:numId w:val="24"/>
              </w:numPr>
            </w:pPr>
            <w:r>
              <w:t>RBA</w:t>
            </w:r>
          </w:p>
        </w:tc>
        <w:tc>
          <w:tcPr>
            <w:tcW w:w="5041" w:type="dxa"/>
          </w:tcPr>
          <w:p w:rsidR="004244A0" w:rsidRDefault="004244A0" w:rsidP="004244A0">
            <w:pPr>
              <w:numPr>
                <w:ilvl w:val="0"/>
                <w:numId w:val="24"/>
              </w:numPr>
              <w:cnfStyle w:val="000000000000" w:firstRow="0" w:lastRow="0" w:firstColumn="0" w:lastColumn="0" w:oddVBand="0" w:evenVBand="0" w:oddHBand="0" w:evenHBand="0" w:firstRowFirstColumn="0" w:firstRowLastColumn="0" w:lastRowFirstColumn="0" w:lastRowLastColumn="0"/>
            </w:pPr>
            <w:r>
              <w:t>Reserve Bank of Australia</w:t>
            </w:r>
          </w:p>
        </w:tc>
      </w:tr>
      <w:tr w:rsidR="004244A0" w:rsidTr="003223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4244A0" w:rsidRDefault="004244A0" w:rsidP="004244A0">
            <w:pPr>
              <w:numPr>
                <w:ilvl w:val="0"/>
                <w:numId w:val="24"/>
              </w:numPr>
            </w:pPr>
            <w:r>
              <w:t>RFM</w:t>
            </w:r>
          </w:p>
        </w:tc>
        <w:tc>
          <w:tcPr>
            <w:tcW w:w="5041" w:type="dxa"/>
          </w:tcPr>
          <w:p w:rsidR="004244A0" w:rsidRDefault="004244A0" w:rsidP="004244A0">
            <w:pPr>
              <w:numPr>
                <w:ilvl w:val="0"/>
                <w:numId w:val="24"/>
              </w:numPr>
              <w:cnfStyle w:val="000000010000" w:firstRow="0" w:lastRow="0" w:firstColumn="0" w:lastColumn="0" w:oddVBand="0" w:evenVBand="0" w:oddHBand="0" w:evenHBand="1" w:firstRowFirstColumn="0" w:firstRowLastColumn="0" w:lastRowFirstColumn="0" w:lastRowLastColumn="0"/>
            </w:pPr>
            <w:r>
              <w:t>roll forward model</w:t>
            </w:r>
          </w:p>
        </w:tc>
      </w:tr>
      <w:tr w:rsidR="004244A0" w:rsidTr="0032237B">
        <w:tc>
          <w:tcPr>
            <w:cnfStyle w:val="001000000000" w:firstRow="0" w:lastRow="0" w:firstColumn="1" w:lastColumn="0" w:oddVBand="0" w:evenVBand="0" w:oddHBand="0" w:evenHBand="0" w:firstRowFirstColumn="0" w:firstRowLastColumn="0" w:lastRowFirstColumn="0" w:lastRowLastColumn="0"/>
            <w:tcW w:w="3652" w:type="dxa"/>
          </w:tcPr>
          <w:p w:rsidR="004244A0" w:rsidRDefault="004244A0" w:rsidP="004244A0">
            <w:pPr>
              <w:numPr>
                <w:ilvl w:val="0"/>
                <w:numId w:val="24"/>
              </w:numPr>
            </w:pPr>
            <w:r>
              <w:t>RIN</w:t>
            </w:r>
          </w:p>
        </w:tc>
        <w:tc>
          <w:tcPr>
            <w:tcW w:w="5041" w:type="dxa"/>
          </w:tcPr>
          <w:p w:rsidR="004244A0" w:rsidRDefault="004244A0" w:rsidP="004244A0">
            <w:pPr>
              <w:numPr>
                <w:ilvl w:val="0"/>
                <w:numId w:val="24"/>
              </w:numPr>
              <w:cnfStyle w:val="000000000000" w:firstRow="0" w:lastRow="0" w:firstColumn="0" w:lastColumn="0" w:oddVBand="0" w:evenVBand="0" w:oddHBand="0" w:evenHBand="0" w:firstRowFirstColumn="0" w:firstRowLastColumn="0" w:lastRowFirstColumn="0" w:lastRowLastColumn="0"/>
            </w:pPr>
            <w:r>
              <w:t>regulatory information notice</w:t>
            </w:r>
          </w:p>
        </w:tc>
      </w:tr>
      <w:tr w:rsidR="004244A0" w:rsidTr="003223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4244A0" w:rsidRDefault="004244A0" w:rsidP="004244A0">
            <w:pPr>
              <w:numPr>
                <w:ilvl w:val="0"/>
                <w:numId w:val="24"/>
              </w:numPr>
            </w:pPr>
            <w:r>
              <w:t>RPP</w:t>
            </w:r>
          </w:p>
        </w:tc>
        <w:tc>
          <w:tcPr>
            <w:tcW w:w="5041" w:type="dxa"/>
          </w:tcPr>
          <w:p w:rsidR="004244A0" w:rsidRDefault="004244A0" w:rsidP="004244A0">
            <w:pPr>
              <w:numPr>
                <w:ilvl w:val="0"/>
                <w:numId w:val="24"/>
              </w:numPr>
              <w:cnfStyle w:val="000000010000" w:firstRow="0" w:lastRow="0" w:firstColumn="0" w:lastColumn="0" w:oddVBand="0" w:evenVBand="0" w:oddHBand="0" w:evenHBand="1" w:firstRowFirstColumn="0" w:firstRowLastColumn="0" w:lastRowFirstColumn="0" w:lastRowLastColumn="0"/>
            </w:pPr>
            <w:r>
              <w:t>revenue and pricing principles</w:t>
            </w:r>
          </w:p>
        </w:tc>
      </w:tr>
      <w:tr w:rsidR="004244A0" w:rsidTr="0032237B">
        <w:tc>
          <w:tcPr>
            <w:cnfStyle w:val="001000000000" w:firstRow="0" w:lastRow="0" w:firstColumn="1" w:lastColumn="0" w:oddVBand="0" w:evenVBand="0" w:oddHBand="0" w:evenHBand="0" w:firstRowFirstColumn="0" w:firstRowLastColumn="0" w:lastRowFirstColumn="0" w:lastRowLastColumn="0"/>
            <w:tcW w:w="3652" w:type="dxa"/>
          </w:tcPr>
          <w:p w:rsidR="004244A0" w:rsidRDefault="004244A0" w:rsidP="004244A0">
            <w:pPr>
              <w:numPr>
                <w:ilvl w:val="0"/>
                <w:numId w:val="24"/>
              </w:numPr>
            </w:pPr>
            <w:r>
              <w:t>SLCAPM</w:t>
            </w:r>
          </w:p>
        </w:tc>
        <w:tc>
          <w:tcPr>
            <w:tcW w:w="5041" w:type="dxa"/>
          </w:tcPr>
          <w:p w:rsidR="004244A0" w:rsidRDefault="004244A0" w:rsidP="004244A0">
            <w:pPr>
              <w:numPr>
                <w:ilvl w:val="0"/>
                <w:numId w:val="24"/>
              </w:numPr>
              <w:cnfStyle w:val="000000000000" w:firstRow="0" w:lastRow="0" w:firstColumn="0" w:lastColumn="0" w:oddVBand="0" w:evenVBand="0" w:oddHBand="0" w:evenHBand="0" w:firstRowFirstColumn="0" w:firstRowLastColumn="0" w:lastRowFirstColumn="0" w:lastRowLastColumn="0"/>
            </w:pPr>
            <w:r>
              <w:t>Sharpe-Lintner capital asset pricing model</w:t>
            </w:r>
          </w:p>
        </w:tc>
      </w:tr>
      <w:tr w:rsidR="004244A0" w:rsidTr="003223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4244A0" w:rsidRDefault="004244A0" w:rsidP="004244A0">
            <w:pPr>
              <w:numPr>
                <w:ilvl w:val="0"/>
                <w:numId w:val="24"/>
              </w:numPr>
            </w:pPr>
            <w:r>
              <w:t>STTM</w:t>
            </w:r>
          </w:p>
        </w:tc>
        <w:tc>
          <w:tcPr>
            <w:tcW w:w="5041" w:type="dxa"/>
          </w:tcPr>
          <w:p w:rsidR="004244A0" w:rsidRPr="004244A0" w:rsidRDefault="004244A0" w:rsidP="004244A0">
            <w:pPr>
              <w:cnfStyle w:val="000000010000" w:firstRow="0" w:lastRow="0" w:firstColumn="0" w:lastColumn="0" w:oddVBand="0" w:evenVBand="0" w:oddHBand="0" w:evenHBand="1" w:firstRowFirstColumn="0" w:firstRowLastColumn="0" w:lastRowFirstColumn="0" w:lastRowLastColumn="0"/>
            </w:pPr>
            <w:r>
              <w:t>Short Term Trading Market</w:t>
            </w:r>
          </w:p>
        </w:tc>
      </w:tr>
      <w:tr w:rsidR="004244A0" w:rsidTr="0032237B">
        <w:tc>
          <w:tcPr>
            <w:cnfStyle w:val="001000000000" w:firstRow="0" w:lastRow="0" w:firstColumn="1" w:lastColumn="0" w:oddVBand="0" w:evenVBand="0" w:oddHBand="0" w:evenHBand="0" w:firstRowFirstColumn="0" w:firstRowLastColumn="0" w:lastRowFirstColumn="0" w:lastRowLastColumn="0"/>
            <w:tcW w:w="3652" w:type="dxa"/>
          </w:tcPr>
          <w:p w:rsidR="004244A0" w:rsidRDefault="004244A0" w:rsidP="004244A0">
            <w:pPr>
              <w:numPr>
                <w:ilvl w:val="0"/>
                <w:numId w:val="24"/>
              </w:numPr>
            </w:pPr>
            <w:r>
              <w:t>TAB</w:t>
            </w:r>
          </w:p>
        </w:tc>
        <w:tc>
          <w:tcPr>
            <w:tcW w:w="5041" w:type="dxa"/>
          </w:tcPr>
          <w:p w:rsidR="004244A0" w:rsidRPr="004244A0" w:rsidRDefault="004244A0" w:rsidP="004244A0">
            <w:pPr>
              <w:cnfStyle w:val="000000000000" w:firstRow="0" w:lastRow="0" w:firstColumn="0" w:lastColumn="0" w:oddVBand="0" w:evenVBand="0" w:oddHBand="0" w:evenHBand="0" w:firstRowFirstColumn="0" w:firstRowLastColumn="0" w:lastRowFirstColumn="0" w:lastRowLastColumn="0"/>
            </w:pPr>
            <w:r>
              <w:t>Tax asset base</w:t>
            </w:r>
          </w:p>
        </w:tc>
      </w:tr>
      <w:tr w:rsidR="004244A0" w:rsidTr="003223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4244A0" w:rsidRDefault="004244A0" w:rsidP="004244A0">
            <w:pPr>
              <w:numPr>
                <w:ilvl w:val="0"/>
                <w:numId w:val="24"/>
              </w:numPr>
            </w:pPr>
            <w:r>
              <w:t>UAFG</w:t>
            </w:r>
          </w:p>
        </w:tc>
        <w:tc>
          <w:tcPr>
            <w:tcW w:w="5041" w:type="dxa"/>
          </w:tcPr>
          <w:p w:rsidR="004244A0" w:rsidRPr="004244A0" w:rsidRDefault="004244A0" w:rsidP="004244A0">
            <w:pPr>
              <w:cnfStyle w:val="000000010000" w:firstRow="0" w:lastRow="0" w:firstColumn="0" w:lastColumn="0" w:oddVBand="0" w:evenVBand="0" w:oddHBand="0" w:evenHBand="1" w:firstRowFirstColumn="0" w:firstRowLastColumn="0" w:lastRowFirstColumn="0" w:lastRowLastColumn="0"/>
            </w:pPr>
            <w:r>
              <w:t>Unaccounted for gas</w:t>
            </w:r>
          </w:p>
        </w:tc>
      </w:tr>
      <w:tr w:rsidR="004244A0" w:rsidTr="0032237B">
        <w:tc>
          <w:tcPr>
            <w:cnfStyle w:val="001000000000" w:firstRow="0" w:lastRow="0" w:firstColumn="1" w:lastColumn="0" w:oddVBand="0" w:evenVBand="0" w:oddHBand="0" w:evenHBand="0" w:firstRowFirstColumn="0" w:firstRowLastColumn="0" w:lastRowFirstColumn="0" w:lastRowLastColumn="0"/>
            <w:tcW w:w="3652" w:type="dxa"/>
          </w:tcPr>
          <w:p w:rsidR="004244A0" w:rsidRDefault="004244A0" w:rsidP="004244A0">
            <w:pPr>
              <w:numPr>
                <w:ilvl w:val="0"/>
                <w:numId w:val="24"/>
              </w:numPr>
            </w:pPr>
            <w:r>
              <w:t>WACC</w:t>
            </w:r>
          </w:p>
        </w:tc>
        <w:tc>
          <w:tcPr>
            <w:tcW w:w="5041" w:type="dxa"/>
          </w:tcPr>
          <w:p w:rsidR="004244A0" w:rsidRDefault="004244A0" w:rsidP="004244A0">
            <w:pPr>
              <w:numPr>
                <w:ilvl w:val="0"/>
                <w:numId w:val="24"/>
              </w:numPr>
              <w:cnfStyle w:val="000000000000" w:firstRow="0" w:lastRow="0" w:firstColumn="0" w:lastColumn="0" w:oddVBand="0" w:evenVBand="0" w:oddHBand="0" w:evenHBand="0" w:firstRowFirstColumn="0" w:firstRowLastColumn="0" w:lastRowFirstColumn="0" w:lastRowLastColumn="0"/>
            </w:pPr>
            <w:r>
              <w:t>weighted average cost of capital</w:t>
            </w:r>
          </w:p>
        </w:tc>
      </w:tr>
      <w:tr w:rsidR="004244A0" w:rsidTr="003223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4244A0" w:rsidRDefault="004244A0" w:rsidP="004244A0">
            <w:pPr>
              <w:numPr>
                <w:ilvl w:val="0"/>
                <w:numId w:val="24"/>
              </w:numPr>
            </w:pPr>
            <w:r>
              <w:t>WPI</w:t>
            </w:r>
          </w:p>
        </w:tc>
        <w:tc>
          <w:tcPr>
            <w:tcW w:w="5041" w:type="dxa"/>
          </w:tcPr>
          <w:p w:rsidR="004244A0" w:rsidRPr="004244A0" w:rsidRDefault="004244A0" w:rsidP="004244A0">
            <w:pPr>
              <w:cnfStyle w:val="000000010000" w:firstRow="0" w:lastRow="0" w:firstColumn="0" w:lastColumn="0" w:oddVBand="0" w:evenVBand="0" w:oddHBand="0" w:evenHBand="1" w:firstRowFirstColumn="0" w:firstRowLastColumn="0" w:lastRowFirstColumn="0" w:lastRowLastColumn="0"/>
            </w:pPr>
            <w:r>
              <w:t>Wage Price Index</w:t>
            </w:r>
          </w:p>
        </w:tc>
      </w:tr>
    </w:tbl>
    <w:p w:rsidR="00DE563D" w:rsidRDefault="00CA541D" w:rsidP="00CA541D">
      <w:pPr>
        <w:pStyle w:val="Heading1"/>
      </w:pPr>
      <w:bookmarkStart w:id="71" w:name="_Toc486832594"/>
      <w:r>
        <w:t>Operating expenditure</w:t>
      </w:r>
      <w:bookmarkEnd w:id="71"/>
    </w:p>
    <w:p w:rsidR="00A64A3C" w:rsidRDefault="00A64A3C" w:rsidP="00A64A3C">
      <w:r>
        <w:t>O</w:t>
      </w:r>
      <w:r w:rsidRPr="00ED08EA">
        <w:t>perating expenditure (opex) is the operating, maintenance and other non</w:t>
      </w:r>
      <w:r>
        <w:t>-</w:t>
      </w:r>
      <w:r w:rsidRPr="00ED08EA">
        <w:t xml:space="preserve">capital </w:t>
      </w:r>
      <w:r>
        <w:t>expenses,</w:t>
      </w:r>
      <w:r w:rsidRPr="00ED08EA">
        <w:t xml:space="preserve"> incurred in the </w:t>
      </w:r>
      <w:r w:rsidRPr="00ED08EA">
        <w:rPr>
          <w:rStyle w:val="AERbody"/>
        </w:rPr>
        <w:t>provision</w:t>
      </w:r>
      <w:r w:rsidRPr="00ED08EA">
        <w:t xml:space="preserve"> of </w:t>
      </w:r>
      <w:r w:rsidR="00E52A15">
        <w:t xml:space="preserve">pipeline </w:t>
      </w:r>
      <w:r w:rsidRPr="00ED08EA">
        <w:t>services.</w:t>
      </w:r>
      <w:r w:rsidR="00595FE9">
        <w:rPr>
          <w:rStyle w:val="FootnoteReference"/>
        </w:rPr>
        <w:footnoteReference w:id="1"/>
      </w:r>
      <w:r w:rsidRPr="00ED08EA">
        <w:t xml:space="preserve"> </w:t>
      </w:r>
      <w:r>
        <w:t>Forecast opex is one of the building blocks we use to determine a service provider's total revenue requirement.</w:t>
      </w:r>
    </w:p>
    <w:p w:rsidR="006C7955" w:rsidRPr="00132D43" w:rsidRDefault="007B3948" w:rsidP="006C7955">
      <w:r w:rsidRPr="000F0615">
        <w:t xml:space="preserve">This attachment outlines our assessment of </w:t>
      </w:r>
      <w:r>
        <w:t>AGN's</w:t>
      </w:r>
      <w:r w:rsidRPr="00ED08EA">
        <w:t xml:space="preserve"> </w:t>
      </w:r>
      <w:r w:rsidR="00995400">
        <w:t xml:space="preserve">forecast </w:t>
      </w:r>
      <w:r>
        <w:t>opex for the 2018–22</w:t>
      </w:r>
      <w:r w:rsidRPr="000F0615">
        <w:t xml:space="preserve"> </w:t>
      </w:r>
      <w:r>
        <w:t>access arrangement</w:t>
      </w:r>
      <w:r w:rsidRPr="000F0615">
        <w:t xml:space="preserve"> </w:t>
      </w:r>
      <w:proofErr w:type="gramStart"/>
      <w:r w:rsidRPr="000F0615">
        <w:t>period</w:t>
      </w:r>
      <w:proofErr w:type="gramEnd"/>
      <w:r w:rsidR="007B52DE">
        <w:t xml:space="preserve">. </w:t>
      </w:r>
    </w:p>
    <w:p w:rsidR="00132D43" w:rsidRDefault="00132D43" w:rsidP="00132D43">
      <w:pPr>
        <w:pStyle w:val="Heading2"/>
      </w:pPr>
      <w:bookmarkStart w:id="72" w:name="_Toc486832595"/>
      <w:r>
        <w:t>Draft decision</w:t>
      </w:r>
      <w:bookmarkEnd w:id="72"/>
    </w:p>
    <w:p w:rsidR="00A64A3C" w:rsidRDefault="00A64A3C" w:rsidP="00A64A3C">
      <w:r w:rsidRPr="00ED08EA">
        <w:t xml:space="preserve">Our draft decision is to accept </w:t>
      </w:r>
      <w:r>
        <w:t>AGN</w:t>
      </w:r>
      <w:r w:rsidRPr="00ED08EA">
        <w:t xml:space="preserve">’s </w:t>
      </w:r>
      <w:r w:rsidR="00995400">
        <w:t>forecast</w:t>
      </w:r>
      <w:r w:rsidR="00995400" w:rsidRPr="00ED08EA">
        <w:t xml:space="preserve"> </w:t>
      </w:r>
      <w:r w:rsidRPr="00ED08EA">
        <w:t>opex of $</w:t>
      </w:r>
      <w:r w:rsidR="00682873">
        <w:t>344.0</w:t>
      </w:r>
      <w:r w:rsidRPr="00ED08EA">
        <w:t xml:space="preserve"> million ($</w:t>
      </w:r>
      <w:r>
        <w:t xml:space="preserve">2017) </w:t>
      </w:r>
      <w:r w:rsidR="0073160F">
        <w:t xml:space="preserve">for </w:t>
      </w:r>
      <w:r>
        <w:t>the 2018</w:t>
      </w:r>
      <w:r w:rsidRPr="00ED08EA">
        <w:t xml:space="preserve">–22 access arrangement </w:t>
      </w:r>
      <w:proofErr w:type="gramStart"/>
      <w:r w:rsidRPr="00ED08EA">
        <w:t>period</w:t>
      </w:r>
      <w:proofErr w:type="gramEnd"/>
      <w:r w:rsidR="00E52A15">
        <w:t>.</w:t>
      </w:r>
      <w:r w:rsidR="003451DF">
        <w:rPr>
          <w:rStyle w:val="FootnoteReference"/>
        </w:rPr>
        <w:footnoteReference w:id="2"/>
      </w:r>
      <w:r w:rsidR="003451DF" w:rsidRPr="00ED08EA">
        <w:t xml:space="preserve"> </w:t>
      </w:r>
      <w:r w:rsidR="005E4032">
        <w:t>W</w:t>
      </w:r>
      <w:r w:rsidR="00E52A15">
        <w:t>e expect</w:t>
      </w:r>
      <w:r w:rsidR="00682873">
        <w:t xml:space="preserve"> AGN</w:t>
      </w:r>
      <w:r w:rsidR="00E52A15">
        <w:t xml:space="preserve"> to</w:t>
      </w:r>
      <w:r w:rsidR="00682873">
        <w:t xml:space="preserve"> </w:t>
      </w:r>
      <w:r w:rsidR="00E52A15">
        <w:t xml:space="preserve">update </w:t>
      </w:r>
      <w:r w:rsidR="00F24BEC">
        <w:t xml:space="preserve">its </w:t>
      </w:r>
      <w:r w:rsidR="004C4694">
        <w:t>forecast</w:t>
      </w:r>
      <w:r w:rsidR="00682873">
        <w:t xml:space="preserve"> </w:t>
      </w:r>
      <w:r w:rsidR="00D57C9E">
        <w:t xml:space="preserve">to reflect </w:t>
      </w:r>
      <w:r w:rsidR="0073160F">
        <w:t>actual</w:t>
      </w:r>
      <w:r w:rsidR="00F24BEC">
        <w:t xml:space="preserve"> </w:t>
      </w:r>
      <w:r w:rsidR="004C4694">
        <w:t>opex in 2016</w:t>
      </w:r>
      <w:r w:rsidR="005E4032">
        <w:t xml:space="preserve"> i</w:t>
      </w:r>
      <w:r w:rsidR="005E4032" w:rsidRPr="00B31391">
        <w:t>n its revised proposal</w:t>
      </w:r>
      <w:r w:rsidR="00E52A15">
        <w:t xml:space="preserve">, which we will </w:t>
      </w:r>
      <w:r w:rsidR="00632E71">
        <w:t xml:space="preserve">then </w:t>
      </w:r>
      <w:r w:rsidR="00E52A15">
        <w:t>review for the final decision</w:t>
      </w:r>
      <w:r w:rsidRPr="00ED08EA">
        <w:t xml:space="preserve">. </w:t>
      </w:r>
      <w:r w:rsidR="0073160F">
        <w:t>Our draft decision</w:t>
      </w:r>
      <w:r w:rsidR="004C4694">
        <w:t xml:space="preserve"> is set out in </w:t>
      </w:r>
      <w:r w:rsidR="004C4694">
        <w:fldChar w:fldCharType="begin"/>
      </w:r>
      <w:r w:rsidR="004C4694">
        <w:instrText xml:space="preserve"> REF _Ref481071022 \h </w:instrText>
      </w:r>
      <w:r w:rsidR="004C4694">
        <w:fldChar w:fldCharType="separate"/>
      </w:r>
      <w:r w:rsidR="008E59D4" w:rsidRPr="004C4694">
        <w:t xml:space="preserve">Table </w:t>
      </w:r>
      <w:r w:rsidR="008E59D4">
        <w:rPr>
          <w:noProof/>
        </w:rPr>
        <w:t>7</w:t>
      </w:r>
      <w:r w:rsidR="008E59D4" w:rsidRPr="004C4694">
        <w:t>.</w:t>
      </w:r>
      <w:r w:rsidR="008E59D4">
        <w:rPr>
          <w:noProof/>
        </w:rPr>
        <w:t>1</w:t>
      </w:r>
      <w:r w:rsidR="004C4694">
        <w:fldChar w:fldCharType="end"/>
      </w:r>
      <w:r w:rsidR="00F24BEC">
        <w:t>.</w:t>
      </w:r>
    </w:p>
    <w:p w:rsidR="004C4694" w:rsidRPr="004C4694" w:rsidRDefault="004C4694" w:rsidP="004C4694">
      <w:pPr>
        <w:pStyle w:val="Caption"/>
      </w:pPr>
      <w:bookmarkStart w:id="73" w:name="_Ref481071022"/>
      <w:proofErr w:type="gramStart"/>
      <w:r w:rsidRPr="004C4694">
        <w:t xml:space="preserve">Table </w:t>
      </w:r>
      <w:proofErr w:type="gramEnd"/>
      <w:r w:rsidR="008E0D00">
        <w:fldChar w:fldCharType="begin"/>
      </w:r>
      <w:r w:rsidR="008E0D00">
        <w:instrText xml:space="preserve"> STYLEREF 1 \s </w:instrText>
      </w:r>
      <w:r w:rsidR="008E0D00">
        <w:fldChar w:fldCharType="separate"/>
      </w:r>
      <w:r w:rsidR="008E59D4">
        <w:rPr>
          <w:noProof/>
        </w:rPr>
        <w:t>7</w:t>
      </w:r>
      <w:r w:rsidR="008E0D00">
        <w:rPr>
          <w:noProof/>
        </w:rPr>
        <w:fldChar w:fldCharType="end"/>
      </w:r>
      <w:proofErr w:type="gramStart"/>
      <w:r w:rsidRPr="004C4694">
        <w:t>.</w:t>
      </w:r>
      <w:proofErr w:type="gramEnd"/>
      <w:r w:rsidR="00EE56BB">
        <w:fldChar w:fldCharType="begin"/>
      </w:r>
      <w:r w:rsidR="00EE56BB">
        <w:instrText xml:space="preserve"> SEQ Table \* ARABIC \s 1 </w:instrText>
      </w:r>
      <w:r w:rsidR="00EE56BB">
        <w:fldChar w:fldCharType="separate"/>
      </w:r>
      <w:r w:rsidR="008E59D4">
        <w:rPr>
          <w:noProof/>
        </w:rPr>
        <w:t>1</w:t>
      </w:r>
      <w:r w:rsidR="00EE56BB">
        <w:rPr>
          <w:noProof/>
        </w:rPr>
        <w:fldChar w:fldCharType="end"/>
      </w:r>
      <w:bookmarkEnd w:id="73"/>
      <w:r w:rsidRPr="004C4694">
        <w:tab/>
      </w:r>
      <w:r w:rsidR="00B50431">
        <w:t>O</w:t>
      </w:r>
      <w:r>
        <w:t>ur draft decision</w:t>
      </w:r>
      <w:r w:rsidRPr="004C4694">
        <w:t xml:space="preserve"> </w:t>
      </w:r>
      <w:r w:rsidR="00B50431">
        <w:t xml:space="preserve">on total opex </w:t>
      </w:r>
      <w:r w:rsidRPr="004C4694">
        <w:t>($</w:t>
      </w:r>
      <w:r w:rsidR="00FA22AA">
        <w:t xml:space="preserve"> </w:t>
      </w:r>
      <w:r w:rsidRPr="004C4694">
        <w:t>million, 2017)</w:t>
      </w:r>
    </w:p>
    <w:tbl>
      <w:tblPr>
        <w:tblStyle w:val="AERtable-numbers"/>
        <w:tblW w:w="0" w:type="auto"/>
        <w:tblLayout w:type="fixed"/>
        <w:tblLook w:val="04A0" w:firstRow="1" w:lastRow="0" w:firstColumn="1" w:lastColumn="0" w:noHBand="0" w:noVBand="1"/>
      </w:tblPr>
      <w:tblGrid>
        <w:gridCol w:w="3369"/>
        <w:gridCol w:w="852"/>
        <w:gridCol w:w="894"/>
        <w:gridCol w:w="895"/>
        <w:gridCol w:w="894"/>
        <w:gridCol w:w="894"/>
        <w:gridCol w:w="895"/>
      </w:tblGrid>
      <w:tr w:rsidR="004C4694" w:rsidTr="004C46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4C4694" w:rsidRPr="004C4694" w:rsidRDefault="004C4694" w:rsidP="004C4694"/>
        </w:tc>
        <w:tc>
          <w:tcPr>
            <w:tcW w:w="852" w:type="dxa"/>
            <w:vAlign w:val="top"/>
          </w:tcPr>
          <w:p w:rsidR="004C4694" w:rsidRPr="004C4694" w:rsidRDefault="004C4694" w:rsidP="004C4694">
            <w:pPr>
              <w:cnfStyle w:val="100000000000" w:firstRow="1" w:lastRow="0" w:firstColumn="0" w:lastColumn="0" w:oddVBand="0" w:evenVBand="0" w:oddHBand="0" w:evenHBand="0" w:firstRowFirstColumn="0" w:firstRowLastColumn="0" w:lastRowFirstColumn="0" w:lastRowLastColumn="0"/>
            </w:pPr>
            <w:r w:rsidRPr="004C4694">
              <w:t>2018</w:t>
            </w:r>
          </w:p>
        </w:tc>
        <w:tc>
          <w:tcPr>
            <w:tcW w:w="894" w:type="dxa"/>
            <w:vAlign w:val="top"/>
          </w:tcPr>
          <w:p w:rsidR="004C4694" w:rsidRPr="004C4694" w:rsidRDefault="004C4694" w:rsidP="004C4694">
            <w:pPr>
              <w:cnfStyle w:val="100000000000" w:firstRow="1" w:lastRow="0" w:firstColumn="0" w:lastColumn="0" w:oddVBand="0" w:evenVBand="0" w:oddHBand="0" w:evenHBand="0" w:firstRowFirstColumn="0" w:firstRowLastColumn="0" w:lastRowFirstColumn="0" w:lastRowLastColumn="0"/>
            </w:pPr>
            <w:r w:rsidRPr="004C4694">
              <w:t>2019</w:t>
            </w:r>
          </w:p>
        </w:tc>
        <w:tc>
          <w:tcPr>
            <w:tcW w:w="895" w:type="dxa"/>
            <w:vAlign w:val="top"/>
          </w:tcPr>
          <w:p w:rsidR="004C4694" w:rsidRPr="004C4694" w:rsidRDefault="004C4694" w:rsidP="004C4694">
            <w:pPr>
              <w:cnfStyle w:val="100000000000" w:firstRow="1" w:lastRow="0" w:firstColumn="0" w:lastColumn="0" w:oddVBand="0" w:evenVBand="0" w:oddHBand="0" w:evenHBand="0" w:firstRowFirstColumn="0" w:firstRowLastColumn="0" w:lastRowFirstColumn="0" w:lastRowLastColumn="0"/>
            </w:pPr>
            <w:r w:rsidRPr="004C4694">
              <w:t>2020</w:t>
            </w:r>
          </w:p>
        </w:tc>
        <w:tc>
          <w:tcPr>
            <w:tcW w:w="894" w:type="dxa"/>
            <w:vAlign w:val="top"/>
          </w:tcPr>
          <w:p w:rsidR="004C4694" w:rsidRPr="004C4694" w:rsidRDefault="004C4694" w:rsidP="004C4694">
            <w:pPr>
              <w:cnfStyle w:val="100000000000" w:firstRow="1" w:lastRow="0" w:firstColumn="0" w:lastColumn="0" w:oddVBand="0" w:evenVBand="0" w:oddHBand="0" w:evenHBand="0" w:firstRowFirstColumn="0" w:firstRowLastColumn="0" w:lastRowFirstColumn="0" w:lastRowLastColumn="0"/>
            </w:pPr>
            <w:r w:rsidRPr="004C4694">
              <w:t>2021</w:t>
            </w:r>
          </w:p>
        </w:tc>
        <w:tc>
          <w:tcPr>
            <w:tcW w:w="894" w:type="dxa"/>
            <w:vAlign w:val="top"/>
          </w:tcPr>
          <w:p w:rsidR="004C4694" w:rsidRPr="004C4694" w:rsidRDefault="004C4694" w:rsidP="004C4694">
            <w:pPr>
              <w:cnfStyle w:val="100000000000" w:firstRow="1" w:lastRow="0" w:firstColumn="0" w:lastColumn="0" w:oddVBand="0" w:evenVBand="0" w:oddHBand="0" w:evenHBand="0" w:firstRowFirstColumn="0" w:firstRowLastColumn="0" w:lastRowFirstColumn="0" w:lastRowLastColumn="0"/>
            </w:pPr>
            <w:r w:rsidRPr="004C4694">
              <w:t>2022</w:t>
            </w:r>
          </w:p>
        </w:tc>
        <w:tc>
          <w:tcPr>
            <w:tcW w:w="895" w:type="dxa"/>
            <w:vAlign w:val="top"/>
          </w:tcPr>
          <w:p w:rsidR="004C4694" w:rsidRPr="004C4694" w:rsidRDefault="004C4694" w:rsidP="004C4694">
            <w:pPr>
              <w:cnfStyle w:val="100000000000" w:firstRow="1" w:lastRow="0" w:firstColumn="0" w:lastColumn="0" w:oddVBand="0" w:evenVBand="0" w:oddHBand="0" w:evenHBand="0" w:firstRowFirstColumn="0" w:firstRowLastColumn="0" w:lastRowFirstColumn="0" w:lastRowLastColumn="0"/>
            </w:pPr>
            <w:r w:rsidRPr="004C4694">
              <w:t>Total</w:t>
            </w:r>
          </w:p>
        </w:tc>
      </w:tr>
      <w:tr w:rsidR="004C4694" w:rsidTr="004C4694">
        <w:tc>
          <w:tcPr>
            <w:cnfStyle w:val="001000000000" w:firstRow="0" w:lastRow="0" w:firstColumn="1" w:lastColumn="0" w:oddVBand="0" w:evenVBand="0" w:oddHBand="0" w:evenHBand="0" w:firstRowFirstColumn="0" w:firstRowLastColumn="0" w:lastRowFirstColumn="0" w:lastRowLastColumn="0"/>
            <w:tcW w:w="3369" w:type="dxa"/>
          </w:tcPr>
          <w:p w:rsidR="004C4694" w:rsidRPr="004C4694" w:rsidRDefault="0007798B" w:rsidP="0007798B">
            <w:r>
              <w:t xml:space="preserve">Forecast total </w:t>
            </w:r>
            <w:r w:rsidR="004C4694" w:rsidRPr="004C4694">
              <w:t xml:space="preserve">opex </w:t>
            </w:r>
          </w:p>
        </w:tc>
        <w:tc>
          <w:tcPr>
            <w:tcW w:w="852" w:type="dxa"/>
          </w:tcPr>
          <w:p w:rsidR="004C4694" w:rsidRPr="004C4694" w:rsidRDefault="004C4694" w:rsidP="004C4694">
            <w:pPr>
              <w:cnfStyle w:val="000000000000" w:firstRow="0" w:lastRow="0" w:firstColumn="0" w:lastColumn="0" w:oddVBand="0" w:evenVBand="0" w:oddHBand="0" w:evenHBand="0" w:firstRowFirstColumn="0" w:firstRowLastColumn="0" w:lastRowFirstColumn="0" w:lastRowLastColumn="0"/>
            </w:pPr>
            <w:r w:rsidRPr="004C4694">
              <w:t>67.2</w:t>
            </w:r>
          </w:p>
        </w:tc>
        <w:tc>
          <w:tcPr>
            <w:tcW w:w="894" w:type="dxa"/>
          </w:tcPr>
          <w:p w:rsidR="004C4694" w:rsidRPr="004C4694" w:rsidRDefault="004C4694" w:rsidP="004C4694">
            <w:pPr>
              <w:cnfStyle w:val="000000000000" w:firstRow="0" w:lastRow="0" w:firstColumn="0" w:lastColumn="0" w:oddVBand="0" w:evenVBand="0" w:oddHBand="0" w:evenHBand="0" w:firstRowFirstColumn="0" w:firstRowLastColumn="0" w:lastRowFirstColumn="0" w:lastRowLastColumn="0"/>
            </w:pPr>
            <w:r w:rsidRPr="004C4694">
              <w:t>67.9</w:t>
            </w:r>
          </w:p>
        </w:tc>
        <w:tc>
          <w:tcPr>
            <w:tcW w:w="895" w:type="dxa"/>
          </w:tcPr>
          <w:p w:rsidR="004C4694" w:rsidRPr="004C4694" w:rsidRDefault="004C4694" w:rsidP="004C4694">
            <w:pPr>
              <w:cnfStyle w:val="000000000000" w:firstRow="0" w:lastRow="0" w:firstColumn="0" w:lastColumn="0" w:oddVBand="0" w:evenVBand="0" w:oddHBand="0" w:evenHBand="0" w:firstRowFirstColumn="0" w:firstRowLastColumn="0" w:lastRowFirstColumn="0" w:lastRowLastColumn="0"/>
            </w:pPr>
            <w:r w:rsidRPr="004C4694">
              <w:t>68.7</w:t>
            </w:r>
          </w:p>
        </w:tc>
        <w:tc>
          <w:tcPr>
            <w:tcW w:w="894" w:type="dxa"/>
          </w:tcPr>
          <w:p w:rsidR="004C4694" w:rsidRPr="004C4694" w:rsidRDefault="004C4694" w:rsidP="004C4694">
            <w:pPr>
              <w:cnfStyle w:val="000000000000" w:firstRow="0" w:lastRow="0" w:firstColumn="0" w:lastColumn="0" w:oddVBand="0" w:evenVBand="0" w:oddHBand="0" w:evenHBand="0" w:firstRowFirstColumn="0" w:firstRowLastColumn="0" w:lastRowFirstColumn="0" w:lastRowLastColumn="0"/>
            </w:pPr>
            <w:r w:rsidRPr="004C4694">
              <w:t>69.6</w:t>
            </w:r>
          </w:p>
        </w:tc>
        <w:tc>
          <w:tcPr>
            <w:tcW w:w="894" w:type="dxa"/>
          </w:tcPr>
          <w:p w:rsidR="004C4694" w:rsidRPr="004C4694" w:rsidRDefault="004C4694" w:rsidP="004C4694">
            <w:pPr>
              <w:cnfStyle w:val="000000000000" w:firstRow="0" w:lastRow="0" w:firstColumn="0" w:lastColumn="0" w:oddVBand="0" w:evenVBand="0" w:oddHBand="0" w:evenHBand="0" w:firstRowFirstColumn="0" w:firstRowLastColumn="0" w:lastRowFirstColumn="0" w:lastRowLastColumn="0"/>
            </w:pPr>
            <w:r w:rsidRPr="004C4694">
              <w:t>70.6</w:t>
            </w:r>
          </w:p>
        </w:tc>
        <w:tc>
          <w:tcPr>
            <w:tcW w:w="895" w:type="dxa"/>
          </w:tcPr>
          <w:p w:rsidR="004C4694" w:rsidRPr="006C3455" w:rsidRDefault="004C4694" w:rsidP="004C4694">
            <w:pPr>
              <w:cnfStyle w:val="000000000000" w:firstRow="0" w:lastRow="0" w:firstColumn="0" w:lastColumn="0" w:oddVBand="0" w:evenVBand="0" w:oddHBand="0" w:evenHBand="0" w:firstRowFirstColumn="0" w:firstRowLastColumn="0" w:lastRowFirstColumn="0" w:lastRowLastColumn="0"/>
              <w:rPr>
                <w:rStyle w:val="Strong"/>
              </w:rPr>
            </w:pPr>
            <w:r w:rsidRPr="006C3455">
              <w:rPr>
                <w:rStyle w:val="Strong"/>
              </w:rPr>
              <w:t>344.0</w:t>
            </w:r>
          </w:p>
        </w:tc>
      </w:tr>
    </w:tbl>
    <w:p w:rsidR="004C4694" w:rsidRPr="004C4694" w:rsidRDefault="004C4694" w:rsidP="004C4694">
      <w:pPr>
        <w:pStyle w:val="AERtablesource"/>
      </w:pPr>
      <w:r w:rsidRPr="004C4694">
        <w:t>Source:</w:t>
      </w:r>
      <w:r w:rsidRPr="004C4694">
        <w:tab/>
        <w:t xml:space="preserve">AGN, Revenue proposal: </w:t>
      </w:r>
      <w:r w:rsidRPr="004C4694">
        <w:rPr>
          <w:rStyle w:val="AERtextitalic"/>
        </w:rPr>
        <w:t>opex model</w:t>
      </w:r>
      <w:r w:rsidRPr="004C4694">
        <w:t xml:space="preserve"> and </w:t>
      </w:r>
      <w:r w:rsidRPr="004C4694">
        <w:rPr>
          <w:rStyle w:val="AERtextitalic"/>
        </w:rPr>
        <w:t>PTRM</w:t>
      </w:r>
      <w:r w:rsidRPr="004C4694">
        <w:t>, December 2016</w:t>
      </w:r>
      <w:r>
        <w:t>.</w:t>
      </w:r>
      <w:r w:rsidRPr="004C4694">
        <w:t xml:space="preserve"> </w:t>
      </w:r>
    </w:p>
    <w:p w:rsidR="004C4694" w:rsidRPr="004C4694" w:rsidRDefault="004C4694" w:rsidP="004C4694">
      <w:pPr>
        <w:pStyle w:val="AERtablesource"/>
      </w:pPr>
      <w:r w:rsidRPr="004C4694">
        <w:t xml:space="preserve">Note: </w:t>
      </w:r>
      <w:r w:rsidRPr="004C4694">
        <w:tab/>
        <w:t>Numbers may not add up due to rounding.</w:t>
      </w:r>
      <w:r>
        <w:t xml:space="preserve"> </w:t>
      </w:r>
      <w:proofErr w:type="gramStart"/>
      <w:r>
        <w:t>Includes debt raising costs.</w:t>
      </w:r>
      <w:proofErr w:type="gramEnd"/>
    </w:p>
    <w:p w:rsidR="00F37ED8" w:rsidRDefault="00A35CAC" w:rsidP="00A35CAC">
      <w:r>
        <w:t>Our assessment approach, as detailed below, is to develop</w:t>
      </w:r>
      <w:r w:rsidR="00461E73" w:rsidRPr="00461E73">
        <w:t xml:space="preserve"> an alternative estimate of AGN’s total opex requirements to </w:t>
      </w:r>
      <w:r>
        <w:t>test</w:t>
      </w:r>
      <w:r w:rsidR="00461E73" w:rsidRPr="00461E73">
        <w:t xml:space="preserve"> whether </w:t>
      </w:r>
      <w:r>
        <w:t>AGN's</w:t>
      </w:r>
      <w:r w:rsidR="00461E73" w:rsidRPr="00461E73">
        <w:t xml:space="preserve"> proposal </w:t>
      </w:r>
      <w:r w:rsidR="002F612B">
        <w:t>meets the opex criteria</w:t>
      </w:r>
      <w:r w:rsidR="00461E73" w:rsidRPr="00461E73">
        <w:t xml:space="preserve">. </w:t>
      </w:r>
      <w:r>
        <w:t>W</w:t>
      </w:r>
      <w:r w:rsidR="00461E73" w:rsidRPr="00461E73">
        <w:t xml:space="preserve">e </w:t>
      </w:r>
      <w:r w:rsidR="00E52A15">
        <w:t>have not included</w:t>
      </w:r>
      <w:r w:rsidR="00461E73" w:rsidRPr="00461E73">
        <w:t xml:space="preserve"> some aspects of AGN’s propos</w:t>
      </w:r>
      <w:r w:rsidR="005E4032">
        <w:t xml:space="preserve">al in our alternative estimate, </w:t>
      </w:r>
      <w:r w:rsidR="00E52A15">
        <w:t>such as</w:t>
      </w:r>
      <w:r w:rsidR="00461E73" w:rsidRPr="00461E73">
        <w:t xml:space="preserve"> </w:t>
      </w:r>
      <w:r w:rsidR="00CE25E3">
        <w:t xml:space="preserve">the </w:t>
      </w:r>
      <w:r w:rsidR="00461E73" w:rsidRPr="00461E73">
        <w:t>marketing</w:t>
      </w:r>
      <w:r w:rsidR="00CE25E3">
        <w:t xml:space="preserve"> step change</w:t>
      </w:r>
      <w:r>
        <w:t>.</w:t>
      </w:r>
      <w:r w:rsidR="00461E73" w:rsidRPr="00461E73">
        <w:t xml:space="preserve"> </w:t>
      </w:r>
      <w:r>
        <w:t>However, this is offset by other</w:t>
      </w:r>
      <w:r w:rsidR="00461E73" w:rsidRPr="00461E73">
        <w:t xml:space="preserve"> </w:t>
      </w:r>
      <w:proofErr w:type="gramStart"/>
      <w:r w:rsidR="00461E73" w:rsidRPr="00461E73">
        <w:t>factors</w:t>
      </w:r>
      <w:r w:rsidR="00B50431">
        <w:t>,</w:t>
      </w:r>
      <w:proofErr w:type="gramEnd"/>
      <w:r w:rsidR="00461E73" w:rsidRPr="00461E73">
        <w:t xml:space="preserve"> </w:t>
      </w:r>
      <w:r>
        <w:t xml:space="preserve">with the result that </w:t>
      </w:r>
      <w:r w:rsidR="00461E73" w:rsidRPr="00461E73">
        <w:t xml:space="preserve">overall there is not a material difference between our estimate and </w:t>
      </w:r>
      <w:r w:rsidR="002F5504">
        <w:t>AGN's</w:t>
      </w:r>
      <w:r w:rsidR="002F5504" w:rsidRPr="00461E73">
        <w:t xml:space="preserve"> </w:t>
      </w:r>
      <w:r w:rsidR="00461E73" w:rsidRPr="00461E73">
        <w:t>proposal.</w:t>
      </w:r>
      <w:r>
        <w:t xml:space="preserve">  </w:t>
      </w:r>
    </w:p>
    <w:p w:rsidR="005E1DCE" w:rsidRDefault="007C14F8" w:rsidP="00172C96">
      <w:r>
        <w:t xml:space="preserve">We assess the efficiency of </w:t>
      </w:r>
      <w:r w:rsidR="00172C96">
        <w:t xml:space="preserve">AGN's </w:t>
      </w:r>
      <w:r w:rsidR="00A35CAC" w:rsidRPr="00172C96">
        <w:rPr>
          <w:rStyle w:val="AERtextitalic"/>
        </w:rPr>
        <w:t>overall</w:t>
      </w:r>
      <w:r w:rsidR="00A35CAC">
        <w:t xml:space="preserve"> </w:t>
      </w:r>
      <w:r w:rsidR="00172C96">
        <w:t>opex</w:t>
      </w:r>
      <w:r w:rsidR="00A35CAC">
        <w:t xml:space="preserve"> forecast</w:t>
      </w:r>
      <w:r w:rsidR="00797258">
        <w:t>,</w:t>
      </w:r>
      <w:r w:rsidR="00A35CAC">
        <w:t xml:space="preserve"> </w:t>
      </w:r>
      <w:r w:rsidR="00F37ED8">
        <w:t xml:space="preserve">as an element of the </w:t>
      </w:r>
      <w:r w:rsidR="00F37ED8" w:rsidRPr="00172C96">
        <w:rPr>
          <w:rStyle w:val="AERbody"/>
        </w:rPr>
        <w:t xml:space="preserve">total </w:t>
      </w:r>
      <w:r w:rsidR="00F37ED8">
        <w:t>revenue requirement</w:t>
      </w:r>
      <w:r w:rsidR="00797258">
        <w:t xml:space="preserve">. </w:t>
      </w:r>
      <w:r w:rsidR="00F37ED8">
        <w:t xml:space="preserve">Under the ex-ante regulatory framework, it </w:t>
      </w:r>
      <w:r w:rsidR="00A35CAC">
        <w:t xml:space="preserve">is for AGN to decide </w:t>
      </w:r>
      <w:r w:rsidR="00F37ED8">
        <w:t xml:space="preserve">how it will meet its obligations in delivering its services, </w:t>
      </w:r>
      <w:r w:rsidR="005E4032">
        <w:t>including</w:t>
      </w:r>
      <w:r w:rsidR="00F37ED8">
        <w:t xml:space="preserve"> which specific </w:t>
      </w:r>
      <w:r w:rsidR="005E4032">
        <w:t xml:space="preserve">opex </w:t>
      </w:r>
      <w:r w:rsidR="00F37ED8">
        <w:t>projects it will undertake</w:t>
      </w:r>
      <w:r w:rsidR="00A35CAC">
        <w:t xml:space="preserve">. </w:t>
      </w:r>
    </w:p>
    <w:p w:rsidR="0073160F" w:rsidRDefault="00FB1E40" w:rsidP="0073160F">
      <w:r w:rsidRPr="00A45BCD">
        <w:t xml:space="preserve">Figure 7.1 </w:t>
      </w:r>
      <w:r>
        <w:t xml:space="preserve">compares the opex forecast </w:t>
      </w:r>
      <w:r w:rsidR="00172C96">
        <w:t xml:space="preserve">we </w:t>
      </w:r>
      <w:r>
        <w:t>approve in this draft decision to the forecast we approved for 2013–17 and AGN's actual opex in that period</w:t>
      </w:r>
      <w:r w:rsidRPr="00A45BCD">
        <w:t>.</w:t>
      </w:r>
      <w:r>
        <w:t xml:space="preserve"> </w:t>
      </w:r>
      <w:r w:rsidR="0073160F" w:rsidRPr="008B79C7">
        <w:t>Our approved opex forecast for 2018–22 is in</w:t>
      </w:r>
      <w:r w:rsidR="005E4032">
        <w:t>-</w:t>
      </w:r>
      <w:r w:rsidR="0073160F" w:rsidRPr="008B79C7">
        <w:t xml:space="preserve">line with AGN's expenditure in </w:t>
      </w:r>
      <w:r w:rsidR="00323CE0" w:rsidRPr="00323CE0">
        <w:t>2013–17</w:t>
      </w:r>
      <w:r w:rsidR="0073160F" w:rsidRPr="008B79C7">
        <w:t xml:space="preserve">. AGN's expenditure in the current period </w:t>
      </w:r>
      <w:r w:rsidR="0073160F">
        <w:t>i</w:t>
      </w:r>
      <w:r w:rsidR="0073160F" w:rsidRPr="008B79C7">
        <w:t xml:space="preserve">s </w:t>
      </w:r>
      <w:r w:rsidR="0073160F">
        <w:t xml:space="preserve">around </w:t>
      </w:r>
      <w:r w:rsidR="0073160F" w:rsidRPr="008B79C7">
        <w:t xml:space="preserve">9 per cent lower than the forecast we approved in our </w:t>
      </w:r>
      <w:r w:rsidR="004C7AA3">
        <w:t>2013</w:t>
      </w:r>
      <w:r w:rsidR="005E1DCE" w:rsidRPr="008B79C7">
        <w:t>–</w:t>
      </w:r>
      <w:r w:rsidR="004C7AA3">
        <w:t>17 final</w:t>
      </w:r>
      <w:r w:rsidR="004C7AA3" w:rsidRPr="008B79C7">
        <w:t xml:space="preserve"> </w:t>
      </w:r>
      <w:r w:rsidR="0073160F" w:rsidRPr="008B79C7">
        <w:t>decision.</w:t>
      </w:r>
      <w:r w:rsidR="0073160F">
        <w:rPr>
          <w:rStyle w:val="FootnoteReference"/>
        </w:rPr>
        <w:footnoteReference w:id="3"/>
      </w:r>
      <w:r w:rsidR="0073160F" w:rsidRPr="008B79C7">
        <w:t xml:space="preserve"> AGN attributed this reduction to efficiencies flowing from </w:t>
      </w:r>
      <w:r w:rsidR="0073160F">
        <w:t>its change in ownership in 2014</w:t>
      </w:r>
      <w:r w:rsidR="0073160F" w:rsidRPr="008B79C7">
        <w:t xml:space="preserve"> and reductions in unit costs. </w:t>
      </w:r>
    </w:p>
    <w:p w:rsidR="008F2145" w:rsidRDefault="008F2145" w:rsidP="008F2145">
      <w:pPr>
        <w:pStyle w:val="Caption"/>
      </w:pPr>
      <w:bookmarkStart w:id="74" w:name="_Ref481072408"/>
      <w:proofErr w:type="gramStart"/>
      <w:r>
        <w:t xml:space="preserve">Figure </w:t>
      </w:r>
      <w:proofErr w:type="gramEnd"/>
      <w:r w:rsidRPr="00AD5E03">
        <w:fldChar w:fldCharType="begin"/>
      </w:r>
      <w:r>
        <w:instrText xml:space="preserve"> STYLEREF 1 \s </w:instrText>
      </w:r>
      <w:r w:rsidRPr="00AD5E03">
        <w:fldChar w:fldCharType="separate"/>
      </w:r>
      <w:r w:rsidR="008E59D4">
        <w:rPr>
          <w:noProof/>
        </w:rPr>
        <w:t>7</w:t>
      </w:r>
      <w:r w:rsidRPr="00AD5E03">
        <w:fldChar w:fldCharType="end"/>
      </w:r>
      <w:proofErr w:type="gramStart"/>
      <w:r>
        <w:t>.</w:t>
      </w:r>
      <w:proofErr w:type="gramEnd"/>
      <w:r w:rsidRPr="00AD5E03">
        <w:fldChar w:fldCharType="begin"/>
      </w:r>
      <w:r>
        <w:instrText xml:space="preserve"> SEQ Figure \* ARABIC \s 1 </w:instrText>
      </w:r>
      <w:r w:rsidRPr="00AD5E03">
        <w:fldChar w:fldCharType="separate"/>
      </w:r>
      <w:r w:rsidR="008E59D4">
        <w:rPr>
          <w:noProof/>
        </w:rPr>
        <w:t>1</w:t>
      </w:r>
      <w:r w:rsidRPr="00AD5E03">
        <w:fldChar w:fldCharType="end"/>
      </w:r>
      <w:bookmarkEnd w:id="74"/>
      <w:r>
        <w:tab/>
      </w:r>
      <w:r w:rsidR="00BE03F5">
        <w:t xml:space="preserve">Our draft decision </w:t>
      </w:r>
      <w:r w:rsidR="00995400">
        <w:t xml:space="preserve">compared to AGN's past opex </w:t>
      </w:r>
      <w:r w:rsidR="00995400">
        <w:br/>
        <w:t>($</w:t>
      </w:r>
      <w:r w:rsidR="00FA22AA">
        <w:t xml:space="preserve"> </w:t>
      </w:r>
      <w:r w:rsidR="00BE03F5">
        <w:t>million, 2017)</w:t>
      </w:r>
    </w:p>
    <w:p w:rsidR="00D23D32" w:rsidRDefault="00331DB5" w:rsidP="008F2145">
      <w:pPr>
        <w:pStyle w:val="AERtablesource"/>
      </w:pPr>
      <w:r w:rsidRPr="00331DB5">
        <w:rPr>
          <w:noProof/>
          <w:lang w:eastAsia="en-AU"/>
        </w:rPr>
        <w:drawing>
          <wp:inline distT="0" distB="0" distL="0" distR="0" wp14:anchorId="10885E3D" wp14:editId="5A94153D">
            <wp:extent cx="5382895" cy="3938719"/>
            <wp:effectExtent l="0" t="0" r="825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82895" cy="3938719"/>
                    </a:xfrm>
                    <a:prstGeom prst="rect">
                      <a:avLst/>
                    </a:prstGeom>
                    <a:noFill/>
                    <a:ln>
                      <a:noFill/>
                    </a:ln>
                  </pic:spPr>
                </pic:pic>
              </a:graphicData>
            </a:graphic>
          </wp:inline>
        </w:drawing>
      </w:r>
    </w:p>
    <w:p w:rsidR="008F2145" w:rsidRDefault="008F2145" w:rsidP="008F2145">
      <w:pPr>
        <w:pStyle w:val="AERtablesource"/>
      </w:pPr>
      <w:r>
        <w:t xml:space="preserve">Source: </w:t>
      </w:r>
      <w:r w:rsidR="00D23D32">
        <w:tab/>
      </w:r>
      <w:r>
        <w:t xml:space="preserve">AGN, Proposed reset RIN, AER analysis. </w:t>
      </w:r>
    </w:p>
    <w:p w:rsidR="008F2145" w:rsidRDefault="008F2145" w:rsidP="008F2145">
      <w:pPr>
        <w:pStyle w:val="AERtablesource"/>
      </w:pPr>
      <w:r w:rsidRPr="00C57E0B">
        <w:t xml:space="preserve">Note: </w:t>
      </w:r>
      <w:r w:rsidR="00D23D32">
        <w:tab/>
      </w:r>
      <w:r w:rsidRPr="00C57E0B">
        <w:t>Includes debt raising costs.</w:t>
      </w:r>
    </w:p>
    <w:p w:rsidR="00A64A3C" w:rsidRDefault="00A64A3C" w:rsidP="00A64A3C">
      <w:pPr>
        <w:pStyle w:val="Heading2"/>
      </w:pPr>
      <w:bookmarkStart w:id="75" w:name="_Toc475028898"/>
      <w:bookmarkStart w:id="76" w:name="_Toc486832596"/>
      <w:r>
        <w:t xml:space="preserve">AGN's </w:t>
      </w:r>
      <w:bookmarkStart w:id="77" w:name="_Toc419366914"/>
      <w:r>
        <w:t>proposal</w:t>
      </w:r>
      <w:bookmarkEnd w:id="75"/>
      <w:bookmarkEnd w:id="77"/>
      <w:bookmarkEnd w:id="76"/>
    </w:p>
    <w:p w:rsidR="00695629" w:rsidRDefault="00A64A3C" w:rsidP="00A64A3C">
      <w:r w:rsidRPr="00ED08EA">
        <w:t>A</w:t>
      </w:r>
      <w:r>
        <w:t>GN</w:t>
      </w:r>
      <w:r w:rsidRPr="00ED08EA">
        <w:t xml:space="preserve"> proposed total opex of $</w:t>
      </w:r>
      <w:r w:rsidR="00EF2488">
        <w:t>344.0</w:t>
      </w:r>
      <w:r w:rsidRPr="00ED08EA">
        <w:t xml:space="preserve"> </w:t>
      </w:r>
      <w:r>
        <w:t>million ($2017) for the 2018–</w:t>
      </w:r>
      <w:r w:rsidRPr="00ED08EA">
        <w:t xml:space="preserve">22 access arrangement </w:t>
      </w:r>
      <w:proofErr w:type="gramStart"/>
      <w:r w:rsidRPr="00ED08EA">
        <w:t>period</w:t>
      </w:r>
      <w:proofErr w:type="gramEnd"/>
      <w:r w:rsidR="00AD5E03">
        <w:t xml:space="preserve"> (see</w:t>
      </w:r>
      <w:r w:rsidR="00797258">
        <w:t xml:space="preserve"> </w:t>
      </w:r>
      <w:r w:rsidR="00797258">
        <w:fldChar w:fldCharType="begin"/>
      </w:r>
      <w:r w:rsidR="00797258">
        <w:instrText xml:space="preserve"> REF _Ref481071022 \h </w:instrText>
      </w:r>
      <w:r w:rsidR="00797258">
        <w:fldChar w:fldCharType="separate"/>
      </w:r>
      <w:r w:rsidR="008E59D4" w:rsidRPr="004C4694">
        <w:t xml:space="preserve">Table </w:t>
      </w:r>
      <w:r w:rsidR="008E59D4">
        <w:rPr>
          <w:noProof/>
        </w:rPr>
        <w:t>7</w:t>
      </w:r>
      <w:r w:rsidR="008E59D4" w:rsidRPr="004C4694">
        <w:t>.</w:t>
      </w:r>
      <w:r w:rsidR="008E59D4">
        <w:rPr>
          <w:noProof/>
        </w:rPr>
        <w:t>1</w:t>
      </w:r>
      <w:r w:rsidR="00797258">
        <w:fldChar w:fldCharType="end"/>
      </w:r>
      <w:r w:rsidR="00AD5E03">
        <w:t>)</w:t>
      </w:r>
      <w:r w:rsidR="00F24BEC">
        <w:t>.</w:t>
      </w:r>
      <w:r>
        <w:rPr>
          <w:rStyle w:val="FootnoteReference"/>
        </w:rPr>
        <w:footnoteReference w:id="4"/>
      </w:r>
      <w:r w:rsidRPr="00ED08EA">
        <w:t xml:space="preserve"> </w:t>
      </w:r>
    </w:p>
    <w:p w:rsidR="00A64A3C" w:rsidRPr="00ED08EA" w:rsidRDefault="00A64A3C" w:rsidP="00A64A3C">
      <w:r>
        <w:t xml:space="preserve">In </w:t>
      </w:r>
      <w:r>
        <w:fldChar w:fldCharType="begin"/>
      </w:r>
      <w:r>
        <w:instrText xml:space="preserve"> REF _Ref473711492 \h </w:instrText>
      </w:r>
      <w:r>
        <w:fldChar w:fldCharType="separate"/>
      </w:r>
      <w:r w:rsidR="008E59D4">
        <w:t xml:space="preserve">Figure </w:t>
      </w:r>
      <w:r w:rsidR="008E59D4">
        <w:rPr>
          <w:noProof/>
        </w:rPr>
        <w:t>7</w:t>
      </w:r>
      <w:r w:rsidR="008E59D4">
        <w:t>.</w:t>
      </w:r>
      <w:r w:rsidR="008E59D4">
        <w:rPr>
          <w:noProof/>
        </w:rPr>
        <w:t>2</w:t>
      </w:r>
      <w:r>
        <w:fldChar w:fldCharType="end"/>
      </w:r>
      <w:r>
        <w:t xml:space="preserve"> we separate AGN's proposed opex into the different elements that make up its forecast.</w:t>
      </w:r>
      <w:r w:rsidRPr="00ED08EA">
        <w:t xml:space="preserve"> </w:t>
      </w:r>
    </w:p>
    <w:p w:rsidR="00A64A3C" w:rsidRPr="00ED08EA" w:rsidRDefault="00A64A3C" w:rsidP="00A64A3C">
      <w:pPr>
        <w:pStyle w:val="Caption"/>
      </w:pPr>
      <w:bookmarkStart w:id="78" w:name="_Ref473711492"/>
      <w:proofErr w:type="gramStart"/>
      <w:r>
        <w:t xml:space="preserve">Figure </w:t>
      </w:r>
      <w:proofErr w:type="gramEnd"/>
      <w:r w:rsidR="008E0D00">
        <w:fldChar w:fldCharType="begin"/>
      </w:r>
      <w:r w:rsidR="008E0D00">
        <w:instrText xml:space="preserve"> STYLEREF 1 \s </w:instrText>
      </w:r>
      <w:r w:rsidR="008E0D00">
        <w:fldChar w:fldCharType="separate"/>
      </w:r>
      <w:r w:rsidR="008E59D4">
        <w:rPr>
          <w:noProof/>
        </w:rPr>
        <w:t>7</w:t>
      </w:r>
      <w:r w:rsidR="008E0D00">
        <w:rPr>
          <w:noProof/>
        </w:rPr>
        <w:fldChar w:fldCharType="end"/>
      </w:r>
      <w:proofErr w:type="gramStart"/>
      <w:r>
        <w:t>.</w:t>
      </w:r>
      <w:proofErr w:type="gramEnd"/>
      <w:r w:rsidRPr="00A64A3C">
        <w:fldChar w:fldCharType="begin"/>
      </w:r>
      <w:r>
        <w:instrText xml:space="preserve"> SEQ Figure \* ARABIC \s 1 </w:instrText>
      </w:r>
      <w:r w:rsidRPr="00A64A3C">
        <w:fldChar w:fldCharType="separate"/>
      </w:r>
      <w:r w:rsidR="008E59D4">
        <w:rPr>
          <w:noProof/>
        </w:rPr>
        <w:t>2</w:t>
      </w:r>
      <w:r w:rsidRPr="00A64A3C">
        <w:fldChar w:fldCharType="end"/>
      </w:r>
      <w:bookmarkEnd w:id="78"/>
      <w:r>
        <w:tab/>
      </w:r>
      <w:r w:rsidRPr="00ED08EA">
        <w:t>A</w:t>
      </w:r>
      <w:r>
        <w:t>GN</w:t>
      </w:r>
      <w:r w:rsidRPr="00ED08EA">
        <w:t xml:space="preserve">’s opex </w:t>
      </w:r>
      <w:r>
        <w:t>forecast ($</w:t>
      </w:r>
      <w:r w:rsidR="00FA22AA">
        <w:t xml:space="preserve"> </w:t>
      </w:r>
      <w:r>
        <w:t>million, 20</w:t>
      </w:r>
      <w:r w:rsidRPr="00ED08EA">
        <w:t>17)</w:t>
      </w:r>
    </w:p>
    <w:p w:rsidR="00992EE2" w:rsidRDefault="006C3455" w:rsidP="00A64A3C">
      <w:pPr>
        <w:pStyle w:val="Source"/>
      </w:pPr>
      <w:r w:rsidRPr="006C3455">
        <w:rPr>
          <w:noProof/>
          <w:lang w:eastAsia="en-AU"/>
        </w:rPr>
        <w:drawing>
          <wp:inline distT="0" distB="0" distL="0" distR="0" wp14:anchorId="7DFF9F25" wp14:editId="5289546A">
            <wp:extent cx="5382895" cy="3705225"/>
            <wp:effectExtent l="0" t="0" r="825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82895" cy="3705225"/>
                    </a:xfrm>
                    <a:prstGeom prst="rect">
                      <a:avLst/>
                    </a:prstGeom>
                    <a:noFill/>
                    <a:ln>
                      <a:noFill/>
                    </a:ln>
                  </pic:spPr>
                </pic:pic>
              </a:graphicData>
            </a:graphic>
          </wp:inline>
        </w:drawing>
      </w:r>
    </w:p>
    <w:p w:rsidR="00A64A3C" w:rsidRPr="00615D52" w:rsidRDefault="00A64A3C" w:rsidP="00A64A3C">
      <w:pPr>
        <w:pStyle w:val="Source"/>
      </w:pPr>
      <w:r w:rsidRPr="00615D52">
        <w:t>Source:</w:t>
      </w:r>
      <w:r w:rsidRPr="00615D52">
        <w:tab/>
        <w:t>A</w:t>
      </w:r>
      <w:r>
        <w:t>GN</w:t>
      </w:r>
      <w:r w:rsidRPr="00615D52">
        <w:t xml:space="preserve">, </w:t>
      </w:r>
      <w:r w:rsidRPr="00615D52">
        <w:rPr>
          <w:rStyle w:val="AERtextitalic"/>
        </w:rPr>
        <w:t>Proposed opex model</w:t>
      </w:r>
      <w:r>
        <w:rPr>
          <w:rStyle w:val="AERtextitalic"/>
        </w:rPr>
        <w:t>, date</w:t>
      </w:r>
      <w:r w:rsidRPr="00615D52">
        <w:rPr>
          <w:rStyle w:val="AERtextitalic"/>
        </w:rPr>
        <w:t xml:space="preserve"> and proposed </w:t>
      </w:r>
      <w:proofErr w:type="gramStart"/>
      <w:r w:rsidRPr="00615D52">
        <w:rPr>
          <w:rStyle w:val="AERtextitalic"/>
        </w:rPr>
        <w:t>PTRM</w:t>
      </w:r>
      <w:r>
        <w:t xml:space="preserve"> </w:t>
      </w:r>
      <w:r w:rsidRPr="00615D52">
        <w:t>.</w:t>
      </w:r>
      <w:proofErr w:type="gramEnd"/>
    </w:p>
    <w:p w:rsidR="00A64A3C" w:rsidRPr="00ED08EA" w:rsidRDefault="00A64A3C" w:rsidP="00A64A3C">
      <w:r>
        <w:t>We describe each of these elements below</w:t>
      </w:r>
      <w:r w:rsidRPr="00ED08EA">
        <w:t>:</w:t>
      </w:r>
    </w:p>
    <w:p w:rsidR="00B047DC" w:rsidRDefault="00B047DC" w:rsidP="00B047DC">
      <w:pPr>
        <w:pStyle w:val="AERbulletlistfirststyle"/>
      </w:pPr>
      <w:r>
        <w:t>AGN</w:t>
      </w:r>
      <w:r w:rsidRPr="00B047DC">
        <w:t xml:space="preserve"> adopted our base–step–trend </w:t>
      </w:r>
      <w:r w:rsidR="002C4C98">
        <w:t xml:space="preserve">forecasting </w:t>
      </w:r>
      <w:r w:rsidRPr="00B047DC">
        <w:t>approach</w:t>
      </w:r>
      <w:r w:rsidR="00EE56BB">
        <w:t>.</w:t>
      </w:r>
      <w:r>
        <w:rPr>
          <w:rStyle w:val="FootnoteReference"/>
        </w:rPr>
        <w:footnoteReference w:id="5"/>
      </w:r>
    </w:p>
    <w:p w:rsidR="00A64A3C" w:rsidRDefault="00A64A3C" w:rsidP="00A64A3C">
      <w:pPr>
        <w:pStyle w:val="AERbulletlistfirststyle"/>
      </w:pPr>
      <w:r w:rsidRPr="00ED08EA">
        <w:t>A</w:t>
      </w:r>
      <w:r>
        <w:t>GN</w:t>
      </w:r>
      <w:r w:rsidRPr="00ED08EA">
        <w:t xml:space="preserve"> used </w:t>
      </w:r>
      <w:r w:rsidR="00D57C9E">
        <w:t xml:space="preserve">an estimate of </w:t>
      </w:r>
      <w:r w:rsidRPr="00ED08EA">
        <w:t>the</w:t>
      </w:r>
      <w:r>
        <w:t xml:space="preserve"> actual opex it incurred in 20</w:t>
      </w:r>
      <w:r w:rsidRPr="00A64A3C">
        <w:t>16 as the base fo</w:t>
      </w:r>
      <w:r>
        <w:t xml:space="preserve">r forecasting its opex </w:t>
      </w:r>
      <w:r w:rsidR="002C4C98">
        <w:t xml:space="preserve">for the </w:t>
      </w:r>
      <w:r>
        <w:t>2018</w:t>
      </w:r>
      <w:r w:rsidRPr="00A64A3C">
        <w:t>–22</w:t>
      </w:r>
      <w:r w:rsidR="002C4C98">
        <w:t xml:space="preserve"> access arrangement </w:t>
      </w:r>
      <w:proofErr w:type="gramStart"/>
      <w:r w:rsidR="002C4C98">
        <w:t>period</w:t>
      </w:r>
      <w:proofErr w:type="gramEnd"/>
      <w:r w:rsidRPr="00A64A3C">
        <w:t>. If no adjustments were made, this would lead to a base opex of $</w:t>
      </w:r>
      <w:r w:rsidR="00AD5E03">
        <w:t>322.2</w:t>
      </w:r>
      <w:r>
        <w:t xml:space="preserve"> million ($20</w:t>
      </w:r>
      <w:r w:rsidRPr="00A64A3C">
        <w:t>17), excluding debt raising costs.</w:t>
      </w:r>
    </w:p>
    <w:p w:rsidR="00695BC0" w:rsidRDefault="00695BC0" w:rsidP="00695BC0">
      <w:pPr>
        <w:pStyle w:val="AERbulletlistfirststyle"/>
      </w:pPr>
      <w:r>
        <w:t xml:space="preserve">To </w:t>
      </w:r>
      <w:r w:rsidRPr="00695BC0">
        <w:t xml:space="preserve">forecast the increase in opex between the base year and start of the </w:t>
      </w:r>
      <w:r>
        <w:t>access arrangement</w:t>
      </w:r>
      <w:r w:rsidRPr="00695BC0">
        <w:t xml:space="preserve"> period</w:t>
      </w:r>
      <w:r>
        <w:t xml:space="preserve">, AGN </w:t>
      </w:r>
      <w:r w:rsidRPr="00695BC0">
        <w:t xml:space="preserve">added </w:t>
      </w:r>
      <w:r w:rsidR="00D57C9E">
        <w:t xml:space="preserve">its forecast </w:t>
      </w:r>
      <w:r w:rsidR="00797258">
        <w:t>input price</w:t>
      </w:r>
      <w:r w:rsidR="00D57C9E">
        <w:t xml:space="preserve"> growth</w:t>
      </w:r>
      <w:r w:rsidRPr="00695BC0">
        <w:t>. This increased its total opex forecast by $1.</w:t>
      </w:r>
      <w:r>
        <w:t>6</w:t>
      </w:r>
      <w:r w:rsidRPr="00695BC0">
        <w:t xml:space="preserve"> million ($2017).</w:t>
      </w:r>
    </w:p>
    <w:p w:rsidR="00695BC0" w:rsidRDefault="000D53B6" w:rsidP="000D53B6">
      <w:pPr>
        <w:pStyle w:val="AERbulletlistfirststyle"/>
      </w:pPr>
      <w:r>
        <w:t>AGN's</w:t>
      </w:r>
      <w:r w:rsidRPr="000D53B6">
        <w:t xml:space="preserve"> forecast rate of change increased its total opex forecast by $</w:t>
      </w:r>
      <w:r>
        <w:t>10.4</w:t>
      </w:r>
      <w:r w:rsidRPr="000D53B6">
        <w:t xml:space="preserve"> million ($2017). This was attributable to real </w:t>
      </w:r>
      <w:r w:rsidR="00D57C9E">
        <w:t xml:space="preserve">input </w:t>
      </w:r>
      <w:r w:rsidRPr="000D53B6">
        <w:t>price growth</w:t>
      </w:r>
      <w:r>
        <w:t xml:space="preserve"> of $6.4 million ($2017) and output growth of $4.0 million ($2017).</w:t>
      </w:r>
    </w:p>
    <w:p w:rsidR="000D53B6" w:rsidRDefault="000D53B6" w:rsidP="00F24BEC">
      <w:pPr>
        <w:pStyle w:val="AERbulletlistfirststyle"/>
      </w:pPr>
      <w:r>
        <w:t xml:space="preserve">AGN forecast no productivity growth over the 2018–22 </w:t>
      </w:r>
      <w:proofErr w:type="gramStart"/>
      <w:r>
        <w:t>period</w:t>
      </w:r>
      <w:proofErr w:type="gramEnd"/>
      <w:r>
        <w:t>.</w:t>
      </w:r>
    </w:p>
    <w:p w:rsidR="000D53B6" w:rsidRDefault="000D53B6" w:rsidP="000D53B6">
      <w:pPr>
        <w:pStyle w:val="AERbulletlistfirststyle"/>
      </w:pPr>
      <w:r>
        <w:t xml:space="preserve">AGN </w:t>
      </w:r>
      <w:r w:rsidRPr="000D53B6">
        <w:t xml:space="preserve">proposed </w:t>
      </w:r>
      <w:r>
        <w:t xml:space="preserve">a single </w:t>
      </w:r>
      <w:r w:rsidRPr="000D53B6">
        <w:t>step change</w:t>
      </w:r>
      <w:r>
        <w:t xml:space="preserve"> for </w:t>
      </w:r>
      <w:r w:rsidR="002B5966">
        <w:t>expanding its marketing expenditure</w:t>
      </w:r>
      <w:r w:rsidRPr="000D53B6">
        <w:t>, which increased its total opex forecast by $</w:t>
      </w:r>
      <w:r>
        <w:t>5.1</w:t>
      </w:r>
      <w:r w:rsidRPr="000D53B6">
        <w:t xml:space="preserve"> million ($2017)</w:t>
      </w:r>
      <w:r>
        <w:t>.</w:t>
      </w:r>
    </w:p>
    <w:p w:rsidR="000D53B6" w:rsidRPr="00A64A3C" w:rsidRDefault="002B5966" w:rsidP="002B5966">
      <w:pPr>
        <w:pStyle w:val="AERbulletlistfirststyle"/>
      </w:pPr>
      <w:r w:rsidRPr="002B5966">
        <w:t>These components resulted in a total opex forecast of $</w:t>
      </w:r>
      <w:r w:rsidR="00F24BEC">
        <w:t>344.0 million ($2017), in</w:t>
      </w:r>
      <w:r w:rsidRPr="002B5966">
        <w:t>cluding forecast debt raising costs of $</w:t>
      </w:r>
      <w:r>
        <w:t>4.8</w:t>
      </w:r>
      <w:r w:rsidRPr="002B5966">
        <w:t xml:space="preserve"> million</w:t>
      </w:r>
      <w:r>
        <w:t xml:space="preserve"> ($2017).</w:t>
      </w:r>
    </w:p>
    <w:p w:rsidR="009141E4" w:rsidRDefault="009141E4" w:rsidP="009141E4">
      <w:pPr>
        <w:pStyle w:val="Heading3"/>
      </w:pPr>
      <w:bookmarkStart w:id="79" w:name="_Toc486832597"/>
      <w:bookmarkStart w:id="80" w:name="_Toc408404322"/>
      <w:bookmarkStart w:id="81" w:name="_Toc419366915"/>
      <w:bookmarkStart w:id="82" w:name="_Toc475028899"/>
      <w:r>
        <w:t>Submissions on AGN's proposal</w:t>
      </w:r>
      <w:bookmarkEnd w:id="79"/>
    </w:p>
    <w:p w:rsidR="00815831" w:rsidRDefault="00815831" w:rsidP="000E5298">
      <w:r>
        <w:t xml:space="preserve">We received </w:t>
      </w:r>
      <w:r w:rsidR="00BF6457">
        <w:t>several</w:t>
      </w:r>
      <w:r>
        <w:t xml:space="preserve"> submissions on AGN's proposal.</w:t>
      </w:r>
    </w:p>
    <w:p w:rsidR="00CE1B94" w:rsidRPr="00CE1B94" w:rsidRDefault="00CE1B94" w:rsidP="00CE1B94">
      <w:pPr>
        <w:pStyle w:val="AERbulletlistfirststyle"/>
      </w:pPr>
      <w:r w:rsidRPr="00CE1B94">
        <w:t>The</w:t>
      </w:r>
      <w:r w:rsidR="00E10889">
        <w:t xml:space="preserve"> AER's</w:t>
      </w:r>
      <w:r w:rsidRPr="00CE1B94">
        <w:t xml:space="preserve"> Consumer Challenge Panel (CCP11) </w:t>
      </w:r>
      <w:r w:rsidR="00172C96">
        <w:t xml:space="preserve">did </w:t>
      </w:r>
      <w:r w:rsidR="00FA382A">
        <w:t>no</w:t>
      </w:r>
      <w:r w:rsidRPr="00CE1B94">
        <w:t xml:space="preserve">t support the </w:t>
      </w:r>
      <w:r w:rsidR="00B260F9">
        <w:t xml:space="preserve">Victorian distributors' </w:t>
      </w:r>
      <w:r w:rsidRPr="00CE1B94">
        <w:t>marketing step change</w:t>
      </w:r>
      <w:r w:rsidR="00B260F9">
        <w:t xml:space="preserve"> proposal</w:t>
      </w:r>
      <w:r w:rsidR="00172C96">
        <w:t xml:space="preserve">. They did not consider any of them, </w:t>
      </w:r>
      <w:r w:rsidR="00E10889">
        <w:t>including AGN</w:t>
      </w:r>
      <w:r w:rsidR="00172C96">
        <w:t>,</w:t>
      </w:r>
      <w:r w:rsidR="00E10889">
        <w:t xml:space="preserve"> </w:t>
      </w:r>
      <w:r w:rsidRPr="00CE1B94">
        <w:t xml:space="preserve">demonstrated they have the support of their customers for the proposed marketing expenditure. </w:t>
      </w:r>
      <w:r w:rsidR="004C7AA3">
        <w:t>CCP11</w:t>
      </w:r>
      <w:r w:rsidR="004C7AA3" w:rsidRPr="00CE1B94">
        <w:t xml:space="preserve"> </w:t>
      </w:r>
      <w:r w:rsidRPr="00CE1B94">
        <w:t>consider</w:t>
      </w:r>
      <w:r w:rsidR="00172C96">
        <w:t>ed</w:t>
      </w:r>
      <w:r w:rsidRPr="00CE1B94">
        <w:t xml:space="preserve"> a marketing step change </w:t>
      </w:r>
      <w:r w:rsidR="00172C96">
        <w:t>wa</w:t>
      </w:r>
      <w:r w:rsidRPr="00CE1B94">
        <w:t xml:space="preserve">s </w:t>
      </w:r>
      <w:r w:rsidR="004C7AA3">
        <w:t xml:space="preserve">not </w:t>
      </w:r>
      <w:r w:rsidRPr="00CE1B94">
        <w:t xml:space="preserve">prudent, due to the high degree of uncertainty around future gas appliance usage, </w:t>
      </w:r>
      <w:r w:rsidR="004C7AA3">
        <w:t>the lack of any</w:t>
      </w:r>
      <w:r w:rsidR="004C7AA3" w:rsidRPr="00CE1B94">
        <w:t xml:space="preserve"> </w:t>
      </w:r>
      <w:r w:rsidRPr="00CE1B94">
        <w:t xml:space="preserve">indication </w:t>
      </w:r>
      <w:r w:rsidR="00172C96">
        <w:t xml:space="preserve">that </w:t>
      </w:r>
      <w:r w:rsidRPr="00CE1B94">
        <w:t xml:space="preserve">the level of marketing expenditure will be maintained in the future, and concerns around the extent to which the proposed program will be </w:t>
      </w:r>
      <w:r w:rsidR="00172C96" w:rsidRPr="00CE1B94">
        <w:t xml:space="preserve">actually </w:t>
      </w:r>
      <w:r w:rsidRPr="00CE1B94">
        <w:t>carried out.</w:t>
      </w:r>
      <w:r w:rsidRPr="00CE1B94">
        <w:rPr>
          <w:rStyle w:val="FootnoteReference"/>
        </w:rPr>
        <w:footnoteReference w:id="6"/>
      </w:r>
      <w:r w:rsidRPr="00CE1B94">
        <w:t xml:space="preserve"> </w:t>
      </w:r>
    </w:p>
    <w:p w:rsidR="000E5298" w:rsidRDefault="000E5298" w:rsidP="00AC24DA">
      <w:pPr>
        <w:pStyle w:val="AERbulletlistfirststyle"/>
      </w:pPr>
      <w:r>
        <w:t>United Communities submitted AGN's revised growth projections passed the 'reasonableness test'.</w:t>
      </w:r>
      <w:r>
        <w:rPr>
          <w:rStyle w:val="FootnoteReference"/>
        </w:rPr>
        <w:footnoteReference w:id="7"/>
      </w:r>
      <w:r>
        <w:t xml:space="preserve"> However, </w:t>
      </w:r>
      <w:r w:rsidR="004C7AA3">
        <w:t>it was</w:t>
      </w:r>
      <w:r>
        <w:t xml:space="preserve"> unconvinced marketing costs are a legitimate step change, noting that marketing is not a new or unexpected expenditure, but a standard cost for most businesses.</w:t>
      </w:r>
      <w:r>
        <w:rPr>
          <w:rStyle w:val="FootnoteReference"/>
        </w:rPr>
        <w:footnoteReference w:id="8"/>
      </w:r>
      <w:r>
        <w:t xml:space="preserve"> </w:t>
      </w:r>
    </w:p>
    <w:p w:rsidR="000E5298" w:rsidRDefault="000E5298" w:rsidP="00AC24DA">
      <w:pPr>
        <w:pStyle w:val="AERbulletlistfirststyle"/>
      </w:pPr>
      <w:r>
        <w:t xml:space="preserve">Red Energy / </w:t>
      </w:r>
      <w:proofErr w:type="spellStart"/>
      <w:r>
        <w:t>Lumo</w:t>
      </w:r>
      <w:proofErr w:type="spellEnd"/>
      <w:r>
        <w:t xml:space="preserve"> Energy provided conditional support for a marketing step change, as long as its benefits exceeded the costs.</w:t>
      </w:r>
      <w:r>
        <w:rPr>
          <w:rStyle w:val="FootnoteReference"/>
        </w:rPr>
        <w:footnoteReference w:id="9"/>
      </w:r>
      <w:r>
        <w:t xml:space="preserve">  </w:t>
      </w:r>
    </w:p>
    <w:p w:rsidR="000E5298" w:rsidRDefault="000E5298" w:rsidP="00AC24DA">
      <w:pPr>
        <w:pStyle w:val="AERbulletlistfirststyle"/>
      </w:pPr>
      <w:r>
        <w:t xml:space="preserve">Origin Energy </w:t>
      </w:r>
      <w:r w:rsidR="0069517C">
        <w:t xml:space="preserve">considered </w:t>
      </w:r>
      <w:r>
        <w:t>AGN's forecast growth</w:t>
      </w:r>
      <w:r w:rsidR="00D57C9E">
        <w:t xml:space="preserve"> </w:t>
      </w:r>
      <w:r>
        <w:t xml:space="preserve">is reasonable. </w:t>
      </w:r>
      <w:r w:rsidR="00B260F9">
        <w:t>Origin Energy</w:t>
      </w:r>
      <w:r w:rsidR="004C7AA3">
        <w:t xml:space="preserve"> </w:t>
      </w:r>
      <w:r>
        <w:t>also provided conditional support for a marketing step change, but suggested it be reviewed throughout the access arrangement to examine its effectiveness.</w:t>
      </w:r>
      <w:r>
        <w:rPr>
          <w:rStyle w:val="FootnoteReference"/>
        </w:rPr>
        <w:footnoteReference w:id="10"/>
      </w:r>
      <w:r>
        <w:t xml:space="preserve"> </w:t>
      </w:r>
    </w:p>
    <w:p w:rsidR="00725295" w:rsidRPr="002B5966" w:rsidRDefault="000E5298" w:rsidP="00AC24DA">
      <w:pPr>
        <w:pStyle w:val="AERbulletlistfirststyle"/>
      </w:pPr>
      <w:r w:rsidRPr="00420D57">
        <w:t xml:space="preserve">AGL </w:t>
      </w:r>
      <w:r>
        <w:t xml:space="preserve">indicated </w:t>
      </w:r>
      <w:r w:rsidR="004C7AA3">
        <w:t xml:space="preserve">its </w:t>
      </w:r>
      <w:r w:rsidRPr="00420D57">
        <w:t>support</w:t>
      </w:r>
      <w:r>
        <w:t xml:space="preserve"> for</w:t>
      </w:r>
      <w:r w:rsidRPr="00420D57">
        <w:t xml:space="preserve"> th</w:t>
      </w:r>
      <w:r>
        <w:t>e</w:t>
      </w:r>
      <w:r w:rsidRPr="00420D57">
        <w:t xml:space="preserve"> marketing allowance</w:t>
      </w:r>
      <w:r>
        <w:t>,</w:t>
      </w:r>
      <w:r w:rsidRPr="00420D57">
        <w:t xml:space="preserve"> </w:t>
      </w:r>
      <w:r>
        <w:t>noting it should</w:t>
      </w:r>
      <w:r w:rsidRPr="00420D57">
        <w:t xml:space="preserve"> drive more efficient use of the network over time.</w:t>
      </w:r>
      <w:r>
        <w:rPr>
          <w:rStyle w:val="FootnoteReference"/>
        </w:rPr>
        <w:footnoteReference w:id="11"/>
      </w:r>
    </w:p>
    <w:p w:rsidR="00A64A3C" w:rsidRDefault="00995400" w:rsidP="00A64A3C">
      <w:pPr>
        <w:pStyle w:val="Heading2"/>
      </w:pPr>
      <w:bookmarkStart w:id="83" w:name="_Toc486832598"/>
      <w:r>
        <w:t>Our</w:t>
      </w:r>
      <w:r w:rsidR="00A64A3C" w:rsidRPr="0074565D">
        <w:t xml:space="preserve"> assessment approach</w:t>
      </w:r>
      <w:bookmarkEnd w:id="80"/>
      <w:bookmarkEnd w:id="81"/>
      <w:bookmarkEnd w:id="82"/>
      <w:bookmarkEnd w:id="83"/>
    </w:p>
    <w:p w:rsidR="009912E7" w:rsidRPr="00613EBB" w:rsidRDefault="009912E7" w:rsidP="009912E7">
      <w:r w:rsidRPr="00613EBB">
        <w:t xml:space="preserve">Our role is to decide whether or not to accept a </w:t>
      </w:r>
      <w:r>
        <w:t>business</w:t>
      </w:r>
      <w:r w:rsidRPr="00613EBB">
        <w:t xml:space="preserve">’ forecast opex. We approve the </w:t>
      </w:r>
      <w:r>
        <w:t>business’</w:t>
      </w:r>
      <w:r w:rsidRPr="00613EBB">
        <w:t xml:space="preserve"> forecast opex if we are satisfied that it is consistent with </w:t>
      </w:r>
      <w:r>
        <w:t>the opex criteria:</w:t>
      </w:r>
    </w:p>
    <w:p w:rsidR="009912E7" w:rsidRPr="00613EBB" w:rsidRDefault="009912E7" w:rsidP="009912E7">
      <w:pPr>
        <w:pStyle w:val="AERquote"/>
      </w:pPr>
      <w:r w:rsidRPr="00613EBB">
        <w:t>Operating expenditure must be as such as would be incurred by a prudent service provider acting efficiently, in accordance with accepted good industry practice, to achieve the lowest sustainable cost of delivering pipeline services.</w:t>
      </w:r>
      <w:r>
        <w:rPr>
          <w:rStyle w:val="FootnoteReference"/>
        </w:rPr>
        <w:footnoteReference w:id="12"/>
      </w:r>
      <w:r w:rsidRPr="00613EBB">
        <w:t xml:space="preserve"> </w:t>
      </w:r>
    </w:p>
    <w:p w:rsidR="009912E7" w:rsidRPr="00613EBB" w:rsidRDefault="009912E7" w:rsidP="009912E7">
      <w:r w:rsidRPr="00613EBB">
        <w:t>In determining whether forecast opex is consistent with the opex criteri</w:t>
      </w:r>
      <w:r>
        <w:t>a</w:t>
      </w:r>
      <w:r w:rsidRPr="00613EBB">
        <w:t xml:space="preserve"> we </w:t>
      </w:r>
      <w:r w:rsidR="002F612B">
        <w:t>apply</w:t>
      </w:r>
      <w:r w:rsidRPr="00613EBB">
        <w:t xml:space="preserve"> the forecasting and estimate requirements under the NGR.</w:t>
      </w:r>
      <w:r>
        <w:rPr>
          <w:rStyle w:val="FootnoteReference"/>
        </w:rPr>
        <w:footnoteReference w:id="13"/>
      </w:r>
    </w:p>
    <w:p w:rsidR="009912E7" w:rsidRDefault="009912E7" w:rsidP="009912E7">
      <w:r>
        <w:t>Our approach is to assess the business’ forecast opex at a total level, rather than to assess individual opex projects. To do so, we develop an alternative estimate of total opex using a ‘top-down’ forecasting method, known as the ‘</w:t>
      </w:r>
      <w:r w:rsidR="00A61B67" w:rsidRPr="00B047DC">
        <w:t>base–step–trend</w:t>
      </w:r>
      <w:r>
        <w:t>’ approach.</w:t>
      </w:r>
      <w:r>
        <w:rPr>
          <w:rStyle w:val="FootnoteReference"/>
        </w:rPr>
        <w:footnoteReference w:id="14"/>
      </w:r>
      <w:r>
        <w:t xml:space="preserve"> </w:t>
      </w:r>
      <w:r w:rsidR="00FA382A">
        <w:t>The advantage of this forecasting approach is that it largely relies on the business’ aggregate historic (‘revealed’) cost that is shown to be sufficient for the business to operate under its existing regulatory obligations. This contrasts with building a total opex forecast from the ‘bottom up’ using individual opex categor</w:t>
      </w:r>
      <w:r w:rsidR="00E10889">
        <w:t xml:space="preserve">y </w:t>
      </w:r>
      <w:r w:rsidR="00FA382A">
        <w:t xml:space="preserve">or project forecasts. The disadvantage of </w:t>
      </w:r>
      <w:r w:rsidR="00B30FF4">
        <w:t xml:space="preserve">the </w:t>
      </w:r>
      <w:r w:rsidR="00B260F9">
        <w:t>bottom</w:t>
      </w:r>
      <w:r w:rsidR="00E2101D">
        <w:t>-</w:t>
      </w:r>
      <w:r w:rsidR="00B260F9">
        <w:t xml:space="preserve">up </w:t>
      </w:r>
      <w:r w:rsidR="00FA382A">
        <w:t xml:space="preserve">approach is that it is more susceptible to forecasting risk </w:t>
      </w:r>
      <w:r w:rsidR="0052231C">
        <w:t>given</w:t>
      </w:r>
      <w:r w:rsidR="00FA382A">
        <w:t xml:space="preserve"> the business has an incentive to inflate its forecasts.</w:t>
      </w:r>
    </w:p>
    <w:p w:rsidR="009912E7" w:rsidRDefault="009912E7" w:rsidP="009912E7">
      <w:r w:rsidRPr="00613EBB">
        <w:t xml:space="preserve">We compare our estimate with the </w:t>
      </w:r>
      <w:r>
        <w:t>business’</w:t>
      </w:r>
      <w:r w:rsidRPr="00613EBB">
        <w:t xml:space="preserve"> total opex forecast to form a view on the reasonableness of the </w:t>
      </w:r>
      <w:r>
        <w:t>business’</w:t>
      </w:r>
      <w:r w:rsidRPr="00613EBB">
        <w:t xml:space="preserve"> proposal. If we are satisfied the </w:t>
      </w:r>
      <w:r>
        <w:t>business’</w:t>
      </w:r>
      <w:r w:rsidRPr="00613EBB">
        <w:t xml:space="preserve"> </w:t>
      </w:r>
      <w:r w:rsidR="00672F97">
        <w:t xml:space="preserve">total </w:t>
      </w:r>
      <w:r w:rsidRPr="00613EBB">
        <w:t xml:space="preserve">forecast </w:t>
      </w:r>
      <w:r>
        <w:t>meets the NGR requirements</w:t>
      </w:r>
      <w:r w:rsidRPr="00613EBB">
        <w:t xml:space="preserve">, we accept the forecast. If we are not satisfied, we substitute the </w:t>
      </w:r>
      <w:r>
        <w:t>business’</w:t>
      </w:r>
      <w:r w:rsidRPr="00613EBB">
        <w:t xml:space="preserve"> forecast with our alternative estimate.</w:t>
      </w:r>
    </w:p>
    <w:p w:rsidR="009912E7" w:rsidRDefault="009912E7" w:rsidP="009912E7">
      <w:r>
        <w:t xml:space="preserve">In making this decision, we take into account the reasons for the difference </w:t>
      </w:r>
      <w:r w:rsidRPr="0031711D">
        <w:t xml:space="preserve">between our alternative estimate and the </w:t>
      </w:r>
      <w:r>
        <w:t>business’ forecast,</w:t>
      </w:r>
      <w:r w:rsidRPr="0031711D">
        <w:t xml:space="preserve"> </w:t>
      </w:r>
      <w:r>
        <w:t xml:space="preserve">and the </w:t>
      </w:r>
      <w:r w:rsidRPr="0031711D">
        <w:t>material</w:t>
      </w:r>
      <w:r>
        <w:t xml:space="preserve">ity of that difference. We also take into consideration the interrelationships between </w:t>
      </w:r>
      <w:r w:rsidR="00075679">
        <w:t xml:space="preserve">our </w:t>
      </w:r>
      <w:r>
        <w:t xml:space="preserve">opex forecast and </w:t>
      </w:r>
      <w:r w:rsidR="00DB723A">
        <w:t xml:space="preserve">the </w:t>
      </w:r>
      <w:r>
        <w:t xml:space="preserve">other </w:t>
      </w:r>
      <w:r w:rsidR="00C66302">
        <w:t>constituent components of our decision,</w:t>
      </w:r>
      <w:r w:rsidR="004F3DDF">
        <w:t xml:space="preserve"> </w:t>
      </w:r>
      <w:r>
        <w:t>such that our decision is likely to contribute to the achievement of the NGO.</w:t>
      </w:r>
      <w:r>
        <w:rPr>
          <w:rStyle w:val="FootnoteReference"/>
        </w:rPr>
        <w:footnoteReference w:id="15"/>
      </w:r>
      <w:r w:rsidRPr="00CF7503">
        <w:t xml:space="preserve"> </w:t>
      </w:r>
    </w:p>
    <w:p w:rsidR="00BF6457" w:rsidRPr="00BF6457" w:rsidRDefault="009912E7" w:rsidP="00BF6457">
      <w:r w:rsidRPr="00BF6457">
        <w:t xml:space="preserve">We develop our alternative estimate of total opex using the </w:t>
      </w:r>
      <w:r w:rsidR="00A61B67" w:rsidRPr="00B047DC">
        <w:t>base–step–trend</w:t>
      </w:r>
      <w:r w:rsidR="00A61B67" w:rsidRPr="00BF6457">
        <w:t xml:space="preserve"> </w:t>
      </w:r>
      <w:r w:rsidRPr="00BF6457">
        <w:t xml:space="preserve">forecasting approach, which is summarised in </w:t>
      </w:r>
      <w:r w:rsidRPr="00BF6457">
        <w:fldChar w:fldCharType="begin"/>
      </w:r>
      <w:r w:rsidRPr="00BF6457">
        <w:instrText xml:space="preserve"> REF  _Ref482352348 \* Lower \h </w:instrText>
      </w:r>
      <w:r w:rsidR="00BF6457">
        <w:instrText xml:space="preserve"> \* MERGEFORMAT </w:instrText>
      </w:r>
      <w:r w:rsidRPr="00BF6457">
        <w:fldChar w:fldCharType="separate"/>
      </w:r>
      <w:r w:rsidR="008E59D4">
        <w:t>figure 7.3</w:t>
      </w:r>
      <w:r w:rsidRPr="00BF6457">
        <w:fldChar w:fldCharType="end"/>
      </w:r>
      <w:r w:rsidRPr="00BF6457">
        <w:t xml:space="preserve">. Further explanation </w:t>
      </w:r>
      <w:r w:rsidR="00A61B67">
        <w:t>of</w:t>
      </w:r>
      <w:r w:rsidR="00A61B67" w:rsidRPr="00BF6457">
        <w:t xml:space="preserve"> </w:t>
      </w:r>
      <w:r w:rsidRPr="00BF6457">
        <w:t xml:space="preserve">the rationale behind </w:t>
      </w:r>
      <w:r w:rsidR="00A61B67">
        <w:t>our</w:t>
      </w:r>
      <w:r w:rsidR="00A61B67" w:rsidRPr="00BF6457">
        <w:t xml:space="preserve"> </w:t>
      </w:r>
      <w:r w:rsidRPr="00BF6457">
        <w:t>forecasting method can be found in our draft decision</w:t>
      </w:r>
      <w:r w:rsidR="00B260F9">
        <w:t>s</w:t>
      </w:r>
      <w:r w:rsidRPr="00BF6457">
        <w:t xml:space="preserve"> for AusNet Services </w:t>
      </w:r>
      <w:r w:rsidR="00B260F9">
        <w:t>and Multinet</w:t>
      </w:r>
      <w:r w:rsidR="0052231C">
        <w:t>'s</w:t>
      </w:r>
      <w:r w:rsidR="00B260F9">
        <w:t xml:space="preserve"> </w:t>
      </w:r>
      <w:r w:rsidRPr="00BF6457">
        <w:t>gas access arrangement</w:t>
      </w:r>
      <w:r w:rsidR="0052231C">
        <w:t>s</w:t>
      </w:r>
      <w:r w:rsidRPr="00BF6457">
        <w:t xml:space="preserve"> </w:t>
      </w:r>
      <w:r w:rsidR="0052231C">
        <w:t xml:space="preserve">for </w:t>
      </w:r>
      <w:r w:rsidRPr="00BF6457">
        <w:t>2018–22</w:t>
      </w:r>
      <w:r w:rsidR="00DB723A">
        <w:t>.</w:t>
      </w:r>
      <w:r w:rsidR="00DB723A" w:rsidRPr="00BF6457">
        <w:rPr>
          <w:rStyle w:val="FootnoteReference"/>
        </w:rPr>
        <w:footnoteReference w:id="16"/>
      </w:r>
      <w:r w:rsidRPr="00BF6457">
        <w:t xml:space="preserve"> </w:t>
      </w:r>
      <w:r w:rsidR="00DB723A">
        <w:t xml:space="preserve">These are </w:t>
      </w:r>
      <w:r w:rsidRPr="00BF6457">
        <w:t>available on our website.</w:t>
      </w:r>
    </w:p>
    <w:p w:rsidR="009912E7" w:rsidRDefault="009912E7" w:rsidP="009912E7">
      <w:pPr>
        <w:pStyle w:val="Caption"/>
      </w:pPr>
      <w:r>
        <w:t xml:space="preserve"> </w:t>
      </w:r>
      <w:bookmarkStart w:id="84" w:name="_Ref482352348"/>
      <w:proofErr w:type="gramStart"/>
      <w:r>
        <w:t xml:space="preserve">Figure </w:t>
      </w:r>
      <w:proofErr w:type="gramEnd"/>
      <w:r w:rsidRPr="009912E7">
        <w:fldChar w:fldCharType="begin"/>
      </w:r>
      <w:r>
        <w:instrText xml:space="preserve"> STYLEREF 1 \s </w:instrText>
      </w:r>
      <w:r w:rsidRPr="009912E7">
        <w:fldChar w:fldCharType="separate"/>
      </w:r>
      <w:r w:rsidR="008E59D4">
        <w:rPr>
          <w:noProof/>
        </w:rPr>
        <w:t>7</w:t>
      </w:r>
      <w:r w:rsidRPr="009912E7">
        <w:fldChar w:fldCharType="end"/>
      </w:r>
      <w:proofErr w:type="gramStart"/>
      <w:r>
        <w:t>.</w:t>
      </w:r>
      <w:proofErr w:type="gramEnd"/>
      <w:r w:rsidR="00EE56BB">
        <w:fldChar w:fldCharType="begin"/>
      </w:r>
      <w:r w:rsidR="00EE56BB">
        <w:instrText xml:space="preserve"> SEQ Figure \* ARABIC \s 1 </w:instrText>
      </w:r>
      <w:r w:rsidR="00EE56BB">
        <w:fldChar w:fldCharType="separate"/>
      </w:r>
      <w:r w:rsidR="008E59D4">
        <w:rPr>
          <w:noProof/>
        </w:rPr>
        <w:t>3</w:t>
      </w:r>
      <w:r w:rsidR="00EE56BB">
        <w:rPr>
          <w:noProof/>
        </w:rPr>
        <w:fldChar w:fldCharType="end"/>
      </w:r>
      <w:bookmarkEnd w:id="84"/>
      <w:r>
        <w:tab/>
        <w:t>Our opex assessment approach</w:t>
      </w:r>
    </w:p>
    <w:p w:rsidR="002C179C" w:rsidRDefault="002C179C" w:rsidP="002C179C">
      <w:r w:rsidRPr="002C179C">
        <w:rPr>
          <w:noProof/>
          <w:lang w:eastAsia="en-AU"/>
        </w:rPr>
        <w:drawing>
          <wp:inline distT="0" distB="0" distL="0" distR="0" wp14:anchorId="797837A7" wp14:editId="13FBF702">
            <wp:extent cx="5382895" cy="6025495"/>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82895" cy="6025495"/>
                    </a:xfrm>
                    <a:prstGeom prst="rect">
                      <a:avLst/>
                    </a:prstGeom>
                    <a:noFill/>
                    <a:ln>
                      <a:noFill/>
                    </a:ln>
                  </pic:spPr>
                </pic:pic>
              </a:graphicData>
            </a:graphic>
          </wp:inline>
        </w:drawing>
      </w:r>
    </w:p>
    <w:p w:rsidR="00695629" w:rsidRDefault="00695629" w:rsidP="002C179C"/>
    <w:p w:rsidR="00A64A3C" w:rsidRDefault="00A64A3C" w:rsidP="00A64A3C">
      <w:pPr>
        <w:pStyle w:val="Heading2"/>
      </w:pPr>
      <w:bookmarkStart w:id="85" w:name="_Toc408404324"/>
      <w:bookmarkStart w:id="86" w:name="_Toc419366917"/>
      <w:bookmarkStart w:id="87" w:name="_Toc475028900"/>
      <w:bookmarkStart w:id="88" w:name="_Toc486832599"/>
      <w:r w:rsidRPr="0074565D">
        <w:t xml:space="preserve">Reasons for </w:t>
      </w:r>
      <w:r>
        <w:t>draft</w:t>
      </w:r>
      <w:r w:rsidRPr="0074565D">
        <w:t xml:space="preserve"> decision</w:t>
      </w:r>
      <w:bookmarkEnd w:id="85"/>
      <w:bookmarkEnd w:id="86"/>
      <w:bookmarkEnd w:id="87"/>
      <w:bookmarkEnd w:id="88"/>
      <w:r w:rsidRPr="0074565D">
        <w:t xml:space="preserve"> </w:t>
      </w:r>
    </w:p>
    <w:p w:rsidR="0047300F" w:rsidRDefault="00605853" w:rsidP="0047300F">
      <w:r w:rsidRPr="00ED08EA">
        <w:t>Our draft decision is to accept A</w:t>
      </w:r>
      <w:r>
        <w:t>GN</w:t>
      </w:r>
      <w:r w:rsidRPr="00ED08EA">
        <w:t xml:space="preserve">’s </w:t>
      </w:r>
      <w:r w:rsidR="00C263A9">
        <w:t xml:space="preserve">total </w:t>
      </w:r>
      <w:r w:rsidR="00995400" w:rsidRPr="00ED08EA">
        <w:t xml:space="preserve">forecast </w:t>
      </w:r>
      <w:r w:rsidRPr="00ED08EA">
        <w:t>opex of $</w:t>
      </w:r>
      <w:r w:rsidR="002360F4">
        <w:t>344.0</w:t>
      </w:r>
      <w:r>
        <w:t xml:space="preserve"> million ($2017) </w:t>
      </w:r>
      <w:r w:rsidR="002A7329">
        <w:t xml:space="preserve">for </w:t>
      </w:r>
      <w:r>
        <w:t>the 2018</w:t>
      </w:r>
      <w:r w:rsidRPr="00ED08EA">
        <w:t xml:space="preserve">–22 access arrangement </w:t>
      </w:r>
      <w:proofErr w:type="gramStart"/>
      <w:r w:rsidRPr="00ED08EA">
        <w:t>period</w:t>
      </w:r>
      <w:proofErr w:type="gramEnd"/>
      <w:r w:rsidR="00C263A9">
        <w:t>.</w:t>
      </w:r>
      <w:r w:rsidR="0047300F">
        <w:rPr>
          <w:rStyle w:val="FootnoteReference"/>
        </w:rPr>
        <w:footnoteReference w:id="17"/>
      </w:r>
      <w:r w:rsidR="00E10889">
        <w:t xml:space="preserve"> </w:t>
      </w:r>
      <w:r w:rsidR="002F612B">
        <w:t>Having regard to our alternative estimate, w</w:t>
      </w:r>
      <w:r w:rsidR="0047300F" w:rsidRPr="0018057F">
        <w:t xml:space="preserve">e are satisfied AGN's forecast total opex </w:t>
      </w:r>
      <w:r w:rsidR="0047300F">
        <w:t>complies</w:t>
      </w:r>
      <w:r w:rsidR="0047300F" w:rsidRPr="0018057F">
        <w:t xml:space="preserve"> with the opex criteria</w:t>
      </w:r>
      <w:r w:rsidR="0047300F" w:rsidRPr="0018057F">
        <w:rPr>
          <w:rStyle w:val="FootnoteReference"/>
        </w:rPr>
        <w:footnoteReference w:id="18"/>
      </w:r>
      <w:r w:rsidR="0047300F" w:rsidRPr="0018057F">
        <w:t xml:space="preserve"> and the </w:t>
      </w:r>
      <w:r w:rsidR="00C263A9">
        <w:t>requirements</w:t>
      </w:r>
      <w:r w:rsidR="0047300F" w:rsidRPr="0018057F">
        <w:t xml:space="preserve"> for forecasts and estimates.</w:t>
      </w:r>
      <w:r w:rsidR="0047300F" w:rsidRPr="0018057F">
        <w:rPr>
          <w:rStyle w:val="FootnoteReference"/>
        </w:rPr>
        <w:footnoteReference w:id="19"/>
      </w:r>
      <w:r w:rsidR="0047300F">
        <w:t xml:space="preserve"> </w:t>
      </w:r>
    </w:p>
    <w:p w:rsidR="00E3134D" w:rsidRDefault="0047300F" w:rsidP="00605853">
      <w:r>
        <w:t>Our decision takes into account AGN's statement in its proposal that</w:t>
      </w:r>
      <w:r w:rsidRPr="00954D8B">
        <w:t xml:space="preserve"> it will update </w:t>
      </w:r>
      <w:r>
        <w:t>its</w:t>
      </w:r>
      <w:r w:rsidRPr="00954D8B">
        <w:t xml:space="preserve"> 2016 estimated (base year) opex to reflect actual information in </w:t>
      </w:r>
      <w:r w:rsidR="00E10889">
        <w:t xml:space="preserve">its </w:t>
      </w:r>
      <w:r w:rsidRPr="00954D8B">
        <w:t>response to our draft decision.</w:t>
      </w:r>
      <w:r w:rsidRPr="00954D8B">
        <w:rPr>
          <w:rStyle w:val="FootnoteReference"/>
        </w:rPr>
        <w:footnoteReference w:id="20"/>
      </w:r>
      <w:r w:rsidR="00995400">
        <w:t xml:space="preserve"> We expect AGN</w:t>
      </w:r>
      <w:r>
        <w:t xml:space="preserve"> to update its forecast </w:t>
      </w:r>
      <w:r w:rsidR="00C263A9">
        <w:t xml:space="preserve">of total opex </w:t>
      </w:r>
      <w:r w:rsidR="00995400">
        <w:t xml:space="preserve">in its revised proposal </w:t>
      </w:r>
      <w:r>
        <w:t xml:space="preserve">to reflect </w:t>
      </w:r>
      <w:r w:rsidR="00C263A9">
        <w:t xml:space="preserve">the </w:t>
      </w:r>
      <w:r>
        <w:t xml:space="preserve">actual opex </w:t>
      </w:r>
      <w:r w:rsidR="00C263A9">
        <w:t xml:space="preserve">it incurred </w:t>
      </w:r>
      <w:r>
        <w:t>in 2016, which we will then review for the final decision</w:t>
      </w:r>
      <w:r w:rsidRPr="00ED08EA">
        <w:t>.</w:t>
      </w:r>
      <w:r>
        <w:rPr>
          <w:rStyle w:val="FootnoteReference"/>
        </w:rPr>
        <w:footnoteReference w:id="21"/>
      </w:r>
      <w:r w:rsidRPr="00ED08EA">
        <w:t xml:space="preserve"> </w:t>
      </w:r>
    </w:p>
    <w:p w:rsidR="00632E71" w:rsidRPr="00632E71" w:rsidRDefault="00632E71" w:rsidP="00632E71">
      <w:r w:rsidRPr="00632E71">
        <w:t xml:space="preserve">We </w:t>
      </w:r>
      <w:r w:rsidR="00FE4763">
        <w:t xml:space="preserve">accept </w:t>
      </w:r>
      <w:r w:rsidRPr="00632E71">
        <w:t xml:space="preserve">AGN's proposed </w:t>
      </w:r>
      <w:r w:rsidR="00C66302">
        <w:t xml:space="preserve">total </w:t>
      </w:r>
      <w:r w:rsidRPr="00632E71">
        <w:t xml:space="preserve">opex of $344.0 million ($2017) </w:t>
      </w:r>
      <w:r w:rsidR="00C66302">
        <w:t>because</w:t>
      </w:r>
      <w:r w:rsidR="00FE4763">
        <w:t xml:space="preserve"> </w:t>
      </w:r>
      <w:r w:rsidR="002A7329">
        <w:t>there</w:t>
      </w:r>
      <w:r w:rsidR="002A7329" w:rsidRPr="00FE4763">
        <w:t xml:space="preserve"> </w:t>
      </w:r>
      <w:r w:rsidR="00695629">
        <w:t xml:space="preserve">is not a material difference between </w:t>
      </w:r>
      <w:r w:rsidR="00103A85" w:rsidRPr="003E08FE">
        <w:t xml:space="preserve">our alternative estimate </w:t>
      </w:r>
      <w:r w:rsidR="00103A85">
        <w:t>and</w:t>
      </w:r>
      <w:r w:rsidR="00103A85" w:rsidRPr="003E08FE">
        <w:t xml:space="preserve"> </w:t>
      </w:r>
      <w:r w:rsidR="00103A85">
        <w:t>AGN</w:t>
      </w:r>
      <w:r w:rsidR="00103A85" w:rsidRPr="003E08FE">
        <w:t>'s proposal</w:t>
      </w:r>
      <w:r w:rsidRPr="00632E71">
        <w:t>.</w:t>
      </w:r>
      <w:r w:rsidRPr="00632E71">
        <w:rPr>
          <w:rStyle w:val="FootnoteReference"/>
        </w:rPr>
        <w:footnoteReference w:id="22"/>
      </w:r>
    </w:p>
    <w:p w:rsidR="004244A0" w:rsidRDefault="008D38DF" w:rsidP="00850F8F">
      <w:r>
        <w:fldChar w:fldCharType="begin"/>
      </w:r>
      <w:r>
        <w:instrText xml:space="preserve"> REF _Ref485390591 \h </w:instrText>
      </w:r>
      <w:r>
        <w:fldChar w:fldCharType="separate"/>
      </w:r>
      <w:r w:rsidR="008E59D4">
        <w:t xml:space="preserve">Table </w:t>
      </w:r>
      <w:r w:rsidR="008E59D4">
        <w:rPr>
          <w:noProof/>
        </w:rPr>
        <w:t>7</w:t>
      </w:r>
      <w:r w:rsidR="008E59D4">
        <w:t>.</w:t>
      </w:r>
      <w:r w:rsidR="008E59D4">
        <w:rPr>
          <w:noProof/>
        </w:rPr>
        <w:t>2</w:t>
      </w:r>
      <w:r>
        <w:fldChar w:fldCharType="end"/>
      </w:r>
      <w:r>
        <w:t xml:space="preserve"> </w:t>
      </w:r>
      <w:r w:rsidR="00A33DF5">
        <w:t>compares</w:t>
      </w:r>
      <w:r w:rsidR="00A33DF5" w:rsidRPr="003E08FE">
        <w:t xml:space="preserve"> the </w:t>
      </w:r>
      <w:r w:rsidR="00A33DF5">
        <w:t xml:space="preserve">differences between </w:t>
      </w:r>
      <w:r w:rsidR="00FE4763">
        <w:t xml:space="preserve">the components of </w:t>
      </w:r>
      <w:r w:rsidR="00A33DF5" w:rsidRPr="003E08FE">
        <w:t xml:space="preserve">our alternative estimate </w:t>
      </w:r>
      <w:r w:rsidR="00A33DF5">
        <w:t>and</w:t>
      </w:r>
      <w:r w:rsidR="00A33DF5" w:rsidRPr="003E08FE">
        <w:t xml:space="preserve"> </w:t>
      </w:r>
      <w:r w:rsidR="00A33DF5">
        <w:t>AGN</w:t>
      </w:r>
      <w:r w:rsidR="00A33DF5" w:rsidRPr="003E08FE">
        <w:t>'s proposal</w:t>
      </w:r>
      <w:r w:rsidR="00C66302">
        <w:t>.</w:t>
      </w:r>
      <w:r w:rsidR="00B2266F">
        <w:t xml:space="preserve"> </w:t>
      </w:r>
      <w:r w:rsidR="00C66302">
        <w:t>W</w:t>
      </w:r>
      <w:r w:rsidR="00A33DF5" w:rsidRPr="003E08FE">
        <w:t>hile the components of our forecast</w:t>
      </w:r>
      <w:r w:rsidR="00FE4763">
        <w:t>s</w:t>
      </w:r>
      <w:r w:rsidR="00A33DF5" w:rsidRPr="003E08FE">
        <w:t xml:space="preserve"> are different, the differences </w:t>
      </w:r>
      <w:r w:rsidR="00A33DF5">
        <w:t xml:space="preserve">broadly </w:t>
      </w:r>
      <w:r w:rsidR="00A33DF5" w:rsidRPr="003E08FE">
        <w:t>offset each other s</w:t>
      </w:r>
      <w:r w:rsidR="00A33DF5">
        <w:t>uch</w:t>
      </w:r>
      <w:r w:rsidR="00A33DF5" w:rsidRPr="003E08FE">
        <w:t xml:space="preserve"> that </w:t>
      </w:r>
      <w:r w:rsidR="00C263A9">
        <w:t>our</w:t>
      </w:r>
      <w:r w:rsidR="00C263A9" w:rsidRPr="003E08FE">
        <w:t xml:space="preserve"> </w:t>
      </w:r>
      <w:r w:rsidR="00A33DF5" w:rsidRPr="003E08FE">
        <w:t xml:space="preserve">total opex forecasts are </w:t>
      </w:r>
      <w:r w:rsidR="00A33DF5">
        <w:t>not materially different</w:t>
      </w:r>
      <w:r w:rsidR="00A33DF5" w:rsidRPr="003E08FE">
        <w:t xml:space="preserve">. </w:t>
      </w:r>
      <w:r w:rsidR="00E0023B">
        <w:t xml:space="preserve">In particular, </w:t>
      </w:r>
      <w:r w:rsidR="0062109C">
        <w:t xml:space="preserve">when arriving at our alternative estimate, </w:t>
      </w:r>
      <w:r w:rsidR="00E0023B">
        <w:t xml:space="preserve">we did not </w:t>
      </w:r>
      <w:r w:rsidR="0062109C">
        <w:t xml:space="preserve">include </w:t>
      </w:r>
      <w:r w:rsidR="00CC3A61">
        <w:t xml:space="preserve">AGN's </w:t>
      </w:r>
      <w:r w:rsidR="00E0023B">
        <w:t>proposed marketing step change</w:t>
      </w:r>
      <w:r w:rsidR="007D38C2">
        <w:t xml:space="preserve"> and our category specific forecast for debt raising costs was</w:t>
      </w:r>
      <w:r w:rsidR="007E5A6B">
        <w:t xml:space="preserve"> slightly</w:t>
      </w:r>
      <w:r w:rsidR="007D38C2">
        <w:t xml:space="preserve"> lower</w:t>
      </w:r>
      <w:r w:rsidR="00B2266F">
        <w:t>—</w:t>
      </w:r>
      <w:r w:rsidR="007D38C2">
        <w:t xml:space="preserve">both of </w:t>
      </w:r>
      <w:r w:rsidR="00CC3A61">
        <w:t xml:space="preserve">which reduced </w:t>
      </w:r>
      <w:r w:rsidR="0062109C">
        <w:t>our estimate</w:t>
      </w:r>
      <w:r w:rsidR="007D38C2">
        <w:t xml:space="preserve">. However, </w:t>
      </w:r>
      <w:r w:rsidR="00C263A9">
        <w:t xml:space="preserve">we </w:t>
      </w:r>
      <w:r w:rsidR="00FE4763">
        <w:t xml:space="preserve">included a different estimate of </w:t>
      </w:r>
      <w:r w:rsidR="003313C7">
        <w:t>AGN's final year opex</w:t>
      </w:r>
      <w:r w:rsidR="00C263A9">
        <w:t xml:space="preserve">, </w:t>
      </w:r>
      <w:r w:rsidR="003313C7">
        <w:t xml:space="preserve">which increased </w:t>
      </w:r>
      <w:r w:rsidR="0062109C">
        <w:t xml:space="preserve">our </w:t>
      </w:r>
      <w:r w:rsidR="00FE4763">
        <w:t>total opex forecast</w:t>
      </w:r>
      <w:r w:rsidR="00B2266F">
        <w:t xml:space="preserve"> by a similar magnitude</w:t>
      </w:r>
      <w:r w:rsidR="003313C7">
        <w:t xml:space="preserve">. </w:t>
      </w:r>
    </w:p>
    <w:p w:rsidR="004244A0" w:rsidRDefault="004244A0">
      <w:pPr>
        <w:spacing w:line="240" w:lineRule="auto"/>
      </w:pPr>
      <w:r>
        <w:br w:type="page"/>
      </w:r>
    </w:p>
    <w:p w:rsidR="00605853" w:rsidRPr="00ED08EA" w:rsidRDefault="00605853" w:rsidP="00605853">
      <w:pPr>
        <w:pStyle w:val="Caption"/>
      </w:pPr>
      <w:bookmarkStart w:id="89" w:name="_Ref485390591"/>
      <w:proofErr w:type="gramStart"/>
      <w:r>
        <w:t xml:space="preserve">Table </w:t>
      </w:r>
      <w:proofErr w:type="gramEnd"/>
      <w:r w:rsidR="008E0D00">
        <w:fldChar w:fldCharType="begin"/>
      </w:r>
      <w:r w:rsidR="008E0D00">
        <w:instrText xml:space="preserve"> STYLEREF 1 \s </w:instrText>
      </w:r>
      <w:r w:rsidR="008E0D00">
        <w:fldChar w:fldCharType="separate"/>
      </w:r>
      <w:r w:rsidR="008E59D4">
        <w:rPr>
          <w:noProof/>
        </w:rPr>
        <w:t>7</w:t>
      </w:r>
      <w:r w:rsidR="008E0D00">
        <w:rPr>
          <w:noProof/>
        </w:rPr>
        <w:fldChar w:fldCharType="end"/>
      </w:r>
      <w:proofErr w:type="gramStart"/>
      <w:r>
        <w:t>.</w:t>
      </w:r>
      <w:proofErr w:type="gramEnd"/>
      <w:r w:rsidRPr="00605853">
        <w:fldChar w:fldCharType="begin"/>
      </w:r>
      <w:r>
        <w:instrText xml:space="preserve"> SEQ Table \* ARABIC \s 1 </w:instrText>
      </w:r>
      <w:r w:rsidRPr="00605853">
        <w:fldChar w:fldCharType="separate"/>
      </w:r>
      <w:r w:rsidR="008E59D4">
        <w:rPr>
          <w:noProof/>
        </w:rPr>
        <w:t>2</w:t>
      </w:r>
      <w:r w:rsidRPr="00605853">
        <w:fldChar w:fldCharType="end"/>
      </w:r>
      <w:bookmarkEnd w:id="89"/>
      <w:r>
        <w:tab/>
        <w:t>Our alternative estimate</w:t>
      </w:r>
      <w:r w:rsidR="008D38DF">
        <w:t xml:space="preserve"> compared to AGN's proposal </w:t>
      </w:r>
      <w:r w:rsidR="008D38DF">
        <w:br/>
        <w:t>($</w:t>
      </w:r>
      <w:r w:rsidR="00FA22AA">
        <w:t xml:space="preserve"> </w:t>
      </w:r>
      <w:r>
        <w:t>million, 2017)</w:t>
      </w:r>
    </w:p>
    <w:tbl>
      <w:tblPr>
        <w:tblStyle w:val="AERtable-numbers"/>
        <w:tblW w:w="0" w:type="auto"/>
        <w:tblLook w:val="04A0" w:firstRow="1" w:lastRow="0" w:firstColumn="1" w:lastColumn="0" w:noHBand="0" w:noVBand="1"/>
      </w:tblPr>
      <w:tblGrid>
        <w:gridCol w:w="2965"/>
        <w:gridCol w:w="1939"/>
        <w:gridCol w:w="1975"/>
        <w:gridCol w:w="1814"/>
      </w:tblGrid>
      <w:tr w:rsidR="00605853" w:rsidRPr="00B1577E" w:rsidTr="006058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rsidR="00605853" w:rsidRPr="00B1577E" w:rsidRDefault="00605853" w:rsidP="00605853"/>
        </w:tc>
        <w:tc>
          <w:tcPr>
            <w:tcW w:w="1939" w:type="dxa"/>
          </w:tcPr>
          <w:p w:rsidR="00605853" w:rsidRPr="00605853" w:rsidRDefault="00605853" w:rsidP="00605853">
            <w:pPr>
              <w:cnfStyle w:val="100000000000" w:firstRow="1" w:lastRow="0" w:firstColumn="0" w:lastColumn="0" w:oddVBand="0" w:evenVBand="0" w:oddHBand="0" w:evenHBand="0" w:firstRowFirstColumn="0" w:firstRowLastColumn="0" w:lastRowFirstColumn="0" w:lastRowLastColumn="0"/>
            </w:pPr>
            <w:r>
              <w:t>AGN</w:t>
            </w:r>
          </w:p>
        </w:tc>
        <w:tc>
          <w:tcPr>
            <w:tcW w:w="1975" w:type="dxa"/>
          </w:tcPr>
          <w:p w:rsidR="00605853" w:rsidRPr="00605853" w:rsidRDefault="00605853" w:rsidP="00605853">
            <w:pPr>
              <w:cnfStyle w:val="100000000000" w:firstRow="1" w:lastRow="0" w:firstColumn="0" w:lastColumn="0" w:oddVBand="0" w:evenVBand="0" w:oddHBand="0" w:evenHBand="0" w:firstRowFirstColumn="0" w:firstRowLastColumn="0" w:lastRowFirstColumn="0" w:lastRowLastColumn="0"/>
            </w:pPr>
            <w:r>
              <w:t xml:space="preserve">Our </w:t>
            </w:r>
            <w:r w:rsidRPr="00605853">
              <w:t>alternative estimate</w:t>
            </w:r>
          </w:p>
        </w:tc>
        <w:tc>
          <w:tcPr>
            <w:tcW w:w="1814" w:type="dxa"/>
          </w:tcPr>
          <w:p w:rsidR="00605853" w:rsidRPr="00605853" w:rsidRDefault="00605853" w:rsidP="00605853">
            <w:pPr>
              <w:cnfStyle w:val="100000000000" w:firstRow="1" w:lastRow="0" w:firstColumn="0" w:lastColumn="0" w:oddVBand="0" w:evenVBand="0" w:oddHBand="0" w:evenHBand="0" w:firstRowFirstColumn="0" w:firstRowLastColumn="0" w:lastRowFirstColumn="0" w:lastRowLastColumn="0"/>
            </w:pPr>
            <w:r>
              <w:t>Difference</w:t>
            </w:r>
          </w:p>
        </w:tc>
      </w:tr>
      <w:tr w:rsidR="00233169" w:rsidRPr="00B1577E" w:rsidTr="006C79DD">
        <w:tc>
          <w:tcPr>
            <w:cnfStyle w:val="001000000000" w:firstRow="0" w:lastRow="0" w:firstColumn="1" w:lastColumn="0" w:oddVBand="0" w:evenVBand="0" w:oddHBand="0" w:evenHBand="0" w:firstRowFirstColumn="0" w:firstRowLastColumn="0" w:lastRowFirstColumn="0" w:lastRowLastColumn="0"/>
            <w:tcW w:w="2965" w:type="dxa"/>
          </w:tcPr>
          <w:p w:rsidR="00233169" w:rsidRPr="00233169" w:rsidRDefault="00233169" w:rsidP="00233169">
            <w:r w:rsidRPr="00233169">
              <w:t>Base opex</w:t>
            </w:r>
          </w:p>
        </w:tc>
        <w:tc>
          <w:tcPr>
            <w:tcW w:w="1939" w:type="dxa"/>
          </w:tcPr>
          <w:p w:rsidR="00233169" w:rsidRPr="00233169" w:rsidRDefault="00233169" w:rsidP="00233169">
            <w:pPr>
              <w:cnfStyle w:val="000000000000" w:firstRow="0" w:lastRow="0" w:firstColumn="0" w:lastColumn="0" w:oddVBand="0" w:evenVBand="0" w:oddHBand="0" w:evenHBand="0" w:firstRowFirstColumn="0" w:firstRowLastColumn="0" w:lastRowFirstColumn="0" w:lastRowLastColumn="0"/>
            </w:pPr>
            <w:r w:rsidRPr="00233169">
              <w:t>322.2</w:t>
            </w:r>
          </w:p>
        </w:tc>
        <w:tc>
          <w:tcPr>
            <w:tcW w:w="1975" w:type="dxa"/>
          </w:tcPr>
          <w:p w:rsidR="00233169" w:rsidRPr="00233169" w:rsidRDefault="00233169" w:rsidP="00233169">
            <w:pPr>
              <w:cnfStyle w:val="000000000000" w:firstRow="0" w:lastRow="0" w:firstColumn="0" w:lastColumn="0" w:oddVBand="0" w:evenVBand="0" w:oddHBand="0" w:evenHBand="0" w:firstRowFirstColumn="0" w:firstRowLastColumn="0" w:lastRowFirstColumn="0" w:lastRowLastColumn="0"/>
            </w:pPr>
            <w:r w:rsidRPr="00233169">
              <w:t>324</w:t>
            </w:r>
            <w:r>
              <w:t>.0</w:t>
            </w:r>
          </w:p>
        </w:tc>
        <w:tc>
          <w:tcPr>
            <w:tcW w:w="1814" w:type="dxa"/>
          </w:tcPr>
          <w:p w:rsidR="00233169" w:rsidRPr="00233169" w:rsidRDefault="00233169" w:rsidP="00233169">
            <w:pPr>
              <w:cnfStyle w:val="000000000000" w:firstRow="0" w:lastRow="0" w:firstColumn="0" w:lastColumn="0" w:oddVBand="0" w:evenVBand="0" w:oddHBand="0" w:evenHBand="0" w:firstRowFirstColumn="0" w:firstRowLastColumn="0" w:lastRowFirstColumn="0" w:lastRowLastColumn="0"/>
            </w:pPr>
            <w:r w:rsidRPr="00233169">
              <w:t>1.8</w:t>
            </w:r>
          </w:p>
        </w:tc>
      </w:tr>
      <w:tr w:rsidR="00233169" w:rsidRPr="00B1577E" w:rsidTr="006C79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rsidR="00233169" w:rsidRPr="00233169" w:rsidRDefault="00FE2784" w:rsidP="00233169">
            <w:r>
              <w:t>2017</w:t>
            </w:r>
            <w:r w:rsidR="00233169" w:rsidRPr="00233169">
              <w:t xml:space="preserve"> increment</w:t>
            </w:r>
          </w:p>
        </w:tc>
        <w:tc>
          <w:tcPr>
            <w:tcW w:w="1939" w:type="dxa"/>
          </w:tcPr>
          <w:p w:rsidR="00233169" w:rsidRPr="00233169" w:rsidRDefault="00233169" w:rsidP="00233169">
            <w:pPr>
              <w:cnfStyle w:val="000000010000" w:firstRow="0" w:lastRow="0" w:firstColumn="0" w:lastColumn="0" w:oddVBand="0" w:evenVBand="0" w:oddHBand="0" w:evenHBand="1" w:firstRowFirstColumn="0" w:firstRowLastColumn="0" w:lastRowFirstColumn="0" w:lastRowLastColumn="0"/>
            </w:pPr>
            <w:r w:rsidRPr="00233169">
              <w:t>1.6</w:t>
            </w:r>
          </w:p>
        </w:tc>
        <w:tc>
          <w:tcPr>
            <w:tcW w:w="1975" w:type="dxa"/>
          </w:tcPr>
          <w:p w:rsidR="00233169" w:rsidRPr="00233169" w:rsidRDefault="00233169" w:rsidP="00233169">
            <w:pPr>
              <w:cnfStyle w:val="000000010000" w:firstRow="0" w:lastRow="0" w:firstColumn="0" w:lastColumn="0" w:oddVBand="0" w:evenVBand="0" w:oddHBand="0" w:evenHBand="1" w:firstRowFirstColumn="0" w:firstRowLastColumn="0" w:lastRowFirstColumn="0" w:lastRowLastColumn="0"/>
            </w:pPr>
            <w:r w:rsidRPr="00233169">
              <w:t>5.6</w:t>
            </w:r>
          </w:p>
        </w:tc>
        <w:tc>
          <w:tcPr>
            <w:tcW w:w="1814" w:type="dxa"/>
          </w:tcPr>
          <w:p w:rsidR="00233169" w:rsidRPr="00233169" w:rsidRDefault="00233169" w:rsidP="00233169">
            <w:pPr>
              <w:cnfStyle w:val="000000010000" w:firstRow="0" w:lastRow="0" w:firstColumn="0" w:lastColumn="0" w:oddVBand="0" w:evenVBand="0" w:oddHBand="0" w:evenHBand="1" w:firstRowFirstColumn="0" w:firstRowLastColumn="0" w:lastRowFirstColumn="0" w:lastRowLastColumn="0"/>
            </w:pPr>
            <w:r w:rsidRPr="00233169">
              <w:t>4</w:t>
            </w:r>
            <w:r w:rsidR="002039B6">
              <w:t>.0</w:t>
            </w:r>
          </w:p>
        </w:tc>
      </w:tr>
      <w:tr w:rsidR="00233169" w:rsidRPr="00B1577E" w:rsidTr="006C79DD">
        <w:tc>
          <w:tcPr>
            <w:cnfStyle w:val="001000000000" w:firstRow="0" w:lastRow="0" w:firstColumn="1" w:lastColumn="0" w:oddVBand="0" w:evenVBand="0" w:oddHBand="0" w:evenHBand="0" w:firstRowFirstColumn="0" w:firstRowLastColumn="0" w:lastRowFirstColumn="0" w:lastRowLastColumn="0"/>
            <w:tcW w:w="2965" w:type="dxa"/>
          </w:tcPr>
          <w:p w:rsidR="00233169" w:rsidRPr="00233169" w:rsidRDefault="00233169" w:rsidP="00233169">
            <w:r w:rsidRPr="00233169">
              <w:t>Price growth</w:t>
            </w:r>
          </w:p>
        </w:tc>
        <w:tc>
          <w:tcPr>
            <w:tcW w:w="1939" w:type="dxa"/>
          </w:tcPr>
          <w:p w:rsidR="00233169" w:rsidRPr="00233169" w:rsidRDefault="00233169" w:rsidP="00233169">
            <w:pPr>
              <w:cnfStyle w:val="000000000000" w:firstRow="0" w:lastRow="0" w:firstColumn="0" w:lastColumn="0" w:oddVBand="0" w:evenVBand="0" w:oddHBand="0" w:evenHBand="0" w:firstRowFirstColumn="0" w:firstRowLastColumn="0" w:lastRowFirstColumn="0" w:lastRowLastColumn="0"/>
            </w:pPr>
            <w:r w:rsidRPr="00233169">
              <w:t>6.4</w:t>
            </w:r>
          </w:p>
        </w:tc>
        <w:tc>
          <w:tcPr>
            <w:tcW w:w="1975" w:type="dxa"/>
          </w:tcPr>
          <w:p w:rsidR="00233169" w:rsidRPr="00233169" w:rsidRDefault="00233169" w:rsidP="00026EF5">
            <w:pPr>
              <w:cnfStyle w:val="000000000000" w:firstRow="0" w:lastRow="0" w:firstColumn="0" w:lastColumn="0" w:oddVBand="0" w:evenVBand="0" w:oddHBand="0" w:evenHBand="0" w:firstRowFirstColumn="0" w:firstRowLastColumn="0" w:lastRowFirstColumn="0" w:lastRowLastColumn="0"/>
            </w:pPr>
            <w:r w:rsidRPr="00233169">
              <w:t>6.</w:t>
            </w:r>
            <w:r w:rsidR="00026EF5">
              <w:t>3</w:t>
            </w:r>
          </w:p>
        </w:tc>
        <w:tc>
          <w:tcPr>
            <w:tcW w:w="1814" w:type="dxa"/>
          </w:tcPr>
          <w:p w:rsidR="00233169" w:rsidRPr="00233169" w:rsidRDefault="002039B6" w:rsidP="00FE2784">
            <w:pPr>
              <w:cnfStyle w:val="000000000000" w:firstRow="0" w:lastRow="0" w:firstColumn="0" w:lastColumn="0" w:oddVBand="0" w:evenVBand="0" w:oddHBand="0" w:evenHBand="0" w:firstRowFirstColumn="0" w:firstRowLastColumn="0" w:lastRowFirstColumn="0" w:lastRowLastColumn="0"/>
            </w:pPr>
            <w:r>
              <w:t>–</w:t>
            </w:r>
            <w:r w:rsidR="00233169" w:rsidRPr="00233169">
              <w:t>0.</w:t>
            </w:r>
            <w:r w:rsidR="00FE2784">
              <w:t>1</w:t>
            </w:r>
          </w:p>
        </w:tc>
      </w:tr>
      <w:tr w:rsidR="00233169" w:rsidRPr="00B1577E" w:rsidTr="006C79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rsidR="00233169" w:rsidRPr="00233169" w:rsidRDefault="00233169" w:rsidP="00233169">
            <w:r w:rsidRPr="00233169">
              <w:t xml:space="preserve">Output </w:t>
            </w:r>
            <w:r w:rsidR="00FE2784">
              <w:t xml:space="preserve">and productivity </w:t>
            </w:r>
            <w:r w:rsidRPr="00233169">
              <w:t>growth</w:t>
            </w:r>
          </w:p>
        </w:tc>
        <w:tc>
          <w:tcPr>
            <w:tcW w:w="1939" w:type="dxa"/>
          </w:tcPr>
          <w:p w:rsidR="00233169" w:rsidRPr="00233169" w:rsidRDefault="00233169" w:rsidP="00233169">
            <w:pPr>
              <w:cnfStyle w:val="000000010000" w:firstRow="0" w:lastRow="0" w:firstColumn="0" w:lastColumn="0" w:oddVBand="0" w:evenVBand="0" w:oddHBand="0" w:evenHBand="1" w:firstRowFirstColumn="0" w:firstRowLastColumn="0" w:lastRowFirstColumn="0" w:lastRowLastColumn="0"/>
            </w:pPr>
            <w:r w:rsidRPr="00233169">
              <w:t>4</w:t>
            </w:r>
            <w:r w:rsidR="00026EF5">
              <w:t>.0</w:t>
            </w:r>
          </w:p>
        </w:tc>
        <w:tc>
          <w:tcPr>
            <w:tcW w:w="1975" w:type="dxa"/>
          </w:tcPr>
          <w:p w:rsidR="00233169" w:rsidRPr="00233169" w:rsidRDefault="00026EF5" w:rsidP="00504FB9">
            <w:pPr>
              <w:cnfStyle w:val="000000010000" w:firstRow="0" w:lastRow="0" w:firstColumn="0" w:lastColumn="0" w:oddVBand="0" w:evenVBand="0" w:oddHBand="0" w:evenHBand="1" w:firstRowFirstColumn="0" w:firstRowLastColumn="0" w:lastRowFirstColumn="0" w:lastRowLastColumn="0"/>
            </w:pPr>
            <w:r>
              <w:t>4.</w:t>
            </w:r>
            <w:r w:rsidR="00504FB9">
              <w:t>0</w:t>
            </w:r>
          </w:p>
        </w:tc>
        <w:tc>
          <w:tcPr>
            <w:tcW w:w="1814" w:type="dxa"/>
          </w:tcPr>
          <w:p w:rsidR="00233169" w:rsidRPr="00233169" w:rsidRDefault="00504FB9" w:rsidP="00504FB9">
            <w:pPr>
              <w:cnfStyle w:val="000000010000" w:firstRow="0" w:lastRow="0" w:firstColumn="0" w:lastColumn="0" w:oddVBand="0" w:evenVBand="0" w:oddHBand="0" w:evenHBand="1" w:firstRowFirstColumn="0" w:firstRowLastColumn="0" w:lastRowFirstColumn="0" w:lastRowLastColumn="0"/>
            </w:pPr>
            <w:r>
              <w:t>–</w:t>
            </w:r>
          </w:p>
        </w:tc>
      </w:tr>
      <w:tr w:rsidR="00233169" w:rsidRPr="00B1577E" w:rsidTr="006C79DD">
        <w:tc>
          <w:tcPr>
            <w:cnfStyle w:val="001000000000" w:firstRow="0" w:lastRow="0" w:firstColumn="1" w:lastColumn="0" w:oddVBand="0" w:evenVBand="0" w:oddHBand="0" w:evenHBand="0" w:firstRowFirstColumn="0" w:firstRowLastColumn="0" w:lastRowFirstColumn="0" w:lastRowLastColumn="0"/>
            <w:tcW w:w="2965" w:type="dxa"/>
          </w:tcPr>
          <w:p w:rsidR="00233169" w:rsidRPr="00233169" w:rsidRDefault="00233169" w:rsidP="00233169">
            <w:r w:rsidRPr="00233169">
              <w:t>Step changes</w:t>
            </w:r>
          </w:p>
        </w:tc>
        <w:tc>
          <w:tcPr>
            <w:tcW w:w="1939" w:type="dxa"/>
          </w:tcPr>
          <w:p w:rsidR="00233169" w:rsidRPr="00233169" w:rsidRDefault="00233169" w:rsidP="0018057F">
            <w:pPr>
              <w:cnfStyle w:val="000000000000" w:firstRow="0" w:lastRow="0" w:firstColumn="0" w:lastColumn="0" w:oddVBand="0" w:evenVBand="0" w:oddHBand="0" w:evenHBand="0" w:firstRowFirstColumn="0" w:firstRowLastColumn="0" w:lastRowFirstColumn="0" w:lastRowLastColumn="0"/>
            </w:pPr>
            <w:r w:rsidRPr="00233169">
              <w:t>5.</w:t>
            </w:r>
            <w:r w:rsidR="0018057F">
              <w:t>1</w:t>
            </w:r>
          </w:p>
        </w:tc>
        <w:tc>
          <w:tcPr>
            <w:tcW w:w="1975" w:type="dxa"/>
          </w:tcPr>
          <w:p w:rsidR="00233169" w:rsidRPr="00233169" w:rsidRDefault="00AC24DA" w:rsidP="00233169">
            <w:pPr>
              <w:cnfStyle w:val="000000000000" w:firstRow="0" w:lastRow="0" w:firstColumn="0" w:lastColumn="0" w:oddVBand="0" w:evenVBand="0" w:oddHBand="0" w:evenHBand="0" w:firstRowFirstColumn="0" w:firstRowLastColumn="0" w:lastRowFirstColumn="0" w:lastRowLastColumn="0"/>
            </w:pPr>
            <w:r>
              <w:t>–</w:t>
            </w:r>
          </w:p>
        </w:tc>
        <w:tc>
          <w:tcPr>
            <w:tcW w:w="1814" w:type="dxa"/>
          </w:tcPr>
          <w:p w:rsidR="00233169" w:rsidRPr="00233169" w:rsidRDefault="002039B6" w:rsidP="0018057F">
            <w:pPr>
              <w:cnfStyle w:val="000000000000" w:firstRow="0" w:lastRow="0" w:firstColumn="0" w:lastColumn="0" w:oddVBand="0" w:evenVBand="0" w:oddHBand="0" w:evenHBand="0" w:firstRowFirstColumn="0" w:firstRowLastColumn="0" w:lastRowFirstColumn="0" w:lastRowLastColumn="0"/>
            </w:pPr>
            <w:r>
              <w:t>–</w:t>
            </w:r>
            <w:r w:rsidR="00233169" w:rsidRPr="00233169">
              <w:t>5.</w:t>
            </w:r>
            <w:r w:rsidR="0018057F">
              <w:t>1</w:t>
            </w:r>
          </w:p>
        </w:tc>
      </w:tr>
      <w:tr w:rsidR="00233169" w:rsidRPr="00242204" w:rsidTr="006C79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rsidR="00233169" w:rsidRPr="00233169" w:rsidRDefault="00233169" w:rsidP="00233169">
            <w:r w:rsidRPr="00233169">
              <w:t>Category specific forecasts</w:t>
            </w:r>
          </w:p>
        </w:tc>
        <w:tc>
          <w:tcPr>
            <w:tcW w:w="1939" w:type="dxa"/>
          </w:tcPr>
          <w:p w:rsidR="00233169" w:rsidRPr="00233169" w:rsidRDefault="00233169" w:rsidP="00233169">
            <w:pPr>
              <w:cnfStyle w:val="000000010000" w:firstRow="0" w:lastRow="0" w:firstColumn="0" w:lastColumn="0" w:oddVBand="0" w:evenVBand="0" w:oddHBand="0" w:evenHBand="1" w:firstRowFirstColumn="0" w:firstRowLastColumn="0" w:lastRowFirstColumn="0" w:lastRowLastColumn="0"/>
            </w:pPr>
            <w:r w:rsidRPr="00233169">
              <w:t>4.8</w:t>
            </w:r>
          </w:p>
        </w:tc>
        <w:tc>
          <w:tcPr>
            <w:tcW w:w="1975" w:type="dxa"/>
          </w:tcPr>
          <w:p w:rsidR="00233169" w:rsidRPr="00233169" w:rsidRDefault="00233169" w:rsidP="002824D3">
            <w:pPr>
              <w:cnfStyle w:val="000000010000" w:firstRow="0" w:lastRow="0" w:firstColumn="0" w:lastColumn="0" w:oddVBand="0" w:evenVBand="0" w:oddHBand="0" w:evenHBand="1" w:firstRowFirstColumn="0" w:firstRowLastColumn="0" w:lastRowFirstColumn="0" w:lastRowLastColumn="0"/>
            </w:pPr>
            <w:r w:rsidRPr="00233169">
              <w:t>4.</w:t>
            </w:r>
            <w:r w:rsidR="002824D3">
              <w:t>1</w:t>
            </w:r>
          </w:p>
        </w:tc>
        <w:tc>
          <w:tcPr>
            <w:tcW w:w="1814" w:type="dxa"/>
          </w:tcPr>
          <w:p w:rsidR="00233169" w:rsidRPr="00233169" w:rsidRDefault="00AC24DA" w:rsidP="00233169">
            <w:pPr>
              <w:cnfStyle w:val="000000010000" w:firstRow="0" w:lastRow="0" w:firstColumn="0" w:lastColumn="0" w:oddVBand="0" w:evenVBand="0" w:oddHBand="0" w:evenHBand="1" w:firstRowFirstColumn="0" w:firstRowLastColumn="0" w:lastRowFirstColumn="0" w:lastRowLastColumn="0"/>
            </w:pPr>
            <w:r>
              <w:t>–</w:t>
            </w:r>
            <w:r w:rsidR="002824D3">
              <w:t>0.6</w:t>
            </w:r>
          </w:p>
        </w:tc>
      </w:tr>
      <w:tr w:rsidR="00233169" w:rsidRPr="002A5633" w:rsidTr="006C79DD">
        <w:tc>
          <w:tcPr>
            <w:cnfStyle w:val="001000000000" w:firstRow="0" w:lastRow="0" w:firstColumn="1" w:lastColumn="0" w:oddVBand="0" w:evenVBand="0" w:oddHBand="0" w:evenHBand="0" w:firstRowFirstColumn="0" w:firstRowLastColumn="0" w:lastRowFirstColumn="0" w:lastRowLastColumn="0"/>
            <w:tcW w:w="2965" w:type="dxa"/>
          </w:tcPr>
          <w:p w:rsidR="00233169" w:rsidRPr="00233169" w:rsidRDefault="00233169" w:rsidP="00233169">
            <w:pPr>
              <w:rPr>
                <w:rStyle w:val="Strong"/>
              </w:rPr>
            </w:pPr>
            <w:r w:rsidRPr="00233169">
              <w:rPr>
                <w:rStyle w:val="Strong"/>
              </w:rPr>
              <w:t>Total opex</w:t>
            </w:r>
          </w:p>
        </w:tc>
        <w:tc>
          <w:tcPr>
            <w:tcW w:w="1939" w:type="dxa"/>
          </w:tcPr>
          <w:p w:rsidR="00233169" w:rsidRPr="00233169" w:rsidRDefault="00233169" w:rsidP="00026EF5">
            <w:pPr>
              <w:cnfStyle w:val="000000000000" w:firstRow="0" w:lastRow="0" w:firstColumn="0" w:lastColumn="0" w:oddVBand="0" w:evenVBand="0" w:oddHBand="0" w:evenHBand="0" w:firstRowFirstColumn="0" w:firstRowLastColumn="0" w:lastRowFirstColumn="0" w:lastRowLastColumn="0"/>
              <w:rPr>
                <w:rStyle w:val="Strong"/>
              </w:rPr>
            </w:pPr>
            <w:r w:rsidRPr="00233169">
              <w:rPr>
                <w:rStyle w:val="Strong"/>
              </w:rPr>
              <w:t>344.</w:t>
            </w:r>
            <w:r w:rsidR="00026EF5">
              <w:rPr>
                <w:rStyle w:val="Strong"/>
              </w:rPr>
              <w:t>0</w:t>
            </w:r>
          </w:p>
        </w:tc>
        <w:tc>
          <w:tcPr>
            <w:tcW w:w="1975" w:type="dxa"/>
          </w:tcPr>
          <w:p w:rsidR="00233169" w:rsidRPr="00233169" w:rsidRDefault="002824D3" w:rsidP="00504FB9">
            <w:pPr>
              <w:cnfStyle w:val="000000000000" w:firstRow="0" w:lastRow="0" w:firstColumn="0" w:lastColumn="0" w:oddVBand="0" w:evenVBand="0" w:oddHBand="0" w:evenHBand="0" w:firstRowFirstColumn="0" w:firstRowLastColumn="0" w:lastRowFirstColumn="0" w:lastRowLastColumn="0"/>
              <w:rPr>
                <w:rStyle w:val="Strong"/>
              </w:rPr>
            </w:pPr>
            <w:r>
              <w:rPr>
                <w:rStyle w:val="Strong"/>
              </w:rPr>
              <w:t>344.</w:t>
            </w:r>
            <w:r w:rsidR="00504FB9">
              <w:rPr>
                <w:rStyle w:val="Strong"/>
              </w:rPr>
              <w:t>0</w:t>
            </w:r>
          </w:p>
        </w:tc>
        <w:tc>
          <w:tcPr>
            <w:tcW w:w="1814" w:type="dxa"/>
          </w:tcPr>
          <w:p w:rsidR="00233169" w:rsidRPr="00233169" w:rsidRDefault="00504FB9" w:rsidP="00026EF5">
            <w:pPr>
              <w:cnfStyle w:val="000000000000" w:firstRow="0" w:lastRow="0" w:firstColumn="0" w:lastColumn="0" w:oddVBand="0" w:evenVBand="0" w:oddHBand="0" w:evenHBand="0" w:firstRowFirstColumn="0" w:firstRowLastColumn="0" w:lastRowFirstColumn="0" w:lastRowLastColumn="0"/>
              <w:rPr>
                <w:rStyle w:val="Strong"/>
              </w:rPr>
            </w:pPr>
            <w:r>
              <w:rPr>
                <w:rStyle w:val="Strong"/>
              </w:rPr>
              <w:t>–</w:t>
            </w:r>
            <w:r w:rsidR="002824D3">
              <w:rPr>
                <w:rStyle w:val="Strong"/>
              </w:rPr>
              <w:t>0.</w:t>
            </w:r>
            <w:r>
              <w:rPr>
                <w:rStyle w:val="Strong"/>
              </w:rPr>
              <w:t>1</w:t>
            </w:r>
          </w:p>
        </w:tc>
      </w:tr>
    </w:tbl>
    <w:p w:rsidR="00605853" w:rsidRDefault="00605853" w:rsidP="00605853">
      <w:pPr>
        <w:pStyle w:val="Source"/>
      </w:pPr>
      <w:r>
        <w:t xml:space="preserve">Source: </w:t>
      </w:r>
      <w:r>
        <w:tab/>
        <w:t>AGN proposed opex model, AER draft decision opex model</w:t>
      </w:r>
      <w:r w:rsidR="00FE2784">
        <w:t xml:space="preserve"> (using estimated opex in 2016)</w:t>
      </w:r>
      <w:r>
        <w:t xml:space="preserve">. </w:t>
      </w:r>
    </w:p>
    <w:p w:rsidR="00605853" w:rsidRDefault="00605853" w:rsidP="00605853">
      <w:pPr>
        <w:pStyle w:val="Source"/>
      </w:pPr>
      <w:r>
        <w:t xml:space="preserve">Note: </w:t>
      </w:r>
      <w:r>
        <w:tab/>
        <w:t xml:space="preserve">Debt raising costs are included in category specific forecasts. Base opex has been adjusted for movements in </w:t>
      </w:r>
      <w:r w:rsidR="00195224">
        <w:t xml:space="preserve">  </w:t>
      </w:r>
      <w:r w:rsidR="00195224">
        <w:tab/>
      </w:r>
      <w:r w:rsidR="00195224">
        <w:tab/>
      </w:r>
      <w:r>
        <w:t>provisions. Numbers may not add due to rounding.</w:t>
      </w:r>
      <w:r w:rsidR="00CC3A61">
        <w:t xml:space="preserve"> Our base opex is slightly higher than AGN's</w:t>
      </w:r>
      <w:r w:rsidR="00D23D32">
        <w:tab/>
      </w:r>
      <w:r w:rsidR="00CC3A61">
        <w:t xml:space="preserve">because </w:t>
      </w:r>
      <w:r w:rsidR="00C263A9">
        <w:t xml:space="preserve">we </w:t>
      </w:r>
      <w:r w:rsidR="006C3455">
        <w:tab/>
      </w:r>
      <w:r w:rsidR="006C3455">
        <w:tab/>
      </w:r>
      <w:r w:rsidR="00C263A9">
        <w:t xml:space="preserve">use </w:t>
      </w:r>
      <w:r w:rsidR="00CC3A61">
        <w:t xml:space="preserve">different methods to adjust for inflation. </w:t>
      </w:r>
    </w:p>
    <w:p w:rsidR="00605853" w:rsidRDefault="00605853" w:rsidP="00605853">
      <w:r w:rsidRPr="00ED08EA">
        <w:t>We</w:t>
      </w:r>
      <w:r w:rsidR="005764DF">
        <w:t xml:space="preserve"> briefly</w:t>
      </w:r>
      <w:r w:rsidRPr="00ED08EA">
        <w:t xml:space="preserve"> </w:t>
      </w:r>
      <w:r>
        <w:t>discuss the components of our alternative estimate below</w:t>
      </w:r>
      <w:r w:rsidRPr="00ED08EA">
        <w:t>.</w:t>
      </w:r>
      <w:r>
        <w:t xml:space="preserve"> </w:t>
      </w:r>
      <w:r w:rsidR="00850F8F">
        <w:t>F</w:t>
      </w:r>
      <w:r>
        <w:t>ull details of our alternative estimate are set out in our opex model, which is available on our website.</w:t>
      </w:r>
    </w:p>
    <w:p w:rsidR="00605853" w:rsidRPr="00605853" w:rsidRDefault="00605853" w:rsidP="00605853">
      <w:pPr>
        <w:pStyle w:val="Heading3"/>
      </w:pPr>
      <w:bookmarkStart w:id="90" w:name="_Toc475028901"/>
      <w:bookmarkStart w:id="91" w:name="_Toc486832600"/>
      <w:r w:rsidRPr="00ED08EA">
        <w:t>Base opex</w:t>
      </w:r>
      <w:bookmarkEnd w:id="90"/>
      <w:bookmarkEnd w:id="91"/>
    </w:p>
    <w:p w:rsidR="00954D8B" w:rsidRDefault="00605853" w:rsidP="00E40B8E">
      <w:r w:rsidRPr="00096841">
        <w:t xml:space="preserve">We relied on </w:t>
      </w:r>
      <w:r>
        <w:t xml:space="preserve">AGN's </w:t>
      </w:r>
      <w:r w:rsidRPr="00FE2784">
        <w:rPr>
          <w:rStyle w:val="Emphasis"/>
        </w:rPr>
        <w:t>estimated</w:t>
      </w:r>
      <w:r>
        <w:t xml:space="preserve"> opex in 20</w:t>
      </w:r>
      <w:r w:rsidRPr="00096841">
        <w:t>1</w:t>
      </w:r>
      <w:r>
        <w:t>6</w:t>
      </w:r>
      <w:r w:rsidRPr="00096841">
        <w:t xml:space="preserve"> to forecast its opex over </w:t>
      </w:r>
      <w:r>
        <w:t xml:space="preserve">the </w:t>
      </w:r>
      <w:r>
        <w:br/>
        <w:t>2018</w:t>
      </w:r>
      <w:r w:rsidRPr="00096841">
        <w:t>–</w:t>
      </w:r>
      <w:r>
        <w:t>22</w:t>
      </w:r>
      <w:r w:rsidRPr="00096841">
        <w:t xml:space="preserve"> access arrangement </w:t>
      </w:r>
      <w:proofErr w:type="gramStart"/>
      <w:r w:rsidRPr="00096841">
        <w:t>period</w:t>
      </w:r>
      <w:proofErr w:type="gramEnd"/>
      <w:r w:rsidRPr="00096841">
        <w:t>.</w:t>
      </w:r>
      <w:r w:rsidR="00026EF5">
        <w:t xml:space="preserve"> </w:t>
      </w:r>
      <w:r w:rsidR="00F02BF7">
        <w:t>As noted above, o</w:t>
      </w:r>
      <w:r w:rsidR="00026EF5">
        <w:t xml:space="preserve">ur final decision will reflect </w:t>
      </w:r>
      <w:r w:rsidR="00F74F50">
        <w:t xml:space="preserve">AGN's </w:t>
      </w:r>
      <w:r w:rsidR="00F74F50">
        <w:rPr>
          <w:rStyle w:val="Emphasis"/>
        </w:rPr>
        <w:t>actual</w:t>
      </w:r>
      <w:r w:rsidR="00026EF5">
        <w:t xml:space="preserve"> opex </w:t>
      </w:r>
      <w:r w:rsidR="00F74F50">
        <w:t xml:space="preserve">in </w:t>
      </w:r>
      <w:r w:rsidR="00026EF5">
        <w:t>2016.</w:t>
      </w:r>
    </w:p>
    <w:p w:rsidR="008E27FA" w:rsidRDefault="002101BD" w:rsidP="002D37E9">
      <w:r>
        <w:t>AGN's opex was subject to the incentives of an ex ante regulatory framework</w:t>
      </w:r>
      <w:r w:rsidR="00112895">
        <w:t>,</w:t>
      </w:r>
      <w:r>
        <w:t xml:space="preserve"> including the application of an efficiency carryover mechanism in the 2013–17 period</w:t>
      </w:r>
      <w:r w:rsidR="00191B44">
        <w:t>.</w:t>
      </w:r>
      <w:r w:rsidR="00191B44" w:rsidRPr="00191B44">
        <w:t xml:space="preserve"> </w:t>
      </w:r>
      <w:r w:rsidR="00191B44" w:rsidRPr="009D6BDC">
        <w:t>Typically, where a service provider is subject to these incentives, we are satisfied there is a continuous incentive for a service provider to make efficiency gains and it does not have an incentive to increase its opex in the proposed base year.</w:t>
      </w:r>
      <w:r w:rsidR="00191B44">
        <w:t xml:space="preserve"> </w:t>
      </w:r>
      <w:r w:rsidR="00F02BF7">
        <w:t>Taking this into account, and in the absence of any evidence to the contrary, w</w:t>
      </w:r>
      <w:r w:rsidR="00E40B8E">
        <w:t>e are satisfied AGN's proposed 2016 base year reflects its year-to-year opex requirements</w:t>
      </w:r>
      <w:r w:rsidR="003313C7">
        <w:t>.</w:t>
      </w:r>
      <w:r w:rsidR="00191B44" w:rsidRPr="00191B44">
        <w:rPr>
          <w:rStyle w:val="FootnoteReference"/>
        </w:rPr>
        <w:t xml:space="preserve"> </w:t>
      </w:r>
      <w:r w:rsidR="00191B44">
        <w:rPr>
          <w:rStyle w:val="FootnoteReference"/>
        </w:rPr>
        <w:footnoteReference w:id="23"/>
      </w:r>
    </w:p>
    <w:p w:rsidR="008E27FA" w:rsidRDefault="008E27FA" w:rsidP="008E27FA">
      <w:pPr>
        <w:pStyle w:val="ListParagraph"/>
        <w:numPr>
          <w:ilvl w:val="0"/>
          <w:numId w:val="24"/>
        </w:numPr>
      </w:pPr>
      <w:r>
        <w:t xml:space="preserve">We </w:t>
      </w:r>
      <w:r w:rsidR="00995400">
        <w:t xml:space="preserve">have </w:t>
      </w:r>
      <w:r>
        <w:t xml:space="preserve">considered </w:t>
      </w:r>
      <w:r w:rsidRPr="008E27FA">
        <w:t>benchmarking undertaken by Economic Insights, which was engaged by the three Victorian gas distribution businesses to assess the efficiency of their base year expenditure.</w:t>
      </w:r>
      <w:r w:rsidRPr="009D6BDC">
        <w:rPr>
          <w:rStyle w:val="FootnoteReference"/>
        </w:rPr>
        <w:footnoteReference w:id="24"/>
      </w:r>
      <w:r w:rsidRPr="008E27FA">
        <w:t xml:space="preserve"> Economic Insights </w:t>
      </w:r>
      <w:r w:rsidR="00F74F50">
        <w:t>considered</w:t>
      </w:r>
      <w:r w:rsidR="00F74F50" w:rsidRPr="008E27FA">
        <w:t xml:space="preserve"> </w:t>
      </w:r>
      <w:r>
        <w:t>AGN</w:t>
      </w:r>
      <w:r w:rsidRPr="008E27FA">
        <w:t xml:space="preserve"> is at or below the average opex per customer for gas distribution businesses with relatively high customer density.</w:t>
      </w:r>
      <w:r w:rsidRPr="009D6BDC">
        <w:rPr>
          <w:rStyle w:val="FootnoteReference"/>
        </w:rPr>
        <w:footnoteReference w:id="25"/>
      </w:r>
      <w:r w:rsidR="00C32D1F">
        <w:t xml:space="preserve"> Economic Insights stated</w:t>
      </w:r>
      <w:r>
        <w:t xml:space="preserve"> that </w:t>
      </w:r>
      <w:r w:rsidRPr="009D6BDC">
        <w:t xml:space="preserve">the comparison does not control for other opex cost drivers </w:t>
      </w:r>
      <w:r w:rsidR="00C32D1F">
        <w:t>which</w:t>
      </w:r>
      <w:r w:rsidRPr="009D6BDC">
        <w:t xml:space="preserve"> may be relevant and care needs to be taken when drawing inferences.</w:t>
      </w:r>
      <w:r w:rsidRPr="009D6BDC">
        <w:rPr>
          <w:rStyle w:val="FootnoteReference"/>
        </w:rPr>
        <w:footnoteReference w:id="26"/>
      </w:r>
      <w:r>
        <w:t xml:space="preserve"> </w:t>
      </w:r>
    </w:p>
    <w:p w:rsidR="00191B44" w:rsidRDefault="008E27FA" w:rsidP="00356135">
      <w:pPr>
        <w:pStyle w:val="ListParagraph"/>
        <w:numPr>
          <w:ilvl w:val="0"/>
          <w:numId w:val="24"/>
        </w:numPr>
      </w:pPr>
      <w:r>
        <w:t xml:space="preserve">We consider </w:t>
      </w:r>
      <w:r w:rsidRPr="004254EC">
        <w:t xml:space="preserve">conclusions from </w:t>
      </w:r>
      <w:r>
        <w:t xml:space="preserve">the benchmarking undertaken by Economic Insights </w:t>
      </w:r>
      <w:r w:rsidRPr="004254EC">
        <w:t>should be treated with caution.</w:t>
      </w:r>
      <w:r>
        <w:t xml:space="preserve"> The benchmarking exercise</w:t>
      </w:r>
      <w:r w:rsidRPr="004254EC">
        <w:t xml:space="preserve"> is limited by the small sample size of </w:t>
      </w:r>
      <w:r>
        <w:t>gas distribution</w:t>
      </w:r>
      <w:r w:rsidRPr="004254EC">
        <w:t xml:space="preserve"> businesses </w:t>
      </w:r>
      <w:r>
        <w:t>and it is difficult to test some of the underlying data sources</w:t>
      </w:r>
      <w:r w:rsidRPr="004254EC">
        <w:t>—among other things.</w:t>
      </w:r>
      <w:r w:rsidR="00191B44" w:rsidRPr="00191B44">
        <w:t xml:space="preserve"> In light of this, we have given limited weight to Economic Insight's</w:t>
      </w:r>
      <w:r w:rsidR="005764DF">
        <w:t xml:space="preserve"> benchmarking and conclusions. </w:t>
      </w:r>
      <w:r w:rsidR="00191B44" w:rsidRPr="00191B44">
        <w:t>However, as set out above, and in the absence of any evidence to the contrary, we are satisfied that the 2016 base year opex is efficient.</w:t>
      </w:r>
    </w:p>
    <w:p w:rsidR="002D37E9" w:rsidRDefault="00C32D1F" w:rsidP="00356135">
      <w:pPr>
        <w:pStyle w:val="ListParagraph"/>
        <w:numPr>
          <w:ilvl w:val="0"/>
          <w:numId w:val="24"/>
        </w:numPr>
      </w:pPr>
      <w:r>
        <w:t>W</w:t>
      </w:r>
      <w:r w:rsidRPr="0074197E">
        <w:t xml:space="preserve">e have </w:t>
      </w:r>
      <w:r>
        <w:t xml:space="preserve">not </w:t>
      </w:r>
      <w:r w:rsidRPr="0074197E">
        <w:t xml:space="preserve">removed the licence fees </w:t>
      </w:r>
      <w:r>
        <w:t xml:space="preserve">from AGN's base year expenditure. </w:t>
      </w:r>
      <w:r w:rsidR="002D37E9">
        <w:t>AGN</w:t>
      </w:r>
      <w:r w:rsidR="002D37E9" w:rsidRPr="0074197E">
        <w:t xml:space="preserve"> recovered the costs of its annual licence fees payable to Essential Services Commission</w:t>
      </w:r>
      <w:r w:rsidR="003D3054">
        <w:t xml:space="preserve"> of Victoria</w:t>
      </w:r>
      <w:r w:rsidR="002D37E9" w:rsidRPr="0074197E">
        <w:t xml:space="preserve"> through a licence fee factor in </w:t>
      </w:r>
      <w:r w:rsidR="002D37E9">
        <w:rPr>
          <w:rStyle w:val="AERbody"/>
        </w:rPr>
        <w:t xml:space="preserve">the </w:t>
      </w:r>
      <w:r w:rsidR="00E25523">
        <w:rPr>
          <w:rStyle w:val="AERbody"/>
        </w:rPr>
        <w:t>reference tariff variation mechanism</w:t>
      </w:r>
      <w:r w:rsidR="00026EF5" w:rsidRPr="00026EF5">
        <w:t xml:space="preserve"> </w:t>
      </w:r>
      <w:r w:rsidR="00026EF5" w:rsidRPr="0074197E">
        <w:t xml:space="preserve">in the 2013–17 </w:t>
      </w:r>
      <w:r w:rsidR="00C42604">
        <w:t>access arrangement</w:t>
      </w:r>
      <w:r w:rsidR="00026EF5" w:rsidRPr="0074197E">
        <w:t xml:space="preserve"> </w:t>
      </w:r>
      <w:proofErr w:type="gramStart"/>
      <w:r w:rsidR="00026EF5" w:rsidRPr="0074197E">
        <w:t>period</w:t>
      </w:r>
      <w:proofErr w:type="gramEnd"/>
      <w:r w:rsidR="002D37E9" w:rsidRPr="0074197E">
        <w:t>.</w:t>
      </w:r>
      <w:r w:rsidR="00E25523">
        <w:rPr>
          <w:rStyle w:val="FootnoteReference"/>
        </w:rPr>
        <w:footnoteReference w:id="27"/>
      </w:r>
      <w:r w:rsidR="002D37E9" w:rsidRPr="0074197E">
        <w:t xml:space="preserve"> Given licence costs are relatively stable from year-to-</w:t>
      </w:r>
      <w:proofErr w:type="gramStart"/>
      <w:r w:rsidR="002D37E9" w:rsidRPr="0074197E">
        <w:t>year,</w:t>
      </w:r>
      <w:proofErr w:type="gramEnd"/>
      <w:r w:rsidR="002D37E9" w:rsidRPr="0074197E">
        <w:t xml:space="preserve"> we consider </w:t>
      </w:r>
      <w:r w:rsidR="00F02BF7">
        <w:t xml:space="preserve">it </w:t>
      </w:r>
      <w:r w:rsidR="002D37E9" w:rsidRPr="0074197E">
        <w:t xml:space="preserve">appropriate for </w:t>
      </w:r>
      <w:r w:rsidR="002D37E9">
        <w:t>AGN</w:t>
      </w:r>
      <w:r w:rsidR="002D37E9" w:rsidRPr="0074197E">
        <w:t xml:space="preserve"> to recover these costs as a base opex component going forward, rather than through the licence fee factor. Accordingly, we have </w:t>
      </w:r>
      <w:r w:rsidR="002D37E9">
        <w:t xml:space="preserve">not </w:t>
      </w:r>
      <w:r w:rsidR="002D37E9" w:rsidRPr="0074197E">
        <w:t xml:space="preserve">removed the licence fees </w:t>
      </w:r>
      <w:r w:rsidR="002D37E9">
        <w:t xml:space="preserve">from AGN's base </w:t>
      </w:r>
      <w:r w:rsidR="00E40B8E">
        <w:t>year expenditure</w:t>
      </w:r>
      <w:r w:rsidR="002D37E9">
        <w:t xml:space="preserve">. We </w:t>
      </w:r>
      <w:r w:rsidR="002D37E9" w:rsidRPr="0074197E">
        <w:t>exclude the licence fee factor from its tariff variation formula</w:t>
      </w:r>
      <w:r w:rsidR="002D37E9">
        <w:t xml:space="preserve"> to ensure AGN does not recover these costs twice</w:t>
      </w:r>
      <w:r w:rsidR="005764DF">
        <w:t>.</w:t>
      </w:r>
    </w:p>
    <w:p w:rsidR="002D37E9" w:rsidRPr="0074197E" w:rsidRDefault="002D37E9" w:rsidP="002D37E9">
      <w:r>
        <w:t xml:space="preserve">Similarly, AGN's base year </w:t>
      </w:r>
      <w:r w:rsidR="00E40B8E">
        <w:t xml:space="preserve">expenditure </w:t>
      </w:r>
      <w:r w:rsidR="00F74F50">
        <w:t>includes</w:t>
      </w:r>
      <w:r>
        <w:t xml:space="preserve"> the levy </w:t>
      </w:r>
      <w:r w:rsidR="00F74F50">
        <w:t xml:space="preserve">it </w:t>
      </w:r>
      <w:r>
        <w:t xml:space="preserve">pays Energy Safe Victoria (ESV) in 2016. Therefore, we have excluded the ESV levy pass through adjustment factor in AGN's proposed price control formula to ensure that it does not </w:t>
      </w:r>
      <w:r w:rsidR="005764DF">
        <w:t xml:space="preserve">over </w:t>
      </w:r>
      <w:r>
        <w:t xml:space="preserve">recover these costs. </w:t>
      </w:r>
    </w:p>
    <w:p w:rsidR="00605853" w:rsidRPr="00605853" w:rsidRDefault="00605853" w:rsidP="00605853">
      <w:pPr>
        <w:pStyle w:val="Heading3"/>
      </w:pPr>
      <w:bookmarkStart w:id="92" w:name="_Toc475028902"/>
      <w:bookmarkStart w:id="93" w:name="_Toc486832601"/>
      <w:r>
        <w:t>Rate of change</w:t>
      </w:r>
      <w:bookmarkEnd w:id="92"/>
      <w:bookmarkEnd w:id="93"/>
    </w:p>
    <w:p w:rsidR="004C03D6" w:rsidRPr="004F5EA3" w:rsidRDefault="00DF2199" w:rsidP="00DF2199">
      <w:r w:rsidRPr="004F5EA3">
        <w:t xml:space="preserve">Once we </w:t>
      </w:r>
      <w:r>
        <w:t>estimate opex</w:t>
      </w:r>
      <w:r w:rsidRPr="004F5EA3">
        <w:t xml:space="preserve"> in the final year of the </w:t>
      </w:r>
      <w:r>
        <w:t>current</w:t>
      </w:r>
      <w:r w:rsidRPr="004F5EA3">
        <w:t xml:space="preserve"> period</w:t>
      </w:r>
      <w:r>
        <w:t>,</w:t>
      </w:r>
      <w:r w:rsidRPr="004F5EA3">
        <w:t xml:space="preserve"> we apply a forecast annual rate of change</w:t>
      </w:r>
      <w:r w:rsidR="00A56174">
        <w:t xml:space="preserve"> </w:t>
      </w:r>
      <w:r w:rsidR="00A56174" w:rsidRPr="004F5EA3">
        <w:t>to forecast opex for the 201</w:t>
      </w:r>
      <w:r w:rsidR="00AC55F5">
        <w:t>8</w:t>
      </w:r>
      <w:r w:rsidR="00A56174" w:rsidRPr="004F5EA3">
        <w:t xml:space="preserve">–22 </w:t>
      </w:r>
      <w:r w:rsidR="00A56174">
        <w:t xml:space="preserve">access arrangement </w:t>
      </w:r>
      <w:proofErr w:type="gramStart"/>
      <w:r w:rsidR="00A56174" w:rsidRPr="004F5EA3">
        <w:t>period</w:t>
      </w:r>
      <w:proofErr w:type="gramEnd"/>
      <w:r w:rsidRPr="004F5EA3">
        <w:t xml:space="preserve">. </w:t>
      </w:r>
      <w:r>
        <w:t>This accounts for forecast growth in prices, output and productivity.</w:t>
      </w:r>
    </w:p>
    <w:p w:rsidR="00605853" w:rsidRDefault="00605853" w:rsidP="00C32D1F">
      <w:pPr>
        <w:pStyle w:val="HeadingItalic"/>
      </w:pPr>
      <w:r>
        <w:t>Forecast price growth</w:t>
      </w:r>
    </w:p>
    <w:p w:rsidR="00850F8F" w:rsidRPr="00850F8F" w:rsidRDefault="00850F8F" w:rsidP="00850F8F">
      <w:r w:rsidRPr="00850F8F">
        <w:t xml:space="preserve">We applied average annual </w:t>
      </w:r>
      <w:r w:rsidR="00546E2A">
        <w:t>price</w:t>
      </w:r>
      <w:r w:rsidR="00546E2A" w:rsidRPr="00850F8F">
        <w:t xml:space="preserve"> </w:t>
      </w:r>
      <w:r w:rsidRPr="00850F8F">
        <w:t>growth of 0.</w:t>
      </w:r>
      <w:r w:rsidR="003212B5">
        <w:t>7</w:t>
      </w:r>
      <w:r w:rsidR="003212B5" w:rsidRPr="00850F8F">
        <w:t xml:space="preserve"> </w:t>
      </w:r>
      <w:r w:rsidRPr="00850F8F">
        <w:t xml:space="preserve">per cent in our alternative </w:t>
      </w:r>
      <w:r w:rsidR="006028F4">
        <w:t>estimate</w:t>
      </w:r>
      <w:r w:rsidRPr="00850F8F">
        <w:t>.</w:t>
      </w:r>
      <w:r>
        <w:t xml:space="preserve"> AGN</w:t>
      </w:r>
      <w:r w:rsidR="00D23D32">
        <w:t xml:space="preserve"> </w:t>
      </w:r>
      <w:r w:rsidR="00546E2A">
        <w:t>proposed price growth of 0.</w:t>
      </w:r>
      <w:r w:rsidR="006C3455">
        <w:t>7</w:t>
      </w:r>
      <w:r w:rsidR="003212B5">
        <w:t> </w:t>
      </w:r>
      <w:r w:rsidR="00546E2A">
        <w:t xml:space="preserve">per cent. </w:t>
      </w:r>
    </w:p>
    <w:p w:rsidR="006C79DD" w:rsidRDefault="006C79DD" w:rsidP="00605853">
      <w:r>
        <w:t xml:space="preserve">AGN's approach to forecast input price growth is consistent with </w:t>
      </w:r>
      <w:r w:rsidR="002F612B">
        <w:t>our approach:</w:t>
      </w:r>
    </w:p>
    <w:p w:rsidR="00605853" w:rsidRPr="00605853" w:rsidRDefault="00024B0F" w:rsidP="00605853">
      <w:pPr>
        <w:pStyle w:val="AERbulletlistfirststyle"/>
      </w:pPr>
      <w:r>
        <w:t>t</w:t>
      </w:r>
      <w:r w:rsidR="00605853" w:rsidRPr="00096841">
        <w:t>o forecast labour price growth</w:t>
      </w:r>
      <w:r w:rsidR="00605853" w:rsidRPr="00605853">
        <w:t>, we use</w:t>
      </w:r>
      <w:r w:rsidR="00995400">
        <w:t>d</w:t>
      </w:r>
      <w:r w:rsidR="00605853" w:rsidRPr="00605853">
        <w:t xml:space="preserve"> forecast growth in </w:t>
      </w:r>
      <w:r w:rsidR="009B3B7C">
        <w:t xml:space="preserve">the </w:t>
      </w:r>
      <w:r w:rsidR="009B3B7C" w:rsidRPr="009B3B7C">
        <w:t xml:space="preserve">Victorian </w:t>
      </w:r>
      <w:r w:rsidR="009B3B7C">
        <w:t xml:space="preserve">utilities WPI </w:t>
      </w:r>
    </w:p>
    <w:p w:rsidR="009B3B7C" w:rsidRDefault="00024B0F" w:rsidP="00605853">
      <w:pPr>
        <w:pStyle w:val="AERbulletlistfirststyle"/>
      </w:pPr>
      <w:proofErr w:type="gramStart"/>
      <w:r>
        <w:t>t</w:t>
      </w:r>
      <w:r w:rsidR="00605853">
        <w:t>o</w:t>
      </w:r>
      <w:proofErr w:type="gramEnd"/>
      <w:r w:rsidR="00605853">
        <w:t xml:space="preserve"> forecast </w:t>
      </w:r>
      <w:r w:rsidR="00605853" w:rsidRPr="00605853">
        <w:t>non-labour price growth, we appl</w:t>
      </w:r>
      <w:r w:rsidR="00995400">
        <w:t>ied</w:t>
      </w:r>
      <w:r w:rsidR="00605853" w:rsidRPr="00605853">
        <w:t xml:space="preserve"> the forecast change in CPI. </w:t>
      </w:r>
    </w:p>
    <w:p w:rsidR="00850F8F" w:rsidRDefault="00850F8F" w:rsidP="00024B0F">
      <w:r w:rsidRPr="00850F8F">
        <w:t xml:space="preserve">We </w:t>
      </w:r>
      <w:r w:rsidR="002F612B">
        <w:t>weight</w:t>
      </w:r>
      <w:r w:rsidR="00995400">
        <w:t>ed</w:t>
      </w:r>
      <w:r w:rsidRPr="00850F8F">
        <w:t xml:space="preserve"> the forecast price growth to account for the proportion of opex that is labour and the proportion that is non-labour.</w:t>
      </w:r>
      <w:r w:rsidRPr="00850F8F">
        <w:rPr>
          <w:rStyle w:val="FootnoteReference"/>
        </w:rPr>
        <w:footnoteReference w:id="28"/>
      </w:r>
      <w:r w:rsidRPr="00850F8F">
        <w:t xml:space="preserve"> Our labour and non-labour price weights reflect the benchmark efficient mix of labour services and other costs required to provide </w:t>
      </w:r>
      <w:r w:rsidR="002F612B">
        <w:t>distribution</w:t>
      </w:r>
      <w:r w:rsidR="002F612B" w:rsidRPr="00850F8F">
        <w:t xml:space="preserve"> </w:t>
      </w:r>
      <w:r w:rsidRPr="00850F8F">
        <w:t>services.</w:t>
      </w:r>
    </w:p>
    <w:p w:rsidR="00546E2A" w:rsidRDefault="005D2EAC" w:rsidP="00546E2A">
      <w:r>
        <w:t>Like AGN</w:t>
      </w:r>
      <w:r w:rsidR="00F53FF5">
        <w:t>,</w:t>
      </w:r>
      <w:r>
        <w:t xml:space="preserve"> we used an average of </w:t>
      </w:r>
      <w:r w:rsidR="00F53FF5">
        <w:t xml:space="preserve">Deloitte Access Economics' </w:t>
      </w:r>
      <w:r>
        <w:t>and BIS Shrapnel</w:t>
      </w:r>
      <w:r w:rsidR="00F53FF5">
        <w:t>'</w:t>
      </w:r>
      <w:r>
        <w:t xml:space="preserve">s </w:t>
      </w:r>
      <w:r w:rsidR="00F53FF5" w:rsidRPr="00546E2A">
        <w:t xml:space="preserve">wage price index (WPI) </w:t>
      </w:r>
      <w:r>
        <w:t>growth forecast</w:t>
      </w:r>
      <w:r w:rsidR="00F53FF5">
        <w:t>s</w:t>
      </w:r>
      <w:r>
        <w:t xml:space="preserve">. </w:t>
      </w:r>
      <w:r w:rsidR="00546E2A">
        <w:t xml:space="preserve">The </w:t>
      </w:r>
      <w:r w:rsidR="002F612B">
        <w:t xml:space="preserve">only </w:t>
      </w:r>
      <w:r w:rsidR="00546E2A">
        <w:t xml:space="preserve">difference between </w:t>
      </w:r>
      <w:r w:rsidR="00F74F50">
        <w:t>our</w:t>
      </w:r>
      <w:r w:rsidR="00546E2A">
        <w:t xml:space="preserve"> price growth forecast and AGN's is </w:t>
      </w:r>
      <w:r w:rsidR="00024B0F">
        <w:t xml:space="preserve">that </w:t>
      </w:r>
      <w:r w:rsidR="00546E2A" w:rsidRPr="00546E2A">
        <w:t>we updated the Victorian WPI for the utilities industry to reflect the most up-to-date Deloitte Access Economics forecasts.</w:t>
      </w:r>
      <w:r>
        <w:t xml:space="preserve"> </w:t>
      </w:r>
    </w:p>
    <w:p w:rsidR="00605853" w:rsidRDefault="00605853" w:rsidP="00C32D1F">
      <w:pPr>
        <w:pStyle w:val="HeadingItalic"/>
      </w:pPr>
      <w:r>
        <w:t>Forecast output growth</w:t>
      </w:r>
      <w:r w:rsidR="005D2EAC">
        <w:t xml:space="preserve"> </w:t>
      </w:r>
    </w:p>
    <w:p w:rsidR="006F0672" w:rsidRDefault="006F0672" w:rsidP="006F0672">
      <w:r w:rsidRPr="006F0672">
        <w:t xml:space="preserve">We are satisfied </w:t>
      </w:r>
      <w:r>
        <w:t>AGN</w:t>
      </w:r>
      <w:r w:rsidRPr="006F0672">
        <w:t>'</w:t>
      </w:r>
      <w:r>
        <w:t>s</w:t>
      </w:r>
      <w:r w:rsidRPr="006F0672">
        <w:t xml:space="preserve"> proposed </w:t>
      </w:r>
      <w:r w:rsidR="00BF1A24">
        <w:t xml:space="preserve">total </w:t>
      </w:r>
      <w:r w:rsidRPr="006F0672">
        <w:t>output growth of $</w:t>
      </w:r>
      <w:r>
        <w:t>4.0</w:t>
      </w:r>
      <w:r w:rsidRPr="006F0672">
        <w:t xml:space="preserve"> </w:t>
      </w:r>
      <w:r w:rsidR="00BF1A24">
        <w:t>million ($2017) for the</w:t>
      </w:r>
      <w:r w:rsidR="00BF1A24">
        <w:br/>
        <w:t>2018–22</w:t>
      </w:r>
      <w:r w:rsidRPr="006F0672">
        <w:t xml:space="preserve"> </w:t>
      </w:r>
      <w:r w:rsidR="00BF1A24">
        <w:t xml:space="preserve">access arrangement period </w:t>
      </w:r>
      <w:r w:rsidRPr="006F0672">
        <w:t xml:space="preserve">is </w:t>
      </w:r>
      <w:r w:rsidR="002F612B">
        <w:t xml:space="preserve">made on a reasonable basis and </w:t>
      </w:r>
      <w:r w:rsidR="00695C1D">
        <w:t>represents</w:t>
      </w:r>
      <w:r w:rsidR="002F612B">
        <w:t xml:space="preserve"> the best forecast possible in the circumstances</w:t>
      </w:r>
      <w:r w:rsidRPr="006F0672">
        <w:t>.</w:t>
      </w:r>
    </w:p>
    <w:p w:rsidR="006F0672" w:rsidRPr="006F0672" w:rsidRDefault="006F0672" w:rsidP="006F0672">
      <w:r w:rsidRPr="006F0672">
        <w:fldChar w:fldCharType="begin"/>
      </w:r>
      <w:r w:rsidRPr="006F0672">
        <w:instrText xml:space="preserve"> REF _Ref482862006 \h </w:instrText>
      </w:r>
      <w:r w:rsidRPr="006F0672">
        <w:fldChar w:fldCharType="separate"/>
      </w:r>
      <w:r w:rsidR="008E59D4" w:rsidRPr="006F0672">
        <w:t xml:space="preserve">Table </w:t>
      </w:r>
      <w:r w:rsidR="008E59D4">
        <w:rPr>
          <w:noProof/>
        </w:rPr>
        <w:t>7</w:t>
      </w:r>
      <w:r w:rsidR="008E59D4" w:rsidRPr="006F0672">
        <w:t>.</w:t>
      </w:r>
      <w:r w:rsidR="008E59D4">
        <w:rPr>
          <w:noProof/>
        </w:rPr>
        <w:t>3</w:t>
      </w:r>
      <w:r w:rsidRPr="006F0672">
        <w:fldChar w:fldCharType="end"/>
      </w:r>
      <w:r w:rsidRPr="006F0672">
        <w:t xml:space="preserve"> shows </w:t>
      </w:r>
      <w:r>
        <w:t>AGN's</w:t>
      </w:r>
      <w:r w:rsidRPr="006F0672">
        <w:t xml:space="preserve"> proposed </w:t>
      </w:r>
      <w:r w:rsidR="000B5931">
        <w:t>output growth</w:t>
      </w:r>
      <w:r w:rsidRPr="006F0672">
        <w:t xml:space="preserve"> compared to those of the other </w:t>
      </w:r>
      <w:r w:rsidR="00DF2199">
        <w:t xml:space="preserve">two </w:t>
      </w:r>
      <w:r w:rsidRPr="006F0672">
        <w:t xml:space="preserve">Victorian gas </w:t>
      </w:r>
      <w:r w:rsidR="00DF2199">
        <w:t>distributors</w:t>
      </w:r>
      <w:r w:rsidRPr="006F0672">
        <w:t>. It shows that of the three businesses</w:t>
      </w:r>
      <w:r w:rsidR="00B40F9F">
        <w:t>,</w:t>
      </w:r>
      <w:r w:rsidRPr="006F0672">
        <w:t xml:space="preserve"> </w:t>
      </w:r>
      <w:r w:rsidR="00F74F50">
        <w:t>AGN</w:t>
      </w:r>
      <w:r w:rsidR="00C84841">
        <w:t xml:space="preserve"> </w:t>
      </w:r>
      <w:r w:rsidRPr="006F0672">
        <w:t xml:space="preserve">proposed the </w:t>
      </w:r>
      <w:r>
        <w:t>lowest</w:t>
      </w:r>
      <w:r w:rsidRPr="006F0672">
        <w:t xml:space="preserve"> output growth.</w:t>
      </w:r>
    </w:p>
    <w:p w:rsidR="006F0672" w:rsidRPr="006F0672" w:rsidRDefault="006F0672" w:rsidP="006F0672">
      <w:pPr>
        <w:pStyle w:val="Caption"/>
      </w:pPr>
      <w:bookmarkStart w:id="94" w:name="_Ref482862006"/>
      <w:proofErr w:type="gramStart"/>
      <w:r w:rsidRPr="006F0672">
        <w:t xml:space="preserve">Table </w:t>
      </w:r>
      <w:proofErr w:type="gramEnd"/>
      <w:r w:rsidR="008E0D00">
        <w:fldChar w:fldCharType="begin"/>
      </w:r>
      <w:r w:rsidR="008E0D00">
        <w:instrText xml:space="preserve"> STYLEREF 1 \s </w:instrText>
      </w:r>
      <w:r w:rsidR="008E0D00">
        <w:fldChar w:fldCharType="separate"/>
      </w:r>
      <w:r w:rsidR="008E59D4">
        <w:rPr>
          <w:noProof/>
        </w:rPr>
        <w:t>7</w:t>
      </w:r>
      <w:r w:rsidR="008E0D00">
        <w:rPr>
          <w:noProof/>
        </w:rPr>
        <w:fldChar w:fldCharType="end"/>
      </w:r>
      <w:proofErr w:type="gramStart"/>
      <w:r w:rsidRPr="006F0672">
        <w:t>.</w:t>
      </w:r>
      <w:proofErr w:type="gramEnd"/>
      <w:r w:rsidR="00EE56BB">
        <w:fldChar w:fldCharType="begin"/>
      </w:r>
      <w:r w:rsidR="00EE56BB">
        <w:instrText xml:space="preserve"> SEQ Table \* ARABIC \s 1 </w:instrText>
      </w:r>
      <w:r w:rsidR="00EE56BB">
        <w:fldChar w:fldCharType="separate"/>
      </w:r>
      <w:r w:rsidR="008E59D4">
        <w:rPr>
          <w:noProof/>
        </w:rPr>
        <w:t>3</w:t>
      </w:r>
      <w:r w:rsidR="00EE56BB">
        <w:rPr>
          <w:noProof/>
        </w:rPr>
        <w:fldChar w:fldCharType="end"/>
      </w:r>
      <w:bookmarkEnd w:id="94"/>
      <w:r w:rsidRPr="006F0672">
        <w:tab/>
      </w:r>
      <w:r w:rsidR="00D55B0E">
        <w:t>AGN's</w:t>
      </w:r>
      <w:r w:rsidRPr="006F0672">
        <w:t xml:space="preserve"> proposed output growth in context</w:t>
      </w:r>
    </w:p>
    <w:tbl>
      <w:tblPr>
        <w:tblStyle w:val="AERtable-numbers"/>
        <w:tblW w:w="0" w:type="auto"/>
        <w:tblLook w:val="04A0" w:firstRow="1" w:lastRow="0" w:firstColumn="1" w:lastColumn="0" w:noHBand="0" w:noVBand="1"/>
      </w:tblPr>
      <w:tblGrid>
        <w:gridCol w:w="1242"/>
        <w:gridCol w:w="2552"/>
        <w:gridCol w:w="1559"/>
        <w:gridCol w:w="1559"/>
        <w:gridCol w:w="1781"/>
      </w:tblGrid>
      <w:tr w:rsidR="006F0672" w:rsidTr="005816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6F0672" w:rsidRPr="006F0672" w:rsidRDefault="006F0672" w:rsidP="006F0672"/>
        </w:tc>
        <w:tc>
          <w:tcPr>
            <w:tcW w:w="2552" w:type="dxa"/>
            <w:vAlign w:val="top"/>
          </w:tcPr>
          <w:p w:rsidR="006F0672" w:rsidRPr="006F0672" w:rsidRDefault="006F0672" w:rsidP="006F0672">
            <w:pPr>
              <w:cnfStyle w:val="100000000000" w:firstRow="1" w:lastRow="0" w:firstColumn="0" w:lastColumn="0" w:oddVBand="0" w:evenVBand="0" w:oddHBand="0" w:evenHBand="0" w:firstRowFirstColumn="0" w:firstRowLastColumn="0" w:lastRowFirstColumn="0" w:lastRowLastColumn="0"/>
            </w:pPr>
            <w:r w:rsidRPr="006F0672">
              <w:t>Forecast approach</w:t>
            </w:r>
          </w:p>
        </w:tc>
        <w:tc>
          <w:tcPr>
            <w:tcW w:w="1559" w:type="dxa"/>
            <w:vAlign w:val="top"/>
          </w:tcPr>
          <w:p w:rsidR="006F0672" w:rsidRPr="006F0672" w:rsidRDefault="006F0672" w:rsidP="006F0672">
            <w:pPr>
              <w:cnfStyle w:val="100000000000" w:firstRow="1" w:lastRow="0" w:firstColumn="0" w:lastColumn="0" w:oddVBand="0" w:evenVBand="0" w:oddHBand="0" w:evenHBand="0" w:firstRowFirstColumn="0" w:firstRowLastColumn="0" w:lastRowFirstColumn="0" w:lastRowLastColumn="0"/>
            </w:pPr>
            <w:r w:rsidRPr="006F0672">
              <w:t>Impact on 5 year opex forecast  $m</w:t>
            </w:r>
          </w:p>
        </w:tc>
        <w:tc>
          <w:tcPr>
            <w:tcW w:w="1559" w:type="dxa"/>
            <w:vAlign w:val="top"/>
          </w:tcPr>
          <w:p w:rsidR="006F0672" w:rsidRPr="006F0672" w:rsidRDefault="006F0672" w:rsidP="002E3778">
            <w:pPr>
              <w:cnfStyle w:val="100000000000" w:firstRow="1" w:lastRow="0" w:firstColumn="0" w:lastColumn="0" w:oddVBand="0" w:evenVBand="0" w:oddHBand="0" w:evenHBand="0" w:firstRowFirstColumn="0" w:firstRowLastColumn="0" w:lastRowFirstColumn="0" w:lastRowLastColumn="0"/>
            </w:pPr>
            <w:r w:rsidRPr="006F0672">
              <w:t>Increase on base opex forecast</w:t>
            </w:r>
            <w:r w:rsidR="002E3778">
              <w:t>,</w:t>
            </w:r>
            <w:r w:rsidRPr="006F0672">
              <w:t xml:space="preserve">    </w:t>
            </w:r>
            <w:r w:rsidR="002E3778">
              <w:t>per cent</w:t>
            </w:r>
          </w:p>
        </w:tc>
        <w:tc>
          <w:tcPr>
            <w:tcW w:w="1781" w:type="dxa"/>
            <w:vAlign w:val="top"/>
          </w:tcPr>
          <w:p w:rsidR="006F0672" w:rsidRPr="006F0672" w:rsidRDefault="006F0672" w:rsidP="002E3778">
            <w:pPr>
              <w:cnfStyle w:val="100000000000" w:firstRow="1" w:lastRow="0" w:firstColumn="0" w:lastColumn="0" w:oddVBand="0" w:evenVBand="0" w:oddHBand="0" w:evenHBand="0" w:firstRowFirstColumn="0" w:firstRowLastColumn="0" w:lastRowFirstColumn="0" w:lastRowLastColumn="0"/>
            </w:pPr>
            <w:r w:rsidRPr="006F0672">
              <w:t>Proposed average annual growth rate</w:t>
            </w:r>
            <w:r w:rsidR="002E3778">
              <w:t>,</w:t>
            </w:r>
            <w:r w:rsidRPr="006F0672">
              <w:t xml:space="preserve">        </w:t>
            </w:r>
            <w:r w:rsidR="002E3778">
              <w:t>per cent</w:t>
            </w:r>
          </w:p>
        </w:tc>
      </w:tr>
      <w:tr w:rsidR="006F0672" w:rsidRPr="006B2C33" w:rsidTr="0058168F">
        <w:tc>
          <w:tcPr>
            <w:cnfStyle w:val="001000000000" w:firstRow="0" w:lastRow="0" w:firstColumn="1" w:lastColumn="0" w:oddVBand="0" w:evenVBand="0" w:oddHBand="0" w:evenHBand="0" w:firstRowFirstColumn="0" w:firstRowLastColumn="0" w:lastRowFirstColumn="0" w:lastRowLastColumn="0"/>
            <w:tcW w:w="1242" w:type="dxa"/>
          </w:tcPr>
          <w:p w:rsidR="006F0672" w:rsidRPr="006F0672" w:rsidRDefault="006F0672" w:rsidP="006F0672">
            <w:r w:rsidRPr="006F0672">
              <w:t>AusNet Services</w:t>
            </w:r>
          </w:p>
        </w:tc>
        <w:tc>
          <w:tcPr>
            <w:tcW w:w="2552" w:type="dxa"/>
            <w:vAlign w:val="top"/>
          </w:tcPr>
          <w:p w:rsidR="006F0672" w:rsidRPr="006F0672" w:rsidRDefault="006F0672" w:rsidP="002E3778">
            <w:pPr>
              <w:cnfStyle w:val="000000000000" w:firstRow="0" w:lastRow="0" w:firstColumn="0" w:lastColumn="0" w:oddVBand="0" w:evenVBand="0" w:oddHBand="0" w:evenHBand="0" w:firstRowFirstColumn="0" w:firstRowLastColumn="0" w:lastRowFirstColumn="0" w:lastRowLastColumn="0"/>
            </w:pPr>
            <w:r w:rsidRPr="006F0672">
              <w:t>Customer numbers 45</w:t>
            </w:r>
            <w:r w:rsidR="002E3778">
              <w:t> per cent</w:t>
            </w:r>
            <w:r w:rsidR="002E3778" w:rsidRPr="006F0672">
              <w:t xml:space="preserve">, </w:t>
            </w:r>
            <w:r w:rsidR="002E3778">
              <w:br/>
            </w:r>
            <w:r w:rsidRPr="006F0672">
              <w:t>gas throughput 55</w:t>
            </w:r>
            <w:r w:rsidR="002E3778">
              <w:t> per cent</w:t>
            </w:r>
          </w:p>
        </w:tc>
        <w:tc>
          <w:tcPr>
            <w:tcW w:w="1559" w:type="dxa"/>
            <w:vAlign w:val="top"/>
          </w:tcPr>
          <w:p w:rsidR="006F0672" w:rsidRPr="006F0672" w:rsidRDefault="006F0672" w:rsidP="006F0672">
            <w:pPr>
              <w:cnfStyle w:val="000000000000" w:firstRow="0" w:lastRow="0" w:firstColumn="0" w:lastColumn="0" w:oddVBand="0" w:evenVBand="0" w:oddHBand="0" w:evenHBand="0" w:firstRowFirstColumn="0" w:firstRowLastColumn="0" w:lastRowFirstColumn="0" w:lastRowLastColumn="0"/>
            </w:pPr>
            <w:r w:rsidRPr="006F0672">
              <w:t xml:space="preserve">10.4 </w:t>
            </w:r>
          </w:p>
        </w:tc>
        <w:tc>
          <w:tcPr>
            <w:tcW w:w="1559" w:type="dxa"/>
            <w:vAlign w:val="top"/>
          </w:tcPr>
          <w:p w:rsidR="006F0672" w:rsidRPr="006F0672" w:rsidRDefault="006F0672" w:rsidP="006F0672">
            <w:pPr>
              <w:cnfStyle w:val="000000000000" w:firstRow="0" w:lastRow="0" w:firstColumn="0" w:lastColumn="0" w:oddVBand="0" w:evenVBand="0" w:oddHBand="0" w:evenHBand="0" w:firstRowFirstColumn="0" w:firstRowLastColumn="0" w:lastRowFirstColumn="0" w:lastRowLastColumn="0"/>
            </w:pPr>
            <w:r w:rsidRPr="006F0672">
              <w:t xml:space="preserve">4.0 </w:t>
            </w:r>
          </w:p>
        </w:tc>
        <w:tc>
          <w:tcPr>
            <w:tcW w:w="1781" w:type="dxa"/>
            <w:vAlign w:val="top"/>
          </w:tcPr>
          <w:p w:rsidR="006F0672" w:rsidRPr="006F0672" w:rsidRDefault="006F0672" w:rsidP="006C3455">
            <w:pPr>
              <w:cnfStyle w:val="000000000000" w:firstRow="0" w:lastRow="0" w:firstColumn="0" w:lastColumn="0" w:oddVBand="0" w:evenVBand="0" w:oddHBand="0" w:evenHBand="0" w:firstRowFirstColumn="0" w:firstRowLastColumn="0" w:lastRowFirstColumn="0" w:lastRowLastColumn="0"/>
            </w:pPr>
            <w:r w:rsidRPr="006F0672">
              <w:t>1.2</w:t>
            </w:r>
            <w:r w:rsidR="006C3455">
              <w:t>8</w:t>
            </w:r>
            <w:r w:rsidRPr="006F0672">
              <w:t xml:space="preserve"> </w:t>
            </w:r>
          </w:p>
        </w:tc>
      </w:tr>
      <w:tr w:rsidR="00995400" w:rsidRPr="006B2C33" w:rsidTr="00FF07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995400" w:rsidRPr="00995400" w:rsidRDefault="00995400" w:rsidP="00995400">
            <w:r w:rsidRPr="006F0672">
              <w:t>Multinet</w:t>
            </w:r>
          </w:p>
        </w:tc>
        <w:tc>
          <w:tcPr>
            <w:tcW w:w="2552" w:type="dxa"/>
            <w:vAlign w:val="top"/>
          </w:tcPr>
          <w:p w:rsidR="00995400" w:rsidRPr="00995400" w:rsidRDefault="00995400" w:rsidP="00995400">
            <w:pPr>
              <w:cnfStyle w:val="000000010000" w:firstRow="0" w:lastRow="0" w:firstColumn="0" w:lastColumn="0" w:oddVBand="0" w:evenVBand="0" w:oddHBand="0" w:evenHBand="1" w:firstRowFirstColumn="0" w:firstRowLastColumn="0" w:lastRowFirstColumn="0" w:lastRowLastColumn="0"/>
            </w:pPr>
            <w:r w:rsidRPr="006F0672">
              <w:t>Customer numbers 45</w:t>
            </w:r>
            <w:r w:rsidRPr="00995400">
              <w:t xml:space="preserve"> per cent, </w:t>
            </w:r>
            <w:r w:rsidRPr="00995400">
              <w:br/>
              <w:t>pipeline length 55 per cent</w:t>
            </w:r>
          </w:p>
        </w:tc>
        <w:tc>
          <w:tcPr>
            <w:tcW w:w="1559" w:type="dxa"/>
            <w:vAlign w:val="top"/>
          </w:tcPr>
          <w:p w:rsidR="00995400" w:rsidRPr="00995400" w:rsidRDefault="00995400" w:rsidP="00995400">
            <w:pPr>
              <w:cnfStyle w:val="000000010000" w:firstRow="0" w:lastRow="0" w:firstColumn="0" w:lastColumn="0" w:oddVBand="0" w:evenVBand="0" w:oddHBand="0" w:evenHBand="1" w:firstRowFirstColumn="0" w:firstRowLastColumn="0" w:lastRowFirstColumn="0" w:lastRowLastColumn="0"/>
            </w:pPr>
            <w:r w:rsidRPr="006F0672">
              <w:t>7.2</w:t>
            </w:r>
          </w:p>
        </w:tc>
        <w:tc>
          <w:tcPr>
            <w:tcW w:w="1559" w:type="dxa"/>
            <w:vAlign w:val="top"/>
          </w:tcPr>
          <w:p w:rsidR="00995400" w:rsidRPr="00995400" w:rsidRDefault="00995400" w:rsidP="00995400">
            <w:pPr>
              <w:cnfStyle w:val="000000010000" w:firstRow="0" w:lastRow="0" w:firstColumn="0" w:lastColumn="0" w:oddVBand="0" w:evenVBand="0" w:oddHBand="0" w:evenHBand="1" w:firstRowFirstColumn="0" w:firstRowLastColumn="0" w:lastRowFirstColumn="0" w:lastRowLastColumn="0"/>
            </w:pPr>
            <w:r w:rsidRPr="006F0672">
              <w:t>2.0</w:t>
            </w:r>
          </w:p>
        </w:tc>
        <w:tc>
          <w:tcPr>
            <w:tcW w:w="1781" w:type="dxa"/>
            <w:vAlign w:val="top"/>
          </w:tcPr>
          <w:p w:rsidR="00995400" w:rsidRPr="00995400" w:rsidRDefault="00995400" w:rsidP="00995400">
            <w:pPr>
              <w:cnfStyle w:val="000000010000" w:firstRow="0" w:lastRow="0" w:firstColumn="0" w:lastColumn="0" w:oddVBand="0" w:evenVBand="0" w:oddHBand="0" w:evenHBand="1" w:firstRowFirstColumn="0" w:firstRowLastColumn="0" w:lastRowFirstColumn="0" w:lastRowLastColumn="0"/>
            </w:pPr>
            <w:r w:rsidRPr="006F0672">
              <w:t>0.65</w:t>
            </w:r>
          </w:p>
        </w:tc>
      </w:tr>
      <w:tr w:rsidR="006F0672" w:rsidRPr="00D55B0E" w:rsidTr="0058168F">
        <w:tc>
          <w:tcPr>
            <w:cnfStyle w:val="001000000000" w:firstRow="0" w:lastRow="0" w:firstColumn="1" w:lastColumn="0" w:oddVBand="0" w:evenVBand="0" w:oddHBand="0" w:evenHBand="0" w:firstRowFirstColumn="0" w:firstRowLastColumn="0" w:lastRowFirstColumn="0" w:lastRowLastColumn="0"/>
            <w:tcW w:w="1242" w:type="dxa"/>
          </w:tcPr>
          <w:p w:rsidR="006F0672" w:rsidRPr="00D55B0E" w:rsidRDefault="006F0672" w:rsidP="006F0672">
            <w:pPr>
              <w:rPr>
                <w:rStyle w:val="Strong"/>
              </w:rPr>
            </w:pPr>
            <w:r w:rsidRPr="00D55B0E">
              <w:rPr>
                <w:rStyle w:val="Strong"/>
              </w:rPr>
              <w:t>AGN</w:t>
            </w:r>
          </w:p>
        </w:tc>
        <w:tc>
          <w:tcPr>
            <w:tcW w:w="2552" w:type="dxa"/>
            <w:vAlign w:val="top"/>
          </w:tcPr>
          <w:p w:rsidR="006F0672" w:rsidRPr="00D55B0E" w:rsidRDefault="006F0672" w:rsidP="006F0672">
            <w:pPr>
              <w:cnfStyle w:val="000000000000" w:firstRow="0" w:lastRow="0" w:firstColumn="0" w:lastColumn="0" w:oddVBand="0" w:evenVBand="0" w:oddHBand="0" w:evenHBand="0" w:firstRowFirstColumn="0" w:firstRowLastColumn="0" w:lastRowFirstColumn="0" w:lastRowLastColumn="0"/>
              <w:rPr>
                <w:rStyle w:val="Strong"/>
              </w:rPr>
            </w:pPr>
            <w:r w:rsidRPr="00D55B0E">
              <w:rPr>
                <w:rStyle w:val="Strong"/>
              </w:rPr>
              <w:t>Customer numbers times cost per new customer</w:t>
            </w:r>
          </w:p>
        </w:tc>
        <w:tc>
          <w:tcPr>
            <w:tcW w:w="1559" w:type="dxa"/>
            <w:vAlign w:val="top"/>
          </w:tcPr>
          <w:p w:rsidR="006F0672" w:rsidRPr="00D55B0E" w:rsidRDefault="006F0672" w:rsidP="006F0672">
            <w:pPr>
              <w:cnfStyle w:val="000000000000" w:firstRow="0" w:lastRow="0" w:firstColumn="0" w:lastColumn="0" w:oddVBand="0" w:evenVBand="0" w:oddHBand="0" w:evenHBand="0" w:firstRowFirstColumn="0" w:firstRowLastColumn="0" w:lastRowFirstColumn="0" w:lastRowLastColumn="0"/>
              <w:rPr>
                <w:rStyle w:val="Strong"/>
              </w:rPr>
            </w:pPr>
            <w:r w:rsidRPr="00D55B0E">
              <w:rPr>
                <w:rStyle w:val="Strong"/>
              </w:rPr>
              <w:t>4.0</w:t>
            </w:r>
          </w:p>
        </w:tc>
        <w:tc>
          <w:tcPr>
            <w:tcW w:w="1559" w:type="dxa"/>
            <w:vAlign w:val="top"/>
          </w:tcPr>
          <w:p w:rsidR="006F0672" w:rsidRPr="00D55B0E" w:rsidRDefault="006F0672" w:rsidP="006F0672">
            <w:pPr>
              <w:cnfStyle w:val="000000000000" w:firstRow="0" w:lastRow="0" w:firstColumn="0" w:lastColumn="0" w:oddVBand="0" w:evenVBand="0" w:oddHBand="0" w:evenHBand="0" w:firstRowFirstColumn="0" w:firstRowLastColumn="0" w:lastRowFirstColumn="0" w:lastRowLastColumn="0"/>
              <w:rPr>
                <w:rStyle w:val="Strong"/>
              </w:rPr>
            </w:pPr>
            <w:r w:rsidRPr="00D55B0E">
              <w:rPr>
                <w:rStyle w:val="Strong"/>
              </w:rPr>
              <w:t>1.2</w:t>
            </w:r>
          </w:p>
        </w:tc>
        <w:tc>
          <w:tcPr>
            <w:tcW w:w="1781" w:type="dxa"/>
            <w:vAlign w:val="top"/>
          </w:tcPr>
          <w:p w:rsidR="006F0672" w:rsidRPr="00D55B0E" w:rsidRDefault="006F0672" w:rsidP="006C3455">
            <w:pPr>
              <w:cnfStyle w:val="000000000000" w:firstRow="0" w:lastRow="0" w:firstColumn="0" w:lastColumn="0" w:oddVBand="0" w:evenVBand="0" w:oddHBand="0" w:evenHBand="0" w:firstRowFirstColumn="0" w:firstRowLastColumn="0" w:lastRowFirstColumn="0" w:lastRowLastColumn="0"/>
              <w:rPr>
                <w:rStyle w:val="Strong"/>
              </w:rPr>
            </w:pPr>
            <w:r w:rsidRPr="00D55B0E">
              <w:rPr>
                <w:rStyle w:val="Strong"/>
              </w:rPr>
              <w:t>0.</w:t>
            </w:r>
            <w:r w:rsidR="006C3455">
              <w:rPr>
                <w:rStyle w:val="Strong"/>
              </w:rPr>
              <w:t>43</w:t>
            </w:r>
          </w:p>
        </w:tc>
      </w:tr>
    </w:tbl>
    <w:p w:rsidR="0058168F" w:rsidRDefault="006F0672" w:rsidP="003313C7">
      <w:pPr>
        <w:pStyle w:val="Source"/>
      </w:pPr>
      <w:r w:rsidRPr="006F0672">
        <w:t>Source: Victorian gas access arrangement proposals.</w:t>
      </w:r>
    </w:p>
    <w:p w:rsidR="0045460A" w:rsidRDefault="0045460A" w:rsidP="0045460A">
      <w:r w:rsidRPr="008B396C">
        <w:t xml:space="preserve">We </w:t>
      </w:r>
      <w:r>
        <w:t>typically</w:t>
      </w:r>
      <w:r w:rsidRPr="008B396C">
        <w:t xml:space="preserve"> forecast output growth based on the forecast growth in a defined output measure</w:t>
      </w:r>
      <w:r>
        <w:t>,</w:t>
      </w:r>
      <w:r w:rsidRPr="008B396C">
        <w:t xml:space="preserve"> </w:t>
      </w:r>
      <w:r>
        <w:t>using</w:t>
      </w:r>
      <w:r w:rsidRPr="008B396C">
        <w:t xml:space="preserve"> econometric modelling. </w:t>
      </w:r>
      <w:r>
        <w:t xml:space="preserve">However, </w:t>
      </w:r>
      <w:r>
        <w:rPr>
          <w:rStyle w:val="AERbody"/>
        </w:rPr>
        <w:t xml:space="preserve">we </w:t>
      </w:r>
      <w:r w:rsidRPr="008B396C">
        <w:t>do not have the necessary dataset for gas to undertake the modelling needed to determine a standard industry output specification</w:t>
      </w:r>
      <w:r>
        <w:t xml:space="preserve">. Therefore, </w:t>
      </w:r>
      <w:r>
        <w:rPr>
          <w:rStyle w:val="AERbody"/>
        </w:rPr>
        <w:t xml:space="preserve">we developed a test to determine whether the network businesses' forecast method provides a reasonable forecast </w:t>
      </w:r>
      <w:r w:rsidR="000D37E0">
        <w:rPr>
          <w:rStyle w:val="AERbody"/>
        </w:rPr>
        <w:t xml:space="preserve">of </w:t>
      </w:r>
      <w:r>
        <w:rPr>
          <w:rStyle w:val="AERbody"/>
        </w:rPr>
        <w:t xml:space="preserve">output </w:t>
      </w:r>
      <w:r w:rsidR="00C32D1F">
        <w:rPr>
          <w:rStyle w:val="AERbody"/>
        </w:rPr>
        <w:t xml:space="preserve">growth. </w:t>
      </w:r>
      <w:r w:rsidR="00995400">
        <w:rPr>
          <w:rStyle w:val="AERbody"/>
        </w:rPr>
        <w:t>Our test</w:t>
      </w:r>
      <w:r w:rsidR="00C32D1F">
        <w:rPr>
          <w:rStyle w:val="AERbody"/>
        </w:rPr>
        <w:t xml:space="preserve"> established</w:t>
      </w:r>
      <w:r>
        <w:rPr>
          <w:rStyle w:val="AERbody"/>
        </w:rPr>
        <w:t xml:space="preserve"> an acceptable range </w:t>
      </w:r>
      <w:r>
        <w:t>of forecast output growth based on cost functions estimated by Economic Insights</w:t>
      </w:r>
      <w:r>
        <w:rPr>
          <w:rStyle w:val="FootnoteReference"/>
        </w:rPr>
        <w:footnoteReference w:id="29"/>
      </w:r>
      <w:r>
        <w:t xml:space="preserve"> and ACIL Allen</w:t>
      </w:r>
      <w:r>
        <w:rPr>
          <w:rStyle w:val="FootnoteReference"/>
        </w:rPr>
        <w:footnoteReference w:id="30"/>
      </w:r>
      <w:r>
        <w:t>. We consider this approach</w:t>
      </w:r>
      <w:r w:rsidRPr="00057BD0">
        <w:t xml:space="preserve"> </w:t>
      </w:r>
      <w:r>
        <w:t>uses the best information available to provide a reasonable basis on which to establish an acceptable range.</w:t>
      </w:r>
    </w:p>
    <w:p w:rsidR="00D55B0E" w:rsidRDefault="00D55B0E" w:rsidP="00D55B0E">
      <w:r>
        <w:t xml:space="preserve">AGN forecast output growth based on </w:t>
      </w:r>
      <w:r w:rsidR="00B40F9F">
        <w:t xml:space="preserve">a </w:t>
      </w:r>
      <w:r>
        <w:t xml:space="preserve">forecast </w:t>
      </w:r>
      <w:r w:rsidR="00B40F9F">
        <w:t xml:space="preserve">of the </w:t>
      </w:r>
      <w:r>
        <w:t xml:space="preserve">number of new customers </w:t>
      </w:r>
      <w:r w:rsidR="00B40F9F">
        <w:t xml:space="preserve">multiplied by </w:t>
      </w:r>
      <w:r>
        <w:t>a fixed cost per customer.</w:t>
      </w:r>
      <w:r>
        <w:rPr>
          <w:rStyle w:val="FootnoteReference"/>
        </w:rPr>
        <w:footnoteReference w:id="31"/>
      </w:r>
      <w:r>
        <w:t xml:space="preserve"> This is the same approach it used</w:t>
      </w:r>
      <w:r w:rsidR="002F612B">
        <w:t>, and we adopted,</w:t>
      </w:r>
      <w:r>
        <w:t xml:space="preserve"> </w:t>
      </w:r>
      <w:r w:rsidR="002F612B">
        <w:t>for</w:t>
      </w:r>
      <w:r>
        <w:t xml:space="preserve"> </w:t>
      </w:r>
      <w:r w:rsidR="00024B0F">
        <w:t xml:space="preserve">its </w:t>
      </w:r>
      <w:r w:rsidR="002F612B">
        <w:t>2013</w:t>
      </w:r>
      <w:r w:rsidR="00024B0F">
        <w:t>–</w:t>
      </w:r>
      <w:r w:rsidR="002F612B">
        <w:t xml:space="preserve">17 </w:t>
      </w:r>
      <w:r>
        <w:t>access arrangement.</w:t>
      </w:r>
    </w:p>
    <w:p w:rsidR="00F53FF5" w:rsidRDefault="00C32D1F" w:rsidP="00234E62">
      <w:r>
        <w:t>While AGN's</w:t>
      </w:r>
      <w:r w:rsidR="00D55B0E" w:rsidRPr="00500C7E">
        <w:t xml:space="preserve"> approach differs from our standard approach</w:t>
      </w:r>
      <w:r>
        <w:t>,</w:t>
      </w:r>
      <w:r w:rsidR="0045460A">
        <w:t xml:space="preserve"> </w:t>
      </w:r>
      <w:r>
        <w:t>its</w:t>
      </w:r>
      <w:r w:rsidR="002E3778">
        <w:t xml:space="preserve"> </w:t>
      </w:r>
      <w:r w:rsidR="00C06DB1" w:rsidRPr="00C06DB1">
        <w:t>forecast average annual output growth, net of productivity growth, fall</w:t>
      </w:r>
      <w:r w:rsidR="005764DF">
        <w:t>s</w:t>
      </w:r>
      <w:r w:rsidR="00C06DB1" w:rsidRPr="00C06DB1">
        <w:t xml:space="preserve"> </w:t>
      </w:r>
      <w:r w:rsidR="00C06DB1">
        <w:t>within</w:t>
      </w:r>
      <w:r w:rsidR="00C06DB1" w:rsidRPr="00C06DB1">
        <w:t xml:space="preserve"> the </w:t>
      </w:r>
      <w:r w:rsidR="00A23703">
        <w:t>acceptable</w:t>
      </w:r>
      <w:r w:rsidR="00A23703" w:rsidRPr="00C06DB1">
        <w:t xml:space="preserve"> </w:t>
      </w:r>
      <w:r w:rsidR="00C06DB1" w:rsidRPr="00C06DB1">
        <w:t>range of forecast output growth</w:t>
      </w:r>
      <w:r w:rsidR="00C06DB1">
        <w:t xml:space="preserve"> (</w:t>
      </w:r>
      <w:r w:rsidR="00C06DB1" w:rsidRPr="00C06DB1">
        <w:fldChar w:fldCharType="begin"/>
      </w:r>
      <w:r w:rsidR="00C06DB1" w:rsidRPr="00C06DB1">
        <w:instrText xml:space="preserve"> REF _Ref483322571 \h </w:instrText>
      </w:r>
      <w:r w:rsidR="00C06DB1" w:rsidRPr="00C06DB1">
        <w:fldChar w:fldCharType="separate"/>
      </w:r>
      <w:r w:rsidR="008E59D4" w:rsidRPr="000B5931">
        <w:t xml:space="preserve">Table </w:t>
      </w:r>
      <w:r w:rsidR="008E59D4">
        <w:rPr>
          <w:noProof/>
        </w:rPr>
        <w:t>7</w:t>
      </w:r>
      <w:r w:rsidR="008E59D4" w:rsidRPr="000B5931">
        <w:t>.</w:t>
      </w:r>
      <w:r w:rsidR="008E59D4">
        <w:rPr>
          <w:noProof/>
        </w:rPr>
        <w:t>4</w:t>
      </w:r>
      <w:r w:rsidR="00C06DB1" w:rsidRPr="00C06DB1">
        <w:fldChar w:fldCharType="end"/>
      </w:r>
      <w:r w:rsidR="00C06DB1">
        <w:t>)</w:t>
      </w:r>
      <w:r w:rsidR="000B5931" w:rsidRPr="000B5931">
        <w:t>.</w:t>
      </w:r>
      <w:r w:rsidR="00234E62">
        <w:t xml:space="preserve"> </w:t>
      </w:r>
      <w:r>
        <w:t>O</w:t>
      </w:r>
      <w:r w:rsidR="00234E62">
        <w:t>n this basis, w</w:t>
      </w:r>
      <w:r w:rsidR="00234E62" w:rsidRPr="00234E62">
        <w:t xml:space="preserve">e are satisfied </w:t>
      </w:r>
      <w:r w:rsidR="00234E62">
        <w:t>its proposed</w:t>
      </w:r>
      <w:r w:rsidR="00234E62" w:rsidRPr="00234E62">
        <w:t xml:space="preserve"> output growth of $4.0 million ($2017) over </w:t>
      </w:r>
      <w:r w:rsidR="00F53FF5">
        <w:t>the 2018–22 access arrangement period</w:t>
      </w:r>
      <w:r w:rsidR="00234E62" w:rsidRPr="00234E62">
        <w:t xml:space="preserve"> </w:t>
      </w:r>
      <w:r w:rsidR="00E53BDD">
        <w:t>meets the opex criteria</w:t>
      </w:r>
      <w:r>
        <w:t xml:space="preserve"> and w</w:t>
      </w:r>
      <w:r w:rsidR="002E3778">
        <w:t xml:space="preserve">e </w:t>
      </w:r>
      <w:r w:rsidR="00DE6582">
        <w:t xml:space="preserve">have included it in our alternative </w:t>
      </w:r>
      <w:r w:rsidR="0030680B">
        <w:t>estimate</w:t>
      </w:r>
      <w:r w:rsidR="00234E62" w:rsidRPr="00234E62">
        <w:t>.</w:t>
      </w:r>
      <w:r w:rsidR="005D2EAC">
        <w:t xml:space="preserve"> </w:t>
      </w:r>
    </w:p>
    <w:p w:rsidR="000B5931" w:rsidRPr="000B5931" w:rsidRDefault="000B5931" w:rsidP="000B5931">
      <w:pPr>
        <w:pStyle w:val="Caption"/>
      </w:pPr>
      <w:bookmarkStart w:id="95" w:name="_Ref483322571"/>
      <w:proofErr w:type="gramStart"/>
      <w:r w:rsidRPr="000B5931">
        <w:t xml:space="preserve">Table </w:t>
      </w:r>
      <w:proofErr w:type="gramEnd"/>
      <w:r w:rsidR="008E0D00">
        <w:fldChar w:fldCharType="begin"/>
      </w:r>
      <w:r w:rsidR="008E0D00">
        <w:instrText xml:space="preserve"> STYLEREF 1 \s </w:instrText>
      </w:r>
      <w:r w:rsidR="008E0D00">
        <w:fldChar w:fldCharType="separate"/>
      </w:r>
      <w:r w:rsidR="008E59D4">
        <w:rPr>
          <w:noProof/>
        </w:rPr>
        <w:t>7</w:t>
      </w:r>
      <w:r w:rsidR="008E0D00">
        <w:rPr>
          <w:noProof/>
        </w:rPr>
        <w:fldChar w:fldCharType="end"/>
      </w:r>
      <w:proofErr w:type="gramStart"/>
      <w:r w:rsidRPr="000B5931">
        <w:t>.</w:t>
      </w:r>
      <w:proofErr w:type="gramEnd"/>
      <w:r w:rsidR="00EE56BB">
        <w:fldChar w:fldCharType="begin"/>
      </w:r>
      <w:r w:rsidR="00EE56BB">
        <w:instrText xml:space="preserve"> SEQ Table \* ARABIC \s 1 </w:instrText>
      </w:r>
      <w:r w:rsidR="00EE56BB">
        <w:fldChar w:fldCharType="separate"/>
      </w:r>
      <w:r w:rsidR="008E59D4">
        <w:rPr>
          <w:noProof/>
        </w:rPr>
        <w:t>4</w:t>
      </w:r>
      <w:r w:rsidR="00EE56BB">
        <w:rPr>
          <w:noProof/>
        </w:rPr>
        <w:fldChar w:fldCharType="end"/>
      </w:r>
      <w:bookmarkEnd w:id="95"/>
      <w:r w:rsidRPr="000B5931">
        <w:tab/>
        <w:t xml:space="preserve">Comparison of </w:t>
      </w:r>
      <w:r>
        <w:t>AGN's</w:t>
      </w:r>
      <w:r w:rsidRPr="000B5931">
        <w:t xml:space="preserve"> forecast output growth with the </w:t>
      </w:r>
      <w:r w:rsidR="00F57093">
        <w:t>acceptable</w:t>
      </w:r>
      <w:r w:rsidRPr="000B5931">
        <w:t xml:space="preserve"> range</w:t>
      </w:r>
      <w:r w:rsidR="00F53FF5">
        <w:t xml:space="preserve"> of output growth net of productivity</w:t>
      </w:r>
    </w:p>
    <w:tbl>
      <w:tblPr>
        <w:tblStyle w:val="AERtable-numbers"/>
        <w:tblW w:w="0" w:type="auto"/>
        <w:tblLook w:val="04A0" w:firstRow="1" w:lastRow="0" w:firstColumn="1" w:lastColumn="0" w:noHBand="0" w:noVBand="1"/>
      </w:tblPr>
      <w:tblGrid>
        <w:gridCol w:w="1809"/>
        <w:gridCol w:w="1843"/>
        <w:gridCol w:w="2410"/>
        <w:gridCol w:w="2631"/>
      </w:tblGrid>
      <w:tr w:rsidR="000B5931" w:rsidTr="006951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0B5931" w:rsidRPr="000B5931" w:rsidRDefault="000B5931" w:rsidP="000B5931"/>
        </w:tc>
        <w:tc>
          <w:tcPr>
            <w:tcW w:w="1843" w:type="dxa"/>
          </w:tcPr>
          <w:p w:rsidR="000B5931" w:rsidRPr="000B5931" w:rsidRDefault="000B5931" w:rsidP="002E3778">
            <w:pPr>
              <w:cnfStyle w:val="100000000000" w:firstRow="1" w:lastRow="0" w:firstColumn="0" w:lastColumn="0" w:oddVBand="0" w:evenVBand="0" w:oddHBand="0" w:evenHBand="0" w:firstRowFirstColumn="0" w:firstRowLastColumn="0" w:lastRowFirstColumn="0" w:lastRowLastColumn="0"/>
            </w:pPr>
            <w:r w:rsidRPr="000B5931">
              <w:t>Proposed average annual growth rate</w:t>
            </w:r>
            <w:r w:rsidR="002E3778">
              <w:t>,</w:t>
            </w:r>
            <w:r w:rsidRPr="000B5931">
              <w:t xml:space="preserve">       </w:t>
            </w:r>
            <w:r w:rsidR="002E3778">
              <w:t>per cent</w:t>
            </w:r>
          </w:p>
        </w:tc>
        <w:tc>
          <w:tcPr>
            <w:tcW w:w="2410" w:type="dxa"/>
          </w:tcPr>
          <w:p w:rsidR="000B5931" w:rsidRPr="000B5931" w:rsidRDefault="00F57093" w:rsidP="002E3778">
            <w:pPr>
              <w:cnfStyle w:val="100000000000" w:firstRow="1" w:lastRow="0" w:firstColumn="0" w:lastColumn="0" w:oddVBand="0" w:evenVBand="0" w:oddHBand="0" w:evenHBand="0" w:firstRowFirstColumn="0" w:firstRowLastColumn="0" w:lastRowFirstColumn="0" w:lastRowLastColumn="0"/>
            </w:pPr>
            <w:r>
              <w:t>Acceptable</w:t>
            </w:r>
            <w:r w:rsidR="000B5931" w:rsidRPr="000B5931">
              <w:t xml:space="preserve"> range, average annual growth rate</w:t>
            </w:r>
            <w:r w:rsidR="002E3778">
              <w:t>,</w:t>
            </w:r>
            <w:r w:rsidR="000B5931" w:rsidRPr="000B5931">
              <w:t xml:space="preserve">               </w:t>
            </w:r>
            <w:r w:rsidR="002E3778">
              <w:t>per cent</w:t>
            </w:r>
          </w:p>
        </w:tc>
        <w:tc>
          <w:tcPr>
            <w:tcW w:w="2631" w:type="dxa"/>
          </w:tcPr>
          <w:p w:rsidR="000B5931" w:rsidRPr="000B5931" w:rsidRDefault="000B5931" w:rsidP="000B5931">
            <w:pPr>
              <w:cnfStyle w:val="100000000000" w:firstRow="1" w:lastRow="0" w:firstColumn="0" w:lastColumn="0" w:oddVBand="0" w:evenVBand="0" w:oddHBand="0" w:evenHBand="0" w:firstRowFirstColumn="0" w:firstRowLastColumn="0" w:lastRowFirstColumn="0" w:lastRowLastColumn="0"/>
            </w:pPr>
            <w:r w:rsidRPr="000B5931">
              <w:t xml:space="preserve">Assessment                            </w:t>
            </w:r>
          </w:p>
        </w:tc>
      </w:tr>
      <w:tr w:rsidR="000B5931" w:rsidRPr="000B5931" w:rsidTr="0069517C">
        <w:tc>
          <w:tcPr>
            <w:cnfStyle w:val="001000000000" w:firstRow="0" w:lastRow="0" w:firstColumn="1" w:lastColumn="0" w:oddVBand="0" w:evenVBand="0" w:oddHBand="0" w:evenHBand="0" w:firstRowFirstColumn="0" w:firstRowLastColumn="0" w:lastRowFirstColumn="0" w:lastRowLastColumn="0"/>
            <w:tcW w:w="1809" w:type="dxa"/>
          </w:tcPr>
          <w:p w:rsidR="000B5931" w:rsidRPr="000B5931" w:rsidRDefault="000B5931" w:rsidP="000B5931">
            <w:pPr>
              <w:rPr>
                <w:rStyle w:val="Strong"/>
              </w:rPr>
            </w:pPr>
            <w:r w:rsidRPr="000B5931">
              <w:rPr>
                <w:rStyle w:val="Strong"/>
              </w:rPr>
              <w:t>AGN</w:t>
            </w:r>
          </w:p>
        </w:tc>
        <w:tc>
          <w:tcPr>
            <w:tcW w:w="1843" w:type="dxa"/>
          </w:tcPr>
          <w:p w:rsidR="000B5931" w:rsidRPr="000B5931" w:rsidRDefault="000B5931" w:rsidP="006C3455">
            <w:pPr>
              <w:cnfStyle w:val="000000000000" w:firstRow="0" w:lastRow="0" w:firstColumn="0" w:lastColumn="0" w:oddVBand="0" w:evenVBand="0" w:oddHBand="0" w:evenHBand="0" w:firstRowFirstColumn="0" w:firstRowLastColumn="0" w:lastRowFirstColumn="0" w:lastRowLastColumn="0"/>
              <w:rPr>
                <w:rStyle w:val="Strong"/>
              </w:rPr>
            </w:pPr>
            <w:r w:rsidRPr="000B5931">
              <w:rPr>
                <w:rStyle w:val="Strong"/>
              </w:rPr>
              <w:t>0.</w:t>
            </w:r>
            <w:r w:rsidR="006C3455" w:rsidRPr="000B5931" w:rsidDel="006C3455">
              <w:rPr>
                <w:rStyle w:val="Strong"/>
              </w:rPr>
              <w:t xml:space="preserve"> </w:t>
            </w:r>
            <w:r w:rsidR="006C3455">
              <w:rPr>
                <w:rStyle w:val="Strong"/>
              </w:rPr>
              <w:t>43</w:t>
            </w:r>
          </w:p>
        </w:tc>
        <w:tc>
          <w:tcPr>
            <w:tcW w:w="2410" w:type="dxa"/>
          </w:tcPr>
          <w:p w:rsidR="000B5931" w:rsidRPr="000B5931" w:rsidRDefault="002E3778" w:rsidP="000B5931">
            <w:pPr>
              <w:cnfStyle w:val="000000000000" w:firstRow="0" w:lastRow="0" w:firstColumn="0" w:lastColumn="0" w:oddVBand="0" w:evenVBand="0" w:oddHBand="0" w:evenHBand="0" w:firstRowFirstColumn="0" w:firstRowLastColumn="0" w:lastRowFirstColumn="0" w:lastRowLastColumn="0"/>
              <w:rPr>
                <w:rStyle w:val="Strong"/>
              </w:rPr>
            </w:pPr>
            <w:r>
              <w:rPr>
                <w:rStyle w:val="Strong"/>
              </w:rPr>
              <w:t>–</w:t>
            </w:r>
            <w:r w:rsidR="000B5931" w:rsidRPr="000B5931">
              <w:rPr>
                <w:rStyle w:val="Strong"/>
              </w:rPr>
              <w:t>0.57 to 1.59</w:t>
            </w:r>
          </w:p>
        </w:tc>
        <w:tc>
          <w:tcPr>
            <w:tcW w:w="2631" w:type="dxa"/>
          </w:tcPr>
          <w:p w:rsidR="000B5931" w:rsidRPr="00FE124C" w:rsidRDefault="00FE124C" w:rsidP="000B5931">
            <w:pPr>
              <w:cnfStyle w:val="000000000000" w:firstRow="0" w:lastRow="0" w:firstColumn="0" w:lastColumn="0" w:oddVBand="0" w:evenVBand="0" w:oddHBand="0" w:evenHBand="0" w:firstRowFirstColumn="0" w:firstRowLastColumn="0" w:lastRowFirstColumn="0" w:lastRowLastColumn="0"/>
              <w:rPr>
                <w:rStyle w:val="Strong"/>
              </w:rPr>
            </w:pPr>
            <w:r w:rsidRPr="00FE124C">
              <w:rPr>
                <w:rStyle w:val="Strong"/>
              </w:rPr>
              <w:t>Within acceptable range</w:t>
            </w:r>
          </w:p>
        </w:tc>
      </w:tr>
    </w:tbl>
    <w:p w:rsidR="000B5931" w:rsidRDefault="000B5931" w:rsidP="000B5931">
      <w:pPr>
        <w:pStyle w:val="Source"/>
      </w:pPr>
      <w:r>
        <w:t>Source: AER analysis.</w:t>
      </w:r>
    </w:p>
    <w:p w:rsidR="00605853" w:rsidRDefault="00605853" w:rsidP="00C32D1F">
      <w:pPr>
        <w:pStyle w:val="HeadingItalic"/>
      </w:pPr>
      <w:r>
        <w:t>Forecast productivity</w:t>
      </w:r>
      <w:r w:rsidR="00546E2A">
        <w:t xml:space="preserve"> growth</w:t>
      </w:r>
    </w:p>
    <w:p w:rsidR="00F53FF5" w:rsidRDefault="00F53FF5" w:rsidP="0075450A">
      <w:r>
        <w:t>W</w:t>
      </w:r>
      <w:r w:rsidR="005D2EAC">
        <w:t xml:space="preserve">e have implicitly accounted for productivity growth </w:t>
      </w:r>
      <w:r>
        <w:t>by including an output growth forecast</w:t>
      </w:r>
      <w:r w:rsidR="005D2EAC">
        <w:t xml:space="preserve"> </w:t>
      </w:r>
      <w:r w:rsidR="003313C7">
        <w:t>that</w:t>
      </w:r>
      <w:r w:rsidR="005D2EAC">
        <w:t xml:space="preserve"> is net of productivity growth</w:t>
      </w:r>
      <w:r>
        <w:t xml:space="preserve"> in our alternative </w:t>
      </w:r>
      <w:r w:rsidR="0030680B">
        <w:t>estimate</w:t>
      </w:r>
      <w:r w:rsidR="005D2EAC">
        <w:t>.</w:t>
      </w:r>
    </w:p>
    <w:p w:rsidR="000B5931" w:rsidRPr="000B5931" w:rsidRDefault="000B5931" w:rsidP="000B5931">
      <w:r w:rsidRPr="000B5931">
        <w:t xml:space="preserve">We consider network growth should deliver productivity gains such as economies of scale, particularly for operating costs. </w:t>
      </w:r>
    </w:p>
    <w:p w:rsidR="000B5931" w:rsidRPr="000B5931" w:rsidRDefault="000B5931" w:rsidP="000B5931">
      <w:r w:rsidRPr="000B5931">
        <w:t xml:space="preserve">Achieving productivity gains would be consistent with AGN’s past </w:t>
      </w:r>
      <w:r w:rsidR="00A32D0A">
        <w:t>performance</w:t>
      </w:r>
      <w:r w:rsidR="00A32D0A" w:rsidRPr="000B5931">
        <w:t xml:space="preserve"> </w:t>
      </w:r>
      <w:r w:rsidRPr="000B5931">
        <w:t xml:space="preserve">as well </w:t>
      </w:r>
      <w:r w:rsidR="004011EB">
        <w:t xml:space="preserve">as </w:t>
      </w:r>
      <w:r w:rsidRPr="000B5931">
        <w:t xml:space="preserve">that of other gas distribution businesses. According to the productivity performance study Economic Insights prepared for the three Victorian distribution businesses, </w:t>
      </w:r>
      <w:r w:rsidR="00A32D0A" w:rsidRPr="00767921">
        <w:t xml:space="preserve">positive opex partial factor productivity index </w:t>
      </w:r>
      <w:r w:rsidR="00A32D0A">
        <w:t xml:space="preserve">performance improved for all three </w:t>
      </w:r>
      <w:r w:rsidR="00A32D0A" w:rsidRPr="00767921">
        <w:t xml:space="preserve">from 1999 to 2015, </w:t>
      </w:r>
      <w:r w:rsidR="00A32D0A">
        <w:t>showing positive productivity growth.</w:t>
      </w:r>
    </w:p>
    <w:p w:rsidR="000B5931" w:rsidRPr="000B5931" w:rsidRDefault="000B5931" w:rsidP="000B5931">
      <w:r w:rsidRPr="000B5931">
        <w:t>We have also consider</w:t>
      </w:r>
      <w:r w:rsidR="004011EB">
        <w:t>ed</w:t>
      </w:r>
      <w:r w:rsidRPr="000B5931">
        <w:t xml:space="preserve"> the report Economic Insights prepared for Multinet in estimating </w:t>
      </w:r>
      <w:r w:rsidR="00A23703">
        <w:t>its</w:t>
      </w:r>
      <w:r w:rsidR="00A23703" w:rsidRPr="000B5931">
        <w:t xml:space="preserve"> </w:t>
      </w:r>
      <w:r w:rsidRPr="000B5931">
        <w:t>opex cost function.</w:t>
      </w:r>
      <w:r w:rsidR="00B40F9F">
        <w:rPr>
          <w:rStyle w:val="FootnoteReference"/>
        </w:rPr>
        <w:footnoteReference w:id="32"/>
      </w:r>
      <w:r w:rsidRPr="000B5931">
        <w:t xml:space="preserve"> Economic Insights found significant economies of scale as well as positive technological change. Both economies of scale and technological change are components of productivity change</w:t>
      </w:r>
      <w:r w:rsidR="00A23703">
        <w:t>,</w:t>
      </w:r>
      <w:r w:rsidRPr="000B5931">
        <w:t xml:space="preserve"> and indicate the gas distribution businesses should achieve positive productivity growth.</w:t>
      </w:r>
    </w:p>
    <w:p w:rsidR="00605853" w:rsidRPr="00605853" w:rsidRDefault="00605853" w:rsidP="00605853">
      <w:pPr>
        <w:pStyle w:val="Heading3"/>
      </w:pPr>
      <w:bookmarkStart w:id="96" w:name="_Toc475028903"/>
      <w:bookmarkStart w:id="97" w:name="_Toc486832602"/>
      <w:r>
        <w:t>Step changes</w:t>
      </w:r>
      <w:bookmarkEnd w:id="96"/>
      <w:bookmarkEnd w:id="97"/>
      <w:r>
        <w:t xml:space="preserve"> </w:t>
      </w:r>
    </w:p>
    <w:p w:rsidR="00605853" w:rsidRPr="00370E31" w:rsidRDefault="00605853" w:rsidP="00605853">
      <w:r w:rsidRPr="00370E31">
        <w:t xml:space="preserve">We </w:t>
      </w:r>
      <w:r w:rsidR="004D1693">
        <w:t>did not include</w:t>
      </w:r>
      <w:r w:rsidR="002D37E9">
        <w:t xml:space="preserve"> any step change</w:t>
      </w:r>
      <w:r w:rsidR="00A82B47">
        <w:t>s</w:t>
      </w:r>
      <w:r w:rsidRPr="00370E31">
        <w:t xml:space="preserve"> </w:t>
      </w:r>
      <w:r w:rsidR="00A32D0A">
        <w:t xml:space="preserve">proposed by AGN </w:t>
      </w:r>
      <w:r w:rsidR="007D38C2">
        <w:t xml:space="preserve">when arriving at </w:t>
      </w:r>
      <w:r w:rsidRPr="00370E31">
        <w:t>our alternative estimate</w:t>
      </w:r>
      <w:r w:rsidR="007D38C2">
        <w:t>.</w:t>
      </w:r>
    </w:p>
    <w:p w:rsidR="002D37E9" w:rsidRDefault="002D37E9" w:rsidP="00C32D1F">
      <w:pPr>
        <w:pStyle w:val="HeadingItalic"/>
      </w:pPr>
      <w:r>
        <w:t xml:space="preserve">Expanded </w:t>
      </w:r>
      <w:r w:rsidR="00A82B47">
        <w:t>m</w:t>
      </w:r>
      <w:r>
        <w:t xml:space="preserve">arketing </w:t>
      </w:r>
      <w:r w:rsidR="00A82B47">
        <w:t>p</w:t>
      </w:r>
      <w:r>
        <w:t>rogram</w:t>
      </w:r>
    </w:p>
    <w:p w:rsidR="008F57C6" w:rsidRDefault="002D37E9" w:rsidP="002D37E9">
      <w:r>
        <w:t xml:space="preserve">AGN proposed a $5.1 million ($2017) step change to </w:t>
      </w:r>
      <w:r w:rsidR="005029A9">
        <w:t>expand</w:t>
      </w:r>
      <w:r>
        <w:t xml:space="preserve"> its marketing program and </w:t>
      </w:r>
      <w:r w:rsidR="005029A9">
        <w:t xml:space="preserve">coordinate marketing activities with the other two </w:t>
      </w:r>
      <w:r w:rsidR="007A5E17">
        <w:t xml:space="preserve">Victorian </w:t>
      </w:r>
      <w:r w:rsidR="005029A9">
        <w:t xml:space="preserve">gas distributors in the next </w:t>
      </w:r>
      <w:r w:rsidR="00786EFB">
        <w:t xml:space="preserve">access arrangement </w:t>
      </w:r>
      <w:r w:rsidR="005029A9">
        <w:t xml:space="preserve">period (the joint marketing program). </w:t>
      </w:r>
    </w:p>
    <w:p w:rsidR="002D37E9" w:rsidRDefault="002D37E9" w:rsidP="002D37E9">
      <w:r>
        <w:t xml:space="preserve">We </w:t>
      </w:r>
      <w:r w:rsidR="004D1693">
        <w:t>did not include</w:t>
      </w:r>
      <w:r>
        <w:t xml:space="preserve"> AGN's marketing step change in our alternative estimate of total opex.</w:t>
      </w:r>
      <w:r w:rsidR="007A5E17">
        <w:t xml:space="preserve"> </w:t>
      </w:r>
      <w:r w:rsidR="008F57C6">
        <w:t>W</w:t>
      </w:r>
      <w:r w:rsidR="008F57C6" w:rsidRPr="003C2F56">
        <w:t xml:space="preserve">e consider base opex, trended forward by the forecast rate of change, is sufficient for </w:t>
      </w:r>
      <w:r w:rsidR="008F57C6">
        <w:t>AGN</w:t>
      </w:r>
      <w:r w:rsidR="008F57C6" w:rsidRPr="003C2F56">
        <w:t xml:space="preserve"> to continue to meet its existing obligations.</w:t>
      </w:r>
      <w:r w:rsidR="008F57C6">
        <w:t xml:space="preserve"> </w:t>
      </w:r>
      <w:r w:rsidR="00D92780">
        <w:t>M</w:t>
      </w:r>
      <w:r w:rsidR="008F57C6">
        <w:t xml:space="preserve">arketing is a 'business-as-usual' expense for AGN to </w:t>
      </w:r>
      <w:r w:rsidR="00D92780">
        <w:t xml:space="preserve">consider </w:t>
      </w:r>
      <w:r w:rsidR="008F57C6">
        <w:t xml:space="preserve">within its existing base opex forecast. </w:t>
      </w:r>
      <w:r w:rsidR="008F57C6" w:rsidRPr="008F57C6">
        <w:t xml:space="preserve">Our reasons for not including a step change in </w:t>
      </w:r>
      <w:r w:rsidR="00E53BDD">
        <w:t xml:space="preserve">our alternative estimate </w:t>
      </w:r>
      <w:r w:rsidR="008F57C6" w:rsidRPr="008F57C6">
        <w:t>are set out in more detail in our draft access arrangement decisions for Multinet and AusNet Services.</w:t>
      </w:r>
      <w:r w:rsidR="008F57C6" w:rsidRPr="008F57C6">
        <w:rPr>
          <w:rStyle w:val="FootnoteReference"/>
        </w:rPr>
        <w:footnoteReference w:id="33"/>
      </w:r>
      <w:r w:rsidR="008F57C6" w:rsidRPr="008F57C6">
        <w:t xml:space="preserve"> </w:t>
      </w:r>
      <w:r w:rsidR="00B026E5">
        <w:t xml:space="preserve">Again, although we have not included these costs in the opex forecast, the difference between </w:t>
      </w:r>
      <w:r w:rsidR="00B026E5" w:rsidRPr="003E08FE">
        <w:t xml:space="preserve">our alternative estimate </w:t>
      </w:r>
      <w:r w:rsidR="00B026E5">
        <w:t>and</w:t>
      </w:r>
      <w:r w:rsidR="00B026E5" w:rsidRPr="003E08FE">
        <w:t xml:space="preserve"> </w:t>
      </w:r>
      <w:r w:rsidR="00B026E5">
        <w:t>AGN</w:t>
      </w:r>
      <w:r w:rsidR="00B026E5" w:rsidRPr="003E08FE">
        <w:t xml:space="preserve">'s </w:t>
      </w:r>
      <w:r w:rsidR="00893322">
        <w:t>total forecast</w:t>
      </w:r>
      <w:r w:rsidR="00B026E5">
        <w:t xml:space="preserve"> is </w:t>
      </w:r>
      <w:r w:rsidR="00893322">
        <w:t xml:space="preserve">not </w:t>
      </w:r>
      <w:r w:rsidR="00B026E5">
        <w:t>material.</w:t>
      </w:r>
      <w:r w:rsidR="008F57C6">
        <w:t xml:space="preserve"> </w:t>
      </w:r>
    </w:p>
    <w:p w:rsidR="00605853" w:rsidRPr="00605853" w:rsidRDefault="00605853" w:rsidP="00605853">
      <w:pPr>
        <w:pStyle w:val="Heading3"/>
      </w:pPr>
      <w:bookmarkStart w:id="98" w:name="_Toc475028904"/>
      <w:bookmarkStart w:id="99" w:name="_Toc486832603"/>
      <w:r>
        <w:t>Category specific forecasts</w:t>
      </w:r>
      <w:bookmarkEnd w:id="98"/>
      <w:bookmarkEnd w:id="99"/>
    </w:p>
    <w:p w:rsidR="00FB1E40" w:rsidRDefault="00605853" w:rsidP="00605853">
      <w:r w:rsidRPr="00962B71">
        <w:t xml:space="preserve">We </w:t>
      </w:r>
      <w:r w:rsidR="007D38C2">
        <w:t>include</w:t>
      </w:r>
      <w:r w:rsidR="00FB1E40">
        <w:t>d</w:t>
      </w:r>
      <w:r w:rsidRPr="00962B71">
        <w:t xml:space="preserve"> </w:t>
      </w:r>
      <w:r>
        <w:t>a category specific forecast for debt raising costs</w:t>
      </w:r>
      <w:r w:rsidRPr="00962B71">
        <w:t xml:space="preserve"> </w:t>
      </w:r>
      <w:r>
        <w:t>of $</w:t>
      </w:r>
      <w:r w:rsidR="00546E2A">
        <w:t>4.</w:t>
      </w:r>
      <w:r w:rsidR="001953A2">
        <w:t xml:space="preserve">1 </w:t>
      </w:r>
      <w:r w:rsidR="00280320">
        <w:t>million ($20</w:t>
      </w:r>
      <w:r>
        <w:t>17)</w:t>
      </w:r>
      <w:r w:rsidR="006028F4">
        <w:t xml:space="preserve"> in our alternative estimate</w:t>
      </w:r>
      <w:r w:rsidRPr="00962B71">
        <w:t xml:space="preserve">. </w:t>
      </w:r>
      <w:r w:rsidR="001953A2">
        <w:t xml:space="preserve">This is slightly lower than AGN's forecast. </w:t>
      </w:r>
    </w:p>
    <w:p w:rsidR="00605853" w:rsidRDefault="00605853" w:rsidP="00605853">
      <w:pPr>
        <w:rPr>
          <w:rStyle w:val="AERbody"/>
        </w:rPr>
      </w:pPr>
      <w:r w:rsidRPr="00BC4DFC">
        <w:rPr>
          <w:rStyle w:val="AERbody"/>
        </w:rPr>
        <w:t xml:space="preserve">Debt raising costs are transaction costs incurred each time debt is raised or refinanced. We forecast them </w:t>
      </w:r>
      <w:r w:rsidRPr="002F6520">
        <w:t>based on a benchmarking approach rather than a service provider’s actual costs</w:t>
      </w:r>
      <w:r>
        <w:t xml:space="preserve"> for consistency with the </w:t>
      </w:r>
      <w:r w:rsidRPr="002F6520">
        <w:t>forecast of the cost of debt in the rate of return building block</w:t>
      </w:r>
      <w:r w:rsidRPr="00BC4DFC">
        <w:rPr>
          <w:rStyle w:val="AERbody"/>
        </w:rPr>
        <w:t xml:space="preserve">. </w:t>
      </w:r>
      <w:r>
        <w:rPr>
          <w:rStyle w:val="AERbody"/>
        </w:rPr>
        <w:t>Further details</w:t>
      </w:r>
      <w:r w:rsidRPr="00BC4DFC">
        <w:rPr>
          <w:rStyle w:val="AERbody"/>
        </w:rPr>
        <w:t xml:space="preserve"> are set out in the debt and equity raising </w:t>
      </w:r>
      <w:r w:rsidRPr="008A63FD">
        <w:t>costs appendix in the rate of return attachment</w:t>
      </w:r>
      <w:r w:rsidRPr="00BC4DFC">
        <w:rPr>
          <w:rStyle w:val="AERbody"/>
        </w:rPr>
        <w:t>.</w:t>
      </w:r>
    </w:p>
    <w:p w:rsidR="00695629" w:rsidRPr="00605853" w:rsidRDefault="00695629" w:rsidP="00695629">
      <w:pPr>
        <w:pStyle w:val="Heading3"/>
      </w:pPr>
      <w:bookmarkStart w:id="100" w:name="_Toc486832604"/>
      <w:r>
        <w:t>Interrelationships</w:t>
      </w:r>
      <w:bookmarkEnd w:id="100"/>
    </w:p>
    <w:p w:rsidR="00695629" w:rsidRPr="003E08FE" w:rsidRDefault="00695629" w:rsidP="00695629">
      <w:r w:rsidRPr="00A20323">
        <w:t>In assessing total forecast opex we took into account other components of our draft decision</w:t>
      </w:r>
      <w:r>
        <w:t>,</w:t>
      </w:r>
      <w:r w:rsidRPr="00A20323">
        <w:t xml:space="preserve"> including:</w:t>
      </w:r>
      <w:r>
        <w:t xml:space="preserve"> </w:t>
      </w:r>
    </w:p>
    <w:p w:rsidR="00695629" w:rsidRDefault="00695629" w:rsidP="00695629">
      <w:pPr>
        <w:pStyle w:val="AERbulletlistfirststyle"/>
      </w:pPr>
      <w:r w:rsidRPr="003E08FE">
        <w:t xml:space="preserve">the operation of the </w:t>
      </w:r>
      <w:r>
        <w:t>efficiency carryover mechanism</w:t>
      </w:r>
      <w:r w:rsidRPr="003E08FE">
        <w:t xml:space="preserve"> in the 201</w:t>
      </w:r>
      <w:r>
        <w:t>3</w:t>
      </w:r>
      <w:r w:rsidRPr="003E08FE">
        <w:t xml:space="preserve">–17 </w:t>
      </w:r>
      <w:r>
        <w:t>access arrangement</w:t>
      </w:r>
      <w:r w:rsidRPr="003E08FE">
        <w:t xml:space="preserve"> period, which provided </w:t>
      </w:r>
      <w:r>
        <w:t>AGN</w:t>
      </w:r>
      <w:r w:rsidRPr="003E08FE">
        <w:t xml:space="preserve"> an incentive to reduce opex in the base year</w:t>
      </w:r>
      <w:r>
        <w:t xml:space="preserve"> </w:t>
      </w:r>
    </w:p>
    <w:p w:rsidR="00695629" w:rsidRDefault="00695629" w:rsidP="00605853">
      <w:pPr>
        <w:pStyle w:val="AERbulletlistfirststyle"/>
        <w:rPr>
          <w:rStyle w:val="AERbody"/>
        </w:rPr>
      </w:pPr>
      <w:proofErr w:type="gramStart"/>
      <w:r w:rsidRPr="003E08FE">
        <w:t>the</w:t>
      </w:r>
      <w:proofErr w:type="gramEnd"/>
      <w:r w:rsidRPr="003E08FE">
        <w:t xml:space="preserve"> approach to assessing the rate of return, to ensure there is consistency between our determination of debt raising costs and the rate of return building block.</w:t>
      </w:r>
    </w:p>
    <w:p w:rsidR="00D5015C" w:rsidRDefault="00D5015C" w:rsidP="00D5015C">
      <w:pPr>
        <w:pStyle w:val="Heading2"/>
      </w:pPr>
      <w:bookmarkStart w:id="101" w:name="_Toc486832605"/>
      <w:r>
        <w:t>Revisions</w:t>
      </w:r>
      <w:bookmarkEnd w:id="101"/>
    </w:p>
    <w:p w:rsidR="00301941" w:rsidRDefault="00301941" w:rsidP="00FE124C">
      <w:r>
        <w:t>We</w:t>
      </w:r>
      <w:r w:rsidR="00FE124C" w:rsidRPr="00654730">
        <w:t xml:space="preserve"> require </w:t>
      </w:r>
      <w:r w:rsidR="00FE124C">
        <w:t>AGN</w:t>
      </w:r>
      <w:r w:rsidR="00B9752A">
        <w:t>,</w:t>
      </w:r>
      <w:r w:rsidR="00FE124C" w:rsidRPr="00654730">
        <w:t xml:space="preserve"> </w:t>
      </w:r>
      <w:r w:rsidR="00B9752A" w:rsidRPr="00F24BEC">
        <w:t>in its revised proposal</w:t>
      </w:r>
      <w:r w:rsidR="00B9752A">
        <w:t xml:space="preserve">, </w:t>
      </w:r>
      <w:r w:rsidR="00FE124C">
        <w:t>to update its opex forecast</w:t>
      </w:r>
      <w:r>
        <w:t xml:space="preserve"> for 2018</w:t>
      </w:r>
      <w:r w:rsidR="009E6020">
        <w:t>–</w:t>
      </w:r>
      <w:r>
        <w:t>22</w:t>
      </w:r>
      <w:r w:rsidR="00FE124C">
        <w:t xml:space="preserve"> to reflect </w:t>
      </w:r>
      <w:r>
        <w:t xml:space="preserve">the </w:t>
      </w:r>
      <w:r w:rsidR="00FE124C">
        <w:t xml:space="preserve">actual opex </w:t>
      </w:r>
      <w:r>
        <w:t xml:space="preserve">it incurred </w:t>
      </w:r>
      <w:r w:rsidR="00FE124C">
        <w:t>in 2016</w:t>
      </w:r>
      <w:r w:rsidR="00C4201D">
        <w:t>.</w:t>
      </w:r>
      <w:r>
        <w:t xml:space="preserve"> </w:t>
      </w:r>
    </w:p>
    <w:p w:rsidR="00FE124C" w:rsidRPr="00654730" w:rsidRDefault="00301941" w:rsidP="00FE124C">
      <w:r>
        <w:t xml:space="preserve">AGN's opex forecast is based on AGN's estimate of the opex it will incur in 2016, as </w:t>
      </w:r>
      <w:r w:rsidR="006028F4">
        <w:t>the actual</w:t>
      </w:r>
      <w:r>
        <w:t xml:space="preserve"> data was not available at the time AGN submitted its proposal.</w:t>
      </w:r>
    </w:p>
    <w:sectPr w:rsidR="00FE124C" w:rsidRPr="00654730" w:rsidSect="00CF42AA">
      <w:headerReference w:type="default" r:id="rId19"/>
      <w:footerReference w:type="even" r:id="rId20"/>
      <w:footerReference w:type="default" r:id="rId21"/>
      <w:footerReference w:type="first" r:id="rId22"/>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C96" w:rsidRPr="00290C63" w:rsidRDefault="00172C96" w:rsidP="00290C63">
      <w:r>
        <w:separator/>
      </w:r>
    </w:p>
    <w:p w:rsidR="00172C96" w:rsidRDefault="00172C96"/>
  </w:endnote>
  <w:endnote w:type="continuationSeparator" w:id="0">
    <w:p w:rsidR="00172C96" w:rsidRPr="00290C63" w:rsidRDefault="00172C96" w:rsidP="00290C63">
      <w:r>
        <w:continuationSeparator/>
      </w:r>
    </w:p>
    <w:p w:rsidR="00172C96" w:rsidRDefault="00172C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C96" w:rsidRPr="00290C63" w:rsidRDefault="00172C96"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172C96" w:rsidRDefault="00172C96"/>
  <w:p w:rsidR="00172C96" w:rsidRDefault="00172C96"/>
  <w:p w:rsidR="00172C96" w:rsidRDefault="00172C96"/>
  <w:p w:rsidR="00172C96" w:rsidRDefault="00172C96"/>
  <w:p w:rsidR="00172C96" w:rsidRDefault="00172C96"/>
  <w:p w:rsidR="00172C96" w:rsidRDefault="00172C96"/>
  <w:p w:rsidR="00172C96" w:rsidRDefault="00172C9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172C96" w:rsidRPr="009B6F84" w:rsidRDefault="00172C96">
        <w:pPr>
          <w:pStyle w:val="Footer"/>
          <w:rPr>
            <w:sz w:val="20"/>
          </w:rPr>
        </w:pPr>
        <w:r>
          <w:fldChar w:fldCharType="begin"/>
        </w:r>
        <w:r>
          <w:instrText xml:space="preserve"> PAGE   \* MERGEFORMAT </w:instrText>
        </w:r>
        <w:r>
          <w:fldChar w:fldCharType="separate"/>
        </w:r>
        <w:r w:rsidR="008E59D4">
          <w:rPr>
            <w:noProof/>
          </w:rPr>
          <w:t>7-0</w:t>
        </w:r>
        <w:r>
          <w:rPr>
            <w:noProof/>
          </w:rPr>
          <w:fldChar w:fldCharType="end"/>
        </w:r>
        <w:r>
          <w:rPr>
            <w:noProof/>
          </w:rPr>
          <w:t xml:space="preserve">          </w:t>
        </w:r>
        <w:r>
          <w:t xml:space="preserve">Attachment 7 </w:t>
        </w:r>
        <w:r w:rsidRPr="000474DF">
          <w:t>−</w:t>
        </w:r>
        <w:r>
          <w:t xml:space="preserve"> Operating expenditure</w:t>
        </w:r>
        <w:r w:rsidRPr="009B6F84">
          <w:rPr>
            <w:rFonts w:cs="Gautami"/>
            <w:noProof/>
            <w:szCs w:val="16"/>
          </w:rPr>
          <w:t xml:space="preserve"> | </w:t>
        </w:r>
        <w:r>
          <w:t>Draft decision - AGN Victoria and Albury gas access arrangement</w:t>
        </w:r>
        <w:r w:rsidRPr="00D5015C">
          <w:t xml:space="preserve"> 201</w:t>
        </w:r>
        <w:r>
          <w:t>8</w:t>
        </w:r>
        <w:r w:rsidRPr="00D5015C">
          <w:t>–</w:t>
        </w:r>
        <w:r>
          <w:t>22</w:t>
        </w:r>
      </w:p>
    </w:sdtContent>
  </w:sdt>
  <w:p w:rsidR="00172C96" w:rsidRDefault="00172C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C96" w:rsidRPr="00290C63" w:rsidRDefault="00172C96"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172C96" w:rsidRDefault="00172C96">
    <w:pPr>
      <w:pStyle w:val="Footer"/>
    </w:pPr>
  </w:p>
  <w:p w:rsidR="00172C96" w:rsidRDefault="00172C96"/>
  <w:p w:rsidR="00172C96" w:rsidRDefault="00172C96"/>
  <w:p w:rsidR="00172C96" w:rsidRDefault="00172C96"/>
  <w:p w:rsidR="00172C96" w:rsidRDefault="00172C96"/>
  <w:p w:rsidR="00172C96" w:rsidRDefault="00172C96"/>
  <w:p w:rsidR="00172C96" w:rsidRDefault="00172C96"/>
  <w:p w:rsidR="00172C96" w:rsidRDefault="00172C9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C96" w:rsidRPr="00290C63" w:rsidRDefault="00172C96"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172C96" w:rsidRDefault="00172C96"/>
  <w:p w:rsidR="00172C96" w:rsidRDefault="00172C96"/>
  <w:p w:rsidR="00172C96" w:rsidRDefault="00172C96"/>
  <w:p w:rsidR="00172C96" w:rsidRDefault="00172C96"/>
  <w:p w:rsidR="00172C96" w:rsidRDefault="00172C96"/>
  <w:p w:rsidR="00172C96" w:rsidRDefault="00172C96"/>
  <w:p w:rsidR="00172C96" w:rsidRDefault="00172C9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172C96" w:rsidRPr="009B6F84" w:rsidRDefault="00172C96">
        <w:pPr>
          <w:pStyle w:val="Footer"/>
          <w:rPr>
            <w:sz w:val="20"/>
          </w:rPr>
        </w:pPr>
        <w:r>
          <w:fldChar w:fldCharType="begin"/>
        </w:r>
        <w:r>
          <w:instrText xml:space="preserve"> PAGE   \* MERGEFORMAT </w:instrText>
        </w:r>
        <w:r>
          <w:fldChar w:fldCharType="separate"/>
        </w:r>
        <w:r w:rsidR="008E59D4">
          <w:rPr>
            <w:noProof/>
          </w:rPr>
          <w:t>7-3</w:t>
        </w:r>
        <w:r>
          <w:rPr>
            <w:noProof/>
          </w:rPr>
          <w:fldChar w:fldCharType="end"/>
        </w:r>
        <w:r>
          <w:rPr>
            <w:noProof/>
          </w:rPr>
          <w:t xml:space="preserve">          </w:t>
        </w:r>
        <w:r>
          <w:t xml:space="preserve">Attachment 7 </w:t>
        </w:r>
        <w:r w:rsidRPr="000474DF">
          <w:t>−</w:t>
        </w:r>
        <w:r>
          <w:t xml:space="preserve"> Operating expenditure</w:t>
        </w:r>
        <w:r w:rsidRPr="00D5015C">
          <w:t xml:space="preserve"> | </w:t>
        </w:r>
        <w:r>
          <w:t>Draft decision - AGN Victoria and Albury gas access arrangement</w:t>
        </w:r>
        <w:r w:rsidRPr="00D5015C">
          <w:t xml:space="preserve"> 201</w:t>
        </w:r>
        <w:r>
          <w:t>8</w:t>
        </w:r>
        <w:r w:rsidRPr="00D5015C">
          <w:t>–</w:t>
        </w:r>
        <w:r>
          <w:t>22</w:t>
        </w:r>
      </w:p>
    </w:sdtContent>
  </w:sdt>
  <w:p w:rsidR="00172C96" w:rsidRDefault="00172C9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C96" w:rsidRPr="00290C63" w:rsidRDefault="00172C96"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172C96" w:rsidRDefault="00172C96">
    <w:pPr>
      <w:pStyle w:val="Footer"/>
    </w:pPr>
  </w:p>
  <w:p w:rsidR="00172C96" w:rsidRDefault="00172C96"/>
  <w:p w:rsidR="00172C96" w:rsidRDefault="00172C96"/>
  <w:p w:rsidR="00172C96" w:rsidRDefault="00172C96"/>
  <w:p w:rsidR="00172C96" w:rsidRDefault="00172C96"/>
  <w:p w:rsidR="00172C96" w:rsidRDefault="00172C96"/>
  <w:p w:rsidR="00172C96" w:rsidRDefault="00172C96"/>
  <w:p w:rsidR="00172C96" w:rsidRDefault="00172C9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C96" w:rsidRPr="00290C63" w:rsidRDefault="00172C96" w:rsidP="00290C63">
      <w:r>
        <w:separator/>
      </w:r>
    </w:p>
    <w:p w:rsidR="00172C96" w:rsidRDefault="00172C96"/>
  </w:footnote>
  <w:footnote w:type="continuationSeparator" w:id="0">
    <w:p w:rsidR="00172C96" w:rsidRPr="00290C63" w:rsidRDefault="00172C96" w:rsidP="00290C63">
      <w:r>
        <w:continuationSeparator/>
      </w:r>
    </w:p>
    <w:p w:rsidR="00172C96" w:rsidRDefault="00172C96"/>
  </w:footnote>
  <w:footnote w:id="1">
    <w:p w:rsidR="00172C96" w:rsidRDefault="00172C96">
      <w:pPr>
        <w:pStyle w:val="FootnoteText"/>
      </w:pPr>
      <w:r>
        <w:rPr>
          <w:rStyle w:val="FootnoteReference"/>
        </w:rPr>
        <w:footnoteRef/>
      </w:r>
      <w:r>
        <w:t xml:space="preserve"> </w:t>
      </w:r>
      <w:r>
        <w:tab/>
      </w:r>
      <w:proofErr w:type="gramStart"/>
      <w:r>
        <w:t>NGR, r. 91.</w:t>
      </w:r>
      <w:proofErr w:type="gramEnd"/>
    </w:p>
  </w:footnote>
  <w:footnote w:id="2">
    <w:p w:rsidR="00172C96" w:rsidRDefault="00172C96" w:rsidP="003451DF">
      <w:pPr>
        <w:pStyle w:val="FootnoteText"/>
      </w:pPr>
      <w:r>
        <w:rPr>
          <w:rStyle w:val="FootnoteReference"/>
        </w:rPr>
        <w:footnoteRef/>
      </w:r>
      <w:r>
        <w:t xml:space="preserve"> </w:t>
      </w:r>
      <w:r>
        <w:tab/>
      </w:r>
      <w:proofErr w:type="gramStart"/>
      <w:r>
        <w:t>Includes debt raising costs and ancillary reference services.</w:t>
      </w:r>
      <w:proofErr w:type="gramEnd"/>
    </w:p>
  </w:footnote>
  <w:footnote w:id="3">
    <w:p w:rsidR="00172C96" w:rsidRDefault="00172C96" w:rsidP="0073160F">
      <w:pPr>
        <w:pStyle w:val="FootnoteText"/>
      </w:pPr>
      <w:r>
        <w:rPr>
          <w:rStyle w:val="FootnoteReference"/>
        </w:rPr>
        <w:footnoteRef/>
      </w:r>
      <w:r>
        <w:t xml:space="preserve"> </w:t>
      </w:r>
      <w:r>
        <w:tab/>
        <w:t>Expenditure in the current period is based on reported expenditure in 2013–16 and estimated expenditure in 2017.</w:t>
      </w:r>
    </w:p>
  </w:footnote>
  <w:footnote w:id="4">
    <w:p w:rsidR="00172C96" w:rsidRDefault="00172C96" w:rsidP="00A64A3C">
      <w:pPr>
        <w:pStyle w:val="FootnoteText"/>
      </w:pPr>
      <w:r>
        <w:rPr>
          <w:rStyle w:val="FootnoteReference"/>
        </w:rPr>
        <w:footnoteRef/>
      </w:r>
      <w:r>
        <w:t xml:space="preserve"> </w:t>
      </w:r>
      <w:r>
        <w:tab/>
      </w:r>
      <w:proofErr w:type="gramStart"/>
      <w:r>
        <w:t>Includes debt raising costs.</w:t>
      </w:r>
      <w:proofErr w:type="gramEnd"/>
    </w:p>
  </w:footnote>
  <w:footnote w:id="5">
    <w:p w:rsidR="00172C96" w:rsidRDefault="00172C96">
      <w:pPr>
        <w:pStyle w:val="FootnoteText"/>
      </w:pPr>
      <w:r>
        <w:rPr>
          <w:rStyle w:val="FootnoteReference"/>
        </w:rPr>
        <w:footnoteRef/>
      </w:r>
      <w:r>
        <w:t xml:space="preserve"> </w:t>
      </w:r>
      <w:r>
        <w:tab/>
        <w:t xml:space="preserve">AGN, </w:t>
      </w:r>
      <w:r w:rsidRPr="002D7E15">
        <w:rPr>
          <w:rStyle w:val="AERtextitalic"/>
        </w:rPr>
        <w:t>Final Plan Access Arrangement Information for our Victorian and Albury natural gas distribution networks: 2018 to 2022</w:t>
      </w:r>
      <w:r>
        <w:t>, December 2016, p.65.</w:t>
      </w:r>
    </w:p>
  </w:footnote>
  <w:footnote w:id="6">
    <w:p w:rsidR="00172C96" w:rsidRDefault="00172C96" w:rsidP="00CE1B94">
      <w:pPr>
        <w:pStyle w:val="FootnoteText"/>
      </w:pPr>
      <w:r>
        <w:rPr>
          <w:rStyle w:val="FootnoteReference"/>
        </w:rPr>
        <w:footnoteRef/>
      </w:r>
      <w:r>
        <w:t xml:space="preserve"> </w:t>
      </w:r>
      <w:r>
        <w:tab/>
        <w:t xml:space="preserve">Consumer Challenge Panel (sub-panel 11), </w:t>
      </w:r>
      <w:r w:rsidRPr="007458E5">
        <w:rPr>
          <w:rStyle w:val="AERtextitalic"/>
        </w:rPr>
        <w:t>Response to proposals from AGN, AusNet and Multinet for revenue reset/access arrangements for the period 2018 to 2022</w:t>
      </w:r>
      <w:r>
        <w:t xml:space="preserve">, March 2017, </w:t>
      </w:r>
      <w:proofErr w:type="gramStart"/>
      <w:r>
        <w:t>p</w:t>
      </w:r>
      <w:proofErr w:type="gramEnd"/>
      <w:r>
        <w:t>. 60.</w:t>
      </w:r>
    </w:p>
  </w:footnote>
  <w:footnote w:id="7">
    <w:p w:rsidR="00172C96" w:rsidRDefault="00172C96" w:rsidP="000E5298">
      <w:pPr>
        <w:pStyle w:val="FootnoteText"/>
      </w:pPr>
      <w:r>
        <w:rPr>
          <w:rStyle w:val="FootnoteReference"/>
        </w:rPr>
        <w:footnoteRef/>
      </w:r>
      <w:r>
        <w:t xml:space="preserve"> </w:t>
      </w:r>
      <w:r>
        <w:tab/>
      </w:r>
      <w:proofErr w:type="gramStart"/>
      <w:r>
        <w:t>Uniting Communitie</w:t>
      </w:r>
      <w:r w:rsidRPr="002D7E15">
        <w:rPr>
          <w:rStyle w:val="AERtextitalic"/>
        </w:rPr>
        <w:t>s, No Shocks Access Arrangement Proposal -</w:t>
      </w:r>
      <w:r>
        <w:t xml:space="preserve"> </w:t>
      </w:r>
      <w:r w:rsidRPr="00370ED1">
        <w:rPr>
          <w:rStyle w:val="AERtextitalic"/>
        </w:rPr>
        <w:t>Submission to the AER regarding the AGN access arrangement proposal for Victoria</w:t>
      </w:r>
      <w:r>
        <w:rPr>
          <w:rStyle w:val="AERtextitalic"/>
        </w:rPr>
        <w:t xml:space="preserve"> </w:t>
      </w:r>
      <w:r w:rsidRPr="00370ED1">
        <w:rPr>
          <w:rStyle w:val="AERtextitalic"/>
        </w:rPr>
        <w:t>Albury</w:t>
      </w:r>
      <w:r>
        <w:t>, 19 March 2017, p. 4.</w:t>
      </w:r>
      <w:proofErr w:type="gramEnd"/>
    </w:p>
  </w:footnote>
  <w:footnote w:id="8">
    <w:p w:rsidR="00172C96" w:rsidRDefault="00172C96" w:rsidP="000E5298">
      <w:pPr>
        <w:pStyle w:val="FootnoteText"/>
      </w:pPr>
      <w:r>
        <w:rPr>
          <w:rStyle w:val="FootnoteReference"/>
        </w:rPr>
        <w:footnoteRef/>
      </w:r>
      <w:r>
        <w:t xml:space="preserve"> </w:t>
      </w:r>
      <w:r>
        <w:tab/>
        <w:t xml:space="preserve">Uniting Communities, </w:t>
      </w:r>
      <w:r w:rsidRPr="002D7E15">
        <w:rPr>
          <w:rStyle w:val="AERtextitalic"/>
        </w:rPr>
        <w:t xml:space="preserve">No Shocks Access Arrangement Proposal - </w:t>
      </w:r>
      <w:r w:rsidRPr="001C1472">
        <w:rPr>
          <w:rStyle w:val="AERtextitalic"/>
        </w:rPr>
        <w:t>Submission</w:t>
      </w:r>
      <w:r w:rsidRPr="00370ED1">
        <w:rPr>
          <w:rStyle w:val="AERtextitalic"/>
        </w:rPr>
        <w:t xml:space="preserve"> to the AER regarding the AGN access arrangement proposal for Victoria</w:t>
      </w:r>
      <w:r>
        <w:rPr>
          <w:rStyle w:val="AERtextitalic"/>
        </w:rPr>
        <w:t xml:space="preserve"> </w:t>
      </w:r>
      <w:r w:rsidRPr="00370ED1">
        <w:rPr>
          <w:rStyle w:val="AERtextitalic"/>
        </w:rPr>
        <w:t>Albury</w:t>
      </w:r>
      <w:r>
        <w:t>, 19 March 2017, p. 7</w:t>
      </w:r>
    </w:p>
  </w:footnote>
  <w:footnote w:id="9">
    <w:p w:rsidR="00172C96" w:rsidRPr="002D7E15" w:rsidRDefault="00172C96" w:rsidP="000E5298">
      <w:pPr>
        <w:pStyle w:val="FootnoteText"/>
        <w:rPr>
          <w:rStyle w:val="AERtextsize8"/>
        </w:rPr>
      </w:pPr>
      <w:r>
        <w:rPr>
          <w:rStyle w:val="FootnoteReference"/>
        </w:rPr>
        <w:footnoteRef/>
      </w:r>
      <w:r>
        <w:t xml:space="preserve"> </w:t>
      </w:r>
      <w:r>
        <w:tab/>
        <w:t xml:space="preserve">Red Energy and </w:t>
      </w:r>
      <w:proofErr w:type="spellStart"/>
      <w:r>
        <w:t>Lumo</w:t>
      </w:r>
      <w:proofErr w:type="spellEnd"/>
      <w:r>
        <w:t xml:space="preserve"> Energy, </w:t>
      </w:r>
      <w:r w:rsidRPr="00370ED1">
        <w:rPr>
          <w:rStyle w:val="AERtextitalic"/>
        </w:rPr>
        <w:t xml:space="preserve">Submission </w:t>
      </w:r>
      <w:r>
        <w:rPr>
          <w:rStyle w:val="AERtextitalic"/>
        </w:rPr>
        <w:t xml:space="preserve">on the Australian Gas Networks Access Arrangement, </w:t>
      </w:r>
      <w:r w:rsidRPr="002951E9">
        <w:rPr>
          <w:rStyle w:val="AERtextitalic"/>
          <w:i w:val="0"/>
        </w:rPr>
        <w:t>6 March 2017</w:t>
      </w:r>
      <w:r w:rsidRPr="002D7E15">
        <w:rPr>
          <w:rStyle w:val="AERtextsize8"/>
        </w:rPr>
        <w:t>, p</w:t>
      </w:r>
      <w:r>
        <w:rPr>
          <w:rStyle w:val="AERtextsize8"/>
        </w:rPr>
        <w:t>. 1.</w:t>
      </w:r>
    </w:p>
  </w:footnote>
  <w:footnote w:id="10">
    <w:p w:rsidR="00172C96" w:rsidRPr="002951E9" w:rsidRDefault="00172C96" w:rsidP="000E5298">
      <w:pPr>
        <w:pStyle w:val="FootnoteText"/>
      </w:pPr>
      <w:r>
        <w:rPr>
          <w:rStyle w:val="FootnoteReference"/>
        </w:rPr>
        <w:footnoteRef/>
      </w:r>
      <w:r>
        <w:t xml:space="preserve"> </w:t>
      </w:r>
      <w:r>
        <w:tab/>
      </w:r>
      <w:r w:rsidRPr="002951E9">
        <w:rPr>
          <w:rStyle w:val="AERtextitalic"/>
          <w:i w:val="0"/>
        </w:rPr>
        <w:t>Origin Energy,</w:t>
      </w:r>
      <w:r>
        <w:rPr>
          <w:rStyle w:val="AERtextitalic"/>
        </w:rPr>
        <w:t xml:space="preserve"> Victorian </w:t>
      </w:r>
      <w:proofErr w:type="spellStart"/>
      <w:r>
        <w:rPr>
          <w:rStyle w:val="AERtextitalic"/>
        </w:rPr>
        <w:t>aas</w:t>
      </w:r>
      <w:proofErr w:type="spellEnd"/>
      <w:r>
        <w:rPr>
          <w:rStyle w:val="AERtextitalic"/>
        </w:rPr>
        <w:t xml:space="preserve"> access arrangement review 2018-22 - Response to gas distribution businesses' proposals, </w:t>
      </w:r>
      <w:r w:rsidRPr="002951E9">
        <w:rPr>
          <w:rStyle w:val="AERtextitalic"/>
          <w:i w:val="0"/>
        </w:rPr>
        <w:t>17 February 2017, p. 4.</w:t>
      </w:r>
    </w:p>
  </w:footnote>
  <w:footnote w:id="11">
    <w:p w:rsidR="00172C96" w:rsidRDefault="00172C96" w:rsidP="000E5298">
      <w:pPr>
        <w:pStyle w:val="FootnoteText"/>
      </w:pPr>
      <w:r>
        <w:rPr>
          <w:rStyle w:val="FootnoteReference"/>
        </w:rPr>
        <w:footnoteRef/>
      </w:r>
      <w:r>
        <w:t xml:space="preserve"> </w:t>
      </w:r>
      <w:r>
        <w:tab/>
        <w:t xml:space="preserve">AGL Energy Ltd, </w:t>
      </w:r>
      <w:r w:rsidRPr="00420D57">
        <w:rPr>
          <w:rStyle w:val="AERtextitalic"/>
        </w:rPr>
        <w:t xml:space="preserve">Submission </w:t>
      </w:r>
      <w:r>
        <w:rPr>
          <w:rStyle w:val="AERtextitalic"/>
        </w:rPr>
        <w:t xml:space="preserve">to the AER on the Victorian gas access </w:t>
      </w:r>
      <w:proofErr w:type="gramStart"/>
      <w:r>
        <w:rPr>
          <w:rStyle w:val="AERtextitalic"/>
        </w:rPr>
        <w:t>arrangement ,</w:t>
      </w:r>
      <w:proofErr w:type="gramEnd"/>
      <w:r>
        <w:t xml:space="preserve"> March 2017, p. 1.</w:t>
      </w:r>
    </w:p>
  </w:footnote>
  <w:footnote w:id="12">
    <w:p w:rsidR="00172C96" w:rsidRPr="00501F80" w:rsidRDefault="00172C96" w:rsidP="009912E7">
      <w:pPr>
        <w:pStyle w:val="FootnoteText"/>
      </w:pPr>
      <w:r w:rsidRPr="00501F80">
        <w:rPr>
          <w:rStyle w:val="FootnoteReference"/>
        </w:rPr>
        <w:footnoteRef/>
      </w:r>
      <w:r w:rsidRPr="00501F80">
        <w:t xml:space="preserve"> </w:t>
      </w:r>
      <w:r>
        <w:tab/>
      </w:r>
      <w:r w:rsidRPr="00501F80">
        <w:t xml:space="preserve">NGR, </w:t>
      </w:r>
      <w:proofErr w:type="gramStart"/>
      <w:r w:rsidRPr="00501F80">
        <w:t>rr</w:t>
      </w:r>
      <w:proofErr w:type="gramEnd"/>
      <w:r w:rsidRPr="00501F80">
        <w:t xml:space="preserve">. </w:t>
      </w:r>
      <w:proofErr w:type="gramStart"/>
      <w:r w:rsidRPr="00501F80">
        <w:t>91 and 40(2).</w:t>
      </w:r>
      <w:proofErr w:type="gramEnd"/>
    </w:p>
  </w:footnote>
  <w:footnote w:id="13">
    <w:p w:rsidR="00172C96" w:rsidRDefault="00172C96" w:rsidP="009912E7">
      <w:pPr>
        <w:pStyle w:val="FootnoteText"/>
      </w:pPr>
      <w:r>
        <w:rPr>
          <w:rStyle w:val="FootnoteReference"/>
        </w:rPr>
        <w:footnoteRef/>
      </w:r>
      <w:r>
        <w:t xml:space="preserve"> </w:t>
      </w:r>
      <w:r>
        <w:tab/>
      </w:r>
      <w:proofErr w:type="gramStart"/>
      <w:r w:rsidRPr="00501F80">
        <w:t>NGR, r</w:t>
      </w:r>
      <w:r>
        <w:t xml:space="preserve">. </w:t>
      </w:r>
      <w:r w:rsidRPr="00501F80">
        <w:t>74(2).</w:t>
      </w:r>
      <w:proofErr w:type="gramEnd"/>
      <w:r w:rsidRPr="00501F80">
        <w:t xml:space="preserve"> A forecast or estimate must be arrived at on a reasonable basis and must represent the best forecast or estimate possible in the circumstances.</w:t>
      </w:r>
    </w:p>
  </w:footnote>
  <w:footnote w:id="14">
    <w:p w:rsidR="00172C96" w:rsidRDefault="00172C96" w:rsidP="009912E7">
      <w:pPr>
        <w:pStyle w:val="FootnoteText"/>
      </w:pPr>
      <w:r w:rsidRPr="00235F1E">
        <w:rPr>
          <w:rStyle w:val="FootnoteReference"/>
        </w:rPr>
        <w:footnoteRef/>
      </w:r>
      <w:r w:rsidRPr="00617644">
        <w:t xml:space="preserve"> </w:t>
      </w:r>
      <w:r>
        <w:tab/>
      </w:r>
      <w:r w:rsidRPr="00DF50C5">
        <w:t>A 'top-down' approach forecasts total opex at an aggregate level, rather than forecasting individual projects or categories to build a total opex forecast from the 'bottom up'.</w:t>
      </w:r>
    </w:p>
  </w:footnote>
  <w:footnote w:id="15">
    <w:p w:rsidR="00172C96" w:rsidRDefault="00172C96" w:rsidP="009912E7">
      <w:pPr>
        <w:pStyle w:val="FootnoteText"/>
      </w:pPr>
      <w:r>
        <w:rPr>
          <w:rStyle w:val="FootnoteReference"/>
        </w:rPr>
        <w:footnoteRef/>
      </w:r>
      <w:r>
        <w:t xml:space="preserve"> </w:t>
      </w:r>
      <w:r>
        <w:tab/>
        <w:t xml:space="preserve">NGL, </w:t>
      </w:r>
      <w:proofErr w:type="gramStart"/>
      <w:r>
        <w:t>s28(</w:t>
      </w:r>
      <w:proofErr w:type="gramEnd"/>
      <w:r>
        <w:t xml:space="preserve">1). </w:t>
      </w:r>
    </w:p>
  </w:footnote>
  <w:footnote w:id="16">
    <w:p w:rsidR="00172C96" w:rsidRDefault="00172C96" w:rsidP="00DB723A">
      <w:pPr>
        <w:pStyle w:val="FootnoteText"/>
      </w:pPr>
      <w:r>
        <w:rPr>
          <w:rStyle w:val="FootnoteReference"/>
        </w:rPr>
        <w:footnoteRef/>
      </w:r>
      <w:r>
        <w:t xml:space="preserve"> </w:t>
      </w:r>
      <w:r>
        <w:tab/>
      </w:r>
      <w:proofErr w:type="gramStart"/>
      <w:r>
        <w:t xml:space="preserve">AER, </w:t>
      </w:r>
      <w:r w:rsidRPr="002D7E15">
        <w:rPr>
          <w:rStyle w:val="AERtextitalic"/>
        </w:rPr>
        <w:t>Draft decision AusNet Services access arrangement 2018–22, Attachment 7 Operating Expenditure</w:t>
      </w:r>
      <w:r>
        <w:t>, June 2017, pp. 7-8 to 7-15.</w:t>
      </w:r>
      <w:proofErr w:type="gramEnd"/>
    </w:p>
    <w:p w:rsidR="00172C96" w:rsidRDefault="00172C96" w:rsidP="00DB723A">
      <w:pPr>
        <w:pStyle w:val="FootnoteText"/>
      </w:pPr>
      <w:r>
        <w:tab/>
      </w:r>
      <w:proofErr w:type="gramStart"/>
      <w:r>
        <w:t xml:space="preserve">AER, </w:t>
      </w:r>
      <w:r w:rsidRPr="00621EC0">
        <w:rPr>
          <w:rStyle w:val="AERtextitalic"/>
        </w:rPr>
        <w:t xml:space="preserve">Draft decision </w:t>
      </w:r>
      <w:r>
        <w:rPr>
          <w:rStyle w:val="AERtextitalic"/>
        </w:rPr>
        <w:t>Multinet Gas</w:t>
      </w:r>
      <w:r w:rsidRPr="00621EC0">
        <w:rPr>
          <w:rStyle w:val="AERtextitalic"/>
        </w:rPr>
        <w:t xml:space="preserve"> </w:t>
      </w:r>
      <w:r>
        <w:rPr>
          <w:rStyle w:val="AERtextitalic"/>
        </w:rPr>
        <w:t>access arrangement 2018–22,</w:t>
      </w:r>
      <w:r w:rsidRPr="00621EC0">
        <w:rPr>
          <w:rStyle w:val="AERtextitalic"/>
        </w:rPr>
        <w:t xml:space="preserve"> Attachment 7 Operating Expenditure</w:t>
      </w:r>
      <w:r>
        <w:t>, June 2017, pp. 7-8 to 7-15.</w:t>
      </w:r>
      <w:proofErr w:type="gramEnd"/>
    </w:p>
  </w:footnote>
  <w:footnote w:id="17">
    <w:p w:rsidR="00172C96" w:rsidRDefault="00172C96" w:rsidP="009E23D2">
      <w:pPr>
        <w:pStyle w:val="FootnoteText"/>
      </w:pPr>
      <w:r>
        <w:rPr>
          <w:rStyle w:val="FootnoteReference"/>
        </w:rPr>
        <w:footnoteRef/>
      </w:r>
      <w:r>
        <w:t xml:space="preserve"> </w:t>
      </w:r>
      <w:r>
        <w:tab/>
      </w:r>
      <w:proofErr w:type="gramStart"/>
      <w:r>
        <w:t>Including debt raising costs.</w:t>
      </w:r>
      <w:proofErr w:type="gramEnd"/>
    </w:p>
  </w:footnote>
  <w:footnote w:id="18">
    <w:p w:rsidR="00172C96" w:rsidRDefault="00172C96" w:rsidP="0047300F">
      <w:pPr>
        <w:pStyle w:val="FootnoteText"/>
      </w:pPr>
      <w:r>
        <w:rPr>
          <w:rStyle w:val="FootnoteReference"/>
        </w:rPr>
        <w:footnoteRef/>
      </w:r>
      <w:r>
        <w:t xml:space="preserve"> </w:t>
      </w:r>
      <w:r>
        <w:tab/>
      </w:r>
      <w:proofErr w:type="gramStart"/>
      <w:r>
        <w:t>NGR, r. 91</w:t>
      </w:r>
      <w:r w:rsidRPr="00081863">
        <w:t>.</w:t>
      </w:r>
      <w:proofErr w:type="gramEnd"/>
    </w:p>
  </w:footnote>
  <w:footnote w:id="19">
    <w:p w:rsidR="00172C96" w:rsidRDefault="00172C96" w:rsidP="0047300F">
      <w:pPr>
        <w:pStyle w:val="FootnoteText"/>
      </w:pPr>
      <w:r>
        <w:rPr>
          <w:rStyle w:val="FootnoteReference"/>
        </w:rPr>
        <w:footnoteRef/>
      </w:r>
      <w:r>
        <w:t xml:space="preserve"> </w:t>
      </w:r>
      <w:r>
        <w:tab/>
      </w:r>
      <w:proofErr w:type="gramStart"/>
      <w:r w:rsidRPr="003B02FB">
        <w:t>NGR, r. 74.</w:t>
      </w:r>
      <w:proofErr w:type="gramEnd"/>
    </w:p>
  </w:footnote>
  <w:footnote w:id="20">
    <w:p w:rsidR="00172C96" w:rsidRDefault="00172C96" w:rsidP="0047300F">
      <w:pPr>
        <w:pStyle w:val="FootnoteText"/>
      </w:pPr>
      <w:r>
        <w:rPr>
          <w:rStyle w:val="FootnoteReference"/>
        </w:rPr>
        <w:footnoteRef/>
      </w:r>
      <w:r>
        <w:t xml:space="preserve"> </w:t>
      </w:r>
      <w:r>
        <w:tab/>
        <w:t xml:space="preserve">AGN, </w:t>
      </w:r>
      <w:r w:rsidRPr="002D7E15">
        <w:rPr>
          <w:rStyle w:val="AERtextitalic"/>
        </w:rPr>
        <w:t>Final Plan Access Arrangement Information for our Victorian and Albury natural gas distribution networks: 2018 to 2022</w:t>
      </w:r>
      <w:r>
        <w:t>, December 2016, p. 67.</w:t>
      </w:r>
    </w:p>
  </w:footnote>
  <w:footnote w:id="21">
    <w:p w:rsidR="00172C96" w:rsidRDefault="00172C96" w:rsidP="0047300F">
      <w:pPr>
        <w:pStyle w:val="FootnoteText"/>
      </w:pPr>
      <w:r>
        <w:rPr>
          <w:rStyle w:val="FootnoteReference"/>
        </w:rPr>
        <w:footnoteRef/>
      </w:r>
      <w:r>
        <w:t xml:space="preserve"> </w:t>
      </w:r>
      <w:r>
        <w:tab/>
        <w:t xml:space="preserve">Includes debt raising costs; </w:t>
      </w:r>
      <w:r w:rsidRPr="00B2266F">
        <w:t>Due to the interrelationship between the opex framework and the efficiency carryover mechanism (ECM), updating AGN's total opex forecast to reflect actual 2016 opex implies AGN must also adjust its ECM calculation accordingly.</w:t>
      </w:r>
    </w:p>
  </w:footnote>
  <w:footnote w:id="22">
    <w:p w:rsidR="00172C96" w:rsidRPr="00FE4763" w:rsidRDefault="00172C96" w:rsidP="00FE4763">
      <w:pPr>
        <w:pStyle w:val="FootnoteText"/>
      </w:pPr>
      <w:r>
        <w:rPr>
          <w:rStyle w:val="FootnoteReference"/>
        </w:rPr>
        <w:footnoteRef/>
      </w:r>
      <w:r>
        <w:tab/>
      </w:r>
      <w:proofErr w:type="gramStart"/>
      <w:r>
        <w:t>Includes debt raising costs.</w:t>
      </w:r>
      <w:proofErr w:type="gramEnd"/>
      <w:r>
        <w:t xml:space="preserve"> </w:t>
      </w:r>
      <w:r w:rsidRPr="00FE4763">
        <w:t xml:space="preserve">We have relied on AGN's estimated opex in 2016 to forecast its opex over the </w:t>
      </w:r>
    </w:p>
    <w:p w:rsidR="00172C96" w:rsidRDefault="004244A0" w:rsidP="00FE4763">
      <w:pPr>
        <w:pStyle w:val="FootnoteText"/>
      </w:pPr>
      <w:r>
        <w:tab/>
      </w:r>
      <w:r w:rsidR="00172C96" w:rsidRPr="00FE4763">
        <w:t>20</w:t>
      </w:r>
      <w:r w:rsidR="00172C96">
        <w:t>18–22 access arrangement period.</w:t>
      </w:r>
    </w:p>
  </w:footnote>
  <w:footnote w:id="23">
    <w:p w:rsidR="00172C96" w:rsidRDefault="00172C96" w:rsidP="00191B44">
      <w:pPr>
        <w:pStyle w:val="FootnoteText"/>
      </w:pPr>
      <w:r>
        <w:rPr>
          <w:rStyle w:val="FootnoteReference"/>
        </w:rPr>
        <w:footnoteRef/>
      </w:r>
      <w:r>
        <w:t xml:space="preserve"> </w:t>
      </w:r>
      <w:r>
        <w:tab/>
      </w:r>
      <w:proofErr w:type="gramStart"/>
      <w:r>
        <w:t>NGR, r. 71(1).</w:t>
      </w:r>
      <w:proofErr w:type="gramEnd"/>
    </w:p>
  </w:footnote>
  <w:footnote w:id="24">
    <w:p w:rsidR="00172C96" w:rsidRDefault="00172C96" w:rsidP="008E27FA">
      <w:pPr>
        <w:pStyle w:val="FootnoteText"/>
      </w:pPr>
      <w:r>
        <w:rPr>
          <w:rStyle w:val="FootnoteReference"/>
        </w:rPr>
        <w:footnoteRef/>
      </w:r>
      <w:r>
        <w:t xml:space="preserve"> </w:t>
      </w:r>
      <w:r>
        <w:tab/>
        <w:t xml:space="preserve">Economic Insights, </w:t>
      </w:r>
      <w:r w:rsidRPr="00A20D85">
        <w:rPr>
          <w:rStyle w:val="Emphasis"/>
        </w:rPr>
        <w:t>Benchmarking the Victorian Gas Distribution Businesses' Operating and Capital Costs Using Partial Productivity Indicators</w:t>
      </w:r>
      <w:r>
        <w:t xml:space="preserve">, report prepared for AusNet Services, Australian Gas Networks Limited and Multinet Gas, 15 June 2016.  </w:t>
      </w:r>
    </w:p>
  </w:footnote>
  <w:footnote w:id="25">
    <w:p w:rsidR="00172C96" w:rsidRDefault="00172C96" w:rsidP="008E27FA">
      <w:pPr>
        <w:pStyle w:val="FootnoteText"/>
      </w:pPr>
      <w:r>
        <w:rPr>
          <w:rStyle w:val="FootnoteReference"/>
        </w:rPr>
        <w:footnoteRef/>
      </w:r>
      <w:r>
        <w:t xml:space="preserve"> </w:t>
      </w:r>
      <w:r>
        <w:tab/>
        <w:t xml:space="preserve">Economic Insights, </w:t>
      </w:r>
      <w:r w:rsidRPr="00A20D85">
        <w:rPr>
          <w:rStyle w:val="Emphasis"/>
        </w:rPr>
        <w:t>Benchmarking the Victorian Gas Distribution Businesses' Operating and Capital Costs Using Partial Productivity Indicators</w:t>
      </w:r>
      <w:r>
        <w:t xml:space="preserve">, report prepared for AusNet Services, Australian Gas Networks Limited and Multinet Gas, 15 June 2016, p.9.  </w:t>
      </w:r>
    </w:p>
  </w:footnote>
  <w:footnote w:id="26">
    <w:p w:rsidR="00172C96" w:rsidRDefault="00172C96" w:rsidP="003630C8">
      <w:pPr>
        <w:pStyle w:val="FootnoteText"/>
      </w:pPr>
      <w:r>
        <w:rPr>
          <w:rStyle w:val="FootnoteReference"/>
        </w:rPr>
        <w:footnoteRef/>
      </w:r>
      <w:r>
        <w:t xml:space="preserve"> </w:t>
      </w:r>
      <w:r>
        <w:tab/>
      </w:r>
      <w:r w:rsidRPr="00C45BAA">
        <w:t xml:space="preserve">Economic Insights, </w:t>
      </w:r>
      <w:r w:rsidRPr="00C45BAA">
        <w:rPr>
          <w:rStyle w:val="Emphasis"/>
        </w:rPr>
        <w:t>Benchmarking the Victorian Gas Distribution Businesses' Operating and Capital Costs Using Partial Productivity Indicators</w:t>
      </w:r>
      <w:r w:rsidRPr="00C45BAA">
        <w:t>, report prepared for AusNet Services, Australian Gas Networks Limited and</w:t>
      </w:r>
      <w:r>
        <w:t xml:space="preserve"> Multinet Gas, 15 June 2016, p 9.</w:t>
      </w:r>
    </w:p>
  </w:footnote>
  <w:footnote w:id="27">
    <w:p w:rsidR="00172C96" w:rsidRDefault="00172C96" w:rsidP="00E74091">
      <w:pPr>
        <w:pStyle w:val="FootnoteText"/>
      </w:pPr>
      <w:r>
        <w:rPr>
          <w:rStyle w:val="FootnoteReference"/>
        </w:rPr>
        <w:footnoteRef/>
      </w:r>
      <w:r>
        <w:t xml:space="preserve"> </w:t>
      </w:r>
      <w:r>
        <w:tab/>
      </w:r>
      <w:proofErr w:type="gramStart"/>
      <w:r>
        <w:t xml:space="preserve">AER, </w:t>
      </w:r>
      <w:r w:rsidRPr="00893881">
        <w:rPr>
          <w:rStyle w:val="AERtextitalic"/>
        </w:rPr>
        <w:t xml:space="preserve">Access arrangement for </w:t>
      </w:r>
      <w:proofErr w:type="spellStart"/>
      <w:r w:rsidRPr="00893881">
        <w:rPr>
          <w:rStyle w:val="AERtextitalic"/>
        </w:rPr>
        <w:t>Envestra’s</w:t>
      </w:r>
      <w:proofErr w:type="spellEnd"/>
      <w:r w:rsidRPr="00893881">
        <w:rPr>
          <w:rStyle w:val="AERtextitalic"/>
        </w:rPr>
        <w:t xml:space="preserve"> Victorian gas distribution system 2013 – 2017</w:t>
      </w:r>
      <w:r>
        <w:t xml:space="preserve">, </w:t>
      </w:r>
      <w:r w:rsidRPr="003F1B4B">
        <w:t>April 2013</w:t>
      </w:r>
      <w:r>
        <w:t>, pp.37–38.</w:t>
      </w:r>
      <w:proofErr w:type="gramEnd"/>
    </w:p>
    <w:p w:rsidR="00172C96" w:rsidRDefault="00172C96" w:rsidP="00024B0F">
      <w:pPr>
        <w:pStyle w:val="FootnoteText"/>
      </w:pPr>
      <w:r>
        <w:tab/>
        <w:t xml:space="preserve">The reference tariff variation mechanism comprises the mechanisms and processes for varying reference tariffs during the access arrangement period and may allow for cost pass through of specific costs. </w:t>
      </w:r>
    </w:p>
  </w:footnote>
  <w:footnote w:id="28">
    <w:p w:rsidR="00172C96" w:rsidRDefault="00172C96" w:rsidP="00850F8F">
      <w:pPr>
        <w:pStyle w:val="FootnoteText"/>
      </w:pPr>
      <w:r>
        <w:rPr>
          <w:rStyle w:val="FootnoteReference"/>
        </w:rPr>
        <w:footnoteRef/>
      </w:r>
      <w:r>
        <w:t xml:space="preserve"> </w:t>
      </w:r>
      <w:r>
        <w:tab/>
      </w:r>
      <w:r w:rsidRPr="00857AF9">
        <w:t xml:space="preserve">We applied Economic Insights' benchmark opex price weightings for labour and non-labour: 62 per cent for labour and 38 per cent for non-labour. For more detail for our approach to forecasting price changes refer to AER, </w:t>
      </w:r>
      <w:r w:rsidRPr="00857AF9">
        <w:rPr>
          <w:rStyle w:val="AERtextitalic"/>
        </w:rPr>
        <w:t>Draft decision AusNet Services transmission determination 2017–18 to 2021–22</w:t>
      </w:r>
      <w:r w:rsidRPr="00857AF9">
        <w:t xml:space="preserve">, </w:t>
      </w:r>
      <w:r w:rsidRPr="002D7E15">
        <w:rPr>
          <w:rStyle w:val="AERtextitalic"/>
        </w:rPr>
        <w:t>Attachment 7</w:t>
      </w:r>
      <w:r>
        <w:rPr>
          <w:rStyle w:val="AERtextitalic"/>
        </w:rPr>
        <w:t>- Operating expenditure</w:t>
      </w:r>
      <w:r>
        <w:t xml:space="preserve">, </w:t>
      </w:r>
      <w:r w:rsidRPr="00857AF9">
        <w:t>20 July 2016, pp.</w:t>
      </w:r>
      <w:r>
        <w:t> 7-</w:t>
      </w:r>
      <w:r w:rsidRPr="00857AF9">
        <w:t>1</w:t>
      </w:r>
      <w:r>
        <w:t>9 to 7- 20, 7-</w:t>
      </w:r>
      <w:r w:rsidRPr="00857AF9">
        <w:t>47</w:t>
      </w:r>
      <w:r>
        <w:t xml:space="preserve"> to 7-</w:t>
      </w:r>
      <w:r w:rsidRPr="00857AF9">
        <w:t>53</w:t>
      </w:r>
      <w:r>
        <w:t>.</w:t>
      </w:r>
    </w:p>
  </w:footnote>
  <w:footnote w:id="29">
    <w:p w:rsidR="00172C96" w:rsidRDefault="00172C96" w:rsidP="0045460A">
      <w:pPr>
        <w:pStyle w:val="FootnoteText"/>
      </w:pPr>
      <w:r>
        <w:rPr>
          <w:rStyle w:val="FootnoteReference"/>
        </w:rPr>
        <w:footnoteRef/>
      </w:r>
      <w:r>
        <w:t xml:space="preserve"> </w:t>
      </w:r>
      <w:r>
        <w:tab/>
        <w:t xml:space="preserve">Economic Insights, </w:t>
      </w:r>
      <w:r w:rsidRPr="00125AA4">
        <w:rPr>
          <w:rStyle w:val="AERtextitalic"/>
        </w:rPr>
        <w:t>Gas Distribution Businesses Opex Cost Function</w:t>
      </w:r>
      <w:r>
        <w:rPr>
          <w:rStyle w:val="AERtextitalic"/>
        </w:rPr>
        <w:t>,</w:t>
      </w:r>
      <w:r>
        <w:t xml:space="preserve"> </w:t>
      </w:r>
      <w:r w:rsidRPr="00B177E3">
        <w:rPr>
          <w:rStyle w:val="AERtextitalic"/>
        </w:rPr>
        <w:t>Report prepared for Multinet Gas</w:t>
      </w:r>
      <w:r>
        <w:t xml:space="preserve">, </w:t>
      </w:r>
      <w:r w:rsidRPr="00125AA4">
        <w:t>22 August 2016</w:t>
      </w:r>
    </w:p>
  </w:footnote>
  <w:footnote w:id="30">
    <w:p w:rsidR="00172C96" w:rsidRDefault="00172C96" w:rsidP="0045460A">
      <w:pPr>
        <w:pStyle w:val="FootnoteText"/>
      </w:pPr>
      <w:r>
        <w:rPr>
          <w:rStyle w:val="FootnoteReference"/>
        </w:rPr>
        <w:footnoteRef/>
      </w:r>
      <w:r>
        <w:t xml:space="preserve"> </w:t>
      </w:r>
      <w:r>
        <w:tab/>
        <w:t xml:space="preserve">ACIL Allen </w:t>
      </w:r>
      <w:r w:rsidRPr="00D407ED">
        <w:t>Consulting</w:t>
      </w:r>
      <w:r>
        <w:t xml:space="preserve">, </w:t>
      </w:r>
      <w:r w:rsidRPr="00D35406">
        <w:rPr>
          <w:rStyle w:val="AERtextitalic"/>
        </w:rPr>
        <w:t>Opex Partial Productivity Analysis, Report for AGN</w:t>
      </w:r>
      <w:r>
        <w:t xml:space="preserve">, </w:t>
      </w:r>
      <w:r w:rsidRPr="00D407ED">
        <w:t>20 December 2016</w:t>
      </w:r>
      <w:r>
        <w:t>.</w:t>
      </w:r>
    </w:p>
  </w:footnote>
  <w:footnote w:id="31">
    <w:p w:rsidR="00172C96" w:rsidRDefault="00172C96" w:rsidP="00D55B0E">
      <w:pPr>
        <w:pStyle w:val="FootnoteText"/>
      </w:pPr>
      <w:r>
        <w:rPr>
          <w:rStyle w:val="FootnoteReference"/>
        </w:rPr>
        <w:footnoteRef/>
      </w:r>
      <w:r>
        <w:t xml:space="preserve"> </w:t>
      </w:r>
      <w:r>
        <w:tab/>
        <w:t xml:space="preserve">AGN, </w:t>
      </w:r>
      <w:r w:rsidRPr="002D7E15">
        <w:rPr>
          <w:rStyle w:val="AERtextitalic"/>
        </w:rPr>
        <w:t>Final Plan Access Arrangement Information for our Victorian and Albury natural gas distribution networks: 2018 to 2022</w:t>
      </w:r>
      <w:r>
        <w:t>, December 2016, pp. 71-72.</w:t>
      </w:r>
    </w:p>
  </w:footnote>
  <w:footnote w:id="32">
    <w:p w:rsidR="00172C96" w:rsidRDefault="00172C96">
      <w:pPr>
        <w:pStyle w:val="FootnoteText"/>
      </w:pPr>
      <w:r>
        <w:rPr>
          <w:rStyle w:val="FootnoteReference"/>
        </w:rPr>
        <w:footnoteRef/>
      </w:r>
      <w:r>
        <w:t xml:space="preserve"> </w:t>
      </w:r>
      <w:r>
        <w:tab/>
      </w:r>
      <w:r w:rsidRPr="00242AF3">
        <w:t xml:space="preserve">Economic Insights, </w:t>
      </w:r>
      <w:r w:rsidRPr="00242AF3">
        <w:rPr>
          <w:rStyle w:val="Emphasis"/>
        </w:rPr>
        <w:t xml:space="preserve">Gas distribution businesses opex cost function, </w:t>
      </w:r>
      <w:r w:rsidRPr="00030EAB">
        <w:rPr>
          <w:rStyle w:val="AERtextsize8"/>
        </w:rPr>
        <w:t>report prepared for Multinet Gas</w:t>
      </w:r>
      <w:r w:rsidRPr="00242AF3">
        <w:t>, 22 August 2016.</w:t>
      </w:r>
    </w:p>
  </w:footnote>
  <w:footnote w:id="33">
    <w:p w:rsidR="00172C96" w:rsidRDefault="00172C96" w:rsidP="008F57C6">
      <w:pPr>
        <w:pStyle w:val="FootnoteText"/>
      </w:pPr>
      <w:r>
        <w:rPr>
          <w:rStyle w:val="FootnoteReference"/>
        </w:rPr>
        <w:footnoteRef/>
      </w:r>
      <w:r>
        <w:t xml:space="preserve"> </w:t>
      </w:r>
      <w:r>
        <w:tab/>
        <w:t xml:space="preserve">AER, </w:t>
      </w:r>
      <w:r w:rsidRPr="006876C7">
        <w:rPr>
          <w:rStyle w:val="AERtextitalic"/>
        </w:rPr>
        <w:t xml:space="preserve">Draft decision </w:t>
      </w:r>
      <w:r>
        <w:rPr>
          <w:rStyle w:val="AERtextitalic"/>
        </w:rPr>
        <w:t>Multinet</w:t>
      </w:r>
      <w:r w:rsidRPr="006876C7">
        <w:rPr>
          <w:rStyle w:val="AERtextitalic"/>
        </w:rPr>
        <w:t xml:space="preserve"> gas access arrangement 2018 to 2022</w:t>
      </w:r>
      <w:r>
        <w:rPr>
          <w:rStyle w:val="AERtextitalic"/>
        </w:rPr>
        <w:t>–</w:t>
      </w:r>
      <w:r w:rsidRPr="006876C7">
        <w:rPr>
          <w:rStyle w:val="AERtextitalic"/>
        </w:rPr>
        <w:t xml:space="preserve"> Attachment 7 Operating Expenditure</w:t>
      </w:r>
      <w:r>
        <w:t xml:space="preserve">, June 2017; AER, </w:t>
      </w:r>
      <w:r w:rsidRPr="006876C7">
        <w:rPr>
          <w:rStyle w:val="AERtextitalic"/>
        </w:rPr>
        <w:t>Draft decision AusNet Services gas access arrangement 2018 to 2022</w:t>
      </w:r>
      <w:r>
        <w:rPr>
          <w:rStyle w:val="AERtextitalic"/>
        </w:rPr>
        <w:t>–</w:t>
      </w:r>
      <w:r w:rsidRPr="006876C7">
        <w:rPr>
          <w:rStyle w:val="AERtextitalic"/>
        </w:rPr>
        <w:t xml:space="preserve"> Attachment 7 Operating Expenditure</w:t>
      </w:r>
      <w:r>
        <w:t xml:space="preserve">, June 2017, p. ???.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C96" w:rsidRDefault="00172C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1AA058E"/>
    <w:multiLevelType w:val="hybridMultilevel"/>
    <w:tmpl w:val="3C70101E"/>
    <w:lvl w:ilvl="0" w:tplc="B336B1FC">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9">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5">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7">
    <w:nsid w:val="5ECE4384"/>
    <w:multiLevelType w:val="multilevel"/>
    <w:tmpl w:val="77DA445E"/>
    <w:lvl w:ilvl="0">
      <w:start w:val="7"/>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9">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1">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2"/>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8"/>
  </w:num>
  <w:num w:numId="13">
    <w:abstractNumId w:val="20"/>
  </w:num>
  <w:num w:numId="14">
    <w:abstractNumId w:val="11"/>
  </w:num>
  <w:num w:numId="15">
    <w:abstractNumId w:val="14"/>
  </w:num>
  <w:num w:numId="16">
    <w:abstractNumId w:val="22"/>
  </w:num>
  <w:num w:numId="17">
    <w:abstractNumId w:val="10"/>
  </w:num>
  <w:num w:numId="18">
    <w:abstractNumId w:val="16"/>
  </w:num>
  <w:num w:numId="19">
    <w:abstractNumId w:val="23"/>
  </w:num>
  <w:num w:numId="20">
    <w:abstractNumId w:val="29"/>
  </w:num>
  <w:num w:numId="21">
    <w:abstractNumId w:val="26"/>
  </w:num>
  <w:num w:numId="22">
    <w:abstractNumId w:val="24"/>
  </w:num>
  <w:num w:numId="23">
    <w:abstractNumId w:val="17"/>
  </w:num>
  <w:num w:numId="24">
    <w:abstractNumId w:val="25"/>
  </w:num>
  <w:num w:numId="25">
    <w:abstractNumId w:val="27"/>
  </w:num>
  <w:num w:numId="26">
    <w:abstractNumId w:val="19"/>
  </w:num>
  <w:num w:numId="27">
    <w:abstractNumId w:val="15"/>
  </w:num>
  <w:num w:numId="28">
    <w:abstractNumId w:val="31"/>
  </w:num>
  <w:num w:numId="29">
    <w:abstractNumId w:val="21"/>
  </w:num>
  <w:num w:numId="30">
    <w:abstractNumId w:val="9"/>
  </w:num>
  <w:num w:numId="31">
    <w:abstractNumId w:val="30"/>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rh7I1UM98OHOvH83smngDrzz9el/yqitrwUC2/LD+hI=" w:saltValue="fs9Rqo/ou+f7P48Swj8efQ==" w:algorithmName="SHA-256"/>
  <w:defaultTabStop w:val="340"/>
  <w:characterSpacingControl w:val="doNotCompress"/>
  <w:hdrShapeDefaults>
    <o:shapedefaults v:ext="edit" spidmax="317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8592\D16 9526  AER - Draft decision ElectraNet transmission determination - Attachment 1 - Maximum allowed revenue.DOCX"/>
  </w:docVars>
  <w:rsids>
    <w:rsidRoot w:val="00961A4A"/>
    <w:rsid w:val="000051DC"/>
    <w:rsid w:val="0000658F"/>
    <w:rsid w:val="00010697"/>
    <w:rsid w:val="0001507B"/>
    <w:rsid w:val="00016DB6"/>
    <w:rsid w:val="00020016"/>
    <w:rsid w:val="00021202"/>
    <w:rsid w:val="00021C2B"/>
    <w:rsid w:val="0002498B"/>
    <w:rsid w:val="00024B0F"/>
    <w:rsid w:val="0002517F"/>
    <w:rsid w:val="00026187"/>
    <w:rsid w:val="000266FC"/>
    <w:rsid w:val="00026EF5"/>
    <w:rsid w:val="000273B3"/>
    <w:rsid w:val="00027E2D"/>
    <w:rsid w:val="0003032C"/>
    <w:rsid w:val="00030EAB"/>
    <w:rsid w:val="0003416F"/>
    <w:rsid w:val="000352C3"/>
    <w:rsid w:val="0003578C"/>
    <w:rsid w:val="00037C30"/>
    <w:rsid w:val="00042838"/>
    <w:rsid w:val="00044DA3"/>
    <w:rsid w:val="000474DF"/>
    <w:rsid w:val="00055A67"/>
    <w:rsid w:val="0006318E"/>
    <w:rsid w:val="00063247"/>
    <w:rsid w:val="0006624E"/>
    <w:rsid w:val="00070F9F"/>
    <w:rsid w:val="0007137B"/>
    <w:rsid w:val="00073B74"/>
    <w:rsid w:val="00074F99"/>
    <w:rsid w:val="00075679"/>
    <w:rsid w:val="00076416"/>
    <w:rsid w:val="0007798B"/>
    <w:rsid w:val="000805A8"/>
    <w:rsid w:val="0008190B"/>
    <w:rsid w:val="000836D9"/>
    <w:rsid w:val="00085663"/>
    <w:rsid w:val="00085EBF"/>
    <w:rsid w:val="00091B15"/>
    <w:rsid w:val="00095186"/>
    <w:rsid w:val="000A0E71"/>
    <w:rsid w:val="000A1C0C"/>
    <w:rsid w:val="000A3020"/>
    <w:rsid w:val="000A4840"/>
    <w:rsid w:val="000A4923"/>
    <w:rsid w:val="000A62C1"/>
    <w:rsid w:val="000A6A79"/>
    <w:rsid w:val="000A6C7B"/>
    <w:rsid w:val="000B0A7B"/>
    <w:rsid w:val="000B1173"/>
    <w:rsid w:val="000B50EB"/>
    <w:rsid w:val="000B5827"/>
    <w:rsid w:val="000B5931"/>
    <w:rsid w:val="000B7037"/>
    <w:rsid w:val="000C02D1"/>
    <w:rsid w:val="000C0C63"/>
    <w:rsid w:val="000C2B40"/>
    <w:rsid w:val="000C5255"/>
    <w:rsid w:val="000D07A7"/>
    <w:rsid w:val="000D0DAC"/>
    <w:rsid w:val="000D122C"/>
    <w:rsid w:val="000D37E0"/>
    <w:rsid w:val="000D53B6"/>
    <w:rsid w:val="000D75B0"/>
    <w:rsid w:val="000E1819"/>
    <w:rsid w:val="000E4821"/>
    <w:rsid w:val="000E4AA9"/>
    <w:rsid w:val="000E5298"/>
    <w:rsid w:val="000E6C72"/>
    <w:rsid w:val="000E7F39"/>
    <w:rsid w:val="000F78EC"/>
    <w:rsid w:val="00100EA2"/>
    <w:rsid w:val="00101AA1"/>
    <w:rsid w:val="00102338"/>
    <w:rsid w:val="00103A85"/>
    <w:rsid w:val="00104566"/>
    <w:rsid w:val="00104FF6"/>
    <w:rsid w:val="001114AA"/>
    <w:rsid w:val="00112684"/>
    <w:rsid w:val="00112895"/>
    <w:rsid w:val="00115743"/>
    <w:rsid w:val="00116EB2"/>
    <w:rsid w:val="00120F92"/>
    <w:rsid w:val="0012132C"/>
    <w:rsid w:val="00124609"/>
    <w:rsid w:val="00126A4C"/>
    <w:rsid w:val="001270E3"/>
    <w:rsid w:val="00132D43"/>
    <w:rsid w:val="00133366"/>
    <w:rsid w:val="00133F47"/>
    <w:rsid w:val="00134029"/>
    <w:rsid w:val="00136F2B"/>
    <w:rsid w:val="00142C2D"/>
    <w:rsid w:val="00144C96"/>
    <w:rsid w:val="0014573B"/>
    <w:rsid w:val="001463A3"/>
    <w:rsid w:val="001464AE"/>
    <w:rsid w:val="0015073A"/>
    <w:rsid w:val="001573E4"/>
    <w:rsid w:val="00160756"/>
    <w:rsid w:val="00161DC8"/>
    <w:rsid w:val="00166760"/>
    <w:rsid w:val="00167727"/>
    <w:rsid w:val="0017232E"/>
    <w:rsid w:val="00172C96"/>
    <w:rsid w:val="00174102"/>
    <w:rsid w:val="001754EE"/>
    <w:rsid w:val="00180157"/>
    <w:rsid w:val="0018057F"/>
    <w:rsid w:val="001809BC"/>
    <w:rsid w:val="00180E97"/>
    <w:rsid w:val="001820B4"/>
    <w:rsid w:val="00184351"/>
    <w:rsid w:val="00184AC8"/>
    <w:rsid w:val="00185BA5"/>
    <w:rsid w:val="00185CB9"/>
    <w:rsid w:val="00185DBE"/>
    <w:rsid w:val="00186ADC"/>
    <w:rsid w:val="00186F77"/>
    <w:rsid w:val="001877A4"/>
    <w:rsid w:val="00191B44"/>
    <w:rsid w:val="001926A4"/>
    <w:rsid w:val="00192AD5"/>
    <w:rsid w:val="00194597"/>
    <w:rsid w:val="00194E00"/>
    <w:rsid w:val="00195224"/>
    <w:rsid w:val="001953A2"/>
    <w:rsid w:val="0019745E"/>
    <w:rsid w:val="00197B16"/>
    <w:rsid w:val="001A1BDE"/>
    <w:rsid w:val="001A34C7"/>
    <w:rsid w:val="001A530D"/>
    <w:rsid w:val="001A5FB3"/>
    <w:rsid w:val="001A6C5B"/>
    <w:rsid w:val="001A7155"/>
    <w:rsid w:val="001B45A0"/>
    <w:rsid w:val="001B680E"/>
    <w:rsid w:val="001C1472"/>
    <w:rsid w:val="001D055E"/>
    <w:rsid w:val="001E1B3F"/>
    <w:rsid w:val="001E7161"/>
    <w:rsid w:val="001F05A4"/>
    <w:rsid w:val="001F2298"/>
    <w:rsid w:val="001F3D4A"/>
    <w:rsid w:val="001F492E"/>
    <w:rsid w:val="001F64EF"/>
    <w:rsid w:val="001F6DA3"/>
    <w:rsid w:val="002010BC"/>
    <w:rsid w:val="002016E7"/>
    <w:rsid w:val="00202E03"/>
    <w:rsid w:val="002033B9"/>
    <w:rsid w:val="002039B6"/>
    <w:rsid w:val="002043D0"/>
    <w:rsid w:val="0020492C"/>
    <w:rsid w:val="00204EC9"/>
    <w:rsid w:val="00206505"/>
    <w:rsid w:val="0020743F"/>
    <w:rsid w:val="002101BD"/>
    <w:rsid w:val="00216C93"/>
    <w:rsid w:val="00222A42"/>
    <w:rsid w:val="00223051"/>
    <w:rsid w:val="00224DB9"/>
    <w:rsid w:val="0022569A"/>
    <w:rsid w:val="00225861"/>
    <w:rsid w:val="00225F53"/>
    <w:rsid w:val="0023005C"/>
    <w:rsid w:val="00231012"/>
    <w:rsid w:val="00233169"/>
    <w:rsid w:val="00233775"/>
    <w:rsid w:val="0023414B"/>
    <w:rsid w:val="00234E62"/>
    <w:rsid w:val="002360F4"/>
    <w:rsid w:val="0023641E"/>
    <w:rsid w:val="00242AF3"/>
    <w:rsid w:val="00243635"/>
    <w:rsid w:val="00247079"/>
    <w:rsid w:val="002502B5"/>
    <w:rsid w:val="00251745"/>
    <w:rsid w:val="00252276"/>
    <w:rsid w:val="00254D24"/>
    <w:rsid w:val="002552BA"/>
    <w:rsid w:val="00260016"/>
    <w:rsid w:val="00263AC0"/>
    <w:rsid w:val="00264264"/>
    <w:rsid w:val="0026689B"/>
    <w:rsid w:val="0026772D"/>
    <w:rsid w:val="002730B2"/>
    <w:rsid w:val="0027347D"/>
    <w:rsid w:val="00274C7E"/>
    <w:rsid w:val="002777CF"/>
    <w:rsid w:val="00280320"/>
    <w:rsid w:val="002810F2"/>
    <w:rsid w:val="002824D3"/>
    <w:rsid w:val="00286874"/>
    <w:rsid w:val="00290C63"/>
    <w:rsid w:val="00291A99"/>
    <w:rsid w:val="00293B6D"/>
    <w:rsid w:val="00294B08"/>
    <w:rsid w:val="0029518C"/>
    <w:rsid w:val="002963DD"/>
    <w:rsid w:val="00296B65"/>
    <w:rsid w:val="002A7329"/>
    <w:rsid w:val="002A7DEF"/>
    <w:rsid w:val="002B0696"/>
    <w:rsid w:val="002B5966"/>
    <w:rsid w:val="002C0222"/>
    <w:rsid w:val="002C1499"/>
    <w:rsid w:val="002C179C"/>
    <w:rsid w:val="002C233C"/>
    <w:rsid w:val="002C4C98"/>
    <w:rsid w:val="002C517B"/>
    <w:rsid w:val="002D3509"/>
    <w:rsid w:val="002D37E9"/>
    <w:rsid w:val="002D5457"/>
    <w:rsid w:val="002D72E8"/>
    <w:rsid w:val="002D79AD"/>
    <w:rsid w:val="002D7E15"/>
    <w:rsid w:val="002E268F"/>
    <w:rsid w:val="002E3778"/>
    <w:rsid w:val="002E78DD"/>
    <w:rsid w:val="002E7B22"/>
    <w:rsid w:val="002F12EC"/>
    <w:rsid w:val="002F5504"/>
    <w:rsid w:val="002F612B"/>
    <w:rsid w:val="002F7986"/>
    <w:rsid w:val="00301941"/>
    <w:rsid w:val="00301B40"/>
    <w:rsid w:val="00301C82"/>
    <w:rsid w:val="003029EE"/>
    <w:rsid w:val="00304D38"/>
    <w:rsid w:val="00305CC8"/>
    <w:rsid w:val="0030680B"/>
    <w:rsid w:val="00307F6D"/>
    <w:rsid w:val="00314D83"/>
    <w:rsid w:val="0031571F"/>
    <w:rsid w:val="003177A2"/>
    <w:rsid w:val="00317E02"/>
    <w:rsid w:val="003212B5"/>
    <w:rsid w:val="00323CE0"/>
    <w:rsid w:val="003271B5"/>
    <w:rsid w:val="00327A1E"/>
    <w:rsid w:val="00327E28"/>
    <w:rsid w:val="00331264"/>
    <w:rsid w:val="003313C7"/>
    <w:rsid w:val="00331DB5"/>
    <w:rsid w:val="003340F1"/>
    <w:rsid w:val="00334C8D"/>
    <w:rsid w:val="003373DF"/>
    <w:rsid w:val="003378BD"/>
    <w:rsid w:val="003424EA"/>
    <w:rsid w:val="00342C2F"/>
    <w:rsid w:val="003436EB"/>
    <w:rsid w:val="00343A18"/>
    <w:rsid w:val="003451DF"/>
    <w:rsid w:val="00345744"/>
    <w:rsid w:val="003518B3"/>
    <w:rsid w:val="00353E79"/>
    <w:rsid w:val="00356135"/>
    <w:rsid w:val="003630C8"/>
    <w:rsid w:val="00364EA0"/>
    <w:rsid w:val="00366981"/>
    <w:rsid w:val="00370678"/>
    <w:rsid w:val="00370ED1"/>
    <w:rsid w:val="0037214E"/>
    <w:rsid w:val="00372C85"/>
    <w:rsid w:val="00373845"/>
    <w:rsid w:val="003744E3"/>
    <w:rsid w:val="00375F71"/>
    <w:rsid w:val="00376219"/>
    <w:rsid w:val="0037663E"/>
    <w:rsid w:val="0037699E"/>
    <w:rsid w:val="00377A29"/>
    <w:rsid w:val="00377C69"/>
    <w:rsid w:val="0038415D"/>
    <w:rsid w:val="0038461C"/>
    <w:rsid w:val="003846F1"/>
    <w:rsid w:val="00390E6A"/>
    <w:rsid w:val="003921AD"/>
    <w:rsid w:val="00393ABE"/>
    <w:rsid w:val="00395DB6"/>
    <w:rsid w:val="00397398"/>
    <w:rsid w:val="003A371A"/>
    <w:rsid w:val="003A59CD"/>
    <w:rsid w:val="003A6B00"/>
    <w:rsid w:val="003B30B2"/>
    <w:rsid w:val="003B484F"/>
    <w:rsid w:val="003B4AD2"/>
    <w:rsid w:val="003B504B"/>
    <w:rsid w:val="003B5179"/>
    <w:rsid w:val="003B685C"/>
    <w:rsid w:val="003B7FBA"/>
    <w:rsid w:val="003C6537"/>
    <w:rsid w:val="003C6A13"/>
    <w:rsid w:val="003C764A"/>
    <w:rsid w:val="003C78BA"/>
    <w:rsid w:val="003D3054"/>
    <w:rsid w:val="003D41F1"/>
    <w:rsid w:val="003D42AB"/>
    <w:rsid w:val="003D5B94"/>
    <w:rsid w:val="003E0647"/>
    <w:rsid w:val="003E0D3A"/>
    <w:rsid w:val="003E3AAB"/>
    <w:rsid w:val="003E7FE9"/>
    <w:rsid w:val="003F07D4"/>
    <w:rsid w:val="003F174D"/>
    <w:rsid w:val="003F2329"/>
    <w:rsid w:val="004002FD"/>
    <w:rsid w:val="00400FD2"/>
    <w:rsid w:val="004011EB"/>
    <w:rsid w:val="00403711"/>
    <w:rsid w:val="00404C52"/>
    <w:rsid w:val="004156D5"/>
    <w:rsid w:val="00415BA9"/>
    <w:rsid w:val="00415F31"/>
    <w:rsid w:val="0041691D"/>
    <w:rsid w:val="0042000C"/>
    <w:rsid w:val="0042090E"/>
    <w:rsid w:val="00421F27"/>
    <w:rsid w:val="004238D8"/>
    <w:rsid w:val="00423A77"/>
    <w:rsid w:val="004244A0"/>
    <w:rsid w:val="004314C9"/>
    <w:rsid w:val="004324F4"/>
    <w:rsid w:val="00434544"/>
    <w:rsid w:val="00445D43"/>
    <w:rsid w:val="00446CD2"/>
    <w:rsid w:val="0045460A"/>
    <w:rsid w:val="0045777E"/>
    <w:rsid w:val="00461E73"/>
    <w:rsid w:val="00465258"/>
    <w:rsid w:val="00471BC6"/>
    <w:rsid w:val="0047300F"/>
    <w:rsid w:val="00476221"/>
    <w:rsid w:val="004766F5"/>
    <w:rsid w:val="00480B4B"/>
    <w:rsid w:val="004838D8"/>
    <w:rsid w:val="00485DC4"/>
    <w:rsid w:val="00494D04"/>
    <w:rsid w:val="004A40BA"/>
    <w:rsid w:val="004A43D1"/>
    <w:rsid w:val="004A492B"/>
    <w:rsid w:val="004B4412"/>
    <w:rsid w:val="004C03D6"/>
    <w:rsid w:val="004C348C"/>
    <w:rsid w:val="004C462E"/>
    <w:rsid w:val="004C4694"/>
    <w:rsid w:val="004C6CA3"/>
    <w:rsid w:val="004C7AA3"/>
    <w:rsid w:val="004C7F5E"/>
    <w:rsid w:val="004D1693"/>
    <w:rsid w:val="004D17C0"/>
    <w:rsid w:val="004D343C"/>
    <w:rsid w:val="004D372A"/>
    <w:rsid w:val="004D55BA"/>
    <w:rsid w:val="004D720C"/>
    <w:rsid w:val="004E0FA7"/>
    <w:rsid w:val="004E22EC"/>
    <w:rsid w:val="004F0BFA"/>
    <w:rsid w:val="004F13DA"/>
    <w:rsid w:val="004F3DDF"/>
    <w:rsid w:val="004F4D69"/>
    <w:rsid w:val="004F6883"/>
    <w:rsid w:val="004F6A0E"/>
    <w:rsid w:val="004F6BB3"/>
    <w:rsid w:val="005009CD"/>
    <w:rsid w:val="00500C7E"/>
    <w:rsid w:val="005029A9"/>
    <w:rsid w:val="00504E5F"/>
    <w:rsid w:val="00504FB9"/>
    <w:rsid w:val="0051337E"/>
    <w:rsid w:val="00513FA7"/>
    <w:rsid w:val="0051768F"/>
    <w:rsid w:val="0052231C"/>
    <w:rsid w:val="00522DC2"/>
    <w:rsid w:val="00530128"/>
    <w:rsid w:val="00532467"/>
    <w:rsid w:val="005332A9"/>
    <w:rsid w:val="0053603C"/>
    <w:rsid w:val="00537871"/>
    <w:rsid w:val="00542FE9"/>
    <w:rsid w:val="0054448E"/>
    <w:rsid w:val="00544598"/>
    <w:rsid w:val="00544C8D"/>
    <w:rsid w:val="00544DFD"/>
    <w:rsid w:val="00546E2A"/>
    <w:rsid w:val="00556B1E"/>
    <w:rsid w:val="00556B87"/>
    <w:rsid w:val="00564A4D"/>
    <w:rsid w:val="0056598C"/>
    <w:rsid w:val="00565F23"/>
    <w:rsid w:val="00566E0B"/>
    <w:rsid w:val="00567BA5"/>
    <w:rsid w:val="00571B35"/>
    <w:rsid w:val="00571B43"/>
    <w:rsid w:val="00571D57"/>
    <w:rsid w:val="00573A3B"/>
    <w:rsid w:val="005764DF"/>
    <w:rsid w:val="00577716"/>
    <w:rsid w:val="00577A09"/>
    <w:rsid w:val="0058168F"/>
    <w:rsid w:val="005829C2"/>
    <w:rsid w:val="00584D8F"/>
    <w:rsid w:val="00587A18"/>
    <w:rsid w:val="00587ADE"/>
    <w:rsid w:val="00595FE9"/>
    <w:rsid w:val="005A0BEC"/>
    <w:rsid w:val="005A404D"/>
    <w:rsid w:val="005B1767"/>
    <w:rsid w:val="005B1E3C"/>
    <w:rsid w:val="005B6518"/>
    <w:rsid w:val="005B704A"/>
    <w:rsid w:val="005B72D7"/>
    <w:rsid w:val="005C045F"/>
    <w:rsid w:val="005C16FE"/>
    <w:rsid w:val="005C1FAB"/>
    <w:rsid w:val="005C21A4"/>
    <w:rsid w:val="005C26CC"/>
    <w:rsid w:val="005C4463"/>
    <w:rsid w:val="005D2EAC"/>
    <w:rsid w:val="005D39E0"/>
    <w:rsid w:val="005D3D88"/>
    <w:rsid w:val="005D48C4"/>
    <w:rsid w:val="005D6208"/>
    <w:rsid w:val="005D6366"/>
    <w:rsid w:val="005D7BA2"/>
    <w:rsid w:val="005E1DCE"/>
    <w:rsid w:val="005E36C2"/>
    <w:rsid w:val="005E4032"/>
    <w:rsid w:val="005E4AF4"/>
    <w:rsid w:val="005E6605"/>
    <w:rsid w:val="005F387E"/>
    <w:rsid w:val="00601E0B"/>
    <w:rsid w:val="0060258B"/>
    <w:rsid w:val="006028F4"/>
    <w:rsid w:val="00605853"/>
    <w:rsid w:val="006063A5"/>
    <w:rsid w:val="00610EF9"/>
    <w:rsid w:val="00612F4F"/>
    <w:rsid w:val="00614EA0"/>
    <w:rsid w:val="00615C6B"/>
    <w:rsid w:val="00617D4C"/>
    <w:rsid w:val="0062109C"/>
    <w:rsid w:val="00621DCE"/>
    <w:rsid w:val="00621FC5"/>
    <w:rsid w:val="00624F2C"/>
    <w:rsid w:val="00632D6D"/>
    <w:rsid w:val="00632E71"/>
    <w:rsid w:val="00636569"/>
    <w:rsid w:val="00636EF9"/>
    <w:rsid w:val="00642C3E"/>
    <w:rsid w:val="00644A01"/>
    <w:rsid w:val="00651E2D"/>
    <w:rsid w:val="00652324"/>
    <w:rsid w:val="006577FB"/>
    <w:rsid w:val="0066104A"/>
    <w:rsid w:val="00663066"/>
    <w:rsid w:val="00663DAD"/>
    <w:rsid w:val="00664206"/>
    <w:rsid w:val="00664405"/>
    <w:rsid w:val="006649E7"/>
    <w:rsid w:val="00666634"/>
    <w:rsid w:val="00671692"/>
    <w:rsid w:val="00672F97"/>
    <w:rsid w:val="00675E20"/>
    <w:rsid w:val="00676679"/>
    <w:rsid w:val="00682873"/>
    <w:rsid w:val="00683C89"/>
    <w:rsid w:val="006876C7"/>
    <w:rsid w:val="00691B53"/>
    <w:rsid w:val="0069517C"/>
    <w:rsid w:val="00695629"/>
    <w:rsid w:val="00695BC0"/>
    <w:rsid w:val="00695C1D"/>
    <w:rsid w:val="00697D0B"/>
    <w:rsid w:val="006A12BA"/>
    <w:rsid w:val="006A3B16"/>
    <w:rsid w:val="006A4739"/>
    <w:rsid w:val="006A66A1"/>
    <w:rsid w:val="006B032D"/>
    <w:rsid w:val="006B2395"/>
    <w:rsid w:val="006B40AC"/>
    <w:rsid w:val="006B4CF9"/>
    <w:rsid w:val="006B797C"/>
    <w:rsid w:val="006B7AC8"/>
    <w:rsid w:val="006B7F4D"/>
    <w:rsid w:val="006C13AC"/>
    <w:rsid w:val="006C1736"/>
    <w:rsid w:val="006C329B"/>
    <w:rsid w:val="006C3455"/>
    <w:rsid w:val="006C6303"/>
    <w:rsid w:val="006C7955"/>
    <w:rsid w:val="006C79DD"/>
    <w:rsid w:val="006D550F"/>
    <w:rsid w:val="006D6146"/>
    <w:rsid w:val="006D7F7E"/>
    <w:rsid w:val="006E0CFF"/>
    <w:rsid w:val="006E762C"/>
    <w:rsid w:val="006F0672"/>
    <w:rsid w:val="006F0D92"/>
    <w:rsid w:val="006F267D"/>
    <w:rsid w:val="0070011E"/>
    <w:rsid w:val="00701CAB"/>
    <w:rsid w:val="007023BB"/>
    <w:rsid w:val="00704DD7"/>
    <w:rsid w:val="00707563"/>
    <w:rsid w:val="0071082B"/>
    <w:rsid w:val="00715F61"/>
    <w:rsid w:val="00722132"/>
    <w:rsid w:val="007228F7"/>
    <w:rsid w:val="0072348C"/>
    <w:rsid w:val="00724A37"/>
    <w:rsid w:val="00725295"/>
    <w:rsid w:val="007303C3"/>
    <w:rsid w:val="00731188"/>
    <w:rsid w:val="0073160F"/>
    <w:rsid w:val="007356CC"/>
    <w:rsid w:val="007368E6"/>
    <w:rsid w:val="007375DF"/>
    <w:rsid w:val="007429BE"/>
    <w:rsid w:val="00743223"/>
    <w:rsid w:val="00743349"/>
    <w:rsid w:val="0074403A"/>
    <w:rsid w:val="00744411"/>
    <w:rsid w:val="00746E01"/>
    <w:rsid w:val="00751DCD"/>
    <w:rsid w:val="0075450A"/>
    <w:rsid w:val="00755084"/>
    <w:rsid w:val="00757364"/>
    <w:rsid w:val="0075786B"/>
    <w:rsid w:val="00757BDF"/>
    <w:rsid w:val="007609D0"/>
    <w:rsid w:val="00761454"/>
    <w:rsid w:val="0076193D"/>
    <w:rsid w:val="00763E5D"/>
    <w:rsid w:val="00767740"/>
    <w:rsid w:val="00767B5E"/>
    <w:rsid w:val="00775460"/>
    <w:rsid w:val="00777EE6"/>
    <w:rsid w:val="00782EEA"/>
    <w:rsid w:val="00786EFB"/>
    <w:rsid w:val="007909B4"/>
    <w:rsid w:val="00790E86"/>
    <w:rsid w:val="007949D7"/>
    <w:rsid w:val="00797258"/>
    <w:rsid w:val="007A0143"/>
    <w:rsid w:val="007A34C2"/>
    <w:rsid w:val="007A396C"/>
    <w:rsid w:val="007A4B02"/>
    <w:rsid w:val="007A5E17"/>
    <w:rsid w:val="007B0BE3"/>
    <w:rsid w:val="007B1816"/>
    <w:rsid w:val="007B186E"/>
    <w:rsid w:val="007B25DC"/>
    <w:rsid w:val="007B2C72"/>
    <w:rsid w:val="007B3789"/>
    <w:rsid w:val="007B3948"/>
    <w:rsid w:val="007B52DE"/>
    <w:rsid w:val="007B651F"/>
    <w:rsid w:val="007B7BB5"/>
    <w:rsid w:val="007C14F8"/>
    <w:rsid w:val="007C1C53"/>
    <w:rsid w:val="007C284C"/>
    <w:rsid w:val="007C4B82"/>
    <w:rsid w:val="007C74BB"/>
    <w:rsid w:val="007C7F64"/>
    <w:rsid w:val="007D0A95"/>
    <w:rsid w:val="007D0EB5"/>
    <w:rsid w:val="007D38C2"/>
    <w:rsid w:val="007D456E"/>
    <w:rsid w:val="007D5837"/>
    <w:rsid w:val="007E03E8"/>
    <w:rsid w:val="007E2438"/>
    <w:rsid w:val="007E4904"/>
    <w:rsid w:val="007E4CB5"/>
    <w:rsid w:val="007E4DAE"/>
    <w:rsid w:val="007E5A6B"/>
    <w:rsid w:val="007F066B"/>
    <w:rsid w:val="007F19DA"/>
    <w:rsid w:val="007F4EAB"/>
    <w:rsid w:val="007F5B16"/>
    <w:rsid w:val="007F7C9D"/>
    <w:rsid w:val="008033C4"/>
    <w:rsid w:val="00806731"/>
    <w:rsid w:val="00806C88"/>
    <w:rsid w:val="0081034E"/>
    <w:rsid w:val="00810806"/>
    <w:rsid w:val="00815831"/>
    <w:rsid w:val="00815882"/>
    <w:rsid w:val="00820454"/>
    <w:rsid w:val="00822AC7"/>
    <w:rsid w:val="00822E86"/>
    <w:rsid w:val="008344F6"/>
    <w:rsid w:val="0083510F"/>
    <w:rsid w:val="00837BF3"/>
    <w:rsid w:val="008415DE"/>
    <w:rsid w:val="008420DE"/>
    <w:rsid w:val="00845865"/>
    <w:rsid w:val="0084799B"/>
    <w:rsid w:val="00850C90"/>
    <w:rsid w:val="00850F8F"/>
    <w:rsid w:val="00851209"/>
    <w:rsid w:val="0085171F"/>
    <w:rsid w:val="008658A1"/>
    <w:rsid w:val="0086716A"/>
    <w:rsid w:val="00870613"/>
    <w:rsid w:val="0087380F"/>
    <w:rsid w:val="0087542A"/>
    <w:rsid w:val="0087648F"/>
    <w:rsid w:val="00876612"/>
    <w:rsid w:val="00882BB1"/>
    <w:rsid w:val="008837AC"/>
    <w:rsid w:val="008909DC"/>
    <w:rsid w:val="00893322"/>
    <w:rsid w:val="00894255"/>
    <w:rsid w:val="008945AD"/>
    <w:rsid w:val="008A0645"/>
    <w:rsid w:val="008A1C02"/>
    <w:rsid w:val="008A370D"/>
    <w:rsid w:val="008A587D"/>
    <w:rsid w:val="008A6A0C"/>
    <w:rsid w:val="008B16B0"/>
    <w:rsid w:val="008B1BD5"/>
    <w:rsid w:val="008B35CD"/>
    <w:rsid w:val="008B4093"/>
    <w:rsid w:val="008B563D"/>
    <w:rsid w:val="008B5FCC"/>
    <w:rsid w:val="008B7F36"/>
    <w:rsid w:val="008C357F"/>
    <w:rsid w:val="008C5486"/>
    <w:rsid w:val="008C5ABC"/>
    <w:rsid w:val="008C6DC6"/>
    <w:rsid w:val="008D1661"/>
    <w:rsid w:val="008D27E0"/>
    <w:rsid w:val="008D38DF"/>
    <w:rsid w:val="008D5F90"/>
    <w:rsid w:val="008D6800"/>
    <w:rsid w:val="008D72F1"/>
    <w:rsid w:val="008E0D00"/>
    <w:rsid w:val="008E27FA"/>
    <w:rsid w:val="008E4089"/>
    <w:rsid w:val="008E59D4"/>
    <w:rsid w:val="008E5AFF"/>
    <w:rsid w:val="008E7031"/>
    <w:rsid w:val="008E77DE"/>
    <w:rsid w:val="008F040C"/>
    <w:rsid w:val="008F07A3"/>
    <w:rsid w:val="008F2145"/>
    <w:rsid w:val="008F3322"/>
    <w:rsid w:val="008F3519"/>
    <w:rsid w:val="008F3A0D"/>
    <w:rsid w:val="008F57C6"/>
    <w:rsid w:val="009001B6"/>
    <w:rsid w:val="00900E1B"/>
    <w:rsid w:val="0090131F"/>
    <w:rsid w:val="00907683"/>
    <w:rsid w:val="00907793"/>
    <w:rsid w:val="00913113"/>
    <w:rsid w:val="009132B7"/>
    <w:rsid w:val="009141E4"/>
    <w:rsid w:val="00916A2C"/>
    <w:rsid w:val="009218E2"/>
    <w:rsid w:val="009233EE"/>
    <w:rsid w:val="00924E14"/>
    <w:rsid w:val="00930B1A"/>
    <w:rsid w:val="00932612"/>
    <w:rsid w:val="009327DC"/>
    <w:rsid w:val="009338D9"/>
    <w:rsid w:val="009339BD"/>
    <w:rsid w:val="009356CF"/>
    <w:rsid w:val="00945E53"/>
    <w:rsid w:val="009460AA"/>
    <w:rsid w:val="009468DB"/>
    <w:rsid w:val="00951978"/>
    <w:rsid w:val="00952C8B"/>
    <w:rsid w:val="00954D8B"/>
    <w:rsid w:val="00961A4A"/>
    <w:rsid w:val="009661DE"/>
    <w:rsid w:val="00972C7C"/>
    <w:rsid w:val="009776F4"/>
    <w:rsid w:val="00982DA2"/>
    <w:rsid w:val="00983C25"/>
    <w:rsid w:val="0098466D"/>
    <w:rsid w:val="009856B7"/>
    <w:rsid w:val="009859D6"/>
    <w:rsid w:val="00985C86"/>
    <w:rsid w:val="009912E7"/>
    <w:rsid w:val="00992EE2"/>
    <w:rsid w:val="00995400"/>
    <w:rsid w:val="0099789E"/>
    <w:rsid w:val="009A248A"/>
    <w:rsid w:val="009A5FC3"/>
    <w:rsid w:val="009B3B7C"/>
    <w:rsid w:val="009B6F84"/>
    <w:rsid w:val="009B74B0"/>
    <w:rsid w:val="009C0152"/>
    <w:rsid w:val="009C1A74"/>
    <w:rsid w:val="009C3D42"/>
    <w:rsid w:val="009C491E"/>
    <w:rsid w:val="009D0DF1"/>
    <w:rsid w:val="009D22D6"/>
    <w:rsid w:val="009D2C84"/>
    <w:rsid w:val="009D3906"/>
    <w:rsid w:val="009D6601"/>
    <w:rsid w:val="009D67DD"/>
    <w:rsid w:val="009D6B46"/>
    <w:rsid w:val="009E23D2"/>
    <w:rsid w:val="009E35B6"/>
    <w:rsid w:val="009E5ABC"/>
    <w:rsid w:val="009E6020"/>
    <w:rsid w:val="009F3BBA"/>
    <w:rsid w:val="009F43B4"/>
    <w:rsid w:val="009F4940"/>
    <w:rsid w:val="009F5BA1"/>
    <w:rsid w:val="00A02A88"/>
    <w:rsid w:val="00A04012"/>
    <w:rsid w:val="00A046FA"/>
    <w:rsid w:val="00A0562E"/>
    <w:rsid w:val="00A0726D"/>
    <w:rsid w:val="00A073AE"/>
    <w:rsid w:val="00A12204"/>
    <w:rsid w:val="00A12750"/>
    <w:rsid w:val="00A13CB0"/>
    <w:rsid w:val="00A1561F"/>
    <w:rsid w:val="00A16544"/>
    <w:rsid w:val="00A20323"/>
    <w:rsid w:val="00A23703"/>
    <w:rsid w:val="00A30BF5"/>
    <w:rsid w:val="00A31BE6"/>
    <w:rsid w:val="00A32D0A"/>
    <w:rsid w:val="00A32FBB"/>
    <w:rsid w:val="00A33DF5"/>
    <w:rsid w:val="00A35CAC"/>
    <w:rsid w:val="00A40068"/>
    <w:rsid w:val="00A40BE9"/>
    <w:rsid w:val="00A428EE"/>
    <w:rsid w:val="00A443C2"/>
    <w:rsid w:val="00A4478A"/>
    <w:rsid w:val="00A44852"/>
    <w:rsid w:val="00A50502"/>
    <w:rsid w:val="00A53409"/>
    <w:rsid w:val="00A53796"/>
    <w:rsid w:val="00A53848"/>
    <w:rsid w:val="00A56174"/>
    <w:rsid w:val="00A56945"/>
    <w:rsid w:val="00A56A6E"/>
    <w:rsid w:val="00A57C39"/>
    <w:rsid w:val="00A57D04"/>
    <w:rsid w:val="00A60A26"/>
    <w:rsid w:val="00A61598"/>
    <w:rsid w:val="00A61777"/>
    <w:rsid w:val="00A61B67"/>
    <w:rsid w:val="00A63646"/>
    <w:rsid w:val="00A63914"/>
    <w:rsid w:val="00A64A3C"/>
    <w:rsid w:val="00A76515"/>
    <w:rsid w:val="00A82B47"/>
    <w:rsid w:val="00A84A99"/>
    <w:rsid w:val="00A84F46"/>
    <w:rsid w:val="00A85E87"/>
    <w:rsid w:val="00A86AEA"/>
    <w:rsid w:val="00A86B25"/>
    <w:rsid w:val="00A871F4"/>
    <w:rsid w:val="00A9431A"/>
    <w:rsid w:val="00A95988"/>
    <w:rsid w:val="00A959DF"/>
    <w:rsid w:val="00A97A1B"/>
    <w:rsid w:val="00AA2927"/>
    <w:rsid w:val="00AB2CB8"/>
    <w:rsid w:val="00AB4617"/>
    <w:rsid w:val="00AC0122"/>
    <w:rsid w:val="00AC1B2C"/>
    <w:rsid w:val="00AC24DA"/>
    <w:rsid w:val="00AC3264"/>
    <w:rsid w:val="00AC46AD"/>
    <w:rsid w:val="00AC4D2D"/>
    <w:rsid w:val="00AC55F5"/>
    <w:rsid w:val="00AC58EC"/>
    <w:rsid w:val="00AC7282"/>
    <w:rsid w:val="00AC7961"/>
    <w:rsid w:val="00AD314E"/>
    <w:rsid w:val="00AD458B"/>
    <w:rsid w:val="00AD5E03"/>
    <w:rsid w:val="00AD5FCD"/>
    <w:rsid w:val="00AD6B48"/>
    <w:rsid w:val="00AD7A3A"/>
    <w:rsid w:val="00AE1BF1"/>
    <w:rsid w:val="00AE23AB"/>
    <w:rsid w:val="00AE4731"/>
    <w:rsid w:val="00AE58FB"/>
    <w:rsid w:val="00AE5AF0"/>
    <w:rsid w:val="00AE663D"/>
    <w:rsid w:val="00AE73B3"/>
    <w:rsid w:val="00AF07E7"/>
    <w:rsid w:val="00AF0DD2"/>
    <w:rsid w:val="00AF31E1"/>
    <w:rsid w:val="00AF3BBA"/>
    <w:rsid w:val="00AF4231"/>
    <w:rsid w:val="00B00B0E"/>
    <w:rsid w:val="00B00B26"/>
    <w:rsid w:val="00B02385"/>
    <w:rsid w:val="00B026E5"/>
    <w:rsid w:val="00B02F9D"/>
    <w:rsid w:val="00B047DC"/>
    <w:rsid w:val="00B05766"/>
    <w:rsid w:val="00B13048"/>
    <w:rsid w:val="00B13883"/>
    <w:rsid w:val="00B164BD"/>
    <w:rsid w:val="00B1716D"/>
    <w:rsid w:val="00B17A1D"/>
    <w:rsid w:val="00B207A0"/>
    <w:rsid w:val="00B21C21"/>
    <w:rsid w:val="00B2266F"/>
    <w:rsid w:val="00B22F54"/>
    <w:rsid w:val="00B24A7E"/>
    <w:rsid w:val="00B25C0C"/>
    <w:rsid w:val="00B260F9"/>
    <w:rsid w:val="00B304B5"/>
    <w:rsid w:val="00B308A9"/>
    <w:rsid w:val="00B30FF4"/>
    <w:rsid w:val="00B31047"/>
    <w:rsid w:val="00B31391"/>
    <w:rsid w:val="00B33148"/>
    <w:rsid w:val="00B35CDF"/>
    <w:rsid w:val="00B403C2"/>
    <w:rsid w:val="00B405A1"/>
    <w:rsid w:val="00B40F9F"/>
    <w:rsid w:val="00B4438A"/>
    <w:rsid w:val="00B45AA2"/>
    <w:rsid w:val="00B479CA"/>
    <w:rsid w:val="00B50431"/>
    <w:rsid w:val="00B5084F"/>
    <w:rsid w:val="00B514DD"/>
    <w:rsid w:val="00B52AF0"/>
    <w:rsid w:val="00B53D5F"/>
    <w:rsid w:val="00B54051"/>
    <w:rsid w:val="00B561BD"/>
    <w:rsid w:val="00B56E03"/>
    <w:rsid w:val="00B62765"/>
    <w:rsid w:val="00B65DF5"/>
    <w:rsid w:val="00B7679F"/>
    <w:rsid w:val="00B77159"/>
    <w:rsid w:val="00B8080B"/>
    <w:rsid w:val="00B82223"/>
    <w:rsid w:val="00B87BA5"/>
    <w:rsid w:val="00B87C39"/>
    <w:rsid w:val="00B9107C"/>
    <w:rsid w:val="00B93891"/>
    <w:rsid w:val="00B9562D"/>
    <w:rsid w:val="00B9752A"/>
    <w:rsid w:val="00BA1F8B"/>
    <w:rsid w:val="00BA21DA"/>
    <w:rsid w:val="00BA2B60"/>
    <w:rsid w:val="00BA3C93"/>
    <w:rsid w:val="00BA4665"/>
    <w:rsid w:val="00BA7FD7"/>
    <w:rsid w:val="00BB1681"/>
    <w:rsid w:val="00BB1B19"/>
    <w:rsid w:val="00BB2FB2"/>
    <w:rsid w:val="00BB3304"/>
    <w:rsid w:val="00BB6551"/>
    <w:rsid w:val="00BC4A10"/>
    <w:rsid w:val="00BD30F4"/>
    <w:rsid w:val="00BD3446"/>
    <w:rsid w:val="00BD59CF"/>
    <w:rsid w:val="00BE03F5"/>
    <w:rsid w:val="00BE1312"/>
    <w:rsid w:val="00BE1B95"/>
    <w:rsid w:val="00BE1F1B"/>
    <w:rsid w:val="00BE2EFA"/>
    <w:rsid w:val="00BE3F89"/>
    <w:rsid w:val="00BE47B5"/>
    <w:rsid w:val="00BE5FCE"/>
    <w:rsid w:val="00BF075B"/>
    <w:rsid w:val="00BF1A24"/>
    <w:rsid w:val="00BF6457"/>
    <w:rsid w:val="00C0079E"/>
    <w:rsid w:val="00C0572A"/>
    <w:rsid w:val="00C06DB1"/>
    <w:rsid w:val="00C12C85"/>
    <w:rsid w:val="00C13EBD"/>
    <w:rsid w:val="00C1631B"/>
    <w:rsid w:val="00C163AB"/>
    <w:rsid w:val="00C170F0"/>
    <w:rsid w:val="00C25962"/>
    <w:rsid w:val="00C25FA6"/>
    <w:rsid w:val="00C263A9"/>
    <w:rsid w:val="00C3099D"/>
    <w:rsid w:val="00C32D1F"/>
    <w:rsid w:val="00C33011"/>
    <w:rsid w:val="00C362C1"/>
    <w:rsid w:val="00C36B15"/>
    <w:rsid w:val="00C41950"/>
    <w:rsid w:val="00C4201D"/>
    <w:rsid w:val="00C42604"/>
    <w:rsid w:val="00C42C3B"/>
    <w:rsid w:val="00C51672"/>
    <w:rsid w:val="00C52528"/>
    <w:rsid w:val="00C538A9"/>
    <w:rsid w:val="00C53B5A"/>
    <w:rsid w:val="00C53E41"/>
    <w:rsid w:val="00C54909"/>
    <w:rsid w:val="00C54AF3"/>
    <w:rsid w:val="00C54F5A"/>
    <w:rsid w:val="00C569B4"/>
    <w:rsid w:val="00C57642"/>
    <w:rsid w:val="00C57DDE"/>
    <w:rsid w:val="00C61408"/>
    <w:rsid w:val="00C61468"/>
    <w:rsid w:val="00C61A97"/>
    <w:rsid w:val="00C61E44"/>
    <w:rsid w:val="00C64FF3"/>
    <w:rsid w:val="00C662AD"/>
    <w:rsid w:val="00C66302"/>
    <w:rsid w:val="00C67A92"/>
    <w:rsid w:val="00C71280"/>
    <w:rsid w:val="00C717BF"/>
    <w:rsid w:val="00C7435D"/>
    <w:rsid w:val="00C76178"/>
    <w:rsid w:val="00C84560"/>
    <w:rsid w:val="00C84841"/>
    <w:rsid w:val="00C86679"/>
    <w:rsid w:val="00C8792F"/>
    <w:rsid w:val="00C90472"/>
    <w:rsid w:val="00C91D6E"/>
    <w:rsid w:val="00CA489E"/>
    <w:rsid w:val="00CA541D"/>
    <w:rsid w:val="00CB0279"/>
    <w:rsid w:val="00CB666B"/>
    <w:rsid w:val="00CB734B"/>
    <w:rsid w:val="00CC3A61"/>
    <w:rsid w:val="00CC41B6"/>
    <w:rsid w:val="00CC483C"/>
    <w:rsid w:val="00CC7ADA"/>
    <w:rsid w:val="00CC7F1D"/>
    <w:rsid w:val="00CD0A88"/>
    <w:rsid w:val="00CD125D"/>
    <w:rsid w:val="00CD283C"/>
    <w:rsid w:val="00CD3641"/>
    <w:rsid w:val="00CD66EA"/>
    <w:rsid w:val="00CD7432"/>
    <w:rsid w:val="00CE0FA5"/>
    <w:rsid w:val="00CE1B94"/>
    <w:rsid w:val="00CE25E3"/>
    <w:rsid w:val="00CE2A23"/>
    <w:rsid w:val="00CE31C8"/>
    <w:rsid w:val="00CE484B"/>
    <w:rsid w:val="00CE7CBA"/>
    <w:rsid w:val="00CF0DEE"/>
    <w:rsid w:val="00CF42AA"/>
    <w:rsid w:val="00CF5EAA"/>
    <w:rsid w:val="00CF6AE3"/>
    <w:rsid w:val="00CF77BB"/>
    <w:rsid w:val="00D006AE"/>
    <w:rsid w:val="00D00905"/>
    <w:rsid w:val="00D010C1"/>
    <w:rsid w:val="00D01CF0"/>
    <w:rsid w:val="00D0442A"/>
    <w:rsid w:val="00D12A7B"/>
    <w:rsid w:val="00D12ADB"/>
    <w:rsid w:val="00D15E63"/>
    <w:rsid w:val="00D23D32"/>
    <w:rsid w:val="00D25A39"/>
    <w:rsid w:val="00D27CFA"/>
    <w:rsid w:val="00D310FA"/>
    <w:rsid w:val="00D325C6"/>
    <w:rsid w:val="00D37213"/>
    <w:rsid w:val="00D4360D"/>
    <w:rsid w:val="00D5015C"/>
    <w:rsid w:val="00D55B0E"/>
    <w:rsid w:val="00D5607F"/>
    <w:rsid w:val="00D57C9E"/>
    <w:rsid w:val="00D61388"/>
    <w:rsid w:val="00D61A54"/>
    <w:rsid w:val="00D62108"/>
    <w:rsid w:val="00D64AA4"/>
    <w:rsid w:val="00D64DEA"/>
    <w:rsid w:val="00D64F84"/>
    <w:rsid w:val="00D663CD"/>
    <w:rsid w:val="00D6726A"/>
    <w:rsid w:val="00D7001B"/>
    <w:rsid w:val="00D709DA"/>
    <w:rsid w:val="00D7160D"/>
    <w:rsid w:val="00D7168E"/>
    <w:rsid w:val="00D71E57"/>
    <w:rsid w:val="00D72D27"/>
    <w:rsid w:val="00D7786B"/>
    <w:rsid w:val="00D80893"/>
    <w:rsid w:val="00D82519"/>
    <w:rsid w:val="00D84854"/>
    <w:rsid w:val="00D924AE"/>
    <w:rsid w:val="00D92780"/>
    <w:rsid w:val="00D92CF1"/>
    <w:rsid w:val="00D92D38"/>
    <w:rsid w:val="00D950F5"/>
    <w:rsid w:val="00D97379"/>
    <w:rsid w:val="00DA4752"/>
    <w:rsid w:val="00DA4C09"/>
    <w:rsid w:val="00DA61F3"/>
    <w:rsid w:val="00DA7CB3"/>
    <w:rsid w:val="00DB0D00"/>
    <w:rsid w:val="00DB0F93"/>
    <w:rsid w:val="00DB1A67"/>
    <w:rsid w:val="00DB3721"/>
    <w:rsid w:val="00DB5074"/>
    <w:rsid w:val="00DB723A"/>
    <w:rsid w:val="00DC0281"/>
    <w:rsid w:val="00DC1930"/>
    <w:rsid w:val="00DC1C76"/>
    <w:rsid w:val="00DC4DBF"/>
    <w:rsid w:val="00DC4E19"/>
    <w:rsid w:val="00DC65FE"/>
    <w:rsid w:val="00DC7981"/>
    <w:rsid w:val="00DD4C07"/>
    <w:rsid w:val="00DD577D"/>
    <w:rsid w:val="00DD5ADC"/>
    <w:rsid w:val="00DE1093"/>
    <w:rsid w:val="00DE4EFA"/>
    <w:rsid w:val="00DE5520"/>
    <w:rsid w:val="00DE563D"/>
    <w:rsid w:val="00DE6582"/>
    <w:rsid w:val="00DE7AB5"/>
    <w:rsid w:val="00DF0152"/>
    <w:rsid w:val="00DF1958"/>
    <w:rsid w:val="00DF2199"/>
    <w:rsid w:val="00E0023B"/>
    <w:rsid w:val="00E00401"/>
    <w:rsid w:val="00E04818"/>
    <w:rsid w:val="00E06442"/>
    <w:rsid w:val="00E06952"/>
    <w:rsid w:val="00E10889"/>
    <w:rsid w:val="00E11E61"/>
    <w:rsid w:val="00E157B2"/>
    <w:rsid w:val="00E16055"/>
    <w:rsid w:val="00E2101D"/>
    <w:rsid w:val="00E2332D"/>
    <w:rsid w:val="00E23638"/>
    <w:rsid w:val="00E23993"/>
    <w:rsid w:val="00E25523"/>
    <w:rsid w:val="00E2574F"/>
    <w:rsid w:val="00E25951"/>
    <w:rsid w:val="00E25B8C"/>
    <w:rsid w:val="00E3134D"/>
    <w:rsid w:val="00E31CF6"/>
    <w:rsid w:val="00E34A4A"/>
    <w:rsid w:val="00E35AFC"/>
    <w:rsid w:val="00E40B8E"/>
    <w:rsid w:val="00E41D39"/>
    <w:rsid w:val="00E50A02"/>
    <w:rsid w:val="00E52A15"/>
    <w:rsid w:val="00E53BDD"/>
    <w:rsid w:val="00E54106"/>
    <w:rsid w:val="00E54697"/>
    <w:rsid w:val="00E57A08"/>
    <w:rsid w:val="00E63631"/>
    <w:rsid w:val="00E64C2A"/>
    <w:rsid w:val="00E65C85"/>
    <w:rsid w:val="00E66199"/>
    <w:rsid w:val="00E70526"/>
    <w:rsid w:val="00E74091"/>
    <w:rsid w:val="00E754B4"/>
    <w:rsid w:val="00E755EC"/>
    <w:rsid w:val="00E7624D"/>
    <w:rsid w:val="00E81724"/>
    <w:rsid w:val="00E819A4"/>
    <w:rsid w:val="00E833FA"/>
    <w:rsid w:val="00E84B74"/>
    <w:rsid w:val="00E87066"/>
    <w:rsid w:val="00E911B8"/>
    <w:rsid w:val="00E966BF"/>
    <w:rsid w:val="00EA0C04"/>
    <w:rsid w:val="00EA3D42"/>
    <w:rsid w:val="00EA4B82"/>
    <w:rsid w:val="00EA6B1B"/>
    <w:rsid w:val="00EB1BC9"/>
    <w:rsid w:val="00EB1CBD"/>
    <w:rsid w:val="00EB3A34"/>
    <w:rsid w:val="00EB3C3F"/>
    <w:rsid w:val="00EC04F1"/>
    <w:rsid w:val="00EC237F"/>
    <w:rsid w:val="00EC573A"/>
    <w:rsid w:val="00ED35C8"/>
    <w:rsid w:val="00ED3968"/>
    <w:rsid w:val="00ED62C8"/>
    <w:rsid w:val="00ED7323"/>
    <w:rsid w:val="00EE28F3"/>
    <w:rsid w:val="00EE50D1"/>
    <w:rsid w:val="00EE56BB"/>
    <w:rsid w:val="00EE60B2"/>
    <w:rsid w:val="00EE7614"/>
    <w:rsid w:val="00EF2488"/>
    <w:rsid w:val="00EF5110"/>
    <w:rsid w:val="00EF5890"/>
    <w:rsid w:val="00EF76BA"/>
    <w:rsid w:val="00F0231A"/>
    <w:rsid w:val="00F02BF7"/>
    <w:rsid w:val="00F03463"/>
    <w:rsid w:val="00F036B7"/>
    <w:rsid w:val="00F0700F"/>
    <w:rsid w:val="00F07F1F"/>
    <w:rsid w:val="00F10411"/>
    <w:rsid w:val="00F10A9A"/>
    <w:rsid w:val="00F11B2D"/>
    <w:rsid w:val="00F121C2"/>
    <w:rsid w:val="00F1485B"/>
    <w:rsid w:val="00F15882"/>
    <w:rsid w:val="00F170C7"/>
    <w:rsid w:val="00F171E0"/>
    <w:rsid w:val="00F208CA"/>
    <w:rsid w:val="00F20BD3"/>
    <w:rsid w:val="00F22A8C"/>
    <w:rsid w:val="00F24BEC"/>
    <w:rsid w:val="00F322E9"/>
    <w:rsid w:val="00F3231B"/>
    <w:rsid w:val="00F33808"/>
    <w:rsid w:val="00F373A5"/>
    <w:rsid w:val="00F37864"/>
    <w:rsid w:val="00F37ED8"/>
    <w:rsid w:val="00F404F9"/>
    <w:rsid w:val="00F44B0A"/>
    <w:rsid w:val="00F47559"/>
    <w:rsid w:val="00F50B30"/>
    <w:rsid w:val="00F51F5F"/>
    <w:rsid w:val="00F52D75"/>
    <w:rsid w:val="00F53FF5"/>
    <w:rsid w:val="00F55582"/>
    <w:rsid w:val="00F57093"/>
    <w:rsid w:val="00F57647"/>
    <w:rsid w:val="00F62A14"/>
    <w:rsid w:val="00F644AB"/>
    <w:rsid w:val="00F64C7B"/>
    <w:rsid w:val="00F676DD"/>
    <w:rsid w:val="00F67AB6"/>
    <w:rsid w:val="00F70028"/>
    <w:rsid w:val="00F70434"/>
    <w:rsid w:val="00F74F50"/>
    <w:rsid w:val="00F75A26"/>
    <w:rsid w:val="00F76706"/>
    <w:rsid w:val="00F77D6D"/>
    <w:rsid w:val="00F80206"/>
    <w:rsid w:val="00F83034"/>
    <w:rsid w:val="00F83FAD"/>
    <w:rsid w:val="00F844C6"/>
    <w:rsid w:val="00F92FA6"/>
    <w:rsid w:val="00F9353B"/>
    <w:rsid w:val="00F937F1"/>
    <w:rsid w:val="00F952A0"/>
    <w:rsid w:val="00F9696F"/>
    <w:rsid w:val="00FA22AA"/>
    <w:rsid w:val="00FA31B1"/>
    <w:rsid w:val="00FA3320"/>
    <w:rsid w:val="00FA382A"/>
    <w:rsid w:val="00FA3C7F"/>
    <w:rsid w:val="00FA6246"/>
    <w:rsid w:val="00FB09A3"/>
    <w:rsid w:val="00FB1E40"/>
    <w:rsid w:val="00FB24ED"/>
    <w:rsid w:val="00FB3304"/>
    <w:rsid w:val="00FB5005"/>
    <w:rsid w:val="00FB60FE"/>
    <w:rsid w:val="00FB74E2"/>
    <w:rsid w:val="00FB778B"/>
    <w:rsid w:val="00FC68CB"/>
    <w:rsid w:val="00FD5614"/>
    <w:rsid w:val="00FD5E78"/>
    <w:rsid w:val="00FE0BE1"/>
    <w:rsid w:val="00FE11BB"/>
    <w:rsid w:val="00FE124C"/>
    <w:rsid w:val="00FE1DE9"/>
    <w:rsid w:val="00FE2784"/>
    <w:rsid w:val="00FE36AF"/>
    <w:rsid w:val="00FE39C2"/>
    <w:rsid w:val="00FE3C32"/>
    <w:rsid w:val="00FE4763"/>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17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865413622">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607158908">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5.emf"/><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yperlink" Target="mailto:AERInquiry@aer.gov.au" TargetMode="Externa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1BB9DCD-5A42-42D1-BD1A-93F9CFA1B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1C440758</Template>
  <TotalTime>0</TotalTime>
  <Pages>18</Pages>
  <Words>3739</Words>
  <Characters>21318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2017-07-02T22:39:00Z</dcterms:created>
  <dcterms:modified xsi:type="dcterms:W3CDTF">2017-07-02T22:39:00Z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