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eastAsiaTheme="majorEastAsia" w:cstheme="majorBidi"/>
          <w:noProof/>
          <w:sz w:val="36"/>
          <w:szCs w:val="36"/>
          <w:lang w:eastAsia="en-AU"/>
        </w:rPr>
        <w:id w:val="1021519724"/>
        <w:docPartObj>
          <w:docPartGallery w:val="Cover Pages"/>
          <w:docPartUnique/>
        </w:docPartObj>
      </w:sdtPr>
      <w:sdtEndPr/>
      <w:sdtContent>
        <w:p w:rsidR="000A6C7B" w:rsidRPr="00290C63" w:rsidRDefault="00DE7AB5" w:rsidP="00290C63">
          <w:r w:rsidRPr="00DB723B">
            <w:rPr>
              <w:noProof/>
              <w:lang w:eastAsia="en-AU"/>
            </w:rPr>
            <w:drawing>
              <wp:anchor distT="0" distB="0" distL="114300" distR="114300" simplePos="0" relativeHeight="251661312" behindDoc="1" locked="0" layoutInCell="1" allowOverlap="1" wp14:anchorId="526B9986" wp14:editId="04ED9D13">
                <wp:simplePos x="0" y="0"/>
                <wp:positionH relativeFrom="column">
                  <wp:posOffset>-1116964</wp:posOffset>
                </wp:positionH>
                <wp:positionV relativeFrom="paragraph">
                  <wp:posOffset>-1000406</wp:posOffset>
                </wp:positionV>
                <wp:extent cx="7734300" cy="10932441"/>
                <wp:effectExtent l="0" t="0" r="0"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734300" cy="10932441"/>
                        </a:xfrm>
                        <a:prstGeom prst="rect">
                          <a:avLst/>
                        </a:prstGeom>
                        <a:noFill/>
                      </pic:spPr>
                    </pic:pic>
                  </a:graphicData>
                </a:graphic>
                <wp14:sizeRelH relativeFrom="page">
                  <wp14:pctWidth>0</wp14:pctWidth>
                </wp14:sizeRelH>
                <wp14:sizeRelV relativeFrom="page">
                  <wp14:pctHeight>0</wp14:pctHeight>
                </wp14:sizeRelV>
              </wp:anchor>
            </w:drawing>
          </w:r>
          <w:r w:rsidR="000A6C7B" w:rsidRPr="00290C63">
            <w:rPr>
              <w:noProof/>
              <w:lang w:eastAsia="en-AU"/>
            </w:rPr>
            <w:drawing>
              <wp:anchor distT="0" distB="0" distL="114300" distR="114300" simplePos="0" relativeHeight="251659264" behindDoc="1" locked="0" layoutInCell="1" allowOverlap="1" wp14:anchorId="2AAF8AE4" wp14:editId="2B700E04">
                <wp:simplePos x="0" y="0"/>
                <wp:positionH relativeFrom="column">
                  <wp:posOffset>-1112520</wp:posOffset>
                </wp:positionH>
                <wp:positionV relativeFrom="paragraph">
                  <wp:posOffset>-919138</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p>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5C16FE" w:rsidRDefault="005C16FE" w:rsidP="00F171E0"/>
        <w:p w:rsidR="005A030C" w:rsidRDefault="005A030C" w:rsidP="00D5015C">
          <w:pPr>
            <w:pStyle w:val="ReportSubtitle"/>
          </w:pPr>
          <w:r w:rsidRPr="005A030C">
            <w:t>DRAFT DECISION</w:t>
          </w:r>
        </w:p>
        <w:p w:rsidR="00D5015C" w:rsidRDefault="00D5015C" w:rsidP="00D5015C">
          <w:pPr>
            <w:pStyle w:val="ReportSubtitle"/>
          </w:pPr>
          <w:r>
            <w:t>Australian Gas Networks</w:t>
          </w:r>
        </w:p>
        <w:p w:rsidR="00D5015C" w:rsidRDefault="00D5015C" w:rsidP="00D5015C">
          <w:pPr>
            <w:pStyle w:val="ReportSubtitle"/>
          </w:pPr>
          <w:r>
            <w:t xml:space="preserve">Victoria </w:t>
          </w:r>
          <w:r w:rsidRPr="00D5015C">
            <w:t>and</w:t>
          </w:r>
          <w:r>
            <w:t xml:space="preserve"> Albury gas access arrangement</w:t>
          </w:r>
        </w:p>
        <w:p w:rsidR="00D5015C" w:rsidRDefault="00D5015C" w:rsidP="00D5015C">
          <w:pPr>
            <w:pStyle w:val="ReportSubtitle"/>
          </w:pPr>
          <w:r>
            <w:t xml:space="preserve"> 2018 to 2022</w:t>
          </w:r>
        </w:p>
        <w:p w:rsidR="008F07A3" w:rsidRPr="000A6C7B" w:rsidRDefault="008F07A3" w:rsidP="00D5015C">
          <w:pPr>
            <w:pStyle w:val="ReportSubtitle"/>
            <w:tabs>
              <w:tab w:val="left" w:pos="1122"/>
              <w:tab w:val="center" w:pos="4238"/>
            </w:tabs>
            <w:jc w:val="left"/>
          </w:pPr>
        </w:p>
        <w:p w:rsidR="000A6C7B" w:rsidRDefault="0037699E" w:rsidP="008F07A3">
          <w:pPr>
            <w:pStyle w:val="ReportSubtitle"/>
          </w:pPr>
          <w:r>
            <w:t xml:space="preserve">Attachment </w:t>
          </w:r>
          <w:r w:rsidR="00FC3404">
            <w:t>8</w:t>
          </w:r>
          <w:r w:rsidR="000474DF">
            <w:t xml:space="preserve"> </w:t>
          </w:r>
          <w:r w:rsidR="00185BA5">
            <w:t>–</w:t>
          </w:r>
          <w:r w:rsidR="000474DF">
            <w:t xml:space="preserve"> </w:t>
          </w:r>
          <w:r w:rsidR="00FC3404">
            <w:t>Corporate income tax</w:t>
          </w:r>
        </w:p>
        <w:p w:rsidR="00D5015C" w:rsidRDefault="00D5015C" w:rsidP="00327A1E">
          <w:pPr>
            <w:pStyle w:val="ReportDate"/>
          </w:pPr>
        </w:p>
        <w:p w:rsidR="00D5015C" w:rsidRDefault="00D5015C" w:rsidP="00327A1E">
          <w:pPr>
            <w:pStyle w:val="ReportDate"/>
          </w:pPr>
        </w:p>
        <w:p w:rsidR="000A6C7B" w:rsidRPr="00327A1E" w:rsidRDefault="001E2481" w:rsidP="00327A1E">
          <w:pPr>
            <w:pStyle w:val="ReportDate"/>
          </w:pPr>
          <w:r>
            <w:t>Ju</w:t>
          </w:r>
          <w:r w:rsidR="008476FC">
            <w:t>ly</w:t>
          </w:r>
          <w:r w:rsidR="00D5015C">
            <w:t xml:space="preserve"> </w:t>
          </w:r>
          <w:r w:rsidR="00F22A8C">
            <w:t>2017</w:t>
          </w:r>
        </w:p>
      </w:sdtContent>
    </w:sdt>
    <w:p w:rsidR="00327A1E" w:rsidRPr="00290C63" w:rsidRDefault="00327A1E" w:rsidP="00290C63">
      <w:r>
        <w:br w:type="page"/>
      </w:r>
    </w:p>
    <w:p w:rsidR="00CE2A23" w:rsidRDefault="00CE2A23" w:rsidP="00761454">
      <w:bookmarkStart w:id="0" w:name="_Toc411428008"/>
      <w:r>
        <w:lastRenderedPageBreak/>
        <w:t>© Commonwealth of Australia 201</w:t>
      </w:r>
      <w:r w:rsidR="00FC3404">
        <w:t>7</w:t>
      </w:r>
    </w:p>
    <w:p w:rsidR="00CE2A23" w:rsidRDefault="00CE2A23" w:rsidP="00761454">
      <w:r>
        <w:t>This work is copyright. In addition to any use permitted under the Copyright Act 1968, all material contained within this work is provided under a Creative Commons Attributions 3.0 Australia licence, with the exception of:</w:t>
      </w:r>
    </w:p>
    <w:p w:rsidR="00CE2A23" w:rsidRPr="00CE2A23" w:rsidRDefault="00CE2A23" w:rsidP="00CE2A23">
      <w:pPr>
        <w:pStyle w:val="AERbulletlistfirststyle"/>
      </w:pPr>
      <w:r w:rsidRPr="00CE2A23">
        <w:t>the Commonwealth Coat of Arms</w:t>
      </w:r>
    </w:p>
    <w:p w:rsidR="00CE2A23" w:rsidRPr="00CB734B" w:rsidRDefault="00CE2A23" w:rsidP="00CE2A23">
      <w:pPr>
        <w:pStyle w:val="AERbulletlistfirststyle"/>
      </w:pPr>
      <w:r w:rsidRPr="00CE2A23">
        <w:t>the ACCC and AER logos</w:t>
      </w:r>
    </w:p>
    <w:p w:rsidR="00CE2A23" w:rsidRPr="00CE2A23" w:rsidRDefault="00CE2A23" w:rsidP="00CB734B">
      <w:pPr>
        <w:pStyle w:val="AERbulletlistfirststyle"/>
      </w:pPr>
      <w:r w:rsidRPr="00CE2A23">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CE2A23" w:rsidRDefault="00CE2A23" w:rsidP="00761454">
      <w:r>
        <w:t>Requests and inquiries concerning reproduction and rights should be addressed to the:</w:t>
      </w:r>
    </w:p>
    <w:p w:rsidR="00CE2A23" w:rsidRDefault="00CE2A23" w:rsidP="00761454">
      <w:r>
        <w:t>Director, Corporate Communications</w:t>
      </w:r>
      <w:r>
        <w:br/>
        <w:t xml:space="preserve">Australian Competition and Consumer Commission </w:t>
      </w:r>
      <w:r>
        <w:br/>
        <w:t>GPO Box 4141, Canberra ACT 2601</w:t>
      </w:r>
    </w:p>
    <w:p w:rsidR="00CE2A23" w:rsidRDefault="00CE2A23" w:rsidP="00761454">
      <w:proofErr w:type="gramStart"/>
      <w:r>
        <w:t>or</w:t>
      </w:r>
      <w:proofErr w:type="gramEnd"/>
      <w:r>
        <w:t xml:space="preserve"> publishing.unit@accc.gov.au.</w:t>
      </w:r>
    </w:p>
    <w:p w:rsidR="00CE2A23" w:rsidRDefault="00CE2A23" w:rsidP="00761454">
      <w:r>
        <w:t>Inquiries about this publication should be addressed to:</w:t>
      </w:r>
    </w:p>
    <w:p w:rsidR="00CE2A23" w:rsidRDefault="00CE2A23" w:rsidP="00761454">
      <w:r>
        <w:t xml:space="preserve">Australian Energy </w:t>
      </w:r>
      <w:r w:rsidRPr="00F171E0">
        <w:t>Regulator</w:t>
      </w:r>
      <w:r>
        <w:br/>
        <w:t>GPO Box 520</w:t>
      </w:r>
      <w:r>
        <w:br/>
      </w:r>
      <w:r w:rsidR="008658A1">
        <w:t>Melbourne Vic 3001</w:t>
      </w:r>
    </w:p>
    <w:p w:rsidR="00291A99" w:rsidRDefault="001E2481" w:rsidP="00761454">
      <w:r w:rsidRPr="001E2481">
        <w:rPr>
          <w:rStyle w:val="AERbody"/>
        </w:rPr>
        <w:t>Tel: 1300 585 165</w:t>
      </w:r>
      <w:r w:rsidRPr="001E2481">
        <w:rPr>
          <w:rStyle w:val="AERbody"/>
        </w:rPr>
        <w:br/>
        <w:t>Email:</w:t>
      </w:r>
      <w:r w:rsidRPr="001E2481">
        <w:t xml:space="preserve"> </w:t>
      </w:r>
      <w:hyperlink r:id="rId12" w:history="1">
        <w:r w:rsidRPr="001E2481">
          <w:rPr>
            <w:rStyle w:val="Hyperlink"/>
          </w:rPr>
          <w:t>AERInquiry@aer.gov.au</w:t>
        </w:r>
      </w:hyperlink>
      <w:r w:rsidRPr="001E2481">
        <w:br/>
      </w:r>
    </w:p>
    <w:p w:rsidR="00761454" w:rsidRDefault="00761454">
      <w:pPr>
        <w:spacing w:line="240" w:lineRule="auto"/>
      </w:pPr>
      <w:r>
        <w:br w:type="page"/>
      </w:r>
    </w:p>
    <w:p w:rsidR="00761454" w:rsidRDefault="00761454" w:rsidP="00761454">
      <w:pPr>
        <w:pStyle w:val="UnnumberedHeading"/>
        <w:numPr>
          <w:ilvl w:val="0"/>
          <w:numId w:val="23"/>
        </w:numPr>
      </w:pPr>
      <w:bookmarkStart w:id="1" w:name="_Toc404153950"/>
      <w:bookmarkStart w:id="2" w:name="_Toc404437593"/>
      <w:bookmarkStart w:id="3" w:name="_Toc486834699"/>
      <w:r>
        <w:lastRenderedPageBreak/>
        <w:t>Note</w:t>
      </w:r>
      <w:bookmarkEnd w:id="1"/>
      <w:bookmarkEnd w:id="2"/>
      <w:bookmarkEnd w:id="3"/>
    </w:p>
    <w:p w:rsidR="00D5015C" w:rsidRDefault="00D5015C" w:rsidP="00D5015C">
      <w:pPr>
        <w:numPr>
          <w:ilvl w:val="0"/>
          <w:numId w:val="23"/>
        </w:numPr>
      </w:pPr>
      <w:r>
        <w:t>This attachment forms part of the AER's draft decision on the access arrangement for AGN's Victoria and Albury gas distribution networks for 2018</w:t>
      </w:r>
      <w:r>
        <w:noBreakHyphen/>
        <w:t>22. It should be read with all other parts of the draft decision.</w:t>
      </w:r>
    </w:p>
    <w:p w:rsidR="00D5015C" w:rsidRDefault="00D5015C" w:rsidP="00D5015C">
      <w:pPr>
        <w:numPr>
          <w:ilvl w:val="0"/>
          <w:numId w:val="23"/>
        </w:numPr>
      </w:pPr>
      <w:r>
        <w:t>The draft decision includes the following documents:</w:t>
      </w:r>
    </w:p>
    <w:p w:rsidR="00D5015C" w:rsidRDefault="00D5015C" w:rsidP="00D5015C">
      <w:pPr>
        <w:numPr>
          <w:ilvl w:val="0"/>
          <w:numId w:val="23"/>
        </w:numPr>
      </w:pPr>
      <w:r>
        <w:t>Overview</w:t>
      </w:r>
    </w:p>
    <w:p w:rsidR="00D5015C" w:rsidRDefault="00D5015C" w:rsidP="00D5015C">
      <w:r>
        <w:t>Attachment 1 - Services covered by the access arrangement</w:t>
      </w:r>
    </w:p>
    <w:p w:rsidR="00D5015C" w:rsidRDefault="00D5015C" w:rsidP="00D5015C">
      <w:r>
        <w:t>Attachment 2 - Capital base</w:t>
      </w:r>
    </w:p>
    <w:p w:rsidR="00D5015C" w:rsidRDefault="00D5015C" w:rsidP="00D5015C">
      <w:r>
        <w:t>Attachment 3 - Rate of return</w:t>
      </w:r>
    </w:p>
    <w:p w:rsidR="00D5015C" w:rsidRDefault="00D5015C" w:rsidP="00D5015C">
      <w:r>
        <w:t>Attachment 4 - Value of imputation credits</w:t>
      </w:r>
    </w:p>
    <w:p w:rsidR="00D5015C" w:rsidRDefault="00D5015C" w:rsidP="00D5015C">
      <w:r>
        <w:t>Attachment 5 - Regulatory depreciation</w:t>
      </w:r>
    </w:p>
    <w:p w:rsidR="00D5015C" w:rsidRDefault="00D5015C" w:rsidP="00D5015C">
      <w:r>
        <w:t xml:space="preserve">Attachment 6 - Capital expenditure </w:t>
      </w:r>
    </w:p>
    <w:p w:rsidR="00D5015C" w:rsidRDefault="00D5015C" w:rsidP="00D5015C">
      <w:r>
        <w:t>Attachment 7 - Operating expenditure</w:t>
      </w:r>
    </w:p>
    <w:p w:rsidR="00D5015C" w:rsidRDefault="00D5015C" w:rsidP="00D5015C">
      <w:r>
        <w:t>Attachment 8 - Corporate income tax</w:t>
      </w:r>
    </w:p>
    <w:p w:rsidR="00D5015C" w:rsidRDefault="00D5015C" w:rsidP="00D5015C">
      <w:r>
        <w:t>Attachment 9 - Efficiency carryover mechanism</w:t>
      </w:r>
    </w:p>
    <w:p w:rsidR="00D5015C" w:rsidRDefault="00D5015C" w:rsidP="00D5015C">
      <w:r>
        <w:t>Attachment 10 - Reference tariff setting</w:t>
      </w:r>
    </w:p>
    <w:p w:rsidR="00D5015C" w:rsidRDefault="00D5015C" w:rsidP="00D5015C">
      <w:r>
        <w:t>Attachment 11 - Reference tariff variation mechanism</w:t>
      </w:r>
    </w:p>
    <w:p w:rsidR="00D5015C" w:rsidRDefault="00D5015C" w:rsidP="00D5015C">
      <w:r>
        <w:t>Attachment 12 - Non-tariff components</w:t>
      </w:r>
    </w:p>
    <w:p w:rsidR="00D5015C" w:rsidRDefault="00D5015C" w:rsidP="00D5015C">
      <w:r>
        <w:t>Attachment 13 - Demand</w:t>
      </w:r>
    </w:p>
    <w:p w:rsidR="00D5015C" w:rsidRDefault="00D5015C" w:rsidP="00D5015C">
      <w:r>
        <w:t>Attachment 14 - Other incentive schemes</w:t>
      </w:r>
    </w:p>
    <w:p w:rsidR="00CE2A23" w:rsidRPr="00CE2A23" w:rsidRDefault="00CE2A23" w:rsidP="00CE2A23">
      <w:bookmarkStart w:id="4" w:name="_Toc404354899"/>
      <w:bookmarkStart w:id="5" w:name="_Toc404353070"/>
      <w:bookmarkStart w:id="6" w:name="_Toc404684201"/>
      <w:bookmarkStart w:id="7" w:name="_Toc404700923"/>
    </w:p>
    <w:bookmarkEnd w:id="4"/>
    <w:bookmarkEnd w:id="5"/>
    <w:bookmarkEnd w:id="6"/>
    <w:bookmarkEnd w:id="7"/>
    <w:p w:rsidR="00CE2A23" w:rsidRPr="008F07A3" w:rsidRDefault="00CE2A23" w:rsidP="00CE2A23">
      <w:pPr>
        <w:numPr>
          <w:ilvl w:val="0"/>
          <w:numId w:val="24"/>
        </w:numPr>
        <w:sectPr w:rsidR="00CE2A23" w:rsidRPr="008F07A3" w:rsidSect="00317E02">
          <w:footerReference w:type="even" r:id="rId13"/>
          <w:footerReference w:type="default" r:id="rId14"/>
          <w:footerReference w:type="first" r:id="rId15"/>
          <w:pgSz w:w="11906" w:h="16838" w:code="9"/>
          <w:pgMar w:top="1440" w:right="1700" w:bottom="1582" w:left="1729" w:header="720" w:footer="0" w:gutter="0"/>
          <w:pgNumType w:start="0" w:chapStyle="1"/>
          <w:cols w:space="720"/>
          <w:docGrid w:linePitch="326"/>
        </w:sectPr>
      </w:pPr>
    </w:p>
    <w:p w:rsidR="00CE2A23" w:rsidRPr="00A72B34" w:rsidRDefault="00CE2A23" w:rsidP="00CE2A23">
      <w:pPr>
        <w:pStyle w:val="UnnumberedHeading"/>
        <w:numPr>
          <w:ilvl w:val="0"/>
          <w:numId w:val="23"/>
        </w:numPr>
      </w:pPr>
      <w:bookmarkStart w:id="8" w:name="_Toc403144133"/>
      <w:bookmarkStart w:id="9" w:name="_Toc486834700"/>
      <w:r>
        <w:t>Contents</w:t>
      </w:r>
      <w:bookmarkEnd w:id="8"/>
      <w:bookmarkEnd w:id="9"/>
    </w:p>
    <w:p w:rsidR="00CE2A23" w:rsidRDefault="00CE2A23" w:rsidP="00CE2A23"/>
    <w:sdt>
      <w:sdtPr>
        <w:id w:val="1269200322"/>
        <w:docPartObj>
          <w:docPartGallery w:val="Table of Contents"/>
          <w:docPartUnique/>
        </w:docPartObj>
      </w:sdtPr>
      <w:sdtEndPr/>
      <w:sdtContent>
        <w:p w:rsidR="008476FC" w:rsidRDefault="00ED2AFD">
          <w:pPr>
            <w:pStyle w:val="TOC1"/>
            <w:rPr>
              <w:rFonts w:asciiTheme="minorHAnsi" w:eastAsiaTheme="minorEastAsia" w:hAnsiTheme="minorHAnsi"/>
              <w:b w:val="0"/>
              <w:color w:val="auto"/>
              <w:sz w:val="22"/>
              <w:lang w:val="en-AU" w:eastAsia="en-AU"/>
            </w:rPr>
          </w:pPr>
          <w:r>
            <w:fldChar w:fldCharType="begin"/>
          </w:r>
          <w:r>
            <w:instrText xml:space="preserve"> TOC \o "1-2" \h \z \t "Heading 3,3,Heading 7,1" </w:instrText>
          </w:r>
          <w:r>
            <w:fldChar w:fldCharType="separate"/>
          </w:r>
          <w:hyperlink w:anchor="_Toc486834699" w:history="1">
            <w:r w:rsidR="008476FC" w:rsidRPr="00CF63D1">
              <w:rPr>
                <w:rStyle w:val="Hyperlink"/>
              </w:rPr>
              <w:t>Note</w:t>
            </w:r>
            <w:r w:rsidR="008476FC">
              <w:rPr>
                <w:webHidden/>
              </w:rPr>
              <w:tab/>
            </w:r>
            <w:r w:rsidR="008476FC">
              <w:rPr>
                <w:webHidden/>
              </w:rPr>
              <w:fldChar w:fldCharType="begin"/>
            </w:r>
            <w:r w:rsidR="008476FC">
              <w:rPr>
                <w:webHidden/>
              </w:rPr>
              <w:instrText xml:space="preserve"> PAGEREF _Toc486834699 \h </w:instrText>
            </w:r>
            <w:r w:rsidR="008476FC">
              <w:rPr>
                <w:webHidden/>
              </w:rPr>
            </w:r>
            <w:r w:rsidR="008476FC">
              <w:rPr>
                <w:webHidden/>
              </w:rPr>
              <w:fldChar w:fldCharType="separate"/>
            </w:r>
            <w:r w:rsidR="00A42928">
              <w:rPr>
                <w:webHidden/>
              </w:rPr>
              <w:t>8-2</w:t>
            </w:r>
            <w:r w:rsidR="008476FC">
              <w:rPr>
                <w:webHidden/>
              </w:rPr>
              <w:fldChar w:fldCharType="end"/>
            </w:r>
          </w:hyperlink>
        </w:p>
        <w:p w:rsidR="008476FC" w:rsidRDefault="008476FC">
          <w:pPr>
            <w:pStyle w:val="TOC1"/>
            <w:rPr>
              <w:rFonts w:asciiTheme="minorHAnsi" w:eastAsiaTheme="minorEastAsia" w:hAnsiTheme="minorHAnsi"/>
              <w:b w:val="0"/>
              <w:color w:val="auto"/>
              <w:sz w:val="22"/>
              <w:lang w:val="en-AU" w:eastAsia="en-AU"/>
            </w:rPr>
          </w:pPr>
          <w:hyperlink w:anchor="_Toc486834700" w:history="1">
            <w:r w:rsidRPr="00CF63D1">
              <w:rPr>
                <w:rStyle w:val="Hyperlink"/>
              </w:rPr>
              <w:t>Contents</w:t>
            </w:r>
            <w:r>
              <w:rPr>
                <w:webHidden/>
              </w:rPr>
              <w:tab/>
            </w:r>
            <w:r>
              <w:rPr>
                <w:webHidden/>
              </w:rPr>
              <w:fldChar w:fldCharType="begin"/>
            </w:r>
            <w:r>
              <w:rPr>
                <w:webHidden/>
              </w:rPr>
              <w:instrText xml:space="preserve"> PAGEREF _Toc486834700 \h </w:instrText>
            </w:r>
            <w:r>
              <w:rPr>
                <w:webHidden/>
              </w:rPr>
            </w:r>
            <w:r>
              <w:rPr>
                <w:webHidden/>
              </w:rPr>
              <w:fldChar w:fldCharType="separate"/>
            </w:r>
            <w:r w:rsidR="00A42928">
              <w:rPr>
                <w:webHidden/>
              </w:rPr>
              <w:t>8-3</w:t>
            </w:r>
            <w:r>
              <w:rPr>
                <w:webHidden/>
              </w:rPr>
              <w:fldChar w:fldCharType="end"/>
            </w:r>
          </w:hyperlink>
        </w:p>
        <w:p w:rsidR="008476FC" w:rsidRDefault="008476FC">
          <w:pPr>
            <w:pStyle w:val="TOC1"/>
            <w:rPr>
              <w:rFonts w:asciiTheme="minorHAnsi" w:eastAsiaTheme="minorEastAsia" w:hAnsiTheme="minorHAnsi"/>
              <w:b w:val="0"/>
              <w:color w:val="auto"/>
              <w:sz w:val="22"/>
              <w:lang w:val="en-AU" w:eastAsia="en-AU"/>
            </w:rPr>
          </w:pPr>
          <w:hyperlink w:anchor="_Toc486834701" w:history="1">
            <w:r w:rsidRPr="00CF63D1">
              <w:rPr>
                <w:rStyle w:val="Hyperlink"/>
              </w:rPr>
              <w:t>Shortened forms</w:t>
            </w:r>
            <w:r>
              <w:rPr>
                <w:webHidden/>
              </w:rPr>
              <w:tab/>
            </w:r>
            <w:r>
              <w:rPr>
                <w:webHidden/>
              </w:rPr>
              <w:fldChar w:fldCharType="begin"/>
            </w:r>
            <w:r>
              <w:rPr>
                <w:webHidden/>
              </w:rPr>
              <w:instrText xml:space="preserve"> PAGEREF _Toc486834701 \h </w:instrText>
            </w:r>
            <w:r>
              <w:rPr>
                <w:webHidden/>
              </w:rPr>
            </w:r>
            <w:r>
              <w:rPr>
                <w:webHidden/>
              </w:rPr>
              <w:fldChar w:fldCharType="separate"/>
            </w:r>
            <w:r w:rsidR="00A42928">
              <w:rPr>
                <w:webHidden/>
              </w:rPr>
              <w:t>8-4</w:t>
            </w:r>
            <w:r>
              <w:rPr>
                <w:webHidden/>
              </w:rPr>
              <w:fldChar w:fldCharType="end"/>
            </w:r>
          </w:hyperlink>
        </w:p>
        <w:p w:rsidR="008476FC" w:rsidRDefault="008476FC">
          <w:pPr>
            <w:pStyle w:val="TOC1"/>
            <w:rPr>
              <w:rFonts w:asciiTheme="minorHAnsi" w:eastAsiaTheme="minorEastAsia" w:hAnsiTheme="minorHAnsi"/>
              <w:b w:val="0"/>
              <w:color w:val="auto"/>
              <w:sz w:val="22"/>
              <w:lang w:val="en-AU" w:eastAsia="en-AU"/>
            </w:rPr>
          </w:pPr>
          <w:hyperlink w:anchor="_Toc486834702" w:history="1">
            <w:r w:rsidRPr="00CF63D1">
              <w:rPr>
                <w:rStyle w:val="Hyperlink"/>
              </w:rPr>
              <w:t>8</w:t>
            </w:r>
            <w:r>
              <w:rPr>
                <w:rFonts w:asciiTheme="minorHAnsi" w:eastAsiaTheme="minorEastAsia" w:hAnsiTheme="minorHAnsi"/>
                <w:b w:val="0"/>
                <w:color w:val="auto"/>
                <w:sz w:val="22"/>
                <w:lang w:val="en-AU" w:eastAsia="en-AU"/>
              </w:rPr>
              <w:tab/>
            </w:r>
            <w:r w:rsidRPr="00CF63D1">
              <w:rPr>
                <w:rStyle w:val="Hyperlink"/>
              </w:rPr>
              <w:t>Corporate income tax</w:t>
            </w:r>
            <w:r>
              <w:rPr>
                <w:webHidden/>
              </w:rPr>
              <w:tab/>
            </w:r>
            <w:r>
              <w:rPr>
                <w:webHidden/>
              </w:rPr>
              <w:fldChar w:fldCharType="begin"/>
            </w:r>
            <w:r>
              <w:rPr>
                <w:webHidden/>
              </w:rPr>
              <w:instrText xml:space="preserve"> PAGEREF _Toc486834702 \h </w:instrText>
            </w:r>
            <w:r>
              <w:rPr>
                <w:webHidden/>
              </w:rPr>
            </w:r>
            <w:r>
              <w:rPr>
                <w:webHidden/>
              </w:rPr>
              <w:fldChar w:fldCharType="separate"/>
            </w:r>
            <w:r w:rsidR="00A42928">
              <w:rPr>
                <w:webHidden/>
              </w:rPr>
              <w:t>8-5</w:t>
            </w:r>
            <w:r>
              <w:rPr>
                <w:webHidden/>
              </w:rPr>
              <w:fldChar w:fldCharType="end"/>
            </w:r>
          </w:hyperlink>
        </w:p>
        <w:p w:rsidR="008476FC" w:rsidRDefault="008476FC">
          <w:pPr>
            <w:pStyle w:val="TOC2"/>
            <w:rPr>
              <w:rFonts w:asciiTheme="minorHAnsi" w:eastAsiaTheme="minorEastAsia" w:hAnsiTheme="minorHAnsi"/>
              <w:b w:val="0"/>
              <w:color w:val="auto"/>
              <w:sz w:val="22"/>
              <w:lang w:eastAsia="en-AU"/>
            </w:rPr>
          </w:pPr>
          <w:hyperlink w:anchor="_Toc486834703" w:history="1">
            <w:r w:rsidRPr="00CF63D1">
              <w:rPr>
                <w:rStyle w:val="Hyperlink"/>
              </w:rPr>
              <w:t>8.1</w:t>
            </w:r>
            <w:r>
              <w:rPr>
                <w:rFonts w:asciiTheme="minorHAnsi" w:eastAsiaTheme="minorEastAsia" w:hAnsiTheme="minorHAnsi"/>
                <w:b w:val="0"/>
                <w:color w:val="auto"/>
                <w:sz w:val="22"/>
                <w:lang w:eastAsia="en-AU"/>
              </w:rPr>
              <w:tab/>
            </w:r>
            <w:r w:rsidRPr="00CF63D1">
              <w:rPr>
                <w:rStyle w:val="Hyperlink"/>
              </w:rPr>
              <w:t>Draft decision</w:t>
            </w:r>
            <w:r>
              <w:rPr>
                <w:webHidden/>
              </w:rPr>
              <w:tab/>
            </w:r>
            <w:r>
              <w:rPr>
                <w:webHidden/>
              </w:rPr>
              <w:fldChar w:fldCharType="begin"/>
            </w:r>
            <w:r>
              <w:rPr>
                <w:webHidden/>
              </w:rPr>
              <w:instrText xml:space="preserve"> PAGEREF _Toc486834703 \h </w:instrText>
            </w:r>
            <w:r>
              <w:rPr>
                <w:webHidden/>
              </w:rPr>
            </w:r>
            <w:r>
              <w:rPr>
                <w:webHidden/>
              </w:rPr>
              <w:fldChar w:fldCharType="separate"/>
            </w:r>
            <w:r w:rsidR="00A42928">
              <w:rPr>
                <w:webHidden/>
              </w:rPr>
              <w:t>8-5</w:t>
            </w:r>
            <w:r>
              <w:rPr>
                <w:webHidden/>
              </w:rPr>
              <w:fldChar w:fldCharType="end"/>
            </w:r>
          </w:hyperlink>
        </w:p>
        <w:p w:rsidR="008476FC" w:rsidRDefault="008476FC">
          <w:pPr>
            <w:pStyle w:val="TOC2"/>
            <w:rPr>
              <w:rFonts w:asciiTheme="minorHAnsi" w:eastAsiaTheme="minorEastAsia" w:hAnsiTheme="minorHAnsi"/>
              <w:b w:val="0"/>
              <w:color w:val="auto"/>
              <w:sz w:val="22"/>
              <w:lang w:eastAsia="en-AU"/>
            </w:rPr>
          </w:pPr>
          <w:hyperlink w:anchor="_Toc486834704" w:history="1">
            <w:r w:rsidRPr="00CF63D1">
              <w:rPr>
                <w:rStyle w:val="Hyperlink"/>
              </w:rPr>
              <w:t>8.2</w:t>
            </w:r>
            <w:r>
              <w:rPr>
                <w:rFonts w:asciiTheme="minorHAnsi" w:eastAsiaTheme="minorEastAsia" w:hAnsiTheme="minorHAnsi"/>
                <w:b w:val="0"/>
                <w:color w:val="auto"/>
                <w:sz w:val="22"/>
                <w:lang w:eastAsia="en-AU"/>
              </w:rPr>
              <w:tab/>
            </w:r>
            <w:r w:rsidRPr="00CF63D1">
              <w:rPr>
                <w:rStyle w:val="Hyperlink"/>
              </w:rPr>
              <w:t>AGN's proposal</w:t>
            </w:r>
            <w:r>
              <w:rPr>
                <w:webHidden/>
              </w:rPr>
              <w:tab/>
            </w:r>
            <w:r>
              <w:rPr>
                <w:webHidden/>
              </w:rPr>
              <w:fldChar w:fldCharType="begin"/>
            </w:r>
            <w:r>
              <w:rPr>
                <w:webHidden/>
              </w:rPr>
              <w:instrText xml:space="preserve"> PAGEREF _Toc486834704 \h </w:instrText>
            </w:r>
            <w:r>
              <w:rPr>
                <w:webHidden/>
              </w:rPr>
            </w:r>
            <w:r>
              <w:rPr>
                <w:webHidden/>
              </w:rPr>
              <w:fldChar w:fldCharType="separate"/>
            </w:r>
            <w:r w:rsidR="00A42928">
              <w:rPr>
                <w:webHidden/>
              </w:rPr>
              <w:t>8-6</w:t>
            </w:r>
            <w:r>
              <w:rPr>
                <w:webHidden/>
              </w:rPr>
              <w:fldChar w:fldCharType="end"/>
            </w:r>
          </w:hyperlink>
        </w:p>
        <w:p w:rsidR="008476FC" w:rsidRDefault="008476FC">
          <w:pPr>
            <w:pStyle w:val="TOC2"/>
            <w:rPr>
              <w:rFonts w:asciiTheme="minorHAnsi" w:eastAsiaTheme="minorEastAsia" w:hAnsiTheme="minorHAnsi"/>
              <w:b w:val="0"/>
              <w:color w:val="auto"/>
              <w:sz w:val="22"/>
              <w:lang w:eastAsia="en-AU"/>
            </w:rPr>
          </w:pPr>
          <w:hyperlink w:anchor="_Toc486834705" w:history="1">
            <w:r w:rsidRPr="00CF63D1">
              <w:rPr>
                <w:rStyle w:val="Hyperlink"/>
              </w:rPr>
              <w:t>8.3</w:t>
            </w:r>
            <w:r>
              <w:rPr>
                <w:rFonts w:asciiTheme="minorHAnsi" w:eastAsiaTheme="minorEastAsia" w:hAnsiTheme="minorHAnsi"/>
                <w:b w:val="0"/>
                <w:color w:val="auto"/>
                <w:sz w:val="22"/>
                <w:lang w:eastAsia="en-AU"/>
              </w:rPr>
              <w:tab/>
            </w:r>
            <w:r w:rsidRPr="00CF63D1">
              <w:rPr>
                <w:rStyle w:val="Hyperlink"/>
              </w:rPr>
              <w:t>AER's assessment approach</w:t>
            </w:r>
            <w:r>
              <w:rPr>
                <w:webHidden/>
              </w:rPr>
              <w:tab/>
            </w:r>
            <w:r>
              <w:rPr>
                <w:webHidden/>
              </w:rPr>
              <w:fldChar w:fldCharType="begin"/>
            </w:r>
            <w:r>
              <w:rPr>
                <w:webHidden/>
              </w:rPr>
              <w:instrText xml:space="preserve"> PAGEREF _Toc486834705 \h </w:instrText>
            </w:r>
            <w:r>
              <w:rPr>
                <w:webHidden/>
              </w:rPr>
            </w:r>
            <w:r>
              <w:rPr>
                <w:webHidden/>
              </w:rPr>
              <w:fldChar w:fldCharType="separate"/>
            </w:r>
            <w:r w:rsidR="00A42928">
              <w:rPr>
                <w:webHidden/>
              </w:rPr>
              <w:t>8-7</w:t>
            </w:r>
            <w:r>
              <w:rPr>
                <w:webHidden/>
              </w:rPr>
              <w:fldChar w:fldCharType="end"/>
            </w:r>
          </w:hyperlink>
        </w:p>
        <w:p w:rsidR="008476FC" w:rsidRDefault="008476FC">
          <w:pPr>
            <w:pStyle w:val="TOC3"/>
            <w:rPr>
              <w:rFonts w:asciiTheme="minorHAnsi" w:eastAsiaTheme="minorEastAsia" w:hAnsiTheme="minorHAnsi"/>
              <w:lang w:eastAsia="en-AU"/>
            </w:rPr>
          </w:pPr>
          <w:hyperlink w:anchor="_Toc486834706" w:history="1">
            <w:r w:rsidRPr="00CF63D1">
              <w:rPr>
                <w:rStyle w:val="Hyperlink"/>
              </w:rPr>
              <w:t>8.3.1</w:t>
            </w:r>
            <w:r>
              <w:rPr>
                <w:rFonts w:asciiTheme="minorHAnsi" w:eastAsiaTheme="minorEastAsia" w:hAnsiTheme="minorHAnsi"/>
                <w:lang w:eastAsia="en-AU"/>
              </w:rPr>
              <w:tab/>
            </w:r>
            <w:r w:rsidRPr="00CF63D1">
              <w:rPr>
                <w:rStyle w:val="Hyperlink"/>
              </w:rPr>
              <w:t>Interrelationships</w:t>
            </w:r>
            <w:r>
              <w:rPr>
                <w:webHidden/>
              </w:rPr>
              <w:tab/>
            </w:r>
            <w:r>
              <w:rPr>
                <w:webHidden/>
              </w:rPr>
              <w:fldChar w:fldCharType="begin"/>
            </w:r>
            <w:r>
              <w:rPr>
                <w:webHidden/>
              </w:rPr>
              <w:instrText xml:space="preserve"> PAGEREF _Toc486834706 \h </w:instrText>
            </w:r>
            <w:r>
              <w:rPr>
                <w:webHidden/>
              </w:rPr>
            </w:r>
            <w:r>
              <w:rPr>
                <w:webHidden/>
              </w:rPr>
              <w:fldChar w:fldCharType="separate"/>
            </w:r>
            <w:r w:rsidR="00A42928">
              <w:rPr>
                <w:webHidden/>
              </w:rPr>
              <w:t>8-9</w:t>
            </w:r>
            <w:r>
              <w:rPr>
                <w:webHidden/>
              </w:rPr>
              <w:fldChar w:fldCharType="end"/>
            </w:r>
          </w:hyperlink>
        </w:p>
        <w:p w:rsidR="008476FC" w:rsidRDefault="008476FC">
          <w:pPr>
            <w:pStyle w:val="TOC2"/>
            <w:rPr>
              <w:rFonts w:asciiTheme="minorHAnsi" w:eastAsiaTheme="minorEastAsia" w:hAnsiTheme="minorHAnsi"/>
              <w:b w:val="0"/>
              <w:color w:val="auto"/>
              <w:sz w:val="22"/>
              <w:lang w:eastAsia="en-AU"/>
            </w:rPr>
          </w:pPr>
          <w:hyperlink w:anchor="_Toc486834707" w:history="1">
            <w:r w:rsidRPr="00CF63D1">
              <w:rPr>
                <w:rStyle w:val="Hyperlink"/>
              </w:rPr>
              <w:t>8.4</w:t>
            </w:r>
            <w:r>
              <w:rPr>
                <w:rFonts w:asciiTheme="minorHAnsi" w:eastAsiaTheme="minorEastAsia" w:hAnsiTheme="minorHAnsi"/>
                <w:b w:val="0"/>
                <w:color w:val="auto"/>
                <w:sz w:val="22"/>
                <w:lang w:eastAsia="en-AU"/>
              </w:rPr>
              <w:tab/>
            </w:r>
            <w:r w:rsidRPr="00CF63D1">
              <w:rPr>
                <w:rStyle w:val="Hyperlink"/>
              </w:rPr>
              <w:t>Reasons for draft decision</w:t>
            </w:r>
            <w:r>
              <w:rPr>
                <w:webHidden/>
              </w:rPr>
              <w:tab/>
            </w:r>
            <w:r>
              <w:rPr>
                <w:webHidden/>
              </w:rPr>
              <w:fldChar w:fldCharType="begin"/>
            </w:r>
            <w:r>
              <w:rPr>
                <w:webHidden/>
              </w:rPr>
              <w:instrText xml:space="preserve"> PAGEREF _Toc486834707 \h </w:instrText>
            </w:r>
            <w:r>
              <w:rPr>
                <w:webHidden/>
              </w:rPr>
            </w:r>
            <w:r>
              <w:rPr>
                <w:webHidden/>
              </w:rPr>
              <w:fldChar w:fldCharType="separate"/>
            </w:r>
            <w:r w:rsidR="00A42928">
              <w:rPr>
                <w:webHidden/>
              </w:rPr>
              <w:t>8-10</w:t>
            </w:r>
            <w:r>
              <w:rPr>
                <w:webHidden/>
              </w:rPr>
              <w:fldChar w:fldCharType="end"/>
            </w:r>
          </w:hyperlink>
        </w:p>
        <w:p w:rsidR="008476FC" w:rsidRDefault="008476FC">
          <w:pPr>
            <w:pStyle w:val="TOC3"/>
            <w:rPr>
              <w:rFonts w:asciiTheme="minorHAnsi" w:eastAsiaTheme="minorEastAsia" w:hAnsiTheme="minorHAnsi"/>
              <w:lang w:eastAsia="en-AU"/>
            </w:rPr>
          </w:pPr>
          <w:hyperlink w:anchor="_Toc486834708" w:history="1">
            <w:r w:rsidRPr="00CF63D1">
              <w:rPr>
                <w:rStyle w:val="Hyperlink"/>
              </w:rPr>
              <w:t>8.4.1</w:t>
            </w:r>
            <w:r>
              <w:rPr>
                <w:rFonts w:asciiTheme="minorHAnsi" w:eastAsiaTheme="minorEastAsia" w:hAnsiTheme="minorHAnsi"/>
                <w:lang w:eastAsia="en-AU"/>
              </w:rPr>
              <w:tab/>
            </w:r>
            <w:r w:rsidRPr="00CF63D1">
              <w:rPr>
                <w:rStyle w:val="Hyperlink"/>
              </w:rPr>
              <w:t>Transition to AER preferred straight-line tax depreciation</w:t>
            </w:r>
            <w:r>
              <w:rPr>
                <w:webHidden/>
              </w:rPr>
              <w:tab/>
            </w:r>
            <w:r>
              <w:rPr>
                <w:webHidden/>
              </w:rPr>
              <w:fldChar w:fldCharType="begin"/>
            </w:r>
            <w:r>
              <w:rPr>
                <w:webHidden/>
              </w:rPr>
              <w:instrText xml:space="preserve"> PAGEREF _Toc486834708 \h </w:instrText>
            </w:r>
            <w:r>
              <w:rPr>
                <w:webHidden/>
              </w:rPr>
            </w:r>
            <w:r>
              <w:rPr>
                <w:webHidden/>
              </w:rPr>
              <w:fldChar w:fldCharType="separate"/>
            </w:r>
            <w:r w:rsidR="00A42928">
              <w:rPr>
                <w:webHidden/>
              </w:rPr>
              <w:t>8-10</w:t>
            </w:r>
            <w:r>
              <w:rPr>
                <w:webHidden/>
              </w:rPr>
              <w:fldChar w:fldCharType="end"/>
            </w:r>
          </w:hyperlink>
        </w:p>
        <w:p w:rsidR="008476FC" w:rsidRDefault="008476FC">
          <w:pPr>
            <w:pStyle w:val="TOC3"/>
            <w:rPr>
              <w:rFonts w:asciiTheme="minorHAnsi" w:eastAsiaTheme="minorEastAsia" w:hAnsiTheme="minorHAnsi"/>
              <w:lang w:eastAsia="en-AU"/>
            </w:rPr>
          </w:pPr>
          <w:hyperlink w:anchor="_Toc486834709" w:history="1">
            <w:r w:rsidRPr="00CF63D1">
              <w:rPr>
                <w:rStyle w:val="Hyperlink"/>
              </w:rPr>
              <w:t>8.4.2</w:t>
            </w:r>
            <w:r>
              <w:rPr>
                <w:rFonts w:asciiTheme="minorHAnsi" w:eastAsiaTheme="minorEastAsia" w:hAnsiTheme="minorHAnsi"/>
                <w:lang w:eastAsia="en-AU"/>
              </w:rPr>
              <w:tab/>
            </w:r>
            <w:r w:rsidRPr="00CF63D1">
              <w:rPr>
                <w:rStyle w:val="Hyperlink"/>
              </w:rPr>
              <w:t>Opening tax asset base as at 1 January 2018</w:t>
            </w:r>
            <w:r>
              <w:rPr>
                <w:webHidden/>
              </w:rPr>
              <w:tab/>
            </w:r>
            <w:r>
              <w:rPr>
                <w:webHidden/>
              </w:rPr>
              <w:fldChar w:fldCharType="begin"/>
            </w:r>
            <w:r>
              <w:rPr>
                <w:webHidden/>
              </w:rPr>
              <w:instrText xml:space="preserve"> PAGEREF _Toc486834709 \h </w:instrText>
            </w:r>
            <w:r>
              <w:rPr>
                <w:webHidden/>
              </w:rPr>
            </w:r>
            <w:r>
              <w:rPr>
                <w:webHidden/>
              </w:rPr>
              <w:fldChar w:fldCharType="separate"/>
            </w:r>
            <w:r w:rsidR="00A42928">
              <w:rPr>
                <w:webHidden/>
              </w:rPr>
              <w:t>8-11</w:t>
            </w:r>
            <w:r>
              <w:rPr>
                <w:webHidden/>
              </w:rPr>
              <w:fldChar w:fldCharType="end"/>
            </w:r>
          </w:hyperlink>
        </w:p>
        <w:p w:rsidR="008476FC" w:rsidRDefault="008476FC">
          <w:pPr>
            <w:pStyle w:val="TOC3"/>
            <w:rPr>
              <w:rFonts w:asciiTheme="minorHAnsi" w:eastAsiaTheme="minorEastAsia" w:hAnsiTheme="minorHAnsi"/>
              <w:lang w:eastAsia="en-AU"/>
            </w:rPr>
          </w:pPr>
          <w:hyperlink w:anchor="_Toc486834710" w:history="1">
            <w:r w:rsidRPr="00CF63D1">
              <w:rPr>
                <w:rStyle w:val="Hyperlink"/>
              </w:rPr>
              <w:t>8.4.3</w:t>
            </w:r>
            <w:r>
              <w:rPr>
                <w:rFonts w:asciiTheme="minorHAnsi" w:eastAsiaTheme="minorEastAsia" w:hAnsiTheme="minorHAnsi"/>
                <w:lang w:eastAsia="en-AU"/>
              </w:rPr>
              <w:tab/>
            </w:r>
            <w:r w:rsidRPr="00CF63D1">
              <w:rPr>
                <w:rStyle w:val="Hyperlink"/>
              </w:rPr>
              <w:t>Standard tax asset lives</w:t>
            </w:r>
            <w:r>
              <w:rPr>
                <w:webHidden/>
              </w:rPr>
              <w:tab/>
            </w:r>
            <w:r>
              <w:rPr>
                <w:webHidden/>
              </w:rPr>
              <w:fldChar w:fldCharType="begin"/>
            </w:r>
            <w:r>
              <w:rPr>
                <w:webHidden/>
              </w:rPr>
              <w:instrText xml:space="preserve"> PAGEREF _Toc486834710 \h </w:instrText>
            </w:r>
            <w:r>
              <w:rPr>
                <w:webHidden/>
              </w:rPr>
            </w:r>
            <w:r>
              <w:rPr>
                <w:webHidden/>
              </w:rPr>
              <w:fldChar w:fldCharType="separate"/>
            </w:r>
            <w:r w:rsidR="00A42928">
              <w:rPr>
                <w:webHidden/>
              </w:rPr>
              <w:t>8-12</w:t>
            </w:r>
            <w:r>
              <w:rPr>
                <w:webHidden/>
              </w:rPr>
              <w:fldChar w:fldCharType="end"/>
            </w:r>
          </w:hyperlink>
        </w:p>
        <w:p w:rsidR="008476FC" w:rsidRDefault="008476FC">
          <w:pPr>
            <w:pStyle w:val="TOC3"/>
            <w:rPr>
              <w:rFonts w:asciiTheme="minorHAnsi" w:eastAsiaTheme="minorEastAsia" w:hAnsiTheme="minorHAnsi"/>
              <w:lang w:eastAsia="en-AU"/>
            </w:rPr>
          </w:pPr>
          <w:hyperlink w:anchor="_Toc486834711" w:history="1">
            <w:r w:rsidRPr="00CF63D1">
              <w:rPr>
                <w:rStyle w:val="Hyperlink"/>
              </w:rPr>
              <w:t>8.4.4</w:t>
            </w:r>
            <w:r>
              <w:rPr>
                <w:rFonts w:asciiTheme="minorHAnsi" w:eastAsiaTheme="minorEastAsia" w:hAnsiTheme="minorHAnsi"/>
                <w:lang w:eastAsia="en-AU"/>
              </w:rPr>
              <w:tab/>
            </w:r>
            <w:r w:rsidRPr="00CF63D1">
              <w:rPr>
                <w:rStyle w:val="Hyperlink"/>
              </w:rPr>
              <w:t>Remaining tax asset lives as at 1 January 2018</w:t>
            </w:r>
            <w:r>
              <w:rPr>
                <w:webHidden/>
              </w:rPr>
              <w:tab/>
            </w:r>
            <w:r>
              <w:rPr>
                <w:webHidden/>
              </w:rPr>
              <w:fldChar w:fldCharType="begin"/>
            </w:r>
            <w:r>
              <w:rPr>
                <w:webHidden/>
              </w:rPr>
              <w:instrText xml:space="preserve"> PAGEREF _Toc486834711 \h </w:instrText>
            </w:r>
            <w:r>
              <w:rPr>
                <w:webHidden/>
              </w:rPr>
            </w:r>
            <w:r>
              <w:rPr>
                <w:webHidden/>
              </w:rPr>
              <w:fldChar w:fldCharType="separate"/>
            </w:r>
            <w:r w:rsidR="00A42928">
              <w:rPr>
                <w:webHidden/>
              </w:rPr>
              <w:t>8-13</w:t>
            </w:r>
            <w:r>
              <w:rPr>
                <w:webHidden/>
              </w:rPr>
              <w:fldChar w:fldCharType="end"/>
            </w:r>
          </w:hyperlink>
        </w:p>
        <w:p w:rsidR="008476FC" w:rsidRDefault="008476FC">
          <w:pPr>
            <w:pStyle w:val="TOC2"/>
            <w:rPr>
              <w:rFonts w:asciiTheme="minorHAnsi" w:eastAsiaTheme="minorEastAsia" w:hAnsiTheme="minorHAnsi"/>
              <w:b w:val="0"/>
              <w:color w:val="auto"/>
              <w:sz w:val="22"/>
              <w:lang w:eastAsia="en-AU"/>
            </w:rPr>
          </w:pPr>
          <w:hyperlink w:anchor="_Toc486834712" w:history="1">
            <w:r w:rsidRPr="00CF63D1">
              <w:rPr>
                <w:rStyle w:val="Hyperlink"/>
              </w:rPr>
              <w:t>8.5</w:t>
            </w:r>
            <w:r>
              <w:rPr>
                <w:rFonts w:asciiTheme="minorHAnsi" w:eastAsiaTheme="minorEastAsia" w:hAnsiTheme="minorHAnsi"/>
                <w:b w:val="0"/>
                <w:color w:val="auto"/>
                <w:sz w:val="22"/>
                <w:lang w:eastAsia="en-AU"/>
              </w:rPr>
              <w:tab/>
            </w:r>
            <w:r w:rsidRPr="00CF63D1">
              <w:rPr>
                <w:rStyle w:val="Hyperlink"/>
              </w:rPr>
              <w:t>Revisions</w:t>
            </w:r>
            <w:r>
              <w:rPr>
                <w:webHidden/>
              </w:rPr>
              <w:tab/>
            </w:r>
            <w:r>
              <w:rPr>
                <w:webHidden/>
              </w:rPr>
              <w:fldChar w:fldCharType="begin"/>
            </w:r>
            <w:r>
              <w:rPr>
                <w:webHidden/>
              </w:rPr>
              <w:instrText xml:space="preserve"> PAGEREF _Toc486834712 \h </w:instrText>
            </w:r>
            <w:r>
              <w:rPr>
                <w:webHidden/>
              </w:rPr>
            </w:r>
            <w:r>
              <w:rPr>
                <w:webHidden/>
              </w:rPr>
              <w:fldChar w:fldCharType="separate"/>
            </w:r>
            <w:r w:rsidR="00A42928">
              <w:rPr>
                <w:webHidden/>
              </w:rPr>
              <w:t>8-16</w:t>
            </w:r>
            <w:r>
              <w:rPr>
                <w:webHidden/>
              </w:rPr>
              <w:fldChar w:fldCharType="end"/>
            </w:r>
          </w:hyperlink>
        </w:p>
        <w:p w:rsidR="00CE2A23" w:rsidRDefault="00ED2AFD" w:rsidP="00ED2AFD">
          <w:pPr>
            <w:pStyle w:val="TOC1"/>
          </w:pPr>
          <w:r>
            <w:fldChar w:fldCharType="end"/>
          </w:r>
        </w:p>
      </w:sdtContent>
    </w:sdt>
    <w:p w:rsidR="00CE2A23" w:rsidRPr="00CE2A23" w:rsidRDefault="00CE2A23" w:rsidP="00CE2A23">
      <w:r>
        <w:t xml:space="preserve"> </w:t>
      </w:r>
    </w:p>
    <w:p w:rsidR="00CE2A23" w:rsidRDefault="00CE2A23" w:rsidP="00CE2A23">
      <w:pPr>
        <w:pStyle w:val="UnnumberedHeading"/>
        <w:numPr>
          <w:ilvl w:val="0"/>
          <w:numId w:val="23"/>
        </w:numPr>
      </w:pPr>
      <w:bookmarkStart w:id="10" w:name="_Toc404700925"/>
      <w:bookmarkStart w:id="11" w:name="_Toc486834701"/>
      <w:r>
        <w:t>Shortened forms</w:t>
      </w:r>
      <w:bookmarkEnd w:id="10"/>
      <w:bookmarkEnd w:id="11"/>
    </w:p>
    <w:tbl>
      <w:tblPr>
        <w:tblStyle w:val="AERtable-text0"/>
        <w:tblW w:w="0" w:type="auto"/>
        <w:tblLook w:val="04A0" w:firstRow="1" w:lastRow="0" w:firstColumn="1" w:lastColumn="0" w:noHBand="0" w:noVBand="1"/>
      </w:tblPr>
      <w:tblGrid>
        <w:gridCol w:w="4340"/>
        <w:gridCol w:w="4353"/>
      </w:tblGrid>
      <w:tr w:rsidR="005F3B44" w:rsidTr="005F3B44">
        <w:trPr>
          <w:cnfStyle w:val="100000000000" w:firstRow="1" w:lastRow="0" w:firstColumn="0" w:lastColumn="0" w:oddVBand="0" w:evenVBand="0" w:oddHBand="0" w:evenHBand="0" w:firstRowFirstColumn="0" w:firstRowLastColumn="0" w:lastRowFirstColumn="0" w:lastRowLastColumn="0"/>
        </w:trPr>
        <w:tc>
          <w:tcPr>
            <w:tcW w:w="4340" w:type="dxa"/>
          </w:tcPr>
          <w:p w:rsidR="005F3B44" w:rsidRDefault="005F3B44" w:rsidP="005F3B44">
            <w:pPr>
              <w:numPr>
                <w:ilvl w:val="0"/>
                <w:numId w:val="24"/>
              </w:numPr>
            </w:pPr>
            <w:r>
              <w:t>Shortened form</w:t>
            </w:r>
          </w:p>
        </w:tc>
        <w:tc>
          <w:tcPr>
            <w:tcW w:w="4353" w:type="dxa"/>
          </w:tcPr>
          <w:p w:rsidR="005F3B44" w:rsidRDefault="005F3B44" w:rsidP="005F3B44">
            <w:pPr>
              <w:numPr>
                <w:ilvl w:val="0"/>
                <w:numId w:val="24"/>
              </w:numPr>
            </w:pPr>
            <w:r>
              <w:t>Extended form</w:t>
            </w:r>
          </w:p>
        </w:tc>
      </w:tr>
      <w:tr w:rsidR="005F3B44" w:rsidTr="005F3B44">
        <w:tc>
          <w:tcPr>
            <w:tcW w:w="4340" w:type="dxa"/>
          </w:tcPr>
          <w:p w:rsidR="005F3B44" w:rsidRDefault="005F3B44" w:rsidP="005F3B44">
            <w:pPr>
              <w:numPr>
                <w:ilvl w:val="0"/>
                <w:numId w:val="24"/>
              </w:numPr>
            </w:pPr>
            <w:r>
              <w:t>AER</w:t>
            </w:r>
          </w:p>
        </w:tc>
        <w:tc>
          <w:tcPr>
            <w:tcW w:w="4353" w:type="dxa"/>
          </w:tcPr>
          <w:p w:rsidR="005F3B44" w:rsidRDefault="005F3B44" w:rsidP="005F3B44">
            <w:pPr>
              <w:numPr>
                <w:ilvl w:val="0"/>
                <w:numId w:val="24"/>
              </w:numPr>
            </w:pPr>
            <w:r>
              <w:t>Australian Energy Regulator</w:t>
            </w:r>
          </w:p>
        </w:tc>
      </w:tr>
      <w:tr w:rsidR="005F3B44" w:rsidTr="005F3B44">
        <w:trPr>
          <w:cnfStyle w:val="000000010000" w:firstRow="0" w:lastRow="0" w:firstColumn="0" w:lastColumn="0" w:oddVBand="0" w:evenVBand="0" w:oddHBand="0" w:evenHBand="1" w:firstRowFirstColumn="0" w:firstRowLastColumn="0" w:lastRowFirstColumn="0" w:lastRowLastColumn="0"/>
        </w:trPr>
        <w:tc>
          <w:tcPr>
            <w:tcW w:w="4340" w:type="dxa"/>
          </w:tcPr>
          <w:p w:rsidR="005F3B44" w:rsidRDefault="005F3B44" w:rsidP="005F3B44">
            <w:pPr>
              <w:numPr>
                <w:ilvl w:val="0"/>
                <w:numId w:val="24"/>
              </w:numPr>
            </w:pPr>
            <w:r>
              <w:t>ATO</w:t>
            </w:r>
          </w:p>
        </w:tc>
        <w:tc>
          <w:tcPr>
            <w:tcW w:w="4353" w:type="dxa"/>
          </w:tcPr>
          <w:p w:rsidR="005F3B44" w:rsidRPr="005F3B44" w:rsidRDefault="005F3B44" w:rsidP="005F3B44">
            <w:r>
              <w:t>Australian Tax Office</w:t>
            </w:r>
          </w:p>
        </w:tc>
      </w:tr>
      <w:tr w:rsidR="005F3B44" w:rsidTr="005F3B44">
        <w:tc>
          <w:tcPr>
            <w:tcW w:w="4340" w:type="dxa"/>
          </w:tcPr>
          <w:p w:rsidR="005F3B44" w:rsidRDefault="005F3B44" w:rsidP="005F3B44">
            <w:pPr>
              <w:numPr>
                <w:ilvl w:val="0"/>
                <w:numId w:val="24"/>
              </w:numPr>
            </w:pPr>
            <w:r>
              <w:t>capex</w:t>
            </w:r>
          </w:p>
        </w:tc>
        <w:tc>
          <w:tcPr>
            <w:tcW w:w="4353" w:type="dxa"/>
          </w:tcPr>
          <w:p w:rsidR="005F3B44" w:rsidRDefault="005F3B44" w:rsidP="005F3B44">
            <w:pPr>
              <w:numPr>
                <w:ilvl w:val="0"/>
                <w:numId w:val="24"/>
              </w:numPr>
            </w:pPr>
            <w:r>
              <w:t>capital expenditure</w:t>
            </w:r>
          </w:p>
        </w:tc>
      </w:tr>
      <w:tr w:rsidR="005F3B44" w:rsidTr="005F3B44">
        <w:trPr>
          <w:cnfStyle w:val="000000010000" w:firstRow="0" w:lastRow="0" w:firstColumn="0" w:lastColumn="0" w:oddVBand="0" w:evenVBand="0" w:oddHBand="0" w:evenHBand="1" w:firstRowFirstColumn="0" w:firstRowLastColumn="0" w:lastRowFirstColumn="0" w:lastRowLastColumn="0"/>
        </w:trPr>
        <w:tc>
          <w:tcPr>
            <w:tcW w:w="4340" w:type="dxa"/>
          </w:tcPr>
          <w:p w:rsidR="005F3B44" w:rsidRDefault="005F3B44" w:rsidP="005F3B44">
            <w:pPr>
              <w:numPr>
                <w:ilvl w:val="0"/>
                <w:numId w:val="24"/>
              </w:numPr>
            </w:pPr>
            <w:r>
              <w:t>CAPM</w:t>
            </w:r>
          </w:p>
        </w:tc>
        <w:tc>
          <w:tcPr>
            <w:tcW w:w="4353" w:type="dxa"/>
          </w:tcPr>
          <w:p w:rsidR="005F3B44" w:rsidRDefault="005F3B44" w:rsidP="005F3B44">
            <w:pPr>
              <w:numPr>
                <w:ilvl w:val="0"/>
                <w:numId w:val="24"/>
              </w:numPr>
            </w:pPr>
            <w:r>
              <w:t>capital asset pricing model</w:t>
            </w:r>
          </w:p>
        </w:tc>
      </w:tr>
      <w:tr w:rsidR="005F3B44" w:rsidTr="005F3B44">
        <w:tc>
          <w:tcPr>
            <w:tcW w:w="4340" w:type="dxa"/>
          </w:tcPr>
          <w:p w:rsidR="005F3B44" w:rsidRDefault="005F3B44" w:rsidP="005F3B44">
            <w:pPr>
              <w:numPr>
                <w:ilvl w:val="0"/>
                <w:numId w:val="24"/>
              </w:numPr>
            </w:pPr>
            <w:r>
              <w:t>CESS</w:t>
            </w:r>
          </w:p>
        </w:tc>
        <w:tc>
          <w:tcPr>
            <w:tcW w:w="4353" w:type="dxa"/>
          </w:tcPr>
          <w:p w:rsidR="005F3B44" w:rsidRDefault="005F3B44" w:rsidP="005F3B44">
            <w:pPr>
              <w:numPr>
                <w:ilvl w:val="0"/>
                <w:numId w:val="24"/>
              </w:numPr>
            </w:pPr>
            <w:r>
              <w:t>Capital Expenditure Sharing Scheme</w:t>
            </w:r>
          </w:p>
        </w:tc>
      </w:tr>
      <w:tr w:rsidR="005F3B44" w:rsidTr="005F3B44">
        <w:trPr>
          <w:cnfStyle w:val="000000010000" w:firstRow="0" w:lastRow="0" w:firstColumn="0" w:lastColumn="0" w:oddVBand="0" w:evenVBand="0" w:oddHBand="0" w:evenHBand="1" w:firstRowFirstColumn="0" w:firstRowLastColumn="0" w:lastRowFirstColumn="0" w:lastRowLastColumn="0"/>
        </w:trPr>
        <w:tc>
          <w:tcPr>
            <w:tcW w:w="4340" w:type="dxa"/>
          </w:tcPr>
          <w:p w:rsidR="005F3B44" w:rsidRDefault="005F3B44" w:rsidP="005F3B44">
            <w:pPr>
              <w:numPr>
                <w:ilvl w:val="0"/>
                <w:numId w:val="24"/>
              </w:numPr>
            </w:pPr>
            <w:r>
              <w:t>CPI</w:t>
            </w:r>
          </w:p>
        </w:tc>
        <w:tc>
          <w:tcPr>
            <w:tcW w:w="4353" w:type="dxa"/>
          </w:tcPr>
          <w:p w:rsidR="005F3B44" w:rsidRDefault="005F3B44" w:rsidP="005F3B44">
            <w:pPr>
              <w:numPr>
                <w:ilvl w:val="0"/>
                <w:numId w:val="24"/>
              </w:numPr>
            </w:pPr>
            <w:r>
              <w:t>consumer price index</w:t>
            </w:r>
          </w:p>
        </w:tc>
      </w:tr>
      <w:tr w:rsidR="005F3B44" w:rsidTr="005F3B44">
        <w:tc>
          <w:tcPr>
            <w:tcW w:w="4340" w:type="dxa"/>
          </w:tcPr>
          <w:p w:rsidR="005F3B44" w:rsidRDefault="005F3B44" w:rsidP="005F3B44">
            <w:pPr>
              <w:numPr>
                <w:ilvl w:val="0"/>
                <w:numId w:val="24"/>
              </w:numPr>
            </w:pPr>
            <w:r>
              <w:t>DRP</w:t>
            </w:r>
          </w:p>
        </w:tc>
        <w:tc>
          <w:tcPr>
            <w:tcW w:w="4353" w:type="dxa"/>
          </w:tcPr>
          <w:p w:rsidR="005F3B44" w:rsidRDefault="005F3B44" w:rsidP="005F3B44">
            <w:pPr>
              <w:numPr>
                <w:ilvl w:val="0"/>
                <w:numId w:val="24"/>
              </w:numPr>
            </w:pPr>
            <w:r>
              <w:t>debt risk premium</w:t>
            </w:r>
          </w:p>
        </w:tc>
      </w:tr>
      <w:tr w:rsidR="005F3B44" w:rsidTr="005F3B44">
        <w:trPr>
          <w:cnfStyle w:val="000000010000" w:firstRow="0" w:lastRow="0" w:firstColumn="0" w:lastColumn="0" w:oddVBand="0" w:evenVBand="0" w:oddHBand="0" w:evenHBand="1" w:firstRowFirstColumn="0" w:firstRowLastColumn="0" w:lastRowFirstColumn="0" w:lastRowLastColumn="0"/>
        </w:trPr>
        <w:tc>
          <w:tcPr>
            <w:tcW w:w="4340" w:type="dxa"/>
          </w:tcPr>
          <w:p w:rsidR="005F3B44" w:rsidRDefault="005F3B44" w:rsidP="005F3B44">
            <w:pPr>
              <w:numPr>
                <w:ilvl w:val="0"/>
                <w:numId w:val="24"/>
              </w:numPr>
            </w:pPr>
            <w:r>
              <w:t>ECM</w:t>
            </w:r>
          </w:p>
        </w:tc>
        <w:tc>
          <w:tcPr>
            <w:tcW w:w="4353" w:type="dxa"/>
          </w:tcPr>
          <w:p w:rsidR="005F3B44" w:rsidRPr="005F3B44" w:rsidRDefault="005F3B44" w:rsidP="005F3B44">
            <w:r>
              <w:t>(Opex) Efficiency Carryover Mechanism</w:t>
            </w:r>
          </w:p>
        </w:tc>
      </w:tr>
      <w:tr w:rsidR="005F3B44" w:rsidTr="005F3B44">
        <w:tc>
          <w:tcPr>
            <w:tcW w:w="4340" w:type="dxa"/>
          </w:tcPr>
          <w:p w:rsidR="005F3B44" w:rsidRDefault="005F3B44" w:rsidP="005F3B44">
            <w:pPr>
              <w:numPr>
                <w:ilvl w:val="0"/>
                <w:numId w:val="24"/>
              </w:numPr>
            </w:pPr>
            <w:r>
              <w:t>ERP</w:t>
            </w:r>
          </w:p>
        </w:tc>
        <w:tc>
          <w:tcPr>
            <w:tcW w:w="4353" w:type="dxa"/>
          </w:tcPr>
          <w:p w:rsidR="005F3B44" w:rsidRDefault="005F3B44" w:rsidP="005F3B44">
            <w:pPr>
              <w:numPr>
                <w:ilvl w:val="0"/>
                <w:numId w:val="24"/>
              </w:numPr>
            </w:pPr>
            <w:r>
              <w:t>equity risk premium</w:t>
            </w:r>
          </w:p>
        </w:tc>
      </w:tr>
      <w:tr w:rsidR="005F3B44" w:rsidTr="005F3B44">
        <w:trPr>
          <w:cnfStyle w:val="000000010000" w:firstRow="0" w:lastRow="0" w:firstColumn="0" w:lastColumn="0" w:oddVBand="0" w:evenVBand="0" w:oddHBand="0" w:evenHBand="1" w:firstRowFirstColumn="0" w:firstRowLastColumn="0" w:lastRowFirstColumn="0" w:lastRowLastColumn="0"/>
        </w:trPr>
        <w:tc>
          <w:tcPr>
            <w:tcW w:w="4340" w:type="dxa"/>
          </w:tcPr>
          <w:p w:rsidR="005F3B44" w:rsidRDefault="005F3B44" w:rsidP="005F3B44">
            <w:pPr>
              <w:numPr>
                <w:ilvl w:val="0"/>
                <w:numId w:val="24"/>
              </w:numPr>
            </w:pPr>
            <w:r>
              <w:t>Expenditure Guideline</w:t>
            </w:r>
          </w:p>
        </w:tc>
        <w:tc>
          <w:tcPr>
            <w:tcW w:w="4353" w:type="dxa"/>
          </w:tcPr>
          <w:p w:rsidR="005F3B44" w:rsidRPr="005F3B44" w:rsidRDefault="005F3B44" w:rsidP="005F3B44">
            <w:r>
              <w:t xml:space="preserve">Expenditure Forecast </w:t>
            </w:r>
            <w:r w:rsidRPr="005F3B44">
              <w:t>Assessment Guideline</w:t>
            </w:r>
          </w:p>
        </w:tc>
      </w:tr>
      <w:tr w:rsidR="005F3B44" w:rsidTr="005F3B44">
        <w:tc>
          <w:tcPr>
            <w:tcW w:w="4340" w:type="dxa"/>
          </w:tcPr>
          <w:p w:rsidR="005F3B44" w:rsidRDefault="005F3B44" w:rsidP="005F3B44">
            <w:pPr>
              <w:numPr>
                <w:ilvl w:val="0"/>
                <w:numId w:val="24"/>
              </w:numPr>
            </w:pPr>
            <w:r>
              <w:t>gamma</w:t>
            </w:r>
          </w:p>
        </w:tc>
        <w:tc>
          <w:tcPr>
            <w:tcW w:w="4353" w:type="dxa"/>
          </w:tcPr>
          <w:p w:rsidR="005F3B44" w:rsidRPr="005F3B44" w:rsidRDefault="005F3B44" w:rsidP="005F3B44">
            <w:r>
              <w:t>Value of Imputation Credits</w:t>
            </w:r>
          </w:p>
        </w:tc>
      </w:tr>
      <w:tr w:rsidR="005F3B44" w:rsidTr="005F3B44">
        <w:trPr>
          <w:cnfStyle w:val="000000010000" w:firstRow="0" w:lastRow="0" w:firstColumn="0" w:lastColumn="0" w:oddVBand="0" w:evenVBand="0" w:oddHBand="0" w:evenHBand="1" w:firstRowFirstColumn="0" w:firstRowLastColumn="0" w:lastRowFirstColumn="0" w:lastRowLastColumn="0"/>
        </w:trPr>
        <w:tc>
          <w:tcPr>
            <w:tcW w:w="4340" w:type="dxa"/>
          </w:tcPr>
          <w:p w:rsidR="005F3B44" w:rsidRDefault="005F3B44" w:rsidP="005F3B44">
            <w:pPr>
              <w:numPr>
                <w:ilvl w:val="0"/>
                <w:numId w:val="24"/>
              </w:numPr>
            </w:pPr>
            <w:r>
              <w:t>MRP</w:t>
            </w:r>
          </w:p>
        </w:tc>
        <w:tc>
          <w:tcPr>
            <w:tcW w:w="4353" w:type="dxa"/>
          </w:tcPr>
          <w:p w:rsidR="005F3B44" w:rsidRDefault="005F3B44" w:rsidP="005F3B44">
            <w:pPr>
              <w:numPr>
                <w:ilvl w:val="0"/>
                <w:numId w:val="24"/>
              </w:numPr>
            </w:pPr>
            <w:r>
              <w:t>market risk premium</w:t>
            </w:r>
          </w:p>
        </w:tc>
      </w:tr>
      <w:tr w:rsidR="005F3B44" w:rsidTr="005F3B44">
        <w:tc>
          <w:tcPr>
            <w:tcW w:w="4340" w:type="dxa"/>
          </w:tcPr>
          <w:p w:rsidR="005F3B44" w:rsidRDefault="005F3B44" w:rsidP="005F3B44">
            <w:pPr>
              <w:numPr>
                <w:ilvl w:val="0"/>
                <w:numId w:val="24"/>
              </w:numPr>
            </w:pPr>
            <w:r>
              <w:t>NGL</w:t>
            </w:r>
          </w:p>
        </w:tc>
        <w:tc>
          <w:tcPr>
            <w:tcW w:w="4353" w:type="dxa"/>
          </w:tcPr>
          <w:p w:rsidR="005F3B44" w:rsidRDefault="005F3B44" w:rsidP="005F3B44">
            <w:pPr>
              <w:numPr>
                <w:ilvl w:val="0"/>
                <w:numId w:val="24"/>
              </w:numPr>
            </w:pPr>
            <w:r>
              <w:t>National Gas Law</w:t>
            </w:r>
          </w:p>
        </w:tc>
      </w:tr>
      <w:tr w:rsidR="005F3B44" w:rsidTr="005F3B44">
        <w:trPr>
          <w:cnfStyle w:val="000000010000" w:firstRow="0" w:lastRow="0" w:firstColumn="0" w:lastColumn="0" w:oddVBand="0" w:evenVBand="0" w:oddHBand="0" w:evenHBand="1" w:firstRowFirstColumn="0" w:firstRowLastColumn="0" w:lastRowFirstColumn="0" w:lastRowLastColumn="0"/>
        </w:trPr>
        <w:tc>
          <w:tcPr>
            <w:tcW w:w="4340" w:type="dxa"/>
          </w:tcPr>
          <w:p w:rsidR="005F3B44" w:rsidRDefault="005F3B44" w:rsidP="005F3B44">
            <w:pPr>
              <w:numPr>
                <w:ilvl w:val="0"/>
                <w:numId w:val="24"/>
              </w:numPr>
            </w:pPr>
            <w:r>
              <w:t>NGO</w:t>
            </w:r>
          </w:p>
        </w:tc>
        <w:tc>
          <w:tcPr>
            <w:tcW w:w="4353" w:type="dxa"/>
          </w:tcPr>
          <w:p w:rsidR="005F3B44" w:rsidRDefault="005F3B44" w:rsidP="005F3B44">
            <w:pPr>
              <w:numPr>
                <w:ilvl w:val="0"/>
                <w:numId w:val="24"/>
              </w:numPr>
            </w:pPr>
            <w:r>
              <w:t>national gas objective</w:t>
            </w:r>
          </w:p>
        </w:tc>
      </w:tr>
      <w:tr w:rsidR="005F3B44" w:rsidTr="005F3B44">
        <w:tc>
          <w:tcPr>
            <w:tcW w:w="4340" w:type="dxa"/>
          </w:tcPr>
          <w:p w:rsidR="005F3B44" w:rsidRDefault="005F3B44" w:rsidP="005F3B44">
            <w:pPr>
              <w:numPr>
                <w:ilvl w:val="0"/>
                <w:numId w:val="24"/>
              </w:numPr>
            </w:pPr>
            <w:r>
              <w:t>NGR</w:t>
            </w:r>
          </w:p>
        </w:tc>
        <w:tc>
          <w:tcPr>
            <w:tcW w:w="4353" w:type="dxa"/>
          </w:tcPr>
          <w:p w:rsidR="005F3B44" w:rsidRDefault="005F3B44" w:rsidP="005F3B44">
            <w:pPr>
              <w:numPr>
                <w:ilvl w:val="0"/>
                <w:numId w:val="24"/>
              </w:numPr>
            </w:pPr>
            <w:r>
              <w:t>National Gas Rules</w:t>
            </w:r>
          </w:p>
        </w:tc>
      </w:tr>
      <w:tr w:rsidR="005F3B44" w:rsidTr="005F3B44">
        <w:trPr>
          <w:cnfStyle w:val="000000010000" w:firstRow="0" w:lastRow="0" w:firstColumn="0" w:lastColumn="0" w:oddVBand="0" w:evenVBand="0" w:oddHBand="0" w:evenHBand="1" w:firstRowFirstColumn="0" w:firstRowLastColumn="0" w:lastRowFirstColumn="0" w:lastRowLastColumn="0"/>
        </w:trPr>
        <w:tc>
          <w:tcPr>
            <w:tcW w:w="4340" w:type="dxa"/>
          </w:tcPr>
          <w:p w:rsidR="005F3B44" w:rsidRDefault="005F3B44" w:rsidP="005F3B44">
            <w:pPr>
              <w:numPr>
                <w:ilvl w:val="0"/>
                <w:numId w:val="24"/>
              </w:numPr>
            </w:pPr>
            <w:r>
              <w:t>NPV</w:t>
            </w:r>
          </w:p>
        </w:tc>
        <w:tc>
          <w:tcPr>
            <w:tcW w:w="4353" w:type="dxa"/>
          </w:tcPr>
          <w:p w:rsidR="005F3B44" w:rsidRPr="005F3B44" w:rsidRDefault="005F3B44" w:rsidP="005F3B44">
            <w:r>
              <w:t>net present value</w:t>
            </w:r>
          </w:p>
        </w:tc>
      </w:tr>
      <w:tr w:rsidR="005F3B44" w:rsidTr="005F3B44">
        <w:tc>
          <w:tcPr>
            <w:tcW w:w="4340" w:type="dxa"/>
          </w:tcPr>
          <w:p w:rsidR="005F3B44" w:rsidRDefault="005F3B44" w:rsidP="005F3B44">
            <w:pPr>
              <w:numPr>
                <w:ilvl w:val="0"/>
                <w:numId w:val="24"/>
              </w:numPr>
            </w:pPr>
            <w:r>
              <w:t>opex</w:t>
            </w:r>
          </w:p>
        </w:tc>
        <w:tc>
          <w:tcPr>
            <w:tcW w:w="4353" w:type="dxa"/>
          </w:tcPr>
          <w:p w:rsidR="005F3B44" w:rsidRDefault="005F3B44" w:rsidP="005F3B44">
            <w:pPr>
              <w:numPr>
                <w:ilvl w:val="0"/>
                <w:numId w:val="24"/>
              </w:numPr>
            </w:pPr>
            <w:r>
              <w:t>operating expenditure</w:t>
            </w:r>
          </w:p>
        </w:tc>
      </w:tr>
      <w:tr w:rsidR="005F3B44" w:rsidTr="005F3B44">
        <w:trPr>
          <w:cnfStyle w:val="000000010000" w:firstRow="0" w:lastRow="0" w:firstColumn="0" w:lastColumn="0" w:oddVBand="0" w:evenVBand="0" w:oddHBand="0" w:evenHBand="1" w:firstRowFirstColumn="0" w:firstRowLastColumn="0" w:lastRowFirstColumn="0" w:lastRowLastColumn="0"/>
        </w:trPr>
        <w:tc>
          <w:tcPr>
            <w:tcW w:w="4340" w:type="dxa"/>
          </w:tcPr>
          <w:p w:rsidR="005F3B44" w:rsidRDefault="005F3B44" w:rsidP="005F3B44">
            <w:pPr>
              <w:numPr>
                <w:ilvl w:val="0"/>
                <w:numId w:val="24"/>
              </w:numPr>
            </w:pPr>
            <w:r>
              <w:t>PTRM</w:t>
            </w:r>
          </w:p>
        </w:tc>
        <w:tc>
          <w:tcPr>
            <w:tcW w:w="4353" w:type="dxa"/>
          </w:tcPr>
          <w:p w:rsidR="005F3B44" w:rsidRDefault="005F3B44" w:rsidP="005F3B44">
            <w:pPr>
              <w:numPr>
                <w:ilvl w:val="0"/>
                <w:numId w:val="24"/>
              </w:numPr>
            </w:pPr>
            <w:r>
              <w:t>post-tax revenue model</w:t>
            </w:r>
          </w:p>
        </w:tc>
      </w:tr>
      <w:tr w:rsidR="005F3B44" w:rsidTr="005F3B44">
        <w:tc>
          <w:tcPr>
            <w:tcW w:w="4340" w:type="dxa"/>
          </w:tcPr>
          <w:p w:rsidR="005F3B44" w:rsidRDefault="005F3B44" w:rsidP="005F3B44">
            <w:pPr>
              <w:numPr>
                <w:ilvl w:val="0"/>
                <w:numId w:val="24"/>
              </w:numPr>
            </w:pPr>
            <w:r>
              <w:t>RBA</w:t>
            </w:r>
          </w:p>
        </w:tc>
        <w:tc>
          <w:tcPr>
            <w:tcW w:w="4353" w:type="dxa"/>
          </w:tcPr>
          <w:p w:rsidR="005F3B44" w:rsidRDefault="005F3B44" w:rsidP="005F3B44">
            <w:pPr>
              <w:numPr>
                <w:ilvl w:val="0"/>
                <w:numId w:val="24"/>
              </w:numPr>
            </w:pPr>
            <w:r>
              <w:t>Reserve Bank of Australia</w:t>
            </w:r>
          </w:p>
        </w:tc>
      </w:tr>
      <w:tr w:rsidR="005F3B44" w:rsidTr="005F3B44">
        <w:trPr>
          <w:cnfStyle w:val="000000010000" w:firstRow="0" w:lastRow="0" w:firstColumn="0" w:lastColumn="0" w:oddVBand="0" w:evenVBand="0" w:oddHBand="0" w:evenHBand="1" w:firstRowFirstColumn="0" w:firstRowLastColumn="0" w:lastRowFirstColumn="0" w:lastRowLastColumn="0"/>
        </w:trPr>
        <w:tc>
          <w:tcPr>
            <w:tcW w:w="4340" w:type="dxa"/>
          </w:tcPr>
          <w:p w:rsidR="005F3B44" w:rsidRDefault="005F3B44" w:rsidP="005F3B44">
            <w:pPr>
              <w:numPr>
                <w:ilvl w:val="0"/>
                <w:numId w:val="24"/>
              </w:numPr>
            </w:pPr>
            <w:r>
              <w:t>RFM</w:t>
            </w:r>
          </w:p>
        </w:tc>
        <w:tc>
          <w:tcPr>
            <w:tcW w:w="4353" w:type="dxa"/>
          </w:tcPr>
          <w:p w:rsidR="005F3B44" w:rsidRDefault="005F3B44" w:rsidP="005F3B44">
            <w:pPr>
              <w:numPr>
                <w:ilvl w:val="0"/>
                <w:numId w:val="24"/>
              </w:numPr>
            </w:pPr>
            <w:r>
              <w:t>roll forward model</w:t>
            </w:r>
          </w:p>
        </w:tc>
      </w:tr>
      <w:tr w:rsidR="005F3B44" w:rsidTr="005F3B44">
        <w:tc>
          <w:tcPr>
            <w:tcW w:w="4340" w:type="dxa"/>
          </w:tcPr>
          <w:p w:rsidR="005F3B44" w:rsidRDefault="005F3B44" w:rsidP="005F3B44">
            <w:pPr>
              <w:numPr>
                <w:ilvl w:val="0"/>
                <w:numId w:val="24"/>
              </w:numPr>
            </w:pPr>
            <w:r>
              <w:t>RIN</w:t>
            </w:r>
          </w:p>
        </w:tc>
        <w:tc>
          <w:tcPr>
            <w:tcW w:w="4353" w:type="dxa"/>
          </w:tcPr>
          <w:p w:rsidR="005F3B44" w:rsidRDefault="005F3B44" w:rsidP="005F3B44">
            <w:pPr>
              <w:numPr>
                <w:ilvl w:val="0"/>
                <w:numId w:val="24"/>
              </w:numPr>
            </w:pPr>
            <w:r>
              <w:t>regulatory information notice</w:t>
            </w:r>
          </w:p>
        </w:tc>
      </w:tr>
      <w:tr w:rsidR="005F3B44" w:rsidTr="005F3B44">
        <w:trPr>
          <w:cnfStyle w:val="000000010000" w:firstRow="0" w:lastRow="0" w:firstColumn="0" w:lastColumn="0" w:oddVBand="0" w:evenVBand="0" w:oddHBand="0" w:evenHBand="1" w:firstRowFirstColumn="0" w:firstRowLastColumn="0" w:lastRowFirstColumn="0" w:lastRowLastColumn="0"/>
        </w:trPr>
        <w:tc>
          <w:tcPr>
            <w:tcW w:w="4340" w:type="dxa"/>
          </w:tcPr>
          <w:p w:rsidR="005F3B44" w:rsidRDefault="005F3B44" w:rsidP="005F3B44">
            <w:pPr>
              <w:numPr>
                <w:ilvl w:val="0"/>
                <w:numId w:val="24"/>
              </w:numPr>
            </w:pPr>
            <w:r>
              <w:t>RPP</w:t>
            </w:r>
          </w:p>
        </w:tc>
        <w:tc>
          <w:tcPr>
            <w:tcW w:w="4353" w:type="dxa"/>
          </w:tcPr>
          <w:p w:rsidR="005F3B44" w:rsidRDefault="005F3B44" w:rsidP="005F3B44">
            <w:pPr>
              <w:numPr>
                <w:ilvl w:val="0"/>
                <w:numId w:val="24"/>
              </w:numPr>
            </w:pPr>
            <w:r>
              <w:t>revenue and pricing principles</w:t>
            </w:r>
          </w:p>
        </w:tc>
      </w:tr>
      <w:tr w:rsidR="005F3B44" w:rsidTr="005F3B44">
        <w:tc>
          <w:tcPr>
            <w:tcW w:w="4340" w:type="dxa"/>
          </w:tcPr>
          <w:p w:rsidR="005F3B44" w:rsidRDefault="005F3B44" w:rsidP="005F3B44">
            <w:pPr>
              <w:numPr>
                <w:ilvl w:val="0"/>
                <w:numId w:val="24"/>
              </w:numPr>
            </w:pPr>
            <w:r>
              <w:t>SLCAPM</w:t>
            </w:r>
          </w:p>
        </w:tc>
        <w:tc>
          <w:tcPr>
            <w:tcW w:w="4353" w:type="dxa"/>
          </w:tcPr>
          <w:p w:rsidR="005F3B44" w:rsidRDefault="005F3B44" w:rsidP="005F3B44">
            <w:pPr>
              <w:numPr>
                <w:ilvl w:val="0"/>
                <w:numId w:val="24"/>
              </w:numPr>
            </w:pPr>
            <w:r>
              <w:t>Sharpe-Lintner capital asset pricing model</w:t>
            </w:r>
          </w:p>
        </w:tc>
      </w:tr>
      <w:tr w:rsidR="005F3B44" w:rsidTr="005F3B44">
        <w:trPr>
          <w:cnfStyle w:val="000000010000" w:firstRow="0" w:lastRow="0" w:firstColumn="0" w:lastColumn="0" w:oddVBand="0" w:evenVBand="0" w:oddHBand="0" w:evenHBand="1" w:firstRowFirstColumn="0" w:firstRowLastColumn="0" w:lastRowFirstColumn="0" w:lastRowLastColumn="0"/>
        </w:trPr>
        <w:tc>
          <w:tcPr>
            <w:tcW w:w="4340" w:type="dxa"/>
          </w:tcPr>
          <w:p w:rsidR="005F3B44" w:rsidRDefault="005F3B44" w:rsidP="005F3B44">
            <w:pPr>
              <w:numPr>
                <w:ilvl w:val="0"/>
                <w:numId w:val="24"/>
              </w:numPr>
            </w:pPr>
            <w:r>
              <w:t>STTM</w:t>
            </w:r>
          </w:p>
        </w:tc>
        <w:tc>
          <w:tcPr>
            <w:tcW w:w="4353" w:type="dxa"/>
          </w:tcPr>
          <w:p w:rsidR="005F3B44" w:rsidRPr="005F3B44" w:rsidRDefault="005F3B44" w:rsidP="005F3B44">
            <w:r>
              <w:t>Short Term Trading Market</w:t>
            </w:r>
          </w:p>
        </w:tc>
      </w:tr>
      <w:tr w:rsidR="005F3B44" w:rsidTr="005F3B44">
        <w:tc>
          <w:tcPr>
            <w:tcW w:w="4340" w:type="dxa"/>
          </w:tcPr>
          <w:p w:rsidR="005F3B44" w:rsidRDefault="005F3B44" w:rsidP="005F3B44">
            <w:pPr>
              <w:numPr>
                <w:ilvl w:val="0"/>
                <w:numId w:val="24"/>
              </w:numPr>
            </w:pPr>
            <w:r>
              <w:t>TAB</w:t>
            </w:r>
          </w:p>
        </w:tc>
        <w:tc>
          <w:tcPr>
            <w:tcW w:w="4353" w:type="dxa"/>
          </w:tcPr>
          <w:p w:rsidR="005F3B44" w:rsidRPr="005F3B44" w:rsidRDefault="005F3B44" w:rsidP="005F3B44">
            <w:r>
              <w:t>Tax asset base</w:t>
            </w:r>
          </w:p>
        </w:tc>
      </w:tr>
      <w:tr w:rsidR="005F3B44" w:rsidTr="005F3B44">
        <w:trPr>
          <w:cnfStyle w:val="000000010000" w:firstRow="0" w:lastRow="0" w:firstColumn="0" w:lastColumn="0" w:oddVBand="0" w:evenVBand="0" w:oddHBand="0" w:evenHBand="1" w:firstRowFirstColumn="0" w:firstRowLastColumn="0" w:lastRowFirstColumn="0" w:lastRowLastColumn="0"/>
        </w:trPr>
        <w:tc>
          <w:tcPr>
            <w:tcW w:w="4340" w:type="dxa"/>
          </w:tcPr>
          <w:p w:rsidR="005F3B44" w:rsidRDefault="005F3B44" w:rsidP="005F3B44">
            <w:pPr>
              <w:numPr>
                <w:ilvl w:val="0"/>
                <w:numId w:val="24"/>
              </w:numPr>
            </w:pPr>
            <w:r>
              <w:t>UAFG</w:t>
            </w:r>
          </w:p>
        </w:tc>
        <w:tc>
          <w:tcPr>
            <w:tcW w:w="4353" w:type="dxa"/>
          </w:tcPr>
          <w:p w:rsidR="005F3B44" w:rsidRPr="005F3B44" w:rsidRDefault="005F3B44" w:rsidP="005F3B44">
            <w:r>
              <w:t>Unaccounted for gas</w:t>
            </w:r>
          </w:p>
        </w:tc>
      </w:tr>
      <w:tr w:rsidR="005F3B44" w:rsidTr="005F3B44">
        <w:tc>
          <w:tcPr>
            <w:tcW w:w="4340" w:type="dxa"/>
          </w:tcPr>
          <w:p w:rsidR="005F3B44" w:rsidRDefault="005F3B44" w:rsidP="005F3B44">
            <w:pPr>
              <w:numPr>
                <w:ilvl w:val="0"/>
                <w:numId w:val="24"/>
              </w:numPr>
            </w:pPr>
            <w:r>
              <w:t>WACC</w:t>
            </w:r>
          </w:p>
        </w:tc>
        <w:tc>
          <w:tcPr>
            <w:tcW w:w="4353" w:type="dxa"/>
          </w:tcPr>
          <w:p w:rsidR="005F3B44" w:rsidRDefault="005F3B44" w:rsidP="005F3B44">
            <w:pPr>
              <w:numPr>
                <w:ilvl w:val="0"/>
                <w:numId w:val="24"/>
              </w:numPr>
            </w:pPr>
            <w:r>
              <w:t>weighted average cost of capital</w:t>
            </w:r>
          </w:p>
        </w:tc>
      </w:tr>
      <w:tr w:rsidR="005F3B44" w:rsidTr="005F3B44">
        <w:trPr>
          <w:cnfStyle w:val="000000010000" w:firstRow="0" w:lastRow="0" w:firstColumn="0" w:lastColumn="0" w:oddVBand="0" w:evenVBand="0" w:oddHBand="0" w:evenHBand="1" w:firstRowFirstColumn="0" w:firstRowLastColumn="0" w:lastRowFirstColumn="0" w:lastRowLastColumn="0"/>
        </w:trPr>
        <w:tc>
          <w:tcPr>
            <w:tcW w:w="4340" w:type="dxa"/>
          </w:tcPr>
          <w:p w:rsidR="005F3B44" w:rsidRDefault="005F3B44" w:rsidP="005F3B44">
            <w:pPr>
              <w:numPr>
                <w:ilvl w:val="0"/>
                <w:numId w:val="24"/>
              </w:numPr>
            </w:pPr>
            <w:r>
              <w:t>WPI</w:t>
            </w:r>
          </w:p>
        </w:tc>
        <w:tc>
          <w:tcPr>
            <w:tcW w:w="4353" w:type="dxa"/>
          </w:tcPr>
          <w:p w:rsidR="005F3B44" w:rsidRPr="005F3B44" w:rsidRDefault="005F3B44" w:rsidP="005F3B44">
            <w:r>
              <w:t>Wage Price Index</w:t>
            </w:r>
          </w:p>
        </w:tc>
      </w:tr>
    </w:tbl>
    <w:p w:rsidR="00DE563D" w:rsidRDefault="00FC3404" w:rsidP="00FC3404">
      <w:pPr>
        <w:pStyle w:val="Heading1"/>
      </w:pPr>
      <w:bookmarkStart w:id="12" w:name="_Toc416278154"/>
      <w:bookmarkStart w:id="13" w:name="_Toc416346517"/>
      <w:bookmarkStart w:id="14" w:name="_Toc416278157"/>
      <w:bookmarkStart w:id="15" w:name="_Toc416346520"/>
      <w:bookmarkStart w:id="16" w:name="_Toc416278160"/>
      <w:bookmarkStart w:id="17" w:name="_Toc416346523"/>
      <w:bookmarkStart w:id="18" w:name="_Toc416278163"/>
      <w:bookmarkStart w:id="19" w:name="_Toc416346526"/>
      <w:bookmarkStart w:id="20" w:name="_Toc416278166"/>
      <w:bookmarkStart w:id="21" w:name="_Toc416346529"/>
      <w:bookmarkStart w:id="22" w:name="_Toc416278169"/>
      <w:bookmarkStart w:id="23" w:name="_Toc416346532"/>
      <w:bookmarkStart w:id="24" w:name="_Toc416278172"/>
      <w:bookmarkStart w:id="25" w:name="_Toc416346535"/>
      <w:bookmarkStart w:id="26" w:name="_Toc416278175"/>
      <w:bookmarkStart w:id="27" w:name="_Toc416346538"/>
      <w:bookmarkStart w:id="28" w:name="_Toc416278178"/>
      <w:bookmarkStart w:id="29" w:name="_Toc416346541"/>
      <w:bookmarkStart w:id="30" w:name="_Toc416278181"/>
      <w:bookmarkStart w:id="31" w:name="_Toc416346544"/>
      <w:bookmarkStart w:id="32" w:name="_Toc416278184"/>
      <w:bookmarkStart w:id="33" w:name="_Toc416346547"/>
      <w:bookmarkStart w:id="34" w:name="_Toc416278187"/>
      <w:bookmarkStart w:id="35" w:name="_Toc416346550"/>
      <w:bookmarkStart w:id="36" w:name="_Toc416278190"/>
      <w:bookmarkStart w:id="37" w:name="_Toc416346553"/>
      <w:bookmarkStart w:id="38" w:name="_Toc416278193"/>
      <w:bookmarkStart w:id="39" w:name="_Toc416346556"/>
      <w:bookmarkStart w:id="40" w:name="_Toc416278196"/>
      <w:bookmarkStart w:id="41" w:name="_Toc416346559"/>
      <w:bookmarkStart w:id="42" w:name="_Toc416278199"/>
      <w:bookmarkStart w:id="43" w:name="_Toc416346562"/>
      <w:bookmarkStart w:id="44" w:name="_Toc416278202"/>
      <w:bookmarkStart w:id="45" w:name="_Toc416346565"/>
      <w:bookmarkStart w:id="46" w:name="_Toc416278205"/>
      <w:bookmarkStart w:id="47" w:name="_Toc416346568"/>
      <w:bookmarkStart w:id="48" w:name="_Toc416278208"/>
      <w:bookmarkStart w:id="49" w:name="_Toc416346571"/>
      <w:bookmarkStart w:id="50" w:name="_Toc416278211"/>
      <w:bookmarkStart w:id="51" w:name="_Toc416346574"/>
      <w:bookmarkStart w:id="52" w:name="_Toc416278214"/>
      <w:bookmarkStart w:id="53" w:name="_Toc416346577"/>
      <w:bookmarkStart w:id="54" w:name="_Toc416278217"/>
      <w:bookmarkStart w:id="55" w:name="_Toc416346580"/>
      <w:bookmarkStart w:id="56" w:name="_Toc416278220"/>
      <w:bookmarkStart w:id="57" w:name="_Toc416346583"/>
      <w:bookmarkStart w:id="58" w:name="_Toc416278223"/>
      <w:bookmarkStart w:id="59" w:name="_Toc416346586"/>
      <w:bookmarkStart w:id="60" w:name="_Toc416278226"/>
      <w:bookmarkStart w:id="61" w:name="_Toc416346589"/>
      <w:bookmarkStart w:id="62" w:name="_Toc416278229"/>
      <w:bookmarkStart w:id="63" w:name="_Toc416346592"/>
      <w:bookmarkStart w:id="64" w:name="_Toc416278232"/>
      <w:bookmarkStart w:id="65" w:name="_Toc416346595"/>
      <w:bookmarkStart w:id="66" w:name="_Toc416278235"/>
      <w:bookmarkStart w:id="67" w:name="_Toc416346598"/>
      <w:bookmarkStart w:id="68" w:name="_Toc416278238"/>
      <w:bookmarkStart w:id="69" w:name="_Toc416346601"/>
      <w:bookmarkStart w:id="70" w:name="_Toc486834702"/>
      <w:bookmarkEnd w:id="0"/>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r>
        <w:t>Corporate income tax</w:t>
      </w:r>
      <w:bookmarkEnd w:id="70"/>
    </w:p>
    <w:p w:rsidR="00C2279E" w:rsidRPr="00FD50DB" w:rsidRDefault="00C2279E" w:rsidP="00C2279E">
      <w:r w:rsidRPr="00FD50DB">
        <w:t xml:space="preserve">When determining the </w:t>
      </w:r>
      <w:r w:rsidR="00044CA3">
        <w:t>total</w:t>
      </w:r>
      <w:r>
        <w:t xml:space="preserve"> </w:t>
      </w:r>
      <w:r w:rsidRPr="00FD50DB">
        <w:t xml:space="preserve">revenue for </w:t>
      </w:r>
      <w:r>
        <w:t>AGN</w:t>
      </w:r>
      <w:r w:rsidRPr="00FD50DB">
        <w:t xml:space="preserve">, we </w:t>
      </w:r>
      <w:r w:rsidR="00044CA3">
        <w:t>include an</w:t>
      </w:r>
      <w:r w:rsidRPr="00FD50DB">
        <w:t xml:space="preserve"> estimate </w:t>
      </w:r>
      <w:r w:rsidR="00044CA3">
        <w:t xml:space="preserve">of </w:t>
      </w:r>
      <w:r>
        <w:t xml:space="preserve">AGN's </w:t>
      </w:r>
      <w:r w:rsidRPr="00FD50DB">
        <w:t>cost of corporate income tax.</w:t>
      </w:r>
      <w:r w:rsidRPr="00FD50DB">
        <w:rPr>
          <w:rStyle w:val="FootnoteReference"/>
        </w:rPr>
        <w:footnoteReference w:id="1"/>
      </w:r>
      <w:r w:rsidRPr="00FD50DB">
        <w:t xml:space="preserve"> </w:t>
      </w:r>
      <w:r>
        <w:t xml:space="preserve">AGN </w:t>
      </w:r>
      <w:r w:rsidRPr="00FD50DB">
        <w:t xml:space="preserve">has adopted the post-tax framework to derive its revenue requirement for the </w:t>
      </w:r>
      <w:r>
        <w:t>2018–22</w:t>
      </w:r>
      <w:r w:rsidRPr="00FD50DB">
        <w:t xml:space="preserve"> access arrangement </w:t>
      </w:r>
      <w:proofErr w:type="gramStart"/>
      <w:r w:rsidRPr="00FD50DB">
        <w:t>period</w:t>
      </w:r>
      <w:proofErr w:type="gramEnd"/>
      <w:r w:rsidRPr="00FD50DB">
        <w:t>.</w:t>
      </w:r>
      <w:r w:rsidRPr="00FD50DB">
        <w:rPr>
          <w:rStyle w:val="FootnoteReference"/>
        </w:rPr>
        <w:footnoteReference w:id="2"/>
      </w:r>
      <w:r w:rsidRPr="00FD50DB">
        <w:t xml:space="preserve"> Under the post-tax framework, a separate corporate income tax allowance is calculated as part of the building blocks assessment.</w:t>
      </w:r>
    </w:p>
    <w:p w:rsidR="00C2279E" w:rsidRDefault="00C2279E" w:rsidP="00C2279E">
      <w:pPr>
        <w:pStyle w:val="Heading2"/>
      </w:pPr>
      <w:bookmarkStart w:id="71" w:name="_Toc477782989"/>
      <w:bookmarkStart w:id="72" w:name="_Toc486834703"/>
      <w:r>
        <w:t>Draft decision</w:t>
      </w:r>
      <w:bookmarkEnd w:id="71"/>
      <w:bookmarkEnd w:id="72"/>
    </w:p>
    <w:p w:rsidR="00C2279E" w:rsidRDefault="00C2279E" w:rsidP="00C2279E">
      <w:r>
        <w:t xml:space="preserve">We </w:t>
      </w:r>
      <w:r w:rsidR="00CD3D9F">
        <w:t xml:space="preserve">accept </w:t>
      </w:r>
      <w:r>
        <w:t>AGN's proposed approach to calculat</w:t>
      </w:r>
      <w:r w:rsidR="005F3B44">
        <w:t>ing</w:t>
      </w:r>
      <w:r>
        <w:t xml:space="preserve"> its forecast corporate income tax allowance. AGN's proposed </w:t>
      </w:r>
      <w:r w:rsidRPr="00167CF1">
        <w:t>approach i</w:t>
      </w:r>
      <w:r>
        <w:t xml:space="preserve">s consistent with the AER’s post-tax revenue model (PTRM) for electricity service providers and the approach previously approved in gas access arrangement decisions. </w:t>
      </w:r>
      <w:r w:rsidR="00941751">
        <w:t>Our</w:t>
      </w:r>
      <w:r w:rsidR="00941751" w:rsidRPr="009C2602">
        <w:t xml:space="preserve"> draft decision on </w:t>
      </w:r>
      <w:r w:rsidR="00941751">
        <w:t>AGN's</w:t>
      </w:r>
      <w:r w:rsidR="00941751" w:rsidRPr="009C2602">
        <w:t xml:space="preserve"> </w:t>
      </w:r>
      <w:r w:rsidR="00941751">
        <w:t>corporate income tax</w:t>
      </w:r>
      <w:r w:rsidR="00941751" w:rsidRPr="009C2602">
        <w:t xml:space="preserve"> allowance over the </w:t>
      </w:r>
      <w:r w:rsidR="00941751">
        <w:rPr>
          <w:rStyle w:val="AERbody"/>
        </w:rPr>
        <w:t>2018–22</w:t>
      </w:r>
      <w:r w:rsidR="00941751" w:rsidRPr="00B077E0">
        <w:rPr>
          <w:rStyle w:val="AERbody"/>
        </w:rPr>
        <w:t xml:space="preserve"> </w:t>
      </w:r>
      <w:r w:rsidR="00941751" w:rsidRPr="009C2602">
        <w:t>access arrangement period is $</w:t>
      </w:r>
      <w:r w:rsidR="00384EA9">
        <w:t>59.</w:t>
      </w:r>
      <w:r w:rsidR="007A7ADD">
        <w:t>9</w:t>
      </w:r>
      <w:r w:rsidR="00941751" w:rsidRPr="00FD50DB">
        <w:t xml:space="preserve"> </w:t>
      </w:r>
      <w:r w:rsidR="00941751">
        <w:t xml:space="preserve">million ($ nominal). </w:t>
      </w:r>
      <w:r w:rsidR="00941751" w:rsidRPr="009C2602">
        <w:t>This represents a</w:t>
      </w:r>
      <w:r w:rsidR="00384EA9">
        <w:t>n</w:t>
      </w:r>
      <w:r w:rsidR="00941751" w:rsidRPr="009C2602">
        <w:t xml:space="preserve"> </w:t>
      </w:r>
      <w:r w:rsidR="00384EA9">
        <w:t>increase</w:t>
      </w:r>
      <w:r w:rsidR="00941751" w:rsidRPr="009C2602">
        <w:t xml:space="preserve"> of $</w:t>
      </w:r>
      <w:r w:rsidR="00384EA9">
        <w:t>2.</w:t>
      </w:r>
      <w:r w:rsidR="007A7ADD">
        <w:t>7</w:t>
      </w:r>
      <w:r w:rsidR="00941751" w:rsidRPr="00FD50DB">
        <w:t xml:space="preserve"> </w:t>
      </w:r>
      <w:r w:rsidR="00941751" w:rsidRPr="009C2602">
        <w:t>million (</w:t>
      </w:r>
      <w:r w:rsidR="00941751">
        <w:t>$</w:t>
      </w:r>
      <w:r w:rsidR="007A7ADD">
        <w:t> </w:t>
      </w:r>
      <w:r w:rsidR="00941751" w:rsidRPr="009C2602">
        <w:t xml:space="preserve">nominal) or </w:t>
      </w:r>
      <w:r w:rsidR="00384EA9">
        <w:t>4.</w:t>
      </w:r>
      <w:r w:rsidR="007A7ADD">
        <w:t>7</w:t>
      </w:r>
      <w:r w:rsidR="00941751" w:rsidRPr="00FD50DB">
        <w:t xml:space="preserve"> </w:t>
      </w:r>
      <w:r w:rsidR="00941751" w:rsidRPr="009C2602">
        <w:t xml:space="preserve">per cent of </w:t>
      </w:r>
      <w:r w:rsidR="00941751">
        <w:t>AGN's</w:t>
      </w:r>
      <w:r w:rsidR="00941751" w:rsidRPr="009C2602">
        <w:t xml:space="preserve"> proposed </w:t>
      </w:r>
      <w:r w:rsidR="00941751">
        <w:t>forecast corporate income tax allowance of $57.2</w:t>
      </w:r>
      <w:r w:rsidR="00941751" w:rsidRPr="00FD50DB">
        <w:t xml:space="preserve"> million ($</w:t>
      </w:r>
      <w:r w:rsidR="007A7ADD">
        <w:t> </w:t>
      </w:r>
      <w:r w:rsidR="00941751" w:rsidRPr="00FD50DB">
        <w:t>nominal)</w:t>
      </w:r>
      <w:r w:rsidR="00941751">
        <w:t xml:space="preserve">. </w:t>
      </w:r>
    </w:p>
    <w:p w:rsidR="00BA3133" w:rsidRDefault="00941751" w:rsidP="00C2279E">
      <w:r>
        <w:t>Our draft decision</w:t>
      </w:r>
      <w:r w:rsidRPr="00FD50DB">
        <w:t xml:space="preserve"> </w:t>
      </w:r>
      <w:r w:rsidR="00C2279E">
        <w:t xml:space="preserve">reflects amendments </w:t>
      </w:r>
      <w:r w:rsidR="00C2279E" w:rsidRPr="00FD50DB">
        <w:t xml:space="preserve">to </w:t>
      </w:r>
      <w:r w:rsidR="00C2279E">
        <w:t>AGN's</w:t>
      </w:r>
      <w:r w:rsidR="00C2279E" w:rsidRPr="00FD50DB">
        <w:t xml:space="preserve"> </w:t>
      </w:r>
      <w:r w:rsidR="00C2279E">
        <w:t>proposed inputs for forecasting the cost of corporate income tax</w:t>
      </w:r>
      <w:r w:rsidR="00CD3D9F">
        <w:t xml:space="preserve"> discussed below</w:t>
      </w:r>
      <w:r w:rsidR="00044CA3">
        <w:t>,</w:t>
      </w:r>
      <w:r w:rsidR="00C2279E">
        <w:t xml:space="preserve"> including</w:t>
      </w:r>
      <w:r w:rsidR="00BA3133">
        <w:t>:</w:t>
      </w:r>
      <w:r w:rsidR="00C2279E">
        <w:t xml:space="preserve"> </w:t>
      </w:r>
    </w:p>
    <w:p w:rsidR="00BA3133" w:rsidRDefault="00C2279E" w:rsidP="003F4AAC">
      <w:pPr>
        <w:pStyle w:val="AERbulletlistfirststyle"/>
      </w:pPr>
      <w:r>
        <w:t xml:space="preserve">the opening </w:t>
      </w:r>
      <w:r w:rsidR="0016309E">
        <w:t>tax asset base (</w:t>
      </w:r>
      <w:r>
        <w:t>TAB</w:t>
      </w:r>
      <w:r w:rsidR="0016309E">
        <w:t>)</w:t>
      </w:r>
      <w:r>
        <w:t xml:space="preserve"> (section </w:t>
      </w:r>
      <w:r>
        <w:fldChar w:fldCharType="begin"/>
      </w:r>
      <w:r>
        <w:instrText xml:space="preserve"> REF _Ref477521555 \r \h </w:instrText>
      </w:r>
      <w:r w:rsidR="00BA3133">
        <w:instrText xml:space="preserve"> \* MERGEFORMAT </w:instrText>
      </w:r>
      <w:r>
        <w:fldChar w:fldCharType="separate"/>
      </w:r>
      <w:r w:rsidR="00A42928">
        <w:t>8.4.2</w:t>
      </w:r>
      <w:r>
        <w:fldChar w:fldCharType="end"/>
      </w:r>
      <w:r>
        <w:t>)</w:t>
      </w:r>
      <w:r w:rsidR="00277B82">
        <w:t xml:space="preserve"> </w:t>
      </w:r>
    </w:p>
    <w:p w:rsidR="00BA3133" w:rsidRDefault="00BA3133" w:rsidP="003F4AAC">
      <w:pPr>
        <w:pStyle w:val="AERbulletlistfirststyle"/>
      </w:pPr>
      <w:r>
        <w:t xml:space="preserve">a standard tax asset life (section </w:t>
      </w:r>
      <w:r>
        <w:fldChar w:fldCharType="begin"/>
      </w:r>
      <w:r>
        <w:instrText xml:space="preserve"> REF _Ref477521602 \r \h </w:instrText>
      </w:r>
      <w:r>
        <w:fldChar w:fldCharType="separate"/>
      </w:r>
      <w:r w:rsidR="00A42928">
        <w:t>8.4.3</w:t>
      </w:r>
      <w:r>
        <w:fldChar w:fldCharType="end"/>
      </w:r>
      <w:r>
        <w:t>)</w:t>
      </w:r>
    </w:p>
    <w:p w:rsidR="00BA3133" w:rsidRDefault="00C2279E" w:rsidP="002A34F6">
      <w:pPr>
        <w:pStyle w:val="AERbulletlistfirststyle"/>
        <w:rPr>
          <w:rStyle w:val="AERbody"/>
        </w:rPr>
      </w:pPr>
      <w:proofErr w:type="gramStart"/>
      <w:r>
        <w:t>remaining</w:t>
      </w:r>
      <w:proofErr w:type="gramEnd"/>
      <w:r>
        <w:t xml:space="preserve"> tax asset lives (section </w:t>
      </w:r>
      <w:r w:rsidR="002A34F6">
        <w:fldChar w:fldCharType="begin"/>
      </w:r>
      <w:r w:rsidR="002A34F6">
        <w:instrText xml:space="preserve"> REF _Ref482026928 \r \h </w:instrText>
      </w:r>
      <w:r w:rsidR="002A34F6">
        <w:fldChar w:fldCharType="separate"/>
      </w:r>
      <w:r w:rsidR="00A42928">
        <w:t>8.4.4</w:t>
      </w:r>
      <w:r w:rsidR="002A34F6">
        <w:fldChar w:fldCharType="end"/>
      </w:r>
      <w:r>
        <w:t>)</w:t>
      </w:r>
      <w:r>
        <w:rPr>
          <w:rStyle w:val="AERbody"/>
        </w:rPr>
        <w:t xml:space="preserve">. </w:t>
      </w:r>
    </w:p>
    <w:p w:rsidR="00C2279E" w:rsidRDefault="00C2279E" w:rsidP="00C2279E">
      <w:pPr>
        <w:rPr>
          <w:rStyle w:val="AERbody"/>
        </w:rPr>
      </w:pPr>
      <w:r>
        <w:rPr>
          <w:rStyle w:val="AERbody"/>
        </w:rPr>
        <w:t>Our adjustments to the rate of return on capital (attachments 2, 3 and 6)</w:t>
      </w:r>
      <w:r>
        <w:rPr>
          <w:rStyle w:val="FootnoteReference"/>
        </w:rPr>
        <w:footnoteReference w:id="3"/>
      </w:r>
      <w:r>
        <w:rPr>
          <w:rStyle w:val="AERbody"/>
        </w:rPr>
        <w:t xml:space="preserve">, return of capital (attachment 5) and forecast opex (attachment 7) </w:t>
      </w:r>
      <w:r w:rsidR="00044CA3">
        <w:rPr>
          <w:rStyle w:val="AERbody"/>
        </w:rPr>
        <w:t xml:space="preserve">building block costs </w:t>
      </w:r>
      <w:r>
        <w:rPr>
          <w:rStyle w:val="AERbody"/>
        </w:rPr>
        <w:t>also affect revenues, which in turn impact the tax calculation</w:t>
      </w:r>
      <w:r w:rsidRPr="00F17F59">
        <w:rPr>
          <w:rStyle w:val="AERbody"/>
        </w:rPr>
        <w:t>.</w:t>
      </w:r>
      <w:r>
        <w:rPr>
          <w:rStyle w:val="FootnoteReference"/>
        </w:rPr>
        <w:footnoteReference w:id="4"/>
      </w:r>
    </w:p>
    <w:p w:rsidR="00C2279E" w:rsidRDefault="00C2279E" w:rsidP="00C2279E">
      <w:pPr>
        <w:rPr>
          <w:rStyle w:val="AERbody"/>
        </w:rPr>
      </w:pPr>
      <w:r>
        <w:rPr>
          <w:rStyle w:val="AERbody"/>
        </w:rPr>
        <w:t>In assessing AGN</w:t>
      </w:r>
      <w:r w:rsidR="005942B1">
        <w:rPr>
          <w:rStyle w:val="AERbody"/>
        </w:rPr>
        <w:t>'s</w:t>
      </w:r>
      <w:r>
        <w:rPr>
          <w:rStyle w:val="AERbody"/>
        </w:rPr>
        <w:t xml:space="preserve"> proposal, we have had regard to the requirement</w:t>
      </w:r>
      <w:r w:rsidR="005F3B44">
        <w:rPr>
          <w:rStyle w:val="AERbody"/>
        </w:rPr>
        <w:t>s</w:t>
      </w:r>
      <w:r>
        <w:rPr>
          <w:rStyle w:val="AERbody"/>
        </w:rPr>
        <w:t xml:space="preserve"> of the NGO </w:t>
      </w:r>
      <w:r>
        <w:t>and the revenue and pricing principles.</w:t>
      </w:r>
      <w:r>
        <w:rPr>
          <w:rStyle w:val="FootnoteReference"/>
        </w:rPr>
        <w:footnoteReference w:id="5"/>
      </w:r>
      <w:r>
        <w:t xml:space="preserve"> </w:t>
      </w:r>
      <w:r>
        <w:fldChar w:fldCharType="begin"/>
      </w:r>
      <w:r>
        <w:instrText xml:space="preserve"> REF _Ref477520791 \h </w:instrText>
      </w:r>
      <w:r>
        <w:fldChar w:fldCharType="separate"/>
      </w:r>
      <w:r w:rsidR="00A42928">
        <w:t xml:space="preserve">Table </w:t>
      </w:r>
      <w:r w:rsidR="00A42928">
        <w:rPr>
          <w:noProof/>
        </w:rPr>
        <w:t>8</w:t>
      </w:r>
      <w:r w:rsidR="00A42928">
        <w:t>.</w:t>
      </w:r>
      <w:r w:rsidR="00A42928">
        <w:rPr>
          <w:noProof/>
        </w:rPr>
        <w:t>1</w:t>
      </w:r>
      <w:r>
        <w:fldChar w:fldCharType="end"/>
      </w:r>
      <w:r>
        <w:t xml:space="preserve"> </w:t>
      </w:r>
      <w:r w:rsidRPr="001D04F8">
        <w:rPr>
          <w:rStyle w:val="AERbody"/>
        </w:rPr>
        <w:t xml:space="preserve">sets out our </w:t>
      </w:r>
      <w:r>
        <w:rPr>
          <w:rStyle w:val="AERbody"/>
        </w:rPr>
        <w:t>draft</w:t>
      </w:r>
      <w:r w:rsidRPr="001D04F8">
        <w:rPr>
          <w:rStyle w:val="AERbody"/>
        </w:rPr>
        <w:t xml:space="preserve"> decision on the estimated cost of corporate income tax allowance for </w:t>
      </w:r>
      <w:r>
        <w:rPr>
          <w:rStyle w:val="AERbody"/>
        </w:rPr>
        <w:t>AGN</w:t>
      </w:r>
      <w:r w:rsidR="00325845">
        <w:rPr>
          <w:rStyle w:val="AERbody"/>
        </w:rPr>
        <w:t xml:space="preserve"> over the 2018–22 access arrangement period</w:t>
      </w:r>
      <w:r w:rsidRPr="001D04F8">
        <w:rPr>
          <w:rStyle w:val="AERbody"/>
        </w:rPr>
        <w:t>.</w:t>
      </w:r>
    </w:p>
    <w:p w:rsidR="00C2279E" w:rsidRDefault="00C2279E" w:rsidP="001E2481">
      <w:pPr>
        <w:pStyle w:val="Caption"/>
      </w:pPr>
      <w:bookmarkStart w:id="73" w:name="_Ref477520791"/>
      <w:bookmarkStart w:id="74" w:name="_GoBack"/>
      <w:bookmarkEnd w:id="74"/>
      <w:proofErr w:type="gramStart"/>
      <w:r>
        <w:t xml:space="preserve">Table </w:t>
      </w:r>
      <w:proofErr w:type="gramEnd"/>
      <w:r w:rsidRPr="00C2279E">
        <w:fldChar w:fldCharType="begin"/>
      </w:r>
      <w:r>
        <w:instrText xml:space="preserve"> STYLEREF 1 \s </w:instrText>
      </w:r>
      <w:r w:rsidRPr="00C2279E">
        <w:fldChar w:fldCharType="separate"/>
      </w:r>
      <w:r w:rsidR="00A42928">
        <w:rPr>
          <w:noProof/>
        </w:rPr>
        <w:t>8</w:t>
      </w:r>
      <w:r w:rsidRPr="00C2279E">
        <w:fldChar w:fldCharType="end"/>
      </w:r>
      <w:proofErr w:type="gramStart"/>
      <w:r>
        <w:t>.</w:t>
      </w:r>
      <w:proofErr w:type="gramEnd"/>
      <w:r w:rsidRPr="00C2279E">
        <w:fldChar w:fldCharType="begin"/>
      </w:r>
      <w:r>
        <w:instrText xml:space="preserve"> SEQ Table \* ARABIC \s 1 </w:instrText>
      </w:r>
      <w:r w:rsidRPr="00C2279E">
        <w:fldChar w:fldCharType="separate"/>
      </w:r>
      <w:r w:rsidR="00A42928">
        <w:rPr>
          <w:noProof/>
        </w:rPr>
        <w:t>1</w:t>
      </w:r>
      <w:r w:rsidRPr="00C2279E">
        <w:fldChar w:fldCharType="end"/>
      </w:r>
      <w:bookmarkEnd w:id="73"/>
      <w:r>
        <w:tab/>
        <w:t>AER's draft decision on corporate income tax allowance for AGN ($million, nominal)</w:t>
      </w:r>
      <w:r w:rsidR="00325845">
        <w:t xml:space="preserve"> over the 2018–22 access arrangement period</w:t>
      </w:r>
    </w:p>
    <w:tbl>
      <w:tblPr>
        <w:tblStyle w:val="AERtable-numbers"/>
        <w:tblW w:w="8688" w:type="dxa"/>
        <w:tblLayout w:type="fixed"/>
        <w:tblLook w:val="01E0" w:firstRow="1" w:lastRow="1" w:firstColumn="1" w:lastColumn="1" w:noHBand="0" w:noVBand="0"/>
      </w:tblPr>
      <w:tblGrid>
        <w:gridCol w:w="3085"/>
        <w:gridCol w:w="933"/>
        <w:gridCol w:w="934"/>
        <w:gridCol w:w="934"/>
        <w:gridCol w:w="934"/>
        <w:gridCol w:w="934"/>
        <w:gridCol w:w="934"/>
      </w:tblGrid>
      <w:tr w:rsidR="00C2279E" w:rsidRPr="00AB7791" w:rsidTr="00EF1EB0">
        <w:trPr>
          <w:cnfStyle w:val="100000000000" w:firstRow="1" w:lastRow="0" w:firstColumn="0" w:lastColumn="0" w:oddVBand="0" w:evenVBand="0" w:oddHBand="0" w:evenHBand="0" w:firstRowFirstColumn="0" w:firstRowLastColumn="0" w:lastRowFirstColumn="0" w:lastRowLastColumn="0"/>
          <w:trHeight w:val="329"/>
        </w:trPr>
        <w:tc>
          <w:tcPr>
            <w:cnfStyle w:val="001000000000" w:firstRow="0" w:lastRow="0" w:firstColumn="1" w:lastColumn="0" w:oddVBand="0" w:evenVBand="0" w:oddHBand="0" w:evenHBand="0" w:firstRowFirstColumn="0" w:firstRowLastColumn="0" w:lastRowFirstColumn="0" w:lastRowLastColumn="0"/>
            <w:tcW w:w="3085" w:type="dxa"/>
          </w:tcPr>
          <w:p w:rsidR="00C2279E" w:rsidRPr="00522E09" w:rsidRDefault="00C2279E" w:rsidP="001E2481">
            <w:pPr>
              <w:keepNext/>
            </w:pPr>
          </w:p>
        </w:tc>
        <w:tc>
          <w:tcPr>
            <w:tcW w:w="933" w:type="dxa"/>
          </w:tcPr>
          <w:p w:rsidR="00C2279E" w:rsidRPr="00522E09" w:rsidRDefault="00C2279E" w:rsidP="001E2481">
            <w:pPr>
              <w:keepNext/>
              <w:cnfStyle w:val="100000000000" w:firstRow="1" w:lastRow="0" w:firstColumn="0" w:lastColumn="0" w:oddVBand="0" w:evenVBand="0" w:oddHBand="0" w:evenHBand="0" w:firstRowFirstColumn="0" w:firstRowLastColumn="0" w:lastRowFirstColumn="0" w:lastRowLastColumn="0"/>
            </w:pPr>
            <w:r w:rsidRPr="00522E09">
              <w:t>2018</w:t>
            </w:r>
          </w:p>
        </w:tc>
        <w:tc>
          <w:tcPr>
            <w:tcW w:w="934" w:type="dxa"/>
          </w:tcPr>
          <w:p w:rsidR="00C2279E" w:rsidRPr="00C2279E" w:rsidRDefault="00C2279E" w:rsidP="001E2481">
            <w:pPr>
              <w:keepNext/>
              <w:cnfStyle w:val="100000000000" w:firstRow="1" w:lastRow="0" w:firstColumn="0" w:lastColumn="0" w:oddVBand="0" w:evenVBand="0" w:oddHBand="0" w:evenHBand="0" w:firstRowFirstColumn="0" w:firstRowLastColumn="0" w:lastRowFirstColumn="0" w:lastRowLastColumn="0"/>
            </w:pPr>
            <w:r w:rsidRPr="001816AF">
              <w:t>2019</w:t>
            </w:r>
          </w:p>
        </w:tc>
        <w:tc>
          <w:tcPr>
            <w:tcW w:w="934" w:type="dxa"/>
          </w:tcPr>
          <w:p w:rsidR="00C2279E" w:rsidRPr="00C2279E" w:rsidRDefault="00C2279E" w:rsidP="001E2481">
            <w:pPr>
              <w:keepNext/>
              <w:cnfStyle w:val="100000000000" w:firstRow="1" w:lastRow="0" w:firstColumn="0" w:lastColumn="0" w:oddVBand="0" w:evenVBand="0" w:oddHBand="0" w:evenHBand="0" w:firstRowFirstColumn="0" w:firstRowLastColumn="0" w:lastRowFirstColumn="0" w:lastRowLastColumn="0"/>
            </w:pPr>
            <w:r w:rsidRPr="008116C9">
              <w:t>2020</w:t>
            </w:r>
          </w:p>
        </w:tc>
        <w:tc>
          <w:tcPr>
            <w:tcW w:w="934" w:type="dxa"/>
          </w:tcPr>
          <w:p w:rsidR="00C2279E" w:rsidRPr="00C2279E" w:rsidRDefault="00C2279E" w:rsidP="001E2481">
            <w:pPr>
              <w:keepNext/>
              <w:cnfStyle w:val="100000000000" w:firstRow="1" w:lastRow="0" w:firstColumn="0" w:lastColumn="0" w:oddVBand="0" w:evenVBand="0" w:oddHBand="0" w:evenHBand="0" w:firstRowFirstColumn="0" w:firstRowLastColumn="0" w:lastRowFirstColumn="0" w:lastRowLastColumn="0"/>
            </w:pPr>
            <w:r w:rsidRPr="00F65298">
              <w:t>2021</w:t>
            </w:r>
          </w:p>
        </w:tc>
        <w:tc>
          <w:tcPr>
            <w:tcW w:w="934" w:type="dxa"/>
          </w:tcPr>
          <w:p w:rsidR="00C2279E" w:rsidRPr="00C2279E" w:rsidRDefault="00C2279E" w:rsidP="001E2481">
            <w:pPr>
              <w:keepNext/>
              <w:cnfStyle w:val="100000000000" w:firstRow="1" w:lastRow="0" w:firstColumn="0" w:lastColumn="0" w:oddVBand="0" w:evenVBand="0" w:oddHBand="0" w:evenHBand="0" w:firstRowFirstColumn="0" w:firstRowLastColumn="0" w:lastRowFirstColumn="0" w:lastRowLastColumn="0"/>
            </w:pPr>
            <w:r w:rsidRPr="00F65298">
              <w:t>2022</w:t>
            </w:r>
          </w:p>
        </w:tc>
        <w:tc>
          <w:tcPr>
            <w:tcW w:w="934" w:type="dxa"/>
          </w:tcPr>
          <w:p w:rsidR="00C2279E" w:rsidRPr="00C2279E" w:rsidRDefault="00C2279E" w:rsidP="001E2481">
            <w:pPr>
              <w:keepNext/>
              <w:cnfStyle w:val="100000000000" w:firstRow="1" w:lastRow="0" w:firstColumn="0" w:lastColumn="0" w:oddVBand="0" w:evenVBand="0" w:oddHBand="0" w:evenHBand="0" w:firstRowFirstColumn="0" w:firstRowLastColumn="0" w:lastRowFirstColumn="0" w:lastRowLastColumn="0"/>
            </w:pPr>
            <w:r w:rsidRPr="00F65298">
              <w:t>Total</w:t>
            </w:r>
          </w:p>
        </w:tc>
      </w:tr>
      <w:tr w:rsidR="007A7ADD" w:rsidRPr="00AB7791" w:rsidTr="00EF1EB0">
        <w:trPr>
          <w:trHeight w:val="278"/>
        </w:trPr>
        <w:tc>
          <w:tcPr>
            <w:cnfStyle w:val="001000000000" w:firstRow="0" w:lastRow="0" w:firstColumn="1" w:lastColumn="0" w:oddVBand="0" w:evenVBand="0" w:oddHBand="0" w:evenHBand="0" w:firstRowFirstColumn="0" w:firstRowLastColumn="0" w:lastRowFirstColumn="0" w:lastRowLastColumn="0"/>
            <w:tcW w:w="3085" w:type="dxa"/>
          </w:tcPr>
          <w:p w:rsidR="007A7ADD" w:rsidRPr="007A7ADD" w:rsidRDefault="007A7ADD" w:rsidP="007A7ADD">
            <w:r w:rsidRPr="007A7ADD">
              <w:t>Tax payable</w:t>
            </w:r>
          </w:p>
        </w:tc>
        <w:tc>
          <w:tcPr>
            <w:tcW w:w="933" w:type="dxa"/>
            <w:vAlign w:val="bottom"/>
          </w:tcPr>
          <w:p w:rsidR="007A7ADD" w:rsidRPr="007A7ADD" w:rsidRDefault="007A7ADD" w:rsidP="007A7ADD">
            <w:pPr>
              <w:cnfStyle w:val="000000000000" w:firstRow="0" w:lastRow="0" w:firstColumn="0" w:lastColumn="0" w:oddVBand="0" w:evenVBand="0" w:oddHBand="0" w:evenHBand="0" w:firstRowFirstColumn="0" w:firstRowLastColumn="0" w:lastRowFirstColumn="0" w:lastRowLastColumn="0"/>
            </w:pPr>
            <w:r w:rsidRPr="007A7ADD">
              <w:t>21.2</w:t>
            </w:r>
          </w:p>
        </w:tc>
        <w:tc>
          <w:tcPr>
            <w:tcW w:w="934" w:type="dxa"/>
            <w:vAlign w:val="bottom"/>
          </w:tcPr>
          <w:p w:rsidR="007A7ADD" w:rsidRPr="007A7ADD" w:rsidRDefault="007A7ADD" w:rsidP="007A7ADD">
            <w:pPr>
              <w:cnfStyle w:val="000000000000" w:firstRow="0" w:lastRow="0" w:firstColumn="0" w:lastColumn="0" w:oddVBand="0" w:evenVBand="0" w:oddHBand="0" w:evenHBand="0" w:firstRowFirstColumn="0" w:firstRowLastColumn="0" w:lastRowFirstColumn="0" w:lastRowLastColumn="0"/>
            </w:pPr>
            <w:r w:rsidRPr="007A7ADD">
              <w:t>21.7</w:t>
            </w:r>
          </w:p>
        </w:tc>
        <w:tc>
          <w:tcPr>
            <w:tcW w:w="934" w:type="dxa"/>
            <w:vAlign w:val="bottom"/>
          </w:tcPr>
          <w:p w:rsidR="007A7ADD" w:rsidRPr="007A7ADD" w:rsidRDefault="007A7ADD" w:rsidP="007A7ADD">
            <w:pPr>
              <w:cnfStyle w:val="000000000000" w:firstRow="0" w:lastRow="0" w:firstColumn="0" w:lastColumn="0" w:oddVBand="0" w:evenVBand="0" w:oddHBand="0" w:evenHBand="0" w:firstRowFirstColumn="0" w:firstRowLastColumn="0" w:lastRowFirstColumn="0" w:lastRowLastColumn="0"/>
            </w:pPr>
            <w:r w:rsidRPr="007A7ADD">
              <w:t>22.1</w:t>
            </w:r>
          </w:p>
        </w:tc>
        <w:tc>
          <w:tcPr>
            <w:tcW w:w="934" w:type="dxa"/>
            <w:vAlign w:val="bottom"/>
          </w:tcPr>
          <w:p w:rsidR="007A7ADD" w:rsidRPr="007A7ADD" w:rsidRDefault="007A7ADD" w:rsidP="007A7ADD">
            <w:pPr>
              <w:cnfStyle w:val="000000000000" w:firstRow="0" w:lastRow="0" w:firstColumn="0" w:lastColumn="0" w:oddVBand="0" w:evenVBand="0" w:oddHBand="0" w:evenHBand="0" w:firstRowFirstColumn="0" w:firstRowLastColumn="0" w:lastRowFirstColumn="0" w:lastRowLastColumn="0"/>
            </w:pPr>
            <w:r w:rsidRPr="007A7ADD">
              <w:t>16.7</w:t>
            </w:r>
          </w:p>
        </w:tc>
        <w:tc>
          <w:tcPr>
            <w:tcW w:w="934" w:type="dxa"/>
            <w:vAlign w:val="bottom"/>
          </w:tcPr>
          <w:p w:rsidR="007A7ADD" w:rsidRPr="007A7ADD" w:rsidRDefault="007A7ADD" w:rsidP="007A7ADD">
            <w:pPr>
              <w:cnfStyle w:val="000000000000" w:firstRow="0" w:lastRow="0" w:firstColumn="0" w:lastColumn="0" w:oddVBand="0" w:evenVBand="0" w:oddHBand="0" w:evenHBand="0" w:firstRowFirstColumn="0" w:firstRowLastColumn="0" w:lastRowFirstColumn="0" w:lastRowLastColumn="0"/>
            </w:pPr>
            <w:r w:rsidRPr="007A7ADD">
              <w:t>18.1</w:t>
            </w:r>
          </w:p>
        </w:tc>
        <w:tc>
          <w:tcPr>
            <w:tcW w:w="934" w:type="dxa"/>
            <w:vAlign w:val="bottom"/>
          </w:tcPr>
          <w:p w:rsidR="007A7ADD" w:rsidRPr="007A7ADD" w:rsidRDefault="007A7ADD" w:rsidP="007A7ADD">
            <w:pPr>
              <w:cnfStyle w:val="000000000000" w:firstRow="0" w:lastRow="0" w:firstColumn="0" w:lastColumn="0" w:oddVBand="0" w:evenVBand="0" w:oddHBand="0" w:evenHBand="0" w:firstRowFirstColumn="0" w:firstRowLastColumn="0" w:lastRowFirstColumn="0" w:lastRowLastColumn="0"/>
            </w:pPr>
            <w:r w:rsidRPr="007A7ADD">
              <w:t>99.8</w:t>
            </w:r>
          </w:p>
        </w:tc>
      </w:tr>
      <w:tr w:rsidR="007A7ADD" w:rsidRPr="00AB7791" w:rsidTr="00EF1EB0">
        <w:trPr>
          <w:cnfStyle w:val="000000010000" w:firstRow="0" w:lastRow="0" w:firstColumn="0" w:lastColumn="0" w:oddVBand="0" w:evenVBand="0" w:oddHBand="0" w:evenHBand="1"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3085" w:type="dxa"/>
          </w:tcPr>
          <w:p w:rsidR="007A7ADD" w:rsidRPr="007A7ADD" w:rsidRDefault="007A7ADD" w:rsidP="007A7ADD">
            <w:r w:rsidRPr="007A7ADD">
              <w:rPr>
                <w:rStyle w:val="AERtextitalic"/>
              </w:rPr>
              <w:t>Less</w:t>
            </w:r>
            <w:r w:rsidRPr="007A7ADD">
              <w:t>: value of imputation credits</w:t>
            </w:r>
          </w:p>
        </w:tc>
        <w:tc>
          <w:tcPr>
            <w:tcW w:w="933" w:type="dxa"/>
            <w:vAlign w:val="bottom"/>
          </w:tcPr>
          <w:p w:rsidR="007A7ADD" w:rsidRPr="007A7ADD" w:rsidRDefault="007A7ADD" w:rsidP="007A7ADD">
            <w:pPr>
              <w:cnfStyle w:val="000000010000" w:firstRow="0" w:lastRow="0" w:firstColumn="0" w:lastColumn="0" w:oddVBand="0" w:evenVBand="0" w:oddHBand="0" w:evenHBand="1" w:firstRowFirstColumn="0" w:firstRowLastColumn="0" w:lastRowFirstColumn="0" w:lastRowLastColumn="0"/>
            </w:pPr>
            <w:r w:rsidRPr="007A7ADD">
              <w:t>8.5</w:t>
            </w:r>
          </w:p>
        </w:tc>
        <w:tc>
          <w:tcPr>
            <w:tcW w:w="934" w:type="dxa"/>
            <w:vAlign w:val="bottom"/>
          </w:tcPr>
          <w:p w:rsidR="007A7ADD" w:rsidRPr="007A7ADD" w:rsidRDefault="007A7ADD" w:rsidP="007A7ADD">
            <w:pPr>
              <w:cnfStyle w:val="000000010000" w:firstRow="0" w:lastRow="0" w:firstColumn="0" w:lastColumn="0" w:oddVBand="0" w:evenVBand="0" w:oddHBand="0" w:evenHBand="1" w:firstRowFirstColumn="0" w:firstRowLastColumn="0" w:lastRowFirstColumn="0" w:lastRowLastColumn="0"/>
            </w:pPr>
            <w:r w:rsidRPr="007A7ADD">
              <w:t>8.7</w:t>
            </w:r>
          </w:p>
        </w:tc>
        <w:tc>
          <w:tcPr>
            <w:tcW w:w="934" w:type="dxa"/>
            <w:vAlign w:val="bottom"/>
          </w:tcPr>
          <w:p w:rsidR="007A7ADD" w:rsidRPr="007A7ADD" w:rsidRDefault="007A7ADD" w:rsidP="007A7ADD">
            <w:pPr>
              <w:cnfStyle w:val="000000010000" w:firstRow="0" w:lastRow="0" w:firstColumn="0" w:lastColumn="0" w:oddVBand="0" w:evenVBand="0" w:oddHBand="0" w:evenHBand="1" w:firstRowFirstColumn="0" w:firstRowLastColumn="0" w:lastRowFirstColumn="0" w:lastRowLastColumn="0"/>
            </w:pPr>
            <w:r w:rsidRPr="007A7ADD">
              <w:t>8.9</w:t>
            </w:r>
          </w:p>
        </w:tc>
        <w:tc>
          <w:tcPr>
            <w:tcW w:w="934" w:type="dxa"/>
            <w:vAlign w:val="bottom"/>
          </w:tcPr>
          <w:p w:rsidR="007A7ADD" w:rsidRPr="007A7ADD" w:rsidRDefault="007A7ADD" w:rsidP="007A7ADD">
            <w:pPr>
              <w:cnfStyle w:val="000000010000" w:firstRow="0" w:lastRow="0" w:firstColumn="0" w:lastColumn="0" w:oddVBand="0" w:evenVBand="0" w:oddHBand="0" w:evenHBand="1" w:firstRowFirstColumn="0" w:firstRowLastColumn="0" w:lastRowFirstColumn="0" w:lastRowLastColumn="0"/>
            </w:pPr>
            <w:r w:rsidRPr="007A7ADD">
              <w:t>6.7</w:t>
            </w:r>
          </w:p>
        </w:tc>
        <w:tc>
          <w:tcPr>
            <w:tcW w:w="934" w:type="dxa"/>
            <w:vAlign w:val="bottom"/>
          </w:tcPr>
          <w:p w:rsidR="007A7ADD" w:rsidRPr="007A7ADD" w:rsidRDefault="007A7ADD" w:rsidP="007A7ADD">
            <w:pPr>
              <w:cnfStyle w:val="000000010000" w:firstRow="0" w:lastRow="0" w:firstColumn="0" w:lastColumn="0" w:oddVBand="0" w:evenVBand="0" w:oddHBand="0" w:evenHBand="1" w:firstRowFirstColumn="0" w:firstRowLastColumn="0" w:lastRowFirstColumn="0" w:lastRowLastColumn="0"/>
            </w:pPr>
            <w:r w:rsidRPr="007A7ADD">
              <w:t>7.2</w:t>
            </w:r>
          </w:p>
        </w:tc>
        <w:tc>
          <w:tcPr>
            <w:tcW w:w="934" w:type="dxa"/>
            <w:vAlign w:val="bottom"/>
          </w:tcPr>
          <w:p w:rsidR="007A7ADD" w:rsidRPr="007A7ADD" w:rsidRDefault="007A7ADD" w:rsidP="007A7ADD">
            <w:pPr>
              <w:cnfStyle w:val="000000010000" w:firstRow="0" w:lastRow="0" w:firstColumn="0" w:lastColumn="0" w:oddVBand="0" w:evenVBand="0" w:oddHBand="0" w:evenHBand="1" w:firstRowFirstColumn="0" w:firstRowLastColumn="0" w:lastRowFirstColumn="0" w:lastRowLastColumn="0"/>
            </w:pPr>
            <w:r w:rsidRPr="007A7ADD">
              <w:t>39.9</w:t>
            </w:r>
          </w:p>
        </w:tc>
      </w:tr>
      <w:tr w:rsidR="007A7ADD" w:rsidRPr="007A7ADD" w:rsidTr="00EF1EB0">
        <w:trPr>
          <w:trHeight w:val="467"/>
        </w:trPr>
        <w:tc>
          <w:tcPr>
            <w:cnfStyle w:val="001000000000" w:firstRow="0" w:lastRow="0" w:firstColumn="1" w:lastColumn="0" w:oddVBand="0" w:evenVBand="0" w:oddHBand="0" w:evenHBand="0" w:firstRowFirstColumn="0" w:firstRowLastColumn="0" w:lastRowFirstColumn="0" w:lastRowLastColumn="0"/>
            <w:tcW w:w="3085" w:type="dxa"/>
          </w:tcPr>
          <w:p w:rsidR="007A7ADD" w:rsidRPr="007A7ADD" w:rsidRDefault="007A7ADD" w:rsidP="007A7ADD">
            <w:pPr>
              <w:rPr>
                <w:rStyle w:val="Strong"/>
              </w:rPr>
            </w:pPr>
            <w:r w:rsidRPr="007A7ADD">
              <w:rPr>
                <w:rStyle w:val="Strong"/>
              </w:rPr>
              <w:t>Net corporate income tax allowance</w:t>
            </w:r>
          </w:p>
        </w:tc>
        <w:tc>
          <w:tcPr>
            <w:tcW w:w="933" w:type="dxa"/>
            <w:vAlign w:val="bottom"/>
          </w:tcPr>
          <w:p w:rsidR="007A7ADD" w:rsidRPr="007A7ADD" w:rsidRDefault="007A7ADD" w:rsidP="007A7ADD">
            <w:pPr>
              <w:cnfStyle w:val="000000000000" w:firstRow="0" w:lastRow="0" w:firstColumn="0" w:lastColumn="0" w:oddVBand="0" w:evenVBand="0" w:oddHBand="0" w:evenHBand="0" w:firstRowFirstColumn="0" w:firstRowLastColumn="0" w:lastRowFirstColumn="0" w:lastRowLastColumn="0"/>
              <w:rPr>
                <w:rStyle w:val="Strong"/>
              </w:rPr>
            </w:pPr>
            <w:r w:rsidRPr="007A7ADD">
              <w:rPr>
                <w:rStyle w:val="Strong"/>
              </w:rPr>
              <w:t>12.7</w:t>
            </w:r>
          </w:p>
        </w:tc>
        <w:tc>
          <w:tcPr>
            <w:tcW w:w="934" w:type="dxa"/>
            <w:vAlign w:val="bottom"/>
          </w:tcPr>
          <w:p w:rsidR="007A7ADD" w:rsidRPr="007A7ADD" w:rsidRDefault="007A7ADD" w:rsidP="007A7ADD">
            <w:pPr>
              <w:cnfStyle w:val="000000000000" w:firstRow="0" w:lastRow="0" w:firstColumn="0" w:lastColumn="0" w:oddVBand="0" w:evenVBand="0" w:oddHBand="0" w:evenHBand="0" w:firstRowFirstColumn="0" w:firstRowLastColumn="0" w:lastRowFirstColumn="0" w:lastRowLastColumn="0"/>
              <w:rPr>
                <w:rStyle w:val="Strong"/>
              </w:rPr>
            </w:pPr>
            <w:r w:rsidRPr="007A7ADD">
              <w:rPr>
                <w:rStyle w:val="Strong"/>
              </w:rPr>
              <w:t>13.0</w:t>
            </w:r>
          </w:p>
        </w:tc>
        <w:tc>
          <w:tcPr>
            <w:tcW w:w="934" w:type="dxa"/>
            <w:vAlign w:val="bottom"/>
          </w:tcPr>
          <w:p w:rsidR="007A7ADD" w:rsidRPr="007A7ADD" w:rsidRDefault="007A7ADD" w:rsidP="007A7ADD">
            <w:pPr>
              <w:cnfStyle w:val="000000000000" w:firstRow="0" w:lastRow="0" w:firstColumn="0" w:lastColumn="0" w:oddVBand="0" w:evenVBand="0" w:oddHBand="0" w:evenHBand="0" w:firstRowFirstColumn="0" w:firstRowLastColumn="0" w:lastRowFirstColumn="0" w:lastRowLastColumn="0"/>
              <w:rPr>
                <w:rStyle w:val="Strong"/>
              </w:rPr>
            </w:pPr>
            <w:r w:rsidRPr="007A7ADD">
              <w:rPr>
                <w:rStyle w:val="Strong"/>
              </w:rPr>
              <w:t>13.3</w:t>
            </w:r>
          </w:p>
        </w:tc>
        <w:tc>
          <w:tcPr>
            <w:tcW w:w="934" w:type="dxa"/>
            <w:vAlign w:val="bottom"/>
          </w:tcPr>
          <w:p w:rsidR="007A7ADD" w:rsidRPr="007A7ADD" w:rsidRDefault="007A7ADD" w:rsidP="007A7ADD">
            <w:pPr>
              <w:cnfStyle w:val="000000000000" w:firstRow="0" w:lastRow="0" w:firstColumn="0" w:lastColumn="0" w:oddVBand="0" w:evenVBand="0" w:oddHBand="0" w:evenHBand="0" w:firstRowFirstColumn="0" w:firstRowLastColumn="0" w:lastRowFirstColumn="0" w:lastRowLastColumn="0"/>
              <w:rPr>
                <w:rStyle w:val="Strong"/>
              </w:rPr>
            </w:pPr>
            <w:r w:rsidRPr="007A7ADD">
              <w:rPr>
                <w:rStyle w:val="Strong"/>
              </w:rPr>
              <w:t>10.0</w:t>
            </w:r>
          </w:p>
        </w:tc>
        <w:tc>
          <w:tcPr>
            <w:tcW w:w="934" w:type="dxa"/>
            <w:vAlign w:val="bottom"/>
          </w:tcPr>
          <w:p w:rsidR="007A7ADD" w:rsidRPr="007A7ADD" w:rsidRDefault="007A7ADD" w:rsidP="007A7ADD">
            <w:pPr>
              <w:cnfStyle w:val="000000000000" w:firstRow="0" w:lastRow="0" w:firstColumn="0" w:lastColumn="0" w:oddVBand="0" w:evenVBand="0" w:oddHBand="0" w:evenHBand="0" w:firstRowFirstColumn="0" w:firstRowLastColumn="0" w:lastRowFirstColumn="0" w:lastRowLastColumn="0"/>
              <w:rPr>
                <w:rStyle w:val="Strong"/>
              </w:rPr>
            </w:pPr>
            <w:r w:rsidRPr="007A7ADD">
              <w:rPr>
                <w:rStyle w:val="Strong"/>
              </w:rPr>
              <w:t>10.8</w:t>
            </w:r>
          </w:p>
        </w:tc>
        <w:tc>
          <w:tcPr>
            <w:tcW w:w="934" w:type="dxa"/>
            <w:vAlign w:val="bottom"/>
          </w:tcPr>
          <w:p w:rsidR="007A7ADD" w:rsidRPr="007A7ADD" w:rsidRDefault="007A7ADD" w:rsidP="007A7ADD">
            <w:pPr>
              <w:cnfStyle w:val="000000000000" w:firstRow="0" w:lastRow="0" w:firstColumn="0" w:lastColumn="0" w:oddVBand="0" w:evenVBand="0" w:oddHBand="0" w:evenHBand="0" w:firstRowFirstColumn="0" w:firstRowLastColumn="0" w:lastRowFirstColumn="0" w:lastRowLastColumn="0"/>
              <w:rPr>
                <w:rStyle w:val="Strong"/>
              </w:rPr>
            </w:pPr>
            <w:r w:rsidRPr="007A7ADD">
              <w:rPr>
                <w:rStyle w:val="Strong"/>
              </w:rPr>
              <w:t>59.9</w:t>
            </w:r>
          </w:p>
        </w:tc>
      </w:tr>
    </w:tbl>
    <w:p w:rsidR="00C2279E" w:rsidRPr="00FD50DB" w:rsidRDefault="00C2279E" w:rsidP="001E2481">
      <w:pPr>
        <w:pStyle w:val="AERtablesource"/>
        <w:keepNext/>
      </w:pPr>
      <w:r w:rsidRPr="00FD50DB">
        <w:t xml:space="preserve">Source: </w:t>
      </w:r>
      <w:r w:rsidRPr="00FD50DB">
        <w:tab/>
        <w:t>AER analysis.</w:t>
      </w:r>
    </w:p>
    <w:p w:rsidR="00C2279E" w:rsidRDefault="00C2279E" w:rsidP="00C2279E">
      <w:pPr>
        <w:pStyle w:val="Heading2"/>
      </w:pPr>
      <w:bookmarkStart w:id="75" w:name="_Toc477782990"/>
      <w:bookmarkStart w:id="76" w:name="_Toc486834704"/>
      <w:r>
        <w:t>AGN's proposal</w:t>
      </w:r>
      <w:bookmarkEnd w:id="75"/>
      <w:bookmarkEnd w:id="76"/>
    </w:p>
    <w:p w:rsidR="00C2279E" w:rsidRDefault="00C2279E" w:rsidP="00C2279E">
      <w:r>
        <w:t>AGN proposed a corporate income tax allowance of $</w:t>
      </w:r>
      <w:r w:rsidR="00FF5F66">
        <w:t>57.2</w:t>
      </w:r>
      <w:r w:rsidRPr="00FD50DB">
        <w:t xml:space="preserve"> </w:t>
      </w:r>
      <w:r>
        <w:t xml:space="preserve">million ($ nominal) for the 2018–22 access arrangement period </w:t>
      </w:r>
      <w:r w:rsidRPr="00FD50DB">
        <w:t>as set out in</w:t>
      </w:r>
      <w:r>
        <w:t xml:space="preserve"> </w:t>
      </w:r>
      <w:r>
        <w:fldChar w:fldCharType="begin"/>
      </w:r>
      <w:r>
        <w:instrText xml:space="preserve"> REF _Ref477520899 \h </w:instrText>
      </w:r>
      <w:r>
        <w:fldChar w:fldCharType="separate"/>
      </w:r>
      <w:r w:rsidR="00A42928">
        <w:t xml:space="preserve">Table </w:t>
      </w:r>
      <w:r w:rsidR="00A42928">
        <w:rPr>
          <w:noProof/>
        </w:rPr>
        <w:t>8</w:t>
      </w:r>
      <w:r w:rsidR="00A42928">
        <w:t>.</w:t>
      </w:r>
      <w:r w:rsidR="00A42928">
        <w:rPr>
          <w:noProof/>
        </w:rPr>
        <w:t>2</w:t>
      </w:r>
      <w:r>
        <w:fldChar w:fldCharType="end"/>
      </w:r>
      <w:r w:rsidRPr="00FD50DB">
        <w:t>.</w:t>
      </w:r>
      <w:r>
        <w:t xml:space="preserve"> It used the AER’s PTRM to calculate the corporate income tax allowance for each year of the 2018–22 access arrangement </w:t>
      </w:r>
      <w:proofErr w:type="gramStart"/>
      <w:r>
        <w:t>period</w:t>
      </w:r>
      <w:proofErr w:type="gramEnd"/>
      <w:r w:rsidR="00A30F8F">
        <w:t>.</w:t>
      </w:r>
      <w:r>
        <w:rPr>
          <w:rStyle w:val="FootnoteReference"/>
        </w:rPr>
        <w:footnoteReference w:id="6"/>
      </w:r>
      <w:r>
        <w:t xml:space="preserve"> In estimating its corporate income tax allowance, AGN used the following inputs:</w:t>
      </w:r>
      <w:r w:rsidRPr="00967BCE">
        <w:rPr>
          <w:rStyle w:val="FootnoteReference"/>
        </w:rPr>
        <w:footnoteReference w:id="7"/>
      </w:r>
    </w:p>
    <w:p w:rsidR="00C2279E" w:rsidRPr="003A718F" w:rsidRDefault="00C2279E" w:rsidP="00C2279E">
      <w:pPr>
        <w:pStyle w:val="AERbulletlistfirststyle"/>
      </w:pPr>
      <w:r w:rsidRPr="003A718F">
        <w:t>a</w:t>
      </w:r>
      <w:r>
        <w:t>n opening TAB of $</w:t>
      </w:r>
      <w:r w:rsidR="00FF5F66">
        <w:t>721.9</w:t>
      </w:r>
      <w:r w:rsidRPr="003A718F">
        <w:t xml:space="preserve"> million ($</w:t>
      </w:r>
      <w:r>
        <w:t> </w:t>
      </w:r>
      <w:r w:rsidRPr="003A718F">
        <w:t xml:space="preserve">nominal) as at </w:t>
      </w:r>
      <w:r>
        <w:t xml:space="preserve">1 January 2018 (as shown in </w:t>
      </w:r>
      <w:r>
        <w:fldChar w:fldCharType="begin"/>
      </w:r>
      <w:r>
        <w:instrText xml:space="preserve"> REF _Ref477521151 \h </w:instrText>
      </w:r>
      <w:r>
        <w:fldChar w:fldCharType="separate"/>
      </w:r>
      <w:r w:rsidR="00A42928">
        <w:t xml:space="preserve">Table </w:t>
      </w:r>
      <w:r w:rsidR="00A42928">
        <w:rPr>
          <w:noProof/>
        </w:rPr>
        <w:t>8</w:t>
      </w:r>
      <w:r w:rsidR="00A42928">
        <w:t>.</w:t>
      </w:r>
      <w:r w:rsidR="00A42928">
        <w:rPr>
          <w:noProof/>
        </w:rPr>
        <w:t>3</w:t>
      </w:r>
      <w:r>
        <w:fldChar w:fldCharType="end"/>
      </w:r>
      <w:r>
        <w:t>)</w:t>
      </w:r>
      <w:r w:rsidRPr="003A718F">
        <w:t xml:space="preserve"> </w:t>
      </w:r>
    </w:p>
    <w:p w:rsidR="00C2279E" w:rsidRPr="003A718F" w:rsidRDefault="00C2279E" w:rsidP="00C2279E">
      <w:pPr>
        <w:pStyle w:val="AERbulletlistfirststyle"/>
      </w:pPr>
      <w:r w:rsidRPr="003A718F">
        <w:t>an expected statutory income rate of 30 per cent per year</w:t>
      </w:r>
    </w:p>
    <w:p w:rsidR="00C2279E" w:rsidRPr="003A718F" w:rsidRDefault="00C2279E" w:rsidP="00C2279E">
      <w:pPr>
        <w:pStyle w:val="AERbulletlistfirststyle"/>
      </w:pPr>
      <w:r w:rsidRPr="003A718F">
        <w:t>a value for the assumed utilisation of imputation credits (gamma) of 0.</w:t>
      </w:r>
      <w:r w:rsidR="008458FD">
        <w:t>40</w:t>
      </w:r>
    </w:p>
    <w:p w:rsidR="00C2279E" w:rsidRDefault="00C2279E" w:rsidP="00C2279E">
      <w:pPr>
        <w:pStyle w:val="AERbulletlistfirststyle"/>
      </w:pPr>
      <w:proofErr w:type="gramStart"/>
      <w:r w:rsidRPr="00111D2D">
        <w:t>standard</w:t>
      </w:r>
      <w:proofErr w:type="gramEnd"/>
      <w:r w:rsidRPr="00111D2D">
        <w:t xml:space="preserve"> tax asset lives calculated using a weighted average of </w:t>
      </w:r>
      <w:r>
        <w:t>relevant tax categories from the July 201</w:t>
      </w:r>
      <w:r w:rsidR="00FC1246">
        <w:t>5</w:t>
      </w:r>
      <w:r>
        <w:t xml:space="preserve"> ATO tax ruling (TR 201</w:t>
      </w:r>
      <w:r w:rsidR="00FC1246">
        <w:t>5</w:t>
      </w:r>
      <w:r>
        <w:t>/</w:t>
      </w:r>
      <w:r w:rsidR="00FC1246">
        <w:t>2</w:t>
      </w:r>
      <w:r>
        <w:t>).</w:t>
      </w:r>
    </w:p>
    <w:p w:rsidR="00C2279E" w:rsidRDefault="00C2279E" w:rsidP="00C2279E">
      <w:pPr>
        <w:pStyle w:val="AERbulletlistfirststyle"/>
      </w:pPr>
      <w:r w:rsidRPr="003A718F">
        <w:t xml:space="preserve">remaining tax asset </w:t>
      </w:r>
      <w:r>
        <w:t xml:space="preserve">lives of assets in existence as at 31 December 2017, calculated based on the standard tax asset life for an asset class multiplied by the ratio of the </w:t>
      </w:r>
      <w:r w:rsidR="004356A7">
        <w:t>capital base</w:t>
      </w:r>
      <w:r>
        <w:t xml:space="preserve"> remaining asset life to the </w:t>
      </w:r>
      <w:r w:rsidR="004356A7">
        <w:t>capital base</w:t>
      </w:r>
      <w:r>
        <w:t xml:space="preserve"> standard asset life.</w:t>
      </w:r>
    </w:p>
    <w:p w:rsidR="00C2279E" w:rsidRDefault="00C2279E" w:rsidP="001E2481">
      <w:pPr>
        <w:pStyle w:val="Caption"/>
      </w:pPr>
      <w:bookmarkStart w:id="77" w:name="_Ref477520899"/>
      <w:proofErr w:type="gramStart"/>
      <w:r>
        <w:t xml:space="preserve">Table </w:t>
      </w:r>
      <w:proofErr w:type="gramEnd"/>
      <w:r w:rsidRPr="00C2279E">
        <w:fldChar w:fldCharType="begin"/>
      </w:r>
      <w:r>
        <w:instrText xml:space="preserve"> STYLEREF 1 \s </w:instrText>
      </w:r>
      <w:r w:rsidRPr="00C2279E">
        <w:fldChar w:fldCharType="separate"/>
      </w:r>
      <w:r w:rsidR="00A42928">
        <w:rPr>
          <w:noProof/>
        </w:rPr>
        <w:t>8</w:t>
      </w:r>
      <w:r w:rsidRPr="00C2279E">
        <w:fldChar w:fldCharType="end"/>
      </w:r>
      <w:proofErr w:type="gramStart"/>
      <w:r>
        <w:t>.</w:t>
      </w:r>
      <w:proofErr w:type="gramEnd"/>
      <w:r w:rsidRPr="00C2279E">
        <w:fldChar w:fldCharType="begin"/>
      </w:r>
      <w:r>
        <w:instrText xml:space="preserve"> SEQ Table \* ARABIC \s 1 </w:instrText>
      </w:r>
      <w:r w:rsidRPr="00C2279E">
        <w:fldChar w:fldCharType="separate"/>
      </w:r>
      <w:r w:rsidR="00A42928">
        <w:rPr>
          <w:noProof/>
        </w:rPr>
        <w:t>2</w:t>
      </w:r>
      <w:r w:rsidRPr="00C2279E">
        <w:fldChar w:fldCharType="end"/>
      </w:r>
      <w:bookmarkEnd w:id="77"/>
      <w:r>
        <w:tab/>
        <w:t>AGN's proposed corporate income tax allowance for the 2018–22 access arrangement period ($million, nominal)</w:t>
      </w:r>
    </w:p>
    <w:tbl>
      <w:tblPr>
        <w:tblStyle w:val="AERtable-numbers"/>
        <w:tblW w:w="8712" w:type="dxa"/>
        <w:tblLayout w:type="fixed"/>
        <w:tblLook w:val="04A0" w:firstRow="1" w:lastRow="0" w:firstColumn="1" w:lastColumn="0" w:noHBand="0" w:noVBand="1"/>
      </w:tblPr>
      <w:tblGrid>
        <w:gridCol w:w="3085"/>
        <w:gridCol w:w="937"/>
        <w:gridCol w:w="938"/>
        <w:gridCol w:w="938"/>
        <w:gridCol w:w="938"/>
        <w:gridCol w:w="938"/>
        <w:gridCol w:w="938"/>
      </w:tblGrid>
      <w:tr w:rsidR="00C2279E" w:rsidRPr="00AB7791" w:rsidTr="005275C5">
        <w:trPr>
          <w:cnfStyle w:val="100000000000" w:firstRow="1" w:lastRow="0" w:firstColumn="0" w:lastColumn="0" w:oddVBand="0" w:evenVBand="0" w:oddHBand="0" w:evenHBand="0"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3085" w:type="dxa"/>
            <w:hideMark/>
          </w:tcPr>
          <w:p w:rsidR="00C2279E" w:rsidRPr="00522E09" w:rsidRDefault="00C2279E" w:rsidP="001E2481">
            <w:pPr>
              <w:keepNext/>
            </w:pPr>
          </w:p>
        </w:tc>
        <w:tc>
          <w:tcPr>
            <w:tcW w:w="937" w:type="dxa"/>
            <w:hideMark/>
          </w:tcPr>
          <w:p w:rsidR="00C2279E" w:rsidRPr="002F1852" w:rsidRDefault="00C2279E" w:rsidP="001E2481">
            <w:pPr>
              <w:keepNext/>
              <w:cnfStyle w:val="100000000000" w:firstRow="1" w:lastRow="0" w:firstColumn="0" w:lastColumn="0" w:oddVBand="0" w:evenVBand="0" w:oddHBand="0" w:evenHBand="0" w:firstRowFirstColumn="0" w:firstRowLastColumn="0" w:lastRowFirstColumn="0" w:lastRowLastColumn="0"/>
            </w:pPr>
            <w:r w:rsidRPr="002F1852">
              <w:t>2018</w:t>
            </w:r>
          </w:p>
        </w:tc>
        <w:tc>
          <w:tcPr>
            <w:tcW w:w="938" w:type="dxa"/>
            <w:hideMark/>
          </w:tcPr>
          <w:p w:rsidR="00C2279E" w:rsidRPr="00330FAF" w:rsidRDefault="00C2279E" w:rsidP="001E2481">
            <w:pPr>
              <w:keepNext/>
              <w:cnfStyle w:val="100000000000" w:firstRow="1" w:lastRow="0" w:firstColumn="0" w:lastColumn="0" w:oddVBand="0" w:evenVBand="0" w:oddHBand="0" w:evenHBand="0" w:firstRowFirstColumn="0" w:firstRowLastColumn="0" w:lastRowFirstColumn="0" w:lastRowLastColumn="0"/>
            </w:pPr>
            <w:r w:rsidRPr="00330FAF">
              <w:t>2019</w:t>
            </w:r>
          </w:p>
        </w:tc>
        <w:tc>
          <w:tcPr>
            <w:tcW w:w="938" w:type="dxa"/>
            <w:hideMark/>
          </w:tcPr>
          <w:p w:rsidR="00C2279E" w:rsidRPr="00C2279E" w:rsidRDefault="00C2279E" w:rsidP="001E2481">
            <w:pPr>
              <w:keepNext/>
              <w:cnfStyle w:val="100000000000" w:firstRow="1" w:lastRow="0" w:firstColumn="0" w:lastColumn="0" w:oddVBand="0" w:evenVBand="0" w:oddHBand="0" w:evenHBand="0" w:firstRowFirstColumn="0" w:firstRowLastColumn="0" w:lastRowFirstColumn="0" w:lastRowLastColumn="0"/>
            </w:pPr>
            <w:r w:rsidRPr="00894A16">
              <w:t>2020</w:t>
            </w:r>
          </w:p>
        </w:tc>
        <w:tc>
          <w:tcPr>
            <w:tcW w:w="938" w:type="dxa"/>
            <w:hideMark/>
          </w:tcPr>
          <w:p w:rsidR="00C2279E" w:rsidRPr="00C2279E" w:rsidRDefault="00C2279E" w:rsidP="001E2481">
            <w:pPr>
              <w:keepNext/>
              <w:cnfStyle w:val="100000000000" w:firstRow="1" w:lastRow="0" w:firstColumn="0" w:lastColumn="0" w:oddVBand="0" w:evenVBand="0" w:oddHBand="0" w:evenHBand="0" w:firstRowFirstColumn="0" w:firstRowLastColumn="0" w:lastRowFirstColumn="0" w:lastRowLastColumn="0"/>
            </w:pPr>
            <w:r w:rsidRPr="00F65298">
              <w:t>2021</w:t>
            </w:r>
          </w:p>
        </w:tc>
        <w:tc>
          <w:tcPr>
            <w:tcW w:w="938" w:type="dxa"/>
            <w:hideMark/>
          </w:tcPr>
          <w:p w:rsidR="00C2279E" w:rsidRPr="00C2279E" w:rsidRDefault="00C2279E" w:rsidP="001E2481">
            <w:pPr>
              <w:keepNext/>
              <w:cnfStyle w:val="100000000000" w:firstRow="1" w:lastRow="0" w:firstColumn="0" w:lastColumn="0" w:oddVBand="0" w:evenVBand="0" w:oddHBand="0" w:evenHBand="0" w:firstRowFirstColumn="0" w:firstRowLastColumn="0" w:lastRowFirstColumn="0" w:lastRowLastColumn="0"/>
            </w:pPr>
            <w:r w:rsidRPr="00F65298">
              <w:t>2022</w:t>
            </w:r>
          </w:p>
        </w:tc>
        <w:tc>
          <w:tcPr>
            <w:tcW w:w="938" w:type="dxa"/>
          </w:tcPr>
          <w:p w:rsidR="00C2279E" w:rsidRPr="00C2279E" w:rsidRDefault="00C2279E" w:rsidP="001E2481">
            <w:pPr>
              <w:keepNext/>
              <w:cnfStyle w:val="100000000000" w:firstRow="1" w:lastRow="0" w:firstColumn="0" w:lastColumn="0" w:oddVBand="0" w:evenVBand="0" w:oddHBand="0" w:evenHBand="0" w:firstRowFirstColumn="0" w:firstRowLastColumn="0" w:lastRowFirstColumn="0" w:lastRowLastColumn="0"/>
            </w:pPr>
            <w:r w:rsidRPr="00F65298">
              <w:t>Total</w:t>
            </w:r>
          </w:p>
        </w:tc>
      </w:tr>
      <w:tr w:rsidR="0069478F" w:rsidRPr="00AB7791" w:rsidTr="009436E0">
        <w:trPr>
          <w:trHeight w:val="80"/>
        </w:trPr>
        <w:tc>
          <w:tcPr>
            <w:cnfStyle w:val="001000000000" w:firstRow="0" w:lastRow="0" w:firstColumn="1" w:lastColumn="0" w:oddVBand="0" w:evenVBand="0" w:oddHBand="0" w:evenHBand="0" w:firstRowFirstColumn="0" w:firstRowLastColumn="0" w:lastRowFirstColumn="0" w:lastRowLastColumn="0"/>
            <w:tcW w:w="3085" w:type="dxa"/>
            <w:hideMark/>
          </w:tcPr>
          <w:p w:rsidR="0069478F" w:rsidRPr="0069478F" w:rsidRDefault="0069478F" w:rsidP="001E2481">
            <w:pPr>
              <w:keepNext/>
            </w:pPr>
            <w:r w:rsidRPr="0069478F">
              <w:t>Tax payable</w:t>
            </w:r>
          </w:p>
        </w:tc>
        <w:tc>
          <w:tcPr>
            <w:tcW w:w="937" w:type="dxa"/>
            <w:vAlign w:val="bottom"/>
          </w:tcPr>
          <w:p w:rsidR="0069478F" w:rsidRPr="0069478F" w:rsidRDefault="0069478F" w:rsidP="001E2481">
            <w:pPr>
              <w:keepNext/>
              <w:cnfStyle w:val="000000000000" w:firstRow="0" w:lastRow="0" w:firstColumn="0" w:lastColumn="0" w:oddVBand="0" w:evenVBand="0" w:oddHBand="0" w:evenHBand="0" w:firstRowFirstColumn="0" w:firstRowLastColumn="0" w:lastRowFirstColumn="0" w:lastRowLastColumn="0"/>
            </w:pPr>
            <w:r w:rsidRPr="0069478F">
              <w:t>21.1</w:t>
            </w:r>
          </w:p>
        </w:tc>
        <w:tc>
          <w:tcPr>
            <w:tcW w:w="938" w:type="dxa"/>
            <w:vAlign w:val="bottom"/>
          </w:tcPr>
          <w:p w:rsidR="0069478F" w:rsidRPr="0069478F" w:rsidRDefault="0069478F" w:rsidP="001E2481">
            <w:pPr>
              <w:keepNext/>
              <w:cnfStyle w:val="000000000000" w:firstRow="0" w:lastRow="0" w:firstColumn="0" w:lastColumn="0" w:oddVBand="0" w:evenVBand="0" w:oddHBand="0" w:evenHBand="0" w:firstRowFirstColumn="0" w:firstRowLastColumn="0" w:lastRowFirstColumn="0" w:lastRowLastColumn="0"/>
            </w:pPr>
            <w:r w:rsidRPr="0069478F">
              <w:t>21.0</w:t>
            </w:r>
          </w:p>
        </w:tc>
        <w:tc>
          <w:tcPr>
            <w:tcW w:w="938" w:type="dxa"/>
            <w:vAlign w:val="bottom"/>
          </w:tcPr>
          <w:p w:rsidR="0069478F" w:rsidRPr="0069478F" w:rsidRDefault="0069478F" w:rsidP="001E2481">
            <w:pPr>
              <w:keepNext/>
              <w:cnfStyle w:val="000000000000" w:firstRow="0" w:lastRow="0" w:firstColumn="0" w:lastColumn="0" w:oddVBand="0" w:evenVBand="0" w:oddHBand="0" w:evenHBand="0" w:firstRowFirstColumn="0" w:firstRowLastColumn="0" w:lastRowFirstColumn="0" w:lastRowLastColumn="0"/>
            </w:pPr>
            <w:r w:rsidRPr="0069478F">
              <w:t>20.1</w:t>
            </w:r>
          </w:p>
        </w:tc>
        <w:tc>
          <w:tcPr>
            <w:tcW w:w="938" w:type="dxa"/>
            <w:vAlign w:val="bottom"/>
          </w:tcPr>
          <w:p w:rsidR="0069478F" w:rsidRPr="0069478F" w:rsidRDefault="0069478F" w:rsidP="001E2481">
            <w:pPr>
              <w:keepNext/>
              <w:cnfStyle w:val="000000000000" w:firstRow="0" w:lastRow="0" w:firstColumn="0" w:lastColumn="0" w:oddVBand="0" w:evenVBand="0" w:oddHBand="0" w:evenHBand="0" w:firstRowFirstColumn="0" w:firstRowLastColumn="0" w:lastRowFirstColumn="0" w:lastRowLastColumn="0"/>
            </w:pPr>
            <w:r w:rsidRPr="0069478F">
              <w:t>16.0</w:t>
            </w:r>
          </w:p>
        </w:tc>
        <w:tc>
          <w:tcPr>
            <w:tcW w:w="938" w:type="dxa"/>
            <w:vAlign w:val="bottom"/>
          </w:tcPr>
          <w:p w:rsidR="0069478F" w:rsidRPr="0069478F" w:rsidRDefault="0069478F" w:rsidP="001E2481">
            <w:pPr>
              <w:keepNext/>
              <w:cnfStyle w:val="000000000000" w:firstRow="0" w:lastRow="0" w:firstColumn="0" w:lastColumn="0" w:oddVBand="0" w:evenVBand="0" w:oddHBand="0" w:evenHBand="0" w:firstRowFirstColumn="0" w:firstRowLastColumn="0" w:lastRowFirstColumn="0" w:lastRowLastColumn="0"/>
            </w:pPr>
            <w:r w:rsidRPr="0069478F">
              <w:t>17.2</w:t>
            </w:r>
          </w:p>
        </w:tc>
        <w:tc>
          <w:tcPr>
            <w:tcW w:w="938" w:type="dxa"/>
            <w:vAlign w:val="bottom"/>
          </w:tcPr>
          <w:p w:rsidR="0069478F" w:rsidRPr="0069478F" w:rsidRDefault="0069478F" w:rsidP="001E2481">
            <w:pPr>
              <w:keepNext/>
              <w:cnfStyle w:val="000000000000" w:firstRow="0" w:lastRow="0" w:firstColumn="0" w:lastColumn="0" w:oddVBand="0" w:evenVBand="0" w:oddHBand="0" w:evenHBand="0" w:firstRowFirstColumn="0" w:firstRowLastColumn="0" w:lastRowFirstColumn="0" w:lastRowLastColumn="0"/>
            </w:pPr>
            <w:r w:rsidRPr="0069478F">
              <w:t>95.3</w:t>
            </w:r>
          </w:p>
        </w:tc>
      </w:tr>
      <w:tr w:rsidR="0069478F" w:rsidRPr="00AB7791" w:rsidTr="009436E0">
        <w:trPr>
          <w:cnfStyle w:val="000000010000" w:firstRow="0" w:lastRow="0" w:firstColumn="0" w:lastColumn="0" w:oddVBand="0" w:evenVBand="0" w:oddHBand="0" w:evenHBand="1"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3085" w:type="dxa"/>
            <w:hideMark/>
          </w:tcPr>
          <w:p w:rsidR="0069478F" w:rsidRPr="0069478F" w:rsidRDefault="0069478F" w:rsidP="001E2481">
            <w:pPr>
              <w:keepNext/>
            </w:pPr>
            <w:r w:rsidRPr="0069478F">
              <w:rPr>
                <w:rStyle w:val="AERtextitalic"/>
              </w:rPr>
              <w:t>Less</w:t>
            </w:r>
            <w:r w:rsidRPr="0069478F">
              <w:t xml:space="preserve">: </w:t>
            </w:r>
            <w:r w:rsidR="008B4208">
              <w:t>v</w:t>
            </w:r>
            <w:r w:rsidRPr="0069478F">
              <w:t>alue of imputation credits</w:t>
            </w:r>
          </w:p>
        </w:tc>
        <w:tc>
          <w:tcPr>
            <w:tcW w:w="937" w:type="dxa"/>
            <w:vAlign w:val="bottom"/>
          </w:tcPr>
          <w:p w:rsidR="0069478F" w:rsidRPr="0069478F" w:rsidRDefault="0069478F" w:rsidP="001E2481">
            <w:pPr>
              <w:keepNext/>
              <w:cnfStyle w:val="000000010000" w:firstRow="0" w:lastRow="0" w:firstColumn="0" w:lastColumn="0" w:oddVBand="0" w:evenVBand="0" w:oddHBand="0" w:evenHBand="1" w:firstRowFirstColumn="0" w:firstRowLastColumn="0" w:lastRowFirstColumn="0" w:lastRowLastColumn="0"/>
            </w:pPr>
            <w:r w:rsidRPr="0069478F">
              <w:t>8.4</w:t>
            </w:r>
          </w:p>
        </w:tc>
        <w:tc>
          <w:tcPr>
            <w:tcW w:w="938" w:type="dxa"/>
            <w:vAlign w:val="bottom"/>
          </w:tcPr>
          <w:p w:rsidR="0069478F" w:rsidRPr="0069478F" w:rsidRDefault="0069478F" w:rsidP="001E2481">
            <w:pPr>
              <w:keepNext/>
              <w:cnfStyle w:val="000000010000" w:firstRow="0" w:lastRow="0" w:firstColumn="0" w:lastColumn="0" w:oddVBand="0" w:evenVBand="0" w:oddHBand="0" w:evenHBand="1" w:firstRowFirstColumn="0" w:firstRowLastColumn="0" w:lastRowFirstColumn="0" w:lastRowLastColumn="0"/>
            </w:pPr>
            <w:r w:rsidRPr="0069478F">
              <w:t>8.4</w:t>
            </w:r>
          </w:p>
        </w:tc>
        <w:tc>
          <w:tcPr>
            <w:tcW w:w="938" w:type="dxa"/>
            <w:vAlign w:val="bottom"/>
          </w:tcPr>
          <w:p w:rsidR="0069478F" w:rsidRPr="0069478F" w:rsidRDefault="0069478F" w:rsidP="001E2481">
            <w:pPr>
              <w:keepNext/>
              <w:cnfStyle w:val="000000010000" w:firstRow="0" w:lastRow="0" w:firstColumn="0" w:lastColumn="0" w:oddVBand="0" w:evenVBand="0" w:oddHBand="0" w:evenHBand="1" w:firstRowFirstColumn="0" w:firstRowLastColumn="0" w:lastRowFirstColumn="0" w:lastRowLastColumn="0"/>
            </w:pPr>
            <w:r w:rsidRPr="0069478F">
              <w:t>8.0</w:t>
            </w:r>
          </w:p>
        </w:tc>
        <w:tc>
          <w:tcPr>
            <w:tcW w:w="938" w:type="dxa"/>
            <w:vAlign w:val="bottom"/>
          </w:tcPr>
          <w:p w:rsidR="0069478F" w:rsidRPr="0069478F" w:rsidRDefault="0069478F" w:rsidP="001E2481">
            <w:pPr>
              <w:keepNext/>
              <w:cnfStyle w:val="000000010000" w:firstRow="0" w:lastRow="0" w:firstColumn="0" w:lastColumn="0" w:oddVBand="0" w:evenVBand="0" w:oddHBand="0" w:evenHBand="1" w:firstRowFirstColumn="0" w:firstRowLastColumn="0" w:lastRowFirstColumn="0" w:lastRowLastColumn="0"/>
            </w:pPr>
            <w:r w:rsidRPr="0069478F">
              <w:t>6.4</w:t>
            </w:r>
          </w:p>
        </w:tc>
        <w:tc>
          <w:tcPr>
            <w:tcW w:w="938" w:type="dxa"/>
            <w:vAlign w:val="bottom"/>
          </w:tcPr>
          <w:p w:rsidR="0069478F" w:rsidRPr="0069478F" w:rsidRDefault="0069478F" w:rsidP="001E2481">
            <w:pPr>
              <w:keepNext/>
              <w:cnfStyle w:val="000000010000" w:firstRow="0" w:lastRow="0" w:firstColumn="0" w:lastColumn="0" w:oddVBand="0" w:evenVBand="0" w:oddHBand="0" w:evenHBand="1" w:firstRowFirstColumn="0" w:firstRowLastColumn="0" w:lastRowFirstColumn="0" w:lastRowLastColumn="0"/>
            </w:pPr>
            <w:r w:rsidRPr="0069478F">
              <w:t>6.9</w:t>
            </w:r>
          </w:p>
        </w:tc>
        <w:tc>
          <w:tcPr>
            <w:tcW w:w="938" w:type="dxa"/>
            <w:vAlign w:val="bottom"/>
          </w:tcPr>
          <w:p w:rsidR="0069478F" w:rsidRPr="0069478F" w:rsidRDefault="0069478F" w:rsidP="001E2481">
            <w:pPr>
              <w:keepNext/>
              <w:cnfStyle w:val="000000010000" w:firstRow="0" w:lastRow="0" w:firstColumn="0" w:lastColumn="0" w:oddVBand="0" w:evenVBand="0" w:oddHBand="0" w:evenHBand="1" w:firstRowFirstColumn="0" w:firstRowLastColumn="0" w:lastRowFirstColumn="0" w:lastRowLastColumn="0"/>
            </w:pPr>
            <w:r w:rsidRPr="0069478F">
              <w:t>38.1</w:t>
            </w:r>
          </w:p>
        </w:tc>
      </w:tr>
      <w:tr w:rsidR="0069478F" w:rsidRPr="00AB7791" w:rsidTr="009436E0">
        <w:trPr>
          <w:trHeight w:val="80"/>
        </w:trPr>
        <w:tc>
          <w:tcPr>
            <w:cnfStyle w:val="001000000000" w:firstRow="0" w:lastRow="0" w:firstColumn="1" w:lastColumn="0" w:oddVBand="0" w:evenVBand="0" w:oddHBand="0" w:evenHBand="0" w:firstRowFirstColumn="0" w:firstRowLastColumn="0" w:lastRowFirstColumn="0" w:lastRowLastColumn="0"/>
            <w:tcW w:w="3085" w:type="dxa"/>
            <w:hideMark/>
          </w:tcPr>
          <w:p w:rsidR="0069478F" w:rsidRPr="0069478F" w:rsidRDefault="0069478F" w:rsidP="001E2481">
            <w:pPr>
              <w:keepNext/>
              <w:rPr>
                <w:rStyle w:val="Strong"/>
              </w:rPr>
            </w:pPr>
            <w:r w:rsidRPr="0069478F">
              <w:rPr>
                <w:rStyle w:val="Strong"/>
              </w:rPr>
              <w:t>Net corporate income tax allowance</w:t>
            </w:r>
          </w:p>
        </w:tc>
        <w:tc>
          <w:tcPr>
            <w:tcW w:w="937" w:type="dxa"/>
            <w:vAlign w:val="bottom"/>
          </w:tcPr>
          <w:p w:rsidR="0069478F" w:rsidRPr="0069478F" w:rsidRDefault="0069478F" w:rsidP="001E2481">
            <w:pPr>
              <w:keepNext/>
              <w:cnfStyle w:val="000000000000" w:firstRow="0" w:lastRow="0" w:firstColumn="0" w:lastColumn="0" w:oddVBand="0" w:evenVBand="0" w:oddHBand="0" w:evenHBand="0" w:firstRowFirstColumn="0" w:firstRowLastColumn="0" w:lastRowFirstColumn="0" w:lastRowLastColumn="0"/>
              <w:rPr>
                <w:rStyle w:val="Strong"/>
              </w:rPr>
            </w:pPr>
            <w:r w:rsidRPr="0069478F">
              <w:rPr>
                <w:rStyle w:val="Strong"/>
              </w:rPr>
              <w:t>12.7</w:t>
            </w:r>
          </w:p>
        </w:tc>
        <w:tc>
          <w:tcPr>
            <w:tcW w:w="938" w:type="dxa"/>
            <w:vAlign w:val="bottom"/>
          </w:tcPr>
          <w:p w:rsidR="0069478F" w:rsidRPr="0069478F" w:rsidRDefault="0069478F" w:rsidP="001E2481">
            <w:pPr>
              <w:keepNext/>
              <w:cnfStyle w:val="000000000000" w:firstRow="0" w:lastRow="0" w:firstColumn="0" w:lastColumn="0" w:oddVBand="0" w:evenVBand="0" w:oddHBand="0" w:evenHBand="0" w:firstRowFirstColumn="0" w:firstRowLastColumn="0" w:lastRowFirstColumn="0" w:lastRowLastColumn="0"/>
              <w:rPr>
                <w:rStyle w:val="Strong"/>
              </w:rPr>
            </w:pPr>
            <w:r w:rsidRPr="0069478F">
              <w:rPr>
                <w:rStyle w:val="Strong"/>
              </w:rPr>
              <w:t>12.6</w:t>
            </w:r>
          </w:p>
        </w:tc>
        <w:tc>
          <w:tcPr>
            <w:tcW w:w="938" w:type="dxa"/>
            <w:vAlign w:val="bottom"/>
          </w:tcPr>
          <w:p w:rsidR="0069478F" w:rsidRPr="0069478F" w:rsidRDefault="0069478F" w:rsidP="001E2481">
            <w:pPr>
              <w:keepNext/>
              <w:cnfStyle w:val="000000000000" w:firstRow="0" w:lastRow="0" w:firstColumn="0" w:lastColumn="0" w:oddVBand="0" w:evenVBand="0" w:oddHBand="0" w:evenHBand="0" w:firstRowFirstColumn="0" w:firstRowLastColumn="0" w:lastRowFirstColumn="0" w:lastRowLastColumn="0"/>
              <w:rPr>
                <w:rStyle w:val="Strong"/>
              </w:rPr>
            </w:pPr>
            <w:r w:rsidRPr="0069478F">
              <w:rPr>
                <w:rStyle w:val="Strong"/>
              </w:rPr>
              <w:t>12.1</w:t>
            </w:r>
          </w:p>
        </w:tc>
        <w:tc>
          <w:tcPr>
            <w:tcW w:w="938" w:type="dxa"/>
            <w:vAlign w:val="bottom"/>
          </w:tcPr>
          <w:p w:rsidR="0069478F" w:rsidRPr="0069478F" w:rsidRDefault="0069478F" w:rsidP="001E2481">
            <w:pPr>
              <w:keepNext/>
              <w:cnfStyle w:val="000000000000" w:firstRow="0" w:lastRow="0" w:firstColumn="0" w:lastColumn="0" w:oddVBand="0" w:evenVBand="0" w:oddHBand="0" w:evenHBand="0" w:firstRowFirstColumn="0" w:firstRowLastColumn="0" w:lastRowFirstColumn="0" w:lastRowLastColumn="0"/>
              <w:rPr>
                <w:rStyle w:val="Strong"/>
              </w:rPr>
            </w:pPr>
            <w:r w:rsidRPr="0069478F">
              <w:rPr>
                <w:rStyle w:val="Strong"/>
              </w:rPr>
              <w:t>9.6</w:t>
            </w:r>
          </w:p>
        </w:tc>
        <w:tc>
          <w:tcPr>
            <w:tcW w:w="938" w:type="dxa"/>
            <w:vAlign w:val="bottom"/>
          </w:tcPr>
          <w:p w:rsidR="0069478F" w:rsidRPr="0069478F" w:rsidRDefault="0069478F" w:rsidP="001E2481">
            <w:pPr>
              <w:keepNext/>
              <w:cnfStyle w:val="000000000000" w:firstRow="0" w:lastRow="0" w:firstColumn="0" w:lastColumn="0" w:oddVBand="0" w:evenVBand="0" w:oddHBand="0" w:evenHBand="0" w:firstRowFirstColumn="0" w:firstRowLastColumn="0" w:lastRowFirstColumn="0" w:lastRowLastColumn="0"/>
              <w:rPr>
                <w:rStyle w:val="Strong"/>
              </w:rPr>
            </w:pPr>
            <w:r w:rsidRPr="0069478F">
              <w:rPr>
                <w:rStyle w:val="Strong"/>
              </w:rPr>
              <w:t>10.3</w:t>
            </w:r>
          </w:p>
        </w:tc>
        <w:tc>
          <w:tcPr>
            <w:tcW w:w="938" w:type="dxa"/>
            <w:vAlign w:val="bottom"/>
          </w:tcPr>
          <w:p w:rsidR="0069478F" w:rsidRPr="0069478F" w:rsidRDefault="0069478F" w:rsidP="001E2481">
            <w:pPr>
              <w:keepNext/>
              <w:cnfStyle w:val="000000000000" w:firstRow="0" w:lastRow="0" w:firstColumn="0" w:lastColumn="0" w:oddVBand="0" w:evenVBand="0" w:oddHBand="0" w:evenHBand="0" w:firstRowFirstColumn="0" w:firstRowLastColumn="0" w:lastRowFirstColumn="0" w:lastRowLastColumn="0"/>
              <w:rPr>
                <w:rStyle w:val="Strong"/>
              </w:rPr>
            </w:pPr>
            <w:r w:rsidRPr="0069478F">
              <w:rPr>
                <w:rStyle w:val="Strong"/>
              </w:rPr>
              <w:t>57.2</w:t>
            </w:r>
          </w:p>
        </w:tc>
      </w:tr>
    </w:tbl>
    <w:p w:rsidR="00C2279E" w:rsidRPr="00FD50DB" w:rsidRDefault="00C2279E" w:rsidP="001E2481">
      <w:pPr>
        <w:pStyle w:val="AERtablesource"/>
        <w:keepNext/>
      </w:pPr>
      <w:r w:rsidRPr="00C2279E">
        <w:rPr>
          <w:rFonts w:eastAsia="Calibri"/>
        </w:rPr>
        <w:t xml:space="preserve">Source: </w:t>
      </w:r>
      <w:r w:rsidRPr="00C2279E">
        <w:rPr>
          <w:rFonts w:eastAsia="Calibri"/>
        </w:rPr>
        <w:tab/>
      </w:r>
      <w:r w:rsidR="00CD6635" w:rsidRPr="00CD6635">
        <w:t xml:space="preserve">AGN - </w:t>
      </w:r>
      <w:r w:rsidR="00CD6635" w:rsidRPr="00CD6635">
        <w:rPr>
          <w:rStyle w:val="AERtextitalic"/>
        </w:rPr>
        <w:t>Attachment 1.9 - Victoria and Albury Post Tax Revenue Model</w:t>
      </w:r>
      <w:r w:rsidR="00CD6635" w:rsidRPr="00CD6635">
        <w:t xml:space="preserve"> - December 2016 - Public</w:t>
      </w:r>
      <w:r>
        <w:t>.</w:t>
      </w:r>
    </w:p>
    <w:p w:rsidR="00C2279E" w:rsidRDefault="00C2279E" w:rsidP="00C2279E">
      <w:r>
        <w:t xml:space="preserve">AGN's proposed roll forward of its TAB over the 2013–17 access arrangement </w:t>
      </w:r>
      <w:proofErr w:type="gramStart"/>
      <w:r>
        <w:t>period</w:t>
      </w:r>
      <w:proofErr w:type="gramEnd"/>
      <w:r>
        <w:t xml:space="preserve"> is set out in </w:t>
      </w:r>
      <w:r>
        <w:fldChar w:fldCharType="begin"/>
      </w:r>
      <w:r>
        <w:instrText xml:space="preserve"> REF _Ref477521151 \h </w:instrText>
      </w:r>
      <w:r>
        <w:fldChar w:fldCharType="separate"/>
      </w:r>
      <w:r w:rsidR="00A42928">
        <w:t xml:space="preserve">Table </w:t>
      </w:r>
      <w:r w:rsidR="00A42928">
        <w:rPr>
          <w:noProof/>
        </w:rPr>
        <w:t>8</w:t>
      </w:r>
      <w:r w:rsidR="00A42928">
        <w:t>.</w:t>
      </w:r>
      <w:r w:rsidR="00A42928">
        <w:rPr>
          <w:noProof/>
        </w:rPr>
        <w:t>3</w:t>
      </w:r>
      <w:r>
        <w:fldChar w:fldCharType="end"/>
      </w:r>
      <w:r>
        <w:t>.</w:t>
      </w:r>
    </w:p>
    <w:p w:rsidR="00C2279E" w:rsidRPr="009F38B5" w:rsidRDefault="00C2279E" w:rsidP="001E2481">
      <w:pPr>
        <w:pStyle w:val="Caption"/>
      </w:pPr>
      <w:bookmarkStart w:id="78" w:name="_Ref477521151"/>
      <w:proofErr w:type="gramStart"/>
      <w:r>
        <w:t xml:space="preserve">Table </w:t>
      </w:r>
      <w:proofErr w:type="gramEnd"/>
      <w:r w:rsidRPr="00C2279E">
        <w:fldChar w:fldCharType="begin"/>
      </w:r>
      <w:r>
        <w:instrText xml:space="preserve"> STYLEREF 1 \s </w:instrText>
      </w:r>
      <w:r w:rsidRPr="00C2279E">
        <w:fldChar w:fldCharType="separate"/>
      </w:r>
      <w:r w:rsidR="00A42928">
        <w:rPr>
          <w:noProof/>
        </w:rPr>
        <w:t>8</w:t>
      </w:r>
      <w:r w:rsidRPr="00C2279E">
        <w:fldChar w:fldCharType="end"/>
      </w:r>
      <w:proofErr w:type="gramStart"/>
      <w:r>
        <w:t>.</w:t>
      </w:r>
      <w:proofErr w:type="gramEnd"/>
      <w:r w:rsidRPr="00C2279E">
        <w:fldChar w:fldCharType="begin"/>
      </w:r>
      <w:r>
        <w:instrText xml:space="preserve"> SEQ Table \* ARABIC \s 1 </w:instrText>
      </w:r>
      <w:r w:rsidRPr="00C2279E">
        <w:fldChar w:fldCharType="separate"/>
      </w:r>
      <w:r w:rsidR="00A42928">
        <w:rPr>
          <w:noProof/>
        </w:rPr>
        <w:t>3</w:t>
      </w:r>
      <w:r w:rsidRPr="00C2279E">
        <w:fldChar w:fldCharType="end"/>
      </w:r>
      <w:bookmarkEnd w:id="78"/>
      <w:r>
        <w:tab/>
        <w:t>AGN's proposed tax asset base roll forward over the 2013–17 access arrangement period ($million, nominal)</w:t>
      </w:r>
    </w:p>
    <w:tbl>
      <w:tblPr>
        <w:tblStyle w:val="AERtable-numbers"/>
        <w:tblW w:w="8715" w:type="dxa"/>
        <w:tblLook w:val="04A0" w:firstRow="1" w:lastRow="0" w:firstColumn="1" w:lastColumn="0" w:noHBand="0" w:noVBand="1"/>
      </w:tblPr>
      <w:tblGrid>
        <w:gridCol w:w="2793"/>
        <w:gridCol w:w="1184"/>
        <w:gridCol w:w="1184"/>
        <w:gridCol w:w="1185"/>
        <w:gridCol w:w="1184"/>
        <w:gridCol w:w="1185"/>
      </w:tblGrid>
      <w:tr w:rsidR="00C2279E" w:rsidRPr="0016309E" w:rsidTr="005275C5">
        <w:trPr>
          <w:cnfStyle w:val="100000000000" w:firstRow="1" w:lastRow="0" w:firstColumn="0" w:lastColumn="0" w:oddVBand="0" w:evenVBand="0" w:oddHBand="0" w:evenHBand="0"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2793" w:type="dxa"/>
            <w:hideMark/>
          </w:tcPr>
          <w:p w:rsidR="00C2279E" w:rsidRPr="009436E0" w:rsidRDefault="00C2279E" w:rsidP="001E2481">
            <w:pPr>
              <w:keepNext/>
            </w:pPr>
          </w:p>
        </w:tc>
        <w:tc>
          <w:tcPr>
            <w:tcW w:w="1184" w:type="dxa"/>
            <w:hideMark/>
          </w:tcPr>
          <w:p w:rsidR="00C2279E" w:rsidRPr="009436E0" w:rsidRDefault="00C2279E" w:rsidP="001E2481">
            <w:pPr>
              <w:keepNext/>
              <w:cnfStyle w:val="100000000000" w:firstRow="1" w:lastRow="0" w:firstColumn="0" w:lastColumn="0" w:oddVBand="0" w:evenVBand="0" w:oddHBand="0" w:evenHBand="0" w:firstRowFirstColumn="0" w:firstRowLastColumn="0" w:lastRowFirstColumn="0" w:lastRowLastColumn="0"/>
            </w:pPr>
            <w:r w:rsidRPr="009436E0">
              <w:t>2013</w:t>
            </w:r>
          </w:p>
        </w:tc>
        <w:tc>
          <w:tcPr>
            <w:tcW w:w="1184" w:type="dxa"/>
          </w:tcPr>
          <w:p w:rsidR="00C2279E" w:rsidRPr="009436E0" w:rsidRDefault="00C2279E" w:rsidP="001E2481">
            <w:pPr>
              <w:keepNext/>
              <w:cnfStyle w:val="100000000000" w:firstRow="1" w:lastRow="0" w:firstColumn="0" w:lastColumn="0" w:oddVBand="0" w:evenVBand="0" w:oddHBand="0" w:evenHBand="0" w:firstRowFirstColumn="0" w:firstRowLastColumn="0" w:lastRowFirstColumn="0" w:lastRowLastColumn="0"/>
            </w:pPr>
            <w:r w:rsidRPr="009436E0">
              <w:t>2014</w:t>
            </w:r>
          </w:p>
        </w:tc>
        <w:tc>
          <w:tcPr>
            <w:tcW w:w="1185" w:type="dxa"/>
          </w:tcPr>
          <w:p w:rsidR="00C2279E" w:rsidRPr="003B1F0A" w:rsidRDefault="00C2279E" w:rsidP="001E2481">
            <w:pPr>
              <w:keepNext/>
              <w:cnfStyle w:val="100000000000" w:firstRow="1" w:lastRow="0" w:firstColumn="0" w:lastColumn="0" w:oddVBand="0" w:evenVBand="0" w:oddHBand="0" w:evenHBand="0" w:firstRowFirstColumn="0" w:firstRowLastColumn="0" w:lastRowFirstColumn="0" w:lastRowLastColumn="0"/>
            </w:pPr>
            <w:r w:rsidRPr="003B1F0A">
              <w:t>2015</w:t>
            </w:r>
          </w:p>
        </w:tc>
        <w:tc>
          <w:tcPr>
            <w:tcW w:w="1184" w:type="dxa"/>
          </w:tcPr>
          <w:p w:rsidR="00C2279E" w:rsidRPr="0016309E" w:rsidRDefault="00C2279E" w:rsidP="001E2481">
            <w:pPr>
              <w:keepNext/>
              <w:cnfStyle w:val="100000000000" w:firstRow="1" w:lastRow="0" w:firstColumn="0" w:lastColumn="0" w:oddVBand="0" w:evenVBand="0" w:oddHBand="0" w:evenHBand="0" w:firstRowFirstColumn="0" w:firstRowLastColumn="0" w:lastRowFirstColumn="0" w:lastRowLastColumn="0"/>
            </w:pPr>
            <w:r w:rsidRPr="0016309E">
              <w:t>2016</w:t>
            </w:r>
          </w:p>
        </w:tc>
        <w:tc>
          <w:tcPr>
            <w:tcW w:w="1185" w:type="dxa"/>
          </w:tcPr>
          <w:p w:rsidR="00C2279E" w:rsidRPr="005275C5" w:rsidRDefault="00C2279E" w:rsidP="001E2481">
            <w:pPr>
              <w:keepNext/>
              <w:cnfStyle w:val="100000000000" w:firstRow="1" w:lastRow="0" w:firstColumn="0" w:lastColumn="0" w:oddVBand="0" w:evenVBand="0" w:oddHBand="0" w:evenHBand="0" w:firstRowFirstColumn="0" w:firstRowLastColumn="0" w:lastRowFirstColumn="0" w:lastRowLastColumn="0"/>
            </w:pPr>
            <w:r w:rsidRPr="0016309E">
              <w:t>2017</w:t>
            </w:r>
          </w:p>
        </w:tc>
      </w:tr>
      <w:tr w:rsidR="0069478F" w:rsidRPr="0016309E" w:rsidTr="005275C5">
        <w:trPr>
          <w:trHeight w:val="80"/>
        </w:trPr>
        <w:tc>
          <w:tcPr>
            <w:cnfStyle w:val="001000000000" w:firstRow="0" w:lastRow="0" w:firstColumn="1" w:lastColumn="0" w:oddVBand="0" w:evenVBand="0" w:oddHBand="0" w:evenHBand="0" w:firstRowFirstColumn="0" w:firstRowLastColumn="0" w:lastRowFirstColumn="0" w:lastRowLastColumn="0"/>
            <w:tcW w:w="2793" w:type="dxa"/>
            <w:hideMark/>
          </w:tcPr>
          <w:p w:rsidR="0069478F" w:rsidRPr="004247BE" w:rsidRDefault="0069478F" w:rsidP="001E2481">
            <w:pPr>
              <w:keepNext/>
              <w:spacing w:before="200" w:after="0"/>
            </w:pPr>
            <w:r w:rsidRPr="0016309E">
              <w:t>Opening tax asset base</w:t>
            </w:r>
          </w:p>
        </w:tc>
        <w:tc>
          <w:tcPr>
            <w:tcW w:w="1184" w:type="dxa"/>
            <w:vAlign w:val="bottom"/>
          </w:tcPr>
          <w:p w:rsidR="0069478F" w:rsidRPr="005275C5" w:rsidRDefault="0069478F" w:rsidP="001E2481">
            <w:pPr>
              <w:keepNext/>
              <w:cnfStyle w:val="000000000000" w:firstRow="0" w:lastRow="0" w:firstColumn="0" w:lastColumn="0" w:oddVBand="0" w:evenVBand="0" w:oddHBand="0" w:evenHBand="0" w:firstRowFirstColumn="0" w:firstRowLastColumn="0" w:lastRowFirstColumn="0" w:lastRowLastColumn="0"/>
            </w:pPr>
            <w:r w:rsidRPr="0016309E">
              <w:t>390.5</w:t>
            </w:r>
          </w:p>
        </w:tc>
        <w:tc>
          <w:tcPr>
            <w:tcW w:w="1184" w:type="dxa"/>
            <w:vAlign w:val="bottom"/>
          </w:tcPr>
          <w:p w:rsidR="0069478F" w:rsidRPr="005275C5" w:rsidRDefault="0069478F" w:rsidP="001E2481">
            <w:pPr>
              <w:keepNext/>
              <w:cnfStyle w:val="000000000000" w:firstRow="0" w:lastRow="0" w:firstColumn="0" w:lastColumn="0" w:oddVBand="0" w:evenVBand="0" w:oddHBand="0" w:evenHBand="0" w:firstRowFirstColumn="0" w:firstRowLastColumn="0" w:lastRowFirstColumn="0" w:lastRowLastColumn="0"/>
            </w:pPr>
            <w:r w:rsidRPr="0016309E">
              <w:t>450.1</w:t>
            </w:r>
          </w:p>
        </w:tc>
        <w:tc>
          <w:tcPr>
            <w:tcW w:w="1185" w:type="dxa"/>
            <w:vAlign w:val="bottom"/>
          </w:tcPr>
          <w:p w:rsidR="0069478F" w:rsidRPr="005275C5" w:rsidRDefault="0069478F" w:rsidP="001E2481">
            <w:pPr>
              <w:keepNext/>
              <w:cnfStyle w:val="000000000000" w:firstRow="0" w:lastRow="0" w:firstColumn="0" w:lastColumn="0" w:oddVBand="0" w:evenVBand="0" w:oddHBand="0" w:evenHBand="0" w:firstRowFirstColumn="0" w:firstRowLastColumn="0" w:lastRowFirstColumn="0" w:lastRowLastColumn="0"/>
            </w:pPr>
            <w:r w:rsidRPr="0016309E">
              <w:t>519.9</w:t>
            </w:r>
          </w:p>
        </w:tc>
        <w:tc>
          <w:tcPr>
            <w:tcW w:w="1184" w:type="dxa"/>
            <w:vAlign w:val="bottom"/>
          </w:tcPr>
          <w:p w:rsidR="0069478F" w:rsidRPr="005275C5" w:rsidRDefault="0069478F" w:rsidP="001E2481">
            <w:pPr>
              <w:keepNext/>
              <w:cnfStyle w:val="000000000000" w:firstRow="0" w:lastRow="0" w:firstColumn="0" w:lastColumn="0" w:oddVBand="0" w:evenVBand="0" w:oddHBand="0" w:evenHBand="0" w:firstRowFirstColumn="0" w:firstRowLastColumn="0" w:lastRowFirstColumn="0" w:lastRowLastColumn="0"/>
            </w:pPr>
            <w:r w:rsidRPr="0016309E">
              <w:t>601.5</w:t>
            </w:r>
          </w:p>
        </w:tc>
        <w:tc>
          <w:tcPr>
            <w:tcW w:w="1185" w:type="dxa"/>
            <w:vAlign w:val="bottom"/>
          </w:tcPr>
          <w:p w:rsidR="0069478F" w:rsidRPr="005275C5" w:rsidRDefault="0069478F" w:rsidP="001E2481">
            <w:pPr>
              <w:keepNext/>
              <w:cnfStyle w:val="000000000000" w:firstRow="0" w:lastRow="0" w:firstColumn="0" w:lastColumn="0" w:oddVBand="0" w:evenVBand="0" w:oddHBand="0" w:evenHBand="0" w:firstRowFirstColumn="0" w:firstRowLastColumn="0" w:lastRowFirstColumn="0" w:lastRowLastColumn="0"/>
            </w:pPr>
            <w:r w:rsidRPr="0016309E">
              <w:t>657.1</w:t>
            </w:r>
          </w:p>
        </w:tc>
      </w:tr>
      <w:tr w:rsidR="0069478F" w:rsidRPr="0016309E" w:rsidTr="005275C5">
        <w:trPr>
          <w:cnfStyle w:val="000000010000" w:firstRow="0" w:lastRow="0" w:firstColumn="0" w:lastColumn="0" w:oddVBand="0" w:evenVBand="0" w:oddHBand="0" w:evenHBand="1"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2793" w:type="dxa"/>
            <w:hideMark/>
          </w:tcPr>
          <w:p w:rsidR="0069478F" w:rsidRPr="004247BE" w:rsidRDefault="0069478F" w:rsidP="001E2481">
            <w:pPr>
              <w:keepNext/>
              <w:spacing w:before="200" w:after="0"/>
            </w:pPr>
            <w:r w:rsidRPr="0016309E">
              <w:t>Capex</w:t>
            </w:r>
          </w:p>
        </w:tc>
        <w:tc>
          <w:tcPr>
            <w:tcW w:w="1184" w:type="dxa"/>
            <w:vAlign w:val="bottom"/>
          </w:tcPr>
          <w:p w:rsidR="0069478F" w:rsidRPr="005275C5" w:rsidRDefault="0069478F" w:rsidP="001E2481">
            <w:pPr>
              <w:keepNext/>
              <w:cnfStyle w:val="000000010000" w:firstRow="0" w:lastRow="0" w:firstColumn="0" w:lastColumn="0" w:oddVBand="0" w:evenVBand="0" w:oddHBand="0" w:evenHBand="1" w:firstRowFirstColumn="0" w:firstRowLastColumn="0" w:lastRowFirstColumn="0" w:lastRowLastColumn="0"/>
            </w:pPr>
            <w:r w:rsidRPr="0016309E">
              <w:t>105.2</w:t>
            </w:r>
          </w:p>
        </w:tc>
        <w:tc>
          <w:tcPr>
            <w:tcW w:w="1184" w:type="dxa"/>
            <w:vAlign w:val="bottom"/>
          </w:tcPr>
          <w:p w:rsidR="0069478F" w:rsidRPr="005275C5" w:rsidRDefault="0069478F" w:rsidP="001E2481">
            <w:pPr>
              <w:keepNext/>
              <w:cnfStyle w:val="000000010000" w:firstRow="0" w:lastRow="0" w:firstColumn="0" w:lastColumn="0" w:oddVBand="0" w:evenVBand="0" w:oddHBand="0" w:evenHBand="1" w:firstRowFirstColumn="0" w:firstRowLastColumn="0" w:lastRowFirstColumn="0" w:lastRowLastColumn="0"/>
            </w:pPr>
            <w:r w:rsidRPr="0016309E">
              <w:t>114.9</w:t>
            </w:r>
          </w:p>
        </w:tc>
        <w:tc>
          <w:tcPr>
            <w:tcW w:w="1185" w:type="dxa"/>
            <w:vAlign w:val="bottom"/>
          </w:tcPr>
          <w:p w:rsidR="0069478F" w:rsidRPr="005275C5" w:rsidRDefault="0069478F" w:rsidP="001E2481">
            <w:pPr>
              <w:keepNext/>
              <w:cnfStyle w:val="000000010000" w:firstRow="0" w:lastRow="0" w:firstColumn="0" w:lastColumn="0" w:oddVBand="0" w:evenVBand="0" w:oddHBand="0" w:evenHBand="1" w:firstRowFirstColumn="0" w:firstRowLastColumn="0" w:lastRowFirstColumn="0" w:lastRowLastColumn="0"/>
            </w:pPr>
            <w:r w:rsidRPr="0016309E">
              <w:t>128.5</w:t>
            </w:r>
          </w:p>
        </w:tc>
        <w:tc>
          <w:tcPr>
            <w:tcW w:w="1184" w:type="dxa"/>
            <w:vAlign w:val="bottom"/>
          </w:tcPr>
          <w:p w:rsidR="0069478F" w:rsidRPr="004247BE" w:rsidRDefault="0069478F" w:rsidP="001E2481">
            <w:pPr>
              <w:keepNext/>
              <w:cnfStyle w:val="000000010000" w:firstRow="0" w:lastRow="0" w:firstColumn="0" w:lastColumn="0" w:oddVBand="0" w:evenVBand="0" w:oddHBand="0" w:evenHBand="1" w:firstRowFirstColumn="0" w:firstRowLastColumn="0" w:lastRowFirstColumn="0" w:lastRowLastColumn="0"/>
            </w:pPr>
            <w:r w:rsidRPr="0016309E">
              <w:t>105.0</w:t>
            </w:r>
          </w:p>
        </w:tc>
        <w:tc>
          <w:tcPr>
            <w:tcW w:w="1185" w:type="dxa"/>
            <w:vAlign w:val="bottom"/>
          </w:tcPr>
          <w:p w:rsidR="0069478F" w:rsidRPr="004247BE" w:rsidRDefault="0069478F" w:rsidP="001E2481">
            <w:pPr>
              <w:keepNext/>
              <w:cnfStyle w:val="000000010000" w:firstRow="0" w:lastRow="0" w:firstColumn="0" w:lastColumn="0" w:oddVBand="0" w:evenVBand="0" w:oddHBand="0" w:evenHBand="1" w:firstRowFirstColumn="0" w:firstRowLastColumn="0" w:lastRowFirstColumn="0" w:lastRowLastColumn="0"/>
            </w:pPr>
            <w:r w:rsidRPr="0016309E">
              <w:t>117.2</w:t>
            </w:r>
          </w:p>
        </w:tc>
      </w:tr>
      <w:tr w:rsidR="0069478F" w:rsidRPr="0016309E" w:rsidTr="005275C5">
        <w:trPr>
          <w:trHeight w:val="80"/>
        </w:trPr>
        <w:tc>
          <w:tcPr>
            <w:cnfStyle w:val="001000000000" w:firstRow="0" w:lastRow="0" w:firstColumn="1" w:lastColumn="0" w:oddVBand="0" w:evenVBand="0" w:oddHBand="0" w:evenHBand="0" w:firstRowFirstColumn="0" w:firstRowLastColumn="0" w:lastRowFirstColumn="0" w:lastRowLastColumn="0"/>
            <w:tcW w:w="2793" w:type="dxa"/>
            <w:hideMark/>
          </w:tcPr>
          <w:p w:rsidR="0069478F" w:rsidRPr="009436E0" w:rsidRDefault="0069478F" w:rsidP="001E2481">
            <w:pPr>
              <w:keepNext/>
            </w:pPr>
            <w:r w:rsidRPr="0016309E">
              <w:rPr>
                <w:rStyle w:val="AERtextitalic"/>
              </w:rPr>
              <w:t>Less:</w:t>
            </w:r>
            <w:r w:rsidRPr="009436E0">
              <w:t xml:space="preserve"> </w:t>
            </w:r>
            <w:r w:rsidR="00A30F8F">
              <w:t>t</w:t>
            </w:r>
            <w:r w:rsidRPr="009436E0">
              <w:t>ax depreciation</w:t>
            </w:r>
          </w:p>
        </w:tc>
        <w:tc>
          <w:tcPr>
            <w:tcW w:w="1184" w:type="dxa"/>
            <w:vAlign w:val="bottom"/>
          </w:tcPr>
          <w:p w:rsidR="0069478F" w:rsidRPr="009436E0" w:rsidRDefault="0069478F" w:rsidP="001E2481">
            <w:pPr>
              <w:keepNext/>
              <w:cnfStyle w:val="000000000000" w:firstRow="0" w:lastRow="0" w:firstColumn="0" w:lastColumn="0" w:oddVBand="0" w:evenVBand="0" w:oddHBand="0" w:evenHBand="0" w:firstRowFirstColumn="0" w:firstRowLastColumn="0" w:lastRowFirstColumn="0" w:lastRowLastColumn="0"/>
            </w:pPr>
            <w:r w:rsidRPr="009436E0">
              <w:t>45.6</w:t>
            </w:r>
          </w:p>
        </w:tc>
        <w:tc>
          <w:tcPr>
            <w:tcW w:w="1184" w:type="dxa"/>
            <w:vAlign w:val="bottom"/>
          </w:tcPr>
          <w:p w:rsidR="0069478F" w:rsidRPr="009436E0" w:rsidRDefault="0069478F" w:rsidP="001E2481">
            <w:pPr>
              <w:keepNext/>
              <w:cnfStyle w:val="000000000000" w:firstRow="0" w:lastRow="0" w:firstColumn="0" w:lastColumn="0" w:oddVBand="0" w:evenVBand="0" w:oddHBand="0" w:evenHBand="0" w:firstRowFirstColumn="0" w:firstRowLastColumn="0" w:lastRowFirstColumn="0" w:lastRowLastColumn="0"/>
            </w:pPr>
            <w:r w:rsidRPr="009436E0">
              <w:t>45.2</w:t>
            </w:r>
          </w:p>
        </w:tc>
        <w:tc>
          <w:tcPr>
            <w:tcW w:w="1185" w:type="dxa"/>
            <w:vAlign w:val="bottom"/>
          </w:tcPr>
          <w:p w:rsidR="0069478F" w:rsidRPr="003B1F0A" w:rsidRDefault="0069478F" w:rsidP="001E2481">
            <w:pPr>
              <w:keepNext/>
              <w:cnfStyle w:val="000000000000" w:firstRow="0" w:lastRow="0" w:firstColumn="0" w:lastColumn="0" w:oddVBand="0" w:evenVBand="0" w:oddHBand="0" w:evenHBand="0" w:firstRowFirstColumn="0" w:firstRowLastColumn="0" w:lastRowFirstColumn="0" w:lastRowLastColumn="0"/>
            </w:pPr>
            <w:r w:rsidRPr="003B1F0A">
              <w:t>46.9</w:t>
            </w:r>
          </w:p>
        </w:tc>
        <w:tc>
          <w:tcPr>
            <w:tcW w:w="1184" w:type="dxa"/>
            <w:vAlign w:val="bottom"/>
          </w:tcPr>
          <w:p w:rsidR="0069478F" w:rsidRPr="003B1F0A" w:rsidRDefault="0069478F" w:rsidP="001E2481">
            <w:pPr>
              <w:keepNext/>
              <w:cnfStyle w:val="000000000000" w:firstRow="0" w:lastRow="0" w:firstColumn="0" w:lastColumn="0" w:oddVBand="0" w:evenVBand="0" w:oddHBand="0" w:evenHBand="0" w:firstRowFirstColumn="0" w:firstRowLastColumn="0" w:lastRowFirstColumn="0" w:lastRowLastColumn="0"/>
            </w:pPr>
            <w:r w:rsidRPr="003B1F0A">
              <w:t>49.4</w:t>
            </w:r>
          </w:p>
        </w:tc>
        <w:tc>
          <w:tcPr>
            <w:tcW w:w="1185" w:type="dxa"/>
            <w:vAlign w:val="bottom"/>
          </w:tcPr>
          <w:p w:rsidR="0069478F" w:rsidRPr="004247BE" w:rsidRDefault="0069478F" w:rsidP="001E2481">
            <w:pPr>
              <w:keepNext/>
              <w:cnfStyle w:val="000000000000" w:firstRow="0" w:lastRow="0" w:firstColumn="0" w:lastColumn="0" w:oddVBand="0" w:evenVBand="0" w:oddHBand="0" w:evenHBand="0" w:firstRowFirstColumn="0" w:firstRowLastColumn="0" w:lastRowFirstColumn="0" w:lastRowLastColumn="0"/>
            </w:pPr>
            <w:r w:rsidRPr="0016309E">
              <w:t>52.4</w:t>
            </w:r>
          </w:p>
        </w:tc>
      </w:tr>
      <w:tr w:rsidR="0069478F" w:rsidRPr="002D1558" w:rsidTr="005275C5">
        <w:trPr>
          <w:cnfStyle w:val="000000010000" w:firstRow="0" w:lastRow="0" w:firstColumn="0" w:lastColumn="0" w:oddVBand="0" w:evenVBand="0" w:oddHBand="0" w:evenHBand="1"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2793" w:type="dxa"/>
            <w:hideMark/>
          </w:tcPr>
          <w:p w:rsidR="0069478F" w:rsidRPr="003F4AAC" w:rsidRDefault="0069478F" w:rsidP="001E2481">
            <w:pPr>
              <w:keepNext/>
            </w:pPr>
            <w:r w:rsidRPr="003F4AAC">
              <w:t>Closing tax asset base</w:t>
            </w:r>
          </w:p>
        </w:tc>
        <w:tc>
          <w:tcPr>
            <w:tcW w:w="1184" w:type="dxa"/>
            <w:vAlign w:val="bottom"/>
          </w:tcPr>
          <w:p w:rsidR="0069478F" w:rsidRPr="003F4AAC" w:rsidRDefault="0069478F" w:rsidP="001E2481">
            <w:pPr>
              <w:keepNext/>
              <w:cnfStyle w:val="000000010000" w:firstRow="0" w:lastRow="0" w:firstColumn="0" w:lastColumn="0" w:oddVBand="0" w:evenVBand="0" w:oddHBand="0" w:evenHBand="1" w:firstRowFirstColumn="0" w:firstRowLastColumn="0" w:lastRowFirstColumn="0" w:lastRowLastColumn="0"/>
              <w:rPr>
                <w:rFonts w:eastAsiaTheme="minorHAnsi" w:cstheme="minorBidi"/>
                <w:sz w:val="22"/>
                <w:szCs w:val="22"/>
                <w:lang w:eastAsia="en-US"/>
              </w:rPr>
            </w:pPr>
            <w:r w:rsidRPr="003F4AAC">
              <w:t>450.1</w:t>
            </w:r>
          </w:p>
        </w:tc>
        <w:tc>
          <w:tcPr>
            <w:tcW w:w="1184" w:type="dxa"/>
            <w:vAlign w:val="bottom"/>
          </w:tcPr>
          <w:p w:rsidR="0069478F" w:rsidRPr="003F4AAC" w:rsidRDefault="0069478F" w:rsidP="001E2481">
            <w:pPr>
              <w:keepNext/>
              <w:cnfStyle w:val="000000010000" w:firstRow="0" w:lastRow="0" w:firstColumn="0" w:lastColumn="0" w:oddVBand="0" w:evenVBand="0" w:oddHBand="0" w:evenHBand="1" w:firstRowFirstColumn="0" w:firstRowLastColumn="0" w:lastRowFirstColumn="0" w:lastRowLastColumn="0"/>
              <w:rPr>
                <w:rFonts w:eastAsiaTheme="minorHAnsi" w:cstheme="minorBidi"/>
                <w:sz w:val="22"/>
                <w:szCs w:val="22"/>
                <w:lang w:eastAsia="en-US"/>
              </w:rPr>
            </w:pPr>
            <w:r w:rsidRPr="003F4AAC">
              <w:t>519.9</w:t>
            </w:r>
          </w:p>
        </w:tc>
        <w:tc>
          <w:tcPr>
            <w:tcW w:w="1185" w:type="dxa"/>
            <w:vAlign w:val="bottom"/>
          </w:tcPr>
          <w:p w:rsidR="0069478F" w:rsidRPr="003F4AAC" w:rsidRDefault="0069478F" w:rsidP="001E2481">
            <w:pPr>
              <w:keepNext/>
              <w:cnfStyle w:val="000000010000" w:firstRow="0" w:lastRow="0" w:firstColumn="0" w:lastColumn="0" w:oddVBand="0" w:evenVBand="0" w:oddHBand="0" w:evenHBand="1" w:firstRowFirstColumn="0" w:firstRowLastColumn="0" w:lastRowFirstColumn="0" w:lastRowLastColumn="0"/>
              <w:rPr>
                <w:rFonts w:eastAsiaTheme="minorHAnsi" w:cstheme="minorBidi"/>
                <w:sz w:val="22"/>
                <w:szCs w:val="22"/>
                <w:lang w:eastAsia="en-US"/>
              </w:rPr>
            </w:pPr>
            <w:r w:rsidRPr="003F4AAC">
              <w:t>601.5</w:t>
            </w:r>
          </w:p>
        </w:tc>
        <w:tc>
          <w:tcPr>
            <w:tcW w:w="1184" w:type="dxa"/>
            <w:vAlign w:val="bottom"/>
          </w:tcPr>
          <w:p w:rsidR="0069478F" w:rsidRPr="003F4AAC" w:rsidRDefault="0069478F" w:rsidP="001E2481">
            <w:pPr>
              <w:keepNext/>
              <w:cnfStyle w:val="000000010000" w:firstRow="0" w:lastRow="0" w:firstColumn="0" w:lastColumn="0" w:oddVBand="0" w:evenVBand="0" w:oddHBand="0" w:evenHBand="1" w:firstRowFirstColumn="0" w:firstRowLastColumn="0" w:lastRowFirstColumn="0" w:lastRowLastColumn="0"/>
              <w:rPr>
                <w:rFonts w:eastAsiaTheme="minorHAnsi" w:cstheme="minorBidi"/>
                <w:sz w:val="22"/>
                <w:szCs w:val="22"/>
                <w:lang w:eastAsia="en-US"/>
              </w:rPr>
            </w:pPr>
            <w:r w:rsidRPr="003F4AAC">
              <w:t>657.1</w:t>
            </w:r>
          </w:p>
        </w:tc>
        <w:tc>
          <w:tcPr>
            <w:tcW w:w="1185" w:type="dxa"/>
            <w:vAlign w:val="bottom"/>
          </w:tcPr>
          <w:p w:rsidR="0069478F" w:rsidRPr="003F4AAC" w:rsidRDefault="0069478F" w:rsidP="001E2481">
            <w:pPr>
              <w:keepNext/>
              <w:cnfStyle w:val="000000010000" w:firstRow="0" w:lastRow="0" w:firstColumn="0" w:lastColumn="0" w:oddVBand="0" w:evenVBand="0" w:oddHBand="0" w:evenHBand="1" w:firstRowFirstColumn="0" w:firstRowLastColumn="0" w:lastRowFirstColumn="0" w:lastRowLastColumn="0"/>
              <w:rPr>
                <w:rFonts w:eastAsiaTheme="minorHAnsi" w:cstheme="minorBidi"/>
                <w:sz w:val="22"/>
                <w:szCs w:val="22"/>
                <w:lang w:eastAsia="en-US"/>
              </w:rPr>
            </w:pPr>
            <w:r w:rsidRPr="003F4AAC">
              <w:t>721.9</w:t>
            </w:r>
          </w:p>
        </w:tc>
      </w:tr>
    </w:tbl>
    <w:p w:rsidR="00C2279E" w:rsidRDefault="00C2279E" w:rsidP="001E2481">
      <w:pPr>
        <w:pStyle w:val="AERtablesource"/>
        <w:keepNext/>
      </w:pPr>
      <w:r w:rsidRPr="00C2279E">
        <w:rPr>
          <w:rFonts w:eastAsia="Calibri"/>
        </w:rPr>
        <w:t xml:space="preserve">Source: </w:t>
      </w:r>
      <w:r w:rsidRPr="00C2279E">
        <w:rPr>
          <w:rFonts w:eastAsia="Calibri"/>
        </w:rPr>
        <w:tab/>
      </w:r>
      <w:r w:rsidR="00CD6635" w:rsidRPr="00CD6635">
        <w:t xml:space="preserve">AGN - </w:t>
      </w:r>
      <w:r w:rsidR="00CD6635" w:rsidRPr="00FB30F1">
        <w:rPr>
          <w:rStyle w:val="AERtextitalic"/>
        </w:rPr>
        <w:t>Attachment 1.7 - Victoria Roll Forward Model</w:t>
      </w:r>
      <w:r w:rsidR="00CD6635" w:rsidRPr="00CD6635">
        <w:t xml:space="preserve"> - December 2016 - Public</w:t>
      </w:r>
      <w:r w:rsidR="00CD6635">
        <w:t xml:space="preserve">; </w:t>
      </w:r>
      <w:r w:rsidR="00CD6635" w:rsidRPr="00CD6635">
        <w:t xml:space="preserve">AGN - </w:t>
      </w:r>
      <w:r w:rsidR="00CD6635" w:rsidRPr="00FB30F1">
        <w:rPr>
          <w:rStyle w:val="AERtextitalic"/>
        </w:rPr>
        <w:t xml:space="preserve">Attachment 1.8 - Albury Roll Forward Model </w:t>
      </w:r>
      <w:r w:rsidR="00CD6635" w:rsidRPr="00CD6635">
        <w:t>- December 2016 - Public</w:t>
      </w:r>
      <w:r w:rsidRPr="0007719F">
        <w:t>.</w:t>
      </w:r>
    </w:p>
    <w:p w:rsidR="00C2279E" w:rsidRDefault="00C2279E" w:rsidP="00C2279E">
      <w:pPr>
        <w:pStyle w:val="Heading2"/>
      </w:pPr>
      <w:bookmarkStart w:id="79" w:name="_Toc477782991"/>
      <w:bookmarkStart w:id="80" w:name="_Toc486834705"/>
      <w:r>
        <w:t>A</w:t>
      </w:r>
      <w:r w:rsidR="009436E0">
        <w:t>ER's a</w:t>
      </w:r>
      <w:r>
        <w:t>ssessment approach</w:t>
      </w:r>
      <w:bookmarkEnd w:id="79"/>
      <w:bookmarkEnd w:id="80"/>
    </w:p>
    <w:p w:rsidR="00C2279E" w:rsidRPr="00FD50DB" w:rsidRDefault="00C2279E" w:rsidP="00C2279E">
      <w:r>
        <w:t>Our approach to calculate AGN's cost of corporate income tax begins with an</w:t>
      </w:r>
      <w:r w:rsidRPr="00FD50DB">
        <w:t xml:space="preserve"> estimate</w:t>
      </w:r>
      <w:r>
        <w:t xml:space="preserve"> of</w:t>
      </w:r>
      <w:r w:rsidRPr="00FD50DB">
        <w:t xml:space="preserve"> taxable income that would be earned by a</w:t>
      </w:r>
      <w:r>
        <w:t xml:space="preserve"> benchmark</w:t>
      </w:r>
      <w:r w:rsidRPr="00FD50DB">
        <w:t xml:space="preserve"> efficient company operating </w:t>
      </w:r>
      <w:r>
        <w:t>AGN's pipeline</w:t>
      </w:r>
      <w:r w:rsidRPr="00FD50DB">
        <w:t xml:space="preserve">. </w:t>
      </w:r>
      <w:r>
        <w:t xml:space="preserve">As part of this calculation, tax expenses such as interest and depreciation need to be estimated. </w:t>
      </w:r>
      <w:r w:rsidRPr="00FD50DB">
        <w:t xml:space="preserve">Interest tax expense should be estimated using a benchmark 60 per cent gearing, rather than </w:t>
      </w:r>
      <w:r>
        <w:t xml:space="preserve">AGN's </w:t>
      </w:r>
      <w:r w:rsidRPr="00FD50DB">
        <w:t xml:space="preserve">actual gearing. Tax depreciation is calculated using a separate </w:t>
      </w:r>
      <w:r>
        <w:t>TAB</w:t>
      </w:r>
      <w:r w:rsidRPr="00FD50DB">
        <w:t>. All tax expenses (including other expenses such as operating expenditure) are offs</w:t>
      </w:r>
      <w:r>
        <w:t>et against the service provider’</w:t>
      </w:r>
      <w:r w:rsidRPr="00FD50DB">
        <w:t xml:space="preserve">s forecast revenue to estimate the taxable income. The statutory income tax rate of 30 per cent is then applied to the estimated taxable income to arrive at a notional amount of tax payable. We then apply a discount to that notional amount of tax payable to account for the </w:t>
      </w:r>
      <w:r>
        <w:t xml:space="preserve">value of imputation credits (gamma). </w:t>
      </w:r>
      <w:r w:rsidRPr="002616BC">
        <w:t>T</w:t>
      </w:r>
      <w:r w:rsidRPr="00286FBC">
        <w:t>he value of imputation credits attachment (attachment 4)</w:t>
      </w:r>
      <w:r w:rsidRPr="002616BC">
        <w:t xml:space="preserve"> details</w:t>
      </w:r>
      <w:r>
        <w:t xml:space="preserve"> our draft decision on gamma. The discounted nominal </w:t>
      </w:r>
      <w:r w:rsidRPr="00FD50DB">
        <w:t xml:space="preserve">amount </w:t>
      </w:r>
      <w:r>
        <w:t xml:space="preserve">of tax payable </w:t>
      </w:r>
      <w:r w:rsidRPr="00FD50DB">
        <w:t xml:space="preserve">is then included as a separate building block in determining </w:t>
      </w:r>
      <w:r>
        <w:t xml:space="preserve">AGN's </w:t>
      </w:r>
      <w:r w:rsidRPr="00FD50DB">
        <w:t>total revenue.</w:t>
      </w:r>
      <w:r w:rsidRPr="00FD50DB">
        <w:rPr>
          <w:rStyle w:val="FootnoteReference"/>
        </w:rPr>
        <w:footnoteReference w:id="8"/>
      </w:r>
      <w:r w:rsidRPr="00FD50DB">
        <w:t xml:space="preserve"> </w:t>
      </w:r>
    </w:p>
    <w:p w:rsidR="00C2279E" w:rsidRPr="00FD50DB" w:rsidRDefault="00C2279E" w:rsidP="00C2279E">
      <w:r>
        <w:t xml:space="preserve">The corporate income tax allowance </w:t>
      </w:r>
      <w:r w:rsidRPr="00874BD1">
        <w:t>is an output of the AER’s PTRM</w:t>
      </w:r>
      <w:r>
        <w:t>, which has been adopted by AGN</w:t>
      </w:r>
      <w:r w:rsidRPr="00874BD1">
        <w:t xml:space="preserve">. </w:t>
      </w:r>
      <w:r w:rsidRPr="00FD50DB">
        <w:t xml:space="preserve">We </w:t>
      </w:r>
      <w:r>
        <w:t xml:space="preserve">have </w:t>
      </w:r>
      <w:r w:rsidRPr="00FD50DB">
        <w:t xml:space="preserve">therefore assessed </w:t>
      </w:r>
      <w:r>
        <w:t xml:space="preserve">AGN's </w:t>
      </w:r>
      <w:r w:rsidRPr="00FD50DB">
        <w:t xml:space="preserve">proposed corporate income tax allowance by analysing </w:t>
      </w:r>
      <w:r>
        <w:t>its</w:t>
      </w:r>
      <w:r w:rsidRPr="00FD50DB">
        <w:t xml:space="preserve"> proposed inputs to the </w:t>
      </w:r>
      <w:r>
        <w:t>PTRM</w:t>
      </w:r>
      <w:r w:rsidRPr="00FD50DB">
        <w:t xml:space="preserve"> for calculating the tax allowance. These inputs include: </w:t>
      </w:r>
    </w:p>
    <w:p w:rsidR="00C2279E" w:rsidRPr="00F8282A" w:rsidRDefault="00C2279E" w:rsidP="00C2279E">
      <w:pPr>
        <w:pStyle w:val="AERbulletlistfirststyle"/>
      </w:pPr>
      <w:r w:rsidRPr="00F8282A">
        <w:t xml:space="preserve">the opening TAB as at </w:t>
      </w:r>
      <w:r>
        <w:t>1 January 2018</w:t>
      </w:r>
    </w:p>
    <w:p w:rsidR="00C2279E" w:rsidRPr="00F8282A" w:rsidRDefault="00C2279E" w:rsidP="00C2279E">
      <w:pPr>
        <w:pStyle w:val="AERbulletlistfirststyle"/>
      </w:pPr>
      <w:r>
        <w:t xml:space="preserve">the standard tax asset life </w:t>
      </w:r>
      <w:r w:rsidRPr="00F8282A">
        <w:t>for each asset class</w:t>
      </w:r>
    </w:p>
    <w:p w:rsidR="00C2279E" w:rsidRPr="00F8282A" w:rsidRDefault="00C2279E" w:rsidP="00C2279E">
      <w:pPr>
        <w:pStyle w:val="AERbulletlistfirststyle"/>
      </w:pPr>
      <w:r w:rsidRPr="00F8282A">
        <w:t xml:space="preserve">the </w:t>
      </w:r>
      <w:r>
        <w:t>remaining tax asset life</w:t>
      </w:r>
      <w:r w:rsidRPr="00F8282A">
        <w:t xml:space="preserve"> for each asset class</w:t>
      </w:r>
      <w:r>
        <w:t xml:space="preserve"> as at 1 January 2018</w:t>
      </w:r>
    </w:p>
    <w:p w:rsidR="00C2279E" w:rsidRPr="00F8282A" w:rsidRDefault="00C2279E" w:rsidP="00C2279E">
      <w:pPr>
        <w:pStyle w:val="AERbulletlistfirststyle"/>
      </w:pPr>
      <w:r w:rsidRPr="00F8282A">
        <w:t xml:space="preserve">the </w:t>
      </w:r>
      <w:r>
        <w:t xml:space="preserve">corporate </w:t>
      </w:r>
      <w:r w:rsidRPr="00F8282A">
        <w:t>income tax rate</w:t>
      </w:r>
    </w:p>
    <w:p w:rsidR="00C2279E" w:rsidRPr="00F8282A" w:rsidRDefault="00C2279E" w:rsidP="00C2279E">
      <w:pPr>
        <w:pStyle w:val="AERbulletlistfirststyle"/>
      </w:pPr>
      <w:proofErr w:type="gramStart"/>
      <w:r w:rsidRPr="00F8282A">
        <w:t>the</w:t>
      </w:r>
      <w:proofErr w:type="gramEnd"/>
      <w:r w:rsidRPr="00F8282A">
        <w:t xml:space="preserve"> value of </w:t>
      </w:r>
      <w:r>
        <w:t>imputation credits (</w:t>
      </w:r>
      <w:r w:rsidRPr="00F8282A">
        <w:t>gamma</w:t>
      </w:r>
      <w:r>
        <w:t>)</w:t>
      </w:r>
      <w:r w:rsidRPr="00F8282A">
        <w:t>.</w:t>
      </w:r>
    </w:p>
    <w:p w:rsidR="00C2279E" w:rsidRDefault="00C2279E" w:rsidP="00C2279E">
      <w:pPr>
        <w:rPr>
          <w:rStyle w:val="AERbody"/>
        </w:rPr>
      </w:pPr>
      <w:r w:rsidRPr="00FD50DB">
        <w:rPr>
          <w:rStyle w:val="AERbody"/>
        </w:rPr>
        <w:t xml:space="preserve">In assessing </w:t>
      </w:r>
      <w:r>
        <w:rPr>
          <w:rStyle w:val="AERbody"/>
        </w:rPr>
        <w:t xml:space="preserve">AGN's </w:t>
      </w:r>
      <w:r w:rsidRPr="00FD50DB">
        <w:rPr>
          <w:rStyle w:val="AERbody"/>
        </w:rPr>
        <w:t>proposal, we ha</w:t>
      </w:r>
      <w:r>
        <w:rPr>
          <w:rStyle w:val="AERbody"/>
        </w:rPr>
        <w:t>ve</w:t>
      </w:r>
      <w:r w:rsidRPr="00FD50DB">
        <w:rPr>
          <w:rStyle w:val="AERbody"/>
        </w:rPr>
        <w:t xml:space="preserve"> had regard to the NGO and the revenue and pricing principles.</w:t>
      </w:r>
      <w:r w:rsidRPr="00FD50DB">
        <w:rPr>
          <w:rStyle w:val="FootnoteReference"/>
        </w:rPr>
        <w:footnoteReference w:id="9"/>
      </w:r>
    </w:p>
    <w:p w:rsidR="00C70CD3" w:rsidRDefault="00C70CD3" w:rsidP="00C70CD3">
      <w:r>
        <w:t xml:space="preserve">The rules also require that any forecast must be arrived at on a reasonable basis and </w:t>
      </w:r>
      <w:r w:rsidRPr="00B64042">
        <w:t>must represent the best forecast or estimate possible in the circumstances.</w:t>
      </w:r>
      <w:r>
        <w:rPr>
          <w:rStyle w:val="FootnoteReference"/>
        </w:rPr>
        <w:footnoteReference w:id="10"/>
      </w:r>
    </w:p>
    <w:p w:rsidR="00C2279E" w:rsidRPr="00FD50DB" w:rsidRDefault="00C2279E" w:rsidP="00C2279E">
      <w:r>
        <w:t>We consider</w:t>
      </w:r>
      <w:r w:rsidRPr="00FD50DB">
        <w:t xml:space="preserve"> that the roll forward of the opening </w:t>
      </w:r>
      <w:r>
        <w:t>TAB</w:t>
      </w:r>
      <w:r w:rsidRPr="00FD50DB">
        <w:t xml:space="preserve"> to </w:t>
      </w:r>
      <w:r>
        <w:t>1 January 2018</w:t>
      </w:r>
      <w:r w:rsidRPr="00FD50DB">
        <w:t xml:space="preserve"> should be based on the approved opening </w:t>
      </w:r>
      <w:r>
        <w:t>TAB</w:t>
      </w:r>
      <w:r w:rsidRPr="00FD50DB">
        <w:t xml:space="preserve"> as at </w:t>
      </w:r>
      <w:r>
        <w:t>1 January 2013</w:t>
      </w:r>
      <w:r w:rsidRPr="00FD50DB">
        <w:t xml:space="preserve"> and </w:t>
      </w:r>
      <w:r>
        <w:t xml:space="preserve">AGN's </w:t>
      </w:r>
      <w:r w:rsidRPr="00FD50DB">
        <w:t xml:space="preserve">actual capex in </w:t>
      </w:r>
      <w:r>
        <w:t>the 2013–17 access arrangement period</w:t>
      </w:r>
      <w:r w:rsidRPr="00FD50DB">
        <w:t xml:space="preserve">. </w:t>
      </w:r>
      <w:r w:rsidR="004356A7">
        <w:t xml:space="preserve">We consider that the calculation of the tax depreciation should be based on the actual capex over the 2013–17 access arrangement </w:t>
      </w:r>
      <w:proofErr w:type="gramStart"/>
      <w:r w:rsidR="004356A7">
        <w:t>period</w:t>
      </w:r>
      <w:proofErr w:type="gramEnd"/>
      <w:r w:rsidR="004356A7">
        <w:t xml:space="preserve">. </w:t>
      </w:r>
      <w:r w:rsidRPr="00FD50DB">
        <w:t xml:space="preserve">The value of the </w:t>
      </w:r>
      <w:r w:rsidRPr="002616BC">
        <w:rPr>
          <w:rStyle w:val="AERbody"/>
        </w:rPr>
        <w:t>actual capex used for rolling forward the TAB is subject to our assessment of these values as discussed in attachment 6.</w:t>
      </w:r>
    </w:p>
    <w:p w:rsidR="00C2279E" w:rsidRDefault="00C2279E" w:rsidP="00C2279E">
      <w:r w:rsidRPr="00FD50DB">
        <w:t xml:space="preserve">We assess </w:t>
      </w:r>
      <w:r>
        <w:t xml:space="preserve">AGN's </w:t>
      </w:r>
      <w:r w:rsidRPr="00FD50DB">
        <w:t xml:space="preserve">proposed </w:t>
      </w:r>
      <w:r>
        <w:t xml:space="preserve">standard tax asset lives, </w:t>
      </w:r>
      <w:r w:rsidR="004356A7">
        <w:t xml:space="preserve">where appropriate, </w:t>
      </w:r>
      <w:r>
        <w:t xml:space="preserve">by comparing them against the values </w:t>
      </w:r>
      <w:r w:rsidRPr="00C44DA3">
        <w:t>approved</w:t>
      </w:r>
      <w:r w:rsidR="004356A7">
        <w:t>:</w:t>
      </w:r>
      <w:r w:rsidRPr="00C44DA3">
        <w:t xml:space="preserve"> </w:t>
      </w:r>
      <w:r w:rsidR="004356A7">
        <w:t>i</w:t>
      </w:r>
      <w:r w:rsidR="004356A7" w:rsidRPr="00FD50DB">
        <w:t xml:space="preserve">n the </w:t>
      </w:r>
      <w:r w:rsidR="004356A7">
        <w:t>2013–17</w:t>
      </w:r>
      <w:r w:rsidR="004356A7" w:rsidRPr="00FD50DB">
        <w:t xml:space="preserve"> access arrangement</w:t>
      </w:r>
      <w:r w:rsidR="004356A7">
        <w:t xml:space="preserve"> and</w:t>
      </w:r>
      <w:r w:rsidR="004356A7" w:rsidRPr="00FD50DB">
        <w:t xml:space="preserve"> </w:t>
      </w:r>
      <w:r>
        <w:t>for similar asset classes for other service providers</w:t>
      </w:r>
      <w:r w:rsidR="004356A7">
        <w:t>,</w:t>
      </w:r>
      <w:r>
        <w:t xml:space="preserve"> </w:t>
      </w:r>
      <w:r w:rsidRPr="00C44DA3">
        <w:t>as well as</w:t>
      </w:r>
      <w:r>
        <w:t xml:space="preserve"> </w:t>
      </w:r>
      <w:r w:rsidR="004356A7">
        <w:t xml:space="preserve">those </w:t>
      </w:r>
      <w:r w:rsidRPr="00D079C3">
        <w:t xml:space="preserve">prescribed by the Commissioner for </w:t>
      </w:r>
      <w:r>
        <w:t>t</w:t>
      </w:r>
      <w:r w:rsidRPr="00D079C3">
        <w:t xml:space="preserve">axation in </w:t>
      </w:r>
      <w:r w:rsidR="004356A7">
        <w:t>t</w:t>
      </w:r>
      <w:r w:rsidRPr="00D079C3">
        <w:t xml:space="preserve">ax </w:t>
      </w:r>
      <w:r w:rsidR="004356A7">
        <w:t>r</w:t>
      </w:r>
      <w:r w:rsidRPr="00D079C3">
        <w:t xml:space="preserve">uling </w:t>
      </w:r>
      <w:r w:rsidRPr="002616BC">
        <w:rPr>
          <w:rStyle w:val="AERbody"/>
        </w:rPr>
        <w:t>201</w:t>
      </w:r>
      <w:r>
        <w:rPr>
          <w:rStyle w:val="AERbody"/>
        </w:rPr>
        <w:t>6</w:t>
      </w:r>
      <w:r w:rsidRPr="002616BC">
        <w:rPr>
          <w:rStyle w:val="AERbody"/>
        </w:rPr>
        <w:t>/</w:t>
      </w:r>
      <w:r>
        <w:rPr>
          <w:rStyle w:val="AERbody"/>
        </w:rPr>
        <w:t>1</w:t>
      </w:r>
      <w:r w:rsidRPr="00FD50DB">
        <w:t>.</w:t>
      </w:r>
      <w:r>
        <w:rPr>
          <w:rStyle w:val="FootnoteReference"/>
        </w:rPr>
        <w:footnoteReference w:id="11"/>
      </w:r>
      <w:r w:rsidRPr="00FD50DB">
        <w:t xml:space="preserve"> </w:t>
      </w:r>
    </w:p>
    <w:p w:rsidR="00C2279E" w:rsidRDefault="00C2279E" w:rsidP="00C2279E">
      <w:r w:rsidRPr="00A0180D">
        <w:t>For the 201</w:t>
      </w:r>
      <w:r>
        <w:t>8</w:t>
      </w:r>
      <w:r w:rsidRPr="00A0180D">
        <w:t>–2</w:t>
      </w:r>
      <w:r>
        <w:t>2</w:t>
      </w:r>
      <w:r w:rsidRPr="00A0180D">
        <w:t xml:space="preserve"> </w:t>
      </w:r>
      <w:r w:rsidR="004356A7">
        <w:t>access arrangement</w:t>
      </w:r>
      <w:r w:rsidRPr="00A0180D">
        <w:t xml:space="preserve"> period,</w:t>
      </w:r>
      <w:r>
        <w:t xml:space="preserve"> AGN has</w:t>
      </w:r>
      <w:r w:rsidRPr="00A0180D">
        <w:t xml:space="preserve"> proposed to transition to </w:t>
      </w:r>
      <w:r>
        <w:t>our standard</w:t>
      </w:r>
      <w:r w:rsidRPr="00A0180D">
        <w:t xml:space="preserve"> straight-line tax depreciation approach</w:t>
      </w:r>
      <w:r>
        <w:t xml:space="preserve">. AGN's </w:t>
      </w:r>
      <w:r w:rsidRPr="00427468">
        <w:t>corporate income tax allowance for the 201</w:t>
      </w:r>
      <w:r>
        <w:t>3</w:t>
      </w:r>
      <w:r w:rsidRPr="00427468">
        <w:t>–1</w:t>
      </w:r>
      <w:r>
        <w:t>7</w:t>
      </w:r>
      <w:r w:rsidRPr="00427468">
        <w:t xml:space="preserve"> regulatory control </w:t>
      </w:r>
      <w:proofErr w:type="gramStart"/>
      <w:r w:rsidRPr="00427468">
        <w:t>period</w:t>
      </w:r>
      <w:proofErr w:type="gramEnd"/>
      <w:r>
        <w:t xml:space="preserve"> </w:t>
      </w:r>
      <w:r w:rsidRPr="00427468">
        <w:t xml:space="preserve">was calculated based on </w:t>
      </w:r>
      <w:r>
        <w:t>a combination of straight</w:t>
      </w:r>
      <w:r w:rsidR="004356A7">
        <w:t>-</w:t>
      </w:r>
      <w:r>
        <w:t xml:space="preserve">line depreciation for some tax asset classes and </w:t>
      </w:r>
      <w:r w:rsidRPr="00427468">
        <w:t xml:space="preserve">diminishing value </w:t>
      </w:r>
      <w:r>
        <w:t>depreciation for other tax asset classes. This is consistent with the</w:t>
      </w:r>
      <w:r w:rsidRPr="00427468">
        <w:t xml:space="preserve"> method established</w:t>
      </w:r>
      <w:r>
        <w:t xml:space="preserve"> </w:t>
      </w:r>
      <w:r w:rsidRPr="00427468">
        <w:t>by the previous regulator, the Essential Services Commission (ESC)</w:t>
      </w:r>
      <w:r>
        <w:t>. Adoption of our standard approach</w:t>
      </w:r>
      <w:r w:rsidRPr="00A0180D">
        <w:t xml:space="preserve"> requires the establishment of remaining tax</w:t>
      </w:r>
      <w:r>
        <w:t xml:space="preserve"> </w:t>
      </w:r>
      <w:r w:rsidRPr="00A0180D">
        <w:t>asset lives at 1 January 201</w:t>
      </w:r>
      <w:r>
        <w:t>8</w:t>
      </w:r>
      <w:r w:rsidRPr="00A0180D">
        <w:t>. We have recently approved a method in our</w:t>
      </w:r>
      <w:r>
        <w:t xml:space="preserve"> </w:t>
      </w:r>
      <w:r w:rsidRPr="00A0180D">
        <w:t>determination</w:t>
      </w:r>
      <w:r w:rsidR="00105AE3">
        <w:t>s</w:t>
      </w:r>
      <w:r w:rsidRPr="00A0180D">
        <w:t xml:space="preserve"> for Ausgrid </w:t>
      </w:r>
      <w:r w:rsidR="00105AE3">
        <w:t>and the Victorian electricity distribut</w:t>
      </w:r>
      <w:r w:rsidR="005E61C5">
        <w:t>ion network service provider</w:t>
      </w:r>
      <w:r w:rsidR="00105AE3">
        <w:t>s</w:t>
      </w:r>
      <w:r w:rsidR="00105AE3" w:rsidRPr="00A0180D">
        <w:t xml:space="preserve"> </w:t>
      </w:r>
      <w:r w:rsidRPr="00A0180D">
        <w:t>to establish remaining tax asset lives for existing assets.</w:t>
      </w:r>
      <w:r>
        <w:rPr>
          <w:rStyle w:val="FootnoteReference"/>
        </w:rPr>
        <w:footnoteReference w:id="12"/>
      </w:r>
      <w:r>
        <w:t xml:space="preserve"> </w:t>
      </w:r>
      <w:r w:rsidRPr="00A0180D">
        <w:t>This involves using the standard tax asset life for the asset</w:t>
      </w:r>
      <w:r>
        <w:t xml:space="preserve"> </w:t>
      </w:r>
      <w:r w:rsidRPr="00A0180D">
        <w:t xml:space="preserve">class multiplied by the ratio of the </w:t>
      </w:r>
      <w:r w:rsidR="004356A7">
        <w:t>capital base</w:t>
      </w:r>
      <w:r w:rsidR="004356A7" w:rsidRPr="00A0180D">
        <w:t xml:space="preserve"> </w:t>
      </w:r>
      <w:r w:rsidRPr="00A0180D">
        <w:t xml:space="preserve">remaining asset life to the </w:t>
      </w:r>
      <w:r w:rsidR="004356A7">
        <w:t>capital base</w:t>
      </w:r>
      <w:r w:rsidR="004356A7" w:rsidRPr="00A0180D">
        <w:t xml:space="preserve"> </w:t>
      </w:r>
      <w:r w:rsidRPr="00A0180D">
        <w:t>standard</w:t>
      </w:r>
      <w:r>
        <w:t xml:space="preserve"> </w:t>
      </w:r>
      <w:r w:rsidRPr="00A0180D">
        <w:t xml:space="preserve">asset life. We will </w:t>
      </w:r>
      <w:r w:rsidR="004356A7">
        <w:t>assess</w:t>
      </w:r>
      <w:r>
        <w:t xml:space="preserve"> AGN's </w:t>
      </w:r>
      <w:r w:rsidR="004356A7">
        <w:t xml:space="preserve">proposed remaining </w:t>
      </w:r>
      <w:r>
        <w:t>tax asset lives</w:t>
      </w:r>
      <w:r w:rsidR="004356A7">
        <w:t xml:space="preserve"> against</w:t>
      </w:r>
      <w:r w:rsidR="00A607D1">
        <w:t xml:space="preserve"> the outcomes of</w:t>
      </w:r>
      <w:r w:rsidR="004356A7">
        <w:t xml:space="preserve"> this approved method</w:t>
      </w:r>
      <w:r w:rsidRPr="00A0180D">
        <w:t>.</w:t>
      </w:r>
    </w:p>
    <w:p w:rsidR="00C2279E" w:rsidRDefault="00C2279E" w:rsidP="001E2481">
      <w:pPr>
        <w:pStyle w:val="Heading3"/>
        <w:ind w:left="720"/>
      </w:pPr>
      <w:bookmarkStart w:id="81" w:name="_Toc477782992"/>
      <w:bookmarkStart w:id="82" w:name="_Toc486834706"/>
      <w:r>
        <w:t>Interrelationships</w:t>
      </w:r>
      <w:bookmarkEnd w:id="81"/>
      <w:bookmarkEnd w:id="82"/>
    </w:p>
    <w:p w:rsidR="00C2279E" w:rsidRPr="00FD50DB" w:rsidRDefault="00C2279E" w:rsidP="00C2279E">
      <w:r w:rsidRPr="00FD50DB">
        <w:t>The corporate income tax building block feeds directly into the annual revenue requirement. This tax allowance is determined by four factors:</w:t>
      </w:r>
    </w:p>
    <w:p w:rsidR="00C2279E" w:rsidRPr="00F8282A" w:rsidRDefault="00C2279E" w:rsidP="00C2279E">
      <w:pPr>
        <w:pStyle w:val="AERbulletlistfirststyle"/>
      </w:pPr>
      <w:r w:rsidRPr="00F8282A">
        <w:t xml:space="preserve">pre-tax revenues </w:t>
      </w:r>
    </w:p>
    <w:p w:rsidR="00C2279E" w:rsidRPr="00F8282A" w:rsidRDefault="00C2279E" w:rsidP="00C2279E">
      <w:pPr>
        <w:pStyle w:val="AERbulletlistfirststyle"/>
      </w:pPr>
      <w:r w:rsidRPr="00F8282A">
        <w:t>tax expenses (including tax depreciation)</w:t>
      </w:r>
    </w:p>
    <w:p w:rsidR="00C2279E" w:rsidRPr="00F8282A" w:rsidRDefault="00C2279E" w:rsidP="00C2279E">
      <w:pPr>
        <w:pStyle w:val="AERbulletlistfirststyle"/>
      </w:pPr>
      <w:r w:rsidRPr="00F8282A">
        <w:t>the corporate tax rate</w:t>
      </w:r>
    </w:p>
    <w:p w:rsidR="00C2279E" w:rsidRPr="00F8282A" w:rsidRDefault="00C2279E" w:rsidP="00C2279E">
      <w:pPr>
        <w:pStyle w:val="AERbulletlistfirststyle"/>
      </w:pPr>
      <w:proofErr w:type="gramStart"/>
      <w:r>
        <w:t>the</w:t>
      </w:r>
      <w:proofErr w:type="gramEnd"/>
      <w:r>
        <w:t xml:space="preserve"> value of imputation credits (</w:t>
      </w:r>
      <w:r w:rsidRPr="00F8282A">
        <w:t>gamma</w:t>
      </w:r>
      <w:r>
        <w:t>)</w:t>
      </w:r>
      <w:r w:rsidRPr="00F8282A">
        <w:t>—the expected proportion of company tax that is returned to investors through the utilisation of imputation credits—which offsets against the corporate income tax allowance. This is discussed further at attachment 4.</w:t>
      </w:r>
    </w:p>
    <w:p w:rsidR="00C2279E" w:rsidRPr="00FD50DB" w:rsidRDefault="00C2279E" w:rsidP="00C2279E">
      <w:r w:rsidRPr="00FD50DB">
        <w:t>Of these four factors, the corporate tax rate is set externally by the Government. The higher the tax rate the higher the required tax allowance.</w:t>
      </w:r>
    </w:p>
    <w:p w:rsidR="00C2279E" w:rsidRPr="00FD50DB" w:rsidRDefault="00C2279E" w:rsidP="00C2279E">
      <w:r w:rsidRPr="00FD50DB">
        <w:t xml:space="preserve">The pre-tax revenues depend on all the building block components. Any factor that affects revenue will therefore affect pre-tax revenues. </w:t>
      </w:r>
      <w:r>
        <w:t>H</w:t>
      </w:r>
      <w:r w:rsidRPr="00FD50DB">
        <w:t xml:space="preserve">igher pre-tax revenues </w:t>
      </w:r>
      <w:r>
        <w:t>can</w:t>
      </w:r>
      <w:r w:rsidRPr="00FD50DB">
        <w:t xml:space="preserve"> increase the corporate income tax allowance.</w:t>
      </w:r>
      <w:r w:rsidRPr="00FD50DB">
        <w:rPr>
          <w:rStyle w:val="FootnoteReference"/>
        </w:rPr>
        <w:footnoteReference w:id="13"/>
      </w:r>
      <w:r w:rsidRPr="00396F41">
        <w:rPr>
          <w:rStyle w:val="FootnoteReference"/>
        </w:rPr>
        <w:t xml:space="preserve"> </w:t>
      </w:r>
      <w:r w:rsidRPr="004B25F4">
        <w:t>Depending on the source of the revenue increase, the tax increase may be equal to or less than proportional to the company tax rate.</w:t>
      </w:r>
      <w:r>
        <w:rPr>
          <w:rStyle w:val="FootnoteReference"/>
        </w:rPr>
        <w:footnoteReference w:id="14"/>
      </w:r>
    </w:p>
    <w:p w:rsidR="00C2279E" w:rsidRPr="00FD50DB" w:rsidRDefault="00C2279E" w:rsidP="00C2279E">
      <w:r w:rsidRPr="00FD50DB">
        <w:t xml:space="preserve">The tax expenses depend on various building block components and their size. Some components give rise to tax expenses, such as opex, interest payments and tax depreciation of assets. However, others do not, such as increases in return on equity. Higher tax expenses offset revenues as deductions in the tax calculation and therefore reduce the tax allowance (all </w:t>
      </w:r>
      <w:r>
        <w:t>else</w:t>
      </w:r>
      <w:r w:rsidRPr="00FD50DB">
        <w:t xml:space="preserve"> being equal). Tax expenses include:</w:t>
      </w:r>
    </w:p>
    <w:p w:rsidR="00C2279E" w:rsidRPr="00F8282A" w:rsidRDefault="00C2279E" w:rsidP="00C2279E">
      <w:pPr>
        <w:pStyle w:val="AERbulletlistfirststyle"/>
      </w:pPr>
      <w:r w:rsidRPr="00F8282A">
        <w:t>Interest on debt – Interest is a tax offset. The size of which depends on the ratio of debt to equity and therefore the proportion of the capital base funded through debt. It also depends on the allowed return on debt and the size of the capital base.</w:t>
      </w:r>
    </w:p>
    <w:p w:rsidR="00C2279E" w:rsidRPr="00F8282A" w:rsidRDefault="00C2279E" w:rsidP="00C2279E">
      <w:pPr>
        <w:pStyle w:val="AERbulletlistfirststyle"/>
      </w:pPr>
      <w:r w:rsidRPr="00F8282A">
        <w:t>General expenses – In the main these expenses will match the opex allowance.</w:t>
      </w:r>
    </w:p>
    <w:p w:rsidR="00C2279E" w:rsidRPr="00F8282A" w:rsidRDefault="00C2279E" w:rsidP="00C2279E">
      <w:pPr>
        <w:pStyle w:val="AERbulletlistfirststyle"/>
      </w:pPr>
      <w:r w:rsidRPr="00F8282A">
        <w:t>Tax depreciation – A separate TAB is maintained for the service provider reflecting tax rules. This TAB is affected by many of the same factors as the capital base, such as capex, although unlike the capital base value it is maintained at its historical cost with no indexation. The TAB is also affected by the depreciation rate and/or asset lives assigned for tax depreciation purposes.</w:t>
      </w:r>
    </w:p>
    <w:p w:rsidR="00C2279E" w:rsidRPr="006A5792" w:rsidRDefault="00C2279E" w:rsidP="00C2279E">
      <w:r w:rsidRPr="002616BC">
        <w:rPr>
          <w:rStyle w:val="AERbody"/>
        </w:rPr>
        <w:t>A ten</w:t>
      </w:r>
      <w:r>
        <w:rPr>
          <w:rStyle w:val="AERbody"/>
        </w:rPr>
        <w:t xml:space="preserve"> </w:t>
      </w:r>
      <w:r w:rsidRPr="002616BC">
        <w:rPr>
          <w:rStyle w:val="AERbody"/>
        </w:rPr>
        <w:t xml:space="preserve">per cent increase in the corporate income tax allowance would cause revenues to increase by about </w:t>
      </w:r>
      <w:r w:rsidR="00EF5B3F">
        <w:rPr>
          <w:rStyle w:val="AERbody"/>
        </w:rPr>
        <w:t>0.5</w:t>
      </w:r>
      <w:r w:rsidR="00A979A3">
        <w:rPr>
          <w:rStyle w:val="AERbody"/>
        </w:rPr>
        <w:t> </w:t>
      </w:r>
      <w:r w:rsidRPr="002616BC">
        <w:rPr>
          <w:rStyle w:val="AERbody"/>
        </w:rPr>
        <w:t xml:space="preserve">per cent. </w:t>
      </w:r>
      <w:r w:rsidR="003B1F0A">
        <w:rPr>
          <w:rStyle w:val="AERbody"/>
        </w:rPr>
        <w:t xml:space="preserve">A change in gamma from the proposed value of 0.4 to 0.25 </w:t>
      </w:r>
      <w:r w:rsidRPr="002616BC">
        <w:rPr>
          <w:rStyle w:val="AERbody"/>
        </w:rPr>
        <w:t xml:space="preserve">would increase the corporate income tax allowance by </w:t>
      </w:r>
      <w:r w:rsidR="00A979A3">
        <w:rPr>
          <w:rStyle w:val="AERbody"/>
        </w:rPr>
        <w:t>32.3</w:t>
      </w:r>
      <w:r w:rsidR="00A979A3">
        <w:rPr>
          <w:rStyle w:val="CommentReference"/>
        </w:rPr>
        <w:t> </w:t>
      </w:r>
      <w:r w:rsidRPr="002616BC">
        <w:rPr>
          <w:rStyle w:val="AERbody"/>
        </w:rPr>
        <w:t xml:space="preserve">per cent and total revenues by about </w:t>
      </w:r>
      <w:r w:rsidR="00A979A3">
        <w:rPr>
          <w:rStyle w:val="AERbody"/>
        </w:rPr>
        <w:t>1.</w:t>
      </w:r>
      <w:r w:rsidR="00F13F4D">
        <w:rPr>
          <w:rStyle w:val="AERbody"/>
        </w:rPr>
        <w:t>6 </w:t>
      </w:r>
      <w:r w:rsidRPr="002616BC">
        <w:rPr>
          <w:rStyle w:val="AERbody"/>
        </w:rPr>
        <w:t>per cent</w:t>
      </w:r>
      <w:r w:rsidRPr="006A5792">
        <w:t>.</w:t>
      </w:r>
      <w:r w:rsidR="00AF4E22" w:rsidRPr="00AF4E22">
        <w:rPr>
          <w:rStyle w:val="FootnoteReference"/>
        </w:rPr>
        <w:footnoteReference w:id="15"/>
      </w:r>
    </w:p>
    <w:p w:rsidR="00C2279E" w:rsidRDefault="00C2279E" w:rsidP="00C2279E">
      <w:pPr>
        <w:pStyle w:val="Heading2"/>
      </w:pPr>
      <w:bookmarkStart w:id="83" w:name="_Toc477782993"/>
      <w:bookmarkStart w:id="84" w:name="_Toc486834707"/>
      <w:r>
        <w:t>Reasons for draft decision</w:t>
      </w:r>
      <w:bookmarkEnd w:id="83"/>
      <w:bookmarkEnd w:id="84"/>
    </w:p>
    <w:p w:rsidR="00C2279E" w:rsidRPr="00407443" w:rsidRDefault="00C2279E" w:rsidP="00C2279E">
      <w:r w:rsidRPr="00407443">
        <w:t xml:space="preserve">Our </w:t>
      </w:r>
      <w:r w:rsidRPr="002616BC">
        <w:rPr>
          <w:rStyle w:val="AERbody"/>
        </w:rPr>
        <w:t xml:space="preserve">draft decision on </w:t>
      </w:r>
      <w:r>
        <w:rPr>
          <w:rStyle w:val="AERbody"/>
        </w:rPr>
        <w:t xml:space="preserve">AGN's </w:t>
      </w:r>
      <w:r w:rsidRPr="002616BC">
        <w:rPr>
          <w:rStyle w:val="AERbody"/>
        </w:rPr>
        <w:t>corporate income tax allowance is $</w:t>
      </w:r>
      <w:r w:rsidR="00384EA9">
        <w:rPr>
          <w:rStyle w:val="AERbody"/>
        </w:rPr>
        <w:t>59.</w:t>
      </w:r>
      <w:r w:rsidR="007A7ADD">
        <w:rPr>
          <w:rStyle w:val="AERbody"/>
        </w:rPr>
        <w:t>9</w:t>
      </w:r>
      <w:r w:rsidR="00384EA9">
        <w:rPr>
          <w:rStyle w:val="AERbody"/>
        </w:rPr>
        <w:t xml:space="preserve"> </w:t>
      </w:r>
      <w:r w:rsidRPr="002616BC">
        <w:rPr>
          <w:rStyle w:val="AERbody"/>
        </w:rPr>
        <w:t>million ($</w:t>
      </w:r>
      <w:r>
        <w:rPr>
          <w:rStyle w:val="AERbody"/>
        </w:rPr>
        <w:t> </w:t>
      </w:r>
      <w:r w:rsidRPr="002616BC">
        <w:rPr>
          <w:rStyle w:val="AERbody"/>
        </w:rPr>
        <w:t>nominal), which is a</w:t>
      </w:r>
      <w:r w:rsidR="00384EA9">
        <w:rPr>
          <w:rStyle w:val="AERbody"/>
        </w:rPr>
        <w:t>n increase</w:t>
      </w:r>
      <w:r w:rsidRPr="002616BC">
        <w:rPr>
          <w:rStyle w:val="AERbody"/>
        </w:rPr>
        <w:t xml:space="preserve"> of $</w:t>
      </w:r>
      <w:r w:rsidR="00384EA9">
        <w:rPr>
          <w:rStyle w:val="AERbody"/>
        </w:rPr>
        <w:t>2.</w:t>
      </w:r>
      <w:r w:rsidR="007A7ADD">
        <w:rPr>
          <w:rStyle w:val="AERbody"/>
        </w:rPr>
        <w:t>7</w:t>
      </w:r>
      <w:r w:rsidR="00384EA9">
        <w:rPr>
          <w:rStyle w:val="AERbody"/>
        </w:rPr>
        <w:t xml:space="preserve"> </w:t>
      </w:r>
      <w:r w:rsidRPr="002616BC">
        <w:rPr>
          <w:rStyle w:val="AERbody"/>
        </w:rPr>
        <w:t>million ($</w:t>
      </w:r>
      <w:r w:rsidR="00CA76B7">
        <w:rPr>
          <w:rStyle w:val="AERbody"/>
        </w:rPr>
        <w:t> </w:t>
      </w:r>
      <w:r w:rsidRPr="002616BC">
        <w:rPr>
          <w:rStyle w:val="AERbody"/>
        </w:rPr>
        <w:t xml:space="preserve">nominal) or </w:t>
      </w:r>
      <w:r w:rsidR="00384EA9">
        <w:rPr>
          <w:rStyle w:val="AERbody"/>
        </w:rPr>
        <w:t>4.</w:t>
      </w:r>
      <w:r w:rsidR="007A7ADD">
        <w:rPr>
          <w:rStyle w:val="AERbody"/>
        </w:rPr>
        <w:t>7</w:t>
      </w:r>
      <w:r w:rsidR="00384EA9">
        <w:rPr>
          <w:rStyle w:val="AERbody"/>
        </w:rPr>
        <w:t xml:space="preserve"> </w:t>
      </w:r>
      <w:r w:rsidRPr="002616BC">
        <w:rPr>
          <w:rStyle w:val="AERbody"/>
        </w:rPr>
        <w:t>per cent</w:t>
      </w:r>
      <w:r w:rsidRPr="00407443">
        <w:t xml:space="preserve"> of </w:t>
      </w:r>
      <w:r>
        <w:t xml:space="preserve">AGN's </w:t>
      </w:r>
      <w:r w:rsidRPr="00407443">
        <w:t>proposal.</w:t>
      </w:r>
    </w:p>
    <w:p w:rsidR="00C2279E" w:rsidRPr="00407443" w:rsidRDefault="00C2279E" w:rsidP="00C2279E">
      <w:r w:rsidRPr="00407443">
        <w:t xml:space="preserve">We accept </w:t>
      </w:r>
      <w:r>
        <w:t xml:space="preserve">AGN's </w:t>
      </w:r>
      <w:r w:rsidRPr="00407443">
        <w:t xml:space="preserve">proposed </w:t>
      </w:r>
      <w:r>
        <w:t>approach</w:t>
      </w:r>
      <w:r w:rsidRPr="00407443">
        <w:t xml:space="preserve"> for calculating the</w:t>
      </w:r>
      <w:r>
        <w:t xml:space="preserve"> corporate income tax allowance.</w:t>
      </w:r>
      <w:r w:rsidRPr="00407443">
        <w:t xml:space="preserve"> However, we adjusted several inputs </w:t>
      </w:r>
      <w:r>
        <w:t xml:space="preserve">in AGN's </w:t>
      </w:r>
      <w:r w:rsidRPr="00407443">
        <w:t xml:space="preserve">proposed </w:t>
      </w:r>
      <w:r>
        <w:t>PTRM</w:t>
      </w:r>
      <w:r w:rsidRPr="00407443">
        <w:t xml:space="preserve"> for calculating the corporate income tax allowance. These relate to:</w:t>
      </w:r>
    </w:p>
    <w:p w:rsidR="00C2279E" w:rsidRDefault="00C2279E" w:rsidP="00C2279E">
      <w:pPr>
        <w:pStyle w:val="AERbulletlistfirststyle"/>
      </w:pPr>
      <w:r>
        <w:t xml:space="preserve">changes to the opening TAB as at 1 January 2018 (section </w:t>
      </w:r>
      <w:r>
        <w:fldChar w:fldCharType="begin"/>
      </w:r>
      <w:r>
        <w:instrText xml:space="preserve"> REF _Ref477521591 \r \h </w:instrText>
      </w:r>
      <w:r>
        <w:fldChar w:fldCharType="separate"/>
      </w:r>
      <w:r w:rsidR="00A42928">
        <w:t>8.4.2</w:t>
      </w:r>
      <w:r>
        <w:fldChar w:fldCharType="end"/>
      </w:r>
      <w:r>
        <w:t>)</w:t>
      </w:r>
    </w:p>
    <w:p w:rsidR="00C2279E" w:rsidRDefault="00C2279E" w:rsidP="00C2279E">
      <w:pPr>
        <w:pStyle w:val="AERbulletlistfirststyle"/>
      </w:pPr>
      <w:r>
        <w:t>chang</w:t>
      </w:r>
      <w:r w:rsidR="00BA3133">
        <w:t xml:space="preserve">ing </w:t>
      </w:r>
      <w:r w:rsidR="00AD4AAD">
        <w:t xml:space="preserve">the </w:t>
      </w:r>
      <w:r w:rsidR="001D75B4">
        <w:t xml:space="preserve">standard </w:t>
      </w:r>
      <w:r>
        <w:t>tax asset li</w:t>
      </w:r>
      <w:r w:rsidR="00BA3133">
        <w:t>fe</w:t>
      </w:r>
      <w:r>
        <w:t xml:space="preserve"> </w:t>
      </w:r>
      <w:r w:rsidR="00AD4AAD">
        <w:t>for the 'Other assets' class</w:t>
      </w:r>
      <w:r>
        <w:t xml:space="preserve"> (section </w:t>
      </w:r>
      <w:r>
        <w:fldChar w:fldCharType="begin"/>
      </w:r>
      <w:r>
        <w:instrText xml:space="preserve"> REF _Ref477521602 \r \h </w:instrText>
      </w:r>
      <w:r>
        <w:fldChar w:fldCharType="separate"/>
      </w:r>
      <w:r w:rsidR="00A42928">
        <w:t>8.4.3</w:t>
      </w:r>
      <w:r>
        <w:fldChar w:fldCharType="end"/>
      </w:r>
      <w:r>
        <w:t>)</w:t>
      </w:r>
    </w:p>
    <w:p w:rsidR="001D75B4" w:rsidRDefault="001D75B4" w:rsidP="00C2279E">
      <w:pPr>
        <w:pStyle w:val="AERbulletlistfirststyle"/>
      </w:pPr>
      <w:r>
        <w:t xml:space="preserve">changes to the remaining tax asset lives </w:t>
      </w:r>
      <w:r w:rsidR="00AD4AAD">
        <w:t xml:space="preserve">as at 1 January 2018 </w:t>
      </w:r>
      <w:r>
        <w:t xml:space="preserve">(section </w:t>
      </w:r>
      <w:r>
        <w:fldChar w:fldCharType="begin"/>
      </w:r>
      <w:r>
        <w:instrText xml:space="preserve"> REF _Ref478458115 \r \h </w:instrText>
      </w:r>
      <w:r>
        <w:fldChar w:fldCharType="separate"/>
      </w:r>
      <w:r w:rsidR="00A42928">
        <w:t>8.4.4</w:t>
      </w:r>
      <w:r>
        <w:fldChar w:fldCharType="end"/>
      </w:r>
      <w:r>
        <w:t>)</w:t>
      </w:r>
    </w:p>
    <w:p w:rsidR="00C2279E" w:rsidRDefault="00C2279E" w:rsidP="00C2279E">
      <w:pPr>
        <w:pStyle w:val="AERbulletlistfirststyle"/>
      </w:pPr>
      <w:proofErr w:type="gramStart"/>
      <w:r w:rsidRPr="00F8282A">
        <w:t>changes</w:t>
      </w:r>
      <w:proofErr w:type="gramEnd"/>
      <w:r w:rsidRPr="00F8282A">
        <w:t xml:space="preserve"> </w:t>
      </w:r>
      <w:r w:rsidRPr="00F8282A">
        <w:rPr>
          <w:rStyle w:val="AERbody"/>
        </w:rPr>
        <w:t>to other building block components</w:t>
      </w:r>
      <w:r>
        <w:rPr>
          <w:rStyle w:val="AERbody"/>
        </w:rPr>
        <w:t>,</w:t>
      </w:r>
      <w:r w:rsidRPr="00F8282A">
        <w:rPr>
          <w:rStyle w:val="AERbody"/>
        </w:rPr>
        <w:t xml:space="preserve"> </w:t>
      </w:r>
      <w:r>
        <w:rPr>
          <w:rStyle w:val="AERbody"/>
        </w:rPr>
        <w:t>such as the rate of return on capital (attachments 2, 3 and 6)</w:t>
      </w:r>
      <w:r>
        <w:rPr>
          <w:rStyle w:val="FootnoteReference"/>
        </w:rPr>
        <w:footnoteReference w:id="16"/>
      </w:r>
      <w:r>
        <w:rPr>
          <w:rStyle w:val="AERbody"/>
        </w:rPr>
        <w:t>, return of capital (attachment 5) and forecast opex (attachment 7) that affect revenues, which in turn impacts the tax calculation</w:t>
      </w:r>
      <w:r w:rsidRPr="00F8282A">
        <w:t>.</w:t>
      </w:r>
      <w:r w:rsidRPr="009C2A22">
        <w:rPr>
          <w:rStyle w:val="FootnoteReference"/>
        </w:rPr>
        <w:footnoteReference w:id="17"/>
      </w:r>
    </w:p>
    <w:p w:rsidR="00C2279E" w:rsidRDefault="00C2279E" w:rsidP="001E2481">
      <w:pPr>
        <w:pStyle w:val="Heading3"/>
        <w:ind w:left="720"/>
      </w:pPr>
      <w:bookmarkStart w:id="85" w:name="_Ref477521652"/>
      <w:bookmarkStart w:id="86" w:name="_Toc477782994"/>
      <w:bookmarkStart w:id="87" w:name="_Toc486834708"/>
      <w:r>
        <w:t>Transition to AER preferred straight-line tax depreciation</w:t>
      </w:r>
      <w:bookmarkEnd w:id="85"/>
      <w:bookmarkEnd w:id="86"/>
      <w:bookmarkEnd w:id="87"/>
    </w:p>
    <w:p w:rsidR="00C2279E" w:rsidRPr="00427468" w:rsidRDefault="00C2279E" w:rsidP="00C2279E">
      <w:r w:rsidRPr="00427468">
        <w:t xml:space="preserve">We accept </w:t>
      </w:r>
      <w:r>
        <w:t xml:space="preserve">AGN's </w:t>
      </w:r>
      <w:r w:rsidRPr="00427468">
        <w:t xml:space="preserve">proposal to </w:t>
      </w:r>
      <w:r>
        <w:t>transition to</w:t>
      </w:r>
      <w:r w:rsidRPr="00427468">
        <w:t xml:space="preserve"> </w:t>
      </w:r>
      <w:r>
        <w:t>our preferred straight-line tax deprec</w:t>
      </w:r>
      <w:r w:rsidR="002D1558">
        <w:t>i</w:t>
      </w:r>
      <w:r>
        <w:t>ation</w:t>
      </w:r>
      <w:r w:rsidRPr="00427468">
        <w:t xml:space="preserve"> approach to</w:t>
      </w:r>
      <w:r>
        <w:t xml:space="preserve"> </w:t>
      </w:r>
      <w:r w:rsidRPr="00427468">
        <w:t>calculate the corporate income tax allowance for the 201</w:t>
      </w:r>
      <w:r>
        <w:t>8</w:t>
      </w:r>
      <w:r w:rsidRPr="00427468">
        <w:t>–2</w:t>
      </w:r>
      <w:r>
        <w:t>2</w:t>
      </w:r>
      <w:r w:rsidRPr="00427468">
        <w:t xml:space="preserve"> </w:t>
      </w:r>
      <w:r w:rsidR="002D1558">
        <w:t>access arrangement</w:t>
      </w:r>
      <w:r>
        <w:t xml:space="preserve"> period.</w:t>
      </w:r>
    </w:p>
    <w:p w:rsidR="00C2279E" w:rsidRPr="00F8282A" w:rsidRDefault="00C2279E" w:rsidP="00C2279E">
      <w:r>
        <w:t xml:space="preserve">AGN's </w:t>
      </w:r>
      <w:r w:rsidRPr="00427468">
        <w:t>corporate income tax allowance for the 201</w:t>
      </w:r>
      <w:r>
        <w:t>3</w:t>
      </w:r>
      <w:r w:rsidRPr="00427468">
        <w:t>–1</w:t>
      </w:r>
      <w:r>
        <w:t>7</w:t>
      </w:r>
      <w:r w:rsidRPr="00427468">
        <w:t xml:space="preserve"> </w:t>
      </w:r>
      <w:r w:rsidR="002D1558">
        <w:t>access arrangement</w:t>
      </w:r>
      <w:r w:rsidRPr="00427468">
        <w:t xml:space="preserve"> </w:t>
      </w:r>
      <w:proofErr w:type="gramStart"/>
      <w:r w:rsidRPr="00427468">
        <w:t>period</w:t>
      </w:r>
      <w:proofErr w:type="gramEnd"/>
      <w:r>
        <w:t xml:space="preserve"> </w:t>
      </w:r>
      <w:r w:rsidRPr="00427468">
        <w:t xml:space="preserve">was calculated based on </w:t>
      </w:r>
      <w:r>
        <w:t>straight</w:t>
      </w:r>
      <w:r w:rsidR="002D1558">
        <w:t>-</w:t>
      </w:r>
      <w:r>
        <w:t xml:space="preserve">line depreciation for some tax asset classes and </w:t>
      </w:r>
      <w:r w:rsidRPr="00427468">
        <w:t xml:space="preserve">diminishing value </w:t>
      </w:r>
      <w:r>
        <w:t>depreciation for other tax asset classes</w:t>
      </w:r>
      <w:r w:rsidRPr="00427468">
        <w:t>. This method was established</w:t>
      </w:r>
      <w:r>
        <w:t xml:space="preserve"> </w:t>
      </w:r>
      <w:r w:rsidRPr="00427468">
        <w:t>by the previous regulator, the ESC, and</w:t>
      </w:r>
      <w:r>
        <w:t xml:space="preserve"> </w:t>
      </w:r>
      <w:r w:rsidRPr="00427468">
        <w:t>adopted by the AER for the 201</w:t>
      </w:r>
      <w:r>
        <w:t>3</w:t>
      </w:r>
      <w:r w:rsidRPr="00427468">
        <w:t>–1</w:t>
      </w:r>
      <w:r>
        <w:t>7</w:t>
      </w:r>
      <w:r w:rsidRPr="00427468">
        <w:t xml:space="preserve"> </w:t>
      </w:r>
      <w:r w:rsidR="002D1558">
        <w:t>access arrangement</w:t>
      </w:r>
      <w:r w:rsidRPr="00427468">
        <w:t xml:space="preserve"> </w:t>
      </w:r>
      <w:proofErr w:type="gramStart"/>
      <w:r w:rsidRPr="00427468">
        <w:t>period</w:t>
      </w:r>
      <w:proofErr w:type="gramEnd"/>
      <w:r w:rsidRPr="00427468">
        <w:t>.</w:t>
      </w:r>
      <w:r>
        <w:t xml:space="preserve"> AGN's proposed PTRM uses our preferred straight-line depreciation approach to calculating tax depreciation as set out in our PTRM template. We consider this approach </w:t>
      </w:r>
      <w:r w:rsidR="00AD62D3">
        <w:t xml:space="preserve">is consistent with </w:t>
      </w:r>
      <w:r>
        <w:t xml:space="preserve">the </w:t>
      </w:r>
      <w:r w:rsidRPr="00CF5DD1">
        <w:t>NGO and the revenue and pricing principles</w:t>
      </w:r>
      <w:r>
        <w:t>.</w:t>
      </w:r>
      <w:r>
        <w:rPr>
          <w:rStyle w:val="FootnoteReference"/>
        </w:rPr>
        <w:footnoteReference w:id="18"/>
      </w:r>
      <w:r>
        <w:t xml:space="preserve"> </w:t>
      </w:r>
      <w:r w:rsidRPr="00427468">
        <w:t xml:space="preserve">Therefore, we accept </w:t>
      </w:r>
      <w:r>
        <w:t xml:space="preserve">AGN's </w:t>
      </w:r>
      <w:r w:rsidRPr="00427468">
        <w:t xml:space="preserve">proposal to transition to </w:t>
      </w:r>
      <w:r>
        <w:t>the</w:t>
      </w:r>
      <w:r w:rsidRPr="00427468">
        <w:t xml:space="preserve"> straight-line tax</w:t>
      </w:r>
      <w:r>
        <w:t xml:space="preserve"> </w:t>
      </w:r>
      <w:r w:rsidRPr="00427468">
        <w:t>depreciation approach for the 201</w:t>
      </w:r>
      <w:r>
        <w:t>8</w:t>
      </w:r>
      <w:r w:rsidRPr="00427468">
        <w:t>–2</w:t>
      </w:r>
      <w:r>
        <w:t>2</w:t>
      </w:r>
      <w:r w:rsidRPr="00427468">
        <w:t xml:space="preserve"> </w:t>
      </w:r>
      <w:r w:rsidR="00C01FBE">
        <w:t>access arrangement</w:t>
      </w:r>
      <w:r w:rsidRPr="00427468">
        <w:t xml:space="preserve"> period.</w:t>
      </w:r>
    </w:p>
    <w:p w:rsidR="00C2279E" w:rsidRDefault="00C2279E" w:rsidP="001E2481">
      <w:pPr>
        <w:pStyle w:val="Heading3"/>
        <w:ind w:left="720"/>
      </w:pPr>
      <w:bookmarkStart w:id="88" w:name="_Ref477521555"/>
      <w:bookmarkStart w:id="89" w:name="_Ref477521591"/>
      <w:bookmarkStart w:id="90" w:name="_Ref477521837"/>
      <w:bookmarkStart w:id="91" w:name="_Toc477782995"/>
      <w:bookmarkStart w:id="92" w:name="_Toc486834709"/>
      <w:r>
        <w:t>Opening tax asset base as at 1 January 2018</w:t>
      </w:r>
      <w:bookmarkEnd w:id="88"/>
      <w:bookmarkEnd w:id="89"/>
      <w:bookmarkEnd w:id="90"/>
      <w:bookmarkEnd w:id="91"/>
      <w:bookmarkEnd w:id="92"/>
    </w:p>
    <w:p w:rsidR="00C2279E" w:rsidRDefault="00C2279E" w:rsidP="00C2279E">
      <w:r w:rsidRPr="00896D81">
        <w:t>We accept</w:t>
      </w:r>
      <w:r>
        <w:t xml:space="preserve"> AGN's </w:t>
      </w:r>
      <w:r w:rsidRPr="00896D81">
        <w:t xml:space="preserve">approach to determine the opening </w:t>
      </w:r>
      <w:r>
        <w:t>TAB. This is because AGN's proposed approach is consistent with the approach previously approved for the 2013–17 access arrangement.</w:t>
      </w:r>
      <w:r w:rsidRPr="009E1948">
        <w:t xml:space="preserve"> </w:t>
      </w:r>
      <w:r w:rsidR="00CD3D9F">
        <w:t xml:space="preserve">We determine an opening TAB </w:t>
      </w:r>
      <w:r w:rsidR="00CD3D9F" w:rsidRPr="00896D81">
        <w:t xml:space="preserve">value of </w:t>
      </w:r>
      <w:r w:rsidR="00CD3D9F" w:rsidRPr="00896D81">
        <w:rPr>
          <w:rStyle w:val="AERbody"/>
        </w:rPr>
        <w:t>$</w:t>
      </w:r>
      <w:r w:rsidR="00D46EA7">
        <w:rPr>
          <w:rStyle w:val="AERbody"/>
        </w:rPr>
        <w:t>724.0</w:t>
      </w:r>
      <w:r w:rsidR="00CD3D9F">
        <w:rPr>
          <w:rStyle w:val="AERbody"/>
        </w:rPr>
        <w:t> </w:t>
      </w:r>
      <w:r w:rsidR="00CD3D9F" w:rsidRPr="00896D81">
        <w:rPr>
          <w:rStyle w:val="AERbody"/>
        </w:rPr>
        <w:t>million ($</w:t>
      </w:r>
      <w:r w:rsidR="00CD3D9F">
        <w:rPr>
          <w:rStyle w:val="AERbody"/>
        </w:rPr>
        <w:t> </w:t>
      </w:r>
      <w:r w:rsidR="00CD3D9F" w:rsidRPr="00896D81">
        <w:rPr>
          <w:rStyle w:val="AERbody"/>
        </w:rPr>
        <w:t>nominal</w:t>
      </w:r>
      <w:r w:rsidR="00CD3D9F" w:rsidRPr="00896D81">
        <w:t xml:space="preserve">) as at </w:t>
      </w:r>
      <w:r w:rsidR="00CD3D9F">
        <w:t>1 January 2018. The increase of $</w:t>
      </w:r>
      <w:r w:rsidR="00D46EA7">
        <w:t>2.1</w:t>
      </w:r>
      <w:r w:rsidR="00CD3D9F">
        <w:t> million from AGN's</w:t>
      </w:r>
      <w:r>
        <w:t xml:space="preserve"> proposed opening TAB of $</w:t>
      </w:r>
      <w:r w:rsidR="00873BB2">
        <w:t xml:space="preserve">721.9 </w:t>
      </w:r>
      <w:r>
        <w:t>million ($</w:t>
      </w:r>
      <w:r w:rsidR="00CA76B7">
        <w:t> </w:t>
      </w:r>
      <w:r>
        <w:t>nominal)</w:t>
      </w:r>
      <w:r w:rsidR="0008007A">
        <w:t xml:space="preserve"> </w:t>
      </w:r>
      <w:r w:rsidR="00CD3D9F">
        <w:t xml:space="preserve">reflects our corrections </w:t>
      </w:r>
      <w:r>
        <w:t xml:space="preserve">to the actual capex </w:t>
      </w:r>
      <w:r w:rsidR="00C12AB2">
        <w:t xml:space="preserve">and asset disposal </w:t>
      </w:r>
      <w:r>
        <w:t>inputs in the proposed RFM</w:t>
      </w:r>
      <w:r w:rsidR="007875D1">
        <w:t>s</w:t>
      </w:r>
      <w:r w:rsidR="00CA76B7">
        <w:t xml:space="preserve"> which impact on the opening TAB</w:t>
      </w:r>
      <w:r w:rsidR="0097054B">
        <w:t>s</w:t>
      </w:r>
      <w:r w:rsidR="00CA76B7">
        <w:t>.</w:t>
      </w:r>
      <w:r w:rsidR="00042249">
        <w:rPr>
          <w:rStyle w:val="FootnoteReference"/>
        </w:rPr>
        <w:footnoteReference w:id="19"/>
      </w:r>
    </w:p>
    <w:p w:rsidR="00C2279E" w:rsidRDefault="00C2279E" w:rsidP="00C2279E">
      <w:r w:rsidRPr="00D940F4">
        <w:t xml:space="preserve">We </w:t>
      </w:r>
      <w:r>
        <w:t>assessed the</w:t>
      </w:r>
      <w:r w:rsidRPr="00D940F4">
        <w:t xml:space="preserve"> inputs </w:t>
      </w:r>
      <w:r>
        <w:t xml:space="preserve">AGN used to </w:t>
      </w:r>
      <w:r w:rsidRPr="00896D81">
        <w:t>roll forward the TAB over</w:t>
      </w:r>
      <w:r>
        <w:t xml:space="preserve"> the 2013–17 access arrangement</w:t>
      </w:r>
      <w:r w:rsidR="00B614C4">
        <w:t xml:space="preserve"> </w:t>
      </w:r>
      <w:proofErr w:type="gramStart"/>
      <w:r w:rsidR="00B614C4">
        <w:t>period</w:t>
      </w:r>
      <w:proofErr w:type="gramEnd"/>
      <w:r>
        <w:t xml:space="preserve">. This includes the opening TAB as at 1 January 2013, and </w:t>
      </w:r>
      <w:r w:rsidRPr="00896D81">
        <w:t>actual capex</w:t>
      </w:r>
      <w:r>
        <w:t xml:space="preserve"> for 2012 and the 2013–17 access arrangement period.</w:t>
      </w:r>
    </w:p>
    <w:p w:rsidR="0097054B" w:rsidRDefault="00C2279E" w:rsidP="00C2279E">
      <w:r>
        <w:t xml:space="preserve">We </w:t>
      </w:r>
      <w:r w:rsidR="00B40F57">
        <w:t xml:space="preserve">consider that </w:t>
      </w:r>
      <w:r>
        <w:t xml:space="preserve">AGN's proposed </w:t>
      </w:r>
      <w:r w:rsidR="0097054B">
        <w:t xml:space="preserve">combined </w:t>
      </w:r>
      <w:r>
        <w:t>opening TAB as at 1 January 2013 of $</w:t>
      </w:r>
      <w:r w:rsidR="003662A4">
        <w:t>390.</w:t>
      </w:r>
      <w:r w:rsidR="00F6104B">
        <w:t xml:space="preserve">5 </w:t>
      </w:r>
      <w:r w:rsidRPr="008F2731">
        <w:t>million ($</w:t>
      </w:r>
      <w:r w:rsidR="00CA76B7">
        <w:t> </w:t>
      </w:r>
      <w:r w:rsidRPr="008F2731">
        <w:t>nominal)</w:t>
      </w:r>
      <w:r w:rsidR="0008007A">
        <w:t xml:space="preserve"> </w:t>
      </w:r>
      <w:r w:rsidR="0097054B">
        <w:t>was not correctly updated for actual capex in 2012</w:t>
      </w:r>
      <w:r>
        <w:t xml:space="preserve">. </w:t>
      </w:r>
      <w:r w:rsidR="00873BB2">
        <w:t>In our review of the proposed data</w:t>
      </w:r>
      <w:r w:rsidR="00773C33">
        <w:t xml:space="preserve"> as discussed in attachment 2</w:t>
      </w:r>
      <w:r w:rsidR="00873BB2">
        <w:t>, we identified a discrepancy between the 2012 capex values in the RFM</w:t>
      </w:r>
      <w:r w:rsidR="00346CE7">
        <w:t>s</w:t>
      </w:r>
      <w:r w:rsidR="00873BB2">
        <w:t xml:space="preserve"> and the 2012 capex values in the </w:t>
      </w:r>
      <w:r w:rsidR="00B614C4">
        <w:t xml:space="preserve">annual </w:t>
      </w:r>
      <w:r w:rsidR="00873BB2">
        <w:t>regulatory</w:t>
      </w:r>
      <w:r w:rsidR="00B614C4">
        <w:t xml:space="preserve"> reporting</w:t>
      </w:r>
      <w:r w:rsidR="00873BB2">
        <w:t xml:space="preserve"> accounts</w:t>
      </w:r>
      <w:r w:rsidR="00B614C4">
        <w:t xml:space="preserve"> for that year</w:t>
      </w:r>
      <w:r w:rsidR="00873BB2">
        <w:t xml:space="preserve">. </w:t>
      </w:r>
      <w:r w:rsidR="00B614C4">
        <w:t xml:space="preserve">In its response to our information request, </w:t>
      </w:r>
      <w:r w:rsidR="00873BB2">
        <w:t>AGN clarified that the data from the regulatory accounts should be used</w:t>
      </w:r>
      <w:r w:rsidR="0097054B">
        <w:t xml:space="preserve"> and that the proposed capex was based on benchmark 2012 capex</w:t>
      </w:r>
      <w:r w:rsidR="00CA76B7">
        <w:t>.</w:t>
      </w:r>
      <w:r w:rsidR="00406D0A">
        <w:rPr>
          <w:rStyle w:val="FootnoteReference"/>
        </w:rPr>
        <w:footnoteReference w:id="20"/>
      </w:r>
      <w:r w:rsidR="00873BB2">
        <w:t xml:space="preserve"> </w:t>
      </w:r>
      <w:r w:rsidR="0097054B">
        <w:t>Our draft decision is to determine an opening TAB as at 1 January 2013 of $398.5 million ($ nominal).</w:t>
      </w:r>
    </w:p>
    <w:p w:rsidR="00C2279E" w:rsidRDefault="0097054B" w:rsidP="00C2279E">
      <w:r>
        <w:t xml:space="preserve">AGN also proposed </w:t>
      </w:r>
      <w:r w:rsidR="00FF6BE5" w:rsidRPr="00FF6BE5">
        <w:t xml:space="preserve">actual capex inputs for </w:t>
      </w:r>
      <w:r>
        <w:t xml:space="preserve">the </w:t>
      </w:r>
      <w:r w:rsidR="00FF6BE5" w:rsidRPr="00FF6BE5">
        <w:t xml:space="preserve">2013–17 </w:t>
      </w:r>
      <w:r>
        <w:t>TAB roll forward that did not include an adjustment for</w:t>
      </w:r>
      <w:r w:rsidR="00FF6BE5" w:rsidRPr="00FF6BE5">
        <w:t xml:space="preserve"> </w:t>
      </w:r>
      <w:r w:rsidR="00C12AB2">
        <w:t xml:space="preserve">asset </w:t>
      </w:r>
      <w:r w:rsidR="00FF6BE5" w:rsidRPr="00FF6BE5">
        <w:t>disposals</w:t>
      </w:r>
      <w:r w:rsidR="00FF6BE5">
        <w:t xml:space="preserve">. </w:t>
      </w:r>
      <w:r>
        <w:t xml:space="preserve">We consider that capex used in the TAB roll forward should be net of asset </w:t>
      </w:r>
      <w:proofErr w:type="gramStart"/>
      <w:r>
        <w:t>disposals,</w:t>
      </w:r>
      <w:proofErr w:type="gramEnd"/>
      <w:r>
        <w:t xml:space="preserve"> therefore our draft decision has removed disposals from</w:t>
      </w:r>
      <w:r w:rsidR="00D26562">
        <w:t xml:space="preserve"> actual capex over </w:t>
      </w:r>
      <w:r w:rsidR="008F7441">
        <w:t xml:space="preserve">the </w:t>
      </w:r>
      <w:r w:rsidR="00D26562">
        <w:t>2013–17</w:t>
      </w:r>
      <w:r w:rsidR="008F7441">
        <w:t xml:space="preserve"> access arrangement period</w:t>
      </w:r>
      <w:r w:rsidR="00D26562">
        <w:t xml:space="preserve">. </w:t>
      </w:r>
      <w:r w:rsidR="00B40F57">
        <w:t xml:space="preserve">This is consistent with our approach in </w:t>
      </w:r>
      <w:r w:rsidR="008A3A1B">
        <w:t xml:space="preserve">other </w:t>
      </w:r>
      <w:r w:rsidR="00B40F57">
        <w:t xml:space="preserve">gas </w:t>
      </w:r>
      <w:r w:rsidR="00463CF5">
        <w:t>access arrangement</w:t>
      </w:r>
      <w:r w:rsidR="00B40F57">
        <w:t xml:space="preserve">s </w:t>
      </w:r>
      <w:r w:rsidR="008A3A1B">
        <w:t>and the approach to calculating the TAB in the PTRM.</w:t>
      </w:r>
      <w:r w:rsidR="008A3A1B">
        <w:rPr>
          <w:rStyle w:val="FootnoteReference"/>
        </w:rPr>
        <w:footnoteReference w:id="21"/>
      </w:r>
      <w:r w:rsidR="008A3A1B">
        <w:t xml:space="preserve"> </w:t>
      </w:r>
      <w:r w:rsidR="00FF6BE5">
        <w:t xml:space="preserve">With </w:t>
      </w:r>
      <w:r w:rsidR="00D26562">
        <w:t xml:space="preserve">this </w:t>
      </w:r>
      <w:r w:rsidR="00FF6BE5">
        <w:t xml:space="preserve">change, </w:t>
      </w:r>
      <w:r w:rsidR="00C2279E">
        <w:t xml:space="preserve">we are satisfied the actual capex for </w:t>
      </w:r>
      <w:r w:rsidR="00933343">
        <w:t xml:space="preserve">2012 and the </w:t>
      </w:r>
      <w:r w:rsidR="00C2279E">
        <w:t>2013–17</w:t>
      </w:r>
      <w:r w:rsidR="00933343">
        <w:t xml:space="preserve"> period</w:t>
      </w:r>
      <w:r w:rsidR="00C2279E">
        <w:t xml:space="preserve"> </w:t>
      </w:r>
      <w:r w:rsidR="00C2279E" w:rsidRPr="002616BC">
        <w:t>reflect</w:t>
      </w:r>
      <w:r w:rsidR="00EB59A5">
        <w:t>s</w:t>
      </w:r>
      <w:r w:rsidR="00C2279E">
        <w:t xml:space="preserve"> </w:t>
      </w:r>
      <w:r w:rsidR="00C2279E" w:rsidRPr="002616BC">
        <w:t>the requirements of the NGR.</w:t>
      </w:r>
      <w:r w:rsidR="00C2279E">
        <w:rPr>
          <w:rStyle w:val="FootnoteReference"/>
        </w:rPr>
        <w:footnoteReference w:id="22"/>
      </w:r>
      <w:r w:rsidR="00C2279E" w:rsidRPr="002616BC">
        <w:t xml:space="preserve"> Our detailed assessment of this conforming capex is set out in </w:t>
      </w:r>
      <w:r w:rsidR="00C2279E" w:rsidRPr="00286FBC">
        <w:t>attachment 6</w:t>
      </w:r>
      <w:r w:rsidR="00C2279E" w:rsidRPr="002616BC">
        <w:t>.</w:t>
      </w:r>
    </w:p>
    <w:p w:rsidR="00514DEA" w:rsidRDefault="00514DEA" w:rsidP="00C2279E">
      <w:r>
        <w:t xml:space="preserve">We consider that the opening TAB value for </w:t>
      </w:r>
      <w:r w:rsidR="00B61771">
        <w:t>'</w:t>
      </w:r>
      <w:r w:rsidR="009F2C9E">
        <w:t xml:space="preserve">Computer </w:t>
      </w:r>
      <w:r w:rsidR="00B61771">
        <w:t>e</w:t>
      </w:r>
      <w:r w:rsidR="009F2C9E">
        <w:t>quipment</w:t>
      </w:r>
      <w:r w:rsidR="009F3F5A">
        <w:t xml:space="preserve"> Albury</w:t>
      </w:r>
      <w:r w:rsidR="00B61771">
        <w:t>' asset class</w:t>
      </w:r>
      <w:r w:rsidR="009F2C9E">
        <w:t xml:space="preserve"> should be set to zero.</w:t>
      </w:r>
      <w:r w:rsidR="00B61771">
        <w:t xml:space="preserve"> </w:t>
      </w:r>
      <w:r w:rsidR="009C7D2F">
        <w:t>T</w:t>
      </w:r>
      <w:r w:rsidR="00B61771">
        <w:t xml:space="preserve">he </w:t>
      </w:r>
      <w:r w:rsidR="00E26FBF">
        <w:t xml:space="preserve">asset classes in the PTRM </w:t>
      </w:r>
      <w:r w:rsidR="005E61C5">
        <w:t xml:space="preserve">differ from the </w:t>
      </w:r>
      <w:r w:rsidR="00D6734F">
        <w:t>tax group</w:t>
      </w:r>
      <w:r w:rsidR="009C7D2F">
        <w:t xml:space="preserve">s </w:t>
      </w:r>
      <w:r w:rsidR="005E61C5">
        <w:t xml:space="preserve">used </w:t>
      </w:r>
      <w:r w:rsidR="00E26FBF">
        <w:t xml:space="preserve">in the TAB roll forward </w:t>
      </w:r>
      <w:r w:rsidR="005E61C5">
        <w:t xml:space="preserve">over the 2013–17 </w:t>
      </w:r>
      <w:r w:rsidR="00463CF5">
        <w:t xml:space="preserve">access arrangement </w:t>
      </w:r>
      <w:proofErr w:type="gramStart"/>
      <w:r w:rsidR="005E61C5">
        <w:t>period</w:t>
      </w:r>
      <w:proofErr w:type="gramEnd"/>
      <w:r w:rsidR="005E61C5">
        <w:t xml:space="preserve">. The opening TAB values for the PTRM asset classes </w:t>
      </w:r>
      <w:r w:rsidR="009F3F5A">
        <w:t>are</w:t>
      </w:r>
      <w:r w:rsidR="005E61C5">
        <w:t xml:space="preserve"> calculated based on a</w:t>
      </w:r>
      <w:r w:rsidR="007C7C44">
        <w:t xml:space="preserve"> pro-rata of the </w:t>
      </w:r>
      <w:r w:rsidR="00E26FBF">
        <w:t xml:space="preserve">opening </w:t>
      </w:r>
      <w:r w:rsidR="007C7C44">
        <w:t>capital base values. The 'Computer equipment</w:t>
      </w:r>
      <w:r w:rsidR="009F3F5A">
        <w:t xml:space="preserve"> Albury</w:t>
      </w:r>
      <w:r w:rsidR="007C7C44">
        <w:t>' asset class ha</w:t>
      </w:r>
      <w:r w:rsidR="009F3F5A">
        <w:t>s</w:t>
      </w:r>
      <w:r w:rsidR="007C7C44">
        <w:t xml:space="preserve"> a negative opening </w:t>
      </w:r>
      <w:r w:rsidR="001764A9">
        <w:t>capital</w:t>
      </w:r>
      <w:r w:rsidR="007C7C44">
        <w:t xml:space="preserve"> base </w:t>
      </w:r>
      <w:r w:rsidR="009F3F5A">
        <w:t xml:space="preserve">at 1 January 2018. Using AGN's proposed approach this </w:t>
      </w:r>
      <w:r w:rsidR="00366D0E">
        <w:t xml:space="preserve">would have </w:t>
      </w:r>
      <w:r w:rsidR="009F3F5A">
        <w:t>resulted in</w:t>
      </w:r>
      <w:r w:rsidR="007D4828">
        <w:t xml:space="preserve"> a negative opening TAB value.</w:t>
      </w:r>
      <w:r w:rsidR="00F24A72">
        <w:rPr>
          <w:rStyle w:val="FootnoteReference"/>
        </w:rPr>
        <w:footnoteReference w:id="23"/>
      </w:r>
      <w:r w:rsidR="007D4828">
        <w:t xml:space="preserve"> </w:t>
      </w:r>
      <w:r w:rsidR="00463CF5">
        <w:t>To avoid this result, o</w:t>
      </w:r>
      <w:r w:rsidR="009F3F5A">
        <w:t>ur draft decision is to pro-rata the opening TAB value across only the asset classes with a positive capital base at 1 January 2018</w:t>
      </w:r>
      <w:r w:rsidR="001764A9">
        <w:t>.</w:t>
      </w:r>
    </w:p>
    <w:p w:rsidR="00C2279E" w:rsidRPr="00896D81" w:rsidRDefault="00C2279E" w:rsidP="00C2279E">
      <w:r>
        <w:fldChar w:fldCharType="begin"/>
      </w:r>
      <w:r>
        <w:instrText xml:space="preserve"> REF _Ref477521408 \h </w:instrText>
      </w:r>
      <w:r>
        <w:fldChar w:fldCharType="separate"/>
      </w:r>
      <w:r w:rsidR="00A42928">
        <w:t xml:space="preserve">Table </w:t>
      </w:r>
      <w:r w:rsidR="00A42928">
        <w:rPr>
          <w:noProof/>
        </w:rPr>
        <w:t>8</w:t>
      </w:r>
      <w:r w:rsidR="00A42928">
        <w:t>.</w:t>
      </w:r>
      <w:r w:rsidR="00A42928">
        <w:rPr>
          <w:noProof/>
        </w:rPr>
        <w:t>4</w:t>
      </w:r>
      <w:r>
        <w:fldChar w:fldCharType="end"/>
      </w:r>
      <w:r>
        <w:t xml:space="preserve"> </w:t>
      </w:r>
      <w:r w:rsidRPr="00896D81">
        <w:t xml:space="preserve">sets out our draft decision on the roll forward of </w:t>
      </w:r>
      <w:r>
        <w:t>AGN's TAB values.</w:t>
      </w:r>
    </w:p>
    <w:p w:rsidR="00C2279E" w:rsidRDefault="00C2279E" w:rsidP="001E2481">
      <w:pPr>
        <w:pStyle w:val="Caption"/>
      </w:pPr>
      <w:bookmarkStart w:id="93" w:name="_Ref477521408"/>
      <w:proofErr w:type="gramStart"/>
      <w:r>
        <w:t xml:space="preserve">Table </w:t>
      </w:r>
      <w:proofErr w:type="gramEnd"/>
      <w:r w:rsidRPr="00C2279E">
        <w:fldChar w:fldCharType="begin"/>
      </w:r>
      <w:r>
        <w:instrText xml:space="preserve"> STYLEREF 1 \s </w:instrText>
      </w:r>
      <w:r w:rsidRPr="00C2279E">
        <w:fldChar w:fldCharType="separate"/>
      </w:r>
      <w:r w:rsidR="00A42928">
        <w:rPr>
          <w:noProof/>
        </w:rPr>
        <w:t>8</w:t>
      </w:r>
      <w:r w:rsidRPr="00C2279E">
        <w:fldChar w:fldCharType="end"/>
      </w:r>
      <w:proofErr w:type="gramStart"/>
      <w:r>
        <w:t>.</w:t>
      </w:r>
      <w:proofErr w:type="gramEnd"/>
      <w:r w:rsidRPr="00C2279E">
        <w:fldChar w:fldCharType="begin"/>
      </w:r>
      <w:r>
        <w:instrText xml:space="preserve"> SEQ Table \* ARABIC \s 1 </w:instrText>
      </w:r>
      <w:r w:rsidRPr="00C2279E">
        <w:fldChar w:fldCharType="separate"/>
      </w:r>
      <w:r w:rsidR="00A42928">
        <w:rPr>
          <w:noProof/>
        </w:rPr>
        <w:t>4</w:t>
      </w:r>
      <w:r w:rsidRPr="00C2279E">
        <w:fldChar w:fldCharType="end"/>
      </w:r>
      <w:bookmarkEnd w:id="93"/>
      <w:r>
        <w:t xml:space="preserve"> </w:t>
      </w:r>
      <w:r>
        <w:tab/>
        <w:t xml:space="preserve">AER's draft decision on AGN's tax asset base roll forward for the 2013–17 access arrangement </w:t>
      </w:r>
      <w:proofErr w:type="gramStart"/>
      <w:r>
        <w:t>period</w:t>
      </w:r>
      <w:proofErr w:type="gramEnd"/>
    </w:p>
    <w:tbl>
      <w:tblPr>
        <w:tblStyle w:val="AERtable-numbers"/>
        <w:tblW w:w="8722" w:type="dxa"/>
        <w:tblLook w:val="04A0" w:firstRow="1" w:lastRow="0" w:firstColumn="1" w:lastColumn="0" w:noHBand="0" w:noVBand="1"/>
      </w:tblPr>
      <w:tblGrid>
        <w:gridCol w:w="2438"/>
        <w:gridCol w:w="1256"/>
        <w:gridCol w:w="1257"/>
        <w:gridCol w:w="1257"/>
        <w:gridCol w:w="1257"/>
        <w:gridCol w:w="1257"/>
      </w:tblGrid>
      <w:tr w:rsidR="00C2279E" w:rsidRPr="00D01CB9" w:rsidTr="000440D8">
        <w:trPr>
          <w:cnfStyle w:val="100000000000" w:firstRow="1" w:lastRow="0" w:firstColumn="0" w:lastColumn="0" w:oddVBand="0" w:evenVBand="0" w:oddHBand="0" w:evenHBand="0"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2438" w:type="dxa"/>
            <w:hideMark/>
          </w:tcPr>
          <w:p w:rsidR="00C2279E" w:rsidRPr="00D01CB9" w:rsidRDefault="00C2279E" w:rsidP="001E2481">
            <w:pPr>
              <w:keepNext/>
            </w:pPr>
          </w:p>
        </w:tc>
        <w:tc>
          <w:tcPr>
            <w:tcW w:w="1256" w:type="dxa"/>
            <w:hideMark/>
          </w:tcPr>
          <w:p w:rsidR="00C2279E" w:rsidRPr="00D01CB9" w:rsidRDefault="00C2279E" w:rsidP="001E2481">
            <w:pPr>
              <w:keepNext/>
              <w:cnfStyle w:val="100000000000" w:firstRow="1" w:lastRow="0" w:firstColumn="0" w:lastColumn="0" w:oddVBand="0" w:evenVBand="0" w:oddHBand="0" w:evenHBand="0" w:firstRowFirstColumn="0" w:firstRowLastColumn="0" w:lastRowFirstColumn="0" w:lastRowLastColumn="0"/>
            </w:pPr>
            <w:r w:rsidRPr="00D01CB9">
              <w:t>2013</w:t>
            </w:r>
          </w:p>
        </w:tc>
        <w:tc>
          <w:tcPr>
            <w:tcW w:w="1257" w:type="dxa"/>
            <w:hideMark/>
          </w:tcPr>
          <w:p w:rsidR="00C2279E" w:rsidRPr="00D01CB9" w:rsidRDefault="00C2279E" w:rsidP="001E2481">
            <w:pPr>
              <w:keepNext/>
              <w:cnfStyle w:val="100000000000" w:firstRow="1" w:lastRow="0" w:firstColumn="0" w:lastColumn="0" w:oddVBand="0" w:evenVBand="0" w:oddHBand="0" w:evenHBand="0" w:firstRowFirstColumn="0" w:firstRowLastColumn="0" w:lastRowFirstColumn="0" w:lastRowLastColumn="0"/>
            </w:pPr>
            <w:r w:rsidRPr="00D01CB9">
              <w:t>2014</w:t>
            </w:r>
          </w:p>
        </w:tc>
        <w:tc>
          <w:tcPr>
            <w:tcW w:w="1257" w:type="dxa"/>
            <w:hideMark/>
          </w:tcPr>
          <w:p w:rsidR="00C2279E" w:rsidRPr="00D01CB9" w:rsidRDefault="00C2279E" w:rsidP="001E2481">
            <w:pPr>
              <w:keepNext/>
              <w:cnfStyle w:val="100000000000" w:firstRow="1" w:lastRow="0" w:firstColumn="0" w:lastColumn="0" w:oddVBand="0" w:evenVBand="0" w:oddHBand="0" w:evenHBand="0" w:firstRowFirstColumn="0" w:firstRowLastColumn="0" w:lastRowFirstColumn="0" w:lastRowLastColumn="0"/>
            </w:pPr>
            <w:r w:rsidRPr="00D01CB9">
              <w:t>2015</w:t>
            </w:r>
          </w:p>
        </w:tc>
        <w:tc>
          <w:tcPr>
            <w:tcW w:w="1257" w:type="dxa"/>
            <w:hideMark/>
          </w:tcPr>
          <w:p w:rsidR="00C2279E" w:rsidRPr="00561264" w:rsidRDefault="00C2279E" w:rsidP="001E2481">
            <w:pPr>
              <w:keepNext/>
              <w:cnfStyle w:val="100000000000" w:firstRow="1" w:lastRow="0" w:firstColumn="0" w:lastColumn="0" w:oddVBand="0" w:evenVBand="0" w:oddHBand="0" w:evenHBand="0" w:firstRowFirstColumn="0" w:firstRowLastColumn="0" w:lastRowFirstColumn="0" w:lastRowLastColumn="0"/>
            </w:pPr>
            <w:r w:rsidRPr="00561264">
              <w:t>2016</w:t>
            </w:r>
          </w:p>
        </w:tc>
        <w:tc>
          <w:tcPr>
            <w:tcW w:w="1257" w:type="dxa"/>
            <w:hideMark/>
          </w:tcPr>
          <w:p w:rsidR="00C2279E" w:rsidRPr="00AB7791" w:rsidRDefault="00C2279E" w:rsidP="001E2481">
            <w:pPr>
              <w:keepNext/>
              <w:cnfStyle w:val="100000000000" w:firstRow="1" w:lastRow="0" w:firstColumn="0" w:lastColumn="0" w:oddVBand="0" w:evenVBand="0" w:oddHBand="0" w:evenHBand="0" w:firstRowFirstColumn="0" w:firstRowLastColumn="0" w:lastRowFirstColumn="0" w:lastRowLastColumn="0"/>
            </w:pPr>
            <w:r w:rsidRPr="00AB7791">
              <w:t>2017</w:t>
            </w:r>
          </w:p>
        </w:tc>
      </w:tr>
      <w:tr w:rsidR="00D46EA7" w:rsidRPr="00D01CB9" w:rsidTr="000440D8">
        <w:trPr>
          <w:trHeight w:val="241"/>
        </w:trPr>
        <w:tc>
          <w:tcPr>
            <w:cnfStyle w:val="001000000000" w:firstRow="0" w:lastRow="0" w:firstColumn="1" w:lastColumn="0" w:oddVBand="0" w:evenVBand="0" w:oddHBand="0" w:evenHBand="0" w:firstRowFirstColumn="0" w:firstRowLastColumn="0" w:lastRowFirstColumn="0" w:lastRowLastColumn="0"/>
            <w:tcW w:w="2438" w:type="dxa"/>
            <w:hideMark/>
          </w:tcPr>
          <w:p w:rsidR="00D46EA7" w:rsidRPr="00D46EA7" w:rsidRDefault="00D46EA7" w:rsidP="00D46EA7">
            <w:r w:rsidRPr="00D46EA7">
              <w:t>Opening tax asset base</w:t>
            </w:r>
          </w:p>
        </w:tc>
        <w:tc>
          <w:tcPr>
            <w:tcW w:w="1256" w:type="dxa"/>
            <w:vAlign w:val="bottom"/>
          </w:tcPr>
          <w:p w:rsidR="00D46EA7" w:rsidRPr="00D46EA7" w:rsidRDefault="00D46EA7" w:rsidP="00D46EA7">
            <w:pPr>
              <w:cnfStyle w:val="000000000000" w:firstRow="0" w:lastRow="0" w:firstColumn="0" w:lastColumn="0" w:oddVBand="0" w:evenVBand="0" w:oddHBand="0" w:evenHBand="0" w:firstRowFirstColumn="0" w:firstRowLastColumn="0" w:lastRowFirstColumn="0" w:lastRowLastColumn="0"/>
            </w:pPr>
            <w:r w:rsidRPr="00D46EA7">
              <w:t>398.5</w:t>
            </w:r>
          </w:p>
        </w:tc>
        <w:tc>
          <w:tcPr>
            <w:tcW w:w="1257" w:type="dxa"/>
            <w:vAlign w:val="bottom"/>
          </w:tcPr>
          <w:p w:rsidR="00D46EA7" w:rsidRPr="00D46EA7" w:rsidRDefault="00D46EA7" w:rsidP="00D46EA7">
            <w:pPr>
              <w:cnfStyle w:val="000000000000" w:firstRow="0" w:lastRow="0" w:firstColumn="0" w:lastColumn="0" w:oddVBand="0" w:evenVBand="0" w:oddHBand="0" w:evenHBand="0" w:firstRowFirstColumn="0" w:firstRowLastColumn="0" w:lastRowFirstColumn="0" w:lastRowLastColumn="0"/>
            </w:pPr>
            <w:r w:rsidRPr="00D46EA7">
              <w:t>455.7</w:t>
            </w:r>
          </w:p>
        </w:tc>
        <w:tc>
          <w:tcPr>
            <w:tcW w:w="1257" w:type="dxa"/>
            <w:vAlign w:val="bottom"/>
          </w:tcPr>
          <w:p w:rsidR="00D46EA7" w:rsidRPr="00D46EA7" w:rsidRDefault="00D46EA7" w:rsidP="00D46EA7">
            <w:pPr>
              <w:cnfStyle w:val="000000000000" w:firstRow="0" w:lastRow="0" w:firstColumn="0" w:lastColumn="0" w:oddVBand="0" w:evenVBand="0" w:oddHBand="0" w:evenHBand="0" w:firstRowFirstColumn="0" w:firstRowLastColumn="0" w:lastRowFirstColumn="0" w:lastRowLastColumn="0"/>
            </w:pPr>
            <w:r w:rsidRPr="00D46EA7">
              <w:t>523.8</w:t>
            </w:r>
          </w:p>
        </w:tc>
        <w:tc>
          <w:tcPr>
            <w:tcW w:w="1257" w:type="dxa"/>
            <w:vAlign w:val="bottom"/>
          </w:tcPr>
          <w:p w:rsidR="00D46EA7" w:rsidRPr="00D46EA7" w:rsidRDefault="00D46EA7" w:rsidP="00D46EA7">
            <w:pPr>
              <w:cnfStyle w:val="000000000000" w:firstRow="0" w:lastRow="0" w:firstColumn="0" w:lastColumn="0" w:oddVBand="0" w:evenVBand="0" w:oddHBand="0" w:evenHBand="0" w:firstRowFirstColumn="0" w:firstRowLastColumn="0" w:lastRowFirstColumn="0" w:lastRowLastColumn="0"/>
            </w:pPr>
            <w:r w:rsidRPr="00D46EA7">
              <w:t>604.2</w:t>
            </w:r>
          </w:p>
        </w:tc>
        <w:tc>
          <w:tcPr>
            <w:tcW w:w="1257" w:type="dxa"/>
            <w:vAlign w:val="bottom"/>
          </w:tcPr>
          <w:p w:rsidR="00D46EA7" w:rsidRPr="00D46EA7" w:rsidRDefault="00D46EA7" w:rsidP="00D46EA7">
            <w:pPr>
              <w:cnfStyle w:val="000000000000" w:firstRow="0" w:lastRow="0" w:firstColumn="0" w:lastColumn="0" w:oddVBand="0" w:evenVBand="0" w:oddHBand="0" w:evenHBand="0" w:firstRowFirstColumn="0" w:firstRowLastColumn="0" w:lastRowFirstColumn="0" w:lastRowLastColumn="0"/>
            </w:pPr>
            <w:r w:rsidRPr="00D46EA7">
              <w:t>659.6</w:t>
            </w:r>
          </w:p>
        </w:tc>
      </w:tr>
      <w:tr w:rsidR="00D46EA7" w:rsidRPr="00D01CB9" w:rsidTr="000440D8">
        <w:trPr>
          <w:cnfStyle w:val="000000010000" w:firstRow="0" w:lastRow="0" w:firstColumn="0" w:lastColumn="0" w:oddVBand="0" w:evenVBand="0" w:oddHBand="0" w:evenHBand="1" w:firstRowFirstColumn="0" w:firstRowLastColumn="0" w:lastRowFirstColumn="0" w:lastRowLastColumn="0"/>
          <w:trHeight w:val="241"/>
        </w:trPr>
        <w:tc>
          <w:tcPr>
            <w:cnfStyle w:val="001000000000" w:firstRow="0" w:lastRow="0" w:firstColumn="1" w:lastColumn="0" w:oddVBand="0" w:evenVBand="0" w:oddHBand="0" w:evenHBand="0" w:firstRowFirstColumn="0" w:firstRowLastColumn="0" w:lastRowFirstColumn="0" w:lastRowLastColumn="0"/>
            <w:tcW w:w="2438" w:type="dxa"/>
            <w:hideMark/>
          </w:tcPr>
          <w:p w:rsidR="00D46EA7" w:rsidRPr="00D46EA7" w:rsidRDefault="00D46EA7" w:rsidP="00D46EA7">
            <w:r w:rsidRPr="00D46EA7">
              <w:t>Capex</w:t>
            </w:r>
          </w:p>
        </w:tc>
        <w:tc>
          <w:tcPr>
            <w:tcW w:w="1256" w:type="dxa"/>
            <w:vAlign w:val="bottom"/>
          </w:tcPr>
          <w:p w:rsidR="00D46EA7" w:rsidRPr="00D46EA7" w:rsidRDefault="00D46EA7" w:rsidP="00D46EA7">
            <w:pPr>
              <w:cnfStyle w:val="000000010000" w:firstRow="0" w:lastRow="0" w:firstColumn="0" w:lastColumn="0" w:oddVBand="0" w:evenVBand="0" w:oddHBand="0" w:evenHBand="1" w:firstRowFirstColumn="0" w:firstRowLastColumn="0" w:lastRowFirstColumn="0" w:lastRowLastColumn="0"/>
            </w:pPr>
            <w:r w:rsidRPr="00D46EA7">
              <w:t>104.5</w:t>
            </w:r>
          </w:p>
        </w:tc>
        <w:tc>
          <w:tcPr>
            <w:tcW w:w="1257" w:type="dxa"/>
            <w:vAlign w:val="bottom"/>
          </w:tcPr>
          <w:p w:rsidR="00D46EA7" w:rsidRPr="00D46EA7" w:rsidRDefault="00D46EA7" w:rsidP="00D46EA7">
            <w:pPr>
              <w:cnfStyle w:val="000000010000" w:firstRow="0" w:lastRow="0" w:firstColumn="0" w:lastColumn="0" w:oddVBand="0" w:evenVBand="0" w:oddHBand="0" w:evenHBand="1" w:firstRowFirstColumn="0" w:firstRowLastColumn="0" w:lastRowFirstColumn="0" w:lastRowLastColumn="0"/>
            </w:pPr>
            <w:r w:rsidRPr="00D46EA7">
              <w:t>114.6</w:t>
            </w:r>
          </w:p>
        </w:tc>
        <w:tc>
          <w:tcPr>
            <w:tcW w:w="1257" w:type="dxa"/>
            <w:vAlign w:val="bottom"/>
          </w:tcPr>
          <w:p w:rsidR="00D46EA7" w:rsidRPr="00D46EA7" w:rsidRDefault="00D46EA7" w:rsidP="00D46EA7">
            <w:pPr>
              <w:cnfStyle w:val="000000010000" w:firstRow="0" w:lastRow="0" w:firstColumn="0" w:lastColumn="0" w:oddVBand="0" w:evenVBand="0" w:oddHBand="0" w:evenHBand="1" w:firstRowFirstColumn="0" w:firstRowLastColumn="0" w:lastRowFirstColumn="0" w:lastRowLastColumn="0"/>
            </w:pPr>
            <w:r w:rsidRPr="00D46EA7">
              <w:t>128.5</w:t>
            </w:r>
          </w:p>
        </w:tc>
        <w:tc>
          <w:tcPr>
            <w:tcW w:w="1257" w:type="dxa"/>
            <w:vAlign w:val="bottom"/>
          </w:tcPr>
          <w:p w:rsidR="00D46EA7" w:rsidRPr="00D46EA7" w:rsidRDefault="00D46EA7" w:rsidP="00D46EA7">
            <w:pPr>
              <w:cnfStyle w:val="000000010000" w:firstRow="0" w:lastRow="0" w:firstColumn="0" w:lastColumn="0" w:oddVBand="0" w:evenVBand="0" w:oddHBand="0" w:evenHBand="1" w:firstRowFirstColumn="0" w:firstRowLastColumn="0" w:lastRowFirstColumn="0" w:lastRowLastColumn="0"/>
            </w:pPr>
            <w:r w:rsidRPr="00D46EA7">
              <w:t>105.7</w:t>
            </w:r>
          </w:p>
        </w:tc>
        <w:tc>
          <w:tcPr>
            <w:tcW w:w="1257" w:type="dxa"/>
            <w:vAlign w:val="bottom"/>
          </w:tcPr>
          <w:p w:rsidR="00D46EA7" w:rsidRPr="00D46EA7" w:rsidRDefault="00D46EA7" w:rsidP="00D46EA7">
            <w:pPr>
              <w:cnfStyle w:val="000000010000" w:firstRow="0" w:lastRow="0" w:firstColumn="0" w:lastColumn="0" w:oddVBand="0" w:evenVBand="0" w:oddHBand="0" w:evenHBand="1" w:firstRowFirstColumn="0" w:firstRowLastColumn="0" w:lastRowFirstColumn="0" w:lastRowLastColumn="0"/>
            </w:pPr>
            <w:r w:rsidRPr="00D46EA7">
              <w:t>117.6</w:t>
            </w:r>
          </w:p>
        </w:tc>
      </w:tr>
      <w:tr w:rsidR="00D46EA7" w:rsidRPr="00D01CB9" w:rsidTr="000440D8">
        <w:trPr>
          <w:trHeight w:val="241"/>
        </w:trPr>
        <w:tc>
          <w:tcPr>
            <w:cnfStyle w:val="001000000000" w:firstRow="0" w:lastRow="0" w:firstColumn="1" w:lastColumn="0" w:oddVBand="0" w:evenVBand="0" w:oddHBand="0" w:evenHBand="0" w:firstRowFirstColumn="0" w:firstRowLastColumn="0" w:lastRowFirstColumn="0" w:lastRowLastColumn="0"/>
            <w:tcW w:w="2438" w:type="dxa"/>
            <w:hideMark/>
          </w:tcPr>
          <w:p w:rsidR="00D46EA7" w:rsidRPr="00D46EA7" w:rsidRDefault="00D46EA7" w:rsidP="00D46EA7">
            <w:r w:rsidRPr="00D46EA7">
              <w:rPr>
                <w:rStyle w:val="AERtextitalic"/>
              </w:rPr>
              <w:t>Less</w:t>
            </w:r>
            <w:r w:rsidRPr="00D46EA7">
              <w:t>: Tax depreciation</w:t>
            </w:r>
          </w:p>
        </w:tc>
        <w:tc>
          <w:tcPr>
            <w:tcW w:w="1256" w:type="dxa"/>
            <w:vAlign w:val="bottom"/>
          </w:tcPr>
          <w:p w:rsidR="00D46EA7" w:rsidRPr="00D46EA7" w:rsidRDefault="00D46EA7" w:rsidP="00D46EA7">
            <w:pPr>
              <w:cnfStyle w:val="000000000000" w:firstRow="0" w:lastRow="0" w:firstColumn="0" w:lastColumn="0" w:oddVBand="0" w:evenVBand="0" w:oddHBand="0" w:evenHBand="0" w:firstRowFirstColumn="0" w:firstRowLastColumn="0" w:lastRowFirstColumn="0" w:lastRowLastColumn="0"/>
            </w:pPr>
            <w:r w:rsidRPr="00D46EA7">
              <w:t>47.3</w:t>
            </w:r>
          </w:p>
        </w:tc>
        <w:tc>
          <w:tcPr>
            <w:tcW w:w="1257" w:type="dxa"/>
            <w:vAlign w:val="bottom"/>
          </w:tcPr>
          <w:p w:rsidR="00D46EA7" w:rsidRPr="00D46EA7" w:rsidRDefault="00D46EA7" w:rsidP="00D46EA7">
            <w:pPr>
              <w:cnfStyle w:val="000000000000" w:firstRow="0" w:lastRow="0" w:firstColumn="0" w:lastColumn="0" w:oddVBand="0" w:evenVBand="0" w:oddHBand="0" w:evenHBand="0" w:firstRowFirstColumn="0" w:firstRowLastColumn="0" w:lastRowFirstColumn="0" w:lastRowLastColumn="0"/>
            </w:pPr>
            <w:r w:rsidRPr="00D46EA7">
              <w:t>46.6</w:t>
            </w:r>
          </w:p>
        </w:tc>
        <w:tc>
          <w:tcPr>
            <w:tcW w:w="1257" w:type="dxa"/>
            <w:vAlign w:val="bottom"/>
          </w:tcPr>
          <w:p w:rsidR="00D46EA7" w:rsidRPr="00D46EA7" w:rsidRDefault="00D46EA7" w:rsidP="00D46EA7">
            <w:pPr>
              <w:cnfStyle w:val="000000000000" w:firstRow="0" w:lastRow="0" w:firstColumn="0" w:lastColumn="0" w:oddVBand="0" w:evenVBand="0" w:oddHBand="0" w:evenHBand="0" w:firstRowFirstColumn="0" w:firstRowLastColumn="0" w:lastRowFirstColumn="0" w:lastRowLastColumn="0"/>
            </w:pPr>
            <w:r w:rsidRPr="00D46EA7">
              <w:t>48.1</w:t>
            </w:r>
          </w:p>
        </w:tc>
        <w:tc>
          <w:tcPr>
            <w:tcW w:w="1257" w:type="dxa"/>
            <w:vAlign w:val="bottom"/>
          </w:tcPr>
          <w:p w:rsidR="00D46EA7" w:rsidRPr="00D46EA7" w:rsidRDefault="00D46EA7" w:rsidP="00D46EA7">
            <w:pPr>
              <w:cnfStyle w:val="000000000000" w:firstRow="0" w:lastRow="0" w:firstColumn="0" w:lastColumn="0" w:oddVBand="0" w:evenVBand="0" w:oddHBand="0" w:evenHBand="0" w:firstRowFirstColumn="0" w:firstRowLastColumn="0" w:lastRowFirstColumn="0" w:lastRowLastColumn="0"/>
            </w:pPr>
            <w:r w:rsidRPr="00D46EA7">
              <w:t>50.3</w:t>
            </w:r>
          </w:p>
        </w:tc>
        <w:tc>
          <w:tcPr>
            <w:tcW w:w="1257" w:type="dxa"/>
            <w:vAlign w:val="bottom"/>
          </w:tcPr>
          <w:p w:rsidR="00D46EA7" w:rsidRPr="00D46EA7" w:rsidRDefault="00D46EA7" w:rsidP="00D46EA7">
            <w:pPr>
              <w:cnfStyle w:val="000000000000" w:firstRow="0" w:lastRow="0" w:firstColumn="0" w:lastColumn="0" w:oddVBand="0" w:evenVBand="0" w:oddHBand="0" w:evenHBand="0" w:firstRowFirstColumn="0" w:firstRowLastColumn="0" w:lastRowFirstColumn="0" w:lastRowLastColumn="0"/>
            </w:pPr>
            <w:r w:rsidRPr="00D46EA7">
              <w:t>53.1</w:t>
            </w:r>
          </w:p>
        </w:tc>
      </w:tr>
      <w:tr w:rsidR="00D46EA7" w:rsidRPr="00D01CB9" w:rsidTr="000440D8">
        <w:trPr>
          <w:cnfStyle w:val="000000010000" w:firstRow="0" w:lastRow="0" w:firstColumn="0" w:lastColumn="0" w:oddVBand="0" w:evenVBand="0" w:oddHBand="0" w:evenHBand="1" w:firstRowFirstColumn="0" w:firstRowLastColumn="0" w:lastRowFirstColumn="0" w:lastRowLastColumn="0"/>
          <w:trHeight w:val="241"/>
        </w:trPr>
        <w:tc>
          <w:tcPr>
            <w:cnfStyle w:val="001000000000" w:firstRow="0" w:lastRow="0" w:firstColumn="1" w:lastColumn="0" w:oddVBand="0" w:evenVBand="0" w:oddHBand="0" w:evenHBand="0" w:firstRowFirstColumn="0" w:firstRowLastColumn="0" w:lastRowFirstColumn="0" w:lastRowLastColumn="0"/>
            <w:tcW w:w="2438" w:type="dxa"/>
            <w:hideMark/>
          </w:tcPr>
          <w:p w:rsidR="00D46EA7" w:rsidRPr="00D46EA7" w:rsidRDefault="00D46EA7" w:rsidP="00D46EA7">
            <w:r w:rsidRPr="00D46EA7">
              <w:t>Closing tax asset base</w:t>
            </w:r>
          </w:p>
        </w:tc>
        <w:tc>
          <w:tcPr>
            <w:tcW w:w="1256" w:type="dxa"/>
            <w:vAlign w:val="bottom"/>
          </w:tcPr>
          <w:p w:rsidR="00D46EA7" w:rsidRPr="00D46EA7" w:rsidRDefault="00D46EA7" w:rsidP="00D46EA7">
            <w:pPr>
              <w:cnfStyle w:val="000000010000" w:firstRow="0" w:lastRow="0" w:firstColumn="0" w:lastColumn="0" w:oddVBand="0" w:evenVBand="0" w:oddHBand="0" w:evenHBand="1" w:firstRowFirstColumn="0" w:firstRowLastColumn="0" w:lastRowFirstColumn="0" w:lastRowLastColumn="0"/>
              <w:rPr>
                <w:rStyle w:val="Strong"/>
              </w:rPr>
            </w:pPr>
            <w:r w:rsidRPr="00D46EA7">
              <w:t>455.7</w:t>
            </w:r>
          </w:p>
        </w:tc>
        <w:tc>
          <w:tcPr>
            <w:tcW w:w="1257" w:type="dxa"/>
            <w:vAlign w:val="bottom"/>
          </w:tcPr>
          <w:p w:rsidR="00D46EA7" w:rsidRPr="00D46EA7" w:rsidRDefault="00D46EA7" w:rsidP="00D46EA7">
            <w:pPr>
              <w:cnfStyle w:val="000000010000" w:firstRow="0" w:lastRow="0" w:firstColumn="0" w:lastColumn="0" w:oddVBand="0" w:evenVBand="0" w:oddHBand="0" w:evenHBand="1" w:firstRowFirstColumn="0" w:firstRowLastColumn="0" w:lastRowFirstColumn="0" w:lastRowLastColumn="0"/>
              <w:rPr>
                <w:rStyle w:val="Strong"/>
              </w:rPr>
            </w:pPr>
            <w:r w:rsidRPr="00D46EA7">
              <w:t>523.8</w:t>
            </w:r>
          </w:p>
        </w:tc>
        <w:tc>
          <w:tcPr>
            <w:tcW w:w="1257" w:type="dxa"/>
            <w:vAlign w:val="bottom"/>
          </w:tcPr>
          <w:p w:rsidR="00D46EA7" w:rsidRPr="00D46EA7" w:rsidRDefault="00D46EA7" w:rsidP="00D46EA7">
            <w:pPr>
              <w:cnfStyle w:val="000000010000" w:firstRow="0" w:lastRow="0" w:firstColumn="0" w:lastColumn="0" w:oddVBand="0" w:evenVBand="0" w:oddHBand="0" w:evenHBand="1" w:firstRowFirstColumn="0" w:firstRowLastColumn="0" w:lastRowFirstColumn="0" w:lastRowLastColumn="0"/>
              <w:rPr>
                <w:rStyle w:val="Strong"/>
              </w:rPr>
            </w:pPr>
            <w:r w:rsidRPr="00D46EA7">
              <w:t>604.2</w:t>
            </w:r>
          </w:p>
        </w:tc>
        <w:tc>
          <w:tcPr>
            <w:tcW w:w="1257" w:type="dxa"/>
            <w:vAlign w:val="bottom"/>
          </w:tcPr>
          <w:p w:rsidR="00D46EA7" w:rsidRPr="00D46EA7" w:rsidRDefault="00D46EA7" w:rsidP="00D46EA7">
            <w:pPr>
              <w:cnfStyle w:val="000000010000" w:firstRow="0" w:lastRow="0" w:firstColumn="0" w:lastColumn="0" w:oddVBand="0" w:evenVBand="0" w:oddHBand="0" w:evenHBand="1" w:firstRowFirstColumn="0" w:firstRowLastColumn="0" w:lastRowFirstColumn="0" w:lastRowLastColumn="0"/>
              <w:rPr>
                <w:rStyle w:val="Strong"/>
              </w:rPr>
            </w:pPr>
            <w:r w:rsidRPr="00D46EA7">
              <w:t>659.6</w:t>
            </w:r>
          </w:p>
        </w:tc>
        <w:tc>
          <w:tcPr>
            <w:tcW w:w="1257" w:type="dxa"/>
            <w:vAlign w:val="bottom"/>
          </w:tcPr>
          <w:p w:rsidR="00D46EA7" w:rsidRPr="00D46EA7" w:rsidRDefault="00D46EA7" w:rsidP="00D46EA7">
            <w:pPr>
              <w:cnfStyle w:val="000000010000" w:firstRow="0" w:lastRow="0" w:firstColumn="0" w:lastColumn="0" w:oddVBand="0" w:evenVBand="0" w:oddHBand="0" w:evenHBand="1" w:firstRowFirstColumn="0" w:firstRowLastColumn="0" w:lastRowFirstColumn="0" w:lastRowLastColumn="0"/>
              <w:rPr>
                <w:rStyle w:val="Strong"/>
              </w:rPr>
            </w:pPr>
            <w:r w:rsidRPr="00D46EA7">
              <w:t>724.0</w:t>
            </w:r>
          </w:p>
        </w:tc>
      </w:tr>
    </w:tbl>
    <w:p w:rsidR="00C2279E" w:rsidRPr="00896D81" w:rsidRDefault="00C2279E" w:rsidP="001E2481">
      <w:pPr>
        <w:pStyle w:val="AERtablesource"/>
        <w:keepNext/>
      </w:pPr>
      <w:r w:rsidRPr="00896D81">
        <w:t xml:space="preserve">Source: </w:t>
      </w:r>
      <w:r w:rsidRPr="00896D81">
        <w:tab/>
      </w:r>
      <w:r>
        <w:t>AER analysis</w:t>
      </w:r>
      <w:r w:rsidRPr="00896D81">
        <w:t>.</w:t>
      </w:r>
    </w:p>
    <w:p w:rsidR="00C2279E" w:rsidRDefault="00C2279E" w:rsidP="001E2481">
      <w:pPr>
        <w:pStyle w:val="Heading3"/>
        <w:ind w:left="720"/>
      </w:pPr>
      <w:bookmarkStart w:id="94" w:name="_Ref477521571"/>
      <w:bookmarkStart w:id="95" w:name="_Ref477521602"/>
      <w:bookmarkStart w:id="96" w:name="_Toc477782996"/>
      <w:bookmarkStart w:id="97" w:name="_Toc486834710"/>
      <w:r>
        <w:t>Standard tax asset lives</w:t>
      </w:r>
      <w:bookmarkEnd w:id="94"/>
      <w:bookmarkEnd w:id="95"/>
      <w:bookmarkEnd w:id="96"/>
      <w:bookmarkEnd w:id="97"/>
    </w:p>
    <w:p w:rsidR="00C2279E" w:rsidRDefault="00C2279E" w:rsidP="00C2279E">
      <w:r>
        <w:t>We</w:t>
      </w:r>
      <w:r w:rsidRPr="00AB1F30">
        <w:t xml:space="preserve"> approv</w:t>
      </w:r>
      <w:r>
        <w:t>e</w:t>
      </w:r>
      <w:r w:rsidRPr="00AB1F30">
        <w:t xml:space="preserve"> </w:t>
      </w:r>
      <w:r w:rsidR="00BF223A">
        <w:t xml:space="preserve">the majority of </w:t>
      </w:r>
      <w:r>
        <w:t xml:space="preserve">AGN's </w:t>
      </w:r>
      <w:r w:rsidRPr="00AB1F30">
        <w:t>propos</w:t>
      </w:r>
      <w:r>
        <w:t xml:space="preserve">ed standard tax asset lives assigned to each of its asset classes for </w:t>
      </w:r>
      <w:r w:rsidRPr="00AB1F30">
        <w:t xml:space="preserve">the </w:t>
      </w:r>
      <w:r>
        <w:rPr>
          <w:rStyle w:val="AERbody"/>
        </w:rPr>
        <w:t xml:space="preserve">2018–22 </w:t>
      </w:r>
      <w:r w:rsidRPr="00AB1F30">
        <w:t xml:space="preserve">access arrangement </w:t>
      </w:r>
      <w:proofErr w:type="gramStart"/>
      <w:r w:rsidRPr="00AB1F30">
        <w:t>period</w:t>
      </w:r>
      <w:proofErr w:type="gramEnd"/>
      <w:r w:rsidRPr="00AB1F30">
        <w:t>.</w:t>
      </w:r>
      <w:r>
        <w:rPr>
          <w:rStyle w:val="FootnoteReference"/>
        </w:rPr>
        <w:footnoteReference w:id="24"/>
      </w:r>
      <w:r w:rsidRPr="00AB1F30">
        <w:t xml:space="preserve"> </w:t>
      </w:r>
      <w:r>
        <w:t>AGN ha</w:t>
      </w:r>
      <w:r w:rsidR="00C47638">
        <w:t>s</w:t>
      </w:r>
      <w:r>
        <w:t xml:space="preserve"> referenced </w:t>
      </w:r>
      <w:r w:rsidR="00C47638">
        <w:t>the ATO's t</w:t>
      </w:r>
      <w:r>
        <w:t xml:space="preserve">ax </w:t>
      </w:r>
      <w:r w:rsidR="00C47638">
        <w:t>r</w:t>
      </w:r>
      <w:r>
        <w:t xml:space="preserve">uling 2015/2 in </w:t>
      </w:r>
      <w:r w:rsidR="00C47638">
        <w:t>its</w:t>
      </w:r>
      <w:r>
        <w:t xml:space="preserve"> proposal</w:t>
      </w:r>
      <w:r>
        <w:rPr>
          <w:rStyle w:val="FootnoteReference"/>
        </w:rPr>
        <w:footnoteReference w:id="25"/>
      </w:r>
      <w:r>
        <w:t xml:space="preserve"> </w:t>
      </w:r>
      <w:r w:rsidR="00C47638">
        <w:t xml:space="preserve">for its proposed standard </w:t>
      </w:r>
      <w:r w:rsidR="004E6145">
        <w:t xml:space="preserve">tax </w:t>
      </w:r>
      <w:r w:rsidR="00C47638">
        <w:t>asset lives.</w:t>
      </w:r>
      <w:r>
        <w:t xml:space="preserve"> </w:t>
      </w:r>
      <w:r w:rsidR="00C47638">
        <w:t>W</w:t>
      </w:r>
      <w:r>
        <w:t xml:space="preserve">e consider the proposed </w:t>
      </w:r>
      <w:r w:rsidR="00C47638">
        <w:t xml:space="preserve">standard </w:t>
      </w:r>
      <w:r>
        <w:t xml:space="preserve">tax asset lives are </w:t>
      </w:r>
      <w:r w:rsidR="00BB24D3">
        <w:t xml:space="preserve">broadly consistent with this ruling and </w:t>
      </w:r>
      <w:r>
        <w:t xml:space="preserve">also </w:t>
      </w:r>
      <w:r w:rsidR="00BF223A">
        <w:t xml:space="preserve">broadly </w:t>
      </w:r>
      <w:r w:rsidRPr="00AB1F30">
        <w:t xml:space="preserve">consistent with </w:t>
      </w:r>
      <w:r>
        <w:t xml:space="preserve">the standard tax asset lives </w:t>
      </w:r>
      <w:r w:rsidRPr="006555A7">
        <w:t xml:space="preserve">prescribed </w:t>
      </w:r>
      <w:r>
        <w:t xml:space="preserve">in the more recent </w:t>
      </w:r>
      <w:r w:rsidR="00C47638">
        <w:t>t</w:t>
      </w:r>
      <w:r>
        <w:t xml:space="preserve">ax </w:t>
      </w:r>
      <w:r w:rsidR="00C47638">
        <w:t>r</w:t>
      </w:r>
      <w:r>
        <w:t>uling 2016</w:t>
      </w:r>
      <w:r w:rsidRPr="006555A7">
        <w:t>/</w:t>
      </w:r>
      <w:r>
        <w:t>1.</w:t>
      </w:r>
      <w:r w:rsidRPr="0019550D">
        <w:rPr>
          <w:rStyle w:val="FootnoteReference"/>
        </w:rPr>
        <w:footnoteReference w:id="26"/>
      </w:r>
      <w:r>
        <w:t xml:space="preserve"> </w:t>
      </w:r>
    </w:p>
    <w:p w:rsidR="00BF223A" w:rsidRDefault="00BF223A" w:rsidP="00BF223A">
      <w:r>
        <w:t xml:space="preserve">Our draft decision is to change the </w:t>
      </w:r>
      <w:r w:rsidR="00BC2AAC">
        <w:t xml:space="preserve">standard </w:t>
      </w:r>
      <w:r>
        <w:t xml:space="preserve">tax asset life for the 'Other </w:t>
      </w:r>
      <w:r w:rsidR="00C47638">
        <w:t>a</w:t>
      </w:r>
      <w:r>
        <w:t>ssets' class to 15 years</w:t>
      </w:r>
      <w:r w:rsidR="00C47638" w:rsidRPr="00C47638">
        <w:t xml:space="preserve"> </w:t>
      </w:r>
      <w:r w:rsidR="00C47638">
        <w:t>from 40 years</w:t>
      </w:r>
      <w:r w:rsidR="000F117F">
        <w:t>.</w:t>
      </w:r>
      <w:r>
        <w:t xml:space="preserve"> </w:t>
      </w:r>
      <w:r w:rsidRPr="00BF223A">
        <w:t>We consider th</w:t>
      </w:r>
      <w:r w:rsidR="000F117F">
        <w:t xml:space="preserve">is </w:t>
      </w:r>
      <w:r w:rsidR="00FE4198">
        <w:t>change provides for</w:t>
      </w:r>
      <w:r w:rsidRPr="00BF223A">
        <w:t xml:space="preserve"> the </w:t>
      </w:r>
      <w:r w:rsidR="00FE4198">
        <w:t xml:space="preserve">standard </w:t>
      </w:r>
      <w:r w:rsidRPr="00BF223A">
        <w:t>tax asset li</w:t>
      </w:r>
      <w:r w:rsidR="00FE4198">
        <w:t>fe</w:t>
      </w:r>
      <w:r w:rsidRPr="00BF223A">
        <w:t xml:space="preserve"> prescribed in the </w:t>
      </w:r>
      <w:r w:rsidR="00C47638">
        <w:t>t</w:t>
      </w:r>
      <w:r w:rsidRPr="00BF223A">
        <w:t xml:space="preserve">ax </w:t>
      </w:r>
      <w:r w:rsidR="00C47638">
        <w:t>r</w:t>
      </w:r>
      <w:r w:rsidRPr="00BF223A">
        <w:t>uling 2016/1</w:t>
      </w:r>
      <w:r w:rsidR="00FE4198">
        <w:t xml:space="preserve"> that is consistent with the type of assets allocated to this asset class</w:t>
      </w:r>
      <w:r w:rsidR="00BC2AAC">
        <w:t>.</w:t>
      </w:r>
      <w:r w:rsidR="002C0BBD">
        <w:t xml:space="preserve"> In its response to our information request, AGN accepted this change.</w:t>
      </w:r>
      <w:r w:rsidR="002C0BBD">
        <w:rPr>
          <w:rStyle w:val="FootnoteReference"/>
        </w:rPr>
        <w:footnoteReference w:id="27"/>
      </w:r>
      <w:r w:rsidR="000F117F" w:rsidRPr="000F117F">
        <w:t xml:space="preserve"> </w:t>
      </w:r>
      <w:r w:rsidR="000F117F">
        <w:t>We have also changed the standard tax asset life for the 'Equity Raising Costs' class from 'N/A' to 5 years. This is because the Australian Taxation Office (ATO) requires equity raising costs to be amortised over a five-year period on a straight-line basis.</w:t>
      </w:r>
      <w:r w:rsidR="000F117F">
        <w:rPr>
          <w:rStyle w:val="FootnoteReference"/>
        </w:rPr>
        <w:footnoteReference w:id="28"/>
      </w:r>
    </w:p>
    <w:p w:rsidR="00C47638" w:rsidRDefault="00C47638" w:rsidP="00BF223A">
      <w:r>
        <w:t>Our</w:t>
      </w:r>
      <w:r w:rsidRPr="00942390">
        <w:t xml:space="preserve"> draft decision on </w:t>
      </w:r>
      <w:r>
        <w:t xml:space="preserve">AGN's </w:t>
      </w:r>
      <w:r w:rsidRPr="00942390">
        <w:t xml:space="preserve">standard tax asset lives for each of its asset classes for the </w:t>
      </w:r>
      <w:r>
        <w:rPr>
          <w:rStyle w:val="AERbody"/>
        </w:rPr>
        <w:t>2018–22</w:t>
      </w:r>
      <w:r w:rsidRPr="00942390">
        <w:rPr>
          <w:rStyle w:val="AERbody"/>
        </w:rPr>
        <w:t xml:space="preserve"> </w:t>
      </w:r>
      <w:r w:rsidRPr="00942390">
        <w:t xml:space="preserve">access arrangement </w:t>
      </w:r>
      <w:proofErr w:type="gramStart"/>
      <w:r w:rsidRPr="00942390">
        <w:t>period</w:t>
      </w:r>
      <w:proofErr w:type="gramEnd"/>
      <w:r w:rsidRPr="00942390">
        <w:t xml:space="preserve"> is set out in</w:t>
      </w:r>
      <w:r>
        <w:t xml:space="preserve"> </w:t>
      </w:r>
      <w:r>
        <w:fldChar w:fldCharType="begin"/>
      </w:r>
      <w:r>
        <w:instrText xml:space="preserve"> REF _Ref477521435 \h </w:instrText>
      </w:r>
      <w:r>
        <w:fldChar w:fldCharType="separate"/>
      </w:r>
      <w:r w:rsidR="00A42928">
        <w:t xml:space="preserve">Table </w:t>
      </w:r>
      <w:r w:rsidR="00A42928">
        <w:rPr>
          <w:noProof/>
        </w:rPr>
        <w:t>8</w:t>
      </w:r>
      <w:r w:rsidR="00A42928">
        <w:t>.</w:t>
      </w:r>
      <w:r w:rsidR="00A42928">
        <w:rPr>
          <w:noProof/>
        </w:rPr>
        <w:t>5</w:t>
      </w:r>
      <w:r>
        <w:fldChar w:fldCharType="end"/>
      </w:r>
      <w:r>
        <w:t>.</w:t>
      </w:r>
    </w:p>
    <w:p w:rsidR="00C2279E" w:rsidRDefault="00C2279E" w:rsidP="001E2481">
      <w:pPr>
        <w:pStyle w:val="Heading3"/>
        <w:ind w:left="720"/>
      </w:pPr>
      <w:bookmarkStart w:id="98" w:name="_Toc477782997"/>
      <w:bookmarkStart w:id="99" w:name="_Ref478458115"/>
      <w:bookmarkStart w:id="100" w:name="_Ref482026928"/>
      <w:bookmarkStart w:id="101" w:name="_Toc486834711"/>
      <w:r>
        <w:t>Remaining tax asset lives as at 1 January 2018</w:t>
      </w:r>
      <w:bookmarkEnd w:id="98"/>
      <w:bookmarkEnd w:id="99"/>
      <w:bookmarkEnd w:id="100"/>
      <w:bookmarkEnd w:id="101"/>
    </w:p>
    <w:p w:rsidR="00C2279E" w:rsidRDefault="00C2279E" w:rsidP="00C2279E">
      <w:r w:rsidRPr="00087386">
        <w:t>Our 201</w:t>
      </w:r>
      <w:r>
        <w:t>3</w:t>
      </w:r>
      <w:r w:rsidRPr="00087386">
        <w:t>–1</w:t>
      </w:r>
      <w:r>
        <w:t>7</w:t>
      </w:r>
      <w:r w:rsidRPr="00087386">
        <w:t xml:space="preserve"> </w:t>
      </w:r>
      <w:r>
        <w:t xml:space="preserve">access arrangement </w:t>
      </w:r>
      <w:r w:rsidRPr="00087386">
        <w:t xml:space="preserve">for </w:t>
      </w:r>
      <w:r>
        <w:t xml:space="preserve">AGN </w:t>
      </w:r>
      <w:r w:rsidRPr="00087386">
        <w:t>did not contain remaining tax asset lives for</w:t>
      </w:r>
      <w:r>
        <w:t xml:space="preserve"> </w:t>
      </w:r>
      <w:r w:rsidRPr="00087386">
        <w:t>depreciating its opening TAB as at 1 January 201</w:t>
      </w:r>
      <w:r>
        <w:t>3</w:t>
      </w:r>
      <w:r w:rsidRPr="00087386">
        <w:t>.</w:t>
      </w:r>
      <w:r>
        <w:rPr>
          <w:rStyle w:val="FootnoteReference"/>
        </w:rPr>
        <w:footnoteReference w:id="29"/>
      </w:r>
      <w:r w:rsidRPr="00087386">
        <w:t xml:space="preserve"> Instead, </w:t>
      </w:r>
      <w:r>
        <w:t>it</w:t>
      </w:r>
      <w:r w:rsidRPr="00087386">
        <w:t xml:space="preserve"> adopt</w:t>
      </w:r>
      <w:r>
        <w:t>ed</w:t>
      </w:r>
      <w:r w:rsidRPr="00087386">
        <w:t xml:space="preserve"> the same tax</w:t>
      </w:r>
      <w:r>
        <w:t xml:space="preserve"> </w:t>
      </w:r>
      <w:r w:rsidRPr="00087386">
        <w:t>depreciation methodology as used by the ESC for the 200</w:t>
      </w:r>
      <w:r>
        <w:t>8</w:t>
      </w:r>
      <w:r w:rsidRPr="00087386">
        <w:t>–1</w:t>
      </w:r>
      <w:r>
        <w:t>2</w:t>
      </w:r>
      <w:r w:rsidRPr="00087386">
        <w:t xml:space="preserve"> </w:t>
      </w:r>
      <w:r w:rsidR="00FE4198">
        <w:t>access arrangement</w:t>
      </w:r>
      <w:r>
        <w:t xml:space="preserve"> </w:t>
      </w:r>
      <w:proofErr w:type="gramStart"/>
      <w:r w:rsidRPr="00087386">
        <w:t>period</w:t>
      </w:r>
      <w:proofErr w:type="gramEnd"/>
      <w:r>
        <w:t xml:space="preserve"> to calculate tax depreciation over the 2013–17 access arrangement period</w:t>
      </w:r>
      <w:r w:rsidRPr="00087386">
        <w:t>. As discussed in section</w:t>
      </w:r>
      <w:r>
        <w:t xml:space="preserve"> </w:t>
      </w:r>
      <w:r>
        <w:fldChar w:fldCharType="begin"/>
      </w:r>
      <w:r>
        <w:instrText xml:space="preserve"> REF _Ref477521652 \r \h </w:instrText>
      </w:r>
      <w:r>
        <w:fldChar w:fldCharType="separate"/>
      </w:r>
      <w:r w:rsidR="00A42928">
        <w:t>8.4.1</w:t>
      </w:r>
      <w:r>
        <w:fldChar w:fldCharType="end"/>
      </w:r>
      <w:r w:rsidRPr="00087386">
        <w:t xml:space="preserve">, we accept </w:t>
      </w:r>
      <w:r>
        <w:t xml:space="preserve">AGN's </w:t>
      </w:r>
      <w:r w:rsidRPr="00087386">
        <w:t xml:space="preserve">proposal to </w:t>
      </w:r>
      <w:r>
        <w:t xml:space="preserve">transition to our standard </w:t>
      </w:r>
      <w:r w:rsidRPr="00087386">
        <w:t>straight-line depreciation approach to calculate the corporate income tax allowance for</w:t>
      </w:r>
      <w:r>
        <w:t xml:space="preserve"> </w:t>
      </w:r>
      <w:r w:rsidRPr="00087386">
        <w:t>the 201</w:t>
      </w:r>
      <w:r>
        <w:t>8</w:t>
      </w:r>
      <w:r w:rsidRPr="00087386">
        <w:t>–2</w:t>
      </w:r>
      <w:r>
        <w:t>2</w:t>
      </w:r>
      <w:r w:rsidRPr="00087386">
        <w:t xml:space="preserve"> </w:t>
      </w:r>
      <w:r w:rsidR="00FE4198">
        <w:t>access arrangement</w:t>
      </w:r>
      <w:r w:rsidRPr="00087386">
        <w:t xml:space="preserve"> period. This requires us to determine remaining tax</w:t>
      </w:r>
      <w:r>
        <w:t xml:space="preserve"> </w:t>
      </w:r>
      <w:r w:rsidRPr="00087386">
        <w:t>asset lives for depreciating the opening TAB as at 1 January 201</w:t>
      </w:r>
      <w:r>
        <w:t>8</w:t>
      </w:r>
      <w:r w:rsidRPr="00087386">
        <w:t>.</w:t>
      </w:r>
    </w:p>
    <w:p w:rsidR="000C3017" w:rsidRDefault="00C2279E" w:rsidP="00C2279E">
      <w:r w:rsidRPr="00700B98">
        <w:t xml:space="preserve">We accept </w:t>
      </w:r>
      <w:r>
        <w:t xml:space="preserve">AGN's </w:t>
      </w:r>
      <w:r w:rsidRPr="00700B98">
        <w:t xml:space="preserve">proposed </w:t>
      </w:r>
      <w:r>
        <w:t xml:space="preserve">method of setting </w:t>
      </w:r>
      <w:r w:rsidRPr="00700B98">
        <w:t xml:space="preserve">the remaining tax asset lives </w:t>
      </w:r>
      <w:r>
        <w:t xml:space="preserve">equal to </w:t>
      </w:r>
      <w:r w:rsidRPr="001372F6">
        <w:t>the standard tax asset life for the asset</w:t>
      </w:r>
      <w:r>
        <w:t xml:space="preserve"> </w:t>
      </w:r>
      <w:r w:rsidRPr="001372F6">
        <w:t xml:space="preserve">class multiplied by the ratio of the </w:t>
      </w:r>
      <w:r w:rsidR="00FE4198">
        <w:t>capital base</w:t>
      </w:r>
      <w:r w:rsidR="00FE4198" w:rsidRPr="001372F6">
        <w:t xml:space="preserve"> </w:t>
      </w:r>
      <w:r w:rsidRPr="001372F6">
        <w:t xml:space="preserve">remaining asset life to the </w:t>
      </w:r>
      <w:r w:rsidR="00FE4198">
        <w:t>capital base</w:t>
      </w:r>
      <w:r w:rsidR="00FE4198" w:rsidRPr="001372F6">
        <w:t xml:space="preserve"> </w:t>
      </w:r>
      <w:r w:rsidRPr="001372F6">
        <w:t>standard</w:t>
      </w:r>
      <w:r>
        <w:t xml:space="preserve"> </w:t>
      </w:r>
      <w:r w:rsidRPr="001372F6">
        <w:t>asset life.</w:t>
      </w:r>
      <w:r>
        <w:t xml:space="preserve"> </w:t>
      </w:r>
      <w:r w:rsidR="001C7576">
        <w:t>We are satisfied that AGN's proposed approach provides reasonable estimates of remaining tax asset lives for its asset classes. We note the proposed approach is consistent with the method approved in our recent determinations for Ausgrid and the Victorian electricity distributors.</w:t>
      </w:r>
      <w:r w:rsidR="001C7576">
        <w:rPr>
          <w:rStyle w:val="FootnoteReference"/>
        </w:rPr>
        <w:footnoteReference w:id="30"/>
      </w:r>
    </w:p>
    <w:p w:rsidR="00EC2F10" w:rsidRPr="00EC2F10" w:rsidRDefault="00EC2F10" w:rsidP="00EC2F10">
      <w:r w:rsidRPr="00EC2F10">
        <w:t>AGN's approach for calculating the remaining tax asset lives as at 1 January 201</w:t>
      </w:r>
      <w:r>
        <w:t>8</w:t>
      </w:r>
      <w:r w:rsidRPr="00EC2F10">
        <w:t xml:space="preserve"> requires the remaining </w:t>
      </w:r>
      <w:r>
        <w:t>capital base</w:t>
      </w:r>
      <w:r w:rsidRPr="00EC2F10">
        <w:t xml:space="preserve"> asset life as at the same date. The change to the year-by-year tracking approach means that the </w:t>
      </w:r>
      <w:r>
        <w:t>capital base</w:t>
      </w:r>
      <w:r w:rsidRPr="00EC2F10">
        <w:t xml:space="preserve"> remaining lives are no longer recorded in the PTRM.</w:t>
      </w:r>
      <w:r>
        <w:rPr>
          <w:rStyle w:val="FootnoteReference"/>
        </w:rPr>
        <w:footnoteReference w:id="31"/>
      </w:r>
      <w:r w:rsidRPr="00EC2F10">
        <w:t xml:space="preserve"> However, </w:t>
      </w:r>
      <w:r>
        <w:t>capital base</w:t>
      </w:r>
      <w:r w:rsidRPr="00EC2F10">
        <w:t xml:space="preserve"> remaining lives are </w:t>
      </w:r>
      <w:r w:rsidR="001E34BB">
        <w:t xml:space="preserve">still estimated in the RFM for </w:t>
      </w:r>
      <w:r w:rsidRPr="00EC2F10">
        <w:t>use</w:t>
      </w:r>
      <w:r w:rsidR="001E34BB">
        <w:t xml:space="preserve"> in</w:t>
      </w:r>
      <w:r w:rsidRPr="00EC2F10">
        <w:t xml:space="preserve"> calculat</w:t>
      </w:r>
      <w:r w:rsidR="001E34BB">
        <w:t>ing</w:t>
      </w:r>
      <w:r w:rsidRPr="00EC2F10">
        <w:t xml:space="preserve"> the remaining tax asset lives</w:t>
      </w:r>
      <w:r w:rsidR="001E34BB">
        <w:t xml:space="preserve"> as at 1 January 2018</w:t>
      </w:r>
      <w:r w:rsidRPr="00EC2F10">
        <w:t>.</w:t>
      </w:r>
      <w:r>
        <w:rPr>
          <w:rStyle w:val="FootnoteReference"/>
        </w:rPr>
        <w:footnoteReference w:id="32"/>
      </w:r>
    </w:p>
    <w:p w:rsidR="00C076BA" w:rsidRDefault="00C076BA" w:rsidP="00C2279E">
      <w:r w:rsidRPr="00A67E0A">
        <w:t xml:space="preserve">We have updated the proposed remaining tax asset lives to reflect our </w:t>
      </w:r>
      <w:r w:rsidR="0056285E">
        <w:t>adjustments</w:t>
      </w:r>
      <w:r w:rsidR="004D7870">
        <w:t xml:space="preserve"> </w:t>
      </w:r>
      <w:r w:rsidRPr="00A67E0A">
        <w:t xml:space="preserve">to </w:t>
      </w:r>
      <w:r>
        <w:t xml:space="preserve">AGN's </w:t>
      </w:r>
      <w:r w:rsidRPr="00A67E0A">
        <w:t xml:space="preserve">capex in </w:t>
      </w:r>
      <w:r w:rsidR="004D7870">
        <w:t xml:space="preserve">its </w:t>
      </w:r>
      <w:r w:rsidR="00D2709C">
        <w:t xml:space="preserve">proposed </w:t>
      </w:r>
      <w:r w:rsidR="004D7870">
        <w:t>RFMs</w:t>
      </w:r>
      <w:r w:rsidR="0056285E">
        <w:t>, as discussed in attachment 2</w:t>
      </w:r>
      <w:r w:rsidRPr="00A67E0A">
        <w:t>. This is because the actual capex values are inputs for calculating the average remaining tax asset lives. We note we will also update the proposed remaining tax asset lives for the final decision for any changes to estimated capex.</w:t>
      </w:r>
      <w:r>
        <w:rPr>
          <w:rStyle w:val="FootnoteReference"/>
        </w:rPr>
        <w:footnoteReference w:id="33"/>
      </w:r>
    </w:p>
    <w:p w:rsidR="00C2279E" w:rsidRDefault="004002D9" w:rsidP="00C2279E">
      <w:r>
        <w:t xml:space="preserve">We </w:t>
      </w:r>
      <w:r w:rsidR="001D75B4">
        <w:t xml:space="preserve">have also </w:t>
      </w:r>
      <w:r>
        <w:t xml:space="preserve">changed the remaining tax asset life of the 'Computer </w:t>
      </w:r>
      <w:r w:rsidR="00FE4198">
        <w:t>e</w:t>
      </w:r>
      <w:r>
        <w:t>quipment</w:t>
      </w:r>
      <w:r w:rsidR="00A84F2E">
        <w:t xml:space="preserve"> Albury</w:t>
      </w:r>
      <w:r>
        <w:t xml:space="preserve">' asset class from </w:t>
      </w:r>
      <w:r w:rsidR="00FE4198">
        <w:t>–</w:t>
      </w:r>
      <w:r>
        <w:t>6.8 years to '</w:t>
      </w:r>
      <w:r w:rsidR="00FE4198">
        <w:t>n</w:t>
      </w:r>
      <w:r>
        <w:t>/</w:t>
      </w:r>
      <w:r w:rsidR="00FE4198">
        <w:t>a</w:t>
      </w:r>
      <w:r>
        <w:t>'.</w:t>
      </w:r>
      <w:r w:rsidR="00877725">
        <w:t xml:space="preserve"> This was because the opening TAB value for this asset class had been changed from a negative value to zero as d</w:t>
      </w:r>
      <w:r w:rsidR="00463CF5">
        <w:t>iscussed</w:t>
      </w:r>
      <w:r w:rsidR="00877725">
        <w:t xml:space="preserve"> in</w:t>
      </w:r>
      <w:r w:rsidR="00AA6055">
        <w:t xml:space="preserve"> section</w:t>
      </w:r>
      <w:r w:rsidR="00877725">
        <w:t xml:space="preserve"> </w:t>
      </w:r>
      <w:r w:rsidR="00877725">
        <w:fldChar w:fldCharType="begin"/>
      </w:r>
      <w:r w:rsidR="00877725">
        <w:instrText xml:space="preserve"> REF _Ref477521555 \r \h </w:instrText>
      </w:r>
      <w:r w:rsidR="00877725">
        <w:fldChar w:fldCharType="separate"/>
      </w:r>
      <w:r w:rsidR="00A42928">
        <w:t>8.4.2</w:t>
      </w:r>
      <w:r w:rsidR="00877725">
        <w:fldChar w:fldCharType="end"/>
      </w:r>
      <w:r w:rsidR="00877725">
        <w:t>.</w:t>
      </w:r>
    </w:p>
    <w:p w:rsidR="00F81C19" w:rsidRPr="00F81C19" w:rsidRDefault="006B6F22" w:rsidP="00F81C19">
      <w:r>
        <w:t xml:space="preserve">AGN </w:t>
      </w:r>
      <w:r w:rsidR="00F81C19" w:rsidRPr="00F81C19">
        <w:t xml:space="preserve">proposed to accelerate depreciation of </w:t>
      </w:r>
      <w:r w:rsidR="00552E0E">
        <w:t xml:space="preserve">certain assets in </w:t>
      </w:r>
      <w:r w:rsidR="00F81C19" w:rsidRPr="00F81C19">
        <w:t xml:space="preserve">the </w:t>
      </w:r>
      <w:r>
        <w:t xml:space="preserve">capital base </w:t>
      </w:r>
      <w:r w:rsidR="001B69CC">
        <w:t xml:space="preserve">as part of </w:t>
      </w:r>
      <w:r w:rsidR="00552E0E">
        <w:t>its</w:t>
      </w:r>
      <w:r w:rsidR="001B69CC">
        <w:t xml:space="preserve"> mains replacement program. These are assets </w:t>
      </w:r>
      <w:r w:rsidR="00F81C19" w:rsidRPr="00F81C19">
        <w:t>that have been removed from service or are expected to be removed from service over the 201</w:t>
      </w:r>
      <w:r w:rsidR="00D75446">
        <w:t>8</w:t>
      </w:r>
      <w:r w:rsidR="00F81C19" w:rsidRPr="00F81C19">
        <w:t xml:space="preserve">–22 </w:t>
      </w:r>
      <w:r w:rsidR="00D75446">
        <w:t>access arrangement</w:t>
      </w:r>
      <w:r w:rsidR="00F81C19" w:rsidRPr="00F81C19">
        <w:t xml:space="preserve"> </w:t>
      </w:r>
      <w:proofErr w:type="gramStart"/>
      <w:r w:rsidR="00F81C19" w:rsidRPr="00F81C19">
        <w:t>period</w:t>
      </w:r>
      <w:proofErr w:type="gramEnd"/>
      <w:r w:rsidR="00F81C19" w:rsidRPr="00F81C19">
        <w:t xml:space="preserve">. It proposed to fully depreciate the remaining </w:t>
      </w:r>
      <w:r w:rsidR="00603AE4">
        <w:t>capital base</w:t>
      </w:r>
      <w:r w:rsidR="00F81C19" w:rsidRPr="00F81C19">
        <w:t xml:space="preserve"> value of these assets over 5 years.</w:t>
      </w:r>
      <w:r>
        <w:rPr>
          <w:rStyle w:val="FootnoteReference"/>
        </w:rPr>
        <w:footnoteReference w:id="34"/>
      </w:r>
      <w:r w:rsidR="00F81C19" w:rsidRPr="00F81C19">
        <w:t xml:space="preserve"> However, </w:t>
      </w:r>
      <w:r>
        <w:t>AGN</w:t>
      </w:r>
      <w:r w:rsidR="00F81C19" w:rsidRPr="00F81C19">
        <w:t xml:space="preserve"> did not propose an associated accelerated tax depreciation of these assets in respect of their TAB values. Our draft decision approves </w:t>
      </w:r>
      <w:r>
        <w:t>AGN's</w:t>
      </w:r>
      <w:r w:rsidR="00F81C19" w:rsidRPr="00F81C19">
        <w:t xml:space="preserve"> proposed accelerated depreciation of the </w:t>
      </w:r>
      <w:r w:rsidR="00603AE4">
        <w:t>capital base</w:t>
      </w:r>
      <w:r w:rsidR="00F81C19" w:rsidRPr="00F81C19">
        <w:t xml:space="preserve"> value of these assets (attachment 5). </w:t>
      </w:r>
    </w:p>
    <w:p w:rsidR="00F81C19" w:rsidRPr="00F81C19" w:rsidRDefault="00F81C19" w:rsidP="00F81C19">
      <w:r w:rsidRPr="00F81C19">
        <w:t xml:space="preserve">We consider that the depreciation profile of these assets should be treated consistently for both </w:t>
      </w:r>
      <w:r w:rsidR="006B6F22">
        <w:t>capital base</w:t>
      </w:r>
      <w:r w:rsidRPr="00F81C19">
        <w:t xml:space="preserve"> and TAB purposes. Accordingly, for this draft decision, we propose to also accelerate the depreciation of the TAB value of assets that have been removed from service or are expected to be removed from service over the 201</w:t>
      </w:r>
      <w:r w:rsidR="00552E0E">
        <w:t>8</w:t>
      </w:r>
      <w:r w:rsidRPr="00F81C19">
        <w:t xml:space="preserve">–22 </w:t>
      </w:r>
      <w:r w:rsidR="00552E0E">
        <w:t>access arrangement</w:t>
      </w:r>
      <w:r w:rsidRPr="00F81C19">
        <w:t xml:space="preserve"> </w:t>
      </w:r>
      <w:proofErr w:type="gramStart"/>
      <w:r w:rsidRPr="00F81C19">
        <w:t>period</w:t>
      </w:r>
      <w:proofErr w:type="gramEnd"/>
      <w:r w:rsidRPr="00F81C19">
        <w:t xml:space="preserve">. </w:t>
      </w:r>
      <w:r w:rsidR="007C3931">
        <w:t>AGN</w:t>
      </w:r>
      <w:r w:rsidRPr="00F81C19">
        <w:t xml:space="preserve"> provided the relevant TAB values for the assets subjected to accelerated depreciation following an information request.</w:t>
      </w:r>
      <w:r w:rsidR="007C3931">
        <w:rPr>
          <w:rStyle w:val="FootnoteReference"/>
        </w:rPr>
        <w:footnoteReference w:id="35"/>
      </w:r>
      <w:r w:rsidRPr="00F81C19">
        <w:t xml:space="preserve"> We have therefore reallocated $</w:t>
      </w:r>
      <w:r w:rsidR="00690ABD">
        <w:t>0.79</w:t>
      </w:r>
      <w:r w:rsidRPr="00F81C19">
        <w:t xml:space="preserve"> million from the PTRM opening TAB value of the ‘</w:t>
      </w:r>
      <w:r w:rsidR="00690ABD">
        <w:t>Mains &amp; Services</w:t>
      </w:r>
      <w:r w:rsidRPr="00F81C19">
        <w:t>’ asset class to the new ‘</w:t>
      </w:r>
      <w:r w:rsidR="00690ABD" w:rsidRPr="00690ABD">
        <w:t>Low pressure mains and associated services (accelerated depreciation</w:t>
      </w:r>
      <w:r w:rsidR="00690ABD">
        <w:t>)</w:t>
      </w:r>
      <w:r w:rsidRPr="00F81C19">
        <w:t xml:space="preserve">’ asset class, to be depreciated over 5 years for tax purposes. </w:t>
      </w:r>
    </w:p>
    <w:p w:rsidR="00C2279E" w:rsidRDefault="00C2279E" w:rsidP="00C2279E">
      <w:r>
        <w:t>Our</w:t>
      </w:r>
      <w:r w:rsidRPr="00942390">
        <w:t xml:space="preserve"> draft decision on </w:t>
      </w:r>
      <w:r>
        <w:t xml:space="preserve">AGN's </w:t>
      </w:r>
      <w:r w:rsidRPr="00942390">
        <w:t xml:space="preserve">remaining tax asset lives for each of its asset classes for the </w:t>
      </w:r>
      <w:r>
        <w:rPr>
          <w:rStyle w:val="AERbody"/>
        </w:rPr>
        <w:t>2018–22</w:t>
      </w:r>
      <w:r w:rsidRPr="00942390">
        <w:rPr>
          <w:rStyle w:val="AERbody"/>
        </w:rPr>
        <w:t xml:space="preserve"> </w:t>
      </w:r>
      <w:r w:rsidRPr="00942390">
        <w:t xml:space="preserve">access arrangement </w:t>
      </w:r>
      <w:proofErr w:type="gramStart"/>
      <w:r w:rsidRPr="00942390">
        <w:t>period</w:t>
      </w:r>
      <w:proofErr w:type="gramEnd"/>
      <w:r w:rsidRPr="00942390">
        <w:t xml:space="preserve"> is set out in</w:t>
      </w:r>
      <w:r>
        <w:t xml:space="preserve"> </w:t>
      </w:r>
      <w:r>
        <w:fldChar w:fldCharType="begin"/>
      </w:r>
      <w:r>
        <w:instrText xml:space="preserve"> REF _Ref477521435 \h </w:instrText>
      </w:r>
      <w:r>
        <w:fldChar w:fldCharType="separate"/>
      </w:r>
      <w:r w:rsidR="00A42928">
        <w:t xml:space="preserve">Table </w:t>
      </w:r>
      <w:r w:rsidR="00A42928">
        <w:rPr>
          <w:noProof/>
        </w:rPr>
        <w:t>8</w:t>
      </w:r>
      <w:r w:rsidR="00A42928">
        <w:t>.</w:t>
      </w:r>
      <w:r w:rsidR="00A42928">
        <w:rPr>
          <w:noProof/>
        </w:rPr>
        <w:t>5</w:t>
      </w:r>
      <w:r>
        <w:fldChar w:fldCharType="end"/>
      </w:r>
      <w:r w:rsidRPr="00942390">
        <w:t>.</w:t>
      </w:r>
    </w:p>
    <w:p w:rsidR="00C2279E" w:rsidRDefault="00C2279E" w:rsidP="001E2481">
      <w:pPr>
        <w:pStyle w:val="Caption"/>
      </w:pPr>
      <w:bookmarkStart w:id="102" w:name="_Ref477521435"/>
      <w:proofErr w:type="gramStart"/>
      <w:r>
        <w:t xml:space="preserve">Table </w:t>
      </w:r>
      <w:proofErr w:type="gramEnd"/>
      <w:r w:rsidRPr="00C2279E">
        <w:fldChar w:fldCharType="begin"/>
      </w:r>
      <w:r>
        <w:instrText xml:space="preserve"> STYLEREF 1 \s </w:instrText>
      </w:r>
      <w:r w:rsidRPr="00C2279E">
        <w:fldChar w:fldCharType="separate"/>
      </w:r>
      <w:r w:rsidR="00A42928">
        <w:rPr>
          <w:noProof/>
        </w:rPr>
        <w:t>8</w:t>
      </w:r>
      <w:r w:rsidRPr="00C2279E">
        <w:fldChar w:fldCharType="end"/>
      </w:r>
      <w:proofErr w:type="gramStart"/>
      <w:r>
        <w:t>.</w:t>
      </w:r>
      <w:proofErr w:type="gramEnd"/>
      <w:r w:rsidRPr="00C2279E">
        <w:fldChar w:fldCharType="begin"/>
      </w:r>
      <w:r>
        <w:instrText xml:space="preserve"> SEQ Table \* ARABIC \s 1 </w:instrText>
      </w:r>
      <w:r w:rsidRPr="00C2279E">
        <w:fldChar w:fldCharType="separate"/>
      </w:r>
      <w:r w:rsidR="00A42928">
        <w:rPr>
          <w:noProof/>
        </w:rPr>
        <w:t>5</w:t>
      </w:r>
      <w:r w:rsidRPr="00C2279E">
        <w:fldChar w:fldCharType="end"/>
      </w:r>
      <w:bookmarkEnd w:id="102"/>
      <w:r>
        <w:tab/>
        <w:t xml:space="preserve">AER's draft decision on AGN's standard tax asset lives and remaining tax asset lives as at 1 January 2018 for the 2018–22 access arrangement </w:t>
      </w:r>
      <w:proofErr w:type="gramStart"/>
      <w:r>
        <w:t>period</w:t>
      </w:r>
      <w:proofErr w:type="gramEnd"/>
    </w:p>
    <w:tbl>
      <w:tblPr>
        <w:tblStyle w:val="AERtable-numbers"/>
        <w:tblW w:w="8711" w:type="dxa"/>
        <w:tblLayout w:type="fixed"/>
        <w:tblLook w:val="04A0" w:firstRow="1" w:lastRow="0" w:firstColumn="1" w:lastColumn="0" w:noHBand="0" w:noVBand="1"/>
      </w:tblPr>
      <w:tblGrid>
        <w:gridCol w:w="2943"/>
        <w:gridCol w:w="1985"/>
        <w:gridCol w:w="3783"/>
      </w:tblGrid>
      <w:tr w:rsidR="00C2279E" w:rsidRPr="00E369C5" w:rsidTr="0009700F">
        <w:trPr>
          <w:cnfStyle w:val="100000000000" w:firstRow="1" w:lastRow="0" w:firstColumn="0" w:lastColumn="0" w:oddVBand="0" w:evenVBand="0" w:oddHBand="0" w:evenHBand="0" w:firstRowFirstColumn="0" w:firstRowLastColumn="0" w:lastRowFirstColumn="0" w:lastRowLastColumn="0"/>
          <w:trHeight w:val="634"/>
        </w:trPr>
        <w:tc>
          <w:tcPr>
            <w:cnfStyle w:val="001000000000" w:firstRow="0" w:lastRow="0" w:firstColumn="1" w:lastColumn="0" w:oddVBand="0" w:evenVBand="0" w:oddHBand="0" w:evenHBand="0" w:firstRowFirstColumn="0" w:firstRowLastColumn="0" w:lastRowFirstColumn="0" w:lastRowLastColumn="0"/>
            <w:tcW w:w="2943" w:type="dxa"/>
            <w:noWrap/>
          </w:tcPr>
          <w:p w:rsidR="00C2279E" w:rsidRPr="00330FAF" w:rsidRDefault="00C2279E" w:rsidP="001E2481">
            <w:pPr>
              <w:keepNext/>
            </w:pPr>
            <w:r w:rsidRPr="00330FAF">
              <w:t>Tax asset class</w:t>
            </w:r>
          </w:p>
        </w:tc>
        <w:tc>
          <w:tcPr>
            <w:tcW w:w="1985" w:type="dxa"/>
            <w:noWrap/>
          </w:tcPr>
          <w:p w:rsidR="00C2279E" w:rsidRPr="00894A16" w:rsidRDefault="00C2279E" w:rsidP="001E2481">
            <w:pPr>
              <w:keepNext/>
              <w:cnfStyle w:val="100000000000" w:firstRow="1" w:lastRow="0" w:firstColumn="0" w:lastColumn="0" w:oddVBand="0" w:evenVBand="0" w:oddHBand="0" w:evenHBand="0" w:firstRowFirstColumn="0" w:firstRowLastColumn="0" w:lastRowFirstColumn="0" w:lastRowLastColumn="0"/>
            </w:pPr>
            <w:r w:rsidRPr="00894A16">
              <w:t>Standard tax asset life</w:t>
            </w:r>
          </w:p>
        </w:tc>
        <w:tc>
          <w:tcPr>
            <w:tcW w:w="3783" w:type="dxa"/>
            <w:noWrap/>
          </w:tcPr>
          <w:p w:rsidR="00C2279E" w:rsidRPr="00C2279E" w:rsidRDefault="00C2279E" w:rsidP="001E2481">
            <w:pPr>
              <w:keepNext/>
              <w:cnfStyle w:val="100000000000" w:firstRow="1" w:lastRow="0" w:firstColumn="0" w:lastColumn="0" w:oddVBand="0" w:evenVBand="0" w:oddHBand="0" w:evenHBand="0" w:firstRowFirstColumn="0" w:firstRowLastColumn="0" w:lastRowFirstColumn="0" w:lastRowLastColumn="0"/>
            </w:pPr>
            <w:r w:rsidRPr="001816AF">
              <w:t>Remaining tax asset life as at 1 January 2018</w:t>
            </w:r>
          </w:p>
        </w:tc>
      </w:tr>
      <w:tr w:rsidR="00DD7BBF" w:rsidRPr="002C4B0D" w:rsidTr="0009700F">
        <w:trPr>
          <w:trHeight w:val="424"/>
        </w:trPr>
        <w:tc>
          <w:tcPr>
            <w:cnfStyle w:val="001000000000" w:firstRow="0" w:lastRow="0" w:firstColumn="1" w:lastColumn="0" w:oddVBand="0" w:evenVBand="0" w:oddHBand="0" w:evenHBand="0" w:firstRowFirstColumn="0" w:firstRowLastColumn="0" w:lastRowFirstColumn="0" w:lastRowLastColumn="0"/>
            <w:tcW w:w="2943" w:type="dxa"/>
            <w:noWrap/>
            <w:vAlign w:val="bottom"/>
          </w:tcPr>
          <w:p w:rsidR="00DD7BBF" w:rsidRPr="00DD7BBF" w:rsidRDefault="00DD7BBF" w:rsidP="001E2481">
            <w:pPr>
              <w:keepNext/>
            </w:pPr>
            <w:r w:rsidRPr="00DD7BBF">
              <w:t xml:space="preserve">Mains &amp; </w:t>
            </w:r>
            <w:r w:rsidR="0016309E">
              <w:t>s</w:t>
            </w:r>
            <w:r w:rsidRPr="00DD7BBF">
              <w:t>ervices</w:t>
            </w:r>
          </w:p>
        </w:tc>
        <w:tc>
          <w:tcPr>
            <w:tcW w:w="1985" w:type="dxa"/>
            <w:noWrap/>
            <w:vAlign w:val="bottom"/>
          </w:tcPr>
          <w:p w:rsidR="00DD7BBF" w:rsidRPr="00DD7BBF" w:rsidRDefault="00DD7BBF" w:rsidP="001E2481">
            <w:pPr>
              <w:keepNext/>
              <w:cnfStyle w:val="000000000000" w:firstRow="0" w:lastRow="0" w:firstColumn="0" w:lastColumn="0" w:oddVBand="0" w:evenVBand="0" w:oddHBand="0" w:evenHBand="0" w:firstRowFirstColumn="0" w:firstRowLastColumn="0" w:lastRowFirstColumn="0" w:lastRowLastColumn="0"/>
            </w:pPr>
            <w:r w:rsidRPr="00DD7BBF">
              <w:t>50.0</w:t>
            </w:r>
          </w:p>
        </w:tc>
        <w:tc>
          <w:tcPr>
            <w:tcW w:w="3783" w:type="dxa"/>
            <w:noWrap/>
            <w:vAlign w:val="bottom"/>
          </w:tcPr>
          <w:p w:rsidR="00DD7BBF" w:rsidRPr="00DD7BBF" w:rsidRDefault="00DD7BBF" w:rsidP="001E2481">
            <w:pPr>
              <w:keepNext/>
              <w:cnfStyle w:val="000000000000" w:firstRow="0" w:lastRow="0" w:firstColumn="0" w:lastColumn="0" w:oddVBand="0" w:evenVBand="0" w:oddHBand="0" w:evenHBand="0" w:firstRowFirstColumn="0" w:firstRowLastColumn="0" w:lastRowFirstColumn="0" w:lastRowLastColumn="0"/>
            </w:pPr>
            <w:r w:rsidRPr="00DD7BBF">
              <w:t>36.0</w:t>
            </w:r>
          </w:p>
        </w:tc>
      </w:tr>
      <w:tr w:rsidR="00DD7BBF" w:rsidRPr="002C4B0D" w:rsidTr="0009700F">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943" w:type="dxa"/>
            <w:noWrap/>
            <w:vAlign w:val="bottom"/>
          </w:tcPr>
          <w:p w:rsidR="00DD7BBF" w:rsidRPr="00DD7BBF" w:rsidRDefault="00DD7BBF" w:rsidP="001E2481">
            <w:pPr>
              <w:keepNext/>
            </w:pPr>
            <w:r w:rsidRPr="00DD7BBF">
              <w:t>Meters</w:t>
            </w:r>
          </w:p>
        </w:tc>
        <w:tc>
          <w:tcPr>
            <w:tcW w:w="1985" w:type="dxa"/>
            <w:noWrap/>
            <w:vAlign w:val="bottom"/>
          </w:tcPr>
          <w:p w:rsidR="00DD7BBF" w:rsidRPr="00DD7BBF" w:rsidRDefault="00DD7BBF" w:rsidP="001E2481">
            <w:pPr>
              <w:keepNext/>
              <w:cnfStyle w:val="000000010000" w:firstRow="0" w:lastRow="0" w:firstColumn="0" w:lastColumn="0" w:oddVBand="0" w:evenVBand="0" w:oddHBand="0" w:evenHBand="1" w:firstRowFirstColumn="0" w:firstRowLastColumn="0" w:lastRowFirstColumn="0" w:lastRowLastColumn="0"/>
            </w:pPr>
            <w:r w:rsidRPr="00DD7BBF">
              <w:t>15.0</w:t>
            </w:r>
          </w:p>
        </w:tc>
        <w:tc>
          <w:tcPr>
            <w:tcW w:w="3783" w:type="dxa"/>
            <w:noWrap/>
            <w:vAlign w:val="bottom"/>
          </w:tcPr>
          <w:p w:rsidR="00DD7BBF" w:rsidRPr="00DD7BBF" w:rsidRDefault="00DD7BBF" w:rsidP="001E2481">
            <w:pPr>
              <w:keepNext/>
              <w:cnfStyle w:val="000000010000" w:firstRow="0" w:lastRow="0" w:firstColumn="0" w:lastColumn="0" w:oddVBand="0" w:evenVBand="0" w:oddHBand="0" w:evenHBand="1" w:firstRowFirstColumn="0" w:firstRowLastColumn="0" w:lastRowFirstColumn="0" w:lastRowLastColumn="0"/>
            </w:pPr>
            <w:r w:rsidRPr="00DD7BBF">
              <w:t>9.1</w:t>
            </w:r>
          </w:p>
        </w:tc>
      </w:tr>
      <w:tr w:rsidR="00DD7BBF" w:rsidRPr="002C4B0D" w:rsidTr="0009700F">
        <w:trPr>
          <w:trHeight w:val="424"/>
        </w:trPr>
        <w:tc>
          <w:tcPr>
            <w:cnfStyle w:val="001000000000" w:firstRow="0" w:lastRow="0" w:firstColumn="1" w:lastColumn="0" w:oddVBand="0" w:evenVBand="0" w:oddHBand="0" w:evenHBand="0" w:firstRowFirstColumn="0" w:firstRowLastColumn="0" w:lastRowFirstColumn="0" w:lastRowLastColumn="0"/>
            <w:tcW w:w="2943" w:type="dxa"/>
            <w:noWrap/>
            <w:vAlign w:val="bottom"/>
          </w:tcPr>
          <w:p w:rsidR="00DD7BBF" w:rsidRPr="00DD7BBF" w:rsidRDefault="00DD7BBF" w:rsidP="001E2481">
            <w:pPr>
              <w:keepNext/>
            </w:pPr>
            <w:r w:rsidRPr="00DD7BBF">
              <w:t>Buildings</w:t>
            </w:r>
          </w:p>
        </w:tc>
        <w:tc>
          <w:tcPr>
            <w:tcW w:w="1985" w:type="dxa"/>
            <w:noWrap/>
            <w:vAlign w:val="bottom"/>
          </w:tcPr>
          <w:p w:rsidR="00DD7BBF" w:rsidRPr="00DD7BBF" w:rsidRDefault="00DD7BBF" w:rsidP="001E2481">
            <w:pPr>
              <w:keepNext/>
              <w:cnfStyle w:val="000000000000" w:firstRow="0" w:lastRow="0" w:firstColumn="0" w:lastColumn="0" w:oddVBand="0" w:evenVBand="0" w:oddHBand="0" w:evenHBand="0" w:firstRowFirstColumn="0" w:firstRowLastColumn="0" w:lastRowFirstColumn="0" w:lastRowLastColumn="0"/>
            </w:pPr>
            <w:r w:rsidRPr="00DD7BBF">
              <w:t>35.0</w:t>
            </w:r>
          </w:p>
        </w:tc>
        <w:tc>
          <w:tcPr>
            <w:tcW w:w="3783" w:type="dxa"/>
            <w:noWrap/>
            <w:vAlign w:val="bottom"/>
          </w:tcPr>
          <w:p w:rsidR="00DD7BBF" w:rsidRPr="00DD7BBF" w:rsidRDefault="00DD7BBF" w:rsidP="001E2481">
            <w:pPr>
              <w:keepNext/>
              <w:cnfStyle w:val="000000000000" w:firstRow="0" w:lastRow="0" w:firstColumn="0" w:lastColumn="0" w:oddVBand="0" w:evenVBand="0" w:oddHBand="0" w:evenHBand="0" w:firstRowFirstColumn="0" w:firstRowLastColumn="0" w:lastRowFirstColumn="0" w:lastRowLastColumn="0"/>
            </w:pPr>
            <w:r w:rsidRPr="00DD7BBF">
              <w:t>8.5</w:t>
            </w:r>
          </w:p>
        </w:tc>
      </w:tr>
      <w:tr w:rsidR="00DD7BBF" w:rsidRPr="002C4B0D" w:rsidTr="0009700F">
        <w:trPr>
          <w:cnfStyle w:val="000000010000" w:firstRow="0" w:lastRow="0" w:firstColumn="0" w:lastColumn="0" w:oddVBand="0" w:evenVBand="0" w:oddHBand="0" w:evenHBand="1" w:firstRowFirstColumn="0" w:firstRowLastColumn="0" w:lastRowFirstColumn="0" w:lastRowLastColumn="0"/>
          <w:trHeight w:val="424"/>
        </w:trPr>
        <w:tc>
          <w:tcPr>
            <w:cnfStyle w:val="001000000000" w:firstRow="0" w:lastRow="0" w:firstColumn="1" w:lastColumn="0" w:oddVBand="0" w:evenVBand="0" w:oddHBand="0" w:evenHBand="0" w:firstRowFirstColumn="0" w:firstRowLastColumn="0" w:lastRowFirstColumn="0" w:lastRowLastColumn="0"/>
            <w:tcW w:w="2943" w:type="dxa"/>
            <w:noWrap/>
            <w:vAlign w:val="bottom"/>
          </w:tcPr>
          <w:p w:rsidR="00DD7BBF" w:rsidRPr="00DD7BBF" w:rsidRDefault="00DD7BBF" w:rsidP="001E2481">
            <w:pPr>
              <w:keepNext/>
            </w:pPr>
            <w:r w:rsidRPr="00DD7BBF">
              <w:t>SCADA</w:t>
            </w:r>
          </w:p>
        </w:tc>
        <w:tc>
          <w:tcPr>
            <w:tcW w:w="1985" w:type="dxa"/>
            <w:noWrap/>
            <w:vAlign w:val="bottom"/>
          </w:tcPr>
          <w:p w:rsidR="00DD7BBF" w:rsidRPr="00DD7BBF" w:rsidRDefault="00DD7BBF" w:rsidP="001E2481">
            <w:pPr>
              <w:keepNext/>
              <w:cnfStyle w:val="000000010000" w:firstRow="0" w:lastRow="0" w:firstColumn="0" w:lastColumn="0" w:oddVBand="0" w:evenVBand="0" w:oddHBand="0" w:evenHBand="1" w:firstRowFirstColumn="0" w:firstRowLastColumn="0" w:lastRowFirstColumn="0" w:lastRowLastColumn="0"/>
            </w:pPr>
            <w:r w:rsidRPr="00DD7BBF">
              <w:t>10.0</w:t>
            </w:r>
          </w:p>
        </w:tc>
        <w:tc>
          <w:tcPr>
            <w:tcW w:w="3783" w:type="dxa"/>
            <w:noWrap/>
            <w:vAlign w:val="bottom"/>
          </w:tcPr>
          <w:p w:rsidR="00DD7BBF" w:rsidRPr="00DD7BBF" w:rsidRDefault="00DD7BBF" w:rsidP="001E2481">
            <w:pPr>
              <w:keepNext/>
              <w:cnfStyle w:val="000000010000" w:firstRow="0" w:lastRow="0" w:firstColumn="0" w:lastColumn="0" w:oddVBand="0" w:evenVBand="0" w:oddHBand="0" w:evenHBand="1" w:firstRowFirstColumn="0" w:firstRowLastColumn="0" w:lastRowFirstColumn="0" w:lastRowLastColumn="0"/>
            </w:pPr>
            <w:r w:rsidRPr="00DD7BBF">
              <w:t>7.8</w:t>
            </w:r>
          </w:p>
        </w:tc>
      </w:tr>
      <w:tr w:rsidR="00DD7BBF" w:rsidRPr="002C4B0D" w:rsidTr="0009700F">
        <w:trPr>
          <w:trHeight w:val="424"/>
        </w:trPr>
        <w:tc>
          <w:tcPr>
            <w:cnfStyle w:val="001000000000" w:firstRow="0" w:lastRow="0" w:firstColumn="1" w:lastColumn="0" w:oddVBand="0" w:evenVBand="0" w:oddHBand="0" w:evenHBand="0" w:firstRowFirstColumn="0" w:firstRowLastColumn="0" w:lastRowFirstColumn="0" w:lastRowLastColumn="0"/>
            <w:tcW w:w="2943" w:type="dxa"/>
            <w:noWrap/>
            <w:vAlign w:val="bottom"/>
          </w:tcPr>
          <w:p w:rsidR="00DD7BBF" w:rsidRPr="00DD7BBF" w:rsidRDefault="00DD7BBF" w:rsidP="001E2481">
            <w:pPr>
              <w:keepNext/>
            </w:pPr>
            <w:r w:rsidRPr="00DD7BBF">
              <w:t xml:space="preserve">Computer </w:t>
            </w:r>
            <w:r w:rsidR="0016309E">
              <w:t>e</w:t>
            </w:r>
            <w:r w:rsidRPr="00DD7BBF">
              <w:t>quipment</w:t>
            </w:r>
          </w:p>
        </w:tc>
        <w:tc>
          <w:tcPr>
            <w:tcW w:w="1985" w:type="dxa"/>
            <w:noWrap/>
            <w:vAlign w:val="bottom"/>
          </w:tcPr>
          <w:p w:rsidR="00DD7BBF" w:rsidRPr="00DD7BBF" w:rsidRDefault="00DD7BBF" w:rsidP="001E2481">
            <w:pPr>
              <w:keepNext/>
              <w:cnfStyle w:val="000000000000" w:firstRow="0" w:lastRow="0" w:firstColumn="0" w:lastColumn="0" w:oddVBand="0" w:evenVBand="0" w:oddHBand="0" w:evenHBand="0" w:firstRowFirstColumn="0" w:firstRowLastColumn="0" w:lastRowFirstColumn="0" w:lastRowLastColumn="0"/>
            </w:pPr>
            <w:r w:rsidRPr="00DD7BBF">
              <w:t>4.0</w:t>
            </w:r>
          </w:p>
        </w:tc>
        <w:tc>
          <w:tcPr>
            <w:tcW w:w="3783" w:type="dxa"/>
            <w:noWrap/>
            <w:vAlign w:val="bottom"/>
          </w:tcPr>
          <w:p w:rsidR="00DD7BBF" w:rsidRPr="00DD7BBF" w:rsidRDefault="00DD7BBF" w:rsidP="001E2481">
            <w:pPr>
              <w:keepNext/>
              <w:cnfStyle w:val="000000000000" w:firstRow="0" w:lastRow="0" w:firstColumn="0" w:lastColumn="0" w:oddVBand="0" w:evenVBand="0" w:oddHBand="0" w:evenHBand="0" w:firstRowFirstColumn="0" w:firstRowLastColumn="0" w:lastRowFirstColumn="0" w:lastRowLastColumn="0"/>
            </w:pPr>
            <w:r w:rsidRPr="00DD7BBF">
              <w:t>4.5</w:t>
            </w:r>
          </w:p>
        </w:tc>
      </w:tr>
      <w:tr w:rsidR="00DD7BBF" w:rsidRPr="002C4B0D" w:rsidTr="0009700F">
        <w:trPr>
          <w:cnfStyle w:val="000000010000" w:firstRow="0" w:lastRow="0" w:firstColumn="0" w:lastColumn="0" w:oddVBand="0" w:evenVBand="0" w:oddHBand="0" w:evenHBand="1" w:firstRowFirstColumn="0" w:firstRowLastColumn="0" w:lastRowFirstColumn="0" w:lastRowLastColumn="0"/>
          <w:trHeight w:val="424"/>
        </w:trPr>
        <w:tc>
          <w:tcPr>
            <w:cnfStyle w:val="001000000000" w:firstRow="0" w:lastRow="0" w:firstColumn="1" w:lastColumn="0" w:oddVBand="0" w:evenVBand="0" w:oddHBand="0" w:evenHBand="0" w:firstRowFirstColumn="0" w:firstRowLastColumn="0" w:lastRowFirstColumn="0" w:lastRowLastColumn="0"/>
            <w:tcW w:w="2943" w:type="dxa"/>
            <w:noWrap/>
            <w:vAlign w:val="bottom"/>
          </w:tcPr>
          <w:p w:rsidR="00DD7BBF" w:rsidRPr="00DD7BBF" w:rsidRDefault="00DD7BBF" w:rsidP="001E2481">
            <w:pPr>
              <w:keepNext/>
            </w:pPr>
            <w:r w:rsidRPr="00DD7BBF">
              <w:t xml:space="preserve">Other </w:t>
            </w:r>
            <w:r w:rsidR="0016309E">
              <w:t>a</w:t>
            </w:r>
            <w:r w:rsidRPr="00DD7BBF">
              <w:t>ssets</w:t>
            </w:r>
          </w:p>
        </w:tc>
        <w:tc>
          <w:tcPr>
            <w:tcW w:w="1985" w:type="dxa"/>
            <w:noWrap/>
            <w:vAlign w:val="bottom"/>
          </w:tcPr>
          <w:p w:rsidR="00DD7BBF" w:rsidRPr="00DD7BBF" w:rsidRDefault="004002D9" w:rsidP="001E2481">
            <w:pPr>
              <w:keepNext/>
              <w:cnfStyle w:val="000000010000" w:firstRow="0" w:lastRow="0" w:firstColumn="0" w:lastColumn="0" w:oddVBand="0" w:evenVBand="0" w:oddHBand="0" w:evenHBand="1" w:firstRowFirstColumn="0" w:firstRowLastColumn="0" w:lastRowFirstColumn="0" w:lastRowLastColumn="0"/>
            </w:pPr>
            <w:r>
              <w:t>15.0</w:t>
            </w:r>
          </w:p>
        </w:tc>
        <w:tc>
          <w:tcPr>
            <w:tcW w:w="3783" w:type="dxa"/>
            <w:noWrap/>
            <w:vAlign w:val="bottom"/>
          </w:tcPr>
          <w:p w:rsidR="00DD7BBF" w:rsidRPr="00DD7BBF" w:rsidRDefault="00F6104B" w:rsidP="001E2481">
            <w:pPr>
              <w:keepNext/>
              <w:cnfStyle w:val="000000010000" w:firstRow="0" w:lastRow="0" w:firstColumn="0" w:lastColumn="0" w:oddVBand="0" w:evenVBand="0" w:oddHBand="0" w:evenHBand="1" w:firstRowFirstColumn="0" w:firstRowLastColumn="0" w:lastRowFirstColumn="0" w:lastRowLastColumn="0"/>
            </w:pPr>
            <w:r>
              <w:t>9.4</w:t>
            </w:r>
          </w:p>
        </w:tc>
      </w:tr>
      <w:tr w:rsidR="00DD7BBF" w:rsidRPr="002C4B0D" w:rsidTr="0009700F">
        <w:trPr>
          <w:trHeight w:val="424"/>
        </w:trPr>
        <w:tc>
          <w:tcPr>
            <w:cnfStyle w:val="001000000000" w:firstRow="0" w:lastRow="0" w:firstColumn="1" w:lastColumn="0" w:oddVBand="0" w:evenVBand="0" w:oddHBand="0" w:evenHBand="0" w:firstRowFirstColumn="0" w:firstRowLastColumn="0" w:lastRowFirstColumn="0" w:lastRowLastColumn="0"/>
            <w:tcW w:w="2943" w:type="dxa"/>
            <w:noWrap/>
            <w:vAlign w:val="bottom"/>
          </w:tcPr>
          <w:p w:rsidR="00DD7BBF" w:rsidRPr="00DD7BBF" w:rsidRDefault="00DD7BBF" w:rsidP="001E2481">
            <w:pPr>
              <w:keepNext/>
            </w:pPr>
            <w:r w:rsidRPr="00DD7BBF">
              <w:t>Land</w:t>
            </w:r>
          </w:p>
        </w:tc>
        <w:tc>
          <w:tcPr>
            <w:tcW w:w="1985" w:type="dxa"/>
            <w:noWrap/>
            <w:vAlign w:val="bottom"/>
          </w:tcPr>
          <w:p w:rsidR="00DD7BBF" w:rsidRPr="00DD7BBF" w:rsidRDefault="00DD7BBF" w:rsidP="001E2481">
            <w:pPr>
              <w:keepNext/>
              <w:cnfStyle w:val="000000000000" w:firstRow="0" w:lastRow="0" w:firstColumn="0" w:lastColumn="0" w:oddVBand="0" w:evenVBand="0" w:oddHBand="0" w:evenHBand="0" w:firstRowFirstColumn="0" w:firstRowLastColumn="0" w:lastRowFirstColumn="0" w:lastRowLastColumn="0"/>
            </w:pPr>
            <w:r w:rsidRPr="00DD7BBF">
              <w:t>n/a</w:t>
            </w:r>
          </w:p>
        </w:tc>
        <w:tc>
          <w:tcPr>
            <w:tcW w:w="3783" w:type="dxa"/>
            <w:noWrap/>
            <w:vAlign w:val="bottom"/>
          </w:tcPr>
          <w:p w:rsidR="00DD7BBF" w:rsidRPr="00DD7BBF" w:rsidRDefault="00A84F2E" w:rsidP="001E2481">
            <w:pPr>
              <w:keepNext/>
              <w:cnfStyle w:val="000000000000" w:firstRow="0" w:lastRow="0" w:firstColumn="0" w:lastColumn="0" w:oddVBand="0" w:evenVBand="0" w:oddHBand="0" w:evenHBand="0" w:firstRowFirstColumn="0" w:firstRowLastColumn="0" w:lastRowFirstColumn="0" w:lastRowLastColumn="0"/>
            </w:pPr>
            <w:r>
              <w:t>n/a</w:t>
            </w:r>
          </w:p>
        </w:tc>
      </w:tr>
      <w:tr w:rsidR="00DD7BBF" w:rsidRPr="002C4B0D" w:rsidTr="0009700F">
        <w:trPr>
          <w:cnfStyle w:val="000000010000" w:firstRow="0" w:lastRow="0" w:firstColumn="0" w:lastColumn="0" w:oddVBand="0" w:evenVBand="0" w:oddHBand="0" w:evenHBand="1" w:firstRowFirstColumn="0" w:firstRowLastColumn="0" w:lastRowFirstColumn="0" w:lastRowLastColumn="0"/>
          <w:trHeight w:val="424"/>
        </w:trPr>
        <w:tc>
          <w:tcPr>
            <w:cnfStyle w:val="001000000000" w:firstRow="0" w:lastRow="0" w:firstColumn="1" w:lastColumn="0" w:oddVBand="0" w:evenVBand="0" w:oddHBand="0" w:evenHBand="0" w:firstRowFirstColumn="0" w:firstRowLastColumn="0" w:lastRowFirstColumn="0" w:lastRowLastColumn="0"/>
            <w:tcW w:w="2943" w:type="dxa"/>
            <w:noWrap/>
            <w:vAlign w:val="bottom"/>
          </w:tcPr>
          <w:p w:rsidR="00DD7BBF" w:rsidRPr="00DD7BBF" w:rsidRDefault="00DD7BBF" w:rsidP="001E2481">
            <w:pPr>
              <w:keepNext/>
            </w:pPr>
            <w:r w:rsidRPr="00DD7BBF">
              <w:t xml:space="preserve">Mains &amp; </w:t>
            </w:r>
            <w:r w:rsidR="0016309E">
              <w:t>s</w:t>
            </w:r>
            <w:r w:rsidRPr="00DD7BBF">
              <w:t>ervices Albury</w:t>
            </w:r>
          </w:p>
        </w:tc>
        <w:tc>
          <w:tcPr>
            <w:tcW w:w="1985" w:type="dxa"/>
            <w:noWrap/>
            <w:vAlign w:val="bottom"/>
          </w:tcPr>
          <w:p w:rsidR="00DD7BBF" w:rsidRPr="00DD7BBF" w:rsidRDefault="00DD7BBF" w:rsidP="001E2481">
            <w:pPr>
              <w:keepNext/>
              <w:cnfStyle w:val="000000010000" w:firstRow="0" w:lastRow="0" w:firstColumn="0" w:lastColumn="0" w:oddVBand="0" w:evenVBand="0" w:oddHBand="0" w:evenHBand="1" w:firstRowFirstColumn="0" w:firstRowLastColumn="0" w:lastRowFirstColumn="0" w:lastRowLastColumn="0"/>
            </w:pPr>
            <w:r w:rsidRPr="00DD7BBF">
              <w:t>50.0</w:t>
            </w:r>
          </w:p>
        </w:tc>
        <w:tc>
          <w:tcPr>
            <w:tcW w:w="3783" w:type="dxa"/>
            <w:noWrap/>
            <w:vAlign w:val="bottom"/>
          </w:tcPr>
          <w:p w:rsidR="00DD7BBF" w:rsidRPr="00DD7BBF" w:rsidRDefault="00DD7BBF" w:rsidP="001E2481">
            <w:pPr>
              <w:keepNext/>
              <w:cnfStyle w:val="000000010000" w:firstRow="0" w:lastRow="0" w:firstColumn="0" w:lastColumn="0" w:oddVBand="0" w:evenVBand="0" w:oddHBand="0" w:evenHBand="1" w:firstRowFirstColumn="0" w:firstRowLastColumn="0" w:lastRowFirstColumn="0" w:lastRowLastColumn="0"/>
            </w:pPr>
            <w:r w:rsidRPr="00DD7BBF">
              <w:t>30.3</w:t>
            </w:r>
          </w:p>
        </w:tc>
      </w:tr>
      <w:tr w:rsidR="00DD7BBF" w:rsidRPr="002C4B0D" w:rsidTr="0009700F">
        <w:trPr>
          <w:trHeight w:val="424"/>
        </w:trPr>
        <w:tc>
          <w:tcPr>
            <w:cnfStyle w:val="001000000000" w:firstRow="0" w:lastRow="0" w:firstColumn="1" w:lastColumn="0" w:oddVBand="0" w:evenVBand="0" w:oddHBand="0" w:evenHBand="0" w:firstRowFirstColumn="0" w:firstRowLastColumn="0" w:lastRowFirstColumn="0" w:lastRowLastColumn="0"/>
            <w:tcW w:w="2943" w:type="dxa"/>
            <w:noWrap/>
            <w:vAlign w:val="bottom"/>
          </w:tcPr>
          <w:p w:rsidR="00DD7BBF" w:rsidRPr="00DD7BBF" w:rsidRDefault="00DD7BBF" w:rsidP="001E2481">
            <w:pPr>
              <w:keepNext/>
            </w:pPr>
            <w:r w:rsidRPr="00DD7BBF">
              <w:t>Meters Albury</w:t>
            </w:r>
          </w:p>
        </w:tc>
        <w:tc>
          <w:tcPr>
            <w:tcW w:w="1985" w:type="dxa"/>
            <w:noWrap/>
            <w:vAlign w:val="bottom"/>
          </w:tcPr>
          <w:p w:rsidR="00DD7BBF" w:rsidRPr="00DD7BBF" w:rsidRDefault="00DD7BBF" w:rsidP="001E2481">
            <w:pPr>
              <w:keepNext/>
              <w:cnfStyle w:val="000000000000" w:firstRow="0" w:lastRow="0" w:firstColumn="0" w:lastColumn="0" w:oddVBand="0" w:evenVBand="0" w:oddHBand="0" w:evenHBand="0" w:firstRowFirstColumn="0" w:firstRowLastColumn="0" w:lastRowFirstColumn="0" w:lastRowLastColumn="0"/>
            </w:pPr>
            <w:r w:rsidRPr="00DD7BBF">
              <w:t>15.0</w:t>
            </w:r>
          </w:p>
        </w:tc>
        <w:tc>
          <w:tcPr>
            <w:tcW w:w="3783" w:type="dxa"/>
            <w:noWrap/>
            <w:vAlign w:val="bottom"/>
          </w:tcPr>
          <w:p w:rsidR="00DD7BBF" w:rsidRPr="00DD7BBF" w:rsidRDefault="00DD7BBF" w:rsidP="001E2481">
            <w:pPr>
              <w:keepNext/>
              <w:cnfStyle w:val="000000000000" w:firstRow="0" w:lastRow="0" w:firstColumn="0" w:lastColumn="0" w:oddVBand="0" w:evenVBand="0" w:oddHBand="0" w:evenHBand="0" w:firstRowFirstColumn="0" w:firstRowLastColumn="0" w:lastRowFirstColumn="0" w:lastRowLastColumn="0"/>
            </w:pPr>
            <w:r w:rsidRPr="00DD7BBF">
              <w:t>7.8</w:t>
            </w:r>
          </w:p>
        </w:tc>
      </w:tr>
      <w:tr w:rsidR="00DD7BBF" w:rsidRPr="002C4B0D" w:rsidTr="0009700F">
        <w:trPr>
          <w:cnfStyle w:val="000000010000" w:firstRow="0" w:lastRow="0" w:firstColumn="0" w:lastColumn="0" w:oddVBand="0" w:evenVBand="0" w:oddHBand="0" w:evenHBand="1" w:firstRowFirstColumn="0" w:firstRowLastColumn="0" w:lastRowFirstColumn="0" w:lastRowLastColumn="0"/>
          <w:trHeight w:val="424"/>
        </w:trPr>
        <w:tc>
          <w:tcPr>
            <w:cnfStyle w:val="001000000000" w:firstRow="0" w:lastRow="0" w:firstColumn="1" w:lastColumn="0" w:oddVBand="0" w:evenVBand="0" w:oddHBand="0" w:evenHBand="0" w:firstRowFirstColumn="0" w:firstRowLastColumn="0" w:lastRowFirstColumn="0" w:lastRowLastColumn="0"/>
            <w:tcW w:w="2943" w:type="dxa"/>
            <w:noWrap/>
            <w:vAlign w:val="bottom"/>
          </w:tcPr>
          <w:p w:rsidR="00DD7BBF" w:rsidRPr="00DD7BBF" w:rsidRDefault="00DD7BBF" w:rsidP="001E2481">
            <w:pPr>
              <w:keepNext/>
            </w:pPr>
            <w:r w:rsidRPr="00DD7BBF">
              <w:t>Buildings Albury</w:t>
            </w:r>
          </w:p>
        </w:tc>
        <w:tc>
          <w:tcPr>
            <w:tcW w:w="1985" w:type="dxa"/>
            <w:noWrap/>
            <w:vAlign w:val="bottom"/>
          </w:tcPr>
          <w:p w:rsidR="00DD7BBF" w:rsidRPr="00DD7BBF" w:rsidRDefault="00DD7BBF" w:rsidP="001E2481">
            <w:pPr>
              <w:keepNext/>
              <w:cnfStyle w:val="000000010000" w:firstRow="0" w:lastRow="0" w:firstColumn="0" w:lastColumn="0" w:oddVBand="0" w:evenVBand="0" w:oddHBand="0" w:evenHBand="1" w:firstRowFirstColumn="0" w:firstRowLastColumn="0" w:lastRowFirstColumn="0" w:lastRowLastColumn="0"/>
            </w:pPr>
            <w:r w:rsidRPr="00DD7BBF">
              <w:t>35.0</w:t>
            </w:r>
          </w:p>
        </w:tc>
        <w:tc>
          <w:tcPr>
            <w:tcW w:w="3783" w:type="dxa"/>
            <w:noWrap/>
            <w:vAlign w:val="bottom"/>
          </w:tcPr>
          <w:p w:rsidR="00DD7BBF" w:rsidRPr="00DD7BBF" w:rsidRDefault="00873BB2" w:rsidP="001E2481">
            <w:pPr>
              <w:keepNext/>
              <w:cnfStyle w:val="000000010000" w:firstRow="0" w:lastRow="0" w:firstColumn="0" w:lastColumn="0" w:oddVBand="0" w:evenVBand="0" w:oddHBand="0" w:evenHBand="1" w:firstRowFirstColumn="0" w:firstRowLastColumn="0" w:lastRowFirstColumn="0" w:lastRowLastColumn="0"/>
            </w:pPr>
            <w:r>
              <w:t>n</w:t>
            </w:r>
            <w:r w:rsidR="00DD7BBF" w:rsidRPr="00DD7BBF">
              <w:t>/</w:t>
            </w:r>
            <w:r>
              <w:t>a</w:t>
            </w:r>
          </w:p>
        </w:tc>
      </w:tr>
      <w:tr w:rsidR="00DD7BBF" w:rsidRPr="002C4B0D" w:rsidTr="0009700F">
        <w:trPr>
          <w:trHeight w:val="424"/>
        </w:trPr>
        <w:tc>
          <w:tcPr>
            <w:cnfStyle w:val="001000000000" w:firstRow="0" w:lastRow="0" w:firstColumn="1" w:lastColumn="0" w:oddVBand="0" w:evenVBand="0" w:oddHBand="0" w:evenHBand="0" w:firstRowFirstColumn="0" w:firstRowLastColumn="0" w:lastRowFirstColumn="0" w:lastRowLastColumn="0"/>
            <w:tcW w:w="2943" w:type="dxa"/>
            <w:noWrap/>
            <w:vAlign w:val="bottom"/>
          </w:tcPr>
          <w:p w:rsidR="00DD7BBF" w:rsidRPr="00DD7BBF" w:rsidRDefault="00DD7BBF" w:rsidP="001E2481">
            <w:pPr>
              <w:keepNext/>
            </w:pPr>
            <w:r w:rsidRPr="00DD7BBF">
              <w:t>SCADA Albury</w:t>
            </w:r>
          </w:p>
        </w:tc>
        <w:tc>
          <w:tcPr>
            <w:tcW w:w="1985" w:type="dxa"/>
            <w:noWrap/>
            <w:vAlign w:val="bottom"/>
          </w:tcPr>
          <w:p w:rsidR="00DD7BBF" w:rsidRPr="00DD7BBF" w:rsidRDefault="00DD7BBF" w:rsidP="001E2481">
            <w:pPr>
              <w:keepNext/>
              <w:cnfStyle w:val="000000000000" w:firstRow="0" w:lastRow="0" w:firstColumn="0" w:lastColumn="0" w:oddVBand="0" w:evenVBand="0" w:oddHBand="0" w:evenHBand="0" w:firstRowFirstColumn="0" w:firstRowLastColumn="0" w:lastRowFirstColumn="0" w:lastRowLastColumn="0"/>
            </w:pPr>
            <w:r w:rsidRPr="00DD7BBF">
              <w:t>10.0</w:t>
            </w:r>
          </w:p>
        </w:tc>
        <w:tc>
          <w:tcPr>
            <w:tcW w:w="3783" w:type="dxa"/>
            <w:noWrap/>
            <w:vAlign w:val="bottom"/>
          </w:tcPr>
          <w:p w:rsidR="00DD7BBF" w:rsidRPr="00DD7BBF" w:rsidRDefault="00DD7BBF" w:rsidP="001E2481">
            <w:pPr>
              <w:keepNext/>
              <w:cnfStyle w:val="000000000000" w:firstRow="0" w:lastRow="0" w:firstColumn="0" w:lastColumn="0" w:oddVBand="0" w:evenVBand="0" w:oddHBand="0" w:evenHBand="0" w:firstRowFirstColumn="0" w:firstRowLastColumn="0" w:lastRowFirstColumn="0" w:lastRowLastColumn="0"/>
            </w:pPr>
            <w:r w:rsidRPr="00DD7BBF">
              <w:t>8.0</w:t>
            </w:r>
          </w:p>
        </w:tc>
      </w:tr>
      <w:tr w:rsidR="00DD7BBF" w:rsidRPr="002C4B0D" w:rsidTr="0009700F">
        <w:trPr>
          <w:cnfStyle w:val="000000010000" w:firstRow="0" w:lastRow="0" w:firstColumn="0" w:lastColumn="0" w:oddVBand="0" w:evenVBand="0" w:oddHBand="0" w:evenHBand="1" w:firstRowFirstColumn="0" w:firstRowLastColumn="0" w:lastRowFirstColumn="0" w:lastRowLastColumn="0"/>
          <w:trHeight w:val="424"/>
        </w:trPr>
        <w:tc>
          <w:tcPr>
            <w:cnfStyle w:val="001000000000" w:firstRow="0" w:lastRow="0" w:firstColumn="1" w:lastColumn="0" w:oddVBand="0" w:evenVBand="0" w:oddHBand="0" w:evenHBand="0" w:firstRowFirstColumn="0" w:firstRowLastColumn="0" w:lastRowFirstColumn="0" w:lastRowLastColumn="0"/>
            <w:tcW w:w="2943" w:type="dxa"/>
            <w:noWrap/>
            <w:vAlign w:val="bottom"/>
          </w:tcPr>
          <w:p w:rsidR="00DD7BBF" w:rsidRPr="00DD7BBF" w:rsidRDefault="00DD7BBF" w:rsidP="001E2481">
            <w:pPr>
              <w:keepNext/>
            </w:pPr>
            <w:r w:rsidRPr="00DD7BBF">
              <w:t xml:space="preserve">Computer </w:t>
            </w:r>
            <w:r w:rsidR="0016309E">
              <w:t>e</w:t>
            </w:r>
            <w:r w:rsidRPr="00DD7BBF">
              <w:t>quipment Albury</w:t>
            </w:r>
          </w:p>
        </w:tc>
        <w:tc>
          <w:tcPr>
            <w:tcW w:w="1985" w:type="dxa"/>
            <w:noWrap/>
            <w:vAlign w:val="bottom"/>
          </w:tcPr>
          <w:p w:rsidR="00DD7BBF" w:rsidRPr="00DD7BBF" w:rsidRDefault="00DD7BBF" w:rsidP="001E2481">
            <w:pPr>
              <w:keepNext/>
              <w:cnfStyle w:val="000000010000" w:firstRow="0" w:lastRow="0" w:firstColumn="0" w:lastColumn="0" w:oddVBand="0" w:evenVBand="0" w:oddHBand="0" w:evenHBand="1" w:firstRowFirstColumn="0" w:firstRowLastColumn="0" w:lastRowFirstColumn="0" w:lastRowLastColumn="0"/>
            </w:pPr>
            <w:r w:rsidRPr="00DD7BBF">
              <w:t>4.0</w:t>
            </w:r>
          </w:p>
        </w:tc>
        <w:tc>
          <w:tcPr>
            <w:tcW w:w="3783" w:type="dxa"/>
            <w:noWrap/>
            <w:vAlign w:val="bottom"/>
          </w:tcPr>
          <w:p w:rsidR="00DD7BBF" w:rsidRPr="00DD7BBF" w:rsidRDefault="00FB442C" w:rsidP="001E2481">
            <w:pPr>
              <w:keepNext/>
              <w:cnfStyle w:val="000000010000" w:firstRow="0" w:lastRow="0" w:firstColumn="0" w:lastColumn="0" w:oddVBand="0" w:evenVBand="0" w:oddHBand="0" w:evenHBand="1" w:firstRowFirstColumn="0" w:firstRowLastColumn="0" w:lastRowFirstColumn="0" w:lastRowLastColumn="0"/>
            </w:pPr>
            <w:r>
              <w:t>n/a</w:t>
            </w:r>
          </w:p>
        </w:tc>
      </w:tr>
      <w:tr w:rsidR="00DD7BBF" w:rsidRPr="002C4B0D" w:rsidTr="0009700F">
        <w:trPr>
          <w:trHeight w:val="424"/>
        </w:trPr>
        <w:tc>
          <w:tcPr>
            <w:cnfStyle w:val="001000000000" w:firstRow="0" w:lastRow="0" w:firstColumn="1" w:lastColumn="0" w:oddVBand="0" w:evenVBand="0" w:oddHBand="0" w:evenHBand="0" w:firstRowFirstColumn="0" w:firstRowLastColumn="0" w:lastRowFirstColumn="0" w:lastRowLastColumn="0"/>
            <w:tcW w:w="2943" w:type="dxa"/>
            <w:noWrap/>
            <w:vAlign w:val="bottom"/>
          </w:tcPr>
          <w:p w:rsidR="00DD7BBF" w:rsidRPr="00DD7BBF" w:rsidRDefault="00DD7BBF" w:rsidP="001E2481">
            <w:pPr>
              <w:keepNext/>
            </w:pPr>
            <w:r w:rsidRPr="00DD7BBF">
              <w:t xml:space="preserve">Other </w:t>
            </w:r>
            <w:r w:rsidR="0016309E">
              <w:t>a</w:t>
            </w:r>
            <w:r w:rsidRPr="00DD7BBF">
              <w:t>ssets Albury</w:t>
            </w:r>
          </w:p>
        </w:tc>
        <w:tc>
          <w:tcPr>
            <w:tcW w:w="1985" w:type="dxa"/>
            <w:noWrap/>
            <w:vAlign w:val="bottom"/>
          </w:tcPr>
          <w:p w:rsidR="00DD7BBF" w:rsidRPr="00DD7BBF" w:rsidRDefault="004002D9" w:rsidP="001E2481">
            <w:pPr>
              <w:keepNext/>
              <w:cnfStyle w:val="000000000000" w:firstRow="0" w:lastRow="0" w:firstColumn="0" w:lastColumn="0" w:oddVBand="0" w:evenVBand="0" w:oddHBand="0" w:evenHBand="0" w:firstRowFirstColumn="0" w:firstRowLastColumn="0" w:lastRowFirstColumn="0" w:lastRowLastColumn="0"/>
            </w:pPr>
            <w:r>
              <w:t>15.0</w:t>
            </w:r>
          </w:p>
        </w:tc>
        <w:tc>
          <w:tcPr>
            <w:tcW w:w="3783" w:type="dxa"/>
            <w:noWrap/>
            <w:vAlign w:val="bottom"/>
          </w:tcPr>
          <w:p w:rsidR="00DD7BBF" w:rsidRPr="00DD7BBF" w:rsidRDefault="00F6104B" w:rsidP="001E2481">
            <w:pPr>
              <w:keepNext/>
              <w:cnfStyle w:val="000000000000" w:firstRow="0" w:lastRow="0" w:firstColumn="0" w:lastColumn="0" w:oddVBand="0" w:evenVBand="0" w:oddHBand="0" w:evenHBand="0" w:firstRowFirstColumn="0" w:firstRowLastColumn="0" w:lastRowFirstColumn="0" w:lastRowLastColumn="0"/>
            </w:pPr>
            <w:r>
              <w:t>13.4</w:t>
            </w:r>
          </w:p>
        </w:tc>
      </w:tr>
      <w:tr w:rsidR="00DD7BBF" w:rsidRPr="002C4B0D" w:rsidTr="0009700F">
        <w:trPr>
          <w:cnfStyle w:val="000000010000" w:firstRow="0" w:lastRow="0" w:firstColumn="0" w:lastColumn="0" w:oddVBand="0" w:evenVBand="0" w:oddHBand="0" w:evenHBand="1" w:firstRowFirstColumn="0" w:firstRowLastColumn="0" w:lastRowFirstColumn="0" w:lastRowLastColumn="0"/>
          <w:trHeight w:val="424"/>
        </w:trPr>
        <w:tc>
          <w:tcPr>
            <w:cnfStyle w:val="001000000000" w:firstRow="0" w:lastRow="0" w:firstColumn="1" w:lastColumn="0" w:oddVBand="0" w:evenVBand="0" w:oddHBand="0" w:evenHBand="0" w:firstRowFirstColumn="0" w:firstRowLastColumn="0" w:lastRowFirstColumn="0" w:lastRowLastColumn="0"/>
            <w:tcW w:w="2943" w:type="dxa"/>
            <w:noWrap/>
            <w:vAlign w:val="bottom"/>
          </w:tcPr>
          <w:p w:rsidR="00DD7BBF" w:rsidRPr="00DD7BBF" w:rsidRDefault="00DD7BBF" w:rsidP="001E2481">
            <w:pPr>
              <w:keepNext/>
            </w:pPr>
            <w:r w:rsidRPr="00DD7BBF">
              <w:t>Land Albury</w:t>
            </w:r>
          </w:p>
        </w:tc>
        <w:tc>
          <w:tcPr>
            <w:tcW w:w="1985" w:type="dxa"/>
            <w:noWrap/>
            <w:vAlign w:val="bottom"/>
          </w:tcPr>
          <w:p w:rsidR="00DD7BBF" w:rsidRPr="00DD7BBF" w:rsidRDefault="00DD7BBF" w:rsidP="001E2481">
            <w:pPr>
              <w:keepNext/>
              <w:cnfStyle w:val="000000010000" w:firstRow="0" w:lastRow="0" w:firstColumn="0" w:lastColumn="0" w:oddVBand="0" w:evenVBand="0" w:oddHBand="0" w:evenHBand="1" w:firstRowFirstColumn="0" w:firstRowLastColumn="0" w:lastRowFirstColumn="0" w:lastRowLastColumn="0"/>
            </w:pPr>
            <w:r w:rsidRPr="00DD7BBF">
              <w:t>n/a</w:t>
            </w:r>
          </w:p>
        </w:tc>
        <w:tc>
          <w:tcPr>
            <w:tcW w:w="3783" w:type="dxa"/>
            <w:noWrap/>
            <w:vAlign w:val="bottom"/>
          </w:tcPr>
          <w:p w:rsidR="00DD7BBF" w:rsidRPr="00DD7BBF" w:rsidRDefault="00A84F2E" w:rsidP="001E2481">
            <w:pPr>
              <w:keepNext/>
              <w:cnfStyle w:val="000000010000" w:firstRow="0" w:lastRow="0" w:firstColumn="0" w:lastColumn="0" w:oddVBand="0" w:evenVBand="0" w:oddHBand="0" w:evenHBand="1" w:firstRowFirstColumn="0" w:firstRowLastColumn="0" w:lastRowFirstColumn="0" w:lastRowLastColumn="0"/>
            </w:pPr>
            <w:r>
              <w:t>n/a</w:t>
            </w:r>
          </w:p>
        </w:tc>
      </w:tr>
      <w:tr w:rsidR="00DD7BBF" w:rsidRPr="002C4B0D" w:rsidTr="0009700F">
        <w:trPr>
          <w:trHeight w:val="424"/>
        </w:trPr>
        <w:tc>
          <w:tcPr>
            <w:cnfStyle w:val="001000000000" w:firstRow="0" w:lastRow="0" w:firstColumn="1" w:lastColumn="0" w:oddVBand="0" w:evenVBand="0" w:oddHBand="0" w:evenHBand="0" w:firstRowFirstColumn="0" w:firstRowLastColumn="0" w:lastRowFirstColumn="0" w:lastRowLastColumn="0"/>
            <w:tcW w:w="2943" w:type="dxa"/>
            <w:noWrap/>
            <w:vAlign w:val="bottom"/>
          </w:tcPr>
          <w:p w:rsidR="00DD7BBF" w:rsidRPr="00DD7BBF" w:rsidRDefault="00DD7BBF" w:rsidP="001E2481">
            <w:pPr>
              <w:keepNext/>
            </w:pPr>
            <w:r w:rsidRPr="00DD7BBF">
              <w:t>Low pressure mains a</w:t>
            </w:r>
            <w:r w:rsidR="00A84F2E">
              <w:t>nd associated services (a</w:t>
            </w:r>
            <w:r w:rsidRPr="00DD7BBF">
              <w:t>ccelerated dep</w:t>
            </w:r>
            <w:r w:rsidR="00A84F2E">
              <w:t>reciatio</w:t>
            </w:r>
            <w:r w:rsidRPr="00DD7BBF">
              <w:t>n</w:t>
            </w:r>
            <w:r w:rsidR="00A84F2E">
              <w:t>)</w:t>
            </w:r>
          </w:p>
        </w:tc>
        <w:tc>
          <w:tcPr>
            <w:tcW w:w="1985" w:type="dxa"/>
            <w:noWrap/>
            <w:vAlign w:val="bottom"/>
          </w:tcPr>
          <w:p w:rsidR="00DD7BBF" w:rsidRPr="00DD7BBF" w:rsidRDefault="000F7DA0" w:rsidP="001E2481">
            <w:pPr>
              <w:keepNext/>
              <w:cnfStyle w:val="000000000000" w:firstRow="0" w:lastRow="0" w:firstColumn="0" w:lastColumn="0" w:oddVBand="0" w:evenVBand="0" w:oddHBand="0" w:evenHBand="0" w:firstRowFirstColumn="0" w:firstRowLastColumn="0" w:lastRowFirstColumn="0" w:lastRowLastColumn="0"/>
            </w:pPr>
            <w:r>
              <w:t>n/a</w:t>
            </w:r>
          </w:p>
        </w:tc>
        <w:tc>
          <w:tcPr>
            <w:tcW w:w="3783" w:type="dxa"/>
            <w:noWrap/>
            <w:vAlign w:val="bottom"/>
          </w:tcPr>
          <w:p w:rsidR="00DD7BBF" w:rsidRPr="00DD7BBF" w:rsidRDefault="001B69CC" w:rsidP="001E2481">
            <w:pPr>
              <w:keepNext/>
              <w:cnfStyle w:val="000000000000" w:firstRow="0" w:lastRow="0" w:firstColumn="0" w:lastColumn="0" w:oddVBand="0" w:evenVBand="0" w:oddHBand="0" w:evenHBand="0" w:firstRowFirstColumn="0" w:firstRowLastColumn="0" w:lastRowFirstColumn="0" w:lastRowLastColumn="0"/>
            </w:pPr>
            <w:r>
              <w:t>5</w:t>
            </w:r>
            <w:r w:rsidR="00DD7BBF" w:rsidRPr="00DD7BBF">
              <w:t>.</w:t>
            </w:r>
            <w:r>
              <w:t>0</w:t>
            </w:r>
          </w:p>
        </w:tc>
      </w:tr>
      <w:tr w:rsidR="0039415B" w:rsidRPr="002C4B0D" w:rsidTr="00371045">
        <w:trPr>
          <w:cnfStyle w:val="000000010000" w:firstRow="0" w:lastRow="0" w:firstColumn="0" w:lastColumn="0" w:oddVBand="0" w:evenVBand="0" w:oddHBand="0" w:evenHBand="1" w:firstRowFirstColumn="0" w:firstRowLastColumn="0" w:lastRowFirstColumn="0" w:lastRowLastColumn="0"/>
          <w:trHeight w:val="424"/>
        </w:trPr>
        <w:tc>
          <w:tcPr>
            <w:cnfStyle w:val="001000000000" w:firstRow="0" w:lastRow="0" w:firstColumn="1" w:lastColumn="0" w:oddVBand="0" w:evenVBand="0" w:oddHBand="0" w:evenHBand="0" w:firstRowFirstColumn="0" w:firstRowLastColumn="0" w:lastRowFirstColumn="0" w:lastRowLastColumn="0"/>
            <w:tcW w:w="2943" w:type="dxa"/>
            <w:noWrap/>
            <w:vAlign w:val="bottom"/>
          </w:tcPr>
          <w:p w:rsidR="0039415B" w:rsidRPr="00DD7BBF" w:rsidRDefault="0039415B" w:rsidP="001E2481">
            <w:pPr>
              <w:keepNext/>
            </w:pPr>
            <w:r>
              <w:t>Equity raising costs</w:t>
            </w:r>
          </w:p>
        </w:tc>
        <w:tc>
          <w:tcPr>
            <w:tcW w:w="1985" w:type="dxa"/>
            <w:noWrap/>
            <w:vAlign w:val="bottom"/>
          </w:tcPr>
          <w:p w:rsidR="0039415B" w:rsidRDefault="0039415B" w:rsidP="001E2481">
            <w:pPr>
              <w:keepNext/>
              <w:cnfStyle w:val="000000010000" w:firstRow="0" w:lastRow="0" w:firstColumn="0" w:lastColumn="0" w:oddVBand="0" w:evenVBand="0" w:oddHBand="0" w:evenHBand="1" w:firstRowFirstColumn="0" w:firstRowLastColumn="0" w:lastRowFirstColumn="0" w:lastRowLastColumn="0"/>
            </w:pPr>
            <w:r>
              <w:t>5.0</w:t>
            </w:r>
          </w:p>
        </w:tc>
        <w:tc>
          <w:tcPr>
            <w:tcW w:w="3783" w:type="dxa"/>
            <w:noWrap/>
            <w:vAlign w:val="bottom"/>
          </w:tcPr>
          <w:p w:rsidR="0039415B" w:rsidRDefault="0039415B" w:rsidP="001E2481">
            <w:pPr>
              <w:keepNext/>
              <w:cnfStyle w:val="000000010000" w:firstRow="0" w:lastRow="0" w:firstColumn="0" w:lastColumn="0" w:oddVBand="0" w:evenVBand="0" w:oddHBand="0" w:evenHBand="1" w:firstRowFirstColumn="0" w:firstRowLastColumn="0" w:lastRowFirstColumn="0" w:lastRowLastColumn="0"/>
            </w:pPr>
            <w:r>
              <w:t>n/a</w:t>
            </w:r>
          </w:p>
        </w:tc>
      </w:tr>
    </w:tbl>
    <w:p w:rsidR="00C2279E" w:rsidRDefault="00C2279E" w:rsidP="00FB30F1">
      <w:pPr>
        <w:pStyle w:val="AERtablesource"/>
      </w:pPr>
      <w:r w:rsidRPr="00EA0E36">
        <w:t xml:space="preserve">Source: </w:t>
      </w:r>
      <w:r w:rsidRPr="00EA0E36">
        <w:tab/>
        <w:t>AER analysis.</w:t>
      </w:r>
    </w:p>
    <w:p w:rsidR="00C2279E" w:rsidRDefault="00C2279E" w:rsidP="00FB30F1">
      <w:pPr>
        <w:pStyle w:val="AERtablesource"/>
      </w:pPr>
      <w:proofErr w:type="gramStart"/>
      <w:r w:rsidRPr="00EA0E36">
        <w:t>n/a</w:t>
      </w:r>
      <w:proofErr w:type="gramEnd"/>
      <w:r w:rsidRPr="00EA0E36">
        <w:tab/>
        <w:t>Not applicable.</w:t>
      </w:r>
      <w:r>
        <w:t xml:space="preserve"> </w:t>
      </w:r>
    </w:p>
    <w:p w:rsidR="00C2279E" w:rsidRDefault="00C2279E" w:rsidP="00FB30F1">
      <w:pPr>
        <w:pStyle w:val="Heading2"/>
        <w:keepNext/>
      </w:pPr>
      <w:bookmarkStart w:id="103" w:name="_Toc477782998"/>
      <w:bookmarkStart w:id="104" w:name="_Toc486834712"/>
      <w:r>
        <w:t>Revisions</w:t>
      </w:r>
      <w:bookmarkEnd w:id="103"/>
      <w:bookmarkEnd w:id="104"/>
    </w:p>
    <w:p w:rsidR="00C2279E" w:rsidRDefault="00C2279E" w:rsidP="00FB30F1">
      <w:pPr>
        <w:keepNext/>
      </w:pPr>
      <w:r>
        <w:rPr>
          <w:rStyle w:val="AERbody"/>
        </w:rPr>
        <w:t>We</w:t>
      </w:r>
      <w:r w:rsidRPr="00407443">
        <w:rPr>
          <w:rStyle w:val="AERbody"/>
        </w:rPr>
        <w:t xml:space="preserve"> require the following revisions to make the access arrangement proposal acceptable</w:t>
      </w:r>
      <w:r w:rsidRPr="00407443">
        <w:t>:</w:t>
      </w:r>
    </w:p>
    <w:tbl>
      <w:tblPr>
        <w:tblStyle w:val="AERtable-text0"/>
        <w:tblW w:w="0" w:type="auto"/>
        <w:tblLook w:val="04A0" w:firstRow="1" w:lastRow="0" w:firstColumn="1" w:lastColumn="0" w:noHBand="0" w:noVBand="1"/>
      </w:tblPr>
      <w:tblGrid>
        <w:gridCol w:w="1809"/>
        <w:gridCol w:w="6884"/>
      </w:tblGrid>
      <w:tr w:rsidR="001E2481" w:rsidTr="001E2481">
        <w:trPr>
          <w:cnfStyle w:val="100000000000" w:firstRow="1" w:lastRow="0" w:firstColumn="0" w:lastColumn="0" w:oddVBand="0" w:evenVBand="0" w:oddHBand="0" w:evenHBand="0" w:firstRowFirstColumn="0" w:firstRowLastColumn="0" w:lastRowFirstColumn="0" w:lastRowLastColumn="0"/>
        </w:trPr>
        <w:tc>
          <w:tcPr>
            <w:tcW w:w="1809" w:type="dxa"/>
          </w:tcPr>
          <w:p w:rsidR="001E2481" w:rsidRDefault="001E2481" w:rsidP="00FB30F1">
            <w:pPr>
              <w:pStyle w:val="AERtabletextleft"/>
              <w:keepNext/>
              <w:rPr>
                <w:b w:val="0"/>
                <w:color w:val="auto"/>
                <w:lang w:eastAsia="en-US"/>
              </w:rPr>
            </w:pPr>
          </w:p>
        </w:tc>
        <w:tc>
          <w:tcPr>
            <w:tcW w:w="6884" w:type="dxa"/>
          </w:tcPr>
          <w:p w:rsidR="001E2481" w:rsidRDefault="001E2481" w:rsidP="00FB30F1">
            <w:pPr>
              <w:pStyle w:val="AERtabletextleft"/>
              <w:keepNext/>
              <w:rPr>
                <w:b w:val="0"/>
                <w:color w:val="auto"/>
                <w:lang w:eastAsia="en-US"/>
              </w:rPr>
            </w:pPr>
          </w:p>
        </w:tc>
      </w:tr>
      <w:tr w:rsidR="001E2481" w:rsidRPr="007C668E" w:rsidTr="001E2481">
        <w:tc>
          <w:tcPr>
            <w:tcW w:w="1809" w:type="dxa"/>
          </w:tcPr>
          <w:p w:rsidR="001E2481" w:rsidRPr="00D005DB" w:rsidRDefault="001E2481" w:rsidP="00FB30F1">
            <w:pPr>
              <w:keepNext/>
              <w:rPr>
                <w:rStyle w:val="Strong"/>
                <w:rFonts w:eastAsiaTheme="minorHAnsi"/>
                <w:b w:val="0"/>
                <w:color w:val="FFFFFF"/>
                <w:sz w:val="20"/>
                <w:szCs w:val="24"/>
              </w:rPr>
            </w:pPr>
            <w:r w:rsidRPr="007C668E">
              <w:rPr>
                <w:rStyle w:val="Strong"/>
              </w:rPr>
              <w:t>Revision 8.1</w:t>
            </w:r>
          </w:p>
        </w:tc>
        <w:tc>
          <w:tcPr>
            <w:tcW w:w="6884" w:type="dxa"/>
          </w:tcPr>
          <w:p w:rsidR="001E2481" w:rsidRPr="00D005DB" w:rsidRDefault="001E2481" w:rsidP="00FB30F1">
            <w:pPr>
              <w:keepNext/>
              <w:rPr>
                <w:rFonts w:eastAsiaTheme="minorHAnsi" w:cstheme="minorBidi"/>
                <w:sz w:val="22"/>
                <w:szCs w:val="22"/>
                <w:lang w:eastAsia="en-US"/>
              </w:rPr>
            </w:pPr>
            <w:r w:rsidRPr="007C668E">
              <w:t xml:space="preserve">Make all necessary amendments to reflect this draft decision on the proposed corporate income tax allowance for the 2018–22 access arrangement </w:t>
            </w:r>
            <w:proofErr w:type="gramStart"/>
            <w:r w:rsidRPr="007C668E">
              <w:t>period</w:t>
            </w:r>
            <w:proofErr w:type="gramEnd"/>
            <w:r w:rsidRPr="007C668E">
              <w:t xml:space="preserve">, as set out in </w:t>
            </w:r>
            <w:r w:rsidRPr="00FB30F1">
              <w:fldChar w:fldCharType="begin"/>
            </w:r>
            <w:r w:rsidRPr="00D005DB">
              <w:instrText xml:space="preserve"> REF _Ref477520791 \h  \* MERGEFORMAT </w:instrText>
            </w:r>
            <w:r w:rsidRPr="00FB30F1">
              <w:fldChar w:fldCharType="separate"/>
            </w:r>
            <w:r w:rsidR="00A42928">
              <w:t>Table 8.1</w:t>
            </w:r>
            <w:r w:rsidRPr="00FB30F1">
              <w:fldChar w:fldCharType="end"/>
            </w:r>
            <w:r w:rsidRPr="00FB30F1">
              <w:rPr>
                <w:rFonts w:eastAsiaTheme="minorHAnsi"/>
                <w:sz w:val="22"/>
                <w:szCs w:val="22"/>
              </w:rPr>
              <w:t>.</w:t>
            </w:r>
          </w:p>
        </w:tc>
      </w:tr>
      <w:tr w:rsidR="001E2481" w:rsidTr="001E2481">
        <w:trPr>
          <w:cnfStyle w:val="000000010000" w:firstRow="0" w:lastRow="0" w:firstColumn="0" w:lastColumn="0" w:oddVBand="0" w:evenVBand="0" w:oddHBand="0" w:evenHBand="1" w:firstRowFirstColumn="0" w:firstRowLastColumn="0" w:lastRowFirstColumn="0" w:lastRowLastColumn="0"/>
        </w:trPr>
        <w:tc>
          <w:tcPr>
            <w:tcW w:w="1809" w:type="dxa"/>
          </w:tcPr>
          <w:p w:rsidR="001E2481" w:rsidRPr="00D005DB" w:rsidRDefault="001E2481" w:rsidP="00FB30F1">
            <w:pPr>
              <w:keepNext/>
              <w:rPr>
                <w:rStyle w:val="Strong"/>
              </w:rPr>
            </w:pPr>
            <w:r w:rsidRPr="007C668E">
              <w:rPr>
                <w:rStyle w:val="Strong"/>
              </w:rPr>
              <w:t>Revision 8.2</w:t>
            </w:r>
          </w:p>
        </w:tc>
        <w:tc>
          <w:tcPr>
            <w:tcW w:w="6884" w:type="dxa"/>
          </w:tcPr>
          <w:p w:rsidR="001E2481" w:rsidRPr="007C668E" w:rsidRDefault="001E2481" w:rsidP="00FB30F1">
            <w:pPr>
              <w:keepNext/>
              <w:rPr>
                <w:rFonts w:eastAsiaTheme="minorHAnsi" w:cstheme="minorBidi"/>
                <w:sz w:val="22"/>
                <w:szCs w:val="22"/>
                <w:lang w:eastAsia="en-US"/>
              </w:rPr>
            </w:pPr>
            <w:r w:rsidRPr="00D005DB">
              <w:t xml:space="preserve">Make all necessary amendments to reflect this draft decision on the opening tax asset base as at 1 January 2018, as set </w:t>
            </w:r>
            <w:r w:rsidRPr="00BA10AF">
              <w:t xml:space="preserve">out in </w:t>
            </w:r>
            <w:r w:rsidRPr="00FB30F1">
              <w:fldChar w:fldCharType="begin"/>
            </w:r>
            <w:r w:rsidRPr="00BA10AF">
              <w:instrText xml:space="preserve"> REF _Ref477521408 \h  \* MERGEFORMAT </w:instrText>
            </w:r>
            <w:r w:rsidRPr="00FB30F1">
              <w:fldChar w:fldCharType="separate"/>
            </w:r>
            <w:r w:rsidR="00A42928">
              <w:t>Table 8.4</w:t>
            </w:r>
            <w:r w:rsidRPr="00FB30F1">
              <w:fldChar w:fldCharType="end"/>
            </w:r>
            <w:r w:rsidRPr="00FB30F1">
              <w:t>.</w:t>
            </w:r>
          </w:p>
        </w:tc>
      </w:tr>
      <w:tr w:rsidR="001E2481" w:rsidTr="001E2481">
        <w:tc>
          <w:tcPr>
            <w:tcW w:w="1809" w:type="dxa"/>
          </w:tcPr>
          <w:p w:rsidR="001E2481" w:rsidRPr="00D005DB" w:rsidRDefault="001E2481" w:rsidP="00FB30F1">
            <w:pPr>
              <w:keepNext/>
              <w:rPr>
                <w:rStyle w:val="Strong"/>
              </w:rPr>
            </w:pPr>
            <w:r w:rsidRPr="007C668E">
              <w:rPr>
                <w:rStyle w:val="Strong"/>
              </w:rPr>
              <w:t>Revision 8.3</w:t>
            </w:r>
          </w:p>
        </w:tc>
        <w:tc>
          <w:tcPr>
            <w:tcW w:w="6884" w:type="dxa"/>
          </w:tcPr>
          <w:p w:rsidR="001E2481" w:rsidRPr="007C668E" w:rsidRDefault="001E2481" w:rsidP="00FB30F1">
            <w:pPr>
              <w:keepNext/>
              <w:rPr>
                <w:rFonts w:eastAsiaTheme="minorHAnsi" w:cstheme="minorBidi"/>
                <w:sz w:val="22"/>
                <w:szCs w:val="22"/>
                <w:lang w:eastAsia="en-US"/>
              </w:rPr>
            </w:pPr>
            <w:r w:rsidRPr="00D005DB">
              <w:t xml:space="preserve">Make all necessary amendments to reflect this draft decision on the standard tax asset lives and remaining tax asset lives for the 2018–22 access arrangement period, as set out in </w:t>
            </w:r>
            <w:r w:rsidRPr="00FB30F1">
              <w:fldChar w:fldCharType="begin"/>
            </w:r>
            <w:r w:rsidRPr="00BA10AF">
              <w:instrText xml:space="preserve"> REF _Ref477521435 \h  \* MERGEFORMAT </w:instrText>
            </w:r>
            <w:r w:rsidRPr="00FB30F1">
              <w:fldChar w:fldCharType="separate"/>
            </w:r>
            <w:r w:rsidR="00A42928">
              <w:t>Table 8.5</w:t>
            </w:r>
            <w:r w:rsidRPr="00FB30F1">
              <w:fldChar w:fldCharType="end"/>
            </w:r>
            <w:r w:rsidRPr="00BA10AF">
              <w:t>.</w:t>
            </w:r>
          </w:p>
        </w:tc>
      </w:tr>
    </w:tbl>
    <w:p w:rsidR="001E2481" w:rsidRPr="00407443" w:rsidRDefault="001E2481" w:rsidP="007C668E"/>
    <w:sectPr w:rsidR="001E2481" w:rsidRPr="00407443" w:rsidSect="00CF42AA">
      <w:headerReference w:type="default" r:id="rId16"/>
      <w:footerReference w:type="even" r:id="rId17"/>
      <w:footerReference w:type="default" r:id="rId18"/>
      <w:footerReference w:type="first" r:id="rId19"/>
      <w:pgSz w:w="11906" w:h="16838" w:code="9"/>
      <w:pgMar w:top="1440" w:right="1700" w:bottom="1582" w:left="1729" w:header="720" w:footer="0" w:gutter="0"/>
      <w:pgNumType w:chapStyle="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6635" w:rsidRPr="00290C63" w:rsidRDefault="00CD6635" w:rsidP="00290C63">
      <w:r>
        <w:separator/>
      </w:r>
    </w:p>
    <w:p w:rsidR="00CD6635" w:rsidRDefault="00CD6635"/>
  </w:endnote>
  <w:endnote w:type="continuationSeparator" w:id="0">
    <w:p w:rsidR="00CD6635" w:rsidRPr="00290C63" w:rsidRDefault="00CD6635" w:rsidP="00290C63">
      <w:r>
        <w:continuationSeparator/>
      </w:r>
    </w:p>
    <w:p w:rsidR="00CD6635" w:rsidRDefault="00CD66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autami">
    <w:panose1 w:val="020B0502040204020203"/>
    <w:charset w:val="01"/>
    <w:family w:val="roman"/>
    <w:notTrueType/>
    <w:pitch w:val="variable"/>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635" w:rsidRPr="00290C63" w:rsidRDefault="00CD6635"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rsidR="00CD6635" w:rsidRDefault="00CD6635"/>
  <w:p w:rsidR="00CD6635" w:rsidRDefault="00CD6635"/>
  <w:p w:rsidR="00CD6635" w:rsidRDefault="00CD6635"/>
  <w:p w:rsidR="00CD6635" w:rsidRDefault="00CD6635"/>
  <w:p w:rsidR="00CD6635" w:rsidRDefault="00CD6635"/>
  <w:p w:rsidR="00CD6635" w:rsidRDefault="00CD6635"/>
  <w:p w:rsidR="00CD6635" w:rsidRDefault="00CD663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299774"/>
      <w:docPartObj>
        <w:docPartGallery w:val="Page Numbers (Bottom of Page)"/>
        <w:docPartUnique/>
      </w:docPartObj>
    </w:sdtPr>
    <w:sdtEndPr>
      <w:rPr>
        <w:noProof/>
        <w:szCs w:val="16"/>
      </w:rPr>
    </w:sdtEndPr>
    <w:sdtContent>
      <w:p w:rsidR="00CD6635" w:rsidRPr="009B6F84" w:rsidRDefault="00CD6635">
        <w:pPr>
          <w:pStyle w:val="Footer"/>
          <w:rPr>
            <w:sz w:val="20"/>
          </w:rPr>
        </w:pPr>
        <w:r>
          <w:fldChar w:fldCharType="begin"/>
        </w:r>
        <w:r>
          <w:instrText xml:space="preserve"> PAGE   \* MERGEFORMAT </w:instrText>
        </w:r>
        <w:r>
          <w:fldChar w:fldCharType="separate"/>
        </w:r>
        <w:r w:rsidR="00A42928">
          <w:rPr>
            <w:noProof/>
          </w:rPr>
          <w:t>8-0</w:t>
        </w:r>
        <w:r>
          <w:rPr>
            <w:noProof/>
          </w:rPr>
          <w:fldChar w:fldCharType="end"/>
        </w:r>
        <w:r>
          <w:rPr>
            <w:noProof/>
          </w:rPr>
          <w:t xml:space="preserve">          </w:t>
        </w:r>
        <w:r>
          <w:t xml:space="preserve">Attachment 8 </w:t>
        </w:r>
        <w:r w:rsidRPr="000474DF">
          <w:t>−</w:t>
        </w:r>
        <w:r>
          <w:t xml:space="preserve"> Corporate income tax</w:t>
        </w:r>
        <w:r w:rsidRPr="009B6F84">
          <w:rPr>
            <w:rFonts w:cs="Gautami"/>
            <w:noProof/>
            <w:szCs w:val="16"/>
          </w:rPr>
          <w:t xml:space="preserve"> | </w:t>
        </w:r>
        <w:r>
          <w:t>Draft decision - AGN Victoria and Albury gas access arrangement</w:t>
        </w:r>
        <w:r w:rsidRPr="00D5015C">
          <w:t xml:space="preserve"> 201</w:t>
        </w:r>
        <w:r>
          <w:t>8</w:t>
        </w:r>
        <w:r w:rsidRPr="00D5015C">
          <w:t>–</w:t>
        </w:r>
        <w:r>
          <w:t>22</w:t>
        </w:r>
      </w:p>
    </w:sdtContent>
  </w:sdt>
  <w:p w:rsidR="00CD6635" w:rsidRDefault="00CD663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635" w:rsidRPr="00290C63" w:rsidRDefault="00CD6635"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rsidR="00CD6635" w:rsidRDefault="00CD6635">
    <w:pPr>
      <w:pStyle w:val="Footer"/>
    </w:pPr>
  </w:p>
  <w:p w:rsidR="00CD6635" w:rsidRDefault="00CD6635"/>
  <w:p w:rsidR="00CD6635" w:rsidRDefault="00CD6635"/>
  <w:p w:rsidR="00CD6635" w:rsidRDefault="00CD6635"/>
  <w:p w:rsidR="00CD6635" w:rsidRDefault="00CD6635"/>
  <w:p w:rsidR="00CD6635" w:rsidRDefault="00CD6635"/>
  <w:p w:rsidR="00CD6635" w:rsidRDefault="00CD6635"/>
  <w:p w:rsidR="00CD6635" w:rsidRDefault="00CD6635"/>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635" w:rsidRPr="00290C63" w:rsidRDefault="00CD6635"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rsidR="00CD6635" w:rsidRDefault="00CD6635"/>
  <w:p w:rsidR="00CD6635" w:rsidRDefault="00CD6635"/>
  <w:p w:rsidR="00CD6635" w:rsidRDefault="00CD6635"/>
  <w:p w:rsidR="00CD6635" w:rsidRDefault="00CD6635"/>
  <w:p w:rsidR="00CD6635" w:rsidRDefault="00CD6635"/>
  <w:p w:rsidR="00CD6635" w:rsidRDefault="00CD6635"/>
  <w:p w:rsidR="00CD6635" w:rsidRDefault="00CD6635"/>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0901426"/>
      <w:docPartObj>
        <w:docPartGallery w:val="Page Numbers (Bottom of Page)"/>
        <w:docPartUnique/>
      </w:docPartObj>
    </w:sdtPr>
    <w:sdtEndPr>
      <w:rPr>
        <w:noProof/>
        <w:szCs w:val="16"/>
      </w:rPr>
    </w:sdtEndPr>
    <w:sdtContent>
      <w:p w:rsidR="00CD6635" w:rsidRPr="009B6F84" w:rsidRDefault="00CD6635">
        <w:pPr>
          <w:pStyle w:val="Footer"/>
          <w:rPr>
            <w:sz w:val="20"/>
          </w:rPr>
        </w:pPr>
        <w:r>
          <w:fldChar w:fldCharType="begin"/>
        </w:r>
        <w:r>
          <w:instrText xml:space="preserve"> PAGE   \* MERGEFORMAT </w:instrText>
        </w:r>
        <w:r>
          <w:fldChar w:fldCharType="separate"/>
        </w:r>
        <w:r w:rsidR="00A42928">
          <w:rPr>
            <w:noProof/>
          </w:rPr>
          <w:t>8-13</w:t>
        </w:r>
        <w:r>
          <w:rPr>
            <w:noProof/>
          </w:rPr>
          <w:fldChar w:fldCharType="end"/>
        </w:r>
        <w:r>
          <w:rPr>
            <w:noProof/>
          </w:rPr>
          <w:t xml:space="preserve">          </w:t>
        </w:r>
        <w:r>
          <w:t>Attachment 8 – Corporate income tax</w:t>
        </w:r>
        <w:r w:rsidRPr="00D5015C">
          <w:t xml:space="preserve"> | </w:t>
        </w:r>
        <w:r>
          <w:t>Draft decision - AGN Victoria and Albury gas access arrangement</w:t>
        </w:r>
        <w:r w:rsidRPr="00D5015C">
          <w:t xml:space="preserve"> 201</w:t>
        </w:r>
        <w:r>
          <w:t>8</w:t>
        </w:r>
        <w:r w:rsidRPr="00D5015C">
          <w:t>–</w:t>
        </w:r>
        <w:r>
          <w:t>22</w:t>
        </w:r>
      </w:p>
    </w:sdtContent>
  </w:sdt>
  <w:p w:rsidR="00CD6635" w:rsidRDefault="00CD6635">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635" w:rsidRPr="00290C63" w:rsidRDefault="00CD6635"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rsidR="00CD6635" w:rsidRDefault="00CD6635">
    <w:pPr>
      <w:pStyle w:val="Footer"/>
    </w:pPr>
  </w:p>
  <w:p w:rsidR="00CD6635" w:rsidRDefault="00CD6635"/>
  <w:p w:rsidR="00CD6635" w:rsidRDefault="00CD6635"/>
  <w:p w:rsidR="00CD6635" w:rsidRDefault="00CD6635"/>
  <w:p w:rsidR="00CD6635" w:rsidRDefault="00CD6635"/>
  <w:p w:rsidR="00CD6635" w:rsidRDefault="00CD6635"/>
  <w:p w:rsidR="00CD6635" w:rsidRDefault="00CD6635"/>
  <w:p w:rsidR="00CD6635" w:rsidRDefault="00CD663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6635" w:rsidRPr="00290C63" w:rsidRDefault="00CD6635" w:rsidP="00290C63">
      <w:r>
        <w:separator/>
      </w:r>
    </w:p>
    <w:p w:rsidR="00CD6635" w:rsidRDefault="00CD6635"/>
  </w:footnote>
  <w:footnote w:type="continuationSeparator" w:id="0">
    <w:p w:rsidR="00CD6635" w:rsidRPr="00290C63" w:rsidRDefault="00CD6635" w:rsidP="00290C63">
      <w:r>
        <w:continuationSeparator/>
      </w:r>
    </w:p>
    <w:p w:rsidR="00CD6635" w:rsidRDefault="00CD6635"/>
  </w:footnote>
  <w:footnote w:id="1">
    <w:p w:rsidR="00CD6635" w:rsidRDefault="00CD6635" w:rsidP="00C2279E">
      <w:pPr>
        <w:pStyle w:val="FootnoteText"/>
      </w:pPr>
      <w:r>
        <w:rPr>
          <w:rStyle w:val="FootnoteReference"/>
        </w:rPr>
        <w:footnoteRef/>
      </w:r>
      <w:r>
        <w:t xml:space="preserve"> </w:t>
      </w:r>
      <w:r>
        <w:tab/>
      </w:r>
      <w:proofErr w:type="gramStart"/>
      <w:r>
        <w:t>NGR, r. 76(c).</w:t>
      </w:r>
      <w:proofErr w:type="gramEnd"/>
    </w:p>
  </w:footnote>
  <w:footnote w:id="2">
    <w:p w:rsidR="00CD6635" w:rsidRDefault="00CD6635" w:rsidP="00C2279E">
      <w:pPr>
        <w:pStyle w:val="FootnoteText"/>
      </w:pPr>
      <w:r>
        <w:rPr>
          <w:rStyle w:val="FootnoteReference"/>
        </w:rPr>
        <w:footnoteRef/>
      </w:r>
      <w:r>
        <w:t xml:space="preserve"> </w:t>
      </w:r>
      <w:r>
        <w:tab/>
      </w:r>
      <w:r w:rsidRPr="005F3B44">
        <w:t xml:space="preserve">AGN - </w:t>
      </w:r>
      <w:r w:rsidRPr="00FB30F1">
        <w:rPr>
          <w:rStyle w:val="AERtextitalic"/>
        </w:rPr>
        <w:t>Final Plan - Access Arrangement Information for our Victorian and Albury natural gas distribution networks 2018-2022</w:t>
      </w:r>
      <w:r w:rsidRPr="005F3B44">
        <w:t xml:space="preserve"> - 20161222</w:t>
      </w:r>
      <w:r w:rsidRPr="00F406F0">
        <w:t>, p</w:t>
      </w:r>
      <w:r>
        <w:t>p</w:t>
      </w:r>
      <w:r w:rsidRPr="00F406F0">
        <w:t xml:space="preserve">. </w:t>
      </w:r>
      <w:r>
        <w:t>143–148.</w:t>
      </w:r>
    </w:p>
  </w:footnote>
  <w:footnote w:id="3">
    <w:p w:rsidR="00CD6635" w:rsidRDefault="00CD6635" w:rsidP="00C2279E">
      <w:pPr>
        <w:pStyle w:val="FootnoteText"/>
      </w:pPr>
      <w:r>
        <w:rPr>
          <w:rStyle w:val="FootnoteReference"/>
        </w:rPr>
        <w:footnoteRef/>
      </w:r>
      <w:r>
        <w:t xml:space="preserve"> </w:t>
      </w:r>
      <w:r>
        <w:tab/>
      </w:r>
      <w:r w:rsidRPr="00167CF1">
        <w:t xml:space="preserve">The forecast capex amount is a key input for calculating the return of and return on capital building blocks. Attachment 6 sets out our draft decision on </w:t>
      </w:r>
      <w:r>
        <w:t>AGN</w:t>
      </w:r>
      <w:r w:rsidRPr="00167CF1">
        <w:t>'s forecast capex.</w:t>
      </w:r>
    </w:p>
  </w:footnote>
  <w:footnote w:id="4">
    <w:p w:rsidR="00CD6635" w:rsidRDefault="00CD6635" w:rsidP="00C2279E">
      <w:pPr>
        <w:pStyle w:val="FootnoteText"/>
      </w:pPr>
      <w:r>
        <w:rPr>
          <w:rStyle w:val="FootnoteReference"/>
        </w:rPr>
        <w:footnoteRef/>
      </w:r>
      <w:r>
        <w:t xml:space="preserve"> </w:t>
      </w:r>
      <w:r>
        <w:tab/>
        <w:t>The changes affecting revenues are discussed in the overview.</w:t>
      </w:r>
    </w:p>
  </w:footnote>
  <w:footnote w:id="5">
    <w:p w:rsidR="00CD6635" w:rsidRDefault="00CD6635" w:rsidP="00C2279E">
      <w:pPr>
        <w:pStyle w:val="FootnoteText"/>
      </w:pPr>
      <w:r>
        <w:rPr>
          <w:rStyle w:val="FootnoteReference"/>
        </w:rPr>
        <w:footnoteRef/>
      </w:r>
      <w:r>
        <w:t xml:space="preserve"> </w:t>
      </w:r>
      <w:r>
        <w:tab/>
      </w:r>
      <w:proofErr w:type="gramStart"/>
      <w:r>
        <w:t>NGL, s</w:t>
      </w:r>
      <w:r w:rsidRPr="007A4984">
        <w:rPr>
          <w:rFonts w:eastAsia="Calibri"/>
        </w:rPr>
        <w:t xml:space="preserve"> 28</w:t>
      </w:r>
      <w:r>
        <w:rPr>
          <w:rFonts w:eastAsia="Calibri"/>
        </w:rPr>
        <w:t>; NGR r. 100(1)</w:t>
      </w:r>
      <w:r w:rsidRPr="007A4984">
        <w:rPr>
          <w:rFonts w:eastAsia="Calibri"/>
        </w:rPr>
        <w:t>.</w:t>
      </w:r>
      <w:proofErr w:type="gramEnd"/>
      <w:r w:rsidRPr="007A4984">
        <w:rPr>
          <w:rFonts w:eastAsia="Calibri"/>
        </w:rPr>
        <w:t xml:space="preserve"> The </w:t>
      </w:r>
      <w:r>
        <w:rPr>
          <w:rFonts w:eastAsia="Calibri"/>
        </w:rPr>
        <w:t xml:space="preserve">NGO is set out in NGL, s. 23. The </w:t>
      </w:r>
      <w:r w:rsidRPr="007A4984">
        <w:rPr>
          <w:rFonts w:eastAsia="Calibri"/>
        </w:rPr>
        <w:t>revenue and pricing principles are set out in NGL, s. 24.</w:t>
      </w:r>
      <w:r>
        <w:rPr>
          <w:rFonts w:eastAsia="Calibri"/>
        </w:rPr>
        <w:t xml:space="preserve"> </w:t>
      </w:r>
    </w:p>
  </w:footnote>
  <w:footnote w:id="6">
    <w:p w:rsidR="00CD6635" w:rsidRDefault="00CD6635" w:rsidP="00DC236B">
      <w:pPr>
        <w:pStyle w:val="FootnoteText"/>
      </w:pPr>
      <w:r>
        <w:rPr>
          <w:rStyle w:val="FootnoteReference"/>
        </w:rPr>
        <w:footnoteRef/>
      </w:r>
      <w:r>
        <w:t xml:space="preserve"> </w:t>
      </w:r>
      <w:r>
        <w:tab/>
      </w:r>
      <w:proofErr w:type="gramStart"/>
      <w:r w:rsidRPr="00CD6635">
        <w:t xml:space="preserve">AGN - </w:t>
      </w:r>
      <w:r w:rsidRPr="00FB30F1">
        <w:rPr>
          <w:rStyle w:val="AERtextitalic"/>
        </w:rPr>
        <w:t>Attachment 1.9 - Victoria and Albury Post Tax Revenue Model</w:t>
      </w:r>
      <w:r w:rsidRPr="00CD6635">
        <w:t xml:space="preserve"> - December 2016 - Public</w:t>
      </w:r>
      <w:r>
        <w:rPr>
          <w:rStyle w:val="AERtextitalic"/>
        </w:rPr>
        <w:t>.</w:t>
      </w:r>
      <w:proofErr w:type="gramEnd"/>
    </w:p>
  </w:footnote>
  <w:footnote w:id="7">
    <w:p w:rsidR="00CD6635" w:rsidRPr="00956453" w:rsidRDefault="00CD6635" w:rsidP="00C2279E">
      <w:pPr>
        <w:pStyle w:val="FootnoteText"/>
        <w:rPr>
          <w:rStyle w:val="AERtextsize8"/>
        </w:rPr>
      </w:pPr>
      <w:r>
        <w:rPr>
          <w:rStyle w:val="FootnoteReference"/>
        </w:rPr>
        <w:footnoteRef/>
      </w:r>
      <w:r>
        <w:t xml:space="preserve"> </w:t>
      </w:r>
      <w:r>
        <w:tab/>
      </w:r>
      <w:r w:rsidRPr="00CD6635">
        <w:t xml:space="preserve">AGN - </w:t>
      </w:r>
      <w:r w:rsidRPr="00CD6635">
        <w:rPr>
          <w:rStyle w:val="AERtextitalic"/>
        </w:rPr>
        <w:t>Final Plan - Access Arrangement Information for our Victorian and Albury natural gas distribution networks 2018-2022</w:t>
      </w:r>
      <w:r w:rsidRPr="00CD6635">
        <w:t xml:space="preserve"> - 20161222</w:t>
      </w:r>
      <w:r>
        <w:t>,</w:t>
      </w:r>
      <w:r w:rsidRPr="00967BCE">
        <w:rPr>
          <w:rStyle w:val="AERtextitalic"/>
        </w:rPr>
        <w:t xml:space="preserve"> </w:t>
      </w:r>
      <w:r w:rsidRPr="00956453">
        <w:rPr>
          <w:rStyle w:val="AERtextsize8"/>
        </w:rPr>
        <w:t>p</w:t>
      </w:r>
      <w:r>
        <w:rPr>
          <w:rStyle w:val="AERtextsize8"/>
        </w:rPr>
        <w:t>.</w:t>
      </w:r>
      <w:r w:rsidRPr="00967BCE">
        <w:rPr>
          <w:rStyle w:val="AERtextitalic"/>
        </w:rPr>
        <w:t xml:space="preserve"> </w:t>
      </w:r>
      <w:r>
        <w:rPr>
          <w:rStyle w:val="AERtextsize8"/>
        </w:rPr>
        <w:t>123.</w:t>
      </w:r>
    </w:p>
  </w:footnote>
  <w:footnote w:id="8">
    <w:p w:rsidR="00CD6635" w:rsidRDefault="00CD6635" w:rsidP="00C2279E">
      <w:pPr>
        <w:pStyle w:val="FootnoteText"/>
      </w:pPr>
      <w:r>
        <w:rPr>
          <w:rStyle w:val="FootnoteReference"/>
        </w:rPr>
        <w:footnoteRef/>
      </w:r>
      <w:r>
        <w:t xml:space="preserve"> </w:t>
      </w:r>
      <w:r>
        <w:tab/>
      </w:r>
      <w:proofErr w:type="gramStart"/>
      <w:r>
        <w:t>NGR, r. 76(c).</w:t>
      </w:r>
      <w:proofErr w:type="gramEnd"/>
    </w:p>
  </w:footnote>
  <w:footnote w:id="9">
    <w:p w:rsidR="00CD6635" w:rsidRDefault="00CD6635" w:rsidP="00C2279E">
      <w:pPr>
        <w:pStyle w:val="FootnoteText"/>
      </w:pPr>
      <w:r>
        <w:rPr>
          <w:rStyle w:val="FootnoteReference"/>
        </w:rPr>
        <w:footnoteRef/>
      </w:r>
      <w:r>
        <w:t xml:space="preserve"> </w:t>
      </w:r>
      <w:r>
        <w:tab/>
      </w:r>
      <w:proofErr w:type="gramStart"/>
      <w:r>
        <w:t>NGL, s.</w:t>
      </w:r>
      <w:r w:rsidRPr="002E5E36">
        <w:rPr>
          <w:rFonts w:eastAsia="Calibri"/>
        </w:rPr>
        <w:t xml:space="preserve"> 28; NGR</w:t>
      </w:r>
      <w:r>
        <w:rPr>
          <w:rFonts w:eastAsia="Calibri"/>
        </w:rPr>
        <w:t>,</w:t>
      </w:r>
      <w:r w:rsidRPr="002E5E36">
        <w:rPr>
          <w:rFonts w:eastAsia="Calibri"/>
        </w:rPr>
        <w:t xml:space="preserve"> r. 100(1).</w:t>
      </w:r>
      <w:proofErr w:type="gramEnd"/>
      <w:r w:rsidRPr="002E5E36">
        <w:rPr>
          <w:rFonts w:eastAsia="Calibri"/>
        </w:rPr>
        <w:t xml:space="preserve"> The NGO is set out in NGL, s. 23. The revenue and pricing principles are set out in NGL, s. 24.</w:t>
      </w:r>
    </w:p>
  </w:footnote>
  <w:footnote w:id="10">
    <w:p w:rsidR="00CD6635" w:rsidRDefault="00CD6635" w:rsidP="00C70CD3">
      <w:pPr>
        <w:pStyle w:val="FootnoteText"/>
      </w:pPr>
      <w:r>
        <w:rPr>
          <w:rStyle w:val="FootnoteReference"/>
        </w:rPr>
        <w:footnoteRef/>
      </w:r>
      <w:r>
        <w:t xml:space="preserve"> </w:t>
      </w:r>
      <w:r>
        <w:tab/>
        <w:t>NGR, r. 74(2).</w:t>
      </w:r>
    </w:p>
  </w:footnote>
  <w:footnote w:id="11">
    <w:p w:rsidR="00CD6635" w:rsidRPr="00D84948" w:rsidRDefault="00CD6635" w:rsidP="00C2279E">
      <w:pPr>
        <w:pStyle w:val="FootnoteText"/>
        <w:rPr>
          <w:szCs w:val="16"/>
        </w:rPr>
      </w:pPr>
      <w:r>
        <w:rPr>
          <w:rStyle w:val="FootnoteReference"/>
        </w:rPr>
        <w:footnoteRef/>
      </w:r>
      <w:r>
        <w:t xml:space="preserve"> </w:t>
      </w:r>
      <w:r>
        <w:tab/>
        <w:t xml:space="preserve">Australian Taxation Office, </w:t>
      </w:r>
      <w:r w:rsidRPr="00896D81">
        <w:rPr>
          <w:rStyle w:val="AERtextitalic"/>
        </w:rPr>
        <w:t xml:space="preserve">Taxation Ruling Income tax: effective life of depreciating assets (applicable from 1 July </w:t>
      </w:r>
      <w:r>
        <w:rPr>
          <w:rStyle w:val="AERtextitalic"/>
        </w:rPr>
        <w:t>2016</w:t>
      </w:r>
      <w:r w:rsidRPr="00896D81">
        <w:rPr>
          <w:rStyle w:val="AERtextitalic"/>
        </w:rPr>
        <w:t>)</w:t>
      </w:r>
      <w:r>
        <w:t xml:space="preserve">: </w:t>
      </w:r>
      <w:hyperlink r:id="rId1" w:history="1">
        <w:r w:rsidRPr="00A97CA0">
          <w:rPr>
            <w:rStyle w:val="Hyperlink"/>
            <w:sz w:val="16"/>
          </w:rPr>
          <w:t>https://www.ato.gov.au/law/view/view.htm?docid=%22TXR%2FTR20161%2FNAT%2FATO%2F00001%22</w:t>
        </w:r>
      </w:hyperlink>
      <w:r>
        <w:t xml:space="preserve"> accessed 9 March 2017.</w:t>
      </w:r>
    </w:p>
  </w:footnote>
  <w:footnote w:id="12">
    <w:p w:rsidR="00CD6635" w:rsidRDefault="00CD6635" w:rsidP="00C2279E">
      <w:pPr>
        <w:pStyle w:val="FootnoteText"/>
      </w:pPr>
      <w:r>
        <w:rPr>
          <w:rStyle w:val="FootnoteReference"/>
        </w:rPr>
        <w:footnoteRef/>
      </w:r>
      <w:r>
        <w:t xml:space="preserve"> </w:t>
      </w:r>
      <w:r>
        <w:tab/>
      </w:r>
      <w:r w:rsidRPr="005F273A">
        <w:t xml:space="preserve">AER, </w:t>
      </w:r>
      <w:r w:rsidRPr="0009337F">
        <w:rPr>
          <w:rStyle w:val="AERtextitalic"/>
        </w:rPr>
        <w:t>Draft decision, Ausgrid distribution determination 2015–16 to 2018–19, Attachment 8: Corporate income tax</w:t>
      </w:r>
      <w:r w:rsidRPr="005F273A">
        <w:t>,</w:t>
      </w:r>
      <w:r>
        <w:t xml:space="preserve"> </w:t>
      </w:r>
      <w:r w:rsidRPr="005F273A">
        <w:t>November 2014, pp. 17</w:t>
      </w:r>
      <w:r>
        <w:t>–</w:t>
      </w:r>
      <w:r w:rsidRPr="005F273A">
        <w:t>19.</w:t>
      </w:r>
      <w:r>
        <w:t xml:space="preserve"> </w:t>
      </w:r>
      <w:r w:rsidRPr="00105AE3">
        <w:t xml:space="preserve"> </w:t>
      </w:r>
      <w:r w:rsidRPr="005F273A">
        <w:t xml:space="preserve">AER, </w:t>
      </w:r>
      <w:r>
        <w:rPr>
          <w:rStyle w:val="AERtextitalic"/>
        </w:rPr>
        <w:t>Preliminary</w:t>
      </w:r>
      <w:r w:rsidRPr="0009337F">
        <w:rPr>
          <w:rStyle w:val="AERtextitalic"/>
        </w:rPr>
        <w:t xml:space="preserve"> decision, </w:t>
      </w:r>
      <w:r>
        <w:rPr>
          <w:rStyle w:val="AERtextitalic"/>
        </w:rPr>
        <w:t>CitiPower</w:t>
      </w:r>
      <w:r w:rsidRPr="0009337F">
        <w:rPr>
          <w:rStyle w:val="AERtextitalic"/>
        </w:rPr>
        <w:t xml:space="preserve"> d</w:t>
      </w:r>
      <w:r>
        <w:rPr>
          <w:rStyle w:val="AERtextitalic"/>
        </w:rPr>
        <w:t>istribution determination 2016 to 2020</w:t>
      </w:r>
      <w:r w:rsidRPr="0009337F">
        <w:rPr>
          <w:rStyle w:val="AERtextitalic"/>
        </w:rPr>
        <w:t>, Attachment 8: Corporate income tax</w:t>
      </w:r>
      <w:r w:rsidRPr="005F273A">
        <w:t>,</w:t>
      </w:r>
      <w:r>
        <w:t xml:space="preserve"> Octo</w:t>
      </w:r>
      <w:r w:rsidRPr="005F273A">
        <w:t>ber 201</w:t>
      </w:r>
      <w:r>
        <w:t>5</w:t>
      </w:r>
      <w:r w:rsidRPr="005F273A">
        <w:t>, pp. 1</w:t>
      </w:r>
      <w:r>
        <w:t>3</w:t>
      </w:r>
      <w:r w:rsidRPr="005F273A">
        <w:t>–1</w:t>
      </w:r>
      <w:r>
        <w:t>4.</w:t>
      </w:r>
    </w:p>
  </w:footnote>
  <w:footnote w:id="13">
    <w:p w:rsidR="00CD6635" w:rsidRDefault="00CD6635" w:rsidP="00C2279E">
      <w:pPr>
        <w:pStyle w:val="FootnoteText"/>
      </w:pPr>
      <w:r>
        <w:rPr>
          <w:rStyle w:val="FootnoteReference"/>
        </w:rPr>
        <w:footnoteRef/>
      </w:r>
      <w:r>
        <w:t xml:space="preserve"> </w:t>
      </w:r>
      <w:r>
        <w:tab/>
      </w:r>
      <w:r w:rsidRPr="00332431">
        <w:t xml:space="preserve">In fact, there is an iterative relationship between tax and revenues. That is, revenues lead to tax, being applied, which increases revenues and leads to slightly more tax and so on. The </w:t>
      </w:r>
      <w:r>
        <w:t xml:space="preserve">revenue model should </w:t>
      </w:r>
      <w:r w:rsidRPr="00332431">
        <w:t xml:space="preserve">therefore </w:t>
      </w:r>
      <w:r>
        <w:t xml:space="preserve">be </w:t>
      </w:r>
      <w:r w:rsidRPr="00332431">
        <w:t>set up to run an iterative process until the revenue and tax allowances become stable.</w:t>
      </w:r>
    </w:p>
  </w:footnote>
  <w:footnote w:id="14">
    <w:p w:rsidR="00CD6635" w:rsidRDefault="00CD6635" w:rsidP="00C2279E">
      <w:pPr>
        <w:pStyle w:val="FootnoteText"/>
      </w:pPr>
      <w:r>
        <w:rPr>
          <w:rStyle w:val="FootnoteReference"/>
        </w:rPr>
        <w:footnoteRef/>
      </w:r>
      <w:r>
        <w:t xml:space="preserve"> </w:t>
      </w:r>
      <w:r>
        <w:tab/>
      </w:r>
      <w:r w:rsidRPr="008A212B">
        <w:t>For example, although increased opex adds to revenue requirement, these expenses are also offset against the revenues as deductions in determining tax, so there is no net impact in this case. A higher return on equity, in contrast, gives rise to no offsetting tax expenses and therefore increases the tax allowance in proportion to the company tax rate.</w:t>
      </w:r>
    </w:p>
  </w:footnote>
  <w:footnote w:id="15">
    <w:p w:rsidR="00CD6635" w:rsidRDefault="00CD6635" w:rsidP="00AF4E22">
      <w:pPr>
        <w:pStyle w:val="FootnoteText"/>
      </w:pPr>
      <w:r>
        <w:rPr>
          <w:rStyle w:val="FootnoteReference"/>
        </w:rPr>
        <w:footnoteRef/>
      </w:r>
      <w:r>
        <w:t xml:space="preserve"> </w:t>
      </w:r>
      <w:r>
        <w:tab/>
        <w:t>We have analysed the sensitivity of the corporate income tax allowance relative to total revenue, and compared the effects of the two gamma values based on input data from AGN's proposed PTRM.</w:t>
      </w:r>
    </w:p>
  </w:footnote>
  <w:footnote w:id="16">
    <w:p w:rsidR="00CD6635" w:rsidRDefault="00CD6635" w:rsidP="00C2279E">
      <w:pPr>
        <w:pStyle w:val="FootnoteText"/>
      </w:pPr>
      <w:r>
        <w:rPr>
          <w:rStyle w:val="FootnoteReference"/>
        </w:rPr>
        <w:footnoteRef/>
      </w:r>
      <w:r>
        <w:t xml:space="preserve"> </w:t>
      </w:r>
      <w:r>
        <w:tab/>
      </w:r>
      <w:r w:rsidRPr="00167CF1">
        <w:t xml:space="preserve">The forecast capex amount is a key input for calculating the return of and return on capital building blocks. Attachment 6 sets out our draft decision on </w:t>
      </w:r>
      <w:r>
        <w:t>AGN</w:t>
      </w:r>
      <w:r w:rsidRPr="00167CF1">
        <w:t>'s forecast capex.</w:t>
      </w:r>
    </w:p>
  </w:footnote>
  <w:footnote w:id="17">
    <w:p w:rsidR="00CD6635" w:rsidRDefault="00CD6635" w:rsidP="00C2279E">
      <w:pPr>
        <w:pStyle w:val="FootnoteText"/>
      </w:pPr>
      <w:r>
        <w:rPr>
          <w:rStyle w:val="FootnoteReference"/>
        </w:rPr>
        <w:footnoteRef/>
      </w:r>
      <w:r>
        <w:t xml:space="preserve"> </w:t>
      </w:r>
      <w:r>
        <w:tab/>
      </w:r>
      <w:proofErr w:type="gramStart"/>
      <w:r>
        <w:t>NGR, r. 87A.</w:t>
      </w:r>
      <w:proofErr w:type="gramEnd"/>
    </w:p>
  </w:footnote>
  <w:footnote w:id="18">
    <w:p w:rsidR="00CD6635" w:rsidRDefault="00CD6635" w:rsidP="00C2279E">
      <w:pPr>
        <w:pStyle w:val="FootnoteText"/>
      </w:pPr>
      <w:r>
        <w:rPr>
          <w:rStyle w:val="FootnoteReference"/>
        </w:rPr>
        <w:footnoteRef/>
      </w:r>
      <w:r>
        <w:t xml:space="preserve"> </w:t>
      </w:r>
      <w:r>
        <w:tab/>
      </w:r>
      <w:proofErr w:type="gramStart"/>
      <w:r>
        <w:t>NGL, s.</w:t>
      </w:r>
      <w:r w:rsidRPr="00CF5DD1">
        <w:t xml:space="preserve"> 28; NGR, r. 100(1).</w:t>
      </w:r>
      <w:proofErr w:type="gramEnd"/>
      <w:r w:rsidRPr="00CF5DD1">
        <w:t xml:space="preserve"> The NGO is set out in NGL, s. 23. The revenue and pricing principles are set out in NGL, s. 24.</w:t>
      </w:r>
    </w:p>
  </w:footnote>
  <w:footnote w:id="19">
    <w:p w:rsidR="00CD6635" w:rsidRDefault="00CD6635">
      <w:pPr>
        <w:pStyle w:val="FootnoteText"/>
      </w:pPr>
      <w:r>
        <w:rPr>
          <w:rStyle w:val="FootnoteReference"/>
        </w:rPr>
        <w:footnoteRef/>
      </w:r>
      <w:r>
        <w:t xml:space="preserve"> </w:t>
      </w:r>
      <w:r>
        <w:tab/>
        <w:t xml:space="preserve">The AER approved AGN's application to consolidate separate access arrangements for Victoria and Albury into a single AA proposal subject to certain conditions listed in the proposal. To comply with these conditions AGN has provided two RFMs; one each for Victoria and Albury. </w:t>
      </w:r>
      <w:r w:rsidR="00AA6055" w:rsidRPr="00AA6055">
        <w:t xml:space="preserve">AGN - </w:t>
      </w:r>
      <w:r w:rsidR="00AA6055" w:rsidRPr="00FB30F1">
        <w:rPr>
          <w:rStyle w:val="AERtextitalic"/>
        </w:rPr>
        <w:t>Final Plan - Access Arrangement Information for our Victorian and Albury natural gas distribution networks 2018-2022</w:t>
      </w:r>
      <w:r w:rsidR="00AA6055" w:rsidRPr="00AA6055">
        <w:t xml:space="preserve"> - 20161222 - Public</w:t>
      </w:r>
      <w:r w:rsidRPr="00184297">
        <w:t xml:space="preserve">, p. </w:t>
      </w:r>
      <w:r>
        <w:t>4.</w:t>
      </w:r>
    </w:p>
  </w:footnote>
  <w:footnote w:id="20">
    <w:p w:rsidR="00CD6635" w:rsidRDefault="00CD6635">
      <w:pPr>
        <w:pStyle w:val="FootnoteText"/>
      </w:pPr>
      <w:r>
        <w:rPr>
          <w:rStyle w:val="FootnoteReference"/>
        </w:rPr>
        <w:footnoteRef/>
      </w:r>
      <w:r>
        <w:t xml:space="preserve"> </w:t>
      </w:r>
      <w:r>
        <w:tab/>
        <w:t xml:space="preserve">AGN, </w:t>
      </w:r>
      <w:r w:rsidRPr="00813E05">
        <w:rPr>
          <w:rStyle w:val="AERtextitalic"/>
        </w:rPr>
        <w:t xml:space="preserve">Response to IR009 (Part </w:t>
      </w:r>
      <w:r>
        <w:rPr>
          <w:rStyle w:val="AERtextitalic"/>
        </w:rPr>
        <w:t>B</w:t>
      </w:r>
      <w:r w:rsidRPr="00813E05">
        <w:rPr>
          <w:rStyle w:val="AERtextitalic"/>
        </w:rPr>
        <w:t>)</w:t>
      </w:r>
      <w:r>
        <w:t>, 7 March 2017.</w:t>
      </w:r>
    </w:p>
  </w:footnote>
  <w:footnote w:id="21">
    <w:p w:rsidR="00CD6635" w:rsidRDefault="00CD6635">
      <w:pPr>
        <w:pStyle w:val="FootnoteText"/>
      </w:pPr>
      <w:r>
        <w:rPr>
          <w:rStyle w:val="FootnoteReference"/>
        </w:rPr>
        <w:footnoteRef/>
      </w:r>
      <w:r>
        <w:t xml:space="preserve"> </w:t>
      </w:r>
      <w:r>
        <w:tab/>
      </w:r>
      <w:r w:rsidRPr="008A3A1B">
        <w:t>AER</w:t>
      </w:r>
      <w:r>
        <w:t xml:space="preserve">, </w:t>
      </w:r>
      <w:r w:rsidRPr="009330F0">
        <w:rPr>
          <w:rStyle w:val="AERtextitalic"/>
        </w:rPr>
        <w:t>Final Decision - JGN distribution access arrangement 2015-20</w:t>
      </w:r>
      <w:r>
        <w:t>, June 2015,</w:t>
      </w:r>
      <w:r w:rsidRPr="008A3A1B">
        <w:t xml:space="preserve"> Revenue forecast model - RFM PTRM - PUBLIC</w:t>
      </w:r>
      <w:r>
        <w:t>.</w:t>
      </w:r>
    </w:p>
  </w:footnote>
  <w:footnote w:id="22">
    <w:p w:rsidR="00CD6635" w:rsidRPr="009E1948" w:rsidRDefault="00CD6635" w:rsidP="00C2279E">
      <w:pPr>
        <w:pStyle w:val="FootnoteText"/>
        <w:rPr>
          <w:rStyle w:val="FootnoteReference"/>
        </w:rPr>
      </w:pPr>
      <w:r w:rsidRPr="00930AFA">
        <w:rPr>
          <w:rStyle w:val="FootnoteReference"/>
        </w:rPr>
        <w:footnoteRef/>
      </w:r>
      <w:r w:rsidRPr="00930AFA">
        <w:rPr>
          <w:rStyle w:val="FootnoteReference"/>
        </w:rPr>
        <w:t xml:space="preserve"> </w:t>
      </w:r>
      <w:r w:rsidRPr="009E1948">
        <w:rPr>
          <w:rStyle w:val="FootnoteReference"/>
        </w:rPr>
        <w:tab/>
      </w:r>
      <w:proofErr w:type="gramStart"/>
      <w:r>
        <w:t>NGR, r. 79.</w:t>
      </w:r>
      <w:proofErr w:type="gramEnd"/>
      <w:r>
        <w:t xml:space="preserve"> </w:t>
      </w:r>
      <w:r w:rsidRPr="00930AFA">
        <w:t xml:space="preserve">We note that the capex determined in this draft decision for </w:t>
      </w:r>
      <w:r>
        <w:t>2016</w:t>
      </w:r>
      <w:r w:rsidRPr="00930AFA">
        <w:t xml:space="preserve"> and </w:t>
      </w:r>
      <w:r>
        <w:t>2017</w:t>
      </w:r>
      <w:r w:rsidRPr="00930AFA">
        <w:t xml:space="preserve"> are estimates. Therefore the ‘approved’ capex in this draft decision for </w:t>
      </w:r>
      <w:r>
        <w:t>2016</w:t>
      </w:r>
      <w:r w:rsidRPr="00930AFA">
        <w:t xml:space="preserve"> and </w:t>
      </w:r>
      <w:r>
        <w:t>2017</w:t>
      </w:r>
      <w:r w:rsidRPr="00930AFA">
        <w:t xml:space="preserve"> are placeholder amounts. We expect </w:t>
      </w:r>
      <w:r>
        <w:t>AGN</w:t>
      </w:r>
      <w:r w:rsidRPr="00930AFA">
        <w:t xml:space="preserve"> will provide actual capex for </w:t>
      </w:r>
      <w:r>
        <w:t>2016</w:t>
      </w:r>
      <w:r w:rsidRPr="00930AFA">
        <w:t xml:space="preserve"> and the </w:t>
      </w:r>
      <w:r>
        <w:t>2017</w:t>
      </w:r>
      <w:r w:rsidRPr="00930AFA">
        <w:t xml:space="preserve"> capex estimates may be revised based on more up to date information in its revised proposal. We will assess whether the actual capex for </w:t>
      </w:r>
      <w:r>
        <w:t>2016</w:t>
      </w:r>
      <w:r w:rsidRPr="00930AFA">
        <w:t xml:space="preserve"> are conforming capex in our final decision. We will undertake the assessment of whether the </w:t>
      </w:r>
      <w:r>
        <w:t>2017</w:t>
      </w:r>
      <w:r w:rsidRPr="00930AFA">
        <w:t xml:space="preserve"> amounts are conforming capex as part of the next access arrangement</w:t>
      </w:r>
      <w:r>
        <w:t xml:space="preserve"> review</w:t>
      </w:r>
      <w:r w:rsidRPr="00930AFA">
        <w:t>.</w:t>
      </w:r>
      <w:r w:rsidRPr="009E1948">
        <w:rPr>
          <w:rStyle w:val="FootnoteReference"/>
        </w:rPr>
        <w:t xml:space="preserve"> </w:t>
      </w:r>
    </w:p>
  </w:footnote>
  <w:footnote w:id="23">
    <w:p w:rsidR="00CD6635" w:rsidRDefault="00CD6635">
      <w:pPr>
        <w:pStyle w:val="FootnoteText"/>
      </w:pPr>
      <w:r>
        <w:rPr>
          <w:rStyle w:val="FootnoteReference"/>
        </w:rPr>
        <w:footnoteRef/>
      </w:r>
      <w:r>
        <w:t xml:space="preserve"> </w:t>
      </w:r>
      <w:r>
        <w:tab/>
        <w:t>We do not consider negative asset values to be incorrect, as they can occur at times for various reasons. However, when establishing the tax asset value for new asset categories we consider they should begin as positive or zero values.</w:t>
      </w:r>
    </w:p>
  </w:footnote>
  <w:footnote w:id="24">
    <w:p w:rsidR="00CD6635" w:rsidRDefault="00CD6635" w:rsidP="00C2279E">
      <w:pPr>
        <w:pStyle w:val="FootnoteText"/>
      </w:pPr>
      <w:r>
        <w:rPr>
          <w:rStyle w:val="FootnoteReference"/>
        </w:rPr>
        <w:footnoteRef/>
      </w:r>
      <w:r>
        <w:t xml:space="preserve"> </w:t>
      </w:r>
      <w:r>
        <w:tab/>
        <w:t xml:space="preserve">As discussed at attachment 5, our draft decision revenue modelling shows that no equity raising cost is required for the 2018–22 access arrangement </w:t>
      </w:r>
      <w:proofErr w:type="gramStart"/>
      <w:r>
        <w:t>period</w:t>
      </w:r>
      <w:proofErr w:type="gramEnd"/>
      <w:r>
        <w:t>. Therefore, we do not need to assign a standard tax asset life for the ‘Equity raising cost’ asset class.</w:t>
      </w:r>
    </w:p>
  </w:footnote>
  <w:footnote w:id="25">
    <w:p w:rsidR="00CD6635" w:rsidRDefault="00CD6635" w:rsidP="00C2279E">
      <w:pPr>
        <w:pStyle w:val="FootnoteText"/>
      </w:pPr>
      <w:r>
        <w:rPr>
          <w:rStyle w:val="FootnoteReference"/>
        </w:rPr>
        <w:footnoteRef/>
      </w:r>
      <w:r>
        <w:t xml:space="preserve"> </w:t>
      </w:r>
      <w:r>
        <w:tab/>
      </w:r>
      <w:r w:rsidR="00AA6055" w:rsidRPr="00AA6055">
        <w:t xml:space="preserve">AGN </w:t>
      </w:r>
      <w:r w:rsidR="00AA6055" w:rsidRPr="00FB30F1">
        <w:rPr>
          <w:rStyle w:val="AERtextitalic"/>
        </w:rPr>
        <w:t>- Final Plan - Access Arrangement Information for our Victorian and Albury natural gas distribution networks 2018-2022</w:t>
      </w:r>
      <w:r w:rsidR="00AA6055" w:rsidRPr="00AA6055">
        <w:t xml:space="preserve"> - 20161222 - Public</w:t>
      </w:r>
      <w:r w:rsidRPr="00184297">
        <w:t xml:space="preserve">, p. </w:t>
      </w:r>
      <w:r>
        <w:t>123.</w:t>
      </w:r>
    </w:p>
  </w:footnote>
  <w:footnote w:id="26">
    <w:p w:rsidR="00CD6635" w:rsidRDefault="00CD6635" w:rsidP="00C2279E">
      <w:pPr>
        <w:pStyle w:val="FootnoteText"/>
      </w:pPr>
      <w:r>
        <w:rPr>
          <w:rStyle w:val="FootnoteReference"/>
        </w:rPr>
        <w:footnoteRef/>
      </w:r>
      <w:r>
        <w:t xml:space="preserve"> </w:t>
      </w:r>
      <w:r>
        <w:tab/>
        <w:t xml:space="preserve">Australian Taxation Office, </w:t>
      </w:r>
      <w:r w:rsidRPr="00896D81">
        <w:rPr>
          <w:rStyle w:val="AERtextitalic"/>
        </w:rPr>
        <w:t>Taxation Ruling Income tax: effective life of depreciating assets (applicable from 1 July 201</w:t>
      </w:r>
      <w:r>
        <w:rPr>
          <w:rStyle w:val="AERtextitalic"/>
        </w:rPr>
        <w:t>6</w:t>
      </w:r>
      <w:r w:rsidRPr="00896D81">
        <w:rPr>
          <w:rStyle w:val="AERtextitalic"/>
        </w:rPr>
        <w:t>)</w:t>
      </w:r>
      <w:r>
        <w:t xml:space="preserve">: </w:t>
      </w:r>
      <w:hyperlink r:id="rId2" w:history="1">
        <w:r w:rsidRPr="00D279D2">
          <w:rPr>
            <w:rStyle w:val="Hyperlink"/>
            <w:sz w:val="16"/>
          </w:rPr>
          <w:t>https://www.ato.gov.au/law/view/view.htm?docid=%22TXR%2FTR20161%2FNAT%2FATO%2F00001%22</w:t>
        </w:r>
      </w:hyperlink>
      <w:r w:rsidRPr="00D279D2">
        <w:t xml:space="preserve"> </w:t>
      </w:r>
      <w:r>
        <w:t xml:space="preserve"> </w:t>
      </w:r>
      <w:r w:rsidRPr="00D279D2">
        <w:t>accessed 9 March 2017.</w:t>
      </w:r>
    </w:p>
  </w:footnote>
  <w:footnote w:id="27">
    <w:p w:rsidR="00CD6635" w:rsidRDefault="00CD6635">
      <w:pPr>
        <w:pStyle w:val="FootnoteText"/>
      </w:pPr>
      <w:r>
        <w:rPr>
          <w:rStyle w:val="FootnoteReference"/>
        </w:rPr>
        <w:footnoteRef/>
      </w:r>
      <w:r>
        <w:t xml:space="preserve"> </w:t>
      </w:r>
      <w:r>
        <w:tab/>
        <w:t xml:space="preserve">AGN, </w:t>
      </w:r>
      <w:r w:rsidRPr="00813E05">
        <w:rPr>
          <w:rStyle w:val="AERtextitalic"/>
        </w:rPr>
        <w:t xml:space="preserve">Response to IR009 (Part </w:t>
      </w:r>
      <w:r>
        <w:rPr>
          <w:rStyle w:val="AERtextitalic"/>
        </w:rPr>
        <w:t>B</w:t>
      </w:r>
      <w:r w:rsidRPr="00813E05">
        <w:rPr>
          <w:rStyle w:val="AERtextitalic"/>
        </w:rPr>
        <w:t>)</w:t>
      </w:r>
      <w:r>
        <w:t>, 7 March 2017.</w:t>
      </w:r>
    </w:p>
  </w:footnote>
  <w:footnote w:id="28">
    <w:p w:rsidR="00CD6635" w:rsidRDefault="00CD6635">
      <w:pPr>
        <w:pStyle w:val="FootnoteText"/>
      </w:pPr>
      <w:r>
        <w:rPr>
          <w:rStyle w:val="FootnoteReference"/>
        </w:rPr>
        <w:footnoteRef/>
      </w:r>
      <w:r>
        <w:t xml:space="preserve"> </w:t>
      </w:r>
      <w:r>
        <w:tab/>
      </w:r>
      <w:r w:rsidRPr="000F117F">
        <w:t xml:space="preserve">ATO, </w:t>
      </w:r>
      <w:r w:rsidRPr="00FE4198">
        <w:rPr>
          <w:rStyle w:val="AERtextitalic"/>
        </w:rPr>
        <w:t>Guide to depreciating assets 2001-02: Business related costs—section 40-880 deductions</w:t>
      </w:r>
      <w:r w:rsidRPr="000F117F">
        <w:t xml:space="preserve">, ATO reference; NONAT7170, p. 25. </w:t>
      </w:r>
      <w:r>
        <w:t xml:space="preserve"> </w:t>
      </w:r>
    </w:p>
  </w:footnote>
  <w:footnote w:id="29">
    <w:p w:rsidR="00CD6635" w:rsidRDefault="00CD6635" w:rsidP="00C2279E">
      <w:pPr>
        <w:pStyle w:val="FootnoteText"/>
      </w:pPr>
      <w:r>
        <w:rPr>
          <w:rStyle w:val="FootnoteReference"/>
        </w:rPr>
        <w:footnoteRef/>
      </w:r>
      <w:r>
        <w:t xml:space="preserve"> </w:t>
      </w:r>
      <w:r>
        <w:tab/>
        <w:t xml:space="preserve">AER, </w:t>
      </w:r>
      <w:r w:rsidRPr="00683656">
        <w:rPr>
          <w:rStyle w:val="AERtextitalic"/>
        </w:rPr>
        <w:t xml:space="preserve">Access arrangement draft decision, </w:t>
      </w:r>
      <w:r>
        <w:rPr>
          <w:rStyle w:val="AERtextitalic"/>
        </w:rPr>
        <w:t>AGN</w:t>
      </w:r>
      <w:r w:rsidRPr="00683656">
        <w:rPr>
          <w:rStyle w:val="AERtextitalic"/>
        </w:rPr>
        <w:t xml:space="preserve"> Gas (DB No.1) Pty Ltd, </w:t>
      </w:r>
      <w:r>
        <w:rPr>
          <w:rStyle w:val="AERtextitalic"/>
        </w:rPr>
        <w:t>AGN</w:t>
      </w:r>
      <w:r w:rsidRPr="00683656">
        <w:rPr>
          <w:rStyle w:val="AERtextitalic"/>
        </w:rPr>
        <w:t xml:space="preserve"> Gas (DB No.2) Pty Ltd 2013–17 Part 2 Attachments, Attachment 8 Corporate income tax</w:t>
      </w:r>
      <w:r>
        <w:t>, September 2012, pp. 185–194.</w:t>
      </w:r>
    </w:p>
  </w:footnote>
  <w:footnote w:id="30">
    <w:p w:rsidR="00CD6635" w:rsidRDefault="00CD6635">
      <w:pPr>
        <w:pStyle w:val="FootnoteText"/>
      </w:pPr>
      <w:r>
        <w:rPr>
          <w:rStyle w:val="FootnoteReference"/>
        </w:rPr>
        <w:footnoteRef/>
      </w:r>
      <w:r>
        <w:t xml:space="preserve"> </w:t>
      </w:r>
      <w:r>
        <w:tab/>
      </w:r>
      <w:r w:rsidRPr="005F273A">
        <w:t xml:space="preserve">AER, </w:t>
      </w:r>
      <w:r w:rsidRPr="0009337F">
        <w:rPr>
          <w:rStyle w:val="AERtextitalic"/>
        </w:rPr>
        <w:t>Draft decision, Ausgrid distribution determination 2015–16 to 2018–19, Attachment 8: Corporate income tax</w:t>
      </w:r>
      <w:r w:rsidRPr="005F273A">
        <w:t>,</w:t>
      </w:r>
      <w:r>
        <w:t xml:space="preserve"> </w:t>
      </w:r>
      <w:r w:rsidRPr="005F273A">
        <w:t>November 2014, pp. 8–17 to 8–19.</w:t>
      </w:r>
      <w:r>
        <w:t xml:space="preserve"> </w:t>
      </w:r>
      <w:r w:rsidRPr="005F273A">
        <w:t xml:space="preserve">AER, </w:t>
      </w:r>
      <w:r>
        <w:rPr>
          <w:rStyle w:val="AERtextitalic"/>
        </w:rPr>
        <w:t>Preliminary</w:t>
      </w:r>
      <w:r w:rsidRPr="0009337F">
        <w:rPr>
          <w:rStyle w:val="AERtextitalic"/>
        </w:rPr>
        <w:t xml:space="preserve"> decision, </w:t>
      </w:r>
      <w:r>
        <w:rPr>
          <w:rStyle w:val="AERtextitalic"/>
        </w:rPr>
        <w:t>CitiPower</w:t>
      </w:r>
      <w:r w:rsidRPr="0009337F">
        <w:rPr>
          <w:rStyle w:val="AERtextitalic"/>
        </w:rPr>
        <w:t xml:space="preserve"> d</w:t>
      </w:r>
      <w:r>
        <w:rPr>
          <w:rStyle w:val="AERtextitalic"/>
        </w:rPr>
        <w:t>istribution determination 2016 to 2020</w:t>
      </w:r>
      <w:r w:rsidRPr="0009337F">
        <w:rPr>
          <w:rStyle w:val="AERtextitalic"/>
        </w:rPr>
        <w:t>, Attachment 8: Corporate income tax</w:t>
      </w:r>
      <w:r w:rsidRPr="005F273A">
        <w:t>,</w:t>
      </w:r>
      <w:r>
        <w:t xml:space="preserve"> Octo</w:t>
      </w:r>
      <w:r w:rsidRPr="005F273A">
        <w:t>ber 201</w:t>
      </w:r>
      <w:r>
        <w:t>5</w:t>
      </w:r>
      <w:r w:rsidRPr="005F273A">
        <w:t>, pp. 8–1</w:t>
      </w:r>
      <w:r>
        <w:t>3</w:t>
      </w:r>
      <w:r w:rsidRPr="005F273A">
        <w:t xml:space="preserve"> to 8–1</w:t>
      </w:r>
      <w:r>
        <w:t>4.</w:t>
      </w:r>
    </w:p>
  </w:footnote>
  <w:footnote w:id="31">
    <w:p w:rsidR="00CD6635" w:rsidRDefault="00CD6635" w:rsidP="00EC2F10">
      <w:pPr>
        <w:pStyle w:val="FootnoteText"/>
      </w:pPr>
      <w:r>
        <w:rPr>
          <w:rStyle w:val="FootnoteReference"/>
        </w:rPr>
        <w:footnoteRef/>
      </w:r>
      <w:r>
        <w:t xml:space="preserve"> </w:t>
      </w:r>
      <w:r>
        <w:tab/>
        <w:t xml:space="preserve">Instead, as set out section 5.4.1 of attachment 5, the capital base depreciation amounts are calculated in a separate model and directly entered into the PTRM.  </w:t>
      </w:r>
    </w:p>
  </w:footnote>
  <w:footnote w:id="32">
    <w:p w:rsidR="00CD6635" w:rsidRDefault="00CD6635" w:rsidP="00EC2F10">
      <w:pPr>
        <w:pStyle w:val="FootnoteText"/>
      </w:pPr>
      <w:r>
        <w:rPr>
          <w:rStyle w:val="FootnoteReference"/>
        </w:rPr>
        <w:footnoteRef/>
      </w:r>
      <w:r>
        <w:t xml:space="preserve"> </w:t>
      </w:r>
      <w:r>
        <w:tab/>
      </w:r>
      <w:r w:rsidRPr="000C3017">
        <w:t>Having established the remaining tax asset lives as at 1 January 201</w:t>
      </w:r>
      <w:r>
        <w:t>8</w:t>
      </w:r>
      <w:r w:rsidRPr="000C3017">
        <w:t xml:space="preserve"> for this </w:t>
      </w:r>
      <w:r>
        <w:t>access arrangement review</w:t>
      </w:r>
      <w:r w:rsidRPr="000C3017">
        <w:t>, we consider that when rolling forward these remaining tax asset lives to 1 January 202</w:t>
      </w:r>
      <w:r>
        <w:t>3</w:t>
      </w:r>
      <w:r w:rsidRPr="000C3017">
        <w:t xml:space="preserve"> at the next re</w:t>
      </w:r>
      <w:r>
        <w:t>view</w:t>
      </w:r>
      <w:r w:rsidRPr="000C3017">
        <w:t xml:space="preserve"> our preferred weighted average method should be used.</w:t>
      </w:r>
      <w:r w:rsidRPr="00552E0E">
        <w:t xml:space="preserve"> </w:t>
      </w:r>
      <w:r>
        <w:t xml:space="preserve">This method is described in our draft decision access arrangement for Australian Gas Networks (South Australia) for the 2016–21 </w:t>
      </w:r>
      <w:proofErr w:type="gramStart"/>
      <w:r>
        <w:t>period</w:t>
      </w:r>
      <w:proofErr w:type="gramEnd"/>
      <w:r>
        <w:t xml:space="preserve">. AER, </w:t>
      </w:r>
      <w:r w:rsidRPr="0074319F">
        <w:rPr>
          <w:rStyle w:val="AERtextitalic"/>
        </w:rPr>
        <w:t>Draft Decision, Australian Gas Networks (South Australia) Access Arrangement 2016 to 2021, Attachment 8 – Corporate income tax</w:t>
      </w:r>
      <w:r>
        <w:t>, November 2015, pp. 8–9.</w:t>
      </w:r>
    </w:p>
  </w:footnote>
  <w:footnote w:id="33">
    <w:p w:rsidR="00CD6635" w:rsidRDefault="00CD6635" w:rsidP="00C076BA">
      <w:pPr>
        <w:pStyle w:val="FootnoteText"/>
      </w:pPr>
      <w:r>
        <w:rPr>
          <w:rStyle w:val="FootnoteReference"/>
        </w:rPr>
        <w:footnoteRef/>
      </w:r>
      <w:r>
        <w:t xml:space="preserve"> </w:t>
      </w:r>
      <w:r>
        <w:tab/>
      </w:r>
      <w:r w:rsidRPr="00A67E0A">
        <w:t xml:space="preserve">At the time of this draft decision, the roll forward of </w:t>
      </w:r>
      <w:r>
        <w:t xml:space="preserve">AGN's </w:t>
      </w:r>
      <w:r w:rsidRPr="00A67E0A">
        <w:t>TAB includes estimated capex values for 201</w:t>
      </w:r>
      <w:r>
        <w:t>6 and 201</w:t>
      </w:r>
      <w:r w:rsidRPr="00A67E0A">
        <w:t xml:space="preserve">7. We will update the 2016 estimated capex values with the actual values for the final decision, and may further update the estimate of 2017 capex. The capex values are used to calculate the weighted average remaining tax asset lives. Therefore, for the final decision we will recalculate </w:t>
      </w:r>
      <w:r>
        <w:t>AGN's</w:t>
      </w:r>
      <w:r w:rsidRPr="00A67E0A">
        <w:t xml:space="preserve"> remaining tax asset lives as at 1 </w:t>
      </w:r>
      <w:r>
        <w:t>January</w:t>
      </w:r>
      <w:r w:rsidRPr="00A67E0A">
        <w:t xml:space="preserve"> 201</w:t>
      </w:r>
      <w:r>
        <w:t>8</w:t>
      </w:r>
      <w:r w:rsidRPr="00A67E0A">
        <w:t xml:space="preserve"> using the method approved in this draft decision.</w:t>
      </w:r>
    </w:p>
  </w:footnote>
  <w:footnote w:id="34">
    <w:p w:rsidR="00CD6635" w:rsidRDefault="00CD6635">
      <w:pPr>
        <w:pStyle w:val="FootnoteText"/>
      </w:pPr>
      <w:r>
        <w:rPr>
          <w:rStyle w:val="FootnoteReference"/>
        </w:rPr>
        <w:footnoteRef/>
      </w:r>
      <w:r>
        <w:t xml:space="preserve"> </w:t>
      </w:r>
      <w:r>
        <w:tab/>
      </w:r>
      <w:r w:rsidR="00AA6055" w:rsidRPr="00AA6055">
        <w:t xml:space="preserve">AGN - </w:t>
      </w:r>
      <w:r w:rsidR="00AA6055" w:rsidRPr="00FB30F1">
        <w:rPr>
          <w:rStyle w:val="AERtextitalic"/>
        </w:rPr>
        <w:t>Final Plan - Access Arrangement Information for our Victorian and Albury natural gas distribution networks 2018-2022</w:t>
      </w:r>
      <w:r w:rsidR="00AA6055" w:rsidRPr="00AA6055">
        <w:t xml:space="preserve"> - 20161222 - Public</w:t>
      </w:r>
      <w:r w:rsidRPr="00184297">
        <w:t>, p</w:t>
      </w:r>
      <w:r>
        <w:t xml:space="preserve"> 105 and </w:t>
      </w:r>
      <w:r w:rsidR="00AA6055" w:rsidRPr="00AA6055">
        <w:t xml:space="preserve">AGN - </w:t>
      </w:r>
      <w:r w:rsidR="00AA6055" w:rsidRPr="00FB30F1">
        <w:rPr>
          <w:rStyle w:val="AERtextitalic"/>
        </w:rPr>
        <w:t>Attachment 1.9 - Supporting Information - 1 - Victoria Depreciation Model</w:t>
      </w:r>
      <w:r w:rsidR="00AA6055" w:rsidRPr="00AA6055">
        <w:t xml:space="preserve"> - December 2016 - Public</w:t>
      </w:r>
    </w:p>
  </w:footnote>
  <w:footnote w:id="35">
    <w:p w:rsidR="00CD6635" w:rsidRDefault="00CD6635">
      <w:pPr>
        <w:pStyle w:val="FootnoteText"/>
      </w:pPr>
      <w:r>
        <w:rPr>
          <w:rStyle w:val="FootnoteReference"/>
        </w:rPr>
        <w:footnoteRef/>
      </w:r>
      <w:r>
        <w:t xml:space="preserve"> </w:t>
      </w:r>
      <w:r>
        <w:tab/>
        <w:t xml:space="preserve">AGN, </w:t>
      </w:r>
      <w:r w:rsidRPr="0009700F">
        <w:rPr>
          <w:rStyle w:val="AERtextitalic"/>
        </w:rPr>
        <w:t>Response to IR009 (Part A)</w:t>
      </w:r>
      <w:r>
        <w:t>, 6 March 2017.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635" w:rsidRDefault="00CD663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31C7FA6"/>
    <w:multiLevelType w:val="hybridMultilevel"/>
    <w:tmpl w:val="1A7E9E04"/>
    <w:lvl w:ilvl="0" w:tplc="A356B254">
      <w:start w:val="1"/>
      <w:numFmt w:val="bullet"/>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0">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1">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3">
    <w:nsid w:val="19B737F8"/>
    <w:multiLevelType w:val="multilevel"/>
    <w:tmpl w:val="6FB04AB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4418" w:hanging="1440"/>
      </w:pPr>
      <w:rPr>
        <w:rFonts w:hint="default"/>
      </w:rPr>
    </w:lvl>
    <w:lvl w:ilvl="8">
      <w:start w:val="1"/>
      <w:numFmt w:val="decimal"/>
      <w:lvlText w:val="%1.%2.%3.%4.%5.%6.%7.%8.%9"/>
      <w:lvlJc w:val="left"/>
      <w:pPr>
        <w:ind w:left="1584" w:hanging="1584"/>
      </w:pPr>
      <w:rPr>
        <w:rFonts w:hint="default"/>
      </w:rPr>
    </w:lvl>
  </w:abstractNum>
  <w:abstractNum w:abstractNumId="14">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5">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7">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8">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34B82394"/>
    <w:multiLevelType w:val="hybridMultilevel"/>
    <w:tmpl w:val="546ADF06"/>
    <w:lvl w:ilvl="0" w:tplc="403EE442">
      <w:start w:val="1"/>
      <w:numFmt w:val="lowerLetter"/>
      <w:lvlText w:val="(%1)"/>
      <w:lvlJc w:val="left"/>
      <w:pPr>
        <w:ind w:left="1021" w:hanging="341"/>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20">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3AF336BC"/>
    <w:multiLevelType w:val="hybridMultilevel"/>
    <w:tmpl w:val="955A02CC"/>
    <w:lvl w:ilvl="0" w:tplc="C90C7928">
      <w:start w:val="1"/>
      <w:numFmt w:val="bullet"/>
      <w:lvlText w:val=""/>
      <w:lvlJc w:val="left"/>
      <w:pPr>
        <w:ind w:left="786"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25">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7">
    <w:nsid w:val="5ECE4384"/>
    <w:multiLevelType w:val="multilevel"/>
    <w:tmpl w:val="6BF28722"/>
    <w:lvl w:ilvl="0">
      <w:start w:val="8"/>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1004"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8">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29">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7AAC6DD7"/>
    <w:multiLevelType w:val="multilevel"/>
    <w:tmpl w:val="950A1C52"/>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31">
    <w:nsid w:val="7AEA3AE1"/>
    <w:multiLevelType w:val="hybridMultilevel"/>
    <w:tmpl w:val="52969776"/>
    <w:lvl w:ilvl="0" w:tplc="1B665800">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7E2819EC"/>
    <w:multiLevelType w:val="multilevel"/>
    <w:tmpl w:val="1250F310"/>
    <w:lvl w:ilvl="0">
      <w:start w:val="1"/>
      <w:numFmt w:val="bullet"/>
      <w:pStyle w:val="AERbulletlistfirststyle"/>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2"/>
  </w:num>
  <w:num w:numId="2">
    <w:abstractNumId w:val="32"/>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8"/>
  </w:num>
  <w:num w:numId="13">
    <w:abstractNumId w:val="20"/>
  </w:num>
  <w:num w:numId="14">
    <w:abstractNumId w:val="11"/>
  </w:num>
  <w:num w:numId="15">
    <w:abstractNumId w:val="14"/>
  </w:num>
  <w:num w:numId="16">
    <w:abstractNumId w:val="22"/>
  </w:num>
  <w:num w:numId="17">
    <w:abstractNumId w:val="10"/>
  </w:num>
  <w:num w:numId="18">
    <w:abstractNumId w:val="16"/>
  </w:num>
  <w:num w:numId="19">
    <w:abstractNumId w:val="23"/>
  </w:num>
  <w:num w:numId="20">
    <w:abstractNumId w:val="29"/>
  </w:num>
  <w:num w:numId="21">
    <w:abstractNumId w:val="26"/>
  </w:num>
  <w:num w:numId="22">
    <w:abstractNumId w:val="24"/>
  </w:num>
  <w:num w:numId="23">
    <w:abstractNumId w:val="17"/>
  </w:num>
  <w:num w:numId="24">
    <w:abstractNumId w:val="25"/>
  </w:num>
  <w:num w:numId="25">
    <w:abstractNumId w:val="27"/>
  </w:num>
  <w:num w:numId="26">
    <w:abstractNumId w:val="18"/>
  </w:num>
  <w:num w:numId="27">
    <w:abstractNumId w:val="15"/>
  </w:num>
  <w:num w:numId="28">
    <w:abstractNumId w:val="31"/>
  </w:num>
  <w:num w:numId="29">
    <w:abstractNumId w:val="21"/>
  </w:num>
  <w:num w:numId="30">
    <w:abstractNumId w:val="9"/>
  </w:num>
  <w:num w:numId="31">
    <w:abstractNumId w:val="30"/>
    <w:lvlOverride w:ilvl="0">
      <w:lvl w:ilvl="0">
        <w:start w:val="1"/>
        <w:numFmt w:val="none"/>
        <w:lvlText w:val="%1"/>
        <w:lvlJc w:val="left"/>
        <w:pPr>
          <w:tabs>
            <w:tab w:val="num" w:pos="0"/>
          </w:tabs>
          <w:ind w:left="0" w:firstLine="0"/>
        </w:pPr>
        <w:rPr>
          <w:rFonts w:hint="default"/>
        </w:rPr>
      </w:lvl>
    </w:lvlOverride>
    <w:lvlOverride w:ilvl="1">
      <w:lvl w:ilvl="1">
        <w:start w:val="1"/>
        <w:numFmt w:val="decimal"/>
        <w:lvlText w:val="%1%2"/>
        <w:lvlJc w:val="left"/>
        <w:pPr>
          <w:tabs>
            <w:tab w:val="num" w:pos="0"/>
          </w:tabs>
          <w:ind w:left="0" w:hanging="851"/>
        </w:pPr>
        <w:rPr>
          <w:rFonts w:hint="default"/>
        </w:rPr>
      </w:lvl>
    </w:lvlOverride>
    <w:lvlOverride w:ilvl="2">
      <w:lvl w:ilvl="2">
        <w:start w:val="1"/>
        <w:numFmt w:val="decimal"/>
        <w:lvlText w:val="%1%2.%3"/>
        <w:lvlJc w:val="left"/>
        <w:pPr>
          <w:tabs>
            <w:tab w:val="num" w:pos="0"/>
          </w:tabs>
          <w:ind w:left="0" w:hanging="851"/>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Text w:val="%2.%3.%4"/>
        <w:lvlJc w:val="left"/>
        <w:pPr>
          <w:tabs>
            <w:tab w:val="num" w:pos="0"/>
          </w:tabs>
          <w:ind w:left="0" w:hanging="851"/>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upperLetter"/>
        <w:lvlRestart w:val="1"/>
        <w:lvlText w:val="%5"/>
        <w:lvlJc w:val="left"/>
        <w:pPr>
          <w:tabs>
            <w:tab w:val="num" w:pos="0"/>
          </w:tabs>
          <w:ind w:left="0" w:hanging="851"/>
        </w:pPr>
        <w:rPr>
          <w:rFonts w:hint="default"/>
        </w:rPr>
      </w:lvl>
    </w:lvlOverride>
    <w:lvlOverride w:ilvl="5">
      <w:lvl w:ilvl="5">
        <w:start w:val="1"/>
        <w:numFmt w:val="decimal"/>
        <w:lvlText w:val="%5.%6"/>
        <w:lvlJc w:val="left"/>
        <w:pPr>
          <w:tabs>
            <w:tab w:val="num" w:pos="0"/>
          </w:tabs>
          <w:ind w:left="0" w:hanging="851"/>
        </w:pPr>
        <w:rPr>
          <w:rFonts w:hint="default"/>
        </w:rPr>
      </w:lvl>
    </w:lvlOverride>
    <w:lvlOverride w:ilvl="6">
      <w:lvl w:ilvl="6">
        <w:start w:val="1"/>
        <w:numFmt w:val="decimal"/>
        <w:lvlText w:val="%5.%6.%7"/>
        <w:lvlJc w:val="left"/>
        <w:pPr>
          <w:tabs>
            <w:tab w:val="num" w:pos="0"/>
          </w:tabs>
          <w:ind w:left="0" w:hanging="851"/>
        </w:pPr>
        <w:rPr>
          <w:rFonts w:hint="default"/>
        </w:rPr>
      </w:lvl>
    </w:lvlOverride>
    <w:lvlOverride w:ilvl="7">
      <w:lvl w:ilvl="7">
        <w:start w:val="1"/>
        <w:numFmt w:val="none"/>
        <w:lvlRestart w:val="0"/>
        <w:lvlText w:val=""/>
        <w:lvlJc w:val="left"/>
        <w:pPr>
          <w:tabs>
            <w:tab w:val="num" w:pos="0"/>
          </w:tabs>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32">
    <w:abstractNumId w:val="17"/>
    <w:lvlOverride w:ilvl="3">
      <w:lvl w:ilvl="3">
        <w:start w:val="1"/>
        <w:numFmt w:val="decimal"/>
        <w:lvlText w:val="%2.%3.%4"/>
        <w:lvlJc w:val="left"/>
        <w:pPr>
          <w:tabs>
            <w:tab w:val="num" w:pos="0"/>
          </w:tabs>
          <w:ind w:left="0" w:hanging="851"/>
        </w:pPr>
        <w:rPr>
          <w:rFonts w:hint="default"/>
        </w:rPr>
      </w:lvl>
    </w:lvlOverride>
  </w:num>
  <w:num w:numId="33">
    <w:abstractNumId w:val="13"/>
  </w:num>
  <w:num w:numId="34">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8"/>
  </w:num>
  <w:num w:numId="36">
    <w:abstractNumId w:val="1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spinCount="100000" w:hashValue="52vUcfo7Bn3OMhJ6HJ5d4wKmoa2Q59tFSV/9EsSPGfM=" w:saltValue="TBBFWg5xdfFNsAsu2oIh0g==" w:algorithmName="SHA-256"/>
  <w:defaultTabStop w:val="340"/>
  <w:characterSpacingControl w:val="doNotCompress"/>
  <w:hdrShapeDefaults>
    <o:shapedefaults v:ext="edit" spidmax="274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rimdata\TRIM\TEMP\HPTRIM.8592\D16 9526  AER - Draft decision ElectraNet transmission determination - Attachment 1 - Maximum allowed revenue.DOCX"/>
  </w:docVars>
  <w:rsids>
    <w:rsidRoot w:val="00961A4A"/>
    <w:rsid w:val="000051DC"/>
    <w:rsid w:val="0000658F"/>
    <w:rsid w:val="0001507B"/>
    <w:rsid w:val="000157F7"/>
    <w:rsid w:val="00020016"/>
    <w:rsid w:val="00021202"/>
    <w:rsid w:val="00021C2B"/>
    <w:rsid w:val="0002498B"/>
    <w:rsid w:val="0002517F"/>
    <w:rsid w:val="00026187"/>
    <w:rsid w:val="000266FC"/>
    <w:rsid w:val="000273B3"/>
    <w:rsid w:val="00027E2D"/>
    <w:rsid w:val="00032A47"/>
    <w:rsid w:val="00033376"/>
    <w:rsid w:val="0003578C"/>
    <w:rsid w:val="00042249"/>
    <w:rsid w:val="000440D8"/>
    <w:rsid w:val="00044CA3"/>
    <w:rsid w:val="00044DA3"/>
    <w:rsid w:val="000474DF"/>
    <w:rsid w:val="00055A67"/>
    <w:rsid w:val="00055F11"/>
    <w:rsid w:val="00063247"/>
    <w:rsid w:val="0006624E"/>
    <w:rsid w:val="00070F9F"/>
    <w:rsid w:val="0007137B"/>
    <w:rsid w:val="00073B74"/>
    <w:rsid w:val="00076416"/>
    <w:rsid w:val="0008007A"/>
    <w:rsid w:val="000805A8"/>
    <w:rsid w:val="0008190B"/>
    <w:rsid w:val="000836D9"/>
    <w:rsid w:val="00085663"/>
    <w:rsid w:val="00085EBF"/>
    <w:rsid w:val="00091B15"/>
    <w:rsid w:val="00095186"/>
    <w:rsid w:val="0009700F"/>
    <w:rsid w:val="000A0E71"/>
    <w:rsid w:val="000A1C0C"/>
    <w:rsid w:val="000A3020"/>
    <w:rsid w:val="000A4840"/>
    <w:rsid w:val="000A62C1"/>
    <w:rsid w:val="000A6A79"/>
    <w:rsid w:val="000A6C7B"/>
    <w:rsid w:val="000B0A7B"/>
    <w:rsid w:val="000B1173"/>
    <w:rsid w:val="000B5827"/>
    <w:rsid w:val="000B7037"/>
    <w:rsid w:val="000C02D1"/>
    <w:rsid w:val="000C0C63"/>
    <w:rsid w:val="000C2B40"/>
    <w:rsid w:val="000C3017"/>
    <w:rsid w:val="000C4196"/>
    <w:rsid w:val="000C5255"/>
    <w:rsid w:val="000C65EE"/>
    <w:rsid w:val="000D07A7"/>
    <w:rsid w:val="000D0F7E"/>
    <w:rsid w:val="000D122C"/>
    <w:rsid w:val="000D3709"/>
    <w:rsid w:val="000D75B0"/>
    <w:rsid w:val="000E1819"/>
    <w:rsid w:val="000E4821"/>
    <w:rsid w:val="000E4AA9"/>
    <w:rsid w:val="000E6C72"/>
    <w:rsid w:val="000E7F39"/>
    <w:rsid w:val="000F117F"/>
    <w:rsid w:val="000F7DA0"/>
    <w:rsid w:val="00100EA2"/>
    <w:rsid w:val="00101AA1"/>
    <w:rsid w:val="00102338"/>
    <w:rsid w:val="00104566"/>
    <w:rsid w:val="00104FF6"/>
    <w:rsid w:val="00105AE3"/>
    <w:rsid w:val="001114AA"/>
    <w:rsid w:val="00112684"/>
    <w:rsid w:val="00115743"/>
    <w:rsid w:val="00116EB2"/>
    <w:rsid w:val="0012132C"/>
    <w:rsid w:val="00124609"/>
    <w:rsid w:val="00126A4C"/>
    <w:rsid w:val="001270E3"/>
    <w:rsid w:val="001304C0"/>
    <w:rsid w:val="00132D43"/>
    <w:rsid w:val="00133366"/>
    <w:rsid w:val="00133F47"/>
    <w:rsid w:val="00134029"/>
    <w:rsid w:val="00142C2D"/>
    <w:rsid w:val="00144C96"/>
    <w:rsid w:val="0014573B"/>
    <w:rsid w:val="001463A3"/>
    <w:rsid w:val="0015073A"/>
    <w:rsid w:val="0015099D"/>
    <w:rsid w:val="00153A3D"/>
    <w:rsid w:val="001573E4"/>
    <w:rsid w:val="00160756"/>
    <w:rsid w:val="00161DC8"/>
    <w:rsid w:val="0016309E"/>
    <w:rsid w:val="00166760"/>
    <w:rsid w:val="0017232E"/>
    <w:rsid w:val="00174102"/>
    <w:rsid w:val="001754EE"/>
    <w:rsid w:val="001764A9"/>
    <w:rsid w:val="00180157"/>
    <w:rsid w:val="001809BC"/>
    <w:rsid w:val="00180E97"/>
    <w:rsid w:val="001820B4"/>
    <w:rsid w:val="00184351"/>
    <w:rsid w:val="00184AC8"/>
    <w:rsid w:val="00185BA5"/>
    <w:rsid w:val="00185CB9"/>
    <w:rsid w:val="00185DBE"/>
    <w:rsid w:val="00186ADC"/>
    <w:rsid w:val="00186F77"/>
    <w:rsid w:val="001877A4"/>
    <w:rsid w:val="001926A4"/>
    <w:rsid w:val="00192AD5"/>
    <w:rsid w:val="00194597"/>
    <w:rsid w:val="00194E00"/>
    <w:rsid w:val="0019745E"/>
    <w:rsid w:val="00197B16"/>
    <w:rsid w:val="001A530D"/>
    <w:rsid w:val="001A5FB3"/>
    <w:rsid w:val="001A7155"/>
    <w:rsid w:val="001B45A0"/>
    <w:rsid w:val="001B680E"/>
    <w:rsid w:val="001B69CC"/>
    <w:rsid w:val="001C201C"/>
    <w:rsid w:val="001C68DB"/>
    <w:rsid w:val="001C7576"/>
    <w:rsid w:val="001D055E"/>
    <w:rsid w:val="001D75B4"/>
    <w:rsid w:val="001E1B3F"/>
    <w:rsid w:val="001E2481"/>
    <w:rsid w:val="001E34BB"/>
    <w:rsid w:val="001E7161"/>
    <w:rsid w:val="001F05A4"/>
    <w:rsid w:val="001F3D4A"/>
    <w:rsid w:val="001F492E"/>
    <w:rsid w:val="001F64EF"/>
    <w:rsid w:val="001F6DA3"/>
    <w:rsid w:val="002010BC"/>
    <w:rsid w:val="002016E7"/>
    <w:rsid w:val="00202E03"/>
    <w:rsid w:val="002033B9"/>
    <w:rsid w:val="002043D0"/>
    <w:rsid w:val="0020492C"/>
    <w:rsid w:val="00204EC9"/>
    <w:rsid w:val="00206505"/>
    <w:rsid w:val="0020743F"/>
    <w:rsid w:val="00216C93"/>
    <w:rsid w:val="00223051"/>
    <w:rsid w:val="00223EAF"/>
    <w:rsid w:val="00224DB9"/>
    <w:rsid w:val="0022569A"/>
    <w:rsid w:val="0023005C"/>
    <w:rsid w:val="00231012"/>
    <w:rsid w:val="00233775"/>
    <w:rsid w:val="0023414B"/>
    <w:rsid w:val="00236ACD"/>
    <w:rsid w:val="00243635"/>
    <w:rsid w:val="00247079"/>
    <w:rsid w:val="00251745"/>
    <w:rsid w:val="002552BA"/>
    <w:rsid w:val="00260016"/>
    <w:rsid w:val="00263AC0"/>
    <w:rsid w:val="00264264"/>
    <w:rsid w:val="0026689B"/>
    <w:rsid w:val="0026772D"/>
    <w:rsid w:val="002730B2"/>
    <w:rsid w:val="00274C7E"/>
    <w:rsid w:val="002777CF"/>
    <w:rsid w:val="00277B82"/>
    <w:rsid w:val="002810F2"/>
    <w:rsid w:val="002860B1"/>
    <w:rsid w:val="00286874"/>
    <w:rsid w:val="00290C63"/>
    <w:rsid w:val="00291A99"/>
    <w:rsid w:val="00293B6D"/>
    <w:rsid w:val="00294B08"/>
    <w:rsid w:val="0029518C"/>
    <w:rsid w:val="002963DD"/>
    <w:rsid w:val="00296B65"/>
    <w:rsid w:val="002A34F6"/>
    <w:rsid w:val="002A7DEF"/>
    <w:rsid w:val="002B0696"/>
    <w:rsid w:val="002C0222"/>
    <w:rsid w:val="002C0BBD"/>
    <w:rsid w:val="002C1499"/>
    <w:rsid w:val="002C233C"/>
    <w:rsid w:val="002C517B"/>
    <w:rsid w:val="002D1558"/>
    <w:rsid w:val="002D3509"/>
    <w:rsid w:val="002D5457"/>
    <w:rsid w:val="002D6E75"/>
    <w:rsid w:val="002D72E8"/>
    <w:rsid w:val="002D79AD"/>
    <w:rsid w:val="002E268F"/>
    <w:rsid w:val="002E78DD"/>
    <w:rsid w:val="002E7B22"/>
    <w:rsid w:val="002F12EC"/>
    <w:rsid w:val="002F3E31"/>
    <w:rsid w:val="002F7986"/>
    <w:rsid w:val="00301B40"/>
    <w:rsid w:val="00301C82"/>
    <w:rsid w:val="003029EE"/>
    <w:rsid w:val="00304D38"/>
    <w:rsid w:val="00305A32"/>
    <w:rsid w:val="00305CC8"/>
    <w:rsid w:val="00307F6D"/>
    <w:rsid w:val="0031346F"/>
    <w:rsid w:val="00314D83"/>
    <w:rsid w:val="0031571F"/>
    <w:rsid w:val="003177A2"/>
    <w:rsid w:val="00317E02"/>
    <w:rsid w:val="00325845"/>
    <w:rsid w:val="003271B5"/>
    <w:rsid w:val="00327396"/>
    <w:rsid w:val="00327A1E"/>
    <w:rsid w:val="00327E28"/>
    <w:rsid w:val="00331264"/>
    <w:rsid w:val="00333996"/>
    <w:rsid w:val="00334C8D"/>
    <w:rsid w:val="003378BD"/>
    <w:rsid w:val="003424EA"/>
    <w:rsid w:val="00342C2F"/>
    <w:rsid w:val="003436EB"/>
    <w:rsid w:val="00343A18"/>
    <w:rsid w:val="00345744"/>
    <w:rsid w:val="00346CE7"/>
    <w:rsid w:val="003518B3"/>
    <w:rsid w:val="00353E79"/>
    <w:rsid w:val="00364EA0"/>
    <w:rsid w:val="003662A4"/>
    <w:rsid w:val="00366981"/>
    <w:rsid w:val="00366D0E"/>
    <w:rsid w:val="00370678"/>
    <w:rsid w:val="00371045"/>
    <w:rsid w:val="0037214E"/>
    <w:rsid w:val="00372C85"/>
    <w:rsid w:val="00373845"/>
    <w:rsid w:val="00373DE8"/>
    <w:rsid w:val="003744E3"/>
    <w:rsid w:val="00375F71"/>
    <w:rsid w:val="00376219"/>
    <w:rsid w:val="0037663E"/>
    <w:rsid w:val="0037699E"/>
    <w:rsid w:val="00377A29"/>
    <w:rsid w:val="00377C69"/>
    <w:rsid w:val="0038415D"/>
    <w:rsid w:val="0038461C"/>
    <w:rsid w:val="003846F1"/>
    <w:rsid w:val="00384EA9"/>
    <w:rsid w:val="00390E6A"/>
    <w:rsid w:val="00393ABE"/>
    <w:rsid w:val="0039415B"/>
    <w:rsid w:val="00395DB6"/>
    <w:rsid w:val="00397398"/>
    <w:rsid w:val="003A371A"/>
    <w:rsid w:val="003A54C2"/>
    <w:rsid w:val="003A59CD"/>
    <w:rsid w:val="003A6B00"/>
    <w:rsid w:val="003B1F0A"/>
    <w:rsid w:val="003B30B2"/>
    <w:rsid w:val="003B41C3"/>
    <w:rsid w:val="003B484F"/>
    <w:rsid w:val="003B504B"/>
    <w:rsid w:val="003B5179"/>
    <w:rsid w:val="003B685C"/>
    <w:rsid w:val="003B7FBA"/>
    <w:rsid w:val="003C37ED"/>
    <w:rsid w:val="003C6537"/>
    <w:rsid w:val="003C6A13"/>
    <w:rsid w:val="003C764A"/>
    <w:rsid w:val="003C78BA"/>
    <w:rsid w:val="003D41F1"/>
    <w:rsid w:val="003D42AB"/>
    <w:rsid w:val="003D5B94"/>
    <w:rsid w:val="003D5E5C"/>
    <w:rsid w:val="003E0D3A"/>
    <w:rsid w:val="003E3AAB"/>
    <w:rsid w:val="003E7FE9"/>
    <w:rsid w:val="003F07D4"/>
    <w:rsid w:val="003F1373"/>
    <w:rsid w:val="003F174D"/>
    <w:rsid w:val="003F1C21"/>
    <w:rsid w:val="003F2329"/>
    <w:rsid w:val="003F4AAC"/>
    <w:rsid w:val="004002D9"/>
    <w:rsid w:val="00400FD2"/>
    <w:rsid w:val="00403711"/>
    <w:rsid w:val="00404C52"/>
    <w:rsid w:val="00406D0A"/>
    <w:rsid w:val="00414604"/>
    <w:rsid w:val="004151B5"/>
    <w:rsid w:val="004156D5"/>
    <w:rsid w:val="00415BA9"/>
    <w:rsid w:val="00415F31"/>
    <w:rsid w:val="0041691D"/>
    <w:rsid w:val="004172FF"/>
    <w:rsid w:val="0042000C"/>
    <w:rsid w:val="0042090E"/>
    <w:rsid w:val="00421F27"/>
    <w:rsid w:val="004238D8"/>
    <w:rsid w:val="00423A77"/>
    <w:rsid w:val="0042427F"/>
    <w:rsid w:val="004247BE"/>
    <w:rsid w:val="00425301"/>
    <w:rsid w:val="004324F4"/>
    <w:rsid w:val="00434544"/>
    <w:rsid w:val="00434E10"/>
    <w:rsid w:val="004356A7"/>
    <w:rsid w:val="00445D43"/>
    <w:rsid w:val="00446CD2"/>
    <w:rsid w:val="0045777E"/>
    <w:rsid w:val="00463CF5"/>
    <w:rsid w:val="00465258"/>
    <w:rsid w:val="00471BC6"/>
    <w:rsid w:val="00476221"/>
    <w:rsid w:val="004766F5"/>
    <w:rsid w:val="00480B4B"/>
    <w:rsid w:val="004838D8"/>
    <w:rsid w:val="00485DC4"/>
    <w:rsid w:val="00494D04"/>
    <w:rsid w:val="004A40BA"/>
    <w:rsid w:val="004A43D1"/>
    <w:rsid w:val="004A492B"/>
    <w:rsid w:val="004B4412"/>
    <w:rsid w:val="004C348C"/>
    <w:rsid w:val="004C462E"/>
    <w:rsid w:val="004C647A"/>
    <w:rsid w:val="004C6CA3"/>
    <w:rsid w:val="004C7F5E"/>
    <w:rsid w:val="004D0F3D"/>
    <w:rsid w:val="004D343C"/>
    <w:rsid w:val="004D372A"/>
    <w:rsid w:val="004D55BA"/>
    <w:rsid w:val="004D720C"/>
    <w:rsid w:val="004D7870"/>
    <w:rsid w:val="004E0FA7"/>
    <w:rsid w:val="004E22EC"/>
    <w:rsid w:val="004E6145"/>
    <w:rsid w:val="004F0BFA"/>
    <w:rsid w:val="004F13DA"/>
    <w:rsid w:val="004F4D69"/>
    <w:rsid w:val="004F6883"/>
    <w:rsid w:val="004F6A0E"/>
    <w:rsid w:val="004F6BB3"/>
    <w:rsid w:val="005009CD"/>
    <w:rsid w:val="00504E5F"/>
    <w:rsid w:val="005068A1"/>
    <w:rsid w:val="0051337E"/>
    <w:rsid w:val="00513FA7"/>
    <w:rsid w:val="0051495F"/>
    <w:rsid w:val="00514DEA"/>
    <w:rsid w:val="0051768F"/>
    <w:rsid w:val="00522DC2"/>
    <w:rsid w:val="005275C5"/>
    <w:rsid w:val="00530128"/>
    <w:rsid w:val="00532467"/>
    <w:rsid w:val="005332A9"/>
    <w:rsid w:val="0053603C"/>
    <w:rsid w:val="00537871"/>
    <w:rsid w:val="00542FE9"/>
    <w:rsid w:val="00544598"/>
    <w:rsid w:val="00544C8D"/>
    <w:rsid w:val="00544DFD"/>
    <w:rsid w:val="00552E0E"/>
    <w:rsid w:val="00554DE2"/>
    <w:rsid w:val="00556B1E"/>
    <w:rsid w:val="0056285E"/>
    <w:rsid w:val="00564192"/>
    <w:rsid w:val="00564A4D"/>
    <w:rsid w:val="0056598C"/>
    <w:rsid w:val="00566E0B"/>
    <w:rsid w:val="00567BA5"/>
    <w:rsid w:val="00571B35"/>
    <w:rsid w:val="00571B43"/>
    <w:rsid w:val="00571D57"/>
    <w:rsid w:val="00573A3B"/>
    <w:rsid w:val="00577716"/>
    <w:rsid w:val="00577A09"/>
    <w:rsid w:val="005829C2"/>
    <w:rsid w:val="00584D8F"/>
    <w:rsid w:val="00587A18"/>
    <w:rsid w:val="00587ADE"/>
    <w:rsid w:val="005942B1"/>
    <w:rsid w:val="005971B7"/>
    <w:rsid w:val="005974FE"/>
    <w:rsid w:val="005A030C"/>
    <w:rsid w:val="005A0BEC"/>
    <w:rsid w:val="005A404D"/>
    <w:rsid w:val="005B1E3C"/>
    <w:rsid w:val="005B1FE5"/>
    <w:rsid w:val="005B2F0C"/>
    <w:rsid w:val="005B6518"/>
    <w:rsid w:val="005B704A"/>
    <w:rsid w:val="005B72D7"/>
    <w:rsid w:val="005C045F"/>
    <w:rsid w:val="005C16FE"/>
    <w:rsid w:val="005C1FAB"/>
    <w:rsid w:val="005C21A4"/>
    <w:rsid w:val="005C26CC"/>
    <w:rsid w:val="005C4463"/>
    <w:rsid w:val="005D3D88"/>
    <w:rsid w:val="005D48C4"/>
    <w:rsid w:val="005D6208"/>
    <w:rsid w:val="005D6366"/>
    <w:rsid w:val="005D7BA2"/>
    <w:rsid w:val="005E36C2"/>
    <w:rsid w:val="005E4AF4"/>
    <w:rsid w:val="005E5146"/>
    <w:rsid w:val="005E61C5"/>
    <w:rsid w:val="005F387E"/>
    <w:rsid w:val="005F3B44"/>
    <w:rsid w:val="00601E0B"/>
    <w:rsid w:val="0060258B"/>
    <w:rsid w:val="00603AE4"/>
    <w:rsid w:val="00610EF9"/>
    <w:rsid w:val="00612F4F"/>
    <w:rsid w:val="00614EA0"/>
    <w:rsid w:val="00615C6B"/>
    <w:rsid w:val="00617D4C"/>
    <w:rsid w:val="00621DCE"/>
    <w:rsid w:val="00621FC5"/>
    <w:rsid w:val="00624F2C"/>
    <w:rsid w:val="00632D6D"/>
    <w:rsid w:val="00636569"/>
    <w:rsid w:val="00636EF9"/>
    <w:rsid w:val="00642C3E"/>
    <w:rsid w:val="00644A01"/>
    <w:rsid w:val="0065173D"/>
    <w:rsid w:val="00651E2D"/>
    <w:rsid w:val="00652324"/>
    <w:rsid w:val="006577FB"/>
    <w:rsid w:val="0066104A"/>
    <w:rsid w:val="00663066"/>
    <w:rsid w:val="00663DAD"/>
    <w:rsid w:val="00664206"/>
    <w:rsid w:val="006649E7"/>
    <w:rsid w:val="00666634"/>
    <w:rsid w:val="00667668"/>
    <w:rsid w:val="00671692"/>
    <w:rsid w:val="00675E20"/>
    <w:rsid w:val="00676679"/>
    <w:rsid w:val="00681EB5"/>
    <w:rsid w:val="00683C89"/>
    <w:rsid w:val="00690ABD"/>
    <w:rsid w:val="00691B53"/>
    <w:rsid w:val="0069478F"/>
    <w:rsid w:val="00697D0B"/>
    <w:rsid w:val="006A12BA"/>
    <w:rsid w:val="006A4739"/>
    <w:rsid w:val="006A66A1"/>
    <w:rsid w:val="006B032D"/>
    <w:rsid w:val="006B2395"/>
    <w:rsid w:val="006B40AC"/>
    <w:rsid w:val="006B4CF9"/>
    <w:rsid w:val="006B6F22"/>
    <w:rsid w:val="006B797C"/>
    <w:rsid w:val="006B7AC8"/>
    <w:rsid w:val="006C1736"/>
    <w:rsid w:val="006C329B"/>
    <w:rsid w:val="006C6303"/>
    <w:rsid w:val="006D550F"/>
    <w:rsid w:val="006D6146"/>
    <w:rsid w:val="006D7F7E"/>
    <w:rsid w:val="006E0CFF"/>
    <w:rsid w:val="006F0D92"/>
    <w:rsid w:val="006F267D"/>
    <w:rsid w:val="0070011E"/>
    <w:rsid w:val="00701CAB"/>
    <w:rsid w:val="007023BB"/>
    <w:rsid w:val="00704DD7"/>
    <w:rsid w:val="00707563"/>
    <w:rsid w:val="00715F61"/>
    <w:rsid w:val="00722132"/>
    <w:rsid w:val="007228F7"/>
    <w:rsid w:val="0072348C"/>
    <w:rsid w:val="00724A37"/>
    <w:rsid w:val="007303C3"/>
    <w:rsid w:val="00731188"/>
    <w:rsid w:val="007356CC"/>
    <w:rsid w:val="007368E6"/>
    <w:rsid w:val="007375DF"/>
    <w:rsid w:val="007416C7"/>
    <w:rsid w:val="007429BE"/>
    <w:rsid w:val="00743223"/>
    <w:rsid w:val="00743349"/>
    <w:rsid w:val="00743D2B"/>
    <w:rsid w:val="0074403A"/>
    <w:rsid w:val="00746293"/>
    <w:rsid w:val="00746CD3"/>
    <w:rsid w:val="00746E01"/>
    <w:rsid w:val="00751DCD"/>
    <w:rsid w:val="00751EB1"/>
    <w:rsid w:val="00755084"/>
    <w:rsid w:val="00757364"/>
    <w:rsid w:val="00757BDF"/>
    <w:rsid w:val="007609D0"/>
    <w:rsid w:val="00761454"/>
    <w:rsid w:val="0076193D"/>
    <w:rsid w:val="00763E5D"/>
    <w:rsid w:val="00763FE5"/>
    <w:rsid w:val="00767740"/>
    <w:rsid w:val="00767B5E"/>
    <w:rsid w:val="00771141"/>
    <w:rsid w:val="00773C33"/>
    <w:rsid w:val="00775460"/>
    <w:rsid w:val="00777EE6"/>
    <w:rsid w:val="007807E8"/>
    <w:rsid w:val="00782EEA"/>
    <w:rsid w:val="007844A0"/>
    <w:rsid w:val="007875D1"/>
    <w:rsid w:val="007909B4"/>
    <w:rsid w:val="00790E86"/>
    <w:rsid w:val="007949D7"/>
    <w:rsid w:val="007A0143"/>
    <w:rsid w:val="007A34C2"/>
    <w:rsid w:val="007A396C"/>
    <w:rsid w:val="007A4B02"/>
    <w:rsid w:val="007A7ADD"/>
    <w:rsid w:val="007B0BE3"/>
    <w:rsid w:val="007B1816"/>
    <w:rsid w:val="007B186E"/>
    <w:rsid w:val="007B25DC"/>
    <w:rsid w:val="007B2C72"/>
    <w:rsid w:val="007B3789"/>
    <w:rsid w:val="007B651F"/>
    <w:rsid w:val="007B7BB5"/>
    <w:rsid w:val="007C1C53"/>
    <w:rsid w:val="007C284C"/>
    <w:rsid w:val="007C3931"/>
    <w:rsid w:val="007C4B82"/>
    <w:rsid w:val="007C668E"/>
    <w:rsid w:val="007C74BB"/>
    <w:rsid w:val="007C7C44"/>
    <w:rsid w:val="007C7F64"/>
    <w:rsid w:val="007D0A95"/>
    <w:rsid w:val="007D0EB5"/>
    <w:rsid w:val="007D456E"/>
    <w:rsid w:val="007D4828"/>
    <w:rsid w:val="007D5837"/>
    <w:rsid w:val="007E233D"/>
    <w:rsid w:val="007E4904"/>
    <w:rsid w:val="007E4CB5"/>
    <w:rsid w:val="007E4DAE"/>
    <w:rsid w:val="007F066B"/>
    <w:rsid w:val="007F4EAB"/>
    <w:rsid w:val="007F5B16"/>
    <w:rsid w:val="007F7C9D"/>
    <w:rsid w:val="00801AA2"/>
    <w:rsid w:val="008033C4"/>
    <w:rsid w:val="00806731"/>
    <w:rsid w:val="00806C88"/>
    <w:rsid w:val="0081034E"/>
    <w:rsid w:val="00810806"/>
    <w:rsid w:val="00815882"/>
    <w:rsid w:val="008160B0"/>
    <w:rsid w:val="00820454"/>
    <w:rsid w:val="00822AC7"/>
    <w:rsid w:val="00822E86"/>
    <w:rsid w:val="008344F6"/>
    <w:rsid w:val="0083510F"/>
    <w:rsid w:val="00836A5C"/>
    <w:rsid w:val="00837BF3"/>
    <w:rsid w:val="008415DE"/>
    <w:rsid w:val="008420DE"/>
    <w:rsid w:val="00845865"/>
    <w:rsid w:val="008458FD"/>
    <w:rsid w:val="008475DA"/>
    <w:rsid w:val="008476FC"/>
    <w:rsid w:val="0084799B"/>
    <w:rsid w:val="00850C90"/>
    <w:rsid w:val="00851209"/>
    <w:rsid w:val="0085171F"/>
    <w:rsid w:val="008658A1"/>
    <w:rsid w:val="00866469"/>
    <w:rsid w:val="0086716A"/>
    <w:rsid w:val="00870613"/>
    <w:rsid w:val="0087380F"/>
    <w:rsid w:val="00873BB2"/>
    <w:rsid w:val="0087648F"/>
    <w:rsid w:val="00876612"/>
    <w:rsid w:val="00877725"/>
    <w:rsid w:val="00882BB1"/>
    <w:rsid w:val="008837AC"/>
    <w:rsid w:val="008909DC"/>
    <w:rsid w:val="00894255"/>
    <w:rsid w:val="008945AD"/>
    <w:rsid w:val="00895D07"/>
    <w:rsid w:val="008A0645"/>
    <w:rsid w:val="008A19AC"/>
    <w:rsid w:val="008A1C02"/>
    <w:rsid w:val="008A370D"/>
    <w:rsid w:val="008A3A1B"/>
    <w:rsid w:val="008A587D"/>
    <w:rsid w:val="008B16B0"/>
    <w:rsid w:val="008B1BD5"/>
    <w:rsid w:val="008B35CD"/>
    <w:rsid w:val="008B380E"/>
    <w:rsid w:val="008B4093"/>
    <w:rsid w:val="008B4208"/>
    <w:rsid w:val="008B5FCC"/>
    <w:rsid w:val="008B7F36"/>
    <w:rsid w:val="008C1235"/>
    <w:rsid w:val="008C33F1"/>
    <w:rsid w:val="008C357F"/>
    <w:rsid w:val="008C5486"/>
    <w:rsid w:val="008C563A"/>
    <w:rsid w:val="008D1661"/>
    <w:rsid w:val="008D27E0"/>
    <w:rsid w:val="008D48E8"/>
    <w:rsid w:val="008D5F90"/>
    <w:rsid w:val="008D6800"/>
    <w:rsid w:val="008D72F1"/>
    <w:rsid w:val="008E4089"/>
    <w:rsid w:val="008E5AFF"/>
    <w:rsid w:val="008E7031"/>
    <w:rsid w:val="008E77DE"/>
    <w:rsid w:val="008F040C"/>
    <w:rsid w:val="008F07A3"/>
    <w:rsid w:val="008F3322"/>
    <w:rsid w:val="008F3519"/>
    <w:rsid w:val="008F3A0D"/>
    <w:rsid w:val="008F6F7F"/>
    <w:rsid w:val="008F7441"/>
    <w:rsid w:val="009001B6"/>
    <w:rsid w:val="00900E1B"/>
    <w:rsid w:val="0090131F"/>
    <w:rsid w:val="00907683"/>
    <w:rsid w:val="00911968"/>
    <w:rsid w:val="009132B7"/>
    <w:rsid w:val="00916A2C"/>
    <w:rsid w:val="009233EE"/>
    <w:rsid w:val="009239F6"/>
    <w:rsid w:val="00930B1A"/>
    <w:rsid w:val="00932612"/>
    <w:rsid w:val="009327DC"/>
    <w:rsid w:val="009330F0"/>
    <w:rsid w:val="00933343"/>
    <w:rsid w:val="009338D9"/>
    <w:rsid w:val="009339BD"/>
    <w:rsid w:val="009356CF"/>
    <w:rsid w:val="00941751"/>
    <w:rsid w:val="009436E0"/>
    <w:rsid w:val="009441A5"/>
    <w:rsid w:val="00945E53"/>
    <w:rsid w:val="009460AA"/>
    <w:rsid w:val="00951978"/>
    <w:rsid w:val="00952C8B"/>
    <w:rsid w:val="00961A4A"/>
    <w:rsid w:val="00965E00"/>
    <w:rsid w:val="009661DE"/>
    <w:rsid w:val="0097054B"/>
    <w:rsid w:val="00972C7C"/>
    <w:rsid w:val="009776F4"/>
    <w:rsid w:val="00982DA2"/>
    <w:rsid w:val="00983C25"/>
    <w:rsid w:val="0098466D"/>
    <w:rsid w:val="009856B7"/>
    <w:rsid w:val="009859D6"/>
    <w:rsid w:val="00985C86"/>
    <w:rsid w:val="00991BC1"/>
    <w:rsid w:val="009A5FC3"/>
    <w:rsid w:val="009B6F84"/>
    <w:rsid w:val="009B74B0"/>
    <w:rsid w:val="009C0152"/>
    <w:rsid w:val="009C1A74"/>
    <w:rsid w:val="009C3D42"/>
    <w:rsid w:val="009C491E"/>
    <w:rsid w:val="009C7D2F"/>
    <w:rsid w:val="009D0DF1"/>
    <w:rsid w:val="009D1456"/>
    <w:rsid w:val="009D22D6"/>
    <w:rsid w:val="009D2C84"/>
    <w:rsid w:val="009D3906"/>
    <w:rsid w:val="009D6B46"/>
    <w:rsid w:val="009E35B6"/>
    <w:rsid w:val="009E5ABC"/>
    <w:rsid w:val="009F2C9E"/>
    <w:rsid w:val="009F3BBA"/>
    <w:rsid w:val="009F3F5A"/>
    <w:rsid w:val="009F43B4"/>
    <w:rsid w:val="009F4940"/>
    <w:rsid w:val="009F5BA1"/>
    <w:rsid w:val="009F5D47"/>
    <w:rsid w:val="009F7BD6"/>
    <w:rsid w:val="00A02A88"/>
    <w:rsid w:val="00A04012"/>
    <w:rsid w:val="00A0447B"/>
    <w:rsid w:val="00A046FA"/>
    <w:rsid w:val="00A0562E"/>
    <w:rsid w:val="00A057F8"/>
    <w:rsid w:val="00A0726D"/>
    <w:rsid w:val="00A073AE"/>
    <w:rsid w:val="00A078B3"/>
    <w:rsid w:val="00A12204"/>
    <w:rsid w:val="00A12750"/>
    <w:rsid w:val="00A13CB0"/>
    <w:rsid w:val="00A1561F"/>
    <w:rsid w:val="00A16544"/>
    <w:rsid w:val="00A30BF5"/>
    <w:rsid w:val="00A30F8F"/>
    <w:rsid w:val="00A31BE6"/>
    <w:rsid w:val="00A32FBB"/>
    <w:rsid w:val="00A34D9A"/>
    <w:rsid w:val="00A40068"/>
    <w:rsid w:val="00A40BE9"/>
    <w:rsid w:val="00A428EE"/>
    <w:rsid w:val="00A42928"/>
    <w:rsid w:val="00A443C2"/>
    <w:rsid w:val="00A4478A"/>
    <w:rsid w:val="00A44852"/>
    <w:rsid w:val="00A50502"/>
    <w:rsid w:val="00A53409"/>
    <w:rsid w:val="00A53796"/>
    <w:rsid w:val="00A53848"/>
    <w:rsid w:val="00A56945"/>
    <w:rsid w:val="00A56A6E"/>
    <w:rsid w:val="00A57D04"/>
    <w:rsid w:val="00A607D1"/>
    <w:rsid w:val="00A60A26"/>
    <w:rsid w:val="00A61598"/>
    <w:rsid w:val="00A61777"/>
    <w:rsid w:val="00A63646"/>
    <w:rsid w:val="00A63914"/>
    <w:rsid w:val="00A809E7"/>
    <w:rsid w:val="00A843AA"/>
    <w:rsid w:val="00A84A99"/>
    <w:rsid w:val="00A84F2E"/>
    <w:rsid w:val="00A84F46"/>
    <w:rsid w:val="00A85E87"/>
    <w:rsid w:val="00A863B9"/>
    <w:rsid w:val="00A86AEA"/>
    <w:rsid w:val="00A871F4"/>
    <w:rsid w:val="00A9431A"/>
    <w:rsid w:val="00A95855"/>
    <w:rsid w:val="00A95988"/>
    <w:rsid w:val="00A959DF"/>
    <w:rsid w:val="00A979A3"/>
    <w:rsid w:val="00A97A1B"/>
    <w:rsid w:val="00AA2927"/>
    <w:rsid w:val="00AA6055"/>
    <w:rsid w:val="00AB2CB8"/>
    <w:rsid w:val="00AB4617"/>
    <w:rsid w:val="00AC1B2C"/>
    <w:rsid w:val="00AC3264"/>
    <w:rsid w:val="00AC360B"/>
    <w:rsid w:val="00AC46AD"/>
    <w:rsid w:val="00AC4D2D"/>
    <w:rsid w:val="00AC58EC"/>
    <w:rsid w:val="00AC7282"/>
    <w:rsid w:val="00AC7961"/>
    <w:rsid w:val="00AD314E"/>
    <w:rsid w:val="00AD4AAD"/>
    <w:rsid w:val="00AD5FCD"/>
    <w:rsid w:val="00AD62D3"/>
    <w:rsid w:val="00AD6B48"/>
    <w:rsid w:val="00AD7A3A"/>
    <w:rsid w:val="00AE1BF1"/>
    <w:rsid w:val="00AE23AB"/>
    <w:rsid w:val="00AE58FB"/>
    <w:rsid w:val="00AE5AF0"/>
    <w:rsid w:val="00AE663D"/>
    <w:rsid w:val="00AE73B3"/>
    <w:rsid w:val="00AF07E7"/>
    <w:rsid w:val="00AF0DD2"/>
    <w:rsid w:val="00AF31E1"/>
    <w:rsid w:val="00AF3BBA"/>
    <w:rsid w:val="00AF4231"/>
    <w:rsid w:val="00AF4E22"/>
    <w:rsid w:val="00AF557D"/>
    <w:rsid w:val="00B00B0E"/>
    <w:rsid w:val="00B00B26"/>
    <w:rsid w:val="00B02385"/>
    <w:rsid w:val="00B02F9D"/>
    <w:rsid w:val="00B05766"/>
    <w:rsid w:val="00B13048"/>
    <w:rsid w:val="00B13883"/>
    <w:rsid w:val="00B1716D"/>
    <w:rsid w:val="00B17A1D"/>
    <w:rsid w:val="00B207A0"/>
    <w:rsid w:val="00B21C21"/>
    <w:rsid w:val="00B21E6F"/>
    <w:rsid w:val="00B22F54"/>
    <w:rsid w:val="00B2355F"/>
    <w:rsid w:val="00B24A7E"/>
    <w:rsid w:val="00B25C0C"/>
    <w:rsid w:val="00B304B5"/>
    <w:rsid w:val="00B308A9"/>
    <w:rsid w:val="00B31047"/>
    <w:rsid w:val="00B33148"/>
    <w:rsid w:val="00B35CDF"/>
    <w:rsid w:val="00B403C2"/>
    <w:rsid w:val="00B405A1"/>
    <w:rsid w:val="00B40F57"/>
    <w:rsid w:val="00B4438A"/>
    <w:rsid w:val="00B457D2"/>
    <w:rsid w:val="00B45AA2"/>
    <w:rsid w:val="00B479CA"/>
    <w:rsid w:val="00B5084F"/>
    <w:rsid w:val="00B51211"/>
    <w:rsid w:val="00B514DD"/>
    <w:rsid w:val="00B519B4"/>
    <w:rsid w:val="00B52AF0"/>
    <w:rsid w:val="00B53D5F"/>
    <w:rsid w:val="00B54051"/>
    <w:rsid w:val="00B561BD"/>
    <w:rsid w:val="00B56E03"/>
    <w:rsid w:val="00B614C4"/>
    <w:rsid w:val="00B61771"/>
    <w:rsid w:val="00B62765"/>
    <w:rsid w:val="00B646BB"/>
    <w:rsid w:val="00B65DF5"/>
    <w:rsid w:val="00B66699"/>
    <w:rsid w:val="00B7679F"/>
    <w:rsid w:val="00B77159"/>
    <w:rsid w:val="00B8080B"/>
    <w:rsid w:val="00B82223"/>
    <w:rsid w:val="00B82B53"/>
    <w:rsid w:val="00B87BA5"/>
    <w:rsid w:val="00B87C39"/>
    <w:rsid w:val="00B93891"/>
    <w:rsid w:val="00B9562D"/>
    <w:rsid w:val="00BA10AF"/>
    <w:rsid w:val="00BA21DA"/>
    <w:rsid w:val="00BA2B60"/>
    <w:rsid w:val="00BA3133"/>
    <w:rsid w:val="00BA3C93"/>
    <w:rsid w:val="00BA4665"/>
    <w:rsid w:val="00BA7FD7"/>
    <w:rsid w:val="00BB1681"/>
    <w:rsid w:val="00BB24D3"/>
    <w:rsid w:val="00BB2FB2"/>
    <w:rsid w:val="00BB3304"/>
    <w:rsid w:val="00BB6551"/>
    <w:rsid w:val="00BC0844"/>
    <w:rsid w:val="00BC2AAC"/>
    <w:rsid w:val="00BC4A10"/>
    <w:rsid w:val="00BC5363"/>
    <w:rsid w:val="00BD30F4"/>
    <w:rsid w:val="00BD3446"/>
    <w:rsid w:val="00BD59CF"/>
    <w:rsid w:val="00BD65E6"/>
    <w:rsid w:val="00BE1312"/>
    <w:rsid w:val="00BE1F1B"/>
    <w:rsid w:val="00BE3F89"/>
    <w:rsid w:val="00BE47B5"/>
    <w:rsid w:val="00BE5FCE"/>
    <w:rsid w:val="00BF223A"/>
    <w:rsid w:val="00C0079E"/>
    <w:rsid w:val="00C01FBE"/>
    <w:rsid w:val="00C0572A"/>
    <w:rsid w:val="00C076BA"/>
    <w:rsid w:val="00C12AB2"/>
    <w:rsid w:val="00C13EBD"/>
    <w:rsid w:val="00C1631B"/>
    <w:rsid w:val="00C163AB"/>
    <w:rsid w:val="00C170F0"/>
    <w:rsid w:val="00C2279E"/>
    <w:rsid w:val="00C2565D"/>
    <w:rsid w:val="00C25962"/>
    <w:rsid w:val="00C25FA6"/>
    <w:rsid w:val="00C3099D"/>
    <w:rsid w:val="00C33011"/>
    <w:rsid w:val="00C34AAD"/>
    <w:rsid w:val="00C362C1"/>
    <w:rsid w:val="00C40FAA"/>
    <w:rsid w:val="00C41950"/>
    <w:rsid w:val="00C42C3B"/>
    <w:rsid w:val="00C46D30"/>
    <w:rsid w:val="00C47638"/>
    <w:rsid w:val="00C51672"/>
    <w:rsid w:val="00C538A9"/>
    <w:rsid w:val="00C53B5A"/>
    <w:rsid w:val="00C53E41"/>
    <w:rsid w:val="00C54909"/>
    <w:rsid w:val="00C54AF3"/>
    <w:rsid w:val="00C54F5A"/>
    <w:rsid w:val="00C569B4"/>
    <w:rsid w:val="00C57DDE"/>
    <w:rsid w:val="00C61468"/>
    <w:rsid w:val="00C61A97"/>
    <w:rsid w:val="00C61E44"/>
    <w:rsid w:val="00C64FF3"/>
    <w:rsid w:val="00C662AD"/>
    <w:rsid w:val="00C67A92"/>
    <w:rsid w:val="00C70172"/>
    <w:rsid w:val="00C70CD3"/>
    <w:rsid w:val="00C71280"/>
    <w:rsid w:val="00C717BF"/>
    <w:rsid w:val="00C76178"/>
    <w:rsid w:val="00C84560"/>
    <w:rsid w:val="00C857E6"/>
    <w:rsid w:val="00C86679"/>
    <w:rsid w:val="00C8792F"/>
    <w:rsid w:val="00C90472"/>
    <w:rsid w:val="00C91D6E"/>
    <w:rsid w:val="00CA012C"/>
    <w:rsid w:val="00CA3F3C"/>
    <w:rsid w:val="00CA489E"/>
    <w:rsid w:val="00CA76B7"/>
    <w:rsid w:val="00CB0279"/>
    <w:rsid w:val="00CB666B"/>
    <w:rsid w:val="00CB734B"/>
    <w:rsid w:val="00CC41B6"/>
    <w:rsid w:val="00CC7ADA"/>
    <w:rsid w:val="00CC7F1D"/>
    <w:rsid w:val="00CD0A88"/>
    <w:rsid w:val="00CD125D"/>
    <w:rsid w:val="00CD283C"/>
    <w:rsid w:val="00CD3641"/>
    <w:rsid w:val="00CD3D9F"/>
    <w:rsid w:val="00CD6635"/>
    <w:rsid w:val="00CD66EA"/>
    <w:rsid w:val="00CD7432"/>
    <w:rsid w:val="00CD74D9"/>
    <w:rsid w:val="00CE0FA5"/>
    <w:rsid w:val="00CE2A23"/>
    <w:rsid w:val="00CE31C8"/>
    <w:rsid w:val="00CE484B"/>
    <w:rsid w:val="00CE4EF0"/>
    <w:rsid w:val="00CE7CBA"/>
    <w:rsid w:val="00CF0DEE"/>
    <w:rsid w:val="00CF42AA"/>
    <w:rsid w:val="00CF5EAA"/>
    <w:rsid w:val="00CF6AE3"/>
    <w:rsid w:val="00CF77BB"/>
    <w:rsid w:val="00D005DB"/>
    <w:rsid w:val="00D006AE"/>
    <w:rsid w:val="00D00905"/>
    <w:rsid w:val="00D010C1"/>
    <w:rsid w:val="00D01CF0"/>
    <w:rsid w:val="00D0442A"/>
    <w:rsid w:val="00D06B81"/>
    <w:rsid w:val="00D12A7B"/>
    <w:rsid w:val="00D12ADB"/>
    <w:rsid w:val="00D15E63"/>
    <w:rsid w:val="00D2594C"/>
    <w:rsid w:val="00D25A39"/>
    <w:rsid w:val="00D26562"/>
    <w:rsid w:val="00D2709C"/>
    <w:rsid w:val="00D27CFA"/>
    <w:rsid w:val="00D310FA"/>
    <w:rsid w:val="00D325C6"/>
    <w:rsid w:val="00D33590"/>
    <w:rsid w:val="00D37213"/>
    <w:rsid w:val="00D4360D"/>
    <w:rsid w:val="00D46EA7"/>
    <w:rsid w:val="00D5015C"/>
    <w:rsid w:val="00D5607F"/>
    <w:rsid w:val="00D61388"/>
    <w:rsid w:val="00D61A54"/>
    <w:rsid w:val="00D62108"/>
    <w:rsid w:val="00D640EF"/>
    <w:rsid w:val="00D64AA4"/>
    <w:rsid w:val="00D64DEA"/>
    <w:rsid w:val="00D64F84"/>
    <w:rsid w:val="00D663CD"/>
    <w:rsid w:val="00D6726A"/>
    <w:rsid w:val="00D6734F"/>
    <w:rsid w:val="00D7001B"/>
    <w:rsid w:val="00D7160D"/>
    <w:rsid w:val="00D7168E"/>
    <w:rsid w:val="00D71E57"/>
    <w:rsid w:val="00D72D27"/>
    <w:rsid w:val="00D75446"/>
    <w:rsid w:val="00D7786B"/>
    <w:rsid w:val="00D80893"/>
    <w:rsid w:val="00D82519"/>
    <w:rsid w:val="00D84854"/>
    <w:rsid w:val="00D924AE"/>
    <w:rsid w:val="00D92CF1"/>
    <w:rsid w:val="00D92D38"/>
    <w:rsid w:val="00D950F5"/>
    <w:rsid w:val="00D97379"/>
    <w:rsid w:val="00DA40F6"/>
    <w:rsid w:val="00DA4752"/>
    <w:rsid w:val="00DA4C09"/>
    <w:rsid w:val="00DA61F3"/>
    <w:rsid w:val="00DA7CB3"/>
    <w:rsid w:val="00DB0D00"/>
    <w:rsid w:val="00DB0F93"/>
    <w:rsid w:val="00DB1A67"/>
    <w:rsid w:val="00DB3721"/>
    <w:rsid w:val="00DB5074"/>
    <w:rsid w:val="00DC0281"/>
    <w:rsid w:val="00DC1930"/>
    <w:rsid w:val="00DC1C76"/>
    <w:rsid w:val="00DC236B"/>
    <w:rsid w:val="00DC4DBF"/>
    <w:rsid w:val="00DC4E19"/>
    <w:rsid w:val="00DC65FE"/>
    <w:rsid w:val="00DC7981"/>
    <w:rsid w:val="00DD4C07"/>
    <w:rsid w:val="00DD577D"/>
    <w:rsid w:val="00DD5ADC"/>
    <w:rsid w:val="00DD7BBF"/>
    <w:rsid w:val="00DE1093"/>
    <w:rsid w:val="00DE4EFA"/>
    <w:rsid w:val="00DE5520"/>
    <w:rsid w:val="00DE563D"/>
    <w:rsid w:val="00DE7AB5"/>
    <w:rsid w:val="00DF0152"/>
    <w:rsid w:val="00DF1958"/>
    <w:rsid w:val="00DF200D"/>
    <w:rsid w:val="00E00A32"/>
    <w:rsid w:val="00E04818"/>
    <w:rsid w:val="00E06442"/>
    <w:rsid w:val="00E066BA"/>
    <w:rsid w:val="00E06952"/>
    <w:rsid w:val="00E11E61"/>
    <w:rsid w:val="00E157B2"/>
    <w:rsid w:val="00E16055"/>
    <w:rsid w:val="00E2332D"/>
    <w:rsid w:val="00E23993"/>
    <w:rsid w:val="00E2574F"/>
    <w:rsid w:val="00E25951"/>
    <w:rsid w:val="00E25B8C"/>
    <w:rsid w:val="00E26FBF"/>
    <w:rsid w:val="00E27945"/>
    <w:rsid w:val="00E31CF6"/>
    <w:rsid w:val="00E34A4A"/>
    <w:rsid w:val="00E35AFC"/>
    <w:rsid w:val="00E41D39"/>
    <w:rsid w:val="00E434BA"/>
    <w:rsid w:val="00E46A1E"/>
    <w:rsid w:val="00E50A02"/>
    <w:rsid w:val="00E52390"/>
    <w:rsid w:val="00E54106"/>
    <w:rsid w:val="00E54697"/>
    <w:rsid w:val="00E57A08"/>
    <w:rsid w:val="00E63631"/>
    <w:rsid w:val="00E64C2A"/>
    <w:rsid w:val="00E65C85"/>
    <w:rsid w:val="00E66199"/>
    <w:rsid w:val="00E70203"/>
    <w:rsid w:val="00E70526"/>
    <w:rsid w:val="00E754B4"/>
    <w:rsid w:val="00E755EC"/>
    <w:rsid w:val="00E75619"/>
    <w:rsid w:val="00E7624D"/>
    <w:rsid w:val="00E81724"/>
    <w:rsid w:val="00E819A4"/>
    <w:rsid w:val="00E833FA"/>
    <w:rsid w:val="00E84B74"/>
    <w:rsid w:val="00E87066"/>
    <w:rsid w:val="00E9391C"/>
    <w:rsid w:val="00E966BF"/>
    <w:rsid w:val="00EA0C04"/>
    <w:rsid w:val="00EA3D42"/>
    <w:rsid w:val="00EA6B1B"/>
    <w:rsid w:val="00EB1CBD"/>
    <w:rsid w:val="00EB3A34"/>
    <w:rsid w:val="00EB3C3F"/>
    <w:rsid w:val="00EB59A5"/>
    <w:rsid w:val="00EC04F1"/>
    <w:rsid w:val="00EC237F"/>
    <w:rsid w:val="00EC2F10"/>
    <w:rsid w:val="00EC573A"/>
    <w:rsid w:val="00ED2AFD"/>
    <w:rsid w:val="00ED35C8"/>
    <w:rsid w:val="00ED3968"/>
    <w:rsid w:val="00ED7323"/>
    <w:rsid w:val="00EE28F3"/>
    <w:rsid w:val="00EE50D1"/>
    <w:rsid w:val="00EE7614"/>
    <w:rsid w:val="00EE7E62"/>
    <w:rsid w:val="00EF1EB0"/>
    <w:rsid w:val="00EF5110"/>
    <w:rsid w:val="00EF5890"/>
    <w:rsid w:val="00EF5B3F"/>
    <w:rsid w:val="00EF76BA"/>
    <w:rsid w:val="00F0231A"/>
    <w:rsid w:val="00F03463"/>
    <w:rsid w:val="00F036B7"/>
    <w:rsid w:val="00F0700F"/>
    <w:rsid w:val="00F07F1F"/>
    <w:rsid w:val="00F10411"/>
    <w:rsid w:val="00F10A9A"/>
    <w:rsid w:val="00F11B2D"/>
    <w:rsid w:val="00F121C2"/>
    <w:rsid w:val="00F13F4D"/>
    <w:rsid w:val="00F1485B"/>
    <w:rsid w:val="00F15882"/>
    <w:rsid w:val="00F170C7"/>
    <w:rsid w:val="00F171E0"/>
    <w:rsid w:val="00F20BD3"/>
    <w:rsid w:val="00F22A8C"/>
    <w:rsid w:val="00F24A72"/>
    <w:rsid w:val="00F314FC"/>
    <w:rsid w:val="00F322E9"/>
    <w:rsid w:val="00F3231B"/>
    <w:rsid w:val="00F33808"/>
    <w:rsid w:val="00F373A5"/>
    <w:rsid w:val="00F37864"/>
    <w:rsid w:val="00F404F9"/>
    <w:rsid w:val="00F44B0A"/>
    <w:rsid w:val="00F47559"/>
    <w:rsid w:val="00F50B30"/>
    <w:rsid w:val="00F51F5F"/>
    <w:rsid w:val="00F52D75"/>
    <w:rsid w:val="00F55582"/>
    <w:rsid w:val="00F57647"/>
    <w:rsid w:val="00F6104B"/>
    <w:rsid w:val="00F612B3"/>
    <w:rsid w:val="00F62A14"/>
    <w:rsid w:val="00F644AB"/>
    <w:rsid w:val="00F64C7B"/>
    <w:rsid w:val="00F676DD"/>
    <w:rsid w:val="00F67AB6"/>
    <w:rsid w:val="00F70028"/>
    <w:rsid w:val="00F70434"/>
    <w:rsid w:val="00F75A26"/>
    <w:rsid w:val="00F76706"/>
    <w:rsid w:val="00F77D6D"/>
    <w:rsid w:val="00F80206"/>
    <w:rsid w:val="00F81C19"/>
    <w:rsid w:val="00F81DC3"/>
    <w:rsid w:val="00F83034"/>
    <w:rsid w:val="00F83FAD"/>
    <w:rsid w:val="00F844C6"/>
    <w:rsid w:val="00F92FA6"/>
    <w:rsid w:val="00F9353B"/>
    <w:rsid w:val="00F937F1"/>
    <w:rsid w:val="00F952A0"/>
    <w:rsid w:val="00FA31B1"/>
    <w:rsid w:val="00FA3320"/>
    <w:rsid w:val="00FA3C7F"/>
    <w:rsid w:val="00FA6246"/>
    <w:rsid w:val="00FB0FFF"/>
    <w:rsid w:val="00FB24ED"/>
    <w:rsid w:val="00FB30F1"/>
    <w:rsid w:val="00FB3304"/>
    <w:rsid w:val="00FB3FC6"/>
    <w:rsid w:val="00FB442C"/>
    <w:rsid w:val="00FB5005"/>
    <w:rsid w:val="00FB60FE"/>
    <w:rsid w:val="00FB74E2"/>
    <w:rsid w:val="00FB778B"/>
    <w:rsid w:val="00FC07DB"/>
    <w:rsid w:val="00FC1246"/>
    <w:rsid w:val="00FC3404"/>
    <w:rsid w:val="00FC449E"/>
    <w:rsid w:val="00FD5614"/>
    <w:rsid w:val="00FD5E78"/>
    <w:rsid w:val="00FE0BE1"/>
    <w:rsid w:val="00FE11BB"/>
    <w:rsid w:val="00FE1DE9"/>
    <w:rsid w:val="00FE36AF"/>
    <w:rsid w:val="00FE39C2"/>
    <w:rsid w:val="00FE3C32"/>
    <w:rsid w:val="00FE4198"/>
    <w:rsid w:val="00FE64AE"/>
    <w:rsid w:val="00FF5F66"/>
    <w:rsid w:val="00FF6BE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74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uiPriority="2" w:qFormat="1"/>
    <w:lsdException w:name="header" w:qFormat="1"/>
    <w:lsdException w:name="footer" w:qFormat="1"/>
    <w:lsdException w:name="caption" w:uiPriority="35" w:qFormat="1"/>
    <w:lsdException w:name="footnote reference"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uiPriority="0" w:qFormat="1"/>
    <w:lsdException w:name="List Continue 2" w:uiPriority="0" w:qFormat="1"/>
    <w:lsdException w:name="List Continue 3" w:uiPriority="0"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7"/>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Ind w:w="0" w:type="dxa"/>
      <w:tblBorders>
        <w:top w:val="single" w:sz="4" w:space="0" w:color="BFBFBF" w:themeColor="background1" w:themeShade="BF"/>
        <w:bottom w:val="single" w:sz="4" w:space="0" w:color="BFBFBF" w:themeColor="background1" w:themeShade="BF"/>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Ind w:w="0" w:type="dxa"/>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CellMar>
        <w:top w:w="0" w:type="dxa"/>
        <w:left w:w="108" w:type="dxa"/>
        <w:bottom w:w="0" w:type="dxa"/>
        <w:right w:w="108" w:type="dxa"/>
      </w:tblCellMar>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Ind w:w="0" w:type="dxa"/>
      <w:tblBorders>
        <w:top w:val="single" w:sz="8" w:space="0" w:color="2F002F" w:themeColor="accent1"/>
        <w:bottom w:val="single" w:sz="8" w:space="0" w:color="2F002F"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Ind w:w="0" w:type="dxa"/>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CellMar>
        <w:top w:w="0" w:type="dxa"/>
        <w:left w:w="108" w:type="dxa"/>
        <w:bottom w:w="0" w:type="dxa"/>
        <w:right w:w="108" w:type="dxa"/>
      </w:tblCellMar>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Ind w:w="0" w:type="dxa"/>
      <w:tblBorders>
        <w:top w:val="single" w:sz="8" w:space="0" w:color="002060" w:themeColor="accent3"/>
        <w:bottom w:val="single" w:sz="8" w:space="0" w:color="002060"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Ind w:w="0" w:type="dxa"/>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Ind w:w="0" w:type="dxa"/>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Ind w:w="0" w:type="dxa"/>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Ind w:w="0" w:type="dxa"/>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Ind w:w="0" w:type="dxa"/>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Ind w:w="0" w:type="dxa"/>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Ind w:w="0" w:type="dxa"/>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Ind w:w="0" w:type="dxa"/>
      <w:tblBorders>
        <w:top w:val="single" w:sz="8" w:space="0" w:color="076A92" w:themeColor="text1"/>
        <w:left w:val="single" w:sz="8" w:space="0" w:color="076A92" w:themeColor="text1"/>
        <w:bottom w:val="single" w:sz="8" w:space="0" w:color="076A92" w:themeColor="text1"/>
        <w:right w:val="single" w:sz="8" w:space="0" w:color="076A92"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Ind w:w="0" w:type="dxa"/>
      <w:tblBorders>
        <w:top w:val="single" w:sz="8" w:space="0" w:color="000000" w:themeColor="accent5"/>
        <w:bottom w:val="single" w:sz="8" w:space="0" w:color="000000"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Ind w:w="0" w:type="dxa"/>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Ind w:w="0" w:type="dxa"/>
      <w:tblBorders>
        <w:top w:val="single" w:sz="8" w:space="0" w:color="2F002F" w:themeColor="accent1"/>
        <w:left w:val="single" w:sz="8" w:space="0" w:color="2F002F" w:themeColor="accent1"/>
        <w:bottom w:val="single" w:sz="8" w:space="0" w:color="2F002F" w:themeColor="accent1"/>
        <w:right w:val="single" w:sz="8" w:space="0" w:color="2F002F"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Ind w:w="0" w:type="dxa"/>
      <w:tblBorders>
        <w:top w:val="single" w:sz="8" w:space="0" w:color="002060" w:themeColor="accent3"/>
        <w:left w:val="single" w:sz="8" w:space="0" w:color="002060" w:themeColor="accent3"/>
        <w:bottom w:val="single" w:sz="8" w:space="0" w:color="002060" w:themeColor="accent3"/>
        <w:right w:val="single" w:sz="8" w:space="0" w:color="002060"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Ind w:w="0" w:type="dxa"/>
      <w:tblBorders>
        <w:top w:val="single" w:sz="8" w:space="0" w:color="000000" w:themeColor="accent5"/>
        <w:left w:val="single" w:sz="8" w:space="0" w:color="000000" w:themeColor="accent5"/>
        <w:bottom w:val="single" w:sz="8" w:space="0" w:color="000000" w:themeColor="accent5"/>
        <w:right w:val="single" w:sz="8" w:space="0" w:color="000000" w:themeColor="accent5"/>
      </w:tblBorders>
      <w:tblCellMar>
        <w:top w:w="0" w:type="dxa"/>
        <w:left w:w="108" w:type="dxa"/>
        <w:bottom w:w="0" w:type="dxa"/>
        <w:right w:w="108" w:type="dxa"/>
      </w:tblCellMar>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2"/>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qFormat/>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Ind w:w="0" w:type="dxa"/>
      <w:tblBorders>
        <w:top w:val="single" w:sz="8" w:space="0" w:color="C00000" w:themeColor="accent4"/>
        <w:bottom w:val="single" w:sz="8" w:space="0" w:color="C00000"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Ind w:w="0" w:type="dxa"/>
      <w:tblBorders>
        <w:top w:val="single" w:sz="8" w:space="0" w:color="70303C" w:themeColor="accent6"/>
        <w:bottom w:val="single" w:sz="8" w:space="0" w:color="70303C"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Ind w:w="0" w:type="dxa"/>
      <w:tblBorders>
        <w:top w:val="single" w:sz="4" w:space="0" w:color="FFFFFF" w:themeColor="background2"/>
        <w:bottom w:val="single" w:sz="4" w:space="0" w:color="FFFFFF" w:themeColor="background2"/>
        <w:insideH w:val="single" w:sz="4" w:space="0" w:color="FFFFFF" w:themeColor="background2"/>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Ind w:w="0" w:type="dxa"/>
      <w:tblBorders>
        <w:top w:val="single" w:sz="8" w:space="0" w:color="C14E00" w:themeColor="accent2"/>
        <w:left w:val="single" w:sz="8" w:space="0" w:color="C14E00" w:themeColor="accent2"/>
        <w:bottom w:val="single" w:sz="8" w:space="0" w:color="C14E00" w:themeColor="accent2"/>
        <w:right w:val="single" w:sz="8" w:space="0" w:color="C14E00"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Ind w:w="0" w:type="dxa"/>
      <w:tblBorders>
        <w:top w:val="single" w:sz="8" w:space="0" w:color="C00000" w:themeColor="accent4"/>
        <w:left w:val="single" w:sz="8" w:space="0" w:color="C00000" w:themeColor="accent4"/>
        <w:bottom w:val="single" w:sz="8" w:space="0" w:color="C00000" w:themeColor="accent4"/>
        <w:right w:val="single" w:sz="8" w:space="0" w:color="C00000"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Ind w:w="0" w:type="dxa"/>
      <w:tblBorders>
        <w:top w:val="single" w:sz="8" w:space="0" w:color="70303C" w:themeColor="accent6"/>
        <w:left w:val="single" w:sz="8" w:space="0" w:color="70303C" w:themeColor="accent6"/>
        <w:bottom w:val="single" w:sz="8" w:space="0" w:color="70303C" w:themeColor="accent6"/>
        <w:right w:val="single" w:sz="8" w:space="0" w:color="70303C"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Ind w:w="0" w:type="dxa"/>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Ind w:w="0" w:type="dxa"/>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Ind w:w="0" w:type="dxa"/>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Ind w:w="0" w:type="dxa"/>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Ind w:w="0" w:type="dxa"/>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Ind w:w="0" w:type="dxa"/>
      <w:tblBorders>
        <w:insideV w:val="single" w:sz="4" w:space="0" w:color="FFFFFF" w:themeColor="background2"/>
      </w:tblBorders>
      <w:tblCellMar>
        <w:top w:w="0" w:type="dxa"/>
        <w:left w:w="108" w:type="dxa"/>
        <w:bottom w:w="0" w:type="dxa"/>
        <w:right w:w="108" w:type="dxa"/>
      </w:tblCellMar>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Ind w:w="0" w:type="dxa"/>
      <w:tblBorders>
        <w:bottom w:val="single" w:sz="4" w:space="0" w:color="auto"/>
      </w:tblBorders>
      <w:tblCellMar>
        <w:top w:w="0" w:type="dxa"/>
        <w:left w:w="108" w:type="dxa"/>
        <w:bottom w:w="0" w:type="dxa"/>
        <w:right w:w="108" w:type="dxa"/>
      </w:tblCellMar>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AD7A3A"/>
    <w:pPr>
      <w:spacing w:before="0" w:after="240" w:line="288" w:lineRule="auto"/>
      <w:jc w:val="both"/>
    </w:pPr>
    <w:rPr>
      <w:rFonts w:ascii="Times New Roman" w:eastAsia="Calibri" w:hAnsi="Times New Roman" w:cs="Times New Roman"/>
      <w:sz w:val="24"/>
      <w:szCs w:val="24"/>
    </w:rPr>
  </w:style>
  <w:style w:type="paragraph" w:styleId="PlainText">
    <w:name w:val="Plain Text"/>
    <w:basedOn w:val="Normal"/>
    <w:link w:val="PlainTextChar"/>
    <w:uiPriority w:val="99"/>
    <w:unhideWhenUsed/>
    <w:rsid w:val="00AD7A3A"/>
    <w:pPr>
      <w:spacing w:before="0" w:after="100" w:afterAutospacing="1" w:line="240" w:lineRule="auto"/>
    </w:pPr>
    <w:rPr>
      <w:rFonts w:ascii="Verdana" w:eastAsia="Times New Roman" w:hAnsi="Verdana" w:cs="Times New Roman"/>
      <w:sz w:val="24"/>
      <w:szCs w:val="24"/>
      <w:lang w:eastAsia="en-AU"/>
    </w:rPr>
  </w:style>
  <w:style w:type="character" w:customStyle="1" w:styleId="PlainTextChar">
    <w:name w:val="Plain Text Char"/>
    <w:basedOn w:val="DefaultParagraphFont"/>
    <w:link w:val="PlainText"/>
    <w:uiPriority w:val="99"/>
    <w:rsid w:val="00AD7A3A"/>
    <w:rPr>
      <w:rFonts w:ascii="Verdana" w:eastAsia="Times New Roman" w:hAnsi="Verdana" w:cs="Times New Roman"/>
      <w:sz w:val="24"/>
      <w:szCs w:val="24"/>
      <w:lang w:eastAsia="en-AU"/>
    </w:rPr>
  </w:style>
  <w:style w:type="paragraph" w:styleId="BodyText">
    <w:name w:val="Body Text"/>
    <w:basedOn w:val="Normal"/>
    <w:link w:val="BodyTextChar"/>
    <w:uiPriority w:val="99"/>
    <w:semiHidden/>
    <w:unhideWhenUsed/>
    <w:rsid w:val="00AD7A3A"/>
    <w:pPr>
      <w:spacing w:before="0" w:after="120" w:line="288" w:lineRule="auto"/>
      <w:jc w:val="both"/>
    </w:pPr>
    <w:rPr>
      <w:rFonts w:ascii="Gautami" w:eastAsia="Calibri" w:hAnsi="Gautami" w:cs="Times New Roman"/>
      <w:sz w:val="20"/>
      <w:szCs w:val="20"/>
    </w:rPr>
  </w:style>
  <w:style w:type="character" w:customStyle="1" w:styleId="BodyTextChar">
    <w:name w:val="Body Text Char"/>
    <w:basedOn w:val="DefaultParagraphFont"/>
    <w:link w:val="BodyText"/>
    <w:uiPriority w:val="99"/>
    <w:semiHidden/>
    <w:rsid w:val="00AD7A3A"/>
    <w:rPr>
      <w:rFonts w:ascii="Gautami" w:eastAsia="Calibri" w:hAnsi="Gautami"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uiPriority="2" w:qFormat="1"/>
    <w:lsdException w:name="header" w:qFormat="1"/>
    <w:lsdException w:name="footer" w:qFormat="1"/>
    <w:lsdException w:name="caption" w:uiPriority="35" w:qFormat="1"/>
    <w:lsdException w:name="footnote reference"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uiPriority="0" w:qFormat="1"/>
    <w:lsdException w:name="List Continue 2" w:uiPriority="0" w:qFormat="1"/>
    <w:lsdException w:name="List Continue 3" w:uiPriority="0"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7"/>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Ind w:w="0" w:type="dxa"/>
      <w:tblBorders>
        <w:top w:val="single" w:sz="4" w:space="0" w:color="BFBFBF" w:themeColor="background1" w:themeShade="BF"/>
        <w:bottom w:val="single" w:sz="4" w:space="0" w:color="BFBFBF" w:themeColor="background1" w:themeShade="BF"/>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Ind w:w="0" w:type="dxa"/>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CellMar>
        <w:top w:w="0" w:type="dxa"/>
        <w:left w:w="108" w:type="dxa"/>
        <w:bottom w:w="0" w:type="dxa"/>
        <w:right w:w="108" w:type="dxa"/>
      </w:tblCellMar>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Ind w:w="0" w:type="dxa"/>
      <w:tblBorders>
        <w:top w:val="single" w:sz="8" w:space="0" w:color="2F002F" w:themeColor="accent1"/>
        <w:bottom w:val="single" w:sz="8" w:space="0" w:color="2F002F"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Ind w:w="0" w:type="dxa"/>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CellMar>
        <w:top w:w="0" w:type="dxa"/>
        <w:left w:w="108" w:type="dxa"/>
        <w:bottom w:w="0" w:type="dxa"/>
        <w:right w:w="108" w:type="dxa"/>
      </w:tblCellMar>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Ind w:w="0" w:type="dxa"/>
      <w:tblBorders>
        <w:top w:val="single" w:sz="8" w:space="0" w:color="002060" w:themeColor="accent3"/>
        <w:bottom w:val="single" w:sz="8" w:space="0" w:color="002060"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Ind w:w="0" w:type="dxa"/>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Ind w:w="0" w:type="dxa"/>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Ind w:w="0" w:type="dxa"/>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Ind w:w="0" w:type="dxa"/>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Ind w:w="0" w:type="dxa"/>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Ind w:w="0" w:type="dxa"/>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Ind w:w="0" w:type="dxa"/>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Ind w:w="0" w:type="dxa"/>
      <w:tblBorders>
        <w:top w:val="single" w:sz="8" w:space="0" w:color="076A92" w:themeColor="text1"/>
        <w:left w:val="single" w:sz="8" w:space="0" w:color="076A92" w:themeColor="text1"/>
        <w:bottom w:val="single" w:sz="8" w:space="0" w:color="076A92" w:themeColor="text1"/>
        <w:right w:val="single" w:sz="8" w:space="0" w:color="076A92"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Ind w:w="0" w:type="dxa"/>
      <w:tblBorders>
        <w:top w:val="single" w:sz="8" w:space="0" w:color="000000" w:themeColor="accent5"/>
        <w:bottom w:val="single" w:sz="8" w:space="0" w:color="000000"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Ind w:w="0" w:type="dxa"/>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Ind w:w="0" w:type="dxa"/>
      <w:tblBorders>
        <w:top w:val="single" w:sz="8" w:space="0" w:color="2F002F" w:themeColor="accent1"/>
        <w:left w:val="single" w:sz="8" w:space="0" w:color="2F002F" w:themeColor="accent1"/>
        <w:bottom w:val="single" w:sz="8" w:space="0" w:color="2F002F" w:themeColor="accent1"/>
        <w:right w:val="single" w:sz="8" w:space="0" w:color="2F002F"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Ind w:w="0" w:type="dxa"/>
      <w:tblBorders>
        <w:top w:val="single" w:sz="8" w:space="0" w:color="002060" w:themeColor="accent3"/>
        <w:left w:val="single" w:sz="8" w:space="0" w:color="002060" w:themeColor="accent3"/>
        <w:bottom w:val="single" w:sz="8" w:space="0" w:color="002060" w:themeColor="accent3"/>
        <w:right w:val="single" w:sz="8" w:space="0" w:color="002060"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Ind w:w="0" w:type="dxa"/>
      <w:tblBorders>
        <w:top w:val="single" w:sz="8" w:space="0" w:color="000000" w:themeColor="accent5"/>
        <w:left w:val="single" w:sz="8" w:space="0" w:color="000000" w:themeColor="accent5"/>
        <w:bottom w:val="single" w:sz="8" w:space="0" w:color="000000" w:themeColor="accent5"/>
        <w:right w:val="single" w:sz="8" w:space="0" w:color="000000" w:themeColor="accent5"/>
      </w:tblBorders>
      <w:tblCellMar>
        <w:top w:w="0" w:type="dxa"/>
        <w:left w:w="108" w:type="dxa"/>
        <w:bottom w:w="0" w:type="dxa"/>
        <w:right w:w="108" w:type="dxa"/>
      </w:tblCellMar>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2"/>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qFormat/>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Ind w:w="0" w:type="dxa"/>
      <w:tblBorders>
        <w:top w:val="single" w:sz="8" w:space="0" w:color="C00000" w:themeColor="accent4"/>
        <w:bottom w:val="single" w:sz="8" w:space="0" w:color="C00000"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Ind w:w="0" w:type="dxa"/>
      <w:tblBorders>
        <w:top w:val="single" w:sz="8" w:space="0" w:color="70303C" w:themeColor="accent6"/>
        <w:bottom w:val="single" w:sz="8" w:space="0" w:color="70303C"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Ind w:w="0" w:type="dxa"/>
      <w:tblBorders>
        <w:top w:val="single" w:sz="4" w:space="0" w:color="FFFFFF" w:themeColor="background2"/>
        <w:bottom w:val="single" w:sz="4" w:space="0" w:color="FFFFFF" w:themeColor="background2"/>
        <w:insideH w:val="single" w:sz="4" w:space="0" w:color="FFFFFF" w:themeColor="background2"/>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Ind w:w="0" w:type="dxa"/>
      <w:tblBorders>
        <w:top w:val="single" w:sz="8" w:space="0" w:color="C14E00" w:themeColor="accent2"/>
        <w:left w:val="single" w:sz="8" w:space="0" w:color="C14E00" w:themeColor="accent2"/>
        <w:bottom w:val="single" w:sz="8" w:space="0" w:color="C14E00" w:themeColor="accent2"/>
        <w:right w:val="single" w:sz="8" w:space="0" w:color="C14E00"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Ind w:w="0" w:type="dxa"/>
      <w:tblBorders>
        <w:top w:val="single" w:sz="8" w:space="0" w:color="C00000" w:themeColor="accent4"/>
        <w:left w:val="single" w:sz="8" w:space="0" w:color="C00000" w:themeColor="accent4"/>
        <w:bottom w:val="single" w:sz="8" w:space="0" w:color="C00000" w:themeColor="accent4"/>
        <w:right w:val="single" w:sz="8" w:space="0" w:color="C00000"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Ind w:w="0" w:type="dxa"/>
      <w:tblBorders>
        <w:top w:val="single" w:sz="8" w:space="0" w:color="70303C" w:themeColor="accent6"/>
        <w:left w:val="single" w:sz="8" w:space="0" w:color="70303C" w:themeColor="accent6"/>
        <w:bottom w:val="single" w:sz="8" w:space="0" w:color="70303C" w:themeColor="accent6"/>
        <w:right w:val="single" w:sz="8" w:space="0" w:color="70303C"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Ind w:w="0" w:type="dxa"/>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Ind w:w="0" w:type="dxa"/>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Ind w:w="0" w:type="dxa"/>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Ind w:w="0" w:type="dxa"/>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Ind w:w="0" w:type="dxa"/>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Ind w:w="0" w:type="dxa"/>
      <w:tblBorders>
        <w:insideV w:val="single" w:sz="4" w:space="0" w:color="FFFFFF" w:themeColor="background2"/>
      </w:tblBorders>
      <w:tblCellMar>
        <w:top w:w="0" w:type="dxa"/>
        <w:left w:w="108" w:type="dxa"/>
        <w:bottom w:w="0" w:type="dxa"/>
        <w:right w:w="108" w:type="dxa"/>
      </w:tblCellMar>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Ind w:w="0" w:type="dxa"/>
      <w:tblBorders>
        <w:bottom w:val="single" w:sz="4" w:space="0" w:color="auto"/>
      </w:tblBorders>
      <w:tblCellMar>
        <w:top w:w="0" w:type="dxa"/>
        <w:left w:w="108" w:type="dxa"/>
        <w:bottom w:w="0" w:type="dxa"/>
        <w:right w:w="108" w:type="dxa"/>
      </w:tblCellMar>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AD7A3A"/>
    <w:pPr>
      <w:spacing w:before="0" w:after="240" w:line="288" w:lineRule="auto"/>
      <w:jc w:val="both"/>
    </w:pPr>
    <w:rPr>
      <w:rFonts w:ascii="Times New Roman" w:eastAsia="Calibri" w:hAnsi="Times New Roman" w:cs="Times New Roman"/>
      <w:sz w:val="24"/>
      <w:szCs w:val="24"/>
    </w:rPr>
  </w:style>
  <w:style w:type="paragraph" w:styleId="PlainText">
    <w:name w:val="Plain Text"/>
    <w:basedOn w:val="Normal"/>
    <w:link w:val="PlainTextChar"/>
    <w:uiPriority w:val="99"/>
    <w:unhideWhenUsed/>
    <w:rsid w:val="00AD7A3A"/>
    <w:pPr>
      <w:spacing w:before="0" w:after="100" w:afterAutospacing="1" w:line="240" w:lineRule="auto"/>
    </w:pPr>
    <w:rPr>
      <w:rFonts w:ascii="Verdana" w:eastAsia="Times New Roman" w:hAnsi="Verdana" w:cs="Times New Roman"/>
      <w:sz w:val="24"/>
      <w:szCs w:val="24"/>
      <w:lang w:eastAsia="en-AU"/>
    </w:rPr>
  </w:style>
  <w:style w:type="character" w:customStyle="1" w:styleId="PlainTextChar">
    <w:name w:val="Plain Text Char"/>
    <w:basedOn w:val="DefaultParagraphFont"/>
    <w:link w:val="PlainText"/>
    <w:uiPriority w:val="99"/>
    <w:rsid w:val="00AD7A3A"/>
    <w:rPr>
      <w:rFonts w:ascii="Verdana" w:eastAsia="Times New Roman" w:hAnsi="Verdana" w:cs="Times New Roman"/>
      <w:sz w:val="24"/>
      <w:szCs w:val="24"/>
      <w:lang w:eastAsia="en-AU"/>
    </w:rPr>
  </w:style>
  <w:style w:type="paragraph" w:styleId="BodyText">
    <w:name w:val="Body Text"/>
    <w:basedOn w:val="Normal"/>
    <w:link w:val="BodyTextChar"/>
    <w:uiPriority w:val="99"/>
    <w:semiHidden/>
    <w:unhideWhenUsed/>
    <w:rsid w:val="00AD7A3A"/>
    <w:pPr>
      <w:spacing w:before="0" w:after="120" w:line="288" w:lineRule="auto"/>
      <w:jc w:val="both"/>
    </w:pPr>
    <w:rPr>
      <w:rFonts w:ascii="Gautami" w:eastAsia="Calibri" w:hAnsi="Gautami" w:cs="Times New Roman"/>
      <w:sz w:val="20"/>
      <w:szCs w:val="20"/>
    </w:rPr>
  </w:style>
  <w:style w:type="character" w:customStyle="1" w:styleId="BodyTextChar">
    <w:name w:val="Body Text Char"/>
    <w:basedOn w:val="DefaultParagraphFont"/>
    <w:link w:val="BodyText"/>
    <w:uiPriority w:val="99"/>
    <w:semiHidden/>
    <w:rsid w:val="00AD7A3A"/>
    <w:rPr>
      <w:rFonts w:ascii="Gautami" w:eastAsia="Calibri" w:hAnsi="Gautam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823670">
      <w:bodyDiv w:val="1"/>
      <w:marLeft w:val="0"/>
      <w:marRight w:val="0"/>
      <w:marTop w:val="0"/>
      <w:marBottom w:val="0"/>
      <w:divBdr>
        <w:top w:val="none" w:sz="0" w:space="0" w:color="auto"/>
        <w:left w:val="none" w:sz="0" w:space="0" w:color="auto"/>
        <w:bottom w:val="none" w:sz="0" w:space="0" w:color="auto"/>
        <w:right w:val="none" w:sz="0" w:space="0" w:color="auto"/>
      </w:divBdr>
    </w:div>
    <w:div w:id="456605257">
      <w:bodyDiv w:val="1"/>
      <w:marLeft w:val="0"/>
      <w:marRight w:val="0"/>
      <w:marTop w:val="0"/>
      <w:marBottom w:val="0"/>
      <w:divBdr>
        <w:top w:val="none" w:sz="0" w:space="0" w:color="auto"/>
        <w:left w:val="none" w:sz="0" w:space="0" w:color="auto"/>
        <w:bottom w:val="none" w:sz="0" w:space="0" w:color="auto"/>
        <w:right w:val="none" w:sz="0" w:space="0" w:color="auto"/>
      </w:divBdr>
    </w:div>
    <w:div w:id="488448612">
      <w:bodyDiv w:val="1"/>
      <w:marLeft w:val="0"/>
      <w:marRight w:val="0"/>
      <w:marTop w:val="0"/>
      <w:marBottom w:val="0"/>
      <w:divBdr>
        <w:top w:val="none" w:sz="0" w:space="0" w:color="auto"/>
        <w:left w:val="none" w:sz="0" w:space="0" w:color="auto"/>
        <w:bottom w:val="none" w:sz="0" w:space="0" w:color="auto"/>
        <w:right w:val="none" w:sz="0" w:space="0" w:color="auto"/>
      </w:divBdr>
    </w:div>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778836945">
      <w:bodyDiv w:val="1"/>
      <w:marLeft w:val="0"/>
      <w:marRight w:val="0"/>
      <w:marTop w:val="0"/>
      <w:marBottom w:val="0"/>
      <w:divBdr>
        <w:top w:val="none" w:sz="0" w:space="0" w:color="auto"/>
        <w:left w:val="none" w:sz="0" w:space="0" w:color="auto"/>
        <w:bottom w:val="none" w:sz="0" w:space="0" w:color="auto"/>
        <w:right w:val="none" w:sz="0" w:space="0" w:color="auto"/>
      </w:divBdr>
    </w:div>
    <w:div w:id="834535643">
      <w:bodyDiv w:val="1"/>
      <w:marLeft w:val="0"/>
      <w:marRight w:val="0"/>
      <w:marTop w:val="0"/>
      <w:marBottom w:val="0"/>
      <w:divBdr>
        <w:top w:val="none" w:sz="0" w:space="0" w:color="auto"/>
        <w:left w:val="none" w:sz="0" w:space="0" w:color="auto"/>
        <w:bottom w:val="none" w:sz="0" w:space="0" w:color="auto"/>
        <w:right w:val="none" w:sz="0" w:space="0" w:color="auto"/>
      </w:divBdr>
    </w:div>
    <w:div w:id="873468311">
      <w:bodyDiv w:val="1"/>
      <w:marLeft w:val="0"/>
      <w:marRight w:val="0"/>
      <w:marTop w:val="0"/>
      <w:marBottom w:val="0"/>
      <w:divBdr>
        <w:top w:val="none" w:sz="0" w:space="0" w:color="auto"/>
        <w:left w:val="none" w:sz="0" w:space="0" w:color="auto"/>
        <w:bottom w:val="none" w:sz="0" w:space="0" w:color="auto"/>
        <w:right w:val="none" w:sz="0" w:space="0" w:color="auto"/>
      </w:divBdr>
    </w:div>
    <w:div w:id="983241265">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809277526">
      <w:bodyDiv w:val="1"/>
      <w:marLeft w:val="0"/>
      <w:marRight w:val="0"/>
      <w:marTop w:val="0"/>
      <w:marBottom w:val="0"/>
      <w:divBdr>
        <w:top w:val="none" w:sz="0" w:space="0" w:color="auto"/>
        <w:left w:val="none" w:sz="0" w:space="0" w:color="auto"/>
        <w:bottom w:val="none" w:sz="0" w:space="0" w:color="auto"/>
        <w:right w:val="none" w:sz="0" w:space="0" w:color="auto"/>
      </w:divBdr>
    </w:div>
    <w:div w:id="1886210095">
      <w:bodyDiv w:val="1"/>
      <w:marLeft w:val="0"/>
      <w:marRight w:val="0"/>
      <w:marTop w:val="0"/>
      <w:marBottom w:val="0"/>
      <w:divBdr>
        <w:top w:val="none" w:sz="0" w:space="0" w:color="auto"/>
        <w:left w:val="none" w:sz="0" w:space="0" w:color="auto"/>
        <w:bottom w:val="none" w:sz="0" w:space="0" w:color="auto"/>
        <w:right w:val="none" w:sz="0" w:space="0" w:color="auto"/>
      </w:divBdr>
    </w:div>
    <w:div w:id="1974406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AERInquiry@aer.gov.au" TargetMode="Externa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image" Target="media/image1.jpeg"/><Relationship Id="rId19" Type="http://schemas.openxmlformats.org/officeDocument/2006/relationships/footer" Target="footer6.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www.ato.gov.au/law/view/view.htm?docid=%22TXR%2FTR20161%2FNAT%2FATO%2F00001%22" TargetMode="External"/><Relationship Id="rId1" Type="http://schemas.openxmlformats.org/officeDocument/2006/relationships/hyperlink" Target="https://www.ato.gov.au/law/view/view.htm?docid=%22TXR%2FTR20161%2FNAT%2FATO%2F00001%22" TargetMode="Externa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6AAF8D5-60BB-4ED1-A8C8-7C685281A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D9219946</Template>
  <TotalTime>0</TotalTime>
  <Pages>17</Pages>
  <Words>4017</Words>
  <Characters>22899</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26863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2016-01-31T23:02:00Z</dcterms:created>
  <dcterms:modified xsi:type="dcterms:W3CDTF">2017-07-02T22:43:00Z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