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C04486" w:rsidRDefault="00953141" w:rsidP="00290C63">
          <w:r w:rsidRPr="00DB723B">
            <w:rPr>
              <w:noProof/>
              <w:lang w:eastAsia="en-AU"/>
            </w:rPr>
            <w:drawing>
              <wp:anchor distT="0" distB="0" distL="114300" distR="114300" simplePos="0" relativeHeight="251661312" behindDoc="1" locked="0" layoutInCell="1" allowOverlap="1" wp14:anchorId="701BE472" wp14:editId="7917D54F">
                <wp:simplePos x="0" y="0"/>
                <wp:positionH relativeFrom="column">
                  <wp:posOffset>-1115060</wp:posOffset>
                </wp:positionH>
                <wp:positionV relativeFrom="paragraph">
                  <wp:posOffset>-914400</wp:posOffset>
                </wp:positionV>
                <wp:extent cx="7737475" cy="11471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7475" cy="11471910"/>
                        </a:xfrm>
                        <a:prstGeom prst="rect">
                          <a:avLst/>
                        </a:prstGeom>
                        <a:noFill/>
                      </pic:spPr>
                    </pic:pic>
                  </a:graphicData>
                </a:graphic>
                <wp14:sizeRelH relativeFrom="page">
                  <wp14:pctWidth>0</wp14:pctWidth>
                </wp14:sizeRelH>
                <wp14:sizeRelV relativeFrom="page">
                  <wp14:pctHeight>0</wp14:pctHeight>
                </wp14:sizeRelV>
              </wp:anchor>
            </w:drawing>
          </w:r>
        </w:p>
        <w:p w:rsidR="00C04486" w:rsidRDefault="00C04486" w:rsidP="00290C63"/>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99DF3F8" wp14:editId="4BA542EA">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40331C" w:rsidRDefault="0040331C" w:rsidP="00D5015C">
          <w:pPr>
            <w:pStyle w:val="ReportSubtitle"/>
          </w:pPr>
          <w:r w:rsidRPr="0040331C">
            <w:t>DRAFT DECISION</w:t>
          </w:r>
        </w:p>
        <w:p w:rsidR="008016BC" w:rsidRDefault="00500219" w:rsidP="00D5015C">
          <w:pPr>
            <w:pStyle w:val="ReportSubtitle"/>
          </w:pPr>
          <w:r>
            <w:t>APA VTS</w:t>
          </w:r>
          <w:r w:rsidR="00D5015C">
            <w:t xml:space="preserve"> </w:t>
          </w:r>
          <w:r>
            <w:t>Australia</w:t>
          </w:r>
        </w:p>
        <w:p w:rsidR="00D5015C" w:rsidRDefault="008016BC"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6903A2">
            <w:t>0</w:t>
          </w:r>
          <w:r w:rsidR="000474DF">
            <w:t xml:space="preserve"> </w:t>
          </w:r>
          <w:r w:rsidR="00185BA5">
            <w:t>–</w:t>
          </w:r>
          <w:r w:rsidR="000474DF">
            <w:t xml:space="preserve"> </w:t>
          </w:r>
          <w:r w:rsidR="006903A2">
            <w:t>Reference tariff setting</w:t>
          </w:r>
        </w:p>
        <w:p w:rsidR="00D5015C" w:rsidRDefault="00D5015C" w:rsidP="00327A1E">
          <w:pPr>
            <w:pStyle w:val="ReportDate"/>
          </w:pPr>
        </w:p>
        <w:p w:rsidR="00D5015C" w:rsidRDefault="00D5015C" w:rsidP="00327A1E">
          <w:pPr>
            <w:pStyle w:val="ReportDate"/>
          </w:pPr>
        </w:p>
        <w:p w:rsidR="000A6C7B" w:rsidRPr="00327A1E" w:rsidRDefault="003C3FF9" w:rsidP="00327A1E">
          <w:pPr>
            <w:pStyle w:val="ReportDate"/>
          </w:pPr>
          <w:r>
            <w:t>July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6903A2">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953141">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923572"/>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500219">
        <w:t>APA VTS</w:t>
      </w:r>
      <w:r>
        <w:t xml:space="preserve"> </w:t>
      </w:r>
      <w:r w:rsidR="00500219">
        <w:t xml:space="preserve">Australia </w:t>
      </w:r>
      <w:r>
        <w:t>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923573"/>
      <w:r>
        <w:t>Contents</w:t>
      </w:r>
      <w:bookmarkEnd w:id="8"/>
      <w:bookmarkEnd w:id="9"/>
    </w:p>
    <w:p w:rsidR="00CE2A23" w:rsidRDefault="00CE2A23" w:rsidP="00CE2A23"/>
    <w:sdt>
      <w:sdtPr>
        <w:id w:val="1269200322"/>
        <w:docPartObj>
          <w:docPartGallery w:val="Table of Contents"/>
          <w:docPartUnique/>
        </w:docPartObj>
      </w:sdtPr>
      <w:sdtEndPr/>
      <w:sdtContent>
        <w:p w:rsidR="007F7CAF" w:rsidRDefault="006903A2">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923572" w:history="1">
            <w:r w:rsidR="007F7CAF" w:rsidRPr="00D431E2">
              <w:rPr>
                <w:rStyle w:val="Hyperlink"/>
              </w:rPr>
              <w:t>Note</w:t>
            </w:r>
            <w:r w:rsidR="007F7CAF">
              <w:rPr>
                <w:webHidden/>
              </w:rPr>
              <w:tab/>
            </w:r>
            <w:r w:rsidR="007F7CAF">
              <w:rPr>
                <w:webHidden/>
              </w:rPr>
              <w:fldChar w:fldCharType="begin"/>
            </w:r>
            <w:r w:rsidR="007F7CAF">
              <w:rPr>
                <w:webHidden/>
              </w:rPr>
              <w:instrText xml:space="preserve"> PAGEREF _Toc486923572 \h </w:instrText>
            </w:r>
            <w:r w:rsidR="007F7CAF">
              <w:rPr>
                <w:webHidden/>
              </w:rPr>
            </w:r>
            <w:r w:rsidR="007F7CAF">
              <w:rPr>
                <w:webHidden/>
              </w:rPr>
              <w:fldChar w:fldCharType="separate"/>
            </w:r>
            <w:r w:rsidR="00260621">
              <w:rPr>
                <w:webHidden/>
              </w:rPr>
              <w:t>10-2</w:t>
            </w:r>
            <w:r w:rsidR="007F7CAF">
              <w:rPr>
                <w:webHidden/>
              </w:rPr>
              <w:fldChar w:fldCharType="end"/>
            </w:r>
          </w:hyperlink>
        </w:p>
        <w:p w:rsidR="007F7CAF" w:rsidRDefault="00260621">
          <w:pPr>
            <w:pStyle w:val="TOC1"/>
            <w:rPr>
              <w:rFonts w:asciiTheme="minorHAnsi" w:eastAsiaTheme="minorEastAsia" w:hAnsiTheme="minorHAnsi"/>
              <w:b w:val="0"/>
              <w:color w:val="auto"/>
              <w:sz w:val="22"/>
              <w:lang w:val="en-AU" w:eastAsia="en-AU"/>
            </w:rPr>
          </w:pPr>
          <w:hyperlink w:anchor="_Toc486923573" w:history="1">
            <w:r w:rsidR="007F7CAF" w:rsidRPr="00D431E2">
              <w:rPr>
                <w:rStyle w:val="Hyperlink"/>
              </w:rPr>
              <w:t>Contents</w:t>
            </w:r>
            <w:r w:rsidR="007F7CAF">
              <w:rPr>
                <w:webHidden/>
              </w:rPr>
              <w:tab/>
            </w:r>
            <w:r w:rsidR="007F7CAF">
              <w:rPr>
                <w:webHidden/>
              </w:rPr>
              <w:fldChar w:fldCharType="begin"/>
            </w:r>
            <w:r w:rsidR="007F7CAF">
              <w:rPr>
                <w:webHidden/>
              </w:rPr>
              <w:instrText xml:space="preserve"> PAGEREF _Toc486923573 \h </w:instrText>
            </w:r>
            <w:r w:rsidR="007F7CAF">
              <w:rPr>
                <w:webHidden/>
              </w:rPr>
            </w:r>
            <w:r w:rsidR="007F7CAF">
              <w:rPr>
                <w:webHidden/>
              </w:rPr>
              <w:fldChar w:fldCharType="separate"/>
            </w:r>
            <w:r>
              <w:rPr>
                <w:webHidden/>
              </w:rPr>
              <w:t>10-3</w:t>
            </w:r>
            <w:r w:rsidR="007F7CAF">
              <w:rPr>
                <w:webHidden/>
              </w:rPr>
              <w:fldChar w:fldCharType="end"/>
            </w:r>
          </w:hyperlink>
        </w:p>
        <w:p w:rsidR="007F7CAF" w:rsidRDefault="00260621">
          <w:pPr>
            <w:pStyle w:val="TOC1"/>
            <w:rPr>
              <w:rFonts w:asciiTheme="minorHAnsi" w:eastAsiaTheme="minorEastAsia" w:hAnsiTheme="minorHAnsi"/>
              <w:b w:val="0"/>
              <w:color w:val="auto"/>
              <w:sz w:val="22"/>
              <w:lang w:val="en-AU" w:eastAsia="en-AU"/>
            </w:rPr>
          </w:pPr>
          <w:hyperlink w:anchor="_Toc486923574" w:history="1">
            <w:r w:rsidR="007F7CAF" w:rsidRPr="00D431E2">
              <w:rPr>
                <w:rStyle w:val="Hyperlink"/>
              </w:rPr>
              <w:t>Shortened forms</w:t>
            </w:r>
            <w:r w:rsidR="007F7CAF">
              <w:rPr>
                <w:webHidden/>
              </w:rPr>
              <w:tab/>
            </w:r>
            <w:r w:rsidR="007F7CAF">
              <w:rPr>
                <w:webHidden/>
              </w:rPr>
              <w:fldChar w:fldCharType="begin"/>
            </w:r>
            <w:r w:rsidR="007F7CAF">
              <w:rPr>
                <w:webHidden/>
              </w:rPr>
              <w:instrText xml:space="preserve"> PAGEREF _Toc486923574 \h </w:instrText>
            </w:r>
            <w:r w:rsidR="007F7CAF">
              <w:rPr>
                <w:webHidden/>
              </w:rPr>
            </w:r>
            <w:r w:rsidR="007F7CAF">
              <w:rPr>
                <w:webHidden/>
              </w:rPr>
              <w:fldChar w:fldCharType="separate"/>
            </w:r>
            <w:r>
              <w:rPr>
                <w:webHidden/>
              </w:rPr>
              <w:t>10-4</w:t>
            </w:r>
            <w:r w:rsidR="007F7CAF">
              <w:rPr>
                <w:webHidden/>
              </w:rPr>
              <w:fldChar w:fldCharType="end"/>
            </w:r>
          </w:hyperlink>
        </w:p>
        <w:p w:rsidR="007F7CAF" w:rsidRDefault="00260621">
          <w:pPr>
            <w:pStyle w:val="TOC1"/>
            <w:rPr>
              <w:rFonts w:asciiTheme="minorHAnsi" w:eastAsiaTheme="minorEastAsia" w:hAnsiTheme="minorHAnsi"/>
              <w:b w:val="0"/>
              <w:color w:val="auto"/>
              <w:sz w:val="22"/>
              <w:lang w:val="en-AU" w:eastAsia="en-AU"/>
            </w:rPr>
          </w:pPr>
          <w:hyperlink w:anchor="_Toc486923575" w:history="1">
            <w:r w:rsidR="007F7CAF" w:rsidRPr="00D431E2">
              <w:rPr>
                <w:rStyle w:val="Hyperlink"/>
              </w:rPr>
              <w:t>10</w:t>
            </w:r>
            <w:r w:rsidR="007F7CAF">
              <w:rPr>
                <w:rFonts w:asciiTheme="minorHAnsi" w:eastAsiaTheme="minorEastAsia" w:hAnsiTheme="minorHAnsi"/>
                <w:b w:val="0"/>
                <w:color w:val="auto"/>
                <w:sz w:val="22"/>
                <w:lang w:val="en-AU" w:eastAsia="en-AU"/>
              </w:rPr>
              <w:tab/>
            </w:r>
            <w:r w:rsidR="007F7CAF" w:rsidRPr="00D431E2">
              <w:rPr>
                <w:rStyle w:val="Hyperlink"/>
              </w:rPr>
              <w:t>Reference tariff setting</w:t>
            </w:r>
            <w:r w:rsidR="007F7CAF">
              <w:rPr>
                <w:webHidden/>
              </w:rPr>
              <w:tab/>
            </w:r>
            <w:r w:rsidR="007F7CAF">
              <w:rPr>
                <w:webHidden/>
              </w:rPr>
              <w:fldChar w:fldCharType="begin"/>
            </w:r>
            <w:r w:rsidR="007F7CAF">
              <w:rPr>
                <w:webHidden/>
              </w:rPr>
              <w:instrText xml:space="preserve"> PAGEREF _Toc486923575 \h </w:instrText>
            </w:r>
            <w:r w:rsidR="007F7CAF">
              <w:rPr>
                <w:webHidden/>
              </w:rPr>
            </w:r>
            <w:r w:rsidR="007F7CAF">
              <w:rPr>
                <w:webHidden/>
              </w:rPr>
              <w:fldChar w:fldCharType="separate"/>
            </w:r>
            <w:r>
              <w:rPr>
                <w:webHidden/>
              </w:rPr>
              <w:t>10-5</w:t>
            </w:r>
            <w:r w:rsidR="007F7CAF">
              <w:rPr>
                <w:webHidden/>
              </w:rPr>
              <w:fldChar w:fldCharType="end"/>
            </w:r>
          </w:hyperlink>
        </w:p>
        <w:p w:rsidR="007F7CAF" w:rsidRDefault="00260621">
          <w:pPr>
            <w:pStyle w:val="TOC2"/>
            <w:tabs>
              <w:tab w:val="left" w:pos="1276"/>
            </w:tabs>
            <w:rPr>
              <w:rFonts w:asciiTheme="minorHAnsi" w:eastAsiaTheme="minorEastAsia" w:hAnsiTheme="minorHAnsi"/>
              <w:b w:val="0"/>
              <w:color w:val="auto"/>
              <w:sz w:val="22"/>
              <w:lang w:eastAsia="en-AU"/>
            </w:rPr>
          </w:pPr>
          <w:hyperlink w:anchor="_Toc486923576" w:history="1">
            <w:r w:rsidR="007F7CAF" w:rsidRPr="00D431E2">
              <w:rPr>
                <w:rStyle w:val="Hyperlink"/>
              </w:rPr>
              <w:t>10.1</w:t>
            </w:r>
            <w:r w:rsidR="007F7CAF">
              <w:rPr>
                <w:rFonts w:asciiTheme="minorHAnsi" w:eastAsiaTheme="minorEastAsia" w:hAnsiTheme="minorHAnsi"/>
                <w:b w:val="0"/>
                <w:color w:val="auto"/>
                <w:sz w:val="22"/>
                <w:lang w:eastAsia="en-AU"/>
              </w:rPr>
              <w:tab/>
            </w:r>
            <w:r w:rsidR="007F7CAF" w:rsidRPr="00D431E2">
              <w:rPr>
                <w:rStyle w:val="Hyperlink"/>
              </w:rPr>
              <w:t>Draft decision</w:t>
            </w:r>
            <w:r w:rsidR="007F7CAF">
              <w:rPr>
                <w:webHidden/>
              </w:rPr>
              <w:tab/>
            </w:r>
            <w:r w:rsidR="007F7CAF">
              <w:rPr>
                <w:webHidden/>
              </w:rPr>
              <w:fldChar w:fldCharType="begin"/>
            </w:r>
            <w:r w:rsidR="007F7CAF">
              <w:rPr>
                <w:webHidden/>
              </w:rPr>
              <w:instrText xml:space="preserve"> PAGEREF _Toc486923576 \h </w:instrText>
            </w:r>
            <w:r w:rsidR="007F7CAF">
              <w:rPr>
                <w:webHidden/>
              </w:rPr>
            </w:r>
            <w:r w:rsidR="007F7CAF">
              <w:rPr>
                <w:webHidden/>
              </w:rPr>
              <w:fldChar w:fldCharType="separate"/>
            </w:r>
            <w:r>
              <w:rPr>
                <w:webHidden/>
              </w:rPr>
              <w:t>10-5</w:t>
            </w:r>
            <w:r w:rsidR="007F7CAF">
              <w:rPr>
                <w:webHidden/>
              </w:rPr>
              <w:fldChar w:fldCharType="end"/>
            </w:r>
          </w:hyperlink>
        </w:p>
        <w:p w:rsidR="007F7CAF" w:rsidRDefault="00260621">
          <w:pPr>
            <w:pStyle w:val="TOC2"/>
            <w:tabs>
              <w:tab w:val="left" w:pos="1276"/>
            </w:tabs>
            <w:rPr>
              <w:rFonts w:asciiTheme="minorHAnsi" w:eastAsiaTheme="minorEastAsia" w:hAnsiTheme="minorHAnsi"/>
              <w:b w:val="0"/>
              <w:color w:val="auto"/>
              <w:sz w:val="22"/>
              <w:lang w:eastAsia="en-AU"/>
            </w:rPr>
          </w:pPr>
          <w:hyperlink w:anchor="_Toc486923577" w:history="1">
            <w:r w:rsidR="007F7CAF" w:rsidRPr="00D431E2">
              <w:rPr>
                <w:rStyle w:val="Hyperlink"/>
              </w:rPr>
              <w:t>10.2</w:t>
            </w:r>
            <w:r w:rsidR="007F7CAF">
              <w:rPr>
                <w:rFonts w:asciiTheme="minorHAnsi" w:eastAsiaTheme="minorEastAsia" w:hAnsiTheme="minorHAnsi"/>
                <w:b w:val="0"/>
                <w:color w:val="auto"/>
                <w:sz w:val="22"/>
                <w:lang w:eastAsia="en-AU"/>
              </w:rPr>
              <w:tab/>
            </w:r>
            <w:r w:rsidR="007F7CAF" w:rsidRPr="00D431E2">
              <w:rPr>
                <w:rStyle w:val="Hyperlink"/>
              </w:rPr>
              <w:t>APA’s proposal</w:t>
            </w:r>
            <w:r w:rsidR="007F7CAF">
              <w:rPr>
                <w:webHidden/>
              </w:rPr>
              <w:tab/>
            </w:r>
            <w:r w:rsidR="007F7CAF">
              <w:rPr>
                <w:webHidden/>
              </w:rPr>
              <w:fldChar w:fldCharType="begin"/>
            </w:r>
            <w:r w:rsidR="007F7CAF">
              <w:rPr>
                <w:webHidden/>
              </w:rPr>
              <w:instrText xml:space="preserve"> PAGEREF _Toc486923577 \h </w:instrText>
            </w:r>
            <w:r w:rsidR="007F7CAF">
              <w:rPr>
                <w:webHidden/>
              </w:rPr>
            </w:r>
            <w:r w:rsidR="007F7CAF">
              <w:rPr>
                <w:webHidden/>
              </w:rPr>
              <w:fldChar w:fldCharType="separate"/>
            </w:r>
            <w:r>
              <w:rPr>
                <w:webHidden/>
              </w:rPr>
              <w:t>10-5</w:t>
            </w:r>
            <w:r w:rsidR="007F7CAF">
              <w:rPr>
                <w:webHidden/>
              </w:rPr>
              <w:fldChar w:fldCharType="end"/>
            </w:r>
          </w:hyperlink>
        </w:p>
        <w:p w:rsidR="007F7CAF" w:rsidRDefault="00260621">
          <w:pPr>
            <w:pStyle w:val="TOC3"/>
            <w:rPr>
              <w:rFonts w:asciiTheme="minorHAnsi" w:eastAsiaTheme="minorEastAsia" w:hAnsiTheme="minorHAnsi"/>
              <w:lang w:eastAsia="en-AU"/>
            </w:rPr>
          </w:pPr>
          <w:hyperlink w:anchor="_Toc486923578" w:history="1">
            <w:r w:rsidR="007F7CAF" w:rsidRPr="00D431E2">
              <w:rPr>
                <w:rStyle w:val="Hyperlink"/>
              </w:rPr>
              <w:t>10.2.1</w:t>
            </w:r>
            <w:r w:rsidR="007F7CAF">
              <w:rPr>
                <w:rFonts w:asciiTheme="minorHAnsi" w:eastAsiaTheme="minorEastAsia" w:hAnsiTheme="minorHAnsi"/>
                <w:lang w:eastAsia="en-AU"/>
              </w:rPr>
              <w:tab/>
            </w:r>
            <w:r w:rsidR="007F7CAF" w:rsidRPr="00D431E2">
              <w:rPr>
                <w:rStyle w:val="Hyperlink"/>
              </w:rPr>
              <w:t>Reference Tariffs</w:t>
            </w:r>
            <w:r w:rsidR="007F7CAF">
              <w:rPr>
                <w:webHidden/>
              </w:rPr>
              <w:tab/>
            </w:r>
            <w:r w:rsidR="007F7CAF">
              <w:rPr>
                <w:webHidden/>
              </w:rPr>
              <w:fldChar w:fldCharType="begin"/>
            </w:r>
            <w:r w:rsidR="007F7CAF">
              <w:rPr>
                <w:webHidden/>
              </w:rPr>
              <w:instrText xml:space="preserve"> PAGEREF _Toc486923578 \h </w:instrText>
            </w:r>
            <w:r w:rsidR="007F7CAF">
              <w:rPr>
                <w:webHidden/>
              </w:rPr>
            </w:r>
            <w:r w:rsidR="007F7CAF">
              <w:rPr>
                <w:webHidden/>
              </w:rPr>
              <w:fldChar w:fldCharType="separate"/>
            </w:r>
            <w:r>
              <w:rPr>
                <w:webHidden/>
              </w:rPr>
              <w:t>10-6</w:t>
            </w:r>
            <w:r w:rsidR="007F7CAF">
              <w:rPr>
                <w:webHidden/>
              </w:rPr>
              <w:fldChar w:fldCharType="end"/>
            </w:r>
          </w:hyperlink>
        </w:p>
        <w:p w:rsidR="007F7CAF" w:rsidRDefault="00260621">
          <w:pPr>
            <w:pStyle w:val="TOC3"/>
            <w:rPr>
              <w:rFonts w:asciiTheme="minorHAnsi" w:eastAsiaTheme="minorEastAsia" w:hAnsiTheme="minorHAnsi"/>
              <w:lang w:eastAsia="en-AU"/>
            </w:rPr>
          </w:pPr>
          <w:hyperlink w:anchor="_Toc486923579" w:history="1">
            <w:r w:rsidR="007F7CAF" w:rsidRPr="00D431E2">
              <w:rPr>
                <w:rStyle w:val="Hyperlink"/>
              </w:rPr>
              <w:t>10.2.2</w:t>
            </w:r>
            <w:r w:rsidR="007F7CAF">
              <w:rPr>
                <w:rFonts w:asciiTheme="minorHAnsi" w:eastAsiaTheme="minorEastAsia" w:hAnsiTheme="minorHAnsi"/>
                <w:lang w:eastAsia="en-AU"/>
              </w:rPr>
              <w:tab/>
            </w:r>
            <w:r w:rsidR="007F7CAF" w:rsidRPr="00D431E2">
              <w:rPr>
                <w:rStyle w:val="Hyperlink"/>
              </w:rPr>
              <w:t>APA's standard cost allocation methodology</w:t>
            </w:r>
            <w:r w:rsidR="007F7CAF">
              <w:rPr>
                <w:webHidden/>
              </w:rPr>
              <w:tab/>
            </w:r>
            <w:r w:rsidR="007F7CAF">
              <w:rPr>
                <w:webHidden/>
              </w:rPr>
              <w:fldChar w:fldCharType="begin"/>
            </w:r>
            <w:r w:rsidR="007F7CAF">
              <w:rPr>
                <w:webHidden/>
              </w:rPr>
              <w:instrText xml:space="preserve"> PAGEREF _Toc486923579 \h </w:instrText>
            </w:r>
            <w:r w:rsidR="007F7CAF">
              <w:rPr>
                <w:webHidden/>
              </w:rPr>
            </w:r>
            <w:r w:rsidR="007F7CAF">
              <w:rPr>
                <w:webHidden/>
              </w:rPr>
              <w:fldChar w:fldCharType="separate"/>
            </w:r>
            <w:r>
              <w:rPr>
                <w:webHidden/>
              </w:rPr>
              <w:t>10-8</w:t>
            </w:r>
            <w:r w:rsidR="007F7CAF">
              <w:rPr>
                <w:webHidden/>
              </w:rPr>
              <w:fldChar w:fldCharType="end"/>
            </w:r>
          </w:hyperlink>
        </w:p>
        <w:p w:rsidR="007F7CAF" w:rsidRDefault="00260621">
          <w:pPr>
            <w:pStyle w:val="TOC2"/>
            <w:tabs>
              <w:tab w:val="left" w:pos="1276"/>
            </w:tabs>
            <w:rPr>
              <w:rFonts w:asciiTheme="minorHAnsi" w:eastAsiaTheme="minorEastAsia" w:hAnsiTheme="minorHAnsi"/>
              <w:b w:val="0"/>
              <w:color w:val="auto"/>
              <w:sz w:val="22"/>
              <w:lang w:eastAsia="en-AU"/>
            </w:rPr>
          </w:pPr>
          <w:hyperlink w:anchor="_Toc486923580" w:history="1">
            <w:r w:rsidR="007F7CAF" w:rsidRPr="00D431E2">
              <w:rPr>
                <w:rStyle w:val="Hyperlink"/>
              </w:rPr>
              <w:t>10.3</w:t>
            </w:r>
            <w:r w:rsidR="007F7CAF">
              <w:rPr>
                <w:rFonts w:asciiTheme="minorHAnsi" w:eastAsiaTheme="minorEastAsia" w:hAnsiTheme="minorHAnsi"/>
                <w:b w:val="0"/>
                <w:color w:val="auto"/>
                <w:sz w:val="22"/>
                <w:lang w:eastAsia="en-AU"/>
              </w:rPr>
              <w:tab/>
            </w:r>
            <w:r w:rsidR="007F7CAF" w:rsidRPr="00D431E2">
              <w:rPr>
                <w:rStyle w:val="Hyperlink"/>
              </w:rPr>
              <w:t>Assessment approach</w:t>
            </w:r>
            <w:r w:rsidR="007F7CAF">
              <w:rPr>
                <w:webHidden/>
              </w:rPr>
              <w:tab/>
            </w:r>
            <w:r w:rsidR="007F7CAF">
              <w:rPr>
                <w:webHidden/>
              </w:rPr>
              <w:fldChar w:fldCharType="begin"/>
            </w:r>
            <w:r w:rsidR="007F7CAF">
              <w:rPr>
                <w:webHidden/>
              </w:rPr>
              <w:instrText xml:space="preserve"> PAGEREF _Toc486923580 \h </w:instrText>
            </w:r>
            <w:r w:rsidR="007F7CAF">
              <w:rPr>
                <w:webHidden/>
              </w:rPr>
            </w:r>
            <w:r w:rsidR="007F7CAF">
              <w:rPr>
                <w:webHidden/>
              </w:rPr>
              <w:fldChar w:fldCharType="separate"/>
            </w:r>
            <w:r>
              <w:rPr>
                <w:webHidden/>
              </w:rPr>
              <w:t>10-11</w:t>
            </w:r>
            <w:r w:rsidR="007F7CAF">
              <w:rPr>
                <w:webHidden/>
              </w:rPr>
              <w:fldChar w:fldCharType="end"/>
            </w:r>
          </w:hyperlink>
        </w:p>
        <w:p w:rsidR="007F7CAF" w:rsidRDefault="00260621">
          <w:pPr>
            <w:pStyle w:val="TOC3"/>
            <w:rPr>
              <w:rFonts w:asciiTheme="minorHAnsi" w:eastAsiaTheme="minorEastAsia" w:hAnsiTheme="minorHAnsi"/>
              <w:lang w:eastAsia="en-AU"/>
            </w:rPr>
          </w:pPr>
          <w:hyperlink w:anchor="_Toc486923581" w:history="1">
            <w:r w:rsidR="007F7CAF" w:rsidRPr="00D431E2">
              <w:rPr>
                <w:rStyle w:val="Hyperlink"/>
              </w:rPr>
              <w:t>10.3.1</w:t>
            </w:r>
            <w:r w:rsidR="007F7CAF">
              <w:rPr>
                <w:rFonts w:asciiTheme="minorHAnsi" w:eastAsiaTheme="minorEastAsia" w:hAnsiTheme="minorHAnsi"/>
                <w:lang w:eastAsia="en-AU"/>
              </w:rPr>
              <w:tab/>
            </w:r>
            <w:r w:rsidR="007F7CAF" w:rsidRPr="00D431E2">
              <w:rPr>
                <w:rStyle w:val="Hyperlink"/>
              </w:rPr>
              <w:t>Interrelationships</w:t>
            </w:r>
            <w:r w:rsidR="007F7CAF">
              <w:rPr>
                <w:webHidden/>
              </w:rPr>
              <w:tab/>
            </w:r>
            <w:r w:rsidR="007F7CAF">
              <w:rPr>
                <w:webHidden/>
              </w:rPr>
              <w:fldChar w:fldCharType="begin"/>
            </w:r>
            <w:r w:rsidR="007F7CAF">
              <w:rPr>
                <w:webHidden/>
              </w:rPr>
              <w:instrText xml:space="preserve"> PAGEREF _Toc486923581 \h </w:instrText>
            </w:r>
            <w:r w:rsidR="007F7CAF">
              <w:rPr>
                <w:webHidden/>
              </w:rPr>
            </w:r>
            <w:r w:rsidR="007F7CAF">
              <w:rPr>
                <w:webHidden/>
              </w:rPr>
              <w:fldChar w:fldCharType="separate"/>
            </w:r>
            <w:r>
              <w:rPr>
                <w:webHidden/>
              </w:rPr>
              <w:t>10-12</w:t>
            </w:r>
            <w:r w:rsidR="007F7CAF">
              <w:rPr>
                <w:webHidden/>
              </w:rPr>
              <w:fldChar w:fldCharType="end"/>
            </w:r>
          </w:hyperlink>
        </w:p>
        <w:p w:rsidR="007F7CAF" w:rsidRDefault="00260621">
          <w:pPr>
            <w:pStyle w:val="TOC2"/>
            <w:tabs>
              <w:tab w:val="left" w:pos="1276"/>
            </w:tabs>
            <w:rPr>
              <w:rFonts w:asciiTheme="minorHAnsi" w:eastAsiaTheme="minorEastAsia" w:hAnsiTheme="minorHAnsi"/>
              <w:b w:val="0"/>
              <w:color w:val="auto"/>
              <w:sz w:val="22"/>
              <w:lang w:eastAsia="en-AU"/>
            </w:rPr>
          </w:pPr>
          <w:hyperlink w:anchor="_Toc486923582" w:history="1">
            <w:r w:rsidR="007F7CAF" w:rsidRPr="00D431E2">
              <w:rPr>
                <w:rStyle w:val="Hyperlink"/>
              </w:rPr>
              <w:t>10.4</w:t>
            </w:r>
            <w:r w:rsidR="007F7CAF">
              <w:rPr>
                <w:rFonts w:asciiTheme="minorHAnsi" w:eastAsiaTheme="minorEastAsia" w:hAnsiTheme="minorHAnsi"/>
                <w:b w:val="0"/>
                <w:color w:val="auto"/>
                <w:sz w:val="22"/>
                <w:lang w:eastAsia="en-AU"/>
              </w:rPr>
              <w:tab/>
            </w:r>
            <w:r w:rsidR="007F7CAF" w:rsidRPr="00D431E2">
              <w:rPr>
                <w:rStyle w:val="Hyperlink"/>
              </w:rPr>
              <w:t>Reasons for draft decision</w:t>
            </w:r>
            <w:r w:rsidR="007F7CAF">
              <w:rPr>
                <w:webHidden/>
              </w:rPr>
              <w:tab/>
            </w:r>
            <w:r w:rsidR="007F7CAF">
              <w:rPr>
                <w:webHidden/>
              </w:rPr>
              <w:fldChar w:fldCharType="begin"/>
            </w:r>
            <w:r w:rsidR="007F7CAF">
              <w:rPr>
                <w:webHidden/>
              </w:rPr>
              <w:instrText xml:space="preserve"> PAGEREF _Toc486923582 \h </w:instrText>
            </w:r>
            <w:r w:rsidR="007F7CAF">
              <w:rPr>
                <w:webHidden/>
              </w:rPr>
            </w:r>
            <w:r w:rsidR="007F7CAF">
              <w:rPr>
                <w:webHidden/>
              </w:rPr>
              <w:fldChar w:fldCharType="separate"/>
            </w:r>
            <w:r>
              <w:rPr>
                <w:webHidden/>
              </w:rPr>
              <w:t>10-12</w:t>
            </w:r>
            <w:r w:rsidR="007F7CAF">
              <w:rPr>
                <w:webHidden/>
              </w:rPr>
              <w:fldChar w:fldCharType="end"/>
            </w:r>
          </w:hyperlink>
        </w:p>
        <w:p w:rsidR="007F7CAF" w:rsidRDefault="00260621">
          <w:pPr>
            <w:pStyle w:val="TOC3"/>
            <w:rPr>
              <w:rFonts w:asciiTheme="minorHAnsi" w:eastAsiaTheme="minorEastAsia" w:hAnsiTheme="minorHAnsi"/>
              <w:lang w:eastAsia="en-AU"/>
            </w:rPr>
          </w:pPr>
          <w:hyperlink w:anchor="_Toc486923583" w:history="1">
            <w:r w:rsidR="007F7CAF" w:rsidRPr="00D431E2">
              <w:rPr>
                <w:rStyle w:val="Hyperlink"/>
              </w:rPr>
              <w:t>10.4.1</w:t>
            </w:r>
            <w:r w:rsidR="007F7CAF">
              <w:rPr>
                <w:rFonts w:asciiTheme="minorHAnsi" w:eastAsiaTheme="minorEastAsia" w:hAnsiTheme="minorHAnsi"/>
                <w:lang w:eastAsia="en-AU"/>
              </w:rPr>
              <w:tab/>
            </w:r>
            <w:r w:rsidR="007F7CAF" w:rsidRPr="00D431E2">
              <w:rPr>
                <w:rStyle w:val="Hyperlink"/>
              </w:rPr>
              <w:t>Reference tariff structures</w:t>
            </w:r>
            <w:r w:rsidR="007F7CAF">
              <w:rPr>
                <w:webHidden/>
              </w:rPr>
              <w:tab/>
            </w:r>
            <w:r w:rsidR="007F7CAF">
              <w:rPr>
                <w:webHidden/>
              </w:rPr>
              <w:fldChar w:fldCharType="begin"/>
            </w:r>
            <w:r w:rsidR="007F7CAF">
              <w:rPr>
                <w:webHidden/>
              </w:rPr>
              <w:instrText xml:space="preserve"> PAGEREF _Toc486923583 \h </w:instrText>
            </w:r>
            <w:r w:rsidR="007F7CAF">
              <w:rPr>
                <w:webHidden/>
              </w:rPr>
            </w:r>
            <w:r w:rsidR="007F7CAF">
              <w:rPr>
                <w:webHidden/>
              </w:rPr>
              <w:fldChar w:fldCharType="separate"/>
            </w:r>
            <w:r>
              <w:rPr>
                <w:webHidden/>
              </w:rPr>
              <w:t>10-12</w:t>
            </w:r>
            <w:r w:rsidR="007F7CAF">
              <w:rPr>
                <w:webHidden/>
              </w:rPr>
              <w:fldChar w:fldCharType="end"/>
            </w:r>
          </w:hyperlink>
        </w:p>
        <w:p w:rsidR="007F7CAF" w:rsidRDefault="00260621">
          <w:pPr>
            <w:pStyle w:val="TOC3"/>
            <w:rPr>
              <w:rFonts w:asciiTheme="minorHAnsi" w:eastAsiaTheme="minorEastAsia" w:hAnsiTheme="minorHAnsi"/>
              <w:lang w:eastAsia="en-AU"/>
            </w:rPr>
          </w:pPr>
          <w:hyperlink w:anchor="_Toc486923584" w:history="1">
            <w:r w:rsidR="007F7CAF" w:rsidRPr="00D431E2">
              <w:rPr>
                <w:rStyle w:val="Hyperlink"/>
              </w:rPr>
              <w:t>10.4.2</w:t>
            </w:r>
            <w:r w:rsidR="007F7CAF">
              <w:rPr>
                <w:rFonts w:asciiTheme="minorHAnsi" w:eastAsiaTheme="minorEastAsia" w:hAnsiTheme="minorHAnsi"/>
                <w:lang w:eastAsia="en-AU"/>
              </w:rPr>
              <w:tab/>
            </w:r>
            <w:r w:rsidR="007F7CAF" w:rsidRPr="00D431E2">
              <w:rPr>
                <w:rStyle w:val="Hyperlink"/>
              </w:rPr>
              <w:t>Cost allocation methodology</w:t>
            </w:r>
            <w:r w:rsidR="007F7CAF">
              <w:rPr>
                <w:webHidden/>
              </w:rPr>
              <w:tab/>
            </w:r>
            <w:r w:rsidR="007F7CAF">
              <w:rPr>
                <w:webHidden/>
              </w:rPr>
              <w:fldChar w:fldCharType="begin"/>
            </w:r>
            <w:r w:rsidR="007F7CAF">
              <w:rPr>
                <w:webHidden/>
              </w:rPr>
              <w:instrText xml:space="preserve"> PAGEREF _Toc486923584 \h </w:instrText>
            </w:r>
            <w:r w:rsidR="007F7CAF">
              <w:rPr>
                <w:webHidden/>
              </w:rPr>
            </w:r>
            <w:r w:rsidR="007F7CAF">
              <w:rPr>
                <w:webHidden/>
              </w:rPr>
              <w:fldChar w:fldCharType="separate"/>
            </w:r>
            <w:r>
              <w:rPr>
                <w:webHidden/>
              </w:rPr>
              <w:t>10-13</w:t>
            </w:r>
            <w:r w:rsidR="007F7CAF">
              <w:rPr>
                <w:webHidden/>
              </w:rPr>
              <w:fldChar w:fldCharType="end"/>
            </w:r>
          </w:hyperlink>
        </w:p>
        <w:p w:rsidR="007F7CAF" w:rsidRDefault="00260621">
          <w:pPr>
            <w:pStyle w:val="TOC2"/>
            <w:tabs>
              <w:tab w:val="left" w:pos="1276"/>
            </w:tabs>
            <w:rPr>
              <w:rFonts w:asciiTheme="minorHAnsi" w:eastAsiaTheme="minorEastAsia" w:hAnsiTheme="minorHAnsi"/>
              <w:b w:val="0"/>
              <w:color w:val="auto"/>
              <w:sz w:val="22"/>
              <w:lang w:eastAsia="en-AU"/>
            </w:rPr>
          </w:pPr>
          <w:hyperlink w:anchor="_Toc486923585" w:history="1">
            <w:r w:rsidR="007F7CAF" w:rsidRPr="00D431E2">
              <w:rPr>
                <w:rStyle w:val="Hyperlink"/>
              </w:rPr>
              <w:t>10.5</w:t>
            </w:r>
            <w:r w:rsidR="007F7CAF">
              <w:rPr>
                <w:rFonts w:asciiTheme="minorHAnsi" w:eastAsiaTheme="minorEastAsia" w:hAnsiTheme="minorHAnsi"/>
                <w:b w:val="0"/>
                <w:color w:val="auto"/>
                <w:sz w:val="22"/>
                <w:lang w:eastAsia="en-AU"/>
              </w:rPr>
              <w:tab/>
            </w:r>
            <w:r w:rsidR="007F7CAF" w:rsidRPr="00D431E2">
              <w:rPr>
                <w:rStyle w:val="Hyperlink"/>
              </w:rPr>
              <w:t>Revisions</w:t>
            </w:r>
            <w:r w:rsidR="007F7CAF">
              <w:rPr>
                <w:webHidden/>
              </w:rPr>
              <w:tab/>
            </w:r>
            <w:r w:rsidR="007F7CAF">
              <w:rPr>
                <w:webHidden/>
              </w:rPr>
              <w:fldChar w:fldCharType="begin"/>
            </w:r>
            <w:r w:rsidR="007F7CAF">
              <w:rPr>
                <w:webHidden/>
              </w:rPr>
              <w:instrText xml:space="preserve"> PAGEREF _Toc486923585 \h </w:instrText>
            </w:r>
            <w:r w:rsidR="007F7CAF">
              <w:rPr>
                <w:webHidden/>
              </w:rPr>
            </w:r>
            <w:r w:rsidR="007F7CAF">
              <w:rPr>
                <w:webHidden/>
              </w:rPr>
              <w:fldChar w:fldCharType="separate"/>
            </w:r>
            <w:r>
              <w:rPr>
                <w:webHidden/>
              </w:rPr>
              <w:t>10-22</w:t>
            </w:r>
            <w:r w:rsidR="007F7CAF">
              <w:rPr>
                <w:webHidden/>
              </w:rPr>
              <w:fldChar w:fldCharType="end"/>
            </w:r>
          </w:hyperlink>
        </w:p>
        <w:p w:rsidR="00CE2A23" w:rsidRDefault="006903A2" w:rsidP="006903A2">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0" w:name="_Toc404700925"/>
      <w:bookmarkStart w:id="11" w:name="_Toc486923574"/>
      <w:r>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953141" w:rsidTr="00953141">
        <w:trPr>
          <w:cnfStyle w:val="100000000000" w:firstRow="1" w:lastRow="0" w:firstColumn="0" w:lastColumn="0" w:oddVBand="0" w:evenVBand="0" w:oddHBand="0" w:evenHBand="0" w:firstRowFirstColumn="0" w:firstRowLastColumn="0" w:lastRowFirstColumn="0" w:lastRowLastColumn="0"/>
        </w:trPr>
        <w:tc>
          <w:tcPr>
            <w:tcW w:w="4340" w:type="dxa"/>
          </w:tcPr>
          <w:p w:rsidR="00953141" w:rsidRDefault="00953141" w:rsidP="00953141">
            <w:pPr>
              <w:numPr>
                <w:ilvl w:val="0"/>
                <w:numId w:val="24"/>
              </w:numPr>
            </w:pPr>
            <w:r>
              <w:t>Shortened form</w:t>
            </w:r>
          </w:p>
        </w:tc>
        <w:tc>
          <w:tcPr>
            <w:tcW w:w="4353" w:type="dxa"/>
          </w:tcPr>
          <w:p w:rsidR="00953141" w:rsidRDefault="00953141" w:rsidP="00953141">
            <w:pPr>
              <w:numPr>
                <w:ilvl w:val="0"/>
                <w:numId w:val="24"/>
              </w:numPr>
            </w:pPr>
            <w:r>
              <w:t>Extended form</w:t>
            </w:r>
          </w:p>
        </w:tc>
      </w:tr>
      <w:tr w:rsidR="00953141" w:rsidTr="00953141">
        <w:tc>
          <w:tcPr>
            <w:tcW w:w="4340" w:type="dxa"/>
          </w:tcPr>
          <w:p w:rsidR="00953141" w:rsidRDefault="00953141" w:rsidP="00953141">
            <w:pPr>
              <w:numPr>
                <w:ilvl w:val="0"/>
                <w:numId w:val="24"/>
              </w:numPr>
            </w:pPr>
            <w:r>
              <w:t>AER</w:t>
            </w:r>
          </w:p>
        </w:tc>
        <w:tc>
          <w:tcPr>
            <w:tcW w:w="4353" w:type="dxa"/>
          </w:tcPr>
          <w:p w:rsidR="00953141" w:rsidRDefault="00953141" w:rsidP="00953141">
            <w:pPr>
              <w:numPr>
                <w:ilvl w:val="0"/>
                <w:numId w:val="24"/>
              </w:numPr>
            </w:pPr>
            <w:r>
              <w:t>Australian Energy Regulator</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ATO</w:t>
            </w:r>
          </w:p>
        </w:tc>
        <w:tc>
          <w:tcPr>
            <w:tcW w:w="4353" w:type="dxa"/>
          </w:tcPr>
          <w:p w:rsidR="00953141" w:rsidRPr="00953141" w:rsidRDefault="00953141" w:rsidP="00953141">
            <w:r>
              <w:t>Australian Tax Office</w:t>
            </w:r>
          </w:p>
        </w:tc>
      </w:tr>
      <w:tr w:rsidR="00953141" w:rsidTr="00953141">
        <w:tc>
          <w:tcPr>
            <w:tcW w:w="4340" w:type="dxa"/>
          </w:tcPr>
          <w:p w:rsidR="00953141" w:rsidRDefault="00953141" w:rsidP="00953141">
            <w:pPr>
              <w:numPr>
                <w:ilvl w:val="0"/>
                <w:numId w:val="24"/>
              </w:numPr>
            </w:pPr>
            <w:r>
              <w:t>capex</w:t>
            </w:r>
          </w:p>
        </w:tc>
        <w:tc>
          <w:tcPr>
            <w:tcW w:w="4353" w:type="dxa"/>
          </w:tcPr>
          <w:p w:rsidR="00953141" w:rsidRDefault="00953141" w:rsidP="00953141">
            <w:pPr>
              <w:numPr>
                <w:ilvl w:val="0"/>
                <w:numId w:val="24"/>
              </w:numPr>
            </w:pPr>
            <w:r>
              <w:t>capital expenditure</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CAPM</w:t>
            </w:r>
          </w:p>
        </w:tc>
        <w:tc>
          <w:tcPr>
            <w:tcW w:w="4353" w:type="dxa"/>
          </w:tcPr>
          <w:p w:rsidR="00953141" w:rsidRDefault="00953141" w:rsidP="00953141">
            <w:pPr>
              <w:numPr>
                <w:ilvl w:val="0"/>
                <w:numId w:val="24"/>
              </w:numPr>
            </w:pPr>
            <w:r>
              <w:t>capital asset pricing model</w:t>
            </w:r>
          </w:p>
        </w:tc>
      </w:tr>
      <w:tr w:rsidR="00953141" w:rsidTr="00953141">
        <w:tc>
          <w:tcPr>
            <w:tcW w:w="4340" w:type="dxa"/>
          </w:tcPr>
          <w:p w:rsidR="00953141" w:rsidRDefault="00953141" w:rsidP="00953141">
            <w:pPr>
              <w:numPr>
                <w:ilvl w:val="0"/>
                <w:numId w:val="24"/>
              </w:numPr>
            </w:pPr>
            <w:r>
              <w:t>CPI</w:t>
            </w:r>
          </w:p>
        </w:tc>
        <w:tc>
          <w:tcPr>
            <w:tcW w:w="4353" w:type="dxa"/>
          </w:tcPr>
          <w:p w:rsidR="00953141" w:rsidRDefault="00953141" w:rsidP="00953141">
            <w:pPr>
              <w:numPr>
                <w:ilvl w:val="0"/>
                <w:numId w:val="24"/>
              </w:numPr>
            </w:pPr>
            <w:r>
              <w:t>consumer price index</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DRP</w:t>
            </w:r>
          </w:p>
        </w:tc>
        <w:tc>
          <w:tcPr>
            <w:tcW w:w="4353" w:type="dxa"/>
          </w:tcPr>
          <w:p w:rsidR="00953141" w:rsidRDefault="00953141" w:rsidP="00953141">
            <w:pPr>
              <w:numPr>
                <w:ilvl w:val="0"/>
                <w:numId w:val="24"/>
              </w:numPr>
            </w:pPr>
            <w:r>
              <w:t>debt risk premium</w:t>
            </w:r>
          </w:p>
        </w:tc>
      </w:tr>
      <w:tr w:rsidR="00953141" w:rsidTr="00953141">
        <w:tc>
          <w:tcPr>
            <w:tcW w:w="4340" w:type="dxa"/>
          </w:tcPr>
          <w:p w:rsidR="00953141" w:rsidRDefault="00953141" w:rsidP="00953141">
            <w:pPr>
              <w:numPr>
                <w:ilvl w:val="0"/>
                <w:numId w:val="24"/>
              </w:numPr>
            </w:pPr>
            <w:r>
              <w:t>ECM</w:t>
            </w:r>
          </w:p>
        </w:tc>
        <w:tc>
          <w:tcPr>
            <w:tcW w:w="4353" w:type="dxa"/>
          </w:tcPr>
          <w:p w:rsidR="00953141" w:rsidRPr="00953141" w:rsidRDefault="00953141" w:rsidP="00953141">
            <w:r>
              <w:t xml:space="preserve">(Opex) Efficiency </w:t>
            </w:r>
            <w:r w:rsidRPr="00953141">
              <w:t>Carryover Mechanism</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ERP</w:t>
            </w:r>
          </w:p>
        </w:tc>
        <w:tc>
          <w:tcPr>
            <w:tcW w:w="4353" w:type="dxa"/>
          </w:tcPr>
          <w:p w:rsidR="00953141" w:rsidRDefault="00953141" w:rsidP="00953141">
            <w:pPr>
              <w:numPr>
                <w:ilvl w:val="0"/>
                <w:numId w:val="24"/>
              </w:numPr>
            </w:pPr>
            <w:r>
              <w:t>equity risk premium</w:t>
            </w:r>
          </w:p>
        </w:tc>
      </w:tr>
      <w:tr w:rsidR="00953141" w:rsidTr="00953141">
        <w:tc>
          <w:tcPr>
            <w:tcW w:w="4340" w:type="dxa"/>
          </w:tcPr>
          <w:p w:rsidR="00953141" w:rsidRDefault="00953141" w:rsidP="00953141">
            <w:pPr>
              <w:numPr>
                <w:ilvl w:val="0"/>
                <w:numId w:val="24"/>
              </w:numPr>
            </w:pPr>
            <w:r>
              <w:t>Expenditure Guideline</w:t>
            </w:r>
          </w:p>
        </w:tc>
        <w:tc>
          <w:tcPr>
            <w:tcW w:w="4353" w:type="dxa"/>
          </w:tcPr>
          <w:p w:rsidR="00953141" w:rsidRPr="00953141" w:rsidRDefault="00953141" w:rsidP="00953141">
            <w:r>
              <w:t xml:space="preserve">Expenditure Forecast </w:t>
            </w:r>
            <w:r w:rsidRPr="00953141">
              <w:t>Assessment Guideline</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gamma</w:t>
            </w:r>
          </w:p>
        </w:tc>
        <w:tc>
          <w:tcPr>
            <w:tcW w:w="4353" w:type="dxa"/>
          </w:tcPr>
          <w:p w:rsidR="00953141" w:rsidRPr="00953141" w:rsidRDefault="00953141" w:rsidP="00953141">
            <w:r>
              <w:t>Value of Imputation Credits</w:t>
            </w:r>
          </w:p>
        </w:tc>
      </w:tr>
      <w:tr w:rsidR="00953141" w:rsidTr="00953141">
        <w:tc>
          <w:tcPr>
            <w:tcW w:w="4340" w:type="dxa"/>
          </w:tcPr>
          <w:p w:rsidR="00953141" w:rsidRDefault="00953141" w:rsidP="00953141">
            <w:pPr>
              <w:numPr>
                <w:ilvl w:val="0"/>
                <w:numId w:val="24"/>
              </w:numPr>
            </w:pPr>
            <w:r>
              <w:t>MRP</w:t>
            </w:r>
          </w:p>
        </w:tc>
        <w:tc>
          <w:tcPr>
            <w:tcW w:w="4353" w:type="dxa"/>
          </w:tcPr>
          <w:p w:rsidR="00953141" w:rsidRDefault="00953141" w:rsidP="00953141">
            <w:pPr>
              <w:numPr>
                <w:ilvl w:val="0"/>
                <w:numId w:val="24"/>
              </w:numPr>
            </w:pPr>
            <w:r>
              <w:t>market risk premium</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NGL</w:t>
            </w:r>
          </w:p>
        </w:tc>
        <w:tc>
          <w:tcPr>
            <w:tcW w:w="4353" w:type="dxa"/>
          </w:tcPr>
          <w:p w:rsidR="00953141" w:rsidRDefault="00953141" w:rsidP="00953141">
            <w:pPr>
              <w:numPr>
                <w:ilvl w:val="0"/>
                <w:numId w:val="24"/>
              </w:numPr>
            </w:pPr>
            <w:r>
              <w:t>National Gas Law</w:t>
            </w:r>
          </w:p>
        </w:tc>
      </w:tr>
      <w:tr w:rsidR="00953141" w:rsidTr="00953141">
        <w:tc>
          <w:tcPr>
            <w:tcW w:w="4340" w:type="dxa"/>
          </w:tcPr>
          <w:p w:rsidR="00953141" w:rsidRDefault="00953141" w:rsidP="00953141">
            <w:pPr>
              <w:numPr>
                <w:ilvl w:val="0"/>
                <w:numId w:val="24"/>
              </w:numPr>
            </w:pPr>
            <w:r>
              <w:t>NGO</w:t>
            </w:r>
          </w:p>
        </w:tc>
        <w:tc>
          <w:tcPr>
            <w:tcW w:w="4353" w:type="dxa"/>
          </w:tcPr>
          <w:p w:rsidR="00953141" w:rsidRDefault="00953141" w:rsidP="00953141">
            <w:pPr>
              <w:numPr>
                <w:ilvl w:val="0"/>
                <w:numId w:val="24"/>
              </w:numPr>
            </w:pPr>
            <w:r>
              <w:t>national gas objective</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NGR</w:t>
            </w:r>
          </w:p>
        </w:tc>
        <w:tc>
          <w:tcPr>
            <w:tcW w:w="4353" w:type="dxa"/>
          </w:tcPr>
          <w:p w:rsidR="00953141" w:rsidRDefault="00953141" w:rsidP="00953141">
            <w:pPr>
              <w:numPr>
                <w:ilvl w:val="0"/>
                <w:numId w:val="24"/>
              </w:numPr>
            </w:pPr>
            <w:r>
              <w:t>National Gas Rules</w:t>
            </w:r>
          </w:p>
        </w:tc>
      </w:tr>
      <w:tr w:rsidR="00953141" w:rsidTr="00953141">
        <w:tc>
          <w:tcPr>
            <w:tcW w:w="4340" w:type="dxa"/>
          </w:tcPr>
          <w:p w:rsidR="00953141" w:rsidRDefault="00953141" w:rsidP="00953141">
            <w:pPr>
              <w:numPr>
                <w:ilvl w:val="0"/>
                <w:numId w:val="24"/>
              </w:numPr>
            </w:pPr>
            <w:r>
              <w:t>NPV</w:t>
            </w:r>
          </w:p>
        </w:tc>
        <w:tc>
          <w:tcPr>
            <w:tcW w:w="4353" w:type="dxa"/>
          </w:tcPr>
          <w:p w:rsidR="00953141" w:rsidRPr="00953141" w:rsidRDefault="00953141" w:rsidP="00953141">
            <w:r>
              <w:t xml:space="preserve">net </w:t>
            </w:r>
            <w:r w:rsidRPr="00953141">
              <w:t>present value</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opex</w:t>
            </w:r>
          </w:p>
        </w:tc>
        <w:tc>
          <w:tcPr>
            <w:tcW w:w="4353" w:type="dxa"/>
          </w:tcPr>
          <w:p w:rsidR="00953141" w:rsidRDefault="00953141" w:rsidP="00953141">
            <w:pPr>
              <w:numPr>
                <w:ilvl w:val="0"/>
                <w:numId w:val="24"/>
              </w:numPr>
            </w:pPr>
            <w:r>
              <w:t>operating expenditure</w:t>
            </w:r>
          </w:p>
        </w:tc>
      </w:tr>
      <w:tr w:rsidR="00953141" w:rsidTr="00953141">
        <w:tc>
          <w:tcPr>
            <w:tcW w:w="4340" w:type="dxa"/>
          </w:tcPr>
          <w:p w:rsidR="00953141" w:rsidRDefault="00953141" w:rsidP="00953141">
            <w:pPr>
              <w:numPr>
                <w:ilvl w:val="0"/>
                <w:numId w:val="24"/>
              </w:numPr>
            </w:pPr>
            <w:r>
              <w:t>PTRM</w:t>
            </w:r>
          </w:p>
        </w:tc>
        <w:tc>
          <w:tcPr>
            <w:tcW w:w="4353" w:type="dxa"/>
          </w:tcPr>
          <w:p w:rsidR="00953141" w:rsidRDefault="00953141" w:rsidP="00953141">
            <w:pPr>
              <w:numPr>
                <w:ilvl w:val="0"/>
                <w:numId w:val="24"/>
              </w:numPr>
            </w:pPr>
            <w:r>
              <w:t>post-tax revenue model</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RBA</w:t>
            </w:r>
          </w:p>
        </w:tc>
        <w:tc>
          <w:tcPr>
            <w:tcW w:w="4353" w:type="dxa"/>
          </w:tcPr>
          <w:p w:rsidR="00953141" w:rsidRDefault="00953141" w:rsidP="00953141">
            <w:pPr>
              <w:numPr>
                <w:ilvl w:val="0"/>
                <w:numId w:val="24"/>
              </w:numPr>
            </w:pPr>
            <w:r>
              <w:t>Reserve Bank of Australia</w:t>
            </w:r>
          </w:p>
        </w:tc>
      </w:tr>
      <w:tr w:rsidR="00953141" w:rsidTr="00953141">
        <w:tc>
          <w:tcPr>
            <w:tcW w:w="4340" w:type="dxa"/>
          </w:tcPr>
          <w:p w:rsidR="00953141" w:rsidRDefault="00953141" w:rsidP="00953141">
            <w:pPr>
              <w:numPr>
                <w:ilvl w:val="0"/>
                <w:numId w:val="24"/>
              </w:numPr>
            </w:pPr>
            <w:r>
              <w:t>RFM</w:t>
            </w:r>
          </w:p>
        </w:tc>
        <w:tc>
          <w:tcPr>
            <w:tcW w:w="4353" w:type="dxa"/>
          </w:tcPr>
          <w:p w:rsidR="00953141" w:rsidRDefault="00953141" w:rsidP="00953141">
            <w:pPr>
              <w:numPr>
                <w:ilvl w:val="0"/>
                <w:numId w:val="24"/>
              </w:numPr>
            </w:pPr>
            <w:r>
              <w:t>roll forward model</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RIN</w:t>
            </w:r>
          </w:p>
        </w:tc>
        <w:tc>
          <w:tcPr>
            <w:tcW w:w="4353" w:type="dxa"/>
          </w:tcPr>
          <w:p w:rsidR="00953141" w:rsidRDefault="00953141" w:rsidP="00953141">
            <w:pPr>
              <w:numPr>
                <w:ilvl w:val="0"/>
                <w:numId w:val="24"/>
              </w:numPr>
            </w:pPr>
            <w:r>
              <w:t>regulatory information notice</w:t>
            </w:r>
          </w:p>
        </w:tc>
      </w:tr>
      <w:tr w:rsidR="00953141" w:rsidTr="00953141">
        <w:tc>
          <w:tcPr>
            <w:tcW w:w="4340" w:type="dxa"/>
          </w:tcPr>
          <w:p w:rsidR="00953141" w:rsidRDefault="00953141" w:rsidP="00953141">
            <w:pPr>
              <w:numPr>
                <w:ilvl w:val="0"/>
                <w:numId w:val="24"/>
              </w:numPr>
            </w:pPr>
            <w:r>
              <w:t>RPP</w:t>
            </w:r>
          </w:p>
        </w:tc>
        <w:tc>
          <w:tcPr>
            <w:tcW w:w="4353" w:type="dxa"/>
          </w:tcPr>
          <w:p w:rsidR="00953141" w:rsidRDefault="00953141" w:rsidP="00953141">
            <w:pPr>
              <w:numPr>
                <w:ilvl w:val="0"/>
                <w:numId w:val="24"/>
              </w:numPr>
            </w:pPr>
            <w:r>
              <w:t>revenue and pricing principles</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SLCAPM</w:t>
            </w:r>
          </w:p>
        </w:tc>
        <w:tc>
          <w:tcPr>
            <w:tcW w:w="4353" w:type="dxa"/>
          </w:tcPr>
          <w:p w:rsidR="00953141" w:rsidRDefault="00953141" w:rsidP="00953141">
            <w:pPr>
              <w:numPr>
                <w:ilvl w:val="0"/>
                <w:numId w:val="24"/>
              </w:numPr>
            </w:pPr>
            <w:r>
              <w:t>Sharpe-Lintner capital asset pricing model</w:t>
            </w:r>
          </w:p>
        </w:tc>
      </w:tr>
      <w:tr w:rsidR="00953141" w:rsidTr="00953141">
        <w:tc>
          <w:tcPr>
            <w:tcW w:w="4340" w:type="dxa"/>
          </w:tcPr>
          <w:p w:rsidR="00953141" w:rsidRDefault="00953141" w:rsidP="00953141">
            <w:pPr>
              <w:numPr>
                <w:ilvl w:val="0"/>
                <w:numId w:val="24"/>
              </w:numPr>
            </w:pPr>
            <w:r>
              <w:t>STTM</w:t>
            </w:r>
          </w:p>
        </w:tc>
        <w:tc>
          <w:tcPr>
            <w:tcW w:w="4353" w:type="dxa"/>
          </w:tcPr>
          <w:p w:rsidR="00953141" w:rsidRPr="00953141" w:rsidRDefault="00953141" w:rsidP="00953141">
            <w:r>
              <w:t>Short Term Trading Market</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TAB</w:t>
            </w:r>
          </w:p>
        </w:tc>
        <w:tc>
          <w:tcPr>
            <w:tcW w:w="4353" w:type="dxa"/>
          </w:tcPr>
          <w:p w:rsidR="00953141" w:rsidRPr="00953141" w:rsidRDefault="00953141" w:rsidP="00953141">
            <w:r>
              <w:t>Tax asset base</w:t>
            </w:r>
          </w:p>
        </w:tc>
      </w:tr>
      <w:tr w:rsidR="00953141" w:rsidTr="00953141">
        <w:tc>
          <w:tcPr>
            <w:tcW w:w="4340" w:type="dxa"/>
          </w:tcPr>
          <w:p w:rsidR="00953141" w:rsidRDefault="00953141" w:rsidP="00953141">
            <w:pPr>
              <w:numPr>
                <w:ilvl w:val="0"/>
                <w:numId w:val="24"/>
              </w:numPr>
            </w:pPr>
            <w:r>
              <w:t>UAFG</w:t>
            </w:r>
          </w:p>
        </w:tc>
        <w:tc>
          <w:tcPr>
            <w:tcW w:w="4353" w:type="dxa"/>
          </w:tcPr>
          <w:p w:rsidR="00953141" w:rsidRPr="00953141" w:rsidRDefault="00953141" w:rsidP="00953141">
            <w:r>
              <w:t>Unaccounted for gas</w:t>
            </w:r>
          </w:p>
        </w:tc>
      </w:tr>
      <w:tr w:rsidR="00953141" w:rsidTr="00953141">
        <w:trPr>
          <w:cnfStyle w:val="000000010000" w:firstRow="0" w:lastRow="0" w:firstColumn="0" w:lastColumn="0" w:oddVBand="0" w:evenVBand="0" w:oddHBand="0" w:evenHBand="1" w:firstRowFirstColumn="0" w:firstRowLastColumn="0" w:lastRowFirstColumn="0" w:lastRowLastColumn="0"/>
        </w:trPr>
        <w:tc>
          <w:tcPr>
            <w:tcW w:w="4340" w:type="dxa"/>
          </w:tcPr>
          <w:p w:rsidR="00953141" w:rsidRDefault="00953141" w:rsidP="00953141">
            <w:pPr>
              <w:numPr>
                <w:ilvl w:val="0"/>
                <w:numId w:val="24"/>
              </w:numPr>
            </w:pPr>
            <w:r>
              <w:t>WACC</w:t>
            </w:r>
          </w:p>
        </w:tc>
        <w:tc>
          <w:tcPr>
            <w:tcW w:w="4353" w:type="dxa"/>
          </w:tcPr>
          <w:p w:rsidR="00953141" w:rsidRDefault="00953141" w:rsidP="00953141">
            <w:pPr>
              <w:numPr>
                <w:ilvl w:val="0"/>
                <w:numId w:val="24"/>
              </w:numPr>
            </w:pPr>
            <w:r>
              <w:t>weighted average cost of capital</w:t>
            </w:r>
          </w:p>
        </w:tc>
      </w:tr>
      <w:tr w:rsidR="00953141" w:rsidTr="00953141">
        <w:tc>
          <w:tcPr>
            <w:tcW w:w="4340" w:type="dxa"/>
          </w:tcPr>
          <w:p w:rsidR="00953141" w:rsidRDefault="00953141" w:rsidP="00953141">
            <w:pPr>
              <w:numPr>
                <w:ilvl w:val="0"/>
                <w:numId w:val="24"/>
              </w:numPr>
            </w:pPr>
            <w:r>
              <w:t>WPI</w:t>
            </w:r>
          </w:p>
        </w:tc>
        <w:tc>
          <w:tcPr>
            <w:tcW w:w="4353" w:type="dxa"/>
          </w:tcPr>
          <w:p w:rsidR="00953141" w:rsidRPr="00953141" w:rsidRDefault="00953141" w:rsidP="00953141">
            <w:r>
              <w:t>Wage Price Index</w:t>
            </w:r>
          </w:p>
        </w:tc>
      </w:tr>
    </w:tbl>
    <w:p w:rsidR="00953141" w:rsidRPr="00953141" w:rsidRDefault="00953141" w:rsidP="00953141"/>
    <w:p w:rsidR="00DE563D" w:rsidRDefault="00953141" w:rsidP="006903A2">
      <w:pPr>
        <w:pStyle w:val="Heading1"/>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 xml:space="preserve">  </w:t>
      </w:r>
      <w:bookmarkStart w:id="70" w:name="_Toc486923575"/>
      <w:r w:rsidR="006903A2">
        <w:t>Reference tariff setting</w:t>
      </w:r>
      <w:bookmarkEnd w:id="70"/>
    </w:p>
    <w:p w:rsidR="006A0634" w:rsidRDefault="003B1574" w:rsidP="003B1574">
      <w:r w:rsidRPr="003B1574">
        <w:t>An access arrangement must set out how a service provider intends to charge for reference services. The service provider's access arrangement information must include an explanation of the basis for setting reference tariffs, including the method used to allocate costs and a demonstration of the relationship between costs and tariffs.</w:t>
      </w:r>
      <w:r w:rsidRPr="003B1574">
        <w:rPr>
          <w:rStyle w:val="FootnoteReference"/>
        </w:rPr>
        <w:footnoteReference w:id="1"/>
      </w:r>
    </w:p>
    <w:p w:rsidR="003B1574" w:rsidRDefault="00C10423" w:rsidP="003B1574">
      <w:r>
        <w:t>We</w:t>
      </w:r>
      <w:r w:rsidR="003B1574">
        <w:t xml:space="preserve"> assess</w:t>
      </w:r>
      <w:r w:rsidR="006A0634">
        <w:t>ed</w:t>
      </w:r>
      <w:r w:rsidR="003B1574">
        <w:t xml:space="preserve"> APA</w:t>
      </w:r>
      <w:r w:rsidR="003702CF">
        <w:t>'s</w:t>
      </w:r>
      <w:r w:rsidR="00EB499A">
        <w:t> proposed</w:t>
      </w:r>
      <w:r w:rsidR="003B1574">
        <w:t xml:space="preserve"> reference tariffs against the provisions of the NGR</w:t>
      </w:r>
      <w:r w:rsidR="00262A60">
        <w:rPr>
          <w:rStyle w:val="FootnoteReference"/>
        </w:rPr>
        <w:footnoteReference w:id="2"/>
      </w:r>
      <w:r w:rsidR="003B1574">
        <w:t xml:space="preserve"> and the NGL</w:t>
      </w:r>
      <w:r w:rsidR="00262A60">
        <w:rPr>
          <w:rStyle w:val="FootnoteReference"/>
        </w:rPr>
        <w:footnoteReference w:id="3"/>
      </w:r>
      <w:r w:rsidR="003B1574">
        <w:t>.</w:t>
      </w:r>
      <w:r w:rsidR="003B1574" w:rsidRPr="00955F13">
        <w:t xml:space="preserve"> </w:t>
      </w:r>
    </w:p>
    <w:p w:rsidR="003B1574" w:rsidRPr="003100DF" w:rsidRDefault="003B1574" w:rsidP="003B1574">
      <w:r w:rsidRPr="00955F13">
        <w:t xml:space="preserve">This </w:t>
      </w:r>
      <w:r>
        <w:t>attachment</w:t>
      </w:r>
      <w:r w:rsidRPr="00955F13">
        <w:t xml:space="preserve"> </w:t>
      </w:r>
      <w:r>
        <w:t xml:space="preserve">describes </w:t>
      </w:r>
      <w:r w:rsidR="006A0634">
        <w:t>our</w:t>
      </w:r>
      <w:r w:rsidRPr="00955F13">
        <w:t xml:space="preserve"> </w:t>
      </w:r>
      <w:r>
        <w:t>assessment</w:t>
      </w:r>
      <w:r w:rsidRPr="00955F13">
        <w:t xml:space="preserve"> of </w:t>
      </w:r>
      <w:r>
        <w:t xml:space="preserve">the </w:t>
      </w:r>
      <w:r w:rsidRPr="00955F13">
        <w:t xml:space="preserve">reference tariffs proposed by </w:t>
      </w:r>
      <w:r>
        <w:t>APA and sets out the revisions required by this decision</w:t>
      </w:r>
      <w:r w:rsidRPr="00955F13">
        <w:t>. The AER</w:t>
      </w:r>
      <w:r>
        <w:t>'s</w:t>
      </w:r>
      <w:r w:rsidRPr="00955F13">
        <w:t xml:space="preserve"> </w:t>
      </w:r>
      <w:r>
        <w:t xml:space="preserve">assessment focuses </w:t>
      </w:r>
      <w:r w:rsidRPr="00955F13">
        <w:t xml:space="preserve">on the </w:t>
      </w:r>
      <w:r>
        <w:t xml:space="preserve">design and </w:t>
      </w:r>
      <w:r w:rsidRPr="00955F13">
        <w:t xml:space="preserve">structure of tariffs and </w:t>
      </w:r>
      <w:r>
        <w:t xml:space="preserve">the </w:t>
      </w:r>
      <w:r w:rsidRPr="00955F13">
        <w:t xml:space="preserve">allocation of </w:t>
      </w:r>
      <w:r>
        <w:t>costs to services.</w:t>
      </w:r>
    </w:p>
    <w:p w:rsidR="00132D43" w:rsidRDefault="00132D43" w:rsidP="00132D43">
      <w:pPr>
        <w:pStyle w:val="Heading2"/>
      </w:pPr>
      <w:bookmarkStart w:id="71" w:name="_Toc486923576"/>
      <w:r>
        <w:t>Draft decision</w:t>
      </w:r>
      <w:bookmarkEnd w:id="71"/>
    </w:p>
    <w:p w:rsidR="003B1574" w:rsidRDefault="00C10423" w:rsidP="003B1574">
      <w:r>
        <w:t>We</w:t>
      </w:r>
      <w:r w:rsidR="0094763A">
        <w:t xml:space="preserve"> accept</w:t>
      </w:r>
      <w:r w:rsidR="003B1574">
        <w:t xml:space="preserve"> the fundamental features of </w:t>
      </w:r>
      <w:r w:rsidR="008962D9">
        <w:t>APA's</w:t>
      </w:r>
      <w:r w:rsidR="003B1574">
        <w:t xml:space="preserve"> proposed reference tariffs</w:t>
      </w:r>
      <w:r w:rsidR="006A0634">
        <w:t xml:space="preserve"> for the VTS</w:t>
      </w:r>
      <w:r w:rsidR="003B1574">
        <w:t>, including tariff design, the zonal structure, the basis for charging users and the general approach to allocating costs.</w:t>
      </w:r>
    </w:p>
    <w:p w:rsidR="006D5F9A" w:rsidRDefault="009C688C" w:rsidP="00B117FC">
      <w:pPr>
        <w:pStyle w:val="AERbulletlistfirststyle"/>
        <w:numPr>
          <w:ilvl w:val="0"/>
          <w:numId w:val="0"/>
        </w:numPr>
      </w:pPr>
      <w:r>
        <w:t xml:space="preserve">However, </w:t>
      </w:r>
      <w:r w:rsidR="003702CF">
        <w:t xml:space="preserve">we require </w:t>
      </w:r>
      <w:r w:rsidR="003B1574">
        <w:t xml:space="preserve">APA to recalculate its reference tariffs </w:t>
      </w:r>
      <w:r w:rsidR="00F66723">
        <w:t xml:space="preserve">so that the </w:t>
      </w:r>
      <w:r w:rsidR="00B117FC">
        <w:t>levels of the tariffs reflect</w:t>
      </w:r>
      <w:r w:rsidR="003B1574">
        <w:t xml:space="preserve"> </w:t>
      </w:r>
      <w:r>
        <w:t>our</w:t>
      </w:r>
      <w:r w:rsidR="003B1574">
        <w:t xml:space="preserve"> draft decision on </w:t>
      </w:r>
      <w:r w:rsidR="00C01840">
        <w:t xml:space="preserve">forecasts of </w:t>
      </w:r>
      <w:r w:rsidR="003B1574">
        <w:t xml:space="preserve">demand, capex, opex and </w:t>
      </w:r>
      <w:r w:rsidR="006A0634">
        <w:t>rate of return</w:t>
      </w:r>
      <w:r w:rsidR="003B1574">
        <w:t>.</w:t>
      </w:r>
    </w:p>
    <w:p w:rsidR="00132D43" w:rsidRDefault="00500219" w:rsidP="00132D43">
      <w:pPr>
        <w:pStyle w:val="Heading2"/>
      </w:pPr>
      <w:bookmarkStart w:id="72" w:name="_Toc486923577"/>
      <w:r>
        <w:t>APA</w:t>
      </w:r>
      <w:r w:rsidR="00132D43">
        <w:t>’s proposal</w:t>
      </w:r>
      <w:bookmarkEnd w:id="72"/>
    </w:p>
    <w:p w:rsidR="00E2626A" w:rsidRDefault="00566B9F" w:rsidP="00132D43">
      <w:r>
        <w:t xml:space="preserve">In January 2017 APA </w:t>
      </w:r>
      <w:r w:rsidR="003702CF">
        <w:t>submitted its</w:t>
      </w:r>
      <w:r w:rsidR="00E2626A">
        <w:t xml:space="preserve"> </w:t>
      </w:r>
      <w:r>
        <w:t>access arrangement proposal</w:t>
      </w:r>
      <w:r w:rsidR="00ED4F87">
        <w:t xml:space="preserve"> for </w:t>
      </w:r>
      <w:r w:rsidR="00953141">
        <w:t xml:space="preserve">the VTS for </w:t>
      </w:r>
      <w:r w:rsidR="00ED4F87">
        <w:t>2018–22</w:t>
      </w:r>
      <w:r>
        <w:t>. On 15</w:t>
      </w:r>
      <w:r w:rsidR="00EB499A">
        <w:t> </w:t>
      </w:r>
      <w:r>
        <w:t xml:space="preserve">May </w:t>
      </w:r>
      <w:r w:rsidR="00EB499A">
        <w:t>2017,</w:t>
      </w:r>
      <w:r>
        <w:t xml:space="preserve"> </w:t>
      </w:r>
      <w:r w:rsidR="00ED4F87">
        <w:t xml:space="preserve">it submitted </w:t>
      </w:r>
      <w:r>
        <w:t xml:space="preserve">revisions to its capital and operating expenditure forecasts </w:t>
      </w:r>
      <w:r w:rsidR="003702CF">
        <w:t>for the Western outer ring main (WORM) project</w:t>
      </w:r>
      <w:r w:rsidR="002D7F44">
        <w:t xml:space="preserve">. </w:t>
      </w:r>
      <w:r w:rsidR="00BA0327">
        <w:t>The</w:t>
      </w:r>
      <w:r w:rsidR="00953141">
        <w:t>se</w:t>
      </w:r>
      <w:r w:rsidR="006A0634" w:rsidDel="006A0634">
        <w:t xml:space="preserve"> </w:t>
      </w:r>
      <w:r w:rsidR="00BA0327">
        <w:t>had</w:t>
      </w:r>
      <w:r w:rsidR="001C55F0">
        <w:t xml:space="preserve"> flow</w:t>
      </w:r>
      <w:r w:rsidR="006A0634">
        <w:t>-</w:t>
      </w:r>
      <w:r w:rsidR="001C55F0">
        <w:t>on implications for</w:t>
      </w:r>
      <w:r w:rsidR="004D5408">
        <w:t xml:space="preserve"> the levels </w:t>
      </w:r>
      <w:r w:rsidR="00BA0327">
        <w:t>of</w:t>
      </w:r>
      <w:r w:rsidR="001C55F0">
        <w:t xml:space="preserve"> </w:t>
      </w:r>
      <w:r w:rsidR="006A0634">
        <w:t xml:space="preserve">reference service </w:t>
      </w:r>
      <w:r w:rsidR="001C55F0">
        <w:t>tariffs</w:t>
      </w:r>
      <w:r w:rsidR="004D5408">
        <w:t xml:space="preserve"> compared </w:t>
      </w:r>
      <w:r w:rsidR="00BA0327">
        <w:t>to those submitted in January</w:t>
      </w:r>
      <w:r w:rsidR="001C55F0">
        <w:t>.</w:t>
      </w:r>
      <w:r w:rsidR="00BA0327">
        <w:t xml:space="preserve"> </w:t>
      </w:r>
      <w:r w:rsidR="00EB499A">
        <w:t>Otherwise,</w:t>
      </w:r>
      <w:r w:rsidR="00BA0327">
        <w:t xml:space="preserve"> the design, structure, basis for charging users and the general approach to allocating costs </w:t>
      </w:r>
      <w:r w:rsidR="00953141">
        <w:t>reflect</w:t>
      </w:r>
      <w:r w:rsidR="00BA0327">
        <w:t xml:space="preserve"> </w:t>
      </w:r>
      <w:r w:rsidR="003702CF">
        <w:t xml:space="preserve">its </w:t>
      </w:r>
      <w:r w:rsidR="00BA0327">
        <w:t xml:space="preserve">January 2017 </w:t>
      </w:r>
      <w:r w:rsidR="006A0634">
        <w:t>proposal</w:t>
      </w:r>
      <w:r w:rsidR="00BA0327">
        <w:t>.</w:t>
      </w:r>
    </w:p>
    <w:p w:rsidR="009C688C" w:rsidRDefault="008962D9" w:rsidP="009C688C">
      <w:r>
        <w:t>APA propose</w:t>
      </w:r>
      <w:r w:rsidR="00D22310">
        <w:t>d</w:t>
      </w:r>
      <w:r w:rsidR="006A0634">
        <w:t xml:space="preserve"> </w:t>
      </w:r>
      <w:r>
        <w:t>a single reference service, which is the tariffed transmission service</w:t>
      </w:r>
      <w:r w:rsidR="00BA54E9">
        <w:t xml:space="preserve"> reference service</w:t>
      </w:r>
      <w:r>
        <w:t xml:space="preserve">. </w:t>
      </w:r>
      <w:r w:rsidR="003367D7">
        <w:t>All</w:t>
      </w:r>
      <w:r>
        <w:t xml:space="preserve"> costs allocated to the VTS are allocated to this service (in the form of reference tariffs). APA</w:t>
      </w:r>
      <w:r w:rsidR="009C688C">
        <w:t xml:space="preserve"> </w:t>
      </w:r>
      <w:r w:rsidR="00566B9F">
        <w:t>did</w:t>
      </w:r>
      <w:r w:rsidR="002D7F44">
        <w:t xml:space="preserve"> not propose</w:t>
      </w:r>
      <w:r w:rsidR="009C688C">
        <w:t xml:space="preserve"> any substantive changes to its methodology for allocating costs to its reference tariff</w:t>
      </w:r>
      <w:r w:rsidR="00B426C9">
        <w:t>s</w:t>
      </w:r>
      <w:r w:rsidR="009C688C">
        <w:t xml:space="preserve">. </w:t>
      </w:r>
      <w:r w:rsidR="00B426C9">
        <w:t xml:space="preserve">The methodology </w:t>
      </w:r>
      <w:r w:rsidR="001C55F0">
        <w:t>proposed is</w:t>
      </w:r>
      <w:r w:rsidR="00B426C9">
        <w:t xml:space="preserve"> essentially the same as that which applied in </w:t>
      </w:r>
      <w:r w:rsidR="00103553">
        <w:t xml:space="preserve">the </w:t>
      </w:r>
      <w:r w:rsidR="00B426C9">
        <w:t>2013</w:t>
      </w:r>
      <w:r w:rsidR="006C387F">
        <w:t>–</w:t>
      </w:r>
      <w:r w:rsidR="00B426C9">
        <w:t>17 access arrange</w:t>
      </w:r>
      <w:r w:rsidR="00B02459">
        <w:t>ment period</w:t>
      </w:r>
      <w:r w:rsidR="006C387F">
        <w:t xml:space="preserve"> but</w:t>
      </w:r>
      <w:r w:rsidR="00565F70">
        <w:t xml:space="preserve"> with the following changes:</w:t>
      </w:r>
    </w:p>
    <w:p w:rsidR="00F06866" w:rsidRDefault="00262A60" w:rsidP="000854E6">
      <w:pPr>
        <w:pStyle w:val="AERbulletlistfirststyle"/>
      </w:pPr>
      <w:r>
        <w:t xml:space="preserve">variation </w:t>
      </w:r>
      <w:r w:rsidR="00565F70">
        <w:t xml:space="preserve">of the allocation of costs to the </w:t>
      </w:r>
      <w:r w:rsidR="006C387F">
        <w:t>South West Pipeline (</w:t>
      </w:r>
      <w:r w:rsidR="00565F70">
        <w:t>SWP</w:t>
      </w:r>
      <w:r w:rsidR="006C387F">
        <w:t>)</w:t>
      </w:r>
      <w:r w:rsidR="00E457A8">
        <w:t xml:space="preserve">, </w:t>
      </w:r>
      <w:r w:rsidR="000854E6">
        <w:t>such that</w:t>
      </w:r>
      <w:r w:rsidR="00E457A8">
        <w:t xml:space="preserve"> 81.3 per cent of costs are allocated directly to the SWP and</w:t>
      </w:r>
      <w:r w:rsidR="00565F70">
        <w:t xml:space="preserve"> </w:t>
      </w:r>
      <w:r w:rsidR="00361716">
        <w:t>18.7</w:t>
      </w:r>
      <w:r w:rsidR="00565F70">
        <w:t xml:space="preserve"> per cent</w:t>
      </w:r>
      <w:r w:rsidR="00E457A8">
        <w:t xml:space="preserve"> are allocated on a postage stamp basis across all users</w:t>
      </w:r>
      <w:r w:rsidR="00275E6F">
        <w:t xml:space="preserve"> of the VTS</w:t>
      </w:r>
      <w:r w:rsidR="00F06866">
        <w:t>.</w:t>
      </w:r>
      <w:r w:rsidR="00F06866" w:rsidRPr="00F06866">
        <w:t xml:space="preserve"> </w:t>
      </w:r>
      <w:r w:rsidR="00F06866">
        <w:t>This differs from the current access arrangement</w:t>
      </w:r>
      <w:r w:rsidR="00861548">
        <w:t>,</w:t>
      </w:r>
      <w:r w:rsidR="00F06866">
        <w:t xml:space="preserve"> </w:t>
      </w:r>
      <w:r w:rsidR="00861548">
        <w:t>where</w:t>
      </w:r>
      <w:r w:rsidR="00F06866">
        <w:t xml:space="preserve"> 58.5 per cent of the SWP</w:t>
      </w:r>
      <w:r w:rsidR="00F06866" w:rsidRPr="00EE17B1">
        <w:t xml:space="preserve"> </w:t>
      </w:r>
      <w:r w:rsidR="00F06866">
        <w:t>direct</w:t>
      </w:r>
      <w:r w:rsidR="00F06866" w:rsidRPr="00EE17B1">
        <w:t xml:space="preserve"> costs are</w:t>
      </w:r>
      <w:r w:rsidR="00F06866">
        <w:t xml:space="preserve"> </w:t>
      </w:r>
      <w:r w:rsidR="00F06866" w:rsidRPr="00EE17B1">
        <w:t xml:space="preserve">allocated to </w:t>
      </w:r>
      <w:r w:rsidR="003702CF">
        <w:t>the SWP</w:t>
      </w:r>
      <w:r w:rsidR="00F06866" w:rsidRPr="00EE17B1">
        <w:t xml:space="preserve"> </w:t>
      </w:r>
      <w:r w:rsidR="00F06866">
        <w:t xml:space="preserve">and the remaining 41.5 per cent </w:t>
      </w:r>
      <w:r w:rsidR="00861548">
        <w:t>is</w:t>
      </w:r>
      <w:r w:rsidR="00F06866" w:rsidRPr="00EE17B1">
        <w:t xml:space="preserve"> allocated</w:t>
      </w:r>
      <w:r w:rsidR="00F06866">
        <w:t xml:space="preserve"> </w:t>
      </w:r>
      <w:r w:rsidR="00F06866" w:rsidRPr="00EE17B1">
        <w:t>across all withdrawal</w:t>
      </w:r>
      <w:r w:rsidR="00F06866">
        <w:t xml:space="preserve"> </w:t>
      </w:r>
      <w:r w:rsidR="00F06866" w:rsidRPr="00EE17B1">
        <w:t>tariffs on a postage-stamp basis.</w:t>
      </w:r>
    </w:p>
    <w:p w:rsidR="00C37F2E" w:rsidRDefault="00C37F2E" w:rsidP="00262A60">
      <w:pPr>
        <w:pStyle w:val="AERbulletlistfirststyle"/>
      </w:pPr>
      <w:r>
        <w:t>Allocating forecast expenditure of the westbound expansion of SWP to the Lochard underground storage at Iona refill charge (also known as the Iona storage refill tariff).</w:t>
      </w:r>
      <w:r w:rsidRPr="00C37F2E">
        <w:t xml:space="preserve"> </w:t>
      </w:r>
      <w:r>
        <w:t>This means the Iona storage refill tariff and the Dandenong refill tariff are no longer aligned (APA proposed the Iona refill tariff of 7.9c/GJ and Dandenong refill tariff of 5.4c/GJ).</w:t>
      </w:r>
    </w:p>
    <w:p w:rsidR="008A4EEB" w:rsidRPr="00BA0327" w:rsidRDefault="008A4EEB" w:rsidP="00953141">
      <w:pPr>
        <w:pStyle w:val="Heading3"/>
        <w:ind w:left="720"/>
        <w:rPr>
          <w:rStyle w:val="Strong"/>
        </w:rPr>
      </w:pPr>
      <w:bookmarkStart w:id="73" w:name="_Toc486923578"/>
      <w:r>
        <w:rPr>
          <w:rStyle w:val="Strong"/>
        </w:rPr>
        <w:t>Reference Tariffs</w:t>
      </w:r>
      <w:bookmarkEnd w:id="73"/>
    </w:p>
    <w:p w:rsidR="00E017F5" w:rsidRDefault="00E017F5" w:rsidP="008A4EEB">
      <w:pPr>
        <w:rPr>
          <w:rStyle w:val="AERtextbolditalics"/>
        </w:rPr>
      </w:pPr>
      <w:r>
        <w:t>APA proposed two separate classes of users (injectors and withdrawers). APA proposed to recover its costs from these users through injection and withdrawal tariffs.</w:t>
      </w:r>
      <w:r w:rsidR="00D64F6D">
        <w:t xml:space="preserve"> These are the same as </w:t>
      </w:r>
      <w:r w:rsidR="00EB499A">
        <w:t>those that</w:t>
      </w:r>
      <w:r w:rsidR="00D64F6D">
        <w:t xml:space="preserve"> apply in the current access arrangement.</w:t>
      </w:r>
      <w:r>
        <w:rPr>
          <w:rStyle w:val="AERtextbolditalics"/>
        </w:rPr>
        <w:t xml:space="preserve"> </w:t>
      </w:r>
    </w:p>
    <w:p w:rsidR="008A4EEB" w:rsidRPr="00953141" w:rsidRDefault="00A56E8F" w:rsidP="00953141">
      <w:pPr>
        <w:pStyle w:val="HeadingBoldBlue"/>
      </w:pPr>
      <w:r w:rsidRPr="00953141">
        <w:rPr>
          <w:rStyle w:val="AERtextbolditalics"/>
          <w:b/>
          <w:bCs/>
          <w:i w:val="0"/>
          <w:iCs w:val="0"/>
        </w:rPr>
        <w:t>Injection tariffs</w:t>
      </w:r>
    </w:p>
    <w:p w:rsidR="008A4EEB" w:rsidRDefault="00275E6F" w:rsidP="008A4EEB">
      <w:r>
        <w:t>APA's proposed</w:t>
      </w:r>
      <w:r w:rsidR="008A4EEB">
        <w:t xml:space="preserve"> injection </w:t>
      </w:r>
      <w:r>
        <w:t>tariffs</w:t>
      </w:r>
      <w:r w:rsidR="008A4EEB">
        <w:t xml:space="preserve"> are calculated to recover the cost of the injection pipeline from the peak flows carried through the pipeline. APA proposed five injection zones supplying the VTS:</w:t>
      </w:r>
    </w:p>
    <w:p w:rsidR="008A4EEB" w:rsidRDefault="008A4EEB" w:rsidP="008A4EEB">
      <w:pPr>
        <w:pStyle w:val="AERbulletlistfirststyle"/>
      </w:pPr>
      <w:r>
        <w:t>Longford</w:t>
      </w:r>
    </w:p>
    <w:p w:rsidR="008A4EEB" w:rsidRDefault="008A4EEB" w:rsidP="008A4EEB">
      <w:pPr>
        <w:pStyle w:val="AERbulletlistfirststyle"/>
      </w:pPr>
      <w:r>
        <w:t>Port Campbell</w:t>
      </w:r>
    </w:p>
    <w:p w:rsidR="008A4EEB" w:rsidRDefault="008A4EEB" w:rsidP="008A4EEB">
      <w:pPr>
        <w:pStyle w:val="AERbulletlistfirststyle"/>
      </w:pPr>
      <w:r>
        <w:t>Pakenham</w:t>
      </w:r>
    </w:p>
    <w:p w:rsidR="008A4EEB" w:rsidRDefault="008A4EEB" w:rsidP="008A4EEB">
      <w:pPr>
        <w:pStyle w:val="AERbulletlistfirststyle"/>
      </w:pPr>
      <w:r>
        <w:t xml:space="preserve">Dandenong </w:t>
      </w:r>
    </w:p>
    <w:p w:rsidR="008A4EEB" w:rsidRDefault="008A4EEB" w:rsidP="008A4EEB">
      <w:pPr>
        <w:pStyle w:val="AERbulletlistfirststyle"/>
      </w:pPr>
      <w:r>
        <w:t>Culcairn</w:t>
      </w:r>
      <w:r w:rsidR="00262A60">
        <w:t>.</w:t>
      </w:r>
      <w:r w:rsidR="00D22310">
        <w:rPr>
          <w:rStyle w:val="FootnoteReference"/>
        </w:rPr>
        <w:footnoteReference w:id="4"/>
      </w:r>
    </w:p>
    <w:p w:rsidR="008A4EEB" w:rsidRDefault="008A4EEB" w:rsidP="008A4EEB">
      <w:r>
        <w:t>These are the same injection zones as per the current access arrangement. A separate tariff applies to each injection zone. The injection charge is levied on the ten peak injection days over the winter at each injection zone.</w:t>
      </w:r>
    </w:p>
    <w:p w:rsidR="00A56E8F" w:rsidRPr="00953141" w:rsidRDefault="00A56E8F" w:rsidP="00953141">
      <w:pPr>
        <w:pStyle w:val="HeadingBoldBlue"/>
        <w:rPr>
          <w:rStyle w:val="AERtextbolditalics"/>
          <w:b/>
          <w:bCs/>
          <w:i w:val="0"/>
          <w:iCs w:val="0"/>
        </w:rPr>
      </w:pPr>
      <w:r w:rsidRPr="00953141">
        <w:rPr>
          <w:rStyle w:val="AERtextbolditalics"/>
          <w:b/>
          <w:bCs/>
          <w:i w:val="0"/>
          <w:iCs w:val="0"/>
        </w:rPr>
        <w:t>Withdrawal tariffs</w:t>
      </w:r>
    </w:p>
    <w:p w:rsidR="00A56E8F" w:rsidRDefault="00275E6F" w:rsidP="00A56E8F">
      <w:r>
        <w:t>APA's proposed withdrawal tariffs</w:t>
      </w:r>
      <w:r w:rsidR="00D6537D">
        <w:t xml:space="preserve"> </w:t>
      </w:r>
      <w:r>
        <w:t>are calculated to recover the cost of transmission from the injection pipeline to the user. APA proposed</w:t>
      </w:r>
      <w:r w:rsidR="00D6537D">
        <w:t xml:space="preserve"> 25 withdrawal zones</w:t>
      </w:r>
      <w:r w:rsidR="00E017F5">
        <w:t xml:space="preserve"> with</w:t>
      </w:r>
      <w:r w:rsidR="00D6537D">
        <w:t xml:space="preserve"> up to three tariff classes</w:t>
      </w:r>
      <w:r w:rsidR="00E017F5">
        <w:t xml:space="preserve"> within each withdrawal zone</w:t>
      </w:r>
      <w:r w:rsidR="00A56E8F">
        <w:t>:</w:t>
      </w:r>
    </w:p>
    <w:p w:rsidR="00A56E8F" w:rsidRDefault="00A56E8F" w:rsidP="00A56E8F">
      <w:pPr>
        <w:pStyle w:val="AERbulletlistfirststyle"/>
      </w:pPr>
      <w:r>
        <w:t>Tariff-V applies to customers consuming less than 10TJ per annum</w:t>
      </w:r>
      <w:r w:rsidR="00262A60">
        <w:t>.</w:t>
      </w:r>
    </w:p>
    <w:p w:rsidR="00A56E8F" w:rsidRDefault="00A56E8F" w:rsidP="00A56E8F">
      <w:pPr>
        <w:pStyle w:val="AERbulletlistfirststyle"/>
      </w:pPr>
      <w:r>
        <w:t>Tariff-D applies to customers with annual consumption greater than 10TJ, or a maximum hourly demand greater than 10 GJ.</w:t>
      </w:r>
    </w:p>
    <w:p w:rsidR="009F47F0" w:rsidRPr="00DA1768" w:rsidRDefault="009F47F0" w:rsidP="009F47F0">
      <w:pPr>
        <w:pStyle w:val="AERbulletlistfirststyle"/>
      </w:pPr>
      <w:r w:rsidRPr="00DA1768">
        <w:t>A cross-system tariff applies in addition to the applicable injection and</w:t>
      </w:r>
      <w:r>
        <w:t xml:space="preserve"> </w:t>
      </w:r>
      <w:r w:rsidRPr="00DA1768">
        <w:t>withdrawal tariff</w:t>
      </w:r>
      <w:r>
        <w:t>s</w:t>
      </w:r>
      <w:r w:rsidRPr="00DA1768">
        <w:t xml:space="preserve"> for carriage through the Metro zone. It applies for</w:t>
      </w:r>
      <w:r>
        <w:t xml:space="preserve"> </w:t>
      </w:r>
      <w:r w:rsidRPr="00DA1768">
        <w:t xml:space="preserve">withdrawals off the injection </w:t>
      </w:r>
      <w:r w:rsidR="005B5190" w:rsidRPr="00DA1768">
        <w:t>pipeline that</w:t>
      </w:r>
      <w:r w:rsidRPr="00DA1768">
        <w:t xml:space="preserve"> are linked to injections at an</w:t>
      </w:r>
      <w:r>
        <w:t xml:space="preserve"> </w:t>
      </w:r>
      <w:r w:rsidRPr="00DA1768">
        <w:t>unrelated injection point.</w:t>
      </w:r>
    </w:p>
    <w:p w:rsidR="00A56E8F" w:rsidRDefault="00A56E8F" w:rsidP="009F47F0">
      <w:pPr>
        <w:pStyle w:val="AERbulletlistfirststyle"/>
        <w:numPr>
          <w:ilvl w:val="0"/>
          <w:numId w:val="0"/>
        </w:numPr>
      </w:pPr>
      <w:r>
        <w:t xml:space="preserve">There are two specific withdrawal zones servicing storage </w:t>
      </w:r>
      <w:r w:rsidR="005B5190">
        <w:t>facilities, which</w:t>
      </w:r>
      <w:r>
        <w:t xml:space="preserve"> have only one tariff class</w:t>
      </w:r>
      <w:r w:rsidR="00262A60">
        <w:t>, this</w:t>
      </w:r>
      <w:r>
        <w:t xml:space="preserve"> being the </w:t>
      </w:r>
      <w:r w:rsidR="005B5190">
        <w:t>'</w:t>
      </w:r>
      <w:r>
        <w:t>refill tariff</w:t>
      </w:r>
      <w:r w:rsidR="005B5190">
        <w:t>'</w:t>
      </w:r>
      <w:r>
        <w:t>.</w:t>
      </w:r>
      <w:r w:rsidR="00D22310">
        <w:rPr>
          <w:rStyle w:val="FootnoteReference"/>
        </w:rPr>
        <w:footnoteReference w:id="5"/>
      </w:r>
    </w:p>
    <w:p w:rsidR="00D53EE6" w:rsidRDefault="008A4EEB" w:rsidP="00D53EE6">
      <w:r>
        <w:t xml:space="preserve">Different </w:t>
      </w:r>
      <w:r w:rsidR="005B5190">
        <w:t xml:space="preserve">tariff </w:t>
      </w:r>
      <w:r>
        <w:t>rates apply</w:t>
      </w:r>
      <w:r w:rsidR="00A56E8F">
        <w:t xml:space="preserve"> in each zone and</w:t>
      </w:r>
      <w:r>
        <w:t xml:space="preserve"> for tariff-D and tariff-V volumes</w:t>
      </w:r>
      <w:r w:rsidR="005B5190">
        <w:t>,</w:t>
      </w:r>
      <w:r>
        <w:t xml:space="preserve"> which reflect different use</w:t>
      </w:r>
      <w:r w:rsidR="00262A60">
        <w:t>s</w:t>
      </w:r>
      <w:r>
        <w:t xml:space="preserve"> of the system by users.</w:t>
      </w:r>
      <w:r w:rsidR="00A56E8F" w:rsidRPr="00A56E8F">
        <w:t xml:space="preserve"> </w:t>
      </w:r>
      <w:r w:rsidR="00A56E8F" w:rsidRPr="00644F8B">
        <w:t xml:space="preserve">The rates applying to each withdrawal zone reflect the use of system assets to deliver gas to </w:t>
      </w:r>
      <w:r w:rsidR="00A56E8F">
        <w:t>that</w:t>
      </w:r>
      <w:r w:rsidR="00A56E8F" w:rsidRPr="00644F8B">
        <w:t xml:space="preserve"> zone, the distance of</w:t>
      </w:r>
      <w:r w:rsidR="00A56E8F">
        <w:t xml:space="preserve"> </w:t>
      </w:r>
      <w:r w:rsidR="00A56E8F" w:rsidRPr="00644F8B">
        <w:t>the zone from the injection source and the volume withdrawn in the zone</w:t>
      </w:r>
      <w:r w:rsidR="00A56E8F">
        <w:t>.</w:t>
      </w:r>
      <w:r w:rsidR="00D53EE6">
        <w:t xml:space="preserve"> </w:t>
      </w:r>
      <w:r w:rsidR="005B5190">
        <w:t>W</w:t>
      </w:r>
      <w:r w:rsidR="00A56E8F">
        <w:t xml:space="preserve">ithdrawal tariffs </w:t>
      </w:r>
      <w:r w:rsidR="005B5190">
        <w:t>apply to</w:t>
      </w:r>
      <w:r w:rsidR="00A56E8F">
        <w:t xml:space="preserve"> the actual quantity of gas delivered over the calendar year</w:t>
      </w:r>
      <w:r w:rsidR="00D53EE6">
        <w:t>.</w:t>
      </w:r>
      <w:r w:rsidR="00D53EE6" w:rsidRPr="00D53EE6">
        <w:t xml:space="preserve"> </w:t>
      </w:r>
    </w:p>
    <w:p w:rsidR="008A4EEB" w:rsidRPr="00953141" w:rsidRDefault="008A4EEB" w:rsidP="00953141">
      <w:pPr>
        <w:pStyle w:val="HeadingBoldBlue"/>
        <w:rPr>
          <w:rStyle w:val="AERtextbolditalics"/>
          <w:b/>
          <w:bCs/>
          <w:i w:val="0"/>
          <w:iCs w:val="0"/>
        </w:rPr>
      </w:pPr>
      <w:r w:rsidRPr="00953141">
        <w:rPr>
          <w:rStyle w:val="AERtextbolditalics"/>
          <w:b/>
          <w:bCs/>
          <w:i w:val="0"/>
          <w:iCs w:val="0"/>
        </w:rPr>
        <w:t>Storage refill tariffs</w:t>
      </w:r>
    </w:p>
    <w:p w:rsidR="008A4EEB" w:rsidRDefault="00D53EE6" w:rsidP="008A4EEB">
      <w:r>
        <w:t xml:space="preserve">APA proposed </w:t>
      </w:r>
      <w:r w:rsidR="00BA54E9">
        <w:t xml:space="preserve">two </w:t>
      </w:r>
      <w:r>
        <w:t>s</w:t>
      </w:r>
      <w:r w:rsidR="008A4EEB" w:rsidRPr="00DA1768">
        <w:t>torage refill tariffs for gas injected into storage</w:t>
      </w:r>
      <w:r w:rsidR="00D64F6D">
        <w:t xml:space="preserve"> facilities</w:t>
      </w:r>
      <w:r w:rsidR="008A4EEB">
        <w:t>. There are two storage facilities in the VTS:</w:t>
      </w:r>
    </w:p>
    <w:p w:rsidR="008A4EEB" w:rsidRDefault="008A4EEB" w:rsidP="008A4EEB">
      <w:pPr>
        <w:pStyle w:val="AERbulletlistfirststyle"/>
      </w:pPr>
      <w:r>
        <w:t xml:space="preserve">Dandenong LNG— used primarily for </w:t>
      </w:r>
      <w:r w:rsidR="005B5190">
        <w:t xml:space="preserve">shaving of </w:t>
      </w:r>
      <w:r>
        <w:t>peak</w:t>
      </w:r>
      <w:r w:rsidR="005B5190">
        <w:t xml:space="preserve"> demand</w:t>
      </w:r>
      <w:r>
        <w:t xml:space="preserve"> </w:t>
      </w:r>
    </w:p>
    <w:p w:rsidR="008A4EEB" w:rsidRDefault="008A4EEB" w:rsidP="008A4EEB">
      <w:pPr>
        <w:pStyle w:val="AERbulletlistfirststyle"/>
      </w:pPr>
      <w:r>
        <w:t>Lochard Underground storage facility at Iona</w:t>
      </w:r>
      <w:r w:rsidR="00867E66">
        <w:t xml:space="preserve"> (Iona storage)</w:t>
      </w:r>
      <w:r>
        <w:t>— generally used during the winter period to supplement supply</w:t>
      </w:r>
      <w:r w:rsidR="00D22310">
        <w:t>.</w:t>
      </w:r>
    </w:p>
    <w:p w:rsidR="00D53EE6" w:rsidRPr="00953141" w:rsidRDefault="00D53EE6" w:rsidP="00953141">
      <w:pPr>
        <w:pStyle w:val="HeadingBoldBlue"/>
        <w:rPr>
          <w:rStyle w:val="AERtextbolditalics"/>
          <w:b/>
          <w:bCs/>
          <w:i w:val="0"/>
          <w:iCs w:val="0"/>
        </w:rPr>
      </w:pPr>
      <w:r w:rsidRPr="00953141">
        <w:rPr>
          <w:rStyle w:val="AERtextbolditalics"/>
          <w:b/>
          <w:bCs/>
          <w:i w:val="0"/>
          <w:iCs w:val="0"/>
        </w:rPr>
        <w:t>Other tariffs</w:t>
      </w:r>
    </w:p>
    <w:p w:rsidR="008A4EEB" w:rsidRPr="00DA1768" w:rsidRDefault="008A4EEB" w:rsidP="008A4EEB">
      <w:r w:rsidRPr="00DA1768">
        <w:t xml:space="preserve">In addition to the above reference </w:t>
      </w:r>
      <w:r w:rsidR="00D17A5F" w:rsidRPr="00DA1768">
        <w:t>tariffs,</w:t>
      </w:r>
      <w:r w:rsidRPr="00DA1768">
        <w:t xml:space="preserve"> </w:t>
      </w:r>
      <w:r>
        <w:t xml:space="preserve">APA </w:t>
      </w:r>
      <w:r w:rsidRPr="00DA1768">
        <w:t xml:space="preserve">also </w:t>
      </w:r>
      <w:r>
        <w:t>proposed</w:t>
      </w:r>
      <w:r w:rsidRPr="00DA1768">
        <w:t xml:space="preserve"> tariffs </w:t>
      </w:r>
      <w:r w:rsidR="00D17A5F">
        <w:t>that</w:t>
      </w:r>
      <w:r w:rsidR="00D17A5F" w:rsidRPr="00DA1768">
        <w:t xml:space="preserve"> </w:t>
      </w:r>
      <w:r w:rsidRPr="00DA1768">
        <w:t>reflect specific</w:t>
      </w:r>
      <w:r>
        <w:t xml:space="preserve"> </w:t>
      </w:r>
      <w:r w:rsidRPr="00DA1768">
        <w:t xml:space="preserve">costs relating to the use of </w:t>
      </w:r>
      <w:r w:rsidR="00D17A5F">
        <w:t>its</w:t>
      </w:r>
      <w:r w:rsidR="00D17A5F" w:rsidRPr="00DA1768">
        <w:t xml:space="preserve"> </w:t>
      </w:r>
      <w:r>
        <w:t>transmission system</w:t>
      </w:r>
      <w:r w:rsidRPr="00DA1768">
        <w:t>. These include:</w:t>
      </w:r>
    </w:p>
    <w:p w:rsidR="008A4EEB" w:rsidRDefault="00D64F6D" w:rsidP="008A4EEB">
      <w:pPr>
        <w:pStyle w:val="AERbulletlistfirststyle"/>
      </w:pPr>
      <w:r>
        <w:t>R</w:t>
      </w:r>
      <w:r w:rsidR="008A4EEB" w:rsidRPr="00DA1768">
        <w:t>ebates for reference tariffs matched to injections and withdrawals</w:t>
      </w:r>
      <w:r w:rsidR="008A4EEB">
        <w:t xml:space="preserve"> </w:t>
      </w:r>
      <w:r w:rsidR="008A4EEB" w:rsidRPr="00DA1768">
        <w:t>where users do not utilise the entire injection or withdrawal pipelines. The</w:t>
      </w:r>
      <w:r w:rsidR="008A4EEB">
        <w:t xml:space="preserve"> </w:t>
      </w:r>
      <w:r w:rsidR="008A4EEB" w:rsidRPr="00DA1768">
        <w:t>matched rebates are designed to convert relevant tariffs into cost-reflective</w:t>
      </w:r>
      <w:r w:rsidR="008A4EEB">
        <w:t xml:space="preserve"> </w:t>
      </w:r>
      <w:r w:rsidR="008A4EEB" w:rsidRPr="00DA1768">
        <w:t xml:space="preserve">tariffs which reflect the direction of supply. </w:t>
      </w:r>
      <w:r w:rsidR="008A4EEB">
        <w:t>For example r</w:t>
      </w:r>
      <w:r w:rsidR="008A4EEB" w:rsidRPr="00DA1768">
        <w:t>ebates are matched to injection</w:t>
      </w:r>
      <w:r w:rsidR="008A4EEB">
        <w:t xml:space="preserve"> </w:t>
      </w:r>
      <w:r w:rsidR="008A4EEB" w:rsidRPr="00DA1768">
        <w:t>tariffs for zones close to Longford, including Latrobe, Lurgi, Tyres and West</w:t>
      </w:r>
      <w:r w:rsidR="008A4EEB">
        <w:t xml:space="preserve"> </w:t>
      </w:r>
      <w:r w:rsidR="008A4EEB" w:rsidRPr="00DA1768">
        <w:t xml:space="preserve">Gippsland. </w:t>
      </w:r>
    </w:p>
    <w:p w:rsidR="008A4EEB" w:rsidRDefault="00D53EE6" w:rsidP="008A4EEB">
      <w:pPr>
        <w:pStyle w:val="AERbulletlistfirststyle"/>
      </w:pPr>
      <w:r w:rsidRPr="00DA1768">
        <w:t>Prudent</w:t>
      </w:r>
      <w:r w:rsidR="008A4EEB" w:rsidRPr="00DA1768">
        <w:t xml:space="preserve"> discounts to minimise the</w:t>
      </w:r>
      <w:r w:rsidR="008A4EEB">
        <w:t xml:space="preserve"> </w:t>
      </w:r>
      <w:r w:rsidR="008A4EEB" w:rsidRPr="00DA1768">
        <w:t xml:space="preserve">threat of bypass. </w:t>
      </w:r>
      <w:r w:rsidR="008A4EEB">
        <w:t xml:space="preserve">APA has three prudent discounts in the current access arrangement period, which APA proposed to continue. </w:t>
      </w:r>
      <w:r w:rsidR="008A4EEB" w:rsidRPr="00DA1768">
        <w:t>These include:</w:t>
      </w:r>
    </w:p>
    <w:p w:rsidR="008A4EEB" w:rsidRDefault="008A4EEB" w:rsidP="008A4EEB">
      <w:pPr>
        <w:pStyle w:val="AERbulletlistsecondstyle"/>
      </w:pPr>
      <w:r>
        <w:t>Maryvale zone discount</w:t>
      </w:r>
    </w:p>
    <w:p w:rsidR="008A4EEB" w:rsidRDefault="008A4EEB" w:rsidP="008A4EEB">
      <w:pPr>
        <w:pStyle w:val="AERbulletlistsecondstyle"/>
      </w:pPr>
      <w:r>
        <w:t>Western zone discount</w:t>
      </w:r>
    </w:p>
    <w:p w:rsidR="008A4EEB" w:rsidRPr="00DA1768" w:rsidRDefault="008A4EEB" w:rsidP="008A4EEB">
      <w:pPr>
        <w:pStyle w:val="AERbulletlistsecondstyle"/>
      </w:pPr>
      <w:r>
        <w:t>Dandenong bypass tariff</w:t>
      </w:r>
      <w:r w:rsidR="00262A60">
        <w:t>.</w:t>
      </w:r>
      <w:r w:rsidR="00557453">
        <w:rPr>
          <w:rStyle w:val="FootnoteReference"/>
        </w:rPr>
        <w:footnoteReference w:id="6"/>
      </w:r>
    </w:p>
    <w:p w:rsidR="00AD6928" w:rsidRDefault="00D53EE6" w:rsidP="008A4EEB">
      <w:r>
        <w:t>The</w:t>
      </w:r>
      <w:r w:rsidR="00E017F5">
        <w:t xml:space="preserve"> t</w:t>
      </w:r>
      <w:r>
        <w:t>ariff structures and zones proposed by APA including the proposed</w:t>
      </w:r>
      <w:r w:rsidR="00E017F5">
        <w:t xml:space="preserve"> injection tariffs, withdrawal tariffs, refill tariffs, cross-system tariffs, matched rebates and prudent discounts </w:t>
      </w:r>
      <w:r w:rsidR="00863706">
        <w:t xml:space="preserve">already </w:t>
      </w:r>
      <w:r w:rsidR="00E017F5">
        <w:t xml:space="preserve">apply in the current access arrangement. APA proposed only to change the </w:t>
      </w:r>
      <w:r w:rsidR="005B5190">
        <w:t>tariff levels</w:t>
      </w:r>
      <w:r w:rsidR="00E017F5">
        <w:t xml:space="preserve"> to reflect its proposed costs for the 2018–22 access arrangement</w:t>
      </w:r>
      <w:r w:rsidR="00C95822">
        <w:t xml:space="preserve">. </w:t>
      </w:r>
    </w:p>
    <w:p w:rsidR="00AD6928" w:rsidRDefault="004C1D78" w:rsidP="008A4EEB">
      <w:r>
        <w:t>APA proposed to smooth its</w:t>
      </w:r>
      <w:r w:rsidR="00C95822">
        <w:t xml:space="preserve"> revenue </w:t>
      </w:r>
      <w:r>
        <w:t xml:space="preserve">over the access arrangement period </w:t>
      </w:r>
      <w:r w:rsidR="009F47F0">
        <w:t>so that i</w:t>
      </w:r>
      <w:r w:rsidR="003702CF">
        <w:t>t</w:t>
      </w:r>
      <w:r w:rsidR="009F47F0">
        <w:t>s proposed increase in revenue does not lead to a large increase in tariffs</w:t>
      </w:r>
      <w:r w:rsidR="00AD6928">
        <w:t xml:space="preserve"> in the first year</w:t>
      </w:r>
      <w:r w:rsidR="00D53EE6">
        <w:t>.</w:t>
      </w:r>
      <w:r w:rsidR="009F47F0">
        <w:t xml:space="preserve"> To achieve this APA has proposed a </w:t>
      </w:r>
      <w:r w:rsidR="00226761">
        <w:t xml:space="preserve">tariffs </w:t>
      </w:r>
      <w:r w:rsidR="009F47F0">
        <w:t>glide path of CPI–X</w:t>
      </w:r>
      <w:r w:rsidR="00AD6928">
        <w:t xml:space="preserve"> over the 2018–22 access arrangement</w:t>
      </w:r>
      <w:r w:rsidR="009F47F0">
        <w:t>.</w:t>
      </w:r>
      <w:r w:rsidR="00AD6928">
        <w:t xml:space="preserve"> The proposed </w:t>
      </w:r>
      <w:r w:rsidR="005B5190">
        <w:t>X</w:t>
      </w:r>
      <w:r w:rsidR="00AD6928">
        <w:t>-factor</w:t>
      </w:r>
      <w:r w:rsidR="005B5190">
        <w:t xml:space="preserve">s </w:t>
      </w:r>
      <w:r w:rsidR="00AD6928">
        <w:t xml:space="preserve"> applies to all injection and withdrawal tariffs</w:t>
      </w:r>
      <w:r w:rsidR="005B5190">
        <w:t>—</w:t>
      </w:r>
      <w:r w:rsidR="00AD6928">
        <w:t>with the exception of the refill tariffs, cross-system tariffs, NSW export and Warrnambool and Koroit withdrawal tariffs.</w:t>
      </w:r>
    </w:p>
    <w:p w:rsidR="009F47F0" w:rsidRDefault="00FD3756" w:rsidP="008A4EEB">
      <w:r>
        <w:fldChar w:fldCharType="begin"/>
      </w:r>
      <w:r>
        <w:instrText xml:space="preserve"> REF _Ref485732087 \h </w:instrText>
      </w:r>
      <w:r>
        <w:fldChar w:fldCharType="separate"/>
      </w:r>
      <w:r w:rsidR="00260621">
        <w:t xml:space="preserve">Table </w:t>
      </w:r>
      <w:r w:rsidR="00260621">
        <w:rPr>
          <w:noProof/>
        </w:rPr>
        <w:t>10</w:t>
      </w:r>
      <w:r w:rsidR="00260621">
        <w:noBreakHyphen/>
      </w:r>
      <w:r w:rsidR="00260621">
        <w:rPr>
          <w:noProof/>
        </w:rPr>
        <w:t>1</w:t>
      </w:r>
      <w:r>
        <w:fldChar w:fldCharType="end"/>
      </w:r>
      <w:r>
        <w:t xml:space="preserve"> </w:t>
      </w:r>
      <w:r w:rsidR="00AD6928">
        <w:t xml:space="preserve">below sets out APA's proposed X-factors for the 2018–22 access arrangement </w:t>
      </w:r>
      <w:proofErr w:type="gramStart"/>
      <w:r w:rsidR="00AD6928">
        <w:t>period</w:t>
      </w:r>
      <w:proofErr w:type="gramEnd"/>
      <w:r w:rsidR="00AD6928">
        <w:t xml:space="preserve">. </w:t>
      </w:r>
    </w:p>
    <w:p w:rsidR="00FD3756" w:rsidRDefault="00FD3756" w:rsidP="00FD3756">
      <w:pPr>
        <w:pStyle w:val="Caption"/>
      </w:pPr>
      <w:bookmarkStart w:id="74" w:name="_Ref485732087"/>
      <w:bookmarkStart w:id="75" w:name="_Ref484428691"/>
      <w:r>
        <w:t xml:space="preserve">Table </w:t>
      </w:r>
      <w:r w:rsidRPr="00FD3756">
        <w:fldChar w:fldCharType="begin"/>
      </w:r>
      <w:r>
        <w:instrText xml:space="preserve"> STYLEREF 1 \s </w:instrText>
      </w:r>
      <w:r w:rsidRPr="00FD3756">
        <w:fldChar w:fldCharType="separate"/>
      </w:r>
      <w:r w:rsidR="00260621">
        <w:rPr>
          <w:noProof/>
        </w:rPr>
        <w:t>10</w:t>
      </w:r>
      <w:r w:rsidRPr="00FD3756">
        <w:fldChar w:fldCharType="end"/>
      </w:r>
      <w:r>
        <w:noBreakHyphen/>
      </w:r>
      <w:r w:rsidRPr="00FD3756">
        <w:fldChar w:fldCharType="begin"/>
      </w:r>
      <w:r>
        <w:instrText xml:space="preserve"> SEQ Table \* ARABIC \s 1 </w:instrText>
      </w:r>
      <w:r w:rsidRPr="00FD3756">
        <w:fldChar w:fldCharType="separate"/>
      </w:r>
      <w:r w:rsidR="00260621">
        <w:rPr>
          <w:noProof/>
        </w:rPr>
        <w:t>1</w:t>
      </w:r>
      <w:r w:rsidRPr="00FD3756">
        <w:fldChar w:fldCharType="end"/>
      </w:r>
      <w:bookmarkEnd w:id="74"/>
      <w:r>
        <w:t xml:space="preserve"> APA proposed </w:t>
      </w:r>
      <w:r w:rsidR="00262A60">
        <w:t>X</w:t>
      </w:r>
      <w:r>
        <w:t>-factors</w:t>
      </w:r>
    </w:p>
    <w:bookmarkEnd w:id="75"/>
    <w:tbl>
      <w:tblPr>
        <w:tblStyle w:val="AERtable-text0"/>
        <w:tblW w:w="0" w:type="auto"/>
        <w:tblLook w:val="04A0" w:firstRow="1" w:lastRow="0" w:firstColumn="1" w:lastColumn="0" w:noHBand="0" w:noVBand="1"/>
      </w:tblPr>
      <w:tblGrid>
        <w:gridCol w:w="1738"/>
        <w:gridCol w:w="1738"/>
        <w:gridCol w:w="1739"/>
        <w:gridCol w:w="1739"/>
        <w:gridCol w:w="1739"/>
      </w:tblGrid>
      <w:tr w:rsidR="00AD6928" w:rsidTr="004156A0">
        <w:trPr>
          <w:cnfStyle w:val="100000000000" w:firstRow="1" w:lastRow="0" w:firstColumn="0" w:lastColumn="0" w:oddVBand="0" w:evenVBand="0" w:oddHBand="0" w:evenHBand="0" w:firstRowFirstColumn="0" w:firstRowLastColumn="0" w:lastRowFirstColumn="0" w:lastRowLastColumn="0"/>
        </w:trPr>
        <w:tc>
          <w:tcPr>
            <w:tcW w:w="1738" w:type="dxa"/>
          </w:tcPr>
          <w:p w:rsidR="00AD6928" w:rsidRDefault="00AD6928" w:rsidP="008A4EEB"/>
        </w:tc>
        <w:tc>
          <w:tcPr>
            <w:tcW w:w="1738" w:type="dxa"/>
          </w:tcPr>
          <w:p w:rsidR="00AD6928" w:rsidRDefault="00AD6928" w:rsidP="008A4EEB">
            <w:r>
              <w:t>2019</w:t>
            </w:r>
          </w:p>
        </w:tc>
        <w:tc>
          <w:tcPr>
            <w:tcW w:w="1739" w:type="dxa"/>
          </w:tcPr>
          <w:p w:rsidR="00AD6928" w:rsidRDefault="00AD6928" w:rsidP="008A4EEB">
            <w:r>
              <w:t>2020</w:t>
            </w:r>
          </w:p>
        </w:tc>
        <w:tc>
          <w:tcPr>
            <w:tcW w:w="1739" w:type="dxa"/>
          </w:tcPr>
          <w:p w:rsidR="00AD6928" w:rsidRDefault="00AD6928" w:rsidP="008A4EEB">
            <w:r>
              <w:t>2021</w:t>
            </w:r>
          </w:p>
        </w:tc>
        <w:tc>
          <w:tcPr>
            <w:tcW w:w="1739" w:type="dxa"/>
          </w:tcPr>
          <w:p w:rsidR="00AD6928" w:rsidRDefault="00AD6928" w:rsidP="008A4EEB">
            <w:r>
              <w:t>2022</w:t>
            </w:r>
          </w:p>
        </w:tc>
      </w:tr>
      <w:tr w:rsidR="00AD6928" w:rsidTr="004156A0">
        <w:tc>
          <w:tcPr>
            <w:tcW w:w="1738" w:type="dxa"/>
          </w:tcPr>
          <w:p w:rsidR="00AD6928" w:rsidRDefault="00AD6928" w:rsidP="008A4EEB">
            <w:r>
              <w:t>x-factors</w:t>
            </w:r>
          </w:p>
        </w:tc>
        <w:tc>
          <w:tcPr>
            <w:tcW w:w="1738" w:type="dxa"/>
          </w:tcPr>
          <w:p w:rsidR="00AD6928" w:rsidRDefault="00AD6928" w:rsidP="008A4EEB">
            <w:r>
              <w:t>-6.0%</w:t>
            </w:r>
          </w:p>
        </w:tc>
        <w:tc>
          <w:tcPr>
            <w:tcW w:w="1739" w:type="dxa"/>
          </w:tcPr>
          <w:p w:rsidR="00AD6928" w:rsidRDefault="00AD6928" w:rsidP="008A4EEB">
            <w:r>
              <w:t>-6.0%</w:t>
            </w:r>
          </w:p>
        </w:tc>
        <w:tc>
          <w:tcPr>
            <w:tcW w:w="1739" w:type="dxa"/>
          </w:tcPr>
          <w:p w:rsidR="00AD6928" w:rsidRDefault="00AD6928" w:rsidP="008A4EEB">
            <w:r>
              <w:t>-6.0%</w:t>
            </w:r>
          </w:p>
        </w:tc>
        <w:tc>
          <w:tcPr>
            <w:tcW w:w="1739" w:type="dxa"/>
          </w:tcPr>
          <w:p w:rsidR="00AD6928" w:rsidRDefault="00AD6928" w:rsidP="008A4EEB">
            <w:r>
              <w:t>-6.0%</w:t>
            </w:r>
          </w:p>
        </w:tc>
      </w:tr>
    </w:tbl>
    <w:p w:rsidR="00E017F5" w:rsidRDefault="00ED4F87" w:rsidP="004156A0">
      <w:pPr>
        <w:pStyle w:val="AERtablesource"/>
      </w:pPr>
      <w:r>
        <w:t>Source:</w:t>
      </w:r>
      <w:r w:rsidR="00557453">
        <w:tab/>
        <w:t>APA</w:t>
      </w:r>
      <w:r w:rsidR="00557453" w:rsidRPr="00557453">
        <w:t xml:space="preserve">, </w:t>
      </w:r>
      <w:r w:rsidR="001E7A88" w:rsidRPr="001E7A88">
        <w:rPr>
          <w:rStyle w:val="AERtextitalic"/>
        </w:rPr>
        <w:t>VTS Revision Proposal submission</w:t>
      </w:r>
      <w:r w:rsidR="001E7A88">
        <w:t>,  3 January 2017</w:t>
      </w:r>
      <w:r w:rsidR="00557453" w:rsidRPr="00557453">
        <w:t>, p. 2</w:t>
      </w:r>
      <w:r w:rsidR="00557453">
        <w:t>16</w:t>
      </w:r>
    </w:p>
    <w:p w:rsidR="00E457A8" w:rsidRDefault="00084F29" w:rsidP="00953141">
      <w:pPr>
        <w:pStyle w:val="Heading3"/>
        <w:ind w:left="720"/>
        <w:rPr>
          <w:rStyle w:val="Strong"/>
        </w:rPr>
      </w:pPr>
      <w:bookmarkStart w:id="76" w:name="_Toc486923579"/>
      <w:r>
        <w:rPr>
          <w:rStyle w:val="Strong"/>
        </w:rPr>
        <w:t>APA's standard c</w:t>
      </w:r>
      <w:r w:rsidR="00A30DA2">
        <w:rPr>
          <w:rStyle w:val="Strong"/>
        </w:rPr>
        <w:t>ost allocation methodology</w:t>
      </w:r>
      <w:bookmarkEnd w:id="76"/>
    </w:p>
    <w:p w:rsidR="00FD4645" w:rsidRDefault="00567A7D" w:rsidP="00FD4645">
      <w:r>
        <w:t xml:space="preserve">APA's </w:t>
      </w:r>
      <w:r w:rsidR="00E017F5">
        <w:t xml:space="preserve">proposed </w:t>
      </w:r>
      <w:r>
        <w:t>cost allocation methodology</w:t>
      </w:r>
      <w:r w:rsidR="00E457A8">
        <w:t xml:space="preserve"> </w:t>
      </w:r>
      <w:r>
        <w:t xml:space="preserve">allocates costs to each user in proportion </w:t>
      </w:r>
      <w:r w:rsidR="008A56D6">
        <w:t xml:space="preserve">to </w:t>
      </w:r>
      <w:r w:rsidR="00ED4F87">
        <w:t>their</w:t>
      </w:r>
      <w:r>
        <w:t xml:space="preserve"> use of the transmission system assets</w:t>
      </w:r>
      <w:r w:rsidR="00E457A8">
        <w:t xml:space="preserve"> and the costs of the assets used to transport gas</w:t>
      </w:r>
      <w:r>
        <w:t xml:space="preserve">. </w:t>
      </w:r>
      <w:r w:rsidR="00FD4645">
        <w:t xml:space="preserve">A user who </w:t>
      </w:r>
      <w:r w:rsidR="00BA54E9">
        <w:t xml:space="preserve">transports gas through </w:t>
      </w:r>
      <w:r w:rsidR="00FD4645">
        <w:t>a short section of the VTS pay</w:t>
      </w:r>
      <w:r w:rsidR="00226761">
        <w:t>s</w:t>
      </w:r>
      <w:r w:rsidR="00FD4645">
        <w:t xml:space="preserve"> a lower amount than </w:t>
      </w:r>
      <w:r w:rsidR="00226761">
        <w:t>one</w:t>
      </w:r>
      <w:r w:rsidR="002B65A9">
        <w:t xml:space="preserve"> </w:t>
      </w:r>
      <w:r w:rsidR="00BA54E9">
        <w:t xml:space="preserve">who transports gas through </w:t>
      </w:r>
      <w:r w:rsidR="00FD4645">
        <w:t xml:space="preserve">a longer section of the pipeline system. </w:t>
      </w:r>
    </w:p>
    <w:p w:rsidR="00FD4645" w:rsidRDefault="008A4EEB" w:rsidP="00FD4645">
      <w:r>
        <w:t xml:space="preserve">APA's </w:t>
      </w:r>
      <w:r w:rsidR="00FD4645">
        <w:t>tariffs recover both APA's direct costs and indirect costs. Direct costs include:</w:t>
      </w:r>
    </w:p>
    <w:p w:rsidR="00FD4645" w:rsidRDefault="00FD4645" w:rsidP="00FD4645">
      <w:pPr>
        <w:pStyle w:val="AERbulletlistfirststyle"/>
      </w:pPr>
      <w:r>
        <w:t>The return on capital</w:t>
      </w:r>
    </w:p>
    <w:p w:rsidR="00FD4645" w:rsidRDefault="00FD4645" w:rsidP="00FD4645">
      <w:pPr>
        <w:pStyle w:val="AERbulletlistfirststyle"/>
      </w:pPr>
      <w:r>
        <w:t>Depreciation</w:t>
      </w:r>
    </w:p>
    <w:p w:rsidR="00FD4645" w:rsidRDefault="00FD4645" w:rsidP="00FD4645">
      <w:pPr>
        <w:pStyle w:val="AERbulletlistfirststyle"/>
      </w:pPr>
      <w:r>
        <w:t>Direct operating and maintenance costs</w:t>
      </w:r>
      <w:r w:rsidR="00262A60">
        <w:t>.</w:t>
      </w:r>
    </w:p>
    <w:p w:rsidR="008A4EEB" w:rsidRDefault="008A4EEB" w:rsidP="008A4EEB">
      <w:r>
        <w:t>Indirect costs include:</w:t>
      </w:r>
    </w:p>
    <w:p w:rsidR="008A4EEB" w:rsidRDefault="008A4EEB" w:rsidP="008A4EEB">
      <w:pPr>
        <w:pStyle w:val="AERbulletlistfirststyle"/>
      </w:pPr>
      <w:r>
        <w:t>Capital costs of non-system assets</w:t>
      </w:r>
    </w:p>
    <w:p w:rsidR="008A4EEB" w:rsidRDefault="008A4EEB" w:rsidP="008A4EEB">
      <w:pPr>
        <w:pStyle w:val="AERbulletlistfirststyle"/>
      </w:pPr>
      <w:r>
        <w:t>General and administrative operating and maintenance costs</w:t>
      </w:r>
    </w:p>
    <w:p w:rsidR="008A4EEB" w:rsidRDefault="00D17A5F" w:rsidP="008A4EEB">
      <w:pPr>
        <w:pStyle w:val="AERbulletlistfirststyle"/>
      </w:pPr>
      <w:r>
        <w:t>B</w:t>
      </w:r>
      <w:r w:rsidR="008A4EEB">
        <w:t>enefits sharing carry over</w:t>
      </w:r>
    </w:p>
    <w:p w:rsidR="008A4EEB" w:rsidRDefault="00D17A5F" w:rsidP="008A4EEB">
      <w:pPr>
        <w:pStyle w:val="AERbulletlistfirststyle"/>
      </w:pPr>
      <w:r>
        <w:t>R</w:t>
      </w:r>
      <w:r w:rsidR="008A4EEB">
        <w:t>olled out costs including the Interconnect (76 per cent), SWP (18.7 per cent) and Brooklyn/Corio (100 per cent)</w:t>
      </w:r>
      <w:r w:rsidR="0068662D">
        <w:t>.</w:t>
      </w:r>
    </w:p>
    <w:p w:rsidR="008A4EEB" w:rsidRDefault="008A4EEB" w:rsidP="008A4EEB">
      <w:r>
        <w:t>APA's</w:t>
      </w:r>
      <w:r w:rsidRPr="007E53DF">
        <w:t xml:space="preserve"> injection tariffs recover the direct costs based</w:t>
      </w:r>
      <w:r>
        <w:t xml:space="preserve"> </w:t>
      </w:r>
      <w:r w:rsidRPr="007E53DF">
        <w:t xml:space="preserve">on transporting gas along the injection pipeline. </w:t>
      </w:r>
      <w:r w:rsidR="00226761">
        <w:t>I</w:t>
      </w:r>
      <w:r w:rsidRPr="007E53DF">
        <w:t xml:space="preserve">ndirect costs are </w:t>
      </w:r>
      <w:r w:rsidR="00226761">
        <w:t xml:space="preserve">not </w:t>
      </w:r>
      <w:r w:rsidRPr="007E53DF">
        <w:t>allocated to</w:t>
      </w:r>
      <w:r>
        <w:t xml:space="preserve"> </w:t>
      </w:r>
      <w:r w:rsidRPr="007E53DF">
        <w:t>injection pipelines.</w:t>
      </w:r>
      <w:r>
        <w:t xml:space="preserve"> </w:t>
      </w:r>
    </w:p>
    <w:p w:rsidR="008A4EEB" w:rsidRDefault="00226761" w:rsidP="00567A7D">
      <w:r>
        <w:t>W</w:t>
      </w:r>
      <w:r w:rsidR="008A4EEB" w:rsidRPr="007E53DF">
        <w:t>ithdrawal tariffs recover the</w:t>
      </w:r>
      <w:r w:rsidR="008A4EEB">
        <w:t xml:space="preserve"> </w:t>
      </w:r>
      <w:r w:rsidR="008A4EEB" w:rsidRPr="007E53DF">
        <w:t xml:space="preserve">direct costs of transporting the gas from the end of the </w:t>
      </w:r>
      <w:bookmarkStart w:id="77" w:name="_GoBack"/>
      <w:bookmarkEnd w:id="77"/>
      <w:r w:rsidR="008A4EEB" w:rsidRPr="007E53DF">
        <w:t>injection pipeline along the</w:t>
      </w:r>
      <w:r w:rsidR="008A4EEB">
        <w:t xml:space="preserve"> </w:t>
      </w:r>
      <w:r w:rsidR="008A4EEB" w:rsidRPr="007E53DF">
        <w:t xml:space="preserve">withdrawal pipeline to the off-take points as well as a proportion of </w:t>
      </w:r>
      <w:r w:rsidR="008A4EEB">
        <w:t xml:space="preserve">APA's indirect costs. Indirect </w:t>
      </w:r>
      <w:r w:rsidR="00D17A5F">
        <w:t>costs are</w:t>
      </w:r>
      <w:r w:rsidR="008A4EEB">
        <w:t xml:space="preserve"> allocated to withdrawal tariffs </w:t>
      </w:r>
      <w:r w:rsidR="00D17A5F">
        <w:t xml:space="preserve">on a postage stamp basis, </w:t>
      </w:r>
      <w:r w:rsidR="006F49A6">
        <w:t xml:space="preserve">that is, </w:t>
      </w:r>
      <w:r w:rsidR="008A4EEB">
        <w:t>across all users of the VTS.</w:t>
      </w:r>
    </w:p>
    <w:p w:rsidR="000D63CC" w:rsidRPr="00953141" w:rsidRDefault="00C93F6A" w:rsidP="00953141">
      <w:pPr>
        <w:pStyle w:val="HeadingBoldBlue"/>
        <w:rPr>
          <w:rStyle w:val="AERtextitalic"/>
          <w:i w:val="0"/>
        </w:rPr>
      </w:pPr>
      <w:r w:rsidRPr="00953141">
        <w:rPr>
          <w:rStyle w:val="AERtextitalic"/>
          <w:i w:val="0"/>
        </w:rPr>
        <w:t xml:space="preserve">Cost allocation methodology </w:t>
      </w:r>
      <w:r w:rsidR="005A45FC" w:rsidRPr="00953141">
        <w:rPr>
          <w:rStyle w:val="AERtextitalic"/>
          <w:i w:val="0"/>
        </w:rPr>
        <w:t xml:space="preserve">of direct costs </w:t>
      </w:r>
      <w:r w:rsidRPr="00953141">
        <w:rPr>
          <w:rStyle w:val="AERtextitalic"/>
          <w:i w:val="0"/>
        </w:rPr>
        <w:t>to w</w:t>
      </w:r>
      <w:r w:rsidR="000D63CC" w:rsidRPr="00953141">
        <w:rPr>
          <w:rStyle w:val="AERtextitalic"/>
          <w:i w:val="0"/>
        </w:rPr>
        <w:t>ithdrawal tariffs</w:t>
      </w:r>
    </w:p>
    <w:p w:rsidR="00FD4645" w:rsidRDefault="00FD4645" w:rsidP="00567A7D">
      <w:r>
        <w:t>Direct costs are allocated</w:t>
      </w:r>
      <w:r w:rsidR="00084F29">
        <w:t xml:space="preserve"> </w:t>
      </w:r>
      <w:r w:rsidR="005A45FC">
        <w:t xml:space="preserve">to tariffs </w:t>
      </w:r>
      <w:r w:rsidR="00084F29">
        <w:t>by using the optimised replacement cost (ORC) method and a forecast flow of gas. The ORC apportion</w:t>
      </w:r>
      <w:r w:rsidR="00226761">
        <w:t>s</w:t>
      </w:r>
      <w:r w:rsidR="00084F29">
        <w:t xml:space="preserve"> APA's</w:t>
      </w:r>
      <w:r w:rsidR="005A45FC">
        <w:t xml:space="preserve"> direct</w:t>
      </w:r>
      <w:r w:rsidR="00084F29">
        <w:t xml:space="preserve"> costs to each asset. By using the ORC, </w:t>
      </w:r>
      <w:r w:rsidR="00447D01">
        <w:t xml:space="preserve">the </w:t>
      </w:r>
      <w:r w:rsidR="00A14A17">
        <w:t xml:space="preserve">cost </w:t>
      </w:r>
      <w:r w:rsidR="00447D01">
        <w:t xml:space="preserve">allocation is not impacted by </w:t>
      </w:r>
      <w:r w:rsidR="003D192B">
        <w:t xml:space="preserve">the </w:t>
      </w:r>
      <w:r w:rsidR="00226761">
        <w:t>asset's</w:t>
      </w:r>
      <w:r w:rsidR="00447D01">
        <w:t xml:space="preserve"> age </w:t>
      </w:r>
      <w:r w:rsidR="00226761">
        <w:t>because</w:t>
      </w:r>
      <w:r w:rsidR="00447D01">
        <w:t xml:space="preserve"> there is no depreciation in determining the proportional allocation of costs to pipeline segments</w:t>
      </w:r>
      <w:r w:rsidR="00A14A17">
        <w:t>.</w:t>
      </w:r>
      <w:r w:rsidR="00F60701">
        <w:t xml:space="preserve"> </w:t>
      </w:r>
      <w:r w:rsidR="00A14A17">
        <w:t xml:space="preserve">The </w:t>
      </w:r>
      <w:r w:rsidR="00084F29">
        <w:t>rationale is that no one user bears an over-burden of paying for a</w:t>
      </w:r>
      <w:r w:rsidR="00F60701">
        <w:t xml:space="preserve"> new, replacement pipeline. The c</w:t>
      </w:r>
      <w:r w:rsidR="00084F29">
        <w:t xml:space="preserve">osts </w:t>
      </w:r>
      <w:r>
        <w:t>apportioned to the</w:t>
      </w:r>
      <w:r w:rsidR="00F60701">
        <w:t xml:space="preserve"> assets </w:t>
      </w:r>
      <w:r w:rsidR="00084F29">
        <w:t>are allocated to users based on the forecast flow of energy</w:t>
      </w:r>
      <w:r w:rsidR="00F60701">
        <w:t xml:space="preserve"> through the pipelines/assets</w:t>
      </w:r>
      <w:r>
        <w:t>. T</w:t>
      </w:r>
      <w:r w:rsidR="00084F29">
        <w:t xml:space="preserve">he flow path of gas from each injection source to each withdrawal point </w:t>
      </w:r>
      <w:r>
        <w:t xml:space="preserve">is </w:t>
      </w:r>
      <w:r w:rsidR="00F60701">
        <w:t>determined by the</w:t>
      </w:r>
      <w:r w:rsidR="00084F29">
        <w:t xml:space="preserve"> pipeline distances from the injection source to the withdrawal point using a sequence </w:t>
      </w:r>
      <w:r w:rsidR="00226761">
        <w:t xml:space="preserve">that </w:t>
      </w:r>
      <w:r w:rsidR="00084F29">
        <w:t>satisfies those withdrawal meters closest to the injection source first.</w:t>
      </w:r>
      <w:r>
        <w:t xml:space="preserve"> </w:t>
      </w:r>
    </w:p>
    <w:p w:rsidR="00FD4645" w:rsidRDefault="00FD4645" w:rsidP="00C10986">
      <w:r>
        <w:t>The flow path of gas calculates an allocation of</w:t>
      </w:r>
      <w:r w:rsidR="00C10986">
        <w:t xml:space="preserve"> </w:t>
      </w:r>
      <w:r>
        <w:t xml:space="preserve">the </w:t>
      </w:r>
      <w:r w:rsidR="00C10986">
        <w:t xml:space="preserve">direct costs </w:t>
      </w:r>
      <w:r>
        <w:t xml:space="preserve">to each </w:t>
      </w:r>
      <w:r w:rsidR="003702CF">
        <w:t>off-</w:t>
      </w:r>
      <w:r w:rsidR="00C10986">
        <w:t>take meter</w:t>
      </w:r>
      <w:r>
        <w:t xml:space="preserve">. </w:t>
      </w:r>
      <w:r w:rsidR="00226761">
        <w:t>O</w:t>
      </w:r>
      <w:r w:rsidR="00C10986">
        <w:t xml:space="preserve">ff-take meters are </w:t>
      </w:r>
      <w:r w:rsidR="00FC1466">
        <w:t>subsequently</w:t>
      </w:r>
      <w:r w:rsidR="00226761">
        <w:t xml:space="preserve"> </w:t>
      </w:r>
      <w:r w:rsidR="00C10986">
        <w:t>grouped into zones</w:t>
      </w:r>
      <w:r w:rsidR="00226761">
        <w:t>, with</w:t>
      </w:r>
      <w:r w:rsidR="003D192B">
        <w:t xml:space="preserve"> </w:t>
      </w:r>
      <w:r w:rsidR="00226761">
        <w:t>z</w:t>
      </w:r>
      <w:r w:rsidR="00C10986">
        <w:t xml:space="preserve">onal withdrawal tariffs derived by grouping the individual meters into zones and averaging the costs of the meters </w:t>
      </w:r>
      <w:r w:rsidR="00226761">
        <w:t>with</w:t>
      </w:r>
      <w:r w:rsidR="00C10986">
        <w:t xml:space="preserve">in the zone. </w:t>
      </w:r>
    </w:p>
    <w:p w:rsidR="000D63CC" w:rsidRPr="00953141" w:rsidRDefault="00C93F6A" w:rsidP="00953141">
      <w:pPr>
        <w:pStyle w:val="HeadingBoldBlue"/>
        <w:rPr>
          <w:rStyle w:val="AERtextitalic"/>
          <w:i w:val="0"/>
        </w:rPr>
      </w:pPr>
      <w:r w:rsidRPr="00953141">
        <w:rPr>
          <w:rStyle w:val="AERtextitalic"/>
          <w:i w:val="0"/>
        </w:rPr>
        <w:t xml:space="preserve">Cost allocation </w:t>
      </w:r>
      <w:r w:rsidR="005A45FC" w:rsidRPr="00953141">
        <w:rPr>
          <w:rStyle w:val="AERtextitalic"/>
          <w:i w:val="0"/>
        </w:rPr>
        <w:t xml:space="preserve">of direct costs </w:t>
      </w:r>
      <w:r w:rsidRPr="00953141">
        <w:rPr>
          <w:rStyle w:val="AERtextitalic"/>
          <w:i w:val="0"/>
        </w:rPr>
        <w:t>to i</w:t>
      </w:r>
      <w:r w:rsidR="000D63CC" w:rsidRPr="00953141">
        <w:rPr>
          <w:rStyle w:val="AERtextitalic"/>
          <w:i w:val="0"/>
        </w:rPr>
        <w:t>njection tariffs</w:t>
      </w:r>
    </w:p>
    <w:p w:rsidR="000D63CC" w:rsidRPr="000D63CC" w:rsidRDefault="000D63CC" w:rsidP="000D63CC">
      <w:pPr>
        <w:rPr>
          <w:rStyle w:val="AERtextitalic"/>
        </w:rPr>
      </w:pPr>
      <w:r>
        <w:t>Injection charges recover the direct costs allocated to the injection pipeline assets. Discounted tariffs (</w:t>
      </w:r>
      <w:r w:rsidR="003D192B">
        <w:t>that is,</w:t>
      </w:r>
      <w:r w:rsidR="00D17A5F">
        <w:t xml:space="preserve"> </w:t>
      </w:r>
      <w:r>
        <w:t>matched rebates) are offered to injectors who can match a withdrawal to zones where the full injection pipe is not utilised.</w:t>
      </w:r>
      <w:r w:rsidR="00C93F6A">
        <w:t xml:space="preserve"> The matched rebate is determined by calculating the proportion of injection assets (</w:t>
      </w:r>
      <w:r w:rsidR="00D17A5F">
        <w:t>kilometres</w:t>
      </w:r>
      <w:r w:rsidR="00C93F6A">
        <w:t xml:space="preserve"> of pipeline) actually used by each withdrawal zone</w:t>
      </w:r>
      <w:r w:rsidR="00C86F39">
        <w:t xml:space="preserve"> off the injection pipeline as a percentage of the total injection assets.</w:t>
      </w:r>
    </w:p>
    <w:p w:rsidR="00567A7D" w:rsidRDefault="00F17864" w:rsidP="007E53DF">
      <w:r>
        <w:rPr>
          <w:rStyle w:val="AERbody"/>
        </w:rPr>
        <w:t>I</w:t>
      </w:r>
      <w:r w:rsidR="005A45FC" w:rsidRPr="002F77E7">
        <w:rPr>
          <w:rStyle w:val="AERbody"/>
        </w:rPr>
        <w:t xml:space="preserve">ndirect costs are </w:t>
      </w:r>
      <w:r>
        <w:rPr>
          <w:rStyle w:val="AERbody"/>
        </w:rPr>
        <w:t xml:space="preserve">not </w:t>
      </w:r>
      <w:r w:rsidR="005A45FC" w:rsidRPr="002F77E7">
        <w:rPr>
          <w:rStyle w:val="AERbody"/>
        </w:rPr>
        <w:t>allocated to injection tariffs</w:t>
      </w:r>
      <w:r>
        <w:rPr>
          <w:rStyle w:val="AERbody"/>
        </w:rPr>
        <w:t xml:space="preserve"> but are</w:t>
      </w:r>
      <w:r w:rsidR="00C37F2E">
        <w:rPr>
          <w:rStyle w:val="AERbody"/>
        </w:rPr>
        <w:t xml:space="preserve"> </w:t>
      </w:r>
      <w:r>
        <w:rPr>
          <w:rStyle w:val="AERbody"/>
        </w:rPr>
        <w:t xml:space="preserve">instead </w:t>
      </w:r>
      <w:r w:rsidR="005A45FC" w:rsidRPr="002F77E7">
        <w:rPr>
          <w:rStyle w:val="AERbody"/>
        </w:rPr>
        <w:t xml:space="preserve">allocated to withdrawal tariffs on a postage stamp </w:t>
      </w:r>
      <w:r w:rsidR="00863706">
        <w:rPr>
          <w:rStyle w:val="AERbody"/>
        </w:rPr>
        <w:t>basis.</w:t>
      </w:r>
      <w:r w:rsidR="00BA54E9">
        <w:t xml:space="preserve"> </w:t>
      </w:r>
      <w:r w:rsidR="00226761">
        <w:fldChar w:fldCharType="begin"/>
      </w:r>
      <w:r w:rsidR="00226761">
        <w:instrText xml:space="preserve"> REF _Ref485719781 \h </w:instrText>
      </w:r>
      <w:r w:rsidR="00226761">
        <w:fldChar w:fldCharType="separate"/>
      </w:r>
      <w:r w:rsidR="00260621">
        <w:t xml:space="preserve">Table </w:t>
      </w:r>
      <w:r w:rsidR="00260621">
        <w:rPr>
          <w:noProof/>
        </w:rPr>
        <w:t>10</w:t>
      </w:r>
      <w:r w:rsidR="00260621">
        <w:noBreakHyphen/>
      </w:r>
      <w:r w:rsidR="00260621">
        <w:rPr>
          <w:noProof/>
        </w:rPr>
        <w:t>2</w:t>
      </w:r>
      <w:r w:rsidR="00226761">
        <w:fldChar w:fldCharType="end"/>
      </w:r>
      <w:r w:rsidR="005A45FC">
        <w:t xml:space="preserve"> </w:t>
      </w:r>
      <w:r w:rsidR="00567A7D">
        <w:t>sets out APA's cost allocation method by cost category</w:t>
      </w:r>
      <w:r w:rsidR="000415F8">
        <w:t>.</w:t>
      </w:r>
    </w:p>
    <w:p w:rsidR="000415F8" w:rsidRDefault="003367D7" w:rsidP="00953141">
      <w:pPr>
        <w:pStyle w:val="Caption"/>
      </w:pPr>
      <w:bookmarkStart w:id="78" w:name="_Ref485719781"/>
      <w:r>
        <w:t xml:space="preserve">Table </w:t>
      </w:r>
      <w:r w:rsidR="00260621">
        <w:fldChar w:fldCharType="begin"/>
      </w:r>
      <w:r w:rsidR="00260621">
        <w:instrText xml:space="preserve"> STYLEREF 1 \s </w:instrText>
      </w:r>
      <w:r w:rsidR="00260621">
        <w:fldChar w:fldCharType="separate"/>
      </w:r>
      <w:r w:rsidR="00260621">
        <w:rPr>
          <w:noProof/>
        </w:rPr>
        <w:t>10</w:t>
      </w:r>
      <w:r w:rsidR="00260621">
        <w:rPr>
          <w:noProof/>
        </w:rPr>
        <w:fldChar w:fldCharType="end"/>
      </w:r>
      <w:r>
        <w:noBreakHyphen/>
      </w:r>
      <w:r w:rsidR="00260621">
        <w:fldChar w:fldCharType="begin"/>
      </w:r>
      <w:r w:rsidR="00260621">
        <w:instrText xml:space="preserve"> SEQ Table \* ARABIC \s 1 </w:instrText>
      </w:r>
      <w:r w:rsidR="00260621">
        <w:fldChar w:fldCharType="separate"/>
      </w:r>
      <w:r w:rsidR="00260621">
        <w:rPr>
          <w:noProof/>
        </w:rPr>
        <w:t>2</w:t>
      </w:r>
      <w:r w:rsidR="00260621">
        <w:rPr>
          <w:noProof/>
        </w:rPr>
        <w:fldChar w:fldCharType="end"/>
      </w:r>
      <w:bookmarkEnd w:id="78"/>
      <w:r>
        <w:t xml:space="preserve"> Cost allocation method by cost category</w:t>
      </w:r>
    </w:p>
    <w:tbl>
      <w:tblPr>
        <w:tblStyle w:val="AERtable-text0"/>
        <w:tblW w:w="0" w:type="auto"/>
        <w:tblLook w:val="04A0" w:firstRow="1" w:lastRow="0" w:firstColumn="1" w:lastColumn="0" w:noHBand="0" w:noVBand="1"/>
      </w:tblPr>
      <w:tblGrid>
        <w:gridCol w:w="5637"/>
        <w:gridCol w:w="3056"/>
      </w:tblGrid>
      <w:tr w:rsidR="00567A7D" w:rsidTr="00953141">
        <w:trPr>
          <w:cnfStyle w:val="100000000000" w:firstRow="1" w:lastRow="0" w:firstColumn="0" w:lastColumn="0" w:oddVBand="0" w:evenVBand="0" w:oddHBand="0" w:evenHBand="0" w:firstRowFirstColumn="0" w:firstRowLastColumn="0" w:lastRowFirstColumn="0" w:lastRowLastColumn="0"/>
        </w:trPr>
        <w:tc>
          <w:tcPr>
            <w:tcW w:w="5637" w:type="dxa"/>
          </w:tcPr>
          <w:p w:rsidR="00567A7D" w:rsidRDefault="00567A7D" w:rsidP="00953141">
            <w:pPr>
              <w:keepNext/>
            </w:pPr>
            <w:r>
              <w:t>Cost category</w:t>
            </w:r>
          </w:p>
        </w:tc>
        <w:tc>
          <w:tcPr>
            <w:tcW w:w="3056" w:type="dxa"/>
          </w:tcPr>
          <w:p w:rsidR="00567A7D" w:rsidRDefault="00567A7D" w:rsidP="00953141">
            <w:pPr>
              <w:keepNext/>
            </w:pPr>
            <w:r>
              <w:t>Allocation method</w:t>
            </w:r>
          </w:p>
        </w:tc>
      </w:tr>
      <w:tr w:rsidR="00567A7D" w:rsidTr="00953141">
        <w:tc>
          <w:tcPr>
            <w:tcW w:w="5637" w:type="dxa"/>
          </w:tcPr>
          <w:p w:rsidR="00567A7D" w:rsidRDefault="00567A7D" w:rsidP="00953141">
            <w:pPr>
              <w:keepNext/>
            </w:pPr>
            <w:r>
              <w:t>System assets (return on and of capital, tax liability) (excluding the rolled out SWP and Interconnect assets)</w:t>
            </w:r>
          </w:p>
        </w:tc>
        <w:tc>
          <w:tcPr>
            <w:tcW w:w="3056" w:type="dxa"/>
          </w:tcPr>
          <w:p w:rsidR="00567A7D" w:rsidRDefault="00567A7D" w:rsidP="00953141">
            <w:pPr>
              <w:keepNext/>
            </w:pPr>
            <w:r>
              <w:t>Physical path</w:t>
            </w:r>
          </w:p>
        </w:tc>
      </w:tr>
      <w:tr w:rsidR="00567A7D" w:rsidTr="00953141">
        <w:trPr>
          <w:cnfStyle w:val="000000010000" w:firstRow="0" w:lastRow="0" w:firstColumn="0" w:lastColumn="0" w:oddVBand="0" w:evenVBand="0" w:oddHBand="0" w:evenHBand="1" w:firstRowFirstColumn="0" w:firstRowLastColumn="0" w:lastRowFirstColumn="0" w:lastRowLastColumn="0"/>
        </w:trPr>
        <w:tc>
          <w:tcPr>
            <w:tcW w:w="5637" w:type="dxa"/>
          </w:tcPr>
          <w:p w:rsidR="00567A7D" w:rsidRDefault="00567A7D" w:rsidP="00953141">
            <w:pPr>
              <w:keepNext/>
            </w:pPr>
            <w:r>
              <w:t>Direct operating costs</w:t>
            </w:r>
          </w:p>
        </w:tc>
        <w:tc>
          <w:tcPr>
            <w:tcW w:w="3056" w:type="dxa"/>
          </w:tcPr>
          <w:p w:rsidR="00567A7D" w:rsidRDefault="00567A7D" w:rsidP="00953141">
            <w:pPr>
              <w:keepNext/>
            </w:pPr>
            <w:r>
              <w:t>Physical path</w:t>
            </w:r>
          </w:p>
        </w:tc>
      </w:tr>
      <w:tr w:rsidR="00567A7D" w:rsidTr="00953141">
        <w:tc>
          <w:tcPr>
            <w:tcW w:w="5637" w:type="dxa"/>
          </w:tcPr>
          <w:p w:rsidR="00567A7D" w:rsidRDefault="00567A7D" w:rsidP="00953141">
            <w:pPr>
              <w:keepNext/>
            </w:pPr>
            <w:r>
              <w:t>SWP residual costs</w:t>
            </w:r>
          </w:p>
        </w:tc>
        <w:tc>
          <w:tcPr>
            <w:tcW w:w="3056" w:type="dxa"/>
          </w:tcPr>
          <w:p w:rsidR="00567A7D" w:rsidRDefault="00567A7D" w:rsidP="00953141">
            <w:pPr>
              <w:keepNext/>
            </w:pPr>
            <w:r>
              <w:t>Direct to zone</w:t>
            </w:r>
          </w:p>
        </w:tc>
      </w:tr>
      <w:tr w:rsidR="00567A7D" w:rsidTr="00953141">
        <w:trPr>
          <w:cnfStyle w:val="000000010000" w:firstRow="0" w:lastRow="0" w:firstColumn="0" w:lastColumn="0" w:oddVBand="0" w:evenVBand="0" w:oddHBand="0" w:evenHBand="1" w:firstRowFirstColumn="0" w:firstRowLastColumn="0" w:lastRowFirstColumn="0" w:lastRowLastColumn="0"/>
        </w:trPr>
        <w:tc>
          <w:tcPr>
            <w:tcW w:w="5637" w:type="dxa"/>
          </w:tcPr>
          <w:p w:rsidR="00567A7D" w:rsidRDefault="00567A7D" w:rsidP="00953141">
            <w:pPr>
              <w:keepNext/>
            </w:pPr>
            <w:r>
              <w:t>Cost rolled-in under system wide benefits (Interconnect assets)</w:t>
            </w:r>
          </w:p>
        </w:tc>
        <w:tc>
          <w:tcPr>
            <w:tcW w:w="3056" w:type="dxa"/>
          </w:tcPr>
          <w:p w:rsidR="00567A7D" w:rsidRDefault="00567A7D" w:rsidP="00953141">
            <w:pPr>
              <w:keepNext/>
            </w:pPr>
            <w:r>
              <w:t>Postage stamp</w:t>
            </w:r>
          </w:p>
        </w:tc>
      </w:tr>
      <w:tr w:rsidR="00567A7D" w:rsidTr="00953141">
        <w:tc>
          <w:tcPr>
            <w:tcW w:w="5637" w:type="dxa"/>
          </w:tcPr>
          <w:p w:rsidR="00567A7D" w:rsidRDefault="00567A7D" w:rsidP="00953141">
            <w:pPr>
              <w:keepNext/>
            </w:pPr>
            <w:r>
              <w:t>Interconnect one residual costs</w:t>
            </w:r>
          </w:p>
        </w:tc>
        <w:tc>
          <w:tcPr>
            <w:tcW w:w="3056" w:type="dxa"/>
          </w:tcPr>
          <w:p w:rsidR="00567A7D" w:rsidRDefault="00567A7D" w:rsidP="00953141">
            <w:pPr>
              <w:keepNext/>
            </w:pPr>
            <w:r>
              <w:t>Direct to zone</w:t>
            </w:r>
          </w:p>
        </w:tc>
      </w:tr>
      <w:tr w:rsidR="00567A7D" w:rsidTr="00953141">
        <w:trPr>
          <w:cnfStyle w:val="000000010000" w:firstRow="0" w:lastRow="0" w:firstColumn="0" w:lastColumn="0" w:oddVBand="0" w:evenVBand="0" w:oddHBand="0" w:evenHBand="1" w:firstRowFirstColumn="0" w:firstRowLastColumn="0" w:lastRowFirstColumn="0" w:lastRowLastColumn="0"/>
        </w:trPr>
        <w:tc>
          <w:tcPr>
            <w:tcW w:w="5637" w:type="dxa"/>
          </w:tcPr>
          <w:p w:rsidR="00567A7D" w:rsidRDefault="00567A7D" w:rsidP="00953141">
            <w:pPr>
              <w:keepNext/>
            </w:pPr>
            <w:r>
              <w:t xml:space="preserve">Non-system assets (return on and of assets) </w:t>
            </w:r>
          </w:p>
        </w:tc>
        <w:tc>
          <w:tcPr>
            <w:tcW w:w="3056" w:type="dxa"/>
          </w:tcPr>
          <w:p w:rsidR="00567A7D" w:rsidRDefault="00567A7D" w:rsidP="00953141">
            <w:pPr>
              <w:keepNext/>
            </w:pPr>
            <w:r>
              <w:t>Postage stamp</w:t>
            </w:r>
          </w:p>
        </w:tc>
      </w:tr>
      <w:tr w:rsidR="00567A7D" w:rsidTr="00953141">
        <w:tc>
          <w:tcPr>
            <w:tcW w:w="5637" w:type="dxa"/>
          </w:tcPr>
          <w:p w:rsidR="00567A7D" w:rsidRDefault="00567A7D" w:rsidP="00953141">
            <w:pPr>
              <w:keepNext/>
            </w:pPr>
            <w:r>
              <w:t>General and administrative operating costs</w:t>
            </w:r>
          </w:p>
        </w:tc>
        <w:tc>
          <w:tcPr>
            <w:tcW w:w="3056" w:type="dxa"/>
          </w:tcPr>
          <w:p w:rsidR="00567A7D" w:rsidRDefault="00567A7D" w:rsidP="00953141">
            <w:pPr>
              <w:keepNext/>
            </w:pPr>
            <w:r>
              <w:t>Postage stamp</w:t>
            </w:r>
          </w:p>
        </w:tc>
      </w:tr>
      <w:tr w:rsidR="00567A7D" w:rsidTr="00953141">
        <w:trPr>
          <w:cnfStyle w:val="000000010000" w:firstRow="0" w:lastRow="0" w:firstColumn="0" w:lastColumn="0" w:oddVBand="0" w:evenVBand="0" w:oddHBand="0" w:evenHBand="1" w:firstRowFirstColumn="0" w:firstRowLastColumn="0" w:lastRowFirstColumn="0" w:lastRowLastColumn="0"/>
        </w:trPr>
        <w:tc>
          <w:tcPr>
            <w:tcW w:w="5637" w:type="dxa"/>
          </w:tcPr>
          <w:p w:rsidR="00567A7D" w:rsidRDefault="00FB474B" w:rsidP="00953141">
            <w:pPr>
              <w:keepNext/>
            </w:pPr>
            <w:r>
              <w:t>Return on working capital</w:t>
            </w:r>
          </w:p>
        </w:tc>
        <w:tc>
          <w:tcPr>
            <w:tcW w:w="3056" w:type="dxa"/>
          </w:tcPr>
          <w:p w:rsidR="00567A7D" w:rsidRDefault="00FB474B" w:rsidP="00953141">
            <w:pPr>
              <w:keepNext/>
            </w:pPr>
            <w:r>
              <w:t>Postage stamp</w:t>
            </w:r>
          </w:p>
        </w:tc>
      </w:tr>
      <w:tr w:rsidR="00FB474B" w:rsidTr="00953141">
        <w:tc>
          <w:tcPr>
            <w:tcW w:w="5637" w:type="dxa"/>
          </w:tcPr>
          <w:p w:rsidR="00FB474B" w:rsidRDefault="00FB474B" w:rsidP="00953141">
            <w:pPr>
              <w:keepNext/>
            </w:pPr>
            <w:r>
              <w:t>Benefit sharing allowance and first carry over amount</w:t>
            </w:r>
          </w:p>
        </w:tc>
        <w:tc>
          <w:tcPr>
            <w:tcW w:w="3056" w:type="dxa"/>
          </w:tcPr>
          <w:p w:rsidR="00FB474B" w:rsidRDefault="00FB474B" w:rsidP="00953141">
            <w:pPr>
              <w:keepNext/>
            </w:pPr>
            <w:r>
              <w:t>Postage stamp</w:t>
            </w:r>
          </w:p>
        </w:tc>
      </w:tr>
      <w:tr w:rsidR="00FB474B" w:rsidTr="00953141">
        <w:trPr>
          <w:cnfStyle w:val="000000010000" w:firstRow="0" w:lastRow="0" w:firstColumn="0" w:lastColumn="0" w:oddVBand="0" w:evenVBand="0" w:oddHBand="0" w:evenHBand="1" w:firstRowFirstColumn="0" w:firstRowLastColumn="0" w:lastRowFirstColumn="0" w:lastRowLastColumn="0"/>
        </w:trPr>
        <w:tc>
          <w:tcPr>
            <w:tcW w:w="5637" w:type="dxa"/>
          </w:tcPr>
          <w:p w:rsidR="00FB474B" w:rsidRDefault="00FB474B" w:rsidP="00953141">
            <w:pPr>
              <w:keepNext/>
            </w:pPr>
            <w:r>
              <w:t>Capital raising costs</w:t>
            </w:r>
          </w:p>
        </w:tc>
        <w:tc>
          <w:tcPr>
            <w:tcW w:w="3056" w:type="dxa"/>
          </w:tcPr>
          <w:p w:rsidR="00FB474B" w:rsidRDefault="00FB474B" w:rsidP="00953141">
            <w:pPr>
              <w:keepNext/>
            </w:pPr>
            <w:r>
              <w:t>Physical path (system assets), postage stamp (non-system assets)</w:t>
            </w:r>
          </w:p>
        </w:tc>
      </w:tr>
      <w:tr w:rsidR="00FB474B" w:rsidTr="00953141">
        <w:tc>
          <w:tcPr>
            <w:tcW w:w="5637" w:type="dxa"/>
          </w:tcPr>
          <w:p w:rsidR="00FB474B" w:rsidRDefault="00FB474B" w:rsidP="00953141">
            <w:pPr>
              <w:keepNext/>
            </w:pPr>
            <w:r>
              <w:t>Debt raising costs</w:t>
            </w:r>
          </w:p>
        </w:tc>
        <w:tc>
          <w:tcPr>
            <w:tcW w:w="3056" w:type="dxa"/>
          </w:tcPr>
          <w:p w:rsidR="00FB474B" w:rsidRDefault="00FB474B" w:rsidP="00953141">
            <w:pPr>
              <w:keepNext/>
            </w:pPr>
            <w:r>
              <w:t>Postage stamp</w:t>
            </w:r>
          </w:p>
        </w:tc>
      </w:tr>
    </w:tbl>
    <w:p w:rsidR="008A56D6" w:rsidRPr="001E7A88" w:rsidRDefault="0068662D" w:rsidP="001E7A88">
      <w:pPr>
        <w:pStyle w:val="AERtablesource"/>
        <w:rPr>
          <w:rStyle w:val="Strong"/>
          <w:b w:val="0"/>
          <w:bCs w:val="0"/>
        </w:rPr>
      </w:pPr>
      <w:r w:rsidRPr="001E7A88">
        <w:rPr>
          <w:rStyle w:val="Strong"/>
          <w:b w:val="0"/>
          <w:bCs w:val="0"/>
        </w:rPr>
        <w:t xml:space="preserve">Source: </w:t>
      </w:r>
      <w:r w:rsidRPr="001E7A88">
        <w:t xml:space="preserve">APA, </w:t>
      </w:r>
      <w:r w:rsidR="001E7A88" w:rsidRPr="001E7A88">
        <w:rPr>
          <w:rStyle w:val="AERtextitalic"/>
        </w:rPr>
        <w:t>VTS Revision Proposal submission</w:t>
      </w:r>
      <w:r w:rsidR="001E7A88">
        <w:t>,  3 January 2017</w:t>
      </w:r>
      <w:r w:rsidRPr="001E7A88">
        <w:t>, p. 222</w:t>
      </w:r>
    </w:p>
    <w:p w:rsidR="00EE17B1" w:rsidRPr="00EE17B1" w:rsidRDefault="00EE17B1" w:rsidP="00953141">
      <w:pPr>
        <w:pStyle w:val="HeadingBoldBlue"/>
        <w:rPr>
          <w:rStyle w:val="Strong"/>
        </w:rPr>
      </w:pPr>
      <w:r>
        <w:rPr>
          <w:rStyle w:val="Strong"/>
        </w:rPr>
        <w:t>Exceptions to the stand</w:t>
      </w:r>
      <w:r w:rsidR="006C387F">
        <w:rPr>
          <w:rStyle w:val="Strong"/>
        </w:rPr>
        <w:t>ard</w:t>
      </w:r>
      <w:r>
        <w:rPr>
          <w:rStyle w:val="Strong"/>
        </w:rPr>
        <w:t xml:space="preserve"> cost allocation methodology</w:t>
      </w:r>
    </w:p>
    <w:p w:rsidR="00586512" w:rsidRDefault="00586512" w:rsidP="00586512">
      <w:r>
        <w:t>APA propose</w:t>
      </w:r>
      <w:r w:rsidR="004156A0">
        <w:t>d</w:t>
      </w:r>
      <w:r>
        <w:t xml:space="preserve"> a different cost allocation methodology for the South West </w:t>
      </w:r>
      <w:r w:rsidR="00CE0802">
        <w:t>P</w:t>
      </w:r>
      <w:r>
        <w:t>ipeline (</w:t>
      </w:r>
      <w:r w:rsidRPr="00EE17B1">
        <w:t>SWP</w:t>
      </w:r>
      <w:r>
        <w:t>) and Interconnect compared to its standard cost allocation methodology.</w:t>
      </w:r>
      <w:r w:rsidR="004553EF">
        <w:t xml:space="preserve"> </w:t>
      </w:r>
      <w:r>
        <w:t xml:space="preserve"> </w:t>
      </w:r>
      <w:r w:rsidR="003702CF">
        <w:t>APA submitted that a</w:t>
      </w:r>
      <w:r>
        <w:t xml:space="preserve">pplying a different cost allocation for the SWP and Interconnect is consistent with </w:t>
      </w:r>
      <w:r w:rsidR="00EE17B1">
        <w:t>APA's current access arrangement</w:t>
      </w:r>
      <w:r>
        <w:t xml:space="preserve"> and reflects the role of the original investment</w:t>
      </w:r>
      <w:r w:rsidR="00CE0802">
        <w:t xml:space="preserve"> for the SWP</w:t>
      </w:r>
      <w:r>
        <w:t>.</w:t>
      </w:r>
      <w:r w:rsidR="004156A0">
        <w:rPr>
          <w:rStyle w:val="FootnoteReference"/>
        </w:rPr>
        <w:footnoteReference w:id="7"/>
      </w:r>
      <w:r>
        <w:t xml:space="preserve"> </w:t>
      </w:r>
    </w:p>
    <w:p w:rsidR="00A86017" w:rsidRDefault="00A86017" w:rsidP="00A86017">
      <w:r>
        <w:t xml:space="preserve">For the 2018–22 access arrangement APA proposed that 81.3 per cent of costs are allocated directly to the SWP and </w:t>
      </w:r>
      <w:r w:rsidR="005A45FC">
        <w:t>18.7</w:t>
      </w:r>
      <w:r>
        <w:t xml:space="preserve"> per cent are allocated on a postage stamp basis across all users. </w:t>
      </w:r>
      <w:r w:rsidR="00FC08AE">
        <w:rPr>
          <w:rStyle w:val="FootnoteReference"/>
        </w:rPr>
        <w:footnoteReference w:id="8"/>
      </w:r>
      <w:r w:rsidR="009C235E">
        <w:t xml:space="preserve"> </w:t>
      </w:r>
    </w:p>
    <w:p w:rsidR="00264E20" w:rsidRDefault="00A86017" w:rsidP="00EE17B1">
      <w:r>
        <w:t xml:space="preserve">For the </w:t>
      </w:r>
      <w:r w:rsidR="0005675A">
        <w:t>Interconnect</w:t>
      </w:r>
      <w:r w:rsidR="00226761">
        <w:t>,</w:t>
      </w:r>
      <w:r>
        <w:t xml:space="preserve"> APA proposed to maintain its allocation of 24</w:t>
      </w:r>
      <w:r w:rsidR="00E31A8E">
        <w:t> </w:t>
      </w:r>
      <w:r>
        <w:t xml:space="preserve">per cent of costs directly to the Interconnect, with the remaining allocated on a postage stamp basis across all users. </w:t>
      </w:r>
      <w:r w:rsidR="00D168C3">
        <w:t>The 24 per cent allocation relates to the original pipeline and facility investments between Barnawartha and Culcairn.</w:t>
      </w:r>
      <w:r w:rsidR="009C235E">
        <w:rPr>
          <w:rStyle w:val="FootnoteReference"/>
        </w:rPr>
        <w:footnoteReference w:id="9"/>
      </w:r>
      <w:r w:rsidR="00D168C3">
        <w:t xml:space="preserve"> </w:t>
      </w:r>
    </w:p>
    <w:p w:rsidR="00567A7D" w:rsidRDefault="00D168C3" w:rsidP="00EE17B1">
      <w:r>
        <w:t>The</w:t>
      </w:r>
      <w:r w:rsidR="00C16FAD">
        <w:t xml:space="preserve"> </w:t>
      </w:r>
      <w:r>
        <w:t xml:space="preserve">proposed </w:t>
      </w:r>
      <w:r w:rsidR="00C16FAD">
        <w:t xml:space="preserve">allocation of </w:t>
      </w:r>
      <w:r>
        <w:t>all incremental investment</w:t>
      </w:r>
      <w:r w:rsidR="00C16FAD">
        <w:t xml:space="preserve"> </w:t>
      </w:r>
      <w:r>
        <w:t xml:space="preserve">as a result of the Victorian </w:t>
      </w:r>
      <w:r w:rsidR="00672303" w:rsidRPr="0000275D">
        <w:t>Northern</w:t>
      </w:r>
      <w:r w:rsidR="00672303">
        <w:t xml:space="preserve"> </w:t>
      </w:r>
      <w:r>
        <w:t xml:space="preserve">Interconnect </w:t>
      </w:r>
      <w:r w:rsidR="00672303">
        <w:t xml:space="preserve">(VNI) </w:t>
      </w:r>
      <w:r>
        <w:t>expansion has been allocated 100 per cent to the Culcairn</w:t>
      </w:r>
      <w:r w:rsidR="00264E20">
        <w:t xml:space="preserve"> withdrawal</w:t>
      </w:r>
      <w:r>
        <w:t xml:space="preserve"> tariff.</w:t>
      </w:r>
      <w:r w:rsidR="00753E8E">
        <w:rPr>
          <w:rStyle w:val="FootnoteReference"/>
        </w:rPr>
        <w:footnoteReference w:id="10"/>
      </w:r>
      <w:r>
        <w:t xml:space="preserve"> </w:t>
      </w:r>
    </w:p>
    <w:p w:rsidR="0000275D" w:rsidRPr="0000275D" w:rsidRDefault="0000275D" w:rsidP="00953141">
      <w:pPr>
        <w:pStyle w:val="HeadingBoldBlue"/>
        <w:rPr>
          <w:rStyle w:val="Strong"/>
        </w:rPr>
      </w:pPr>
      <w:r w:rsidRPr="0000275D">
        <w:rPr>
          <w:rStyle w:val="Strong"/>
        </w:rPr>
        <w:t>Victorian Northern Interconnector cost recovery</w:t>
      </w:r>
    </w:p>
    <w:p w:rsidR="00E0094B" w:rsidRDefault="0000275D" w:rsidP="00E0094B">
      <w:r w:rsidRPr="0000275D">
        <w:t>APA propose</w:t>
      </w:r>
      <w:r w:rsidR="005546B9">
        <w:t>d</w:t>
      </w:r>
      <w:r w:rsidRPr="0000275D">
        <w:t xml:space="preserve"> that the costs of the </w:t>
      </w:r>
      <w:r w:rsidR="00672303">
        <w:t>VNI</w:t>
      </w:r>
      <w:r w:rsidRPr="0000275D">
        <w:t xml:space="preserve"> </w:t>
      </w:r>
      <w:r w:rsidR="009B5D49" w:rsidRPr="0000275D">
        <w:t>expansion will</w:t>
      </w:r>
      <w:r w:rsidRPr="0000275D">
        <w:t xml:space="preserve"> be recovered via an increase in the Culcairn withdrawal tariff (also called the NSW export tariff).</w:t>
      </w:r>
      <w:r w:rsidR="00E0094B">
        <w:t xml:space="preserve"> </w:t>
      </w:r>
      <w:r w:rsidR="003702CF">
        <w:t>The VNI</w:t>
      </w:r>
      <w:r w:rsidR="003702CF" w:rsidRPr="0000275D">
        <w:t xml:space="preserve"> will take gas from Victoria to New South Wales and Queensland</w:t>
      </w:r>
      <w:r w:rsidR="003702CF" w:rsidRPr="00E31A8E">
        <w:t xml:space="preserve"> </w:t>
      </w:r>
      <w:r w:rsidR="003702CF" w:rsidRPr="0000275D">
        <w:t xml:space="preserve">and will be used by shippers and retailers to supply gas </w:t>
      </w:r>
      <w:r w:rsidR="003702CF">
        <w:t>in northern regions and for</w:t>
      </w:r>
      <w:r w:rsidR="003702CF" w:rsidRPr="0000275D">
        <w:t xml:space="preserve"> overseas markets</w:t>
      </w:r>
      <w:r w:rsidR="003702CF">
        <w:t>.</w:t>
      </w:r>
      <w:r w:rsidR="003702CF" w:rsidRPr="0000275D">
        <w:t xml:space="preserve"> </w:t>
      </w:r>
      <w:r w:rsidR="00E0094B">
        <w:t>The proposed Culcairn withdrawal tariff is $1.06</w:t>
      </w:r>
      <w:r w:rsidR="00EC20C4">
        <w:t>34</w:t>
      </w:r>
      <w:r w:rsidR="00E0094B">
        <w:t>.</w:t>
      </w:r>
      <w:r w:rsidR="00EC20C4">
        <w:rPr>
          <w:rStyle w:val="FootnoteReference"/>
        </w:rPr>
        <w:footnoteReference w:id="11"/>
      </w:r>
      <w:r w:rsidR="00E0094B">
        <w:t xml:space="preserve"> This is an increase of approximately 33 per cent </w:t>
      </w:r>
      <w:r w:rsidR="00CE0802">
        <w:t xml:space="preserve">over the </w:t>
      </w:r>
      <w:r w:rsidR="00E0094B">
        <w:t xml:space="preserve">current </w:t>
      </w:r>
      <w:r w:rsidR="00CE0802">
        <w:t>$0.80 GJ</w:t>
      </w:r>
      <w:r w:rsidR="00C37F2E">
        <w:t xml:space="preserve"> </w:t>
      </w:r>
      <w:r w:rsidR="00E0094B">
        <w:t>Culcairn withdrawal tariff</w:t>
      </w:r>
      <w:r w:rsidR="00CE0802">
        <w:t>.</w:t>
      </w:r>
    </w:p>
    <w:p w:rsidR="00BA0327" w:rsidRPr="00BA0327" w:rsidRDefault="00BA0327" w:rsidP="00953141">
      <w:pPr>
        <w:pStyle w:val="HeadingBoldBlue"/>
        <w:rPr>
          <w:rStyle w:val="Strong"/>
        </w:rPr>
      </w:pPr>
      <w:r>
        <w:rPr>
          <w:rStyle w:val="Strong"/>
        </w:rPr>
        <w:t>Western outer ring main (WORM) cost recovery</w:t>
      </w:r>
    </w:p>
    <w:p w:rsidR="001A429D" w:rsidRDefault="00CE0802" w:rsidP="004D5408">
      <w:r>
        <w:t>I</w:t>
      </w:r>
      <w:r w:rsidR="0005675A">
        <w:t>n</w:t>
      </w:r>
      <w:r>
        <w:t xml:space="preserve"> APA's tariff model</w:t>
      </w:r>
      <w:r w:rsidR="009B5D49">
        <w:t>,</w:t>
      </w:r>
      <w:r>
        <w:t xml:space="preserve"> submitted as part of </w:t>
      </w:r>
      <w:r w:rsidR="008962D9">
        <w:t>its</w:t>
      </w:r>
      <w:r w:rsidR="00BA0327">
        <w:t xml:space="preserve"> January 2017</w:t>
      </w:r>
      <w:r w:rsidR="008962D9">
        <w:t xml:space="preserve"> </w:t>
      </w:r>
      <w:r>
        <w:t>access arrangement proposal,</w:t>
      </w:r>
      <w:r w:rsidR="009C165B">
        <w:t xml:space="preserve"> </w:t>
      </w:r>
      <w:r w:rsidR="008962D9">
        <w:t>APA proposed a</w:t>
      </w:r>
      <w:r w:rsidR="00103553">
        <w:t xml:space="preserve"> new asset zone for the easement purchase costs for the </w:t>
      </w:r>
      <w:r w:rsidR="00BA0327">
        <w:t>Western outer ring main (</w:t>
      </w:r>
      <w:r w:rsidR="00103553">
        <w:t>WORM</w:t>
      </w:r>
      <w:r w:rsidR="00BA0327">
        <w:t>)</w:t>
      </w:r>
      <w:r w:rsidR="00103553">
        <w:t xml:space="preserve"> project</w:t>
      </w:r>
      <w:r w:rsidR="00874554">
        <w:t xml:space="preserve">. </w:t>
      </w:r>
      <w:r>
        <w:t>It</w:t>
      </w:r>
      <w:r w:rsidR="005B4D13">
        <w:t xml:space="preserve"> proposed </w:t>
      </w:r>
      <w:r w:rsidR="009C165B">
        <w:t>to purchase a land</w:t>
      </w:r>
      <w:r>
        <w:t xml:space="preserve"> easement </w:t>
      </w:r>
      <w:r w:rsidR="009C165B">
        <w:t xml:space="preserve">as a pre-cursor to the </w:t>
      </w:r>
      <w:r w:rsidR="005B4D13">
        <w:t xml:space="preserve">WORM </w:t>
      </w:r>
      <w:r w:rsidR="009C165B">
        <w:t>being</w:t>
      </w:r>
      <w:r w:rsidR="005B4D13">
        <w:t xml:space="preserve"> built</w:t>
      </w:r>
      <w:r w:rsidR="009C165B">
        <w:t xml:space="preserve"> and recover the costs </w:t>
      </w:r>
      <w:r w:rsidR="004D5408">
        <w:t xml:space="preserve">as per its </w:t>
      </w:r>
      <w:r w:rsidR="001A429D">
        <w:t xml:space="preserve">standard </w:t>
      </w:r>
      <w:r w:rsidR="004D5408">
        <w:t>cost allocation methodology.</w:t>
      </w:r>
      <w:r w:rsidR="00874554">
        <w:t xml:space="preserve"> </w:t>
      </w:r>
    </w:p>
    <w:p w:rsidR="00CE0802" w:rsidRDefault="009C165B" w:rsidP="004D5408">
      <w:r>
        <w:t>However,</w:t>
      </w:r>
      <w:r w:rsidDel="00A64B37">
        <w:t xml:space="preserve"> </w:t>
      </w:r>
      <w:r w:rsidR="00BA0327">
        <w:t>i</w:t>
      </w:r>
      <w:r w:rsidR="00874554">
        <w:t>n</w:t>
      </w:r>
      <w:r w:rsidR="00103553">
        <w:t xml:space="preserve"> its </w:t>
      </w:r>
      <w:r w:rsidR="003702CF">
        <w:t xml:space="preserve">amended </w:t>
      </w:r>
      <w:r w:rsidR="00E31A8E">
        <w:t>May 2017 proposal</w:t>
      </w:r>
      <w:r w:rsidR="003702CF">
        <w:t>, it</w:t>
      </w:r>
      <w:r>
        <w:t xml:space="preserve"> included</w:t>
      </w:r>
      <w:r w:rsidR="001A429D">
        <w:t xml:space="preserve"> </w:t>
      </w:r>
      <w:r>
        <w:t xml:space="preserve">the full costs of WORM construction within the 2018–22 access arrangement period on top of </w:t>
      </w:r>
      <w:r w:rsidR="00103553">
        <w:t>the easement purchase</w:t>
      </w:r>
      <w:r>
        <w:t>.</w:t>
      </w:r>
    </w:p>
    <w:p w:rsidR="00132D43" w:rsidRDefault="00132D43" w:rsidP="00132D43">
      <w:pPr>
        <w:pStyle w:val="Heading2"/>
      </w:pPr>
      <w:bookmarkStart w:id="79" w:name="_Toc486923580"/>
      <w:r>
        <w:t>Assessment approach</w:t>
      </w:r>
      <w:bookmarkEnd w:id="79"/>
    </w:p>
    <w:p w:rsidR="00024465" w:rsidRPr="00FD034E" w:rsidRDefault="00024465" w:rsidP="00024465">
      <w:r w:rsidRPr="00FD034E">
        <w:t xml:space="preserve">In a full access arrangement, a service provider is required to specify for each reference service the reference tariff and proposed approach to </w:t>
      </w:r>
      <w:r>
        <w:t xml:space="preserve">setting the reference tariffs. </w:t>
      </w:r>
      <w:r w:rsidRPr="00FD034E">
        <w:t>This is done by:</w:t>
      </w:r>
    </w:p>
    <w:p w:rsidR="00024465" w:rsidRDefault="00024465" w:rsidP="00024465">
      <w:pPr>
        <w:pStyle w:val="AERbulletlistfirststyle"/>
      </w:pPr>
      <w:r w:rsidRPr="00FD034E">
        <w:t>explaining how revenues and costs are allocated, including the relationship between costs and tariffs</w:t>
      </w:r>
      <w:r w:rsidRPr="00FD034E">
        <w:rPr>
          <w:rStyle w:val="FootnoteReference"/>
        </w:rPr>
        <w:footnoteReference w:id="12"/>
      </w:r>
      <w:r w:rsidRPr="00FD034E">
        <w:t xml:space="preserve"> </w:t>
      </w:r>
    </w:p>
    <w:p w:rsidR="00024465" w:rsidRDefault="00024465" w:rsidP="00024465">
      <w:pPr>
        <w:pStyle w:val="AERbulletlistfirststyle"/>
      </w:pPr>
      <w:r w:rsidRPr="00FD034E">
        <w:t>explaining how the tariffs have been designed to generate the portion of referable total revenue from each reference service and fr</w:t>
      </w:r>
      <w:r>
        <w:t>om each user, or class of users</w:t>
      </w:r>
      <w:r w:rsidRPr="00FD034E">
        <w:rPr>
          <w:rStyle w:val="FootnoteReference"/>
        </w:rPr>
        <w:footnoteReference w:id="13"/>
      </w:r>
    </w:p>
    <w:p w:rsidR="00024465" w:rsidRPr="00FD034E" w:rsidRDefault="00024465" w:rsidP="00024465">
      <w:pPr>
        <w:pStyle w:val="AERbulletlistfirststyle"/>
      </w:pPr>
      <w:r w:rsidRPr="00FD034E">
        <w:t>explaining and describing any pricing principles it employed.</w:t>
      </w:r>
      <w:r w:rsidRPr="00FD034E">
        <w:rPr>
          <w:rStyle w:val="FootnoteReference"/>
        </w:rPr>
        <w:footnoteReference w:id="14"/>
      </w:r>
      <w:r w:rsidRPr="00FD034E">
        <w:t xml:space="preserve">  </w:t>
      </w:r>
    </w:p>
    <w:p w:rsidR="003B47AB" w:rsidRDefault="00024465" w:rsidP="00024465">
      <w:r>
        <w:t>We assess APA's proposed reference tariffs against the provisions of the NGR and the NGL, in particular, r.93, r.95 and r.96 of the NGR</w:t>
      </w:r>
      <w:r w:rsidR="003702CF">
        <w:t>. We must also take into account</w:t>
      </w:r>
      <w:r>
        <w:t xml:space="preserve"> the revenue and pricing principles</w:t>
      </w:r>
      <w:r>
        <w:rPr>
          <w:rStyle w:val="FootnoteReference"/>
        </w:rPr>
        <w:footnoteReference w:id="15"/>
      </w:r>
      <w:r>
        <w:t xml:space="preserve"> and the </w:t>
      </w:r>
      <w:r w:rsidR="003702CF">
        <w:t xml:space="preserve">requirement for consistency with the </w:t>
      </w:r>
      <w:r>
        <w:t>NGO</w:t>
      </w:r>
      <w:r>
        <w:rPr>
          <w:rStyle w:val="FootnoteReference"/>
        </w:rPr>
        <w:footnoteReference w:id="16"/>
      </w:r>
      <w:r>
        <w:t xml:space="preserve">.  </w:t>
      </w:r>
    </w:p>
    <w:p w:rsidR="00024465" w:rsidRPr="00044DEB" w:rsidRDefault="00024465" w:rsidP="00024465">
      <w:pPr>
        <w:rPr>
          <w:rStyle w:val="AERtexthighlight"/>
        </w:rPr>
      </w:pPr>
      <w:r w:rsidRPr="00413CE7">
        <w:t>Rules 93</w:t>
      </w:r>
      <w:r w:rsidR="003B47AB">
        <w:t xml:space="preserve"> and</w:t>
      </w:r>
      <w:r w:rsidRPr="00413CE7">
        <w:t xml:space="preserve"> 95</w:t>
      </w:r>
      <w:r w:rsidR="00EA53F1">
        <w:t xml:space="preserve"> r</w:t>
      </w:r>
      <w:r w:rsidRPr="00413CE7">
        <w:t xml:space="preserve">equire </w:t>
      </w:r>
      <w:r w:rsidR="003B47AB">
        <w:t xml:space="preserve">that reference tariffs for reference services be designed to reflect </w:t>
      </w:r>
      <w:r w:rsidRPr="00413CE7">
        <w:t xml:space="preserve">the current and expected future demand, and the allocation of costs </w:t>
      </w:r>
      <w:r w:rsidR="0031734C">
        <w:t>between reference and non-reference services</w:t>
      </w:r>
      <w:r w:rsidRPr="00413CE7">
        <w:t>. Where</w:t>
      </w:r>
      <w:r w:rsidRPr="00FD034E">
        <w:t xml:space="preserve"> we do not accept the</w:t>
      </w:r>
      <w:r>
        <w:t xml:space="preserve"> proposed reference tariffs</w:t>
      </w:r>
      <w:r w:rsidRPr="00FD034E">
        <w:t>, we must determine the initial reference tariffs to apply for each reference service.</w:t>
      </w:r>
    </w:p>
    <w:p w:rsidR="00024465" w:rsidRDefault="00024465" w:rsidP="00024465">
      <w:r w:rsidRPr="00FD034E">
        <w:t>In our assessment of the proposed reference tariff, we reviewed</w:t>
      </w:r>
      <w:r>
        <w:t xml:space="preserve"> the access arrangement information</w:t>
      </w:r>
      <w:r w:rsidRPr="00FD034E">
        <w:rPr>
          <w:rStyle w:val="FootnoteReference"/>
        </w:rPr>
        <w:footnoteReference w:id="17"/>
      </w:r>
      <w:r w:rsidRPr="00FD034E">
        <w:t xml:space="preserve"> and access arrangement proposal</w:t>
      </w:r>
      <w:r w:rsidRPr="00FD034E">
        <w:rPr>
          <w:rStyle w:val="FootnoteReference"/>
        </w:rPr>
        <w:footnoteReference w:id="18"/>
      </w:r>
      <w:r>
        <w:t xml:space="preserve"> submitted by APA for the 2018–22 access arrangement review</w:t>
      </w:r>
      <w:r w:rsidRPr="00FD034E">
        <w:t>.</w:t>
      </w:r>
      <w:r>
        <w:t xml:space="preserve"> We also had regard to </w:t>
      </w:r>
      <w:r w:rsidR="00D17A5F">
        <w:t xml:space="preserve">stakeholder </w:t>
      </w:r>
      <w:r>
        <w:t xml:space="preserve">submissions on APA's proposed tariffs. In particular, we reviewed and assessed information relating to the following matters: </w:t>
      </w:r>
    </w:p>
    <w:p w:rsidR="00024465" w:rsidRDefault="00024465" w:rsidP="00024465">
      <w:pPr>
        <w:pStyle w:val="AERbulletlistfirststyle"/>
      </w:pPr>
      <w:r>
        <w:t>proposed tariff zones and tariff design</w:t>
      </w:r>
      <w:r w:rsidR="00D17A5F">
        <w:t>—</w:t>
      </w:r>
      <w:r>
        <w:t xml:space="preserve">whether the proposal is consistent with the tariff structures contained in APA's current access arrangement and whether the proposal results in cost reflective tariffs </w:t>
      </w:r>
    </w:p>
    <w:p w:rsidR="00024465" w:rsidRDefault="00024465" w:rsidP="00024465">
      <w:pPr>
        <w:pStyle w:val="AERbulletlistfirststyle"/>
      </w:pPr>
      <w:r>
        <w:t>the WORM project</w:t>
      </w:r>
      <w:r w:rsidR="00D17A5F">
        <w:t>—</w:t>
      </w:r>
      <w:r>
        <w:t>the cost impact of this proposal on tariff</w:t>
      </w:r>
      <w:r w:rsidR="00D17A5F">
        <w:t>s</w:t>
      </w:r>
    </w:p>
    <w:p w:rsidR="00024465" w:rsidRDefault="00024465" w:rsidP="00024465">
      <w:pPr>
        <w:pStyle w:val="AERbulletlistfirststyle"/>
      </w:pPr>
      <w:r>
        <w:t>the SWP Interconnect project</w:t>
      </w:r>
      <w:r w:rsidR="00D17A5F">
        <w:t>—</w:t>
      </w:r>
      <w:r>
        <w:t xml:space="preserve">the impact of this proposal on cost allocation </w:t>
      </w:r>
    </w:p>
    <w:p w:rsidR="00024465" w:rsidRDefault="00CC5A5B" w:rsidP="00024465">
      <w:pPr>
        <w:pStyle w:val="AERbulletlistfirststyle"/>
      </w:pPr>
      <w:r>
        <w:t xml:space="preserve">storage </w:t>
      </w:r>
      <w:r w:rsidR="00024465">
        <w:t>refill tariffs</w:t>
      </w:r>
    </w:p>
    <w:p w:rsidR="00CE0802" w:rsidRDefault="00024465" w:rsidP="009B5D49">
      <w:pPr>
        <w:pStyle w:val="AERbulletlistfirststyle"/>
      </w:pPr>
      <w:r>
        <w:t>VNI project</w:t>
      </w:r>
      <w:r w:rsidR="00DE56AB">
        <w:t>—considered</w:t>
      </w:r>
      <w:r w:rsidR="00DE56AB" w:rsidDel="00DE56AB">
        <w:t xml:space="preserve"> </w:t>
      </w:r>
      <w:r w:rsidR="00DE56AB">
        <w:t>if</w:t>
      </w:r>
      <w:r>
        <w:t xml:space="preserve"> costs </w:t>
      </w:r>
      <w:r w:rsidR="00EA53F1">
        <w:t>are to be</w:t>
      </w:r>
      <w:r>
        <w:t xml:space="preserve"> recouped from </w:t>
      </w:r>
      <w:r w:rsidR="00C37F2E">
        <w:t xml:space="preserve">Culcairn withdrawal tariff </w:t>
      </w:r>
      <w:r>
        <w:t>customers only.</w:t>
      </w:r>
    </w:p>
    <w:p w:rsidR="00132D43" w:rsidRDefault="00132D43" w:rsidP="00132D43">
      <w:pPr>
        <w:pStyle w:val="Heading3"/>
        <w:tabs>
          <w:tab w:val="clear" w:pos="1021"/>
        </w:tabs>
        <w:ind w:left="142" w:hanging="142"/>
      </w:pPr>
      <w:bookmarkStart w:id="80" w:name="_Toc486923581"/>
      <w:r>
        <w:t>Interrelationships</w:t>
      </w:r>
      <w:bookmarkEnd w:id="80"/>
    </w:p>
    <w:p w:rsidR="00C074AF" w:rsidRDefault="002E22C9" w:rsidP="00132D43">
      <w:r>
        <w:t>The forecast capex for the VNI has a bearing on the tariffs AP</w:t>
      </w:r>
      <w:r w:rsidR="004F5821">
        <w:t>A</w:t>
      </w:r>
      <w:r>
        <w:t xml:space="preserve"> VTS will charge users.</w:t>
      </w:r>
      <w:r w:rsidR="00026C9A">
        <w:t xml:space="preserve"> Where VNI capex is included in the regulatory asset base it will be recovered over the life of the asset by customers. </w:t>
      </w:r>
      <w:r w:rsidR="00EA0EFD">
        <w:t>The demand or volume of gas to be transported via the VNI also affects tariffs.</w:t>
      </w:r>
      <w:r w:rsidR="00EA0EFD" w:rsidDel="00EA0EFD">
        <w:t xml:space="preserve"> </w:t>
      </w:r>
      <w:r w:rsidR="00EA0EFD">
        <w:t>C</w:t>
      </w:r>
      <w:r w:rsidR="00C074AF">
        <w:t>apex and opex forecast</w:t>
      </w:r>
      <w:r w:rsidR="00EA0EFD">
        <w:t>s</w:t>
      </w:r>
      <w:r w:rsidR="00C074AF">
        <w:t xml:space="preserve"> along with the rate of return and depreciation also impact the overall </w:t>
      </w:r>
      <w:r w:rsidR="002A2234">
        <w:t xml:space="preserve">approved APA </w:t>
      </w:r>
      <w:r w:rsidR="00C074AF">
        <w:t xml:space="preserve">revenue requirement </w:t>
      </w:r>
      <w:r w:rsidR="00EA0EFD">
        <w:t>(</w:t>
      </w:r>
      <w:r w:rsidR="00C074AF">
        <w:t>and tariffs</w:t>
      </w:r>
      <w:r w:rsidR="00EA0EFD">
        <w:t>)</w:t>
      </w:r>
      <w:r w:rsidR="00C074AF">
        <w:t xml:space="preserve"> over the access arrangement period. </w:t>
      </w:r>
      <w:r w:rsidR="00EA0EFD">
        <w:t>This draft decision takes those inputs into account</w:t>
      </w:r>
      <w:r w:rsidR="00C074AF">
        <w:t>.</w:t>
      </w:r>
    </w:p>
    <w:p w:rsidR="00132D43" w:rsidRDefault="00132D43" w:rsidP="00132D43">
      <w:pPr>
        <w:pStyle w:val="Heading2"/>
      </w:pPr>
      <w:bookmarkStart w:id="81" w:name="_Toc486923582"/>
      <w:r>
        <w:t>Reasons for draft decision</w:t>
      </w:r>
      <w:bookmarkEnd w:id="81"/>
    </w:p>
    <w:p w:rsidR="00A523E0" w:rsidRPr="001B6925" w:rsidRDefault="00A523E0" w:rsidP="00953141">
      <w:pPr>
        <w:pStyle w:val="Heading3"/>
        <w:ind w:left="720"/>
        <w:rPr>
          <w:rStyle w:val="Strong"/>
        </w:rPr>
      </w:pPr>
      <w:bookmarkStart w:id="82" w:name="_Toc486923583"/>
      <w:r>
        <w:rPr>
          <w:rStyle w:val="Strong"/>
        </w:rPr>
        <w:t>Reference tariff</w:t>
      </w:r>
      <w:r w:rsidR="00D17652">
        <w:rPr>
          <w:rStyle w:val="Strong"/>
        </w:rPr>
        <w:t xml:space="preserve"> structures</w:t>
      </w:r>
      <w:bookmarkEnd w:id="82"/>
    </w:p>
    <w:p w:rsidR="00A523E0" w:rsidRDefault="00A523E0" w:rsidP="00A523E0">
      <w:r>
        <w:t xml:space="preserve">We accept APA's proposed </w:t>
      </w:r>
      <w:r w:rsidR="00D17652" w:rsidRPr="00D17652">
        <w:t>tariff design, the zonal structure and the basis for charging users</w:t>
      </w:r>
      <w:r w:rsidR="00D17652" w:rsidRPr="00D17652" w:rsidDel="00D17652">
        <w:t xml:space="preserve"> </w:t>
      </w:r>
      <w:r>
        <w:t>for the VTS</w:t>
      </w:r>
      <w:r w:rsidR="00EA0EFD">
        <w:t>'</w:t>
      </w:r>
      <w:r w:rsidR="00035166">
        <w:t xml:space="preserve"> 2018–22 access arrangement</w:t>
      </w:r>
      <w:r w:rsidR="00EA0EFD">
        <w:t>.</w:t>
      </w:r>
      <w:r>
        <w:t xml:space="preserve"> </w:t>
      </w:r>
      <w:r w:rsidR="00035166">
        <w:t xml:space="preserve">These tariff structures are the same as </w:t>
      </w:r>
      <w:r w:rsidR="008A0DEE">
        <w:t>the current 201</w:t>
      </w:r>
      <w:r w:rsidR="00D6537D">
        <w:t>3–17 access arrangement. We consider the level of complexity in the design and structure of the proposed tariff</w:t>
      </w:r>
      <w:r w:rsidR="00D17652">
        <w:t>s</w:t>
      </w:r>
      <w:r w:rsidR="00D6537D">
        <w:t xml:space="preserve"> </w:t>
      </w:r>
      <w:r w:rsidR="00D17652">
        <w:t xml:space="preserve">is at least offset by their high degree of </w:t>
      </w:r>
      <w:r w:rsidR="00D6537D">
        <w:t>cost reflectivity.</w:t>
      </w:r>
    </w:p>
    <w:p w:rsidR="00035166" w:rsidRDefault="00035166" w:rsidP="00A523E0">
      <w:r>
        <w:t xml:space="preserve">We have approved the proposed </w:t>
      </w:r>
      <w:r w:rsidR="00C57E87">
        <w:t xml:space="preserve">standard </w:t>
      </w:r>
      <w:r w:rsidR="00D17652">
        <w:t>cost allocation methodology</w:t>
      </w:r>
      <w:r w:rsidR="00C82644">
        <w:t xml:space="preserve">, which is substantially the same as that in the current </w:t>
      </w:r>
      <w:r w:rsidR="00EA0EFD">
        <w:t>access arrangement</w:t>
      </w:r>
      <w:r w:rsidR="00C82644">
        <w:t>, but with some changes</w:t>
      </w:r>
      <w:r w:rsidR="006560FF">
        <w:t xml:space="preserve"> to cost recovery</w:t>
      </w:r>
      <w:r w:rsidR="00D17652">
        <w:t xml:space="preserve"> for the following</w:t>
      </w:r>
      <w:r>
        <w:t>:</w:t>
      </w:r>
    </w:p>
    <w:p w:rsidR="00D17652" w:rsidRPr="00D17652" w:rsidRDefault="00D17652" w:rsidP="00D17652">
      <w:pPr>
        <w:pStyle w:val="AERbulletlistfirststyle"/>
      </w:pPr>
      <w:r>
        <w:t>South West Pipeline</w:t>
      </w:r>
      <w:r w:rsidRPr="00D17652">
        <w:t xml:space="preserve"> </w:t>
      </w:r>
    </w:p>
    <w:p w:rsidR="00D17652" w:rsidRDefault="00D17652" w:rsidP="009B5D49">
      <w:pPr>
        <w:pStyle w:val="AERbulletlistfirststyle"/>
      </w:pPr>
      <w:r>
        <w:t>Storage</w:t>
      </w:r>
      <w:r w:rsidRPr="00D17652">
        <w:t xml:space="preserve"> refill</w:t>
      </w:r>
    </w:p>
    <w:p w:rsidR="00035166" w:rsidRDefault="00D17652" w:rsidP="009B5D49">
      <w:pPr>
        <w:pStyle w:val="AERbulletlistfirststyle"/>
      </w:pPr>
      <w:r>
        <w:t xml:space="preserve">Victorian Northern Interconnector </w:t>
      </w:r>
    </w:p>
    <w:p w:rsidR="00035166" w:rsidRDefault="00035166" w:rsidP="009B5D49">
      <w:pPr>
        <w:pStyle w:val="AERbulletlistfirststyle"/>
      </w:pPr>
      <w:r>
        <w:t>Western Outer Ring Main</w:t>
      </w:r>
      <w:r w:rsidR="004D3F8A">
        <w:t>.</w:t>
      </w:r>
    </w:p>
    <w:p w:rsidR="00A523E0" w:rsidRDefault="00A523E0" w:rsidP="00A523E0">
      <w:pPr>
        <w:pStyle w:val="AERbulletlistfirststyle"/>
        <w:numPr>
          <w:ilvl w:val="0"/>
          <w:numId w:val="0"/>
        </w:numPr>
      </w:pPr>
      <w:r>
        <w:t xml:space="preserve">However, </w:t>
      </w:r>
      <w:r w:rsidR="002E5AC1">
        <w:t xml:space="preserve">we require </w:t>
      </w:r>
      <w:r w:rsidRPr="00A523E0">
        <w:t>APA to recalculate its reference tariffs so that the levels of the tariffs reflect our draft decision on demand forecasts, capex forecast, opex forecast and rate of return.</w:t>
      </w:r>
    </w:p>
    <w:p w:rsidR="002C44F7" w:rsidRDefault="002C44F7" w:rsidP="00A523E0">
      <w:pPr>
        <w:pStyle w:val="AERbulletlistfirststyle"/>
        <w:numPr>
          <w:ilvl w:val="0"/>
          <w:numId w:val="0"/>
        </w:numPr>
      </w:pPr>
      <w:r>
        <w:t xml:space="preserve">We also consider the cross-system tariff </w:t>
      </w:r>
      <w:r w:rsidR="00C76AAB">
        <w:t>should</w:t>
      </w:r>
      <w:r>
        <w:t xml:space="preserve"> be charged in addition to the </w:t>
      </w:r>
      <w:r w:rsidRPr="002C44F7">
        <w:t xml:space="preserve">refill tariff </w:t>
      </w:r>
      <w:r>
        <w:t>to users who ship gas from Longford or Culcairn into Iona storage</w:t>
      </w:r>
      <w:r w:rsidR="003C47E2">
        <w:t xml:space="preserve"> and then on to the Sea Gas pipeline</w:t>
      </w:r>
      <w:r w:rsidR="00EE28D9">
        <w:t>.</w:t>
      </w:r>
      <w:r w:rsidR="009B5D49">
        <w:t xml:space="preserve"> </w:t>
      </w:r>
      <w:r w:rsidR="00753E8E">
        <w:t>This differs from APA's proposal to charge only the refill tariff for gas put into storage.</w:t>
      </w:r>
      <w:r>
        <w:t xml:space="preserve"> We </w:t>
      </w:r>
      <w:r w:rsidR="002E5AC1">
        <w:t>invite submissions</w:t>
      </w:r>
      <w:r>
        <w:t xml:space="preserve"> from stakeholders on this</w:t>
      </w:r>
      <w:r w:rsidR="009D616C">
        <w:t xml:space="preserve"> </w:t>
      </w:r>
      <w:r w:rsidR="002E5AC1">
        <w:t>aspect of our draft decision</w:t>
      </w:r>
      <w:r>
        <w:t xml:space="preserve">. </w:t>
      </w:r>
    </w:p>
    <w:p w:rsidR="00C53487" w:rsidRPr="001B6925" w:rsidRDefault="006C52C7" w:rsidP="00953141">
      <w:pPr>
        <w:pStyle w:val="Heading3"/>
        <w:ind w:left="720"/>
        <w:rPr>
          <w:rStyle w:val="Strong"/>
        </w:rPr>
      </w:pPr>
      <w:bookmarkStart w:id="83" w:name="_Toc486923584"/>
      <w:r>
        <w:rPr>
          <w:rStyle w:val="Strong"/>
        </w:rPr>
        <w:t xml:space="preserve">Cost </w:t>
      </w:r>
      <w:r w:rsidR="001B6925">
        <w:rPr>
          <w:rStyle w:val="Strong"/>
        </w:rPr>
        <w:t>allocation methodology</w:t>
      </w:r>
      <w:bookmarkEnd w:id="83"/>
    </w:p>
    <w:p w:rsidR="00A8541D" w:rsidRDefault="00BF5AEC" w:rsidP="00A30ECC">
      <w:r>
        <w:t xml:space="preserve">APA proposed a highly detailed </w:t>
      </w:r>
      <w:r w:rsidR="009B675B">
        <w:t xml:space="preserve">and </w:t>
      </w:r>
      <w:r>
        <w:t xml:space="preserve">cost </w:t>
      </w:r>
      <w:r w:rsidR="009B675B">
        <w:t xml:space="preserve">reflective </w:t>
      </w:r>
      <w:r>
        <w:t xml:space="preserve">allocation </w:t>
      </w:r>
      <w:r w:rsidR="00A64B37">
        <w:t>procedure, which</w:t>
      </w:r>
      <w:r>
        <w:t xml:space="preserve"> is substantially the same</w:t>
      </w:r>
      <w:r w:rsidR="00B342EF">
        <w:t xml:space="preserve"> as </w:t>
      </w:r>
      <w:r w:rsidR="009B675B">
        <w:t xml:space="preserve">that </w:t>
      </w:r>
      <w:r w:rsidR="00B342EF">
        <w:t>applied in the 2013–17 access arrangement</w:t>
      </w:r>
      <w:r w:rsidR="00A30ECC">
        <w:t>,</w:t>
      </w:r>
      <w:r w:rsidR="00AC4409">
        <w:t xml:space="preserve"> </w:t>
      </w:r>
      <w:r w:rsidR="00A30ECC">
        <w:t xml:space="preserve">but with the following </w:t>
      </w:r>
      <w:r w:rsidR="00A8541D">
        <w:t>exceptions:</w:t>
      </w:r>
    </w:p>
    <w:p w:rsidR="00A8541D" w:rsidRPr="00A8541D" w:rsidRDefault="00475C43" w:rsidP="00A8541D">
      <w:pPr>
        <w:pStyle w:val="AERbulletlistfirststyle"/>
        <w:rPr>
          <w:shd w:val="clear" w:color="auto" w:fill="FFFF00"/>
        </w:rPr>
      </w:pPr>
      <w:r>
        <w:t xml:space="preserve">a </w:t>
      </w:r>
      <w:r w:rsidR="00A8541D">
        <w:t>change in the proportion of direct costs allocated to the SWP</w:t>
      </w:r>
      <w:r w:rsidR="009D616C">
        <w:t>,</w:t>
      </w:r>
      <w:r w:rsidR="00EE6794">
        <w:t xml:space="preserve"> so that 81.3 per cent of direct costs are allocated to the SWP and the remaining on a postage stamp basis.</w:t>
      </w:r>
    </w:p>
    <w:p w:rsidR="00A477EF" w:rsidRDefault="00932B04" w:rsidP="00A477EF">
      <w:pPr>
        <w:pStyle w:val="AERbulletlistfirststyle"/>
      </w:pPr>
      <w:r>
        <w:t>a</w:t>
      </w:r>
      <w:r w:rsidR="00CE0802">
        <w:t>n increase to the Iona storage refills</w:t>
      </w:r>
      <w:r w:rsidR="00A8541D">
        <w:t xml:space="preserve"> charge so that it is no longer aligned with the Dandenong storage refill charge.</w:t>
      </w:r>
      <w:r w:rsidR="00A30ECC">
        <w:t xml:space="preserve"> </w:t>
      </w:r>
    </w:p>
    <w:p w:rsidR="00061B2A" w:rsidRPr="00061B2A" w:rsidRDefault="00061B2A" w:rsidP="009D616C">
      <w:r w:rsidRPr="00061B2A">
        <w:t xml:space="preserve">We accept APA's </w:t>
      </w:r>
      <w:r>
        <w:t xml:space="preserve">standard </w:t>
      </w:r>
      <w:r w:rsidRPr="00061B2A">
        <w:t>cost allocation methodology</w:t>
      </w:r>
      <w:r>
        <w:t>.</w:t>
      </w:r>
      <w:r w:rsidRPr="00061B2A">
        <w:t xml:space="preserve"> We consider </w:t>
      </w:r>
      <w:r>
        <w:t>it</w:t>
      </w:r>
      <w:r w:rsidRPr="00061B2A">
        <w:t xml:space="preserve"> strikes a reasonable balance between cost reflectivity and complexity.</w:t>
      </w:r>
    </w:p>
    <w:p w:rsidR="004553EF" w:rsidRPr="004553EF" w:rsidRDefault="00061B2A" w:rsidP="004553EF">
      <w:pPr>
        <w:pStyle w:val="AERbulletlistfirststyle"/>
        <w:numPr>
          <w:ilvl w:val="0"/>
          <w:numId w:val="0"/>
        </w:numPr>
        <w:rPr>
          <w:shd w:val="clear" w:color="auto" w:fill="FFFF00"/>
        </w:rPr>
      </w:pPr>
      <w:r>
        <w:t xml:space="preserve">As noted above </w:t>
      </w:r>
      <w:r w:rsidR="004553EF">
        <w:t>APA</w:t>
      </w:r>
      <w:r w:rsidR="009D616C">
        <w:t>'s</w:t>
      </w:r>
      <w:r w:rsidR="004553EF">
        <w:t xml:space="preserve"> </w:t>
      </w:r>
      <w:r w:rsidR="004553EF" w:rsidRPr="004553EF">
        <w:t>cost allocation methodology for the SWP and Interconnect</w:t>
      </w:r>
      <w:r>
        <w:t xml:space="preserve"> differs</w:t>
      </w:r>
      <w:r w:rsidR="004553EF" w:rsidRPr="004553EF">
        <w:t xml:space="preserve"> to its standard cost allocation methodology. </w:t>
      </w:r>
      <w:r w:rsidR="00EE55F4">
        <w:t>This</w:t>
      </w:r>
      <w:r w:rsidR="004553EF" w:rsidRPr="004553EF">
        <w:t xml:space="preserve"> reflects the role of the original investment for the</w:t>
      </w:r>
      <w:r w:rsidR="004553EF">
        <w:t>se assets</w:t>
      </w:r>
      <w:r w:rsidR="004553EF" w:rsidRPr="004553EF">
        <w:t>. In earlier access arrangements</w:t>
      </w:r>
      <w:r w:rsidR="009D616C">
        <w:t>,</w:t>
      </w:r>
      <w:r w:rsidR="004553EF" w:rsidRPr="004553EF">
        <w:t xml:space="preserve"> the ACCC determined that some or all of the costs of the SWP and the Interconnect assets could be attributed to all users of the VTS system rather than to specific users </w:t>
      </w:r>
      <w:r w:rsidR="007E6305">
        <w:t>of</w:t>
      </w:r>
      <w:r w:rsidR="004553EF" w:rsidRPr="004553EF">
        <w:t xml:space="preserve"> discrete pipelines</w:t>
      </w:r>
      <w:r w:rsidR="007E6305">
        <w:t xml:space="preserve"> within the system</w:t>
      </w:r>
      <w:r w:rsidR="004553EF" w:rsidRPr="004553EF">
        <w:t>.</w:t>
      </w:r>
      <w:r w:rsidR="00753E8E">
        <w:rPr>
          <w:rStyle w:val="FootnoteReference"/>
        </w:rPr>
        <w:footnoteReference w:id="19"/>
      </w:r>
      <w:r w:rsidR="004553EF" w:rsidRPr="004553EF">
        <w:t xml:space="preserve"> </w:t>
      </w:r>
    </w:p>
    <w:p w:rsidR="004553EF" w:rsidRPr="004553EF" w:rsidRDefault="00061B2A" w:rsidP="004553EF">
      <w:pPr>
        <w:pStyle w:val="AERbulletlistfirststyle"/>
        <w:numPr>
          <w:ilvl w:val="0"/>
          <w:numId w:val="0"/>
        </w:numPr>
        <w:rPr>
          <w:shd w:val="clear" w:color="auto" w:fill="FFFF00"/>
        </w:rPr>
      </w:pPr>
      <w:r w:rsidRPr="004553EF">
        <w:t>We accept APA's proposal to continue to allocate 24</w:t>
      </w:r>
      <w:r w:rsidR="009D616C">
        <w:t> </w:t>
      </w:r>
      <w:r w:rsidRPr="004553EF">
        <w:t>per</w:t>
      </w:r>
      <w:r w:rsidR="009D616C">
        <w:t> </w:t>
      </w:r>
      <w:r w:rsidRPr="004553EF">
        <w:t xml:space="preserve">cent of the </w:t>
      </w:r>
      <w:r w:rsidR="003C47E2">
        <w:t>Interconnect's</w:t>
      </w:r>
      <w:r w:rsidRPr="004553EF">
        <w:t xml:space="preserve"> direct costs to the asset and to recover the remaining direct costs on a postage stamp basis across all users.</w:t>
      </w:r>
      <w:r>
        <w:t xml:space="preserve"> This is consistent with APA's current</w:t>
      </w:r>
      <w:r w:rsidR="004553EF" w:rsidRPr="004553EF">
        <w:t xml:space="preserve"> access arrangement. </w:t>
      </w:r>
    </w:p>
    <w:p w:rsidR="009B675B" w:rsidRDefault="00A30ECC" w:rsidP="009B675B">
      <w:r>
        <w:t xml:space="preserve">We </w:t>
      </w:r>
      <w:r w:rsidR="00A8541D">
        <w:t xml:space="preserve">accept APA's proposed change </w:t>
      </w:r>
      <w:r w:rsidR="00061B2A">
        <w:t xml:space="preserve">to allocate 81.3 per cent of </w:t>
      </w:r>
      <w:r w:rsidR="00EE6794">
        <w:t xml:space="preserve">direct </w:t>
      </w:r>
      <w:r w:rsidR="00A8541D">
        <w:t>costs to the SWP</w:t>
      </w:r>
      <w:r w:rsidR="00061B2A">
        <w:t xml:space="preserve"> and the remaining 18.7 per cent on a postage stamp basis</w:t>
      </w:r>
      <w:r w:rsidR="00A8541D">
        <w:t xml:space="preserve">. </w:t>
      </w:r>
      <w:r w:rsidR="00061B2A">
        <w:t>This is discussed in detail below</w:t>
      </w:r>
      <w:r w:rsidR="00CB132D">
        <w:t xml:space="preserve"> under South </w:t>
      </w:r>
      <w:r w:rsidR="007E6305">
        <w:t>W</w:t>
      </w:r>
      <w:r w:rsidR="00CB132D">
        <w:t xml:space="preserve">est </w:t>
      </w:r>
      <w:r w:rsidR="007E6305">
        <w:t>P</w:t>
      </w:r>
      <w:r w:rsidR="00CB132D">
        <w:t>ipeline</w:t>
      </w:r>
      <w:r w:rsidR="00061B2A">
        <w:t>.</w:t>
      </w:r>
    </w:p>
    <w:p w:rsidR="00A30ECC" w:rsidRDefault="00A8541D" w:rsidP="002D3A19">
      <w:r>
        <w:t xml:space="preserve">We accept APA's proposed increase to the Iona storage refill charge. However, we consider that the cross system charge should apply in addition to the storage refill </w:t>
      </w:r>
      <w:r w:rsidR="009B675B">
        <w:t xml:space="preserve">charge for those users transporting gas from Longford and Culcairn </w:t>
      </w:r>
      <w:r w:rsidR="00A93FC4">
        <w:t>in</w:t>
      </w:r>
      <w:r w:rsidR="009B675B">
        <w:t>to Iona storage on non-peak days</w:t>
      </w:r>
      <w:r w:rsidR="003C47E2">
        <w:t xml:space="preserve"> and then on to the Sea Gas pipeline</w:t>
      </w:r>
      <w:r w:rsidR="009B675B">
        <w:t>.</w:t>
      </w:r>
      <w:r w:rsidR="000C3442">
        <w:t xml:space="preserve"> </w:t>
      </w:r>
      <w:r w:rsidR="008454CC">
        <w:t>See further</w:t>
      </w:r>
      <w:r w:rsidR="000C3442">
        <w:t xml:space="preserve"> detail below</w:t>
      </w:r>
      <w:r w:rsidR="006C0235">
        <w:t xml:space="preserve"> under storage refill tariffs</w:t>
      </w:r>
      <w:r w:rsidR="000C3442">
        <w:t>.</w:t>
      </w:r>
    </w:p>
    <w:p w:rsidR="00CB132D" w:rsidRPr="00CB132D" w:rsidRDefault="00CB132D" w:rsidP="00953141">
      <w:pPr>
        <w:pStyle w:val="HeadingBoldBlue"/>
        <w:rPr>
          <w:rStyle w:val="Strong"/>
        </w:rPr>
      </w:pPr>
      <w:r w:rsidRPr="00CB132D">
        <w:rPr>
          <w:rStyle w:val="Strong"/>
        </w:rPr>
        <w:t xml:space="preserve">Western Outer Ring Main </w:t>
      </w:r>
    </w:p>
    <w:p w:rsidR="007D018D" w:rsidRDefault="007D018D" w:rsidP="007D018D">
      <w:r>
        <w:t>We approve APA's proposed allocation of WORM costs</w:t>
      </w:r>
      <w:r w:rsidR="007E6305">
        <w:t xml:space="preserve"> and note that it</w:t>
      </w:r>
      <w:r>
        <w:t xml:space="preserve"> is consistent with APA's stand</w:t>
      </w:r>
      <w:r w:rsidR="00A93FC4">
        <w:t>ard cost allocation methodology</w:t>
      </w:r>
      <w:r w:rsidR="00976142">
        <w:t>. Under this approach</w:t>
      </w:r>
      <w:r w:rsidR="008454CC">
        <w:t>,</w:t>
      </w:r>
      <w:r w:rsidR="00976142">
        <w:t xml:space="preserve"> </w:t>
      </w:r>
      <w:r w:rsidR="00A93FC4">
        <w:t xml:space="preserve">costs </w:t>
      </w:r>
      <w:r w:rsidR="00976142">
        <w:t xml:space="preserve">associated with the WORM are </w:t>
      </w:r>
      <w:r w:rsidR="00A93FC4">
        <w:t>allocated to users based on their use of the WORM. We consider this</w:t>
      </w:r>
      <w:r w:rsidR="00976142">
        <w:t xml:space="preserve"> is consistent with r. 95(3) of the NGR that costs directly attributable to supplying the users are allocated to th</w:t>
      </w:r>
      <w:r w:rsidR="007E6305">
        <w:t>os</w:t>
      </w:r>
      <w:r w:rsidR="00976142">
        <w:t>e users.</w:t>
      </w:r>
      <w:r w:rsidR="00A93FC4">
        <w:t xml:space="preserve"> </w:t>
      </w:r>
      <w:r w:rsidR="00054C4B">
        <w:t>Nevertheless</w:t>
      </w:r>
      <w:r w:rsidRPr="00251BFB">
        <w:t xml:space="preserve">, the impact of the WORM on VTS tariffs is immaterial. Some injection and withdrawal </w:t>
      </w:r>
      <w:r w:rsidR="00A93FC4" w:rsidRPr="00251BFB">
        <w:t>tariffs</w:t>
      </w:r>
      <w:r w:rsidRPr="00251BFB">
        <w:t xml:space="preserve"> increase slightly and others drop </w:t>
      </w:r>
      <w:r w:rsidR="00932B04">
        <w:t>slightly</w:t>
      </w:r>
      <w:r w:rsidRPr="00251BFB">
        <w:t>.</w:t>
      </w:r>
      <w:r w:rsidRPr="00E81850">
        <w:rPr>
          <w:rStyle w:val="FootnoteReference"/>
        </w:rPr>
        <w:footnoteReference w:id="20"/>
      </w:r>
      <w:r w:rsidRPr="00E81850">
        <w:t xml:space="preserve"> </w:t>
      </w:r>
    </w:p>
    <w:p w:rsidR="00CB132D" w:rsidRPr="00CB132D" w:rsidRDefault="00054C4B" w:rsidP="00CB132D">
      <w:r w:rsidRPr="00054C4B">
        <w:t>APA's proposal to build the WORM in the 2018–22 access arrangement period is based on AEMO's changed forecasts for gas production and consumption</w:t>
      </w:r>
      <w:r w:rsidR="00CB132D" w:rsidRPr="00CB132D">
        <w:t xml:space="preserve">. </w:t>
      </w:r>
      <w:r>
        <w:t>T</w:t>
      </w:r>
      <w:r w:rsidR="00CB132D" w:rsidRPr="00CB132D">
        <w:t xml:space="preserve">otal forecast </w:t>
      </w:r>
      <w:r w:rsidRPr="00054C4B">
        <w:t xml:space="preserve">WORM </w:t>
      </w:r>
      <w:r w:rsidR="00CB132D" w:rsidRPr="00CB132D">
        <w:t>expenditure is $126.7 million ($real 2017)</w:t>
      </w:r>
      <w:r>
        <w:t xml:space="preserve"> </w:t>
      </w:r>
      <w:r w:rsidR="00E44A86">
        <w:t xml:space="preserve">which </w:t>
      </w:r>
      <w:r w:rsidR="00E44A86" w:rsidRPr="00CB132D">
        <w:t>includes</w:t>
      </w:r>
      <w:r w:rsidR="00CB132D" w:rsidRPr="00CB132D">
        <w:t xml:space="preserve"> $26.7</w:t>
      </w:r>
      <w:r>
        <w:t> </w:t>
      </w:r>
      <w:r w:rsidR="00E44A86">
        <w:t xml:space="preserve">million </w:t>
      </w:r>
      <w:r w:rsidR="002E17E4">
        <w:t>(</w:t>
      </w:r>
      <w:r w:rsidR="00CB132D" w:rsidRPr="00CB132D">
        <w:t>proposed in the January access arrangement proposal</w:t>
      </w:r>
      <w:r w:rsidR="002E17E4">
        <w:t>)</w:t>
      </w:r>
      <w:r w:rsidR="00CB132D" w:rsidRPr="00CB132D">
        <w:t xml:space="preserve"> to pre-purchase the easement in the forecast period. The </w:t>
      </w:r>
      <w:r w:rsidR="002E17E4">
        <w:t>amended</w:t>
      </w:r>
      <w:r w:rsidR="00CB132D" w:rsidRPr="00CB132D">
        <w:t xml:space="preserve"> proposal results </w:t>
      </w:r>
      <w:r w:rsidR="0055764E">
        <w:t>in an increase in</w:t>
      </w:r>
      <w:r w:rsidR="006560FF">
        <w:t xml:space="preserve"> smoothed</w:t>
      </w:r>
      <w:r w:rsidR="0055764E">
        <w:t xml:space="preserve"> revenue of between $3 million and $4 million</w:t>
      </w:r>
      <w:r w:rsidR="00FD42D7">
        <w:t xml:space="preserve"> ($real 2017)</w:t>
      </w:r>
      <w:r w:rsidR="0055764E">
        <w:t xml:space="preserve"> for each year of the access arrangement to be recovered through tariffs.</w:t>
      </w:r>
      <w:r w:rsidR="00CB132D" w:rsidRPr="00CB132D">
        <w:rPr>
          <w:rStyle w:val="FootnoteReference"/>
        </w:rPr>
        <w:footnoteReference w:id="21"/>
      </w:r>
    </w:p>
    <w:p w:rsidR="00251BFB" w:rsidRDefault="00251BFB" w:rsidP="00251BFB">
      <w:r w:rsidRPr="00251BFB">
        <w:t xml:space="preserve">APA's cost allocation methodology allocates some of the WORM costs to each withdrawal zone </w:t>
      </w:r>
      <w:r w:rsidR="00546B88">
        <w:t>that use</w:t>
      </w:r>
      <w:r w:rsidR="00E44A86">
        <w:t>s</w:t>
      </w:r>
      <w:r w:rsidR="00546B88">
        <w:t xml:space="preserve"> the flow path incorporating the</w:t>
      </w:r>
      <w:r w:rsidRPr="00251BFB">
        <w:t xml:space="preserve"> WORM. The proportion of WORM costs allocated to each withdrawal zone is based on the forecast volume withdrawn in the zone.</w:t>
      </w:r>
      <w:r w:rsidR="00E81850">
        <w:t xml:space="preserve"> </w:t>
      </w:r>
      <w:r w:rsidR="00546B88">
        <w:t xml:space="preserve">This includes the cross-system tariff, as well as withdrawals at Port Campbell. </w:t>
      </w:r>
      <w:r w:rsidRPr="00251BFB">
        <w:t>Under this cost allocation methodology</w:t>
      </w:r>
      <w:r w:rsidR="002E17E4">
        <w:t>,</w:t>
      </w:r>
      <w:r w:rsidRPr="00251BFB">
        <w:t xml:space="preserve"> users who do not use the WORM are charged withdrawal tariffs which exclude a contribution to WORM costs. These include withdrawals along injection pipelines that are matched to injections along the same pipeline. An example would be withdrawals in the Wodonga zone matched to Culcairn injections. </w:t>
      </w:r>
    </w:p>
    <w:p w:rsidR="00DA55EF" w:rsidRDefault="00DA55EF" w:rsidP="00422D45">
      <w:pPr>
        <w:pStyle w:val="Caption"/>
      </w:pPr>
      <w:r>
        <w:t xml:space="preserve">Table </w:t>
      </w:r>
      <w:r w:rsidRPr="00FD3756">
        <w:fldChar w:fldCharType="begin"/>
      </w:r>
      <w:r>
        <w:instrText xml:space="preserve"> STYLEREF 1 \s </w:instrText>
      </w:r>
      <w:r w:rsidRPr="00FD3756">
        <w:fldChar w:fldCharType="separate"/>
      </w:r>
      <w:r w:rsidR="00260621">
        <w:rPr>
          <w:noProof/>
        </w:rPr>
        <w:t>10</w:t>
      </w:r>
      <w:r w:rsidRPr="00FD3756">
        <w:fldChar w:fldCharType="end"/>
      </w:r>
      <w:r>
        <w:noBreakHyphen/>
      </w:r>
      <w:r w:rsidRPr="00FD3756">
        <w:fldChar w:fldCharType="begin"/>
      </w:r>
      <w:r>
        <w:instrText xml:space="preserve"> SEQ Table \* ARABIC \s 1 </w:instrText>
      </w:r>
      <w:r w:rsidRPr="00FD3756">
        <w:fldChar w:fldCharType="separate"/>
      </w:r>
      <w:r w:rsidR="00260621">
        <w:rPr>
          <w:noProof/>
        </w:rPr>
        <w:t>3</w:t>
      </w:r>
      <w:r w:rsidRPr="00FD3756">
        <w:fldChar w:fldCharType="end"/>
      </w:r>
      <w:r>
        <w:t xml:space="preserve"> </w:t>
      </w:r>
      <w:r w:rsidR="00292ACE">
        <w:t xml:space="preserve">Example of physical flow path of cost </w:t>
      </w:r>
      <w:r w:rsidR="00E44A86">
        <w:t>allocation</w:t>
      </w:r>
    </w:p>
    <w:tbl>
      <w:tblPr>
        <w:tblStyle w:val="AERtable-text0"/>
        <w:tblW w:w="0" w:type="auto"/>
        <w:tblLook w:val="04A0" w:firstRow="1" w:lastRow="0" w:firstColumn="1" w:lastColumn="0" w:noHBand="0" w:noVBand="1"/>
      </w:tblPr>
      <w:tblGrid>
        <w:gridCol w:w="8693"/>
      </w:tblGrid>
      <w:tr w:rsidR="00E81850" w:rsidRPr="00C05F3E" w:rsidTr="00953141">
        <w:trPr>
          <w:cnfStyle w:val="100000000000" w:firstRow="1" w:lastRow="0" w:firstColumn="0" w:lastColumn="0" w:oddVBand="0" w:evenVBand="0" w:oddHBand="0" w:evenHBand="0" w:firstRowFirstColumn="0" w:firstRowLastColumn="0" w:lastRowFirstColumn="0" w:lastRowLastColumn="0"/>
        </w:trPr>
        <w:tc>
          <w:tcPr>
            <w:tcW w:w="8693" w:type="dxa"/>
          </w:tcPr>
          <w:p w:rsidR="00E81850" w:rsidRPr="00C05F3E" w:rsidRDefault="00E81850" w:rsidP="00422D45">
            <w:pPr>
              <w:keepNext/>
            </w:pPr>
            <w:r w:rsidRPr="00C05F3E">
              <w:t>Gas flowing from Longford to Metro North west will pick up:</w:t>
            </w:r>
          </w:p>
        </w:tc>
      </w:tr>
      <w:tr w:rsidR="00E81850" w:rsidRPr="00C05F3E" w:rsidTr="00953141">
        <w:tc>
          <w:tcPr>
            <w:tcW w:w="8693" w:type="dxa"/>
          </w:tcPr>
          <w:p w:rsidR="00E81850" w:rsidRPr="00C05F3E" w:rsidRDefault="00E81850" w:rsidP="00422D45">
            <w:pPr>
              <w:pStyle w:val="AERbulletlistfirststyle"/>
              <w:keepNext/>
            </w:pPr>
            <w:r w:rsidRPr="00C05F3E">
              <w:t xml:space="preserve">Injection charge recovering cost of the Longford Gas Pipeline (only) </w:t>
            </w:r>
            <w:r w:rsidR="00E44A86">
              <w:t>(</w:t>
            </w:r>
            <w:r w:rsidRPr="00C05F3E">
              <w:t>that is, if they inject on one of the 10 peak days for that injection pipe</w:t>
            </w:r>
            <w:r w:rsidR="00E44A86">
              <w:t>line for that winter)</w:t>
            </w:r>
          </w:p>
        </w:tc>
      </w:tr>
      <w:tr w:rsidR="00E81850" w:rsidRPr="00C05F3E" w:rsidTr="00953141">
        <w:trPr>
          <w:cnfStyle w:val="000000010000" w:firstRow="0" w:lastRow="0" w:firstColumn="0" w:lastColumn="0" w:oddVBand="0" w:evenVBand="0" w:oddHBand="0" w:evenHBand="1" w:firstRowFirstColumn="0" w:firstRowLastColumn="0" w:lastRowFirstColumn="0" w:lastRowLastColumn="0"/>
        </w:trPr>
        <w:tc>
          <w:tcPr>
            <w:tcW w:w="8693" w:type="dxa"/>
          </w:tcPr>
          <w:p w:rsidR="00E81850" w:rsidRPr="00C05F3E" w:rsidRDefault="00E81850" w:rsidP="00422D45">
            <w:pPr>
              <w:pStyle w:val="AERbulletlistfirststyle"/>
              <w:keepNext/>
            </w:pPr>
            <w:r w:rsidRPr="00C05F3E">
              <w:t>Metro North West withdrawal charge, which is a contribution to recover the costs for each asset zone that gas is estimated</w:t>
            </w:r>
            <w:r w:rsidRPr="00C05F3E" w:rsidDel="00D17652">
              <w:t xml:space="preserve"> </w:t>
            </w:r>
            <w:r w:rsidRPr="00C05F3E">
              <w:t xml:space="preserve">to have passed through. This may include contribution to multiple asset zones in proportion to the volume forecast for delivery to the Metro </w:t>
            </w:r>
            <w:r w:rsidR="00E44A86" w:rsidRPr="00C05F3E">
              <w:t>North West</w:t>
            </w:r>
            <w:r w:rsidRPr="00C05F3E">
              <w:t xml:space="preserve"> zone. One of these contributing zones would be the WORM asset zone (which is in the metro tariff zone)</w:t>
            </w:r>
          </w:p>
        </w:tc>
      </w:tr>
      <w:tr w:rsidR="00E81850" w:rsidRPr="00C05F3E" w:rsidTr="00953141">
        <w:tc>
          <w:tcPr>
            <w:tcW w:w="8693" w:type="dxa"/>
          </w:tcPr>
          <w:p w:rsidR="00E81850" w:rsidRDefault="00E81850" w:rsidP="00422D45">
            <w:pPr>
              <w:keepNext/>
            </w:pPr>
            <w:r w:rsidRPr="00C05F3E">
              <w:t>Gas flowing from Longford to Bendigo (in the Calder tariff zone) will pick up:</w:t>
            </w:r>
          </w:p>
          <w:p w:rsidR="00E81850" w:rsidRDefault="00E81850" w:rsidP="00422D45">
            <w:pPr>
              <w:pStyle w:val="AERbulletlistfirststyle"/>
              <w:keepNext/>
              <w:rPr>
                <w:bCs/>
                <w:sz w:val="22"/>
              </w:rPr>
            </w:pPr>
            <w:r w:rsidRPr="00E81850">
              <w:t>Injection charge recovering cost of the Longford Gas Pipeline (only)</w:t>
            </w:r>
            <w:r w:rsidR="00FD42D7" w:rsidDel="00FD42D7">
              <w:t xml:space="preserve"> </w:t>
            </w:r>
            <w:r w:rsidRPr="00E81850">
              <w:t>(that is, if users inject on one of the 10 peak days for that injection pipeline for that winter)</w:t>
            </w:r>
          </w:p>
          <w:p w:rsidR="00E81850" w:rsidRPr="00C05F3E" w:rsidRDefault="00E81850" w:rsidP="00422D45">
            <w:pPr>
              <w:pStyle w:val="AERbulletlistfirststyle"/>
              <w:keepNext/>
              <w:rPr>
                <w:b/>
                <w:bCs/>
                <w:sz w:val="22"/>
              </w:rPr>
            </w:pPr>
            <w:r w:rsidRPr="00E81850">
              <w:t xml:space="preserve">Calder withdrawal charge, which is made up of a contribution to recover the costs for each asset zone that gas is deemed to have passed through. The asset zones relevant here will be the same ones as for the Metro North West delivery, plus </w:t>
            </w:r>
            <w:r w:rsidR="00A606EC">
              <w:t>others</w:t>
            </w:r>
            <w:r w:rsidRPr="00E81850">
              <w:t xml:space="preserve"> because the Calder zone is more distant from Longford. </w:t>
            </w:r>
            <w:r w:rsidR="00946E12">
              <w:rPr>
                <w:rStyle w:val="FootnoteReference"/>
              </w:rPr>
              <w:footnoteReference w:id="22"/>
            </w:r>
          </w:p>
        </w:tc>
      </w:tr>
    </w:tbl>
    <w:p w:rsidR="00565F70" w:rsidRPr="00565F70" w:rsidRDefault="00565F70" w:rsidP="00953141">
      <w:pPr>
        <w:pStyle w:val="HeadingBoldBlue"/>
        <w:rPr>
          <w:rStyle w:val="Strong"/>
        </w:rPr>
      </w:pPr>
      <w:r>
        <w:rPr>
          <w:rStyle w:val="Strong"/>
        </w:rPr>
        <w:t xml:space="preserve">South </w:t>
      </w:r>
      <w:r w:rsidR="00D17652">
        <w:rPr>
          <w:rStyle w:val="Strong"/>
        </w:rPr>
        <w:t>W</w:t>
      </w:r>
      <w:r>
        <w:rPr>
          <w:rStyle w:val="Strong"/>
        </w:rPr>
        <w:t xml:space="preserve">est </w:t>
      </w:r>
      <w:r w:rsidR="00D17652">
        <w:rPr>
          <w:rStyle w:val="Strong"/>
        </w:rPr>
        <w:t>P</w:t>
      </w:r>
      <w:r>
        <w:rPr>
          <w:rStyle w:val="Strong"/>
        </w:rPr>
        <w:t>ipeline</w:t>
      </w:r>
      <w:r w:rsidRPr="00565F70">
        <w:rPr>
          <w:rStyle w:val="Strong"/>
        </w:rPr>
        <w:t xml:space="preserve"> (SWP) </w:t>
      </w:r>
    </w:p>
    <w:p w:rsidR="00C76AAB" w:rsidRDefault="00546B88" w:rsidP="00A00A34">
      <w:r>
        <w:t xml:space="preserve">We approve APA's proposed allocation of costs to the SWP. </w:t>
      </w:r>
      <w:r w:rsidR="002E5AC1">
        <w:t>It is the same as that which it</w:t>
      </w:r>
      <w:r>
        <w:t xml:space="preserve"> applied in previous access arrangements</w:t>
      </w:r>
      <w:r w:rsidR="002E5AC1">
        <w:t xml:space="preserve"> and we consider this meets the NGR requirements</w:t>
      </w:r>
      <w:r>
        <w:t>.</w:t>
      </w:r>
      <w:r w:rsidR="00C76AAB">
        <w:t xml:space="preserve"> </w:t>
      </w:r>
    </w:p>
    <w:p w:rsidR="00A00A34" w:rsidRPr="002D3A19" w:rsidRDefault="00A00A34" w:rsidP="00A00A34">
      <w:r>
        <w:t>For its 2018–22 access arrangement</w:t>
      </w:r>
      <w:r w:rsidR="008454CC">
        <w:t>,</w:t>
      </w:r>
      <w:r>
        <w:t xml:space="preserve"> APA proposed </w:t>
      </w:r>
      <w:r w:rsidR="008454CC">
        <w:t xml:space="preserve">SWP </w:t>
      </w:r>
      <w:r>
        <w:t>expansion work</w:t>
      </w:r>
      <w:r w:rsidR="008454CC">
        <w:t>s</w:t>
      </w:r>
      <w:r>
        <w:t xml:space="preserve"> </w:t>
      </w:r>
      <w:r w:rsidRPr="002D3A19">
        <w:t>which includes:</w:t>
      </w:r>
    </w:p>
    <w:p w:rsidR="00A00A34" w:rsidRDefault="00B361A3" w:rsidP="00A00A34">
      <w:pPr>
        <w:pStyle w:val="AERbulletlistfirststyle"/>
      </w:pPr>
      <w:r>
        <w:t xml:space="preserve">west </w:t>
      </w:r>
      <w:r w:rsidR="00A00A34">
        <w:t xml:space="preserve">bound expansion to increase capacity to Iona to </w:t>
      </w:r>
      <w:r w:rsidR="008454CC">
        <w:t xml:space="preserve">expand </w:t>
      </w:r>
      <w:r w:rsidR="00A00A34">
        <w:t>peak injection capacity into Iona storage, and</w:t>
      </w:r>
    </w:p>
    <w:p w:rsidR="00A00A34" w:rsidRDefault="00A00A34" w:rsidP="00A00A34">
      <w:pPr>
        <w:pStyle w:val="AERbulletlistfirststyle"/>
      </w:pPr>
      <w:r>
        <w:t xml:space="preserve">works to increase </w:t>
      </w:r>
      <w:r w:rsidR="008454CC">
        <w:t xml:space="preserve">gas </w:t>
      </w:r>
      <w:r>
        <w:t>flow</w:t>
      </w:r>
      <w:r w:rsidR="008454CC">
        <w:t>s</w:t>
      </w:r>
      <w:r>
        <w:t xml:space="preserve"> to Melbourne.</w:t>
      </w:r>
    </w:p>
    <w:p w:rsidR="0001326A" w:rsidRDefault="00C5229F" w:rsidP="009D29E1">
      <w:r w:rsidRPr="00C5229F">
        <w:t>APA propose</w:t>
      </w:r>
      <w:r w:rsidR="008454CC">
        <w:t>d</w:t>
      </w:r>
      <w:r w:rsidRPr="00C5229F">
        <w:t xml:space="preserve"> to continue allocat</w:t>
      </w:r>
      <w:r w:rsidR="00DD0ABE">
        <w:t>ing</w:t>
      </w:r>
      <w:r w:rsidRPr="00C5229F">
        <w:t xml:space="preserve"> </w:t>
      </w:r>
      <w:r>
        <w:t xml:space="preserve">historic </w:t>
      </w:r>
      <w:r w:rsidR="0001326A">
        <w:t xml:space="preserve">capital </w:t>
      </w:r>
      <w:r w:rsidRPr="00C5229F">
        <w:t xml:space="preserve">costs to the SWP using a different approach </w:t>
      </w:r>
      <w:r w:rsidR="00867E66">
        <w:t>to</w:t>
      </w:r>
      <w:r w:rsidRPr="00C5229F">
        <w:t xml:space="preserve"> its standard cost allocation methodology. The application of a different cost allocation methodology for the SWP is consistent with previous access arrangements (2008–12 and 2013–17).</w:t>
      </w:r>
      <w:r>
        <w:t xml:space="preserve"> APA propose</w:t>
      </w:r>
      <w:r w:rsidR="008454CC">
        <w:t>d</w:t>
      </w:r>
      <w:r w:rsidR="00DD0ABE">
        <w:t xml:space="preserve"> to recover the costs associated with expansion work on the SWP that will increase </w:t>
      </w:r>
      <w:r w:rsidR="008454CC">
        <w:t xml:space="preserve">gas </w:t>
      </w:r>
      <w:r w:rsidR="00DD0ABE">
        <w:t xml:space="preserve">flow to </w:t>
      </w:r>
      <w:r w:rsidR="00F5525C">
        <w:t>Melbourne via</w:t>
      </w:r>
      <w:r>
        <w:t xml:space="preserve"> this </w:t>
      </w:r>
      <w:r w:rsidR="00DD0ABE">
        <w:t xml:space="preserve">different </w:t>
      </w:r>
      <w:r>
        <w:t>approach</w:t>
      </w:r>
      <w:r w:rsidR="0001326A">
        <w:t xml:space="preserve">. </w:t>
      </w:r>
    </w:p>
    <w:p w:rsidR="00DD0ABE" w:rsidRDefault="00DB4454" w:rsidP="0001326A">
      <w:r>
        <w:t xml:space="preserve">APA proposed that </w:t>
      </w:r>
      <w:r w:rsidR="0001326A">
        <w:t xml:space="preserve">westbound expansion </w:t>
      </w:r>
      <w:r>
        <w:t>costs not</w:t>
      </w:r>
      <w:r w:rsidR="0001326A">
        <w:t xml:space="preserve"> be recovered in the same way as SWP historic </w:t>
      </w:r>
      <w:r>
        <w:t>expe</w:t>
      </w:r>
      <w:r w:rsidR="003F6985">
        <w:t>n</w:t>
      </w:r>
      <w:r>
        <w:t>diture or</w:t>
      </w:r>
      <w:r w:rsidR="0001326A">
        <w:t xml:space="preserve"> </w:t>
      </w:r>
      <w:r>
        <w:t xml:space="preserve">outlays </w:t>
      </w:r>
      <w:r w:rsidR="0001326A">
        <w:t>associated with increas</w:t>
      </w:r>
      <w:r>
        <w:t>ing</w:t>
      </w:r>
      <w:r w:rsidR="0001326A">
        <w:t xml:space="preserve"> the flow </w:t>
      </w:r>
      <w:r>
        <w:t xml:space="preserve">of gas </w:t>
      </w:r>
      <w:r w:rsidR="0001326A">
        <w:t>to Melbourne.</w:t>
      </w:r>
      <w:r w:rsidRPr="00DB4454">
        <w:t xml:space="preserve"> </w:t>
      </w:r>
      <w:r w:rsidR="003C47E2">
        <w:t>It proposed</w:t>
      </w:r>
      <w:r>
        <w:t xml:space="preserve"> that users of the Iona storage facility that are driving the need for westbound expansion of the SWP should bear the costs of expansion through an increase in the storage refill tariff at Iona. Storage refill tariffs are discussed below in more detail. </w:t>
      </w:r>
    </w:p>
    <w:p w:rsidR="00DD0ABE" w:rsidRDefault="009D29E1" w:rsidP="009D29E1">
      <w:r>
        <w:t>The SWP capital cost was originally approved and rolled-into the RAB on the basis of 50 per cent under the economic feasibility test</w:t>
      </w:r>
      <w:r>
        <w:rPr>
          <w:rStyle w:val="FootnoteReference"/>
        </w:rPr>
        <w:footnoteReference w:id="23"/>
      </w:r>
      <w:r>
        <w:t xml:space="preserve"> and 50 per cent under the system-wide benefits test.</w:t>
      </w:r>
      <w:r>
        <w:rPr>
          <w:rStyle w:val="FootnoteReference"/>
        </w:rPr>
        <w:footnoteReference w:id="24"/>
      </w:r>
      <w:r>
        <w:t xml:space="preserve"> </w:t>
      </w:r>
      <w:r w:rsidR="00DB4454">
        <w:t>Assets that were rolled-in to the RAB under the economic feasibility test</w:t>
      </w:r>
      <w:r>
        <w:t xml:space="preserve"> were effectively treated as stand-alone costs for the purposes of cost allocation and tariff setting. </w:t>
      </w:r>
      <w:r w:rsidRPr="001E27A6">
        <w:t xml:space="preserve">This was done so that the actual incremental </w:t>
      </w:r>
      <w:r w:rsidR="00DB4454">
        <w:t>expenditure</w:t>
      </w:r>
      <w:r w:rsidR="00DB4454" w:rsidRPr="001E27A6">
        <w:t xml:space="preserve"> </w:t>
      </w:r>
      <w:r w:rsidRPr="001E27A6">
        <w:t xml:space="preserve">incurred </w:t>
      </w:r>
      <w:r w:rsidR="00DB4454" w:rsidRPr="001E27A6">
        <w:t>because</w:t>
      </w:r>
      <w:r w:rsidRPr="001E27A6">
        <w:t xml:space="preserve"> of each investment would be borne only by the users of the new assets</w:t>
      </w:r>
      <w:r>
        <w:t>.</w:t>
      </w:r>
    </w:p>
    <w:p w:rsidR="009D29E1" w:rsidRDefault="009D29E1" w:rsidP="009D29E1">
      <w:r>
        <w:t xml:space="preserve">However, </w:t>
      </w:r>
      <w:r w:rsidR="00A606EC">
        <w:t xml:space="preserve">in previous access arrangement decisions </w:t>
      </w:r>
      <w:r>
        <w:t xml:space="preserve">the ACCC also found there to be system-wide benefits </w:t>
      </w:r>
      <w:r w:rsidR="00DD0ABE">
        <w:t>including</w:t>
      </w:r>
      <w:r>
        <w:t xml:space="preserve"> system security associated with the SWP and that these were sufficiently widespread to allow all users to receive an allocation of 50 per cent of the incremental cost.</w:t>
      </w:r>
      <w:r w:rsidR="00A23373">
        <w:rPr>
          <w:rStyle w:val="FootnoteReference"/>
        </w:rPr>
        <w:footnoteReference w:id="25"/>
      </w:r>
    </w:p>
    <w:p w:rsidR="009D29E1" w:rsidRDefault="009D29E1" w:rsidP="009D29E1">
      <w:r>
        <w:t>For the 2008</w:t>
      </w:r>
      <w:r w:rsidR="00B361A3">
        <w:t>–</w:t>
      </w:r>
      <w:r>
        <w:t>12 access arrangement the ACCC acknowledged that the SWP provided both direct benefits of connecting a new gas source (both the Lochard Underground storage facility and new production) to the VTS and system wide benefits of competition in the wholesale gas market and enhanced system security in the event of supply disruption. The ACCC approved a cost allocation for the SWP consisting of a 50</w:t>
      </w:r>
      <w:r w:rsidR="00DD0ABE">
        <w:t> </w:t>
      </w:r>
      <w:r>
        <w:t>per cent allocation directly to the Port Campbell injection pipeline and 50</w:t>
      </w:r>
      <w:r w:rsidR="00DD0ABE">
        <w:t> </w:t>
      </w:r>
      <w:r>
        <w:t>per cent allocated to the VTS as a whole on a postage stamp basis.</w:t>
      </w:r>
      <w:r w:rsidR="001943E7">
        <w:rPr>
          <w:rStyle w:val="FootnoteReference"/>
        </w:rPr>
        <w:footnoteReference w:id="26"/>
      </w:r>
      <w:r>
        <w:t xml:space="preserve"> </w:t>
      </w:r>
    </w:p>
    <w:p w:rsidR="009D29E1" w:rsidRDefault="009D29E1" w:rsidP="009D29E1">
      <w:r>
        <w:t>For the 2013</w:t>
      </w:r>
      <w:r w:rsidR="00B361A3">
        <w:t>–</w:t>
      </w:r>
      <w:r>
        <w:t xml:space="preserve">17 access arrangement </w:t>
      </w:r>
      <w:r w:rsidR="00C30DF3">
        <w:t>approved by the</w:t>
      </w:r>
      <w:r w:rsidR="00F431B3">
        <w:t xml:space="preserve"> AER, </w:t>
      </w:r>
      <w:r>
        <w:t>APA proposed an allocation of 75</w:t>
      </w:r>
      <w:r w:rsidR="00DD0ABE">
        <w:t> </w:t>
      </w:r>
      <w:r>
        <w:t>per cent direct to the SWP, but we disagreed with this allocation</w:t>
      </w:r>
      <w:r w:rsidR="00DD0ABE">
        <w:t xml:space="preserve">. </w:t>
      </w:r>
      <w:r w:rsidR="002E5AC1">
        <w:t>In our</w:t>
      </w:r>
      <w:r>
        <w:t xml:space="preserve"> </w:t>
      </w:r>
      <w:r w:rsidR="002E5AC1">
        <w:t>2013</w:t>
      </w:r>
      <w:r w:rsidR="00DB4454">
        <w:t>–</w:t>
      </w:r>
      <w:r w:rsidR="002E5AC1">
        <w:t xml:space="preserve">17 </w:t>
      </w:r>
      <w:r>
        <w:t>draft decision</w:t>
      </w:r>
      <w:r w:rsidR="003C47E2">
        <w:t>, we</w:t>
      </w:r>
      <w:r w:rsidR="002E5AC1">
        <w:t xml:space="preserve"> concluded that </w:t>
      </w:r>
      <w:r>
        <w:t xml:space="preserve">injection tariffs applicable to the SWP should be set at the level of the Longford </w:t>
      </w:r>
      <w:r w:rsidR="003C47E2">
        <w:t>tariff</w:t>
      </w:r>
      <w:r>
        <w:t xml:space="preserve"> pr</w:t>
      </w:r>
      <w:r w:rsidR="00F5525C">
        <w:t>ovided the rolled out costs do</w:t>
      </w:r>
      <w:r>
        <w:t xml:space="preserve"> not to exceed 50 per cent.</w:t>
      </w:r>
      <w:r>
        <w:rPr>
          <w:rStyle w:val="FootnoteReference"/>
        </w:rPr>
        <w:footnoteReference w:id="27"/>
      </w:r>
      <w:r>
        <w:t xml:space="preserve"> This was to allow the Port Campbell injection tariff to be competitive with the Longford injection tariff. </w:t>
      </w:r>
      <w:r w:rsidR="00DB4454">
        <w:t xml:space="preserve">Based on smoothing the allowed 2013–17 </w:t>
      </w:r>
      <w:r w:rsidR="00EC2CF2">
        <w:t>revenue</w:t>
      </w:r>
      <w:r w:rsidR="00DB4454">
        <w:t xml:space="preserve"> requirement</w:t>
      </w:r>
      <w:r>
        <w:t xml:space="preserve"> final allocation of costs allocated directly to the SWP </w:t>
      </w:r>
      <w:r w:rsidR="00DB4454">
        <w:t>became</w:t>
      </w:r>
      <w:r>
        <w:t xml:space="preserve"> 58.5</w:t>
      </w:r>
      <w:r w:rsidR="00B361A3">
        <w:t> </w:t>
      </w:r>
      <w:r>
        <w:t>per cent. This resulted in</w:t>
      </w:r>
      <w:r w:rsidR="00C30DF3">
        <w:t xml:space="preserve"> an</w:t>
      </w:r>
      <w:r>
        <w:t xml:space="preserve"> initial 2013 injection tariff for Port Campbell of $1.8589/GJ, which compared to the Longford injection tariff of $1.8813.</w:t>
      </w:r>
    </w:p>
    <w:p w:rsidR="007D11B6" w:rsidRDefault="0001326A" w:rsidP="009D29E1">
      <w:r>
        <w:t xml:space="preserve">In its January 2017 submission, APA initially proposed </w:t>
      </w:r>
      <w:r w:rsidR="00EE1DF8">
        <w:t xml:space="preserve">for its 2018–22 access arrangement </w:t>
      </w:r>
      <w:r>
        <w:t xml:space="preserve">that 78.5 per cent of the direct costs be allocated to the SWP and the remaining 21.5 per cent </w:t>
      </w:r>
      <w:r w:rsidR="00EE1DF8">
        <w:t>be</w:t>
      </w:r>
      <w:r>
        <w:t xml:space="preserve"> allocated to all users on a postage stamp basis.</w:t>
      </w:r>
      <w:r w:rsidRPr="00241DCB">
        <w:rPr>
          <w:rStyle w:val="FootnoteReference"/>
        </w:rPr>
        <w:t xml:space="preserve"> </w:t>
      </w:r>
      <w:r>
        <w:rPr>
          <w:rStyle w:val="FootnoteReference"/>
        </w:rPr>
        <w:footnoteReference w:id="28"/>
      </w:r>
    </w:p>
    <w:p w:rsidR="009D29E1" w:rsidRDefault="00EE1DF8" w:rsidP="009D29E1">
      <w:r>
        <w:t xml:space="preserve">However, </w:t>
      </w:r>
      <w:r w:rsidR="00EC2CF2">
        <w:t xml:space="preserve">APA's </w:t>
      </w:r>
      <w:r w:rsidR="002E5AC1">
        <w:t xml:space="preserve">amended proposal of </w:t>
      </w:r>
      <w:r w:rsidR="009D29E1">
        <w:t>May 2017</w:t>
      </w:r>
      <w:r w:rsidR="00EC2CF2">
        <w:t xml:space="preserve"> </w:t>
      </w:r>
      <w:r w:rsidR="009D29E1">
        <w:t xml:space="preserve">changed this allocation of direct costs to 81.3 per cent allocated directly to the SWP and the remaining 18.7 per cent allocated to all users on a </w:t>
      </w:r>
      <w:r w:rsidR="00F5525C">
        <w:t>postage stamp basis. It proposed</w:t>
      </w:r>
      <w:r w:rsidR="009D29E1">
        <w:t xml:space="preserve"> that this</w:t>
      </w:r>
      <w:r w:rsidR="00EC2CF2" w:rsidRPr="00EC2CF2">
        <w:t xml:space="preserve"> </w:t>
      </w:r>
      <w:r w:rsidR="00EC2CF2">
        <w:t>SWP</w:t>
      </w:r>
      <w:r w:rsidR="009D29E1">
        <w:t xml:space="preserve"> cost allocation for the 2018–22 access arrangement is consistent with the considerations applied by us in the 2013–17 access arrangement.</w:t>
      </w:r>
      <w:r w:rsidR="009D29E1">
        <w:rPr>
          <w:rStyle w:val="FootnoteReference"/>
        </w:rPr>
        <w:footnoteReference w:id="29"/>
      </w:r>
      <w:r w:rsidR="009D29E1">
        <w:t xml:space="preserve"> This </w:t>
      </w:r>
      <w:r w:rsidR="007D11B6">
        <w:t xml:space="preserve">allocation </w:t>
      </w:r>
      <w:r w:rsidR="009D29E1">
        <w:t>results in a proposed 2018 Port Campbell injection tariff of $2.1841/GJ compared to the Longford injection tariff of $2.1836/GJ</w:t>
      </w:r>
      <w:r w:rsidR="007D11B6">
        <w:t>.</w:t>
      </w:r>
    </w:p>
    <w:p w:rsidR="009D29E1" w:rsidRDefault="0001326A" w:rsidP="009D29E1">
      <w:r>
        <w:t xml:space="preserve">We </w:t>
      </w:r>
      <w:r w:rsidR="007D11B6">
        <w:t xml:space="preserve">accept </w:t>
      </w:r>
      <w:r w:rsidRPr="009D29E1">
        <w:t xml:space="preserve">APA's proposed allocation of historic costs and expansion </w:t>
      </w:r>
      <w:r w:rsidR="00D07D85">
        <w:t>expenditures</w:t>
      </w:r>
      <w:r w:rsidR="00D07D85" w:rsidRPr="009D29E1">
        <w:t xml:space="preserve"> </w:t>
      </w:r>
      <w:r w:rsidRPr="009D29E1">
        <w:t xml:space="preserve">associated with </w:t>
      </w:r>
      <w:r w:rsidR="00DA55EF">
        <w:t>expanding</w:t>
      </w:r>
      <w:r w:rsidR="00D07D85" w:rsidRPr="009D29E1">
        <w:t xml:space="preserve"> </w:t>
      </w:r>
      <w:r w:rsidR="00D07D85">
        <w:t>gas</w:t>
      </w:r>
      <w:r w:rsidR="00D07D85" w:rsidRPr="009D29E1">
        <w:t xml:space="preserve"> </w:t>
      </w:r>
      <w:r w:rsidRPr="009D29E1">
        <w:t>flow</w:t>
      </w:r>
      <w:r w:rsidR="00D07D85">
        <w:t>s</w:t>
      </w:r>
      <w:r w:rsidRPr="009D29E1">
        <w:t xml:space="preserve"> to Melbourne. </w:t>
      </w:r>
      <w:r w:rsidR="009D29E1">
        <w:t>We were guided by the following two principles when assessing APA's proposed allocation of direct costs to the SWP:</w:t>
      </w:r>
    </w:p>
    <w:p w:rsidR="009D29E1" w:rsidRDefault="007723A7" w:rsidP="009D29E1">
      <w:pPr>
        <w:pStyle w:val="AERbulletlistfirststyle"/>
      </w:pPr>
      <w:r>
        <w:t xml:space="preserve">direct </w:t>
      </w:r>
      <w:r w:rsidR="009D29E1">
        <w:t>costs are allocated as much as possible on the basis of user pays</w:t>
      </w:r>
      <w:r w:rsidR="00DA55EF">
        <w:t>. We consider this is consistent with rule 95(3)(a) that costs directly attributable to supplying the user or class of users are to be allocated to the relevant user or class.</w:t>
      </w:r>
      <w:r w:rsidR="009D29E1">
        <w:t xml:space="preserve"> </w:t>
      </w:r>
    </w:p>
    <w:p w:rsidR="009D29E1" w:rsidRDefault="00F5525C" w:rsidP="009D29E1">
      <w:pPr>
        <w:pStyle w:val="AERbulletlistfirststyle"/>
      </w:pPr>
      <w:r>
        <w:t>p</w:t>
      </w:r>
      <w:r w:rsidR="009D29E1">
        <w:t>ricing parity between Longford and Port Campbell injection tariffs</w:t>
      </w:r>
      <w:r w:rsidR="007D11B6">
        <w:t xml:space="preserve"> (and therefore</w:t>
      </w:r>
      <w:r w:rsidR="009D29E1">
        <w:t xml:space="preserve"> consistency with </w:t>
      </w:r>
      <w:r w:rsidR="007D11B6">
        <w:t xml:space="preserve"> the </w:t>
      </w:r>
      <w:r w:rsidR="009D29E1">
        <w:t>2013–17 access arrangement</w:t>
      </w:r>
      <w:r w:rsidR="007D11B6">
        <w:t>)</w:t>
      </w:r>
      <w:r w:rsidR="009D29E1">
        <w:t>.</w:t>
      </w:r>
    </w:p>
    <w:p w:rsidR="009D29E1" w:rsidRPr="009D29E1" w:rsidRDefault="00B361A3" w:rsidP="00EE1DF8">
      <w:pPr>
        <w:pStyle w:val="ListContinue"/>
        <w:ind w:left="0"/>
      </w:pPr>
      <w:r>
        <w:t xml:space="preserve">In our view, </w:t>
      </w:r>
      <w:r w:rsidR="009D29E1" w:rsidRPr="00035340">
        <w:t>APA's proposed allocation of direct costs for the SWP reflects both</w:t>
      </w:r>
      <w:r w:rsidR="009D29E1" w:rsidRPr="009D29E1">
        <w:t>:</w:t>
      </w:r>
    </w:p>
    <w:p w:rsidR="009D29E1" w:rsidRPr="009D29E1" w:rsidRDefault="00D07D85" w:rsidP="00F17864">
      <w:pPr>
        <w:pStyle w:val="AERbulletlistfirststyle"/>
      </w:pPr>
      <w:r>
        <w:t>a</w:t>
      </w:r>
      <w:r w:rsidRPr="00035340">
        <w:t xml:space="preserve"> </w:t>
      </w:r>
      <w:r w:rsidR="009D29E1" w:rsidRPr="00035340">
        <w:t>user pays principle (direct costs allocated to the SWP have increased from 58.5 per cent in the current access arrangement to a proposed 81.3 per cent for the 2018–22 access arrangement)</w:t>
      </w:r>
      <w:r w:rsidR="009D29E1" w:rsidRPr="009D29E1">
        <w:t xml:space="preserve">, and </w:t>
      </w:r>
    </w:p>
    <w:p w:rsidR="009D29E1" w:rsidRPr="009D29E1" w:rsidRDefault="009D29E1" w:rsidP="00F17864">
      <w:pPr>
        <w:pStyle w:val="AERbulletlistfirststyle"/>
      </w:pPr>
      <w:r w:rsidRPr="00035340">
        <w:t>parity between the Longford and Port Campbell in</w:t>
      </w:r>
      <w:r w:rsidRPr="009D29E1">
        <w:t>jection tariff</w:t>
      </w:r>
      <w:r w:rsidR="007D11B6">
        <w:t>s</w:t>
      </w:r>
      <w:r w:rsidRPr="009D29E1">
        <w:t xml:space="preserve">. APA's proposed 2018 Port Campbell injection tariff of $2.1841/GJ is </w:t>
      </w:r>
      <w:r w:rsidR="007D11B6">
        <w:t>almost identical</w:t>
      </w:r>
      <w:r w:rsidRPr="009D29E1">
        <w:t xml:space="preserve"> to the Longford injection tariff of $2.1836/GJ. </w:t>
      </w:r>
    </w:p>
    <w:p w:rsidR="007D11B6" w:rsidRDefault="009D29E1" w:rsidP="00EE1DF8">
      <w:r>
        <w:t>Achieving both an</w:t>
      </w:r>
      <w:r w:rsidRPr="009D29E1">
        <w:t xml:space="preserve"> increased allocation of direct costs to users of the SWP and maintaining the Port Campbell injection tariff at </w:t>
      </w:r>
      <w:r w:rsidR="003C47E2" w:rsidRPr="009D29E1">
        <w:t>comparable levels</w:t>
      </w:r>
      <w:r w:rsidRPr="009D29E1">
        <w:t xml:space="preserve"> </w:t>
      </w:r>
      <w:r w:rsidR="007D11B6">
        <w:t>to the</w:t>
      </w:r>
      <w:r w:rsidRPr="009D29E1">
        <w:t xml:space="preserve"> Longford injection tariff is possible due to increase </w:t>
      </w:r>
      <w:r w:rsidR="000A3522">
        <w:t>peak flows on the SWP.</w:t>
      </w:r>
    </w:p>
    <w:p w:rsidR="000A3522" w:rsidRDefault="00867E66" w:rsidP="00EE1DF8">
      <w:r>
        <w:t xml:space="preserve">The increase in peak flows enables cost per GJ to be spread over a wider </w:t>
      </w:r>
      <w:r w:rsidR="00B361A3">
        <w:t xml:space="preserve">customer </w:t>
      </w:r>
      <w:r>
        <w:t xml:space="preserve">base hence allowing the Port Campbell $/GJ rate to remain comparable with the Longford injection tariff. </w:t>
      </w:r>
      <w:r w:rsidR="00292ACE">
        <w:fldChar w:fldCharType="begin"/>
      </w:r>
      <w:r w:rsidR="00292ACE">
        <w:instrText xml:space="preserve"> REF _Ref485739829 \h </w:instrText>
      </w:r>
      <w:r w:rsidR="00292ACE">
        <w:fldChar w:fldCharType="separate"/>
      </w:r>
      <w:r w:rsidR="00260621">
        <w:t xml:space="preserve">Table </w:t>
      </w:r>
      <w:r w:rsidR="00260621">
        <w:rPr>
          <w:noProof/>
        </w:rPr>
        <w:t>10</w:t>
      </w:r>
      <w:r w:rsidR="00260621">
        <w:noBreakHyphen/>
      </w:r>
      <w:r w:rsidR="00260621">
        <w:rPr>
          <w:noProof/>
        </w:rPr>
        <w:t>4</w:t>
      </w:r>
      <w:r w:rsidR="00292ACE">
        <w:fldChar w:fldCharType="end"/>
      </w:r>
      <w:r w:rsidR="00292ACE">
        <w:t xml:space="preserve"> </w:t>
      </w:r>
      <w:r w:rsidR="000A3522">
        <w:t xml:space="preserve">shows SWP utilisation. </w:t>
      </w:r>
    </w:p>
    <w:p w:rsidR="00292ACE" w:rsidRDefault="00292ACE" w:rsidP="00422D45">
      <w:pPr>
        <w:pStyle w:val="Tabletitle"/>
        <w:keepNext/>
      </w:pPr>
      <w:bookmarkStart w:id="84" w:name="_Ref485739829"/>
      <w:r>
        <w:t xml:space="preserve">Table </w:t>
      </w:r>
      <w:r w:rsidRPr="00FD3756">
        <w:rPr>
          <w:bCs/>
        </w:rPr>
        <w:fldChar w:fldCharType="begin"/>
      </w:r>
      <w:r>
        <w:instrText xml:space="preserve"> STYLEREF 1 \s </w:instrText>
      </w:r>
      <w:r w:rsidRPr="00FD3756">
        <w:rPr>
          <w:bCs/>
        </w:rPr>
        <w:fldChar w:fldCharType="separate"/>
      </w:r>
      <w:r w:rsidR="00260621">
        <w:rPr>
          <w:noProof/>
        </w:rPr>
        <w:t>10</w:t>
      </w:r>
      <w:r w:rsidRPr="00FD3756">
        <w:rPr>
          <w:bCs/>
        </w:rPr>
        <w:fldChar w:fldCharType="end"/>
      </w:r>
      <w:r>
        <w:noBreakHyphen/>
      </w:r>
      <w:r w:rsidRPr="00FD3756">
        <w:rPr>
          <w:bCs/>
        </w:rPr>
        <w:fldChar w:fldCharType="begin"/>
      </w:r>
      <w:r>
        <w:instrText xml:space="preserve"> SEQ Table \* ARABIC \s 1 </w:instrText>
      </w:r>
      <w:r w:rsidRPr="00FD3756">
        <w:rPr>
          <w:bCs/>
        </w:rPr>
        <w:fldChar w:fldCharType="separate"/>
      </w:r>
      <w:r w:rsidR="00260621">
        <w:rPr>
          <w:noProof/>
        </w:rPr>
        <w:t>4</w:t>
      </w:r>
      <w:r w:rsidRPr="00FD3756">
        <w:rPr>
          <w:bCs/>
        </w:rPr>
        <w:fldChar w:fldCharType="end"/>
      </w:r>
      <w:bookmarkEnd w:id="84"/>
      <w:r>
        <w:t xml:space="preserve"> South west pipeline utilisation</w:t>
      </w:r>
    </w:p>
    <w:tbl>
      <w:tblPr>
        <w:tblStyle w:val="AERtable-text0"/>
        <w:tblW w:w="8092" w:type="dxa"/>
        <w:tblLook w:val="04A0" w:firstRow="1" w:lastRow="0" w:firstColumn="1" w:lastColumn="0" w:noHBand="0" w:noVBand="1"/>
      </w:tblPr>
      <w:tblGrid>
        <w:gridCol w:w="1566"/>
        <w:gridCol w:w="2817"/>
        <w:gridCol w:w="2522"/>
        <w:gridCol w:w="1187"/>
      </w:tblGrid>
      <w:tr w:rsidR="000A3522" w:rsidTr="001E7A88">
        <w:trPr>
          <w:cnfStyle w:val="100000000000" w:firstRow="1" w:lastRow="0" w:firstColumn="0" w:lastColumn="0" w:oddVBand="0" w:evenVBand="0" w:oddHBand="0" w:evenHBand="0" w:firstRowFirstColumn="0" w:firstRowLastColumn="0" w:lastRowFirstColumn="0" w:lastRowLastColumn="0"/>
          <w:trHeight w:val="292"/>
        </w:trPr>
        <w:tc>
          <w:tcPr>
            <w:tcW w:w="4383" w:type="dxa"/>
            <w:gridSpan w:val="2"/>
            <w:noWrap/>
            <w:hideMark/>
          </w:tcPr>
          <w:p w:rsidR="000A3522" w:rsidRPr="000A3522" w:rsidRDefault="000A3522" w:rsidP="007F7CAF">
            <w:pPr>
              <w:pStyle w:val="AERtabletextleft"/>
            </w:pPr>
            <w:r w:rsidRPr="000A3522">
              <w:t>SWP utilisation</w:t>
            </w:r>
          </w:p>
        </w:tc>
        <w:tc>
          <w:tcPr>
            <w:tcW w:w="2522" w:type="dxa"/>
            <w:noWrap/>
            <w:hideMark/>
          </w:tcPr>
          <w:p w:rsidR="000A3522" w:rsidRPr="000A3522" w:rsidRDefault="000A3522" w:rsidP="007F7CAF">
            <w:pPr>
              <w:pStyle w:val="AERtabletextleft"/>
            </w:pPr>
          </w:p>
        </w:tc>
        <w:tc>
          <w:tcPr>
            <w:tcW w:w="1187" w:type="dxa"/>
            <w:noWrap/>
            <w:hideMark/>
          </w:tcPr>
          <w:p w:rsidR="000A3522" w:rsidRPr="000A3522" w:rsidRDefault="000A3522" w:rsidP="007F7CAF">
            <w:pPr>
              <w:pStyle w:val="AERtabletextleft"/>
            </w:pPr>
          </w:p>
        </w:tc>
      </w:tr>
      <w:tr w:rsidR="000A3522" w:rsidTr="001E7A88">
        <w:trPr>
          <w:trHeight w:val="292"/>
        </w:trPr>
        <w:tc>
          <w:tcPr>
            <w:tcW w:w="1566" w:type="dxa"/>
            <w:noWrap/>
            <w:hideMark/>
          </w:tcPr>
          <w:p w:rsidR="000A3522" w:rsidRPr="000A3522" w:rsidRDefault="000A3522" w:rsidP="007F7CAF">
            <w:pPr>
              <w:pStyle w:val="AERtabletextleft"/>
            </w:pPr>
            <w:r w:rsidRPr="000A3522">
              <w:t>Toward Melbourne</w:t>
            </w:r>
          </w:p>
        </w:tc>
        <w:tc>
          <w:tcPr>
            <w:tcW w:w="2817" w:type="dxa"/>
            <w:noWrap/>
            <w:hideMark/>
          </w:tcPr>
          <w:p w:rsidR="000A3522" w:rsidRPr="000A3522" w:rsidRDefault="000A3522" w:rsidP="007F7CAF">
            <w:pPr>
              <w:pStyle w:val="AERtabletextleft"/>
            </w:pPr>
            <w:r w:rsidRPr="000A3522">
              <w:t>2013-17 TJ/day</w:t>
            </w:r>
          </w:p>
        </w:tc>
        <w:tc>
          <w:tcPr>
            <w:tcW w:w="2522" w:type="dxa"/>
            <w:noWrap/>
            <w:hideMark/>
          </w:tcPr>
          <w:p w:rsidR="000A3522" w:rsidRPr="000A3522" w:rsidRDefault="000A3522" w:rsidP="007F7CAF">
            <w:pPr>
              <w:pStyle w:val="AERtabletextleft"/>
            </w:pPr>
          </w:p>
        </w:tc>
        <w:tc>
          <w:tcPr>
            <w:tcW w:w="1187" w:type="dxa"/>
            <w:noWrap/>
            <w:hideMark/>
          </w:tcPr>
          <w:p w:rsidR="000A3522" w:rsidRPr="000A3522" w:rsidRDefault="000A3522" w:rsidP="007F7CAF">
            <w:pPr>
              <w:pStyle w:val="AERtabletextleft"/>
            </w:pPr>
            <w:r w:rsidRPr="000A3522">
              <w:t>2018-22 TJ/day</w:t>
            </w:r>
          </w:p>
        </w:tc>
      </w:tr>
      <w:tr w:rsidR="000A3522" w:rsidTr="001E7A88">
        <w:trPr>
          <w:cnfStyle w:val="000000010000" w:firstRow="0" w:lastRow="0" w:firstColumn="0" w:lastColumn="0" w:oddVBand="0" w:evenVBand="0" w:oddHBand="0" w:evenHBand="1" w:firstRowFirstColumn="0" w:firstRowLastColumn="0" w:lastRowFirstColumn="0" w:lastRowLastColumn="0"/>
          <w:trHeight w:val="292"/>
        </w:trPr>
        <w:tc>
          <w:tcPr>
            <w:tcW w:w="1566" w:type="dxa"/>
            <w:noWrap/>
            <w:hideMark/>
          </w:tcPr>
          <w:p w:rsidR="000A3522" w:rsidRPr="000A3522" w:rsidRDefault="000A3522" w:rsidP="007F7CAF">
            <w:pPr>
              <w:pStyle w:val="AERtabletextleft"/>
            </w:pPr>
          </w:p>
        </w:tc>
        <w:tc>
          <w:tcPr>
            <w:tcW w:w="2817" w:type="dxa"/>
            <w:noWrap/>
            <w:hideMark/>
          </w:tcPr>
          <w:p w:rsidR="000A3522" w:rsidRPr="000A3522" w:rsidRDefault="000A3522" w:rsidP="007F7CAF">
            <w:pPr>
              <w:pStyle w:val="AERtabletextleft"/>
            </w:pPr>
            <w:r w:rsidRPr="000A3522">
              <w:t>Assuming 2013 capacity</w:t>
            </w:r>
          </w:p>
        </w:tc>
        <w:tc>
          <w:tcPr>
            <w:tcW w:w="2522" w:type="dxa"/>
            <w:noWrap/>
            <w:hideMark/>
          </w:tcPr>
          <w:p w:rsidR="000A3522" w:rsidRPr="000A3522" w:rsidRDefault="000A3522" w:rsidP="007F7CAF">
            <w:pPr>
              <w:pStyle w:val="AERtabletextleft"/>
            </w:pPr>
            <w:r w:rsidRPr="000A3522">
              <w:t>Assuming 2017 capacity</w:t>
            </w:r>
          </w:p>
        </w:tc>
        <w:tc>
          <w:tcPr>
            <w:tcW w:w="1187" w:type="dxa"/>
            <w:noWrap/>
            <w:hideMark/>
          </w:tcPr>
          <w:p w:rsidR="000A3522" w:rsidRPr="000A3522" w:rsidRDefault="000A3522" w:rsidP="007F7CAF">
            <w:pPr>
              <w:pStyle w:val="AERtabletextleft"/>
            </w:pPr>
            <w:r w:rsidRPr="000A3522">
              <w:t>2018-22</w:t>
            </w:r>
          </w:p>
        </w:tc>
      </w:tr>
      <w:tr w:rsidR="000A3522" w:rsidTr="001E7A88">
        <w:trPr>
          <w:trHeight w:val="292"/>
        </w:trPr>
        <w:tc>
          <w:tcPr>
            <w:tcW w:w="1566" w:type="dxa"/>
            <w:noWrap/>
            <w:hideMark/>
          </w:tcPr>
          <w:p w:rsidR="000A3522" w:rsidRPr="000A3522" w:rsidRDefault="000A3522" w:rsidP="007F7CAF">
            <w:pPr>
              <w:pStyle w:val="AERtabletextleft"/>
            </w:pPr>
            <w:r w:rsidRPr="000A3522">
              <w:t>Average</w:t>
            </w:r>
          </w:p>
        </w:tc>
        <w:tc>
          <w:tcPr>
            <w:tcW w:w="2817" w:type="dxa"/>
            <w:noWrap/>
            <w:hideMark/>
          </w:tcPr>
          <w:p w:rsidR="000A3522" w:rsidRPr="000A3522" w:rsidRDefault="000A3522" w:rsidP="007F7CAF">
            <w:pPr>
              <w:pStyle w:val="AERtabletextleft"/>
            </w:pPr>
            <w:r w:rsidRPr="000A3522">
              <w:t>67.1</w:t>
            </w:r>
          </w:p>
        </w:tc>
        <w:tc>
          <w:tcPr>
            <w:tcW w:w="2522" w:type="dxa"/>
            <w:noWrap/>
            <w:hideMark/>
          </w:tcPr>
          <w:p w:rsidR="000A3522" w:rsidRPr="000A3522" w:rsidRDefault="000A3522" w:rsidP="007F7CAF">
            <w:pPr>
              <w:pStyle w:val="AERtabletextleft"/>
            </w:pPr>
            <w:r w:rsidRPr="000A3522">
              <w:t>81.5</w:t>
            </w:r>
          </w:p>
        </w:tc>
        <w:tc>
          <w:tcPr>
            <w:tcW w:w="1187" w:type="dxa"/>
            <w:noWrap/>
            <w:hideMark/>
          </w:tcPr>
          <w:p w:rsidR="000A3522" w:rsidRPr="000A3522" w:rsidRDefault="000A3522" w:rsidP="007F7CAF">
            <w:pPr>
              <w:pStyle w:val="AERtabletextleft"/>
            </w:pPr>
            <w:r w:rsidRPr="000A3522">
              <w:t>67.8</w:t>
            </w:r>
          </w:p>
        </w:tc>
      </w:tr>
      <w:tr w:rsidR="000A3522" w:rsidTr="001E7A88">
        <w:trPr>
          <w:cnfStyle w:val="000000010000" w:firstRow="0" w:lastRow="0" w:firstColumn="0" w:lastColumn="0" w:oddVBand="0" w:evenVBand="0" w:oddHBand="0" w:evenHBand="1" w:firstRowFirstColumn="0" w:firstRowLastColumn="0" w:lastRowFirstColumn="0" w:lastRowLastColumn="0"/>
          <w:trHeight w:val="292"/>
        </w:trPr>
        <w:tc>
          <w:tcPr>
            <w:tcW w:w="1566" w:type="dxa"/>
            <w:noWrap/>
            <w:hideMark/>
          </w:tcPr>
          <w:p w:rsidR="000A3522" w:rsidRPr="000A3522" w:rsidRDefault="000A3522" w:rsidP="007F7CAF">
            <w:pPr>
              <w:pStyle w:val="AERtabletextleft"/>
            </w:pPr>
            <w:r w:rsidRPr="000A3522">
              <w:t>Peak</w:t>
            </w:r>
          </w:p>
        </w:tc>
        <w:tc>
          <w:tcPr>
            <w:tcW w:w="2817" w:type="dxa"/>
            <w:noWrap/>
            <w:hideMark/>
          </w:tcPr>
          <w:p w:rsidR="000A3522" w:rsidRPr="000A3522" w:rsidRDefault="000A3522" w:rsidP="007F7CAF">
            <w:pPr>
              <w:pStyle w:val="AERtabletextleft"/>
            </w:pPr>
            <w:r w:rsidRPr="000A3522">
              <w:t>282.4</w:t>
            </w:r>
          </w:p>
        </w:tc>
        <w:tc>
          <w:tcPr>
            <w:tcW w:w="2522" w:type="dxa"/>
            <w:noWrap/>
            <w:hideMark/>
          </w:tcPr>
          <w:p w:rsidR="000A3522" w:rsidRPr="000A3522" w:rsidRDefault="000A3522" w:rsidP="007F7CAF">
            <w:pPr>
              <w:pStyle w:val="AERtabletextleft"/>
            </w:pPr>
            <w:r w:rsidRPr="000A3522">
              <w:t>343.2</w:t>
            </w:r>
          </w:p>
        </w:tc>
        <w:tc>
          <w:tcPr>
            <w:tcW w:w="1187" w:type="dxa"/>
            <w:noWrap/>
            <w:hideMark/>
          </w:tcPr>
          <w:p w:rsidR="000A3522" w:rsidRPr="000A3522" w:rsidRDefault="000A3522" w:rsidP="007F7CAF">
            <w:pPr>
              <w:pStyle w:val="AERtabletextleft"/>
            </w:pPr>
            <w:r w:rsidRPr="000A3522">
              <w:t>429.0</w:t>
            </w:r>
          </w:p>
        </w:tc>
      </w:tr>
      <w:tr w:rsidR="000A3522" w:rsidTr="001E7A88">
        <w:trPr>
          <w:trHeight w:val="292"/>
        </w:trPr>
        <w:tc>
          <w:tcPr>
            <w:tcW w:w="1566" w:type="dxa"/>
            <w:noWrap/>
            <w:hideMark/>
          </w:tcPr>
          <w:p w:rsidR="000A3522" w:rsidRPr="000A3522" w:rsidRDefault="000A3522" w:rsidP="007F7CAF">
            <w:pPr>
              <w:pStyle w:val="AERtabletextleft"/>
            </w:pPr>
          </w:p>
        </w:tc>
        <w:tc>
          <w:tcPr>
            <w:tcW w:w="2817" w:type="dxa"/>
            <w:noWrap/>
            <w:hideMark/>
          </w:tcPr>
          <w:p w:rsidR="000A3522" w:rsidRPr="000A3522" w:rsidRDefault="000A3522" w:rsidP="007F7CAF">
            <w:pPr>
              <w:pStyle w:val="AERtabletextleft"/>
            </w:pPr>
          </w:p>
        </w:tc>
        <w:tc>
          <w:tcPr>
            <w:tcW w:w="2522" w:type="dxa"/>
            <w:noWrap/>
            <w:hideMark/>
          </w:tcPr>
          <w:p w:rsidR="000A3522" w:rsidRPr="000A3522" w:rsidRDefault="000A3522" w:rsidP="007F7CAF">
            <w:pPr>
              <w:pStyle w:val="AERtabletextleft"/>
            </w:pPr>
          </w:p>
        </w:tc>
        <w:tc>
          <w:tcPr>
            <w:tcW w:w="1187" w:type="dxa"/>
            <w:noWrap/>
            <w:hideMark/>
          </w:tcPr>
          <w:p w:rsidR="000A3522" w:rsidRPr="000A3522" w:rsidRDefault="000A3522" w:rsidP="007F7CAF">
            <w:pPr>
              <w:pStyle w:val="AERtabletextleft"/>
            </w:pPr>
          </w:p>
        </w:tc>
      </w:tr>
      <w:tr w:rsidR="000A3522" w:rsidTr="001E7A88">
        <w:trPr>
          <w:cnfStyle w:val="000000010000" w:firstRow="0" w:lastRow="0" w:firstColumn="0" w:lastColumn="0" w:oddVBand="0" w:evenVBand="0" w:oddHBand="0" w:evenHBand="1" w:firstRowFirstColumn="0" w:firstRowLastColumn="0" w:lastRowFirstColumn="0" w:lastRowLastColumn="0"/>
          <w:trHeight w:val="292"/>
        </w:trPr>
        <w:tc>
          <w:tcPr>
            <w:tcW w:w="1566" w:type="dxa"/>
            <w:noWrap/>
            <w:hideMark/>
          </w:tcPr>
          <w:p w:rsidR="000A3522" w:rsidRPr="000A3522" w:rsidRDefault="000A3522" w:rsidP="007F7CAF">
            <w:pPr>
              <w:pStyle w:val="AERtabletextleft"/>
            </w:pPr>
            <w:r w:rsidRPr="000A3522">
              <w:t>Away from Melbourne</w:t>
            </w:r>
          </w:p>
        </w:tc>
        <w:tc>
          <w:tcPr>
            <w:tcW w:w="2817" w:type="dxa"/>
            <w:noWrap/>
            <w:hideMark/>
          </w:tcPr>
          <w:p w:rsidR="000A3522" w:rsidRPr="000A3522" w:rsidRDefault="000A3522" w:rsidP="007F7CAF">
            <w:pPr>
              <w:pStyle w:val="AERtabletextleft"/>
            </w:pPr>
            <w:r w:rsidRPr="000A3522">
              <w:t>2013-17 TJ/day</w:t>
            </w:r>
          </w:p>
        </w:tc>
        <w:tc>
          <w:tcPr>
            <w:tcW w:w="2522" w:type="dxa"/>
            <w:noWrap/>
            <w:hideMark/>
          </w:tcPr>
          <w:p w:rsidR="000A3522" w:rsidRPr="000A3522" w:rsidRDefault="000A3522" w:rsidP="007F7CAF">
            <w:pPr>
              <w:pStyle w:val="AERtabletextleft"/>
            </w:pPr>
          </w:p>
        </w:tc>
        <w:tc>
          <w:tcPr>
            <w:tcW w:w="1187" w:type="dxa"/>
            <w:noWrap/>
            <w:hideMark/>
          </w:tcPr>
          <w:p w:rsidR="000A3522" w:rsidRPr="000A3522" w:rsidRDefault="000A3522" w:rsidP="007F7CAF">
            <w:pPr>
              <w:pStyle w:val="AERtabletextleft"/>
            </w:pPr>
            <w:r w:rsidRPr="000A3522">
              <w:t>2018-22 TJ/day</w:t>
            </w:r>
          </w:p>
        </w:tc>
      </w:tr>
      <w:tr w:rsidR="000A3522" w:rsidTr="001E7A88">
        <w:trPr>
          <w:trHeight w:val="292"/>
        </w:trPr>
        <w:tc>
          <w:tcPr>
            <w:tcW w:w="1566" w:type="dxa"/>
            <w:noWrap/>
            <w:hideMark/>
          </w:tcPr>
          <w:p w:rsidR="000A3522" w:rsidRPr="000A3522" w:rsidRDefault="000A3522" w:rsidP="007F7CAF">
            <w:pPr>
              <w:pStyle w:val="AERtabletextleft"/>
            </w:pPr>
          </w:p>
        </w:tc>
        <w:tc>
          <w:tcPr>
            <w:tcW w:w="2817" w:type="dxa"/>
            <w:noWrap/>
            <w:hideMark/>
          </w:tcPr>
          <w:p w:rsidR="000A3522" w:rsidRPr="000A3522" w:rsidRDefault="000A3522" w:rsidP="007F7CAF">
            <w:pPr>
              <w:pStyle w:val="AERtabletextleft"/>
            </w:pPr>
            <w:r w:rsidRPr="000A3522">
              <w:t>Assuming 2013 capacity</w:t>
            </w:r>
          </w:p>
        </w:tc>
        <w:tc>
          <w:tcPr>
            <w:tcW w:w="2522" w:type="dxa"/>
            <w:noWrap/>
            <w:hideMark/>
          </w:tcPr>
          <w:p w:rsidR="000A3522" w:rsidRPr="000A3522" w:rsidRDefault="000A3522" w:rsidP="007F7CAF">
            <w:pPr>
              <w:pStyle w:val="AERtabletextleft"/>
            </w:pPr>
            <w:r w:rsidRPr="000A3522">
              <w:t>Assuming 2017 capacity</w:t>
            </w:r>
          </w:p>
        </w:tc>
        <w:tc>
          <w:tcPr>
            <w:tcW w:w="1187" w:type="dxa"/>
            <w:noWrap/>
            <w:hideMark/>
          </w:tcPr>
          <w:p w:rsidR="000A3522" w:rsidRPr="000A3522" w:rsidRDefault="000A3522" w:rsidP="007F7CAF">
            <w:pPr>
              <w:pStyle w:val="AERtabletextleft"/>
            </w:pPr>
            <w:r w:rsidRPr="000A3522">
              <w:t>2018-22</w:t>
            </w:r>
          </w:p>
        </w:tc>
      </w:tr>
      <w:tr w:rsidR="000A3522" w:rsidTr="001E7A88">
        <w:trPr>
          <w:cnfStyle w:val="000000010000" w:firstRow="0" w:lastRow="0" w:firstColumn="0" w:lastColumn="0" w:oddVBand="0" w:evenVBand="0" w:oddHBand="0" w:evenHBand="1" w:firstRowFirstColumn="0" w:firstRowLastColumn="0" w:lastRowFirstColumn="0" w:lastRowLastColumn="0"/>
          <w:trHeight w:val="292"/>
        </w:trPr>
        <w:tc>
          <w:tcPr>
            <w:tcW w:w="1566" w:type="dxa"/>
            <w:noWrap/>
            <w:hideMark/>
          </w:tcPr>
          <w:p w:rsidR="000A3522" w:rsidRPr="000A3522" w:rsidRDefault="000A3522" w:rsidP="007F7CAF">
            <w:pPr>
              <w:pStyle w:val="AERtabletextleft"/>
            </w:pPr>
            <w:r w:rsidRPr="000A3522">
              <w:t>Average</w:t>
            </w:r>
          </w:p>
        </w:tc>
        <w:tc>
          <w:tcPr>
            <w:tcW w:w="2817" w:type="dxa"/>
            <w:noWrap/>
            <w:hideMark/>
          </w:tcPr>
          <w:p w:rsidR="000A3522" w:rsidRPr="000A3522" w:rsidRDefault="000A3522" w:rsidP="007F7CAF">
            <w:pPr>
              <w:pStyle w:val="AERtabletextleft"/>
            </w:pPr>
            <w:r w:rsidRPr="000A3522">
              <w:t>54.3</w:t>
            </w:r>
          </w:p>
        </w:tc>
        <w:tc>
          <w:tcPr>
            <w:tcW w:w="2522" w:type="dxa"/>
            <w:noWrap/>
            <w:hideMark/>
          </w:tcPr>
          <w:p w:rsidR="000A3522" w:rsidRPr="000A3522" w:rsidRDefault="000A3522" w:rsidP="007F7CAF">
            <w:pPr>
              <w:pStyle w:val="AERtabletextleft"/>
            </w:pPr>
            <w:r w:rsidRPr="000A3522">
              <w:t>60.2</w:t>
            </w:r>
          </w:p>
        </w:tc>
        <w:tc>
          <w:tcPr>
            <w:tcW w:w="1187" w:type="dxa"/>
            <w:noWrap/>
            <w:hideMark/>
          </w:tcPr>
          <w:p w:rsidR="000A3522" w:rsidRPr="000A3522" w:rsidRDefault="000A3522" w:rsidP="007F7CAF">
            <w:pPr>
              <w:pStyle w:val="AERtabletextleft"/>
            </w:pPr>
            <w:r w:rsidRPr="000A3522">
              <w:t>26.3</w:t>
            </w:r>
          </w:p>
        </w:tc>
      </w:tr>
      <w:tr w:rsidR="000A3522" w:rsidTr="001E7A88">
        <w:trPr>
          <w:trHeight w:val="292"/>
        </w:trPr>
        <w:tc>
          <w:tcPr>
            <w:tcW w:w="1566" w:type="dxa"/>
            <w:noWrap/>
            <w:hideMark/>
          </w:tcPr>
          <w:p w:rsidR="000A3522" w:rsidRPr="000A3522" w:rsidRDefault="000A3522" w:rsidP="007F7CAF">
            <w:pPr>
              <w:pStyle w:val="AERtabletextleft"/>
            </w:pPr>
            <w:r w:rsidRPr="000A3522">
              <w:t>Peak</w:t>
            </w:r>
          </w:p>
        </w:tc>
        <w:tc>
          <w:tcPr>
            <w:tcW w:w="2817" w:type="dxa"/>
            <w:noWrap/>
            <w:hideMark/>
          </w:tcPr>
          <w:p w:rsidR="000A3522" w:rsidRPr="000A3522" w:rsidRDefault="000A3522" w:rsidP="007F7CAF">
            <w:pPr>
              <w:pStyle w:val="AERtabletextleft"/>
            </w:pPr>
            <w:r w:rsidRPr="000A3522">
              <w:t>77.3</w:t>
            </w:r>
          </w:p>
        </w:tc>
        <w:tc>
          <w:tcPr>
            <w:tcW w:w="2522" w:type="dxa"/>
            <w:noWrap/>
            <w:hideMark/>
          </w:tcPr>
          <w:p w:rsidR="000A3522" w:rsidRPr="000A3522" w:rsidRDefault="000A3522" w:rsidP="007F7CAF">
            <w:pPr>
              <w:pStyle w:val="AERtabletextleft"/>
            </w:pPr>
            <w:r w:rsidRPr="000A3522">
              <w:t>85.7</w:t>
            </w:r>
          </w:p>
        </w:tc>
        <w:tc>
          <w:tcPr>
            <w:tcW w:w="1187" w:type="dxa"/>
            <w:noWrap/>
            <w:hideMark/>
          </w:tcPr>
          <w:p w:rsidR="000A3522" w:rsidRPr="000A3522" w:rsidRDefault="000A3522" w:rsidP="007F7CAF">
            <w:pPr>
              <w:pStyle w:val="AERtabletextleft"/>
            </w:pPr>
            <w:r w:rsidRPr="000A3522">
              <w:t>99.9</w:t>
            </w:r>
          </w:p>
        </w:tc>
      </w:tr>
    </w:tbl>
    <w:p w:rsidR="009D29E1" w:rsidRPr="009D29E1" w:rsidRDefault="000B2996" w:rsidP="00422D45">
      <w:pPr>
        <w:pStyle w:val="AERtablesource"/>
        <w:keepNext/>
      </w:pPr>
      <w:r>
        <w:t>Source: APA access arrangement proposal tables 3-2 to 3-5 and response to information request 12.</w:t>
      </w:r>
    </w:p>
    <w:p w:rsidR="00671F2B" w:rsidRDefault="00671F2B" w:rsidP="001E7A88">
      <w:pPr>
        <w:pStyle w:val="HeadingBoldBlue"/>
        <w:rPr>
          <w:rStyle w:val="Strong"/>
        </w:rPr>
      </w:pPr>
      <w:r>
        <w:rPr>
          <w:rStyle w:val="Strong"/>
        </w:rPr>
        <w:t>Storage refill</w:t>
      </w:r>
      <w:r w:rsidR="006C0235">
        <w:rPr>
          <w:rStyle w:val="Strong"/>
        </w:rPr>
        <w:t xml:space="preserve"> tariffs</w:t>
      </w:r>
      <w:r w:rsidR="00AE0F1C">
        <w:rPr>
          <w:rStyle w:val="Strong"/>
        </w:rPr>
        <w:t xml:space="preserve"> and a cross-system tariff</w:t>
      </w:r>
    </w:p>
    <w:p w:rsidR="00C76AAB" w:rsidRDefault="00C76AAB" w:rsidP="00C76AAB">
      <w:r>
        <w:rPr>
          <w:rStyle w:val="AERbody"/>
        </w:rPr>
        <w:t>We approve APA's proposed incremental increase to the Iona storage refill tariff</w:t>
      </w:r>
      <w:r w:rsidR="00342870">
        <w:rPr>
          <w:rStyle w:val="AERbody"/>
        </w:rPr>
        <w:t>. W</w:t>
      </w:r>
      <w:r>
        <w:rPr>
          <w:rStyle w:val="AERbody"/>
        </w:rPr>
        <w:t xml:space="preserve">e consider </w:t>
      </w:r>
      <w:r w:rsidR="00342870">
        <w:rPr>
          <w:rStyle w:val="AERbody"/>
        </w:rPr>
        <w:t xml:space="preserve">the proposed approach </w:t>
      </w:r>
      <w:r>
        <w:rPr>
          <w:rStyle w:val="AERbody"/>
        </w:rPr>
        <w:t xml:space="preserve">allocates costs of the westbound expansion to those users benefiting from the expansion. </w:t>
      </w:r>
      <w:r>
        <w:t xml:space="preserve">However, we consider </w:t>
      </w:r>
      <w:r w:rsidR="00F5525C">
        <w:t>APA's cross</w:t>
      </w:r>
      <w:r>
        <w:t xml:space="preserve">-system tariff should be charged in addition to the </w:t>
      </w:r>
      <w:r w:rsidRPr="002C44F7">
        <w:t>refill tariff</w:t>
      </w:r>
      <w:r w:rsidR="00B361A3">
        <w:t>,</w:t>
      </w:r>
      <w:r w:rsidRPr="002C44F7">
        <w:t xml:space="preserve"> </w:t>
      </w:r>
      <w:r>
        <w:t>to users who ship gas from Longford or Culcairn into Iona storage</w:t>
      </w:r>
      <w:r w:rsidR="00F5525C">
        <w:t xml:space="preserve"> and then on to the Sea Gas pipeline</w:t>
      </w:r>
      <w:r>
        <w:t>.</w:t>
      </w:r>
    </w:p>
    <w:p w:rsidR="00AE0F1C" w:rsidRDefault="00AE0F1C" w:rsidP="00FE728D">
      <w:r>
        <w:t xml:space="preserve">To </w:t>
      </w:r>
      <w:r w:rsidR="00C30DF3">
        <w:t>explain</w:t>
      </w:r>
      <w:r>
        <w:t xml:space="preserve"> why </w:t>
      </w:r>
      <w:r w:rsidR="00FF4BC0">
        <w:t>charging the cross-system</w:t>
      </w:r>
      <w:r>
        <w:t xml:space="preserve"> tariff </w:t>
      </w:r>
      <w:r w:rsidR="00C30DF3">
        <w:t>is</w:t>
      </w:r>
      <w:r>
        <w:t xml:space="preserve"> appropriate, it is important to </w:t>
      </w:r>
      <w:r w:rsidR="00C30DF3">
        <w:t>understand</w:t>
      </w:r>
      <w:r>
        <w:t xml:space="preserve"> the way gas flows are changing between the storage facilities</w:t>
      </w:r>
      <w:r w:rsidR="00D07D85">
        <w:t xml:space="preserve"> (</w:t>
      </w:r>
      <w:r>
        <w:t>such as at Iona</w:t>
      </w:r>
      <w:r w:rsidR="00D07D85">
        <w:t>),</w:t>
      </w:r>
      <w:r w:rsidR="00E4325F">
        <w:t xml:space="preserve"> the refill tariffs that apply</w:t>
      </w:r>
      <w:r>
        <w:t xml:space="preserve"> and pipelines connected to the VTS, such as the SEA gas pipeline.</w:t>
      </w:r>
    </w:p>
    <w:p w:rsidR="00FE728D" w:rsidRPr="00FE728D" w:rsidRDefault="00710D19" w:rsidP="00FE728D">
      <w:r w:rsidRPr="00710D19">
        <w:t xml:space="preserve">APA proposed </w:t>
      </w:r>
      <w:r w:rsidR="003F7B44">
        <w:t xml:space="preserve">two </w:t>
      </w:r>
      <w:r w:rsidRPr="00710D19">
        <w:t xml:space="preserve">storage refill tariffs for gas injected into storage. </w:t>
      </w:r>
      <w:r w:rsidR="00FE728D" w:rsidRPr="00FE728D">
        <w:t>The APA charges for transporting gas to these storage facilities are set at a very low $ per GJ</w:t>
      </w:r>
      <w:r w:rsidR="006C0235">
        <w:t xml:space="preserve"> rate</w:t>
      </w:r>
      <w:r w:rsidR="00FE728D" w:rsidRPr="00FE728D">
        <w:t>.</w:t>
      </w:r>
    </w:p>
    <w:p w:rsidR="003F7B44" w:rsidRPr="003F7B44" w:rsidRDefault="003F7B44" w:rsidP="003F7B44">
      <w:r w:rsidRPr="003F7B44">
        <w:t>There are two storage facilities in the VTS:</w:t>
      </w:r>
    </w:p>
    <w:p w:rsidR="003F7B44" w:rsidRPr="003F7B44" w:rsidRDefault="003F7B44" w:rsidP="003F7B44">
      <w:pPr>
        <w:pStyle w:val="AERbulletlistfirststyle"/>
      </w:pPr>
      <w:r w:rsidRPr="003F7B44">
        <w:t>Dandenong LNG</w:t>
      </w:r>
    </w:p>
    <w:p w:rsidR="003F7B44" w:rsidRDefault="003F7B44" w:rsidP="003F7B44">
      <w:pPr>
        <w:pStyle w:val="AERbulletlistfirststyle"/>
      </w:pPr>
      <w:r w:rsidRPr="003F7B44">
        <w:t>Lochard Underground storage facility at Iona(Iona storage</w:t>
      </w:r>
      <w:r w:rsidR="00A6619D">
        <w:t>).</w:t>
      </w:r>
    </w:p>
    <w:p w:rsidR="00EF413A" w:rsidRDefault="00EF413A" w:rsidP="00EF413A">
      <w:r>
        <w:t xml:space="preserve">APA proposed an increase to the Iona storage refill tariff. </w:t>
      </w:r>
      <w:r w:rsidRPr="003F7B44">
        <w:t>APA propose</w:t>
      </w:r>
      <w:r>
        <w:t>d</w:t>
      </w:r>
      <w:r w:rsidR="00C76AAB">
        <w:t>,</w:t>
      </w:r>
      <w:r>
        <w:t xml:space="preserve"> and we agree</w:t>
      </w:r>
      <w:r w:rsidR="00C76AAB">
        <w:t>,</w:t>
      </w:r>
      <w:r w:rsidRPr="003F7B44">
        <w:t xml:space="preserve"> that users of the Iona storage facility </w:t>
      </w:r>
      <w:r>
        <w:t>who</w:t>
      </w:r>
      <w:r w:rsidRPr="003F7B44">
        <w:t xml:space="preserve"> are driving the need for westbound expansion of the SWP should bear the costs </w:t>
      </w:r>
      <w:r>
        <w:t>of that</w:t>
      </w:r>
      <w:r w:rsidRPr="003F7B44">
        <w:t xml:space="preserve"> expansion. APA </w:t>
      </w:r>
      <w:r>
        <w:t>calculated</w:t>
      </w:r>
      <w:r w:rsidRPr="003F7B44">
        <w:t xml:space="preserve"> the revenue allowance associated with the SWP expansion project and derived an incremental tariff of 2.5 cents/GJ</w:t>
      </w:r>
      <w:r>
        <w:t xml:space="preserve">. It calculated this </w:t>
      </w:r>
      <w:r w:rsidRPr="003F7B44">
        <w:t xml:space="preserve">by dividing </w:t>
      </w:r>
      <w:r>
        <w:t xml:space="preserve">the revenue requirement from the expansion by </w:t>
      </w:r>
      <w:r w:rsidRPr="003F7B44">
        <w:t>forecast annual volumes.</w:t>
      </w:r>
      <w:r w:rsidR="00D07D85">
        <w:rPr>
          <w:rStyle w:val="FootnoteReference"/>
        </w:rPr>
        <w:footnoteReference w:id="30"/>
      </w:r>
      <w:r w:rsidRPr="003F7B44">
        <w:t xml:space="preserve"> </w:t>
      </w:r>
      <w:r>
        <w:t xml:space="preserve">Adding this </w:t>
      </w:r>
      <w:r w:rsidRPr="003F7B44">
        <w:t>amount to the current Iona storage refill tariff</w:t>
      </w:r>
      <w:r>
        <w:t xml:space="preserve"> increases</w:t>
      </w:r>
      <w:r w:rsidRPr="003F7B44">
        <w:t xml:space="preserve"> the refill tariff</w:t>
      </w:r>
      <w:r>
        <w:t xml:space="preserve"> to 7.9 cents/GJ.</w:t>
      </w:r>
      <w:r w:rsidRPr="003F7B44">
        <w:t xml:space="preserve"> </w:t>
      </w:r>
      <w:r>
        <w:t xml:space="preserve">We approve APA's proposed incremental increase to the Iona refill tariff. We consider the proposed Iona refill tariff reflects APA's additional costs of the westbound expansion. </w:t>
      </w:r>
    </w:p>
    <w:p w:rsidR="00EF413A" w:rsidRDefault="00EF413A" w:rsidP="00EF413A">
      <w:r>
        <w:t>There are no incremental costs allocated to the Dandenong storage facility because no expansion is being undertaken. This means the Dandenong refill tariff (proposed 5.4</w:t>
      </w:r>
      <w:r w:rsidR="00B361A3">
        <w:t> </w:t>
      </w:r>
      <w:r>
        <w:t>cents/GJ) will</w:t>
      </w:r>
      <w:r w:rsidRPr="003F7B44">
        <w:t xml:space="preserve"> no longer </w:t>
      </w:r>
      <w:r>
        <w:t>be aligned with the Iona refill charge.</w:t>
      </w:r>
    </w:p>
    <w:p w:rsidR="00EF413A" w:rsidRDefault="00EF413A" w:rsidP="00EF413A">
      <w:r>
        <w:t xml:space="preserve">Whilst we approve APA's incremental increase to the Iona refill tariff to </w:t>
      </w:r>
      <w:r w:rsidR="00C37F2E">
        <w:t>signal</w:t>
      </w:r>
      <w:r w:rsidR="00C37F2E" w:rsidDel="00C37F2E">
        <w:t xml:space="preserve"> </w:t>
      </w:r>
      <w:r>
        <w:t xml:space="preserve">the westbound expansion costs, we nevertheless consider </w:t>
      </w:r>
      <w:r w:rsidR="00C76AAB">
        <w:t>that changes</w:t>
      </w:r>
      <w:r>
        <w:t xml:space="preserve"> </w:t>
      </w:r>
      <w:r w:rsidR="009C37A9">
        <w:t>in</w:t>
      </w:r>
      <w:r>
        <w:t xml:space="preserve"> the use of the Iona storage facility should </w:t>
      </w:r>
      <w:r w:rsidR="00404E7A">
        <w:t xml:space="preserve">be </w:t>
      </w:r>
      <w:r>
        <w:t>reflected in APA's tariff charging</w:t>
      </w:r>
      <w:r w:rsidR="00422F87">
        <w:t xml:space="preserve"> so that the costs directly attributable to supplying the user or class of users are allocated to that user or class</w:t>
      </w:r>
      <w:r>
        <w:t>.</w:t>
      </w:r>
      <w:r w:rsidR="00422F87">
        <w:rPr>
          <w:rStyle w:val="FootnoteReference"/>
        </w:rPr>
        <w:footnoteReference w:id="31"/>
      </w:r>
      <w:r w:rsidDel="00F342F4">
        <w:t xml:space="preserve"> </w:t>
      </w:r>
      <w:r>
        <w:t xml:space="preserve">We do not consider APA's current proposal achieves this. </w:t>
      </w:r>
    </w:p>
    <w:p w:rsidR="00EF413A" w:rsidRDefault="00E4325F" w:rsidP="00EF413A">
      <w:r>
        <w:t xml:space="preserve">The </w:t>
      </w:r>
      <w:r w:rsidR="00EF413A">
        <w:t>construction of the SEA</w:t>
      </w:r>
      <w:r w:rsidR="005E6488">
        <w:t xml:space="preserve"> G</w:t>
      </w:r>
      <w:r w:rsidR="00EF413A">
        <w:t xml:space="preserve">as pipeline and a decline in production at Port Campbell has implications </w:t>
      </w:r>
      <w:r w:rsidR="00C30DF3">
        <w:t>for</w:t>
      </w:r>
      <w:r w:rsidR="00EF413A">
        <w:t xml:space="preserve"> APA's cost recovery</w:t>
      </w:r>
      <w:r w:rsidR="0076215A">
        <w:t>.</w:t>
      </w:r>
      <w:r w:rsidR="00573CC3" w:rsidRPr="00573CC3">
        <w:t xml:space="preserve"> </w:t>
      </w:r>
      <w:r w:rsidR="00EF413A">
        <w:t>The Sea</w:t>
      </w:r>
      <w:r w:rsidR="00292ACE">
        <w:t xml:space="preserve"> </w:t>
      </w:r>
      <w:r w:rsidR="005E6488">
        <w:t>G</w:t>
      </w:r>
      <w:r w:rsidR="00EF413A">
        <w:t xml:space="preserve">as pipeline facilitates the flow of gas to South Australia. This means that </w:t>
      </w:r>
      <w:r w:rsidR="0072000F">
        <w:t xml:space="preserve">in recent times </w:t>
      </w:r>
      <w:r w:rsidR="00EF413A">
        <w:t>some gas is now being transported into South Australia and not</w:t>
      </w:r>
      <w:r w:rsidR="00B361A3">
        <w:t xml:space="preserve"> being injected back into</w:t>
      </w:r>
      <w:r w:rsidR="00EF413A">
        <w:t xml:space="preserve"> the VTS. This has resulted in a situation where gas which is transported across the VTS from Longford or Culcairn to Iona storage during off-peak times and then exported to South Australia is only attracting the refill tariff (and no charge for the use of the VTS).  </w:t>
      </w:r>
    </w:p>
    <w:p w:rsidR="00573CC3" w:rsidRPr="00573CC3" w:rsidRDefault="00573CC3" w:rsidP="00573CC3">
      <w:r w:rsidRPr="00573CC3">
        <w:t xml:space="preserve">Historically the Iona and Dandenong storage refill tariffs have been </w:t>
      </w:r>
      <w:r w:rsidR="00B361A3">
        <w:t>price</w:t>
      </w:r>
      <w:r w:rsidR="00F431B3">
        <w:t>d</w:t>
      </w:r>
      <w:r w:rsidR="00B361A3">
        <w:t xml:space="preserve"> at a </w:t>
      </w:r>
      <w:r w:rsidRPr="00573CC3">
        <w:t>very similar</w:t>
      </w:r>
      <w:r w:rsidR="00B361A3">
        <w:t xml:space="preserve"> rate</w:t>
      </w:r>
      <w:r w:rsidRPr="00573CC3">
        <w:t xml:space="preserve">. For both </w:t>
      </w:r>
      <w:r w:rsidR="00B361A3" w:rsidRPr="00573CC3">
        <w:t>facilities,</w:t>
      </w:r>
      <w:r w:rsidRPr="00573CC3">
        <w:t xml:space="preserve"> gas refill into storage has been undertaken during of</w:t>
      </w:r>
      <w:r w:rsidR="0076215A">
        <w:t>f-peak or non-congested periods.</w:t>
      </w:r>
      <w:r w:rsidRPr="00573CC3">
        <w:t xml:space="preserve"> </w:t>
      </w:r>
      <w:r w:rsidR="0076215A">
        <w:t>Gas</w:t>
      </w:r>
      <w:r w:rsidRPr="00573CC3">
        <w:t xml:space="preserve"> has been withdrawn from storage during the peak periods and injected into the VTS. Because historically refill</w:t>
      </w:r>
      <w:r w:rsidR="00B361A3">
        <w:t>ing of Iona</w:t>
      </w:r>
      <w:r w:rsidRPr="00573CC3">
        <w:t xml:space="preserve"> storage has occurred at off-peak times</w:t>
      </w:r>
      <w:r w:rsidR="00C30DF3">
        <w:t>,</w:t>
      </w:r>
      <w:r w:rsidRPr="00573CC3">
        <w:t xml:space="preserve"> it has not imposed significant costs on the </w:t>
      </w:r>
      <w:r w:rsidR="00B361A3">
        <w:t xml:space="preserve">VTS </w:t>
      </w:r>
      <w:r w:rsidR="00B361A3" w:rsidRPr="00573CC3">
        <w:t>system</w:t>
      </w:r>
      <w:r w:rsidRPr="00573CC3">
        <w:t>. The refill tariff was originally designed so that it did not recover the cost of transporting gas across the VTS into storage</w:t>
      </w:r>
      <w:r w:rsidR="009C37A9">
        <w:t>. This was</w:t>
      </w:r>
      <w:r>
        <w:t xml:space="preserve"> to encourage refilling of storage in the off-peak to ensure sufficient gas in storage for </w:t>
      </w:r>
      <w:r w:rsidR="00B361A3">
        <w:t>Victoria's</w:t>
      </w:r>
      <w:r>
        <w:t xml:space="preserve"> winter peak season</w:t>
      </w:r>
      <w:r w:rsidR="00F17864">
        <w:t xml:space="preserve">. This </w:t>
      </w:r>
      <w:r w:rsidR="00E50431">
        <w:t>gas would</w:t>
      </w:r>
      <w:r>
        <w:t xml:space="preserve"> be injected back into the VTS. The</w:t>
      </w:r>
      <w:r w:rsidRPr="00573CC3">
        <w:t xml:space="preserve"> costs of the VTS have </w:t>
      </w:r>
      <w:r w:rsidR="00342870">
        <w:t xml:space="preserve">instead </w:t>
      </w:r>
      <w:r w:rsidRPr="00573CC3">
        <w:t xml:space="preserve">been recovered when the gas is taken out </w:t>
      </w:r>
      <w:r w:rsidR="00B361A3">
        <w:t>of</w:t>
      </w:r>
      <w:r w:rsidRPr="00573CC3">
        <w:t xml:space="preserve"> storage and injected back into the VTS through the injection and withdrawal charges. </w:t>
      </w:r>
      <w:r>
        <w:t xml:space="preserve">This </w:t>
      </w:r>
      <w:r w:rsidR="0076215A">
        <w:t>approach resulted</w:t>
      </w:r>
      <w:r>
        <w:t xml:space="preserve"> in </w:t>
      </w:r>
      <w:r w:rsidR="00B361A3">
        <w:t xml:space="preserve">a </w:t>
      </w:r>
      <w:r>
        <w:t xml:space="preserve">very low refill tariff </w:t>
      </w:r>
      <w:r w:rsidR="005C4C3D">
        <w:t xml:space="preserve">of </w:t>
      </w:r>
      <w:r>
        <w:t>5 cents/GJ and an injection tariff of around $1.50/GJ.</w:t>
      </w:r>
      <w:r w:rsidRPr="00573CC3">
        <w:t xml:space="preserve"> </w:t>
      </w:r>
    </w:p>
    <w:p w:rsidR="006C5B61" w:rsidRDefault="00573CC3" w:rsidP="006C5B61">
      <w:r w:rsidRPr="00573CC3">
        <w:t xml:space="preserve">For its 2018–22 access arrangement APA proposed to continue </w:t>
      </w:r>
      <w:r w:rsidR="0076215A">
        <w:t xml:space="preserve">this </w:t>
      </w:r>
      <w:r w:rsidR="005C4C3D" w:rsidRPr="005C4C3D">
        <w:t>charging</w:t>
      </w:r>
      <w:r w:rsidR="005C4C3D">
        <w:t xml:space="preserve"> regime</w:t>
      </w:r>
      <w:r w:rsidRPr="00573CC3">
        <w:t xml:space="preserve">. </w:t>
      </w:r>
      <w:r w:rsidR="001841B0">
        <w:t>We consider this</w:t>
      </w:r>
      <w:r w:rsidR="006C5B61">
        <w:t xml:space="preserve"> </w:t>
      </w:r>
      <w:r w:rsidR="00404E7A">
        <w:t>could potentially create</w:t>
      </w:r>
      <w:r w:rsidR="006C5B61" w:rsidRPr="006C5B61">
        <w:t xml:space="preserve"> a distortion where shippers are utilising </w:t>
      </w:r>
      <w:r w:rsidR="009C37A9">
        <w:t>the low refill</w:t>
      </w:r>
      <w:r w:rsidR="006C5B61" w:rsidRPr="006C5B61">
        <w:t xml:space="preserve"> tariff to cross-ship and send gas to Adelaide via the SEA</w:t>
      </w:r>
      <w:r w:rsidR="00342870">
        <w:t xml:space="preserve"> </w:t>
      </w:r>
      <w:r w:rsidR="006C5B61" w:rsidRPr="006C5B61">
        <w:t>Gas</w:t>
      </w:r>
      <w:r w:rsidR="001841B0">
        <w:t xml:space="preserve"> pipeline</w:t>
      </w:r>
      <w:r w:rsidR="006C5B61" w:rsidRPr="006C5B61">
        <w:t>.</w:t>
      </w:r>
      <w:r w:rsidR="009C37A9">
        <w:t xml:space="preserve"> </w:t>
      </w:r>
      <w:r w:rsidR="00404E7A">
        <w:t>The concern is</w:t>
      </w:r>
      <w:r w:rsidR="000A4958">
        <w:t xml:space="preserve"> </w:t>
      </w:r>
      <w:r w:rsidR="001841B0">
        <w:t xml:space="preserve">these </w:t>
      </w:r>
      <w:r w:rsidR="00404E7A">
        <w:t>shippers</w:t>
      </w:r>
      <w:r w:rsidR="006C5B61" w:rsidRPr="006C5B61">
        <w:t xml:space="preserve"> are </w:t>
      </w:r>
      <w:r w:rsidR="000A4958">
        <w:t xml:space="preserve">charged only the refill tariff and no costs for transporting gas across the VTS. </w:t>
      </w:r>
      <w:r w:rsidR="001841B0">
        <w:t>Shippers</w:t>
      </w:r>
      <w:r w:rsidR="006C5B61" w:rsidRPr="006C5B61">
        <w:t xml:space="preserve"> putting gas into storage and re-injecting it </w:t>
      </w:r>
      <w:r w:rsidR="0076215A">
        <w:t>back</w:t>
      </w:r>
      <w:r w:rsidR="00141550">
        <w:t xml:space="preserve"> into the VTS</w:t>
      </w:r>
      <w:r w:rsidR="0076215A">
        <w:t xml:space="preserve"> </w:t>
      </w:r>
      <w:r w:rsidR="006C5B61" w:rsidRPr="006C5B61">
        <w:t>during the winter months</w:t>
      </w:r>
      <w:r w:rsidR="001841B0">
        <w:t xml:space="preserve"> </w:t>
      </w:r>
      <w:r w:rsidR="00E50431">
        <w:t>however</w:t>
      </w:r>
      <w:r w:rsidR="006C5B61" w:rsidRPr="006C5B61">
        <w:t xml:space="preserve"> are </w:t>
      </w:r>
      <w:r w:rsidR="00141550">
        <w:t>re</w:t>
      </w:r>
      <w:r w:rsidR="006C5B61" w:rsidRPr="006C5B61">
        <w:t xml:space="preserve">covering the full cost burden of the SWP </w:t>
      </w:r>
      <w:r w:rsidR="009C37A9">
        <w:t>through the</w:t>
      </w:r>
      <w:r w:rsidR="006C5B61" w:rsidRPr="006C5B61">
        <w:t xml:space="preserve"> injection tariff. </w:t>
      </w:r>
      <w:r w:rsidR="00404E7A">
        <w:t xml:space="preserve">We consider this has </w:t>
      </w:r>
      <w:r w:rsidR="001169E4">
        <w:t xml:space="preserve">the following </w:t>
      </w:r>
      <w:r w:rsidR="00404E7A">
        <w:t>implications for cost recovery:</w:t>
      </w:r>
    </w:p>
    <w:p w:rsidR="001841B0" w:rsidRDefault="00611DF4" w:rsidP="00E50431">
      <w:pPr>
        <w:pStyle w:val="AERbulletlistfirststyle"/>
      </w:pPr>
      <w:r>
        <w:t>s</w:t>
      </w:r>
      <w:r w:rsidR="001841B0">
        <w:t>ome users of the VTS may not be contributing</w:t>
      </w:r>
      <w:r w:rsidR="008D0C74">
        <w:t xml:space="preserve"> their share</w:t>
      </w:r>
      <w:r w:rsidR="001841B0">
        <w:t xml:space="preserve"> to</w:t>
      </w:r>
      <w:r w:rsidR="008D0C74">
        <w:t>wards</w:t>
      </w:r>
      <w:r w:rsidR="001841B0">
        <w:t xml:space="preserve"> the cost of the VTS</w:t>
      </w:r>
    </w:p>
    <w:p w:rsidR="004940A8" w:rsidRDefault="00404E7A">
      <w:pPr>
        <w:pStyle w:val="AERbulletlistfirststyle"/>
      </w:pPr>
      <w:r>
        <w:t>Victorian gas customers may end up subsidizing South Australian customers.</w:t>
      </w:r>
    </w:p>
    <w:p w:rsidR="004940A8" w:rsidRPr="004940A8" w:rsidRDefault="00877FBF" w:rsidP="004940A8">
      <w:pPr>
        <w:pStyle w:val="AERbulletlistfirststyle"/>
        <w:numPr>
          <w:ilvl w:val="0"/>
          <w:numId w:val="0"/>
        </w:numPr>
      </w:pPr>
      <w:r>
        <w:t>O</w:t>
      </w:r>
      <w:r w:rsidR="00CB132D">
        <w:t xml:space="preserve">ne way to address </w:t>
      </w:r>
      <w:r w:rsidR="00141550">
        <w:t>these concerns</w:t>
      </w:r>
      <w:r w:rsidR="00CB132D">
        <w:t xml:space="preserve"> would be to charge </w:t>
      </w:r>
      <w:r w:rsidR="00141550">
        <w:t>the</w:t>
      </w:r>
      <w:r w:rsidR="00141550" w:rsidRPr="00141550">
        <w:t xml:space="preserve"> cross-system tariff </w:t>
      </w:r>
      <w:r w:rsidR="00611DF4">
        <w:t>and</w:t>
      </w:r>
      <w:r w:rsidR="00141550" w:rsidRPr="00141550">
        <w:t xml:space="preserve"> the r</w:t>
      </w:r>
      <w:r w:rsidR="00141550">
        <w:t xml:space="preserve">efill tariff to </w:t>
      </w:r>
      <w:r w:rsidR="00CB132D">
        <w:t>those users who ship</w:t>
      </w:r>
      <w:r w:rsidR="004940A8" w:rsidRPr="004940A8">
        <w:t xml:space="preserve"> gas from Longford</w:t>
      </w:r>
      <w:r w:rsidR="00CB132D">
        <w:t xml:space="preserve"> or Culcairn</w:t>
      </w:r>
      <w:r w:rsidR="004940A8" w:rsidRPr="004940A8">
        <w:t xml:space="preserve"> to Iona</w:t>
      </w:r>
      <w:r w:rsidR="00141550">
        <w:t xml:space="preserve"> storage</w:t>
      </w:r>
      <w:r w:rsidR="003C47E2">
        <w:t xml:space="preserve"> and then on to the Sea Gas pipeline</w:t>
      </w:r>
      <w:r w:rsidR="000B2996">
        <w:t>.</w:t>
      </w:r>
      <w:r w:rsidR="00B64C7F">
        <w:t xml:space="preserve"> </w:t>
      </w:r>
    </w:p>
    <w:p w:rsidR="006C5B61" w:rsidRDefault="00141550" w:rsidP="006C5B61">
      <w:r>
        <w:t xml:space="preserve">Charging the cross-system tariff </w:t>
      </w:r>
      <w:r w:rsidR="00C01B19">
        <w:t>would</w:t>
      </w:r>
      <w:r>
        <w:t xml:space="preserve"> also address concerns raised by the </w:t>
      </w:r>
      <w:r w:rsidR="00B376D7">
        <w:t>AER's Consumer Challenge Panel (</w:t>
      </w:r>
      <w:r w:rsidR="00422D45">
        <w:t>CCP</w:t>
      </w:r>
      <w:r w:rsidR="00B376D7">
        <w:t>11)</w:t>
      </w:r>
      <w:r>
        <w:t xml:space="preserve">. </w:t>
      </w:r>
      <w:r w:rsidR="008715FB">
        <w:t>Th</w:t>
      </w:r>
      <w:r w:rsidR="00B376D7">
        <w:t>ey</w:t>
      </w:r>
      <w:r w:rsidR="008715FB">
        <w:t xml:space="preserve"> </w:t>
      </w:r>
      <w:r>
        <w:t>noted that</w:t>
      </w:r>
      <w:r w:rsidR="008715FB">
        <w:t xml:space="preserve"> the key reason for proposing to build the WORM </w:t>
      </w:r>
      <w:r w:rsidR="001841B0">
        <w:t xml:space="preserve">in the 2018–22 access arrangement </w:t>
      </w:r>
      <w:r w:rsidR="008715FB">
        <w:t xml:space="preserve">is </w:t>
      </w:r>
      <w:r w:rsidR="002723A4">
        <w:t>so</w:t>
      </w:r>
      <w:r w:rsidR="008715FB">
        <w:t xml:space="preserve"> the </w:t>
      </w:r>
      <w:r>
        <w:t xml:space="preserve">Iona </w:t>
      </w:r>
      <w:r w:rsidR="008715FB">
        <w:t>storage facility</w:t>
      </w:r>
      <w:r w:rsidR="002723A4">
        <w:t xml:space="preserve"> can be filled each year before winter. CCP</w:t>
      </w:r>
      <w:r w:rsidR="00B376D7">
        <w:t>11</w:t>
      </w:r>
      <w:r w:rsidR="002723A4">
        <w:t xml:space="preserve"> further </w:t>
      </w:r>
      <w:r>
        <w:t>commented</w:t>
      </w:r>
      <w:r w:rsidR="002723A4">
        <w:t xml:space="preserve"> that </w:t>
      </w:r>
      <w:r w:rsidR="008D0C74">
        <w:t>although</w:t>
      </w:r>
      <w:r w:rsidR="002723A4">
        <w:t xml:space="preserve"> expansion of the WORM is intended to address security of supply for Victorian gas users, </w:t>
      </w:r>
      <w:r w:rsidR="001841B0">
        <w:t>the AER</w:t>
      </w:r>
      <w:r w:rsidR="00F76F46">
        <w:t xml:space="preserve"> also need</w:t>
      </w:r>
      <w:r w:rsidR="001841B0">
        <w:t>s</w:t>
      </w:r>
      <w:r w:rsidR="002723A4">
        <w:t xml:space="preserve"> to consider that the underlying causes of the need for expansion arise from the actions of other parties and not from the actions of Victorian gas users. </w:t>
      </w:r>
      <w:r w:rsidR="00AE7E29">
        <w:t>These include</w:t>
      </w:r>
      <w:r w:rsidR="002723A4">
        <w:t>:</w:t>
      </w:r>
    </w:p>
    <w:p w:rsidR="002723A4" w:rsidRDefault="002723A4" w:rsidP="00E50431">
      <w:pPr>
        <w:pStyle w:val="AERbulletlistfirststyle"/>
      </w:pPr>
      <w:r>
        <w:t>Contracting behaviour of shippers</w:t>
      </w:r>
      <w:r w:rsidR="00CB58D4">
        <w:t xml:space="preserve"> has changed the timing of </w:t>
      </w:r>
      <w:r w:rsidR="008D0C74">
        <w:t xml:space="preserve">when </w:t>
      </w:r>
      <w:r w:rsidR="008D0C74" w:rsidRPr="008D0C74">
        <w:t>Iona</w:t>
      </w:r>
      <w:r w:rsidR="008D0C74">
        <w:t xml:space="preserve"> is</w:t>
      </w:r>
      <w:r w:rsidR="008D0C74" w:rsidRPr="008D0C74">
        <w:t xml:space="preserve"> </w:t>
      </w:r>
      <w:r w:rsidR="00CB58D4">
        <w:t>refill</w:t>
      </w:r>
      <w:r w:rsidR="008D0C74">
        <w:t>ed</w:t>
      </w:r>
      <w:r w:rsidR="00CB58D4">
        <w:t>, shortening the periods of time when Iona is filled, and thus increasing the capacity needs for refill by requiring the same amount of gas to be transported to Iona over a shorter period of time.</w:t>
      </w:r>
    </w:p>
    <w:p w:rsidR="002723A4" w:rsidRDefault="008D0C74" w:rsidP="00E50431">
      <w:pPr>
        <w:pStyle w:val="AERbulletlistfirststyle"/>
      </w:pPr>
      <w:r>
        <w:t>Declining production</w:t>
      </w:r>
      <w:r w:rsidR="002723A4">
        <w:t xml:space="preserve"> at Port Campbell</w:t>
      </w:r>
      <w:r>
        <w:t>,</w:t>
      </w:r>
      <w:r w:rsidR="002723A4">
        <w:t xml:space="preserve"> requiring additional gas volumes sourced from the VTS (largely from Longford) putting increasing pressure on the SWP to deliver those volumes.</w:t>
      </w:r>
    </w:p>
    <w:p w:rsidR="002723A4" w:rsidRDefault="002723A4" w:rsidP="00E50431">
      <w:pPr>
        <w:pStyle w:val="AERbulletlistfirststyle"/>
      </w:pPr>
      <w:r>
        <w:t>Operation of gas powered power stations taking priority over refill at Iona.</w:t>
      </w:r>
    </w:p>
    <w:p w:rsidR="00F76F46" w:rsidRPr="006C5B61" w:rsidRDefault="00F76F46" w:rsidP="00E50431">
      <w:pPr>
        <w:pStyle w:val="AERbulletlistfirststyle"/>
        <w:numPr>
          <w:ilvl w:val="0"/>
          <w:numId w:val="0"/>
        </w:numPr>
      </w:pPr>
      <w:r>
        <w:t>CCP</w:t>
      </w:r>
      <w:r w:rsidR="008D0C74">
        <w:t xml:space="preserve"> 11</w:t>
      </w:r>
      <w:r>
        <w:t xml:space="preserve"> comment</w:t>
      </w:r>
      <w:r w:rsidR="00AE7E29">
        <w:t>ed</w:t>
      </w:r>
      <w:r>
        <w:t>:</w:t>
      </w:r>
    </w:p>
    <w:p w:rsidR="004940A8" w:rsidRDefault="00F76F46" w:rsidP="00E50431">
      <w:pPr>
        <w:pStyle w:val="AERquote"/>
      </w:pPr>
      <w:r>
        <w:t>The WORM would address constraints on flows of gas from Victoria to South Australia on the SEA</w:t>
      </w:r>
      <w:r w:rsidR="003C47E2">
        <w:t xml:space="preserve"> </w:t>
      </w:r>
      <w:r>
        <w:t>Gas pipeline, and this further highlights that users of gas transported on the SEA</w:t>
      </w:r>
      <w:r w:rsidR="001841B0">
        <w:t xml:space="preserve"> </w:t>
      </w:r>
      <w:r>
        <w:t>Gas pipeline are beneficiaries of the WORM and should pay a fair contribution to its costs.</w:t>
      </w:r>
      <w:r>
        <w:rPr>
          <w:rStyle w:val="FootnoteReference"/>
        </w:rPr>
        <w:footnoteReference w:id="32"/>
      </w:r>
    </w:p>
    <w:p w:rsidR="00471FCC" w:rsidRDefault="008648F0" w:rsidP="00F76F46">
      <w:pPr>
        <w:pStyle w:val="AERbulletlistfirststyle"/>
        <w:numPr>
          <w:ilvl w:val="0"/>
          <w:numId w:val="0"/>
        </w:numPr>
      </w:pPr>
      <w:r>
        <w:t xml:space="preserve">As </w:t>
      </w:r>
      <w:r w:rsidR="001841B0">
        <w:t>discussed</w:t>
      </w:r>
      <w:r>
        <w:t xml:space="preserve"> above APA's standard cost allocation methodology</w:t>
      </w:r>
      <w:r w:rsidR="007C790A">
        <w:t xml:space="preserve"> allocates some of </w:t>
      </w:r>
      <w:r w:rsidR="001841B0">
        <w:t>the WORM</w:t>
      </w:r>
      <w:r>
        <w:t xml:space="preserve"> costs to the cross-system tariff</w:t>
      </w:r>
      <w:r w:rsidR="007C790A">
        <w:t xml:space="preserve"> based on the flow path of gas</w:t>
      </w:r>
      <w:r>
        <w:t xml:space="preserve">. </w:t>
      </w:r>
      <w:r w:rsidR="001841B0">
        <w:t>We consider that</w:t>
      </w:r>
      <w:r w:rsidR="00CB58D4">
        <w:t xml:space="preserve"> CCP</w:t>
      </w:r>
      <w:r w:rsidR="008D0C74">
        <w:t xml:space="preserve"> 11</w:t>
      </w:r>
      <w:r w:rsidR="00CB58D4">
        <w:t xml:space="preserve">'s </w:t>
      </w:r>
      <w:r w:rsidR="00AE7E29">
        <w:t xml:space="preserve">submissions </w:t>
      </w:r>
      <w:r w:rsidR="00B376D7">
        <w:t>about</w:t>
      </w:r>
      <w:r w:rsidR="00CB58D4">
        <w:t xml:space="preserve"> users of the WORM who transport gas on the SEA Gas pipeline</w:t>
      </w:r>
      <w:r w:rsidR="007C790A">
        <w:t xml:space="preserve"> </w:t>
      </w:r>
      <w:r w:rsidR="008D0C74">
        <w:t>is</w:t>
      </w:r>
      <w:r w:rsidR="00CB58D4">
        <w:t xml:space="preserve"> addressed through </w:t>
      </w:r>
      <w:r w:rsidR="007C790A">
        <w:t>charging the</w:t>
      </w:r>
      <w:r>
        <w:t xml:space="preserve"> cross-system tariff </w:t>
      </w:r>
      <w:r w:rsidR="00F76F46" w:rsidRPr="00F76F46">
        <w:t>in addition to the refill tariff</w:t>
      </w:r>
      <w:r w:rsidR="00CB58D4">
        <w:t>.</w:t>
      </w:r>
      <w:r w:rsidR="00F76F46" w:rsidRPr="00F76F46">
        <w:t xml:space="preserve"> </w:t>
      </w:r>
      <w:r w:rsidR="00CB58D4">
        <w:t>This would</w:t>
      </w:r>
      <w:r>
        <w:t xml:space="preserve"> ensure </w:t>
      </w:r>
      <w:r w:rsidR="00F76F46">
        <w:t>WORM</w:t>
      </w:r>
      <w:r w:rsidR="007C790A">
        <w:t xml:space="preserve"> costs are also recovered from </w:t>
      </w:r>
      <w:r w:rsidR="00F76F46">
        <w:t>active users of the VTS.</w:t>
      </w:r>
      <w:r w:rsidR="00422F87">
        <w:t xml:space="preserve"> This is consistent with rule 95(3)(a) of the NGR that cost are directly attributable to supplying the user or class of users are allocated to the user or class. </w:t>
      </w:r>
      <w:r w:rsidR="007C790A">
        <w:t xml:space="preserve"> </w:t>
      </w:r>
    </w:p>
    <w:p w:rsidR="001514ED" w:rsidRDefault="001514ED" w:rsidP="00F76F46">
      <w:pPr>
        <w:pStyle w:val="AERbulletlistfirststyle"/>
        <w:numPr>
          <w:ilvl w:val="0"/>
          <w:numId w:val="0"/>
        </w:numPr>
      </w:pPr>
      <w:r>
        <w:t>We are seeking stakehold</w:t>
      </w:r>
      <w:r w:rsidR="00EE6794">
        <w:t xml:space="preserve">er comment on </w:t>
      </w:r>
      <w:r w:rsidR="00AE7E29">
        <w:t xml:space="preserve">our draft decision to include </w:t>
      </w:r>
      <w:r w:rsidR="00CD3DE1">
        <w:t>charging the</w:t>
      </w:r>
      <w:r w:rsidR="00EE6794">
        <w:t xml:space="preserve"> cross-</w:t>
      </w:r>
      <w:r>
        <w:t xml:space="preserve">system tariff </w:t>
      </w:r>
      <w:r w:rsidR="00AE7E29">
        <w:t xml:space="preserve">in APA's access arrangement </w:t>
      </w:r>
      <w:r>
        <w:t>in addition to the refill tariff to users who ship gas from Longford or Culcairn into Iona storage.</w:t>
      </w:r>
    </w:p>
    <w:p w:rsidR="00252048" w:rsidRPr="0073190C" w:rsidRDefault="00A748DE" w:rsidP="001E7A88">
      <w:pPr>
        <w:pStyle w:val="HeadingBoldBlue"/>
        <w:rPr>
          <w:rStyle w:val="Strong"/>
        </w:rPr>
      </w:pPr>
      <w:r>
        <w:rPr>
          <w:rStyle w:val="Strong"/>
        </w:rPr>
        <w:t>V</w:t>
      </w:r>
      <w:r w:rsidR="0073190C">
        <w:rPr>
          <w:rStyle w:val="Strong"/>
        </w:rPr>
        <w:t>ictorian Northern Interconnector</w:t>
      </w:r>
    </w:p>
    <w:p w:rsidR="000A3522" w:rsidRPr="000A3522" w:rsidRDefault="000A3522" w:rsidP="000A3522">
      <w:r w:rsidRPr="000A3522">
        <w:t xml:space="preserve">APA proposes </w:t>
      </w:r>
      <w:r w:rsidR="00B376D7">
        <w:t>recouping</w:t>
      </w:r>
      <w:r w:rsidR="00B376D7" w:rsidRPr="000A3522">
        <w:t xml:space="preserve"> </w:t>
      </w:r>
      <w:r w:rsidRPr="000A3522">
        <w:t xml:space="preserve">the </w:t>
      </w:r>
      <w:r w:rsidR="00B376D7" w:rsidRPr="000A3522">
        <w:t xml:space="preserve">Victorian Northern Interconnector expansion </w:t>
      </w:r>
      <w:r w:rsidRPr="000A3522">
        <w:t>costs (VNI) via an increase in the Culcairn withdrawal tariff (also called the NSW export tariff). The proposed Culcairn withdrawal tariff is $1.06</w:t>
      </w:r>
      <w:r w:rsidR="005564D2">
        <w:t>, an increase of</w:t>
      </w:r>
      <w:r w:rsidRPr="000A3522">
        <w:t xml:space="preserve"> 33 per cent </w:t>
      </w:r>
      <w:r w:rsidR="003B1EA9">
        <w:t xml:space="preserve">from 2017 </w:t>
      </w:r>
      <w:r w:rsidR="005564D2">
        <w:t>levels</w:t>
      </w:r>
      <w:r w:rsidRPr="000A3522">
        <w:t>.</w:t>
      </w:r>
    </w:p>
    <w:p w:rsidR="00026C9A" w:rsidRDefault="00026C9A" w:rsidP="00132D43">
      <w:r>
        <w:t xml:space="preserve">We accept that </w:t>
      </w:r>
      <w:r w:rsidR="008D0C74" w:rsidRPr="008D0C74">
        <w:t>NSW export customers</w:t>
      </w:r>
      <w:r w:rsidR="008D0C74">
        <w:t xml:space="preserve"> will pay for </w:t>
      </w:r>
      <w:r>
        <w:t xml:space="preserve">VNI expenditure during the 2018–22 access </w:t>
      </w:r>
      <w:r w:rsidR="008D0C74">
        <w:t>arrangement</w:t>
      </w:r>
      <w:r>
        <w:t xml:space="preserve">. </w:t>
      </w:r>
      <w:r w:rsidR="003B1EA9">
        <w:t>Th</w:t>
      </w:r>
      <w:r w:rsidR="008D0C74">
        <w:t>is</w:t>
      </w:r>
      <w:r w:rsidR="003B1EA9">
        <w:t xml:space="preserve"> interconnector </w:t>
      </w:r>
      <w:r w:rsidR="003B1EA9" w:rsidRPr="000A3522">
        <w:t xml:space="preserve">will </w:t>
      </w:r>
      <w:r w:rsidR="008D0C74">
        <w:t>transport</w:t>
      </w:r>
      <w:r w:rsidR="003B1EA9" w:rsidRPr="000A3522">
        <w:t xml:space="preserve"> gas from Victoria to New South Wales and Queensland and will be used by shippers and retailers to supply gas for overseas markets</w:t>
      </w:r>
      <w:r w:rsidR="000B253F">
        <w:t>.</w:t>
      </w:r>
      <w:r w:rsidR="003B1EA9">
        <w:t xml:space="preserve"> </w:t>
      </w:r>
      <w:r>
        <w:t xml:space="preserve">These customers take their </w:t>
      </w:r>
      <w:r w:rsidR="004F5821">
        <w:t xml:space="preserve">gas </w:t>
      </w:r>
      <w:r>
        <w:t>supply via the Culcairn withdrawal tariff</w:t>
      </w:r>
      <w:r w:rsidR="0066333B">
        <w:t xml:space="preserve"> and </w:t>
      </w:r>
      <w:r w:rsidR="008D0C74">
        <w:t>Victorian customers do not use this gas</w:t>
      </w:r>
      <w:r w:rsidR="0066333B">
        <w:t xml:space="preserve">. Instead shippers are sending this gas to New South Wales non-residential customers. </w:t>
      </w:r>
    </w:p>
    <w:p w:rsidR="00C9045E" w:rsidRPr="00C9045E" w:rsidRDefault="00C9045E" w:rsidP="00C9045E">
      <w:r w:rsidRPr="00C9045E">
        <w:t>The expansion of the Victorian Interconnect (VNI) relates to demand for withdrawals from the VTS at Culcairn, not injections. While the VNI works have effectively increased Culcairn injection capacity by 5TJ/day, this was not the driver of this investment.</w:t>
      </w:r>
    </w:p>
    <w:p w:rsidR="009A2291" w:rsidRDefault="00A25A8E" w:rsidP="00132D43">
      <w:r>
        <w:t xml:space="preserve">CCP </w:t>
      </w:r>
      <w:r w:rsidR="005564D2">
        <w:t>1</w:t>
      </w:r>
      <w:r>
        <w:t>1</w:t>
      </w:r>
      <w:r w:rsidR="009A2291">
        <w:t xml:space="preserve"> were of the view that Victorian customer</w:t>
      </w:r>
      <w:r w:rsidR="00F41EAF">
        <w:t>s</w:t>
      </w:r>
      <w:r w:rsidR="009A2291">
        <w:t xml:space="preserve"> should not pay for the VNI project in either the 2018–22 access arrangement, or any future access arrangement period.</w:t>
      </w:r>
      <w:r w:rsidR="009A2291">
        <w:rPr>
          <w:rStyle w:val="FootnoteReference"/>
        </w:rPr>
        <w:footnoteReference w:id="33"/>
      </w:r>
      <w:r w:rsidR="00F41EAF">
        <w:t xml:space="preserve"> They considered this project was not for the </w:t>
      </w:r>
      <w:r w:rsidR="00EF3516">
        <w:t>benefit of Victoria</w:t>
      </w:r>
      <w:r w:rsidR="00F41EAF">
        <w:t xml:space="preserve">n </w:t>
      </w:r>
      <w:r w:rsidR="00EF3516">
        <w:t>customers</w:t>
      </w:r>
      <w:r w:rsidR="004F5821">
        <w:t xml:space="preserve"> and therefore those customers should not pay for the expansion through an increase in any of their withdrawal tariffs.</w:t>
      </w:r>
    </w:p>
    <w:p w:rsidR="007019E3" w:rsidRPr="00E511D5" w:rsidRDefault="007019E3" w:rsidP="007019E3">
      <w:r w:rsidRPr="00E511D5">
        <w:t>We confirmed</w:t>
      </w:r>
      <w:r w:rsidR="00AE7E29">
        <w:t xml:space="preserve"> with APA</w:t>
      </w:r>
      <w:r w:rsidRPr="00E511D5">
        <w:t xml:space="preserve"> that only NSW customers would pay for the VNI in the 2018–22 access arrangement. This is </w:t>
      </w:r>
      <w:r>
        <w:t>because</w:t>
      </w:r>
      <w:r w:rsidRPr="00E511D5">
        <w:t xml:space="preserve"> VNI </w:t>
      </w:r>
      <w:r w:rsidR="00B376D7">
        <w:t xml:space="preserve">expansion </w:t>
      </w:r>
      <w:r w:rsidRPr="00E511D5">
        <w:t xml:space="preserve">costs </w:t>
      </w:r>
      <w:r>
        <w:t>are</w:t>
      </w:r>
      <w:r w:rsidRPr="00E511D5">
        <w:t xml:space="preserve"> attributed to the Culcairn tariff. These customers will not have to pay a tariff for injection points that are in Victoria and as such, Victorian customers do not bear any VNI expansion costs.</w:t>
      </w:r>
    </w:p>
    <w:p w:rsidR="00F41EAF" w:rsidRDefault="00F41EAF" w:rsidP="00132D43">
      <w:r>
        <w:t xml:space="preserve">We do note that </w:t>
      </w:r>
      <w:r w:rsidR="00B376D7" w:rsidRPr="00E511D5">
        <w:t xml:space="preserve">APA </w:t>
      </w:r>
      <w:r w:rsidR="00B376D7">
        <w:t>stated</w:t>
      </w:r>
      <w:r w:rsidR="00B376D7" w:rsidRPr="00E511D5">
        <w:t xml:space="preserve"> VNI </w:t>
      </w:r>
      <w:r w:rsidR="0002359F" w:rsidRPr="00E511D5">
        <w:t>would</w:t>
      </w:r>
      <w:r w:rsidR="00B376D7" w:rsidRPr="00E511D5">
        <w:t xml:space="preserve"> result in larger thro</w:t>
      </w:r>
      <w:r w:rsidR="00B376D7">
        <w:t xml:space="preserve">ughput on the Victorian network delivering </w:t>
      </w:r>
      <w:r w:rsidR="00B376D7" w:rsidRPr="00E511D5">
        <w:t>some benefits for Victorian customers in the form of a reduction in shared network costs.</w:t>
      </w:r>
      <w:r w:rsidR="00B376D7">
        <w:t xml:space="preserve"> </w:t>
      </w:r>
      <w:r>
        <w:t xml:space="preserve">APA has </w:t>
      </w:r>
      <w:r w:rsidR="00EF3516">
        <w:t>reduced</w:t>
      </w:r>
      <w:r>
        <w:t xml:space="preserve"> the overheads allocated to Victorian customers </w:t>
      </w:r>
      <w:r w:rsidR="00EF3516">
        <w:t>resulting f</w:t>
      </w:r>
      <w:r>
        <w:t>r</w:t>
      </w:r>
      <w:r w:rsidR="00EF3516">
        <w:t>o</w:t>
      </w:r>
      <w:r>
        <w:t xml:space="preserve">m </w:t>
      </w:r>
      <w:r w:rsidR="004F5821">
        <w:t>the VNI</w:t>
      </w:r>
      <w:r>
        <w:t xml:space="preserve"> project</w:t>
      </w:r>
      <w:r w:rsidR="0002359F">
        <w:t>,</w:t>
      </w:r>
      <w:r w:rsidR="00EF3516">
        <w:t xml:space="preserve"> </w:t>
      </w:r>
      <w:r w:rsidR="0002359F">
        <w:t>reallocating</w:t>
      </w:r>
      <w:r w:rsidR="00EF3516">
        <w:t xml:space="preserve"> </w:t>
      </w:r>
      <w:r w:rsidR="003B1EA9">
        <w:t>them</w:t>
      </w:r>
      <w:r w:rsidR="00EF3516">
        <w:t xml:space="preserve"> to NSW customers. This means that some Victorian tariffs will reduce</w:t>
      </w:r>
      <w:r w:rsidR="0066333B">
        <w:t xml:space="preserve">, albeit slightly, </w:t>
      </w:r>
      <w:r w:rsidR="00EF3516">
        <w:t>as a consequence of the VNI.</w:t>
      </w:r>
    </w:p>
    <w:p w:rsidR="00F70F3D" w:rsidRDefault="003B1EA9" w:rsidP="00132D43">
      <w:r>
        <w:t xml:space="preserve">We </w:t>
      </w:r>
      <w:r w:rsidR="00417863">
        <w:t>assessed whether the capex associated with VNI should be conforming capex and rolled into APA'</w:t>
      </w:r>
      <w:r w:rsidR="00633752">
        <w:t>s</w:t>
      </w:r>
      <w:r w:rsidR="00417863">
        <w:t xml:space="preserve"> regulatory asset base (RAB). More discussion on this is in attachment 6. </w:t>
      </w:r>
      <w:r>
        <w:t>We also assessed AP</w:t>
      </w:r>
      <w:r w:rsidR="00B376D7">
        <w:t>A's</w:t>
      </w:r>
      <w:r>
        <w:t xml:space="preserve"> VTS tariff model to determine tariff</w:t>
      </w:r>
      <w:r w:rsidR="0002359F">
        <w:t xml:space="preserve"> impacts</w:t>
      </w:r>
      <w:r>
        <w:t xml:space="preserve">. </w:t>
      </w:r>
      <w:r w:rsidR="00F70F3D">
        <w:t xml:space="preserve">We consider where demand or gas volumes on the VNI does not eventuate beyond the 2018–22 access arrangement, and gas is not flowing into Victoria then APA </w:t>
      </w:r>
      <w:r w:rsidR="00E4325F">
        <w:t>should</w:t>
      </w:r>
      <w:r w:rsidR="00F70F3D">
        <w:t xml:space="preserve"> bear the costs</w:t>
      </w:r>
      <w:r w:rsidR="0066333B">
        <w:t xml:space="preserve"> and </w:t>
      </w:r>
      <w:r w:rsidR="00F70F3D">
        <w:t>risk associated with this. That is, other non-NSW customers would not pay for the VNI unrecovered</w:t>
      </w:r>
      <w:r w:rsidR="0066333B">
        <w:t xml:space="preserve"> </w:t>
      </w:r>
      <w:r w:rsidR="00E4325F">
        <w:t xml:space="preserve">costs </w:t>
      </w:r>
      <w:r w:rsidR="0066333B">
        <w:t>(</w:t>
      </w:r>
      <w:r w:rsidR="006B1629">
        <w:t xml:space="preserve">that is, </w:t>
      </w:r>
      <w:r w:rsidR="0066333B">
        <w:t>not yet recouped through depreciation)</w:t>
      </w:r>
      <w:r w:rsidR="00F70F3D">
        <w:t>.</w:t>
      </w:r>
    </w:p>
    <w:p w:rsidR="00F70F3D" w:rsidRDefault="00F70F3D" w:rsidP="00132D43">
      <w:r>
        <w:t>We understand from APA</w:t>
      </w:r>
      <w:r w:rsidR="000B253F">
        <w:t xml:space="preserve"> </w:t>
      </w:r>
      <w:r>
        <w:t xml:space="preserve">that it has contracts in place that underpin the VNI. </w:t>
      </w:r>
      <w:r w:rsidR="00034F89">
        <w:t>W</w:t>
      </w:r>
      <w:r w:rsidR="00AE7E29">
        <w:t xml:space="preserve">e note </w:t>
      </w:r>
      <w:r>
        <w:t>CCP11</w:t>
      </w:r>
      <w:r w:rsidR="00AE7E29">
        <w:t>'s</w:t>
      </w:r>
      <w:r>
        <w:t xml:space="preserve"> </w:t>
      </w:r>
      <w:r w:rsidR="00034F89">
        <w:t>concern</w:t>
      </w:r>
      <w:r>
        <w:t xml:space="preserve"> that beyond </w:t>
      </w:r>
      <w:r w:rsidR="0066333B">
        <w:t xml:space="preserve">the period of the initial contracts, </w:t>
      </w:r>
      <w:r w:rsidR="00142F69">
        <w:t>Victorian</w:t>
      </w:r>
      <w:r w:rsidR="0066333B">
        <w:t xml:space="preserve"> </w:t>
      </w:r>
      <w:r w:rsidR="00142F69">
        <w:t>customers</w:t>
      </w:r>
      <w:r w:rsidR="0066333B">
        <w:t xml:space="preserve"> might have to pay for the unrecovered portion of </w:t>
      </w:r>
      <w:r w:rsidR="00142F69">
        <w:t>the</w:t>
      </w:r>
      <w:r w:rsidR="0066333B">
        <w:t xml:space="preserve"> VNI</w:t>
      </w:r>
      <w:r w:rsidR="00142F69">
        <w:t xml:space="preserve">. </w:t>
      </w:r>
    </w:p>
    <w:p w:rsidR="00F70F3D" w:rsidRDefault="00A25A8E" w:rsidP="00132D43">
      <w:r>
        <w:t>Our view is that</w:t>
      </w:r>
      <w:r w:rsidR="008376F5">
        <w:t xml:space="preserve"> this draft decision </w:t>
      </w:r>
      <w:r>
        <w:t>can only set revenues and t</w:t>
      </w:r>
      <w:r w:rsidR="0002359F">
        <w:t>ariffs that pertain to the 2018–</w:t>
      </w:r>
      <w:r>
        <w:t xml:space="preserve">22 access arrangement period. During </w:t>
      </w:r>
      <w:r w:rsidR="0002359F" w:rsidRPr="0002359F">
        <w:t xml:space="preserve">future access arrangements </w:t>
      </w:r>
      <w:r w:rsidR="0002359F">
        <w:t>reviews</w:t>
      </w:r>
      <w:r>
        <w:t xml:space="preserve"> we will again </w:t>
      </w:r>
      <w:r w:rsidR="0002359F">
        <w:t>check</w:t>
      </w:r>
      <w:r>
        <w:t xml:space="preserve"> APA'</w:t>
      </w:r>
      <w:r w:rsidR="000C0F74">
        <w:t>s</w:t>
      </w:r>
      <w:r>
        <w:t xml:space="preserve"> proposal for </w:t>
      </w:r>
      <w:r w:rsidR="0002359F" w:rsidRPr="0002359F">
        <w:t xml:space="preserve">costs </w:t>
      </w:r>
      <w:r>
        <w:t xml:space="preserve">recovery </w:t>
      </w:r>
      <w:r w:rsidR="0002359F">
        <w:t xml:space="preserve">and associated </w:t>
      </w:r>
      <w:r>
        <w:t>tariff</w:t>
      </w:r>
      <w:r w:rsidR="0002359F">
        <w:t xml:space="preserve"> implication</w:t>
      </w:r>
      <w:r>
        <w:t>s</w:t>
      </w:r>
      <w:r w:rsidR="0002359F">
        <w:t>. F</w:t>
      </w:r>
      <w:r w:rsidR="0002359F" w:rsidRPr="0002359F">
        <w:t xml:space="preserve">orecasts </w:t>
      </w:r>
      <w:r w:rsidR="0002359F">
        <w:t>of d</w:t>
      </w:r>
      <w:r w:rsidR="004D023F">
        <w:t>emand and throughput for the transmission pipeline will also affect our determinations of revenues and tariffs for future access arrangements.</w:t>
      </w:r>
    </w:p>
    <w:p w:rsidR="00D5015C" w:rsidRDefault="00D5015C" w:rsidP="00D5015C">
      <w:pPr>
        <w:pStyle w:val="Heading2"/>
      </w:pPr>
      <w:bookmarkStart w:id="85" w:name="_Toc486923585"/>
      <w:r>
        <w:t>Revisions</w:t>
      </w:r>
      <w:bookmarkEnd w:id="85"/>
    </w:p>
    <w:p w:rsidR="0045449B" w:rsidRDefault="0045449B" w:rsidP="0045449B">
      <w:pPr>
        <w:rPr>
          <w:rStyle w:val="AERbody"/>
        </w:rPr>
      </w:pPr>
      <w:r w:rsidRPr="00CD3DE1">
        <w:rPr>
          <w:rStyle w:val="AERbody"/>
        </w:rPr>
        <w:t xml:space="preserve">We require APA </w:t>
      </w:r>
      <w:r w:rsidR="00CD3DE1">
        <w:rPr>
          <w:rStyle w:val="AERbody"/>
        </w:rPr>
        <w:t xml:space="preserve">to </w:t>
      </w:r>
      <w:r w:rsidRPr="00CD3DE1">
        <w:rPr>
          <w:rStyle w:val="AERbody"/>
        </w:rPr>
        <w:t>make the following revisions to its access arrangement proposal consistent with the NGR and NGL:</w:t>
      </w:r>
    </w:p>
    <w:p w:rsidR="00CD3DE1" w:rsidRDefault="00CD3DE1" w:rsidP="0045449B">
      <w:pPr>
        <w:rPr>
          <w:rStyle w:val="AERbody"/>
        </w:rPr>
      </w:pPr>
    </w:p>
    <w:tbl>
      <w:tblPr>
        <w:tblStyle w:val="AERtable-text0"/>
        <w:tblW w:w="0" w:type="auto"/>
        <w:tblLook w:val="04A0" w:firstRow="1" w:lastRow="0" w:firstColumn="1" w:lastColumn="0" w:noHBand="0" w:noVBand="1"/>
      </w:tblPr>
      <w:tblGrid>
        <w:gridCol w:w="1809"/>
        <w:gridCol w:w="6884"/>
      </w:tblGrid>
      <w:tr w:rsidR="0045449B" w:rsidTr="00820BFD">
        <w:trPr>
          <w:cnfStyle w:val="100000000000" w:firstRow="1" w:lastRow="0" w:firstColumn="0" w:lastColumn="0" w:oddVBand="0" w:evenVBand="0" w:oddHBand="0" w:evenHBand="0" w:firstRowFirstColumn="0" w:firstRowLastColumn="0" w:lastRowFirstColumn="0" w:lastRowLastColumn="0"/>
        </w:trPr>
        <w:tc>
          <w:tcPr>
            <w:tcW w:w="1809" w:type="dxa"/>
          </w:tcPr>
          <w:p w:rsidR="0045449B" w:rsidRDefault="0045449B" w:rsidP="0045449B"/>
        </w:tc>
        <w:tc>
          <w:tcPr>
            <w:tcW w:w="6884" w:type="dxa"/>
          </w:tcPr>
          <w:p w:rsidR="0045449B" w:rsidRDefault="0045449B" w:rsidP="0045449B"/>
        </w:tc>
      </w:tr>
      <w:tr w:rsidR="0045449B" w:rsidTr="00820BFD">
        <w:tc>
          <w:tcPr>
            <w:tcW w:w="1809" w:type="dxa"/>
          </w:tcPr>
          <w:p w:rsidR="0045449B" w:rsidRPr="0045449B" w:rsidRDefault="0045449B" w:rsidP="0045449B">
            <w:r w:rsidRPr="0045449B">
              <w:t>Revision 10.1</w:t>
            </w:r>
          </w:p>
        </w:tc>
        <w:tc>
          <w:tcPr>
            <w:tcW w:w="6884" w:type="dxa"/>
          </w:tcPr>
          <w:p w:rsidR="0045449B" w:rsidRPr="0045449B" w:rsidRDefault="0045449B" w:rsidP="0045449B">
            <w:r w:rsidRPr="0045449B">
              <w:t>Re-calculate reference tariffs so that the leve</w:t>
            </w:r>
            <w:r w:rsidR="006653AE">
              <w:t xml:space="preserve">ls of the tariffs reflect the </w:t>
            </w:r>
            <w:r w:rsidRPr="0045449B">
              <w:t>draft decision forecasts of</w:t>
            </w:r>
            <w:r>
              <w:t xml:space="preserve"> demand, capex, opex</w:t>
            </w:r>
            <w:r w:rsidRPr="0045449B">
              <w:t xml:space="preserve"> and rate of return.</w:t>
            </w:r>
          </w:p>
        </w:tc>
      </w:tr>
      <w:tr w:rsidR="0045449B" w:rsidTr="00820BFD">
        <w:trPr>
          <w:cnfStyle w:val="000000010000" w:firstRow="0" w:lastRow="0" w:firstColumn="0" w:lastColumn="0" w:oddVBand="0" w:evenVBand="0" w:oddHBand="0" w:evenHBand="1" w:firstRowFirstColumn="0" w:firstRowLastColumn="0" w:lastRowFirstColumn="0" w:lastRowLastColumn="0"/>
        </w:trPr>
        <w:tc>
          <w:tcPr>
            <w:tcW w:w="1809" w:type="dxa"/>
          </w:tcPr>
          <w:p w:rsidR="0045449B" w:rsidRPr="0045449B" w:rsidRDefault="0045449B" w:rsidP="0045449B">
            <w:r w:rsidRPr="0045449B">
              <w:t>Revision 10.2</w:t>
            </w:r>
          </w:p>
        </w:tc>
        <w:tc>
          <w:tcPr>
            <w:tcW w:w="6884" w:type="dxa"/>
          </w:tcPr>
          <w:p w:rsidR="0045449B" w:rsidRPr="0045449B" w:rsidRDefault="0045449B" w:rsidP="00094839">
            <w:r w:rsidRPr="0045449B">
              <w:t xml:space="preserve">Apply the cross-system tariff in addition to the refill tariff to users who ship gas from Longford or Culcairn into Iona storage and later take it out of storage for export to South Australia. </w:t>
            </w:r>
            <w:r w:rsidR="00CD3DE1">
              <w:t>Ca</w:t>
            </w:r>
            <w:r w:rsidRPr="0045449B">
              <w:t>lculate reference tariffs to reflect this change</w:t>
            </w:r>
            <w:r w:rsidR="00B80141">
              <w:t xml:space="preserve"> so that</w:t>
            </w:r>
            <w:r w:rsidR="00094839">
              <w:t xml:space="preserve"> no costs are double </w:t>
            </w:r>
            <w:r w:rsidR="001E7A88">
              <w:t xml:space="preserve">counted. </w:t>
            </w:r>
          </w:p>
        </w:tc>
      </w:tr>
    </w:tbl>
    <w:p w:rsidR="00946BF0" w:rsidRDefault="00946BF0" w:rsidP="00132D43"/>
    <w:sectPr w:rsidR="00946BF0"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41" w:rsidRPr="00290C63" w:rsidRDefault="00953141" w:rsidP="00290C63">
      <w:r>
        <w:separator/>
      </w:r>
    </w:p>
    <w:p w:rsidR="00953141" w:rsidRDefault="00953141"/>
  </w:endnote>
  <w:endnote w:type="continuationSeparator" w:id="0">
    <w:p w:rsidR="00953141" w:rsidRPr="00290C63" w:rsidRDefault="00953141" w:rsidP="00290C63">
      <w:r>
        <w:continuationSeparator/>
      </w:r>
    </w:p>
    <w:p w:rsidR="00953141" w:rsidRDefault="00953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41" w:rsidRPr="00290C63" w:rsidRDefault="0095314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53141" w:rsidRDefault="00953141"/>
  <w:p w:rsidR="00953141" w:rsidRDefault="00953141"/>
  <w:p w:rsidR="00953141" w:rsidRDefault="00953141"/>
  <w:p w:rsidR="00953141" w:rsidRDefault="00953141"/>
  <w:p w:rsidR="00953141" w:rsidRDefault="00953141"/>
  <w:p w:rsidR="00953141" w:rsidRDefault="00953141"/>
  <w:p w:rsidR="00953141" w:rsidRDefault="009531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454430"/>
      <w:docPartObj>
        <w:docPartGallery w:val="Page Numbers (Bottom of Page)"/>
        <w:docPartUnique/>
      </w:docPartObj>
    </w:sdtPr>
    <w:sdtEndPr>
      <w:rPr>
        <w:noProof/>
        <w:szCs w:val="16"/>
      </w:rPr>
    </w:sdtEndPr>
    <w:sdtContent>
      <w:p w:rsidR="00953141" w:rsidRPr="009B6F84" w:rsidRDefault="00953141">
        <w:pPr>
          <w:pStyle w:val="Footer"/>
          <w:rPr>
            <w:sz w:val="20"/>
          </w:rPr>
        </w:pPr>
        <w:r>
          <w:fldChar w:fldCharType="begin"/>
        </w:r>
        <w:r>
          <w:instrText xml:space="preserve"> PAGE   \* MERGEFORMAT </w:instrText>
        </w:r>
        <w:r>
          <w:fldChar w:fldCharType="separate"/>
        </w:r>
        <w:r w:rsidR="00260621">
          <w:rPr>
            <w:noProof/>
          </w:rPr>
          <w:t>10-0</w:t>
        </w:r>
        <w:r>
          <w:rPr>
            <w:noProof/>
          </w:rPr>
          <w:fldChar w:fldCharType="end"/>
        </w:r>
        <w:r>
          <w:rPr>
            <w:noProof/>
          </w:rPr>
          <w:t xml:space="preserve">          </w:t>
        </w:r>
        <w:r>
          <w:t xml:space="preserve">Attachment 10 </w:t>
        </w:r>
        <w:r w:rsidRPr="000474DF">
          <w:t>−</w:t>
        </w:r>
        <w:r>
          <w:t xml:space="preserve"> Reference tariff setting</w:t>
        </w:r>
        <w:r w:rsidRPr="009B6F84">
          <w:rPr>
            <w:rFonts w:cs="Gautami"/>
            <w:noProof/>
            <w:szCs w:val="16"/>
          </w:rPr>
          <w:t xml:space="preserve"> | </w:t>
        </w:r>
        <w:r>
          <w:t>Draft decision - APA VTS gas access arrangement</w:t>
        </w:r>
        <w:r w:rsidRPr="00D5015C">
          <w:t xml:space="preserve"> 201</w:t>
        </w:r>
        <w:r>
          <w:t>8</w:t>
        </w:r>
        <w:r w:rsidRPr="00D5015C">
          <w:t>–</w:t>
        </w:r>
        <w:r>
          <w:t>22</w:t>
        </w:r>
      </w:p>
    </w:sdtContent>
  </w:sdt>
  <w:p w:rsidR="00953141" w:rsidRDefault="009531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41" w:rsidRPr="00290C63" w:rsidRDefault="0095314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53141" w:rsidRDefault="00953141">
    <w:pPr>
      <w:pStyle w:val="Footer"/>
    </w:pPr>
  </w:p>
  <w:p w:rsidR="00953141" w:rsidRDefault="00953141"/>
  <w:p w:rsidR="00953141" w:rsidRDefault="00953141"/>
  <w:p w:rsidR="00953141" w:rsidRDefault="00953141"/>
  <w:p w:rsidR="00953141" w:rsidRDefault="00953141"/>
  <w:p w:rsidR="00953141" w:rsidRDefault="00953141"/>
  <w:p w:rsidR="00953141" w:rsidRDefault="00953141"/>
  <w:p w:rsidR="00953141" w:rsidRDefault="0095314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41" w:rsidRPr="00290C63" w:rsidRDefault="0095314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53141" w:rsidRDefault="00953141"/>
  <w:p w:rsidR="00953141" w:rsidRDefault="00953141"/>
  <w:p w:rsidR="00953141" w:rsidRDefault="00953141"/>
  <w:p w:rsidR="00953141" w:rsidRDefault="00953141"/>
  <w:p w:rsidR="00953141" w:rsidRDefault="00953141"/>
  <w:p w:rsidR="00953141" w:rsidRDefault="00953141"/>
  <w:p w:rsidR="00953141" w:rsidRDefault="0095314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953141" w:rsidRPr="009B6F84" w:rsidRDefault="00953141">
        <w:pPr>
          <w:pStyle w:val="Footer"/>
          <w:rPr>
            <w:sz w:val="20"/>
          </w:rPr>
        </w:pPr>
        <w:r>
          <w:fldChar w:fldCharType="begin"/>
        </w:r>
        <w:r>
          <w:instrText xml:space="preserve"> PAGE   \* MERGEFORMAT </w:instrText>
        </w:r>
        <w:r>
          <w:fldChar w:fldCharType="separate"/>
        </w:r>
        <w:r w:rsidR="00260621">
          <w:rPr>
            <w:noProof/>
          </w:rPr>
          <w:t>10-17</w:t>
        </w:r>
        <w:r>
          <w:rPr>
            <w:noProof/>
          </w:rPr>
          <w:fldChar w:fldCharType="end"/>
        </w:r>
        <w:r>
          <w:rPr>
            <w:noProof/>
          </w:rPr>
          <w:t xml:space="preserve">          </w:t>
        </w:r>
        <w:r>
          <w:t xml:space="preserve">Attachment 10 </w:t>
        </w:r>
        <w:r w:rsidRPr="000474DF">
          <w:t>−</w:t>
        </w:r>
        <w:r>
          <w:t xml:space="preserve"> Reference tariff setting</w:t>
        </w:r>
        <w:r w:rsidRPr="00D5015C">
          <w:t xml:space="preserve"> | </w:t>
        </w:r>
        <w:r>
          <w:t>Draft decision - APA VTS gas access arrangement</w:t>
        </w:r>
        <w:r w:rsidRPr="00D5015C">
          <w:t xml:space="preserve"> 201</w:t>
        </w:r>
        <w:r>
          <w:t>8</w:t>
        </w:r>
        <w:r w:rsidRPr="00D5015C">
          <w:t>–</w:t>
        </w:r>
        <w:r>
          <w:t>22</w:t>
        </w:r>
      </w:p>
    </w:sdtContent>
  </w:sdt>
  <w:p w:rsidR="00953141" w:rsidRDefault="009531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41" w:rsidRPr="00290C63" w:rsidRDefault="0095314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53141" w:rsidRDefault="00953141">
    <w:pPr>
      <w:pStyle w:val="Footer"/>
    </w:pPr>
  </w:p>
  <w:p w:rsidR="00953141" w:rsidRDefault="00953141"/>
  <w:p w:rsidR="00953141" w:rsidRDefault="00953141"/>
  <w:p w:rsidR="00953141" w:rsidRDefault="00953141"/>
  <w:p w:rsidR="00953141" w:rsidRDefault="00953141"/>
  <w:p w:rsidR="00953141" w:rsidRDefault="00953141"/>
  <w:p w:rsidR="00953141" w:rsidRDefault="00953141"/>
  <w:p w:rsidR="00953141" w:rsidRDefault="009531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41" w:rsidRPr="00290C63" w:rsidRDefault="00953141" w:rsidP="00290C63">
      <w:r>
        <w:separator/>
      </w:r>
    </w:p>
    <w:p w:rsidR="00953141" w:rsidRDefault="00953141"/>
  </w:footnote>
  <w:footnote w:type="continuationSeparator" w:id="0">
    <w:p w:rsidR="00953141" w:rsidRPr="00290C63" w:rsidRDefault="00953141" w:rsidP="00290C63">
      <w:r>
        <w:continuationSeparator/>
      </w:r>
    </w:p>
    <w:p w:rsidR="00953141" w:rsidRDefault="00953141"/>
  </w:footnote>
  <w:footnote w:id="1">
    <w:p w:rsidR="00953141" w:rsidRDefault="00953141" w:rsidP="003B1574">
      <w:pPr>
        <w:pStyle w:val="FootnoteText"/>
      </w:pPr>
      <w:r>
        <w:rPr>
          <w:rStyle w:val="FootnoteReference"/>
        </w:rPr>
        <w:footnoteRef/>
      </w:r>
      <w:r>
        <w:t xml:space="preserve"> </w:t>
      </w:r>
      <w:r>
        <w:tab/>
        <w:t xml:space="preserve">NGR, r. </w:t>
      </w:r>
      <w:r w:rsidRPr="00DD18B4">
        <w:t>48(1)(d)(i)</w:t>
      </w:r>
      <w:r>
        <w:t xml:space="preserve">; r. </w:t>
      </w:r>
      <w:r w:rsidRPr="00876930">
        <w:t>72(1)(j)</w:t>
      </w:r>
      <w:r>
        <w:t>.</w:t>
      </w:r>
    </w:p>
  </w:footnote>
  <w:footnote w:id="2">
    <w:p w:rsidR="00953141" w:rsidRDefault="00953141">
      <w:pPr>
        <w:pStyle w:val="FootnoteText"/>
      </w:pPr>
      <w:r>
        <w:rPr>
          <w:rStyle w:val="FootnoteReference"/>
        </w:rPr>
        <w:footnoteRef/>
      </w:r>
      <w:r>
        <w:t xml:space="preserve"> </w:t>
      </w:r>
      <w:r>
        <w:tab/>
        <w:t xml:space="preserve">NGR, rr. 93, 95 and 96. </w:t>
      </w:r>
    </w:p>
  </w:footnote>
  <w:footnote w:id="3">
    <w:p w:rsidR="00953141" w:rsidRDefault="00953141">
      <w:pPr>
        <w:pStyle w:val="FootnoteText"/>
      </w:pPr>
      <w:r>
        <w:rPr>
          <w:rStyle w:val="FootnoteReference"/>
        </w:rPr>
        <w:footnoteRef/>
      </w:r>
      <w:r>
        <w:t xml:space="preserve"> </w:t>
      </w:r>
      <w:r>
        <w:tab/>
        <w:t xml:space="preserve">NGL, ss. 23 and 24. </w:t>
      </w:r>
    </w:p>
  </w:footnote>
  <w:footnote w:id="4">
    <w:p w:rsidR="00953141" w:rsidRDefault="00953141">
      <w:pPr>
        <w:pStyle w:val="FootnoteText"/>
      </w:pPr>
      <w:r>
        <w:rPr>
          <w:rStyle w:val="FootnoteReference"/>
        </w:rPr>
        <w:footnoteRef/>
      </w:r>
      <w:r>
        <w:t xml:space="preserve"> </w:t>
      </w:r>
      <w:r>
        <w:tab/>
        <w:t xml:space="preserve">APA, </w:t>
      </w:r>
      <w:r w:rsidR="001E7A88" w:rsidRPr="001E7A88">
        <w:rPr>
          <w:rStyle w:val="AERtextitalic"/>
        </w:rPr>
        <w:t>VTS Revision Proposal submission</w:t>
      </w:r>
      <w:r>
        <w:t xml:space="preserve">, </w:t>
      </w:r>
      <w:r w:rsidR="001E7A88">
        <w:t xml:space="preserve"> 3 </w:t>
      </w:r>
      <w:r>
        <w:t>January 2017, p. 220</w:t>
      </w:r>
    </w:p>
  </w:footnote>
  <w:footnote w:id="5">
    <w:p w:rsidR="00953141" w:rsidRDefault="00953141">
      <w:pPr>
        <w:pStyle w:val="FootnoteText"/>
      </w:pPr>
      <w:r>
        <w:rPr>
          <w:rStyle w:val="FootnoteReference"/>
        </w:rPr>
        <w:footnoteRef/>
      </w:r>
      <w:r>
        <w:t xml:space="preserve"> </w:t>
      </w:r>
      <w:r>
        <w:tab/>
        <w:t xml:space="preserve">APA, </w:t>
      </w:r>
      <w:r w:rsidR="001E7A88" w:rsidRPr="001E7A88">
        <w:rPr>
          <w:rStyle w:val="AERtextitalic"/>
        </w:rPr>
        <w:t>VTS Revision Proposal submission</w:t>
      </w:r>
      <w:r w:rsidR="001E7A88">
        <w:t>,  3 January 2017</w:t>
      </w:r>
      <w:r>
        <w:t>, p. 221</w:t>
      </w:r>
    </w:p>
  </w:footnote>
  <w:footnote w:id="6">
    <w:p w:rsidR="00953141" w:rsidRDefault="00953141">
      <w:pPr>
        <w:pStyle w:val="FootnoteText"/>
      </w:pPr>
      <w:r>
        <w:rPr>
          <w:rStyle w:val="FootnoteReference"/>
        </w:rPr>
        <w:footnoteRef/>
      </w:r>
      <w:r>
        <w:t xml:space="preserve"> </w:t>
      </w:r>
      <w:r>
        <w:tab/>
        <w:t xml:space="preserve">APA, </w:t>
      </w:r>
      <w:r w:rsidR="001E7A88" w:rsidRPr="001E7A88">
        <w:rPr>
          <w:rStyle w:val="AERtextitalic"/>
        </w:rPr>
        <w:t>VTS Revision Proposal submission</w:t>
      </w:r>
      <w:r w:rsidR="001E7A88">
        <w:t>,  3 January 2017</w:t>
      </w:r>
      <w:r>
        <w:t>, p. 237–240</w:t>
      </w:r>
    </w:p>
  </w:footnote>
  <w:footnote w:id="7">
    <w:p w:rsidR="00953141" w:rsidRDefault="00953141">
      <w:pPr>
        <w:pStyle w:val="FootnoteText"/>
      </w:pPr>
      <w:r>
        <w:rPr>
          <w:rStyle w:val="FootnoteReference"/>
        </w:rPr>
        <w:footnoteRef/>
      </w:r>
      <w:r>
        <w:t xml:space="preserve"> </w:t>
      </w:r>
      <w:r>
        <w:tab/>
        <w:t>APA</w:t>
      </w:r>
      <w:r w:rsidRPr="0068662D">
        <w:t xml:space="preserve">, </w:t>
      </w:r>
      <w:r w:rsidR="001E7A88" w:rsidRPr="001E7A88">
        <w:rPr>
          <w:rStyle w:val="AERtextitalic"/>
        </w:rPr>
        <w:t>VTS Revision Proposal submission</w:t>
      </w:r>
      <w:r w:rsidR="001E7A88">
        <w:t>,  3 January 2017</w:t>
      </w:r>
      <w:r w:rsidRPr="0068662D">
        <w:t>, p</w:t>
      </w:r>
      <w:r>
        <w:t>p</w:t>
      </w:r>
      <w:r w:rsidRPr="0068662D">
        <w:t xml:space="preserve">. </w:t>
      </w:r>
      <w:r>
        <w:t>225-226</w:t>
      </w:r>
    </w:p>
  </w:footnote>
  <w:footnote w:id="8">
    <w:p w:rsidR="00953141" w:rsidRDefault="00953141">
      <w:pPr>
        <w:pStyle w:val="FootnoteText"/>
      </w:pPr>
      <w:r>
        <w:rPr>
          <w:rStyle w:val="FootnoteReference"/>
        </w:rPr>
        <w:footnoteRef/>
      </w:r>
      <w:r>
        <w:t xml:space="preserve"> </w:t>
      </w:r>
      <w:r>
        <w:tab/>
        <w:t xml:space="preserve">APA, </w:t>
      </w:r>
      <w:r w:rsidRPr="004156A0">
        <w:rPr>
          <w:rStyle w:val="AERtextitalic"/>
        </w:rPr>
        <w:t>Response to AER information request IR011</w:t>
      </w:r>
      <w:r>
        <w:t>, 29 May 2017</w:t>
      </w:r>
    </w:p>
  </w:footnote>
  <w:footnote w:id="9">
    <w:p w:rsidR="00953141" w:rsidRDefault="00953141">
      <w:pPr>
        <w:pStyle w:val="FootnoteText"/>
      </w:pPr>
      <w:r>
        <w:rPr>
          <w:rStyle w:val="FootnoteReference"/>
        </w:rPr>
        <w:footnoteRef/>
      </w:r>
      <w:r>
        <w:t xml:space="preserve"> </w:t>
      </w:r>
      <w:r>
        <w:tab/>
        <w:t>APA</w:t>
      </w:r>
      <w:r w:rsidRPr="00557453">
        <w:t xml:space="preserve">, </w:t>
      </w:r>
      <w:r w:rsidR="001E7A88" w:rsidRPr="001E7A88">
        <w:rPr>
          <w:rStyle w:val="AERtextitalic"/>
        </w:rPr>
        <w:t>VTS Revision Proposal submission</w:t>
      </w:r>
      <w:r w:rsidR="001E7A88">
        <w:t>,  3 January 2017</w:t>
      </w:r>
      <w:r w:rsidRPr="00557453">
        <w:t>, p. 2</w:t>
      </w:r>
      <w:r>
        <w:t>27</w:t>
      </w:r>
    </w:p>
  </w:footnote>
  <w:footnote w:id="10">
    <w:p w:rsidR="00953141" w:rsidRDefault="00953141">
      <w:pPr>
        <w:pStyle w:val="FootnoteText"/>
      </w:pPr>
      <w:r>
        <w:rPr>
          <w:rStyle w:val="FootnoteReference"/>
        </w:rPr>
        <w:footnoteRef/>
      </w:r>
      <w:r>
        <w:t xml:space="preserve"> </w:t>
      </w:r>
      <w:r>
        <w:tab/>
        <w:t xml:space="preserve">APA, </w:t>
      </w:r>
      <w:r>
        <w:rPr>
          <w:rStyle w:val="AERtextitalic"/>
        </w:rPr>
        <w:t>Response</w:t>
      </w:r>
      <w:r w:rsidRPr="004156A0">
        <w:rPr>
          <w:rStyle w:val="AERtextitalic"/>
        </w:rPr>
        <w:t xml:space="preserve"> to AER information request IR011</w:t>
      </w:r>
      <w:r>
        <w:t>, May 29 2017</w:t>
      </w:r>
    </w:p>
  </w:footnote>
  <w:footnote w:id="11">
    <w:p w:rsidR="00953141" w:rsidRDefault="00953141" w:rsidP="007F7CAF">
      <w:pPr>
        <w:pStyle w:val="FootnoteText"/>
      </w:pPr>
      <w:r>
        <w:rPr>
          <w:rStyle w:val="FootnoteReference"/>
        </w:rPr>
        <w:footnoteRef/>
      </w:r>
      <w:r>
        <w:tab/>
      </w:r>
      <w:r w:rsidRPr="007F7CAF">
        <w:t xml:space="preserve">APA, </w:t>
      </w:r>
      <w:hyperlink r:id="rId1" w:history="1">
        <w:r w:rsidR="00422D45" w:rsidRPr="007F7CAF">
          <w:rPr>
            <w:rStyle w:val="AERtextitalic"/>
            <w:i w:val="0"/>
          </w:rPr>
          <w:t>VTS Supplementary access arrangement submission revised for Western Outer Ring Main (WORM)</w:t>
        </w:r>
      </w:hyperlink>
      <w:r w:rsidR="00422D45" w:rsidRPr="007F7CAF">
        <w:t>, 15 May 2017</w:t>
      </w:r>
      <w:r w:rsidRPr="007F7CAF">
        <w:t>, p. 45</w:t>
      </w:r>
    </w:p>
  </w:footnote>
  <w:footnote w:id="12">
    <w:p w:rsidR="00953141" w:rsidRDefault="00953141" w:rsidP="00024465">
      <w:pPr>
        <w:pStyle w:val="FootnoteText"/>
      </w:pPr>
      <w:r>
        <w:rPr>
          <w:rStyle w:val="FootnoteReference"/>
        </w:rPr>
        <w:footnoteRef/>
      </w:r>
      <w:r>
        <w:t xml:space="preserve"> </w:t>
      </w:r>
      <w:r>
        <w:tab/>
        <w:t xml:space="preserve">NGR, </w:t>
      </w:r>
      <w:proofErr w:type="gramStart"/>
      <w:r>
        <w:t>rr</w:t>
      </w:r>
      <w:proofErr w:type="gramEnd"/>
      <w:r>
        <w:t>. 93(1)–(2), 72(1)(j)–(l).</w:t>
      </w:r>
    </w:p>
  </w:footnote>
  <w:footnote w:id="13">
    <w:p w:rsidR="00953141" w:rsidRDefault="00953141" w:rsidP="00024465">
      <w:pPr>
        <w:pStyle w:val="FootnoteText"/>
      </w:pPr>
      <w:r>
        <w:rPr>
          <w:rStyle w:val="FootnoteReference"/>
        </w:rPr>
        <w:footnoteRef/>
      </w:r>
      <w:r>
        <w:t xml:space="preserve"> </w:t>
      </w:r>
      <w:r>
        <w:tab/>
        <w:t>NGR, r. 95(1).</w:t>
      </w:r>
    </w:p>
  </w:footnote>
  <w:footnote w:id="14">
    <w:p w:rsidR="00953141" w:rsidRDefault="00953141" w:rsidP="00024465">
      <w:pPr>
        <w:pStyle w:val="FootnoteText"/>
      </w:pPr>
      <w:r>
        <w:rPr>
          <w:rStyle w:val="FootnoteReference"/>
        </w:rPr>
        <w:footnoteRef/>
      </w:r>
      <w:r>
        <w:t xml:space="preserve"> </w:t>
      </w:r>
      <w:r>
        <w:tab/>
        <w:t>NGR, r. 72 (1)(j)(ii).</w:t>
      </w:r>
    </w:p>
  </w:footnote>
  <w:footnote w:id="15">
    <w:p w:rsidR="00953141" w:rsidRDefault="00953141" w:rsidP="00024465">
      <w:pPr>
        <w:pStyle w:val="FootnoteText"/>
      </w:pPr>
      <w:r>
        <w:rPr>
          <w:rStyle w:val="FootnoteReference"/>
        </w:rPr>
        <w:footnoteRef/>
      </w:r>
      <w:r>
        <w:t xml:space="preserve"> </w:t>
      </w:r>
      <w:r>
        <w:tab/>
        <w:t xml:space="preserve">NGL, s 28(2); s. 24. </w:t>
      </w:r>
    </w:p>
  </w:footnote>
  <w:footnote w:id="16">
    <w:p w:rsidR="00953141" w:rsidRDefault="00953141" w:rsidP="00024465">
      <w:pPr>
        <w:pStyle w:val="FootnoteText"/>
      </w:pPr>
      <w:r>
        <w:rPr>
          <w:rStyle w:val="FootnoteReference"/>
        </w:rPr>
        <w:footnoteRef/>
      </w:r>
      <w:r>
        <w:t xml:space="preserve"> </w:t>
      </w:r>
      <w:r>
        <w:tab/>
        <w:t xml:space="preserve">NGR, r 100(a); NGL, s. 23. </w:t>
      </w:r>
    </w:p>
  </w:footnote>
  <w:footnote w:id="17">
    <w:p w:rsidR="00953141" w:rsidRDefault="00953141" w:rsidP="00024465">
      <w:pPr>
        <w:pStyle w:val="FootnoteText"/>
      </w:pPr>
      <w:r>
        <w:rPr>
          <w:rStyle w:val="FootnoteReference"/>
        </w:rPr>
        <w:footnoteRef/>
      </w:r>
      <w:r>
        <w:t xml:space="preserve"> </w:t>
      </w:r>
      <w:r>
        <w:tab/>
        <w:t xml:space="preserve">APA, </w:t>
      </w:r>
      <w:r w:rsidRPr="006F130D">
        <w:rPr>
          <w:i/>
        </w:rPr>
        <w:t>Victorian Transmission System Access Arrangement Information Effective 1 January 2018 to 31 December 2022</w:t>
      </w:r>
      <w:r>
        <w:t xml:space="preserve">, January 2017, pp. 28–35. </w:t>
      </w:r>
    </w:p>
  </w:footnote>
  <w:footnote w:id="18">
    <w:p w:rsidR="00953141" w:rsidRPr="006F130D" w:rsidRDefault="00953141" w:rsidP="00024465">
      <w:pPr>
        <w:pStyle w:val="FootnoteText"/>
      </w:pPr>
      <w:r>
        <w:rPr>
          <w:rStyle w:val="FootnoteReference"/>
        </w:rPr>
        <w:footnoteRef/>
      </w:r>
      <w:r>
        <w:t xml:space="preserve"> </w:t>
      </w:r>
      <w:r>
        <w:tab/>
        <w:t xml:space="preserve">APA, </w:t>
      </w:r>
      <w:r w:rsidR="00422D45" w:rsidRPr="001E7A88">
        <w:rPr>
          <w:rStyle w:val="AERtextitalic"/>
        </w:rPr>
        <w:t>VTS Revision Proposal submission</w:t>
      </w:r>
      <w:r w:rsidR="00422D45">
        <w:t>,  3 January 2017</w:t>
      </w:r>
      <w:r>
        <w:t xml:space="preserve"> pp. 18–21,  242–245. </w:t>
      </w:r>
    </w:p>
  </w:footnote>
  <w:footnote w:id="19">
    <w:p w:rsidR="00953141" w:rsidRDefault="00953141">
      <w:pPr>
        <w:pStyle w:val="FootnoteText"/>
      </w:pPr>
      <w:r>
        <w:rPr>
          <w:rStyle w:val="FootnoteReference"/>
        </w:rPr>
        <w:footnoteRef/>
      </w:r>
      <w:r>
        <w:t xml:space="preserve"> </w:t>
      </w:r>
      <w:r>
        <w:tab/>
        <w:t xml:space="preserve">AER, </w:t>
      </w:r>
      <w:r w:rsidRPr="00E44A86">
        <w:rPr>
          <w:rStyle w:val="AERtextitalic"/>
        </w:rPr>
        <w:t>Draft decision revised access arrangement by GasNet Australia Ltd for the principal transmission system 14 Nov 2007</w:t>
      </w:r>
      <w:r>
        <w:t>, September 2012, Part 2, p.298.</w:t>
      </w:r>
    </w:p>
  </w:footnote>
  <w:footnote w:id="20">
    <w:p w:rsidR="00953141" w:rsidRDefault="00953141" w:rsidP="007D018D">
      <w:pPr>
        <w:pStyle w:val="FootnoteText"/>
      </w:pPr>
      <w:r>
        <w:rPr>
          <w:rStyle w:val="FootnoteReference"/>
        </w:rPr>
        <w:footnoteRef/>
      </w:r>
      <w:r>
        <w:t xml:space="preserve"> </w:t>
      </w:r>
      <w:r>
        <w:tab/>
        <w:t xml:space="preserve">APA, </w:t>
      </w:r>
      <w:hyperlink r:id="rId2" w:history="1">
        <w:r w:rsidR="001E7A88" w:rsidRPr="001E7A88">
          <w:rPr>
            <w:rStyle w:val="AERtextitalic"/>
          </w:rPr>
          <w:t>VTS Supplementary access arrangement submission revised for Western Outer Ring Main (WORM)</w:t>
        </w:r>
      </w:hyperlink>
      <w:r>
        <w:t>, 15 May 2017</w:t>
      </w:r>
    </w:p>
  </w:footnote>
  <w:footnote w:id="21">
    <w:p w:rsidR="00953141" w:rsidRDefault="00953141" w:rsidP="00CB132D">
      <w:pPr>
        <w:pStyle w:val="FootnoteText"/>
      </w:pPr>
      <w:r>
        <w:rPr>
          <w:rStyle w:val="FootnoteReference"/>
        </w:rPr>
        <w:footnoteRef/>
      </w:r>
      <w:r>
        <w:t xml:space="preserve"> </w:t>
      </w:r>
      <w:r>
        <w:tab/>
        <w:t xml:space="preserve">APA, </w:t>
      </w:r>
      <w:r w:rsidRPr="00E44A86">
        <w:rPr>
          <w:rStyle w:val="AERtextitalic"/>
        </w:rPr>
        <w:t>Email to AER</w:t>
      </w:r>
      <w:r w:rsidR="00422D45">
        <w:rPr>
          <w:rStyle w:val="AERtextitalic"/>
        </w:rPr>
        <w:t xml:space="preserve"> – Query re tariff model - confidentiality</w:t>
      </w:r>
      <w:r>
        <w:t>, 1</w:t>
      </w:r>
      <w:r w:rsidR="00422D45">
        <w:t xml:space="preserve"> June </w:t>
      </w:r>
      <w:r>
        <w:t>2017</w:t>
      </w:r>
    </w:p>
  </w:footnote>
  <w:footnote w:id="22">
    <w:p w:rsidR="00953141" w:rsidRDefault="00953141">
      <w:pPr>
        <w:pStyle w:val="FootnoteText"/>
      </w:pPr>
      <w:r>
        <w:rPr>
          <w:rStyle w:val="FootnoteReference"/>
        </w:rPr>
        <w:footnoteRef/>
      </w:r>
      <w:r>
        <w:t xml:space="preserve"> </w:t>
      </w:r>
      <w:r>
        <w:tab/>
        <w:t xml:space="preserve">APA, </w:t>
      </w:r>
      <w:r w:rsidRPr="00E44A86">
        <w:rPr>
          <w:rStyle w:val="AERtextitalic"/>
        </w:rPr>
        <w:t>Email to AER</w:t>
      </w:r>
      <w:r w:rsidR="00422D45">
        <w:rPr>
          <w:rStyle w:val="AERtextitalic"/>
        </w:rPr>
        <w:t xml:space="preserve"> – Cost allocation through the tariff model</w:t>
      </w:r>
      <w:r>
        <w:t>, 18 May 2017.</w:t>
      </w:r>
    </w:p>
  </w:footnote>
  <w:footnote w:id="23">
    <w:p w:rsidR="00953141" w:rsidRDefault="00953141" w:rsidP="009D29E1">
      <w:pPr>
        <w:pStyle w:val="FootnoteText"/>
      </w:pPr>
      <w:r>
        <w:rPr>
          <w:rStyle w:val="FootnoteReference"/>
        </w:rPr>
        <w:footnoteRef/>
      </w:r>
      <w:r>
        <w:t xml:space="preserve"> </w:t>
      </w:r>
      <w:r>
        <w:tab/>
        <w:t>Section 8.16(a)(ii)(A) of the Code</w:t>
      </w:r>
    </w:p>
  </w:footnote>
  <w:footnote w:id="24">
    <w:p w:rsidR="00953141" w:rsidRDefault="00953141" w:rsidP="009D29E1">
      <w:pPr>
        <w:pStyle w:val="FootnoteText"/>
      </w:pPr>
      <w:r>
        <w:rPr>
          <w:rStyle w:val="FootnoteReference"/>
        </w:rPr>
        <w:footnoteRef/>
      </w:r>
      <w:r>
        <w:t xml:space="preserve"> </w:t>
      </w:r>
      <w:r>
        <w:tab/>
        <w:t>Section 8.16(a)(ii)(B) of the Code</w:t>
      </w:r>
    </w:p>
  </w:footnote>
  <w:footnote w:id="25">
    <w:p w:rsidR="00953141" w:rsidRDefault="00953141">
      <w:pPr>
        <w:pStyle w:val="FootnoteText"/>
      </w:pPr>
      <w:r>
        <w:rPr>
          <w:rStyle w:val="FootnoteReference"/>
        </w:rPr>
        <w:footnoteRef/>
      </w:r>
      <w:r>
        <w:t xml:space="preserve"> </w:t>
      </w:r>
      <w:r>
        <w:tab/>
        <w:t xml:space="preserve">ACCC, </w:t>
      </w:r>
      <w:r w:rsidRPr="00F5525C">
        <w:rPr>
          <w:rStyle w:val="AERtextitalic"/>
        </w:rPr>
        <w:t>Final decision, GasNet access arrangement 2003–07</w:t>
      </w:r>
      <w:r>
        <w:t>, p.65</w:t>
      </w:r>
    </w:p>
  </w:footnote>
  <w:footnote w:id="26">
    <w:p w:rsidR="00953141" w:rsidRDefault="00953141">
      <w:pPr>
        <w:pStyle w:val="FootnoteText"/>
      </w:pPr>
      <w:r>
        <w:rPr>
          <w:rStyle w:val="FootnoteReference"/>
        </w:rPr>
        <w:footnoteRef/>
      </w:r>
      <w:r>
        <w:t xml:space="preserve"> </w:t>
      </w:r>
      <w:r>
        <w:tab/>
        <w:t xml:space="preserve">AER, </w:t>
      </w:r>
      <w:r w:rsidRPr="00F5525C">
        <w:rPr>
          <w:rStyle w:val="AERtextitalic"/>
        </w:rPr>
        <w:t>Draft Decision - GasNet Australia revised access arrangement 2008–12</w:t>
      </w:r>
      <w:r>
        <w:t>, p.181</w:t>
      </w:r>
    </w:p>
  </w:footnote>
  <w:footnote w:id="27">
    <w:p w:rsidR="00953141" w:rsidRDefault="00953141" w:rsidP="009D29E1">
      <w:pPr>
        <w:pStyle w:val="FootnoteText"/>
      </w:pPr>
      <w:r>
        <w:rPr>
          <w:rStyle w:val="FootnoteReference"/>
        </w:rPr>
        <w:footnoteRef/>
      </w:r>
      <w:r>
        <w:t xml:space="preserve"> </w:t>
      </w:r>
      <w:r>
        <w:tab/>
        <w:t xml:space="preserve">AER, </w:t>
      </w:r>
      <w:r w:rsidRPr="00F5525C">
        <w:rPr>
          <w:rStyle w:val="AERtextitalic"/>
        </w:rPr>
        <w:t>Draft Decision APA GasNet September 2012</w:t>
      </w:r>
      <w:r>
        <w:t>, p 299</w:t>
      </w:r>
    </w:p>
  </w:footnote>
  <w:footnote w:id="28">
    <w:p w:rsidR="00953141" w:rsidRDefault="00953141" w:rsidP="0001326A">
      <w:pPr>
        <w:pStyle w:val="FootnoteText"/>
      </w:pPr>
      <w:r>
        <w:rPr>
          <w:rStyle w:val="FootnoteReference"/>
        </w:rPr>
        <w:footnoteRef/>
      </w:r>
      <w:r>
        <w:t xml:space="preserve"> </w:t>
      </w:r>
      <w:r>
        <w:tab/>
        <w:t xml:space="preserve">APA, </w:t>
      </w:r>
      <w:r w:rsidR="00422D45" w:rsidRPr="001E7A88">
        <w:rPr>
          <w:rStyle w:val="AERtextitalic"/>
        </w:rPr>
        <w:t>VTS Revision Proposal submission</w:t>
      </w:r>
      <w:r w:rsidR="00422D45">
        <w:t>,  3 January 2017</w:t>
      </w:r>
      <w:r>
        <w:t>, p225</w:t>
      </w:r>
    </w:p>
  </w:footnote>
  <w:footnote w:id="29">
    <w:p w:rsidR="00953141" w:rsidRDefault="00953141" w:rsidP="009D29E1">
      <w:pPr>
        <w:pStyle w:val="FootnoteText"/>
      </w:pPr>
      <w:r>
        <w:rPr>
          <w:rStyle w:val="FootnoteReference"/>
        </w:rPr>
        <w:footnoteRef/>
      </w:r>
      <w:r>
        <w:t xml:space="preserve"> </w:t>
      </w:r>
      <w:r>
        <w:tab/>
        <w:t xml:space="preserve">APA, </w:t>
      </w:r>
      <w:r w:rsidR="00422D45" w:rsidRPr="001E7A88">
        <w:rPr>
          <w:rStyle w:val="AERtextitalic"/>
        </w:rPr>
        <w:t>VTS Revision Proposal submission</w:t>
      </w:r>
      <w:r w:rsidR="00422D45">
        <w:t>,  3 January 2017</w:t>
      </w:r>
      <w:r>
        <w:t>, p225</w:t>
      </w:r>
    </w:p>
  </w:footnote>
  <w:footnote w:id="30">
    <w:p w:rsidR="00953141" w:rsidRDefault="00953141">
      <w:pPr>
        <w:pStyle w:val="FootnoteText"/>
      </w:pPr>
      <w:r>
        <w:rPr>
          <w:rStyle w:val="FootnoteReference"/>
        </w:rPr>
        <w:footnoteRef/>
      </w:r>
      <w:r>
        <w:t xml:space="preserve"> </w:t>
      </w:r>
      <w:r>
        <w:tab/>
        <w:t xml:space="preserve">APA, </w:t>
      </w:r>
      <w:hyperlink r:id="rId3" w:history="1">
        <w:r>
          <w:t xml:space="preserve">APA VTS–10–B.10 </w:t>
        </w:r>
        <w:r w:rsidRPr="00D07D85">
          <w:t>Iona refill tariff calculation - January 2017</w:t>
        </w:r>
      </w:hyperlink>
    </w:p>
  </w:footnote>
  <w:footnote w:id="31">
    <w:p w:rsidR="00953141" w:rsidRDefault="00953141">
      <w:pPr>
        <w:pStyle w:val="FootnoteText"/>
      </w:pPr>
      <w:r>
        <w:rPr>
          <w:rStyle w:val="FootnoteReference"/>
        </w:rPr>
        <w:footnoteRef/>
      </w:r>
      <w:r>
        <w:t xml:space="preserve"> </w:t>
      </w:r>
      <w:r>
        <w:tab/>
        <w:t>NGR, rule 95(3)(a)</w:t>
      </w:r>
    </w:p>
  </w:footnote>
  <w:footnote w:id="32">
    <w:p w:rsidR="00953141" w:rsidRDefault="00953141">
      <w:pPr>
        <w:pStyle w:val="FootnoteText"/>
      </w:pPr>
      <w:r>
        <w:rPr>
          <w:rStyle w:val="FootnoteReference"/>
        </w:rPr>
        <w:footnoteRef/>
      </w:r>
      <w:r>
        <w:t xml:space="preserve"> </w:t>
      </w:r>
      <w:r>
        <w:tab/>
      </w:r>
      <w:r w:rsidR="00422D45" w:rsidRPr="00422D45">
        <w:t xml:space="preserve">Consumer Challenge Panel (CCP11) - </w:t>
      </w:r>
      <w:r w:rsidR="00422D45" w:rsidRPr="00422D45">
        <w:rPr>
          <w:rStyle w:val="AERtextitalic"/>
        </w:rPr>
        <w:t>Advice to the AER regarding APA VTS proposal to complete the WORM in the 2018-22 access arrangement period</w:t>
      </w:r>
      <w:r w:rsidR="00422D45" w:rsidRPr="00422D45">
        <w:t xml:space="preserve"> - 6 June 2017</w:t>
      </w:r>
      <w:r>
        <w:t>.</w:t>
      </w:r>
    </w:p>
  </w:footnote>
  <w:footnote w:id="33">
    <w:p w:rsidR="00953141" w:rsidRDefault="00953141">
      <w:pPr>
        <w:pStyle w:val="FootnoteText"/>
      </w:pPr>
      <w:r>
        <w:rPr>
          <w:rStyle w:val="FootnoteReference"/>
        </w:rPr>
        <w:footnoteRef/>
      </w:r>
      <w:r>
        <w:t xml:space="preserve"> </w:t>
      </w:r>
      <w:r>
        <w:tab/>
        <w:t xml:space="preserve">Consumer Challenge Panel (CCP 11), </w:t>
      </w:r>
      <w:r w:rsidR="00422D45" w:rsidRPr="00422D45">
        <w:rPr>
          <w:rStyle w:val="AERtextitalic"/>
        </w:rPr>
        <w:t>Response to proposal from APA VTS for the 2018-22 access arrangement</w:t>
      </w:r>
      <w:r>
        <w:t>, 3 March 2017, p.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41" w:rsidRDefault="00953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A3A6266"/>
    <w:multiLevelType w:val="multilevel"/>
    <w:tmpl w:val="A93864D8"/>
    <w:lvl w:ilvl="0">
      <w:start w:val="1"/>
      <w:numFmt w:val="bullet"/>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4C78FD"/>
    <w:multiLevelType w:val="hybridMultilevel"/>
    <w:tmpl w:val="AA60B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B04E34C0"/>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2BF0570"/>
    <w:multiLevelType w:val="hybridMultilevel"/>
    <w:tmpl w:val="2C38EE7E"/>
    <w:lvl w:ilvl="0" w:tplc="605E865A">
      <w:start w:val="1"/>
      <w:numFmt w:val="bullet"/>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3">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1"/>
  </w:num>
  <w:num w:numId="15">
    <w:abstractNumId w:val="15"/>
  </w:num>
  <w:num w:numId="16">
    <w:abstractNumId w:val="23"/>
  </w:num>
  <w:num w:numId="17">
    <w:abstractNumId w:val="10"/>
  </w:num>
  <w:num w:numId="18">
    <w:abstractNumId w:val="18"/>
  </w:num>
  <w:num w:numId="19">
    <w:abstractNumId w:val="24"/>
  </w:num>
  <w:num w:numId="20">
    <w:abstractNumId w:val="31"/>
  </w:num>
  <w:num w:numId="21">
    <w:abstractNumId w:val="27"/>
  </w:num>
  <w:num w:numId="22">
    <w:abstractNumId w:val="25"/>
  </w:num>
  <w:num w:numId="23">
    <w:abstractNumId w:val="19"/>
  </w:num>
  <w:num w:numId="24">
    <w:abstractNumId w:val="26"/>
  </w:num>
  <w:num w:numId="25">
    <w:abstractNumId w:val="28"/>
  </w:num>
  <w:num w:numId="26">
    <w:abstractNumId w:val="20"/>
  </w:num>
  <w:num w:numId="27">
    <w:abstractNumId w:val="17"/>
  </w:num>
  <w:num w:numId="28">
    <w:abstractNumId w:val="33"/>
  </w:num>
  <w:num w:numId="29">
    <w:abstractNumId w:val="22"/>
  </w:num>
  <w:num w:numId="30">
    <w:abstractNumId w:val="9"/>
  </w:num>
  <w:num w:numId="31">
    <w:abstractNumId w:val="32"/>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9"/>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6"/>
  </w:num>
  <w:num w:numId="37">
    <w:abstractNumId w:val="34"/>
  </w:num>
  <w:num w:numId="38">
    <w:abstractNumId w:val="14"/>
  </w:num>
  <w:num w:numId="39">
    <w:abstractNumId w:val="29"/>
  </w:num>
  <w:num w:numId="4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brcwClmZrYNt1B2Qp6aySYhxENcVGnPCiznNGo+AZc=" w:saltValue="JXd2bJH/RQ/HJ17ojPZ9Xw==" w:algorithmName="SHA-256"/>
  <w:defaultTabStop w:val="340"/>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275D"/>
    <w:rsid w:val="000051DC"/>
    <w:rsid w:val="0000658F"/>
    <w:rsid w:val="0001326A"/>
    <w:rsid w:val="00013FE0"/>
    <w:rsid w:val="00014B4D"/>
    <w:rsid w:val="0001507B"/>
    <w:rsid w:val="00020016"/>
    <w:rsid w:val="00021202"/>
    <w:rsid w:val="00021C2B"/>
    <w:rsid w:val="0002359F"/>
    <w:rsid w:val="00024465"/>
    <w:rsid w:val="0002498B"/>
    <w:rsid w:val="0002517F"/>
    <w:rsid w:val="00026187"/>
    <w:rsid w:val="000266FC"/>
    <w:rsid w:val="00026C9A"/>
    <w:rsid w:val="000273B3"/>
    <w:rsid w:val="00027E2D"/>
    <w:rsid w:val="00034F89"/>
    <w:rsid w:val="00035166"/>
    <w:rsid w:val="00035340"/>
    <w:rsid w:val="0003578C"/>
    <w:rsid w:val="000415F8"/>
    <w:rsid w:val="00044DA3"/>
    <w:rsid w:val="000474DF"/>
    <w:rsid w:val="00054C4B"/>
    <w:rsid w:val="00055A67"/>
    <w:rsid w:val="0005675A"/>
    <w:rsid w:val="00061B2A"/>
    <w:rsid w:val="00063247"/>
    <w:rsid w:val="0006624E"/>
    <w:rsid w:val="00070F9F"/>
    <w:rsid w:val="0007137B"/>
    <w:rsid w:val="00071CFF"/>
    <w:rsid w:val="00073B74"/>
    <w:rsid w:val="00076416"/>
    <w:rsid w:val="000805A8"/>
    <w:rsid w:val="0008190B"/>
    <w:rsid w:val="000836D9"/>
    <w:rsid w:val="00084F29"/>
    <w:rsid w:val="000854E6"/>
    <w:rsid w:val="00085663"/>
    <w:rsid w:val="00085EBF"/>
    <w:rsid w:val="00091B15"/>
    <w:rsid w:val="00091C0F"/>
    <w:rsid w:val="00094839"/>
    <w:rsid w:val="00095186"/>
    <w:rsid w:val="000A0E71"/>
    <w:rsid w:val="000A1C0C"/>
    <w:rsid w:val="000A3020"/>
    <w:rsid w:val="000A3522"/>
    <w:rsid w:val="000A4840"/>
    <w:rsid w:val="000A4958"/>
    <w:rsid w:val="000A62C1"/>
    <w:rsid w:val="000A6A79"/>
    <w:rsid w:val="000A6C7B"/>
    <w:rsid w:val="000B0A7B"/>
    <w:rsid w:val="000B1173"/>
    <w:rsid w:val="000B253F"/>
    <w:rsid w:val="000B2996"/>
    <w:rsid w:val="000B5827"/>
    <w:rsid w:val="000B7037"/>
    <w:rsid w:val="000C02D1"/>
    <w:rsid w:val="000C0C63"/>
    <w:rsid w:val="000C0F74"/>
    <w:rsid w:val="000C2B40"/>
    <w:rsid w:val="000C3442"/>
    <w:rsid w:val="000C5255"/>
    <w:rsid w:val="000C5DB4"/>
    <w:rsid w:val="000D07A7"/>
    <w:rsid w:val="000D122C"/>
    <w:rsid w:val="000D497F"/>
    <w:rsid w:val="000D63CC"/>
    <w:rsid w:val="000D75B0"/>
    <w:rsid w:val="000E1819"/>
    <w:rsid w:val="000E4821"/>
    <w:rsid w:val="000E4AA9"/>
    <w:rsid w:val="000E6C72"/>
    <w:rsid w:val="000E7F39"/>
    <w:rsid w:val="000F53D4"/>
    <w:rsid w:val="00100EA2"/>
    <w:rsid w:val="00101AA1"/>
    <w:rsid w:val="00102338"/>
    <w:rsid w:val="00103553"/>
    <w:rsid w:val="00104566"/>
    <w:rsid w:val="00104FF6"/>
    <w:rsid w:val="00105949"/>
    <w:rsid w:val="001114AA"/>
    <w:rsid w:val="00112684"/>
    <w:rsid w:val="00115743"/>
    <w:rsid w:val="001169E4"/>
    <w:rsid w:val="00116EB2"/>
    <w:rsid w:val="0012132C"/>
    <w:rsid w:val="00124609"/>
    <w:rsid w:val="00126A4C"/>
    <w:rsid w:val="001270E3"/>
    <w:rsid w:val="00132D43"/>
    <w:rsid w:val="00133366"/>
    <w:rsid w:val="00133F47"/>
    <w:rsid w:val="00134029"/>
    <w:rsid w:val="00141550"/>
    <w:rsid w:val="00142C2D"/>
    <w:rsid w:val="00142F69"/>
    <w:rsid w:val="00144C96"/>
    <w:rsid w:val="0014573B"/>
    <w:rsid w:val="001463A3"/>
    <w:rsid w:val="0015073A"/>
    <w:rsid w:val="001514ED"/>
    <w:rsid w:val="00154101"/>
    <w:rsid w:val="001573E4"/>
    <w:rsid w:val="00160756"/>
    <w:rsid w:val="00161DC8"/>
    <w:rsid w:val="001655BB"/>
    <w:rsid w:val="00166760"/>
    <w:rsid w:val="0017232E"/>
    <w:rsid w:val="00174102"/>
    <w:rsid w:val="001754EE"/>
    <w:rsid w:val="00180157"/>
    <w:rsid w:val="001809BC"/>
    <w:rsid w:val="00180E97"/>
    <w:rsid w:val="001820B4"/>
    <w:rsid w:val="001841B0"/>
    <w:rsid w:val="00184351"/>
    <w:rsid w:val="00184AC8"/>
    <w:rsid w:val="00185AE4"/>
    <w:rsid w:val="00185BA5"/>
    <w:rsid w:val="00185CB9"/>
    <w:rsid w:val="00185DBE"/>
    <w:rsid w:val="001860EE"/>
    <w:rsid w:val="00186ADC"/>
    <w:rsid w:val="00186F77"/>
    <w:rsid w:val="001877A4"/>
    <w:rsid w:val="001926A4"/>
    <w:rsid w:val="00192AD5"/>
    <w:rsid w:val="001943E7"/>
    <w:rsid w:val="00194597"/>
    <w:rsid w:val="00194E00"/>
    <w:rsid w:val="00195ECD"/>
    <w:rsid w:val="0019745E"/>
    <w:rsid w:val="00197B16"/>
    <w:rsid w:val="001A429D"/>
    <w:rsid w:val="001A530D"/>
    <w:rsid w:val="001A5FB3"/>
    <w:rsid w:val="001A7155"/>
    <w:rsid w:val="001B45A0"/>
    <w:rsid w:val="001B680E"/>
    <w:rsid w:val="001B6925"/>
    <w:rsid w:val="001C33F3"/>
    <w:rsid w:val="001C55F0"/>
    <w:rsid w:val="001D055E"/>
    <w:rsid w:val="001E1B3F"/>
    <w:rsid w:val="001E27A6"/>
    <w:rsid w:val="001E7161"/>
    <w:rsid w:val="001E7A88"/>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34DA"/>
    <w:rsid w:val="00224DB9"/>
    <w:rsid w:val="0022569A"/>
    <w:rsid w:val="00226761"/>
    <w:rsid w:val="00227FA9"/>
    <w:rsid w:val="0023005C"/>
    <w:rsid w:val="00231012"/>
    <w:rsid w:val="00233775"/>
    <w:rsid w:val="0023414B"/>
    <w:rsid w:val="00240A5D"/>
    <w:rsid w:val="00241DCB"/>
    <w:rsid w:val="00243635"/>
    <w:rsid w:val="00245A39"/>
    <w:rsid w:val="00247079"/>
    <w:rsid w:val="00251745"/>
    <w:rsid w:val="00251BFB"/>
    <w:rsid w:val="00252048"/>
    <w:rsid w:val="0025402F"/>
    <w:rsid w:val="002552BA"/>
    <w:rsid w:val="00257F2E"/>
    <w:rsid w:val="00260016"/>
    <w:rsid w:val="00260621"/>
    <w:rsid w:val="00262A60"/>
    <w:rsid w:val="00263AC0"/>
    <w:rsid w:val="00264264"/>
    <w:rsid w:val="00264E20"/>
    <w:rsid w:val="0026689B"/>
    <w:rsid w:val="0026772D"/>
    <w:rsid w:val="0027234B"/>
    <w:rsid w:val="002723A4"/>
    <w:rsid w:val="002730B2"/>
    <w:rsid w:val="00274C7E"/>
    <w:rsid w:val="00275E6F"/>
    <w:rsid w:val="002777CF"/>
    <w:rsid w:val="002810F2"/>
    <w:rsid w:val="00286874"/>
    <w:rsid w:val="00290C63"/>
    <w:rsid w:val="00291A99"/>
    <w:rsid w:val="00292ACE"/>
    <w:rsid w:val="00293B6D"/>
    <w:rsid w:val="00294B08"/>
    <w:rsid w:val="0029518C"/>
    <w:rsid w:val="002963DD"/>
    <w:rsid w:val="00296B65"/>
    <w:rsid w:val="002A2234"/>
    <w:rsid w:val="002A6D04"/>
    <w:rsid w:val="002A7DEF"/>
    <w:rsid w:val="002B0696"/>
    <w:rsid w:val="002B65A9"/>
    <w:rsid w:val="002C0222"/>
    <w:rsid w:val="002C1499"/>
    <w:rsid w:val="002C233C"/>
    <w:rsid w:val="002C44F7"/>
    <w:rsid w:val="002C517B"/>
    <w:rsid w:val="002D3509"/>
    <w:rsid w:val="002D3A19"/>
    <w:rsid w:val="002D5457"/>
    <w:rsid w:val="002D72E8"/>
    <w:rsid w:val="002D79AD"/>
    <w:rsid w:val="002D7F44"/>
    <w:rsid w:val="002E175B"/>
    <w:rsid w:val="002E17E4"/>
    <w:rsid w:val="002E22C9"/>
    <w:rsid w:val="002E268F"/>
    <w:rsid w:val="002E5AC1"/>
    <w:rsid w:val="002E78DD"/>
    <w:rsid w:val="002E7B22"/>
    <w:rsid w:val="002F12EC"/>
    <w:rsid w:val="002F3BC4"/>
    <w:rsid w:val="002F77E7"/>
    <w:rsid w:val="002F7986"/>
    <w:rsid w:val="00301B40"/>
    <w:rsid w:val="00301C82"/>
    <w:rsid w:val="003029EE"/>
    <w:rsid w:val="00304D38"/>
    <w:rsid w:val="00305CC8"/>
    <w:rsid w:val="00307F6D"/>
    <w:rsid w:val="00314D83"/>
    <w:rsid w:val="0031571F"/>
    <w:rsid w:val="0031734C"/>
    <w:rsid w:val="003177A2"/>
    <w:rsid w:val="00317E02"/>
    <w:rsid w:val="003271B5"/>
    <w:rsid w:val="00327A1E"/>
    <w:rsid w:val="00327E28"/>
    <w:rsid w:val="00331264"/>
    <w:rsid w:val="00334C8D"/>
    <w:rsid w:val="003367D7"/>
    <w:rsid w:val="003378BD"/>
    <w:rsid w:val="003424EA"/>
    <w:rsid w:val="00342870"/>
    <w:rsid w:val="00342C2F"/>
    <w:rsid w:val="003436EB"/>
    <w:rsid w:val="00343A18"/>
    <w:rsid w:val="00345744"/>
    <w:rsid w:val="003518B3"/>
    <w:rsid w:val="00353E79"/>
    <w:rsid w:val="00361716"/>
    <w:rsid w:val="00364EA0"/>
    <w:rsid w:val="00366981"/>
    <w:rsid w:val="003702CF"/>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8574D"/>
    <w:rsid w:val="00390E6A"/>
    <w:rsid w:val="00393ABE"/>
    <w:rsid w:val="00395DB6"/>
    <w:rsid w:val="00395E68"/>
    <w:rsid w:val="00397398"/>
    <w:rsid w:val="003A371A"/>
    <w:rsid w:val="003A59CD"/>
    <w:rsid w:val="003A6B00"/>
    <w:rsid w:val="003B1574"/>
    <w:rsid w:val="003B1EA9"/>
    <w:rsid w:val="003B30B2"/>
    <w:rsid w:val="003B47AB"/>
    <w:rsid w:val="003B484F"/>
    <w:rsid w:val="003B504B"/>
    <w:rsid w:val="003B5179"/>
    <w:rsid w:val="003B685C"/>
    <w:rsid w:val="003B7FBA"/>
    <w:rsid w:val="003C206A"/>
    <w:rsid w:val="003C3FF9"/>
    <w:rsid w:val="003C47E2"/>
    <w:rsid w:val="003C6537"/>
    <w:rsid w:val="003C6A13"/>
    <w:rsid w:val="003C764A"/>
    <w:rsid w:val="003C78BA"/>
    <w:rsid w:val="003D192B"/>
    <w:rsid w:val="003D41F1"/>
    <w:rsid w:val="003D42AB"/>
    <w:rsid w:val="003D5B94"/>
    <w:rsid w:val="003E0D3A"/>
    <w:rsid w:val="003E3AAB"/>
    <w:rsid w:val="003E5CFE"/>
    <w:rsid w:val="003E7FE9"/>
    <w:rsid w:val="003F07D4"/>
    <w:rsid w:val="003F09E9"/>
    <w:rsid w:val="003F174D"/>
    <w:rsid w:val="003F2329"/>
    <w:rsid w:val="003F6985"/>
    <w:rsid w:val="003F7B44"/>
    <w:rsid w:val="00400FD2"/>
    <w:rsid w:val="0040331C"/>
    <w:rsid w:val="00403711"/>
    <w:rsid w:val="00404C52"/>
    <w:rsid w:val="00404E7A"/>
    <w:rsid w:val="004156A0"/>
    <w:rsid w:val="004156D5"/>
    <w:rsid w:val="00415990"/>
    <w:rsid w:val="00415BA9"/>
    <w:rsid w:val="00415F31"/>
    <w:rsid w:val="0041691D"/>
    <w:rsid w:val="00417863"/>
    <w:rsid w:val="0042000C"/>
    <w:rsid w:val="0042090E"/>
    <w:rsid w:val="00421F27"/>
    <w:rsid w:val="00422D45"/>
    <w:rsid w:val="00422F87"/>
    <w:rsid w:val="004238D8"/>
    <w:rsid w:val="00423A77"/>
    <w:rsid w:val="004324F4"/>
    <w:rsid w:val="00434544"/>
    <w:rsid w:val="00445D43"/>
    <w:rsid w:val="00446CD2"/>
    <w:rsid w:val="00447D01"/>
    <w:rsid w:val="0045449B"/>
    <w:rsid w:val="004553EF"/>
    <w:rsid w:val="0045777E"/>
    <w:rsid w:val="004630EF"/>
    <w:rsid w:val="00465258"/>
    <w:rsid w:val="00465575"/>
    <w:rsid w:val="00471716"/>
    <w:rsid w:val="00471BC6"/>
    <w:rsid w:val="00471FCC"/>
    <w:rsid w:val="0047420B"/>
    <w:rsid w:val="00475C43"/>
    <w:rsid w:val="00476221"/>
    <w:rsid w:val="004766F5"/>
    <w:rsid w:val="00477416"/>
    <w:rsid w:val="00480B4B"/>
    <w:rsid w:val="004838D8"/>
    <w:rsid w:val="00485DC4"/>
    <w:rsid w:val="00486F14"/>
    <w:rsid w:val="004940A8"/>
    <w:rsid w:val="00494D04"/>
    <w:rsid w:val="004A40BA"/>
    <w:rsid w:val="004A43D1"/>
    <w:rsid w:val="004A492B"/>
    <w:rsid w:val="004A4E14"/>
    <w:rsid w:val="004A66AC"/>
    <w:rsid w:val="004B4412"/>
    <w:rsid w:val="004C1D78"/>
    <w:rsid w:val="004C348C"/>
    <w:rsid w:val="004C44C8"/>
    <w:rsid w:val="004C462E"/>
    <w:rsid w:val="004C6CA3"/>
    <w:rsid w:val="004C7F5E"/>
    <w:rsid w:val="004D023F"/>
    <w:rsid w:val="004D343C"/>
    <w:rsid w:val="004D372A"/>
    <w:rsid w:val="004D3F8A"/>
    <w:rsid w:val="004D5408"/>
    <w:rsid w:val="004D55BA"/>
    <w:rsid w:val="004D720C"/>
    <w:rsid w:val="004E0FA7"/>
    <w:rsid w:val="004E22EC"/>
    <w:rsid w:val="004F0BFA"/>
    <w:rsid w:val="004F10E3"/>
    <w:rsid w:val="004F13DA"/>
    <w:rsid w:val="004F4D69"/>
    <w:rsid w:val="004F5821"/>
    <w:rsid w:val="004F6883"/>
    <w:rsid w:val="004F6A0E"/>
    <w:rsid w:val="004F6BB3"/>
    <w:rsid w:val="00500219"/>
    <w:rsid w:val="005009CD"/>
    <w:rsid w:val="00504E5F"/>
    <w:rsid w:val="0051337E"/>
    <w:rsid w:val="00513FA7"/>
    <w:rsid w:val="0051768F"/>
    <w:rsid w:val="00522DC2"/>
    <w:rsid w:val="00530128"/>
    <w:rsid w:val="00532467"/>
    <w:rsid w:val="00532BA9"/>
    <w:rsid w:val="005332A9"/>
    <w:rsid w:val="0053603C"/>
    <w:rsid w:val="00537871"/>
    <w:rsid w:val="00537FC3"/>
    <w:rsid w:val="00542FE9"/>
    <w:rsid w:val="0054331A"/>
    <w:rsid w:val="00544598"/>
    <w:rsid w:val="00544C8D"/>
    <w:rsid w:val="00544DFD"/>
    <w:rsid w:val="00546B88"/>
    <w:rsid w:val="005546B9"/>
    <w:rsid w:val="005564D2"/>
    <w:rsid w:val="00556B1E"/>
    <w:rsid w:val="00557453"/>
    <w:rsid w:val="0055764E"/>
    <w:rsid w:val="00564A4D"/>
    <w:rsid w:val="0056598C"/>
    <w:rsid w:val="00565F70"/>
    <w:rsid w:val="00566880"/>
    <w:rsid w:val="00566B9F"/>
    <w:rsid w:val="00566E0B"/>
    <w:rsid w:val="00567A7D"/>
    <w:rsid w:val="00567BA5"/>
    <w:rsid w:val="00571B35"/>
    <w:rsid w:val="00571B43"/>
    <w:rsid w:val="00571D57"/>
    <w:rsid w:val="00573A3B"/>
    <w:rsid w:val="00573CC3"/>
    <w:rsid w:val="00577716"/>
    <w:rsid w:val="00577A09"/>
    <w:rsid w:val="005829C2"/>
    <w:rsid w:val="00584D8F"/>
    <w:rsid w:val="00586512"/>
    <w:rsid w:val="00587A18"/>
    <w:rsid w:val="00587ADE"/>
    <w:rsid w:val="005A0BEC"/>
    <w:rsid w:val="005A404D"/>
    <w:rsid w:val="005A45FC"/>
    <w:rsid w:val="005B0833"/>
    <w:rsid w:val="005B1E3C"/>
    <w:rsid w:val="005B4D13"/>
    <w:rsid w:val="005B5190"/>
    <w:rsid w:val="005B6518"/>
    <w:rsid w:val="005B704A"/>
    <w:rsid w:val="005B72D7"/>
    <w:rsid w:val="005C045F"/>
    <w:rsid w:val="005C16FE"/>
    <w:rsid w:val="005C1A6C"/>
    <w:rsid w:val="005C1FAB"/>
    <w:rsid w:val="005C21A4"/>
    <w:rsid w:val="005C26CC"/>
    <w:rsid w:val="005C4463"/>
    <w:rsid w:val="005C4C3D"/>
    <w:rsid w:val="005D3D88"/>
    <w:rsid w:val="005D48C4"/>
    <w:rsid w:val="005D6208"/>
    <w:rsid w:val="005D6366"/>
    <w:rsid w:val="005D7BA2"/>
    <w:rsid w:val="005E36C2"/>
    <w:rsid w:val="005E4AF4"/>
    <w:rsid w:val="005E6488"/>
    <w:rsid w:val="005F387E"/>
    <w:rsid w:val="005F73E6"/>
    <w:rsid w:val="00601E0B"/>
    <w:rsid w:val="0060258B"/>
    <w:rsid w:val="006068CC"/>
    <w:rsid w:val="006073B2"/>
    <w:rsid w:val="00610EF9"/>
    <w:rsid w:val="00611DF4"/>
    <w:rsid w:val="00612F4F"/>
    <w:rsid w:val="00614EA0"/>
    <w:rsid w:val="00615C6B"/>
    <w:rsid w:val="00617D4C"/>
    <w:rsid w:val="006204AC"/>
    <w:rsid w:val="00621DCE"/>
    <w:rsid w:val="00621FC5"/>
    <w:rsid w:val="00624F2C"/>
    <w:rsid w:val="00632D6D"/>
    <w:rsid w:val="00633752"/>
    <w:rsid w:val="00636569"/>
    <w:rsid w:val="00636EF9"/>
    <w:rsid w:val="00642C3E"/>
    <w:rsid w:val="00644A01"/>
    <w:rsid w:val="00644F8B"/>
    <w:rsid w:val="00651E2D"/>
    <w:rsid w:val="00652324"/>
    <w:rsid w:val="006560FF"/>
    <w:rsid w:val="006577FB"/>
    <w:rsid w:val="0066104A"/>
    <w:rsid w:val="00663066"/>
    <w:rsid w:val="0066333B"/>
    <w:rsid w:val="00663DAD"/>
    <w:rsid w:val="00664206"/>
    <w:rsid w:val="006649E7"/>
    <w:rsid w:val="006653AE"/>
    <w:rsid w:val="00666634"/>
    <w:rsid w:val="00671692"/>
    <w:rsid w:val="00671F2B"/>
    <w:rsid w:val="00672303"/>
    <w:rsid w:val="00675E20"/>
    <w:rsid w:val="00676679"/>
    <w:rsid w:val="00683C89"/>
    <w:rsid w:val="0068662D"/>
    <w:rsid w:val="006903A2"/>
    <w:rsid w:val="006912BB"/>
    <w:rsid w:val="00691B53"/>
    <w:rsid w:val="00697D0B"/>
    <w:rsid w:val="006A0634"/>
    <w:rsid w:val="006A12BA"/>
    <w:rsid w:val="006A4739"/>
    <w:rsid w:val="006A66A1"/>
    <w:rsid w:val="006B032D"/>
    <w:rsid w:val="006B1629"/>
    <w:rsid w:val="006B2395"/>
    <w:rsid w:val="006B40AC"/>
    <w:rsid w:val="006B4CF9"/>
    <w:rsid w:val="006B797C"/>
    <w:rsid w:val="006B7AC8"/>
    <w:rsid w:val="006C0235"/>
    <w:rsid w:val="006C1736"/>
    <w:rsid w:val="006C2E14"/>
    <w:rsid w:val="006C329B"/>
    <w:rsid w:val="006C387F"/>
    <w:rsid w:val="006C52C7"/>
    <w:rsid w:val="006C5B61"/>
    <w:rsid w:val="006C6303"/>
    <w:rsid w:val="006D550F"/>
    <w:rsid w:val="006D5F9A"/>
    <w:rsid w:val="006D6146"/>
    <w:rsid w:val="006D614C"/>
    <w:rsid w:val="006D7F7E"/>
    <w:rsid w:val="006E0CFF"/>
    <w:rsid w:val="006F0D92"/>
    <w:rsid w:val="006F267D"/>
    <w:rsid w:val="006F49A6"/>
    <w:rsid w:val="006F5C0B"/>
    <w:rsid w:val="006F7A93"/>
    <w:rsid w:val="0070011E"/>
    <w:rsid w:val="007019E3"/>
    <w:rsid w:val="00701CAB"/>
    <w:rsid w:val="007023BB"/>
    <w:rsid w:val="00704DD7"/>
    <w:rsid w:val="00707563"/>
    <w:rsid w:val="00710D19"/>
    <w:rsid w:val="00715F61"/>
    <w:rsid w:val="0072000F"/>
    <w:rsid w:val="00720CCA"/>
    <w:rsid w:val="00722132"/>
    <w:rsid w:val="007228F7"/>
    <w:rsid w:val="0072348C"/>
    <w:rsid w:val="00724A37"/>
    <w:rsid w:val="007303C3"/>
    <w:rsid w:val="00731188"/>
    <w:rsid w:val="0073190C"/>
    <w:rsid w:val="007356CC"/>
    <w:rsid w:val="007368E6"/>
    <w:rsid w:val="007375DF"/>
    <w:rsid w:val="007429BE"/>
    <w:rsid w:val="00743223"/>
    <w:rsid w:val="00743349"/>
    <w:rsid w:val="0074403A"/>
    <w:rsid w:val="00746E01"/>
    <w:rsid w:val="00751DCD"/>
    <w:rsid w:val="00753E8E"/>
    <w:rsid w:val="00755084"/>
    <w:rsid w:val="00757364"/>
    <w:rsid w:val="00757BDF"/>
    <w:rsid w:val="007609D0"/>
    <w:rsid w:val="00761454"/>
    <w:rsid w:val="0076193D"/>
    <w:rsid w:val="0076215A"/>
    <w:rsid w:val="00763E5D"/>
    <w:rsid w:val="00767740"/>
    <w:rsid w:val="00767B5E"/>
    <w:rsid w:val="007723A7"/>
    <w:rsid w:val="00775460"/>
    <w:rsid w:val="00777EE6"/>
    <w:rsid w:val="00782EEA"/>
    <w:rsid w:val="007909B4"/>
    <w:rsid w:val="00790E86"/>
    <w:rsid w:val="007949D7"/>
    <w:rsid w:val="007A0143"/>
    <w:rsid w:val="007A34C2"/>
    <w:rsid w:val="007A396C"/>
    <w:rsid w:val="007A4B02"/>
    <w:rsid w:val="007A5C77"/>
    <w:rsid w:val="007B0BE3"/>
    <w:rsid w:val="007B1816"/>
    <w:rsid w:val="007B186E"/>
    <w:rsid w:val="007B25DC"/>
    <w:rsid w:val="007B2C72"/>
    <w:rsid w:val="007B3789"/>
    <w:rsid w:val="007B651F"/>
    <w:rsid w:val="007B7BB5"/>
    <w:rsid w:val="007C1C53"/>
    <w:rsid w:val="007C284C"/>
    <w:rsid w:val="007C4B82"/>
    <w:rsid w:val="007C74BB"/>
    <w:rsid w:val="007C7860"/>
    <w:rsid w:val="007C790A"/>
    <w:rsid w:val="007C7F64"/>
    <w:rsid w:val="007D018D"/>
    <w:rsid w:val="007D0A95"/>
    <w:rsid w:val="007D0EB5"/>
    <w:rsid w:val="007D11B6"/>
    <w:rsid w:val="007D456E"/>
    <w:rsid w:val="007D5837"/>
    <w:rsid w:val="007E4904"/>
    <w:rsid w:val="007E4CB5"/>
    <w:rsid w:val="007E4DAE"/>
    <w:rsid w:val="007E53DF"/>
    <w:rsid w:val="007E6305"/>
    <w:rsid w:val="007F066B"/>
    <w:rsid w:val="007F4EAB"/>
    <w:rsid w:val="007F5B16"/>
    <w:rsid w:val="007F7C9D"/>
    <w:rsid w:val="007F7CAF"/>
    <w:rsid w:val="008016BC"/>
    <w:rsid w:val="008033C4"/>
    <w:rsid w:val="0080544B"/>
    <w:rsid w:val="00806731"/>
    <w:rsid w:val="00806C88"/>
    <w:rsid w:val="0081034E"/>
    <w:rsid w:val="00810806"/>
    <w:rsid w:val="00815882"/>
    <w:rsid w:val="00820454"/>
    <w:rsid w:val="00820BFD"/>
    <w:rsid w:val="00822AC7"/>
    <w:rsid w:val="00822E86"/>
    <w:rsid w:val="00827C04"/>
    <w:rsid w:val="00834249"/>
    <w:rsid w:val="008344F6"/>
    <w:rsid w:val="0083510F"/>
    <w:rsid w:val="0083673B"/>
    <w:rsid w:val="008376F5"/>
    <w:rsid w:val="00837BF3"/>
    <w:rsid w:val="008415DE"/>
    <w:rsid w:val="008420DE"/>
    <w:rsid w:val="008454CC"/>
    <w:rsid w:val="00845865"/>
    <w:rsid w:val="0084766F"/>
    <w:rsid w:val="0084799B"/>
    <w:rsid w:val="00850C90"/>
    <w:rsid w:val="00851209"/>
    <w:rsid w:val="0085171F"/>
    <w:rsid w:val="00857F41"/>
    <w:rsid w:val="00861548"/>
    <w:rsid w:val="00862E67"/>
    <w:rsid w:val="00863706"/>
    <w:rsid w:val="008648F0"/>
    <w:rsid w:val="008658A1"/>
    <w:rsid w:val="0086716A"/>
    <w:rsid w:val="00867E66"/>
    <w:rsid w:val="00870613"/>
    <w:rsid w:val="008715FB"/>
    <w:rsid w:val="0087380F"/>
    <w:rsid w:val="00874554"/>
    <w:rsid w:val="0087648F"/>
    <w:rsid w:val="00876612"/>
    <w:rsid w:val="00877FBF"/>
    <w:rsid w:val="00882BB1"/>
    <w:rsid w:val="008837AC"/>
    <w:rsid w:val="008909DC"/>
    <w:rsid w:val="00894255"/>
    <w:rsid w:val="008945AD"/>
    <w:rsid w:val="008962D9"/>
    <w:rsid w:val="008A0645"/>
    <w:rsid w:val="008A09A7"/>
    <w:rsid w:val="008A0DEE"/>
    <w:rsid w:val="008A1C02"/>
    <w:rsid w:val="008A370D"/>
    <w:rsid w:val="008A4EEB"/>
    <w:rsid w:val="008A5047"/>
    <w:rsid w:val="008A56D6"/>
    <w:rsid w:val="008A587D"/>
    <w:rsid w:val="008B16B0"/>
    <w:rsid w:val="008B1BD5"/>
    <w:rsid w:val="008B35CD"/>
    <w:rsid w:val="008B4093"/>
    <w:rsid w:val="008B5FCC"/>
    <w:rsid w:val="008B7F36"/>
    <w:rsid w:val="008C357F"/>
    <w:rsid w:val="008C5486"/>
    <w:rsid w:val="008C7F1B"/>
    <w:rsid w:val="008D0C74"/>
    <w:rsid w:val="008D0E0E"/>
    <w:rsid w:val="008D1661"/>
    <w:rsid w:val="008D27E0"/>
    <w:rsid w:val="008D5F90"/>
    <w:rsid w:val="008D6800"/>
    <w:rsid w:val="008D72F1"/>
    <w:rsid w:val="008E4089"/>
    <w:rsid w:val="008E5AFF"/>
    <w:rsid w:val="008E7031"/>
    <w:rsid w:val="008E77DE"/>
    <w:rsid w:val="008F040C"/>
    <w:rsid w:val="008F07A3"/>
    <w:rsid w:val="008F3322"/>
    <w:rsid w:val="008F3519"/>
    <w:rsid w:val="008F3A0D"/>
    <w:rsid w:val="008F3BBD"/>
    <w:rsid w:val="009001B6"/>
    <w:rsid w:val="00900E1B"/>
    <w:rsid w:val="0090131F"/>
    <w:rsid w:val="00904258"/>
    <w:rsid w:val="00907683"/>
    <w:rsid w:val="009132B7"/>
    <w:rsid w:val="00916A2C"/>
    <w:rsid w:val="00921718"/>
    <w:rsid w:val="009233EE"/>
    <w:rsid w:val="00930B1A"/>
    <w:rsid w:val="00932612"/>
    <w:rsid w:val="009327DC"/>
    <w:rsid w:val="00932B04"/>
    <w:rsid w:val="009338D9"/>
    <w:rsid w:val="009339BD"/>
    <w:rsid w:val="009356CF"/>
    <w:rsid w:val="00945E53"/>
    <w:rsid w:val="009460AA"/>
    <w:rsid w:val="00946BF0"/>
    <w:rsid w:val="00946E12"/>
    <w:rsid w:val="0094763A"/>
    <w:rsid w:val="00951978"/>
    <w:rsid w:val="00951CD8"/>
    <w:rsid w:val="00952C8B"/>
    <w:rsid w:val="00952E58"/>
    <w:rsid w:val="00953141"/>
    <w:rsid w:val="00961A4A"/>
    <w:rsid w:val="009661DE"/>
    <w:rsid w:val="009679E4"/>
    <w:rsid w:val="00972C7C"/>
    <w:rsid w:val="00976142"/>
    <w:rsid w:val="0097705F"/>
    <w:rsid w:val="009776F4"/>
    <w:rsid w:val="0098298D"/>
    <w:rsid w:val="00982D08"/>
    <w:rsid w:val="00982DA2"/>
    <w:rsid w:val="00983C25"/>
    <w:rsid w:val="0098466D"/>
    <w:rsid w:val="009856B7"/>
    <w:rsid w:val="009859D6"/>
    <w:rsid w:val="00985C86"/>
    <w:rsid w:val="00992746"/>
    <w:rsid w:val="009A19C4"/>
    <w:rsid w:val="009A2291"/>
    <w:rsid w:val="009A3CA6"/>
    <w:rsid w:val="009A5FC3"/>
    <w:rsid w:val="009B3058"/>
    <w:rsid w:val="009B4CA8"/>
    <w:rsid w:val="009B5D02"/>
    <w:rsid w:val="009B5D49"/>
    <w:rsid w:val="009B675B"/>
    <w:rsid w:val="009B6F84"/>
    <w:rsid w:val="009B74B0"/>
    <w:rsid w:val="009C0152"/>
    <w:rsid w:val="009C165B"/>
    <w:rsid w:val="009C1A74"/>
    <w:rsid w:val="009C235E"/>
    <w:rsid w:val="009C37A9"/>
    <w:rsid w:val="009C3D42"/>
    <w:rsid w:val="009C491E"/>
    <w:rsid w:val="009C49A4"/>
    <w:rsid w:val="009C688C"/>
    <w:rsid w:val="009D0DF1"/>
    <w:rsid w:val="009D22D6"/>
    <w:rsid w:val="009D29E1"/>
    <w:rsid w:val="009D2C84"/>
    <w:rsid w:val="009D3906"/>
    <w:rsid w:val="009D616C"/>
    <w:rsid w:val="009D6B46"/>
    <w:rsid w:val="009E0541"/>
    <w:rsid w:val="009E35B6"/>
    <w:rsid w:val="009E5ABC"/>
    <w:rsid w:val="009F3BBA"/>
    <w:rsid w:val="009F43B4"/>
    <w:rsid w:val="009F47F0"/>
    <w:rsid w:val="009F4940"/>
    <w:rsid w:val="009F5BA1"/>
    <w:rsid w:val="00A00A34"/>
    <w:rsid w:val="00A02A88"/>
    <w:rsid w:val="00A04012"/>
    <w:rsid w:val="00A046FA"/>
    <w:rsid w:val="00A0562E"/>
    <w:rsid w:val="00A0726D"/>
    <w:rsid w:val="00A073AE"/>
    <w:rsid w:val="00A12204"/>
    <w:rsid w:val="00A12750"/>
    <w:rsid w:val="00A13CB0"/>
    <w:rsid w:val="00A14A17"/>
    <w:rsid w:val="00A14BE1"/>
    <w:rsid w:val="00A1561F"/>
    <w:rsid w:val="00A16544"/>
    <w:rsid w:val="00A2262B"/>
    <w:rsid w:val="00A23373"/>
    <w:rsid w:val="00A25A8E"/>
    <w:rsid w:val="00A30221"/>
    <w:rsid w:val="00A30BF5"/>
    <w:rsid w:val="00A30DA2"/>
    <w:rsid w:val="00A30ECC"/>
    <w:rsid w:val="00A31BE6"/>
    <w:rsid w:val="00A32FBB"/>
    <w:rsid w:val="00A331F7"/>
    <w:rsid w:val="00A34497"/>
    <w:rsid w:val="00A40068"/>
    <w:rsid w:val="00A40BE9"/>
    <w:rsid w:val="00A428EE"/>
    <w:rsid w:val="00A443C2"/>
    <w:rsid w:val="00A4478A"/>
    <w:rsid w:val="00A44852"/>
    <w:rsid w:val="00A477EF"/>
    <w:rsid w:val="00A50502"/>
    <w:rsid w:val="00A50FBF"/>
    <w:rsid w:val="00A523E0"/>
    <w:rsid w:val="00A53409"/>
    <w:rsid w:val="00A53796"/>
    <w:rsid w:val="00A53848"/>
    <w:rsid w:val="00A56945"/>
    <w:rsid w:val="00A56A6E"/>
    <w:rsid w:val="00A56E8F"/>
    <w:rsid w:val="00A57D04"/>
    <w:rsid w:val="00A606EC"/>
    <w:rsid w:val="00A60A26"/>
    <w:rsid w:val="00A61598"/>
    <w:rsid w:val="00A61777"/>
    <w:rsid w:val="00A63098"/>
    <w:rsid w:val="00A63646"/>
    <w:rsid w:val="00A63914"/>
    <w:rsid w:val="00A63994"/>
    <w:rsid w:val="00A64B37"/>
    <w:rsid w:val="00A6619D"/>
    <w:rsid w:val="00A748DE"/>
    <w:rsid w:val="00A84A99"/>
    <w:rsid w:val="00A84F46"/>
    <w:rsid w:val="00A8541D"/>
    <w:rsid w:val="00A85E87"/>
    <w:rsid w:val="00A86017"/>
    <w:rsid w:val="00A86AEA"/>
    <w:rsid w:val="00A871F4"/>
    <w:rsid w:val="00A93FC4"/>
    <w:rsid w:val="00A9431A"/>
    <w:rsid w:val="00A95988"/>
    <w:rsid w:val="00A959DF"/>
    <w:rsid w:val="00A97A1B"/>
    <w:rsid w:val="00AA2808"/>
    <w:rsid w:val="00AA2927"/>
    <w:rsid w:val="00AB2CB8"/>
    <w:rsid w:val="00AB4617"/>
    <w:rsid w:val="00AC0C74"/>
    <w:rsid w:val="00AC1B2C"/>
    <w:rsid w:val="00AC3264"/>
    <w:rsid w:val="00AC32FC"/>
    <w:rsid w:val="00AC4409"/>
    <w:rsid w:val="00AC46AD"/>
    <w:rsid w:val="00AC4D2D"/>
    <w:rsid w:val="00AC58EC"/>
    <w:rsid w:val="00AC7282"/>
    <w:rsid w:val="00AC7961"/>
    <w:rsid w:val="00AC7BD9"/>
    <w:rsid w:val="00AD314E"/>
    <w:rsid w:val="00AD5FCD"/>
    <w:rsid w:val="00AD6928"/>
    <w:rsid w:val="00AD6B48"/>
    <w:rsid w:val="00AD7A3A"/>
    <w:rsid w:val="00AE0F1C"/>
    <w:rsid w:val="00AE1BF1"/>
    <w:rsid w:val="00AE23AB"/>
    <w:rsid w:val="00AE58FB"/>
    <w:rsid w:val="00AE5AF0"/>
    <w:rsid w:val="00AE614C"/>
    <w:rsid w:val="00AE663D"/>
    <w:rsid w:val="00AE67E5"/>
    <w:rsid w:val="00AE73B3"/>
    <w:rsid w:val="00AE7E29"/>
    <w:rsid w:val="00AF07E7"/>
    <w:rsid w:val="00AF0DD2"/>
    <w:rsid w:val="00AF31E1"/>
    <w:rsid w:val="00AF3BBA"/>
    <w:rsid w:val="00AF4231"/>
    <w:rsid w:val="00B00B0E"/>
    <w:rsid w:val="00B00B26"/>
    <w:rsid w:val="00B02385"/>
    <w:rsid w:val="00B02459"/>
    <w:rsid w:val="00B02F9D"/>
    <w:rsid w:val="00B04A17"/>
    <w:rsid w:val="00B05766"/>
    <w:rsid w:val="00B117FC"/>
    <w:rsid w:val="00B13048"/>
    <w:rsid w:val="00B13883"/>
    <w:rsid w:val="00B1716D"/>
    <w:rsid w:val="00B17A1D"/>
    <w:rsid w:val="00B207A0"/>
    <w:rsid w:val="00B21C21"/>
    <w:rsid w:val="00B22F54"/>
    <w:rsid w:val="00B23F85"/>
    <w:rsid w:val="00B24A7E"/>
    <w:rsid w:val="00B25C0C"/>
    <w:rsid w:val="00B304B5"/>
    <w:rsid w:val="00B308A9"/>
    <w:rsid w:val="00B31047"/>
    <w:rsid w:val="00B33148"/>
    <w:rsid w:val="00B342EF"/>
    <w:rsid w:val="00B35CDF"/>
    <w:rsid w:val="00B361A3"/>
    <w:rsid w:val="00B376D7"/>
    <w:rsid w:val="00B403C2"/>
    <w:rsid w:val="00B405A1"/>
    <w:rsid w:val="00B426C9"/>
    <w:rsid w:val="00B4438A"/>
    <w:rsid w:val="00B45AA2"/>
    <w:rsid w:val="00B479CA"/>
    <w:rsid w:val="00B5084F"/>
    <w:rsid w:val="00B514DD"/>
    <w:rsid w:val="00B52AF0"/>
    <w:rsid w:val="00B53D5F"/>
    <w:rsid w:val="00B54051"/>
    <w:rsid w:val="00B561BD"/>
    <w:rsid w:val="00B56E03"/>
    <w:rsid w:val="00B62765"/>
    <w:rsid w:val="00B64C7F"/>
    <w:rsid w:val="00B65DF5"/>
    <w:rsid w:val="00B7679F"/>
    <w:rsid w:val="00B77159"/>
    <w:rsid w:val="00B80141"/>
    <w:rsid w:val="00B8080B"/>
    <w:rsid w:val="00B82223"/>
    <w:rsid w:val="00B87BA5"/>
    <w:rsid w:val="00B87C39"/>
    <w:rsid w:val="00B93891"/>
    <w:rsid w:val="00B94BA4"/>
    <w:rsid w:val="00B9562D"/>
    <w:rsid w:val="00BA0327"/>
    <w:rsid w:val="00BA21DA"/>
    <w:rsid w:val="00BA2B60"/>
    <w:rsid w:val="00BA3C93"/>
    <w:rsid w:val="00BA4665"/>
    <w:rsid w:val="00BA54E9"/>
    <w:rsid w:val="00BA7FD7"/>
    <w:rsid w:val="00BB1681"/>
    <w:rsid w:val="00BB210C"/>
    <w:rsid w:val="00BB2FB2"/>
    <w:rsid w:val="00BB3304"/>
    <w:rsid w:val="00BB6551"/>
    <w:rsid w:val="00BC4A10"/>
    <w:rsid w:val="00BD30F4"/>
    <w:rsid w:val="00BD3446"/>
    <w:rsid w:val="00BD3915"/>
    <w:rsid w:val="00BD59CF"/>
    <w:rsid w:val="00BE1312"/>
    <w:rsid w:val="00BE1F1B"/>
    <w:rsid w:val="00BE3F89"/>
    <w:rsid w:val="00BE47B5"/>
    <w:rsid w:val="00BE5FCE"/>
    <w:rsid w:val="00BF1A1D"/>
    <w:rsid w:val="00BF5AEC"/>
    <w:rsid w:val="00C0079E"/>
    <w:rsid w:val="00C01840"/>
    <w:rsid w:val="00C01B19"/>
    <w:rsid w:val="00C04486"/>
    <w:rsid w:val="00C0572A"/>
    <w:rsid w:val="00C074AF"/>
    <w:rsid w:val="00C10423"/>
    <w:rsid w:val="00C10986"/>
    <w:rsid w:val="00C13EBD"/>
    <w:rsid w:val="00C155F5"/>
    <w:rsid w:val="00C1631B"/>
    <w:rsid w:val="00C163AB"/>
    <w:rsid w:val="00C16FAD"/>
    <w:rsid w:val="00C170F0"/>
    <w:rsid w:val="00C25962"/>
    <w:rsid w:val="00C25FA6"/>
    <w:rsid w:val="00C3099D"/>
    <w:rsid w:val="00C30DF3"/>
    <w:rsid w:val="00C33011"/>
    <w:rsid w:val="00C362C1"/>
    <w:rsid w:val="00C37F2E"/>
    <w:rsid w:val="00C41950"/>
    <w:rsid w:val="00C42C3B"/>
    <w:rsid w:val="00C51672"/>
    <w:rsid w:val="00C5229F"/>
    <w:rsid w:val="00C53487"/>
    <w:rsid w:val="00C538A9"/>
    <w:rsid w:val="00C53B5A"/>
    <w:rsid w:val="00C53E41"/>
    <w:rsid w:val="00C54909"/>
    <w:rsid w:val="00C54AF3"/>
    <w:rsid w:val="00C54E80"/>
    <w:rsid w:val="00C54F5A"/>
    <w:rsid w:val="00C569B4"/>
    <w:rsid w:val="00C57DDE"/>
    <w:rsid w:val="00C57E87"/>
    <w:rsid w:val="00C61468"/>
    <w:rsid w:val="00C61A97"/>
    <w:rsid w:val="00C61E44"/>
    <w:rsid w:val="00C64FF3"/>
    <w:rsid w:val="00C662AD"/>
    <w:rsid w:val="00C67A92"/>
    <w:rsid w:val="00C71280"/>
    <w:rsid w:val="00C717BF"/>
    <w:rsid w:val="00C76178"/>
    <w:rsid w:val="00C76AAB"/>
    <w:rsid w:val="00C82644"/>
    <w:rsid w:val="00C82C85"/>
    <w:rsid w:val="00C84560"/>
    <w:rsid w:val="00C84B14"/>
    <w:rsid w:val="00C86679"/>
    <w:rsid w:val="00C86F39"/>
    <w:rsid w:val="00C8792F"/>
    <w:rsid w:val="00C90108"/>
    <w:rsid w:val="00C9045E"/>
    <w:rsid w:val="00C90472"/>
    <w:rsid w:val="00C91D6E"/>
    <w:rsid w:val="00C93B86"/>
    <w:rsid w:val="00C93F6A"/>
    <w:rsid w:val="00C95822"/>
    <w:rsid w:val="00CA489E"/>
    <w:rsid w:val="00CA69C9"/>
    <w:rsid w:val="00CB0279"/>
    <w:rsid w:val="00CB132D"/>
    <w:rsid w:val="00CB58D4"/>
    <w:rsid w:val="00CB666B"/>
    <w:rsid w:val="00CB734B"/>
    <w:rsid w:val="00CC41B6"/>
    <w:rsid w:val="00CC5A5B"/>
    <w:rsid w:val="00CC7ADA"/>
    <w:rsid w:val="00CC7F1D"/>
    <w:rsid w:val="00CD0A88"/>
    <w:rsid w:val="00CD125D"/>
    <w:rsid w:val="00CD283C"/>
    <w:rsid w:val="00CD3641"/>
    <w:rsid w:val="00CD3DE1"/>
    <w:rsid w:val="00CD66EA"/>
    <w:rsid w:val="00CD7432"/>
    <w:rsid w:val="00CE0802"/>
    <w:rsid w:val="00CE0FA5"/>
    <w:rsid w:val="00CE289F"/>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07D85"/>
    <w:rsid w:val="00D10343"/>
    <w:rsid w:val="00D10AAA"/>
    <w:rsid w:val="00D12A7B"/>
    <w:rsid w:val="00D12ADB"/>
    <w:rsid w:val="00D15E63"/>
    <w:rsid w:val="00D168C3"/>
    <w:rsid w:val="00D17652"/>
    <w:rsid w:val="00D17A5F"/>
    <w:rsid w:val="00D21598"/>
    <w:rsid w:val="00D22310"/>
    <w:rsid w:val="00D25A39"/>
    <w:rsid w:val="00D27CFA"/>
    <w:rsid w:val="00D310FA"/>
    <w:rsid w:val="00D325C6"/>
    <w:rsid w:val="00D36C8B"/>
    <w:rsid w:val="00D37213"/>
    <w:rsid w:val="00D4360D"/>
    <w:rsid w:val="00D5015C"/>
    <w:rsid w:val="00D53EE6"/>
    <w:rsid w:val="00D55710"/>
    <w:rsid w:val="00D5607F"/>
    <w:rsid w:val="00D61388"/>
    <w:rsid w:val="00D61A54"/>
    <w:rsid w:val="00D62108"/>
    <w:rsid w:val="00D64AA4"/>
    <w:rsid w:val="00D64DEA"/>
    <w:rsid w:val="00D64F6D"/>
    <w:rsid w:val="00D64F84"/>
    <w:rsid w:val="00D6537D"/>
    <w:rsid w:val="00D663CD"/>
    <w:rsid w:val="00D6726A"/>
    <w:rsid w:val="00D7001B"/>
    <w:rsid w:val="00D7160D"/>
    <w:rsid w:val="00D7168E"/>
    <w:rsid w:val="00D71E57"/>
    <w:rsid w:val="00D72D27"/>
    <w:rsid w:val="00D75CD7"/>
    <w:rsid w:val="00D7786B"/>
    <w:rsid w:val="00D80893"/>
    <w:rsid w:val="00D82519"/>
    <w:rsid w:val="00D84854"/>
    <w:rsid w:val="00D924AE"/>
    <w:rsid w:val="00D92CF1"/>
    <w:rsid w:val="00D92D38"/>
    <w:rsid w:val="00D950F5"/>
    <w:rsid w:val="00D97379"/>
    <w:rsid w:val="00DA1768"/>
    <w:rsid w:val="00DA4752"/>
    <w:rsid w:val="00DA4C09"/>
    <w:rsid w:val="00DA55EF"/>
    <w:rsid w:val="00DA61F3"/>
    <w:rsid w:val="00DA7CB3"/>
    <w:rsid w:val="00DB0D00"/>
    <w:rsid w:val="00DB0F93"/>
    <w:rsid w:val="00DB1A67"/>
    <w:rsid w:val="00DB311D"/>
    <w:rsid w:val="00DB3721"/>
    <w:rsid w:val="00DB4454"/>
    <w:rsid w:val="00DB5074"/>
    <w:rsid w:val="00DC0281"/>
    <w:rsid w:val="00DC1930"/>
    <w:rsid w:val="00DC1C76"/>
    <w:rsid w:val="00DC1E47"/>
    <w:rsid w:val="00DC4DBF"/>
    <w:rsid w:val="00DC4E19"/>
    <w:rsid w:val="00DC65FE"/>
    <w:rsid w:val="00DC7981"/>
    <w:rsid w:val="00DD0ABE"/>
    <w:rsid w:val="00DD4C07"/>
    <w:rsid w:val="00DD577D"/>
    <w:rsid w:val="00DD5ADC"/>
    <w:rsid w:val="00DE1093"/>
    <w:rsid w:val="00DE4EFA"/>
    <w:rsid w:val="00DE5520"/>
    <w:rsid w:val="00DE563D"/>
    <w:rsid w:val="00DE56AB"/>
    <w:rsid w:val="00DE7AB5"/>
    <w:rsid w:val="00DF0152"/>
    <w:rsid w:val="00DF1958"/>
    <w:rsid w:val="00DF6127"/>
    <w:rsid w:val="00E0094B"/>
    <w:rsid w:val="00E017F5"/>
    <w:rsid w:val="00E04818"/>
    <w:rsid w:val="00E06442"/>
    <w:rsid w:val="00E06952"/>
    <w:rsid w:val="00E11E61"/>
    <w:rsid w:val="00E157B2"/>
    <w:rsid w:val="00E16055"/>
    <w:rsid w:val="00E2332D"/>
    <w:rsid w:val="00E23993"/>
    <w:rsid w:val="00E2574F"/>
    <w:rsid w:val="00E25951"/>
    <w:rsid w:val="00E25B8C"/>
    <w:rsid w:val="00E2626A"/>
    <w:rsid w:val="00E30858"/>
    <w:rsid w:val="00E31A8E"/>
    <w:rsid w:val="00E31CF6"/>
    <w:rsid w:val="00E34A4A"/>
    <w:rsid w:val="00E35AFC"/>
    <w:rsid w:val="00E41D39"/>
    <w:rsid w:val="00E4325F"/>
    <w:rsid w:val="00E43600"/>
    <w:rsid w:val="00E44A86"/>
    <w:rsid w:val="00E457A8"/>
    <w:rsid w:val="00E50431"/>
    <w:rsid w:val="00E50A02"/>
    <w:rsid w:val="00E50A37"/>
    <w:rsid w:val="00E511D5"/>
    <w:rsid w:val="00E54106"/>
    <w:rsid w:val="00E54697"/>
    <w:rsid w:val="00E57A08"/>
    <w:rsid w:val="00E63631"/>
    <w:rsid w:val="00E64C2A"/>
    <w:rsid w:val="00E65200"/>
    <w:rsid w:val="00E65C85"/>
    <w:rsid w:val="00E66199"/>
    <w:rsid w:val="00E70526"/>
    <w:rsid w:val="00E754B4"/>
    <w:rsid w:val="00E755EC"/>
    <w:rsid w:val="00E7624D"/>
    <w:rsid w:val="00E81724"/>
    <w:rsid w:val="00E81850"/>
    <w:rsid w:val="00E819A4"/>
    <w:rsid w:val="00E81FF3"/>
    <w:rsid w:val="00E833FA"/>
    <w:rsid w:val="00E84B74"/>
    <w:rsid w:val="00E87066"/>
    <w:rsid w:val="00E966BF"/>
    <w:rsid w:val="00EA0C04"/>
    <w:rsid w:val="00EA0EFD"/>
    <w:rsid w:val="00EA3D42"/>
    <w:rsid w:val="00EA53F1"/>
    <w:rsid w:val="00EA6B1B"/>
    <w:rsid w:val="00EB1CBD"/>
    <w:rsid w:val="00EB3A34"/>
    <w:rsid w:val="00EB3C3F"/>
    <w:rsid w:val="00EB499A"/>
    <w:rsid w:val="00EC04F1"/>
    <w:rsid w:val="00EC20C4"/>
    <w:rsid w:val="00EC237F"/>
    <w:rsid w:val="00EC2CF2"/>
    <w:rsid w:val="00EC573A"/>
    <w:rsid w:val="00ED35C8"/>
    <w:rsid w:val="00ED3968"/>
    <w:rsid w:val="00ED4F87"/>
    <w:rsid w:val="00ED7323"/>
    <w:rsid w:val="00EE17B1"/>
    <w:rsid w:val="00EE1DF8"/>
    <w:rsid w:val="00EE28D9"/>
    <w:rsid w:val="00EE28F3"/>
    <w:rsid w:val="00EE50D1"/>
    <w:rsid w:val="00EE55F4"/>
    <w:rsid w:val="00EE6794"/>
    <w:rsid w:val="00EE6FA0"/>
    <w:rsid w:val="00EE7614"/>
    <w:rsid w:val="00EF3516"/>
    <w:rsid w:val="00EF413A"/>
    <w:rsid w:val="00EF4FAC"/>
    <w:rsid w:val="00EF5110"/>
    <w:rsid w:val="00EF5890"/>
    <w:rsid w:val="00EF76BA"/>
    <w:rsid w:val="00F0231A"/>
    <w:rsid w:val="00F03463"/>
    <w:rsid w:val="00F036B7"/>
    <w:rsid w:val="00F05B72"/>
    <w:rsid w:val="00F06866"/>
    <w:rsid w:val="00F0700F"/>
    <w:rsid w:val="00F07F1F"/>
    <w:rsid w:val="00F10411"/>
    <w:rsid w:val="00F10A9A"/>
    <w:rsid w:val="00F11B2D"/>
    <w:rsid w:val="00F121C2"/>
    <w:rsid w:val="00F1485B"/>
    <w:rsid w:val="00F15882"/>
    <w:rsid w:val="00F170C7"/>
    <w:rsid w:val="00F171E0"/>
    <w:rsid w:val="00F17864"/>
    <w:rsid w:val="00F20BD3"/>
    <w:rsid w:val="00F22A8C"/>
    <w:rsid w:val="00F322E9"/>
    <w:rsid w:val="00F3231B"/>
    <w:rsid w:val="00F33808"/>
    <w:rsid w:val="00F342F4"/>
    <w:rsid w:val="00F373A5"/>
    <w:rsid w:val="00F37864"/>
    <w:rsid w:val="00F404F9"/>
    <w:rsid w:val="00F41EAF"/>
    <w:rsid w:val="00F431B3"/>
    <w:rsid w:val="00F44B0A"/>
    <w:rsid w:val="00F4565F"/>
    <w:rsid w:val="00F47559"/>
    <w:rsid w:val="00F50B30"/>
    <w:rsid w:val="00F51F5F"/>
    <w:rsid w:val="00F52D75"/>
    <w:rsid w:val="00F5525C"/>
    <w:rsid w:val="00F55582"/>
    <w:rsid w:val="00F57647"/>
    <w:rsid w:val="00F60701"/>
    <w:rsid w:val="00F62A14"/>
    <w:rsid w:val="00F644AB"/>
    <w:rsid w:val="00F64C7B"/>
    <w:rsid w:val="00F66723"/>
    <w:rsid w:val="00F676DD"/>
    <w:rsid w:val="00F67AB6"/>
    <w:rsid w:val="00F70028"/>
    <w:rsid w:val="00F70434"/>
    <w:rsid w:val="00F70F3D"/>
    <w:rsid w:val="00F75A26"/>
    <w:rsid w:val="00F76706"/>
    <w:rsid w:val="00F76F4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474B"/>
    <w:rsid w:val="00FB5005"/>
    <w:rsid w:val="00FB60FE"/>
    <w:rsid w:val="00FB74E2"/>
    <w:rsid w:val="00FB778B"/>
    <w:rsid w:val="00FC08AE"/>
    <w:rsid w:val="00FC1466"/>
    <w:rsid w:val="00FD3756"/>
    <w:rsid w:val="00FD42D7"/>
    <w:rsid w:val="00FD4645"/>
    <w:rsid w:val="00FD5614"/>
    <w:rsid w:val="00FD5E78"/>
    <w:rsid w:val="00FE0BE1"/>
    <w:rsid w:val="00FE11BB"/>
    <w:rsid w:val="00FE1DE9"/>
    <w:rsid w:val="00FE36AF"/>
    <w:rsid w:val="00FE39C2"/>
    <w:rsid w:val="00FE3C32"/>
    <w:rsid w:val="00FE64AE"/>
    <w:rsid w:val="00FE728D"/>
    <w:rsid w:val="00FE7320"/>
    <w:rsid w:val="00FF4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1E7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1E7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380441095">
      <w:bodyDiv w:val="1"/>
      <w:marLeft w:val="0"/>
      <w:marRight w:val="0"/>
      <w:marTop w:val="0"/>
      <w:marBottom w:val="0"/>
      <w:divBdr>
        <w:top w:val="none" w:sz="0" w:space="0" w:color="auto"/>
        <w:left w:val="none" w:sz="0" w:space="0" w:color="auto"/>
        <w:bottom w:val="none" w:sz="0" w:space="0" w:color="auto"/>
        <w:right w:val="none" w:sz="0" w:space="0" w:color="auto"/>
      </w:divBdr>
    </w:div>
    <w:div w:id="445849165">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72355100">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4647160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48380901">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system/files/APA%20VTS%20-%20B10%20-%20Iona%20refill%20tariff%20calculation%20-%2020170103%20-%20Public.xlsx" TargetMode="External"/><Relationship Id="rId2" Type="http://schemas.openxmlformats.org/officeDocument/2006/relationships/hyperlink" Target="https://www.aer.gov.au/system/files/APA%20VTS-VTS%20Supplementary%20AA%20submission%20revised%20for%20WORM-20170515-Public.pdf" TargetMode="External"/><Relationship Id="rId1" Type="http://schemas.openxmlformats.org/officeDocument/2006/relationships/hyperlink" Target="https://www.aer.gov.au/system/files/APA%20VTS-VTS%20Supplementary%20AA%20submission%20revised%20for%20WORM-20170515-Public.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77292649</Template>
  <TotalTime>0</TotalTime>
  <Pages>23</Pages>
  <Words>6543</Words>
  <Characters>37298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2017-07-03T23:25:00Z</dcterms:created>
  <dcterms:modified xsi:type="dcterms:W3CDTF">2017-07-03T23:26:00Z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