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98E27BE" wp14:editId="0D97A5CD">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DC07408" wp14:editId="2B30001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B33D2" w:rsidRDefault="000B33D2" w:rsidP="00D5015C">
          <w:pPr>
            <w:pStyle w:val="ReportSubtitle"/>
          </w:pPr>
          <w:r w:rsidRPr="000B33D2">
            <w:t>DRAFT DECISION</w:t>
          </w:r>
        </w:p>
        <w:p w:rsidR="0075022A" w:rsidRDefault="00551A02" w:rsidP="00D5015C">
          <w:pPr>
            <w:pStyle w:val="ReportSubtitle"/>
          </w:pPr>
          <w:r>
            <w:t>APA VTS Australia</w:t>
          </w:r>
          <w:r w:rsidR="00D5015C">
            <w:t xml:space="preserve"> </w:t>
          </w:r>
        </w:p>
        <w:p w:rsidR="00D5015C" w:rsidRDefault="0075022A" w:rsidP="00D5015C">
          <w:pPr>
            <w:pStyle w:val="ReportSubtitle"/>
          </w:pPr>
          <w:r>
            <w:t>G</w:t>
          </w:r>
          <w:r w:rsidR="00D5015C">
            <w:t>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C6409">
            <w:t>3</w:t>
          </w:r>
          <w:r w:rsidR="000474DF">
            <w:t xml:space="preserve"> </w:t>
          </w:r>
          <w:r w:rsidR="00185BA5">
            <w:t>–</w:t>
          </w:r>
          <w:r w:rsidR="000474DF">
            <w:t xml:space="preserve"> </w:t>
          </w:r>
          <w:r w:rsidR="000C6409">
            <w:t>Demand</w:t>
          </w:r>
        </w:p>
        <w:p w:rsidR="00D5015C" w:rsidRDefault="00D5015C" w:rsidP="00327A1E">
          <w:pPr>
            <w:pStyle w:val="ReportDate"/>
          </w:pPr>
        </w:p>
        <w:p w:rsidR="00D5015C" w:rsidRDefault="00D5015C" w:rsidP="00327A1E">
          <w:pPr>
            <w:pStyle w:val="ReportDate"/>
          </w:pPr>
        </w:p>
        <w:p w:rsidR="000A6C7B" w:rsidRPr="00327A1E" w:rsidRDefault="004C11F9" w:rsidP="00327A1E">
          <w:pPr>
            <w:pStyle w:val="ReportDate"/>
          </w:pPr>
          <w:r>
            <w:t>Ju</w:t>
          </w:r>
          <w:r w:rsidR="00977128">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C6409">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77128">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55644"/>
      <w:r>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551A02">
        <w:t>APA VTS Australia</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55645"/>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450590" w:rsidRDefault="004526AF">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6855644" w:history="1">
            <w:r w:rsidR="00450590" w:rsidRPr="00A775EF">
              <w:rPr>
                <w:rStyle w:val="Hyperlink"/>
              </w:rPr>
              <w:t>Note</w:t>
            </w:r>
            <w:r w:rsidR="00450590">
              <w:rPr>
                <w:webHidden/>
              </w:rPr>
              <w:tab/>
            </w:r>
            <w:r w:rsidR="00450590">
              <w:rPr>
                <w:webHidden/>
              </w:rPr>
              <w:fldChar w:fldCharType="begin"/>
            </w:r>
            <w:r w:rsidR="00450590">
              <w:rPr>
                <w:webHidden/>
              </w:rPr>
              <w:instrText xml:space="preserve"> PAGEREF _Toc486855644 \h </w:instrText>
            </w:r>
            <w:r w:rsidR="00450590">
              <w:rPr>
                <w:webHidden/>
              </w:rPr>
            </w:r>
            <w:r w:rsidR="00450590">
              <w:rPr>
                <w:webHidden/>
              </w:rPr>
              <w:fldChar w:fldCharType="separate"/>
            </w:r>
            <w:r w:rsidR="00E826A6">
              <w:rPr>
                <w:webHidden/>
              </w:rPr>
              <w:t>13-2</w:t>
            </w:r>
            <w:r w:rsidR="00450590">
              <w:rPr>
                <w:webHidden/>
              </w:rPr>
              <w:fldChar w:fldCharType="end"/>
            </w:r>
          </w:hyperlink>
        </w:p>
        <w:p w:rsidR="00450590" w:rsidRDefault="00450590">
          <w:pPr>
            <w:pStyle w:val="TOC1"/>
            <w:rPr>
              <w:rFonts w:asciiTheme="minorHAnsi" w:eastAsiaTheme="minorEastAsia" w:hAnsiTheme="minorHAnsi"/>
              <w:b w:val="0"/>
              <w:color w:val="auto"/>
              <w:sz w:val="22"/>
              <w:lang w:val="en-AU" w:eastAsia="en-AU"/>
            </w:rPr>
          </w:pPr>
          <w:hyperlink w:anchor="_Toc486855645" w:history="1">
            <w:r w:rsidRPr="00A775EF">
              <w:rPr>
                <w:rStyle w:val="Hyperlink"/>
              </w:rPr>
              <w:t>Contents</w:t>
            </w:r>
            <w:r>
              <w:rPr>
                <w:webHidden/>
              </w:rPr>
              <w:tab/>
            </w:r>
            <w:r>
              <w:rPr>
                <w:webHidden/>
              </w:rPr>
              <w:fldChar w:fldCharType="begin"/>
            </w:r>
            <w:r>
              <w:rPr>
                <w:webHidden/>
              </w:rPr>
              <w:instrText xml:space="preserve"> PAGEREF _Toc486855645 \h </w:instrText>
            </w:r>
            <w:r>
              <w:rPr>
                <w:webHidden/>
              </w:rPr>
            </w:r>
            <w:r>
              <w:rPr>
                <w:webHidden/>
              </w:rPr>
              <w:fldChar w:fldCharType="separate"/>
            </w:r>
            <w:r w:rsidR="00E826A6">
              <w:rPr>
                <w:webHidden/>
              </w:rPr>
              <w:t>13-3</w:t>
            </w:r>
            <w:r>
              <w:rPr>
                <w:webHidden/>
              </w:rPr>
              <w:fldChar w:fldCharType="end"/>
            </w:r>
          </w:hyperlink>
        </w:p>
        <w:p w:rsidR="00450590" w:rsidRDefault="00450590">
          <w:pPr>
            <w:pStyle w:val="TOC1"/>
            <w:rPr>
              <w:rFonts w:asciiTheme="minorHAnsi" w:eastAsiaTheme="minorEastAsia" w:hAnsiTheme="minorHAnsi"/>
              <w:b w:val="0"/>
              <w:color w:val="auto"/>
              <w:sz w:val="22"/>
              <w:lang w:val="en-AU" w:eastAsia="en-AU"/>
            </w:rPr>
          </w:pPr>
          <w:hyperlink w:anchor="_Toc486855646" w:history="1">
            <w:r w:rsidRPr="00A775EF">
              <w:rPr>
                <w:rStyle w:val="Hyperlink"/>
              </w:rPr>
              <w:t>Shortened forms</w:t>
            </w:r>
            <w:r>
              <w:rPr>
                <w:webHidden/>
              </w:rPr>
              <w:tab/>
            </w:r>
            <w:r>
              <w:rPr>
                <w:webHidden/>
              </w:rPr>
              <w:fldChar w:fldCharType="begin"/>
            </w:r>
            <w:r>
              <w:rPr>
                <w:webHidden/>
              </w:rPr>
              <w:instrText xml:space="preserve"> PAGEREF _Toc486855646 \h </w:instrText>
            </w:r>
            <w:r>
              <w:rPr>
                <w:webHidden/>
              </w:rPr>
            </w:r>
            <w:r>
              <w:rPr>
                <w:webHidden/>
              </w:rPr>
              <w:fldChar w:fldCharType="separate"/>
            </w:r>
            <w:r w:rsidR="00E826A6">
              <w:rPr>
                <w:webHidden/>
              </w:rPr>
              <w:t>13-4</w:t>
            </w:r>
            <w:r>
              <w:rPr>
                <w:webHidden/>
              </w:rPr>
              <w:fldChar w:fldCharType="end"/>
            </w:r>
          </w:hyperlink>
        </w:p>
        <w:p w:rsidR="00450590" w:rsidRDefault="00450590">
          <w:pPr>
            <w:pStyle w:val="TOC1"/>
            <w:rPr>
              <w:rFonts w:asciiTheme="minorHAnsi" w:eastAsiaTheme="minorEastAsia" w:hAnsiTheme="minorHAnsi"/>
              <w:b w:val="0"/>
              <w:color w:val="auto"/>
              <w:sz w:val="22"/>
              <w:lang w:val="en-AU" w:eastAsia="en-AU"/>
            </w:rPr>
          </w:pPr>
          <w:hyperlink w:anchor="_Toc486855647" w:history="1">
            <w:r w:rsidRPr="00A775EF">
              <w:rPr>
                <w:rStyle w:val="Hyperlink"/>
              </w:rPr>
              <w:t>13</w:t>
            </w:r>
            <w:r>
              <w:rPr>
                <w:rFonts w:asciiTheme="minorHAnsi" w:eastAsiaTheme="minorEastAsia" w:hAnsiTheme="minorHAnsi"/>
                <w:b w:val="0"/>
                <w:color w:val="auto"/>
                <w:sz w:val="22"/>
                <w:lang w:val="en-AU" w:eastAsia="en-AU"/>
              </w:rPr>
              <w:tab/>
            </w:r>
            <w:r w:rsidRPr="00A775EF">
              <w:rPr>
                <w:rStyle w:val="Hyperlink"/>
              </w:rPr>
              <w:t>Demand</w:t>
            </w:r>
            <w:r>
              <w:rPr>
                <w:webHidden/>
              </w:rPr>
              <w:tab/>
            </w:r>
            <w:r>
              <w:rPr>
                <w:webHidden/>
              </w:rPr>
              <w:fldChar w:fldCharType="begin"/>
            </w:r>
            <w:r>
              <w:rPr>
                <w:webHidden/>
              </w:rPr>
              <w:instrText xml:space="preserve"> PAGEREF _Toc486855647 \h </w:instrText>
            </w:r>
            <w:r>
              <w:rPr>
                <w:webHidden/>
              </w:rPr>
            </w:r>
            <w:r>
              <w:rPr>
                <w:webHidden/>
              </w:rPr>
              <w:fldChar w:fldCharType="separate"/>
            </w:r>
            <w:r w:rsidR="00E826A6">
              <w:rPr>
                <w:webHidden/>
              </w:rPr>
              <w:t>13-5</w:t>
            </w:r>
            <w:r>
              <w:rPr>
                <w:webHidden/>
              </w:rPr>
              <w:fldChar w:fldCharType="end"/>
            </w:r>
          </w:hyperlink>
        </w:p>
        <w:p w:rsidR="00450590" w:rsidRDefault="00450590">
          <w:pPr>
            <w:pStyle w:val="TOC2"/>
            <w:tabs>
              <w:tab w:val="left" w:pos="1276"/>
            </w:tabs>
            <w:rPr>
              <w:rFonts w:asciiTheme="minorHAnsi" w:eastAsiaTheme="minorEastAsia" w:hAnsiTheme="minorHAnsi"/>
              <w:b w:val="0"/>
              <w:color w:val="auto"/>
              <w:sz w:val="22"/>
              <w:lang w:eastAsia="en-AU"/>
            </w:rPr>
          </w:pPr>
          <w:hyperlink w:anchor="_Toc486855648" w:history="1">
            <w:r w:rsidRPr="00A775EF">
              <w:rPr>
                <w:rStyle w:val="Hyperlink"/>
              </w:rPr>
              <w:t>13.1</w:t>
            </w:r>
            <w:r>
              <w:rPr>
                <w:rFonts w:asciiTheme="minorHAnsi" w:eastAsiaTheme="minorEastAsia" w:hAnsiTheme="minorHAnsi"/>
                <w:b w:val="0"/>
                <w:color w:val="auto"/>
                <w:sz w:val="22"/>
                <w:lang w:eastAsia="en-AU"/>
              </w:rPr>
              <w:tab/>
            </w:r>
            <w:r w:rsidRPr="00A775EF">
              <w:rPr>
                <w:rStyle w:val="Hyperlink"/>
              </w:rPr>
              <w:t>Draft decision</w:t>
            </w:r>
            <w:r>
              <w:rPr>
                <w:webHidden/>
              </w:rPr>
              <w:tab/>
            </w:r>
            <w:r>
              <w:rPr>
                <w:webHidden/>
              </w:rPr>
              <w:fldChar w:fldCharType="begin"/>
            </w:r>
            <w:r>
              <w:rPr>
                <w:webHidden/>
              </w:rPr>
              <w:instrText xml:space="preserve"> PAGEREF _Toc486855648 \h </w:instrText>
            </w:r>
            <w:r>
              <w:rPr>
                <w:webHidden/>
              </w:rPr>
            </w:r>
            <w:r>
              <w:rPr>
                <w:webHidden/>
              </w:rPr>
              <w:fldChar w:fldCharType="separate"/>
            </w:r>
            <w:r w:rsidR="00E826A6">
              <w:rPr>
                <w:webHidden/>
              </w:rPr>
              <w:t>13-5</w:t>
            </w:r>
            <w:r>
              <w:rPr>
                <w:webHidden/>
              </w:rPr>
              <w:fldChar w:fldCharType="end"/>
            </w:r>
          </w:hyperlink>
        </w:p>
        <w:p w:rsidR="00450590" w:rsidRDefault="00450590">
          <w:pPr>
            <w:pStyle w:val="TOC2"/>
            <w:tabs>
              <w:tab w:val="left" w:pos="1276"/>
            </w:tabs>
            <w:rPr>
              <w:rFonts w:asciiTheme="minorHAnsi" w:eastAsiaTheme="minorEastAsia" w:hAnsiTheme="minorHAnsi"/>
              <w:b w:val="0"/>
              <w:color w:val="auto"/>
              <w:sz w:val="22"/>
              <w:lang w:eastAsia="en-AU"/>
            </w:rPr>
          </w:pPr>
          <w:hyperlink w:anchor="_Toc486855649" w:history="1">
            <w:r w:rsidRPr="00A775EF">
              <w:rPr>
                <w:rStyle w:val="Hyperlink"/>
              </w:rPr>
              <w:t>13.2</w:t>
            </w:r>
            <w:r>
              <w:rPr>
                <w:rFonts w:asciiTheme="minorHAnsi" w:eastAsiaTheme="minorEastAsia" w:hAnsiTheme="minorHAnsi"/>
                <w:b w:val="0"/>
                <w:color w:val="auto"/>
                <w:sz w:val="22"/>
                <w:lang w:eastAsia="en-AU"/>
              </w:rPr>
              <w:tab/>
            </w:r>
            <w:r w:rsidRPr="00A775EF">
              <w:rPr>
                <w:rStyle w:val="Hyperlink"/>
              </w:rPr>
              <w:t>APA’s proposal</w:t>
            </w:r>
            <w:r>
              <w:rPr>
                <w:webHidden/>
              </w:rPr>
              <w:tab/>
            </w:r>
            <w:r>
              <w:rPr>
                <w:webHidden/>
              </w:rPr>
              <w:fldChar w:fldCharType="begin"/>
            </w:r>
            <w:r>
              <w:rPr>
                <w:webHidden/>
              </w:rPr>
              <w:instrText xml:space="preserve"> PAGEREF _Toc486855649 \h </w:instrText>
            </w:r>
            <w:r>
              <w:rPr>
                <w:webHidden/>
              </w:rPr>
            </w:r>
            <w:r>
              <w:rPr>
                <w:webHidden/>
              </w:rPr>
              <w:fldChar w:fldCharType="separate"/>
            </w:r>
            <w:r w:rsidR="00E826A6">
              <w:rPr>
                <w:webHidden/>
              </w:rPr>
              <w:t>13-6</w:t>
            </w:r>
            <w:r>
              <w:rPr>
                <w:webHidden/>
              </w:rPr>
              <w:fldChar w:fldCharType="end"/>
            </w:r>
          </w:hyperlink>
        </w:p>
        <w:p w:rsidR="00450590" w:rsidRDefault="00450590">
          <w:pPr>
            <w:pStyle w:val="TOC2"/>
            <w:tabs>
              <w:tab w:val="left" w:pos="1276"/>
            </w:tabs>
            <w:rPr>
              <w:rFonts w:asciiTheme="minorHAnsi" w:eastAsiaTheme="minorEastAsia" w:hAnsiTheme="minorHAnsi"/>
              <w:b w:val="0"/>
              <w:color w:val="auto"/>
              <w:sz w:val="22"/>
              <w:lang w:eastAsia="en-AU"/>
            </w:rPr>
          </w:pPr>
          <w:hyperlink w:anchor="_Toc486855650" w:history="1">
            <w:r w:rsidRPr="00A775EF">
              <w:rPr>
                <w:rStyle w:val="Hyperlink"/>
              </w:rPr>
              <w:t>13.3</w:t>
            </w:r>
            <w:r>
              <w:rPr>
                <w:rFonts w:asciiTheme="minorHAnsi" w:eastAsiaTheme="minorEastAsia" w:hAnsiTheme="minorHAnsi"/>
                <w:b w:val="0"/>
                <w:color w:val="auto"/>
                <w:sz w:val="22"/>
                <w:lang w:eastAsia="en-AU"/>
              </w:rPr>
              <w:tab/>
            </w:r>
            <w:r w:rsidRPr="00A775EF">
              <w:rPr>
                <w:rStyle w:val="Hyperlink"/>
              </w:rPr>
              <w:t>Assessment approach</w:t>
            </w:r>
            <w:r>
              <w:rPr>
                <w:webHidden/>
              </w:rPr>
              <w:tab/>
            </w:r>
            <w:r>
              <w:rPr>
                <w:webHidden/>
              </w:rPr>
              <w:fldChar w:fldCharType="begin"/>
            </w:r>
            <w:r>
              <w:rPr>
                <w:webHidden/>
              </w:rPr>
              <w:instrText xml:space="preserve"> PAGEREF _Toc486855650 \h </w:instrText>
            </w:r>
            <w:r>
              <w:rPr>
                <w:webHidden/>
              </w:rPr>
            </w:r>
            <w:r>
              <w:rPr>
                <w:webHidden/>
              </w:rPr>
              <w:fldChar w:fldCharType="separate"/>
            </w:r>
            <w:r w:rsidR="00E826A6">
              <w:rPr>
                <w:webHidden/>
              </w:rPr>
              <w:t>13-8</w:t>
            </w:r>
            <w:r>
              <w:rPr>
                <w:webHidden/>
              </w:rPr>
              <w:fldChar w:fldCharType="end"/>
            </w:r>
          </w:hyperlink>
        </w:p>
        <w:p w:rsidR="00450590" w:rsidRDefault="00450590">
          <w:pPr>
            <w:pStyle w:val="TOC2"/>
            <w:tabs>
              <w:tab w:val="left" w:pos="1276"/>
            </w:tabs>
            <w:rPr>
              <w:rFonts w:asciiTheme="minorHAnsi" w:eastAsiaTheme="minorEastAsia" w:hAnsiTheme="minorHAnsi"/>
              <w:b w:val="0"/>
              <w:color w:val="auto"/>
              <w:sz w:val="22"/>
              <w:lang w:eastAsia="en-AU"/>
            </w:rPr>
          </w:pPr>
          <w:hyperlink w:anchor="_Toc486855651" w:history="1">
            <w:r w:rsidRPr="00A775EF">
              <w:rPr>
                <w:rStyle w:val="Hyperlink"/>
              </w:rPr>
              <w:t>13.4</w:t>
            </w:r>
            <w:r>
              <w:rPr>
                <w:rFonts w:asciiTheme="minorHAnsi" w:eastAsiaTheme="minorEastAsia" w:hAnsiTheme="minorHAnsi"/>
                <w:b w:val="0"/>
                <w:color w:val="auto"/>
                <w:sz w:val="22"/>
                <w:lang w:eastAsia="en-AU"/>
              </w:rPr>
              <w:tab/>
            </w:r>
            <w:r w:rsidRPr="00A775EF">
              <w:rPr>
                <w:rStyle w:val="Hyperlink"/>
              </w:rPr>
              <w:t>Reasons for draft decision</w:t>
            </w:r>
            <w:r>
              <w:rPr>
                <w:webHidden/>
              </w:rPr>
              <w:tab/>
            </w:r>
            <w:r>
              <w:rPr>
                <w:webHidden/>
              </w:rPr>
              <w:fldChar w:fldCharType="begin"/>
            </w:r>
            <w:r>
              <w:rPr>
                <w:webHidden/>
              </w:rPr>
              <w:instrText xml:space="preserve"> PAGEREF _Toc486855651 \h </w:instrText>
            </w:r>
            <w:r>
              <w:rPr>
                <w:webHidden/>
              </w:rPr>
            </w:r>
            <w:r>
              <w:rPr>
                <w:webHidden/>
              </w:rPr>
              <w:fldChar w:fldCharType="separate"/>
            </w:r>
            <w:r w:rsidR="00E826A6">
              <w:rPr>
                <w:webHidden/>
              </w:rPr>
              <w:t>13-10</w:t>
            </w:r>
            <w:r>
              <w:rPr>
                <w:webHidden/>
              </w:rPr>
              <w:fldChar w:fldCharType="end"/>
            </w:r>
          </w:hyperlink>
        </w:p>
        <w:p w:rsidR="00450590" w:rsidRDefault="00450590">
          <w:pPr>
            <w:pStyle w:val="TOC3"/>
            <w:rPr>
              <w:rFonts w:asciiTheme="minorHAnsi" w:eastAsiaTheme="minorEastAsia" w:hAnsiTheme="minorHAnsi"/>
              <w:lang w:eastAsia="en-AU"/>
            </w:rPr>
          </w:pPr>
          <w:hyperlink w:anchor="_Toc486855652" w:history="1">
            <w:r w:rsidRPr="00A775EF">
              <w:rPr>
                <w:rStyle w:val="Hyperlink"/>
              </w:rPr>
              <w:t>13.4.1</w:t>
            </w:r>
            <w:r>
              <w:rPr>
                <w:rFonts w:asciiTheme="minorHAnsi" w:eastAsiaTheme="minorEastAsia" w:hAnsiTheme="minorHAnsi"/>
                <w:lang w:eastAsia="en-AU"/>
              </w:rPr>
              <w:tab/>
            </w:r>
            <w:r w:rsidRPr="00A775EF">
              <w:rPr>
                <w:rStyle w:val="Hyperlink"/>
              </w:rPr>
              <w:t>Minimum, maximum and average demand</w:t>
            </w:r>
            <w:r>
              <w:rPr>
                <w:webHidden/>
              </w:rPr>
              <w:tab/>
            </w:r>
            <w:r>
              <w:rPr>
                <w:webHidden/>
              </w:rPr>
              <w:fldChar w:fldCharType="begin"/>
            </w:r>
            <w:r>
              <w:rPr>
                <w:webHidden/>
              </w:rPr>
              <w:instrText xml:space="preserve"> PAGEREF _Toc486855652 \h </w:instrText>
            </w:r>
            <w:r>
              <w:rPr>
                <w:webHidden/>
              </w:rPr>
            </w:r>
            <w:r>
              <w:rPr>
                <w:webHidden/>
              </w:rPr>
              <w:fldChar w:fldCharType="separate"/>
            </w:r>
            <w:r w:rsidR="00E826A6">
              <w:rPr>
                <w:webHidden/>
              </w:rPr>
              <w:t>13-10</w:t>
            </w:r>
            <w:r>
              <w:rPr>
                <w:webHidden/>
              </w:rPr>
              <w:fldChar w:fldCharType="end"/>
            </w:r>
          </w:hyperlink>
        </w:p>
        <w:p w:rsidR="00450590" w:rsidRDefault="00450590">
          <w:pPr>
            <w:pStyle w:val="TOC3"/>
            <w:rPr>
              <w:rFonts w:asciiTheme="minorHAnsi" w:eastAsiaTheme="minorEastAsia" w:hAnsiTheme="minorHAnsi"/>
              <w:lang w:eastAsia="en-AU"/>
            </w:rPr>
          </w:pPr>
          <w:hyperlink w:anchor="_Toc486855653" w:history="1">
            <w:r w:rsidRPr="00A775EF">
              <w:rPr>
                <w:rStyle w:val="Hyperlink"/>
              </w:rPr>
              <w:t>13.4.2</w:t>
            </w:r>
            <w:r>
              <w:rPr>
                <w:rFonts w:asciiTheme="minorHAnsi" w:eastAsiaTheme="minorEastAsia" w:hAnsiTheme="minorHAnsi"/>
                <w:lang w:eastAsia="en-AU"/>
              </w:rPr>
              <w:tab/>
            </w:r>
            <w:r w:rsidRPr="00A775EF">
              <w:rPr>
                <w:rStyle w:val="Hyperlink"/>
              </w:rPr>
              <w:t>Forecast pipeline capacity and utilisation</w:t>
            </w:r>
            <w:r>
              <w:rPr>
                <w:webHidden/>
              </w:rPr>
              <w:tab/>
            </w:r>
            <w:r>
              <w:rPr>
                <w:webHidden/>
              </w:rPr>
              <w:fldChar w:fldCharType="begin"/>
            </w:r>
            <w:r>
              <w:rPr>
                <w:webHidden/>
              </w:rPr>
              <w:instrText xml:space="preserve"> PAGEREF _Toc486855653 \h </w:instrText>
            </w:r>
            <w:r>
              <w:rPr>
                <w:webHidden/>
              </w:rPr>
            </w:r>
            <w:r>
              <w:rPr>
                <w:webHidden/>
              </w:rPr>
              <w:fldChar w:fldCharType="separate"/>
            </w:r>
            <w:r w:rsidR="00E826A6">
              <w:rPr>
                <w:webHidden/>
              </w:rPr>
              <w:t>13-11</w:t>
            </w:r>
            <w:r>
              <w:rPr>
                <w:webHidden/>
              </w:rPr>
              <w:fldChar w:fldCharType="end"/>
            </w:r>
          </w:hyperlink>
        </w:p>
        <w:p w:rsidR="00450590" w:rsidRDefault="00450590">
          <w:pPr>
            <w:pStyle w:val="TOC3"/>
            <w:rPr>
              <w:rFonts w:asciiTheme="minorHAnsi" w:eastAsiaTheme="minorEastAsia" w:hAnsiTheme="minorHAnsi"/>
              <w:lang w:eastAsia="en-AU"/>
            </w:rPr>
          </w:pPr>
          <w:hyperlink w:anchor="_Toc486855654" w:history="1">
            <w:r w:rsidRPr="00A775EF">
              <w:rPr>
                <w:rStyle w:val="Hyperlink"/>
              </w:rPr>
              <w:t>13.4.3</w:t>
            </w:r>
            <w:r>
              <w:rPr>
                <w:rFonts w:asciiTheme="minorHAnsi" w:eastAsiaTheme="minorEastAsia" w:hAnsiTheme="minorHAnsi"/>
                <w:lang w:eastAsia="en-AU"/>
              </w:rPr>
              <w:tab/>
            </w:r>
            <w:r w:rsidRPr="00A775EF">
              <w:rPr>
                <w:rStyle w:val="Hyperlink"/>
              </w:rPr>
              <w:t>Demand forecasts for Tariff V</w:t>
            </w:r>
            <w:r>
              <w:rPr>
                <w:webHidden/>
              </w:rPr>
              <w:tab/>
            </w:r>
            <w:r>
              <w:rPr>
                <w:webHidden/>
              </w:rPr>
              <w:fldChar w:fldCharType="begin"/>
            </w:r>
            <w:r>
              <w:rPr>
                <w:webHidden/>
              </w:rPr>
              <w:instrText xml:space="preserve"> PAGEREF _Toc486855654 \h </w:instrText>
            </w:r>
            <w:r>
              <w:rPr>
                <w:webHidden/>
              </w:rPr>
            </w:r>
            <w:r>
              <w:rPr>
                <w:webHidden/>
              </w:rPr>
              <w:fldChar w:fldCharType="separate"/>
            </w:r>
            <w:r w:rsidR="00E826A6">
              <w:rPr>
                <w:webHidden/>
              </w:rPr>
              <w:t>13-11</w:t>
            </w:r>
            <w:r>
              <w:rPr>
                <w:webHidden/>
              </w:rPr>
              <w:fldChar w:fldCharType="end"/>
            </w:r>
          </w:hyperlink>
        </w:p>
        <w:p w:rsidR="00450590" w:rsidRDefault="00450590">
          <w:pPr>
            <w:pStyle w:val="TOC3"/>
            <w:rPr>
              <w:rFonts w:asciiTheme="minorHAnsi" w:eastAsiaTheme="minorEastAsia" w:hAnsiTheme="minorHAnsi"/>
              <w:lang w:eastAsia="en-AU"/>
            </w:rPr>
          </w:pPr>
          <w:hyperlink w:anchor="_Toc486855655" w:history="1">
            <w:r w:rsidRPr="00A775EF">
              <w:rPr>
                <w:rStyle w:val="Hyperlink"/>
              </w:rPr>
              <w:t>13.4.4</w:t>
            </w:r>
            <w:r>
              <w:rPr>
                <w:rFonts w:asciiTheme="minorHAnsi" w:eastAsiaTheme="minorEastAsia" w:hAnsiTheme="minorHAnsi"/>
                <w:lang w:eastAsia="en-AU"/>
              </w:rPr>
              <w:tab/>
            </w:r>
            <w:r w:rsidRPr="00A775EF">
              <w:rPr>
                <w:rStyle w:val="Hyperlink"/>
              </w:rPr>
              <w:t>Demand forecasts of flows into storage</w:t>
            </w:r>
            <w:r>
              <w:rPr>
                <w:webHidden/>
              </w:rPr>
              <w:tab/>
            </w:r>
            <w:r>
              <w:rPr>
                <w:webHidden/>
              </w:rPr>
              <w:fldChar w:fldCharType="begin"/>
            </w:r>
            <w:r>
              <w:rPr>
                <w:webHidden/>
              </w:rPr>
              <w:instrText xml:space="preserve"> PAGEREF _Toc486855655 \h </w:instrText>
            </w:r>
            <w:r>
              <w:rPr>
                <w:webHidden/>
              </w:rPr>
            </w:r>
            <w:r>
              <w:rPr>
                <w:webHidden/>
              </w:rPr>
              <w:fldChar w:fldCharType="separate"/>
            </w:r>
            <w:r w:rsidR="00E826A6">
              <w:rPr>
                <w:webHidden/>
              </w:rPr>
              <w:t>13-12</w:t>
            </w:r>
            <w:r>
              <w:rPr>
                <w:webHidden/>
              </w:rPr>
              <w:fldChar w:fldCharType="end"/>
            </w:r>
          </w:hyperlink>
        </w:p>
        <w:p w:rsidR="00450590" w:rsidRDefault="00450590">
          <w:pPr>
            <w:pStyle w:val="TOC3"/>
            <w:rPr>
              <w:rFonts w:asciiTheme="minorHAnsi" w:eastAsiaTheme="minorEastAsia" w:hAnsiTheme="minorHAnsi"/>
              <w:lang w:eastAsia="en-AU"/>
            </w:rPr>
          </w:pPr>
          <w:hyperlink w:anchor="_Toc486855656" w:history="1">
            <w:r w:rsidRPr="00A775EF">
              <w:rPr>
                <w:rStyle w:val="Hyperlink"/>
              </w:rPr>
              <w:t>13.4.5</w:t>
            </w:r>
            <w:r>
              <w:rPr>
                <w:rFonts w:asciiTheme="minorHAnsi" w:eastAsiaTheme="minorEastAsia" w:hAnsiTheme="minorHAnsi"/>
                <w:lang w:eastAsia="en-AU"/>
              </w:rPr>
              <w:tab/>
            </w:r>
            <w:r w:rsidRPr="00A775EF">
              <w:rPr>
                <w:rStyle w:val="Hyperlink"/>
              </w:rPr>
              <w:t>Demand forecasts for Tariff D</w:t>
            </w:r>
            <w:r>
              <w:rPr>
                <w:webHidden/>
              </w:rPr>
              <w:tab/>
            </w:r>
            <w:r>
              <w:rPr>
                <w:webHidden/>
              </w:rPr>
              <w:fldChar w:fldCharType="begin"/>
            </w:r>
            <w:r>
              <w:rPr>
                <w:webHidden/>
              </w:rPr>
              <w:instrText xml:space="preserve"> PAGEREF _Toc486855656 \h </w:instrText>
            </w:r>
            <w:r>
              <w:rPr>
                <w:webHidden/>
              </w:rPr>
            </w:r>
            <w:r>
              <w:rPr>
                <w:webHidden/>
              </w:rPr>
              <w:fldChar w:fldCharType="separate"/>
            </w:r>
            <w:r w:rsidR="00E826A6">
              <w:rPr>
                <w:webHidden/>
              </w:rPr>
              <w:t>13-13</w:t>
            </w:r>
            <w:r>
              <w:rPr>
                <w:webHidden/>
              </w:rPr>
              <w:fldChar w:fldCharType="end"/>
            </w:r>
          </w:hyperlink>
        </w:p>
        <w:p w:rsidR="00450590" w:rsidRDefault="00450590">
          <w:pPr>
            <w:pStyle w:val="TOC3"/>
            <w:rPr>
              <w:rFonts w:asciiTheme="minorHAnsi" w:eastAsiaTheme="minorEastAsia" w:hAnsiTheme="minorHAnsi"/>
              <w:lang w:eastAsia="en-AU"/>
            </w:rPr>
          </w:pPr>
          <w:hyperlink w:anchor="_Toc486855657" w:history="1">
            <w:r w:rsidRPr="00A775EF">
              <w:rPr>
                <w:rStyle w:val="Hyperlink"/>
              </w:rPr>
              <w:t>13.4.6</w:t>
            </w:r>
            <w:r>
              <w:rPr>
                <w:rFonts w:asciiTheme="minorHAnsi" w:eastAsiaTheme="minorEastAsia" w:hAnsiTheme="minorHAnsi"/>
                <w:lang w:eastAsia="en-AU"/>
              </w:rPr>
              <w:tab/>
            </w:r>
            <w:r w:rsidRPr="00A775EF">
              <w:rPr>
                <w:rStyle w:val="Hyperlink"/>
              </w:rPr>
              <w:t>Demand forecasts for gas powered generation</w:t>
            </w:r>
            <w:r>
              <w:rPr>
                <w:webHidden/>
              </w:rPr>
              <w:tab/>
            </w:r>
            <w:r>
              <w:rPr>
                <w:webHidden/>
              </w:rPr>
              <w:fldChar w:fldCharType="begin"/>
            </w:r>
            <w:r>
              <w:rPr>
                <w:webHidden/>
              </w:rPr>
              <w:instrText xml:space="preserve"> PAGEREF _Toc486855657 \h </w:instrText>
            </w:r>
            <w:r>
              <w:rPr>
                <w:webHidden/>
              </w:rPr>
            </w:r>
            <w:r>
              <w:rPr>
                <w:webHidden/>
              </w:rPr>
              <w:fldChar w:fldCharType="separate"/>
            </w:r>
            <w:r w:rsidR="00E826A6">
              <w:rPr>
                <w:webHidden/>
              </w:rPr>
              <w:t>13-13</w:t>
            </w:r>
            <w:r>
              <w:rPr>
                <w:webHidden/>
              </w:rPr>
              <w:fldChar w:fldCharType="end"/>
            </w:r>
          </w:hyperlink>
        </w:p>
        <w:p w:rsidR="00450590" w:rsidRDefault="00450590">
          <w:pPr>
            <w:pStyle w:val="TOC3"/>
            <w:rPr>
              <w:rFonts w:asciiTheme="minorHAnsi" w:eastAsiaTheme="minorEastAsia" w:hAnsiTheme="minorHAnsi"/>
              <w:lang w:eastAsia="en-AU"/>
            </w:rPr>
          </w:pPr>
          <w:hyperlink w:anchor="_Toc486855658" w:history="1">
            <w:r w:rsidRPr="00A775EF">
              <w:rPr>
                <w:rStyle w:val="Hyperlink"/>
              </w:rPr>
              <w:t>13.4.7</w:t>
            </w:r>
            <w:r>
              <w:rPr>
                <w:rFonts w:asciiTheme="minorHAnsi" w:eastAsiaTheme="minorEastAsia" w:hAnsiTheme="minorHAnsi"/>
                <w:lang w:eastAsia="en-AU"/>
              </w:rPr>
              <w:tab/>
            </w:r>
            <w:r w:rsidRPr="00A775EF">
              <w:rPr>
                <w:rStyle w:val="Hyperlink"/>
              </w:rPr>
              <w:t>Demand forecasts for interstate transfers</w:t>
            </w:r>
            <w:r>
              <w:rPr>
                <w:webHidden/>
              </w:rPr>
              <w:tab/>
            </w:r>
            <w:r>
              <w:rPr>
                <w:webHidden/>
              </w:rPr>
              <w:fldChar w:fldCharType="begin"/>
            </w:r>
            <w:r>
              <w:rPr>
                <w:webHidden/>
              </w:rPr>
              <w:instrText xml:space="preserve"> PAGEREF _Toc486855658 \h </w:instrText>
            </w:r>
            <w:r>
              <w:rPr>
                <w:webHidden/>
              </w:rPr>
            </w:r>
            <w:r>
              <w:rPr>
                <w:webHidden/>
              </w:rPr>
              <w:fldChar w:fldCharType="separate"/>
            </w:r>
            <w:r w:rsidR="00E826A6">
              <w:rPr>
                <w:webHidden/>
              </w:rPr>
              <w:t>13-15</w:t>
            </w:r>
            <w:r>
              <w:rPr>
                <w:webHidden/>
              </w:rPr>
              <w:fldChar w:fldCharType="end"/>
            </w:r>
          </w:hyperlink>
        </w:p>
        <w:p w:rsidR="00450590" w:rsidRDefault="00450590">
          <w:pPr>
            <w:pStyle w:val="TOC2"/>
            <w:tabs>
              <w:tab w:val="left" w:pos="1276"/>
            </w:tabs>
            <w:rPr>
              <w:rFonts w:asciiTheme="minorHAnsi" w:eastAsiaTheme="minorEastAsia" w:hAnsiTheme="minorHAnsi"/>
              <w:b w:val="0"/>
              <w:color w:val="auto"/>
              <w:sz w:val="22"/>
              <w:lang w:eastAsia="en-AU"/>
            </w:rPr>
          </w:pPr>
          <w:hyperlink w:anchor="_Toc486855659" w:history="1">
            <w:r w:rsidRPr="00A775EF">
              <w:rPr>
                <w:rStyle w:val="Hyperlink"/>
              </w:rPr>
              <w:t>13.5</w:t>
            </w:r>
            <w:r>
              <w:rPr>
                <w:rFonts w:asciiTheme="minorHAnsi" w:eastAsiaTheme="minorEastAsia" w:hAnsiTheme="minorHAnsi"/>
                <w:b w:val="0"/>
                <w:color w:val="auto"/>
                <w:sz w:val="22"/>
                <w:lang w:eastAsia="en-AU"/>
              </w:rPr>
              <w:tab/>
            </w:r>
            <w:r w:rsidRPr="00A775EF">
              <w:rPr>
                <w:rStyle w:val="Hyperlink"/>
              </w:rPr>
              <w:t>Revisions</w:t>
            </w:r>
            <w:r>
              <w:rPr>
                <w:webHidden/>
              </w:rPr>
              <w:tab/>
            </w:r>
            <w:r>
              <w:rPr>
                <w:webHidden/>
              </w:rPr>
              <w:fldChar w:fldCharType="begin"/>
            </w:r>
            <w:r>
              <w:rPr>
                <w:webHidden/>
              </w:rPr>
              <w:instrText xml:space="preserve"> PAGEREF _Toc486855659 \h </w:instrText>
            </w:r>
            <w:r>
              <w:rPr>
                <w:webHidden/>
              </w:rPr>
            </w:r>
            <w:r>
              <w:rPr>
                <w:webHidden/>
              </w:rPr>
              <w:fldChar w:fldCharType="separate"/>
            </w:r>
            <w:r w:rsidR="00E826A6">
              <w:rPr>
                <w:webHidden/>
              </w:rPr>
              <w:t>13-16</w:t>
            </w:r>
            <w:r>
              <w:rPr>
                <w:webHidden/>
              </w:rPr>
              <w:fldChar w:fldCharType="end"/>
            </w:r>
          </w:hyperlink>
        </w:p>
        <w:p w:rsidR="00CE2A23" w:rsidRDefault="004526AF" w:rsidP="004526AF">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55646"/>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977128" w:rsidRPr="0087648F" w:rsidTr="00977128">
        <w:trPr>
          <w:cnfStyle w:val="100000000000" w:firstRow="1" w:lastRow="0" w:firstColumn="0" w:lastColumn="0" w:oddVBand="0" w:evenVBand="0" w:oddHBand="0" w:evenHBand="0" w:firstRowFirstColumn="0" w:firstRowLastColumn="0" w:lastRowFirstColumn="0" w:lastRowLastColumn="0"/>
        </w:trPr>
        <w:tc>
          <w:tcPr>
            <w:tcW w:w="4340" w:type="dxa"/>
          </w:tcPr>
          <w:p w:rsidR="00977128" w:rsidRPr="00977128" w:rsidRDefault="00977128" w:rsidP="00977128">
            <w:r>
              <w:t>Shortened form</w:t>
            </w:r>
          </w:p>
        </w:tc>
        <w:tc>
          <w:tcPr>
            <w:tcW w:w="4353" w:type="dxa"/>
          </w:tcPr>
          <w:p w:rsidR="00977128" w:rsidRPr="00977128" w:rsidRDefault="00977128" w:rsidP="00977128">
            <w:r>
              <w:t>Extended form</w:t>
            </w:r>
          </w:p>
        </w:tc>
      </w:tr>
      <w:tr w:rsidR="00977128" w:rsidTr="00977128">
        <w:tc>
          <w:tcPr>
            <w:tcW w:w="4340" w:type="dxa"/>
          </w:tcPr>
          <w:p w:rsidR="00977128" w:rsidRDefault="00977128" w:rsidP="00977128">
            <w:pPr>
              <w:numPr>
                <w:ilvl w:val="0"/>
                <w:numId w:val="24"/>
              </w:numPr>
            </w:pPr>
            <w:r>
              <w:t>AER</w:t>
            </w:r>
          </w:p>
        </w:tc>
        <w:tc>
          <w:tcPr>
            <w:tcW w:w="4353" w:type="dxa"/>
          </w:tcPr>
          <w:p w:rsidR="00977128" w:rsidRDefault="00977128" w:rsidP="00977128">
            <w:pPr>
              <w:numPr>
                <w:ilvl w:val="0"/>
                <w:numId w:val="24"/>
              </w:numPr>
            </w:pPr>
            <w:r>
              <w:t>Australian Energy Regulator</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AGN</w:t>
            </w:r>
          </w:p>
        </w:tc>
        <w:tc>
          <w:tcPr>
            <w:tcW w:w="4353" w:type="dxa"/>
          </w:tcPr>
          <w:p w:rsidR="00977128" w:rsidRDefault="00977128" w:rsidP="00977128">
            <w:pPr>
              <w:numPr>
                <w:ilvl w:val="0"/>
                <w:numId w:val="24"/>
              </w:numPr>
            </w:pPr>
            <w:r>
              <w:t>Australian Gas Networks</w:t>
            </w:r>
          </w:p>
        </w:tc>
      </w:tr>
      <w:tr w:rsidR="00977128" w:rsidTr="00977128">
        <w:tc>
          <w:tcPr>
            <w:tcW w:w="4340" w:type="dxa"/>
          </w:tcPr>
          <w:p w:rsidR="00977128" w:rsidRDefault="00977128" w:rsidP="00977128">
            <w:pPr>
              <w:numPr>
                <w:ilvl w:val="0"/>
                <w:numId w:val="24"/>
              </w:numPr>
            </w:pPr>
            <w:r>
              <w:t>ATO</w:t>
            </w:r>
          </w:p>
        </w:tc>
        <w:tc>
          <w:tcPr>
            <w:tcW w:w="4353" w:type="dxa"/>
          </w:tcPr>
          <w:p w:rsidR="00977128" w:rsidRPr="00977128" w:rsidRDefault="00977128" w:rsidP="00977128">
            <w:r>
              <w:t xml:space="preserve">Australian </w:t>
            </w:r>
            <w:r w:rsidRPr="00977128">
              <w:t>Tax Office</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capex</w:t>
            </w:r>
          </w:p>
        </w:tc>
        <w:tc>
          <w:tcPr>
            <w:tcW w:w="4353" w:type="dxa"/>
          </w:tcPr>
          <w:p w:rsidR="00977128" w:rsidRDefault="00977128" w:rsidP="00977128">
            <w:pPr>
              <w:numPr>
                <w:ilvl w:val="0"/>
                <w:numId w:val="24"/>
              </w:numPr>
            </w:pPr>
            <w:r>
              <w:t>capital expenditure</w:t>
            </w:r>
          </w:p>
        </w:tc>
      </w:tr>
      <w:tr w:rsidR="00977128" w:rsidTr="00977128">
        <w:tc>
          <w:tcPr>
            <w:tcW w:w="4340" w:type="dxa"/>
          </w:tcPr>
          <w:p w:rsidR="00977128" w:rsidRDefault="00977128" w:rsidP="00977128">
            <w:pPr>
              <w:numPr>
                <w:ilvl w:val="0"/>
                <w:numId w:val="24"/>
              </w:numPr>
            </w:pPr>
            <w:r>
              <w:t>CAPM</w:t>
            </w:r>
          </w:p>
        </w:tc>
        <w:tc>
          <w:tcPr>
            <w:tcW w:w="4353" w:type="dxa"/>
          </w:tcPr>
          <w:p w:rsidR="00977128" w:rsidRDefault="00977128" w:rsidP="00977128">
            <w:pPr>
              <w:numPr>
                <w:ilvl w:val="0"/>
                <w:numId w:val="24"/>
              </w:numPr>
            </w:pPr>
            <w:r>
              <w:t>capital asset pricing model</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CPI</w:t>
            </w:r>
          </w:p>
        </w:tc>
        <w:tc>
          <w:tcPr>
            <w:tcW w:w="4353" w:type="dxa"/>
          </w:tcPr>
          <w:p w:rsidR="00977128" w:rsidRDefault="00977128" w:rsidP="00977128">
            <w:pPr>
              <w:numPr>
                <w:ilvl w:val="0"/>
                <w:numId w:val="24"/>
              </w:numPr>
            </w:pPr>
            <w:r>
              <w:t>consumer price index</w:t>
            </w:r>
          </w:p>
        </w:tc>
      </w:tr>
      <w:tr w:rsidR="00977128" w:rsidTr="00977128">
        <w:tc>
          <w:tcPr>
            <w:tcW w:w="4340" w:type="dxa"/>
          </w:tcPr>
          <w:p w:rsidR="00977128" w:rsidRDefault="00977128" w:rsidP="00977128">
            <w:pPr>
              <w:numPr>
                <w:ilvl w:val="0"/>
                <w:numId w:val="24"/>
              </w:numPr>
            </w:pPr>
            <w:r>
              <w:t>CCP</w:t>
            </w:r>
          </w:p>
        </w:tc>
        <w:tc>
          <w:tcPr>
            <w:tcW w:w="4353" w:type="dxa"/>
          </w:tcPr>
          <w:p w:rsidR="00977128" w:rsidRDefault="00977128" w:rsidP="00977128">
            <w:pPr>
              <w:numPr>
                <w:ilvl w:val="0"/>
                <w:numId w:val="24"/>
              </w:numPr>
            </w:pPr>
            <w:r>
              <w:t>Consumer Challenge Panel</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DRP</w:t>
            </w:r>
          </w:p>
        </w:tc>
        <w:tc>
          <w:tcPr>
            <w:tcW w:w="4353" w:type="dxa"/>
          </w:tcPr>
          <w:p w:rsidR="00977128" w:rsidRDefault="00977128" w:rsidP="00977128">
            <w:pPr>
              <w:numPr>
                <w:ilvl w:val="0"/>
                <w:numId w:val="24"/>
              </w:numPr>
            </w:pPr>
            <w:r>
              <w:t>debt risk premium</w:t>
            </w:r>
          </w:p>
        </w:tc>
      </w:tr>
      <w:tr w:rsidR="00977128" w:rsidTr="00977128">
        <w:tc>
          <w:tcPr>
            <w:tcW w:w="4340" w:type="dxa"/>
          </w:tcPr>
          <w:p w:rsidR="00977128" w:rsidRDefault="00977128" w:rsidP="00977128">
            <w:pPr>
              <w:numPr>
                <w:ilvl w:val="0"/>
                <w:numId w:val="24"/>
              </w:numPr>
            </w:pPr>
            <w:r>
              <w:t>EBSS</w:t>
            </w:r>
          </w:p>
        </w:tc>
        <w:tc>
          <w:tcPr>
            <w:tcW w:w="4353" w:type="dxa"/>
          </w:tcPr>
          <w:p w:rsidR="00977128" w:rsidRPr="00977128" w:rsidRDefault="00977128" w:rsidP="00977128">
            <w:r>
              <w:t>Efficiency Benefit Sharing Scheme</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ERP</w:t>
            </w:r>
          </w:p>
        </w:tc>
        <w:tc>
          <w:tcPr>
            <w:tcW w:w="4353" w:type="dxa"/>
          </w:tcPr>
          <w:p w:rsidR="00977128" w:rsidRDefault="00977128" w:rsidP="00977128">
            <w:pPr>
              <w:numPr>
                <w:ilvl w:val="0"/>
                <w:numId w:val="24"/>
              </w:numPr>
            </w:pPr>
            <w:r>
              <w:t>equity risk premium</w:t>
            </w:r>
          </w:p>
        </w:tc>
      </w:tr>
      <w:tr w:rsidR="00977128" w:rsidTr="00977128">
        <w:tc>
          <w:tcPr>
            <w:tcW w:w="4340" w:type="dxa"/>
          </w:tcPr>
          <w:p w:rsidR="00977128" w:rsidRDefault="00977128" w:rsidP="00977128">
            <w:pPr>
              <w:numPr>
                <w:ilvl w:val="0"/>
                <w:numId w:val="24"/>
              </w:numPr>
            </w:pPr>
            <w:r>
              <w:t>Expenditure Guideline</w:t>
            </w:r>
          </w:p>
        </w:tc>
        <w:tc>
          <w:tcPr>
            <w:tcW w:w="4353" w:type="dxa"/>
          </w:tcPr>
          <w:p w:rsidR="00977128" w:rsidRPr="00977128" w:rsidRDefault="00977128" w:rsidP="00977128">
            <w:r>
              <w:t>Expenditure Forecast Assessment Guideline</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gamma</w:t>
            </w:r>
          </w:p>
        </w:tc>
        <w:tc>
          <w:tcPr>
            <w:tcW w:w="4353" w:type="dxa"/>
          </w:tcPr>
          <w:p w:rsidR="00977128" w:rsidRPr="00977128" w:rsidRDefault="00977128" w:rsidP="00977128">
            <w:r>
              <w:t>Value of Imputation Credits</w:t>
            </w:r>
          </w:p>
        </w:tc>
      </w:tr>
      <w:tr w:rsidR="00977128" w:rsidTr="00977128">
        <w:tc>
          <w:tcPr>
            <w:tcW w:w="4340" w:type="dxa"/>
          </w:tcPr>
          <w:p w:rsidR="00977128" w:rsidRDefault="00977128" w:rsidP="00977128">
            <w:pPr>
              <w:numPr>
                <w:ilvl w:val="0"/>
                <w:numId w:val="24"/>
              </w:numPr>
            </w:pPr>
            <w:r>
              <w:t>GSL</w:t>
            </w:r>
          </w:p>
        </w:tc>
        <w:tc>
          <w:tcPr>
            <w:tcW w:w="4353" w:type="dxa"/>
          </w:tcPr>
          <w:p w:rsidR="00977128" w:rsidRPr="00977128" w:rsidRDefault="00977128" w:rsidP="00977128">
            <w:r>
              <w:t xml:space="preserve">Guaranteed </w:t>
            </w:r>
            <w:r w:rsidRPr="00977128">
              <w:t>Service Level</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MHQ</w:t>
            </w:r>
          </w:p>
        </w:tc>
        <w:tc>
          <w:tcPr>
            <w:tcW w:w="4353" w:type="dxa"/>
          </w:tcPr>
          <w:p w:rsidR="00977128" w:rsidRDefault="00977128" w:rsidP="00977128">
            <w:pPr>
              <w:numPr>
                <w:ilvl w:val="0"/>
                <w:numId w:val="24"/>
              </w:numPr>
            </w:pPr>
            <w:r>
              <w:t>maximum hourly quantity</w:t>
            </w:r>
          </w:p>
        </w:tc>
      </w:tr>
      <w:tr w:rsidR="00977128" w:rsidTr="00977128">
        <w:tc>
          <w:tcPr>
            <w:tcW w:w="4340" w:type="dxa"/>
          </w:tcPr>
          <w:p w:rsidR="00977128" w:rsidRDefault="00977128" w:rsidP="00977128">
            <w:pPr>
              <w:numPr>
                <w:ilvl w:val="0"/>
                <w:numId w:val="24"/>
              </w:numPr>
            </w:pPr>
            <w:r>
              <w:t>MRP</w:t>
            </w:r>
          </w:p>
        </w:tc>
        <w:tc>
          <w:tcPr>
            <w:tcW w:w="4353" w:type="dxa"/>
          </w:tcPr>
          <w:p w:rsidR="00977128" w:rsidRDefault="00977128" w:rsidP="00977128">
            <w:pPr>
              <w:numPr>
                <w:ilvl w:val="0"/>
                <w:numId w:val="24"/>
              </w:numPr>
            </w:pPr>
            <w:r>
              <w:t>market risk premium</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NGL</w:t>
            </w:r>
          </w:p>
        </w:tc>
        <w:tc>
          <w:tcPr>
            <w:tcW w:w="4353" w:type="dxa"/>
          </w:tcPr>
          <w:p w:rsidR="00977128" w:rsidRDefault="00977128" w:rsidP="00977128">
            <w:pPr>
              <w:numPr>
                <w:ilvl w:val="0"/>
                <w:numId w:val="24"/>
              </w:numPr>
            </w:pPr>
            <w:r>
              <w:t>national gas law</w:t>
            </w:r>
          </w:p>
        </w:tc>
      </w:tr>
      <w:tr w:rsidR="00977128" w:rsidTr="00977128">
        <w:tc>
          <w:tcPr>
            <w:tcW w:w="4340" w:type="dxa"/>
          </w:tcPr>
          <w:p w:rsidR="00977128" w:rsidRDefault="00977128" w:rsidP="00977128">
            <w:pPr>
              <w:numPr>
                <w:ilvl w:val="0"/>
                <w:numId w:val="24"/>
              </w:numPr>
            </w:pPr>
            <w:r>
              <w:t>NGO</w:t>
            </w:r>
          </w:p>
        </w:tc>
        <w:tc>
          <w:tcPr>
            <w:tcW w:w="4353" w:type="dxa"/>
          </w:tcPr>
          <w:p w:rsidR="00977128" w:rsidRDefault="00977128" w:rsidP="00977128">
            <w:pPr>
              <w:numPr>
                <w:ilvl w:val="0"/>
                <w:numId w:val="24"/>
              </w:numPr>
            </w:pPr>
            <w:r>
              <w:t>national gas objective</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NGR</w:t>
            </w:r>
          </w:p>
        </w:tc>
        <w:tc>
          <w:tcPr>
            <w:tcW w:w="4353" w:type="dxa"/>
          </w:tcPr>
          <w:p w:rsidR="00977128" w:rsidRDefault="00977128" w:rsidP="00977128">
            <w:pPr>
              <w:numPr>
                <w:ilvl w:val="0"/>
                <w:numId w:val="24"/>
              </w:numPr>
            </w:pPr>
            <w:r>
              <w:t>national gas rules</w:t>
            </w:r>
          </w:p>
        </w:tc>
      </w:tr>
      <w:tr w:rsidR="00977128" w:rsidTr="00977128">
        <w:tc>
          <w:tcPr>
            <w:tcW w:w="4340" w:type="dxa"/>
          </w:tcPr>
          <w:p w:rsidR="00977128" w:rsidRDefault="00977128" w:rsidP="00977128">
            <w:pPr>
              <w:numPr>
                <w:ilvl w:val="0"/>
                <w:numId w:val="24"/>
              </w:numPr>
            </w:pPr>
            <w:r>
              <w:t>NPV</w:t>
            </w:r>
          </w:p>
        </w:tc>
        <w:tc>
          <w:tcPr>
            <w:tcW w:w="4353" w:type="dxa"/>
          </w:tcPr>
          <w:p w:rsidR="00977128" w:rsidRPr="00977128" w:rsidRDefault="00977128" w:rsidP="00977128">
            <w:r>
              <w:t>net present value</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opex</w:t>
            </w:r>
          </w:p>
        </w:tc>
        <w:tc>
          <w:tcPr>
            <w:tcW w:w="4353" w:type="dxa"/>
          </w:tcPr>
          <w:p w:rsidR="00977128" w:rsidRDefault="00977128" w:rsidP="00977128">
            <w:pPr>
              <w:numPr>
                <w:ilvl w:val="0"/>
                <w:numId w:val="24"/>
              </w:numPr>
            </w:pPr>
            <w:r>
              <w:t>operating expenditure</w:t>
            </w:r>
          </w:p>
        </w:tc>
      </w:tr>
      <w:tr w:rsidR="00977128" w:rsidTr="00977128">
        <w:tc>
          <w:tcPr>
            <w:tcW w:w="4340" w:type="dxa"/>
          </w:tcPr>
          <w:p w:rsidR="00977128" w:rsidRDefault="00977128" w:rsidP="00977128">
            <w:pPr>
              <w:numPr>
                <w:ilvl w:val="0"/>
                <w:numId w:val="24"/>
              </w:numPr>
            </w:pPr>
            <w:r>
              <w:t>PTRM</w:t>
            </w:r>
          </w:p>
        </w:tc>
        <w:tc>
          <w:tcPr>
            <w:tcW w:w="4353" w:type="dxa"/>
          </w:tcPr>
          <w:p w:rsidR="00977128" w:rsidRDefault="00977128" w:rsidP="00977128">
            <w:pPr>
              <w:numPr>
                <w:ilvl w:val="0"/>
                <w:numId w:val="24"/>
              </w:numPr>
            </w:pPr>
            <w:r>
              <w:t>post-tax revenue model</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RAB</w:t>
            </w:r>
          </w:p>
        </w:tc>
        <w:tc>
          <w:tcPr>
            <w:tcW w:w="4353" w:type="dxa"/>
          </w:tcPr>
          <w:p w:rsidR="00977128" w:rsidRDefault="00977128" w:rsidP="00977128">
            <w:pPr>
              <w:numPr>
                <w:ilvl w:val="0"/>
                <w:numId w:val="24"/>
              </w:numPr>
            </w:pPr>
            <w:r>
              <w:t>regulatory asset base</w:t>
            </w:r>
          </w:p>
        </w:tc>
      </w:tr>
      <w:tr w:rsidR="00977128" w:rsidTr="00977128">
        <w:tc>
          <w:tcPr>
            <w:tcW w:w="4340" w:type="dxa"/>
          </w:tcPr>
          <w:p w:rsidR="00977128" w:rsidRDefault="00977128" w:rsidP="00977128">
            <w:pPr>
              <w:numPr>
                <w:ilvl w:val="0"/>
                <w:numId w:val="24"/>
              </w:numPr>
            </w:pPr>
            <w:r>
              <w:t>RBA</w:t>
            </w:r>
          </w:p>
        </w:tc>
        <w:tc>
          <w:tcPr>
            <w:tcW w:w="4353" w:type="dxa"/>
          </w:tcPr>
          <w:p w:rsidR="00977128" w:rsidRDefault="00977128" w:rsidP="00977128">
            <w:pPr>
              <w:numPr>
                <w:ilvl w:val="0"/>
                <w:numId w:val="24"/>
              </w:numPr>
            </w:pPr>
            <w:r>
              <w:t>Reserve Bank of Australia</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RIN</w:t>
            </w:r>
          </w:p>
        </w:tc>
        <w:tc>
          <w:tcPr>
            <w:tcW w:w="4353" w:type="dxa"/>
          </w:tcPr>
          <w:p w:rsidR="00977128" w:rsidRDefault="00977128" w:rsidP="00977128">
            <w:pPr>
              <w:numPr>
                <w:ilvl w:val="0"/>
                <w:numId w:val="24"/>
              </w:numPr>
            </w:pPr>
            <w:r>
              <w:t>regulatory information notice</w:t>
            </w:r>
          </w:p>
        </w:tc>
      </w:tr>
      <w:tr w:rsidR="00977128" w:rsidTr="00977128">
        <w:tc>
          <w:tcPr>
            <w:tcW w:w="4340" w:type="dxa"/>
          </w:tcPr>
          <w:p w:rsidR="00977128" w:rsidRDefault="00977128" w:rsidP="00977128">
            <w:pPr>
              <w:numPr>
                <w:ilvl w:val="0"/>
                <w:numId w:val="24"/>
              </w:numPr>
            </w:pPr>
            <w:r>
              <w:t>TAB</w:t>
            </w:r>
          </w:p>
        </w:tc>
        <w:tc>
          <w:tcPr>
            <w:tcW w:w="4353" w:type="dxa"/>
          </w:tcPr>
          <w:p w:rsidR="00977128" w:rsidRPr="00977128" w:rsidRDefault="00977128" w:rsidP="00977128">
            <w:r>
              <w:t>Tax asset base</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UAFG</w:t>
            </w:r>
          </w:p>
        </w:tc>
        <w:tc>
          <w:tcPr>
            <w:tcW w:w="4353" w:type="dxa"/>
          </w:tcPr>
          <w:p w:rsidR="00977128" w:rsidRPr="00977128" w:rsidRDefault="00977128" w:rsidP="00977128">
            <w:r>
              <w:t>Unaccounted for gas</w:t>
            </w:r>
          </w:p>
        </w:tc>
      </w:tr>
      <w:tr w:rsidR="00977128" w:rsidTr="00977128">
        <w:tc>
          <w:tcPr>
            <w:tcW w:w="4340" w:type="dxa"/>
          </w:tcPr>
          <w:p w:rsidR="00977128" w:rsidRDefault="00977128" w:rsidP="00977128">
            <w:pPr>
              <w:numPr>
                <w:ilvl w:val="0"/>
                <w:numId w:val="24"/>
              </w:numPr>
            </w:pPr>
            <w:r>
              <w:t>WACC</w:t>
            </w:r>
          </w:p>
        </w:tc>
        <w:tc>
          <w:tcPr>
            <w:tcW w:w="4353" w:type="dxa"/>
          </w:tcPr>
          <w:p w:rsidR="00977128" w:rsidRDefault="00977128" w:rsidP="00977128">
            <w:pPr>
              <w:numPr>
                <w:ilvl w:val="0"/>
                <w:numId w:val="24"/>
              </w:numPr>
            </w:pPr>
            <w:r>
              <w:t>weighted average cost of capital</w:t>
            </w:r>
          </w:p>
        </w:tc>
      </w:tr>
      <w:tr w:rsidR="00977128" w:rsidTr="00977128">
        <w:trPr>
          <w:cnfStyle w:val="000000010000" w:firstRow="0" w:lastRow="0" w:firstColumn="0" w:lastColumn="0" w:oddVBand="0" w:evenVBand="0" w:oddHBand="0" w:evenHBand="1" w:firstRowFirstColumn="0" w:firstRowLastColumn="0" w:lastRowFirstColumn="0" w:lastRowLastColumn="0"/>
        </w:trPr>
        <w:tc>
          <w:tcPr>
            <w:tcW w:w="4340" w:type="dxa"/>
          </w:tcPr>
          <w:p w:rsidR="00977128" w:rsidRDefault="00977128" w:rsidP="00977128">
            <w:pPr>
              <w:numPr>
                <w:ilvl w:val="0"/>
                <w:numId w:val="24"/>
              </w:numPr>
            </w:pPr>
            <w:r>
              <w:t>WPI</w:t>
            </w:r>
          </w:p>
        </w:tc>
        <w:tc>
          <w:tcPr>
            <w:tcW w:w="4353" w:type="dxa"/>
          </w:tcPr>
          <w:p w:rsidR="00977128" w:rsidRPr="00977128" w:rsidRDefault="00977128" w:rsidP="00977128">
            <w:r>
              <w:t>Wage Price Index</w:t>
            </w:r>
          </w:p>
        </w:tc>
      </w:tr>
    </w:tbl>
    <w:p w:rsidR="00DE563D" w:rsidRDefault="000C6409" w:rsidP="000C6409">
      <w:pPr>
        <w:pStyle w:val="Heading1"/>
      </w:pPr>
      <w:bookmarkStart w:id="13" w:name="_Toc485824121"/>
      <w:bookmarkStart w:id="14" w:name="_Toc416278154"/>
      <w:bookmarkStart w:id="15" w:name="_Toc416346517"/>
      <w:bookmarkStart w:id="16" w:name="_Toc416278157"/>
      <w:bookmarkStart w:id="17" w:name="_Toc416346520"/>
      <w:bookmarkStart w:id="18" w:name="_Toc416278160"/>
      <w:bookmarkStart w:id="19" w:name="_Toc416346523"/>
      <w:bookmarkStart w:id="20" w:name="_Toc416278163"/>
      <w:bookmarkStart w:id="21" w:name="_Toc416346526"/>
      <w:bookmarkStart w:id="22" w:name="_Toc416278166"/>
      <w:bookmarkStart w:id="23" w:name="_Toc416346529"/>
      <w:bookmarkStart w:id="24" w:name="_Toc416278169"/>
      <w:bookmarkStart w:id="25" w:name="_Toc416346532"/>
      <w:bookmarkStart w:id="26" w:name="_Toc416278172"/>
      <w:bookmarkStart w:id="27" w:name="_Toc416346535"/>
      <w:bookmarkStart w:id="28" w:name="_Toc416278175"/>
      <w:bookmarkStart w:id="29" w:name="_Toc416346538"/>
      <w:bookmarkStart w:id="30" w:name="_Toc416278178"/>
      <w:bookmarkStart w:id="31" w:name="_Toc416346541"/>
      <w:bookmarkStart w:id="32" w:name="_Toc416278181"/>
      <w:bookmarkStart w:id="33" w:name="_Toc416346544"/>
      <w:bookmarkStart w:id="34" w:name="_Toc416278184"/>
      <w:bookmarkStart w:id="35" w:name="_Toc416346547"/>
      <w:bookmarkStart w:id="36" w:name="_Toc416278187"/>
      <w:bookmarkStart w:id="37" w:name="_Toc416346550"/>
      <w:bookmarkStart w:id="38" w:name="_Toc416278190"/>
      <w:bookmarkStart w:id="39" w:name="_Toc416346553"/>
      <w:bookmarkStart w:id="40" w:name="_Toc416278193"/>
      <w:bookmarkStart w:id="41" w:name="_Toc416346556"/>
      <w:bookmarkStart w:id="42" w:name="_Toc416278196"/>
      <w:bookmarkStart w:id="43" w:name="_Toc416346559"/>
      <w:bookmarkStart w:id="44" w:name="_Toc416278199"/>
      <w:bookmarkStart w:id="45" w:name="_Toc416346562"/>
      <w:bookmarkStart w:id="46" w:name="_Toc416278202"/>
      <w:bookmarkStart w:id="47" w:name="_Toc416346565"/>
      <w:bookmarkStart w:id="48" w:name="_Toc416278205"/>
      <w:bookmarkStart w:id="49" w:name="_Toc416346568"/>
      <w:bookmarkStart w:id="50" w:name="_Toc416278208"/>
      <w:bookmarkStart w:id="51" w:name="_Toc416346571"/>
      <w:bookmarkStart w:id="52" w:name="_Toc416278211"/>
      <w:bookmarkStart w:id="53" w:name="_Toc416346574"/>
      <w:bookmarkStart w:id="54" w:name="_Toc416278214"/>
      <w:bookmarkStart w:id="55" w:name="_Toc416346577"/>
      <w:bookmarkStart w:id="56" w:name="_Toc416278217"/>
      <w:bookmarkStart w:id="57" w:name="_Toc416346580"/>
      <w:bookmarkStart w:id="58" w:name="_Toc416278220"/>
      <w:bookmarkStart w:id="59" w:name="_Toc416346583"/>
      <w:bookmarkStart w:id="60" w:name="_Toc416278223"/>
      <w:bookmarkStart w:id="61" w:name="_Toc416346586"/>
      <w:bookmarkStart w:id="62" w:name="_Toc416278226"/>
      <w:bookmarkStart w:id="63" w:name="_Toc416346589"/>
      <w:bookmarkStart w:id="64" w:name="_Toc416278229"/>
      <w:bookmarkStart w:id="65" w:name="_Toc416346592"/>
      <w:bookmarkStart w:id="66" w:name="_Toc416278232"/>
      <w:bookmarkStart w:id="67" w:name="_Toc416346595"/>
      <w:bookmarkStart w:id="68" w:name="_Toc416278235"/>
      <w:bookmarkStart w:id="69" w:name="_Toc416346598"/>
      <w:bookmarkStart w:id="70" w:name="_Toc416278238"/>
      <w:bookmarkStart w:id="71" w:name="_Toc416346601"/>
      <w:bookmarkStart w:id="72" w:name="_Toc486855647"/>
      <w:bookmarkEnd w:id="13"/>
      <w:bookmarkEnd w:id="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Demand</w:t>
      </w:r>
      <w:bookmarkEnd w:id="72"/>
    </w:p>
    <w:p w:rsidR="00132D43" w:rsidRPr="00132D43" w:rsidRDefault="00717331" w:rsidP="00132D43">
      <w:r w:rsidRPr="00C62F73">
        <w:t xml:space="preserve">This attachment sets out our assessment of the demand forecasts </w:t>
      </w:r>
      <w:r w:rsidR="00977128">
        <w:t xml:space="preserve">in APA's access arrangement proposal </w:t>
      </w:r>
      <w:r w:rsidRPr="00C62F73">
        <w:t xml:space="preserve">for the </w:t>
      </w:r>
      <w:r w:rsidR="00E44470">
        <w:t>Victorian Transmission System (</w:t>
      </w:r>
      <w:r>
        <w:t>VTS</w:t>
      </w:r>
      <w:r w:rsidR="00E44470">
        <w:t>)</w:t>
      </w:r>
      <w:r w:rsidRPr="00C62F73">
        <w:t xml:space="preserve"> </w:t>
      </w:r>
      <w:r>
        <w:t>for the 2018</w:t>
      </w:r>
      <w:r w:rsidRPr="00C62F73">
        <w:t xml:space="preserve">–22 </w:t>
      </w:r>
      <w:r w:rsidR="008B7655">
        <w:t>a</w:t>
      </w:r>
      <w:r w:rsidRPr="00C62F73">
        <w:t xml:space="preserve">ccess </w:t>
      </w:r>
      <w:r w:rsidR="008B7655">
        <w:t>a</w:t>
      </w:r>
      <w:r w:rsidRPr="00C62F73">
        <w:t xml:space="preserve">rrangement </w:t>
      </w:r>
      <w:proofErr w:type="gramStart"/>
      <w:r w:rsidRPr="00C62F73">
        <w:t>period</w:t>
      </w:r>
      <w:proofErr w:type="gramEnd"/>
      <w:r w:rsidRPr="00C62F73">
        <w:t xml:space="preserve">. Demand is an important input into the derivation of </w:t>
      </w:r>
      <w:r w:rsidR="008B7655">
        <w:t>APA</w:t>
      </w:r>
      <w:r w:rsidR="00DE501F">
        <w:t>'</w:t>
      </w:r>
      <w:r w:rsidR="008B7655">
        <w:t>s</w:t>
      </w:r>
      <w:r w:rsidRPr="00C62F73">
        <w:t xml:space="preserve"> reference tariffs.</w:t>
      </w:r>
      <w:r w:rsidR="00243431">
        <w:t xml:space="preserve"> </w:t>
      </w:r>
      <w:r w:rsidR="00243431" w:rsidRPr="00243431">
        <w:t>It also affects operating expenditure (opex) and capital expenditure (capex</w:t>
      </w:r>
      <w:r w:rsidR="00243431">
        <w:t>)</w:t>
      </w:r>
      <w:r w:rsidR="00243431" w:rsidRPr="00243431">
        <w:t>.</w:t>
      </w:r>
      <w:r w:rsidR="00243431">
        <w:rPr>
          <w:rStyle w:val="FootnoteReference"/>
        </w:rPr>
        <w:footnoteReference w:id="1"/>
      </w:r>
    </w:p>
    <w:p w:rsidR="00132D43" w:rsidRDefault="00132D43" w:rsidP="00132D43">
      <w:pPr>
        <w:pStyle w:val="Heading2"/>
      </w:pPr>
      <w:bookmarkStart w:id="73" w:name="_Toc486855648"/>
      <w:r>
        <w:t>Draft decision</w:t>
      </w:r>
      <w:bookmarkEnd w:id="73"/>
    </w:p>
    <w:p w:rsidR="00363910" w:rsidRDefault="008B7655" w:rsidP="00132D43">
      <w:r>
        <w:t xml:space="preserve">Based on all the information before us, we do not accept APA's </w:t>
      </w:r>
      <w:r w:rsidR="00363910">
        <w:t xml:space="preserve">proposed total </w:t>
      </w:r>
      <w:r w:rsidR="00E44470">
        <w:t>VTS</w:t>
      </w:r>
      <w:r w:rsidR="00246A19">
        <w:t xml:space="preserve"> withdrawal </w:t>
      </w:r>
      <w:r w:rsidR="00363910">
        <w:t xml:space="preserve">volumes </w:t>
      </w:r>
      <w:r w:rsidR="004F345B">
        <w:t>for the 2018–</w:t>
      </w:r>
      <w:r>
        <w:t xml:space="preserve">22 access arrangement period. </w:t>
      </w:r>
    </w:p>
    <w:p w:rsidR="00EB5093" w:rsidRDefault="00D007A0" w:rsidP="00132D43">
      <w:r>
        <w:t xml:space="preserve">While we </w:t>
      </w:r>
      <w:r w:rsidR="00C51DF5">
        <w:t>accept</w:t>
      </w:r>
      <w:r w:rsidR="008B7655">
        <w:t xml:space="preserve"> </w:t>
      </w:r>
      <w:r>
        <w:t>APA's</w:t>
      </w:r>
      <w:r w:rsidR="008B7655">
        <w:t xml:space="preserve"> overall methodology </w:t>
      </w:r>
      <w:r w:rsidR="00363910">
        <w:t>to forecast total</w:t>
      </w:r>
      <w:r w:rsidR="00246A19">
        <w:t xml:space="preserve"> VTS withdrawal</w:t>
      </w:r>
      <w:r w:rsidR="00363910">
        <w:t xml:space="preserve"> volumes</w:t>
      </w:r>
      <w:r w:rsidR="008B7655">
        <w:t xml:space="preserve">, we have not accepted the forecasts </w:t>
      </w:r>
      <w:r w:rsidR="00363910">
        <w:t>for Tariff V and storage refill demand</w:t>
      </w:r>
      <w:r w:rsidR="00F83363">
        <w:t>—</w:t>
      </w:r>
      <w:r w:rsidR="00F3360B">
        <w:t>components of</w:t>
      </w:r>
      <w:r w:rsidR="00363910">
        <w:t xml:space="preserve"> total</w:t>
      </w:r>
      <w:r w:rsidR="00F3360B">
        <w:t xml:space="preserve"> withdrawal</w:t>
      </w:r>
      <w:r w:rsidR="00702E0F">
        <w:t xml:space="preserve"> volumes. We have updated the Tariff V forecast to reflect </w:t>
      </w:r>
      <w:r w:rsidR="001E1ED6">
        <w:t>our draft decisions on</w:t>
      </w:r>
      <w:r w:rsidR="00702E0F">
        <w:t xml:space="preserve"> the three Victorian gas distributors' </w:t>
      </w:r>
      <w:r w:rsidR="001E1ED6">
        <w:t xml:space="preserve">proposed </w:t>
      </w:r>
      <w:r w:rsidR="00702E0F">
        <w:t>demand forecasts.</w:t>
      </w:r>
      <w:r w:rsidR="00E75691">
        <w:rPr>
          <w:rStyle w:val="FootnoteReference"/>
        </w:rPr>
        <w:footnoteReference w:id="2"/>
      </w:r>
      <w:r w:rsidR="00702E0F">
        <w:t xml:space="preserve"> We have updated the storage refill demand forecast using figures from AEMO's 2017 Victorian Gas Planning Report (VGPR), which forecasts a higher volume of gas flowing into Iona</w:t>
      </w:r>
      <w:r w:rsidR="00702E0F" w:rsidRPr="00702E0F">
        <w:t xml:space="preserve"> </w:t>
      </w:r>
      <w:r w:rsidR="00702E0F">
        <w:t>Underground Storage (Iona UGS).</w:t>
      </w:r>
    </w:p>
    <w:p w:rsidR="00CA3BE0" w:rsidRDefault="008B7655" w:rsidP="00132D43">
      <w:r>
        <w:t xml:space="preserve">Our alternative </w:t>
      </w:r>
      <w:r w:rsidR="00363910">
        <w:t xml:space="preserve">forecast uses </w:t>
      </w:r>
      <w:r w:rsidR="00246A19">
        <w:t xml:space="preserve">the updated data, with a resulting </w:t>
      </w:r>
      <w:r>
        <w:t>foreca</w:t>
      </w:r>
      <w:r w:rsidR="00D30119">
        <w:t xml:space="preserve">st of </w:t>
      </w:r>
      <w:r w:rsidR="00FE7C67">
        <w:t>total</w:t>
      </w:r>
      <w:r w:rsidR="00D30119">
        <w:t xml:space="preserve"> </w:t>
      </w:r>
      <w:r w:rsidR="00246A19">
        <w:t xml:space="preserve">VTS </w:t>
      </w:r>
      <w:r w:rsidR="00D30119">
        <w:t xml:space="preserve">withdrawal volumes of </w:t>
      </w:r>
      <w:r w:rsidR="004F345B">
        <w:t>113</w:t>
      </w:r>
      <w:r w:rsidR="000B19D7">
        <w:t>7.0</w:t>
      </w:r>
      <w:r w:rsidR="00C41DB5">
        <w:t xml:space="preserve"> petajoules (PJ)</w:t>
      </w:r>
      <w:r w:rsidR="00246A19">
        <w:t xml:space="preserve">. This </w:t>
      </w:r>
      <w:r w:rsidR="00D30119">
        <w:t>is 0.</w:t>
      </w:r>
      <w:r w:rsidR="000B19D7">
        <w:t>56</w:t>
      </w:r>
      <w:r w:rsidR="00D30119">
        <w:t xml:space="preserve"> per cent higher than APA's forecast</w:t>
      </w:r>
      <w:r w:rsidR="00C41DB5">
        <w:t xml:space="preserve"> of </w:t>
      </w:r>
      <w:r w:rsidR="004F345B">
        <w:t>1130.6</w:t>
      </w:r>
      <w:r w:rsidR="00C41DB5">
        <w:t xml:space="preserve"> PJ </w:t>
      </w:r>
      <w:r w:rsidR="004F345B">
        <w:t>over the 2018–22 access arrangement period</w:t>
      </w:r>
      <w:r w:rsidR="00C41DB5">
        <w:t>.</w:t>
      </w:r>
      <w:r w:rsidR="004F345B">
        <w:t xml:space="preserve"> Our alternative demand forecast</w:t>
      </w:r>
      <w:r w:rsidR="00246A19">
        <w:t>s are</w:t>
      </w:r>
      <w:r w:rsidR="004F345B">
        <w:t xml:space="preserve"> set out in </w:t>
      </w:r>
      <w:r w:rsidR="00D007A0">
        <w:fldChar w:fldCharType="begin"/>
      </w:r>
      <w:r w:rsidR="00D007A0">
        <w:instrText xml:space="preserve"> REF _Ref484079504 \h </w:instrText>
      </w:r>
      <w:r w:rsidR="00D007A0">
        <w:fldChar w:fldCharType="separate"/>
      </w:r>
      <w:r w:rsidR="00E826A6">
        <w:t xml:space="preserve">Table </w:t>
      </w:r>
      <w:r w:rsidR="00E826A6">
        <w:rPr>
          <w:noProof/>
        </w:rPr>
        <w:t>13</w:t>
      </w:r>
      <w:r w:rsidR="00E826A6">
        <w:noBreakHyphen/>
      </w:r>
      <w:r w:rsidR="00E826A6">
        <w:rPr>
          <w:noProof/>
        </w:rPr>
        <w:t>1</w:t>
      </w:r>
      <w:r w:rsidR="00D007A0">
        <w:fldChar w:fldCharType="end"/>
      </w:r>
      <w:r w:rsidR="00D007A0">
        <w:t>.</w:t>
      </w:r>
    </w:p>
    <w:p w:rsidR="00246A19" w:rsidRDefault="00246A19" w:rsidP="00132D43">
      <w:r w:rsidRPr="00D007A0">
        <w:t xml:space="preserve">We </w:t>
      </w:r>
      <w:r w:rsidR="00C51DF5">
        <w:t>expect</w:t>
      </w:r>
      <w:r w:rsidR="00C51DF5" w:rsidRPr="00D007A0">
        <w:t xml:space="preserve"> </w:t>
      </w:r>
      <w:r w:rsidRPr="00D007A0">
        <w:t xml:space="preserve">APA to further update its demand forecast where revised values are available, such as with 2016 or 2016/17 actuals </w:t>
      </w:r>
      <w:r>
        <w:t>and</w:t>
      </w:r>
      <w:r w:rsidRPr="00D007A0">
        <w:t xml:space="preserve"> updated forecasts sourced from AEMO, when it submits its revised proposal.</w:t>
      </w:r>
    </w:p>
    <w:p w:rsidR="009B0877" w:rsidRDefault="009B0877" w:rsidP="009B0877">
      <w:r>
        <w:t>With respect to</w:t>
      </w:r>
      <w:r w:rsidR="00246A19">
        <w:t xml:space="preserve"> APA</w:t>
      </w:r>
      <w:r w:rsidR="00F3360B">
        <w:t xml:space="preserve">'s forecasts of the remaining components </w:t>
      </w:r>
      <w:r w:rsidR="001E1ED6">
        <w:t xml:space="preserve">of </w:t>
      </w:r>
      <w:r w:rsidR="00246A19">
        <w:t>total VTS withdrawal volumes</w:t>
      </w:r>
      <w:r w:rsidR="00F83363">
        <w:t xml:space="preserve"> (</w:t>
      </w:r>
      <w:r>
        <w:t xml:space="preserve">Tariff D, Gas Powered Generation (GPG) </w:t>
      </w:r>
      <w:r w:rsidR="00BD3B93">
        <w:t>and demand through interstate transfe</w:t>
      </w:r>
      <w:r w:rsidR="00F6128F">
        <w:t>r</w:t>
      </w:r>
      <w:r w:rsidR="00BD3B93">
        <w:t>s</w:t>
      </w:r>
      <w:r w:rsidR="00F83363">
        <w:t xml:space="preserve">), </w:t>
      </w:r>
      <w:r w:rsidR="00BD3B93">
        <w:t>we are satisfied that the</w:t>
      </w:r>
      <w:r w:rsidR="00246A19">
        <w:t>se</w:t>
      </w:r>
      <w:r w:rsidR="00BD3B93">
        <w:t xml:space="preserve"> forecasts are </w:t>
      </w:r>
      <w:r w:rsidR="00E557A9">
        <w:t>arrived at on a reasonable basis and are the best forecasts possible in the circumstances.</w:t>
      </w:r>
      <w:r w:rsidR="00E557A9">
        <w:rPr>
          <w:rStyle w:val="FootnoteReference"/>
        </w:rPr>
        <w:footnoteReference w:id="3"/>
      </w:r>
    </w:p>
    <w:p w:rsidR="00246A19" w:rsidRDefault="00246A19" w:rsidP="009B0877">
      <w:r>
        <w:t xml:space="preserve">We also </w:t>
      </w:r>
      <w:r w:rsidR="00C51DF5">
        <w:t xml:space="preserve">are </w:t>
      </w:r>
      <w:r>
        <w:t xml:space="preserve">satisfied that APA's proposed peak demand forecasts (1-in-2 peak and 1-in-20 peak) are </w:t>
      </w:r>
      <w:r w:rsidR="00E557A9">
        <w:t>arrived at on a reasonable basis and are the best forecasts possible in the circumstances.</w:t>
      </w:r>
      <w:r w:rsidR="00E557A9">
        <w:rPr>
          <w:rStyle w:val="FootnoteReference"/>
        </w:rPr>
        <w:footnoteReference w:id="4"/>
      </w:r>
    </w:p>
    <w:p w:rsidR="00246A19" w:rsidRDefault="00246A19" w:rsidP="009B0877">
      <w:r>
        <w:t xml:space="preserve">The reasons for the AER's decision are discussed in Section </w:t>
      </w:r>
      <w:r>
        <w:fldChar w:fldCharType="begin"/>
      </w:r>
      <w:r>
        <w:instrText xml:space="preserve"> REF _Ref483815330 \n \h </w:instrText>
      </w:r>
      <w:r>
        <w:fldChar w:fldCharType="separate"/>
      </w:r>
      <w:r w:rsidR="00E826A6">
        <w:t>13.4</w:t>
      </w:r>
      <w:r>
        <w:fldChar w:fldCharType="end"/>
      </w:r>
      <w:r>
        <w:t xml:space="preserve"> below.</w:t>
      </w:r>
    </w:p>
    <w:p w:rsidR="004F345B" w:rsidRDefault="004F345B" w:rsidP="004F345B">
      <w:pPr>
        <w:pStyle w:val="Caption"/>
      </w:pPr>
      <w:bookmarkStart w:id="74" w:name="_Ref484079504"/>
      <w:r>
        <w:t xml:space="preserve">Table </w:t>
      </w:r>
      <w:fldSimple w:instr=" STYLEREF 1 \s ">
        <w:r w:rsidR="00E826A6">
          <w:rPr>
            <w:noProof/>
          </w:rPr>
          <w:t>13</w:t>
        </w:r>
      </w:fldSimple>
      <w:r>
        <w:noBreakHyphen/>
      </w:r>
      <w:fldSimple w:instr=" SEQ Table \* ARABIC \s 1 ">
        <w:r w:rsidR="00E826A6">
          <w:rPr>
            <w:noProof/>
          </w:rPr>
          <w:t>1</w:t>
        </w:r>
      </w:fldSimple>
      <w:bookmarkEnd w:id="74"/>
      <w:r>
        <w:t xml:space="preserve"> Draft decision alternative forecast of annual VTS withdrawal volumes for the 2018–22 access arrangement period.</w:t>
      </w:r>
    </w:p>
    <w:tbl>
      <w:tblPr>
        <w:tblStyle w:val="AERtable-numbers"/>
        <w:tblW w:w="5000" w:type="pct"/>
        <w:tblLook w:val="04A0" w:firstRow="1" w:lastRow="0" w:firstColumn="1" w:lastColumn="0" w:noHBand="0" w:noVBand="1"/>
      </w:tblPr>
      <w:tblGrid>
        <w:gridCol w:w="1809"/>
        <w:gridCol w:w="1781"/>
        <w:gridCol w:w="1062"/>
        <w:gridCol w:w="1062"/>
        <w:gridCol w:w="1062"/>
        <w:gridCol w:w="1062"/>
        <w:gridCol w:w="855"/>
      </w:tblGrid>
      <w:tr w:rsidR="004F345B" w:rsidRPr="004F345B" w:rsidTr="007410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tc>
        <w:tc>
          <w:tcPr>
            <w:tcW w:w="1024" w:type="pct"/>
            <w:noWrap/>
            <w:hideMark/>
          </w:tcPr>
          <w:p w:rsidR="004F345B" w:rsidRPr="004F345B" w:rsidRDefault="004F345B" w:rsidP="004F345B">
            <w:pPr>
              <w:cnfStyle w:val="100000000000" w:firstRow="1" w:lastRow="0" w:firstColumn="0" w:lastColumn="0" w:oddVBand="0" w:evenVBand="0" w:oddHBand="0" w:evenHBand="0" w:firstRowFirstColumn="0" w:firstRowLastColumn="0" w:lastRowFirstColumn="0" w:lastRowLastColumn="0"/>
            </w:pPr>
            <w:r w:rsidRPr="004F345B">
              <w:t>2018</w:t>
            </w:r>
          </w:p>
        </w:tc>
        <w:tc>
          <w:tcPr>
            <w:tcW w:w="611" w:type="pct"/>
            <w:noWrap/>
            <w:hideMark/>
          </w:tcPr>
          <w:p w:rsidR="004F345B" w:rsidRPr="004F345B" w:rsidRDefault="004F345B" w:rsidP="004F345B">
            <w:pPr>
              <w:cnfStyle w:val="100000000000" w:firstRow="1" w:lastRow="0" w:firstColumn="0" w:lastColumn="0" w:oddVBand="0" w:evenVBand="0" w:oddHBand="0" w:evenHBand="0" w:firstRowFirstColumn="0" w:firstRowLastColumn="0" w:lastRowFirstColumn="0" w:lastRowLastColumn="0"/>
            </w:pPr>
            <w:r w:rsidRPr="004F345B">
              <w:t>2019</w:t>
            </w:r>
          </w:p>
        </w:tc>
        <w:tc>
          <w:tcPr>
            <w:tcW w:w="611" w:type="pct"/>
            <w:noWrap/>
            <w:hideMark/>
          </w:tcPr>
          <w:p w:rsidR="004F345B" w:rsidRPr="004F345B" w:rsidRDefault="004F345B" w:rsidP="004F345B">
            <w:pPr>
              <w:cnfStyle w:val="100000000000" w:firstRow="1" w:lastRow="0" w:firstColumn="0" w:lastColumn="0" w:oddVBand="0" w:evenVBand="0" w:oddHBand="0" w:evenHBand="0" w:firstRowFirstColumn="0" w:firstRowLastColumn="0" w:lastRowFirstColumn="0" w:lastRowLastColumn="0"/>
            </w:pPr>
            <w:r w:rsidRPr="004F345B">
              <w:t>2020</w:t>
            </w:r>
          </w:p>
        </w:tc>
        <w:tc>
          <w:tcPr>
            <w:tcW w:w="611" w:type="pct"/>
            <w:noWrap/>
            <w:hideMark/>
          </w:tcPr>
          <w:p w:rsidR="004F345B" w:rsidRPr="004F345B" w:rsidRDefault="004F345B" w:rsidP="004F345B">
            <w:pPr>
              <w:cnfStyle w:val="100000000000" w:firstRow="1" w:lastRow="0" w:firstColumn="0" w:lastColumn="0" w:oddVBand="0" w:evenVBand="0" w:oddHBand="0" w:evenHBand="0" w:firstRowFirstColumn="0" w:firstRowLastColumn="0" w:lastRowFirstColumn="0" w:lastRowLastColumn="0"/>
            </w:pPr>
            <w:r w:rsidRPr="004F345B">
              <w:t>2021</w:t>
            </w:r>
          </w:p>
        </w:tc>
        <w:tc>
          <w:tcPr>
            <w:tcW w:w="611" w:type="pct"/>
            <w:noWrap/>
            <w:hideMark/>
          </w:tcPr>
          <w:p w:rsidR="004F345B" w:rsidRPr="004F345B" w:rsidRDefault="004F345B" w:rsidP="004F345B">
            <w:pPr>
              <w:cnfStyle w:val="100000000000" w:firstRow="1" w:lastRow="0" w:firstColumn="0" w:lastColumn="0" w:oddVBand="0" w:evenVBand="0" w:oddHBand="0" w:evenHBand="0" w:firstRowFirstColumn="0" w:firstRowLastColumn="0" w:lastRowFirstColumn="0" w:lastRowLastColumn="0"/>
            </w:pPr>
            <w:r w:rsidRPr="004F345B">
              <w:t>2022</w:t>
            </w:r>
          </w:p>
        </w:tc>
        <w:tc>
          <w:tcPr>
            <w:tcW w:w="492" w:type="pct"/>
            <w:noWrap/>
            <w:hideMark/>
          </w:tcPr>
          <w:p w:rsidR="004F345B" w:rsidRPr="004F345B" w:rsidRDefault="004F345B" w:rsidP="004F345B">
            <w:pPr>
              <w:cnfStyle w:val="100000000000" w:firstRow="1" w:lastRow="0" w:firstColumn="0" w:lastColumn="0" w:oddVBand="0" w:evenVBand="0" w:oddHBand="0" w:evenHBand="0" w:firstRowFirstColumn="0" w:firstRowLastColumn="0" w:lastRowFirstColumn="0" w:lastRowLastColumn="0"/>
            </w:pPr>
            <w:r w:rsidRPr="004F345B">
              <w:t>Total</w:t>
            </w: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pPr>
              <w:rPr>
                <w:rStyle w:val="Strong"/>
              </w:rPr>
            </w:pPr>
            <w:r w:rsidRPr="004F345B">
              <w:rPr>
                <w:rStyle w:val="Strong"/>
              </w:rPr>
              <w:t>Annual (PJ)</w:t>
            </w:r>
          </w:p>
        </w:tc>
        <w:tc>
          <w:tcPr>
            <w:tcW w:w="1024" w:type="pct"/>
            <w:noWrap/>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p>
        </w:tc>
        <w:tc>
          <w:tcPr>
            <w:tcW w:w="611" w:type="pct"/>
            <w:noWrap/>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p>
        </w:tc>
        <w:tc>
          <w:tcPr>
            <w:tcW w:w="611" w:type="pct"/>
            <w:noWrap/>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p>
        </w:tc>
        <w:tc>
          <w:tcPr>
            <w:tcW w:w="611" w:type="pct"/>
            <w:noWrap/>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p>
        </w:tc>
        <w:tc>
          <w:tcPr>
            <w:tcW w:w="611" w:type="pct"/>
            <w:noWrap/>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p>
        </w:tc>
        <w:tc>
          <w:tcPr>
            <w:tcW w:w="492" w:type="pct"/>
            <w:noWrap/>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Tariffs V&amp;D</w:t>
            </w:r>
          </w:p>
        </w:tc>
        <w:tc>
          <w:tcPr>
            <w:tcW w:w="1024"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181.6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179.6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177.5</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176.7</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175.0</w:t>
            </w:r>
          </w:p>
        </w:tc>
        <w:tc>
          <w:tcPr>
            <w:tcW w:w="492"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890.4</w:t>
            </w: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GPG</w:t>
            </w:r>
          </w:p>
        </w:tc>
        <w:tc>
          <w:tcPr>
            <w:tcW w:w="1024"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5.3</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1.8</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1.9</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0.6</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0.8</w:t>
            </w:r>
          </w:p>
        </w:tc>
        <w:tc>
          <w:tcPr>
            <w:tcW w:w="492"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10.3</w:t>
            </w: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Culcairn</w:t>
            </w:r>
          </w:p>
        </w:tc>
        <w:tc>
          <w:tcPr>
            <w:tcW w:w="1024"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29.6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29.6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29.6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29.6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29.6</w:t>
            </w:r>
          </w:p>
        </w:tc>
        <w:tc>
          <w:tcPr>
            <w:tcW w:w="492"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148.0</w:t>
            </w: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VicHub</w:t>
            </w:r>
          </w:p>
        </w:tc>
        <w:tc>
          <w:tcPr>
            <w:tcW w:w="1024"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492"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pPr>
              <w:rPr>
                <w:rStyle w:val="Strong"/>
              </w:rPr>
            </w:pPr>
            <w:r w:rsidRPr="004F345B">
              <w:rPr>
                <w:rStyle w:val="Strong"/>
              </w:rPr>
              <w:t>Sub-total</w:t>
            </w:r>
          </w:p>
        </w:tc>
        <w:tc>
          <w:tcPr>
            <w:tcW w:w="1024"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216.5</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211.0</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209.0</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206.9</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205.4</w:t>
            </w:r>
          </w:p>
        </w:tc>
        <w:tc>
          <w:tcPr>
            <w:tcW w:w="492"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1048.8</w:t>
            </w:r>
          </w:p>
        </w:tc>
      </w:tr>
      <w:tr w:rsidR="000B19D7"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0B19D7" w:rsidRPr="000B19D7" w:rsidRDefault="000B19D7" w:rsidP="000B19D7">
            <w:r w:rsidRPr="000B19D7">
              <w:t>UGS/LNG refill</w:t>
            </w:r>
          </w:p>
        </w:tc>
        <w:tc>
          <w:tcPr>
            <w:tcW w:w="1024" w:type="pct"/>
            <w:noWrap/>
            <w:vAlign w:val="bottom"/>
            <w:hideMark/>
          </w:tcPr>
          <w:p w:rsidR="000B19D7" w:rsidRPr="000B19D7" w:rsidRDefault="000B19D7" w:rsidP="000B19D7">
            <w:pPr>
              <w:cnfStyle w:val="000000000000" w:firstRow="0" w:lastRow="0" w:firstColumn="0" w:lastColumn="0" w:oddVBand="0" w:evenVBand="0" w:oddHBand="0" w:evenHBand="0" w:firstRowFirstColumn="0" w:firstRowLastColumn="0" w:lastRowFirstColumn="0" w:lastRowLastColumn="0"/>
            </w:pPr>
            <w:r w:rsidRPr="000B19D7">
              <w:t>18.3</w:t>
            </w:r>
          </w:p>
        </w:tc>
        <w:tc>
          <w:tcPr>
            <w:tcW w:w="611" w:type="pct"/>
            <w:noWrap/>
            <w:vAlign w:val="bottom"/>
            <w:hideMark/>
          </w:tcPr>
          <w:p w:rsidR="000B19D7" w:rsidRPr="000B19D7" w:rsidRDefault="000B19D7" w:rsidP="000B19D7">
            <w:pPr>
              <w:cnfStyle w:val="000000000000" w:firstRow="0" w:lastRow="0" w:firstColumn="0" w:lastColumn="0" w:oddVBand="0" w:evenVBand="0" w:oddHBand="0" w:evenHBand="0" w:firstRowFirstColumn="0" w:firstRowLastColumn="0" w:lastRowFirstColumn="0" w:lastRowLastColumn="0"/>
            </w:pPr>
            <w:r w:rsidRPr="000B19D7">
              <w:t>17.5</w:t>
            </w:r>
          </w:p>
        </w:tc>
        <w:tc>
          <w:tcPr>
            <w:tcW w:w="611" w:type="pct"/>
            <w:noWrap/>
            <w:vAlign w:val="bottom"/>
            <w:hideMark/>
          </w:tcPr>
          <w:p w:rsidR="000B19D7" w:rsidRPr="000B19D7" w:rsidRDefault="000B19D7" w:rsidP="000B19D7">
            <w:pPr>
              <w:cnfStyle w:val="000000000000" w:firstRow="0" w:lastRow="0" w:firstColumn="0" w:lastColumn="0" w:oddVBand="0" w:evenVBand="0" w:oddHBand="0" w:evenHBand="0" w:firstRowFirstColumn="0" w:firstRowLastColumn="0" w:lastRowFirstColumn="0" w:lastRowLastColumn="0"/>
            </w:pPr>
            <w:r w:rsidRPr="000B19D7">
              <w:t>17.5</w:t>
            </w:r>
          </w:p>
        </w:tc>
        <w:tc>
          <w:tcPr>
            <w:tcW w:w="611" w:type="pct"/>
            <w:noWrap/>
            <w:vAlign w:val="bottom"/>
            <w:hideMark/>
          </w:tcPr>
          <w:p w:rsidR="000B19D7" w:rsidRPr="000B19D7" w:rsidRDefault="000B19D7" w:rsidP="000B19D7">
            <w:pPr>
              <w:cnfStyle w:val="000000000000" w:firstRow="0" w:lastRow="0" w:firstColumn="0" w:lastColumn="0" w:oddVBand="0" w:evenVBand="0" w:oddHBand="0" w:evenHBand="0" w:firstRowFirstColumn="0" w:firstRowLastColumn="0" w:lastRowFirstColumn="0" w:lastRowLastColumn="0"/>
            </w:pPr>
            <w:r w:rsidRPr="000B19D7">
              <w:t>17.5</w:t>
            </w:r>
          </w:p>
        </w:tc>
        <w:tc>
          <w:tcPr>
            <w:tcW w:w="611" w:type="pct"/>
            <w:noWrap/>
            <w:vAlign w:val="bottom"/>
            <w:hideMark/>
          </w:tcPr>
          <w:p w:rsidR="000B19D7" w:rsidRPr="000B19D7" w:rsidRDefault="000B19D7" w:rsidP="000B19D7">
            <w:pPr>
              <w:cnfStyle w:val="000000000000" w:firstRow="0" w:lastRow="0" w:firstColumn="0" w:lastColumn="0" w:oddVBand="0" w:evenVBand="0" w:oddHBand="0" w:evenHBand="0" w:firstRowFirstColumn="0" w:firstRowLastColumn="0" w:lastRowFirstColumn="0" w:lastRowLastColumn="0"/>
            </w:pPr>
            <w:r w:rsidRPr="000B19D7">
              <w:t>17.5</w:t>
            </w:r>
          </w:p>
        </w:tc>
        <w:tc>
          <w:tcPr>
            <w:tcW w:w="492" w:type="pct"/>
            <w:noWrap/>
            <w:vAlign w:val="bottom"/>
            <w:hideMark/>
          </w:tcPr>
          <w:p w:rsidR="000B19D7" w:rsidRPr="000B19D7" w:rsidRDefault="000B19D7" w:rsidP="000B19D7">
            <w:pPr>
              <w:cnfStyle w:val="000000000000" w:firstRow="0" w:lastRow="0" w:firstColumn="0" w:lastColumn="0" w:oddVBand="0" w:evenVBand="0" w:oddHBand="0" w:evenHBand="0" w:firstRowFirstColumn="0" w:firstRowLastColumn="0" w:lastRowFirstColumn="0" w:lastRowLastColumn="0"/>
            </w:pPr>
            <w:r w:rsidRPr="000B19D7">
              <w:t>88.2</w:t>
            </w:r>
          </w:p>
        </w:tc>
      </w:tr>
      <w:tr w:rsidR="000B19D7"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0B19D7" w:rsidRPr="000B19D7" w:rsidRDefault="000B19D7" w:rsidP="000B19D7">
            <w:pPr>
              <w:rPr>
                <w:rStyle w:val="Strong"/>
              </w:rPr>
            </w:pPr>
            <w:r w:rsidRPr="000B19D7">
              <w:rPr>
                <w:rStyle w:val="Strong"/>
              </w:rPr>
              <w:t>Total</w:t>
            </w:r>
          </w:p>
        </w:tc>
        <w:tc>
          <w:tcPr>
            <w:tcW w:w="1024" w:type="pct"/>
            <w:noWrap/>
            <w:vAlign w:val="bottom"/>
            <w:hideMark/>
          </w:tcPr>
          <w:p w:rsidR="000B19D7" w:rsidRPr="000B19D7" w:rsidRDefault="000B19D7" w:rsidP="000B19D7">
            <w:pPr>
              <w:cnfStyle w:val="000000010000" w:firstRow="0" w:lastRow="0" w:firstColumn="0" w:lastColumn="0" w:oddVBand="0" w:evenVBand="0" w:oddHBand="0" w:evenHBand="1" w:firstRowFirstColumn="0" w:firstRowLastColumn="0" w:lastRowFirstColumn="0" w:lastRowLastColumn="0"/>
              <w:rPr>
                <w:rStyle w:val="Strong"/>
              </w:rPr>
            </w:pPr>
            <w:r w:rsidRPr="000B19D7">
              <w:rPr>
                <w:rStyle w:val="Strong"/>
              </w:rPr>
              <w:t>234.7</w:t>
            </w:r>
          </w:p>
        </w:tc>
        <w:tc>
          <w:tcPr>
            <w:tcW w:w="611" w:type="pct"/>
            <w:noWrap/>
            <w:vAlign w:val="bottom"/>
            <w:hideMark/>
          </w:tcPr>
          <w:p w:rsidR="000B19D7" w:rsidRPr="000B19D7" w:rsidRDefault="000B19D7" w:rsidP="000B19D7">
            <w:pPr>
              <w:cnfStyle w:val="000000010000" w:firstRow="0" w:lastRow="0" w:firstColumn="0" w:lastColumn="0" w:oddVBand="0" w:evenVBand="0" w:oddHBand="0" w:evenHBand="1" w:firstRowFirstColumn="0" w:firstRowLastColumn="0" w:lastRowFirstColumn="0" w:lastRowLastColumn="0"/>
              <w:rPr>
                <w:rStyle w:val="Strong"/>
              </w:rPr>
            </w:pPr>
            <w:r w:rsidRPr="000B19D7">
              <w:rPr>
                <w:rStyle w:val="Strong"/>
              </w:rPr>
              <w:t>228.5</w:t>
            </w:r>
          </w:p>
        </w:tc>
        <w:tc>
          <w:tcPr>
            <w:tcW w:w="611" w:type="pct"/>
            <w:noWrap/>
            <w:vAlign w:val="bottom"/>
            <w:hideMark/>
          </w:tcPr>
          <w:p w:rsidR="000B19D7" w:rsidRPr="000B19D7" w:rsidRDefault="000B19D7" w:rsidP="000B19D7">
            <w:pPr>
              <w:cnfStyle w:val="000000010000" w:firstRow="0" w:lastRow="0" w:firstColumn="0" w:lastColumn="0" w:oddVBand="0" w:evenVBand="0" w:oddHBand="0" w:evenHBand="1" w:firstRowFirstColumn="0" w:firstRowLastColumn="0" w:lastRowFirstColumn="0" w:lastRowLastColumn="0"/>
              <w:rPr>
                <w:rStyle w:val="Strong"/>
              </w:rPr>
            </w:pPr>
            <w:r w:rsidRPr="000B19D7">
              <w:rPr>
                <w:rStyle w:val="Strong"/>
              </w:rPr>
              <w:t>226.4</w:t>
            </w:r>
          </w:p>
        </w:tc>
        <w:tc>
          <w:tcPr>
            <w:tcW w:w="611" w:type="pct"/>
            <w:noWrap/>
            <w:vAlign w:val="bottom"/>
            <w:hideMark/>
          </w:tcPr>
          <w:p w:rsidR="000B19D7" w:rsidRPr="000B19D7" w:rsidRDefault="000B19D7" w:rsidP="000B19D7">
            <w:pPr>
              <w:cnfStyle w:val="000000010000" w:firstRow="0" w:lastRow="0" w:firstColumn="0" w:lastColumn="0" w:oddVBand="0" w:evenVBand="0" w:oddHBand="0" w:evenHBand="1" w:firstRowFirstColumn="0" w:firstRowLastColumn="0" w:lastRowFirstColumn="0" w:lastRowLastColumn="0"/>
              <w:rPr>
                <w:rStyle w:val="Strong"/>
              </w:rPr>
            </w:pPr>
            <w:r w:rsidRPr="000B19D7">
              <w:rPr>
                <w:rStyle w:val="Strong"/>
              </w:rPr>
              <w:t>224.4</w:t>
            </w:r>
          </w:p>
        </w:tc>
        <w:tc>
          <w:tcPr>
            <w:tcW w:w="611" w:type="pct"/>
            <w:noWrap/>
            <w:vAlign w:val="bottom"/>
            <w:hideMark/>
          </w:tcPr>
          <w:p w:rsidR="000B19D7" w:rsidRPr="000B19D7" w:rsidRDefault="000B19D7" w:rsidP="000B19D7">
            <w:pPr>
              <w:cnfStyle w:val="000000010000" w:firstRow="0" w:lastRow="0" w:firstColumn="0" w:lastColumn="0" w:oddVBand="0" w:evenVBand="0" w:oddHBand="0" w:evenHBand="1" w:firstRowFirstColumn="0" w:firstRowLastColumn="0" w:lastRowFirstColumn="0" w:lastRowLastColumn="0"/>
              <w:rPr>
                <w:rStyle w:val="Strong"/>
              </w:rPr>
            </w:pPr>
            <w:r w:rsidRPr="000B19D7">
              <w:rPr>
                <w:rStyle w:val="Strong"/>
              </w:rPr>
              <w:t>222.9</w:t>
            </w:r>
          </w:p>
        </w:tc>
        <w:tc>
          <w:tcPr>
            <w:tcW w:w="492" w:type="pct"/>
            <w:noWrap/>
            <w:vAlign w:val="bottom"/>
            <w:hideMark/>
          </w:tcPr>
          <w:p w:rsidR="000B19D7" w:rsidRPr="000B19D7" w:rsidRDefault="000B19D7" w:rsidP="000B19D7">
            <w:pPr>
              <w:cnfStyle w:val="000000010000" w:firstRow="0" w:lastRow="0" w:firstColumn="0" w:lastColumn="0" w:oddVBand="0" w:evenVBand="0" w:oddHBand="0" w:evenHBand="1" w:firstRowFirstColumn="0" w:firstRowLastColumn="0" w:lastRowFirstColumn="0" w:lastRowLastColumn="0"/>
              <w:rPr>
                <w:rStyle w:val="Strong"/>
              </w:rPr>
            </w:pPr>
            <w:r w:rsidRPr="000B19D7">
              <w:rPr>
                <w:rStyle w:val="Strong"/>
              </w:rPr>
              <w:t>1137.0</w:t>
            </w: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pPr>
              <w:rPr>
                <w:rStyle w:val="Strong"/>
              </w:rPr>
            </w:pPr>
            <w:r w:rsidRPr="004F345B">
              <w:rPr>
                <w:rStyle w:val="Strong"/>
              </w:rPr>
              <w:t>1-in-2 Peak (TJ/day)</w:t>
            </w:r>
          </w:p>
        </w:tc>
        <w:tc>
          <w:tcPr>
            <w:tcW w:w="1024"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c>
          <w:tcPr>
            <w:tcW w:w="611"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c>
          <w:tcPr>
            <w:tcW w:w="611"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c>
          <w:tcPr>
            <w:tcW w:w="611"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c>
          <w:tcPr>
            <w:tcW w:w="611"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c>
          <w:tcPr>
            <w:tcW w:w="492"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Tariffs V&amp;D</w:t>
            </w:r>
          </w:p>
        </w:tc>
        <w:tc>
          <w:tcPr>
            <w:tcW w:w="1024"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1151.1</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1142.3</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1131.4</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1123.6</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1115.1</w:t>
            </w:r>
          </w:p>
        </w:tc>
        <w:tc>
          <w:tcPr>
            <w:tcW w:w="492"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GPG</w:t>
            </w:r>
          </w:p>
        </w:tc>
        <w:tc>
          <w:tcPr>
            <w:tcW w:w="1024"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8.3</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5.3</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7.3</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8.7</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14.0</w:t>
            </w:r>
          </w:p>
        </w:tc>
        <w:tc>
          <w:tcPr>
            <w:tcW w:w="492"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Culcairn</w:t>
            </w:r>
          </w:p>
        </w:tc>
        <w:tc>
          <w:tcPr>
            <w:tcW w:w="1024"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57.5</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57.5</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57.5</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57.5</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57.5</w:t>
            </w:r>
          </w:p>
        </w:tc>
        <w:tc>
          <w:tcPr>
            <w:tcW w:w="492"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VicHub</w:t>
            </w:r>
          </w:p>
        </w:tc>
        <w:tc>
          <w:tcPr>
            <w:tcW w:w="1024"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0.0</w:t>
            </w:r>
          </w:p>
        </w:tc>
        <w:tc>
          <w:tcPr>
            <w:tcW w:w="492"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UGS/LNG refill</w:t>
            </w:r>
          </w:p>
        </w:tc>
        <w:tc>
          <w:tcPr>
            <w:tcW w:w="1024"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0.0</w:t>
            </w:r>
          </w:p>
        </w:tc>
        <w:tc>
          <w:tcPr>
            <w:tcW w:w="611" w:type="pct"/>
            <w:noWrap/>
            <w:vAlign w:val="bottom"/>
            <w:hideMark/>
          </w:tcPr>
          <w:p w:rsidR="004F345B" w:rsidRPr="004F345B" w:rsidRDefault="004F345B" w:rsidP="004F345B">
            <w:pPr>
              <w:cnfStyle w:val="000000010000" w:firstRow="0" w:lastRow="0" w:firstColumn="0" w:lastColumn="0" w:oddVBand="0" w:evenVBand="0" w:oddHBand="0" w:evenHBand="1" w:firstRowFirstColumn="0" w:firstRowLastColumn="0" w:lastRowFirstColumn="0" w:lastRowLastColumn="0"/>
            </w:pPr>
            <w:r w:rsidRPr="004F345B">
              <w:t>0.0</w:t>
            </w:r>
          </w:p>
        </w:tc>
        <w:tc>
          <w:tcPr>
            <w:tcW w:w="492"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pPr>
              <w:rPr>
                <w:rStyle w:val="Strong"/>
              </w:rPr>
            </w:pPr>
            <w:r w:rsidRPr="004F345B">
              <w:rPr>
                <w:rStyle w:val="Strong"/>
              </w:rPr>
              <w:t>Total</w:t>
            </w:r>
          </w:p>
        </w:tc>
        <w:tc>
          <w:tcPr>
            <w:tcW w:w="1024"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1216.9</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1205.1</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1196.2</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1189.7</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1186.6</w:t>
            </w:r>
          </w:p>
        </w:tc>
        <w:tc>
          <w:tcPr>
            <w:tcW w:w="492"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rPr>
                <w:rStyle w:val="Strong"/>
              </w:rPr>
            </w:pPr>
          </w:p>
        </w:tc>
      </w:tr>
      <w:tr w:rsidR="004F345B" w:rsidRPr="004F345B"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pPr>
              <w:rPr>
                <w:rStyle w:val="Strong"/>
              </w:rPr>
            </w:pPr>
            <w:r w:rsidRPr="004F345B">
              <w:rPr>
                <w:rStyle w:val="Strong"/>
              </w:rPr>
              <w:t>1-in-20 Peak (TJ/day)</w:t>
            </w:r>
          </w:p>
        </w:tc>
        <w:tc>
          <w:tcPr>
            <w:tcW w:w="1024"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c>
          <w:tcPr>
            <w:tcW w:w="611"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c>
          <w:tcPr>
            <w:tcW w:w="611"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c>
          <w:tcPr>
            <w:tcW w:w="611"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c>
          <w:tcPr>
            <w:tcW w:w="611"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c>
          <w:tcPr>
            <w:tcW w:w="492" w:type="pct"/>
            <w:noWrap/>
            <w:vAlign w:val="bottom"/>
            <w:hideMark/>
          </w:tcPr>
          <w:p w:rsidR="004F345B" w:rsidRPr="004F345B" w:rsidRDefault="004F345B">
            <w:pPr>
              <w:cnfStyle w:val="000000010000" w:firstRow="0" w:lastRow="0" w:firstColumn="0" w:lastColumn="0" w:oddVBand="0" w:evenVBand="0" w:oddHBand="0" w:evenHBand="1" w:firstRowFirstColumn="0" w:firstRowLastColumn="0" w:lastRowFirstColumn="0" w:lastRowLastColumn="0"/>
            </w:pPr>
          </w:p>
        </w:tc>
      </w:tr>
      <w:tr w:rsidR="004F345B" w:rsidRPr="004F345B" w:rsidTr="00741073">
        <w:trPr>
          <w:trHeight w:val="300"/>
        </w:trPr>
        <w:tc>
          <w:tcPr>
            <w:cnfStyle w:val="001000000000" w:firstRow="0" w:lastRow="0" w:firstColumn="1" w:lastColumn="0" w:oddVBand="0" w:evenVBand="0" w:oddHBand="0" w:evenHBand="0" w:firstRowFirstColumn="0" w:firstRowLastColumn="0" w:lastRowFirstColumn="0" w:lastRowLastColumn="0"/>
            <w:tcW w:w="1040" w:type="pct"/>
            <w:noWrap/>
            <w:hideMark/>
          </w:tcPr>
          <w:p w:rsidR="004F345B" w:rsidRPr="004F345B" w:rsidRDefault="004F345B" w:rsidP="004F345B">
            <w:r w:rsidRPr="004F345B">
              <w:t>Per AEMO advice</w:t>
            </w:r>
          </w:p>
        </w:tc>
        <w:tc>
          <w:tcPr>
            <w:tcW w:w="1024"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1258.2</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1249.1</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1237.7</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1229.0</w:t>
            </w:r>
          </w:p>
        </w:tc>
        <w:tc>
          <w:tcPr>
            <w:tcW w:w="611" w:type="pct"/>
            <w:noWrap/>
            <w:vAlign w:val="bottom"/>
            <w:hideMark/>
          </w:tcPr>
          <w:p w:rsidR="004F345B" w:rsidRPr="004F345B" w:rsidRDefault="004F345B" w:rsidP="004F345B">
            <w:pPr>
              <w:cnfStyle w:val="000000000000" w:firstRow="0" w:lastRow="0" w:firstColumn="0" w:lastColumn="0" w:oddVBand="0" w:evenVBand="0" w:oddHBand="0" w:evenHBand="0" w:firstRowFirstColumn="0" w:firstRowLastColumn="0" w:lastRowFirstColumn="0" w:lastRowLastColumn="0"/>
            </w:pPr>
            <w:r w:rsidRPr="004F345B">
              <w:t>1220.1</w:t>
            </w:r>
          </w:p>
        </w:tc>
        <w:tc>
          <w:tcPr>
            <w:tcW w:w="492" w:type="pct"/>
            <w:noWrap/>
            <w:vAlign w:val="bottom"/>
            <w:hideMark/>
          </w:tcPr>
          <w:p w:rsidR="004F345B" w:rsidRPr="004F345B" w:rsidRDefault="004F345B">
            <w:pPr>
              <w:cnfStyle w:val="000000000000" w:firstRow="0" w:lastRow="0" w:firstColumn="0" w:lastColumn="0" w:oddVBand="0" w:evenVBand="0" w:oddHBand="0" w:evenHBand="0" w:firstRowFirstColumn="0" w:firstRowLastColumn="0" w:lastRowFirstColumn="0" w:lastRowLastColumn="0"/>
            </w:pPr>
          </w:p>
        </w:tc>
      </w:tr>
    </w:tbl>
    <w:p w:rsidR="004F345B" w:rsidRPr="004F345B" w:rsidRDefault="004F345B" w:rsidP="004F345B">
      <w:pPr>
        <w:pStyle w:val="AERtablesource"/>
      </w:pPr>
      <w:r>
        <w:t>Source: AER analysis</w:t>
      </w:r>
    </w:p>
    <w:p w:rsidR="00132D43" w:rsidRDefault="00551A02" w:rsidP="00132D43">
      <w:pPr>
        <w:pStyle w:val="Heading2"/>
      </w:pPr>
      <w:bookmarkStart w:id="75" w:name="_Toc486855649"/>
      <w:r>
        <w:t>APA</w:t>
      </w:r>
      <w:r w:rsidR="00132D43">
        <w:t>’s proposal</w:t>
      </w:r>
      <w:bookmarkEnd w:id="75"/>
    </w:p>
    <w:p w:rsidR="000555DD" w:rsidRDefault="000555DD" w:rsidP="00132D43">
      <w:r>
        <w:t xml:space="preserve">For the purposes of the access arrangement proposal, APA requires forecasts of the annual and peak day gas volumes withdrawn from the VTS for the 2018–22 access arrangement </w:t>
      </w:r>
      <w:proofErr w:type="gramStart"/>
      <w:r>
        <w:t>period</w:t>
      </w:r>
      <w:proofErr w:type="gramEnd"/>
      <w:r>
        <w:t>.</w:t>
      </w:r>
      <w:r w:rsidR="00536B3F">
        <w:rPr>
          <w:rStyle w:val="FootnoteReference"/>
        </w:rPr>
        <w:footnoteReference w:id="5"/>
      </w:r>
      <w:r>
        <w:t xml:space="preserve"> APA's forecast is set out in </w:t>
      </w:r>
      <w:r>
        <w:fldChar w:fldCharType="begin"/>
      </w:r>
      <w:r>
        <w:instrText xml:space="preserve"> REF _Ref483993171 \h </w:instrText>
      </w:r>
      <w:r>
        <w:fldChar w:fldCharType="separate"/>
      </w:r>
      <w:r w:rsidR="00E826A6">
        <w:t xml:space="preserve">Table </w:t>
      </w:r>
      <w:r w:rsidR="00E826A6">
        <w:rPr>
          <w:noProof/>
        </w:rPr>
        <w:t>13</w:t>
      </w:r>
      <w:r w:rsidR="00E826A6">
        <w:noBreakHyphen/>
      </w:r>
      <w:r w:rsidR="00E826A6">
        <w:rPr>
          <w:noProof/>
        </w:rPr>
        <w:t>2</w:t>
      </w:r>
      <w:r>
        <w:fldChar w:fldCharType="end"/>
      </w:r>
      <w:r>
        <w:t>.</w:t>
      </w:r>
    </w:p>
    <w:p w:rsidR="00F42896" w:rsidRDefault="000555DD" w:rsidP="001E1ED6">
      <w:pPr>
        <w:pStyle w:val="Caption"/>
      </w:pPr>
      <w:bookmarkStart w:id="76" w:name="_Ref483993171"/>
      <w:r>
        <w:t xml:space="preserve">Table </w:t>
      </w:r>
      <w:fldSimple w:instr=" STYLEREF 1 \s ">
        <w:r w:rsidR="00E826A6">
          <w:rPr>
            <w:noProof/>
          </w:rPr>
          <w:t>13</w:t>
        </w:r>
      </w:fldSimple>
      <w:r w:rsidR="004F345B">
        <w:noBreakHyphen/>
      </w:r>
      <w:fldSimple w:instr=" SEQ Table \* ARABIC \s 1 ">
        <w:r w:rsidR="00E826A6">
          <w:rPr>
            <w:noProof/>
          </w:rPr>
          <w:t>2</w:t>
        </w:r>
      </w:fldSimple>
      <w:bookmarkEnd w:id="76"/>
      <w:r>
        <w:t xml:space="preserve"> APA's forecast of annual VTS withdrawal volumes for the 2018–22 access arrangement period</w:t>
      </w:r>
    </w:p>
    <w:tbl>
      <w:tblPr>
        <w:tblStyle w:val="AERtable-numbers"/>
        <w:tblW w:w="5000" w:type="pct"/>
        <w:tblLook w:val="04A0" w:firstRow="1" w:lastRow="0" w:firstColumn="1" w:lastColumn="0" w:noHBand="0" w:noVBand="1"/>
      </w:tblPr>
      <w:tblGrid>
        <w:gridCol w:w="1931"/>
        <w:gridCol w:w="1129"/>
        <w:gridCol w:w="1127"/>
        <w:gridCol w:w="1127"/>
        <w:gridCol w:w="1127"/>
        <w:gridCol w:w="1127"/>
        <w:gridCol w:w="1125"/>
      </w:tblGrid>
      <w:tr w:rsidR="000555DD" w:rsidRPr="000555DD" w:rsidTr="007410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0555DD" w:rsidRPr="000555DD" w:rsidRDefault="000555DD" w:rsidP="003B6510">
            <w:pPr>
              <w:keepNext/>
              <w:rPr>
                <w:rFonts w:eastAsiaTheme="minorHAnsi" w:cstheme="minorBidi"/>
                <w:b w:val="0"/>
                <w:color w:val="auto"/>
                <w:sz w:val="22"/>
                <w:szCs w:val="22"/>
                <w:lang w:eastAsia="en-US"/>
              </w:rPr>
            </w:pPr>
          </w:p>
        </w:tc>
        <w:tc>
          <w:tcPr>
            <w:tcW w:w="650" w:type="pct"/>
            <w:noWrap/>
            <w:hideMark/>
          </w:tcPr>
          <w:p w:rsidR="000555DD" w:rsidRPr="000555DD" w:rsidRDefault="000555DD" w:rsidP="003B6510">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0555DD">
              <w:t>2018</w:t>
            </w:r>
          </w:p>
        </w:tc>
        <w:tc>
          <w:tcPr>
            <w:tcW w:w="648" w:type="pct"/>
            <w:noWrap/>
            <w:hideMark/>
          </w:tcPr>
          <w:p w:rsidR="000555DD" w:rsidRPr="000555DD" w:rsidRDefault="000555DD" w:rsidP="003B6510">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0555DD">
              <w:t>2019</w:t>
            </w:r>
          </w:p>
        </w:tc>
        <w:tc>
          <w:tcPr>
            <w:tcW w:w="648" w:type="pct"/>
            <w:noWrap/>
            <w:hideMark/>
          </w:tcPr>
          <w:p w:rsidR="000555DD" w:rsidRPr="000555DD" w:rsidRDefault="000555DD" w:rsidP="003B6510">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0555DD">
              <w:t>2020</w:t>
            </w:r>
          </w:p>
        </w:tc>
        <w:tc>
          <w:tcPr>
            <w:tcW w:w="648" w:type="pct"/>
            <w:noWrap/>
            <w:hideMark/>
          </w:tcPr>
          <w:p w:rsidR="000555DD" w:rsidRPr="000555DD" w:rsidRDefault="000555DD" w:rsidP="003B6510">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0555DD">
              <w:t>2021</w:t>
            </w:r>
          </w:p>
        </w:tc>
        <w:tc>
          <w:tcPr>
            <w:tcW w:w="648" w:type="pct"/>
            <w:noWrap/>
            <w:hideMark/>
          </w:tcPr>
          <w:p w:rsidR="000555DD" w:rsidRPr="000555DD" w:rsidRDefault="000555DD" w:rsidP="003B6510">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0555DD">
              <w:t>2022</w:t>
            </w:r>
          </w:p>
        </w:tc>
        <w:tc>
          <w:tcPr>
            <w:tcW w:w="647" w:type="pct"/>
            <w:noWrap/>
            <w:hideMark/>
          </w:tcPr>
          <w:p w:rsidR="000555DD" w:rsidRPr="000555DD" w:rsidRDefault="000555DD" w:rsidP="003B6510">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Total</w:t>
            </w:r>
          </w:p>
        </w:tc>
      </w:tr>
      <w:tr w:rsidR="000555DD"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0555DD" w:rsidRPr="000555DD" w:rsidRDefault="000555DD" w:rsidP="003B6510">
            <w:pPr>
              <w:keepNext/>
              <w:rPr>
                <w:rStyle w:val="Strong"/>
                <w:b w:val="0"/>
                <w:color w:val="FFFFFF"/>
              </w:rPr>
            </w:pPr>
            <w:r w:rsidRPr="000555DD">
              <w:rPr>
                <w:rStyle w:val="Strong"/>
              </w:rPr>
              <w:t>Annual (PJ)</w:t>
            </w:r>
          </w:p>
        </w:tc>
        <w:tc>
          <w:tcPr>
            <w:tcW w:w="650" w:type="pct"/>
            <w:noWrap/>
            <w:hideMark/>
          </w:tcPr>
          <w:p w:rsidR="000555DD" w:rsidRPr="000555DD" w:rsidRDefault="000555DD"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hideMark/>
          </w:tcPr>
          <w:p w:rsidR="000555DD" w:rsidRPr="000555DD" w:rsidRDefault="000555DD"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hideMark/>
          </w:tcPr>
          <w:p w:rsidR="000555DD" w:rsidRPr="000555DD" w:rsidRDefault="000555DD"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hideMark/>
          </w:tcPr>
          <w:p w:rsidR="000555DD" w:rsidRPr="000555DD" w:rsidRDefault="000555DD"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hideMark/>
          </w:tcPr>
          <w:p w:rsidR="000555DD" w:rsidRPr="000555DD" w:rsidRDefault="000555DD"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7" w:type="pct"/>
            <w:noWrap/>
            <w:hideMark/>
          </w:tcPr>
          <w:p w:rsidR="000555DD" w:rsidRPr="000555DD" w:rsidRDefault="000555DD"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Tariffs V&amp;D</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182.0</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179.9</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177.6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176.7</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174.9</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891.1</w:t>
            </w: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GPG</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5.3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1.8</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1.9</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0.6</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0.8</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10.3</w:t>
            </w: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Culcairn</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29.6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29.6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29.6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29.6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29.6</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148.0</w:t>
            </w: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VicHub</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Style w:val="Strong"/>
              </w:rPr>
            </w:pPr>
            <w:r w:rsidRPr="004F345B">
              <w:rPr>
                <w:rStyle w:val="Strong"/>
              </w:rPr>
              <w:t>Sub-total</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216.9</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211.3</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209.1</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206.9</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205.3</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1049.4</w:t>
            </w: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UGS/LNG refill</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16.1</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16.3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16.3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16.3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16.3</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81.2</w:t>
            </w: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Style w:val="Strong"/>
              </w:rPr>
            </w:pPr>
            <w:r w:rsidRPr="004F345B">
              <w:rPr>
                <w:rStyle w:val="Strong"/>
              </w:rPr>
              <w:t>Total</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232.9</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227.6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225.3</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223.2</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221.6</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Style w:val="Strong"/>
              </w:rPr>
            </w:pPr>
            <w:r w:rsidRPr="004F345B">
              <w:rPr>
                <w:rStyle w:val="Strong"/>
              </w:rPr>
              <w:t>1130.6</w:t>
            </w:r>
          </w:p>
        </w:tc>
      </w:tr>
      <w:tr w:rsidR="00741073"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761" w:type="pct"/>
            <w:gridSpan w:val="2"/>
            <w:noWrap/>
            <w:hideMark/>
          </w:tcPr>
          <w:p w:rsidR="00741073" w:rsidRPr="004F345B" w:rsidRDefault="00741073" w:rsidP="003B6510">
            <w:pPr>
              <w:keepNext/>
              <w:rPr>
                <w:rStyle w:val="Strong"/>
              </w:rPr>
            </w:pPr>
            <w:r w:rsidRPr="004F345B">
              <w:rPr>
                <w:rStyle w:val="Strong"/>
              </w:rPr>
              <w:t>1-in-2 Peak (TJ/day)</w:t>
            </w:r>
          </w:p>
        </w:tc>
        <w:tc>
          <w:tcPr>
            <w:tcW w:w="648" w:type="pct"/>
            <w:noWrap/>
            <w:vAlign w:val="bottom"/>
            <w:hideMark/>
          </w:tcPr>
          <w:p w:rsidR="00741073" w:rsidRPr="004F345B" w:rsidRDefault="00741073"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vAlign w:val="bottom"/>
            <w:hideMark/>
          </w:tcPr>
          <w:p w:rsidR="00741073" w:rsidRPr="004F345B" w:rsidRDefault="00741073"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vAlign w:val="bottom"/>
            <w:hideMark/>
          </w:tcPr>
          <w:p w:rsidR="00741073" w:rsidRPr="004F345B" w:rsidRDefault="00741073"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8" w:type="pct"/>
            <w:noWrap/>
            <w:vAlign w:val="bottom"/>
            <w:hideMark/>
          </w:tcPr>
          <w:p w:rsidR="00741073" w:rsidRPr="004F345B" w:rsidRDefault="00741073"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647" w:type="pct"/>
            <w:noWrap/>
            <w:vAlign w:val="bottom"/>
            <w:hideMark/>
          </w:tcPr>
          <w:p w:rsidR="00741073" w:rsidRPr="004F345B" w:rsidRDefault="00741073"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Tariffs V&amp;D</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1151.1</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1142.3</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1131.4</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1123.6</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1115.1</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GPG</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8.3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5.3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7.3</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8.7</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14.0</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Culcairn</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57.5</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57.5</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57.5</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57.5</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57.5</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VicHub</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0.0</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4F345B"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Fonts w:eastAsiaTheme="minorHAnsi" w:cstheme="minorBidi"/>
                <w:b/>
                <w:bCs/>
                <w:sz w:val="22"/>
                <w:szCs w:val="22"/>
                <w:lang w:eastAsia="en-US"/>
              </w:rPr>
            </w:pPr>
            <w:r w:rsidRPr="004F345B">
              <w:t>UGS/LNG refill</w:t>
            </w:r>
          </w:p>
        </w:tc>
        <w:tc>
          <w:tcPr>
            <w:tcW w:w="650"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0.0</w:t>
            </w:r>
          </w:p>
        </w:tc>
        <w:tc>
          <w:tcPr>
            <w:tcW w:w="648"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4F345B">
              <w:t>0.0</w:t>
            </w:r>
          </w:p>
        </w:tc>
        <w:tc>
          <w:tcPr>
            <w:tcW w:w="647" w:type="pct"/>
            <w:noWrap/>
            <w:vAlign w:val="bottom"/>
            <w:hideMark/>
          </w:tcPr>
          <w:p w:rsidR="004F345B" w:rsidRPr="004F345B" w:rsidRDefault="004F345B"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Style w:val="Strong"/>
              </w:rPr>
            </w:pPr>
            <w:r w:rsidRPr="004F345B">
              <w:rPr>
                <w:rStyle w:val="Strong"/>
              </w:rPr>
              <w:t>Total</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1216.9</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1205.1</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1196.2</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1189.7</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Style w:val="Strong"/>
              </w:rPr>
            </w:pPr>
            <w:r w:rsidRPr="004F345B">
              <w:rPr>
                <w:rStyle w:val="Strong"/>
              </w:rPr>
              <w:t>1186.6</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Style w:val="Strong"/>
              </w:rPr>
            </w:pPr>
          </w:p>
        </w:tc>
      </w:tr>
      <w:tr w:rsidR="00741073" w:rsidRPr="000555DD" w:rsidTr="0074107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1" w:type="pct"/>
            <w:gridSpan w:val="2"/>
            <w:noWrap/>
            <w:hideMark/>
          </w:tcPr>
          <w:p w:rsidR="00741073" w:rsidRPr="004F345B" w:rsidRDefault="00741073" w:rsidP="003B6510">
            <w:pPr>
              <w:keepNext/>
              <w:rPr>
                <w:rStyle w:val="Strong"/>
              </w:rPr>
            </w:pPr>
            <w:r w:rsidRPr="004F345B">
              <w:rPr>
                <w:rStyle w:val="Strong"/>
              </w:rPr>
              <w:t>1-in-20 Peak (TJ/day)</w:t>
            </w:r>
          </w:p>
        </w:tc>
        <w:tc>
          <w:tcPr>
            <w:tcW w:w="648" w:type="pct"/>
            <w:noWrap/>
            <w:vAlign w:val="bottom"/>
            <w:hideMark/>
          </w:tcPr>
          <w:p w:rsidR="00741073" w:rsidRPr="004F345B" w:rsidRDefault="00741073"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648" w:type="pct"/>
            <w:noWrap/>
            <w:vAlign w:val="bottom"/>
            <w:hideMark/>
          </w:tcPr>
          <w:p w:rsidR="00741073" w:rsidRPr="004F345B" w:rsidRDefault="00741073"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648" w:type="pct"/>
            <w:noWrap/>
            <w:vAlign w:val="bottom"/>
            <w:hideMark/>
          </w:tcPr>
          <w:p w:rsidR="00741073" w:rsidRPr="004F345B" w:rsidRDefault="00741073"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648" w:type="pct"/>
            <w:noWrap/>
            <w:vAlign w:val="bottom"/>
            <w:hideMark/>
          </w:tcPr>
          <w:p w:rsidR="00741073" w:rsidRPr="004F345B" w:rsidRDefault="00741073"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647" w:type="pct"/>
            <w:noWrap/>
            <w:vAlign w:val="bottom"/>
            <w:hideMark/>
          </w:tcPr>
          <w:p w:rsidR="00741073" w:rsidRPr="004F345B" w:rsidRDefault="00741073" w:rsidP="003B6510">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r>
      <w:tr w:rsidR="004F345B" w:rsidRPr="000555DD" w:rsidTr="00741073">
        <w:trPr>
          <w:trHeight w:val="300"/>
        </w:trPr>
        <w:tc>
          <w:tcPr>
            <w:cnfStyle w:val="001000000000" w:firstRow="0" w:lastRow="0" w:firstColumn="1" w:lastColumn="0" w:oddVBand="0" w:evenVBand="0" w:oddHBand="0" w:evenHBand="0" w:firstRowFirstColumn="0" w:firstRowLastColumn="0" w:lastRowFirstColumn="0" w:lastRowLastColumn="0"/>
            <w:tcW w:w="1111" w:type="pct"/>
            <w:noWrap/>
            <w:hideMark/>
          </w:tcPr>
          <w:p w:rsidR="004F345B" w:rsidRPr="004F345B" w:rsidRDefault="004F345B" w:rsidP="003B6510">
            <w:pPr>
              <w:keepNext/>
              <w:rPr>
                <w:rStyle w:val="Strong"/>
              </w:rPr>
            </w:pPr>
            <w:r w:rsidRPr="004F345B">
              <w:rPr>
                <w:rStyle w:val="Strong"/>
              </w:rPr>
              <w:t>Per AEMO advice</w:t>
            </w:r>
          </w:p>
        </w:tc>
        <w:tc>
          <w:tcPr>
            <w:tcW w:w="650"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1258.2</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1249.1</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1237.7</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1229.0</w:t>
            </w:r>
          </w:p>
        </w:tc>
        <w:tc>
          <w:tcPr>
            <w:tcW w:w="648"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4F345B">
              <w:t>1220.1</w:t>
            </w:r>
          </w:p>
        </w:tc>
        <w:tc>
          <w:tcPr>
            <w:tcW w:w="647" w:type="pct"/>
            <w:noWrap/>
            <w:vAlign w:val="bottom"/>
            <w:hideMark/>
          </w:tcPr>
          <w:p w:rsidR="004F345B" w:rsidRPr="004F345B" w:rsidRDefault="004F345B" w:rsidP="003B6510">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bl>
    <w:p w:rsidR="000555DD" w:rsidRPr="000555DD" w:rsidRDefault="00244C51" w:rsidP="003B6510">
      <w:pPr>
        <w:pStyle w:val="AERtablesource"/>
        <w:keepNext/>
      </w:pPr>
      <w:r>
        <w:t>Source: APA Access Arrangement Submission, Table 3-9, p. 45.</w:t>
      </w:r>
    </w:p>
    <w:p w:rsidR="00132D43" w:rsidRDefault="00EE243C" w:rsidP="00132D43">
      <w:r>
        <w:t>APA</w:t>
      </w:r>
      <w:r w:rsidR="00304FE0">
        <w:t>'s approach to forecasting demand differs between customer classes</w:t>
      </w:r>
      <w:r w:rsidR="00B87189">
        <w:t xml:space="preserve"> and </w:t>
      </w:r>
      <w:r w:rsidR="006D3921">
        <w:t xml:space="preserve">the </w:t>
      </w:r>
      <w:r w:rsidR="00B87189">
        <w:t>functions it performs</w:t>
      </w:r>
      <w:r w:rsidR="00304FE0">
        <w:t>:</w:t>
      </w:r>
      <w:r w:rsidR="00304FE0">
        <w:rPr>
          <w:rStyle w:val="FootnoteReference"/>
        </w:rPr>
        <w:footnoteReference w:id="6"/>
      </w:r>
    </w:p>
    <w:p w:rsidR="00304FE0" w:rsidRDefault="00304FE0" w:rsidP="0096788C">
      <w:pPr>
        <w:pStyle w:val="AERbulletlistfirststyle"/>
      </w:pPr>
      <w:r>
        <w:t xml:space="preserve">For residential and commercial </w:t>
      </w:r>
      <w:r w:rsidR="00012BAF">
        <w:t>demand</w:t>
      </w:r>
      <w:r w:rsidR="002D35ED">
        <w:t xml:space="preserve"> (Tariff </w:t>
      </w:r>
      <w:r>
        <w:t xml:space="preserve">V users), </w:t>
      </w:r>
      <w:r w:rsidR="003323FF">
        <w:t>A</w:t>
      </w:r>
      <w:r w:rsidR="009258B0">
        <w:t xml:space="preserve">PA </w:t>
      </w:r>
      <w:r w:rsidR="003323FF">
        <w:t>has adopted the three Victorian</w:t>
      </w:r>
      <w:r w:rsidR="00543AD6">
        <w:t xml:space="preserve"> gas</w:t>
      </w:r>
      <w:r w:rsidR="003323FF">
        <w:t xml:space="preserve"> distributors' (Australian Gas Networks, Multinet Gas and AusNet Services)</w:t>
      </w:r>
      <w:r>
        <w:t xml:space="preserve"> </w:t>
      </w:r>
      <w:r w:rsidR="003323FF">
        <w:t xml:space="preserve">demand forecasts. </w:t>
      </w:r>
      <w:r w:rsidR="001E1ED6">
        <w:t>We are</w:t>
      </w:r>
      <w:r w:rsidR="003323FF">
        <w:t xml:space="preserve"> also </w:t>
      </w:r>
      <w:r w:rsidR="006D3921">
        <w:t>currently</w:t>
      </w:r>
      <w:r w:rsidR="003323FF">
        <w:t xml:space="preserve"> </w:t>
      </w:r>
      <w:r w:rsidR="00FC0AA3">
        <w:t xml:space="preserve">reviewing </w:t>
      </w:r>
      <w:r w:rsidR="003323FF">
        <w:t xml:space="preserve">the Victorian </w:t>
      </w:r>
      <w:r w:rsidR="006D3921">
        <w:t>distributors</w:t>
      </w:r>
      <w:r w:rsidR="00FC0AA3">
        <w:t>'</w:t>
      </w:r>
      <w:r w:rsidR="006D3921">
        <w:t xml:space="preserve"> access arrangement proposals</w:t>
      </w:r>
      <w:r w:rsidR="003323FF">
        <w:t>.</w:t>
      </w:r>
      <w:r w:rsidR="0096788C">
        <w:t xml:space="preserve"> APA</w:t>
      </w:r>
      <w:r w:rsidR="0096788C" w:rsidRPr="0096788C">
        <w:t xml:space="preserve"> forecast </w:t>
      </w:r>
      <w:r w:rsidR="0096788C">
        <w:t xml:space="preserve">Tariff V </w:t>
      </w:r>
      <w:r w:rsidR="0096788C" w:rsidRPr="0096788C">
        <w:t xml:space="preserve">demand to </w:t>
      </w:r>
      <w:r w:rsidR="0096788C">
        <w:t>decrease</w:t>
      </w:r>
      <w:r w:rsidR="0096788C" w:rsidRPr="0096788C">
        <w:t xml:space="preserve"> by </w:t>
      </w:r>
      <w:r w:rsidR="0096788C">
        <w:t>0.5</w:t>
      </w:r>
      <w:r w:rsidR="0096788C" w:rsidRPr="0096788C">
        <w:t xml:space="preserve"> per cent over the 2018–22 access arrangement </w:t>
      </w:r>
      <w:proofErr w:type="gramStart"/>
      <w:r w:rsidR="0096788C" w:rsidRPr="0096788C">
        <w:t>period</w:t>
      </w:r>
      <w:proofErr w:type="gramEnd"/>
      <w:r w:rsidR="0096788C" w:rsidRPr="0096788C">
        <w:t>. This compares to</w:t>
      </w:r>
      <w:r w:rsidR="0096788C">
        <w:t xml:space="preserve"> a</w:t>
      </w:r>
      <w:r w:rsidR="0096788C" w:rsidRPr="0096788C">
        <w:t xml:space="preserve"> </w:t>
      </w:r>
      <w:r w:rsidR="0096788C">
        <w:t xml:space="preserve">1.1 </w:t>
      </w:r>
      <w:r w:rsidR="0096788C" w:rsidRPr="0096788C">
        <w:t>per cent per year</w:t>
      </w:r>
      <w:r w:rsidR="0096788C">
        <w:t xml:space="preserve"> increase</w:t>
      </w:r>
      <w:r w:rsidR="0096788C" w:rsidRPr="0096788C">
        <w:t xml:space="preserve"> in the </w:t>
      </w:r>
      <w:r w:rsidR="001E1ED6">
        <w:t>current</w:t>
      </w:r>
      <w:r w:rsidR="001E1ED6" w:rsidRPr="0096788C">
        <w:t xml:space="preserve"> </w:t>
      </w:r>
      <w:r w:rsidR="0096788C" w:rsidRPr="0096788C">
        <w:t>access arrangement period.</w:t>
      </w:r>
    </w:p>
    <w:p w:rsidR="003323FF" w:rsidRDefault="009258B0" w:rsidP="00304FE0">
      <w:pPr>
        <w:pStyle w:val="AERbulletlistfirststyle"/>
      </w:pPr>
      <w:r>
        <w:t xml:space="preserve">For Industrial </w:t>
      </w:r>
      <w:r w:rsidR="00012BAF">
        <w:t>demand</w:t>
      </w:r>
      <w:r w:rsidR="00AE4DC2">
        <w:t xml:space="preserve"> (Tariff </w:t>
      </w:r>
      <w:r>
        <w:t>D</w:t>
      </w:r>
      <w:r w:rsidR="00012BAF">
        <w:t xml:space="preserve"> users</w:t>
      </w:r>
      <w:r>
        <w:t>), APA</w:t>
      </w:r>
      <w:r w:rsidR="00DE501F">
        <w:t xml:space="preserve"> </w:t>
      </w:r>
      <w:r>
        <w:t>has adopted the AEMO "</w:t>
      </w:r>
      <w:r w:rsidR="001F71FF">
        <w:t>W</w:t>
      </w:r>
      <w:r>
        <w:t xml:space="preserve">eak" forecast of industrial demand, from </w:t>
      </w:r>
      <w:r w:rsidR="00810300">
        <w:t>AEMO's 2016</w:t>
      </w:r>
      <w:r>
        <w:t xml:space="preserve"> National Gas Forecasting Report</w:t>
      </w:r>
      <w:r w:rsidR="00810300">
        <w:t xml:space="preserve"> (NGFR)</w:t>
      </w:r>
      <w:r>
        <w:t>.</w:t>
      </w:r>
      <w:r w:rsidR="00B64C5E">
        <w:t xml:space="preserve"> </w:t>
      </w:r>
      <w:r w:rsidR="00DE501F">
        <w:t xml:space="preserve">APA considered that comments in AEMO's NGFR indicate a level of pessimism not reflected in </w:t>
      </w:r>
      <w:r w:rsidR="000E0DED">
        <w:t>the "Neutral" forecast.</w:t>
      </w:r>
      <w:r w:rsidR="0096788C" w:rsidRPr="0096788C">
        <w:t xml:space="preserve"> </w:t>
      </w:r>
      <w:r w:rsidR="0096788C">
        <w:t>APA</w:t>
      </w:r>
      <w:r w:rsidR="0096788C" w:rsidRPr="0096788C">
        <w:t xml:space="preserve"> forecast </w:t>
      </w:r>
      <w:r w:rsidR="0096788C">
        <w:t xml:space="preserve">Tariff D </w:t>
      </w:r>
      <w:r w:rsidR="0096788C" w:rsidRPr="0096788C">
        <w:t xml:space="preserve">demand to </w:t>
      </w:r>
      <w:r w:rsidR="0096788C">
        <w:t>decrease</w:t>
      </w:r>
      <w:r w:rsidR="0096788C" w:rsidRPr="0096788C">
        <w:t xml:space="preserve"> by </w:t>
      </w:r>
      <w:r w:rsidR="0096788C">
        <w:t>2.0</w:t>
      </w:r>
      <w:r w:rsidR="0096788C" w:rsidRPr="0096788C">
        <w:t xml:space="preserve"> per cent over the 2018–22 access arrangement </w:t>
      </w:r>
      <w:proofErr w:type="gramStart"/>
      <w:r w:rsidR="0096788C" w:rsidRPr="0096788C">
        <w:t>period</w:t>
      </w:r>
      <w:proofErr w:type="gramEnd"/>
      <w:r w:rsidR="0096788C" w:rsidRPr="0096788C">
        <w:t>. This compares to</w:t>
      </w:r>
      <w:r w:rsidR="0096788C">
        <w:t xml:space="preserve"> a</w:t>
      </w:r>
      <w:r w:rsidR="0096788C" w:rsidRPr="0096788C">
        <w:t xml:space="preserve"> </w:t>
      </w:r>
      <w:r w:rsidR="0096788C">
        <w:t xml:space="preserve">0.8 </w:t>
      </w:r>
      <w:r w:rsidR="0096788C" w:rsidRPr="0096788C">
        <w:t>per cent per year</w:t>
      </w:r>
      <w:r w:rsidR="0096788C">
        <w:t xml:space="preserve"> increase</w:t>
      </w:r>
      <w:r w:rsidR="0096788C" w:rsidRPr="0096788C">
        <w:t xml:space="preserve"> in the previous access arrangement period.</w:t>
      </w:r>
    </w:p>
    <w:p w:rsidR="00B64C5E" w:rsidRDefault="00012BAF" w:rsidP="008C4222">
      <w:pPr>
        <w:pStyle w:val="AERbulletlistfirststyle"/>
      </w:pPr>
      <w:r>
        <w:t xml:space="preserve">For </w:t>
      </w:r>
      <w:r w:rsidR="00EE243C">
        <w:t>G</w:t>
      </w:r>
      <w:r w:rsidR="000641D1">
        <w:t>as-fired Power Generation (GPG)</w:t>
      </w:r>
      <w:r>
        <w:t xml:space="preserve"> demand, APA engaged Frontier Economics </w:t>
      </w:r>
      <w:r w:rsidR="00834A8B">
        <w:t xml:space="preserve">(Frontier) </w:t>
      </w:r>
      <w:r>
        <w:t xml:space="preserve">to advise on the forecast of VTS-connected GPG </w:t>
      </w:r>
      <w:r w:rsidR="008A6DF4">
        <w:t>load</w:t>
      </w:r>
      <w:r w:rsidR="008C4222">
        <w:t>, without an input assumption of a cost on carbon emissions.</w:t>
      </w:r>
      <w:r w:rsidR="00F83363">
        <w:rPr>
          <w:rStyle w:val="FootnoteReference"/>
        </w:rPr>
        <w:footnoteReference w:id="7"/>
      </w:r>
      <w:r w:rsidR="008C4222">
        <w:t xml:space="preserve"> </w:t>
      </w:r>
      <w:r w:rsidR="006D3921">
        <w:t>APA considered</w:t>
      </w:r>
      <w:r w:rsidR="003116FA">
        <w:t xml:space="preserve"> that </w:t>
      </w:r>
      <w:r w:rsidR="00CB75FD">
        <w:t xml:space="preserve">the assumption of </w:t>
      </w:r>
      <w:r w:rsidR="003116FA">
        <w:t xml:space="preserve">a carbon price is inconsistent with current government policy and should not be </w:t>
      </w:r>
      <w:r w:rsidR="008C4222">
        <w:t>incorporated into forecasts.</w:t>
      </w:r>
      <w:r w:rsidR="003116FA">
        <w:t xml:space="preserve"> </w:t>
      </w:r>
      <w:r w:rsidR="00C455BD">
        <w:t xml:space="preserve">The Frontier report </w:t>
      </w:r>
      <w:r w:rsidR="001E1ED6">
        <w:t xml:space="preserve">found </w:t>
      </w:r>
      <w:r w:rsidR="00C455BD">
        <w:t xml:space="preserve">that GPG </w:t>
      </w:r>
      <w:r w:rsidR="002C4488">
        <w:t xml:space="preserve">demand </w:t>
      </w:r>
      <w:r w:rsidR="001E1ED6">
        <w:t xml:space="preserve">would </w:t>
      </w:r>
      <w:r w:rsidR="00C455BD">
        <w:t xml:space="preserve">increase in the short term (2017–2018) in response to the Hazelwood plant closure. </w:t>
      </w:r>
      <w:r w:rsidR="001E1ED6">
        <w:t>Its d</w:t>
      </w:r>
      <w:r w:rsidR="002C4488">
        <w:t xml:space="preserve">emand </w:t>
      </w:r>
      <w:r w:rsidR="001E1ED6">
        <w:t xml:space="preserve">forecast </w:t>
      </w:r>
      <w:r w:rsidR="00C455BD">
        <w:t xml:space="preserve">drops sharply thereafter as a result of new renewable capacity driven by the </w:t>
      </w:r>
      <w:r w:rsidR="00543AD6">
        <w:t>L</w:t>
      </w:r>
      <w:r w:rsidR="001D26FF">
        <w:t xml:space="preserve">arge </w:t>
      </w:r>
      <w:r w:rsidR="00543AD6">
        <w:t>S</w:t>
      </w:r>
      <w:r w:rsidR="001D26FF">
        <w:t xml:space="preserve">cale </w:t>
      </w:r>
      <w:r w:rsidR="00543AD6">
        <w:t>R</w:t>
      </w:r>
      <w:r w:rsidR="001D26FF">
        <w:t xml:space="preserve">enewable </w:t>
      </w:r>
      <w:r w:rsidR="00543AD6">
        <w:t>E</w:t>
      </w:r>
      <w:r w:rsidR="001D26FF">
        <w:t xml:space="preserve">nergy </w:t>
      </w:r>
      <w:r w:rsidR="00543AD6">
        <w:t>T</w:t>
      </w:r>
      <w:r w:rsidR="001D26FF">
        <w:t xml:space="preserve">arget (LRET) and </w:t>
      </w:r>
      <w:r w:rsidR="00C455BD">
        <w:t>Victorian Renewable Energy Target (VRET).</w:t>
      </w:r>
      <w:r w:rsidR="00C455BD">
        <w:rPr>
          <w:rStyle w:val="FootnoteReference"/>
        </w:rPr>
        <w:footnoteReference w:id="8"/>
      </w:r>
    </w:p>
    <w:p w:rsidR="004D38BB" w:rsidRDefault="00CB75FD" w:rsidP="008C4222">
      <w:pPr>
        <w:pStyle w:val="AERbulletlistfirststyle"/>
      </w:pPr>
      <w:r>
        <w:t xml:space="preserve">For </w:t>
      </w:r>
      <w:r w:rsidR="00D81739">
        <w:t>interstate transfers</w:t>
      </w:r>
      <w:r>
        <w:t xml:space="preserve">, APA has assumed </w:t>
      </w:r>
      <w:r w:rsidR="006D3921">
        <w:t xml:space="preserve">zero </w:t>
      </w:r>
      <w:r>
        <w:t>PJ per annum export at VicHub,</w:t>
      </w:r>
      <w:r w:rsidR="000A783E">
        <w:rPr>
          <w:rStyle w:val="FootnoteReference"/>
        </w:rPr>
        <w:footnoteReference w:id="9"/>
      </w:r>
      <w:r>
        <w:t xml:space="preserve">and has forecast exports out of Culcairn </w:t>
      </w:r>
      <w:r w:rsidR="00B87189">
        <w:t xml:space="preserve">(NSW to Victoria interconnect) </w:t>
      </w:r>
      <w:r>
        <w:t>to remain at estimate</w:t>
      </w:r>
      <w:r w:rsidR="0060071D">
        <w:t>d</w:t>
      </w:r>
      <w:r>
        <w:t xml:space="preserve"> 2017 levels.</w:t>
      </w:r>
      <w:r w:rsidR="00FF7054">
        <w:rPr>
          <w:rStyle w:val="FootnoteReference"/>
        </w:rPr>
        <w:footnoteReference w:id="10"/>
      </w:r>
    </w:p>
    <w:p w:rsidR="00E53013" w:rsidRDefault="00FF7054" w:rsidP="000555DD">
      <w:pPr>
        <w:pStyle w:val="AERbulletlistfirststyle"/>
      </w:pPr>
      <w:r>
        <w:t>For flows into storage, APA forecast</w:t>
      </w:r>
      <w:r w:rsidR="00543AD6">
        <w:t xml:space="preserve"> </w:t>
      </w:r>
      <w:r>
        <w:t xml:space="preserve">flows into </w:t>
      </w:r>
      <w:r w:rsidR="00AB7DAD">
        <w:t xml:space="preserve">Dandenong </w:t>
      </w:r>
      <w:r>
        <w:t xml:space="preserve">LNG refill to remain at 2015 levels, and flows into </w:t>
      </w:r>
      <w:r w:rsidR="00FB141C">
        <w:t xml:space="preserve">Iona </w:t>
      </w:r>
      <w:r w:rsidR="00702E0F">
        <w:t>UGS</w:t>
      </w:r>
      <w:r>
        <w:t xml:space="preserve"> are estimated from AEMO's modelling of withdrawals included in the 2016 </w:t>
      </w:r>
      <w:r w:rsidR="00444FFD">
        <w:t>VGPR.</w:t>
      </w:r>
      <w:r w:rsidR="00444FFD">
        <w:rPr>
          <w:rStyle w:val="FootnoteReference"/>
        </w:rPr>
        <w:footnoteReference w:id="11"/>
      </w:r>
    </w:p>
    <w:p w:rsidR="00B87189" w:rsidRDefault="00B87189" w:rsidP="002C4488">
      <w:pPr>
        <w:pStyle w:val="AERbulletlistfirststyle"/>
        <w:numPr>
          <w:ilvl w:val="0"/>
          <w:numId w:val="0"/>
        </w:numPr>
      </w:pPr>
      <w:r>
        <w:t xml:space="preserve">APA's </w:t>
      </w:r>
      <w:r w:rsidR="001B2D67">
        <w:t>forecast of refill volumes into the Iona UGS takes</w:t>
      </w:r>
      <w:r>
        <w:t xml:space="preserve"> into account the effect on demand from its proposal to build a Western Outer Ring Main (WORM) over </w:t>
      </w:r>
      <w:r w:rsidR="006D3921">
        <w:t>the 2018–22</w:t>
      </w:r>
      <w:r>
        <w:t xml:space="preserve"> access arrangement period. </w:t>
      </w:r>
      <w:r w:rsidR="001B2D67">
        <w:t xml:space="preserve">As set out in Attachment </w:t>
      </w:r>
      <w:r w:rsidR="00646FB5">
        <w:t>6</w:t>
      </w:r>
      <w:r w:rsidR="001B2D67">
        <w:t>, o</w:t>
      </w:r>
      <w:r>
        <w:t xml:space="preserve">ur draft decision is to accept the </w:t>
      </w:r>
      <w:r w:rsidR="006D3921">
        <w:t>proposed forecast capex</w:t>
      </w:r>
      <w:r>
        <w:t xml:space="preserve"> associated wit</w:t>
      </w:r>
      <w:r w:rsidR="001B2D67">
        <w:t xml:space="preserve">h </w:t>
      </w:r>
      <w:r w:rsidR="006D3921">
        <w:t>constructing</w:t>
      </w:r>
      <w:r w:rsidR="001B2D67">
        <w:t xml:space="preserve"> the WORM. </w:t>
      </w:r>
      <w:r>
        <w:t xml:space="preserve">APA forecast that the WORM will not </w:t>
      </w:r>
      <w:r w:rsidR="006D3921">
        <w:t>a</w:t>
      </w:r>
      <w:r>
        <w:t>ffect volumes</w:t>
      </w:r>
      <w:r w:rsidR="001B2D67">
        <w:t xml:space="preserve"> (that is, the same amount of gas is transported)</w:t>
      </w:r>
      <w:r>
        <w:t xml:space="preserve"> </w:t>
      </w:r>
      <w:r w:rsidR="001B2D67">
        <w:t>but will allow for higher refill rates into the Iona UGS.</w:t>
      </w:r>
      <w:r w:rsidR="001B2D67">
        <w:rPr>
          <w:rStyle w:val="FootnoteReference"/>
        </w:rPr>
        <w:footnoteReference w:id="12"/>
      </w:r>
    </w:p>
    <w:p w:rsidR="00132D43" w:rsidRDefault="00132D43" w:rsidP="00132D43">
      <w:pPr>
        <w:pStyle w:val="Heading2"/>
      </w:pPr>
      <w:bookmarkStart w:id="77" w:name="_Toc486855650"/>
      <w:r>
        <w:t>Assessment approach</w:t>
      </w:r>
      <w:bookmarkEnd w:id="77"/>
    </w:p>
    <w:p w:rsidR="00717331" w:rsidRPr="00C62F73" w:rsidRDefault="00717331" w:rsidP="00717331">
      <w:r w:rsidRPr="00C62F73">
        <w:t xml:space="preserve">The NGR require access arrangement information for a full </w:t>
      </w:r>
      <w:r w:rsidR="00900FE8">
        <w:t>access arrangement</w:t>
      </w:r>
      <w:r w:rsidRPr="00C62F73">
        <w:t xml:space="preserve"> proposal for a transmission pipeline to include:</w:t>
      </w:r>
    </w:p>
    <w:p w:rsidR="00717331" w:rsidRPr="00717331" w:rsidRDefault="00717331" w:rsidP="00717331">
      <w:pPr>
        <w:pStyle w:val="AERbulletlistfirststyle"/>
      </w:pPr>
      <w:r w:rsidRPr="00C62F73">
        <w:t xml:space="preserve">usage of the pipeline over the earlier </w:t>
      </w:r>
      <w:r w:rsidR="00900FE8">
        <w:t>access arrangement</w:t>
      </w:r>
      <w:r w:rsidRPr="00C62F73">
        <w:t xml:space="preserve"> period showing minimum, maximum and average demand for each receipt and delivery point; and user numbers for each receipt or delivery point</w:t>
      </w:r>
      <w:r w:rsidR="005B1B70">
        <w:t>;</w:t>
      </w:r>
      <w:r w:rsidRPr="00717331">
        <w:rPr>
          <w:rStyle w:val="FootnoteReference"/>
        </w:rPr>
        <w:footnoteReference w:id="13"/>
      </w:r>
    </w:p>
    <w:p w:rsidR="00717331" w:rsidRPr="00717331" w:rsidRDefault="00717331" w:rsidP="00717331">
      <w:pPr>
        <w:pStyle w:val="AERbulletlistfirststyle"/>
      </w:pPr>
      <w:r w:rsidRPr="00C62F73">
        <w:t xml:space="preserve">to the extent that it is practicable to forecast pipeline capacity and utilisation of pipeline capacity over the </w:t>
      </w:r>
      <w:r w:rsidR="00900FE8">
        <w:t>access arrangement</w:t>
      </w:r>
      <w:r w:rsidRPr="00C62F73">
        <w:t xml:space="preserve"> period, a forecast of pipeline capacity and utilisation of pipeline capacity over that period and the basis on which the forecast has been derived.</w:t>
      </w:r>
      <w:r w:rsidRPr="00717331">
        <w:rPr>
          <w:rStyle w:val="FootnoteReference"/>
        </w:rPr>
        <w:footnoteReference w:id="14"/>
      </w:r>
    </w:p>
    <w:p w:rsidR="00717331" w:rsidRPr="00C62F73" w:rsidRDefault="00717331" w:rsidP="00717331">
      <w:r w:rsidRPr="00C62F73">
        <w:t>The NGR also require that forecasts and estimates:</w:t>
      </w:r>
      <w:r>
        <w:rPr>
          <w:rStyle w:val="FootnoteReference"/>
        </w:rPr>
        <w:footnoteReference w:id="15"/>
      </w:r>
    </w:p>
    <w:p w:rsidR="00717331" w:rsidRPr="00717331" w:rsidRDefault="00717331" w:rsidP="00717331">
      <w:pPr>
        <w:pStyle w:val="AERbulletlistfirststyle"/>
      </w:pPr>
      <w:r w:rsidRPr="00C62F73">
        <w:t>are arrived at on a reasonable basis; and</w:t>
      </w:r>
    </w:p>
    <w:p w:rsidR="00717331" w:rsidRPr="00717331" w:rsidRDefault="00717331" w:rsidP="00717331">
      <w:pPr>
        <w:pStyle w:val="AERbulletlistfirststyle"/>
      </w:pPr>
      <w:r w:rsidRPr="00C62F73">
        <w:t>represent the best forecast or estimate possible in the circumstances.</w:t>
      </w:r>
    </w:p>
    <w:p w:rsidR="00717331" w:rsidRPr="00C62F73" w:rsidRDefault="00717331" w:rsidP="00717331">
      <w:r w:rsidRPr="00C62F73">
        <w:t>We consider that there are two important considerations in assessing whether demand forecasts are arrived at on a reasonable basis and whether they represent the best forecasts possible in the circumstances.</w:t>
      </w:r>
      <w:r>
        <w:rPr>
          <w:rStyle w:val="FootnoteReference"/>
        </w:rPr>
        <w:footnoteReference w:id="16"/>
      </w:r>
      <w:r w:rsidRPr="00C62F73">
        <w:t xml:space="preserve"> These are:</w:t>
      </w:r>
    </w:p>
    <w:p w:rsidR="00717331" w:rsidRPr="00717331" w:rsidRDefault="00717331" w:rsidP="00717331">
      <w:pPr>
        <w:pStyle w:val="AERbulletlistfirststyle"/>
      </w:pPr>
      <w:r w:rsidRPr="00C62F73">
        <w:t xml:space="preserve">the appropriateness of the forecast methodology – this involves consideration of how the demand forecast has been developed; and </w:t>
      </w:r>
    </w:p>
    <w:p w:rsidR="00717331" w:rsidRPr="00717331" w:rsidRDefault="00717331" w:rsidP="00717331">
      <w:pPr>
        <w:pStyle w:val="AERbulletlistfirststyle"/>
      </w:pPr>
      <w:r w:rsidRPr="00C62F73">
        <w:t xml:space="preserve">whether or not relevant factors have been taken into account in developing demand forecasts. </w:t>
      </w:r>
    </w:p>
    <w:p w:rsidR="00717331" w:rsidRPr="00C62F73" w:rsidRDefault="00717331" w:rsidP="00717331">
      <w:r w:rsidRPr="00C62F73">
        <w:t xml:space="preserve">To determine whether </w:t>
      </w:r>
      <w:r w:rsidR="00931323">
        <w:t>APA</w:t>
      </w:r>
      <w:r w:rsidR="00DE501F">
        <w:t>'</w:t>
      </w:r>
      <w:r w:rsidR="00931323">
        <w:t>s</w:t>
      </w:r>
      <w:r w:rsidRPr="00C62F73">
        <w:t xml:space="preserve"> proposed demand forecasts are arrived at on a reasonable basis and are the best possible forecasts in</w:t>
      </w:r>
      <w:r w:rsidR="002371D9">
        <w:t xml:space="preserve"> the circumstances, we reviewed</w:t>
      </w:r>
    </w:p>
    <w:p w:rsidR="00717331" w:rsidRPr="00717331" w:rsidRDefault="00717331" w:rsidP="00717331">
      <w:pPr>
        <w:pStyle w:val="AERbulletlistfirststyle"/>
      </w:pPr>
      <w:r w:rsidRPr="00C62F73">
        <w:t xml:space="preserve">information provided by </w:t>
      </w:r>
      <w:r w:rsidR="00931323">
        <w:t>APA;</w:t>
      </w:r>
    </w:p>
    <w:p w:rsidR="00717331" w:rsidRPr="00717331" w:rsidRDefault="00717331" w:rsidP="00717331">
      <w:pPr>
        <w:pStyle w:val="AERbulletlistfirststyle"/>
      </w:pPr>
      <w:r w:rsidRPr="00C62F73">
        <w:t>the data inputs used to implement the forecasting methodology.</w:t>
      </w:r>
    </w:p>
    <w:p w:rsidR="00717331" w:rsidRPr="00C62F73" w:rsidRDefault="00717331" w:rsidP="00717331">
      <w:r w:rsidRPr="00C62F73">
        <w:t>In making our draft decision, we had regard to:</w:t>
      </w:r>
    </w:p>
    <w:p w:rsidR="00717331" w:rsidRPr="00717331" w:rsidRDefault="00717331" w:rsidP="00717331">
      <w:pPr>
        <w:pStyle w:val="AERbulletlistfirststyle"/>
      </w:pPr>
      <w:r w:rsidRPr="00C62F73">
        <w:t xml:space="preserve">information provided by </w:t>
      </w:r>
      <w:r w:rsidR="00DE501F">
        <w:t xml:space="preserve">APA </w:t>
      </w:r>
      <w:r w:rsidRPr="00C62F73">
        <w:t xml:space="preserve">as part of its proposed </w:t>
      </w:r>
      <w:r w:rsidR="00931323">
        <w:t>access arrangement</w:t>
      </w:r>
      <w:r w:rsidRPr="00C62F73">
        <w:t xml:space="preserve">;  </w:t>
      </w:r>
    </w:p>
    <w:p w:rsidR="00717331" w:rsidRPr="00717331" w:rsidRDefault="00717331" w:rsidP="00717331">
      <w:pPr>
        <w:pStyle w:val="AERbulletlistfirststyle"/>
      </w:pPr>
      <w:r w:rsidRPr="00C62F73">
        <w:t xml:space="preserve">advice from </w:t>
      </w:r>
      <w:r>
        <w:t>ACIL Allen</w:t>
      </w:r>
      <w:r w:rsidRPr="00C62F73">
        <w:t xml:space="preserve"> in its review of </w:t>
      </w:r>
      <w:r w:rsidR="00931323">
        <w:t>APA</w:t>
      </w:r>
      <w:r w:rsidR="00DE501F">
        <w:t>'</w:t>
      </w:r>
      <w:r w:rsidR="00931323">
        <w:t>s</w:t>
      </w:r>
      <w:r w:rsidRPr="00C62F73">
        <w:t xml:space="preserve"> demand forecasts. </w:t>
      </w:r>
      <w:r w:rsidR="00931323">
        <w:t>ACIL Allen</w:t>
      </w:r>
      <w:r w:rsidRPr="00C62F73">
        <w:t xml:space="preserve"> reviewed APTPPL’s demand forecasts and assisted in developing alternative demand forecasts where we were not satisfied that forecasts comply with the requirements of the NGR;</w:t>
      </w:r>
    </w:p>
    <w:p w:rsidR="00D560E3" w:rsidRDefault="00717331" w:rsidP="00717331">
      <w:pPr>
        <w:pStyle w:val="AERbulletlistfirststyle"/>
      </w:pPr>
      <w:r w:rsidRPr="00C62F73">
        <w:t xml:space="preserve">additional information provided by </w:t>
      </w:r>
      <w:r w:rsidR="00DE501F">
        <w:t xml:space="preserve">APA </w:t>
      </w:r>
      <w:r w:rsidRPr="00C62F73">
        <w:t>in response to our information requests</w:t>
      </w:r>
      <w:r w:rsidR="00D560E3">
        <w:t>; and</w:t>
      </w:r>
    </w:p>
    <w:p w:rsidR="00132D43" w:rsidRDefault="00D560E3" w:rsidP="00717331">
      <w:pPr>
        <w:pStyle w:val="AERbulletlistfirststyle"/>
      </w:pPr>
      <w:r>
        <w:t xml:space="preserve">APA's supplementary </w:t>
      </w:r>
      <w:r w:rsidR="006D3921">
        <w:t>capex</w:t>
      </w:r>
      <w:r>
        <w:t xml:space="preserve"> submission on the proposed WORM.</w:t>
      </w:r>
      <w:r w:rsidR="006145BA">
        <w:rPr>
          <w:rStyle w:val="FootnoteReference"/>
        </w:rPr>
        <w:footnoteReference w:id="17"/>
      </w:r>
    </w:p>
    <w:p w:rsidR="00132D43" w:rsidRDefault="00132D43" w:rsidP="00450590">
      <w:pPr>
        <w:pStyle w:val="HeadingBoldBlue"/>
      </w:pPr>
      <w:r>
        <w:t>Interrelationships</w:t>
      </w:r>
    </w:p>
    <w:p w:rsidR="00132D43" w:rsidRDefault="00717331" w:rsidP="00132D43">
      <w:r w:rsidRPr="00C62F73">
        <w:t xml:space="preserve">Tariffs depend on estimates on forecast total demand (GJ/day). </w:t>
      </w:r>
      <w:r w:rsidR="000124F0">
        <w:t xml:space="preserve">Changes in these forecasts will translate into changed tariffs. </w:t>
      </w:r>
      <w:r w:rsidRPr="00C62F73">
        <w:t>In simple terms, tariffs are determined by cost divided by total demand (GJ/day), such that an increase in forecast demand has the effect of reducing the tariff and vice versa.</w:t>
      </w:r>
    </w:p>
    <w:p w:rsidR="00717331" w:rsidRDefault="00717331" w:rsidP="00717331">
      <w:r>
        <w:t>D</w:t>
      </w:r>
      <w:r w:rsidRPr="00C62F73">
        <w:t xml:space="preserve">emand forecasts also affect augmentation </w:t>
      </w:r>
      <w:r w:rsidR="001E1ED6">
        <w:t>capex</w:t>
      </w:r>
      <w:r w:rsidRPr="00C62F73">
        <w:t xml:space="preserve"> to increase network capacity</w:t>
      </w:r>
      <w:r>
        <w:t>, network extensions to serve new customers,</w:t>
      </w:r>
      <w:r w:rsidRPr="00C62F73">
        <w:t xml:space="preserve"> and associated </w:t>
      </w:r>
      <w:r w:rsidR="001E1ED6">
        <w:t>opex</w:t>
      </w:r>
      <w:r w:rsidRPr="00C62F73">
        <w:t>.</w:t>
      </w:r>
    </w:p>
    <w:p w:rsidR="00132D43" w:rsidRDefault="00132D43" w:rsidP="00132D43">
      <w:pPr>
        <w:pStyle w:val="Heading2"/>
      </w:pPr>
      <w:bookmarkStart w:id="78" w:name="_Ref483815330"/>
      <w:bookmarkStart w:id="79" w:name="_Toc486855651"/>
      <w:r>
        <w:t>Reasons for draft decision</w:t>
      </w:r>
      <w:bookmarkEnd w:id="78"/>
      <w:bookmarkEnd w:id="79"/>
    </w:p>
    <w:p w:rsidR="001B2D67" w:rsidRDefault="001B2D67" w:rsidP="001B2D67">
      <w:r>
        <w:t xml:space="preserve">Based on all the information before us, we do not accept APA's proposed total VTS withdrawal volumes for the 2018–22 access arrangement </w:t>
      </w:r>
      <w:proofErr w:type="gramStart"/>
      <w:r>
        <w:t>period</w:t>
      </w:r>
      <w:proofErr w:type="gramEnd"/>
      <w:r>
        <w:t xml:space="preserve">. </w:t>
      </w:r>
    </w:p>
    <w:p w:rsidR="001B2D67" w:rsidRDefault="001B2D67" w:rsidP="00132D43">
      <w:r>
        <w:t>While we are satisfied that APA's overall me</w:t>
      </w:r>
      <w:r w:rsidR="006D3921">
        <w:t>thodology to forecast total VTS</w:t>
      </w:r>
      <w:r>
        <w:t xml:space="preserve"> withdrawal volumes is consistent with rule 74(2) of the NGR, we have not accepted the forecasts for Tariff V and storage refill demand</w:t>
      </w:r>
      <w:r w:rsidR="00B71336">
        <w:t>—</w:t>
      </w:r>
      <w:r w:rsidR="00F3360B">
        <w:t>components of</w:t>
      </w:r>
      <w:r>
        <w:t xml:space="preserve"> total </w:t>
      </w:r>
      <w:r w:rsidR="00F3360B">
        <w:t xml:space="preserve">withdrawal </w:t>
      </w:r>
      <w:r>
        <w:t>volumes.</w:t>
      </w:r>
      <w:r w:rsidR="00F3360B">
        <w:t xml:space="preserve"> </w:t>
      </w:r>
    </w:p>
    <w:p w:rsidR="00B71336" w:rsidRDefault="00B71336" w:rsidP="00132D43">
      <w:r>
        <w:t xml:space="preserve">We have updated the Tariff V forecast to reflect </w:t>
      </w:r>
      <w:r w:rsidR="001E1ED6">
        <w:t>our draft decisions on</w:t>
      </w:r>
      <w:r>
        <w:t xml:space="preserve"> the three Victorian gas distributors' demand forecasts.</w:t>
      </w:r>
      <w:r w:rsidR="0060289F">
        <w:rPr>
          <w:rStyle w:val="FootnoteReference"/>
        </w:rPr>
        <w:footnoteReference w:id="18"/>
      </w:r>
      <w:r>
        <w:t xml:space="preserve"> We have updated the storage refill demand forecast using figures from AEMO's 2017 Victorian Gas Planning Report (VGPR), which forecasts a higher volume of gas flowing into Iona UGS.</w:t>
      </w:r>
    </w:p>
    <w:p w:rsidR="00F3360B" w:rsidRDefault="00F3360B" w:rsidP="00F3360B">
      <w:r>
        <w:t xml:space="preserve">With respect to APA's forecasts of the remaining components to total VTS withdrawal volumes, namely </w:t>
      </w:r>
      <w:r>
        <w:noBreakHyphen/>
        <w:t xml:space="preserve"> Tariff D, Gas Powered Generation (GPG) and demand through interstate transfers </w:t>
      </w:r>
      <w:r>
        <w:noBreakHyphen/>
        <w:t xml:space="preserve"> we are satisfied that these forecasts are consistent with rule 74(2) of the NGR.</w:t>
      </w:r>
    </w:p>
    <w:p w:rsidR="00F3360B" w:rsidRDefault="00F3360B" w:rsidP="00F3360B">
      <w:r>
        <w:t>We also satisfied that APA's proposed peak demand forecasts (1-in-2 peak and 1-in-20 peak) are consistent with rule 74(2) of the NGR.</w:t>
      </w:r>
    </w:p>
    <w:p w:rsidR="00E53013" w:rsidRDefault="00070DB5" w:rsidP="00132D43">
      <w:r>
        <w:t>The reasons for our decision are discussed further below.</w:t>
      </w:r>
    </w:p>
    <w:p w:rsidR="00FF649F" w:rsidRPr="00717331" w:rsidRDefault="00FF649F" w:rsidP="003B6510">
      <w:pPr>
        <w:pStyle w:val="Heading3"/>
        <w:ind w:left="720"/>
      </w:pPr>
      <w:bookmarkStart w:id="80" w:name="_Toc476687456"/>
      <w:bookmarkStart w:id="81" w:name="_Toc476898699"/>
      <w:bookmarkStart w:id="82" w:name="_Toc486855652"/>
      <w:r w:rsidRPr="00717331">
        <w:t>Minimum, maximum and average demand</w:t>
      </w:r>
      <w:bookmarkEnd w:id="80"/>
      <w:bookmarkEnd w:id="81"/>
      <w:bookmarkEnd w:id="82"/>
    </w:p>
    <w:p w:rsidR="00FF649F" w:rsidRDefault="00FF649F" w:rsidP="00FF649F">
      <w:r w:rsidRPr="00717331">
        <w:t xml:space="preserve">As noted above, the NGR require </w:t>
      </w:r>
      <w:r>
        <w:t>the access arrangement information</w:t>
      </w:r>
      <w:r w:rsidRPr="00717331">
        <w:t xml:space="preserve"> to include minimum, maximum and average demand for each receipt or delivery point for the earlier </w:t>
      </w:r>
      <w:r>
        <w:t>access arrangement period</w:t>
      </w:r>
      <w:r w:rsidRPr="00717331">
        <w:t>.</w:t>
      </w:r>
      <w:r>
        <w:rPr>
          <w:rStyle w:val="FootnoteReference"/>
        </w:rPr>
        <w:footnoteReference w:id="19"/>
      </w:r>
      <w:r w:rsidRPr="00717331">
        <w:t xml:space="preserve"> For a transmission pipeline, the NGR also require the </w:t>
      </w:r>
      <w:r>
        <w:t>access arrangement information</w:t>
      </w:r>
      <w:r w:rsidRPr="00717331">
        <w:t xml:space="preserve"> to include the user numbers for each receipt or delivery point.</w:t>
      </w:r>
      <w:r>
        <w:rPr>
          <w:rStyle w:val="FootnoteReference"/>
        </w:rPr>
        <w:footnoteReference w:id="20"/>
      </w:r>
      <w:r w:rsidRPr="00717331">
        <w:t xml:space="preserve"> A</w:t>
      </w:r>
      <w:r>
        <w:t>PA</w:t>
      </w:r>
      <w:r w:rsidRPr="00717331">
        <w:t xml:space="preserve">’s </w:t>
      </w:r>
      <w:r>
        <w:t>access arrangement information</w:t>
      </w:r>
      <w:r w:rsidRPr="00717331">
        <w:t xml:space="preserve"> includes this information and satisfies the requirements of the NGR in this regard.</w:t>
      </w:r>
      <w:r>
        <w:rPr>
          <w:rStyle w:val="FootnoteReference"/>
        </w:rPr>
        <w:footnoteReference w:id="21"/>
      </w:r>
    </w:p>
    <w:p w:rsidR="00FF649F" w:rsidRDefault="00FF649F" w:rsidP="003B6510">
      <w:pPr>
        <w:pStyle w:val="Heading3"/>
        <w:keepNext/>
        <w:ind w:left="720"/>
      </w:pPr>
      <w:bookmarkStart w:id="83" w:name="_Toc476687457"/>
      <w:bookmarkStart w:id="84" w:name="_Toc476898700"/>
      <w:bookmarkStart w:id="85" w:name="_Toc486855653"/>
      <w:r w:rsidRPr="00C62F73">
        <w:t>Forecast pipeline capacity and utilisation</w:t>
      </w:r>
      <w:bookmarkEnd w:id="83"/>
      <w:bookmarkEnd w:id="84"/>
      <w:bookmarkEnd w:id="85"/>
    </w:p>
    <w:p w:rsidR="00FF649F" w:rsidRPr="00717331" w:rsidRDefault="00FF649F" w:rsidP="003B6510">
      <w:pPr>
        <w:keepNext/>
      </w:pPr>
      <w:r w:rsidRPr="00717331">
        <w:t xml:space="preserve">As noted above, the NGR require that, to the extent it is practicable to forecast pipeline capacity over the </w:t>
      </w:r>
      <w:r>
        <w:t>access arrangement period</w:t>
      </w:r>
      <w:r w:rsidRPr="00717331">
        <w:t xml:space="preserve">, the </w:t>
      </w:r>
      <w:r>
        <w:t>access arrangement information</w:t>
      </w:r>
      <w:r w:rsidRPr="00717331">
        <w:t xml:space="preserve"> should include forecast pipeline capacity and utilisation of pipeline capacity over the </w:t>
      </w:r>
      <w:r>
        <w:t>access arrangement</w:t>
      </w:r>
      <w:r w:rsidRPr="00717331">
        <w:t xml:space="preserve"> period.</w:t>
      </w:r>
      <w:r>
        <w:rPr>
          <w:rStyle w:val="FootnoteReference"/>
        </w:rPr>
        <w:footnoteReference w:id="22"/>
      </w:r>
      <w:r w:rsidRPr="00717331">
        <w:t xml:space="preserve">  </w:t>
      </w:r>
    </w:p>
    <w:p w:rsidR="00FF649F" w:rsidRDefault="00FF649F" w:rsidP="00FF649F">
      <w:r>
        <w:t>APA’s</w:t>
      </w:r>
      <w:r w:rsidRPr="00717331">
        <w:t xml:space="preserve"> </w:t>
      </w:r>
      <w:r>
        <w:t>access arrangement information</w:t>
      </w:r>
      <w:r w:rsidRPr="00717331">
        <w:t xml:space="preserve"> includes this information and satisfies the requirements of the NGR in this regard. We have formed this view on the basis that the capacity forecast </w:t>
      </w:r>
      <w:r>
        <w:t>is consistent with historical capacity</w:t>
      </w:r>
      <w:r w:rsidR="008062A9">
        <w:t>,</w:t>
      </w:r>
      <w:r>
        <w:t xml:space="preserve"> and </w:t>
      </w:r>
      <w:r w:rsidR="008062A9">
        <w:t xml:space="preserve">reflects </w:t>
      </w:r>
      <w:r>
        <w:t>the propos</w:t>
      </w:r>
      <w:r w:rsidR="008062A9">
        <w:t>al</w:t>
      </w:r>
      <w:r>
        <w:t xml:space="preserve"> to expand the South West Pipeline</w:t>
      </w:r>
      <w:r w:rsidR="005C10FF">
        <w:t xml:space="preserve"> (SWP)</w:t>
      </w:r>
      <w:r>
        <w:t xml:space="preserve">. We have </w:t>
      </w:r>
      <w:r w:rsidR="006D3921">
        <w:t xml:space="preserve">also </w:t>
      </w:r>
      <w:r>
        <w:t xml:space="preserve">considered APA's proposed </w:t>
      </w:r>
      <w:r w:rsidR="00D560E3">
        <w:t>WORM</w:t>
      </w:r>
      <w:r>
        <w:t xml:space="preserve"> in coming to our position.</w:t>
      </w:r>
      <w:r>
        <w:rPr>
          <w:rStyle w:val="FootnoteReference"/>
        </w:rPr>
        <w:footnoteReference w:id="23"/>
      </w:r>
      <w:r>
        <w:t xml:space="preserve"> We are satisfied that the utilisation forecast reflects APA's forecasts of reductions in GPG and industrial load.</w:t>
      </w:r>
      <w:r>
        <w:rPr>
          <w:rStyle w:val="FootnoteReference"/>
        </w:rPr>
        <w:footnoteReference w:id="24"/>
      </w:r>
    </w:p>
    <w:p w:rsidR="00E53013" w:rsidRDefault="00E27396" w:rsidP="003B6510">
      <w:pPr>
        <w:pStyle w:val="Heading3"/>
        <w:ind w:left="720"/>
      </w:pPr>
      <w:bookmarkStart w:id="86" w:name="_Toc486855654"/>
      <w:r>
        <w:t>Demand forecasts for Tariff V</w:t>
      </w:r>
      <w:bookmarkEnd w:id="86"/>
    </w:p>
    <w:p w:rsidR="000641D1" w:rsidRDefault="00782177" w:rsidP="00132D43">
      <w:r>
        <w:t xml:space="preserve">Our draft decision is to not accept APA's forecast of Tariff V </w:t>
      </w:r>
      <w:r w:rsidR="00904D37">
        <w:t xml:space="preserve">demand </w:t>
      </w:r>
      <w:r>
        <w:t xml:space="preserve">for the 2018–22 access arrangement period. </w:t>
      </w:r>
      <w:r w:rsidR="00E27396">
        <w:t xml:space="preserve">We </w:t>
      </w:r>
      <w:r w:rsidR="00E557A9">
        <w:t>accept</w:t>
      </w:r>
      <w:r w:rsidR="00E27396">
        <w:t xml:space="preserve"> APA's approach to forecasting </w:t>
      </w:r>
      <w:r w:rsidR="00830F8F">
        <w:t xml:space="preserve">Tariff V demand </w:t>
      </w:r>
      <w:r w:rsidR="00904D37">
        <w:t xml:space="preserve">by </w:t>
      </w:r>
      <w:r w:rsidR="00830F8F">
        <w:t>adopting the three Victorian gas distributors' respective forecasts.</w:t>
      </w:r>
      <w:r w:rsidR="00E557A9">
        <w:t xml:space="preserve"> </w:t>
      </w:r>
      <w:r>
        <w:t xml:space="preserve">However, </w:t>
      </w:r>
      <w:r w:rsidR="000641D1">
        <w:t xml:space="preserve">we have revised Tariff V demand on the VTS given our draft decision to not accept </w:t>
      </w:r>
      <w:r w:rsidR="00830F8F">
        <w:t>AusNet</w:t>
      </w:r>
      <w:r w:rsidR="00904D37">
        <w:t>’s</w:t>
      </w:r>
      <w:r w:rsidR="00830F8F">
        <w:t>' and Multinet's demand forecasts</w:t>
      </w:r>
      <w:r w:rsidR="000641D1">
        <w:t>.</w:t>
      </w:r>
      <w:r w:rsidR="000641D1">
        <w:rPr>
          <w:rStyle w:val="FootnoteReference"/>
        </w:rPr>
        <w:footnoteReference w:id="25"/>
      </w:r>
      <w:r w:rsidR="000641D1">
        <w:t xml:space="preserve"> We therefore developed alternative demand forecasts for these businesses</w:t>
      </w:r>
      <w:r w:rsidR="001944AE">
        <w:t>,</w:t>
      </w:r>
      <w:r w:rsidR="000641D1">
        <w:t xml:space="preserve"> which </w:t>
      </w:r>
      <w:r w:rsidR="00730AF0">
        <w:t xml:space="preserve">have </w:t>
      </w:r>
      <w:r w:rsidR="000641D1">
        <w:t>been used as inputs into our alternative forecast for Tariff V demand on the VTS</w:t>
      </w:r>
      <w:r w:rsidR="000C159C">
        <w:t xml:space="preserve">. </w:t>
      </w:r>
    </w:p>
    <w:p w:rsidR="000641D1" w:rsidRDefault="006D3921" w:rsidP="00132D43">
      <w:r>
        <w:t>There is</w:t>
      </w:r>
      <w:r w:rsidR="000641D1">
        <w:t xml:space="preserve"> a minor discrepancy </w:t>
      </w:r>
      <w:r>
        <w:t xml:space="preserve">that we have identified </w:t>
      </w:r>
      <w:r w:rsidR="000641D1">
        <w:t>between the</w:t>
      </w:r>
      <w:r w:rsidR="000949F4">
        <w:t xml:space="preserve"> Tariff V</w:t>
      </w:r>
      <w:r w:rsidR="000641D1">
        <w:t xml:space="preserve"> demand forecasts submitted by AGN</w:t>
      </w:r>
      <w:r w:rsidR="00730AF0">
        <w:t xml:space="preserve"> in its access arrangement proposal</w:t>
      </w:r>
      <w:r w:rsidR="000641D1">
        <w:t xml:space="preserve"> (which we accepted) and those provided by </w:t>
      </w:r>
      <w:r w:rsidR="00730AF0">
        <w:t xml:space="preserve">AGN to </w:t>
      </w:r>
      <w:r w:rsidR="000641D1">
        <w:t xml:space="preserve">APA. We have applied </w:t>
      </w:r>
      <w:r w:rsidR="00730AF0">
        <w:t xml:space="preserve">the forecast </w:t>
      </w:r>
      <w:r w:rsidR="000641D1">
        <w:t>submitted by AGN</w:t>
      </w:r>
      <w:r w:rsidR="00730AF0">
        <w:t xml:space="preserve"> in its access arrangement proposal</w:t>
      </w:r>
      <w:r w:rsidR="000641D1">
        <w:t xml:space="preserve">. </w:t>
      </w:r>
    </w:p>
    <w:p w:rsidR="00E27396" w:rsidRDefault="000949F4" w:rsidP="00132D43">
      <w:r>
        <w:t xml:space="preserve">Overall, </w:t>
      </w:r>
      <w:r w:rsidR="00830F8F">
        <w:t xml:space="preserve">our alternative Tariff V demand forecast </w:t>
      </w:r>
      <w:r>
        <w:t xml:space="preserve">is </w:t>
      </w:r>
      <w:r w:rsidR="00904D37">
        <w:t xml:space="preserve">0.12 per cent </w:t>
      </w:r>
      <w:r>
        <w:t xml:space="preserve">lower </w:t>
      </w:r>
      <w:r w:rsidR="00904D37">
        <w:t>than</w:t>
      </w:r>
      <w:r w:rsidR="00830F8F">
        <w:t xml:space="preserve"> APA's proposal.</w:t>
      </w:r>
    </w:p>
    <w:p w:rsidR="00450590" w:rsidRDefault="00450590" w:rsidP="00132D43"/>
    <w:p w:rsidR="00450590" w:rsidRDefault="00450590" w:rsidP="00132D43"/>
    <w:p w:rsidR="00830F8F" w:rsidRDefault="00830F8F" w:rsidP="003B6510">
      <w:pPr>
        <w:pStyle w:val="Heading3"/>
        <w:ind w:left="720"/>
      </w:pPr>
      <w:bookmarkStart w:id="87" w:name="_Toc486855655"/>
      <w:r>
        <w:t>Demand forecasts</w:t>
      </w:r>
      <w:r w:rsidR="000949F4">
        <w:t xml:space="preserve"> of</w:t>
      </w:r>
      <w:r>
        <w:t xml:space="preserve"> flows into storage</w:t>
      </w:r>
      <w:bookmarkEnd w:id="87"/>
    </w:p>
    <w:p w:rsidR="000949F4" w:rsidRDefault="003202A0" w:rsidP="00132D43">
      <w:r>
        <w:t>Our draft decision is to not accept APA's forecast of gas flows into storage for the 2018–22 access arrangement period.</w:t>
      </w:r>
      <w:r w:rsidR="006612C3">
        <w:t xml:space="preserve"> </w:t>
      </w:r>
    </w:p>
    <w:p w:rsidR="008F73D2" w:rsidRDefault="006612C3" w:rsidP="00132D43">
      <w:r>
        <w:t xml:space="preserve">We </w:t>
      </w:r>
      <w:r w:rsidR="00C51DF5">
        <w:t>accept</w:t>
      </w:r>
      <w:r>
        <w:t xml:space="preserve"> APA's approach to forecasting gas flows for Iona UGS and </w:t>
      </w:r>
      <w:r w:rsidR="0055635D">
        <w:t xml:space="preserve">Dandenong </w:t>
      </w:r>
      <w:r>
        <w:t>LNG refill</w:t>
      </w:r>
      <w:r w:rsidR="0055635D">
        <w:t xml:space="preserve">, </w:t>
      </w:r>
      <w:r w:rsidR="00E02A6B">
        <w:t>however</w:t>
      </w:r>
      <w:r w:rsidR="000949F4">
        <w:t xml:space="preserve">, we </w:t>
      </w:r>
      <w:r w:rsidR="0055635D">
        <w:t>have updated the forecast for Iona UGS refill</w:t>
      </w:r>
      <w:r w:rsidR="008F73D2">
        <w:t xml:space="preserve"> with more recent data</w:t>
      </w:r>
      <w:r>
        <w:t xml:space="preserve">. </w:t>
      </w:r>
    </w:p>
    <w:p w:rsidR="00C05F0E" w:rsidRDefault="000949F4" w:rsidP="00132D43">
      <w:r>
        <w:t>APA's forecasts of refill volumes into Iona UGS are based on AEMO's 2016 VGPR</w:t>
      </w:r>
      <w:r w:rsidR="00292514">
        <w:t xml:space="preserve">. </w:t>
      </w:r>
      <w:r w:rsidR="00904D37">
        <w:t>After</w:t>
      </w:r>
      <w:r w:rsidR="00292514">
        <w:t xml:space="preserve"> APA submitted its proposal</w:t>
      </w:r>
      <w:r>
        <w:t xml:space="preserve"> AEMO released its March 2017 VGPR</w:t>
      </w:r>
      <w:r w:rsidR="00B22D30">
        <w:t>,</w:t>
      </w:r>
      <w:r>
        <w:t xml:space="preserve"> which contains updated information about these refill volumes. Based on this latest report, </w:t>
      </w:r>
      <w:r w:rsidR="004D49C5">
        <w:t xml:space="preserve">AEMO forecast an increase in flows of gas into storage at Iona UGS relative to </w:t>
      </w:r>
      <w:r w:rsidR="00EF7664">
        <w:t xml:space="preserve">the forecast in </w:t>
      </w:r>
      <w:r w:rsidR="004D49C5">
        <w:t>its 2016 VGPR</w:t>
      </w:r>
      <w:r w:rsidR="00292514">
        <w:t xml:space="preserve">. </w:t>
      </w:r>
      <w:r w:rsidR="004D49C5">
        <w:t xml:space="preserve">Based on AEMO's report, we estimate </w:t>
      </w:r>
      <w:r w:rsidR="004D49C5" w:rsidRPr="004D49C5">
        <w:t>that refill volumes will increase to 16.2 PJ/</w:t>
      </w:r>
      <w:r w:rsidR="00EF7664">
        <w:t>year</w:t>
      </w:r>
      <w:r w:rsidR="004D49C5" w:rsidRPr="004D49C5">
        <w:t xml:space="preserve"> in 2018-19, and to 15.4 PJ/</w:t>
      </w:r>
      <w:r w:rsidR="00EF7664">
        <w:t>year</w:t>
      </w:r>
      <w:r w:rsidR="004D49C5" w:rsidRPr="004D49C5">
        <w:t xml:space="preserve"> in subsequent years of the access arrangement period.</w:t>
      </w:r>
    </w:p>
    <w:p w:rsidR="009F6449" w:rsidRDefault="000C6BFD" w:rsidP="00132D43">
      <w:r>
        <w:t xml:space="preserve">With regard to the impact of the WORM, we </w:t>
      </w:r>
      <w:r w:rsidR="00A60A32">
        <w:t>do not accept</w:t>
      </w:r>
      <w:r>
        <w:t xml:space="preserve"> APA</w:t>
      </w:r>
      <w:r w:rsidR="00A60A32">
        <w:t>'s view</w:t>
      </w:r>
      <w:r>
        <w:t xml:space="preserve"> that </w:t>
      </w:r>
      <w:r w:rsidR="00756F7B">
        <w:t>it</w:t>
      </w:r>
      <w:r>
        <w:t xml:space="preserve"> </w:t>
      </w:r>
      <w:r w:rsidR="00A60A32">
        <w:t xml:space="preserve">will have no impact on </w:t>
      </w:r>
      <w:r>
        <w:t>overall volume</w:t>
      </w:r>
      <w:r w:rsidR="0033334B">
        <w:t>s</w:t>
      </w:r>
      <w:r>
        <w:t xml:space="preserve"> of gas flowing into Iona UGS.</w:t>
      </w:r>
      <w:r>
        <w:rPr>
          <w:rStyle w:val="FootnoteReference"/>
        </w:rPr>
        <w:footnoteReference w:id="26"/>
      </w:r>
      <w:r w:rsidR="00A60A32">
        <w:t xml:space="preserve"> </w:t>
      </w:r>
      <w:r w:rsidR="00EB5093">
        <w:t>In light of new information, including from submissions received, w</w:t>
      </w:r>
      <w:r w:rsidR="003E7B9E">
        <w:t>e consider that there will be</w:t>
      </w:r>
      <w:r w:rsidR="00EB5093">
        <w:t xml:space="preserve"> </w:t>
      </w:r>
      <w:r w:rsidR="003E7B9E">
        <w:t>a greater volume</w:t>
      </w:r>
      <w:r w:rsidR="00EB5093">
        <w:t xml:space="preserve"> </w:t>
      </w:r>
      <w:r w:rsidR="003E7B9E">
        <w:t xml:space="preserve">of gas flowing into Iona UGS than APA forecast </w:t>
      </w:r>
      <w:r w:rsidR="00EB5093">
        <w:t>over the 2018–22 access arrangement period.</w:t>
      </w:r>
      <w:r w:rsidR="00871095">
        <w:t xml:space="preserve"> </w:t>
      </w:r>
      <w:r w:rsidR="00645319">
        <w:t xml:space="preserve">The Consortium of Gas Market Participants </w:t>
      </w:r>
      <w:r w:rsidR="00F26188">
        <w:t xml:space="preserve">(the Consortium) </w:t>
      </w:r>
      <w:r w:rsidR="00645319">
        <w:t>submit</w:t>
      </w:r>
      <w:r w:rsidR="003E7B9E">
        <w:t>ted</w:t>
      </w:r>
      <w:r w:rsidR="00645319">
        <w:t xml:space="preserve"> that gas production at Port Campbell has begun to decline and will continue to decline.</w:t>
      </w:r>
      <w:r w:rsidR="00F26188">
        <w:rPr>
          <w:rStyle w:val="FootnoteReference"/>
        </w:rPr>
        <w:footnoteReference w:id="27"/>
      </w:r>
      <w:r w:rsidR="00645319">
        <w:t xml:space="preserve"> </w:t>
      </w:r>
      <w:r w:rsidR="00F26188">
        <w:t>The Consortium explain</w:t>
      </w:r>
      <w:r w:rsidR="00756F7B">
        <w:t>ed</w:t>
      </w:r>
      <w:r w:rsidR="00F26188">
        <w:t xml:space="preserve"> that consequently, South Australia will</w:t>
      </w:r>
      <w:r w:rsidR="0033334B">
        <w:t xml:space="preserve"> now</w:t>
      </w:r>
      <w:r w:rsidR="00F26188">
        <w:t xml:space="preserve"> need to source gas from Gippsland, which </w:t>
      </w:r>
      <w:r w:rsidR="00645319">
        <w:t xml:space="preserve">will </w:t>
      </w:r>
      <w:r w:rsidR="00CD0330">
        <w:t>need</w:t>
      </w:r>
      <w:r w:rsidR="00645319">
        <w:t xml:space="preserve"> to be placed in storage at Iona UGS prior to transport to South Australia. This view is supported by ACIL Allen.</w:t>
      </w:r>
      <w:r w:rsidR="00645319">
        <w:rPr>
          <w:rStyle w:val="FootnoteReference"/>
        </w:rPr>
        <w:footnoteReference w:id="28"/>
      </w:r>
      <w:r w:rsidR="00645319">
        <w:t xml:space="preserve"> AEMO also highlight</w:t>
      </w:r>
      <w:r w:rsidR="00756F7B">
        <w:t xml:space="preserve">ed </w:t>
      </w:r>
      <w:r w:rsidR="00645319">
        <w:t xml:space="preserve">the declining gas production from Port Campbell, </w:t>
      </w:r>
      <w:r w:rsidR="00F26188">
        <w:t>and constraints on filling Iona UGS from 2021</w:t>
      </w:r>
      <w:r w:rsidR="003E7B9E">
        <w:t xml:space="preserve"> without construction of the WORM</w:t>
      </w:r>
      <w:r w:rsidR="00F26188">
        <w:t>.</w:t>
      </w:r>
      <w:r w:rsidR="00F26188">
        <w:rPr>
          <w:rStyle w:val="FootnoteReference"/>
        </w:rPr>
        <w:footnoteReference w:id="29"/>
      </w:r>
      <w:r w:rsidR="00F26188">
        <w:t xml:space="preserve"> We have used AEMO's 2017 VGP</w:t>
      </w:r>
      <w:r w:rsidR="00C91E27">
        <w:t xml:space="preserve">R forecast </w:t>
      </w:r>
      <w:r w:rsidR="00C51DF5">
        <w:t xml:space="preserve">for </w:t>
      </w:r>
      <w:r w:rsidR="00C91E27">
        <w:t xml:space="preserve">our alternative </w:t>
      </w:r>
      <w:r w:rsidR="00C51DF5">
        <w:t>forecast</w:t>
      </w:r>
      <w:r w:rsidR="00CD0330">
        <w:t>.</w:t>
      </w:r>
      <w:r w:rsidR="00F26188">
        <w:t xml:space="preserve"> </w:t>
      </w:r>
      <w:r w:rsidR="00CD0330">
        <w:t>W</w:t>
      </w:r>
      <w:r w:rsidR="00F26188">
        <w:t>e encourage APA</w:t>
      </w:r>
      <w:r w:rsidR="00C51DF5">
        <w:t>, in its revised proposal,</w:t>
      </w:r>
      <w:r w:rsidR="00F26188">
        <w:t xml:space="preserve"> to consider further the implications</w:t>
      </w:r>
      <w:r w:rsidR="00C91E27">
        <w:t xml:space="preserve"> </w:t>
      </w:r>
      <w:r w:rsidR="00CD0330">
        <w:t xml:space="preserve">on its demand forecast </w:t>
      </w:r>
      <w:r w:rsidR="00C91E27">
        <w:t>of</w:t>
      </w:r>
      <w:r w:rsidR="00CD0330">
        <w:t xml:space="preserve"> developments in the gas industry</w:t>
      </w:r>
      <w:r w:rsidR="00C91E27">
        <w:t xml:space="preserve"> </w:t>
      </w:r>
      <w:r w:rsidR="00CD0330">
        <w:t xml:space="preserve">and </w:t>
      </w:r>
      <w:r w:rsidR="00C91E27">
        <w:t xml:space="preserve">the </w:t>
      </w:r>
      <w:r w:rsidR="00CD0330">
        <w:t>constraints on gas flows t</w:t>
      </w:r>
      <w:r w:rsidR="00323FBF">
        <w:t>hat would</w:t>
      </w:r>
      <w:r w:rsidR="00CD0330">
        <w:t xml:space="preserve"> be eased with construction of the WORM</w:t>
      </w:r>
      <w:r w:rsidR="00C91E27">
        <w:t>.</w:t>
      </w:r>
    </w:p>
    <w:p w:rsidR="00C05F0E" w:rsidDel="00292514" w:rsidRDefault="0033334B" w:rsidP="00132D43">
      <w:r>
        <w:t xml:space="preserve">With regard to forecast </w:t>
      </w:r>
      <w:r w:rsidDel="00292514">
        <w:t>Dandenong LNG refill volume</w:t>
      </w:r>
      <w:r>
        <w:t>, w</w:t>
      </w:r>
      <w:r w:rsidDel="00292514">
        <w:t xml:space="preserve">e are satisfied that APA's use of actual volumes from 2015 to forecast over the 2018–22 access arrangement period </w:t>
      </w:r>
      <w:r>
        <w:t xml:space="preserve">is </w:t>
      </w:r>
      <w:r w:rsidR="00025802">
        <w:t xml:space="preserve">a reasonable basis </w:t>
      </w:r>
      <w:r w:rsidR="00904D37">
        <w:t xml:space="preserve">for its forecast, </w:t>
      </w:r>
      <w:r w:rsidR="00025802">
        <w:t xml:space="preserve">and </w:t>
      </w:r>
      <w:r w:rsidR="00904D37">
        <w:t xml:space="preserve">that </w:t>
      </w:r>
      <w:r w:rsidR="00025802">
        <w:t>its forecast</w:t>
      </w:r>
      <w:r>
        <w:t xml:space="preserve"> represents</w:t>
      </w:r>
      <w:r w:rsidDel="00292514">
        <w:t xml:space="preserve"> the best estimate </w:t>
      </w:r>
      <w:r>
        <w:t xml:space="preserve">possible </w:t>
      </w:r>
      <w:r w:rsidDel="00292514">
        <w:t>in the circumstances.</w:t>
      </w:r>
      <w:r>
        <w:rPr>
          <w:rStyle w:val="FootnoteReference"/>
        </w:rPr>
        <w:footnoteReference w:id="30"/>
      </w:r>
      <w:r w:rsidR="00C05F0E" w:rsidDel="00292514">
        <w:t xml:space="preserve"> </w:t>
      </w:r>
    </w:p>
    <w:p w:rsidR="00C05F0E" w:rsidDel="00292514" w:rsidRDefault="00317FEC" w:rsidP="00132D43">
      <w:r w:rsidDel="00292514">
        <w:t xml:space="preserve">Our </w:t>
      </w:r>
      <w:r w:rsidR="00B22D30">
        <w:t xml:space="preserve">overall </w:t>
      </w:r>
      <w:r w:rsidDel="00292514">
        <w:t xml:space="preserve">alternative forecast of flows into storage </w:t>
      </w:r>
      <w:r w:rsidR="003A61B8" w:rsidDel="00292514">
        <w:t>for an average of</w:t>
      </w:r>
      <w:r w:rsidDel="00292514">
        <w:t xml:space="preserve"> 17.</w:t>
      </w:r>
      <w:r w:rsidR="000B19D7" w:rsidDel="00292514">
        <w:t>6</w:t>
      </w:r>
      <w:r w:rsidDel="00292514">
        <w:t xml:space="preserve"> PJ/year is </w:t>
      </w:r>
      <w:r w:rsidR="000B19D7" w:rsidDel="00292514">
        <w:t>8</w:t>
      </w:r>
      <w:r w:rsidDel="00292514">
        <w:t>.</w:t>
      </w:r>
      <w:r w:rsidR="000B19D7" w:rsidDel="00292514">
        <w:t>6</w:t>
      </w:r>
      <w:r w:rsidDel="00292514">
        <w:t xml:space="preserve"> per cent higher than APA's forecast </w:t>
      </w:r>
      <w:r w:rsidR="003A61B8" w:rsidDel="00292514">
        <w:t xml:space="preserve">for an average </w:t>
      </w:r>
      <w:r w:rsidDel="00292514">
        <w:t>of 16.2 PJ/year over the 2018–22 access arrangement period.</w:t>
      </w:r>
      <w:r w:rsidR="004D49C5" w:rsidRPr="004D49C5" w:rsidDel="00292514">
        <w:t xml:space="preserve"> We </w:t>
      </w:r>
      <w:r w:rsidR="00025802">
        <w:t>expect</w:t>
      </w:r>
      <w:r w:rsidR="00025802" w:rsidRPr="004D49C5" w:rsidDel="00292514">
        <w:t xml:space="preserve"> </w:t>
      </w:r>
      <w:r w:rsidR="004D49C5" w:rsidRPr="004D49C5" w:rsidDel="00292514">
        <w:t>APA to revise its forecast</w:t>
      </w:r>
      <w:r w:rsidR="004D49C5" w:rsidDel="00292514">
        <w:t>s</w:t>
      </w:r>
      <w:r w:rsidR="004D49C5" w:rsidRPr="004D49C5" w:rsidDel="00292514">
        <w:t xml:space="preserve"> of</w:t>
      </w:r>
      <w:r w:rsidR="004D49C5" w:rsidDel="00292514">
        <w:t xml:space="preserve"> Iona UGS and Dandenong</w:t>
      </w:r>
      <w:r w:rsidR="004D49C5" w:rsidRPr="004D49C5" w:rsidDel="00292514">
        <w:t xml:space="preserve"> LNG refill with </w:t>
      </w:r>
      <w:r w:rsidR="004D49C5" w:rsidDel="00292514">
        <w:t>the most recent</w:t>
      </w:r>
      <w:r w:rsidR="004D49C5" w:rsidRPr="004D49C5" w:rsidDel="00292514">
        <w:t xml:space="preserve"> data </w:t>
      </w:r>
      <w:r w:rsidR="004D49C5" w:rsidDel="00292514">
        <w:t>available to it</w:t>
      </w:r>
      <w:r w:rsidR="004D49C5" w:rsidRPr="004D49C5" w:rsidDel="00292514">
        <w:t xml:space="preserve"> in its revised </w:t>
      </w:r>
      <w:r w:rsidR="0033334B">
        <w:t xml:space="preserve">access arrangement </w:t>
      </w:r>
      <w:r w:rsidR="004D49C5" w:rsidRPr="004D49C5" w:rsidDel="00292514">
        <w:t>proposal.</w:t>
      </w:r>
    </w:p>
    <w:p w:rsidR="00DC3F57" w:rsidRDefault="00DC3F57" w:rsidP="003B6510">
      <w:pPr>
        <w:pStyle w:val="Heading3"/>
        <w:ind w:left="720"/>
      </w:pPr>
      <w:bookmarkStart w:id="88" w:name="_Toc486855656"/>
      <w:r>
        <w:t>Demand forecasts for Tariff D</w:t>
      </w:r>
      <w:bookmarkEnd w:id="88"/>
    </w:p>
    <w:p w:rsidR="00F26B01" w:rsidRDefault="003A61B8" w:rsidP="00132D43">
      <w:r>
        <w:t xml:space="preserve">We are satisfied that APA's Tariff D forecast for an average of 61.7 PJ/year </w:t>
      </w:r>
      <w:r w:rsidR="005404CB">
        <w:t xml:space="preserve">over the 2018–22 access arrangement period </w:t>
      </w:r>
      <w:r w:rsidR="0035200E">
        <w:t xml:space="preserve">is </w:t>
      </w:r>
      <w:r w:rsidR="00025802">
        <w:t xml:space="preserve">arrived at on a reasonable basis </w:t>
      </w:r>
      <w:r w:rsidR="0033334B">
        <w:t xml:space="preserve">and represents </w:t>
      </w:r>
      <w:r w:rsidR="0035200E">
        <w:t>the best estimate</w:t>
      </w:r>
      <w:r w:rsidR="0033334B">
        <w:t xml:space="preserve"> possible</w:t>
      </w:r>
      <w:r w:rsidR="0035200E">
        <w:t xml:space="preserve"> in the circumstances.</w:t>
      </w:r>
      <w:r w:rsidR="0033334B">
        <w:rPr>
          <w:rStyle w:val="FootnoteReference"/>
        </w:rPr>
        <w:footnoteReference w:id="31"/>
      </w:r>
      <w:r w:rsidR="0033334B">
        <w:t xml:space="preserve"> </w:t>
      </w:r>
      <w:r w:rsidR="00CF007D">
        <w:t xml:space="preserve">Consistent with ACIL Allen's assessment, we consider APA's adoption of the 'weak' demand scenario from </w:t>
      </w:r>
      <w:r w:rsidR="00FF05E4">
        <w:t xml:space="preserve">AEMO's </w:t>
      </w:r>
      <w:r w:rsidR="00CF007D">
        <w:t xml:space="preserve">2016 NGFR </w:t>
      </w:r>
      <w:r w:rsidR="0033334B">
        <w:t>is</w:t>
      </w:r>
      <w:r w:rsidR="00CF007D">
        <w:t xml:space="preserve"> reasonable. </w:t>
      </w:r>
    </w:p>
    <w:p w:rsidR="00DC3F57" w:rsidRDefault="00CF007D" w:rsidP="00132D43">
      <w:r>
        <w:t>ACIL Allen</w:t>
      </w:r>
      <w:r w:rsidR="0033334B">
        <w:t xml:space="preserve"> advised</w:t>
      </w:r>
      <w:r w:rsidR="00FF05E4">
        <w:t xml:space="preserve"> </w:t>
      </w:r>
      <w:r>
        <w:t>that Tariff V demand is highly asymmetrical, that is, there a relatively small number of large users accounting for a substantial portion of overall industrial demand.</w:t>
      </w:r>
      <w:r>
        <w:rPr>
          <w:rStyle w:val="FootnoteReference"/>
        </w:rPr>
        <w:footnoteReference w:id="32"/>
      </w:r>
      <w:r w:rsidR="00077A8A">
        <w:t xml:space="preserve"> A curtailment of operations by any one of the large consumers could result in a change in total industrial gas consumption that is greater than the difference between AEMO's 'weak' and 'neutral' demand scenarios. </w:t>
      </w:r>
      <w:r w:rsidR="00FF05E4">
        <w:t xml:space="preserve">We therefore agree with </w:t>
      </w:r>
      <w:r w:rsidR="00077A8A">
        <w:t>ACIL Allen</w:t>
      </w:r>
      <w:r w:rsidR="00FF05E4">
        <w:t xml:space="preserve">'s view </w:t>
      </w:r>
      <w:r w:rsidR="00077A8A">
        <w:t>that due to</w:t>
      </w:r>
      <w:r w:rsidR="0033334B">
        <w:t xml:space="preserve"> the</w:t>
      </w:r>
      <w:r w:rsidR="00077A8A">
        <w:t xml:space="preserve"> uncertainties currently facing Victorian industrial gas users, the weak scenario is at least as likely to materialise as the neutral scenario, and there is no clear basis requiring APA to adopt the higher forecast. </w:t>
      </w:r>
    </w:p>
    <w:p w:rsidR="00317FEC" w:rsidRDefault="00DC3F57" w:rsidP="003B6510">
      <w:pPr>
        <w:pStyle w:val="Heading3"/>
        <w:ind w:left="720"/>
      </w:pPr>
      <w:bookmarkStart w:id="89" w:name="_Toc486855657"/>
      <w:r>
        <w:t>Demand forecasts for gas powered generation</w:t>
      </w:r>
      <w:bookmarkEnd w:id="89"/>
      <w:r>
        <w:t xml:space="preserve"> </w:t>
      </w:r>
    </w:p>
    <w:p w:rsidR="000A0D32" w:rsidRDefault="000A0D32" w:rsidP="000A0D32">
      <w:r>
        <w:t xml:space="preserve">We are satisfied that APA's GPG forecast for an average volume of 2.1 PJ/year over the 2018–22 access arrangement period is </w:t>
      </w:r>
      <w:r w:rsidR="00025802">
        <w:t xml:space="preserve">arrived at on a </w:t>
      </w:r>
      <w:r>
        <w:t xml:space="preserve">reasonable </w:t>
      </w:r>
      <w:r w:rsidR="00025802">
        <w:t xml:space="preserve">basis </w:t>
      </w:r>
      <w:r>
        <w:t>and represents the best forecast possible in the circumstances.</w:t>
      </w:r>
      <w:r>
        <w:rPr>
          <w:rStyle w:val="FootnoteReference"/>
        </w:rPr>
        <w:footnoteReference w:id="33"/>
      </w:r>
      <w:r>
        <w:t xml:space="preserve"> We agree with ACIL Allen that the assumptions and modelling approach adopted by Frontier are sound.</w:t>
      </w:r>
      <w:r>
        <w:rPr>
          <w:rStyle w:val="FootnoteReference"/>
        </w:rPr>
        <w:footnoteReference w:id="34"/>
      </w:r>
      <w:r>
        <w:t xml:space="preserve"> </w:t>
      </w:r>
    </w:p>
    <w:p w:rsidR="000A0D32" w:rsidRDefault="000A0D32" w:rsidP="000A0D32">
      <w:r>
        <w:t xml:space="preserve">We also agree </w:t>
      </w:r>
      <w:r w:rsidR="00904D37">
        <w:t xml:space="preserve">that </w:t>
      </w:r>
      <w:r>
        <w:t xml:space="preserve">APA's forecast of 1-in-2 and 1-in-20 peak demand is </w:t>
      </w:r>
      <w:r w:rsidR="00025802">
        <w:t xml:space="preserve">arrived at on a </w:t>
      </w:r>
      <w:r>
        <w:t xml:space="preserve">reasonable </w:t>
      </w:r>
      <w:r w:rsidR="00025802">
        <w:t xml:space="preserve">basis </w:t>
      </w:r>
      <w:r>
        <w:t>and represents the best forecast possible in the circumstances.</w:t>
      </w:r>
    </w:p>
    <w:p w:rsidR="000A0D32" w:rsidRDefault="000A0D32" w:rsidP="000A0D32">
      <w:r>
        <w:t>There are several key factors that need to be considered in forecasting GPG demand over the 2018-22 access arrangement period. These include:</w:t>
      </w:r>
    </w:p>
    <w:p w:rsidR="000A0D32" w:rsidRDefault="000A0D32" w:rsidP="000A0D32">
      <w:pPr>
        <w:pStyle w:val="AERbulletlistfirststyle"/>
      </w:pPr>
      <w:r>
        <w:t>The merit order of NEM-participant gas powered generators entering operation in response to electricity prices. Two large generators, Mortlake and Bairnsdale, do not rely on the VTS for gas delivery. Any modelling assumptions that place Mortlake or Bairnsdale higher up the merit order will lead to increased output from these plants, and thus lower demand from the VTS-connected plants which operate less, and vice versa.</w:t>
      </w:r>
    </w:p>
    <w:p w:rsidR="000A0D32" w:rsidRDefault="00025802" w:rsidP="000A0D32">
      <w:pPr>
        <w:pStyle w:val="AERbulletlistfirststyle"/>
      </w:pPr>
      <w:r>
        <w:t>R</w:t>
      </w:r>
      <w:r w:rsidR="000A0D32">
        <w:t>ecent developments that are expected to have a significant impact on the GPG forecast:</w:t>
      </w:r>
    </w:p>
    <w:p w:rsidR="000A0D32" w:rsidRDefault="000A0D32" w:rsidP="000A0D32">
      <w:pPr>
        <w:pStyle w:val="AERbulletlistsecondstyle"/>
      </w:pPr>
      <w:r>
        <w:t xml:space="preserve">The closure of the 1600 megawatt (MW) Hazelwood power generation facility at the end of March 2017. </w:t>
      </w:r>
    </w:p>
    <w:p w:rsidR="007C5EB9" w:rsidRDefault="000A0D32" w:rsidP="000A0D32">
      <w:pPr>
        <w:pStyle w:val="AERbulletlistsecondstyle"/>
      </w:pPr>
      <w:r>
        <w:t>The introduction of the Victorian Renewable Energy Target, under which the Victorian Government has</w:t>
      </w:r>
      <w:r w:rsidRPr="00353956">
        <w:t xml:space="preserve"> committed to Victorian renewable energy generation targets of 25 per cent by 2020 and 40 per cent by 2025</w:t>
      </w:r>
      <w:r>
        <w:t>.</w:t>
      </w:r>
      <w:r>
        <w:rPr>
          <w:rStyle w:val="FootnoteReference"/>
        </w:rPr>
        <w:footnoteReference w:id="35"/>
      </w:r>
    </w:p>
    <w:p w:rsidR="00DB6208" w:rsidRDefault="00783BF4" w:rsidP="00DC3F57">
      <w:r>
        <w:t>Frontier used its own proprietary electricity investment model to model Victorian GPG performance over the 2018–22 access arrangement period.</w:t>
      </w:r>
      <w:r>
        <w:rPr>
          <w:rStyle w:val="FootnoteReference"/>
        </w:rPr>
        <w:footnoteReference w:id="36"/>
      </w:r>
      <w:r>
        <w:t xml:space="preserve"> </w:t>
      </w:r>
      <w:r w:rsidR="00DB6208">
        <w:t xml:space="preserve">To assess Frontier's GPG forecast methodology, </w:t>
      </w:r>
      <w:r w:rsidR="000A0D32">
        <w:t xml:space="preserve">ACIL Allen </w:t>
      </w:r>
      <w:r w:rsidR="0097117A">
        <w:t>considered:</w:t>
      </w:r>
      <w:r w:rsidR="00997395">
        <w:rPr>
          <w:rStyle w:val="FootnoteReference"/>
        </w:rPr>
        <w:footnoteReference w:id="37"/>
      </w:r>
    </w:p>
    <w:p w:rsidR="00783BF4" w:rsidRDefault="000E021D" w:rsidP="0097117A">
      <w:pPr>
        <w:pStyle w:val="AERbulletlistfirststyle"/>
      </w:pPr>
      <w:r>
        <w:t>t</w:t>
      </w:r>
      <w:r w:rsidR="00783BF4">
        <w:t>he assumptions made by Frontier</w:t>
      </w:r>
      <w:r>
        <w:t>, including in regard to electricity demand, gas prices, renewable generation capital cost, renewable energy targets and the closure of Hazelwood;</w:t>
      </w:r>
    </w:p>
    <w:p w:rsidR="0068433E" w:rsidRDefault="00783BF4" w:rsidP="0097117A">
      <w:pPr>
        <w:pStyle w:val="AERbulletlistfirststyle"/>
      </w:pPr>
      <w:r>
        <w:t>a</w:t>
      </w:r>
      <w:r w:rsidR="0068433E">
        <w:t xml:space="preserve">ctual data on </w:t>
      </w:r>
      <w:r>
        <w:t xml:space="preserve">Victorian </w:t>
      </w:r>
      <w:r w:rsidR="0068433E">
        <w:t>GPG consumption</w:t>
      </w:r>
      <w:r>
        <w:t xml:space="preserve"> by plant between 2010 and 2016, to determine the consistency in the patterns of generation between Frontier's forecast and what is observed historically;</w:t>
      </w:r>
      <w:r w:rsidR="00282983">
        <w:t xml:space="preserve"> and</w:t>
      </w:r>
    </w:p>
    <w:p w:rsidR="0097117A" w:rsidRDefault="00783BF4" w:rsidP="0097117A">
      <w:pPr>
        <w:pStyle w:val="AERbulletlistfirststyle"/>
      </w:pPr>
      <w:r>
        <w:t>a</w:t>
      </w:r>
      <w:r w:rsidR="0068433E">
        <w:t>lternative forecasts</w:t>
      </w:r>
      <w:r w:rsidR="00282983">
        <w:t xml:space="preserve"> of Victorian GPG consumption</w:t>
      </w:r>
      <w:r w:rsidR="0068433E">
        <w:t xml:space="preserve"> produced by AEMO for the </w:t>
      </w:r>
      <w:r w:rsidR="007345C6">
        <w:t xml:space="preserve">2016 </w:t>
      </w:r>
      <w:r w:rsidR="0068433E">
        <w:t xml:space="preserve">NGFR and </w:t>
      </w:r>
      <w:r w:rsidR="007345C6">
        <w:t xml:space="preserve">2017 </w:t>
      </w:r>
      <w:r w:rsidR="0068433E">
        <w:t>VGPR</w:t>
      </w:r>
      <w:r w:rsidR="00282983">
        <w:t>.</w:t>
      </w:r>
      <w:r w:rsidR="007345C6">
        <w:t xml:space="preserve"> </w:t>
      </w:r>
    </w:p>
    <w:p w:rsidR="005629DF" w:rsidRDefault="00CB17E1" w:rsidP="00DC3F57">
      <w:r>
        <w:t>ACIL Allen</w:t>
      </w:r>
      <w:r w:rsidR="00623218">
        <w:t xml:space="preserve"> </w:t>
      </w:r>
      <w:r w:rsidR="000A0D32">
        <w:t>advised</w:t>
      </w:r>
      <w:r w:rsidR="00623218">
        <w:t xml:space="preserve"> that Frontier's modelling approach is sound</w:t>
      </w:r>
      <w:r w:rsidR="00A0072E">
        <w:t>,</w:t>
      </w:r>
      <w:r w:rsidR="00623218">
        <w:t xml:space="preserve"> and the forecast of VTS-connected GPG demand is not unreasonable</w:t>
      </w:r>
      <w:r w:rsidR="00A0072E">
        <w:t xml:space="preserve"> in the absence of any major changes in the energy market. </w:t>
      </w:r>
      <w:r w:rsidR="000A0D32">
        <w:t>ACIL Allen also advised</w:t>
      </w:r>
      <w:r w:rsidR="00F2373E">
        <w:t xml:space="preserve"> that</w:t>
      </w:r>
      <w:r w:rsidR="005629DF">
        <w:t xml:space="preserve"> Frontier's and AEMO's 2016 NGFR forecasts are reasonably well aligned,</w:t>
      </w:r>
      <w:r w:rsidR="005629DF">
        <w:rPr>
          <w:rStyle w:val="FootnoteReference"/>
        </w:rPr>
        <w:footnoteReference w:id="38"/>
      </w:r>
      <w:r w:rsidR="005629DF">
        <w:t xml:space="preserve"> </w:t>
      </w:r>
      <w:r w:rsidR="000A0D32">
        <w:t>although</w:t>
      </w:r>
      <w:r w:rsidR="005629DF">
        <w:t xml:space="preserve"> AEMO's 2017 VGPR anticipates much higher levels of consumption.</w:t>
      </w:r>
      <w:r w:rsidR="001A3AAD">
        <w:rPr>
          <w:rStyle w:val="FootnoteReference"/>
        </w:rPr>
        <w:footnoteReference w:id="39"/>
      </w:r>
      <w:r w:rsidR="003145E7" w:rsidRPr="003145E7">
        <w:t xml:space="preserve"> </w:t>
      </w:r>
      <w:r w:rsidR="003145E7">
        <w:t xml:space="preserve">We received submissions from Origin Energy and the AER's Consumer Challenge Panel (CCP11), which highlighted the differences between Frontier's and AEMO's GPG forecasts, and the need </w:t>
      </w:r>
      <w:r w:rsidR="00904D37">
        <w:t xml:space="preserve">to </w:t>
      </w:r>
      <w:r w:rsidR="003145E7">
        <w:t>have regard to the latest available information.</w:t>
      </w:r>
      <w:r w:rsidR="003145E7">
        <w:rPr>
          <w:rStyle w:val="FootnoteReference"/>
        </w:rPr>
        <w:footnoteReference w:id="40"/>
      </w:r>
      <w:r w:rsidR="00B41938" w:rsidRPr="00B41938">
        <w:t xml:space="preserve"> </w:t>
      </w:r>
      <w:r w:rsidR="00B41938">
        <w:t>AEMO also notes that there have been some material changes in recent months impacting on GPG forecasts.</w:t>
      </w:r>
      <w:r w:rsidR="00B41938">
        <w:rPr>
          <w:rStyle w:val="FootnoteReference"/>
        </w:rPr>
        <w:footnoteReference w:id="41"/>
      </w:r>
    </w:p>
    <w:p w:rsidR="007345C6" w:rsidRDefault="000A0D32" w:rsidP="00DC3F57">
      <w:r>
        <w:t>We have considered ACIL Allen's view that several factors are likely to limit the role of GPG in providing electricity supply in the short term.</w:t>
      </w:r>
      <w:r w:rsidRPr="00E868B6">
        <w:t xml:space="preserve"> These </w:t>
      </w:r>
      <w:r>
        <w:t xml:space="preserve">factors </w:t>
      </w:r>
      <w:r w:rsidRPr="00E868B6">
        <w:t xml:space="preserve">include increasing levels of renewable energy supported by the </w:t>
      </w:r>
      <w:r>
        <w:t>L</w:t>
      </w:r>
      <w:r w:rsidRPr="00E868B6">
        <w:t>RET and VRET schemes</w:t>
      </w:r>
      <w:r>
        <w:t>,</w:t>
      </w:r>
      <w:r w:rsidRPr="00E868B6">
        <w:t xml:space="preserve"> constrained gas supply and </w:t>
      </w:r>
      <w:r>
        <w:t>resulting</w:t>
      </w:r>
      <w:r w:rsidRPr="00E868B6">
        <w:t xml:space="preserve"> rising gas prices, with the prospect of significant declines in gas production from the Bass Strait region within the next five years.</w:t>
      </w:r>
      <w:r>
        <w:t xml:space="preserve"> ACIL Allen is also of the view that recent initiatives by the Australian Government aimed at bolstering domestic gas supply are unlikely to result in a return to low-cost gas that supports growth in GPG consumption.</w:t>
      </w:r>
      <w:r>
        <w:rPr>
          <w:rStyle w:val="FootnoteReference"/>
        </w:rPr>
        <w:footnoteReference w:id="42"/>
      </w:r>
    </w:p>
    <w:p w:rsidR="00D81739" w:rsidRDefault="000A0D32" w:rsidP="00DC3F57">
      <w:r>
        <w:t xml:space="preserve">For these reasons, on all of the information before us </w:t>
      </w:r>
      <w:r w:rsidR="00904D37">
        <w:t xml:space="preserve">and </w:t>
      </w:r>
      <w:r>
        <w:t xml:space="preserve">particularly in light of the current uncertainty in the national energy market and high likelihood of variability in GPG volumes, we are satisfied that APA's forecast of GPG demand is </w:t>
      </w:r>
      <w:r w:rsidR="00025802">
        <w:t xml:space="preserve">arrived at on a </w:t>
      </w:r>
      <w:r>
        <w:t xml:space="preserve">reasonable </w:t>
      </w:r>
      <w:r w:rsidR="00025802">
        <w:t xml:space="preserve">basis </w:t>
      </w:r>
      <w:r>
        <w:t>and represents the best possible forecast in the circumstances.</w:t>
      </w:r>
      <w:r w:rsidR="005D3026">
        <w:t xml:space="preserve"> </w:t>
      </w:r>
    </w:p>
    <w:p w:rsidR="00DC3F57" w:rsidRPr="00DC3F57" w:rsidRDefault="00DC3F57" w:rsidP="003B6510">
      <w:pPr>
        <w:pStyle w:val="Heading3"/>
        <w:ind w:left="720"/>
      </w:pPr>
      <w:bookmarkStart w:id="90" w:name="_Ref483931447"/>
      <w:bookmarkStart w:id="91" w:name="_Toc486855658"/>
      <w:r>
        <w:t xml:space="preserve">Demand forecasts </w:t>
      </w:r>
      <w:r w:rsidR="00E63D70">
        <w:t>for</w:t>
      </w:r>
      <w:r>
        <w:t xml:space="preserve"> interstate transfers</w:t>
      </w:r>
      <w:bookmarkEnd w:id="90"/>
      <w:bookmarkEnd w:id="91"/>
    </w:p>
    <w:p w:rsidR="000A0D32" w:rsidRDefault="000A0D32" w:rsidP="000A0D32">
      <w:r>
        <w:t xml:space="preserve">We are satisfied that APA's forecast of interstate transfers of 29.6 PJ/year over the 2018–22 access arrangement period is </w:t>
      </w:r>
      <w:r w:rsidR="00025802">
        <w:t xml:space="preserve">arrived at on a </w:t>
      </w:r>
      <w:r>
        <w:t xml:space="preserve">reasonable </w:t>
      </w:r>
      <w:r w:rsidR="00025802">
        <w:t xml:space="preserve">basis </w:t>
      </w:r>
      <w:r>
        <w:t xml:space="preserve">and represents the best possible forecast in the circumstances. </w:t>
      </w:r>
    </w:p>
    <w:p w:rsidR="000A0D32" w:rsidRDefault="000A0D32" w:rsidP="000A0D32">
      <w:r>
        <w:t>In the final decision for the 2013-17 VTS access arrangement, we accepted APA's assumption that zero PJ/year of gas export out of VicHub was appropriate due to the revenue effects being small and difficult to forecast.</w:t>
      </w:r>
      <w:r>
        <w:rPr>
          <w:rStyle w:val="FootnoteReference"/>
        </w:rPr>
        <w:footnoteReference w:id="43"/>
      </w:r>
      <w:r>
        <w:t xml:space="preserve"> APA has now submitted that it expects flows out of the VTS at VicHub to be approximately 2 PJ/year, corresponding with 2016 volumes.</w:t>
      </w:r>
      <w:r>
        <w:rPr>
          <w:rStyle w:val="FootnoteReference"/>
        </w:rPr>
        <w:footnoteReference w:id="44"/>
      </w:r>
      <w:r>
        <w:t xml:space="preserve"> Consistent with ACIL Allen's assessment we are satisfied that APA's forecast of flows through VicHub is reasonable.</w:t>
      </w:r>
      <w:r>
        <w:rPr>
          <w:rStyle w:val="FootnoteReference"/>
        </w:rPr>
        <w:footnoteReference w:id="45"/>
      </w:r>
    </w:p>
    <w:p w:rsidR="000A0D32" w:rsidRDefault="000A0D32" w:rsidP="000A0D32">
      <w:r>
        <w:t xml:space="preserve">APA's forecast for withdrawals at Culcairn is based on an expected total annual of 29.6 PJ/year. This consists </w:t>
      </w:r>
      <w:r w:rsidR="00583781">
        <w:t xml:space="preserve">of </w:t>
      </w:r>
      <w:r>
        <w:t xml:space="preserve">a base level of existing demand (7.3PJ/year) and an expected average utilisation across all shippers contributing to incremental demand (22.3PJ/year) once the Victorian Northern </w:t>
      </w:r>
      <w:r w:rsidRPr="007F10E8">
        <w:t xml:space="preserve">Interconnect Expansion </w:t>
      </w:r>
      <w:r>
        <w:t>is completed in 2017.</w:t>
      </w:r>
      <w:r>
        <w:rPr>
          <w:rStyle w:val="FootnoteReference"/>
        </w:rPr>
        <w:footnoteReference w:id="46"/>
      </w:r>
      <w:r w:rsidRPr="00665B80">
        <w:t xml:space="preserve"> </w:t>
      </w:r>
      <w:r w:rsidRPr="00557E80">
        <w:t xml:space="preserve">APA </w:t>
      </w:r>
      <w:r>
        <w:t xml:space="preserve">submitted that it </w:t>
      </w:r>
      <w:r w:rsidRPr="00557E80">
        <w:t>expects the average utilisation of the incremental Culcairn capacity to be approximately 40</w:t>
      </w:r>
      <w:r>
        <w:t xml:space="preserve"> per cent</w:t>
      </w:r>
      <w:r w:rsidRPr="00557E80">
        <w:t>, consistent with the average utilisation of incremental capacity across 2015 and 2016.</w:t>
      </w:r>
    </w:p>
    <w:p w:rsidR="000A0D32" w:rsidRDefault="000A0D32" w:rsidP="000A0D32">
      <w:r w:rsidRPr="006C2B48">
        <w:t xml:space="preserve">Origin Energy </w:t>
      </w:r>
      <w:r>
        <w:t>submitted</w:t>
      </w:r>
      <w:r w:rsidRPr="006C2B48">
        <w:t xml:space="preserve"> that APA</w:t>
      </w:r>
      <w:r>
        <w:t xml:space="preserve">'s </w:t>
      </w:r>
      <w:r w:rsidRPr="006C2B48">
        <w:t xml:space="preserve">forecast of average daily withdrawals of </w:t>
      </w:r>
      <w:r>
        <w:t xml:space="preserve">approximately </w:t>
      </w:r>
      <w:r w:rsidRPr="006C2B48">
        <w:t>80 TJ/day</w:t>
      </w:r>
      <w:r>
        <w:t xml:space="preserve"> (29.6 PJ/year)</w:t>
      </w:r>
      <w:r w:rsidRPr="006C2B48">
        <w:t xml:space="preserve"> at Culcairn appear</w:t>
      </w:r>
      <w:r>
        <w:t xml:space="preserve">s </w:t>
      </w:r>
      <w:r w:rsidRPr="006C2B48">
        <w:t>understated.</w:t>
      </w:r>
      <w:r>
        <w:rPr>
          <w:rStyle w:val="FootnoteReference"/>
        </w:rPr>
        <w:footnoteReference w:id="47"/>
      </w:r>
      <w:r w:rsidRPr="006C2B48">
        <w:t xml:space="preserve"> Origin Energy pointed out that Culcairn withdrawals over the first two months of 2017 </w:t>
      </w:r>
      <w:r>
        <w:t xml:space="preserve">have </w:t>
      </w:r>
      <w:r w:rsidRPr="006C2B48">
        <w:t>averaged 97 TJ/day, at a time when the maximum withdrawal capacity was only 148 TJ/day. Origin Energy expect</w:t>
      </w:r>
      <w:r>
        <w:t xml:space="preserve">ed </w:t>
      </w:r>
      <w:r w:rsidRPr="006C2B48">
        <w:t xml:space="preserve">average flows through Culcairn into New South Wales to </w:t>
      </w:r>
      <w:r>
        <w:t xml:space="preserve">increase further once </w:t>
      </w:r>
      <w:r w:rsidRPr="006C2B48">
        <w:t>the full capacity of the NSW–Victoria</w:t>
      </w:r>
      <w:r>
        <w:t xml:space="preserve"> Interconnect is made available</w:t>
      </w:r>
      <w:r w:rsidRPr="006C2B48">
        <w:t>.</w:t>
      </w:r>
    </w:p>
    <w:p w:rsidR="00025802" w:rsidRDefault="00025802" w:rsidP="00025802">
      <w:r>
        <w:t>ACIL Allen commented that for Origin's submission of higher demand to eventuate, the utilisation rate of the expanded capacity needs to be higher than 40 per cent. Although ACIL Allen does not discount the possibility of the utilisation rate increasing, such a view is inconsistent with its observation of a general decline in load factors (capacity utilisation) on transmission pipelines across eastern Australia.</w:t>
      </w:r>
      <w:r>
        <w:rPr>
          <w:rStyle w:val="FootnoteReference"/>
        </w:rPr>
        <w:footnoteReference w:id="48"/>
      </w:r>
    </w:p>
    <w:p w:rsidR="0026478C" w:rsidRDefault="00025802" w:rsidP="0026478C">
      <w:r>
        <w:t xml:space="preserve">On review of </w:t>
      </w:r>
      <w:r w:rsidR="0026478C">
        <w:t>all the information relating to</w:t>
      </w:r>
      <w:r w:rsidR="000A0D32">
        <w:t xml:space="preserve"> APA's overall forecast (29.6 PJ/year)</w:t>
      </w:r>
      <w:r>
        <w:t>, we</w:t>
      </w:r>
      <w:r w:rsidR="000A0D32">
        <w:t xml:space="preserve"> are satisfied it is </w:t>
      </w:r>
      <w:r>
        <w:t xml:space="preserve">arrived at on a </w:t>
      </w:r>
      <w:r w:rsidR="000A0D32">
        <w:t xml:space="preserve">reasonable </w:t>
      </w:r>
      <w:r>
        <w:t xml:space="preserve">basis </w:t>
      </w:r>
      <w:r w:rsidR="000A0D32">
        <w:t xml:space="preserve">and represents the best possible forecast in the circumstances. We agree with ACIL Allen that APA's forecast 40 per cent utilisation and associated volume is reasonable, because it is consistent with the observed utilisation of current capacity levels. </w:t>
      </w:r>
    </w:p>
    <w:p w:rsidR="00D5015C" w:rsidRDefault="00D5015C" w:rsidP="0026478C">
      <w:pPr>
        <w:pStyle w:val="Heading2"/>
      </w:pPr>
      <w:bookmarkStart w:id="92" w:name="_Toc486855659"/>
      <w:r>
        <w:t>Revisions</w:t>
      </w:r>
      <w:bookmarkEnd w:id="92"/>
    </w:p>
    <w:p w:rsidR="004F345B" w:rsidRDefault="004F345B" w:rsidP="004F345B">
      <w:r w:rsidRPr="004F345B">
        <w:t>We require the following revisions to make the access arrangement proposal acceptable:</w:t>
      </w:r>
    </w:p>
    <w:tbl>
      <w:tblPr>
        <w:tblStyle w:val="AERtable-text0"/>
        <w:tblW w:w="0" w:type="auto"/>
        <w:tblLook w:val="04A0" w:firstRow="1" w:lastRow="0" w:firstColumn="1" w:lastColumn="0" w:noHBand="0" w:noVBand="1"/>
      </w:tblPr>
      <w:tblGrid>
        <w:gridCol w:w="1809"/>
        <w:gridCol w:w="6884"/>
      </w:tblGrid>
      <w:tr w:rsidR="00B43DF4" w:rsidTr="003B6510">
        <w:trPr>
          <w:cnfStyle w:val="100000000000" w:firstRow="1" w:lastRow="0" w:firstColumn="0" w:lastColumn="0" w:oddVBand="0" w:evenVBand="0" w:oddHBand="0" w:evenHBand="0" w:firstRowFirstColumn="0" w:firstRowLastColumn="0" w:lastRowFirstColumn="0" w:lastRowLastColumn="0"/>
        </w:trPr>
        <w:tc>
          <w:tcPr>
            <w:tcW w:w="1809" w:type="dxa"/>
          </w:tcPr>
          <w:p w:rsidR="00B43DF4" w:rsidRDefault="00B43DF4" w:rsidP="004F345B"/>
        </w:tc>
        <w:tc>
          <w:tcPr>
            <w:tcW w:w="6884" w:type="dxa"/>
          </w:tcPr>
          <w:p w:rsidR="00B43DF4" w:rsidRDefault="00B43DF4" w:rsidP="004F345B"/>
        </w:tc>
      </w:tr>
      <w:tr w:rsidR="00B43DF4" w:rsidTr="003B6510">
        <w:tc>
          <w:tcPr>
            <w:tcW w:w="1809" w:type="dxa"/>
          </w:tcPr>
          <w:p w:rsidR="00B43DF4" w:rsidRDefault="00B43DF4" w:rsidP="004F345B">
            <w:r w:rsidRPr="004F345B">
              <w:t>Revision 13.1</w:t>
            </w:r>
          </w:p>
        </w:tc>
        <w:tc>
          <w:tcPr>
            <w:tcW w:w="6884" w:type="dxa"/>
          </w:tcPr>
          <w:p w:rsidR="00B43DF4" w:rsidRDefault="00B43DF4" w:rsidP="004F345B">
            <w:r w:rsidRPr="004F345B">
              <w:t>Make all necessary revisions to reflect this draft decision, as set out in</w:t>
            </w:r>
            <w:r>
              <w:t xml:space="preserve"> </w:t>
            </w:r>
            <w:r>
              <w:fldChar w:fldCharType="begin"/>
            </w:r>
            <w:r>
              <w:instrText xml:space="preserve"> REF _Ref484079504 \h </w:instrText>
            </w:r>
            <w:r>
              <w:fldChar w:fldCharType="separate"/>
            </w:r>
            <w:r w:rsidR="00E826A6">
              <w:t xml:space="preserve">Table </w:t>
            </w:r>
            <w:r w:rsidR="00E826A6">
              <w:rPr>
                <w:noProof/>
              </w:rPr>
              <w:t>13</w:t>
            </w:r>
            <w:r w:rsidR="00E826A6">
              <w:noBreakHyphen/>
            </w:r>
            <w:r w:rsidR="00E826A6">
              <w:rPr>
                <w:noProof/>
              </w:rPr>
              <w:t>1</w:t>
            </w:r>
            <w:r>
              <w:fldChar w:fldCharType="end"/>
            </w:r>
            <w:r w:rsidRPr="004F345B">
              <w:t>.</w:t>
            </w:r>
          </w:p>
        </w:tc>
      </w:tr>
    </w:tbl>
    <w:p w:rsidR="00B43DF4" w:rsidRPr="004F345B" w:rsidRDefault="00B43DF4" w:rsidP="004F345B"/>
    <w:p w:rsidR="00132D43" w:rsidRPr="00C2773C" w:rsidRDefault="00132D43" w:rsidP="00C2773C"/>
    <w:sectPr w:rsidR="00132D43" w:rsidRPr="00C2773C"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D6" w:rsidRPr="00290C63" w:rsidRDefault="001E1ED6" w:rsidP="00290C63">
      <w:r>
        <w:separator/>
      </w:r>
    </w:p>
    <w:p w:rsidR="001E1ED6" w:rsidRDefault="001E1ED6"/>
  </w:endnote>
  <w:endnote w:type="continuationSeparator" w:id="0">
    <w:p w:rsidR="001E1ED6" w:rsidRPr="00290C63" w:rsidRDefault="001E1ED6" w:rsidP="00290C63">
      <w:r>
        <w:continuationSeparator/>
      </w:r>
    </w:p>
    <w:p w:rsidR="001E1ED6" w:rsidRDefault="001E1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D6" w:rsidRPr="00290C63" w:rsidRDefault="001E1ED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E1ED6" w:rsidRDefault="001E1ED6"/>
  <w:p w:rsidR="001E1ED6" w:rsidRDefault="001E1ED6"/>
  <w:p w:rsidR="001E1ED6" w:rsidRDefault="001E1ED6"/>
  <w:p w:rsidR="001E1ED6" w:rsidRDefault="001E1ED6"/>
  <w:p w:rsidR="001E1ED6" w:rsidRDefault="001E1ED6"/>
  <w:p w:rsidR="001E1ED6" w:rsidRDefault="001E1ED6"/>
  <w:p w:rsidR="001E1ED6" w:rsidRDefault="001E1E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1E1ED6" w:rsidRPr="009B6F84" w:rsidRDefault="001E1ED6">
        <w:pPr>
          <w:pStyle w:val="Footer"/>
          <w:rPr>
            <w:sz w:val="20"/>
          </w:rPr>
        </w:pPr>
        <w:r>
          <w:fldChar w:fldCharType="begin"/>
        </w:r>
        <w:r>
          <w:instrText xml:space="preserve"> PAGE   \* MERGEFORMAT </w:instrText>
        </w:r>
        <w:r>
          <w:fldChar w:fldCharType="separate"/>
        </w:r>
        <w:r w:rsidR="00E826A6">
          <w:rPr>
            <w:noProof/>
          </w:rPr>
          <w:t>13-0</w:t>
        </w:r>
        <w:r>
          <w:rPr>
            <w:noProof/>
          </w:rPr>
          <w:fldChar w:fldCharType="end"/>
        </w:r>
        <w:r>
          <w:rPr>
            <w:noProof/>
          </w:rPr>
          <w:t xml:space="preserve">          </w:t>
        </w:r>
        <w:r>
          <w:t xml:space="preserve">Attachment 13 </w:t>
        </w:r>
        <w:r w:rsidRPr="000474DF">
          <w:t>−</w:t>
        </w:r>
        <w:r>
          <w:t xml:space="preserve"> Demand</w:t>
        </w:r>
        <w:r w:rsidRPr="009B6F84">
          <w:rPr>
            <w:rFonts w:cs="Gautami"/>
            <w:noProof/>
            <w:szCs w:val="16"/>
          </w:rPr>
          <w:t xml:space="preserve"> | </w:t>
        </w:r>
        <w:r>
          <w:t>Draft decision - APA VTS gas access arrangement</w:t>
        </w:r>
        <w:r w:rsidRPr="00D5015C">
          <w:t xml:space="preserve"> 201</w:t>
        </w:r>
        <w:r>
          <w:t>8</w:t>
        </w:r>
        <w:r w:rsidRPr="00D5015C">
          <w:t>–</w:t>
        </w:r>
        <w:r>
          <w:t>22</w:t>
        </w:r>
      </w:p>
    </w:sdtContent>
  </w:sdt>
  <w:p w:rsidR="001E1ED6" w:rsidRDefault="001E1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D6" w:rsidRPr="00290C63" w:rsidRDefault="001E1ED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E1ED6" w:rsidRDefault="001E1ED6">
    <w:pPr>
      <w:pStyle w:val="Footer"/>
    </w:pPr>
  </w:p>
  <w:p w:rsidR="001E1ED6" w:rsidRDefault="001E1ED6"/>
  <w:p w:rsidR="001E1ED6" w:rsidRDefault="001E1ED6"/>
  <w:p w:rsidR="001E1ED6" w:rsidRDefault="001E1ED6"/>
  <w:p w:rsidR="001E1ED6" w:rsidRDefault="001E1ED6"/>
  <w:p w:rsidR="001E1ED6" w:rsidRDefault="001E1ED6"/>
  <w:p w:rsidR="001E1ED6" w:rsidRDefault="001E1ED6"/>
  <w:p w:rsidR="001E1ED6" w:rsidRDefault="001E1E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D6" w:rsidRPr="00290C63" w:rsidRDefault="001E1ED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E1ED6" w:rsidRDefault="001E1ED6"/>
  <w:p w:rsidR="001E1ED6" w:rsidRDefault="001E1ED6"/>
  <w:p w:rsidR="001E1ED6" w:rsidRDefault="001E1ED6"/>
  <w:p w:rsidR="001E1ED6" w:rsidRDefault="001E1ED6"/>
  <w:p w:rsidR="001E1ED6" w:rsidRDefault="001E1ED6"/>
  <w:p w:rsidR="001E1ED6" w:rsidRDefault="001E1ED6"/>
  <w:p w:rsidR="001E1ED6" w:rsidRDefault="001E1ED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E1ED6" w:rsidRPr="009B6F84" w:rsidRDefault="001E1ED6">
        <w:pPr>
          <w:pStyle w:val="Footer"/>
          <w:rPr>
            <w:sz w:val="20"/>
          </w:rPr>
        </w:pPr>
        <w:r>
          <w:fldChar w:fldCharType="begin"/>
        </w:r>
        <w:r>
          <w:instrText xml:space="preserve"> PAGE   \* MERGEFORMAT </w:instrText>
        </w:r>
        <w:r>
          <w:fldChar w:fldCharType="separate"/>
        </w:r>
        <w:r w:rsidR="00E826A6">
          <w:rPr>
            <w:noProof/>
          </w:rPr>
          <w:t>13-3</w:t>
        </w:r>
        <w:r>
          <w:rPr>
            <w:noProof/>
          </w:rPr>
          <w:fldChar w:fldCharType="end"/>
        </w:r>
        <w:r>
          <w:rPr>
            <w:noProof/>
          </w:rPr>
          <w:t xml:space="preserve">          </w:t>
        </w:r>
        <w:r>
          <w:t xml:space="preserve">Attachment 13 </w:t>
        </w:r>
        <w:r w:rsidRPr="000474DF">
          <w:t>−</w:t>
        </w:r>
        <w:r>
          <w:t xml:space="preserve"> Demand</w:t>
        </w:r>
        <w:r w:rsidRPr="00D5015C">
          <w:t xml:space="preserve"> | </w:t>
        </w:r>
        <w:r>
          <w:t>Draft decision - APA VTS gas access arrangement</w:t>
        </w:r>
        <w:r w:rsidRPr="00D5015C">
          <w:t xml:space="preserve"> 201</w:t>
        </w:r>
        <w:r>
          <w:t>8</w:t>
        </w:r>
        <w:r w:rsidRPr="00D5015C">
          <w:t>–</w:t>
        </w:r>
        <w:r>
          <w:t>22</w:t>
        </w:r>
      </w:p>
    </w:sdtContent>
  </w:sdt>
  <w:p w:rsidR="001E1ED6" w:rsidRDefault="001E1E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D6" w:rsidRPr="00290C63" w:rsidRDefault="001E1ED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E1ED6" w:rsidRDefault="001E1ED6">
    <w:pPr>
      <w:pStyle w:val="Footer"/>
    </w:pPr>
  </w:p>
  <w:p w:rsidR="001E1ED6" w:rsidRDefault="001E1ED6"/>
  <w:p w:rsidR="001E1ED6" w:rsidRDefault="001E1ED6"/>
  <w:p w:rsidR="001E1ED6" w:rsidRDefault="001E1ED6"/>
  <w:p w:rsidR="001E1ED6" w:rsidRDefault="001E1ED6"/>
  <w:p w:rsidR="001E1ED6" w:rsidRDefault="001E1ED6"/>
  <w:p w:rsidR="001E1ED6" w:rsidRDefault="001E1ED6"/>
  <w:p w:rsidR="001E1ED6" w:rsidRDefault="001E1E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D6" w:rsidRPr="00290C63" w:rsidRDefault="001E1ED6" w:rsidP="00290C63">
      <w:r>
        <w:separator/>
      </w:r>
    </w:p>
    <w:p w:rsidR="001E1ED6" w:rsidRDefault="001E1ED6"/>
  </w:footnote>
  <w:footnote w:type="continuationSeparator" w:id="0">
    <w:p w:rsidR="001E1ED6" w:rsidRPr="00290C63" w:rsidRDefault="001E1ED6" w:rsidP="00290C63">
      <w:r>
        <w:continuationSeparator/>
      </w:r>
    </w:p>
    <w:p w:rsidR="001E1ED6" w:rsidRDefault="001E1ED6"/>
  </w:footnote>
  <w:footnote w:id="1">
    <w:p w:rsidR="001E1ED6" w:rsidRDefault="001E1ED6">
      <w:pPr>
        <w:pStyle w:val="FootnoteText"/>
      </w:pPr>
      <w:r>
        <w:rPr>
          <w:rStyle w:val="FootnoteReference"/>
        </w:rPr>
        <w:footnoteRef/>
      </w:r>
      <w:r>
        <w:t xml:space="preserve"> </w:t>
      </w:r>
      <w:r>
        <w:tab/>
      </w:r>
      <w:r w:rsidRPr="00243431">
        <w:t>Our draft decisions on APA's capex and opex are set out in Attachments 6 and 7 to this draft decision</w:t>
      </w:r>
      <w:r w:rsidRPr="001E1ED6">
        <w:t xml:space="preserve"> </w:t>
      </w:r>
      <w:r w:rsidRPr="00243431">
        <w:t>respectively.</w:t>
      </w:r>
    </w:p>
  </w:footnote>
  <w:footnote w:id="2">
    <w:p w:rsidR="00E75691" w:rsidRDefault="00E75691">
      <w:pPr>
        <w:pStyle w:val="FootnoteText"/>
      </w:pPr>
      <w:r>
        <w:rPr>
          <w:rStyle w:val="FootnoteReference"/>
        </w:rPr>
        <w:footnoteRef/>
      </w:r>
      <w:r>
        <w:t xml:space="preserve"> </w:t>
      </w:r>
      <w:r>
        <w:tab/>
        <w:t xml:space="preserve">AER, </w:t>
      </w:r>
      <w:r w:rsidRPr="00A8363E">
        <w:rPr>
          <w:rStyle w:val="AERtextitalic"/>
        </w:rPr>
        <w:t>Draft decision  - Australian Gas Networks Victoria and Albury gas access arrangement 2018-22: Attachment 13 - Demand</w:t>
      </w:r>
      <w:r>
        <w:t xml:space="preserve">, July 2017;  AER, </w:t>
      </w:r>
      <w:r w:rsidRPr="00A8363E">
        <w:rPr>
          <w:rStyle w:val="AERtextitalic"/>
        </w:rPr>
        <w:t>Draft decision  - AusNet Services gas access arrangement 2018-22: Attachment 13 - Demand</w:t>
      </w:r>
      <w:r>
        <w:t xml:space="preserve">, July 2017; AER, </w:t>
      </w:r>
      <w:r w:rsidRPr="00A8363E">
        <w:rPr>
          <w:rStyle w:val="AERtextitalic"/>
        </w:rPr>
        <w:t>Draft decision  - Multinet gas access arrangement 2018-22: Attachment 13 - Demand</w:t>
      </w:r>
      <w:r>
        <w:t>, July 2017</w:t>
      </w:r>
    </w:p>
  </w:footnote>
  <w:footnote w:id="3">
    <w:p w:rsidR="001E1ED6" w:rsidRDefault="001E1ED6">
      <w:pPr>
        <w:pStyle w:val="FootnoteText"/>
      </w:pPr>
      <w:r>
        <w:rPr>
          <w:rStyle w:val="FootnoteReference"/>
        </w:rPr>
        <w:footnoteRef/>
      </w:r>
      <w:r>
        <w:t xml:space="preserve"> </w:t>
      </w:r>
      <w:r>
        <w:tab/>
      </w:r>
      <w:r w:rsidRPr="00CF64CC">
        <w:t>NGR, r. 74(2).</w:t>
      </w:r>
    </w:p>
  </w:footnote>
  <w:footnote w:id="4">
    <w:p w:rsidR="001E1ED6" w:rsidRDefault="001E1ED6" w:rsidP="00E557A9">
      <w:pPr>
        <w:pStyle w:val="FootnoteText"/>
      </w:pPr>
      <w:r>
        <w:rPr>
          <w:rStyle w:val="FootnoteReference"/>
        </w:rPr>
        <w:footnoteRef/>
      </w:r>
      <w:r>
        <w:t xml:space="preserve"> </w:t>
      </w:r>
      <w:r>
        <w:tab/>
      </w:r>
      <w:r w:rsidRPr="00CF64CC">
        <w:t>NGR, r. 74(2).</w:t>
      </w:r>
    </w:p>
  </w:footnote>
  <w:footnote w:id="5">
    <w:p w:rsidR="001E1ED6" w:rsidRDefault="001E1ED6">
      <w:pPr>
        <w:pStyle w:val="FootnoteText"/>
      </w:pPr>
      <w:r>
        <w:rPr>
          <w:rStyle w:val="FootnoteReference"/>
        </w:rPr>
        <w:footnoteRef/>
      </w:r>
      <w:r>
        <w:t xml:space="preserve"> </w:t>
      </w:r>
      <w:r>
        <w:tab/>
      </w:r>
      <w:r w:rsidRPr="00536B3F">
        <w:t xml:space="preserve">APA Group, </w:t>
      </w:r>
      <w:r w:rsidRPr="00536B3F">
        <w:rPr>
          <w:rStyle w:val="AERtextitalic"/>
        </w:rPr>
        <w:t>Victorian Transmission System: Access Arrangement Submission</w:t>
      </w:r>
      <w:r>
        <w:t xml:space="preserve">, December 2016, p. </w:t>
      </w:r>
      <w:r w:rsidRPr="00536B3F">
        <w:t>44.</w:t>
      </w:r>
    </w:p>
  </w:footnote>
  <w:footnote w:id="6">
    <w:p w:rsidR="001E1ED6" w:rsidRDefault="001E1ED6">
      <w:pPr>
        <w:pStyle w:val="FootnoteText"/>
      </w:pPr>
      <w:r>
        <w:rPr>
          <w:rStyle w:val="FootnoteReference"/>
        </w:rPr>
        <w:footnoteRef/>
      </w:r>
      <w:r>
        <w:t xml:space="preserve"> </w:t>
      </w:r>
      <w:r>
        <w:tab/>
      </w:r>
      <w:r w:rsidR="00B43DF4" w:rsidRPr="00B43DF4">
        <w:t>APA VTS</w:t>
      </w:r>
      <w:r w:rsidR="00B43DF4">
        <w:t xml:space="preserve">, </w:t>
      </w:r>
      <w:r w:rsidR="00B43DF4" w:rsidRPr="003B6510">
        <w:rPr>
          <w:rStyle w:val="AERtextitalic"/>
        </w:rPr>
        <w:t>V</w:t>
      </w:r>
      <w:r w:rsidR="00B43DF4">
        <w:rPr>
          <w:rStyle w:val="AERtextitalic"/>
        </w:rPr>
        <w:t xml:space="preserve">ictorian </w:t>
      </w:r>
      <w:r w:rsidR="00B43DF4" w:rsidRPr="003B6510">
        <w:rPr>
          <w:rStyle w:val="AERtextitalic"/>
        </w:rPr>
        <w:t>T</w:t>
      </w:r>
      <w:r w:rsidR="00B43DF4">
        <w:rPr>
          <w:rStyle w:val="AERtextitalic"/>
        </w:rPr>
        <w:t xml:space="preserve">ransmission </w:t>
      </w:r>
      <w:r w:rsidR="00B43DF4" w:rsidRPr="003B6510">
        <w:rPr>
          <w:rStyle w:val="AERtextitalic"/>
        </w:rPr>
        <w:t>S</w:t>
      </w:r>
      <w:r w:rsidR="00B43DF4">
        <w:rPr>
          <w:rStyle w:val="AERtextitalic"/>
        </w:rPr>
        <w:t>ystem</w:t>
      </w:r>
      <w:r w:rsidR="00B43DF4" w:rsidRPr="003B6510">
        <w:rPr>
          <w:rStyle w:val="AERtextitalic"/>
        </w:rPr>
        <w:t xml:space="preserve"> Revision Proposal submission</w:t>
      </w:r>
      <w:r w:rsidR="00B43DF4" w:rsidRPr="00B43DF4">
        <w:t xml:space="preserve"> </w:t>
      </w:r>
      <w:r w:rsidR="00B43DF4">
        <w:t>–</w:t>
      </w:r>
      <w:r w:rsidR="00B43DF4" w:rsidRPr="00B43DF4">
        <w:t xml:space="preserve"> </w:t>
      </w:r>
      <w:r w:rsidR="00B43DF4">
        <w:t xml:space="preserve">January </w:t>
      </w:r>
      <w:proofErr w:type="gramStart"/>
      <w:r w:rsidR="00B43DF4">
        <w:t xml:space="preserve">2017 </w:t>
      </w:r>
      <w:r>
        <w:t>,</w:t>
      </w:r>
      <w:proofErr w:type="gramEnd"/>
      <w:r>
        <w:t xml:space="preserve"> pp. 31-44.</w:t>
      </w:r>
    </w:p>
  </w:footnote>
  <w:footnote w:id="7">
    <w:p w:rsidR="001E1ED6" w:rsidRDefault="001E1ED6" w:rsidP="00F83363">
      <w:pPr>
        <w:pStyle w:val="FootnoteText"/>
      </w:pPr>
      <w:r>
        <w:rPr>
          <w:rStyle w:val="FootnoteReference"/>
        </w:rPr>
        <w:footnoteRef/>
      </w:r>
      <w:r>
        <w:t xml:space="preserve"> </w:t>
      </w:r>
      <w:r>
        <w:tab/>
        <w:t>APA considered AEMO's GPG forecast from its 2016 NGFR, but notes that AEMO has assumed a proxy carbon abatement cost in this forecast</w:t>
      </w:r>
      <w:r w:rsidR="00B43DF4">
        <w:t>;</w:t>
      </w:r>
      <w:r w:rsidR="00B43DF4" w:rsidRPr="00B43DF4">
        <w:t xml:space="preserve"> APA VTS</w:t>
      </w:r>
      <w:r w:rsidR="00B43DF4">
        <w:t xml:space="preserve">, </w:t>
      </w:r>
      <w:r w:rsidR="00B43DF4" w:rsidRPr="00A8363E">
        <w:rPr>
          <w:rStyle w:val="AERtextitalic"/>
        </w:rPr>
        <w:t>V</w:t>
      </w:r>
      <w:r w:rsidR="00B43DF4">
        <w:rPr>
          <w:rStyle w:val="AERtextitalic"/>
        </w:rPr>
        <w:t xml:space="preserve">ictorian </w:t>
      </w:r>
      <w:r w:rsidR="00B43DF4" w:rsidRPr="00A8363E">
        <w:rPr>
          <w:rStyle w:val="AERtextitalic"/>
        </w:rPr>
        <w:t>T</w:t>
      </w:r>
      <w:r w:rsidR="00B43DF4">
        <w:rPr>
          <w:rStyle w:val="AERtextitalic"/>
        </w:rPr>
        <w:t xml:space="preserve">ransmission </w:t>
      </w:r>
      <w:r w:rsidR="00B43DF4" w:rsidRPr="00A8363E">
        <w:rPr>
          <w:rStyle w:val="AERtextitalic"/>
        </w:rPr>
        <w:t>S</w:t>
      </w:r>
      <w:r w:rsidR="00B43DF4">
        <w:rPr>
          <w:rStyle w:val="AERtextitalic"/>
        </w:rPr>
        <w:t>ystem</w:t>
      </w:r>
      <w:r w:rsidR="00B43DF4" w:rsidRPr="00A8363E">
        <w:rPr>
          <w:rStyle w:val="AERtextitalic"/>
        </w:rPr>
        <w:t xml:space="preserve"> Revision Proposal submission</w:t>
      </w:r>
      <w:r w:rsidR="00B43DF4" w:rsidRPr="00B43DF4">
        <w:t xml:space="preserve"> </w:t>
      </w:r>
      <w:r w:rsidR="00B43DF4">
        <w:t>–</w:t>
      </w:r>
      <w:r w:rsidR="00B43DF4" w:rsidRPr="00B43DF4">
        <w:t xml:space="preserve"> </w:t>
      </w:r>
      <w:r w:rsidR="00B43DF4">
        <w:t>January 2017</w:t>
      </w:r>
      <w:r>
        <w:t>, pp. 35-43.</w:t>
      </w:r>
    </w:p>
  </w:footnote>
  <w:footnote w:id="8">
    <w:p w:rsidR="001E1ED6" w:rsidRDefault="001E1ED6">
      <w:pPr>
        <w:pStyle w:val="FootnoteText"/>
      </w:pPr>
      <w:r>
        <w:rPr>
          <w:rStyle w:val="FootnoteReference"/>
        </w:rPr>
        <w:footnoteRef/>
      </w:r>
      <w:r>
        <w:t xml:space="preserve"> </w:t>
      </w:r>
      <w:r>
        <w:tab/>
      </w:r>
      <w:r w:rsidR="00B43DF4">
        <w:t xml:space="preserve">APA VTS – </w:t>
      </w:r>
      <w:r w:rsidR="00B43DF4" w:rsidRPr="003B6510">
        <w:rPr>
          <w:rStyle w:val="AERtextitalic"/>
        </w:rPr>
        <w:t xml:space="preserve">Attachment C1 - </w:t>
      </w:r>
      <w:r w:rsidRPr="003B6510">
        <w:rPr>
          <w:rStyle w:val="AERtextitalic"/>
        </w:rPr>
        <w:t>Frontier Economics, Victorian GPG forecasts: a report prepared for APA Group</w:t>
      </w:r>
      <w:r>
        <w:t xml:space="preserve">, </w:t>
      </w:r>
      <w:r w:rsidR="00B43DF4">
        <w:t xml:space="preserve">21 </w:t>
      </w:r>
      <w:r>
        <w:t>December 2016, p. v.</w:t>
      </w:r>
    </w:p>
  </w:footnote>
  <w:footnote w:id="9">
    <w:p w:rsidR="001E1ED6" w:rsidRDefault="001E1ED6" w:rsidP="000A783E">
      <w:pPr>
        <w:pStyle w:val="FootnoteText"/>
      </w:pPr>
      <w:r>
        <w:rPr>
          <w:rStyle w:val="FootnoteReference"/>
        </w:rPr>
        <w:footnoteRef/>
      </w:r>
      <w:r>
        <w:t xml:space="preserve"> </w:t>
      </w:r>
      <w:r>
        <w:tab/>
        <w:t xml:space="preserve">This is consistent with our 2013-17 final decision, and discussed in Section </w:t>
      </w:r>
      <w:r>
        <w:fldChar w:fldCharType="begin"/>
      </w:r>
      <w:r>
        <w:instrText xml:space="preserve"> REF _Ref483931447 \n \h </w:instrText>
      </w:r>
      <w:r>
        <w:fldChar w:fldCharType="separate"/>
      </w:r>
      <w:r w:rsidR="00E826A6">
        <w:t>13.4.7</w:t>
      </w:r>
      <w:r>
        <w:fldChar w:fldCharType="end"/>
      </w:r>
      <w:r>
        <w:t>.</w:t>
      </w:r>
    </w:p>
  </w:footnote>
  <w:footnote w:id="10">
    <w:p w:rsidR="001E1ED6" w:rsidRDefault="001E1ED6">
      <w:pPr>
        <w:pStyle w:val="FootnoteText"/>
      </w:pPr>
      <w:r>
        <w:rPr>
          <w:rStyle w:val="FootnoteReference"/>
        </w:rPr>
        <w:footnoteRef/>
      </w:r>
      <w:r>
        <w:t xml:space="preserve"> </w:t>
      </w:r>
      <w:r>
        <w:tab/>
        <w:t xml:space="preserve">APA Group, Response to information request #1, </w:t>
      </w:r>
      <w:r w:rsidR="001A42DE">
        <w:t xml:space="preserve">22 </w:t>
      </w:r>
      <w:r>
        <w:t>February 2017, p. 6.</w:t>
      </w:r>
    </w:p>
  </w:footnote>
  <w:footnote w:id="11">
    <w:p w:rsidR="001E1ED6" w:rsidRDefault="001E1ED6">
      <w:pPr>
        <w:pStyle w:val="FootnoteText"/>
      </w:pPr>
      <w:r>
        <w:rPr>
          <w:rStyle w:val="FootnoteReference"/>
        </w:rPr>
        <w:footnoteRef/>
      </w:r>
      <w:r>
        <w:t xml:space="preserve"> </w:t>
      </w:r>
      <w:r>
        <w:tab/>
        <w:t xml:space="preserve">APA Group, Response to information request #1, </w:t>
      </w:r>
      <w:r w:rsidR="001A42DE">
        <w:t xml:space="preserve">22 </w:t>
      </w:r>
      <w:r>
        <w:t>February 2017, p. 5.</w:t>
      </w:r>
    </w:p>
  </w:footnote>
  <w:footnote w:id="12">
    <w:p w:rsidR="001E1ED6" w:rsidRDefault="001E1ED6">
      <w:pPr>
        <w:pStyle w:val="FootnoteText"/>
      </w:pPr>
      <w:r>
        <w:rPr>
          <w:rStyle w:val="FootnoteReference"/>
        </w:rPr>
        <w:footnoteRef/>
      </w:r>
      <w:r>
        <w:t xml:space="preserve"> </w:t>
      </w:r>
      <w:r>
        <w:tab/>
      </w:r>
      <w:hyperlink r:id="rId1" w:history="1">
        <w:r w:rsidR="00E75691" w:rsidRPr="003B6510">
          <w:t>APA VTS</w:t>
        </w:r>
        <w:r w:rsidR="00E75691">
          <w:t>,</w:t>
        </w:r>
        <w:r w:rsidR="00E75691" w:rsidRPr="003B6510">
          <w:t xml:space="preserve"> </w:t>
        </w:r>
        <w:r w:rsidR="00E75691" w:rsidRPr="003B6510">
          <w:rPr>
            <w:rStyle w:val="AERtextitalic"/>
          </w:rPr>
          <w:t>Supplement to Initial Access Arrangement Proposal - Business Case for Western Outer Ring Main (WORM) Project</w:t>
        </w:r>
        <w:r w:rsidR="00E75691">
          <w:t>,</w:t>
        </w:r>
        <w:r w:rsidR="00E75691" w:rsidRPr="003B6510">
          <w:t xml:space="preserve"> 20 April 2017</w:t>
        </w:r>
      </w:hyperlink>
      <w:r>
        <w:t>, p. 9.</w:t>
      </w:r>
    </w:p>
  </w:footnote>
  <w:footnote w:id="13">
    <w:p w:rsidR="001E1ED6" w:rsidRDefault="001E1ED6" w:rsidP="00717331">
      <w:pPr>
        <w:pStyle w:val="FootnoteText"/>
      </w:pPr>
      <w:r>
        <w:rPr>
          <w:rStyle w:val="FootnoteReference"/>
        </w:rPr>
        <w:footnoteRef/>
      </w:r>
      <w:r>
        <w:t xml:space="preserve"> </w:t>
      </w:r>
      <w:r>
        <w:tab/>
      </w:r>
      <w:r w:rsidRPr="00CF64CC">
        <w:t>NGR, r. 72(1)(a)(iii).</w:t>
      </w:r>
    </w:p>
  </w:footnote>
  <w:footnote w:id="14">
    <w:p w:rsidR="001E1ED6" w:rsidRDefault="001E1ED6" w:rsidP="00717331">
      <w:pPr>
        <w:pStyle w:val="FootnoteText"/>
      </w:pPr>
      <w:r>
        <w:rPr>
          <w:rStyle w:val="FootnoteReference"/>
        </w:rPr>
        <w:footnoteRef/>
      </w:r>
      <w:r>
        <w:t xml:space="preserve"> </w:t>
      </w:r>
      <w:r>
        <w:tab/>
      </w:r>
      <w:r w:rsidRPr="00CF64CC">
        <w:t>NGR, r. 72(1)(d).</w:t>
      </w:r>
    </w:p>
  </w:footnote>
  <w:footnote w:id="15">
    <w:p w:rsidR="001E1ED6" w:rsidRDefault="001E1ED6" w:rsidP="00717331">
      <w:pPr>
        <w:pStyle w:val="FootnoteText"/>
      </w:pPr>
      <w:r>
        <w:rPr>
          <w:rStyle w:val="FootnoteReference"/>
        </w:rPr>
        <w:footnoteRef/>
      </w:r>
      <w:r>
        <w:t xml:space="preserve"> </w:t>
      </w:r>
      <w:r>
        <w:tab/>
      </w:r>
      <w:r w:rsidRPr="00CF64CC">
        <w:t>NGR, r. 74(2).</w:t>
      </w:r>
    </w:p>
  </w:footnote>
  <w:footnote w:id="16">
    <w:p w:rsidR="001E1ED6" w:rsidRDefault="001E1ED6" w:rsidP="00717331">
      <w:pPr>
        <w:pStyle w:val="FootnoteText"/>
      </w:pPr>
      <w:r>
        <w:rPr>
          <w:rStyle w:val="FootnoteReference"/>
        </w:rPr>
        <w:footnoteRef/>
      </w:r>
      <w:r>
        <w:t xml:space="preserve"> </w:t>
      </w:r>
      <w:r>
        <w:tab/>
      </w:r>
      <w:r w:rsidRPr="00CF64CC">
        <w:t>NGR, r. 74(2).</w:t>
      </w:r>
    </w:p>
  </w:footnote>
  <w:footnote w:id="17">
    <w:p w:rsidR="001E1ED6" w:rsidRDefault="001E1ED6">
      <w:pPr>
        <w:pStyle w:val="FootnoteText"/>
      </w:pPr>
      <w:r>
        <w:rPr>
          <w:rStyle w:val="FootnoteReference"/>
        </w:rPr>
        <w:footnoteRef/>
      </w:r>
      <w:r>
        <w:t xml:space="preserve"> </w:t>
      </w:r>
      <w:r>
        <w:tab/>
      </w:r>
      <w:hyperlink r:id="rId2" w:history="1">
        <w:r w:rsidR="00E75691" w:rsidRPr="003B6510">
          <w:t>APA VTS</w:t>
        </w:r>
        <w:r w:rsidR="00E75691">
          <w:t>,</w:t>
        </w:r>
        <w:r w:rsidR="00E75691" w:rsidRPr="003B6510">
          <w:t xml:space="preserve"> </w:t>
        </w:r>
        <w:r w:rsidR="00E75691" w:rsidRPr="003B6510">
          <w:rPr>
            <w:rStyle w:val="AERtextitalic"/>
          </w:rPr>
          <w:t>VTS Supplementary access arrangement submission revised for Western Outer Ring Main (WORM)</w:t>
        </w:r>
        <w:r w:rsidR="00E75691">
          <w:t>,</w:t>
        </w:r>
        <w:r w:rsidR="00E75691" w:rsidRPr="003B6510">
          <w:t xml:space="preserve"> 15 May 2017</w:t>
        </w:r>
      </w:hyperlink>
      <w:r>
        <w:t>.</w:t>
      </w:r>
    </w:p>
  </w:footnote>
  <w:footnote w:id="18">
    <w:p w:rsidR="001E1ED6" w:rsidRDefault="001E1ED6" w:rsidP="0060289F">
      <w:pPr>
        <w:pStyle w:val="FootnoteText"/>
      </w:pPr>
      <w:r>
        <w:rPr>
          <w:rStyle w:val="FootnoteReference"/>
        </w:rPr>
        <w:footnoteRef/>
      </w:r>
      <w:r>
        <w:t xml:space="preserve"> </w:t>
      </w:r>
      <w:r>
        <w:tab/>
        <w:t xml:space="preserve">AER, </w:t>
      </w:r>
      <w:r w:rsidRPr="003B6510">
        <w:rPr>
          <w:rStyle w:val="AERtextitalic"/>
        </w:rPr>
        <w:t xml:space="preserve">Draft </w:t>
      </w:r>
      <w:proofErr w:type="gramStart"/>
      <w:r w:rsidRPr="003B6510">
        <w:rPr>
          <w:rStyle w:val="AERtextitalic"/>
        </w:rPr>
        <w:t>decision  -</w:t>
      </w:r>
      <w:proofErr w:type="gramEnd"/>
      <w:r w:rsidRPr="003B6510">
        <w:rPr>
          <w:rStyle w:val="AERtextitalic"/>
        </w:rPr>
        <w:t xml:space="preserve"> Australian Gas Networks </w:t>
      </w:r>
      <w:r w:rsidR="00E75691" w:rsidRPr="003B6510">
        <w:rPr>
          <w:rStyle w:val="AERtextitalic"/>
        </w:rPr>
        <w:t xml:space="preserve">Victoria and Albury </w:t>
      </w:r>
      <w:r w:rsidRPr="003B6510">
        <w:rPr>
          <w:rStyle w:val="AERtextitalic"/>
        </w:rPr>
        <w:t>gas access arrangement 2018-22</w:t>
      </w:r>
      <w:r w:rsidR="00E75691" w:rsidRPr="003B6510">
        <w:rPr>
          <w:rStyle w:val="AERtextitalic"/>
        </w:rPr>
        <w:t>: Attachment 13 - Demand</w:t>
      </w:r>
      <w:r>
        <w:t>, Ju</w:t>
      </w:r>
      <w:r w:rsidR="00E75691">
        <w:t>ly</w:t>
      </w:r>
      <w:r>
        <w:t xml:space="preserve"> 2017;  AER, </w:t>
      </w:r>
      <w:r w:rsidRPr="003B6510">
        <w:rPr>
          <w:rStyle w:val="AERtextitalic"/>
        </w:rPr>
        <w:t>Draft decision  - AusNet Services gas access arrangement 2018-22</w:t>
      </w:r>
      <w:r w:rsidR="00E75691" w:rsidRPr="003B6510">
        <w:rPr>
          <w:rStyle w:val="AERtextitalic"/>
        </w:rPr>
        <w:t>: Attachment 13 - Demand</w:t>
      </w:r>
      <w:r>
        <w:t>, Ju</w:t>
      </w:r>
      <w:r w:rsidR="00E75691">
        <w:t>ly</w:t>
      </w:r>
      <w:r>
        <w:t xml:space="preserve"> 2017; AER, </w:t>
      </w:r>
      <w:r w:rsidRPr="003B6510">
        <w:rPr>
          <w:rStyle w:val="AERtextitalic"/>
        </w:rPr>
        <w:t>Draft decision  - Multinet gas access arrangement 2018-22</w:t>
      </w:r>
      <w:r w:rsidR="00E75691" w:rsidRPr="003B6510">
        <w:rPr>
          <w:rStyle w:val="AERtextitalic"/>
        </w:rPr>
        <w:t>: Attachment 13 - Demand</w:t>
      </w:r>
      <w:r>
        <w:t>, Ju</w:t>
      </w:r>
      <w:r w:rsidR="00E75691">
        <w:t>ly</w:t>
      </w:r>
      <w:r>
        <w:t xml:space="preserve"> 2017.</w:t>
      </w:r>
    </w:p>
  </w:footnote>
  <w:footnote w:id="19">
    <w:p w:rsidR="001E1ED6" w:rsidRDefault="001E1ED6" w:rsidP="00FF649F">
      <w:pPr>
        <w:pStyle w:val="FootnoteText"/>
      </w:pPr>
      <w:r>
        <w:rPr>
          <w:rStyle w:val="FootnoteReference"/>
        </w:rPr>
        <w:footnoteRef/>
      </w:r>
      <w:r>
        <w:t xml:space="preserve"> </w:t>
      </w:r>
      <w:r>
        <w:tab/>
        <w:t>NGR, r. 72(1)(a)(iii)(A).</w:t>
      </w:r>
    </w:p>
  </w:footnote>
  <w:footnote w:id="20">
    <w:p w:rsidR="001E1ED6" w:rsidRDefault="001E1ED6" w:rsidP="00FF649F">
      <w:pPr>
        <w:pStyle w:val="FootnoteText"/>
      </w:pPr>
      <w:r>
        <w:rPr>
          <w:rStyle w:val="FootnoteReference"/>
        </w:rPr>
        <w:footnoteRef/>
      </w:r>
      <w:r>
        <w:t xml:space="preserve"> </w:t>
      </w:r>
      <w:r>
        <w:tab/>
        <w:t>NGR, r. 72(1)(a)(iii)(B).</w:t>
      </w:r>
    </w:p>
  </w:footnote>
  <w:footnote w:id="21">
    <w:p w:rsidR="001E1ED6" w:rsidRDefault="001E1ED6" w:rsidP="00FF649F">
      <w:pPr>
        <w:pStyle w:val="FootnoteText"/>
      </w:pPr>
      <w:r>
        <w:rPr>
          <w:rStyle w:val="FootnoteReference"/>
        </w:rPr>
        <w:footnoteRef/>
      </w:r>
      <w:r>
        <w:t xml:space="preserve"> </w:t>
      </w:r>
      <w:r>
        <w:tab/>
        <w:t xml:space="preserve">APA </w:t>
      </w:r>
      <w:r w:rsidR="00E75691">
        <w:t>VTS</w:t>
      </w:r>
      <w:r>
        <w:t xml:space="preserve">, </w:t>
      </w:r>
      <w:r>
        <w:rPr>
          <w:rStyle w:val="AERtextitalic"/>
        </w:rPr>
        <w:t>Victorian Transmission System: Access Arrangement Information</w:t>
      </w:r>
      <w:r>
        <w:t xml:space="preserve">, </w:t>
      </w:r>
      <w:r w:rsidR="00E75691">
        <w:t xml:space="preserve">21 </w:t>
      </w:r>
      <w:r>
        <w:t>December 2016, pp. 13, 15</w:t>
      </w:r>
      <w:r w:rsidR="00E75691">
        <w:t xml:space="preserve">, </w:t>
      </w:r>
      <w:r>
        <w:t>26-28.</w:t>
      </w:r>
    </w:p>
  </w:footnote>
  <w:footnote w:id="22">
    <w:p w:rsidR="001E1ED6" w:rsidRDefault="001E1ED6" w:rsidP="00FF649F">
      <w:pPr>
        <w:pStyle w:val="FootnoteText"/>
      </w:pPr>
      <w:r>
        <w:rPr>
          <w:rStyle w:val="FootnoteReference"/>
        </w:rPr>
        <w:footnoteRef/>
      </w:r>
      <w:r>
        <w:t xml:space="preserve"> </w:t>
      </w:r>
      <w:r>
        <w:tab/>
        <w:t>NGR, r. 72(1)(d).</w:t>
      </w:r>
    </w:p>
  </w:footnote>
  <w:footnote w:id="23">
    <w:p w:rsidR="001E1ED6" w:rsidRDefault="001E1ED6" w:rsidP="00FF649F">
      <w:pPr>
        <w:pStyle w:val="FootnoteText"/>
      </w:pPr>
      <w:r>
        <w:rPr>
          <w:rStyle w:val="FootnoteReference"/>
        </w:rPr>
        <w:footnoteRef/>
      </w:r>
      <w:r>
        <w:t xml:space="preserve"> </w:t>
      </w:r>
      <w:r>
        <w:tab/>
      </w:r>
      <w:hyperlink r:id="rId3" w:history="1">
        <w:r w:rsidR="00E75691" w:rsidRPr="003B6510">
          <w:t>APA VTS</w:t>
        </w:r>
        <w:r w:rsidR="00E75691">
          <w:t>,</w:t>
        </w:r>
        <w:r w:rsidR="00E75691" w:rsidRPr="003B6510">
          <w:t xml:space="preserve"> </w:t>
        </w:r>
        <w:r w:rsidR="00E75691" w:rsidRPr="003B6510">
          <w:rPr>
            <w:rStyle w:val="AERtextitalic"/>
          </w:rPr>
          <w:t>VTS Supplementary access arrangement submission revised for Western Outer Ring Main (WORM)</w:t>
        </w:r>
        <w:r w:rsidR="00E75691">
          <w:t>,</w:t>
        </w:r>
        <w:r w:rsidR="00E75691" w:rsidRPr="003B6510">
          <w:t xml:space="preserve"> 15 May 2017</w:t>
        </w:r>
      </w:hyperlink>
      <w:r>
        <w:t>, pp. 12–13.</w:t>
      </w:r>
    </w:p>
  </w:footnote>
  <w:footnote w:id="24">
    <w:p w:rsidR="001E1ED6" w:rsidRDefault="001E1ED6" w:rsidP="00FF649F">
      <w:pPr>
        <w:pStyle w:val="FootnoteText"/>
      </w:pPr>
      <w:r>
        <w:rPr>
          <w:rStyle w:val="FootnoteReference"/>
        </w:rPr>
        <w:footnoteRef/>
      </w:r>
      <w:r>
        <w:t xml:space="preserve"> </w:t>
      </w:r>
      <w:r>
        <w:tab/>
        <w:t xml:space="preserve">APA Group, Response to information request #12, </w:t>
      </w:r>
      <w:r w:rsidR="001A42DE">
        <w:t xml:space="preserve">29 </w:t>
      </w:r>
      <w:r>
        <w:t>May 2017, pp. 2–4.</w:t>
      </w:r>
    </w:p>
  </w:footnote>
  <w:footnote w:id="25">
    <w:p w:rsidR="001E1ED6" w:rsidRDefault="001E1ED6" w:rsidP="000641D1">
      <w:pPr>
        <w:pStyle w:val="FootnoteText"/>
      </w:pPr>
      <w:r>
        <w:rPr>
          <w:rStyle w:val="FootnoteReference"/>
        </w:rPr>
        <w:footnoteRef/>
      </w:r>
      <w:r>
        <w:t xml:space="preserve"> </w:t>
      </w:r>
      <w:r>
        <w:tab/>
      </w:r>
      <w:r w:rsidR="00E75691">
        <w:t xml:space="preserve">AER, </w:t>
      </w:r>
      <w:r w:rsidR="00E75691" w:rsidRPr="00A8363E">
        <w:rPr>
          <w:rStyle w:val="AERtextitalic"/>
        </w:rPr>
        <w:t>Draft decision  - AusNet Services gas access arrangement 2018-22: Attachment 13 - Demand</w:t>
      </w:r>
      <w:r w:rsidR="00E75691">
        <w:t xml:space="preserve">, July 2017; AER, </w:t>
      </w:r>
      <w:r w:rsidR="00E75691" w:rsidRPr="00A8363E">
        <w:rPr>
          <w:rStyle w:val="AERtextitalic"/>
        </w:rPr>
        <w:t>Draft decision  - Multinet gas access arrangement 2018-22: Attachment 13 - Demand</w:t>
      </w:r>
      <w:r w:rsidR="00E75691">
        <w:t>, July 2017</w:t>
      </w:r>
    </w:p>
  </w:footnote>
  <w:footnote w:id="26">
    <w:p w:rsidR="001E1ED6" w:rsidRDefault="001E1ED6" w:rsidP="000C6BFD">
      <w:pPr>
        <w:pStyle w:val="FootnoteText"/>
      </w:pPr>
      <w:r>
        <w:rPr>
          <w:rStyle w:val="FootnoteReference"/>
        </w:rPr>
        <w:footnoteRef/>
      </w:r>
      <w:r>
        <w:t xml:space="preserve"> </w:t>
      </w:r>
      <w:r>
        <w:tab/>
      </w:r>
      <w:hyperlink r:id="rId4" w:history="1">
        <w:r w:rsidR="00E75691" w:rsidRPr="00A8363E">
          <w:t>APA VTS</w:t>
        </w:r>
        <w:r w:rsidR="00E75691">
          <w:t>,</w:t>
        </w:r>
        <w:r w:rsidR="00E75691" w:rsidRPr="00A8363E">
          <w:t xml:space="preserve"> </w:t>
        </w:r>
        <w:r w:rsidR="00E75691" w:rsidRPr="00A8363E">
          <w:rPr>
            <w:rStyle w:val="AERtextitalic"/>
          </w:rPr>
          <w:t>VTS Supplementary access arrangement submission revised for Western Outer Ring Main (WORM)</w:t>
        </w:r>
        <w:r w:rsidR="00E75691">
          <w:t>,</w:t>
        </w:r>
        <w:r w:rsidR="00E75691" w:rsidRPr="00A8363E">
          <w:t xml:space="preserve"> 15 May 2017</w:t>
        </w:r>
      </w:hyperlink>
      <w:r>
        <w:t>, pp. 10-13.</w:t>
      </w:r>
    </w:p>
  </w:footnote>
  <w:footnote w:id="27">
    <w:p w:rsidR="001E1ED6" w:rsidRDefault="001E1ED6">
      <w:pPr>
        <w:pStyle w:val="FootnoteText"/>
      </w:pPr>
      <w:r>
        <w:rPr>
          <w:rStyle w:val="FootnoteReference"/>
        </w:rPr>
        <w:footnoteRef/>
      </w:r>
      <w:r>
        <w:t xml:space="preserve"> </w:t>
      </w:r>
      <w:r>
        <w:tab/>
      </w:r>
      <w:r w:rsidRPr="000028AF">
        <w:t xml:space="preserve">Consortium of Gas Market Participants, </w:t>
      </w:r>
      <w:r w:rsidR="00E75691">
        <w:t xml:space="preserve">Joint </w:t>
      </w:r>
      <w:r w:rsidR="00E75691">
        <w:rPr>
          <w:rStyle w:val="AERtextitalic"/>
        </w:rPr>
        <w:t>s</w:t>
      </w:r>
      <w:r w:rsidRPr="000D0864">
        <w:rPr>
          <w:rStyle w:val="AERtextitalic"/>
        </w:rPr>
        <w:t xml:space="preserve">ubmission to the Australian Energy Regulator </w:t>
      </w:r>
      <w:r w:rsidR="00E75691">
        <w:rPr>
          <w:rStyle w:val="AERtextitalic"/>
        </w:rPr>
        <w:t xml:space="preserve">- </w:t>
      </w:r>
      <w:r w:rsidRPr="000D0864">
        <w:rPr>
          <w:rStyle w:val="AERtextitalic"/>
        </w:rPr>
        <w:t>APA VTS Access Arrangement 2018-22</w:t>
      </w:r>
      <w:r>
        <w:t xml:space="preserve">, </w:t>
      </w:r>
      <w:r w:rsidR="00E75691">
        <w:t>3 March 2017</w:t>
      </w:r>
      <w:r>
        <w:t>p. 4.</w:t>
      </w:r>
    </w:p>
  </w:footnote>
  <w:footnote w:id="28">
    <w:p w:rsidR="001E1ED6" w:rsidRDefault="001E1ED6">
      <w:pPr>
        <w:pStyle w:val="FootnoteText"/>
      </w:pPr>
      <w:r>
        <w:rPr>
          <w:rStyle w:val="FootnoteReference"/>
        </w:rPr>
        <w:footnoteRef/>
      </w:r>
      <w:r>
        <w:t xml:space="preserve"> </w:t>
      </w:r>
      <w:r>
        <w:tab/>
      </w:r>
      <w:r w:rsidRPr="007B7A68">
        <w:t xml:space="preserve">ACIL Allen, </w:t>
      </w:r>
      <w:r w:rsidRPr="003B6510">
        <w:rPr>
          <w:rStyle w:val="AERtextitalic"/>
        </w:rPr>
        <w:t>Review of demand forecasts for APA VTS</w:t>
      </w:r>
      <w:r w:rsidRPr="007B7A68">
        <w:t xml:space="preserve">, </w:t>
      </w:r>
      <w:r>
        <w:t>June</w:t>
      </w:r>
      <w:r w:rsidRPr="007B7A68">
        <w:t xml:space="preserve"> 2017, </w:t>
      </w:r>
      <w:r>
        <w:t>p</w:t>
      </w:r>
      <w:r w:rsidRPr="007B7A68">
        <w:t>p</w:t>
      </w:r>
      <w:r>
        <w:t>. 25-26.</w:t>
      </w:r>
    </w:p>
  </w:footnote>
  <w:footnote w:id="29">
    <w:p w:rsidR="001E1ED6" w:rsidRDefault="001E1ED6">
      <w:pPr>
        <w:pStyle w:val="FootnoteText"/>
      </w:pPr>
      <w:r>
        <w:rPr>
          <w:rStyle w:val="FootnoteReference"/>
        </w:rPr>
        <w:footnoteRef/>
      </w:r>
      <w:r>
        <w:t xml:space="preserve"> </w:t>
      </w:r>
      <w:r>
        <w:tab/>
        <w:t xml:space="preserve">AEMO, </w:t>
      </w:r>
      <w:r w:rsidRPr="00D262F5">
        <w:rPr>
          <w:rStyle w:val="AERtextitalic"/>
        </w:rPr>
        <w:t xml:space="preserve">APA VTS Access Arrangement 2018–2022 </w:t>
      </w:r>
      <w:r w:rsidR="00E75691">
        <w:rPr>
          <w:rStyle w:val="AERtextitalic"/>
        </w:rPr>
        <w:t>–</w:t>
      </w:r>
      <w:r w:rsidRPr="00D262F5">
        <w:rPr>
          <w:rStyle w:val="AERtextitalic"/>
        </w:rPr>
        <w:t xml:space="preserve"> </w:t>
      </w:r>
      <w:r w:rsidR="00E75691">
        <w:rPr>
          <w:rStyle w:val="AERtextitalic"/>
        </w:rPr>
        <w:t>Western Outer Ring Main</w:t>
      </w:r>
      <w:r>
        <w:t>, 16 May</w:t>
      </w:r>
      <w:r w:rsidRPr="00597A06">
        <w:t xml:space="preserve"> 2017</w:t>
      </w:r>
      <w:r>
        <w:t>, pp. 2-7.</w:t>
      </w:r>
    </w:p>
  </w:footnote>
  <w:footnote w:id="30">
    <w:p w:rsidR="001E1ED6" w:rsidRDefault="001E1ED6" w:rsidP="0033334B">
      <w:pPr>
        <w:pStyle w:val="FootnoteText"/>
      </w:pPr>
      <w:r>
        <w:rPr>
          <w:rStyle w:val="FootnoteReference"/>
        </w:rPr>
        <w:footnoteRef/>
      </w:r>
      <w:r>
        <w:t xml:space="preserve"> </w:t>
      </w:r>
      <w:r>
        <w:tab/>
        <w:t>NGR, r. 74(2).</w:t>
      </w:r>
    </w:p>
  </w:footnote>
  <w:footnote w:id="31">
    <w:p w:rsidR="001E1ED6" w:rsidRDefault="001E1ED6" w:rsidP="0033334B">
      <w:pPr>
        <w:pStyle w:val="FootnoteText"/>
      </w:pPr>
      <w:r>
        <w:rPr>
          <w:rStyle w:val="FootnoteReference"/>
        </w:rPr>
        <w:footnoteRef/>
      </w:r>
      <w:r>
        <w:t xml:space="preserve"> </w:t>
      </w:r>
      <w:r>
        <w:tab/>
        <w:t>NGR, r. 74(2).</w:t>
      </w:r>
    </w:p>
  </w:footnote>
  <w:footnote w:id="32">
    <w:p w:rsidR="001E1ED6" w:rsidRDefault="001E1ED6">
      <w:pPr>
        <w:pStyle w:val="FootnoteText"/>
      </w:pPr>
      <w:r>
        <w:rPr>
          <w:rStyle w:val="FootnoteReference"/>
        </w:rPr>
        <w:footnoteRef/>
      </w:r>
      <w:r>
        <w:t xml:space="preserve"> </w:t>
      </w:r>
      <w:r>
        <w:tab/>
      </w:r>
      <w:r w:rsidRPr="007B7A68">
        <w:t xml:space="preserve">ACIL Allen, </w:t>
      </w:r>
      <w:r w:rsidRPr="003B6510">
        <w:rPr>
          <w:rStyle w:val="AERtextitalic"/>
        </w:rPr>
        <w:t>Review of demand forecasts for APA VTS</w:t>
      </w:r>
      <w:r w:rsidRPr="007B7A68">
        <w:t xml:space="preserve">, </w:t>
      </w:r>
      <w:r>
        <w:t>June</w:t>
      </w:r>
      <w:r w:rsidRPr="007B7A68">
        <w:t xml:space="preserve"> 2017, p</w:t>
      </w:r>
      <w:r>
        <w:t>.12–13.</w:t>
      </w:r>
    </w:p>
  </w:footnote>
  <w:footnote w:id="33">
    <w:p w:rsidR="001E1ED6" w:rsidRDefault="001E1ED6" w:rsidP="000A0D32">
      <w:pPr>
        <w:pStyle w:val="FootnoteText"/>
      </w:pPr>
      <w:r>
        <w:rPr>
          <w:rStyle w:val="FootnoteReference"/>
        </w:rPr>
        <w:footnoteRef/>
      </w:r>
      <w:r>
        <w:t xml:space="preserve"> </w:t>
      </w:r>
      <w:r>
        <w:tab/>
        <w:t>NGR, r. 74(2).</w:t>
      </w:r>
    </w:p>
  </w:footnote>
  <w:footnote w:id="34">
    <w:p w:rsidR="001E1ED6" w:rsidRDefault="001E1ED6" w:rsidP="000A0D32">
      <w:pPr>
        <w:pStyle w:val="FootnoteText"/>
      </w:pPr>
      <w:r>
        <w:rPr>
          <w:rStyle w:val="FootnoteReference"/>
        </w:rPr>
        <w:footnoteRef/>
      </w:r>
      <w:r>
        <w:t xml:space="preserve"> </w:t>
      </w:r>
      <w:r>
        <w:tab/>
      </w:r>
      <w:r w:rsidRPr="007B7A68">
        <w:t xml:space="preserve">ACIL Allen, </w:t>
      </w:r>
      <w:r w:rsidRPr="003B6510">
        <w:rPr>
          <w:rStyle w:val="AERtextitalic"/>
        </w:rPr>
        <w:t>Review of demand forecasts for APA VTS</w:t>
      </w:r>
      <w:r w:rsidRPr="007B7A68">
        <w:t xml:space="preserve">, </w:t>
      </w:r>
      <w:r>
        <w:t>June</w:t>
      </w:r>
      <w:r w:rsidRPr="007B7A68">
        <w:t xml:space="preserve"> 2017, p</w:t>
      </w:r>
      <w:r>
        <w:t>. 23.</w:t>
      </w:r>
    </w:p>
  </w:footnote>
  <w:footnote w:id="35">
    <w:p w:rsidR="001E1ED6" w:rsidRDefault="001E1ED6" w:rsidP="000A0D32">
      <w:pPr>
        <w:pStyle w:val="FootnoteText"/>
      </w:pPr>
      <w:r>
        <w:rPr>
          <w:rStyle w:val="FootnoteReference"/>
        </w:rPr>
        <w:footnoteRef/>
      </w:r>
      <w:r>
        <w:t xml:space="preserve"> </w:t>
      </w:r>
      <w:r>
        <w:tab/>
        <w:t xml:space="preserve">The VRET </w:t>
      </w:r>
      <w:r w:rsidRPr="00353956">
        <w:t>scheme is designed to</w:t>
      </w:r>
      <w:r>
        <w:t xml:space="preserve"> d</w:t>
      </w:r>
      <w:r w:rsidRPr="00353956">
        <w:t>eliver up to 1</w:t>
      </w:r>
      <w:r>
        <w:t>,</w:t>
      </w:r>
      <w:r w:rsidRPr="00353956">
        <w:t>500 MW of new large-scale renewable energy capacity by 2020 and up to 5</w:t>
      </w:r>
      <w:r>
        <w:t>,</w:t>
      </w:r>
      <w:r w:rsidRPr="00353956">
        <w:t>400MW by 2025.</w:t>
      </w:r>
    </w:p>
  </w:footnote>
  <w:footnote w:id="36">
    <w:p w:rsidR="001E1ED6" w:rsidRDefault="001E1ED6">
      <w:pPr>
        <w:pStyle w:val="FootnoteText"/>
      </w:pPr>
      <w:r>
        <w:rPr>
          <w:rStyle w:val="FootnoteReference"/>
        </w:rPr>
        <w:footnoteRef/>
      </w:r>
      <w:r>
        <w:t xml:space="preserve"> </w:t>
      </w:r>
      <w:r>
        <w:tab/>
      </w:r>
      <w:r w:rsidR="00E75691">
        <w:t xml:space="preserve">APA VTS – </w:t>
      </w:r>
      <w:r w:rsidR="00E75691" w:rsidRPr="00A8363E">
        <w:rPr>
          <w:rStyle w:val="AERtextitalic"/>
        </w:rPr>
        <w:t xml:space="preserve">Attachment C1 - </w:t>
      </w:r>
      <w:r w:rsidRPr="003B6510">
        <w:rPr>
          <w:rStyle w:val="AERtextitalic"/>
        </w:rPr>
        <w:t>Frontier Economics, Victorian GPG forecasts: a report prepared for APA Group</w:t>
      </w:r>
      <w:r>
        <w:t xml:space="preserve">, </w:t>
      </w:r>
      <w:r w:rsidR="00E75691">
        <w:t xml:space="preserve">21 </w:t>
      </w:r>
      <w:r>
        <w:t>December 2016, p. 2.</w:t>
      </w:r>
    </w:p>
  </w:footnote>
  <w:footnote w:id="37">
    <w:p w:rsidR="001E1ED6" w:rsidRDefault="001E1ED6">
      <w:pPr>
        <w:pStyle w:val="FootnoteText"/>
      </w:pPr>
      <w:r>
        <w:rPr>
          <w:rStyle w:val="FootnoteReference"/>
        </w:rPr>
        <w:footnoteRef/>
      </w:r>
      <w:r>
        <w:t xml:space="preserve"> </w:t>
      </w:r>
      <w:r>
        <w:tab/>
      </w:r>
      <w:r w:rsidRPr="00997395">
        <w:t xml:space="preserve">ACIL Allen, </w:t>
      </w:r>
      <w:r w:rsidRPr="003B6510">
        <w:rPr>
          <w:rStyle w:val="AERtextitalic"/>
        </w:rPr>
        <w:t>Review of demand forecasts for APA VTS</w:t>
      </w:r>
      <w:r w:rsidRPr="00997395">
        <w:t xml:space="preserve">, </w:t>
      </w:r>
      <w:r>
        <w:t>June</w:t>
      </w:r>
      <w:r w:rsidRPr="00997395">
        <w:t xml:space="preserve"> 2017, p</w:t>
      </w:r>
      <w:r>
        <w:t>p</w:t>
      </w:r>
      <w:r w:rsidRPr="00997395">
        <w:t xml:space="preserve">. </w:t>
      </w:r>
      <w:r>
        <w:t>13-23</w:t>
      </w:r>
      <w:r w:rsidRPr="00997395">
        <w:t>.</w:t>
      </w:r>
    </w:p>
  </w:footnote>
  <w:footnote w:id="38">
    <w:p w:rsidR="001E1ED6" w:rsidRDefault="001E1ED6">
      <w:pPr>
        <w:pStyle w:val="FootnoteText"/>
      </w:pPr>
      <w:r>
        <w:rPr>
          <w:rStyle w:val="FootnoteReference"/>
        </w:rPr>
        <w:footnoteRef/>
      </w:r>
      <w:r>
        <w:t xml:space="preserve"> </w:t>
      </w:r>
      <w:r>
        <w:tab/>
      </w:r>
      <w:r w:rsidRPr="005629DF">
        <w:t>Frontier anticipate a spike</w:t>
      </w:r>
      <w:r>
        <w:t xml:space="preserve"> in GPG demand in 2017</w:t>
      </w:r>
      <w:r w:rsidRPr="005629DF">
        <w:t xml:space="preserve"> to around 15 PJ/a, but with a r</w:t>
      </w:r>
      <w:r>
        <w:t>eversion to a little over 5 PJ/year</w:t>
      </w:r>
      <w:r w:rsidRPr="005629DF">
        <w:t xml:space="preserve"> in 20</w:t>
      </w:r>
      <w:r>
        <w:t>18 declining to less than 1 PJ/year</w:t>
      </w:r>
      <w:r w:rsidRPr="005629DF">
        <w:t xml:space="preserve"> by 2021.</w:t>
      </w:r>
      <w:r>
        <w:t xml:space="preserve"> AEMO's 2016 NGFR forecast also indicates an increase in consumption during 2017 and 2018, reverting to low levels by 2020.</w:t>
      </w:r>
    </w:p>
  </w:footnote>
  <w:footnote w:id="39">
    <w:p w:rsidR="001E1ED6" w:rsidRDefault="001E1ED6">
      <w:pPr>
        <w:pStyle w:val="FootnoteText"/>
      </w:pPr>
      <w:r>
        <w:rPr>
          <w:rStyle w:val="FootnoteReference"/>
        </w:rPr>
        <w:footnoteRef/>
      </w:r>
      <w:r>
        <w:t xml:space="preserve"> </w:t>
      </w:r>
      <w:r>
        <w:tab/>
      </w:r>
      <w:r w:rsidRPr="001A3AAD">
        <w:t>AEMO's 2017 VGPR has consumption increasing to 18 to 20PJ/year in 2017 and 2018 respectively</w:t>
      </w:r>
      <w:r>
        <w:t>, remaining at</w:t>
      </w:r>
      <w:r w:rsidRPr="001A3AAD">
        <w:t xml:space="preserve"> around 10PJ/year in 2021. The 2017 VGPR includes dispatch of a hypothetical new open cycle gas turbine (OCGT) to support forecast electricity demand, and has been included for technical planning purposes. ACIL Allen understands that the forecast electricity demand could be met by other means (e.g. hydro or batteries). Further, ACIL Allen's own modelling </w:t>
      </w:r>
      <w:r>
        <w:t xml:space="preserve">does </w:t>
      </w:r>
      <w:r w:rsidRPr="001A3AAD">
        <w:t xml:space="preserve">not indicate any market need or justification for a new OCGT plant within the timeframe covered by the VGPR. ACIL Allen, </w:t>
      </w:r>
      <w:r w:rsidRPr="003B6510">
        <w:rPr>
          <w:rStyle w:val="AERtextitalic"/>
        </w:rPr>
        <w:t>Review of demand forecasts for APA VTS</w:t>
      </w:r>
      <w:r w:rsidRPr="001A3AAD">
        <w:t xml:space="preserve">, </w:t>
      </w:r>
      <w:r w:rsidR="001A42DE">
        <w:t>June</w:t>
      </w:r>
      <w:r w:rsidR="001A42DE" w:rsidRPr="001A3AAD">
        <w:t xml:space="preserve"> </w:t>
      </w:r>
      <w:r w:rsidRPr="001A3AAD">
        <w:t>2017, p</w:t>
      </w:r>
      <w:r>
        <w:t>p</w:t>
      </w:r>
      <w:r w:rsidRPr="001A3AAD">
        <w:t xml:space="preserve">. </w:t>
      </w:r>
      <w:r>
        <w:t>24-25</w:t>
      </w:r>
      <w:r w:rsidRPr="001A3AAD">
        <w:t>.</w:t>
      </w:r>
    </w:p>
  </w:footnote>
  <w:footnote w:id="40">
    <w:p w:rsidR="001E1ED6" w:rsidRDefault="001E1ED6">
      <w:pPr>
        <w:pStyle w:val="FootnoteText"/>
      </w:pPr>
      <w:r>
        <w:rPr>
          <w:rStyle w:val="FootnoteReference"/>
        </w:rPr>
        <w:footnoteRef/>
      </w:r>
      <w:r>
        <w:t xml:space="preserve"> </w:t>
      </w:r>
      <w:r>
        <w:tab/>
        <w:t xml:space="preserve">Origin Energy, </w:t>
      </w:r>
      <w:r w:rsidRPr="003B6510">
        <w:rPr>
          <w:rStyle w:val="AERtextitalic"/>
        </w:rPr>
        <w:t>APA Victorian transmission system access arrangement 2018-22</w:t>
      </w:r>
      <w:r>
        <w:t xml:space="preserve">, </w:t>
      </w:r>
      <w:r w:rsidR="001A42DE">
        <w:t xml:space="preserve">8 </w:t>
      </w:r>
      <w:r>
        <w:t xml:space="preserve">March 2017, p. 2; Consumer Challenge Panel (CCP 11), </w:t>
      </w:r>
      <w:r w:rsidRPr="003B6510">
        <w:rPr>
          <w:rStyle w:val="AERtextitalic"/>
        </w:rPr>
        <w:t>Response to proposal from APA VTS for the 2018-22 access arrangement</w:t>
      </w:r>
      <w:r>
        <w:t xml:space="preserve">, </w:t>
      </w:r>
      <w:r w:rsidR="001A42DE">
        <w:t xml:space="preserve">3 </w:t>
      </w:r>
      <w:r>
        <w:t>March 2017, p. 18.</w:t>
      </w:r>
    </w:p>
  </w:footnote>
  <w:footnote w:id="41">
    <w:p w:rsidR="001E1ED6" w:rsidRDefault="001E1ED6">
      <w:pPr>
        <w:pStyle w:val="FootnoteText"/>
      </w:pPr>
      <w:r>
        <w:rPr>
          <w:rStyle w:val="FootnoteReference"/>
        </w:rPr>
        <w:footnoteRef/>
      </w:r>
      <w:r>
        <w:t xml:space="preserve"> </w:t>
      </w:r>
      <w:r>
        <w:tab/>
        <w:t xml:space="preserve">AEMO, </w:t>
      </w:r>
      <w:r w:rsidRPr="00D262F5">
        <w:rPr>
          <w:rStyle w:val="AERtextitalic"/>
        </w:rPr>
        <w:t xml:space="preserve">APA VTS Access Arrangement 2018–2022 - </w:t>
      </w:r>
      <w:r w:rsidR="001A42DE">
        <w:rPr>
          <w:rStyle w:val="AERtextitalic"/>
        </w:rPr>
        <w:t>–</w:t>
      </w:r>
      <w:r w:rsidR="001A42DE" w:rsidRPr="00D262F5">
        <w:rPr>
          <w:rStyle w:val="AERtextitalic"/>
        </w:rPr>
        <w:t xml:space="preserve"> </w:t>
      </w:r>
      <w:r w:rsidR="001A42DE">
        <w:rPr>
          <w:rStyle w:val="AERtextitalic"/>
        </w:rPr>
        <w:t>Western Outer Ring Main</w:t>
      </w:r>
      <w:proofErr w:type="gramStart"/>
      <w:r w:rsidR="001A42DE">
        <w:rPr>
          <w:rStyle w:val="AERtextitalic"/>
        </w:rPr>
        <w:t>,</w:t>
      </w:r>
      <w:r>
        <w:t>,</w:t>
      </w:r>
      <w:proofErr w:type="gramEnd"/>
      <w:r>
        <w:t xml:space="preserve"> 16 May</w:t>
      </w:r>
      <w:r w:rsidRPr="00597A06">
        <w:t xml:space="preserve"> 2017</w:t>
      </w:r>
      <w:r>
        <w:t>, pp. 2-6.</w:t>
      </w:r>
    </w:p>
  </w:footnote>
  <w:footnote w:id="42">
    <w:p w:rsidR="001E1ED6" w:rsidRDefault="001E1ED6" w:rsidP="000A0D32">
      <w:pPr>
        <w:pStyle w:val="FootnoteText"/>
      </w:pPr>
      <w:r>
        <w:rPr>
          <w:rStyle w:val="FootnoteReference"/>
        </w:rPr>
        <w:footnoteRef/>
      </w:r>
      <w:r>
        <w:t xml:space="preserve"> </w:t>
      </w:r>
      <w:r>
        <w:tab/>
      </w:r>
      <w:r w:rsidRPr="00E868B6">
        <w:t xml:space="preserve">ACIL Allen, </w:t>
      </w:r>
      <w:r w:rsidRPr="003B6510">
        <w:rPr>
          <w:rStyle w:val="AERtextitalic"/>
        </w:rPr>
        <w:t>Review of demand forecasts for APA VTS</w:t>
      </w:r>
      <w:r w:rsidRPr="00E868B6">
        <w:t xml:space="preserve">, </w:t>
      </w:r>
      <w:r>
        <w:t>June</w:t>
      </w:r>
      <w:r w:rsidRPr="00E868B6">
        <w:t xml:space="preserve"> 2017, p. </w:t>
      </w:r>
      <w:r>
        <w:t>23.</w:t>
      </w:r>
    </w:p>
  </w:footnote>
  <w:footnote w:id="43">
    <w:p w:rsidR="001E1ED6" w:rsidRDefault="001E1ED6" w:rsidP="000A0D32">
      <w:pPr>
        <w:pStyle w:val="FootnoteText"/>
      </w:pPr>
      <w:r>
        <w:rPr>
          <w:rStyle w:val="FootnoteReference"/>
        </w:rPr>
        <w:footnoteRef/>
      </w:r>
      <w:r>
        <w:t xml:space="preserve"> </w:t>
      </w:r>
      <w:r>
        <w:tab/>
        <w:t xml:space="preserve">The difficulty was due to uncertainty over in the level and sourcing of the gas at VicHub, which either flowed across the VTS (with users paying cross system tariffs) or are related to injections at Longford, which attract zero tariff.  APA stated that is preferable to ignore possible revenues at VicHub in generating initial tariffs and to account for any actual revenue generated in the annual tariff review process. AER, </w:t>
      </w:r>
      <w:r w:rsidRPr="003B6510">
        <w:rPr>
          <w:rStyle w:val="AERtextitalic"/>
        </w:rPr>
        <w:t>APA GasNet final decision - Part 2_0,</w:t>
      </w:r>
      <w:r>
        <w:t xml:space="preserve"> March 2013, pp. 234-235.</w:t>
      </w:r>
    </w:p>
  </w:footnote>
  <w:footnote w:id="44">
    <w:p w:rsidR="001E1ED6" w:rsidRDefault="001E1ED6" w:rsidP="000A0D32">
      <w:pPr>
        <w:pStyle w:val="FootnoteText"/>
      </w:pPr>
      <w:r>
        <w:rPr>
          <w:rStyle w:val="FootnoteReference"/>
        </w:rPr>
        <w:footnoteRef/>
      </w:r>
      <w:r>
        <w:t xml:space="preserve"> </w:t>
      </w:r>
      <w:r>
        <w:tab/>
        <w:t xml:space="preserve">APA Group, Response to information request #1, </w:t>
      </w:r>
      <w:r w:rsidR="001A42DE">
        <w:t xml:space="preserve">22 </w:t>
      </w:r>
      <w:r>
        <w:t>February 2017, p. 5.</w:t>
      </w:r>
    </w:p>
  </w:footnote>
  <w:footnote w:id="45">
    <w:p w:rsidR="001E1ED6" w:rsidRDefault="001E1ED6" w:rsidP="000A0D32">
      <w:pPr>
        <w:pStyle w:val="FootnoteText"/>
      </w:pPr>
      <w:r>
        <w:rPr>
          <w:rStyle w:val="FootnoteReference"/>
        </w:rPr>
        <w:footnoteRef/>
      </w:r>
      <w:r>
        <w:t xml:space="preserve"> </w:t>
      </w:r>
      <w:r>
        <w:tab/>
      </w:r>
      <w:r w:rsidRPr="007B7A68">
        <w:t xml:space="preserve">ACIL Allen, </w:t>
      </w:r>
      <w:r w:rsidRPr="003B6510">
        <w:rPr>
          <w:rStyle w:val="AERtextitalic"/>
        </w:rPr>
        <w:t>Review of demand forecasts for APA VTS</w:t>
      </w:r>
      <w:r w:rsidRPr="007B7A68">
        <w:t xml:space="preserve">, </w:t>
      </w:r>
      <w:r>
        <w:t>June</w:t>
      </w:r>
      <w:r w:rsidRPr="007B7A68">
        <w:t xml:space="preserve"> 2017, </w:t>
      </w:r>
      <w:r>
        <w:t>p</w:t>
      </w:r>
      <w:r w:rsidRPr="007B7A68">
        <w:t>p</w:t>
      </w:r>
      <w:r>
        <w:t>. 24-26.</w:t>
      </w:r>
    </w:p>
  </w:footnote>
  <w:footnote w:id="46">
    <w:p w:rsidR="001E1ED6" w:rsidRDefault="001E1ED6" w:rsidP="000A0D32">
      <w:pPr>
        <w:pStyle w:val="FootnoteText"/>
      </w:pPr>
      <w:r>
        <w:rPr>
          <w:rStyle w:val="FootnoteReference"/>
        </w:rPr>
        <w:footnoteRef/>
      </w:r>
      <w:r>
        <w:t xml:space="preserve"> </w:t>
      </w:r>
      <w:r>
        <w:tab/>
        <w:t xml:space="preserve">APA Group, Response to information request #1, </w:t>
      </w:r>
      <w:r w:rsidR="001A42DE">
        <w:t xml:space="preserve">22 </w:t>
      </w:r>
      <w:r>
        <w:t>February 2017, p. 6.</w:t>
      </w:r>
    </w:p>
  </w:footnote>
  <w:footnote w:id="47">
    <w:p w:rsidR="001E1ED6" w:rsidRDefault="001E1ED6" w:rsidP="000A0D32">
      <w:pPr>
        <w:pStyle w:val="FootnoteText"/>
      </w:pPr>
      <w:r>
        <w:rPr>
          <w:rStyle w:val="FootnoteReference"/>
        </w:rPr>
        <w:footnoteRef/>
      </w:r>
      <w:r>
        <w:t xml:space="preserve"> </w:t>
      </w:r>
      <w:r>
        <w:tab/>
      </w:r>
      <w:proofErr w:type="gramStart"/>
      <w:r>
        <w:t xml:space="preserve">Origin Energy, </w:t>
      </w:r>
      <w:r w:rsidRPr="003B6510">
        <w:rPr>
          <w:rStyle w:val="AERtextitalic"/>
        </w:rPr>
        <w:t>APA Victorian transmission system access arrangement 2018-22</w:t>
      </w:r>
      <w:r>
        <w:t xml:space="preserve">, </w:t>
      </w:r>
      <w:r w:rsidR="001A42DE">
        <w:t xml:space="preserve">8 </w:t>
      </w:r>
      <w:r>
        <w:t>March 2017, pp. 1-2.</w:t>
      </w:r>
      <w:proofErr w:type="gramEnd"/>
      <w:r>
        <w:t xml:space="preserve">  </w:t>
      </w:r>
    </w:p>
  </w:footnote>
  <w:footnote w:id="48">
    <w:p w:rsidR="001E1ED6" w:rsidRDefault="001E1ED6" w:rsidP="00025802">
      <w:pPr>
        <w:pStyle w:val="FootnoteText"/>
      </w:pPr>
      <w:r>
        <w:rPr>
          <w:rStyle w:val="FootnoteReference"/>
        </w:rPr>
        <w:footnoteRef/>
      </w:r>
      <w:r>
        <w:t xml:space="preserve"> </w:t>
      </w:r>
      <w:r>
        <w:tab/>
      </w:r>
      <w:r w:rsidRPr="007B7A68">
        <w:t xml:space="preserve">ACIL Allen, </w:t>
      </w:r>
      <w:r w:rsidRPr="003B6510">
        <w:rPr>
          <w:rStyle w:val="AERtextitalic"/>
        </w:rPr>
        <w:t>Review of demand forecasts for APA VTS</w:t>
      </w:r>
      <w:r w:rsidRPr="007B7A68">
        <w:t xml:space="preserve">, </w:t>
      </w:r>
      <w:r>
        <w:t>June</w:t>
      </w:r>
      <w:r w:rsidRPr="007B7A68">
        <w:t xml:space="preserve"> 2017, p</w:t>
      </w:r>
      <w:r>
        <w:t>p. 26-27.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D6" w:rsidRDefault="001E1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D46F0E0"/>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NzuI4k9K1yupK+3Ke96AYE15cMsqQOvkyQ7hPzrEIg=" w:saltValue="tnD0jSkfCbV/1ZmoEpgvlA==" w:algorithmName="SHA-256"/>
  <w:defaultTabStop w:val="340"/>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csmith\aer - draft decision - apa vts gas access arrangement - attachment 13 - demand (D2016-00130381).docx"/>
  </w:docVars>
  <w:rsids>
    <w:rsidRoot w:val="00961A4A"/>
    <w:rsid w:val="000051DC"/>
    <w:rsid w:val="0000658F"/>
    <w:rsid w:val="000124F0"/>
    <w:rsid w:val="00012BAF"/>
    <w:rsid w:val="0001507B"/>
    <w:rsid w:val="00015640"/>
    <w:rsid w:val="00020016"/>
    <w:rsid w:val="00021202"/>
    <w:rsid w:val="00021C2B"/>
    <w:rsid w:val="0002498B"/>
    <w:rsid w:val="0002517F"/>
    <w:rsid w:val="00025802"/>
    <w:rsid w:val="000258B0"/>
    <w:rsid w:val="00026187"/>
    <w:rsid w:val="000266FC"/>
    <w:rsid w:val="000273B3"/>
    <w:rsid w:val="00027E2D"/>
    <w:rsid w:val="0003578C"/>
    <w:rsid w:val="0004307C"/>
    <w:rsid w:val="00044DA3"/>
    <w:rsid w:val="000474DF"/>
    <w:rsid w:val="000555DD"/>
    <w:rsid w:val="00055A67"/>
    <w:rsid w:val="00063247"/>
    <w:rsid w:val="000641D1"/>
    <w:rsid w:val="0006624E"/>
    <w:rsid w:val="00070DB5"/>
    <w:rsid w:val="00070F9F"/>
    <w:rsid w:val="0007137B"/>
    <w:rsid w:val="00073B74"/>
    <w:rsid w:val="00076416"/>
    <w:rsid w:val="00077A8A"/>
    <w:rsid w:val="000805A8"/>
    <w:rsid w:val="0008190B"/>
    <w:rsid w:val="00082092"/>
    <w:rsid w:val="000836D9"/>
    <w:rsid w:val="00085663"/>
    <w:rsid w:val="00085EBF"/>
    <w:rsid w:val="00086436"/>
    <w:rsid w:val="00091B15"/>
    <w:rsid w:val="000949F4"/>
    <w:rsid w:val="00095186"/>
    <w:rsid w:val="00097651"/>
    <w:rsid w:val="000A0D32"/>
    <w:rsid w:val="000A0E71"/>
    <w:rsid w:val="000A1C0C"/>
    <w:rsid w:val="000A3020"/>
    <w:rsid w:val="000A3FF2"/>
    <w:rsid w:val="000A4840"/>
    <w:rsid w:val="000A62C1"/>
    <w:rsid w:val="000A6A79"/>
    <w:rsid w:val="000A6C7B"/>
    <w:rsid w:val="000A783E"/>
    <w:rsid w:val="000B0A7B"/>
    <w:rsid w:val="000B1173"/>
    <w:rsid w:val="000B19D7"/>
    <w:rsid w:val="000B33D2"/>
    <w:rsid w:val="000B5827"/>
    <w:rsid w:val="000B7037"/>
    <w:rsid w:val="000C02D1"/>
    <w:rsid w:val="000C0C63"/>
    <w:rsid w:val="000C159C"/>
    <w:rsid w:val="000C2B40"/>
    <w:rsid w:val="000C5255"/>
    <w:rsid w:val="000C6409"/>
    <w:rsid w:val="000C6BFD"/>
    <w:rsid w:val="000C7776"/>
    <w:rsid w:val="000D07A7"/>
    <w:rsid w:val="000D122C"/>
    <w:rsid w:val="000D75B0"/>
    <w:rsid w:val="000E021D"/>
    <w:rsid w:val="000E0DED"/>
    <w:rsid w:val="000E1819"/>
    <w:rsid w:val="000E4821"/>
    <w:rsid w:val="000E4AA9"/>
    <w:rsid w:val="000E6C72"/>
    <w:rsid w:val="000E7F39"/>
    <w:rsid w:val="00100EA2"/>
    <w:rsid w:val="00101AA1"/>
    <w:rsid w:val="00102338"/>
    <w:rsid w:val="001025B9"/>
    <w:rsid w:val="00104566"/>
    <w:rsid w:val="00104FF6"/>
    <w:rsid w:val="001114AA"/>
    <w:rsid w:val="00112684"/>
    <w:rsid w:val="00115743"/>
    <w:rsid w:val="00116EB2"/>
    <w:rsid w:val="0012132C"/>
    <w:rsid w:val="00124609"/>
    <w:rsid w:val="00126A4C"/>
    <w:rsid w:val="001270E3"/>
    <w:rsid w:val="00132D43"/>
    <w:rsid w:val="00133366"/>
    <w:rsid w:val="00133F47"/>
    <w:rsid w:val="00134029"/>
    <w:rsid w:val="001365CD"/>
    <w:rsid w:val="00142C2D"/>
    <w:rsid w:val="00144C96"/>
    <w:rsid w:val="0014573B"/>
    <w:rsid w:val="001463A3"/>
    <w:rsid w:val="0015073A"/>
    <w:rsid w:val="001573E4"/>
    <w:rsid w:val="00160756"/>
    <w:rsid w:val="00161DC8"/>
    <w:rsid w:val="00166760"/>
    <w:rsid w:val="0017154F"/>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630"/>
    <w:rsid w:val="001944AE"/>
    <w:rsid w:val="00194597"/>
    <w:rsid w:val="00194E00"/>
    <w:rsid w:val="0019713A"/>
    <w:rsid w:val="0019745E"/>
    <w:rsid w:val="00197B16"/>
    <w:rsid w:val="001A0288"/>
    <w:rsid w:val="001A3AAD"/>
    <w:rsid w:val="001A42DE"/>
    <w:rsid w:val="001A530D"/>
    <w:rsid w:val="001A5FB3"/>
    <w:rsid w:val="001A7155"/>
    <w:rsid w:val="001B2D67"/>
    <w:rsid w:val="001B45A0"/>
    <w:rsid w:val="001B680E"/>
    <w:rsid w:val="001D055E"/>
    <w:rsid w:val="001D180E"/>
    <w:rsid w:val="001D26FF"/>
    <w:rsid w:val="001D61C0"/>
    <w:rsid w:val="001E1B3F"/>
    <w:rsid w:val="001E1ED6"/>
    <w:rsid w:val="001E397A"/>
    <w:rsid w:val="001E7161"/>
    <w:rsid w:val="001F05A4"/>
    <w:rsid w:val="001F3D4A"/>
    <w:rsid w:val="001F492E"/>
    <w:rsid w:val="001F64EF"/>
    <w:rsid w:val="001F6DA3"/>
    <w:rsid w:val="001F71FF"/>
    <w:rsid w:val="002010BC"/>
    <w:rsid w:val="002016E7"/>
    <w:rsid w:val="00202E03"/>
    <w:rsid w:val="002033B9"/>
    <w:rsid w:val="002043D0"/>
    <w:rsid w:val="0020492C"/>
    <w:rsid w:val="00204EC9"/>
    <w:rsid w:val="00206505"/>
    <w:rsid w:val="00206638"/>
    <w:rsid w:val="0020743F"/>
    <w:rsid w:val="00216C93"/>
    <w:rsid w:val="00223051"/>
    <w:rsid w:val="00224DB9"/>
    <w:rsid w:val="0022569A"/>
    <w:rsid w:val="0023005C"/>
    <w:rsid w:val="00231012"/>
    <w:rsid w:val="00233775"/>
    <w:rsid w:val="00233C62"/>
    <w:rsid w:val="0023414B"/>
    <w:rsid w:val="0023496C"/>
    <w:rsid w:val="002371D9"/>
    <w:rsid w:val="00243431"/>
    <w:rsid w:val="00243635"/>
    <w:rsid w:val="00244C51"/>
    <w:rsid w:val="00246A19"/>
    <w:rsid w:val="00247079"/>
    <w:rsid w:val="00251745"/>
    <w:rsid w:val="002552BA"/>
    <w:rsid w:val="002565D1"/>
    <w:rsid w:val="00260016"/>
    <w:rsid w:val="002606CB"/>
    <w:rsid w:val="00263AC0"/>
    <w:rsid w:val="00264264"/>
    <w:rsid w:val="0026478C"/>
    <w:rsid w:val="0026689B"/>
    <w:rsid w:val="0026772D"/>
    <w:rsid w:val="002730B2"/>
    <w:rsid w:val="00274C7E"/>
    <w:rsid w:val="002777CF"/>
    <w:rsid w:val="002810F2"/>
    <w:rsid w:val="00282983"/>
    <w:rsid w:val="00286874"/>
    <w:rsid w:val="00290C63"/>
    <w:rsid w:val="00291A99"/>
    <w:rsid w:val="00292514"/>
    <w:rsid w:val="00293AA1"/>
    <w:rsid w:val="00293B6D"/>
    <w:rsid w:val="00294B08"/>
    <w:rsid w:val="0029518C"/>
    <w:rsid w:val="002963DD"/>
    <w:rsid w:val="00296B65"/>
    <w:rsid w:val="002A5F0E"/>
    <w:rsid w:val="002A7DEF"/>
    <w:rsid w:val="002B0696"/>
    <w:rsid w:val="002C0222"/>
    <w:rsid w:val="002C1499"/>
    <w:rsid w:val="002C233C"/>
    <w:rsid w:val="002C4488"/>
    <w:rsid w:val="002C517B"/>
    <w:rsid w:val="002C6CC9"/>
    <w:rsid w:val="002D3509"/>
    <w:rsid w:val="002D35ED"/>
    <w:rsid w:val="002D5457"/>
    <w:rsid w:val="002D5BA2"/>
    <w:rsid w:val="002D72E8"/>
    <w:rsid w:val="002D79AD"/>
    <w:rsid w:val="002E01CA"/>
    <w:rsid w:val="002E268F"/>
    <w:rsid w:val="002E2737"/>
    <w:rsid w:val="002E78DD"/>
    <w:rsid w:val="002E7B22"/>
    <w:rsid w:val="002F12EC"/>
    <w:rsid w:val="002F7986"/>
    <w:rsid w:val="00301B40"/>
    <w:rsid w:val="00301C82"/>
    <w:rsid w:val="003029EE"/>
    <w:rsid w:val="00304D38"/>
    <w:rsid w:val="00304FE0"/>
    <w:rsid w:val="00305CC8"/>
    <w:rsid w:val="00307F6D"/>
    <w:rsid w:val="003116FA"/>
    <w:rsid w:val="003145E7"/>
    <w:rsid w:val="00314D83"/>
    <w:rsid w:val="0031571F"/>
    <w:rsid w:val="003177A2"/>
    <w:rsid w:val="00317E02"/>
    <w:rsid w:val="00317FEC"/>
    <w:rsid w:val="003202A0"/>
    <w:rsid w:val="00321A6F"/>
    <w:rsid w:val="00323FBF"/>
    <w:rsid w:val="003271B5"/>
    <w:rsid w:val="00327A1E"/>
    <w:rsid w:val="00327E28"/>
    <w:rsid w:val="00331264"/>
    <w:rsid w:val="003323FF"/>
    <w:rsid w:val="0033334B"/>
    <w:rsid w:val="00334C8D"/>
    <w:rsid w:val="003378BD"/>
    <w:rsid w:val="003424EA"/>
    <w:rsid w:val="00342C2F"/>
    <w:rsid w:val="003436EB"/>
    <w:rsid w:val="00343A18"/>
    <w:rsid w:val="00345744"/>
    <w:rsid w:val="003518B3"/>
    <w:rsid w:val="0035200E"/>
    <w:rsid w:val="00353E79"/>
    <w:rsid w:val="003565FC"/>
    <w:rsid w:val="00363910"/>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0B2A"/>
    <w:rsid w:val="003A371A"/>
    <w:rsid w:val="003A59CD"/>
    <w:rsid w:val="003A61B8"/>
    <w:rsid w:val="003A6B00"/>
    <w:rsid w:val="003B30B2"/>
    <w:rsid w:val="003B484F"/>
    <w:rsid w:val="003B504B"/>
    <w:rsid w:val="003B5179"/>
    <w:rsid w:val="003B6510"/>
    <w:rsid w:val="003B685C"/>
    <w:rsid w:val="003B7FBA"/>
    <w:rsid w:val="003C6537"/>
    <w:rsid w:val="003C6A13"/>
    <w:rsid w:val="003C764A"/>
    <w:rsid w:val="003C78BA"/>
    <w:rsid w:val="003D41F1"/>
    <w:rsid w:val="003D42AB"/>
    <w:rsid w:val="003D5B94"/>
    <w:rsid w:val="003E0D3A"/>
    <w:rsid w:val="003E3AAB"/>
    <w:rsid w:val="003E7B9E"/>
    <w:rsid w:val="003E7FE9"/>
    <w:rsid w:val="003F07D4"/>
    <w:rsid w:val="003F174D"/>
    <w:rsid w:val="003F2329"/>
    <w:rsid w:val="00400FD2"/>
    <w:rsid w:val="00403711"/>
    <w:rsid w:val="00404C52"/>
    <w:rsid w:val="00413A28"/>
    <w:rsid w:val="004156D5"/>
    <w:rsid w:val="00415BA9"/>
    <w:rsid w:val="00415F31"/>
    <w:rsid w:val="0041691D"/>
    <w:rsid w:val="0042000C"/>
    <w:rsid w:val="0042090E"/>
    <w:rsid w:val="00421F27"/>
    <w:rsid w:val="004238D8"/>
    <w:rsid w:val="00423A77"/>
    <w:rsid w:val="004266D9"/>
    <w:rsid w:val="00430AC8"/>
    <w:rsid w:val="004324F4"/>
    <w:rsid w:val="00434544"/>
    <w:rsid w:val="00444FFD"/>
    <w:rsid w:val="00445D43"/>
    <w:rsid w:val="00446CD2"/>
    <w:rsid w:val="00450590"/>
    <w:rsid w:val="004526AF"/>
    <w:rsid w:val="00453062"/>
    <w:rsid w:val="0045777E"/>
    <w:rsid w:val="00465258"/>
    <w:rsid w:val="00471BC6"/>
    <w:rsid w:val="004729FB"/>
    <w:rsid w:val="00476221"/>
    <w:rsid w:val="004766F5"/>
    <w:rsid w:val="00480B4B"/>
    <w:rsid w:val="004838D8"/>
    <w:rsid w:val="00485DC4"/>
    <w:rsid w:val="0048692C"/>
    <w:rsid w:val="00494D04"/>
    <w:rsid w:val="004A40BA"/>
    <w:rsid w:val="004A43D1"/>
    <w:rsid w:val="004A492B"/>
    <w:rsid w:val="004B2B15"/>
    <w:rsid w:val="004B4412"/>
    <w:rsid w:val="004C11F9"/>
    <w:rsid w:val="004C348C"/>
    <w:rsid w:val="004C3858"/>
    <w:rsid w:val="004C462E"/>
    <w:rsid w:val="004C6CA3"/>
    <w:rsid w:val="004C7F5E"/>
    <w:rsid w:val="004D343C"/>
    <w:rsid w:val="004D372A"/>
    <w:rsid w:val="004D38BB"/>
    <w:rsid w:val="004D49C5"/>
    <w:rsid w:val="004D55BA"/>
    <w:rsid w:val="004D720C"/>
    <w:rsid w:val="004E0FA7"/>
    <w:rsid w:val="004E22EC"/>
    <w:rsid w:val="004E4327"/>
    <w:rsid w:val="004F0BFA"/>
    <w:rsid w:val="004F13DA"/>
    <w:rsid w:val="004F345B"/>
    <w:rsid w:val="004F47AB"/>
    <w:rsid w:val="004F4D69"/>
    <w:rsid w:val="004F6883"/>
    <w:rsid w:val="004F6A0E"/>
    <w:rsid w:val="004F6BB3"/>
    <w:rsid w:val="005009CD"/>
    <w:rsid w:val="0050231E"/>
    <w:rsid w:val="00504E5F"/>
    <w:rsid w:val="0051337E"/>
    <w:rsid w:val="00513FA7"/>
    <w:rsid w:val="0051768F"/>
    <w:rsid w:val="00522DC2"/>
    <w:rsid w:val="00530128"/>
    <w:rsid w:val="00532467"/>
    <w:rsid w:val="005332A9"/>
    <w:rsid w:val="0053603C"/>
    <w:rsid w:val="00536B3F"/>
    <w:rsid w:val="00537871"/>
    <w:rsid w:val="005404CB"/>
    <w:rsid w:val="00542FE9"/>
    <w:rsid w:val="00543AD6"/>
    <w:rsid w:val="00544598"/>
    <w:rsid w:val="00544C8D"/>
    <w:rsid w:val="00544DFD"/>
    <w:rsid w:val="00551A02"/>
    <w:rsid w:val="0055635D"/>
    <w:rsid w:val="0055639E"/>
    <w:rsid w:val="00556B1E"/>
    <w:rsid w:val="00557E80"/>
    <w:rsid w:val="005626C5"/>
    <w:rsid w:val="005629DF"/>
    <w:rsid w:val="00564A4D"/>
    <w:rsid w:val="00564FC9"/>
    <w:rsid w:val="0056598C"/>
    <w:rsid w:val="00566E0B"/>
    <w:rsid w:val="00567929"/>
    <w:rsid w:val="00567BA5"/>
    <w:rsid w:val="00571B35"/>
    <w:rsid w:val="00571B43"/>
    <w:rsid w:val="00571D57"/>
    <w:rsid w:val="00573A3B"/>
    <w:rsid w:val="00577716"/>
    <w:rsid w:val="00577A09"/>
    <w:rsid w:val="005829C2"/>
    <w:rsid w:val="00583781"/>
    <w:rsid w:val="00584D8F"/>
    <w:rsid w:val="00587A18"/>
    <w:rsid w:val="00587ADE"/>
    <w:rsid w:val="005A0BEC"/>
    <w:rsid w:val="005A404D"/>
    <w:rsid w:val="005B1B70"/>
    <w:rsid w:val="005B1E3C"/>
    <w:rsid w:val="005B6518"/>
    <w:rsid w:val="005B704A"/>
    <w:rsid w:val="005B72D7"/>
    <w:rsid w:val="005C045F"/>
    <w:rsid w:val="005C10FF"/>
    <w:rsid w:val="005C16FE"/>
    <w:rsid w:val="005C1FAB"/>
    <w:rsid w:val="005C21A4"/>
    <w:rsid w:val="005C26CC"/>
    <w:rsid w:val="005C4463"/>
    <w:rsid w:val="005D3026"/>
    <w:rsid w:val="005D3D88"/>
    <w:rsid w:val="005D48C4"/>
    <w:rsid w:val="005D6208"/>
    <w:rsid w:val="005D6366"/>
    <w:rsid w:val="005D72C8"/>
    <w:rsid w:val="005D7BA2"/>
    <w:rsid w:val="005E36C2"/>
    <w:rsid w:val="005E4AF4"/>
    <w:rsid w:val="005F387E"/>
    <w:rsid w:val="0060071D"/>
    <w:rsid w:val="00601E0B"/>
    <w:rsid w:val="0060258B"/>
    <w:rsid w:val="0060289F"/>
    <w:rsid w:val="00610EF9"/>
    <w:rsid w:val="00612F4F"/>
    <w:rsid w:val="006145BA"/>
    <w:rsid w:val="00614EA0"/>
    <w:rsid w:val="00615C6B"/>
    <w:rsid w:val="00617D4C"/>
    <w:rsid w:val="00621DCE"/>
    <w:rsid w:val="00621FC5"/>
    <w:rsid w:val="00623218"/>
    <w:rsid w:val="00624F2C"/>
    <w:rsid w:val="00632D6D"/>
    <w:rsid w:val="00636569"/>
    <w:rsid w:val="00636EF9"/>
    <w:rsid w:val="00642C3E"/>
    <w:rsid w:val="00644A01"/>
    <w:rsid w:val="00645319"/>
    <w:rsid w:val="00646FB5"/>
    <w:rsid w:val="00651E2D"/>
    <w:rsid w:val="00652324"/>
    <w:rsid w:val="006577FB"/>
    <w:rsid w:val="0066104A"/>
    <w:rsid w:val="006612C3"/>
    <w:rsid w:val="00663066"/>
    <w:rsid w:val="00663DAD"/>
    <w:rsid w:val="00664206"/>
    <w:rsid w:val="006649E7"/>
    <w:rsid w:val="00665B80"/>
    <w:rsid w:val="00666634"/>
    <w:rsid w:val="00671500"/>
    <w:rsid w:val="00671692"/>
    <w:rsid w:val="00675E20"/>
    <w:rsid w:val="00676679"/>
    <w:rsid w:val="00683C89"/>
    <w:rsid w:val="0068433E"/>
    <w:rsid w:val="00691B53"/>
    <w:rsid w:val="00697D0B"/>
    <w:rsid w:val="006A12BA"/>
    <w:rsid w:val="006A4739"/>
    <w:rsid w:val="006A66A1"/>
    <w:rsid w:val="006B032D"/>
    <w:rsid w:val="006B2395"/>
    <w:rsid w:val="006B40AC"/>
    <w:rsid w:val="006B4CF9"/>
    <w:rsid w:val="006B5919"/>
    <w:rsid w:val="006B6D37"/>
    <w:rsid w:val="006B797C"/>
    <w:rsid w:val="006B7AC8"/>
    <w:rsid w:val="006C1736"/>
    <w:rsid w:val="006C2B48"/>
    <w:rsid w:val="006C329B"/>
    <w:rsid w:val="006C6303"/>
    <w:rsid w:val="006D3921"/>
    <w:rsid w:val="006D550F"/>
    <w:rsid w:val="006D6146"/>
    <w:rsid w:val="006D7F7E"/>
    <w:rsid w:val="006E0CFF"/>
    <w:rsid w:val="006E78D9"/>
    <w:rsid w:val="006F0D92"/>
    <w:rsid w:val="006F267D"/>
    <w:rsid w:val="006F69DD"/>
    <w:rsid w:val="0070011E"/>
    <w:rsid w:val="00701CAB"/>
    <w:rsid w:val="007023BB"/>
    <w:rsid w:val="00702E0F"/>
    <w:rsid w:val="00703203"/>
    <w:rsid w:val="00704DD7"/>
    <w:rsid w:val="00706002"/>
    <w:rsid w:val="00707563"/>
    <w:rsid w:val="00715F61"/>
    <w:rsid w:val="00717331"/>
    <w:rsid w:val="00722132"/>
    <w:rsid w:val="007228F7"/>
    <w:rsid w:val="0072348C"/>
    <w:rsid w:val="00724A37"/>
    <w:rsid w:val="007303C3"/>
    <w:rsid w:val="00730AF0"/>
    <w:rsid w:val="00731188"/>
    <w:rsid w:val="007345C6"/>
    <w:rsid w:val="0073544B"/>
    <w:rsid w:val="007356CC"/>
    <w:rsid w:val="00735906"/>
    <w:rsid w:val="007368E6"/>
    <w:rsid w:val="007375DF"/>
    <w:rsid w:val="00741073"/>
    <w:rsid w:val="007429BE"/>
    <w:rsid w:val="00743223"/>
    <w:rsid w:val="00743349"/>
    <w:rsid w:val="0074403A"/>
    <w:rsid w:val="00746E01"/>
    <w:rsid w:val="0075022A"/>
    <w:rsid w:val="00751DCD"/>
    <w:rsid w:val="00755084"/>
    <w:rsid w:val="00756F7B"/>
    <w:rsid w:val="00757364"/>
    <w:rsid w:val="00757BDF"/>
    <w:rsid w:val="007609D0"/>
    <w:rsid w:val="00761454"/>
    <w:rsid w:val="0076193D"/>
    <w:rsid w:val="00763E5D"/>
    <w:rsid w:val="00767740"/>
    <w:rsid w:val="00767B5E"/>
    <w:rsid w:val="00775460"/>
    <w:rsid w:val="00777EE6"/>
    <w:rsid w:val="00782177"/>
    <w:rsid w:val="00782EEA"/>
    <w:rsid w:val="00783BF4"/>
    <w:rsid w:val="007909B4"/>
    <w:rsid w:val="00790E86"/>
    <w:rsid w:val="007949D7"/>
    <w:rsid w:val="007A0143"/>
    <w:rsid w:val="007A34C2"/>
    <w:rsid w:val="007A396C"/>
    <w:rsid w:val="007A4B02"/>
    <w:rsid w:val="007B0BE3"/>
    <w:rsid w:val="007B1816"/>
    <w:rsid w:val="007B186E"/>
    <w:rsid w:val="007B25DC"/>
    <w:rsid w:val="007B2C72"/>
    <w:rsid w:val="007B3789"/>
    <w:rsid w:val="007B4E92"/>
    <w:rsid w:val="007B651F"/>
    <w:rsid w:val="007B7BB5"/>
    <w:rsid w:val="007C1C53"/>
    <w:rsid w:val="007C284C"/>
    <w:rsid w:val="007C4B82"/>
    <w:rsid w:val="007C5EB9"/>
    <w:rsid w:val="007C74BB"/>
    <w:rsid w:val="007C7F64"/>
    <w:rsid w:val="007D0A95"/>
    <w:rsid w:val="007D0EB5"/>
    <w:rsid w:val="007D456E"/>
    <w:rsid w:val="007D5837"/>
    <w:rsid w:val="007E4904"/>
    <w:rsid w:val="007E4CB5"/>
    <w:rsid w:val="007E4DAE"/>
    <w:rsid w:val="007E6708"/>
    <w:rsid w:val="007F066B"/>
    <w:rsid w:val="007F10E8"/>
    <w:rsid w:val="007F1E3B"/>
    <w:rsid w:val="007F47DE"/>
    <w:rsid w:val="007F4EAB"/>
    <w:rsid w:val="007F5B16"/>
    <w:rsid w:val="007F7C9D"/>
    <w:rsid w:val="008033C4"/>
    <w:rsid w:val="008062A9"/>
    <w:rsid w:val="00806731"/>
    <w:rsid w:val="00806C88"/>
    <w:rsid w:val="00810300"/>
    <w:rsid w:val="0081034E"/>
    <w:rsid w:val="00810806"/>
    <w:rsid w:val="00815882"/>
    <w:rsid w:val="00820454"/>
    <w:rsid w:val="00822AC7"/>
    <w:rsid w:val="00822E86"/>
    <w:rsid w:val="00830F8F"/>
    <w:rsid w:val="008344F6"/>
    <w:rsid w:val="00834A8B"/>
    <w:rsid w:val="0083510F"/>
    <w:rsid w:val="00837BF3"/>
    <w:rsid w:val="008415DE"/>
    <w:rsid w:val="008420DE"/>
    <w:rsid w:val="00845865"/>
    <w:rsid w:val="0084799B"/>
    <w:rsid w:val="00850C90"/>
    <w:rsid w:val="00851209"/>
    <w:rsid w:val="0085171F"/>
    <w:rsid w:val="00857847"/>
    <w:rsid w:val="008658A1"/>
    <w:rsid w:val="0086716A"/>
    <w:rsid w:val="00870613"/>
    <w:rsid w:val="00871095"/>
    <w:rsid w:val="0087380F"/>
    <w:rsid w:val="0087648F"/>
    <w:rsid w:val="00876612"/>
    <w:rsid w:val="00882BB1"/>
    <w:rsid w:val="008837AC"/>
    <w:rsid w:val="008901BE"/>
    <w:rsid w:val="008909DC"/>
    <w:rsid w:val="00894255"/>
    <w:rsid w:val="008945AD"/>
    <w:rsid w:val="008A0645"/>
    <w:rsid w:val="008A1C02"/>
    <w:rsid w:val="008A370D"/>
    <w:rsid w:val="008A587D"/>
    <w:rsid w:val="008A6DF4"/>
    <w:rsid w:val="008A78EA"/>
    <w:rsid w:val="008B16B0"/>
    <w:rsid w:val="008B1A21"/>
    <w:rsid w:val="008B1BD5"/>
    <w:rsid w:val="008B35CD"/>
    <w:rsid w:val="008B4093"/>
    <w:rsid w:val="008B45CB"/>
    <w:rsid w:val="008B5FCC"/>
    <w:rsid w:val="008B7655"/>
    <w:rsid w:val="008B7F36"/>
    <w:rsid w:val="008C357F"/>
    <w:rsid w:val="008C4222"/>
    <w:rsid w:val="008C5486"/>
    <w:rsid w:val="008D1661"/>
    <w:rsid w:val="008D1F6A"/>
    <w:rsid w:val="008D27E0"/>
    <w:rsid w:val="008D5F90"/>
    <w:rsid w:val="008D6800"/>
    <w:rsid w:val="008D72F1"/>
    <w:rsid w:val="008E4089"/>
    <w:rsid w:val="008E5AFF"/>
    <w:rsid w:val="008E7031"/>
    <w:rsid w:val="008E77DE"/>
    <w:rsid w:val="008F040C"/>
    <w:rsid w:val="008F07A3"/>
    <w:rsid w:val="008F3322"/>
    <w:rsid w:val="008F3519"/>
    <w:rsid w:val="008F3A0D"/>
    <w:rsid w:val="008F73D2"/>
    <w:rsid w:val="009001B6"/>
    <w:rsid w:val="00900E1B"/>
    <w:rsid w:val="00900FE8"/>
    <w:rsid w:val="0090131F"/>
    <w:rsid w:val="00903F35"/>
    <w:rsid w:val="00904D37"/>
    <w:rsid w:val="00907683"/>
    <w:rsid w:val="009132B7"/>
    <w:rsid w:val="00916A2C"/>
    <w:rsid w:val="009233EE"/>
    <w:rsid w:val="009258B0"/>
    <w:rsid w:val="00927885"/>
    <w:rsid w:val="00930B1A"/>
    <w:rsid w:val="00931323"/>
    <w:rsid w:val="00932612"/>
    <w:rsid w:val="009327DC"/>
    <w:rsid w:val="009338D9"/>
    <w:rsid w:val="009339BD"/>
    <w:rsid w:val="009356CF"/>
    <w:rsid w:val="00945E53"/>
    <w:rsid w:val="009460AA"/>
    <w:rsid w:val="00951978"/>
    <w:rsid w:val="00952C8B"/>
    <w:rsid w:val="0095657A"/>
    <w:rsid w:val="00961A4A"/>
    <w:rsid w:val="009661DE"/>
    <w:rsid w:val="0096788C"/>
    <w:rsid w:val="0097117A"/>
    <w:rsid w:val="00972C7C"/>
    <w:rsid w:val="00977128"/>
    <w:rsid w:val="009776F4"/>
    <w:rsid w:val="00982DA2"/>
    <w:rsid w:val="00983C25"/>
    <w:rsid w:val="0098466D"/>
    <w:rsid w:val="00985471"/>
    <w:rsid w:val="009856B7"/>
    <w:rsid w:val="009859D6"/>
    <w:rsid w:val="00985C86"/>
    <w:rsid w:val="00985DFC"/>
    <w:rsid w:val="00986B59"/>
    <w:rsid w:val="00997395"/>
    <w:rsid w:val="009A5FC3"/>
    <w:rsid w:val="009B0877"/>
    <w:rsid w:val="009B6F84"/>
    <w:rsid w:val="009B74B0"/>
    <w:rsid w:val="009C0152"/>
    <w:rsid w:val="009C1A74"/>
    <w:rsid w:val="009C3D42"/>
    <w:rsid w:val="009C491E"/>
    <w:rsid w:val="009D0DF1"/>
    <w:rsid w:val="009D22D6"/>
    <w:rsid w:val="009D2A80"/>
    <w:rsid w:val="009D2C84"/>
    <w:rsid w:val="009D3906"/>
    <w:rsid w:val="009D49AF"/>
    <w:rsid w:val="009D6B46"/>
    <w:rsid w:val="009E19CE"/>
    <w:rsid w:val="009E35B6"/>
    <w:rsid w:val="009E5ABC"/>
    <w:rsid w:val="009F3BBA"/>
    <w:rsid w:val="009F43B4"/>
    <w:rsid w:val="009F4940"/>
    <w:rsid w:val="009F5BA1"/>
    <w:rsid w:val="009F6449"/>
    <w:rsid w:val="00A0072E"/>
    <w:rsid w:val="00A02A88"/>
    <w:rsid w:val="00A04012"/>
    <w:rsid w:val="00A046FA"/>
    <w:rsid w:val="00A0562E"/>
    <w:rsid w:val="00A0726D"/>
    <w:rsid w:val="00A073AE"/>
    <w:rsid w:val="00A12204"/>
    <w:rsid w:val="00A12750"/>
    <w:rsid w:val="00A13CB0"/>
    <w:rsid w:val="00A1561F"/>
    <w:rsid w:val="00A16544"/>
    <w:rsid w:val="00A21A91"/>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0A32"/>
    <w:rsid w:val="00A61048"/>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B7DAD"/>
    <w:rsid w:val="00AC1B2C"/>
    <w:rsid w:val="00AC3264"/>
    <w:rsid w:val="00AC46AD"/>
    <w:rsid w:val="00AC4D2D"/>
    <w:rsid w:val="00AC58EC"/>
    <w:rsid w:val="00AC7282"/>
    <w:rsid w:val="00AC7961"/>
    <w:rsid w:val="00AD314E"/>
    <w:rsid w:val="00AD5FCD"/>
    <w:rsid w:val="00AD6B48"/>
    <w:rsid w:val="00AD7A3A"/>
    <w:rsid w:val="00AE1BF1"/>
    <w:rsid w:val="00AE23AB"/>
    <w:rsid w:val="00AE4DC2"/>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0591B"/>
    <w:rsid w:val="00B07490"/>
    <w:rsid w:val="00B13048"/>
    <w:rsid w:val="00B13883"/>
    <w:rsid w:val="00B1664E"/>
    <w:rsid w:val="00B1716D"/>
    <w:rsid w:val="00B17A1D"/>
    <w:rsid w:val="00B207A0"/>
    <w:rsid w:val="00B21C21"/>
    <w:rsid w:val="00B21E86"/>
    <w:rsid w:val="00B22D30"/>
    <w:rsid w:val="00B22F54"/>
    <w:rsid w:val="00B24A7E"/>
    <w:rsid w:val="00B25C0C"/>
    <w:rsid w:val="00B304B5"/>
    <w:rsid w:val="00B308A9"/>
    <w:rsid w:val="00B31047"/>
    <w:rsid w:val="00B33148"/>
    <w:rsid w:val="00B331B8"/>
    <w:rsid w:val="00B35CDF"/>
    <w:rsid w:val="00B37104"/>
    <w:rsid w:val="00B403C2"/>
    <w:rsid w:val="00B405A1"/>
    <w:rsid w:val="00B418E0"/>
    <w:rsid w:val="00B41938"/>
    <w:rsid w:val="00B43DF4"/>
    <w:rsid w:val="00B4438A"/>
    <w:rsid w:val="00B44AD4"/>
    <w:rsid w:val="00B45AA2"/>
    <w:rsid w:val="00B479CA"/>
    <w:rsid w:val="00B5084F"/>
    <w:rsid w:val="00B50BA3"/>
    <w:rsid w:val="00B514DD"/>
    <w:rsid w:val="00B52AF0"/>
    <w:rsid w:val="00B53D5F"/>
    <w:rsid w:val="00B54051"/>
    <w:rsid w:val="00B561BD"/>
    <w:rsid w:val="00B56859"/>
    <w:rsid w:val="00B56E03"/>
    <w:rsid w:val="00B62765"/>
    <w:rsid w:val="00B64C5E"/>
    <w:rsid w:val="00B65287"/>
    <w:rsid w:val="00B65DF5"/>
    <w:rsid w:val="00B71336"/>
    <w:rsid w:val="00B7679F"/>
    <w:rsid w:val="00B77159"/>
    <w:rsid w:val="00B8080B"/>
    <w:rsid w:val="00B82223"/>
    <w:rsid w:val="00B83814"/>
    <w:rsid w:val="00B86409"/>
    <w:rsid w:val="00B87189"/>
    <w:rsid w:val="00B87BA5"/>
    <w:rsid w:val="00B87C39"/>
    <w:rsid w:val="00B93891"/>
    <w:rsid w:val="00B9562D"/>
    <w:rsid w:val="00BA02AF"/>
    <w:rsid w:val="00BA21DA"/>
    <w:rsid w:val="00BA2B60"/>
    <w:rsid w:val="00BA3C93"/>
    <w:rsid w:val="00BA4665"/>
    <w:rsid w:val="00BA5670"/>
    <w:rsid w:val="00BA56AE"/>
    <w:rsid w:val="00BA7FD7"/>
    <w:rsid w:val="00BB1681"/>
    <w:rsid w:val="00BB2FB2"/>
    <w:rsid w:val="00BB3304"/>
    <w:rsid w:val="00BB6551"/>
    <w:rsid w:val="00BC4A10"/>
    <w:rsid w:val="00BD30F4"/>
    <w:rsid w:val="00BD3446"/>
    <w:rsid w:val="00BD3B93"/>
    <w:rsid w:val="00BD59CF"/>
    <w:rsid w:val="00BE1312"/>
    <w:rsid w:val="00BE1F1B"/>
    <w:rsid w:val="00BE3F89"/>
    <w:rsid w:val="00BE47B5"/>
    <w:rsid w:val="00BE5FCE"/>
    <w:rsid w:val="00BE7A0A"/>
    <w:rsid w:val="00C0079E"/>
    <w:rsid w:val="00C0434E"/>
    <w:rsid w:val="00C04371"/>
    <w:rsid w:val="00C0572A"/>
    <w:rsid w:val="00C05F0E"/>
    <w:rsid w:val="00C13EBD"/>
    <w:rsid w:val="00C1631B"/>
    <w:rsid w:val="00C163AB"/>
    <w:rsid w:val="00C170F0"/>
    <w:rsid w:val="00C25962"/>
    <w:rsid w:val="00C25FA6"/>
    <w:rsid w:val="00C2773C"/>
    <w:rsid w:val="00C3099D"/>
    <w:rsid w:val="00C32B57"/>
    <w:rsid w:val="00C33011"/>
    <w:rsid w:val="00C362C1"/>
    <w:rsid w:val="00C4153C"/>
    <w:rsid w:val="00C41950"/>
    <w:rsid w:val="00C41DB5"/>
    <w:rsid w:val="00C42C3B"/>
    <w:rsid w:val="00C455BD"/>
    <w:rsid w:val="00C45A5A"/>
    <w:rsid w:val="00C51672"/>
    <w:rsid w:val="00C51DF5"/>
    <w:rsid w:val="00C538A9"/>
    <w:rsid w:val="00C53B5A"/>
    <w:rsid w:val="00C53E41"/>
    <w:rsid w:val="00C54909"/>
    <w:rsid w:val="00C54AF3"/>
    <w:rsid w:val="00C54F5A"/>
    <w:rsid w:val="00C569B4"/>
    <w:rsid w:val="00C57DDE"/>
    <w:rsid w:val="00C60B5D"/>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91E27"/>
    <w:rsid w:val="00CA3BE0"/>
    <w:rsid w:val="00CA489E"/>
    <w:rsid w:val="00CB0279"/>
    <w:rsid w:val="00CB17E1"/>
    <w:rsid w:val="00CB666B"/>
    <w:rsid w:val="00CB734B"/>
    <w:rsid w:val="00CB75FD"/>
    <w:rsid w:val="00CC41B6"/>
    <w:rsid w:val="00CC7ADA"/>
    <w:rsid w:val="00CC7F1D"/>
    <w:rsid w:val="00CD0330"/>
    <w:rsid w:val="00CD0A88"/>
    <w:rsid w:val="00CD125D"/>
    <w:rsid w:val="00CD283C"/>
    <w:rsid w:val="00CD3641"/>
    <w:rsid w:val="00CD66EA"/>
    <w:rsid w:val="00CD7432"/>
    <w:rsid w:val="00CE0FA5"/>
    <w:rsid w:val="00CE2A23"/>
    <w:rsid w:val="00CE31C8"/>
    <w:rsid w:val="00CE484B"/>
    <w:rsid w:val="00CE7CBA"/>
    <w:rsid w:val="00CF007D"/>
    <w:rsid w:val="00CF0DEE"/>
    <w:rsid w:val="00CF42AA"/>
    <w:rsid w:val="00CF5EAA"/>
    <w:rsid w:val="00CF6AE3"/>
    <w:rsid w:val="00CF77BB"/>
    <w:rsid w:val="00D006AE"/>
    <w:rsid w:val="00D007A0"/>
    <w:rsid w:val="00D00905"/>
    <w:rsid w:val="00D010C1"/>
    <w:rsid w:val="00D01CF0"/>
    <w:rsid w:val="00D0442A"/>
    <w:rsid w:val="00D12A7B"/>
    <w:rsid w:val="00D12ADB"/>
    <w:rsid w:val="00D15E63"/>
    <w:rsid w:val="00D25A39"/>
    <w:rsid w:val="00D27CFA"/>
    <w:rsid w:val="00D30119"/>
    <w:rsid w:val="00D310FA"/>
    <w:rsid w:val="00D325C6"/>
    <w:rsid w:val="00D34FA7"/>
    <w:rsid w:val="00D37213"/>
    <w:rsid w:val="00D4360D"/>
    <w:rsid w:val="00D43E43"/>
    <w:rsid w:val="00D45480"/>
    <w:rsid w:val="00D5015C"/>
    <w:rsid w:val="00D5607F"/>
    <w:rsid w:val="00D560E3"/>
    <w:rsid w:val="00D5731D"/>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1739"/>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683"/>
    <w:rsid w:val="00DB5074"/>
    <w:rsid w:val="00DB6208"/>
    <w:rsid w:val="00DC0281"/>
    <w:rsid w:val="00DC1930"/>
    <w:rsid w:val="00DC1C76"/>
    <w:rsid w:val="00DC3F57"/>
    <w:rsid w:val="00DC4DBF"/>
    <w:rsid w:val="00DC4E19"/>
    <w:rsid w:val="00DC65FE"/>
    <w:rsid w:val="00DC7981"/>
    <w:rsid w:val="00DD4C07"/>
    <w:rsid w:val="00DD577D"/>
    <w:rsid w:val="00DD5ADC"/>
    <w:rsid w:val="00DE1093"/>
    <w:rsid w:val="00DE4EFA"/>
    <w:rsid w:val="00DE501F"/>
    <w:rsid w:val="00DE5520"/>
    <w:rsid w:val="00DE563D"/>
    <w:rsid w:val="00DE7AB5"/>
    <w:rsid w:val="00DF0152"/>
    <w:rsid w:val="00DF1958"/>
    <w:rsid w:val="00DF2196"/>
    <w:rsid w:val="00E02A6B"/>
    <w:rsid w:val="00E04818"/>
    <w:rsid w:val="00E06442"/>
    <w:rsid w:val="00E06952"/>
    <w:rsid w:val="00E107D5"/>
    <w:rsid w:val="00E11E61"/>
    <w:rsid w:val="00E157B2"/>
    <w:rsid w:val="00E16055"/>
    <w:rsid w:val="00E2332D"/>
    <w:rsid w:val="00E23993"/>
    <w:rsid w:val="00E2574F"/>
    <w:rsid w:val="00E25951"/>
    <w:rsid w:val="00E25B8C"/>
    <w:rsid w:val="00E27396"/>
    <w:rsid w:val="00E31CF6"/>
    <w:rsid w:val="00E34A4A"/>
    <w:rsid w:val="00E35AFC"/>
    <w:rsid w:val="00E41D39"/>
    <w:rsid w:val="00E44470"/>
    <w:rsid w:val="00E507D7"/>
    <w:rsid w:val="00E50A02"/>
    <w:rsid w:val="00E53013"/>
    <w:rsid w:val="00E54106"/>
    <w:rsid w:val="00E54697"/>
    <w:rsid w:val="00E557A9"/>
    <w:rsid w:val="00E56EBA"/>
    <w:rsid w:val="00E57A08"/>
    <w:rsid w:val="00E63631"/>
    <w:rsid w:val="00E63D70"/>
    <w:rsid w:val="00E64C2A"/>
    <w:rsid w:val="00E65C85"/>
    <w:rsid w:val="00E66199"/>
    <w:rsid w:val="00E70526"/>
    <w:rsid w:val="00E754B4"/>
    <w:rsid w:val="00E755EC"/>
    <w:rsid w:val="00E75691"/>
    <w:rsid w:val="00E7624D"/>
    <w:rsid w:val="00E81724"/>
    <w:rsid w:val="00E819A4"/>
    <w:rsid w:val="00E826A6"/>
    <w:rsid w:val="00E833FA"/>
    <w:rsid w:val="00E84B74"/>
    <w:rsid w:val="00E84F21"/>
    <w:rsid w:val="00E868B6"/>
    <w:rsid w:val="00E87066"/>
    <w:rsid w:val="00E966BF"/>
    <w:rsid w:val="00EA0C04"/>
    <w:rsid w:val="00EA3D42"/>
    <w:rsid w:val="00EA6B1B"/>
    <w:rsid w:val="00EB1CBD"/>
    <w:rsid w:val="00EB3A34"/>
    <w:rsid w:val="00EB3C3F"/>
    <w:rsid w:val="00EB5093"/>
    <w:rsid w:val="00EC04F1"/>
    <w:rsid w:val="00EC237F"/>
    <w:rsid w:val="00EC573A"/>
    <w:rsid w:val="00ED3486"/>
    <w:rsid w:val="00ED35C8"/>
    <w:rsid w:val="00ED3968"/>
    <w:rsid w:val="00ED7323"/>
    <w:rsid w:val="00EE243C"/>
    <w:rsid w:val="00EE28F3"/>
    <w:rsid w:val="00EE50D1"/>
    <w:rsid w:val="00EE7614"/>
    <w:rsid w:val="00EF4E13"/>
    <w:rsid w:val="00EF5110"/>
    <w:rsid w:val="00EF5890"/>
    <w:rsid w:val="00EF7664"/>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2373E"/>
    <w:rsid w:val="00F26188"/>
    <w:rsid w:val="00F26B01"/>
    <w:rsid w:val="00F322E9"/>
    <w:rsid w:val="00F3231B"/>
    <w:rsid w:val="00F3360B"/>
    <w:rsid w:val="00F33808"/>
    <w:rsid w:val="00F373A5"/>
    <w:rsid w:val="00F37864"/>
    <w:rsid w:val="00F404F9"/>
    <w:rsid w:val="00F42896"/>
    <w:rsid w:val="00F44B0A"/>
    <w:rsid w:val="00F47559"/>
    <w:rsid w:val="00F50B30"/>
    <w:rsid w:val="00F51F5F"/>
    <w:rsid w:val="00F52D75"/>
    <w:rsid w:val="00F55582"/>
    <w:rsid w:val="00F56B35"/>
    <w:rsid w:val="00F57647"/>
    <w:rsid w:val="00F6128F"/>
    <w:rsid w:val="00F62A14"/>
    <w:rsid w:val="00F644AB"/>
    <w:rsid w:val="00F64C7B"/>
    <w:rsid w:val="00F676DD"/>
    <w:rsid w:val="00F67AB6"/>
    <w:rsid w:val="00F70028"/>
    <w:rsid w:val="00F70434"/>
    <w:rsid w:val="00F75A26"/>
    <w:rsid w:val="00F76706"/>
    <w:rsid w:val="00F77D6D"/>
    <w:rsid w:val="00F80206"/>
    <w:rsid w:val="00F83034"/>
    <w:rsid w:val="00F83363"/>
    <w:rsid w:val="00F83FAD"/>
    <w:rsid w:val="00F844C6"/>
    <w:rsid w:val="00F92FA6"/>
    <w:rsid w:val="00F9353B"/>
    <w:rsid w:val="00F937F1"/>
    <w:rsid w:val="00F952A0"/>
    <w:rsid w:val="00FA31B1"/>
    <w:rsid w:val="00FA3320"/>
    <w:rsid w:val="00FA3C7F"/>
    <w:rsid w:val="00FA401E"/>
    <w:rsid w:val="00FA6246"/>
    <w:rsid w:val="00FB141C"/>
    <w:rsid w:val="00FB24ED"/>
    <w:rsid w:val="00FB3304"/>
    <w:rsid w:val="00FB5005"/>
    <w:rsid w:val="00FB60FE"/>
    <w:rsid w:val="00FB74E2"/>
    <w:rsid w:val="00FB7666"/>
    <w:rsid w:val="00FB778B"/>
    <w:rsid w:val="00FC0AA3"/>
    <w:rsid w:val="00FD5614"/>
    <w:rsid w:val="00FD5E78"/>
    <w:rsid w:val="00FD69EB"/>
    <w:rsid w:val="00FE0BE1"/>
    <w:rsid w:val="00FE11BB"/>
    <w:rsid w:val="00FE1DE9"/>
    <w:rsid w:val="00FE36AF"/>
    <w:rsid w:val="00FE39C2"/>
    <w:rsid w:val="00FE3C32"/>
    <w:rsid w:val="00FE64AE"/>
    <w:rsid w:val="00FE7C67"/>
    <w:rsid w:val="00FF05E4"/>
    <w:rsid w:val="00FF649F"/>
    <w:rsid w:val="00FF7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2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E756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character" w:customStyle="1" w:styleId="accc-document-title">
    <w:name w:val="accc-document-title"/>
    <w:basedOn w:val="DefaultParagraphFont"/>
    <w:rsid w:val="00E7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37406136">
      <w:bodyDiv w:val="1"/>
      <w:marLeft w:val="0"/>
      <w:marRight w:val="0"/>
      <w:marTop w:val="0"/>
      <w:marBottom w:val="0"/>
      <w:divBdr>
        <w:top w:val="none" w:sz="0" w:space="0" w:color="auto"/>
        <w:left w:val="none" w:sz="0" w:space="0" w:color="auto"/>
        <w:bottom w:val="none" w:sz="0" w:space="0" w:color="auto"/>
        <w:right w:val="none" w:sz="0" w:space="0" w:color="auto"/>
      </w:divBdr>
    </w:div>
    <w:div w:id="441192238">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APA%20VTS-VTS%20Supplementary%20AA%20submission%20revised%20for%20WORM-20170515-Public.pdf" TargetMode="External"/><Relationship Id="rId2" Type="http://schemas.openxmlformats.org/officeDocument/2006/relationships/hyperlink" Target="https://www.aer.gov.au/system/files/APA%20VTS-VTS%20Supplementary%20AA%20submission%20revised%20for%20WORM-20170515-Public.pdf" TargetMode="External"/><Relationship Id="rId1" Type="http://schemas.openxmlformats.org/officeDocument/2006/relationships/hyperlink" Target="https://www.aer.gov.au/system/files/APA%20VTS%20-%20Supplement%20to%20Initial%20Access%20Arrangement%20Proposal%20-%20Business%20Case%20for%20WORM%20Project%20-%2020%20April%202017.pdf" TargetMode="External"/><Relationship Id="rId4" Type="http://schemas.openxmlformats.org/officeDocument/2006/relationships/hyperlink" Target="https://www.aer.gov.au/system/files/APA%20VTS-VTS%20Supplementary%20AA%20submission%20revised%20for%20WORM-20170515-Public.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Ori17</b:Tag>
    <b:SourceType>Misc</b:SourceType>
    <b:Guid>{CAC8551C-626F-4630-8415-85B5DAD2E7A6}</b:Guid>
    <b:Author>
      <b:Author>
        <b:Corporate>Origin Energy</b:Corporate>
      </b:Author>
    </b:Author>
    <b:Title>APA Victorian Transmission System - Access Arrangement 2018-22</b:Title>
    <b:Year>2017</b:Year>
    <b:PublicationTitle>Submission in response to APA Victorian Transmission System (VTS) Access Arrangement Revision Proposal</b:PublicationTitle>
    <b:Month>March</b:Month>
    <b:Day>8</b:Day>
    <b:RefOrder>8</b:RefOrder>
  </b:Source>
  <b:Source>
    <b:Tag>AEM7b</b:Tag>
    <b:SourceType>Misc</b:SourceType>
    <b:Guid>{C056CBD8-A114-4E39-9FB6-2F7DA049AAB9}</b:Guid>
    <b:Title>AEMO Submission on the APA 2018-2022 Access Arrangement Proposal</b:Title>
    <b:Year>2017b</b:Year>
    <b:Author>
      <b:Author>
        <b:Corporate>AEMO</b:Corporate>
      </b:Author>
    </b:Autho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EE14D-FC53-48B0-A7C0-A4BE703C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89D8ED25</Template>
  <TotalTime>0</TotalTime>
  <Pages>17</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2016-01-31T23:02:00Z</dcterms:created>
  <dcterms:modified xsi:type="dcterms:W3CDTF">2017-07-03T04:32:00Z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