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A607C13" wp14:editId="6284F03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0FF7B6B" wp14:editId="042E75C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5A030C" w:rsidRDefault="005A030C" w:rsidP="00D5015C">
          <w:pPr>
            <w:pStyle w:val="ReportSubtitle"/>
          </w:pPr>
          <w:r w:rsidRPr="005A030C">
            <w:t>DRAFT DECISION</w:t>
          </w:r>
        </w:p>
        <w:p w:rsidR="006126E9" w:rsidRDefault="00DC6828" w:rsidP="00D5015C">
          <w:pPr>
            <w:pStyle w:val="ReportSubtitle"/>
          </w:pPr>
          <w:r>
            <w:t>APA VTS</w:t>
          </w:r>
          <w:r w:rsidR="00894991">
            <w:t xml:space="preserve"> Australia</w:t>
          </w:r>
        </w:p>
        <w:p w:rsidR="00D5015C" w:rsidRDefault="006126E9"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FC3404">
            <w:t>8</w:t>
          </w:r>
          <w:r w:rsidR="000474DF">
            <w:t xml:space="preserve"> </w:t>
          </w:r>
          <w:r w:rsidR="00185BA5">
            <w:t>–</w:t>
          </w:r>
          <w:r w:rsidR="000474DF">
            <w:t xml:space="preserve"> </w:t>
          </w:r>
          <w:r w:rsidR="00FC3404">
            <w:t>Corporate income tax</w:t>
          </w:r>
        </w:p>
        <w:p w:rsidR="00D5015C" w:rsidRDefault="00D5015C" w:rsidP="00327A1E">
          <w:pPr>
            <w:pStyle w:val="ReportDate"/>
          </w:pPr>
        </w:p>
        <w:p w:rsidR="00D5015C" w:rsidRDefault="00D5015C" w:rsidP="00327A1E">
          <w:pPr>
            <w:pStyle w:val="ReportDate"/>
          </w:pPr>
        </w:p>
        <w:p w:rsidR="000A6C7B" w:rsidRPr="00327A1E" w:rsidRDefault="00C0155D" w:rsidP="00327A1E">
          <w:pPr>
            <w:pStyle w:val="ReportDate"/>
          </w:pPr>
          <w:r>
            <w:t>Ju</w:t>
          </w:r>
          <w:r w:rsidR="00AE6FF5">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FC340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C0155D" w:rsidRPr="00C0155D">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394"/>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DC6828">
        <w:t>APA VTS</w:t>
      </w:r>
      <w:r w:rsidR="00894991">
        <w:t xml:space="preserve"> Australia </w:t>
      </w:r>
      <w:r>
        <w:t>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395"/>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A166FA" w:rsidRDefault="00ED2AF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55394" w:history="1">
            <w:r w:rsidR="00A166FA" w:rsidRPr="00017F59">
              <w:rPr>
                <w:rStyle w:val="Hyperlink"/>
              </w:rPr>
              <w:t>Note</w:t>
            </w:r>
            <w:r w:rsidR="00A166FA">
              <w:rPr>
                <w:webHidden/>
              </w:rPr>
              <w:tab/>
            </w:r>
            <w:r w:rsidR="00A166FA">
              <w:rPr>
                <w:webHidden/>
              </w:rPr>
              <w:fldChar w:fldCharType="begin"/>
            </w:r>
            <w:r w:rsidR="00A166FA">
              <w:rPr>
                <w:webHidden/>
              </w:rPr>
              <w:instrText xml:space="preserve"> PAGEREF _Toc486855394 \h </w:instrText>
            </w:r>
            <w:r w:rsidR="00A166FA">
              <w:rPr>
                <w:webHidden/>
              </w:rPr>
            </w:r>
            <w:r w:rsidR="00A166FA">
              <w:rPr>
                <w:webHidden/>
              </w:rPr>
              <w:fldChar w:fldCharType="separate"/>
            </w:r>
            <w:r w:rsidR="00DE2785">
              <w:rPr>
                <w:webHidden/>
              </w:rPr>
              <w:t>8-2</w:t>
            </w:r>
            <w:r w:rsidR="00A166FA">
              <w:rPr>
                <w:webHidden/>
              </w:rPr>
              <w:fldChar w:fldCharType="end"/>
            </w:r>
          </w:hyperlink>
        </w:p>
        <w:p w:rsidR="00A166FA" w:rsidRDefault="00A166FA">
          <w:pPr>
            <w:pStyle w:val="TOC1"/>
            <w:rPr>
              <w:rFonts w:asciiTheme="minorHAnsi" w:eastAsiaTheme="minorEastAsia" w:hAnsiTheme="minorHAnsi"/>
              <w:b w:val="0"/>
              <w:color w:val="auto"/>
              <w:sz w:val="22"/>
              <w:lang w:val="en-AU" w:eastAsia="en-AU"/>
            </w:rPr>
          </w:pPr>
          <w:hyperlink w:anchor="_Toc486855395" w:history="1">
            <w:r w:rsidRPr="00017F59">
              <w:rPr>
                <w:rStyle w:val="Hyperlink"/>
              </w:rPr>
              <w:t>Contents</w:t>
            </w:r>
            <w:r>
              <w:rPr>
                <w:webHidden/>
              </w:rPr>
              <w:tab/>
            </w:r>
            <w:r>
              <w:rPr>
                <w:webHidden/>
              </w:rPr>
              <w:fldChar w:fldCharType="begin"/>
            </w:r>
            <w:r>
              <w:rPr>
                <w:webHidden/>
              </w:rPr>
              <w:instrText xml:space="preserve"> PAGEREF _Toc486855395 \h </w:instrText>
            </w:r>
            <w:r>
              <w:rPr>
                <w:webHidden/>
              </w:rPr>
            </w:r>
            <w:r>
              <w:rPr>
                <w:webHidden/>
              </w:rPr>
              <w:fldChar w:fldCharType="separate"/>
            </w:r>
            <w:r w:rsidR="00DE2785">
              <w:rPr>
                <w:webHidden/>
              </w:rPr>
              <w:t>8-3</w:t>
            </w:r>
            <w:r>
              <w:rPr>
                <w:webHidden/>
              </w:rPr>
              <w:fldChar w:fldCharType="end"/>
            </w:r>
          </w:hyperlink>
        </w:p>
        <w:p w:rsidR="00A166FA" w:rsidRDefault="00A166FA">
          <w:pPr>
            <w:pStyle w:val="TOC1"/>
            <w:rPr>
              <w:rFonts w:asciiTheme="minorHAnsi" w:eastAsiaTheme="minorEastAsia" w:hAnsiTheme="minorHAnsi"/>
              <w:b w:val="0"/>
              <w:color w:val="auto"/>
              <w:sz w:val="22"/>
              <w:lang w:val="en-AU" w:eastAsia="en-AU"/>
            </w:rPr>
          </w:pPr>
          <w:hyperlink w:anchor="_Toc486855396" w:history="1">
            <w:r w:rsidRPr="00017F59">
              <w:rPr>
                <w:rStyle w:val="Hyperlink"/>
              </w:rPr>
              <w:t>Shortened forms</w:t>
            </w:r>
            <w:r>
              <w:rPr>
                <w:webHidden/>
              </w:rPr>
              <w:tab/>
            </w:r>
            <w:r>
              <w:rPr>
                <w:webHidden/>
              </w:rPr>
              <w:fldChar w:fldCharType="begin"/>
            </w:r>
            <w:r>
              <w:rPr>
                <w:webHidden/>
              </w:rPr>
              <w:instrText xml:space="preserve"> PAGEREF _Toc486855396 \h </w:instrText>
            </w:r>
            <w:r>
              <w:rPr>
                <w:webHidden/>
              </w:rPr>
            </w:r>
            <w:r>
              <w:rPr>
                <w:webHidden/>
              </w:rPr>
              <w:fldChar w:fldCharType="separate"/>
            </w:r>
            <w:r w:rsidR="00DE2785">
              <w:rPr>
                <w:webHidden/>
              </w:rPr>
              <w:t>8-4</w:t>
            </w:r>
            <w:r>
              <w:rPr>
                <w:webHidden/>
              </w:rPr>
              <w:fldChar w:fldCharType="end"/>
            </w:r>
          </w:hyperlink>
        </w:p>
        <w:p w:rsidR="00A166FA" w:rsidRDefault="00A166FA">
          <w:pPr>
            <w:pStyle w:val="TOC1"/>
            <w:rPr>
              <w:rFonts w:asciiTheme="minorHAnsi" w:eastAsiaTheme="minorEastAsia" w:hAnsiTheme="minorHAnsi"/>
              <w:b w:val="0"/>
              <w:color w:val="auto"/>
              <w:sz w:val="22"/>
              <w:lang w:val="en-AU" w:eastAsia="en-AU"/>
            </w:rPr>
          </w:pPr>
          <w:hyperlink w:anchor="_Toc486855397" w:history="1">
            <w:r w:rsidRPr="00017F59">
              <w:rPr>
                <w:rStyle w:val="Hyperlink"/>
              </w:rPr>
              <w:t>8</w:t>
            </w:r>
            <w:r>
              <w:rPr>
                <w:rFonts w:asciiTheme="minorHAnsi" w:eastAsiaTheme="minorEastAsia" w:hAnsiTheme="minorHAnsi"/>
                <w:b w:val="0"/>
                <w:color w:val="auto"/>
                <w:sz w:val="22"/>
                <w:lang w:val="en-AU" w:eastAsia="en-AU"/>
              </w:rPr>
              <w:tab/>
            </w:r>
            <w:r w:rsidRPr="00017F59">
              <w:rPr>
                <w:rStyle w:val="Hyperlink"/>
              </w:rPr>
              <w:t>Corporate income tax</w:t>
            </w:r>
            <w:r>
              <w:rPr>
                <w:webHidden/>
              </w:rPr>
              <w:tab/>
            </w:r>
            <w:r>
              <w:rPr>
                <w:webHidden/>
              </w:rPr>
              <w:fldChar w:fldCharType="begin"/>
            </w:r>
            <w:r>
              <w:rPr>
                <w:webHidden/>
              </w:rPr>
              <w:instrText xml:space="preserve"> PAGEREF _Toc486855397 \h </w:instrText>
            </w:r>
            <w:r>
              <w:rPr>
                <w:webHidden/>
              </w:rPr>
            </w:r>
            <w:r>
              <w:rPr>
                <w:webHidden/>
              </w:rPr>
              <w:fldChar w:fldCharType="separate"/>
            </w:r>
            <w:r w:rsidR="00DE2785">
              <w:rPr>
                <w:webHidden/>
              </w:rPr>
              <w:t>8-5</w:t>
            </w:r>
            <w:r>
              <w:rPr>
                <w:webHidden/>
              </w:rPr>
              <w:fldChar w:fldCharType="end"/>
            </w:r>
          </w:hyperlink>
        </w:p>
        <w:p w:rsidR="00A166FA" w:rsidRDefault="00A166FA">
          <w:pPr>
            <w:pStyle w:val="TOC2"/>
            <w:rPr>
              <w:rFonts w:asciiTheme="minorHAnsi" w:eastAsiaTheme="minorEastAsia" w:hAnsiTheme="minorHAnsi"/>
              <w:b w:val="0"/>
              <w:color w:val="auto"/>
              <w:sz w:val="22"/>
              <w:lang w:eastAsia="en-AU"/>
            </w:rPr>
          </w:pPr>
          <w:hyperlink w:anchor="_Toc486855398" w:history="1">
            <w:r w:rsidRPr="00017F59">
              <w:rPr>
                <w:rStyle w:val="Hyperlink"/>
              </w:rPr>
              <w:t>8.1</w:t>
            </w:r>
            <w:r>
              <w:rPr>
                <w:rFonts w:asciiTheme="minorHAnsi" w:eastAsiaTheme="minorEastAsia" w:hAnsiTheme="minorHAnsi"/>
                <w:b w:val="0"/>
                <w:color w:val="auto"/>
                <w:sz w:val="22"/>
                <w:lang w:eastAsia="en-AU"/>
              </w:rPr>
              <w:tab/>
            </w:r>
            <w:r w:rsidRPr="00017F59">
              <w:rPr>
                <w:rStyle w:val="Hyperlink"/>
              </w:rPr>
              <w:t>Draft decision</w:t>
            </w:r>
            <w:r>
              <w:rPr>
                <w:webHidden/>
              </w:rPr>
              <w:tab/>
            </w:r>
            <w:r>
              <w:rPr>
                <w:webHidden/>
              </w:rPr>
              <w:fldChar w:fldCharType="begin"/>
            </w:r>
            <w:r>
              <w:rPr>
                <w:webHidden/>
              </w:rPr>
              <w:instrText xml:space="preserve"> PAGEREF _Toc486855398 \h </w:instrText>
            </w:r>
            <w:r>
              <w:rPr>
                <w:webHidden/>
              </w:rPr>
            </w:r>
            <w:r>
              <w:rPr>
                <w:webHidden/>
              </w:rPr>
              <w:fldChar w:fldCharType="separate"/>
            </w:r>
            <w:r w:rsidR="00DE2785">
              <w:rPr>
                <w:webHidden/>
              </w:rPr>
              <w:t>8-5</w:t>
            </w:r>
            <w:r>
              <w:rPr>
                <w:webHidden/>
              </w:rPr>
              <w:fldChar w:fldCharType="end"/>
            </w:r>
          </w:hyperlink>
        </w:p>
        <w:p w:rsidR="00A166FA" w:rsidRDefault="00A166FA">
          <w:pPr>
            <w:pStyle w:val="TOC2"/>
            <w:rPr>
              <w:rFonts w:asciiTheme="minorHAnsi" w:eastAsiaTheme="minorEastAsia" w:hAnsiTheme="minorHAnsi"/>
              <w:b w:val="0"/>
              <w:color w:val="auto"/>
              <w:sz w:val="22"/>
              <w:lang w:eastAsia="en-AU"/>
            </w:rPr>
          </w:pPr>
          <w:hyperlink w:anchor="_Toc486855399" w:history="1">
            <w:r w:rsidRPr="00017F59">
              <w:rPr>
                <w:rStyle w:val="Hyperlink"/>
              </w:rPr>
              <w:t>8.2</w:t>
            </w:r>
            <w:r>
              <w:rPr>
                <w:rFonts w:asciiTheme="minorHAnsi" w:eastAsiaTheme="minorEastAsia" w:hAnsiTheme="minorHAnsi"/>
                <w:b w:val="0"/>
                <w:color w:val="auto"/>
                <w:sz w:val="22"/>
                <w:lang w:eastAsia="en-AU"/>
              </w:rPr>
              <w:tab/>
            </w:r>
            <w:r w:rsidRPr="00017F59">
              <w:rPr>
                <w:rStyle w:val="Hyperlink"/>
              </w:rPr>
              <w:t>APA's proposal</w:t>
            </w:r>
            <w:r>
              <w:rPr>
                <w:webHidden/>
              </w:rPr>
              <w:tab/>
            </w:r>
            <w:r>
              <w:rPr>
                <w:webHidden/>
              </w:rPr>
              <w:fldChar w:fldCharType="begin"/>
            </w:r>
            <w:r>
              <w:rPr>
                <w:webHidden/>
              </w:rPr>
              <w:instrText xml:space="preserve"> PAGEREF _Toc486855399 \h </w:instrText>
            </w:r>
            <w:r>
              <w:rPr>
                <w:webHidden/>
              </w:rPr>
            </w:r>
            <w:r>
              <w:rPr>
                <w:webHidden/>
              </w:rPr>
              <w:fldChar w:fldCharType="separate"/>
            </w:r>
            <w:r w:rsidR="00DE2785">
              <w:rPr>
                <w:webHidden/>
              </w:rPr>
              <w:t>8-6</w:t>
            </w:r>
            <w:r>
              <w:rPr>
                <w:webHidden/>
              </w:rPr>
              <w:fldChar w:fldCharType="end"/>
            </w:r>
          </w:hyperlink>
        </w:p>
        <w:p w:rsidR="00A166FA" w:rsidRDefault="00A166FA">
          <w:pPr>
            <w:pStyle w:val="TOC2"/>
            <w:rPr>
              <w:rFonts w:asciiTheme="minorHAnsi" w:eastAsiaTheme="minorEastAsia" w:hAnsiTheme="minorHAnsi"/>
              <w:b w:val="0"/>
              <w:color w:val="auto"/>
              <w:sz w:val="22"/>
              <w:lang w:eastAsia="en-AU"/>
            </w:rPr>
          </w:pPr>
          <w:hyperlink w:anchor="_Toc486855400" w:history="1">
            <w:r w:rsidRPr="00017F59">
              <w:rPr>
                <w:rStyle w:val="Hyperlink"/>
              </w:rPr>
              <w:t>8.3</w:t>
            </w:r>
            <w:r>
              <w:rPr>
                <w:rFonts w:asciiTheme="minorHAnsi" w:eastAsiaTheme="minorEastAsia" w:hAnsiTheme="minorHAnsi"/>
                <w:b w:val="0"/>
                <w:color w:val="auto"/>
                <w:sz w:val="22"/>
                <w:lang w:eastAsia="en-AU"/>
              </w:rPr>
              <w:tab/>
            </w:r>
            <w:r w:rsidRPr="00017F59">
              <w:rPr>
                <w:rStyle w:val="Hyperlink"/>
              </w:rPr>
              <w:t>AER's assessment approach</w:t>
            </w:r>
            <w:r>
              <w:rPr>
                <w:webHidden/>
              </w:rPr>
              <w:tab/>
            </w:r>
            <w:r>
              <w:rPr>
                <w:webHidden/>
              </w:rPr>
              <w:fldChar w:fldCharType="begin"/>
            </w:r>
            <w:r>
              <w:rPr>
                <w:webHidden/>
              </w:rPr>
              <w:instrText xml:space="preserve"> PAGEREF _Toc486855400 \h </w:instrText>
            </w:r>
            <w:r>
              <w:rPr>
                <w:webHidden/>
              </w:rPr>
            </w:r>
            <w:r>
              <w:rPr>
                <w:webHidden/>
              </w:rPr>
              <w:fldChar w:fldCharType="separate"/>
            </w:r>
            <w:r w:rsidR="00DE2785">
              <w:rPr>
                <w:webHidden/>
              </w:rPr>
              <w:t>8-8</w:t>
            </w:r>
            <w:r>
              <w:rPr>
                <w:webHidden/>
              </w:rPr>
              <w:fldChar w:fldCharType="end"/>
            </w:r>
          </w:hyperlink>
        </w:p>
        <w:p w:rsidR="00A166FA" w:rsidRDefault="00A166FA">
          <w:pPr>
            <w:pStyle w:val="TOC3"/>
            <w:rPr>
              <w:rFonts w:asciiTheme="minorHAnsi" w:eastAsiaTheme="minorEastAsia" w:hAnsiTheme="minorHAnsi"/>
              <w:lang w:eastAsia="en-AU"/>
            </w:rPr>
          </w:pPr>
          <w:hyperlink w:anchor="_Toc486855401" w:history="1">
            <w:r w:rsidRPr="00017F59">
              <w:rPr>
                <w:rStyle w:val="Hyperlink"/>
              </w:rPr>
              <w:t>8.3.1</w:t>
            </w:r>
            <w:r>
              <w:rPr>
                <w:rFonts w:asciiTheme="minorHAnsi" w:eastAsiaTheme="minorEastAsia" w:hAnsiTheme="minorHAnsi"/>
                <w:lang w:eastAsia="en-AU"/>
              </w:rPr>
              <w:tab/>
            </w:r>
            <w:r w:rsidRPr="00017F59">
              <w:rPr>
                <w:rStyle w:val="Hyperlink"/>
              </w:rPr>
              <w:t>Interrelationships</w:t>
            </w:r>
            <w:r>
              <w:rPr>
                <w:webHidden/>
              </w:rPr>
              <w:tab/>
            </w:r>
            <w:r>
              <w:rPr>
                <w:webHidden/>
              </w:rPr>
              <w:fldChar w:fldCharType="begin"/>
            </w:r>
            <w:r>
              <w:rPr>
                <w:webHidden/>
              </w:rPr>
              <w:instrText xml:space="preserve"> PAGEREF _Toc486855401 \h </w:instrText>
            </w:r>
            <w:r>
              <w:rPr>
                <w:webHidden/>
              </w:rPr>
            </w:r>
            <w:r>
              <w:rPr>
                <w:webHidden/>
              </w:rPr>
              <w:fldChar w:fldCharType="separate"/>
            </w:r>
            <w:r w:rsidR="00DE2785">
              <w:rPr>
                <w:webHidden/>
              </w:rPr>
              <w:t>8-9</w:t>
            </w:r>
            <w:r>
              <w:rPr>
                <w:webHidden/>
              </w:rPr>
              <w:fldChar w:fldCharType="end"/>
            </w:r>
          </w:hyperlink>
        </w:p>
        <w:p w:rsidR="00A166FA" w:rsidRDefault="00A166FA">
          <w:pPr>
            <w:pStyle w:val="TOC2"/>
            <w:rPr>
              <w:rFonts w:asciiTheme="minorHAnsi" w:eastAsiaTheme="minorEastAsia" w:hAnsiTheme="minorHAnsi"/>
              <w:b w:val="0"/>
              <w:color w:val="auto"/>
              <w:sz w:val="22"/>
              <w:lang w:eastAsia="en-AU"/>
            </w:rPr>
          </w:pPr>
          <w:hyperlink w:anchor="_Toc486855402" w:history="1">
            <w:r w:rsidRPr="00017F59">
              <w:rPr>
                <w:rStyle w:val="Hyperlink"/>
              </w:rPr>
              <w:t>8.4</w:t>
            </w:r>
            <w:r>
              <w:rPr>
                <w:rFonts w:asciiTheme="minorHAnsi" w:eastAsiaTheme="minorEastAsia" w:hAnsiTheme="minorHAnsi"/>
                <w:b w:val="0"/>
                <w:color w:val="auto"/>
                <w:sz w:val="22"/>
                <w:lang w:eastAsia="en-AU"/>
              </w:rPr>
              <w:tab/>
            </w:r>
            <w:r w:rsidRPr="00017F59">
              <w:rPr>
                <w:rStyle w:val="Hyperlink"/>
              </w:rPr>
              <w:t>Reasons for draft decision</w:t>
            </w:r>
            <w:r>
              <w:rPr>
                <w:webHidden/>
              </w:rPr>
              <w:tab/>
            </w:r>
            <w:r>
              <w:rPr>
                <w:webHidden/>
              </w:rPr>
              <w:fldChar w:fldCharType="begin"/>
            </w:r>
            <w:r>
              <w:rPr>
                <w:webHidden/>
              </w:rPr>
              <w:instrText xml:space="preserve"> PAGEREF _Toc486855402 \h </w:instrText>
            </w:r>
            <w:r>
              <w:rPr>
                <w:webHidden/>
              </w:rPr>
            </w:r>
            <w:r>
              <w:rPr>
                <w:webHidden/>
              </w:rPr>
              <w:fldChar w:fldCharType="separate"/>
            </w:r>
            <w:r w:rsidR="00DE2785">
              <w:rPr>
                <w:webHidden/>
              </w:rPr>
              <w:t>8-10</w:t>
            </w:r>
            <w:r>
              <w:rPr>
                <w:webHidden/>
              </w:rPr>
              <w:fldChar w:fldCharType="end"/>
            </w:r>
          </w:hyperlink>
        </w:p>
        <w:p w:rsidR="00A166FA" w:rsidRDefault="00A166FA">
          <w:pPr>
            <w:pStyle w:val="TOC3"/>
            <w:rPr>
              <w:rFonts w:asciiTheme="minorHAnsi" w:eastAsiaTheme="minorEastAsia" w:hAnsiTheme="minorHAnsi"/>
              <w:lang w:eastAsia="en-AU"/>
            </w:rPr>
          </w:pPr>
          <w:hyperlink w:anchor="_Toc486855403" w:history="1">
            <w:r w:rsidRPr="00017F59">
              <w:rPr>
                <w:rStyle w:val="Hyperlink"/>
              </w:rPr>
              <w:t>8.4.1</w:t>
            </w:r>
            <w:r>
              <w:rPr>
                <w:rFonts w:asciiTheme="minorHAnsi" w:eastAsiaTheme="minorEastAsia" w:hAnsiTheme="minorHAnsi"/>
                <w:lang w:eastAsia="en-AU"/>
              </w:rPr>
              <w:tab/>
            </w:r>
            <w:r w:rsidRPr="00017F59">
              <w:rPr>
                <w:rStyle w:val="Hyperlink"/>
              </w:rPr>
              <w:t>Opening tax asset base as at 1 January 2018</w:t>
            </w:r>
            <w:r>
              <w:rPr>
                <w:webHidden/>
              </w:rPr>
              <w:tab/>
            </w:r>
            <w:r>
              <w:rPr>
                <w:webHidden/>
              </w:rPr>
              <w:fldChar w:fldCharType="begin"/>
            </w:r>
            <w:r>
              <w:rPr>
                <w:webHidden/>
              </w:rPr>
              <w:instrText xml:space="preserve"> PAGEREF _Toc486855403 \h </w:instrText>
            </w:r>
            <w:r>
              <w:rPr>
                <w:webHidden/>
              </w:rPr>
            </w:r>
            <w:r>
              <w:rPr>
                <w:webHidden/>
              </w:rPr>
              <w:fldChar w:fldCharType="separate"/>
            </w:r>
            <w:r w:rsidR="00DE2785">
              <w:rPr>
                <w:webHidden/>
              </w:rPr>
              <w:t>8-11</w:t>
            </w:r>
            <w:r>
              <w:rPr>
                <w:webHidden/>
              </w:rPr>
              <w:fldChar w:fldCharType="end"/>
            </w:r>
          </w:hyperlink>
        </w:p>
        <w:p w:rsidR="00A166FA" w:rsidRDefault="00A166FA">
          <w:pPr>
            <w:pStyle w:val="TOC3"/>
            <w:rPr>
              <w:rFonts w:asciiTheme="minorHAnsi" w:eastAsiaTheme="minorEastAsia" w:hAnsiTheme="minorHAnsi"/>
              <w:lang w:eastAsia="en-AU"/>
            </w:rPr>
          </w:pPr>
          <w:hyperlink w:anchor="_Toc486855404" w:history="1">
            <w:r w:rsidRPr="00017F59">
              <w:rPr>
                <w:rStyle w:val="Hyperlink"/>
              </w:rPr>
              <w:t>8.4.2</w:t>
            </w:r>
            <w:r>
              <w:rPr>
                <w:rFonts w:asciiTheme="minorHAnsi" w:eastAsiaTheme="minorEastAsia" w:hAnsiTheme="minorHAnsi"/>
                <w:lang w:eastAsia="en-AU"/>
              </w:rPr>
              <w:tab/>
            </w:r>
            <w:r w:rsidRPr="00017F59">
              <w:rPr>
                <w:rStyle w:val="Hyperlink"/>
              </w:rPr>
              <w:t>Standard tax asset lives</w:t>
            </w:r>
            <w:r>
              <w:rPr>
                <w:webHidden/>
              </w:rPr>
              <w:tab/>
            </w:r>
            <w:r>
              <w:rPr>
                <w:webHidden/>
              </w:rPr>
              <w:fldChar w:fldCharType="begin"/>
            </w:r>
            <w:r>
              <w:rPr>
                <w:webHidden/>
              </w:rPr>
              <w:instrText xml:space="preserve"> PAGEREF _Toc486855404 \h </w:instrText>
            </w:r>
            <w:r>
              <w:rPr>
                <w:webHidden/>
              </w:rPr>
            </w:r>
            <w:r>
              <w:rPr>
                <w:webHidden/>
              </w:rPr>
              <w:fldChar w:fldCharType="separate"/>
            </w:r>
            <w:r w:rsidR="00DE2785">
              <w:rPr>
                <w:webHidden/>
              </w:rPr>
              <w:t>8-13</w:t>
            </w:r>
            <w:r>
              <w:rPr>
                <w:webHidden/>
              </w:rPr>
              <w:fldChar w:fldCharType="end"/>
            </w:r>
          </w:hyperlink>
        </w:p>
        <w:p w:rsidR="00A166FA" w:rsidRDefault="00A166FA">
          <w:pPr>
            <w:pStyle w:val="TOC3"/>
            <w:rPr>
              <w:rFonts w:asciiTheme="minorHAnsi" w:eastAsiaTheme="minorEastAsia" w:hAnsiTheme="minorHAnsi"/>
              <w:lang w:eastAsia="en-AU"/>
            </w:rPr>
          </w:pPr>
          <w:hyperlink w:anchor="_Toc486855405" w:history="1">
            <w:r w:rsidRPr="00017F59">
              <w:rPr>
                <w:rStyle w:val="Hyperlink"/>
              </w:rPr>
              <w:t>8.4.3</w:t>
            </w:r>
            <w:r>
              <w:rPr>
                <w:rFonts w:asciiTheme="minorHAnsi" w:eastAsiaTheme="minorEastAsia" w:hAnsiTheme="minorHAnsi"/>
                <w:lang w:eastAsia="en-AU"/>
              </w:rPr>
              <w:tab/>
            </w:r>
            <w:r w:rsidRPr="00017F59">
              <w:rPr>
                <w:rStyle w:val="Hyperlink"/>
              </w:rPr>
              <w:t>Remaining tax asset lives as at 1 January 2018</w:t>
            </w:r>
            <w:r>
              <w:rPr>
                <w:webHidden/>
              </w:rPr>
              <w:tab/>
            </w:r>
            <w:r>
              <w:rPr>
                <w:webHidden/>
              </w:rPr>
              <w:fldChar w:fldCharType="begin"/>
            </w:r>
            <w:r>
              <w:rPr>
                <w:webHidden/>
              </w:rPr>
              <w:instrText xml:space="preserve"> PAGEREF _Toc486855405 \h </w:instrText>
            </w:r>
            <w:r>
              <w:rPr>
                <w:webHidden/>
              </w:rPr>
            </w:r>
            <w:r>
              <w:rPr>
                <w:webHidden/>
              </w:rPr>
              <w:fldChar w:fldCharType="separate"/>
            </w:r>
            <w:r w:rsidR="00DE2785">
              <w:rPr>
                <w:webHidden/>
              </w:rPr>
              <w:t>8-14</w:t>
            </w:r>
            <w:r>
              <w:rPr>
                <w:webHidden/>
              </w:rPr>
              <w:fldChar w:fldCharType="end"/>
            </w:r>
          </w:hyperlink>
        </w:p>
        <w:p w:rsidR="00A166FA" w:rsidRDefault="00A166FA">
          <w:pPr>
            <w:pStyle w:val="TOC2"/>
            <w:rPr>
              <w:rFonts w:asciiTheme="minorHAnsi" w:eastAsiaTheme="minorEastAsia" w:hAnsiTheme="minorHAnsi"/>
              <w:b w:val="0"/>
              <w:color w:val="auto"/>
              <w:sz w:val="22"/>
              <w:lang w:eastAsia="en-AU"/>
            </w:rPr>
          </w:pPr>
          <w:hyperlink w:anchor="_Toc486855406" w:history="1">
            <w:r w:rsidRPr="00017F59">
              <w:rPr>
                <w:rStyle w:val="Hyperlink"/>
              </w:rPr>
              <w:t>8.5</w:t>
            </w:r>
            <w:r>
              <w:rPr>
                <w:rFonts w:asciiTheme="minorHAnsi" w:eastAsiaTheme="minorEastAsia" w:hAnsiTheme="minorHAnsi"/>
                <w:b w:val="0"/>
                <w:color w:val="auto"/>
                <w:sz w:val="22"/>
                <w:lang w:eastAsia="en-AU"/>
              </w:rPr>
              <w:tab/>
            </w:r>
            <w:r w:rsidRPr="00017F59">
              <w:rPr>
                <w:rStyle w:val="Hyperlink"/>
              </w:rPr>
              <w:t>Revisions</w:t>
            </w:r>
            <w:r>
              <w:rPr>
                <w:webHidden/>
              </w:rPr>
              <w:tab/>
            </w:r>
            <w:r>
              <w:rPr>
                <w:webHidden/>
              </w:rPr>
              <w:fldChar w:fldCharType="begin"/>
            </w:r>
            <w:r>
              <w:rPr>
                <w:webHidden/>
              </w:rPr>
              <w:instrText xml:space="preserve"> PAGEREF _Toc486855406 \h </w:instrText>
            </w:r>
            <w:r>
              <w:rPr>
                <w:webHidden/>
              </w:rPr>
            </w:r>
            <w:r>
              <w:rPr>
                <w:webHidden/>
              </w:rPr>
              <w:fldChar w:fldCharType="separate"/>
            </w:r>
            <w:r w:rsidR="00DE2785">
              <w:rPr>
                <w:webHidden/>
              </w:rPr>
              <w:t>8-15</w:t>
            </w:r>
            <w:r>
              <w:rPr>
                <w:webHidden/>
              </w:rPr>
              <w:fldChar w:fldCharType="end"/>
            </w:r>
          </w:hyperlink>
        </w:p>
        <w:p w:rsidR="00CE2A23" w:rsidRDefault="00ED2AFD" w:rsidP="00ED2AFD">
          <w:pPr>
            <w:pStyle w:val="TOC1"/>
          </w:pPr>
          <w:r>
            <w:fldChar w:fldCharType="end"/>
          </w:r>
        </w:p>
      </w:sdtContent>
    </w:sdt>
    <w:p w:rsidR="00CE2A23" w:rsidRPr="00CE2A23" w:rsidRDefault="00CE2A23" w:rsidP="00CE2A23">
      <w:r>
        <w:t xml:space="preserve"> </w:t>
      </w:r>
    </w:p>
    <w:p w:rsidR="008256DE" w:rsidRDefault="00CE2A23" w:rsidP="00CE2A23">
      <w:pPr>
        <w:pStyle w:val="UnnumberedHeading"/>
        <w:numPr>
          <w:ilvl w:val="0"/>
          <w:numId w:val="23"/>
        </w:numPr>
      </w:pPr>
      <w:bookmarkStart w:id="11" w:name="_Toc404700925"/>
      <w:bookmarkStart w:id="12" w:name="_Toc486855396"/>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C0155D" w:rsidTr="00C01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Shortened form</w:t>
            </w:r>
          </w:p>
        </w:tc>
        <w:tc>
          <w:tcPr>
            <w:tcW w:w="5041" w:type="dxa"/>
          </w:tcPr>
          <w:p w:rsidR="00C0155D" w:rsidRPr="00C0155D" w:rsidRDefault="00C0155D" w:rsidP="00C0155D">
            <w:pPr>
              <w:numPr>
                <w:ilvl w:val="0"/>
                <w:numId w:val="24"/>
              </w:numPr>
              <w:cnfStyle w:val="100000000000" w:firstRow="1" w:lastRow="0" w:firstColumn="0" w:lastColumn="0" w:oddVBand="0" w:evenVBand="0" w:oddHBand="0" w:evenHBand="0" w:firstRowFirstColumn="0" w:firstRowLastColumn="0" w:lastRowFirstColumn="0" w:lastRowLastColumn="0"/>
            </w:pPr>
            <w:r w:rsidRPr="00C0155D">
              <w:t>Extended form</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AER</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Australian Energy Regulator</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ATO</w:t>
            </w:r>
          </w:p>
        </w:tc>
        <w:tc>
          <w:tcPr>
            <w:tcW w:w="5041" w:type="dxa"/>
          </w:tcPr>
          <w:p w:rsidR="00C0155D" w:rsidRPr="00C0155D" w:rsidRDefault="00C0155D" w:rsidP="00C0155D">
            <w:pPr>
              <w:cnfStyle w:val="000000010000" w:firstRow="0" w:lastRow="0" w:firstColumn="0" w:lastColumn="0" w:oddVBand="0" w:evenVBand="0" w:oddHBand="0" w:evenHBand="1" w:firstRowFirstColumn="0" w:firstRowLastColumn="0" w:lastRowFirstColumn="0" w:lastRowLastColumn="0"/>
            </w:pPr>
            <w:r w:rsidRPr="00C0155D">
              <w:t>Australian Tax Office</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capex</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capital expenditure</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CAPM</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capital asset pricing model</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CPI</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consumer price index</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DRP</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debt risk premium</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ECM</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(Opex) Efficiency Carryover Mechanism</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ERP</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equity risk premium</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Expenditure Guideline</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Expenditure Forecast Assessment Guideline</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gamma</w:t>
            </w:r>
          </w:p>
        </w:tc>
        <w:tc>
          <w:tcPr>
            <w:tcW w:w="5041" w:type="dxa"/>
          </w:tcPr>
          <w:p w:rsidR="00C0155D" w:rsidRPr="00C0155D" w:rsidRDefault="00C0155D" w:rsidP="00C0155D">
            <w:pPr>
              <w:cnfStyle w:val="000000010000" w:firstRow="0" w:lastRow="0" w:firstColumn="0" w:lastColumn="0" w:oddVBand="0" w:evenVBand="0" w:oddHBand="0" w:evenHBand="1" w:firstRowFirstColumn="0" w:firstRowLastColumn="0" w:lastRowFirstColumn="0" w:lastRowLastColumn="0"/>
            </w:pPr>
            <w:r w:rsidRPr="00C0155D">
              <w:t>Value of Imputation Credits</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MRP</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market risk premium</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NGL</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National Gas Law</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NGO</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national gas objective</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NGR</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National Gas Rules</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NPV</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net present value</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opex</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operating expenditure</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PTRM</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post-tax revenue model</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RBA</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Reserve Bank of Australia</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RFM</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roll forward model</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RIN</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regulatory information notice</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RPP</w:t>
            </w:r>
          </w:p>
        </w:tc>
        <w:tc>
          <w:tcPr>
            <w:tcW w:w="5041" w:type="dxa"/>
          </w:tcPr>
          <w:p w:rsidR="00C0155D" w:rsidRPr="00C0155D" w:rsidRDefault="00C0155D" w:rsidP="00C0155D">
            <w:pPr>
              <w:numPr>
                <w:ilvl w:val="0"/>
                <w:numId w:val="24"/>
              </w:numPr>
              <w:cnfStyle w:val="000000000000" w:firstRow="0" w:lastRow="0" w:firstColumn="0" w:lastColumn="0" w:oddVBand="0" w:evenVBand="0" w:oddHBand="0" w:evenHBand="0" w:firstRowFirstColumn="0" w:firstRowLastColumn="0" w:lastRowFirstColumn="0" w:lastRowLastColumn="0"/>
            </w:pPr>
            <w:r w:rsidRPr="00C0155D">
              <w:t>revenue and pricing principles</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SLCAPM</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Sharpe-Lintner capital asset pricing model</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STTM</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Short Term Trading Market</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TAB</w:t>
            </w:r>
          </w:p>
        </w:tc>
        <w:tc>
          <w:tcPr>
            <w:tcW w:w="5041" w:type="dxa"/>
          </w:tcPr>
          <w:p w:rsidR="00C0155D" w:rsidRPr="00C0155D" w:rsidRDefault="00C0155D" w:rsidP="00C0155D">
            <w:pPr>
              <w:cnfStyle w:val="000000010000" w:firstRow="0" w:lastRow="0" w:firstColumn="0" w:lastColumn="0" w:oddVBand="0" w:evenVBand="0" w:oddHBand="0" w:evenHBand="1" w:firstRowFirstColumn="0" w:firstRowLastColumn="0" w:lastRowFirstColumn="0" w:lastRowLastColumn="0"/>
            </w:pPr>
            <w:r w:rsidRPr="00C0155D">
              <w:t>Tax asset base</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UAFG</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Unaccounted for gas</w:t>
            </w:r>
          </w:p>
        </w:tc>
      </w:tr>
      <w:tr w:rsidR="00C0155D" w:rsidTr="00C01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WACC</w:t>
            </w:r>
          </w:p>
        </w:tc>
        <w:tc>
          <w:tcPr>
            <w:tcW w:w="5041" w:type="dxa"/>
          </w:tcPr>
          <w:p w:rsidR="00C0155D" w:rsidRPr="00C0155D" w:rsidRDefault="00C0155D" w:rsidP="00C0155D">
            <w:pPr>
              <w:numPr>
                <w:ilvl w:val="0"/>
                <w:numId w:val="24"/>
              </w:numPr>
              <w:cnfStyle w:val="000000010000" w:firstRow="0" w:lastRow="0" w:firstColumn="0" w:lastColumn="0" w:oddVBand="0" w:evenVBand="0" w:oddHBand="0" w:evenHBand="1" w:firstRowFirstColumn="0" w:firstRowLastColumn="0" w:lastRowFirstColumn="0" w:lastRowLastColumn="0"/>
            </w:pPr>
            <w:r w:rsidRPr="00C0155D">
              <w:t>weighted average cost of capital</w:t>
            </w:r>
          </w:p>
        </w:tc>
      </w:tr>
      <w:tr w:rsidR="00C0155D" w:rsidTr="00C0155D">
        <w:tc>
          <w:tcPr>
            <w:cnfStyle w:val="001000000000" w:firstRow="0" w:lastRow="0" w:firstColumn="1" w:lastColumn="0" w:oddVBand="0" w:evenVBand="0" w:oddHBand="0" w:evenHBand="0" w:firstRowFirstColumn="0" w:firstRowLastColumn="0" w:lastRowFirstColumn="0" w:lastRowLastColumn="0"/>
            <w:tcW w:w="3652" w:type="dxa"/>
          </w:tcPr>
          <w:p w:rsidR="00C0155D" w:rsidRPr="00C0155D" w:rsidRDefault="00C0155D" w:rsidP="00C0155D">
            <w:pPr>
              <w:numPr>
                <w:ilvl w:val="0"/>
                <w:numId w:val="24"/>
              </w:numPr>
            </w:pPr>
            <w:r w:rsidRPr="00C0155D">
              <w:t>WPI</w:t>
            </w:r>
          </w:p>
        </w:tc>
        <w:tc>
          <w:tcPr>
            <w:tcW w:w="5041" w:type="dxa"/>
          </w:tcPr>
          <w:p w:rsidR="00C0155D" w:rsidRPr="00C0155D" w:rsidRDefault="00C0155D" w:rsidP="00C0155D">
            <w:pPr>
              <w:cnfStyle w:val="000000000000" w:firstRow="0" w:lastRow="0" w:firstColumn="0" w:lastColumn="0" w:oddVBand="0" w:evenVBand="0" w:oddHBand="0" w:evenHBand="0" w:firstRowFirstColumn="0" w:firstRowLastColumn="0" w:lastRowFirstColumn="0" w:lastRowLastColumn="0"/>
            </w:pPr>
            <w:r w:rsidRPr="00C0155D">
              <w:t>Wage Price Index</w:t>
            </w:r>
          </w:p>
        </w:tc>
      </w:tr>
    </w:tbl>
    <w:p w:rsidR="00DE563D" w:rsidRDefault="00FC3404" w:rsidP="00FC3404">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55397"/>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Corporate income tax</w:t>
      </w:r>
      <w:bookmarkEnd w:id="71"/>
    </w:p>
    <w:p w:rsidR="00132D43" w:rsidRPr="00132D43" w:rsidRDefault="008256DE" w:rsidP="00132D43">
      <w:r w:rsidRPr="00FD50DB">
        <w:t xml:space="preserve">When determining the total revenue for </w:t>
      </w:r>
      <w:r w:rsidR="00DC6828">
        <w:t>APA</w:t>
      </w:r>
      <w:r w:rsidR="00C0155D">
        <w:t xml:space="preserve"> VTS (APA)</w:t>
      </w:r>
      <w:r w:rsidRPr="00FD50DB">
        <w:t xml:space="preserve">, we </w:t>
      </w:r>
      <w:r>
        <w:t>include an</w:t>
      </w:r>
      <w:r w:rsidRPr="00FD50DB">
        <w:t xml:space="preserve"> estimate </w:t>
      </w:r>
      <w:r>
        <w:t xml:space="preserve">of </w:t>
      </w:r>
      <w:r w:rsidR="006B0421">
        <w:t>APA</w:t>
      </w:r>
      <w:r w:rsidRPr="00FD50DB">
        <w:t>’s cost of corporate income tax.</w:t>
      </w:r>
      <w:r w:rsidRPr="00FD50DB">
        <w:rPr>
          <w:rStyle w:val="FootnoteReference"/>
        </w:rPr>
        <w:footnoteReference w:id="1"/>
      </w:r>
      <w:r w:rsidRPr="00FD50DB">
        <w:t xml:space="preserve"> </w:t>
      </w:r>
      <w:r w:rsidR="006B0421">
        <w:t xml:space="preserve">APA </w:t>
      </w:r>
      <w:r w:rsidRPr="00FD50DB">
        <w:t xml:space="preserve">has adopted the post-tax framework to derive its revenue requirement for the </w:t>
      </w:r>
      <w:r w:rsidR="00DA0301">
        <w:t>2018</w:t>
      </w:r>
      <w:r>
        <w:t>–22</w:t>
      </w:r>
      <w:r w:rsidRPr="00FD50DB">
        <w:t xml:space="preserve"> access arrangement period.</w:t>
      </w:r>
      <w:r w:rsidRPr="00FD50DB">
        <w:rPr>
          <w:rStyle w:val="FootnoteReference"/>
        </w:rPr>
        <w:footnoteReference w:id="2"/>
      </w:r>
      <w:r w:rsidRPr="00FD50DB">
        <w:t xml:space="preserve"> Under the post-tax framework, a separate corporate income tax allowance is calculated as part of the building blocks assessment.</w:t>
      </w:r>
    </w:p>
    <w:p w:rsidR="00132D43" w:rsidRDefault="00132D43" w:rsidP="00132D43">
      <w:pPr>
        <w:pStyle w:val="Heading2"/>
      </w:pPr>
      <w:bookmarkStart w:id="72" w:name="_Toc486855398"/>
      <w:r>
        <w:t>Draft decision</w:t>
      </w:r>
      <w:bookmarkEnd w:id="72"/>
    </w:p>
    <w:p w:rsidR="008256DE" w:rsidRDefault="008256DE" w:rsidP="008256DE">
      <w:r>
        <w:t>We a</w:t>
      </w:r>
      <w:r w:rsidR="003D0DBD">
        <w:t>ccept</w:t>
      </w:r>
      <w:r>
        <w:t xml:space="preserve"> </w:t>
      </w:r>
      <w:r w:rsidR="00DC6828">
        <w:t>APA</w:t>
      </w:r>
      <w:r>
        <w:t xml:space="preserve">’s proposed approach to calculate its forecast corporate income tax allowance. </w:t>
      </w:r>
      <w:r w:rsidR="00DC6828">
        <w:t>APA</w:t>
      </w:r>
      <w:r w:rsidR="00685B10">
        <w:t>'s proposed approach is consistent with the AER’s post-tax revenue model (PTRM) for electricity service providers and the approach previously approved in gas access arrangement decisions. However, w</w:t>
      </w:r>
      <w:r w:rsidRPr="00FD50DB">
        <w:t xml:space="preserve">e do not approve </w:t>
      </w:r>
      <w:r w:rsidR="00DC6828">
        <w:t>APA</w:t>
      </w:r>
      <w:r w:rsidRPr="00FD50DB">
        <w:t>’s proposed corporate income tax allowance of $</w:t>
      </w:r>
      <w:r w:rsidR="00107134" w:rsidRPr="00107134">
        <w:t>2</w:t>
      </w:r>
      <w:r w:rsidR="00ED35EE">
        <w:t>2.9</w:t>
      </w:r>
      <w:r w:rsidR="00107134">
        <w:t xml:space="preserve"> </w:t>
      </w:r>
      <w:r w:rsidRPr="00FD50DB">
        <w:t>million ($</w:t>
      </w:r>
      <w:r w:rsidR="000024FF">
        <w:t> </w:t>
      </w:r>
      <w:r w:rsidRPr="00FD50DB">
        <w:t xml:space="preserve">nominal) for the </w:t>
      </w:r>
      <w:r w:rsidR="00DA0301">
        <w:rPr>
          <w:rStyle w:val="AERbody"/>
        </w:rPr>
        <w:t>2018</w:t>
      </w:r>
      <w:r>
        <w:rPr>
          <w:rStyle w:val="AERbody"/>
        </w:rPr>
        <w:t>–22</w:t>
      </w:r>
      <w:r w:rsidRPr="00FD50DB">
        <w:rPr>
          <w:rStyle w:val="AERbody"/>
        </w:rPr>
        <w:t xml:space="preserve"> </w:t>
      </w:r>
      <w:r w:rsidRPr="00FD50DB">
        <w:t xml:space="preserve">access arrangement period. </w:t>
      </w:r>
      <w:r>
        <w:t>Our</w:t>
      </w:r>
      <w:r w:rsidRPr="009C2602">
        <w:t xml:space="preserve"> draft decision on </w:t>
      </w:r>
      <w:r w:rsidR="00672F19">
        <w:t xml:space="preserve">APA's </w:t>
      </w:r>
      <w:r>
        <w:t>corporate income tax</w:t>
      </w:r>
      <w:r w:rsidRPr="009C2602">
        <w:t xml:space="preserve"> allowance over the </w:t>
      </w:r>
      <w:r w:rsidR="00DA0301">
        <w:rPr>
          <w:rStyle w:val="AERbody"/>
        </w:rPr>
        <w:t>2018</w:t>
      </w:r>
      <w:r w:rsidRPr="00B077E0">
        <w:rPr>
          <w:rStyle w:val="AERbody"/>
        </w:rPr>
        <w:t>–</w:t>
      </w:r>
      <w:r>
        <w:rPr>
          <w:rStyle w:val="AERbody"/>
        </w:rPr>
        <w:t>22</w:t>
      </w:r>
      <w:r w:rsidRPr="00B077E0">
        <w:rPr>
          <w:rStyle w:val="AERbody"/>
        </w:rPr>
        <w:t xml:space="preserve"> </w:t>
      </w:r>
      <w:r w:rsidRPr="009C2602">
        <w:t>access arrangement period is $</w:t>
      </w:r>
      <w:r w:rsidR="00ED35EE">
        <w:t>6.5</w:t>
      </w:r>
      <w:r>
        <w:t xml:space="preserve"> million ($</w:t>
      </w:r>
      <w:r w:rsidR="000024FF">
        <w:t> </w:t>
      </w:r>
      <w:r>
        <w:t xml:space="preserve">nominal). </w:t>
      </w:r>
      <w:r w:rsidRPr="009C2602">
        <w:t>This represents a reduction of $</w:t>
      </w:r>
      <w:r w:rsidR="00ED35EE">
        <w:t>16.3</w:t>
      </w:r>
      <w:r w:rsidRPr="009C2602">
        <w:t xml:space="preserve"> million (</w:t>
      </w:r>
      <w:r>
        <w:t>$</w:t>
      </w:r>
      <w:r w:rsidR="000024FF">
        <w:t> </w:t>
      </w:r>
      <w:r w:rsidRPr="009C2602">
        <w:t xml:space="preserve">nominal) or </w:t>
      </w:r>
      <w:r w:rsidR="00ED35EE">
        <w:t>71.4</w:t>
      </w:r>
      <w:r w:rsidRPr="009C2602">
        <w:t xml:space="preserve"> per cent of </w:t>
      </w:r>
      <w:r w:rsidR="00672F19">
        <w:t xml:space="preserve">APA's </w:t>
      </w:r>
      <w:r w:rsidRPr="009C2602">
        <w:t xml:space="preserve">proposed </w:t>
      </w:r>
      <w:r>
        <w:t>forecast corporate income tax allowance.</w:t>
      </w:r>
    </w:p>
    <w:p w:rsidR="008256DE" w:rsidRDefault="008256DE" w:rsidP="008256DE">
      <w:r>
        <w:t xml:space="preserve">The reduction reflects our amendments to </w:t>
      </w:r>
      <w:r w:rsidR="00DC6828">
        <w:t>APA</w:t>
      </w:r>
      <w:r>
        <w:t>'s proposed inputs for forecasting the cost of corporate income tax, including:</w:t>
      </w:r>
    </w:p>
    <w:p w:rsidR="008256DE" w:rsidRPr="008256DE" w:rsidRDefault="008256DE" w:rsidP="008256DE">
      <w:pPr>
        <w:pStyle w:val="AERbulletlistfirststyle"/>
      </w:pPr>
      <w:r>
        <w:t>t</w:t>
      </w:r>
      <w:r w:rsidRPr="008256DE">
        <w:t xml:space="preserve">he opening tax asset base (TAB) (section </w:t>
      </w:r>
      <w:r w:rsidRPr="008256DE">
        <w:fldChar w:fldCharType="begin"/>
      </w:r>
      <w:r w:rsidRPr="008256DE">
        <w:instrText xml:space="preserve"> REF _Ref465675837 \r \h  \* MERGEFORMAT </w:instrText>
      </w:r>
      <w:r w:rsidRPr="008256DE">
        <w:fldChar w:fldCharType="separate"/>
      </w:r>
      <w:r w:rsidR="00DE2785">
        <w:t>8.4.1</w:t>
      </w:r>
      <w:r w:rsidRPr="008256DE">
        <w:fldChar w:fldCharType="end"/>
      </w:r>
      <w:r w:rsidRPr="008256DE">
        <w:t>)</w:t>
      </w:r>
    </w:p>
    <w:p w:rsidR="008256DE" w:rsidRPr="008256DE" w:rsidRDefault="008256DE" w:rsidP="008256DE">
      <w:pPr>
        <w:pStyle w:val="AERbulletlistfirststyle"/>
      </w:pPr>
      <w:r>
        <w:t>r</w:t>
      </w:r>
      <w:r w:rsidRPr="008256DE">
        <w:t xml:space="preserve">emaining tax asset lives (section </w:t>
      </w:r>
      <w:r w:rsidRPr="008256DE">
        <w:fldChar w:fldCharType="begin"/>
      </w:r>
      <w:r w:rsidRPr="008256DE">
        <w:instrText xml:space="preserve"> REF _Ref465675881 \r \h  \* MERGEFORMAT </w:instrText>
      </w:r>
      <w:r w:rsidRPr="008256DE">
        <w:fldChar w:fldCharType="separate"/>
      </w:r>
      <w:r w:rsidR="00DE2785">
        <w:t>8.4.3</w:t>
      </w:r>
      <w:r w:rsidRPr="008256DE">
        <w:fldChar w:fldCharType="end"/>
      </w:r>
      <w:r w:rsidRPr="008256DE">
        <w:t>)</w:t>
      </w:r>
    </w:p>
    <w:p w:rsidR="008256DE" w:rsidRPr="008256DE" w:rsidRDefault="008256DE" w:rsidP="008256DE">
      <w:pPr>
        <w:pStyle w:val="AERbulletlistfirststyle"/>
      </w:pPr>
      <w:r>
        <w:t>t</w:t>
      </w:r>
      <w:r w:rsidRPr="008256DE">
        <w:t>he value of imputation credits (gamma) (attachment 4).</w:t>
      </w:r>
    </w:p>
    <w:p w:rsidR="008256DE" w:rsidRDefault="008256DE" w:rsidP="008256DE">
      <w:pPr>
        <w:rPr>
          <w:rStyle w:val="AERbody"/>
        </w:rPr>
      </w:pPr>
      <w:r>
        <w:t>Our adjustments to the</w:t>
      </w:r>
      <w:r>
        <w:rPr>
          <w:rStyle w:val="AERbody"/>
        </w:rPr>
        <w:t xml:space="preserve"> return on capital (attachments 2 and 3), regulat</w:t>
      </w:r>
      <w:r w:rsidR="00ED35EE">
        <w:rPr>
          <w:rStyle w:val="AERbody"/>
        </w:rPr>
        <w:t>ory depreciation (attachment 5) and</w:t>
      </w:r>
      <w:r>
        <w:rPr>
          <w:rStyle w:val="AERbody"/>
        </w:rPr>
        <w:t xml:space="preserve"> forecast capex (attachment 6) and forecast opex (attachment 7) building block costs affect revenues, which in turn impacts the tax calculation</w:t>
      </w:r>
      <w:r w:rsidRPr="00F17F59">
        <w:rPr>
          <w:rStyle w:val="AERbody"/>
        </w:rPr>
        <w:t>.</w:t>
      </w:r>
      <w:r>
        <w:rPr>
          <w:rStyle w:val="FootnoteReference"/>
        </w:rPr>
        <w:footnoteReference w:id="3"/>
      </w:r>
      <w:r>
        <w:rPr>
          <w:rStyle w:val="AERbody"/>
        </w:rPr>
        <w:t xml:space="preserve"> </w:t>
      </w:r>
    </w:p>
    <w:p w:rsidR="003E03ED" w:rsidRDefault="008256DE" w:rsidP="008256DE">
      <w:pPr>
        <w:rPr>
          <w:rStyle w:val="AERbody"/>
        </w:rPr>
      </w:pPr>
      <w:r>
        <w:rPr>
          <w:rStyle w:val="AERbody"/>
        </w:rPr>
        <w:t>We do not approve the proposed opening TAB of $</w:t>
      </w:r>
      <w:r w:rsidR="00C30C66">
        <w:rPr>
          <w:rStyle w:val="AERbody"/>
        </w:rPr>
        <w:t>5</w:t>
      </w:r>
      <w:r w:rsidR="00ED35EE">
        <w:rPr>
          <w:rStyle w:val="AERbody"/>
        </w:rPr>
        <w:t>43.2</w:t>
      </w:r>
      <w:r w:rsidR="00C30C66">
        <w:rPr>
          <w:rStyle w:val="AERbody"/>
        </w:rPr>
        <w:t xml:space="preserve"> </w:t>
      </w:r>
      <w:r>
        <w:rPr>
          <w:rStyle w:val="AERbody"/>
        </w:rPr>
        <w:t>million ($</w:t>
      </w:r>
      <w:r w:rsidR="000024FF">
        <w:rPr>
          <w:rStyle w:val="AERbody"/>
        </w:rPr>
        <w:t> </w:t>
      </w:r>
      <w:r>
        <w:rPr>
          <w:rStyle w:val="AERbody"/>
        </w:rPr>
        <w:t xml:space="preserve">nominal) as at </w:t>
      </w:r>
      <w:r w:rsidR="000024FF">
        <w:rPr>
          <w:rStyle w:val="AERbody"/>
        </w:rPr>
        <w:t>1 </w:t>
      </w:r>
      <w:r w:rsidR="00107134">
        <w:rPr>
          <w:rStyle w:val="AERbody"/>
        </w:rPr>
        <w:t>January 2018</w:t>
      </w:r>
      <w:r>
        <w:rPr>
          <w:rStyle w:val="AERbody"/>
        </w:rPr>
        <w:t>.</w:t>
      </w:r>
      <w:r w:rsidR="00ED35EE">
        <w:rPr>
          <w:rStyle w:val="FootnoteReference"/>
        </w:rPr>
        <w:footnoteReference w:id="4"/>
      </w:r>
      <w:r>
        <w:rPr>
          <w:rStyle w:val="AERbody"/>
        </w:rPr>
        <w:t xml:space="preserve"> We instead determined an opening TAB of $</w:t>
      </w:r>
      <w:r w:rsidR="00B12FEE">
        <w:rPr>
          <w:rStyle w:val="AERbody"/>
        </w:rPr>
        <w:t>5</w:t>
      </w:r>
      <w:r w:rsidR="00ED35EE">
        <w:rPr>
          <w:rStyle w:val="AERbody"/>
        </w:rPr>
        <w:t>12.7</w:t>
      </w:r>
      <w:r>
        <w:rPr>
          <w:rStyle w:val="AERbody"/>
        </w:rPr>
        <w:t xml:space="preserve"> million ($</w:t>
      </w:r>
      <w:r w:rsidR="000024FF">
        <w:rPr>
          <w:rStyle w:val="AERbody"/>
        </w:rPr>
        <w:t> </w:t>
      </w:r>
      <w:r>
        <w:rPr>
          <w:rStyle w:val="AERbody"/>
        </w:rPr>
        <w:t xml:space="preserve">nominal). This is because we do not approve </w:t>
      </w:r>
      <w:r w:rsidR="00DC6828">
        <w:rPr>
          <w:rStyle w:val="AERbody"/>
        </w:rPr>
        <w:t>APA</w:t>
      </w:r>
      <w:r>
        <w:rPr>
          <w:rStyle w:val="AERbody"/>
        </w:rPr>
        <w:t xml:space="preserve">’s proposal to </w:t>
      </w:r>
      <w:r w:rsidR="00071A5F">
        <w:rPr>
          <w:rStyle w:val="AERbody"/>
        </w:rPr>
        <w:t xml:space="preserve">use </w:t>
      </w:r>
      <w:r w:rsidR="009A099D">
        <w:rPr>
          <w:rStyle w:val="AERbody"/>
        </w:rPr>
        <w:t>'</w:t>
      </w:r>
      <w:r w:rsidR="00071A5F" w:rsidRPr="00071A5F">
        <w:rPr>
          <w:rStyle w:val="AERbody"/>
        </w:rPr>
        <w:t>as</w:t>
      </w:r>
      <w:r w:rsidR="009A099D">
        <w:rPr>
          <w:rStyle w:val="AERbody"/>
        </w:rPr>
        <w:t>-</w:t>
      </w:r>
      <w:r w:rsidR="00071A5F" w:rsidRPr="00071A5F">
        <w:rPr>
          <w:rStyle w:val="AERbody"/>
        </w:rPr>
        <w:t>incurred</w:t>
      </w:r>
      <w:r w:rsidR="009A099D">
        <w:rPr>
          <w:rStyle w:val="AERbody"/>
        </w:rPr>
        <w:t>'</w:t>
      </w:r>
      <w:r w:rsidR="00071A5F" w:rsidRPr="00071A5F">
        <w:rPr>
          <w:rStyle w:val="AERbody"/>
        </w:rPr>
        <w:t xml:space="preserve"> </w:t>
      </w:r>
      <w:r w:rsidR="009A099D">
        <w:rPr>
          <w:rStyle w:val="AERbody"/>
        </w:rPr>
        <w:t xml:space="preserve">actual </w:t>
      </w:r>
      <w:r w:rsidR="00071A5F" w:rsidRPr="00071A5F">
        <w:rPr>
          <w:rStyle w:val="AERbody"/>
        </w:rPr>
        <w:t>capex</w:t>
      </w:r>
      <w:r w:rsidR="009A099D">
        <w:rPr>
          <w:rStyle w:val="AERbody"/>
        </w:rPr>
        <w:t xml:space="preserve"> and forecast tax depreciation</w:t>
      </w:r>
      <w:r w:rsidR="00071A5F" w:rsidRPr="00071A5F">
        <w:rPr>
          <w:rStyle w:val="AERbody"/>
        </w:rPr>
        <w:t xml:space="preserve"> </w:t>
      </w:r>
      <w:r w:rsidR="00071A5F">
        <w:rPr>
          <w:rStyle w:val="AERbody"/>
        </w:rPr>
        <w:t xml:space="preserve">to </w:t>
      </w:r>
      <w:r>
        <w:rPr>
          <w:rStyle w:val="AERbody"/>
        </w:rPr>
        <w:t xml:space="preserve">roll forward the TAB for the </w:t>
      </w:r>
      <w:r w:rsidR="00827814">
        <w:rPr>
          <w:rStyle w:val="AERbody"/>
        </w:rPr>
        <w:t>2013</w:t>
      </w:r>
      <w:r>
        <w:rPr>
          <w:rStyle w:val="AERbody"/>
        </w:rPr>
        <w:t>–17 access arrangement period.</w:t>
      </w:r>
      <w:r w:rsidR="00BD1FEF">
        <w:rPr>
          <w:rStyle w:val="FootnoteReference"/>
        </w:rPr>
        <w:footnoteReference w:id="5"/>
      </w:r>
      <w:r>
        <w:rPr>
          <w:rStyle w:val="AERbody"/>
        </w:rPr>
        <w:t xml:space="preserve"> </w:t>
      </w:r>
      <w:r w:rsidR="003E03ED">
        <w:rPr>
          <w:rStyle w:val="AERbody"/>
        </w:rPr>
        <w:t xml:space="preserve">Our draft decision is to use </w:t>
      </w:r>
      <w:r w:rsidR="009A099D">
        <w:rPr>
          <w:rStyle w:val="AERbody"/>
        </w:rPr>
        <w:t>'</w:t>
      </w:r>
      <w:r w:rsidR="003E03ED">
        <w:rPr>
          <w:rStyle w:val="AERbody"/>
        </w:rPr>
        <w:t>as</w:t>
      </w:r>
      <w:r w:rsidR="009A099D">
        <w:rPr>
          <w:rStyle w:val="AERbody"/>
        </w:rPr>
        <w:t>-</w:t>
      </w:r>
      <w:r w:rsidR="003E03ED">
        <w:rPr>
          <w:rStyle w:val="AERbody"/>
        </w:rPr>
        <w:t>commissioned</w:t>
      </w:r>
      <w:r w:rsidR="009A099D">
        <w:rPr>
          <w:rStyle w:val="AERbody"/>
        </w:rPr>
        <w:t>' actual</w:t>
      </w:r>
      <w:r w:rsidR="003E03ED">
        <w:rPr>
          <w:rStyle w:val="AERbody"/>
        </w:rPr>
        <w:t xml:space="preserve"> capex and actual tax depreciation to roll forward the TAB for the </w:t>
      </w:r>
      <w:r w:rsidR="003E03ED" w:rsidRPr="003E03ED">
        <w:rPr>
          <w:rStyle w:val="AERbody"/>
        </w:rPr>
        <w:t>2013–17 access arrangement period.</w:t>
      </w:r>
    </w:p>
    <w:p w:rsidR="008256DE" w:rsidRDefault="008256DE" w:rsidP="008256DE">
      <w:pPr>
        <w:rPr>
          <w:rStyle w:val="AERbody"/>
        </w:rPr>
      </w:pPr>
      <w:r>
        <w:rPr>
          <w:rStyle w:val="AERbody"/>
        </w:rPr>
        <w:t xml:space="preserve">We approve </w:t>
      </w:r>
      <w:r w:rsidR="00DC6828">
        <w:rPr>
          <w:rStyle w:val="AERbody"/>
        </w:rPr>
        <w:t>APA</w:t>
      </w:r>
      <w:r>
        <w:rPr>
          <w:rStyle w:val="AERbody"/>
        </w:rPr>
        <w:t xml:space="preserve">’s proposed standard tax asset lives for the </w:t>
      </w:r>
      <w:r w:rsidR="00DA0301">
        <w:rPr>
          <w:rStyle w:val="AERbody"/>
        </w:rPr>
        <w:t>2018</w:t>
      </w:r>
      <w:r>
        <w:rPr>
          <w:rStyle w:val="AERbody"/>
        </w:rPr>
        <w:t xml:space="preserve">–22 access arrangement period. They are consistent with the provisions of the </w:t>
      </w:r>
      <w:r w:rsidRPr="00672F19">
        <w:rPr>
          <w:rStyle w:val="AERtextitalic"/>
        </w:rPr>
        <w:t>Income Tax Assessment Act (ITAA) 1997</w:t>
      </w:r>
      <w:r>
        <w:rPr>
          <w:rStyle w:val="AERbody"/>
        </w:rPr>
        <w:t xml:space="preserve"> and the standard tax asset lives prescribed in the </w:t>
      </w:r>
      <w:r w:rsidRPr="00672F19">
        <w:rPr>
          <w:rStyle w:val="AERtextitalic"/>
        </w:rPr>
        <w:t>Tax Ruling 2016/1</w:t>
      </w:r>
      <w:r>
        <w:rPr>
          <w:rStyle w:val="AERbody"/>
        </w:rPr>
        <w:t>.</w:t>
      </w:r>
      <w:r>
        <w:rPr>
          <w:rStyle w:val="FootnoteReference"/>
        </w:rPr>
        <w:footnoteReference w:id="6"/>
      </w:r>
      <w:r>
        <w:rPr>
          <w:rStyle w:val="AERbody"/>
        </w:rPr>
        <w:t xml:space="preserve"> They are also consistent with the approved standard tax asset lives in the </w:t>
      </w:r>
      <w:r w:rsidR="00D86A73">
        <w:rPr>
          <w:rStyle w:val="AERbody"/>
        </w:rPr>
        <w:t>2013</w:t>
      </w:r>
      <w:r>
        <w:rPr>
          <w:rStyle w:val="AERbody"/>
        </w:rPr>
        <w:t xml:space="preserve">–17 access arrangement. </w:t>
      </w:r>
    </w:p>
    <w:p w:rsidR="008256DE" w:rsidRDefault="008256DE" w:rsidP="008256DE">
      <w:pPr>
        <w:rPr>
          <w:rStyle w:val="AERbody"/>
        </w:rPr>
      </w:pPr>
      <w:r>
        <w:rPr>
          <w:rStyle w:val="AERbody"/>
        </w:rPr>
        <w:t xml:space="preserve">We accept </w:t>
      </w:r>
      <w:r w:rsidR="00672F19">
        <w:rPr>
          <w:rStyle w:val="AERbody"/>
        </w:rPr>
        <w:t xml:space="preserve">APA's </w:t>
      </w:r>
      <w:r>
        <w:rPr>
          <w:rStyle w:val="AERbody"/>
        </w:rPr>
        <w:t xml:space="preserve">proposed weighted average method to calculate the remaining tax asset lives as at 1 </w:t>
      </w:r>
      <w:r w:rsidR="00107134">
        <w:rPr>
          <w:rStyle w:val="AERbody"/>
        </w:rPr>
        <w:t>January 2018</w:t>
      </w:r>
      <w:r>
        <w:rPr>
          <w:rStyle w:val="AERbody"/>
        </w:rPr>
        <w:t xml:space="preserve">. In accepting the weighted average method, we have updated </w:t>
      </w:r>
      <w:r w:rsidR="00672F19">
        <w:rPr>
          <w:rStyle w:val="AERbody"/>
        </w:rPr>
        <w:t xml:space="preserve">APA's </w:t>
      </w:r>
      <w:r>
        <w:rPr>
          <w:rStyle w:val="AERbody"/>
        </w:rPr>
        <w:t xml:space="preserve">proposed remaining tax asset lives as at 1 </w:t>
      </w:r>
      <w:r w:rsidR="00107134" w:rsidRPr="00107134">
        <w:rPr>
          <w:rStyle w:val="AERbody"/>
        </w:rPr>
        <w:t>January 2018</w:t>
      </w:r>
      <w:r>
        <w:rPr>
          <w:rStyle w:val="AERbody"/>
        </w:rPr>
        <w:t xml:space="preserve">. This is due to changes we have made to the roll forward of the opening TAB for the </w:t>
      </w:r>
      <w:r w:rsidR="00D86A73">
        <w:rPr>
          <w:rStyle w:val="AERbody"/>
        </w:rPr>
        <w:t>2013</w:t>
      </w:r>
      <w:r>
        <w:rPr>
          <w:rStyle w:val="AERbody"/>
        </w:rPr>
        <w:t xml:space="preserve">–17 access arrangement period and other inputs that </w:t>
      </w:r>
      <w:r w:rsidR="000024FF">
        <w:rPr>
          <w:rStyle w:val="AERbody"/>
        </w:rPr>
        <w:t xml:space="preserve">effect </w:t>
      </w:r>
      <w:r>
        <w:rPr>
          <w:rStyle w:val="AERbody"/>
        </w:rPr>
        <w:t xml:space="preserve">the calculation of the remaining tax asset lives in </w:t>
      </w:r>
      <w:r w:rsidR="00672F19">
        <w:rPr>
          <w:rStyle w:val="AERbody"/>
        </w:rPr>
        <w:t xml:space="preserve">APA's </w:t>
      </w:r>
      <w:r>
        <w:rPr>
          <w:rStyle w:val="AERbody"/>
        </w:rPr>
        <w:t xml:space="preserve">proposed RFM (section </w:t>
      </w:r>
      <w:r w:rsidR="00B22516">
        <w:fldChar w:fldCharType="begin"/>
      </w:r>
      <w:r w:rsidR="00B22516">
        <w:rPr>
          <w:rStyle w:val="AERbody"/>
        </w:rPr>
        <w:instrText xml:space="preserve"> REF _Ref482884373 \r \h </w:instrText>
      </w:r>
      <w:r w:rsidR="00B22516">
        <w:fldChar w:fldCharType="separate"/>
      </w:r>
      <w:r w:rsidR="00DE2785">
        <w:rPr>
          <w:rStyle w:val="AERbody"/>
        </w:rPr>
        <w:t>8.4.1</w:t>
      </w:r>
      <w:r w:rsidR="00B22516">
        <w:fldChar w:fldCharType="end"/>
      </w:r>
      <w:r>
        <w:t>)</w:t>
      </w:r>
      <w:r>
        <w:rPr>
          <w:rStyle w:val="AERbody"/>
        </w:rPr>
        <w:t>.</w:t>
      </w:r>
    </w:p>
    <w:p w:rsidR="008256DE" w:rsidRDefault="008256DE" w:rsidP="008256DE">
      <w:r>
        <w:rPr>
          <w:rStyle w:val="AERbody"/>
        </w:rPr>
        <w:t xml:space="preserve">In assessing </w:t>
      </w:r>
      <w:r w:rsidR="00672F19">
        <w:rPr>
          <w:rStyle w:val="AERbody"/>
        </w:rPr>
        <w:t xml:space="preserve">APA's </w:t>
      </w:r>
      <w:r>
        <w:rPr>
          <w:rStyle w:val="AERbody"/>
        </w:rPr>
        <w:t>proposal, we have had regard to the requirement</w:t>
      </w:r>
      <w:r w:rsidR="00C0155D">
        <w:rPr>
          <w:rStyle w:val="AERbody"/>
        </w:rPr>
        <w:t>s</w:t>
      </w:r>
      <w:r>
        <w:rPr>
          <w:rStyle w:val="AERbody"/>
        </w:rPr>
        <w:t xml:space="preserve"> of the NGO </w:t>
      </w:r>
      <w:r>
        <w:t>and the revenue and pricing principles.</w:t>
      </w:r>
      <w:r>
        <w:rPr>
          <w:rStyle w:val="FootnoteReference"/>
        </w:rPr>
        <w:footnoteReference w:id="7"/>
      </w:r>
      <w:r>
        <w:t xml:space="preserve"> </w:t>
      </w:r>
      <w:r w:rsidR="00B22516" w:rsidRPr="00B22516">
        <w:fldChar w:fldCharType="begin"/>
      </w:r>
      <w:r w:rsidR="00B22516" w:rsidRPr="00B22516">
        <w:instrText xml:space="preserve"> REF _Ref398553891 \h </w:instrText>
      </w:r>
      <w:r w:rsidR="00B22516" w:rsidRPr="00B22516">
        <w:fldChar w:fldCharType="separate"/>
      </w:r>
      <w:r w:rsidR="00DE2785" w:rsidRPr="00807DCF">
        <w:t xml:space="preserve">Table </w:t>
      </w:r>
      <w:r w:rsidR="00DE2785">
        <w:rPr>
          <w:noProof/>
        </w:rPr>
        <w:t>8</w:t>
      </w:r>
      <w:r w:rsidR="00DE2785" w:rsidRPr="00807DCF">
        <w:t>.</w:t>
      </w:r>
      <w:r w:rsidR="00DE2785">
        <w:rPr>
          <w:noProof/>
        </w:rPr>
        <w:t>1</w:t>
      </w:r>
      <w:r w:rsidR="00B22516" w:rsidRPr="00B22516">
        <w:fldChar w:fldCharType="end"/>
      </w:r>
      <w:r w:rsidR="00B22516" w:rsidRPr="00B22516">
        <w:t xml:space="preserve"> </w:t>
      </w:r>
      <w:r w:rsidR="00B22516" w:rsidRPr="00B22516">
        <w:rPr>
          <w:rStyle w:val="AERbody"/>
        </w:rPr>
        <w:t xml:space="preserve">sets out our draft decision on the estimated cost of corporate income tax allowance for </w:t>
      </w:r>
      <w:r w:rsidR="006B0421">
        <w:rPr>
          <w:rStyle w:val="AERbody"/>
        </w:rPr>
        <w:t>APA</w:t>
      </w:r>
      <w:r w:rsidR="00672F19">
        <w:rPr>
          <w:rStyle w:val="AERbody"/>
        </w:rPr>
        <w:t xml:space="preserve"> </w:t>
      </w:r>
      <w:r w:rsidR="00AB2DE0">
        <w:rPr>
          <w:rStyle w:val="AERbody"/>
        </w:rPr>
        <w:t>over the 2018–22 access arrangement period</w:t>
      </w:r>
      <w:r w:rsidR="00B22516" w:rsidRPr="00B22516">
        <w:rPr>
          <w:rStyle w:val="AERbody"/>
        </w:rPr>
        <w:t>.</w:t>
      </w:r>
    </w:p>
    <w:p w:rsidR="00AD7B8D" w:rsidRPr="00807DCF" w:rsidRDefault="00AD7B8D" w:rsidP="00AD7B8D">
      <w:pPr>
        <w:pStyle w:val="Caption"/>
      </w:pPr>
      <w:bookmarkStart w:id="73" w:name="_Ref398553891"/>
      <w:r w:rsidRPr="00807DCF">
        <w:t xml:space="preserve">Table </w:t>
      </w:r>
      <w:fldSimple w:instr=" STYLEREF 1 \s ">
        <w:r w:rsidR="00DE2785">
          <w:rPr>
            <w:noProof/>
          </w:rPr>
          <w:t>8</w:t>
        </w:r>
      </w:fldSimple>
      <w:r w:rsidRPr="00807DCF">
        <w:t>.</w:t>
      </w:r>
      <w:fldSimple w:instr=" SEQ Table \* ARABIC \s 1 ">
        <w:r w:rsidR="00DE2785">
          <w:rPr>
            <w:noProof/>
          </w:rPr>
          <w:t>1</w:t>
        </w:r>
      </w:fldSimple>
      <w:bookmarkEnd w:id="73"/>
      <w:r w:rsidRPr="00807DCF">
        <w:tab/>
        <w:t xml:space="preserve">AER’s draft decision on corporate income tax allowance for </w:t>
      </w:r>
      <w:r w:rsidR="006B0421">
        <w:t xml:space="preserve">APA </w:t>
      </w:r>
      <w:r w:rsidR="00AB2DE0">
        <w:t>over the 2018–22 access arrangement period</w:t>
      </w:r>
      <w:r w:rsidRPr="00807DCF">
        <w:t xml:space="preserve"> </w:t>
      </w:r>
      <w:r w:rsidR="00B50C8A" w:rsidRPr="00807DCF">
        <w:t>($million, nominal)</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CC13E5" w:rsidRPr="008D4B9C" w:rsidTr="00AF704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CC13E5" w:rsidRPr="008D4B9C" w:rsidRDefault="00CC13E5" w:rsidP="00CC13E5"/>
        </w:tc>
        <w:tc>
          <w:tcPr>
            <w:tcW w:w="933"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t>2</w:t>
            </w:r>
            <w:r w:rsidRPr="00CC13E5">
              <w:t>018</w:t>
            </w:r>
          </w:p>
        </w:tc>
        <w:tc>
          <w:tcPr>
            <w:tcW w:w="934"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t>2</w:t>
            </w:r>
            <w:r w:rsidRPr="00CC13E5">
              <w:t>019</w:t>
            </w:r>
          </w:p>
        </w:tc>
        <w:tc>
          <w:tcPr>
            <w:tcW w:w="934"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t>2</w:t>
            </w:r>
            <w:r w:rsidRPr="00CC13E5">
              <w:t>020</w:t>
            </w:r>
          </w:p>
        </w:tc>
        <w:tc>
          <w:tcPr>
            <w:tcW w:w="934"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t>2</w:t>
            </w:r>
            <w:r w:rsidRPr="00CC13E5">
              <w:t>021</w:t>
            </w:r>
          </w:p>
        </w:tc>
        <w:tc>
          <w:tcPr>
            <w:tcW w:w="934"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t>2</w:t>
            </w:r>
            <w:r w:rsidRPr="00CC13E5">
              <w:t>022</w:t>
            </w:r>
          </w:p>
        </w:tc>
        <w:tc>
          <w:tcPr>
            <w:tcW w:w="934" w:type="dxa"/>
          </w:tcPr>
          <w:p w:rsidR="00CC13E5" w:rsidRPr="00CC13E5" w:rsidRDefault="00CC13E5" w:rsidP="00CC13E5">
            <w:pPr>
              <w:cnfStyle w:val="100000000000" w:firstRow="1" w:lastRow="0" w:firstColumn="0" w:lastColumn="0" w:oddVBand="0" w:evenVBand="0" w:oddHBand="0" w:evenHBand="0" w:firstRowFirstColumn="0" w:firstRowLastColumn="0" w:lastRowFirstColumn="0" w:lastRowLastColumn="0"/>
            </w:pPr>
            <w:r w:rsidRPr="008D4B9C">
              <w:t>Total</w:t>
            </w:r>
          </w:p>
        </w:tc>
      </w:tr>
      <w:tr w:rsidR="003F3E17" w:rsidRPr="008D4B9C" w:rsidTr="003E03ED">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3F3E17" w:rsidRPr="003F3E17" w:rsidRDefault="003F3E17" w:rsidP="003F3E17">
            <w:r w:rsidRPr="003F3E17">
              <w:t>Tax payable</w:t>
            </w:r>
          </w:p>
        </w:tc>
        <w:tc>
          <w:tcPr>
            <w:tcW w:w="933"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2.2</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2.5</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3.1</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2.3</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0.8</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10.9</w:t>
            </w:r>
          </w:p>
        </w:tc>
      </w:tr>
      <w:tr w:rsidR="003F3E17" w:rsidRPr="008D4B9C" w:rsidTr="003E03ED">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3F3E17" w:rsidRPr="003F3E17" w:rsidRDefault="003F3E17" w:rsidP="003F3E17">
            <w:r w:rsidRPr="003F3E17">
              <w:rPr>
                <w:rStyle w:val="AERtextitalic"/>
              </w:rPr>
              <w:t>Less:</w:t>
            </w:r>
            <w:r w:rsidRPr="003F3E17">
              <w:t xml:space="preserve"> value of imputation credits</w:t>
            </w:r>
          </w:p>
        </w:tc>
        <w:tc>
          <w:tcPr>
            <w:tcW w:w="933"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0.9</w:t>
            </w:r>
          </w:p>
        </w:tc>
        <w:tc>
          <w:tcPr>
            <w:tcW w:w="934"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1.0</w:t>
            </w:r>
          </w:p>
        </w:tc>
        <w:tc>
          <w:tcPr>
            <w:tcW w:w="934"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1.2</w:t>
            </w:r>
          </w:p>
        </w:tc>
        <w:tc>
          <w:tcPr>
            <w:tcW w:w="934"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0.9</w:t>
            </w:r>
          </w:p>
        </w:tc>
        <w:tc>
          <w:tcPr>
            <w:tcW w:w="934"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0.3</w:t>
            </w:r>
          </w:p>
        </w:tc>
        <w:tc>
          <w:tcPr>
            <w:tcW w:w="934"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4.4</w:t>
            </w:r>
          </w:p>
        </w:tc>
      </w:tr>
      <w:tr w:rsidR="003F3E17" w:rsidRPr="003F3E17" w:rsidTr="003E03ED">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3F3E17" w:rsidRPr="003F3E17" w:rsidRDefault="003F3E17" w:rsidP="003F3E17">
            <w:pPr>
              <w:rPr>
                <w:rStyle w:val="Strong"/>
              </w:rPr>
            </w:pPr>
            <w:r w:rsidRPr="003F3E17">
              <w:rPr>
                <w:rStyle w:val="Strong"/>
              </w:rPr>
              <w:t>Net corporate income tax allowance</w:t>
            </w:r>
          </w:p>
        </w:tc>
        <w:tc>
          <w:tcPr>
            <w:tcW w:w="933"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1.3</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1.5</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1.9</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1.4</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0.5</w:t>
            </w:r>
          </w:p>
        </w:tc>
        <w:tc>
          <w:tcPr>
            <w:tcW w:w="934"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6.5</w:t>
            </w:r>
          </w:p>
        </w:tc>
      </w:tr>
    </w:tbl>
    <w:p w:rsidR="00AD7B8D" w:rsidRPr="005F5B41" w:rsidRDefault="00AD7B8D" w:rsidP="00AD7B8D">
      <w:pPr>
        <w:pStyle w:val="AERtablesource"/>
      </w:pPr>
      <w:r w:rsidRPr="00FD50DB">
        <w:t xml:space="preserve">Source: </w:t>
      </w:r>
      <w:r w:rsidRPr="00FD50DB">
        <w:tab/>
        <w:t>AER analysis.</w:t>
      </w:r>
    </w:p>
    <w:p w:rsidR="00132D43" w:rsidRDefault="00672F19" w:rsidP="00132D43">
      <w:pPr>
        <w:pStyle w:val="Heading2"/>
      </w:pPr>
      <w:bookmarkStart w:id="74" w:name="_Toc486855399"/>
      <w:r>
        <w:t xml:space="preserve">APA's </w:t>
      </w:r>
      <w:r w:rsidR="00132D43">
        <w:t>proposal</w:t>
      </w:r>
      <w:bookmarkEnd w:id="74"/>
    </w:p>
    <w:p w:rsidR="005F009F" w:rsidRDefault="006B0421" w:rsidP="005F009F">
      <w:r>
        <w:t xml:space="preserve">APA </w:t>
      </w:r>
      <w:r w:rsidR="005F009F">
        <w:t>proposed a corporate income tax allowance of $</w:t>
      </w:r>
      <w:r w:rsidR="00107134">
        <w:t>2</w:t>
      </w:r>
      <w:r w:rsidR="003F3E17">
        <w:t>2.9</w:t>
      </w:r>
      <w:r w:rsidR="00107134">
        <w:t xml:space="preserve"> </w:t>
      </w:r>
      <w:r w:rsidR="005F009F">
        <w:t>million ($</w:t>
      </w:r>
      <w:r w:rsidR="000024FF">
        <w:t> </w:t>
      </w:r>
      <w:r w:rsidR="005F009F">
        <w:t xml:space="preserve">nominal) for the </w:t>
      </w:r>
      <w:r w:rsidR="00DA0301">
        <w:t>2018</w:t>
      </w:r>
      <w:r w:rsidR="005F009F">
        <w:t xml:space="preserve">–22 access arrangement period </w:t>
      </w:r>
      <w:r w:rsidR="005F009F" w:rsidRPr="00FD50DB">
        <w:t>as set out in</w:t>
      </w:r>
      <w:r w:rsidR="005F009F">
        <w:t xml:space="preserve"> </w:t>
      </w:r>
      <w:r w:rsidR="005F009F">
        <w:fldChar w:fldCharType="begin"/>
      </w:r>
      <w:r w:rsidR="005F009F">
        <w:instrText xml:space="preserve"> REF  _Ref398279252 \* Lower \h  \* MERGEFORMAT </w:instrText>
      </w:r>
      <w:r w:rsidR="005F009F">
        <w:fldChar w:fldCharType="separate"/>
      </w:r>
      <w:r w:rsidR="00DE2785" w:rsidRPr="00C51656">
        <w:t xml:space="preserve">table </w:t>
      </w:r>
      <w:r w:rsidR="00DE2785">
        <w:t>8</w:t>
      </w:r>
      <w:r w:rsidR="00DE2785" w:rsidRPr="00C51656">
        <w:t>.</w:t>
      </w:r>
      <w:r w:rsidR="00DE2785">
        <w:t>2</w:t>
      </w:r>
      <w:r w:rsidR="005F009F">
        <w:fldChar w:fldCharType="end"/>
      </w:r>
      <w:r w:rsidR="005F009F" w:rsidRPr="00FD50DB">
        <w:t>.</w:t>
      </w:r>
      <w:r w:rsidR="005F009F">
        <w:t xml:space="preserve"> It used the PTRM to calculate the corporate income tax allowance for each year of the </w:t>
      </w:r>
      <w:r w:rsidR="00DA0301">
        <w:t>2018</w:t>
      </w:r>
      <w:r w:rsidR="005F009F">
        <w:t xml:space="preserve">–22 access arrangement period. In estimating its corporate income tax allowance, </w:t>
      </w:r>
      <w:r>
        <w:t xml:space="preserve">APA </w:t>
      </w:r>
      <w:r w:rsidR="005F009F">
        <w:t>used:</w:t>
      </w:r>
    </w:p>
    <w:p w:rsidR="005F009F" w:rsidRPr="005F009F" w:rsidRDefault="005F009F" w:rsidP="005F009F">
      <w:pPr>
        <w:pStyle w:val="AERbulletlistfirststyle"/>
      </w:pPr>
      <w:r w:rsidRPr="003A718F">
        <w:t>a</w:t>
      </w:r>
      <w:r w:rsidRPr="005F009F">
        <w:t>n opening TAB of $</w:t>
      </w:r>
      <w:r w:rsidR="00107134">
        <w:t>5</w:t>
      </w:r>
      <w:r w:rsidR="003F3E17">
        <w:t>43.2</w:t>
      </w:r>
      <w:r w:rsidR="00107134">
        <w:t xml:space="preserve"> </w:t>
      </w:r>
      <w:r w:rsidRPr="005F009F">
        <w:t>million ($</w:t>
      </w:r>
      <w:r w:rsidR="000024FF">
        <w:t> </w:t>
      </w:r>
      <w:r w:rsidRPr="005F009F">
        <w:t xml:space="preserve">nominal) as at 1 </w:t>
      </w:r>
      <w:r w:rsidR="00107134" w:rsidRPr="00107134">
        <w:rPr>
          <w:rStyle w:val="AERbody"/>
        </w:rPr>
        <w:t>January 2018</w:t>
      </w:r>
      <w:r w:rsidRPr="005F009F">
        <w:t xml:space="preserve"> (as shown in </w:t>
      </w:r>
      <w:r w:rsidRPr="005F009F">
        <w:fldChar w:fldCharType="begin"/>
      </w:r>
      <w:r w:rsidRPr="005F009F">
        <w:instrText xml:space="preserve"> REF _Ref398551924 \h </w:instrText>
      </w:r>
      <w:r w:rsidRPr="005F009F">
        <w:fldChar w:fldCharType="separate"/>
      </w:r>
      <w:r w:rsidR="00DE2785" w:rsidRPr="00C51656">
        <w:t xml:space="preserve">Table </w:t>
      </w:r>
      <w:r w:rsidR="00DE2785">
        <w:rPr>
          <w:noProof/>
        </w:rPr>
        <w:t>8</w:t>
      </w:r>
      <w:r w:rsidR="00DE2785" w:rsidRPr="00C51656">
        <w:t>.</w:t>
      </w:r>
      <w:r w:rsidR="00DE2785">
        <w:rPr>
          <w:noProof/>
        </w:rPr>
        <w:t>3</w:t>
      </w:r>
      <w:r w:rsidRPr="005F009F">
        <w:fldChar w:fldCharType="end"/>
      </w:r>
      <w:r w:rsidRPr="005F009F">
        <w:t xml:space="preserve">) </w:t>
      </w:r>
    </w:p>
    <w:p w:rsidR="005F009F" w:rsidRPr="005F009F" w:rsidRDefault="005F009F" w:rsidP="005F009F">
      <w:pPr>
        <w:pStyle w:val="AERbulletlistfirststyle"/>
      </w:pPr>
      <w:r w:rsidRPr="003A718F">
        <w:t>an expected statutory income</w:t>
      </w:r>
      <w:r w:rsidRPr="005F009F">
        <w:t xml:space="preserve"> tax rate of 30 per cent per year</w:t>
      </w:r>
    </w:p>
    <w:p w:rsidR="005F009F" w:rsidRPr="005F009F" w:rsidRDefault="005F009F" w:rsidP="005F009F">
      <w:pPr>
        <w:pStyle w:val="AERbulletlistfirststyle"/>
      </w:pPr>
      <w:r w:rsidRPr="003A718F">
        <w:t>a value for the assumed utilisation of imputation credits (gamma) of 0.25</w:t>
      </w:r>
    </w:p>
    <w:p w:rsidR="005F009F" w:rsidRPr="005F009F" w:rsidRDefault="005F009F" w:rsidP="005F009F">
      <w:pPr>
        <w:pStyle w:val="AERbulletlistfirststyle"/>
      </w:pPr>
      <w:r w:rsidRPr="003A718F">
        <w:t xml:space="preserve">the standard tax asset lives </w:t>
      </w:r>
      <w:r w:rsidRPr="005F009F">
        <w:t>as approved for the 201</w:t>
      </w:r>
      <w:r w:rsidR="00D86A73">
        <w:t>3</w:t>
      </w:r>
      <w:r w:rsidRPr="005F009F">
        <w:t>–17 access arrangement</w:t>
      </w:r>
    </w:p>
    <w:p w:rsidR="005F009F" w:rsidRPr="005F009F" w:rsidRDefault="005F009F" w:rsidP="005F009F">
      <w:pPr>
        <w:pStyle w:val="AERbulletlistfirststyle"/>
      </w:pPr>
      <w:r>
        <w:t xml:space="preserve">the </w:t>
      </w:r>
      <w:r w:rsidRPr="005F009F">
        <w:t>remaining tax asset lives which were calculated using a weighted average remaining life approach as contained in its proposed RFM.</w:t>
      </w:r>
    </w:p>
    <w:p w:rsidR="005F009F" w:rsidRPr="005F009F" w:rsidRDefault="006B0421" w:rsidP="00890A19">
      <w:r>
        <w:t xml:space="preserve">APA </w:t>
      </w:r>
      <w:r w:rsidR="005F009F" w:rsidRPr="005E1141">
        <w:t xml:space="preserve">used the AER's RFM for rolling forward the TAB over the </w:t>
      </w:r>
      <w:r w:rsidR="00D86A73" w:rsidRPr="005E1141">
        <w:t>2013</w:t>
      </w:r>
      <w:r w:rsidR="005F009F" w:rsidRPr="005E1141">
        <w:t xml:space="preserve">–17 access arrangement period. However, it amended the RFM to </w:t>
      </w:r>
      <w:r w:rsidR="000B4D1B" w:rsidRPr="005E1141">
        <w:t>use as</w:t>
      </w:r>
      <w:r w:rsidR="00DC0369" w:rsidRPr="005E1141">
        <w:t>-incurred</w:t>
      </w:r>
      <w:r w:rsidR="005E1141">
        <w:t xml:space="preserve"> actual</w:t>
      </w:r>
      <w:r w:rsidR="000B4D1B" w:rsidRPr="005E1141">
        <w:t xml:space="preserve"> capex </w:t>
      </w:r>
      <w:r w:rsidR="005E1141">
        <w:t xml:space="preserve">and forecast tax depreciation </w:t>
      </w:r>
      <w:r w:rsidR="00071A5F" w:rsidRPr="005E1141">
        <w:t xml:space="preserve">to </w:t>
      </w:r>
      <w:r w:rsidR="005F009F" w:rsidRPr="005E1141">
        <w:t>roll forward the TAB.</w:t>
      </w:r>
      <w:r w:rsidR="005F009F" w:rsidRPr="005F009F">
        <w:rPr>
          <w:rStyle w:val="FootnoteReference"/>
        </w:rPr>
        <w:footnoteReference w:id="8"/>
      </w:r>
    </w:p>
    <w:p w:rsidR="005F009F" w:rsidRPr="00C51656" w:rsidRDefault="005F009F" w:rsidP="005F009F">
      <w:pPr>
        <w:pStyle w:val="Caption"/>
      </w:pPr>
      <w:bookmarkStart w:id="75" w:name="_Ref398279252"/>
      <w:bookmarkStart w:id="76" w:name="_Ref398907457"/>
      <w:r w:rsidRPr="00C51656">
        <w:t xml:space="preserve">Table </w:t>
      </w:r>
      <w:fldSimple w:instr=" STYLEREF 1 \s ">
        <w:r w:rsidR="00DE2785">
          <w:rPr>
            <w:noProof/>
          </w:rPr>
          <w:t>8</w:t>
        </w:r>
      </w:fldSimple>
      <w:r w:rsidRPr="00C51656">
        <w:t>.</w:t>
      </w:r>
      <w:fldSimple w:instr=" SEQ Table \* ARABIC \s 1 ">
        <w:r w:rsidR="00DE2785">
          <w:rPr>
            <w:noProof/>
          </w:rPr>
          <w:t>2</w:t>
        </w:r>
      </w:fldSimple>
      <w:bookmarkEnd w:id="75"/>
      <w:r w:rsidRPr="00C51656">
        <w:tab/>
      </w:r>
      <w:r w:rsidR="00672F19">
        <w:t xml:space="preserve">APA </w:t>
      </w:r>
      <w:r w:rsidRPr="00C51656">
        <w:t xml:space="preserve">proposed corporate income tax allowance for the </w:t>
      </w:r>
      <w:r w:rsidR="00DA0301">
        <w:t>2018</w:t>
      </w:r>
      <w:r w:rsidRPr="00C51656">
        <w:t>–2</w:t>
      </w:r>
      <w:r>
        <w:t>2</w:t>
      </w:r>
      <w:r w:rsidRPr="00C51656">
        <w:t xml:space="preserve"> access arrangement period ($million, nominal)</w:t>
      </w:r>
      <w:bookmarkEnd w:id="76"/>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5F009F" w:rsidRPr="00912CB0" w:rsidTr="00AF7045">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5F009F" w:rsidRPr="00912CB0" w:rsidRDefault="005F009F" w:rsidP="005F009F"/>
        </w:tc>
        <w:tc>
          <w:tcPr>
            <w:tcW w:w="937" w:type="dxa"/>
            <w:hideMark/>
          </w:tcPr>
          <w:p w:rsidR="005F009F" w:rsidRPr="005F009F" w:rsidRDefault="00D86A73" w:rsidP="005F009F">
            <w:pPr>
              <w:cnfStyle w:val="100000000000" w:firstRow="1" w:lastRow="0" w:firstColumn="0" w:lastColumn="0" w:oddVBand="0" w:evenVBand="0" w:oddHBand="0" w:evenHBand="0" w:firstRowFirstColumn="0" w:firstRowLastColumn="0" w:lastRowFirstColumn="0" w:lastRowLastColumn="0"/>
            </w:pPr>
            <w:r>
              <w:t>2018</w:t>
            </w:r>
          </w:p>
        </w:tc>
        <w:tc>
          <w:tcPr>
            <w:tcW w:w="938" w:type="dxa"/>
            <w:hideMark/>
          </w:tcPr>
          <w:p w:rsidR="005F009F" w:rsidRPr="005F009F" w:rsidRDefault="00D86A73" w:rsidP="005F009F">
            <w:pPr>
              <w:cnfStyle w:val="100000000000" w:firstRow="1" w:lastRow="0" w:firstColumn="0" w:lastColumn="0" w:oddVBand="0" w:evenVBand="0" w:oddHBand="0" w:evenHBand="0" w:firstRowFirstColumn="0" w:firstRowLastColumn="0" w:lastRowFirstColumn="0" w:lastRowLastColumn="0"/>
            </w:pPr>
            <w:r>
              <w:t>20</w:t>
            </w:r>
            <w:r w:rsidR="005F009F" w:rsidRPr="005F009F">
              <w:t>19</w:t>
            </w:r>
          </w:p>
        </w:tc>
        <w:tc>
          <w:tcPr>
            <w:tcW w:w="938" w:type="dxa"/>
            <w:hideMark/>
          </w:tcPr>
          <w:p w:rsidR="005F009F" w:rsidRPr="005F009F" w:rsidRDefault="00D86A73" w:rsidP="005F009F">
            <w:pPr>
              <w:cnfStyle w:val="100000000000" w:firstRow="1" w:lastRow="0" w:firstColumn="0" w:lastColumn="0" w:oddVBand="0" w:evenVBand="0" w:oddHBand="0" w:evenHBand="0" w:firstRowFirstColumn="0" w:firstRowLastColumn="0" w:lastRowFirstColumn="0" w:lastRowLastColumn="0"/>
            </w:pPr>
            <w:r>
              <w:t>20</w:t>
            </w:r>
            <w:r w:rsidR="005F009F" w:rsidRPr="005F009F">
              <w:t>20</w:t>
            </w:r>
          </w:p>
        </w:tc>
        <w:tc>
          <w:tcPr>
            <w:tcW w:w="938" w:type="dxa"/>
            <w:hideMark/>
          </w:tcPr>
          <w:p w:rsidR="005F009F" w:rsidRPr="005F009F" w:rsidRDefault="00D86A73" w:rsidP="005F009F">
            <w:pPr>
              <w:cnfStyle w:val="100000000000" w:firstRow="1" w:lastRow="0" w:firstColumn="0" w:lastColumn="0" w:oddVBand="0" w:evenVBand="0" w:oddHBand="0" w:evenHBand="0" w:firstRowFirstColumn="0" w:firstRowLastColumn="0" w:lastRowFirstColumn="0" w:lastRowLastColumn="0"/>
            </w:pPr>
            <w:r>
              <w:t>20</w:t>
            </w:r>
            <w:r w:rsidR="005F009F" w:rsidRPr="005F009F">
              <w:t>21</w:t>
            </w:r>
          </w:p>
        </w:tc>
        <w:tc>
          <w:tcPr>
            <w:tcW w:w="938" w:type="dxa"/>
            <w:hideMark/>
          </w:tcPr>
          <w:p w:rsidR="005F009F" w:rsidRPr="005F009F" w:rsidRDefault="00D86A73" w:rsidP="005F009F">
            <w:pPr>
              <w:cnfStyle w:val="100000000000" w:firstRow="1" w:lastRow="0" w:firstColumn="0" w:lastColumn="0" w:oddVBand="0" w:evenVBand="0" w:oddHBand="0" w:evenHBand="0" w:firstRowFirstColumn="0" w:firstRowLastColumn="0" w:lastRowFirstColumn="0" w:lastRowLastColumn="0"/>
            </w:pPr>
            <w:r>
              <w:t>20</w:t>
            </w:r>
            <w:r w:rsidR="005F009F" w:rsidRPr="005F009F">
              <w:t>22</w:t>
            </w:r>
          </w:p>
        </w:tc>
        <w:tc>
          <w:tcPr>
            <w:tcW w:w="938" w:type="dxa"/>
          </w:tcPr>
          <w:p w:rsidR="005F009F" w:rsidRPr="005F009F" w:rsidRDefault="005F009F" w:rsidP="005F009F">
            <w:pPr>
              <w:cnfStyle w:val="100000000000" w:firstRow="1" w:lastRow="0" w:firstColumn="0" w:lastColumn="0" w:oddVBand="0" w:evenVBand="0" w:oddHBand="0" w:evenHBand="0" w:firstRowFirstColumn="0" w:firstRowLastColumn="0" w:lastRowFirstColumn="0" w:lastRowLastColumn="0"/>
            </w:pPr>
            <w:r w:rsidRPr="005F009F">
              <w:t>Total</w:t>
            </w:r>
          </w:p>
        </w:tc>
      </w:tr>
      <w:tr w:rsidR="003F3E17" w:rsidRPr="00912CB0" w:rsidTr="007B640A">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3F3E17" w:rsidRPr="003F3E17" w:rsidRDefault="003F3E17" w:rsidP="003F3E17">
            <w:r w:rsidRPr="003F3E17">
              <w:t>Tax payable</w:t>
            </w:r>
          </w:p>
        </w:tc>
        <w:tc>
          <w:tcPr>
            <w:tcW w:w="937"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6.0</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6.5</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7.0</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6.2</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4.8</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pPr>
            <w:r w:rsidRPr="003F3E17">
              <w:t>30.5</w:t>
            </w:r>
          </w:p>
        </w:tc>
      </w:tr>
      <w:tr w:rsidR="003F3E17" w:rsidRPr="00912CB0" w:rsidTr="007B640A">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3F3E17" w:rsidRPr="003F3E17" w:rsidRDefault="003F3E17" w:rsidP="003F3E17">
            <w:r w:rsidRPr="003F3E17">
              <w:rPr>
                <w:rStyle w:val="AERtextitalic"/>
              </w:rPr>
              <w:t>Less:</w:t>
            </w:r>
            <w:r w:rsidRPr="003F3E17">
              <w:t xml:space="preserve"> Value of imputation credits</w:t>
            </w:r>
          </w:p>
        </w:tc>
        <w:tc>
          <w:tcPr>
            <w:tcW w:w="937"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1.5</w:t>
            </w:r>
          </w:p>
        </w:tc>
        <w:tc>
          <w:tcPr>
            <w:tcW w:w="938"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1.6</w:t>
            </w:r>
          </w:p>
        </w:tc>
        <w:tc>
          <w:tcPr>
            <w:tcW w:w="938"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1.8</w:t>
            </w:r>
          </w:p>
        </w:tc>
        <w:tc>
          <w:tcPr>
            <w:tcW w:w="938"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1.6</w:t>
            </w:r>
          </w:p>
        </w:tc>
        <w:tc>
          <w:tcPr>
            <w:tcW w:w="938"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1.2</w:t>
            </w:r>
          </w:p>
        </w:tc>
        <w:tc>
          <w:tcPr>
            <w:tcW w:w="938" w:type="dxa"/>
            <w:vAlign w:val="bottom"/>
          </w:tcPr>
          <w:p w:rsidR="003F3E17" w:rsidRPr="003F3E17" w:rsidRDefault="003F3E17" w:rsidP="003F3E17">
            <w:pPr>
              <w:cnfStyle w:val="000000010000" w:firstRow="0" w:lastRow="0" w:firstColumn="0" w:lastColumn="0" w:oddVBand="0" w:evenVBand="0" w:oddHBand="0" w:evenHBand="1" w:firstRowFirstColumn="0" w:firstRowLastColumn="0" w:lastRowFirstColumn="0" w:lastRowLastColumn="0"/>
            </w:pPr>
            <w:r w:rsidRPr="003F3E17">
              <w:t>7.6</w:t>
            </w:r>
          </w:p>
        </w:tc>
      </w:tr>
      <w:tr w:rsidR="003F3E17" w:rsidRPr="003F3E17" w:rsidTr="00AE05BF">
        <w:trPr>
          <w:trHeight w:val="558"/>
        </w:trPr>
        <w:tc>
          <w:tcPr>
            <w:cnfStyle w:val="001000000000" w:firstRow="0" w:lastRow="0" w:firstColumn="1" w:lastColumn="0" w:oddVBand="0" w:evenVBand="0" w:oddHBand="0" w:evenHBand="0" w:firstRowFirstColumn="0" w:firstRowLastColumn="0" w:lastRowFirstColumn="0" w:lastRowLastColumn="0"/>
            <w:tcW w:w="3085" w:type="dxa"/>
            <w:hideMark/>
          </w:tcPr>
          <w:p w:rsidR="003F3E17" w:rsidRPr="003F3E17" w:rsidRDefault="003F3E17" w:rsidP="003F3E17">
            <w:pPr>
              <w:rPr>
                <w:rStyle w:val="Strong"/>
              </w:rPr>
            </w:pPr>
            <w:r w:rsidRPr="003F3E17">
              <w:rPr>
                <w:rStyle w:val="Strong"/>
              </w:rPr>
              <w:t>Net corporate income tax allowance</w:t>
            </w:r>
          </w:p>
        </w:tc>
        <w:tc>
          <w:tcPr>
            <w:tcW w:w="937"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4.5</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4.9</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5.3</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4.7</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3.6</w:t>
            </w:r>
          </w:p>
        </w:tc>
        <w:tc>
          <w:tcPr>
            <w:tcW w:w="938" w:type="dxa"/>
            <w:vAlign w:val="bottom"/>
          </w:tcPr>
          <w:p w:rsidR="003F3E17" w:rsidRPr="003F3E17" w:rsidRDefault="003F3E17" w:rsidP="003F3E17">
            <w:pPr>
              <w:cnfStyle w:val="000000000000" w:firstRow="0" w:lastRow="0" w:firstColumn="0" w:lastColumn="0" w:oddVBand="0" w:evenVBand="0" w:oddHBand="0" w:evenHBand="0" w:firstRowFirstColumn="0" w:firstRowLastColumn="0" w:lastRowFirstColumn="0" w:lastRowLastColumn="0"/>
              <w:rPr>
                <w:rStyle w:val="Strong"/>
              </w:rPr>
            </w:pPr>
            <w:r w:rsidRPr="003F3E17">
              <w:rPr>
                <w:rStyle w:val="Strong"/>
              </w:rPr>
              <w:t>22.9</w:t>
            </w:r>
          </w:p>
        </w:tc>
      </w:tr>
    </w:tbl>
    <w:p w:rsidR="005F009F" w:rsidRDefault="005F009F" w:rsidP="00EC5163">
      <w:pPr>
        <w:pStyle w:val="AERtablesource"/>
      </w:pPr>
      <w:r w:rsidRPr="005F009F">
        <w:rPr>
          <w:rFonts w:eastAsia="Calibri"/>
        </w:rPr>
        <w:t xml:space="preserve">Source: </w:t>
      </w:r>
      <w:r w:rsidRPr="005F009F">
        <w:rPr>
          <w:rFonts w:eastAsia="Calibri"/>
        </w:rPr>
        <w:tab/>
      </w:r>
      <w:hyperlink r:id="rId16" w:history="1">
        <w:r w:rsidR="00EC5163" w:rsidRPr="008B2E6B">
          <w:rPr>
            <w:rStyle w:val="Hyperlink"/>
            <w:rFonts w:eastAsiaTheme="majorEastAsia"/>
            <w:color w:val="auto"/>
            <w:sz w:val="16"/>
            <w:u w:val="none"/>
          </w:rPr>
          <w:t xml:space="preserve">APA VTS, </w:t>
        </w:r>
        <w:r w:rsidR="00EC5163" w:rsidRPr="008B2E6B">
          <w:rPr>
            <w:rStyle w:val="AERtextitalic"/>
            <w:rFonts w:eastAsiaTheme="majorEastAsia"/>
          </w:rPr>
          <w:t>B4 - APA Post Tax Revenue Model revised with WORM (includes 3 March 2017 updates for inflation in response to AER information request IR003</w:t>
        </w:r>
        <w:r w:rsidR="006F14E4" w:rsidRPr="006F14E4">
          <w:rPr>
            <w:rStyle w:val="AERtextitalic"/>
            <w:rFonts w:eastAsiaTheme="majorEastAsia"/>
          </w:rPr>
          <w:t>)</w:t>
        </w:r>
        <w:r w:rsidR="006F14E4" w:rsidRPr="00EC5163">
          <w:rPr>
            <w:rStyle w:val="Hyperlink"/>
            <w:rFonts w:eastAsiaTheme="majorEastAsia"/>
            <w:color w:val="auto"/>
            <w:sz w:val="16"/>
            <w:u w:val="none"/>
          </w:rPr>
          <w:t>,</w:t>
        </w:r>
        <w:r w:rsidR="00EC5163" w:rsidRPr="008B2E6B">
          <w:rPr>
            <w:rStyle w:val="Hyperlink"/>
            <w:rFonts w:eastAsiaTheme="majorEastAsia"/>
            <w:color w:val="auto"/>
            <w:sz w:val="16"/>
            <w:u w:val="none"/>
          </w:rPr>
          <w:t xml:space="preserve"> 16 May 2017</w:t>
        </w:r>
      </w:hyperlink>
      <w:r w:rsidR="003F3E17" w:rsidRPr="003F3E17">
        <w:rPr>
          <w:rStyle w:val="AERtextitalic"/>
        </w:rPr>
        <w:t>.</w:t>
      </w:r>
    </w:p>
    <w:p w:rsidR="005F009F" w:rsidRPr="00FD50DB" w:rsidRDefault="005F009F" w:rsidP="005F009F">
      <w:pPr>
        <w:pStyle w:val="AERtablesource"/>
      </w:pPr>
      <w:r>
        <w:t xml:space="preserve">Note: </w:t>
      </w:r>
      <w:r>
        <w:tab/>
        <w:t>Numbers may not add due to rounding.</w:t>
      </w:r>
    </w:p>
    <w:p w:rsidR="005F009F" w:rsidRDefault="00672F19" w:rsidP="005F009F">
      <w:r>
        <w:t xml:space="preserve">APA's </w:t>
      </w:r>
      <w:r w:rsidR="005F009F">
        <w:t xml:space="preserve">proposed roll forward of its TAB over the </w:t>
      </w:r>
      <w:r w:rsidR="00D86A73">
        <w:t>2013</w:t>
      </w:r>
      <w:r w:rsidR="005F009F">
        <w:t xml:space="preserve">–17 access arrangement </w:t>
      </w:r>
      <w:proofErr w:type="gramStart"/>
      <w:r w:rsidR="005F009F">
        <w:t>period</w:t>
      </w:r>
      <w:proofErr w:type="gramEnd"/>
      <w:r w:rsidR="005F009F">
        <w:t xml:space="preserve"> is set out in </w:t>
      </w:r>
      <w:r w:rsidR="005F009F">
        <w:fldChar w:fldCharType="begin"/>
      </w:r>
      <w:r w:rsidR="005F009F">
        <w:instrText xml:space="preserve"> REF  _Ref398551924 \* Lower \h  \* MERGEFORMAT </w:instrText>
      </w:r>
      <w:r w:rsidR="005F009F">
        <w:fldChar w:fldCharType="separate"/>
      </w:r>
      <w:r w:rsidR="00DE2785" w:rsidRPr="00C51656">
        <w:t xml:space="preserve">table </w:t>
      </w:r>
      <w:r w:rsidR="00DE2785">
        <w:t>8</w:t>
      </w:r>
      <w:r w:rsidR="00DE2785" w:rsidRPr="00C51656">
        <w:t>.</w:t>
      </w:r>
      <w:r w:rsidR="00DE2785">
        <w:t>3</w:t>
      </w:r>
      <w:r w:rsidR="005F009F">
        <w:fldChar w:fldCharType="end"/>
      </w:r>
      <w:r w:rsidR="005F009F">
        <w:t>.</w:t>
      </w:r>
    </w:p>
    <w:p w:rsidR="005F009F" w:rsidRPr="00C51656" w:rsidRDefault="005F009F" w:rsidP="00EC5163">
      <w:pPr>
        <w:pStyle w:val="Caption"/>
      </w:pPr>
      <w:bookmarkStart w:id="77" w:name="_Ref398551924"/>
      <w:r w:rsidRPr="00C51656">
        <w:t xml:space="preserve">Table </w:t>
      </w:r>
      <w:fldSimple w:instr=" STYLEREF 1 \s ">
        <w:r w:rsidR="00DE2785">
          <w:rPr>
            <w:noProof/>
          </w:rPr>
          <w:t>8</w:t>
        </w:r>
      </w:fldSimple>
      <w:r w:rsidRPr="00C51656">
        <w:t>.</w:t>
      </w:r>
      <w:fldSimple w:instr=" SEQ Table \* ARABIC \s 1 ">
        <w:r w:rsidR="00DE2785">
          <w:rPr>
            <w:noProof/>
          </w:rPr>
          <w:t>3</w:t>
        </w:r>
      </w:fldSimple>
      <w:bookmarkEnd w:id="77"/>
      <w:r w:rsidRPr="00C51656">
        <w:tab/>
      </w:r>
      <w:r w:rsidR="00672F19">
        <w:t xml:space="preserve">APA's </w:t>
      </w:r>
      <w:r w:rsidRPr="00C51656">
        <w:t xml:space="preserve">proposed tax asset base roll forward over the </w:t>
      </w:r>
      <w:r w:rsidR="00D86A73">
        <w:t>2013</w:t>
      </w:r>
      <w:r w:rsidRPr="00C51656">
        <w:t>–1</w:t>
      </w:r>
      <w:r>
        <w:t>7</w:t>
      </w:r>
      <w:r w:rsidRPr="00C51656">
        <w:t xml:space="preserve">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5F009F" w:rsidRPr="00912CB0" w:rsidTr="00AF7045">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5F009F" w:rsidRPr="00912CB0" w:rsidRDefault="005F009F" w:rsidP="008B2E6B">
            <w:pPr>
              <w:keepNext/>
              <w:rPr>
                <w:rFonts w:eastAsiaTheme="minorHAnsi" w:cstheme="minorBidi"/>
                <w:b w:val="0"/>
                <w:color w:val="auto"/>
                <w:sz w:val="22"/>
                <w:szCs w:val="22"/>
                <w:lang w:eastAsia="en-US"/>
              </w:rPr>
            </w:pPr>
          </w:p>
        </w:tc>
        <w:tc>
          <w:tcPr>
            <w:tcW w:w="1184" w:type="dxa"/>
            <w:hideMark/>
          </w:tcPr>
          <w:p w:rsidR="005F009F" w:rsidRPr="005F009F" w:rsidRDefault="001E5B2F" w:rsidP="008B2E6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5F009F" w:rsidRPr="005F009F">
              <w:t>13</w:t>
            </w:r>
          </w:p>
        </w:tc>
        <w:tc>
          <w:tcPr>
            <w:tcW w:w="1184" w:type="dxa"/>
          </w:tcPr>
          <w:p w:rsidR="005F009F" w:rsidRPr="005F009F" w:rsidRDefault="001E5B2F" w:rsidP="008B2E6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5F009F" w:rsidRPr="005F009F">
              <w:t>14</w:t>
            </w:r>
          </w:p>
        </w:tc>
        <w:tc>
          <w:tcPr>
            <w:tcW w:w="1185" w:type="dxa"/>
          </w:tcPr>
          <w:p w:rsidR="005F009F" w:rsidRPr="005F009F" w:rsidRDefault="001E5B2F" w:rsidP="008B2E6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5F009F" w:rsidRPr="005F009F">
              <w:t>15</w:t>
            </w:r>
          </w:p>
        </w:tc>
        <w:tc>
          <w:tcPr>
            <w:tcW w:w="1184" w:type="dxa"/>
          </w:tcPr>
          <w:p w:rsidR="005F009F" w:rsidRPr="005F009F" w:rsidRDefault="001E5B2F" w:rsidP="008B2E6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5F009F" w:rsidRPr="005F009F">
              <w:t>16</w:t>
            </w:r>
          </w:p>
        </w:tc>
        <w:tc>
          <w:tcPr>
            <w:tcW w:w="1185" w:type="dxa"/>
          </w:tcPr>
          <w:p w:rsidR="005F009F" w:rsidRPr="005F009F" w:rsidRDefault="001E5B2F" w:rsidP="008B2E6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5F009F" w:rsidRPr="005F009F">
              <w:t>17</w:t>
            </w:r>
          </w:p>
        </w:tc>
      </w:tr>
      <w:tr w:rsidR="003F3E17" w:rsidRPr="00912CB0" w:rsidTr="00AE05BF">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F3E17" w:rsidRPr="003F3E17" w:rsidRDefault="003F3E17" w:rsidP="008B2E6B">
            <w:pPr>
              <w:keepNext/>
              <w:rPr>
                <w:rFonts w:eastAsiaTheme="minorHAnsi" w:cstheme="minorBidi"/>
                <w:sz w:val="22"/>
                <w:szCs w:val="22"/>
                <w:lang w:eastAsia="en-US"/>
              </w:rPr>
            </w:pPr>
            <w:r w:rsidRPr="003F3E17">
              <w:t>Opening tax asset base</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229.0</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224.1</w:t>
            </w:r>
          </w:p>
        </w:tc>
        <w:tc>
          <w:tcPr>
            <w:tcW w:w="1185"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345.4</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417.7</w:t>
            </w:r>
          </w:p>
        </w:tc>
        <w:tc>
          <w:tcPr>
            <w:tcW w:w="1185"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497.8</w:t>
            </w:r>
          </w:p>
        </w:tc>
      </w:tr>
      <w:tr w:rsidR="003F3E17" w:rsidRPr="00912CB0" w:rsidTr="00AE05BF">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F3E17" w:rsidRPr="003F3E17" w:rsidRDefault="003F3E17" w:rsidP="008B2E6B">
            <w:pPr>
              <w:keepNext/>
              <w:rPr>
                <w:rFonts w:eastAsiaTheme="minorHAnsi" w:cstheme="minorBidi"/>
                <w:b/>
                <w:bCs/>
                <w:sz w:val="22"/>
                <w:szCs w:val="22"/>
                <w:lang w:eastAsia="en-US"/>
              </w:rPr>
            </w:pPr>
            <w:r w:rsidRPr="003F3E17">
              <w:t>Capex</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3E17">
              <w:t>4.0</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3E17">
              <w:t>139.3</w:t>
            </w:r>
          </w:p>
        </w:tc>
        <w:tc>
          <w:tcPr>
            <w:tcW w:w="1185"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3E17">
              <w:t>94.0</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3E17">
              <w:t>103.0</w:t>
            </w:r>
          </w:p>
        </w:tc>
        <w:tc>
          <w:tcPr>
            <w:tcW w:w="1185"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F3E17">
              <w:t>69.1</w:t>
            </w:r>
          </w:p>
        </w:tc>
      </w:tr>
      <w:tr w:rsidR="003F3E17" w:rsidRPr="00912CB0" w:rsidTr="00AE05BF">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F3E17" w:rsidRPr="003F3E17" w:rsidRDefault="000024FF" w:rsidP="008B2E6B">
            <w:pPr>
              <w:keepNext/>
              <w:rPr>
                <w:rFonts w:eastAsiaTheme="minorHAnsi" w:cstheme="minorBidi"/>
                <w:b/>
                <w:bCs/>
                <w:sz w:val="22"/>
                <w:szCs w:val="22"/>
                <w:lang w:eastAsia="en-US"/>
              </w:rPr>
            </w:pPr>
            <w:r w:rsidRPr="006B0421">
              <w:rPr>
                <w:rStyle w:val="AERtextitalic"/>
              </w:rPr>
              <w:t>Less:</w:t>
            </w:r>
            <w:r>
              <w:t xml:space="preserve"> </w:t>
            </w:r>
            <w:r w:rsidR="003F3E17" w:rsidRPr="003F3E17">
              <w:t>Tax depreciation</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8.8</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18.1</w:t>
            </w:r>
          </w:p>
        </w:tc>
        <w:tc>
          <w:tcPr>
            <w:tcW w:w="1185"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21.6</w:t>
            </w:r>
          </w:p>
        </w:tc>
        <w:tc>
          <w:tcPr>
            <w:tcW w:w="1184"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23.0</w:t>
            </w:r>
          </w:p>
        </w:tc>
        <w:tc>
          <w:tcPr>
            <w:tcW w:w="1185" w:type="dxa"/>
            <w:vAlign w:val="bottom"/>
          </w:tcPr>
          <w:p w:rsidR="003F3E17" w:rsidRPr="003F3E17" w:rsidRDefault="003F3E17" w:rsidP="008B2E6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F3E17">
              <w:t>23.7</w:t>
            </w:r>
          </w:p>
        </w:tc>
      </w:tr>
      <w:tr w:rsidR="003F3E17" w:rsidRPr="003F3E17" w:rsidTr="00AE05BF">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3F3E17" w:rsidRPr="003F3E17" w:rsidRDefault="003F3E17" w:rsidP="008B2E6B">
            <w:pPr>
              <w:keepNext/>
              <w:rPr>
                <w:rStyle w:val="Strong"/>
              </w:rPr>
            </w:pPr>
            <w:r w:rsidRPr="003F3E17">
              <w:rPr>
                <w:rStyle w:val="Strong"/>
              </w:rPr>
              <w:t>Closing tax asset base</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Style w:val="Strong"/>
              </w:rPr>
            </w:pPr>
            <w:r w:rsidRPr="003F3E17">
              <w:rPr>
                <w:rStyle w:val="Strong"/>
              </w:rPr>
              <w:t>224.1</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Style w:val="Strong"/>
              </w:rPr>
            </w:pPr>
            <w:r w:rsidRPr="003F3E17">
              <w:rPr>
                <w:rStyle w:val="Strong"/>
              </w:rPr>
              <w:t>345.4</w:t>
            </w:r>
          </w:p>
        </w:tc>
        <w:tc>
          <w:tcPr>
            <w:tcW w:w="1185"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Style w:val="Strong"/>
              </w:rPr>
            </w:pPr>
            <w:r w:rsidRPr="003F3E17">
              <w:rPr>
                <w:rStyle w:val="Strong"/>
              </w:rPr>
              <w:t>417.7</w:t>
            </w:r>
          </w:p>
        </w:tc>
        <w:tc>
          <w:tcPr>
            <w:tcW w:w="1184"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Style w:val="Strong"/>
              </w:rPr>
            </w:pPr>
            <w:r w:rsidRPr="003F3E17">
              <w:rPr>
                <w:rStyle w:val="Strong"/>
              </w:rPr>
              <w:t>497.8</w:t>
            </w:r>
          </w:p>
        </w:tc>
        <w:tc>
          <w:tcPr>
            <w:tcW w:w="1185" w:type="dxa"/>
            <w:vAlign w:val="bottom"/>
          </w:tcPr>
          <w:p w:rsidR="003F3E17" w:rsidRPr="003F3E17" w:rsidRDefault="003F3E17" w:rsidP="008B2E6B">
            <w:pPr>
              <w:keepNext/>
              <w:cnfStyle w:val="000000010000" w:firstRow="0" w:lastRow="0" w:firstColumn="0" w:lastColumn="0" w:oddVBand="0" w:evenVBand="0" w:oddHBand="0" w:evenHBand="1" w:firstRowFirstColumn="0" w:firstRowLastColumn="0" w:lastRowFirstColumn="0" w:lastRowLastColumn="0"/>
              <w:rPr>
                <w:rStyle w:val="Strong"/>
              </w:rPr>
            </w:pPr>
            <w:r w:rsidRPr="003F3E17">
              <w:rPr>
                <w:rStyle w:val="Strong"/>
              </w:rPr>
              <w:t>543.2</w:t>
            </w:r>
          </w:p>
        </w:tc>
      </w:tr>
    </w:tbl>
    <w:p w:rsidR="005F009F" w:rsidRDefault="005F009F" w:rsidP="008B2E6B">
      <w:pPr>
        <w:pStyle w:val="AERtablesource"/>
        <w:keepNext/>
      </w:pPr>
      <w:r w:rsidRPr="005F009F">
        <w:rPr>
          <w:rFonts w:eastAsia="Calibri"/>
        </w:rPr>
        <w:t xml:space="preserve">Source: </w:t>
      </w:r>
      <w:r w:rsidRPr="005F009F">
        <w:rPr>
          <w:rFonts w:eastAsia="Calibri"/>
        </w:rPr>
        <w:tab/>
      </w:r>
      <w:hyperlink r:id="rId17" w:history="1">
        <w:r w:rsidR="00EC5163" w:rsidRPr="008B2E6B">
          <w:rPr>
            <w:rStyle w:val="Hyperlink"/>
            <w:rFonts w:eastAsiaTheme="majorEastAsia"/>
            <w:color w:val="auto"/>
            <w:sz w:val="16"/>
            <w:u w:val="none"/>
          </w:rPr>
          <w:t xml:space="preserve">APA VTS, </w:t>
        </w:r>
        <w:r w:rsidR="00EC5163" w:rsidRPr="00EC5163">
          <w:rPr>
            <w:rStyle w:val="AERtextitalic"/>
            <w:rFonts w:eastAsiaTheme="majorEastAsia"/>
          </w:rPr>
          <w:t>B4 - APA Post Tax Revenue Model revised with WORM (includes 3 March 2017 updates for inflation in response to AER information request IR003</w:t>
        </w:r>
        <w:r w:rsidR="006F14E4" w:rsidRPr="00EC5163">
          <w:rPr>
            <w:rStyle w:val="AERtextitalic"/>
            <w:rFonts w:eastAsiaTheme="majorEastAsia"/>
          </w:rPr>
          <w:t>)</w:t>
        </w:r>
        <w:r w:rsidR="006F14E4" w:rsidRPr="006F14E4">
          <w:rPr>
            <w:rStyle w:val="Hyperlink"/>
            <w:rFonts w:eastAsiaTheme="majorEastAsia"/>
            <w:color w:val="auto"/>
            <w:sz w:val="16"/>
            <w:u w:val="none"/>
          </w:rPr>
          <w:t>,</w:t>
        </w:r>
        <w:r w:rsidR="00EC5163" w:rsidRPr="008B2E6B">
          <w:rPr>
            <w:rStyle w:val="Hyperlink"/>
            <w:rFonts w:eastAsiaTheme="majorEastAsia"/>
            <w:color w:val="auto"/>
            <w:sz w:val="16"/>
            <w:u w:val="none"/>
          </w:rPr>
          <w:t xml:space="preserve"> 16 May 2017</w:t>
        </w:r>
      </w:hyperlink>
      <w:r w:rsidR="003F3E17" w:rsidRPr="003F3E17">
        <w:rPr>
          <w:rStyle w:val="AERtextitalic"/>
        </w:rPr>
        <w:t>.</w:t>
      </w:r>
    </w:p>
    <w:p w:rsidR="00132D43" w:rsidRDefault="005F009F" w:rsidP="00132D43">
      <w:pPr>
        <w:pStyle w:val="Heading2"/>
      </w:pPr>
      <w:bookmarkStart w:id="78" w:name="_Toc486855400"/>
      <w:r>
        <w:t xml:space="preserve">AER's </w:t>
      </w:r>
      <w:r w:rsidR="005E1141">
        <w:t>a</w:t>
      </w:r>
      <w:r w:rsidR="00132D43">
        <w:t>ssessment approach</w:t>
      </w:r>
      <w:bookmarkEnd w:id="78"/>
    </w:p>
    <w:p w:rsidR="005F009F" w:rsidRPr="00FD50DB" w:rsidRDefault="00D86A73" w:rsidP="005F009F">
      <w:r>
        <w:t>Our approach to calculating</w:t>
      </w:r>
      <w:r w:rsidR="005F009F">
        <w:t xml:space="preserve"> </w:t>
      </w:r>
      <w:r w:rsidR="00672F19">
        <w:t xml:space="preserve">APA's </w:t>
      </w:r>
      <w:r w:rsidR="005F009F">
        <w:t>cost of corporate income tax begins with an</w:t>
      </w:r>
      <w:r w:rsidR="005F009F" w:rsidRPr="00FD50DB">
        <w:t xml:space="preserve"> estimate</w:t>
      </w:r>
      <w:r w:rsidR="005F009F">
        <w:t xml:space="preserve"> of</w:t>
      </w:r>
      <w:r w:rsidR="005F009F" w:rsidRPr="00FD50DB">
        <w:t xml:space="preserve"> taxable income that would be earned by a</w:t>
      </w:r>
      <w:r w:rsidR="005F009F">
        <w:t xml:space="preserve"> benchmark</w:t>
      </w:r>
      <w:r w:rsidR="005F009F" w:rsidRPr="00FD50DB">
        <w:t xml:space="preserve"> efficient company operating </w:t>
      </w:r>
      <w:r w:rsidR="00672F19">
        <w:t xml:space="preserve">APA's </w:t>
      </w:r>
      <w:r w:rsidR="005F009F">
        <w:t>pipeline</w:t>
      </w:r>
      <w:r w:rsidR="005F009F" w:rsidRPr="00FD50DB">
        <w:t xml:space="preserve">. </w:t>
      </w:r>
      <w:r w:rsidR="005F009F">
        <w:t xml:space="preserve">As part of this calculation, tax expenses such as interest and depreciation need to be estimated. </w:t>
      </w:r>
      <w:r w:rsidR="005F009F" w:rsidRPr="00FD50DB">
        <w:t xml:space="preserve">Interest tax expense should be estimated using a benchmark 60 per cent gearing, rather than </w:t>
      </w:r>
      <w:r w:rsidR="00672F19">
        <w:t xml:space="preserve">APA's </w:t>
      </w:r>
      <w:r w:rsidR="005F009F" w:rsidRPr="00FD50DB">
        <w:t xml:space="preserve">actual gearing. Tax depreciation is calculated using a separate </w:t>
      </w:r>
      <w:r w:rsidR="005F009F">
        <w:t>TAB</w:t>
      </w:r>
      <w:r w:rsidR="005F009F" w:rsidRPr="00FD50DB">
        <w:t>. All tax expenses (including other expenses such as operating expenditure) are offs</w:t>
      </w:r>
      <w:r w:rsidR="005F009F">
        <w:t>et against the service provider’</w:t>
      </w:r>
      <w:r w:rsidR="005F009F"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rsidR="005F009F">
        <w:t xml:space="preserve">value of imputation credits (gamma). </w:t>
      </w:r>
      <w:r w:rsidR="005F009F" w:rsidRPr="002616BC">
        <w:t>T</w:t>
      </w:r>
      <w:r w:rsidR="005F009F" w:rsidRPr="00286FBC">
        <w:t>he value of imputation credits attachment (attachment 4)</w:t>
      </w:r>
      <w:r w:rsidR="005F009F" w:rsidRPr="002616BC">
        <w:t xml:space="preserve"> details</w:t>
      </w:r>
      <w:r w:rsidR="005F009F">
        <w:t xml:space="preserve"> our draft decision on gamma. The discounted nominal </w:t>
      </w:r>
      <w:r w:rsidR="005F009F" w:rsidRPr="00FD50DB">
        <w:t xml:space="preserve">amount </w:t>
      </w:r>
      <w:r w:rsidR="005F009F">
        <w:t xml:space="preserve">of tax payable </w:t>
      </w:r>
      <w:r w:rsidR="005F009F" w:rsidRPr="00FD50DB">
        <w:t xml:space="preserve">is then included as a separate building block in determining </w:t>
      </w:r>
      <w:r w:rsidR="00672F19">
        <w:t xml:space="preserve">APA's </w:t>
      </w:r>
      <w:r w:rsidR="005F009F" w:rsidRPr="00FD50DB">
        <w:t>total revenue.</w:t>
      </w:r>
      <w:r w:rsidR="005F009F" w:rsidRPr="00FD50DB">
        <w:rPr>
          <w:rStyle w:val="FootnoteReference"/>
        </w:rPr>
        <w:footnoteReference w:id="9"/>
      </w:r>
      <w:r w:rsidR="005F009F" w:rsidRPr="00FD50DB">
        <w:t xml:space="preserve"> </w:t>
      </w:r>
    </w:p>
    <w:p w:rsidR="005F009F" w:rsidRPr="00FD50DB" w:rsidRDefault="005F009F" w:rsidP="005F009F">
      <w:r>
        <w:t xml:space="preserve">The corporate income tax allowance </w:t>
      </w:r>
      <w:r w:rsidRPr="00874BD1">
        <w:t xml:space="preserve">is an output of the </w:t>
      </w:r>
      <w:r w:rsidR="000B22BD">
        <w:t>proposed</w:t>
      </w:r>
      <w:r w:rsidRPr="00874BD1">
        <w:t xml:space="preserve"> PTRM. </w:t>
      </w:r>
      <w:r w:rsidRPr="00FD50DB">
        <w:t xml:space="preserve">We </w:t>
      </w:r>
      <w:r>
        <w:t xml:space="preserve">have </w:t>
      </w:r>
      <w:r w:rsidRPr="00FD50DB">
        <w:t xml:space="preserve">therefore assessed </w:t>
      </w:r>
      <w:r w:rsidR="00672F19">
        <w:t xml:space="preserve">APA's </w:t>
      </w:r>
      <w:r w:rsidRPr="00FD50DB">
        <w:t xml:space="preserve">proposed corporate income tax allowance by analysing </w:t>
      </w:r>
      <w:r>
        <w:t>its</w:t>
      </w:r>
      <w:r w:rsidRPr="00FD50DB">
        <w:t xml:space="preserve"> proposed inputs to the </w:t>
      </w:r>
      <w:r>
        <w:t>PTRM</w:t>
      </w:r>
      <w:r w:rsidRPr="00FD50DB">
        <w:t xml:space="preserve"> for calculating the tax allowance. These inputs include: </w:t>
      </w:r>
    </w:p>
    <w:p w:rsidR="005F009F" w:rsidRPr="005F009F" w:rsidRDefault="005F009F" w:rsidP="005F009F">
      <w:pPr>
        <w:pStyle w:val="AERbulletlistfirststyle"/>
      </w:pPr>
      <w:r w:rsidRPr="00F8282A">
        <w:t xml:space="preserve">the opening TAB as at </w:t>
      </w:r>
      <w:r w:rsidR="00CC13E5">
        <w:t>1 January 2018</w:t>
      </w:r>
    </w:p>
    <w:p w:rsidR="005F009F" w:rsidRPr="005F009F" w:rsidRDefault="005F009F" w:rsidP="005F009F">
      <w:pPr>
        <w:pStyle w:val="AERbulletlistfirststyle"/>
      </w:pPr>
      <w:r>
        <w:t xml:space="preserve">the standard tax asset life </w:t>
      </w:r>
      <w:r w:rsidRPr="005F009F">
        <w:t>for each asset class</w:t>
      </w:r>
    </w:p>
    <w:p w:rsidR="005F009F" w:rsidRPr="005F009F" w:rsidRDefault="005F009F" w:rsidP="005F009F">
      <w:pPr>
        <w:pStyle w:val="AERbulletlistfirststyle"/>
      </w:pPr>
      <w:r w:rsidRPr="00F8282A">
        <w:t xml:space="preserve">the </w:t>
      </w:r>
      <w:r w:rsidRPr="005F009F">
        <w:t xml:space="preserve">remaining tax asset life for each asset class as at </w:t>
      </w:r>
      <w:r w:rsidR="00CC13E5">
        <w:t>1 January 2018</w:t>
      </w:r>
    </w:p>
    <w:p w:rsidR="005F009F" w:rsidRPr="005F009F" w:rsidRDefault="005F009F" w:rsidP="005F009F">
      <w:pPr>
        <w:pStyle w:val="AERbulletlistfirststyle"/>
      </w:pPr>
      <w:r w:rsidRPr="00F8282A">
        <w:t xml:space="preserve">the income tax rate </w:t>
      </w:r>
    </w:p>
    <w:p w:rsidR="005F009F" w:rsidRPr="005F009F" w:rsidRDefault="005F009F" w:rsidP="005F009F">
      <w:pPr>
        <w:pStyle w:val="AERbulletlistfirststyle"/>
      </w:pPr>
      <w:r w:rsidRPr="00F8282A">
        <w:t xml:space="preserve">the value of </w:t>
      </w:r>
      <w:r w:rsidRPr="005F009F">
        <w:t>imputation credits (gamma).</w:t>
      </w:r>
    </w:p>
    <w:p w:rsidR="00F861F7" w:rsidRDefault="00CE1A9B" w:rsidP="00F861F7">
      <w:r w:rsidRPr="00CE1A9B">
        <w:t xml:space="preserve">In assessing </w:t>
      </w:r>
      <w:r w:rsidR="00672F19">
        <w:t xml:space="preserve">APA's </w:t>
      </w:r>
      <w:r w:rsidRPr="00CE1A9B">
        <w:t>proposal we must take into account the revenue and pricing principles, and the requirement for consistency with the NGO</w:t>
      </w:r>
      <w:r w:rsidR="005F009F" w:rsidRPr="00FD50DB">
        <w:rPr>
          <w:rStyle w:val="AERbody"/>
        </w:rPr>
        <w:t>.</w:t>
      </w:r>
      <w:r w:rsidR="005F009F" w:rsidRPr="00FD50DB">
        <w:rPr>
          <w:rStyle w:val="FootnoteReference"/>
        </w:rPr>
        <w:footnoteReference w:id="10"/>
      </w:r>
      <w:r w:rsidR="00F861F7" w:rsidRPr="00F861F7">
        <w:t xml:space="preserve"> </w:t>
      </w:r>
    </w:p>
    <w:p w:rsidR="00F861F7" w:rsidRPr="00F861F7" w:rsidRDefault="00F861F7" w:rsidP="00F861F7">
      <w:pPr>
        <w:rPr>
          <w:rStyle w:val="AERbody"/>
        </w:rPr>
      </w:pPr>
      <w:r w:rsidRPr="00F861F7">
        <w:t>The rules also require that any forecast must be arrived at on a reasonable basis and must represent the best forecast or estimate possible in the circumstances.</w:t>
      </w:r>
      <w:r w:rsidRPr="00F861F7">
        <w:rPr>
          <w:rStyle w:val="FootnoteReference"/>
        </w:rPr>
        <w:footnoteReference w:id="11"/>
      </w:r>
    </w:p>
    <w:p w:rsidR="005F009F" w:rsidRPr="00FD50DB" w:rsidRDefault="005F009F" w:rsidP="005F009F">
      <w:r>
        <w:t>We consider</w:t>
      </w:r>
      <w:r w:rsidRPr="00FD50DB">
        <w:t xml:space="preserve"> that the roll forward of the opening </w:t>
      </w:r>
      <w:r>
        <w:t>TAB</w:t>
      </w:r>
      <w:r w:rsidRPr="00FD50DB">
        <w:t xml:space="preserve"> to </w:t>
      </w:r>
      <w:r w:rsidR="00CC13E5">
        <w:t xml:space="preserve">1 January 2018 </w:t>
      </w:r>
      <w:r w:rsidRPr="00FD50DB">
        <w:t xml:space="preserve">should be based on the approved opening </w:t>
      </w:r>
      <w:r>
        <w:t>TAB</w:t>
      </w:r>
      <w:r w:rsidRPr="00FD50DB">
        <w:t xml:space="preserve"> as at </w:t>
      </w:r>
      <w:r>
        <w:t xml:space="preserve">1 July </w:t>
      </w:r>
      <w:r w:rsidR="0096361E">
        <w:t xml:space="preserve">2013 </w:t>
      </w:r>
      <w:r w:rsidRPr="00FD50DB">
        <w:t xml:space="preserve">and </w:t>
      </w:r>
      <w:r w:rsidR="00672F19">
        <w:t xml:space="preserve">APA's </w:t>
      </w:r>
      <w:r w:rsidRPr="00FD50DB">
        <w:t xml:space="preserve">actual </w:t>
      </w:r>
      <w:r w:rsidR="000B22BD">
        <w:t>'</w:t>
      </w:r>
      <w:r w:rsidR="005609F5">
        <w:t>as</w:t>
      </w:r>
      <w:r w:rsidR="000B22BD">
        <w:t>-</w:t>
      </w:r>
      <w:r w:rsidR="005609F5">
        <w:t>commissioned</w:t>
      </w:r>
      <w:r w:rsidR="000B22BD">
        <w:t>'</w:t>
      </w:r>
      <w:r w:rsidR="005609F5">
        <w:t xml:space="preserve"> capex over</w:t>
      </w:r>
      <w:r w:rsidRPr="00FD50DB">
        <w:t xml:space="preserve"> </w:t>
      </w:r>
      <w:r>
        <w:t xml:space="preserve">the </w:t>
      </w:r>
      <w:r w:rsidR="00D86A73">
        <w:t>2013</w:t>
      </w:r>
      <w:r>
        <w:t>–17 access arrangement period</w:t>
      </w:r>
      <w:r w:rsidRPr="00FD50DB">
        <w:t xml:space="preserve">. </w:t>
      </w:r>
      <w:r>
        <w:t xml:space="preserve">We consider that the calculation of the tax depreciation should be based on the actual </w:t>
      </w:r>
      <w:r w:rsidR="005609F5">
        <w:t>as</w:t>
      </w:r>
      <w:r w:rsidR="000B22BD">
        <w:t>-</w:t>
      </w:r>
      <w:r w:rsidR="005609F5">
        <w:t>commissioned</w:t>
      </w:r>
      <w:r w:rsidR="000B22BD">
        <w:t>'</w:t>
      </w:r>
      <w:r w:rsidR="005609F5">
        <w:t xml:space="preserve"> </w:t>
      </w:r>
      <w:r>
        <w:t xml:space="preserve">capex over the </w:t>
      </w:r>
      <w:r w:rsidR="00D86A73">
        <w:t>2013</w:t>
      </w:r>
      <w:r>
        <w:t xml:space="preserve">–17 access arrangement period. </w:t>
      </w:r>
      <w:r w:rsidRPr="00FD50DB">
        <w:t xml:space="preserve">The value of the </w:t>
      </w:r>
      <w:r w:rsidRPr="002616BC">
        <w:rPr>
          <w:rStyle w:val="AERbody"/>
        </w:rPr>
        <w:t>actual capex used for rolling forward the TAB is subject to our assessment of these values as discussed in attachment 6.</w:t>
      </w:r>
      <w:r>
        <w:rPr>
          <w:rStyle w:val="AERbody"/>
        </w:rPr>
        <w:t xml:space="preserve"> </w:t>
      </w:r>
    </w:p>
    <w:p w:rsidR="005F009F" w:rsidRDefault="005F009F" w:rsidP="005F009F">
      <w:r w:rsidRPr="00FD50DB">
        <w:t xml:space="preserve">We assess </w:t>
      </w:r>
      <w:r w:rsidR="00672F19">
        <w:t xml:space="preserve">APA's </w:t>
      </w:r>
      <w:r w:rsidRPr="00FD50DB">
        <w:t xml:space="preserve">proposed </w:t>
      </w:r>
      <w:r>
        <w:t xml:space="preserve">standard tax asset lives, where appropriate, by comparing them against the values approved </w:t>
      </w:r>
      <w:r w:rsidRPr="00FD50DB">
        <w:t xml:space="preserve">in the </w:t>
      </w:r>
      <w:r w:rsidR="00D86A73">
        <w:t>2013</w:t>
      </w:r>
      <w:r>
        <w:t>–17</w:t>
      </w:r>
      <w:r w:rsidRPr="00FD50DB">
        <w:t xml:space="preserve"> access arrangement </w:t>
      </w:r>
      <w:r w:rsidR="000B22BD">
        <w:t xml:space="preserve">and for similar asset classes for other service providers,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w:t>
      </w:r>
      <w:r>
        <w:rPr>
          <w:rStyle w:val="AERbody"/>
        </w:rPr>
        <w:t>6</w:t>
      </w:r>
      <w:r w:rsidRPr="002616BC">
        <w:rPr>
          <w:rStyle w:val="AERbody"/>
        </w:rPr>
        <w:t>/</w:t>
      </w:r>
      <w:r>
        <w:rPr>
          <w:rStyle w:val="AERbody"/>
        </w:rPr>
        <w:t>1</w:t>
      </w:r>
      <w:r w:rsidRPr="00FD50DB">
        <w:t>.</w:t>
      </w:r>
      <w:r>
        <w:rPr>
          <w:rStyle w:val="FootnoteReference"/>
        </w:rPr>
        <w:footnoteReference w:id="12"/>
      </w:r>
      <w:r w:rsidRPr="00FD50DB">
        <w:t xml:space="preserve"> </w:t>
      </w:r>
    </w:p>
    <w:p w:rsidR="00132D43" w:rsidRDefault="005F009F" w:rsidP="005F009F">
      <w:r>
        <w:t>Our</w:t>
      </w:r>
      <w:r w:rsidRPr="00874BD1">
        <w:t xml:space="preserve">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rolls forward the remaining tax asset life for a tax asset class from the last year of the earlier access arrangement period in order to take into account the actual capex for that year.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w:t>
      </w:r>
      <w:r>
        <w:t>We</w:t>
      </w:r>
      <w:r w:rsidRPr="00334ADF">
        <w:t xml:space="preserve"> will assess the outcomes of other approaches against </w:t>
      </w:r>
      <w:r>
        <w:t>the outcomes of t</w:t>
      </w:r>
      <w:r w:rsidRPr="00334ADF">
        <w:t>his standard approach</w:t>
      </w:r>
      <w:r>
        <w:t>.</w:t>
      </w:r>
    </w:p>
    <w:p w:rsidR="00132D43" w:rsidRDefault="00132D43" w:rsidP="00132D43">
      <w:pPr>
        <w:pStyle w:val="Heading3"/>
        <w:tabs>
          <w:tab w:val="clear" w:pos="1021"/>
        </w:tabs>
        <w:ind w:left="142" w:hanging="142"/>
      </w:pPr>
      <w:bookmarkStart w:id="79" w:name="_Toc486855401"/>
      <w:r>
        <w:t>Interrelationships</w:t>
      </w:r>
      <w:bookmarkEnd w:id="79"/>
    </w:p>
    <w:p w:rsidR="00AF7045" w:rsidRPr="00FD50DB" w:rsidRDefault="00AF7045" w:rsidP="00AF7045">
      <w:r w:rsidRPr="00FD50DB">
        <w:t>The corporate income tax building block feeds directly into the annual revenue requirement. This tax allowance is determined by four factors:</w:t>
      </w:r>
    </w:p>
    <w:p w:rsidR="00AF7045" w:rsidRPr="00AF7045" w:rsidRDefault="00AF7045" w:rsidP="00AF7045">
      <w:pPr>
        <w:pStyle w:val="AERbulletlistfirststyle"/>
      </w:pPr>
      <w:r w:rsidRPr="00F8282A">
        <w:t xml:space="preserve">pre-tax revenues </w:t>
      </w:r>
    </w:p>
    <w:p w:rsidR="00AF7045" w:rsidRPr="00AF7045" w:rsidRDefault="00AF7045" w:rsidP="00AF7045">
      <w:pPr>
        <w:pStyle w:val="AERbulletlistfirststyle"/>
      </w:pPr>
      <w:r w:rsidRPr="00F8282A">
        <w:t>tax expenses (including tax depreciation)</w:t>
      </w:r>
    </w:p>
    <w:p w:rsidR="00AF7045" w:rsidRPr="00AF7045" w:rsidRDefault="00AF7045" w:rsidP="00AF7045">
      <w:pPr>
        <w:pStyle w:val="AERbulletlistfirststyle"/>
      </w:pPr>
      <w:r w:rsidRPr="00F8282A">
        <w:t>the corporate tax rate</w:t>
      </w:r>
    </w:p>
    <w:p w:rsidR="00AF7045" w:rsidRPr="00AF7045" w:rsidRDefault="00AF7045" w:rsidP="00AF7045">
      <w:pPr>
        <w:pStyle w:val="AERbulletlistfirststyle"/>
      </w:pPr>
      <w:r>
        <w:t>the value of imputation credits (</w:t>
      </w:r>
      <w:r w:rsidRPr="00AF7045">
        <w:t>gamma)—the expected proportion of company tax that is returned to investors through the utilisation of imputation credits—which offsets against the corporate income tax allowance. This is discussed further at attachment 4.</w:t>
      </w:r>
    </w:p>
    <w:p w:rsidR="00AF7045" w:rsidRPr="00FD50DB" w:rsidRDefault="00AF7045" w:rsidP="00AF7045">
      <w:r w:rsidRPr="00FD50DB">
        <w:t>Of these four factors, the corporate tax rate is set externally by the Government. The higher the tax rate the higher the required tax allowance.</w:t>
      </w:r>
    </w:p>
    <w:p w:rsidR="00AF7045" w:rsidRPr="00FD50DB" w:rsidRDefault="00AF7045" w:rsidP="00AF7045">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3"/>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4"/>
      </w:r>
      <w:r w:rsidRPr="004656C5">
        <w:t xml:space="preserve">   </w:t>
      </w:r>
    </w:p>
    <w:p w:rsidR="00AF7045" w:rsidRPr="00FD50DB" w:rsidRDefault="00AF7045" w:rsidP="00AF7045">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AF7045" w:rsidRPr="00AF7045" w:rsidRDefault="00AF7045" w:rsidP="00AF7045">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AF7045" w:rsidRPr="00AF7045" w:rsidRDefault="00AF7045" w:rsidP="00AF7045">
      <w:pPr>
        <w:pStyle w:val="AERbulletlistfirststyle"/>
      </w:pPr>
      <w:r w:rsidRPr="00F8282A">
        <w:t>General expenses – In the main these expenses will match the opex allowance.</w:t>
      </w:r>
    </w:p>
    <w:p w:rsidR="00AF7045" w:rsidRPr="00AF7045" w:rsidRDefault="00AF7045" w:rsidP="00AF7045">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96361E" w:rsidRPr="0096361E" w:rsidRDefault="0096361E" w:rsidP="0096361E">
      <w:pPr>
        <w:pStyle w:val="AERbulletlistfirststyle"/>
        <w:numPr>
          <w:ilvl w:val="0"/>
          <w:numId w:val="0"/>
        </w:numPr>
      </w:pPr>
      <w:r w:rsidRPr="0096361E">
        <w:rPr>
          <w:rStyle w:val="AERbody"/>
        </w:rPr>
        <w:t xml:space="preserve">A ten per cent increase in the corporate income tax allowance would cause revenues to increase by about </w:t>
      </w:r>
      <w:r w:rsidR="000B4D1B">
        <w:rPr>
          <w:rStyle w:val="AERbody"/>
        </w:rPr>
        <w:t xml:space="preserve">0.4 </w:t>
      </w:r>
      <w:r w:rsidRPr="0096361E">
        <w:rPr>
          <w:rStyle w:val="AERbody"/>
        </w:rPr>
        <w:t xml:space="preserve">per cent. The proposed gamma of 0.25 compared to the AER's decision of 0.4, would increase the corporate income tax allowance by </w:t>
      </w:r>
      <w:r w:rsidR="000B4D1B">
        <w:rPr>
          <w:rStyle w:val="AERbody"/>
        </w:rPr>
        <w:t>17</w:t>
      </w:r>
      <w:r w:rsidRPr="0096361E">
        <w:rPr>
          <w:rStyle w:val="AERbody"/>
        </w:rPr>
        <w:t xml:space="preserve"> per cent and total revenues by about </w:t>
      </w:r>
      <w:r w:rsidR="000B4D1B">
        <w:rPr>
          <w:rStyle w:val="AERbody"/>
        </w:rPr>
        <w:t xml:space="preserve">0.9 </w:t>
      </w:r>
      <w:r w:rsidRPr="0096361E">
        <w:rPr>
          <w:rStyle w:val="AERbody"/>
        </w:rPr>
        <w:t>per cent</w:t>
      </w:r>
      <w:r w:rsidRPr="0096361E">
        <w:t>.</w:t>
      </w:r>
    </w:p>
    <w:p w:rsidR="00132D43" w:rsidRDefault="00132D43" w:rsidP="00132D43">
      <w:pPr>
        <w:pStyle w:val="Heading2"/>
      </w:pPr>
      <w:bookmarkStart w:id="80" w:name="_Toc486855402"/>
      <w:r>
        <w:t>Reasons for draft decision</w:t>
      </w:r>
      <w:bookmarkEnd w:id="80"/>
    </w:p>
    <w:p w:rsidR="00AF7045" w:rsidRPr="00407443" w:rsidRDefault="00AF7045" w:rsidP="00AF7045">
      <w:r w:rsidRPr="00407443">
        <w:t xml:space="preserve">Our </w:t>
      </w:r>
      <w:r w:rsidRPr="002616BC">
        <w:rPr>
          <w:rStyle w:val="AERbody"/>
        </w:rPr>
        <w:t xml:space="preserve">draft decision on </w:t>
      </w:r>
      <w:r w:rsidR="00672F19">
        <w:rPr>
          <w:rStyle w:val="AERbody"/>
        </w:rPr>
        <w:t xml:space="preserve">APA's </w:t>
      </w:r>
      <w:r w:rsidRPr="002616BC">
        <w:rPr>
          <w:rStyle w:val="AERbody"/>
        </w:rPr>
        <w:t>corporate income tax allowance is $</w:t>
      </w:r>
      <w:r w:rsidR="003F3E17">
        <w:rPr>
          <w:rStyle w:val="AERbody"/>
        </w:rPr>
        <w:t>6.5</w:t>
      </w:r>
      <w:r w:rsidRPr="002616BC">
        <w:rPr>
          <w:rStyle w:val="AERbody"/>
        </w:rPr>
        <w:t xml:space="preserve"> million ($</w:t>
      </w:r>
      <w:r w:rsidR="000024FF">
        <w:rPr>
          <w:rStyle w:val="AERbody"/>
        </w:rPr>
        <w:t> </w:t>
      </w:r>
      <w:r w:rsidRPr="002616BC">
        <w:rPr>
          <w:rStyle w:val="AERbody"/>
        </w:rPr>
        <w:t>nominal), which is a reduction of $</w:t>
      </w:r>
      <w:r w:rsidR="003F3E17">
        <w:rPr>
          <w:rStyle w:val="AERbody"/>
        </w:rPr>
        <w:t>16.3</w:t>
      </w:r>
      <w:r w:rsidRPr="002616BC">
        <w:rPr>
          <w:rStyle w:val="AERbody"/>
        </w:rPr>
        <w:t xml:space="preserve"> million ($</w:t>
      </w:r>
      <w:r w:rsidR="000024FF">
        <w:rPr>
          <w:rStyle w:val="AERbody"/>
        </w:rPr>
        <w:t> </w:t>
      </w:r>
      <w:r w:rsidRPr="002616BC">
        <w:rPr>
          <w:rStyle w:val="AERbody"/>
        </w:rPr>
        <w:t xml:space="preserve">nominal) or </w:t>
      </w:r>
      <w:r w:rsidR="003F3E17">
        <w:rPr>
          <w:rStyle w:val="AERbody"/>
        </w:rPr>
        <w:t>71.4</w:t>
      </w:r>
      <w:r w:rsidRPr="002616BC">
        <w:rPr>
          <w:rStyle w:val="AERbody"/>
        </w:rPr>
        <w:t xml:space="preserve"> per cent</w:t>
      </w:r>
      <w:r w:rsidRPr="00407443">
        <w:t xml:space="preserve"> </w:t>
      </w:r>
      <w:r w:rsidR="000024FF">
        <w:t>from</w:t>
      </w:r>
      <w:r w:rsidR="000024FF" w:rsidRPr="00407443">
        <w:t xml:space="preserve"> </w:t>
      </w:r>
      <w:r w:rsidR="00672F19">
        <w:t xml:space="preserve">APA's </w:t>
      </w:r>
      <w:r w:rsidRPr="00407443">
        <w:t>proposal.</w:t>
      </w:r>
    </w:p>
    <w:p w:rsidR="00AF7045" w:rsidRPr="00407443" w:rsidRDefault="00AF7045" w:rsidP="00AF7045">
      <w:r w:rsidRPr="00407443">
        <w:t xml:space="preserve">We accept </w:t>
      </w:r>
      <w:r w:rsidR="00672F19">
        <w:t xml:space="preserve">APA's </w:t>
      </w:r>
      <w:r w:rsidRPr="00407443">
        <w:t xml:space="preserve">proposed </w:t>
      </w:r>
      <w:r>
        <w:t>approach</w:t>
      </w:r>
      <w:r w:rsidRPr="00407443">
        <w:t xml:space="preserve"> for calculating the</w:t>
      </w:r>
      <w:r>
        <w:t xml:space="preserve"> corporate income tax allowance.</w:t>
      </w:r>
      <w:r w:rsidRPr="00407443">
        <w:t xml:space="preserve"> However, we adjusted several inputs </w:t>
      </w:r>
      <w:r>
        <w:t xml:space="preserve">in </w:t>
      </w:r>
      <w:r w:rsidR="00672F19">
        <w:t xml:space="preserve">APA's </w:t>
      </w:r>
      <w:r w:rsidRPr="00407443">
        <w:t xml:space="preserve">proposed </w:t>
      </w:r>
      <w:r>
        <w:t>PTRM</w:t>
      </w:r>
      <w:r w:rsidRPr="00407443">
        <w:t xml:space="preserve"> for calculating the corporate income tax allowance. These relate to:</w:t>
      </w:r>
    </w:p>
    <w:p w:rsidR="00AF7045" w:rsidRPr="00AF7045" w:rsidRDefault="00AF7045" w:rsidP="00AF7045">
      <w:pPr>
        <w:pStyle w:val="AERbulletlistfirststyle"/>
      </w:pPr>
      <w:r>
        <w:t xml:space="preserve">changes to the opening TAB as at </w:t>
      </w:r>
      <w:r w:rsidR="008B4238">
        <w:t>1 January 2018</w:t>
      </w:r>
      <w:r w:rsidRPr="00AF7045">
        <w:t xml:space="preserve"> (section </w:t>
      </w:r>
      <w:r w:rsidRPr="00AF7045">
        <w:fldChar w:fldCharType="begin"/>
      </w:r>
      <w:r w:rsidRPr="00AF7045">
        <w:instrText xml:space="preserve"> REF _Ref430792434 \r \h </w:instrText>
      </w:r>
      <w:r w:rsidRPr="00AF7045">
        <w:fldChar w:fldCharType="separate"/>
      </w:r>
      <w:r w:rsidR="00DE2785">
        <w:t>8.4.1</w:t>
      </w:r>
      <w:r w:rsidRPr="00AF7045">
        <w:fldChar w:fldCharType="end"/>
      </w:r>
      <w:r w:rsidRPr="00AF7045">
        <w:t>)</w:t>
      </w:r>
    </w:p>
    <w:p w:rsidR="00AF7045" w:rsidRPr="00AF7045" w:rsidRDefault="00AF7045" w:rsidP="00AF7045">
      <w:pPr>
        <w:pStyle w:val="AERbulletlistfirststyle"/>
      </w:pPr>
      <w:r>
        <w:t>updates</w:t>
      </w:r>
      <w:r w:rsidRPr="00AF7045">
        <w:t xml:space="preserve"> to the remaining tax asset lives as at </w:t>
      </w:r>
      <w:r w:rsidR="00233DE1">
        <w:t>1 January 2018</w:t>
      </w:r>
      <w:r w:rsidR="00233DE1" w:rsidRPr="00AF7045">
        <w:t xml:space="preserve"> </w:t>
      </w:r>
      <w:r w:rsidRPr="00AF7045">
        <w:t>(section</w:t>
      </w:r>
      <w:r w:rsidR="00BF7DAE">
        <w:t xml:space="preserve"> </w:t>
      </w:r>
      <w:r w:rsidR="00BF7DAE">
        <w:fldChar w:fldCharType="begin"/>
      </w:r>
      <w:r w:rsidR="00BF7DAE">
        <w:instrText xml:space="preserve"> REF _Ref475085702 \r \h </w:instrText>
      </w:r>
      <w:r w:rsidR="00BF7DAE">
        <w:fldChar w:fldCharType="separate"/>
      </w:r>
      <w:r w:rsidR="00DE2785">
        <w:t>8.4.3</w:t>
      </w:r>
      <w:r w:rsidR="00BF7DAE">
        <w:fldChar w:fldCharType="end"/>
      </w:r>
      <w:r w:rsidRPr="00AF7045">
        <w:t>)</w:t>
      </w:r>
    </w:p>
    <w:p w:rsidR="00AF7045" w:rsidRPr="00AF7045" w:rsidRDefault="00AF7045" w:rsidP="00AF7045">
      <w:pPr>
        <w:pStyle w:val="AERbulletlistfirststyle"/>
      </w:pPr>
      <w:r>
        <w:t xml:space="preserve">changing the value of gamma </w:t>
      </w:r>
      <w:r w:rsidR="00EC5163">
        <w:t xml:space="preserve">from 0.25 </w:t>
      </w:r>
      <w:r>
        <w:t>to 0.4 (attachment 4)</w:t>
      </w:r>
    </w:p>
    <w:p w:rsidR="00AF7045" w:rsidRPr="00AF7045" w:rsidRDefault="00AF7045" w:rsidP="00AF7045">
      <w:pPr>
        <w:pStyle w:val="AERbulletlistfirststyle"/>
      </w:pPr>
      <w:r w:rsidRPr="00F8282A">
        <w:t xml:space="preserve">changes </w:t>
      </w:r>
      <w:r w:rsidRPr="00AF7045">
        <w:rPr>
          <w:rStyle w:val="AERbody"/>
        </w:rPr>
        <w:t xml:space="preserve">to other building block components including </w:t>
      </w:r>
      <w:r w:rsidR="00B50C8A">
        <w:rPr>
          <w:rStyle w:val="AERbody"/>
        </w:rPr>
        <w:t xml:space="preserve">the </w:t>
      </w:r>
      <w:r w:rsidRPr="00AF7045">
        <w:rPr>
          <w:rStyle w:val="AERbody"/>
        </w:rPr>
        <w:t>rate of return (attachment 3)</w:t>
      </w:r>
      <w:r w:rsidR="00B50C8A">
        <w:rPr>
          <w:rStyle w:val="AERbody"/>
        </w:rPr>
        <w:t>,</w:t>
      </w:r>
      <w:r w:rsidRPr="00AF7045">
        <w:rPr>
          <w:rStyle w:val="AERbody"/>
        </w:rPr>
        <w:t xml:space="preserve"> forecast capex (attachment 6)</w:t>
      </w:r>
      <w:r w:rsidR="007F48E4">
        <w:rPr>
          <w:rStyle w:val="AERbody"/>
        </w:rPr>
        <w:t xml:space="preserve"> and forecast </w:t>
      </w:r>
      <w:r w:rsidRPr="00AF7045">
        <w:rPr>
          <w:rStyle w:val="AERbody"/>
        </w:rPr>
        <w:t xml:space="preserve">opex </w:t>
      </w:r>
      <w:r w:rsidR="007F48E4">
        <w:rPr>
          <w:rStyle w:val="AERbody"/>
        </w:rPr>
        <w:t>(attachment 7 and 9</w:t>
      </w:r>
      <w:r w:rsidRPr="00AF7045">
        <w:rPr>
          <w:rStyle w:val="AERbody"/>
        </w:rPr>
        <w:t>)</w:t>
      </w:r>
      <w:r w:rsidRPr="00AF7045">
        <w:t>.</w:t>
      </w:r>
      <w:r w:rsidRPr="00AF7045">
        <w:rPr>
          <w:rStyle w:val="FootnoteReference"/>
        </w:rPr>
        <w:footnoteReference w:id="15"/>
      </w:r>
      <w:r w:rsidRPr="00AF7045">
        <w:t xml:space="preserve"> </w:t>
      </w:r>
    </w:p>
    <w:p w:rsidR="00AF7045" w:rsidRPr="00AF7045" w:rsidRDefault="00AF7045" w:rsidP="008B2E6B">
      <w:pPr>
        <w:pStyle w:val="Heading3"/>
        <w:ind w:left="720"/>
      </w:pPr>
      <w:bookmarkStart w:id="81" w:name="_Toc403463358"/>
      <w:bookmarkStart w:id="82" w:name="_Toc404182766"/>
      <w:bookmarkStart w:id="83" w:name="_Ref430792434"/>
      <w:bookmarkStart w:id="84" w:name="_Ref430866274"/>
      <w:bookmarkStart w:id="85" w:name="_Toc432605361"/>
      <w:bookmarkStart w:id="86" w:name="_Ref435434424"/>
      <w:bookmarkStart w:id="87" w:name="_Toc436043518"/>
      <w:bookmarkStart w:id="88" w:name="_Ref442777716"/>
      <w:bookmarkStart w:id="89" w:name="_Ref465675837"/>
      <w:bookmarkStart w:id="90" w:name="_Toc469052117"/>
      <w:bookmarkStart w:id="91" w:name="_Ref482884373"/>
      <w:bookmarkStart w:id="92" w:name="_Toc486855403"/>
      <w:r w:rsidRPr="00CA51E3">
        <w:t>Opening</w:t>
      </w:r>
      <w:r w:rsidRPr="00AF7045">
        <w:t xml:space="preserve"> tax asset base as at 1 </w:t>
      </w:r>
      <w:bookmarkEnd w:id="81"/>
      <w:bookmarkEnd w:id="82"/>
      <w:bookmarkEnd w:id="83"/>
      <w:bookmarkEnd w:id="84"/>
      <w:bookmarkEnd w:id="85"/>
      <w:bookmarkEnd w:id="86"/>
      <w:bookmarkEnd w:id="87"/>
      <w:bookmarkEnd w:id="88"/>
      <w:bookmarkEnd w:id="89"/>
      <w:bookmarkEnd w:id="90"/>
      <w:r w:rsidR="007D56D2">
        <w:t>January 2018</w:t>
      </w:r>
      <w:bookmarkEnd w:id="91"/>
      <w:bookmarkEnd w:id="92"/>
    </w:p>
    <w:p w:rsidR="00AF7045" w:rsidRDefault="00AF7045" w:rsidP="008B2E6B">
      <w:pPr>
        <w:pStyle w:val="HeadingBoldBlue"/>
      </w:pPr>
      <w:r>
        <w:t>Approach to roll forward the opening TAB</w:t>
      </w:r>
    </w:p>
    <w:p w:rsidR="00A73CBC" w:rsidRPr="00A73CBC" w:rsidRDefault="00A73CBC" w:rsidP="00890A19">
      <w:pPr>
        <w:pStyle w:val="AERbulletlistfirststyle"/>
        <w:numPr>
          <w:ilvl w:val="0"/>
          <w:numId w:val="0"/>
        </w:numPr>
        <w:rPr>
          <w:rStyle w:val="AERbody"/>
        </w:rPr>
      </w:pPr>
      <w:r w:rsidRPr="00896D81">
        <w:t xml:space="preserve">We </w:t>
      </w:r>
      <w:r>
        <w:t xml:space="preserve">do not </w:t>
      </w:r>
      <w:r w:rsidRPr="00896D81">
        <w:t>accept</w:t>
      </w:r>
      <w:r w:rsidR="00D84557">
        <w:t xml:space="preserve"> APA</w:t>
      </w:r>
      <w:r>
        <w:t>'</w:t>
      </w:r>
      <w:r w:rsidR="00D84557">
        <w:t>s</w:t>
      </w:r>
      <w:r>
        <w:t xml:space="preserve"> proposal to </w:t>
      </w:r>
      <w:r>
        <w:rPr>
          <w:rStyle w:val="AERbody"/>
        </w:rPr>
        <w:t xml:space="preserve">apply the forecast tax depreciation amounts approved in the review of the 2013–17 access arrangement when rolling forward the TAB for the 2013–17 access arrangement period. We also do not accept </w:t>
      </w:r>
      <w:r w:rsidR="00672F19">
        <w:rPr>
          <w:rStyle w:val="AERbody"/>
        </w:rPr>
        <w:t xml:space="preserve">APA's </w:t>
      </w:r>
      <w:r w:rsidR="00AF65BB">
        <w:rPr>
          <w:rStyle w:val="AERbody"/>
        </w:rPr>
        <w:t>proposal to</w:t>
      </w:r>
      <w:r>
        <w:rPr>
          <w:rStyle w:val="AERbody"/>
        </w:rPr>
        <w:t xml:space="preserve"> use actual as-incurred capex </w:t>
      </w:r>
      <w:r w:rsidR="00AF65BB">
        <w:rPr>
          <w:rStyle w:val="AERbody"/>
        </w:rPr>
        <w:t>for</w:t>
      </w:r>
      <w:r>
        <w:rPr>
          <w:rStyle w:val="AERbody"/>
        </w:rPr>
        <w:t xml:space="preserve"> the TAB roll forward. Our draft decision is </w:t>
      </w:r>
      <w:r w:rsidR="00884C11">
        <w:rPr>
          <w:rStyle w:val="AERbody"/>
        </w:rPr>
        <w:t xml:space="preserve">to </w:t>
      </w:r>
      <w:r>
        <w:rPr>
          <w:rStyle w:val="AERbody"/>
        </w:rPr>
        <w:t xml:space="preserve">use </w:t>
      </w:r>
      <w:r w:rsidR="00356E79">
        <w:rPr>
          <w:rStyle w:val="AERbody"/>
        </w:rPr>
        <w:t xml:space="preserve">actual tax depreciation </w:t>
      </w:r>
      <w:r w:rsidR="00884C11">
        <w:rPr>
          <w:rStyle w:val="AERbody"/>
        </w:rPr>
        <w:t>a</w:t>
      </w:r>
      <w:r w:rsidR="00356E79">
        <w:rPr>
          <w:rStyle w:val="AERbody"/>
        </w:rPr>
        <w:t xml:space="preserve">nd actual </w:t>
      </w:r>
      <w:r>
        <w:rPr>
          <w:rStyle w:val="AERbody"/>
        </w:rPr>
        <w:t xml:space="preserve">as-commissioned capex to roll forward the TAB. </w:t>
      </w:r>
    </w:p>
    <w:p w:rsidR="00A73CBC" w:rsidRDefault="00A73CBC" w:rsidP="00A73CBC">
      <w:pPr>
        <w:rPr>
          <w:rStyle w:val="AERbody"/>
        </w:rPr>
      </w:pPr>
      <w:r>
        <w:rPr>
          <w:rStyle w:val="AERbody"/>
        </w:rPr>
        <w:t xml:space="preserve">The forecast tax depreciation amounts </w:t>
      </w:r>
      <w:r w:rsidR="00884C11">
        <w:rPr>
          <w:rStyle w:val="AERbody"/>
        </w:rPr>
        <w:t xml:space="preserve">in </w:t>
      </w:r>
      <w:r w:rsidR="00672F19">
        <w:rPr>
          <w:rStyle w:val="AERbody"/>
        </w:rPr>
        <w:t xml:space="preserve">APA's </w:t>
      </w:r>
      <w:r w:rsidR="00884C11">
        <w:rPr>
          <w:rStyle w:val="AERbody"/>
        </w:rPr>
        <w:t xml:space="preserve">proposed TAB roll forward </w:t>
      </w:r>
      <w:r>
        <w:rPr>
          <w:rStyle w:val="AERbody"/>
        </w:rPr>
        <w:t xml:space="preserve">reflect the forecast capex approved for the 2013–17 access arrangement period. We do not accept </w:t>
      </w:r>
      <w:r w:rsidR="00672F19">
        <w:rPr>
          <w:rStyle w:val="AERbody"/>
        </w:rPr>
        <w:t xml:space="preserve">APA's </w:t>
      </w:r>
      <w:r>
        <w:rPr>
          <w:rStyle w:val="AERbody"/>
        </w:rPr>
        <w:t>proposed approach because we consider it is</w:t>
      </w:r>
      <w:r w:rsidRPr="00104A29">
        <w:rPr>
          <w:rStyle w:val="AERbody"/>
        </w:rPr>
        <w:t xml:space="preserve"> </w:t>
      </w:r>
      <w:r>
        <w:rPr>
          <w:rStyle w:val="AERbody"/>
        </w:rPr>
        <w:t>inconsistent with:</w:t>
      </w:r>
    </w:p>
    <w:p w:rsidR="00A73CBC" w:rsidRPr="00A73CBC" w:rsidRDefault="00A73CBC" w:rsidP="00A73CBC">
      <w:pPr>
        <w:pStyle w:val="AERbulletlistfirststyle"/>
      </w:pPr>
      <w:r>
        <w:rPr>
          <w:rStyle w:val="AERbody"/>
        </w:rPr>
        <w:t xml:space="preserve">the ATO's guide on depreciating assets. </w:t>
      </w:r>
      <w:r w:rsidRPr="00A73CBC">
        <w:t>T</w:t>
      </w:r>
      <w:r w:rsidRPr="00A73CBC">
        <w:rPr>
          <w:rStyle w:val="AERbody"/>
        </w:rPr>
        <w:t xml:space="preserve">he ATO </w:t>
      </w:r>
      <w:r w:rsidRPr="00A73CBC">
        <w:t>defines the cost of a depreciating asset for the purposes of calculating the tax depreciation as the cost paid to hold and improve the asset.</w:t>
      </w:r>
      <w:r w:rsidRPr="00A73CBC">
        <w:rPr>
          <w:rStyle w:val="FootnoteReference"/>
        </w:rPr>
        <w:footnoteReference w:id="16"/>
      </w:r>
      <w:r w:rsidRPr="00A73CBC">
        <w:t xml:space="preserve"> However, the tax depreciation amounts </w:t>
      </w:r>
      <w:r>
        <w:t xml:space="preserve">that </w:t>
      </w:r>
      <w:r w:rsidR="006B0421">
        <w:t xml:space="preserve">APA </w:t>
      </w:r>
      <w:r w:rsidRPr="00A73CBC">
        <w:t>applied in rolling forward the TAB reflects the forecast capex for the 201</w:t>
      </w:r>
      <w:r>
        <w:t>3</w:t>
      </w:r>
      <w:r w:rsidRPr="00A73CBC">
        <w:t xml:space="preserve">–17 access arrangement period. Therefore, we consider that the proposed approach is not consistent with the ATO's requirement to use actual costs for calculating the tax depreciation. </w:t>
      </w:r>
    </w:p>
    <w:p w:rsidR="00A73CBC" w:rsidRDefault="00A73CBC" w:rsidP="00890A19">
      <w:pPr>
        <w:pStyle w:val="AERbulletlistfirststyle"/>
      </w:pPr>
      <w:r>
        <w:rPr>
          <w:rStyle w:val="AERbody"/>
        </w:rPr>
        <w:t xml:space="preserve">the approach we have applied for other the gas and electricity businesses. </w:t>
      </w:r>
      <w:r w:rsidRPr="00A73CBC">
        <w:t xml:space="preserve">We note that the AER's RFM for electricity, consistent with the requirements of the ATO, requires the calculation of the tax depreciation for rolling forward the TAB to be based on the nominal actual net capex for the relevant period. </w:t>
      </w:r>
      <w:r w:rsidR="006B0421">
        <w:t xml:space="preserve">APA </w:t>
      </w:r>
      <w:r w:rsidRPr="00A73CBC">
        <w:t xml:space="preserve">also applied the actual tax depreciation in rolling forward the TAB in all its past access arrangements.  </w:t>
      </w:r>
    </w:p>
    <w:p w:rsidR="002E3403" w:rsidRDefault="00E957C7" w:rsidP="00135E73">
      <w:r>
        <w:t>As discussed in attachment 2</w:t>
      </w:r>
      <w:r w:rsidR="00356E79">
        <w:t>, we note t</w:t>
      </w:r>
      <w:r w:rsidR="00A73CBC" w:rsidRPr="00A73CBC">
        <w:t xml:space="preserve">here are two ways to recognise </w:t>
      </w:r>
      <w:r w:rsidR="00356E79">
        <w:t xml:space="preserve">the </w:t>
      </w:r>
      <w:r>
        <w:t xml:space="preserve">actual </w:t>
      </w:r>
      <w:r w:rsidR="00A73CBC" w:rsidRPr="00A73CBC">
        <w:t>capex</w:t>
      </w:r>
      <w:r w:rsidRPr="00E957C7">
        <w:t xml:space="preserve"> </w:t>
      </w:r>
      <w:r>
        <w:t>used in the TAB roll forward</w:t>
      </w:r>
      <w:r w:rsidR="00A73CBC" w:rsidRPr="00A73CBC">
        <w:t>. T</w:t>
      </w:r>
      <w:r w:rsidR="00A73CBC">
        <w:t>he as-incurred</w:t>
      </w:r>
      <w:r w:rsidR="00A73CBC" w:rsidRPr="00A73CBC">
        <w:t xml:space="preserve"> capex approach recognises capex in any one year based on expenditure incurred in that year regardless of whether the asset related to that expenditure has been </w:t>
      </w:r>
      <w:r w:rsidR="00A73CBC">
        <w:t>commissioned or not</w:t>
      </w:r>
      <w:r w:rsidR="00356E79">
        <w:t>.</w:t>
      </w:r>
      <w:r w:rsidR="00A73CBC">
        <w:t xml:space="preserve"> </w:t>
      </w:r>
      <w:r w:rsidR="00356E79">
        <w:t>T</w:t>
      </w:r>
      <w:r w:rsidR="00A73CBC">
        <w:t>he as-commissioned</w:t>
      </w:r>
      <w:r w:rsidR="00A73CBC" w:rsidRPr="00A73CBC">
        <w:t xml:space="preserve"> capex approach recognises expenditure at the time when the asset related to that expenditure has been commissioned</w:t>
      </w:r>
      <w:r w:rsidR="00356E79">
        <w:t>, whereby the construction period of the capex may span more than one year</w:t>
      </w:r>
      <w:r w:rsidR="00A73CBC" w:rsidRPr="00A73CBC">
        <w:t>.</w:t>
      </w:r>
      <w:r w:rsidR="00AF65BB">
        <w:t xml:space="preserve"> </w:t>
      </w:r>
    </w:p>
    <w:p w:rsidR="001B6E01" w:rsidRDefault="00AF65BB" w:rsidP="00A73CBC">
      <w:r w:rsidRPr="00AF65BB">
        <w:rPr>
          <w:rStyle w:val="AERbody"/>
        </w:rPr>
        <w:t xml:space="preserve">We do not accept </w:t>
      </w:r>
      <w:r w:rsidR="00672F19">
        <w:rPr>
          <w:rStyle w:val="AERbody"/>
        </w:rPr>
        <w:t xml:space="preserve">APA's </w:t>
      </w:r>
      <w:r w:rsidRPr="00AF65BB">
        <w:rPr>
          <w:rStyle w:val="AERbody"/>
        </w:rPr>
        <w:t xml:space="preserve">proposed approach to roll forward the TAB using </w:t>
      </w:r>
      <w:r>
        <w:rPr>
          <w:rStyle w:val="AERbody"/>
        </w:rPr>
        <w:t xml:space="preserve">actual as-incurred capex </w:t>
      </w:r>
      <w:r w:rsidRPr="00AF65BB">
        <w:rPr>
          <w:rStyle w:val="AERbody"/>
        </w:rPr>
        <w:t>because we consider it is inconsistent with</w:t>
      </w:r>
      <w:r w:rsidR="00EF493D">
        <w:rPr>
          <w:rStyle w:val="AERbody"/>
        </w:rPr>
        <w:t xml:space="preserve"> the method applied in the 2013–17 access arrangement period</w:t>
      </w:r>
      <w:r w:rsidR="00EF493D" w:rsidRPr="00321561">
        <w:t xml:space="preserve">. </w:t>
      </w:r>
      <w:r w:rsidR="00FD0541">
        <w:t xml:space="preserve">APA did not present any reason for adopting a different approach. </w:t>
      </w:r>
      <w:r w:rsidR="00EF493D" w:rsidRPr="00321561">
        <w:t xml:space="preserve">In our </w:t>
      </w:r>
      <w:r w:rsidR="00AE05BF">
        <w:t>PTRM for the</w:t>
      </w:r>
      <w:r w:rsidR="00AE05BF" w:rsidRPr="00AE05BF">
        <w:t xml:space="preserve"> </w:t>
      </w:r>
      <w:r w:rsidR="00EF493D" w:rsidRPr="00321561">
        <w:t xml:space="preserve">2013–17 access arrangement decision, the projected </w:t>
      </w:r>
      <w:r w:rsidR="00EF493D">
        <w:t xml:space="preserve">TAB </w:t>
      </w:r>
      <w:r w:rsidR="00EF493D" w:rsidRPr="00321561">
        <w:t xml:space="preserve">is rolled forward </w:t>
      </w:r>
      <w:r w:rsidR="00EF493D">
        <w:t>on</w:t>
      </w:r>
      <w:r w:rsidR="00EF493D" w:rsidRPr="00321561">
        <w:t xml:space="preserve"> </w:t>
      </w:r>
      <w:r w:rsidR="00EF493D">
        <w:t xml:space="preserve">an </w:t>
      </w:r>
      <w:r w:rsidR="00EF493D" w:rsidRPr="00321561">
        <w:t xml:space="preserve">as-commissioned </w:t>
      </w:r>
      <w:r w:rsidR="00437D3D">
        <w:t xml:space="preserve">capex </w:t>
      </w:r>
      <w:r w:rsidR="00EF493D" w:rsidRPr="00321561">
        <w:t>ba</w:t>
      </w:r>
      <w:r w:rsidR="00EF493D">
        <w:t xml:space="preserve">sis. We consider the </w:t>
      </w:r>
      <w:r w:rsidR="004C300A">
        <w:t xml:space="preserve">capex profile used to </w:t>
      </w:r>
      <w:r w:rsidR="00EF493D">
        <w:t xml:space="preserve">roll forward  the TAB for this </w:t>
      </w:r>
      <w:r w:rsidR="00E6533A">
        <w:t>access arrangement review</w:t>
      </w:r>
      <w:r w:rsidR="00EF493D">
        <w:t xml:space="preserve"> should be consistent with the 2013</w:t>
      </w:r>
      <w:r w:rsidR="00E6533A">
        <w:t>–</w:t>
      </w:r>
      <w:r w:rsidR="00EF493D">
        <w:t xml:space="preserve">17 </w:t>
      </w:r>
      <w:r w:rsidR="00E6533A">
        <w:t xml:space="preserve">access arrangement </w:t>
      </w:r>
      <w:r w:rsidR="00EF493D">
        <w:t>decision, which used as-commissioned capex.</w:t>
      </w:r>
      <w:r w:rsidR="00EF493D" w:rsidRPr="00321561">
        <w:rPr>
          <w:rStyle w:val="FootnoteReference"/>
        </w:rPr>
        <w:footnoteReference w:id="17"/>
      </w:r>
      <w:r w:rsidR="00EF493D" w:rsidRPr="00321561">
        <w:t xml:space="preserve"> </w:t>
      </w:r>
      <w:r w:rsidR="005D7DC6">
        <w:t>T</w:t>
      </w:r>
      <w:r w:rsidR="005D7DC6" w:rsidRPr="005D7DC6">
        <w:t>his provides continuity that capex is recognised on an as-commissioned approach for the next access arrangement</w:t>
      </w:r>
      <w:r w:rsidR="005D7DC6">
        <w:t xml:space="preserve"> period</w:t>
      </w:r>
      <w:r w:rsidR="005D7DC6" w:rsidRPr="005D7DC6">
        <w:t>.</w:t>
      </w:r>
      <w:r w:rsidR="005D7DC6">
        <w:t xml:space="preserve"> </w:t>
      </w:r>
      <w:r w:rsidR="002E3403">
        <w:t xml:space="preserve">We note </w:t>
      </w:r>
      <w:r w:rsidR="00672F19">
        <w:t xml:space="preserve">APA's </w:t>
      </w:r>
      <w:r w:rsidR="002E3403">
        <w:t xml:space="preserve">projected roll forward of the TAB over the 2018–22 access arrangement period uses forecast as-commissioned capex. </w:t>
      </w:r>
      <w:r w:rsidR="00E6533A">
        <w:t>For these reasons, we are satisfied that the opening TAB value at 1 January 2018 has been arrived at on a reasonable basis when rolled forward using actual as-commissioned capex over the 2013–17 access arrangement period.</w:t>
      </w:r>
      <w:r w:rsidR="00430FDF">
        <w:rPr>
          <w:rStyle w:val="FootnoteReference"/>
        </w:rPr>
        <w:footnoteReference w:id="18"/>
      </w:r>
    </w:p>
    <w:p w:rsidR="00A73CBC" w:rsidRDefault="00A73CBC" w:rsidP="00A73CBC">
      <w:r>
        <w:t xml:space="preserve">For the reasons discussed above, we do not accept </w:t>
      </w:r>
      <w:r w:rsidR="00672F19">
        <w:t xml:space="preserve">APA's </w:t>
      </w:r>
      <w:r>
        <w:t>proposed approach</w:t>
      </w:r>
      <w:r w:rsidR="00890A19">
        <w:t xml:space="preserve"> for </w:t>
      </w:r>
      <w:r w:rsidR="00884C11">
        <w:t xml:space="preserve">the </w:t>
      </w:r>
      <w:r w:rsidR="00890A19">
        <w:t>TAB roll forward</w:t>
      </w:r>
      <w:r>
        <w:t xml:space="preserve">. We consider </w:t>
      </w:r>
      <w:r w:rsidR="00672F19">
        <w:t xml:space="preserve">APA's </w:t>
      </w:r>
      <w:r>
        <w:t>proposed approach would result in</w:t>
      </w:r>
      <w:r w:rsidRPr="00AA6C11">
        <w:t xml:space="preserve"> an estimate of the taxable income that </w:t>
      </w:r>
      <w:r>
        <w:t xml:space="preserve">is not consistent with the amount that </w:t>
      </w:r>
      <w:r w:rsidRPr="00AA6C11">
        <w:t>would be earned by a benchmark efficient entity as a result of the provision of reference</w:t>
      </w:r>
      <w:r>
        <w:t xml:space="preserve"> services.</w:t>
      </w:r>
      <w:r>
        <w:rPr>
          <w:rStyle w:val="FootnoteReference"/>
        </w:rPr>
        <w:footnoteReference w:id="19"/>
      </w:r>
      <w:r w:rsidRPr="00AA6C11">
        <w:t xml:space="preserve"> </w:t>
      </w:r>
      <w:r>
        <w:rPr>
          <w:rStyle w:val="AERbody"/>
        </w:rPr>
        <w:t xml:space="preserve">We consider the tax depreciation amounts applied in rolling forward the TAB should be based on the actual </w:t>
      </w:r>
      <w:r w:rsidR="00890A19">
        <w:rPr>
          <w:rStyle w:val="AERbody"/>
        </w:rPr>
        <w:t xml:space="preserve">as-commissioned </w:t>
      </w:r>
      <w:r>
        <w:rPr>
          <w:rStyle w:val="AERbody"/>
        </w:rPr>
        <w:t>capex consistent with the AER's RFM and the ATO's guide for depreciating assets. Therefore, w</w:t>
      </w:r>
      <w:r>
        <w:t xml:space="preserve">e have amended the proposed RFM so that the tax depreciation is calculated using the nominal net actual </w:t>
      </w:r>
      <w:r w:rsidR="00890A19">
        <w:t xml:space="preserve">as-commissioned </w:t>
      </w:r>
      <w:r>
        <w:t>capex for the 201</w:t>
      </w:r>
      <w:r w:rsidR="00890A19">
        <w:t>3</w:t>
      </w:r>
      <w:r>
        <w:t>–17 access arrangement period.</w:t>
      </w:r>
      <w:r w:rsidR="006B0421" w:rsidRPr="006B0421">
        <w:t xml:space="preserve"> </w:t>
      </w:r>
      <w:r w:rsidR="00B10440">
        <w:t xml:space="preserve">We </w:t>
      </w:r>
      <w:r w:rsidR="00B10440" w:rsidRPr="00B10440">
        <w:t xml:space="preserve">consider this approach </w:t>
      </w:r>
      <w:r w:rsidR="00B10440">
        <w:t xml:space="preserve">is consistent with </w:t>
      </w:r>
      <w:r w:rsidR="00B10440" w:rsidRPr="00B10440">
        <w:t>the NGO and the revenue and pricing principles</w:t>
      </w:r>
      <w:r w:rsidR="006B0421">
        <w:t>.</w:t>
      </w:r>
      <w:r>
        <w:t xml:space="preserve"> </w:t>
      </w:r>
    </w:p>
    <w:p w:rsidR="00AF7045" w:rsidRDefault="00AF7045" w:rsidP="008B2E6B">
      <w:pPr>
        <w:pStyle w:val="HeadingBoldBlue"/>
      </w:pPr>
      <w:r>
        <w:t>Other inputs</w:t>
      </w:r>
    </w:p>
    <w:p w:rsidR="00883924" w:rsidRDefault="00AF7045" w:rsidP="00883924">
      <w:r>
        <w:t>W</w:t>
      </w:r>
      <w:r w:rsidRPr="00D940F4">
        <w:t xml:space="preserve">e </w:t>
      </w:r>
      <w:r>
        <w:t>also assessed other</w:t>
      </w:r>
      <w:r w:rsidRPr="00D940F4">
        <w:t xml:space="preserve"> inputs </w:t>
      </w:r>
      <w:r w:rsidR="006B0421">
        <w:t xml:space="preserve">APA </w:t>
      </w:r>
      <w:r>
        <w:t xml:space="preserve">used to </w:t>
      </w:r>
      <w:r w:rsidRPr="00896D81">
        <w:t>roll forward the TAB over</w:t>
      </w:r>
      <w:r>
        <w:t xml:space="preserve"> the </w:t>
      </w:r>
      <w:r w:rsidR="00D86A73">
        <w:t>2013</w:t>
      </w:r>
      <w:r>
        <w:t xml:space="preserve">–17 access arrangement period. This includes the opening TAB and remaining tax asset life values as at 1 </w:t>
      </w:r>
      <w:r w:rsidR="007D56D2">
        <w:t>July 2013</w:t>
      </w:r>
      <w:r>
        <w:t xml:space="preserve">, and </w:t>
      </w:r>
      <w:r w:rsidRPr="00896D81">
        <w:t>actual capex</w:t>
      </w:r>
      <w:r>
        <w:t xml:space="preserve"> for </w:t>
      </w:r>
      <w:r w:rsidR="00233DE1">
        <w:t xml:space="preserve">the </w:t>
      </w:r>
      <w:r w:rsidR="00D86A73">
        <w:t>2013</w:t>
      </w:r>
      <w:r>
        <w:t>–17 access arrangement period.</w:t>
      </w:r>
      <w:r w:rsidR="00883924" w:rsidRPr="00883924">
        <w:t xml:space="preserve"> </w:t>
      </w:r>
      <w:r w:rsidR="00883924">
        <w:t>W</w:t>
      </w:r>
      <w:r w:rsidR="00883924" w:rsidRPr="00546EAA">
        <w:t>e approve $</w:t>
      </w:r>
      <w:r w:rsidR="00883924">
        <w:t>402.3</w:t>
      </w:r>
      <w:r w:rsidR="00883924" w:rsidRPr="00546EAA">
        <w:t xml:space="preserve"> million ($2017) of APA's proposed total net capex of $408.3 million ($2017) for the 2013–17 </w:t>
      </w:r>
      <w:r w:rsidR="00883924">
        <w:t xml:space="preserve">access arrangement </w:t>
      </w:r>
      <w:r w:rsidR="00883924" w:rsidRPr="00546EAA">
        <w:t>period as conforming capex.</w:t>
      </w:r>
      <w:r w:rsidR="00883924">
        <w:t xml:space="preserve"> Our draft decision on conforming capex is set out in attachment 6.</w:t>
      </w:r>
      <w:r w:rsidR="00883924">
        <w:rPr>
          <w:rStyle w:val="FootnoteReference"/>
        </w:rPr>
        <w:footnoteReference w:id="20"/>
      </w:r>
      <w:r w:rsidR="00883924">
        <w:t xml:space="preserve"> </w:t>
      </w:r>
    </w:p>
    <w:p w:rsidR="00883924" w:rsidRDefault="007D56D2" w:rsidP="00883924">
      <w:r w:rsidRPr="007D56D2">
        <w:t xml:space="preserve">We do not accept </w:t>
      </w:r>
      <w:r w:rsidR="00672F19">
        <w:t xml:space="preserve">APA's </w:t>
      </w:r>
      <w:r w:rsidRPr="007D56D2">
        <w:t>proposed opening TAB inputs as at 1 July 201</w:t>
      </w:r>
      <w:r>
        <w:t>3</w:t>
      </w:r>
      <w:r w:rsidRPr="007D56D2">
        <w:t xml:space="preserve"> because they are not consistent with the approved values in the opening TAB in the 201</w:t>
      </w:r>
      <w:r>
        <w:t>3</w:t>
      </w:r>
      <w:r w:rsidRPr="007D56D2">
        <w:t>–1</w:t>
      </w:r>
      <w:r>
        <w:t>7</w:t>
      </w:r>
      <w:r w:rsidRPr="007D56D2">
        <w:t xml:space="preserve"> access arrangement.</w:t>
      </w:r>
      <w:r w:rsidRPr="007D56D2">
        <w:rPr>
          <w:rStyle w:val="FootnoteReference"/>
        </w:rPr>
        <w:footnoteReference w:id="21"/>
      </w:r>
      <w:r w:rsidRPr="007D56D2">
        <w:t xml:space="preserve"> </w:t>
      </w:r>
      <w:r w:rsidR="00591897" w:rsidRPr="00591897">
        <w:t xml:space="preserve">In </w:t>
      </w:r>
      <w:r w:rsidR="00F5676E">
        <w:t xml:space="preserve">its </w:t>
      </w:r>
      <w:r w:rsidR="00591897" w:rsidRPr="00591897">
        <w:t>respon</w:t>
      </w:r>
      <w:r w:rsidR="00F5676E">
        <w:t>se</w:t>
      </w:r>
      <w:r w:rsidR="00591897" w:rsidRPr="00591897">
        <w:t xml:space="preserve"> to our information request, </w:t>
      </w:r>
      <w:r w:rsidR="006B0421">
        <w:t xml:space="preserve">APA </w:t>
      </w:r>
      <w:r w:rsidR="00591897" w:rsidRPr="00591897">
        <w:t>provided a revised opening TAB as at 1 July 2013</w:t>
      </w:r>
      <w:r w:rsidR="00F5676E">
        <w:t xml:space="preserve"> of $</w:t>
      </w:r>
      <w:r w:rsidR="007F48E4">
        <w:t>543.2</w:t>
      </w:r>
      <w:r w:rsidR="00F5676E">
        <w:t xml:space="preserve"> million</w:t>
      </w:r>
      <w:r w:rsidR="00591897" w:rsidRPr="00591897">
        <w:t>.</w:t>
      </w:r>
      <w:r w:rsidR="00591897" w:rsidRPr="00591897">
        <w:rPr>
          <w:rStyle w:val="FootnoteReference"/>
        </w:rPr>
        <w:footnoteReference w:id="22"/>
      </w:r>
      <w:r w:rsidR="00591897" w:rsidRPr="00591897">
        <w:t xml:space="preserve"> Our draft decision is </w:t>
      </w:r>
      <w:r w:rsidR="002B3761">
        <w:t xml:space="preserve">to </w:t>
      </w:r>
      <w:r w:rsidR="00883924">
        <w:t xml:space="preserve">adjust </w:t>
      </w:r>
      <w:r w:rsidR="00F5676E">
        <w:t>this</w:t>
      </w:r>
      <w:r w:rsidR="00D04FB2">
        <w:t xml:space="preserve"> revised</w:t>
      </w:r>
      <w:r w:rsidR="00F5676E">
        <w:t xml:space="preserve"> amount</w:t>
      </w:r>
      <w:r w:rsidR="00883924">
        <w:t xml:space="preserve"> </w:t>
      </w:r>
      <w:r w:rsidR="00F5676E">
        <w:t xml:space="preserve">to </w:t>
      </w:r>
      <w:r w:rsidR="00591897" w:rsidRPr="00591897">
        <w:t xml:space="preserve">correct for </w:t>
      </w:r>
      <w:r w:rsidR="006F1884">
        <w:t xml:space="preserve">some </w:t>
      </w:r>
      <w:r w:rsidR="00591897" w:rsidRPr="00591897">
        <w:t>minor calculation errors</w:t>
      </w:r>
      <w:r w:rsidR="00EF493D">
        <w:t xml:space="preserve"> and to reflect our decision on the </w:t>
      </w:r>
      <w:r w:rsidR="001B692B" w:rsidRPr="00883924">
        <w:t>approved actual (conforming) as-commissioned capex</w:t>
      </w:r>
      <w:r w:rsidR="002B3761">
        <w:t>.</w:t>
      </w:r>
      <w:r w:rsidR="00D84557">
        <w:rPr>
          <w:rStyle w:val="FootnoteReference"/>
        </w:rPr>
        <w:footnoteReference w:id="23"/>
      </w:r>
      <w:r w:rsidR="00EF493D">
        <w:t xml:space="preserve"> </w:t>
      </w:r>
      <w:r w:rsidR="00883924">
        <w:t>We</w:t>
      </w:r>
      <w:r w:rsidR="00883924" w:rsidRPr="00883924">
        <w:t xml:space="preserve"> are satisfied that the approved actual (conforming) as-commissioned capex included in the TAB reflects the requirements of r. 79 of the NGR.</w:t>
      </w:r>
      <w:r w:rsidR="00883924">
        <w:t xml:space="preserve"> </w:t>
      </w:r>
    </w:p>
    <w:p w:rsidR="00AF7045" w:rsidRPr="00896D81" w:rsidRDefault="00AF7045">
      <w:r>
        <w:rPr>
          <w:rStyle w:val="AERbody"/>
        </w:rPr>
        <w:t>Our draft decision is to determine an opening TAB of $</w:t>
      </w:r>
      <w:r w:rsidR="007F48E4">
        <w:rPr>
          <w:rStyle w:val="AERbody"/>
        </w:rPr>
        <w:t>512.7</w:t>
      </w:r>
      <w:r>
        <w:rPr>
          <w:rStyle w:val="AERbody"/>
        </w:rPr>
        <w:t xml:space="preserve"> million ($nominal) as at 1 </w:t>
      </w:r>
      <w:r w:rsidR="00335EFE">
        <w:rPr>
          <w:rStyle w:val="AERbody"/>
        </w:rPr>
        <w:t>January 2018</w:t>
      </w:r>
      <w:r>
        <w:rPr>
          <w:rStyle w:val="AERbody"/>
        </w:rPr>
        <w:t xml:space="preserve"> for </w:t>
      </w:r>
      <w:r w:rsidR="00D84557">
        <w:rPr>
          <w:rStyle w:val="AERbody"/>
        </w:rPr>
        <w:t>APA</w:t>
      </w:r>
      <w:r>
        <w:rPr>
          <w:rStyle w:val="AERbody"/>
        </w:rPr>
        <w:t>. This represents a reduction of $</w:t>
      </w:r>
      <w:r w:rsidR="007F48E4">
        <w:rPr>
          <w:rStyle w:val="AERbody"/>
        </w:rPr>
        <w:t>30.5</w:t>
      </w:r>
      <w:r>
        <w:rPr>
          <w:rStyle w:val="AERbody"/>
        </w:rPr>
        <w:t xml:space="preserve"> million or </w:t>
      </w:r>
      <w:r w:rsidR="007F48E4">
        <w:rPr>
          <w:rStyle w:val="AERbody"/>
        </w:rPr>
        <w:t>5.6</w:t>
      </w:r>
      <w:r>
        <w:rPr>
          <w:rStyle w:val="AERbody"/>
        </w:rPr>
        <w:t xml:space="preserve"> per cent to </w:t>
      </w:r>
      <w:r w:rsidR="00672F19">
        <w:rPr>
          <w:rStyle w:val="AERbody"/>
        </w:rPr>
        <w:t xml:space="preserve">APA's </w:t>
      </w:r>
      <w:r>
        <w:rPr>
          <w:rStyle w:val="AERbody"/>
        </w:rPr>
        <w:t xml:space="preserve">proposal. </w:t>
      </w:r>
      <w:r>
        <w:fldChar w:fldCharType="begin"/>
      </w:r>
      <w:r>
        <w:instrText xml:space="preserve"> REF _Ref398907505 \h  \* MERGEFORMAT </w:instrText>
      </w:r>
      <w:r>
        <w:fldChar w:fldCharType="separate"/>
      </w:r>
      <w:r w:rsidR="00DE2785" w:rsidRPr="00896D81">
        <w:t xml:space="preserve">Table </w:t>
      </w:r>
      <w:r w:rsidR="00DE2785">
        <w:t>8</w:t>
      </w:r>
      <w:r w:rsidR="00DE2785" w:rsidRPr="00A53273">
        <w:t>.</w:t>
      </w:r>
      <w:r w:rsidR="00DE2785">
        <w:t>4</w:t>
      </w:r>
      <w:r>
        <w:fldChar w:fldCharType="end"/>
      </w:r>
      <w:r>
        <w:t xml:space="preserve"> </w:t>
      </w:r>
      <w:r w:rsidRPr="00896D81">
        <w:t xml:space="preserve">sets out our draft decision on the roll forward of </w:t>
      </w:r>
      <w:r w:rsidR="00672F19">
        <w:t xml:space="preserve">APA's </w:t>
      </w:r>
      <w:r>
        <w:t xml:space="preserve">TAB </w:t>
      </w:r>
      <w:r w:rsidRPr="00896D81">
        <w:t xml:space="preserve">values. </w:t>
      </w:r>
    </w:p>
    <w:p w:rsidR="00DA0301" w:rsidRPr="00A53273" w:rsidRDefault="00DA0301" w:rsidP="00DA0301">
      <w:pPr>
        <w:pStyle w:val="Caption"/>
      </w:pPr>
      <w:bookmarkStart w:id="93" w:name="_Ref398907505"/>
      <w:r w:rsidRPr="00896D81">
        <w:t xml:space="preserve">Table </w:t>
      </w:r>
      <w:fldSimple w:instr=" STYLEREF 1 \s ">
        <w:r w:rsidR="00DE2785">
          <w:rPr>
            <w:noProof/>
          </w:rPr>
          <w:t>8</w:t>
        </w:r>
      </w:fldSimple>
      <w:r w:rsidRPr="00A53273">
        <w:t>.</w:t>
      </w:r>
      <w:fldSimple w:instr=" SEQ Table \* ARABIC \s 1 ">
        <w:r w:rsidR="00DE2785">
          <w:rPr>
            <w:noProof/>
          </w:rPr>
          <w:t>4</w:t>
        </w:r>
      </w:fldSimple>
      <w:bookmarkEnd w:id="93"/>
      <w:r w:rsidRPr="00A53273">
        <w:tab/>
        <w:t xml:space="preserve">AER’s draft decision on </w:t>
      </w:r>
      <w:r w:rsidR="00672F19">
        <w:t xml:space="preserve">APA's </w:t>
      </w:r>
      <w:r w:rsidRPr="00A53273">
        <w:t xml:space="preserve">tax asset base roll forward for the </w:t>
      </w:r>
      <w:r w:rsidR="00D86A73">
        <w:t>2013</w:t>
      </w:r>
      <w:r w:rsidRPr="00A53273">
        <w:t>–1</w:t>
      </w:r>
      <w:r>
        <w:t>7</w:t>
      </w:r>
      <w:r w:rsidRPr="00A53273">
        <w:t xml:space="preserve"> access arrangement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612E02" w:rsidRPr="004B12EB" w:rsidTr="007B640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612E02" w:rsidRPr="004B12EB" w:rsidRDefault="00612E02" w:rsidP="00612E02"/>
        </w:tc>
        <w:tc>
          <w:tcPr>
            <w:tcW w:w="1256" w:type="dxa"/>
            <w:hideMark/>
          </w:tcPr>
          <w:p w:rsidR="00612E02" w:rsidRPr="00612E02" w:rsidRDefault="00612E02" w:rsidP="00612E02">
            <w:pPr>
              <w:cnfStyle w:val="100000000000" w:firstRow="1" w:lastRow="0" w:firstColumn="0" w:lastColumn="0" w:oddVBand="0" w:evenVBand="0" w:oddHBand="0" w:evenHBand="0" w:firstRowFirstColumn="0" w:firstRowLastColumn="0" w:lastRowFirstColumn="0" w:lastRowLastColumn="0"/>
            </w:pPr>
            <w:r>
              <w:t>2</w:t>
            </w:r>
            <w:r w:rsidRPr="00612E02">
              <w:t>013</w:t>
            </w:r>
          </w:p>
        </w:tc>
        <w:tc>
          <w:tcPr>
            <w:tcW w:w="1257" w:type="dxa"/>
            <w:hideMark/>
          </w:tcPr>
          <w:p w:rsidR="00612E02" w:rsidRPr="00612E02" w:rsidRDefault="00612E02" w:rsidP="00612E02">
            <w:pPr>
              <w:cnfStyle w:val="100000000000" w:firstRow="1" w:lastRow="0" w:firstColumn="0" w:lastColumn="0" w:oddVBand="0" w:evenVBand="0" w:oddHBand="0" w:evenHBand="0" w:firstRowFirstColumn="0" w:firstRowLastColumn="0" w:lastRowFirstColumn="0" w:lastRowLastColumn="0"/>
            </w:pPr>
            <w:r>
              <w:t>2</w:t>
            </w:r>
            <w:r w:rsidRPr="00612E02">
              <w:t>014</w:t>
            </w:r>
          </w:p>
        </w:tc>
        <w:tc>
          <w:tcPr>
            <w:tcW w:w="1257" w:type="dxa"/>
            <w:hideMark/>
          </w:tcPr>
          <w:p w:rsidR="00612E02" w:rsidRPr="00612E02" w:rsidRDefault="00612E02" w:rsidP="00612E02">
            <w:pPr>
              <w:cnfStyle w:val="100000000000" w:firstRow="1" w:lastRow="0" w:firstColumn="0" w:lastColumn="0" w:oddVBand="0" w:evenVBand="0" w:oddHBand="0" w:evenHBand="0" w:firstRowFirstColumn="0" w:firstRowLastColumn="0" w:lastRowFirstColumn="0" w:lastRowLastColumn="0"/>
            </w:pPr>
            <w:r>
              <w:t>2</w:t>
            </w:r>
            <w:r w:rsidRPr="00612E02">
              <w:t>015</w:t>
            </w:r>
          </w:p>
        </w:tc>
        <w:tc>
          <w:tcPr>
            <w:tcW w:w="1257" w:type="dxa"/>
            <w:hideMark/>
          </w:tcPr>
          <w:p w:rsidR="00612E02" w:rsidRPr="00612E02" w:rsidRDefault="00612E02" w:rsidP="00612E02">
            <w:pPr>
              <w:cnfStyle w:val="100000000000" w:firstRow="1" w:lastRow="0" w:firstColumn="0" w:lastColumn="0" w:oddVBand="0" w:evenVBand="0" w:oddHBand="0" w:evenHBand="0" w:firstRowFirstColumn="0" w:firstRowLastColumn="0" w:lastRowFirstColumn="0" w:lastRowLastColumn="0"/>
            </w:pPr>
            <w:r>
              <w:t>2</w:t>
            </w:r>
            <w:r w:rsidRPr="00612E02">
              <w:t>016</w:t>
            </w:r>
          </w:p>
        </w:tc>
        <w:tc>
          <w:tcPr>
            <w:tcW w:w="1257" w:type="dxa"/>
            <w:hideMark/>
          </w:tcPr>
          <w:p w:rsidR="00612E02" w:rsidRPr="00612E02" w:rsidRDefault="00612E02" w:rsidP="00612E02">
            <w:pPr>
              <w:cnfStyle w:val="100000000000" w:firstRow="1" w:lastRow="0" w:firstColumn="0" w:lastColumn="0" w:oddVBand="0" w:evenVBand="0" w:oddHBand="0" w:evenHBand="0" w:firstRowFirstColumn="0" w:firstRowLastColumn="0" w:lastRowFirstColumn="0" w:lastRowLastColumn="0"/>
            </w:pPr>
            <w:r>
              <w:t>2</w:t>
            </w:r>
            <w:r w:rsidRPr="00612E02">
              <w:t>017</w:t>
            </w:r>
          </w:p>
        </w:tc>
      </w:tr>
      <w:tr w:rsidR="007F48E4" w:rsidRPr="004B12EB" w:rsidTr="00AE05BF">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7F48E4" w:rsidRPr="007F48E4" w:rsidRDefault="007F48E4" w:rsidP="007F48E4">
            <w:r w:rsidRPr="007F48E4">
              <w:t>Opening tax asset base</w:t>
            </w:r>
          </w:p>
        </w:tc>
        <w:tc>
          <w:tcPr>
            <w:tcW w:w="1256"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228.9</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221.3</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242.5</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403.2</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389.4</w:t>
            </w:r>
          </w:p>
        </w:tc>
      </w:tr>
      <w:tr w:rsidR="007F48E4" w:rsidRPr="004B12EB" w:rsidTr="00AE05B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7F48E4" w:rsidRPr="007F48E4" w:rsidRDefault="007F48E4" w:rsidP="007F48E4">
            <w:r w:rsidRPr="007F48E4">
              <w:t>Capex</w:t>
            </w:r>
          </w:p>
        </w:tc>
        <w:tc>
          <w:tcPr>
            <w:tcW w:w="1256"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r w:rsidRPr="007F48E4">
              <w:t>1.3</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r w:rsidRPr="007F48E4">
              <w:t>39.2</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r w:rsidRPr="007F48E4">
              <w:t>180.9</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r w:rsidRPr="007F48E4">
              <w:t>15.9</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r w:rsidRPr="007F48E4">
              <w:t>154.1</w:t>
            </w:r>
          </w:p>
        </w:tc>
      </w:tr>
      <w:tr w:rsidR="007F48E4" w:rsidRPr="004B12EB" w:rsidTr="00AE05BF">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7F48E4" w:rsidRPr="007F48E4" w:rsidRDefault="007F48E4" w:rsidP="007F48E4">
            <w:r w:rsidRPr="007F48E4">
              <w:t>Tax depreciation</w:t>
            </w:r>
          </w:p>
        </w:tc>
        <w:tc>
          <w:tcPr>
            <w:tcW w:w="1256"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8.9</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18.0</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20.2</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29.8</w:t>
            </w:r>
          </w:p>
        </w:tc>
        <w:tc>
          <w:tcPr>
            <w:tcW w:w="1257" w:type="dxa"/>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r w:rsidRPr="007F48E4">
              <w:t>30.8</w:t>
            </w:r>
          </w:p>
        </w:tc>
      </w:tr>
      <w:tr w:rsidR="007F48E4" w:rsidRPr="007F48E4" w:rsidTr="00AE05B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7F48E4" w:rsidRPr="007F48E4" w:rsidRDefault="007F48E4" w:rsidP="007F48E4">
            <w:pPr>
              <w:rPr>
                <w:rStyle w:val="Strong"/>
              </w:rPr>
            </w:pPr>
            <w:r w:rsidRPr="007F48E4">
              <w:rPr>
                <w:rStyle w:val="Strong"/>
              </w:rPr>
              <w:t>Closing tax asset base</w:t>
            </w:r>
          </w:p>
        </w:tc>
        <w:tc>
          <w:tcPr>
            <w:tcW w:w="1256"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rPr>
                <w:rStyle w:val="Strong"/>
              </w:rPr>
            </w:pPr>
            <w:r w:rsidRPr="007F48E4">
              <w:rPr>
                <w:rStyle w:val="Strong"/>
              </w:rPr>
              <w:t>221.3</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rPr>
                <w:rStyle w:val="Strong"/>
              </w:rPr>
            </w:pPr>
            <w:r w:rsidRPr="007F48E4">
              <w:rPr>
                <w:rStyle w:val="Strong"/>
              </w:rPr>
              <w:t>242.5</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rPr>
                <w:rStyle w:val="Strong"/>
              </w:rPr>
            </w:pPr>
            <w:r w:rsidRPr="007F48E4">
              <w:rPr>
                <w:rStyle w:val="Strong"/>
              </w:rPr>
              <w:t>403.2</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rPr>
                <w:rStyle w:val="Strong"/>
              </w:rPr>
            </w:pPr>
            <w:r w:rsidRPr="007F48E4">
              <w:rPr>
                <w:rStyle w:val="Strong"/>
              </w:rPr>
              <w:t>389.4</w:t>
            </w:r>
          </w:p>
        </w:tc>
        <w:tc>
          <w:tcPr>
            <w:tcW w:w="1257" w:type="dxa"/>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rPr>
                <w:rStyle w:val="Strong"/>
              </w:rPr>
            </w:pPr>
            <w:r w:rsidRPr="007F48E4">
              <w:rPr>
                <w:rStyle w:val="Strong"/>
              </w:rPr>
              <w:t>512.7</w:t>
            </w:r>
          </w:p>
        </w:tc>
      </w:tr>
    </w:tbl>
    <w:p w:rsidR="00DA0301" w:rsidRPr="00A53273" w:rsidRDefault="00DA0301" w:rsidP="00DA0301">
      <w:pPr>
        <w:pStyle w:val="AERtablesource"/>
      </w:pPr>
      <w:r w:rsidRPr="00896D81">
        <w:t xml:space="preserve">Source: </w:t>
      </w:r>
      <w:r w:rsidRPr="00896D81">
        <w:tab/>
      </w:r>
      <w:r>
        <w:t>AER analysis</w:t>
      </w:r>
      <w:r w:rsidRPr="00896D81">
        <w:t>.</w:t>
      </w:r>
    </w:p>
    <w:p w:rsidR="00DA0301" w:rsidRPr="00DA0301" w:rsidRDefault="00DA0301" w:rsidP="008B2E6B">
      <w:pPr>
        <w:pStyle w:val="Heading3"/>
        <w:ind w:left="720"/>
      </w:pPr>
      <w:bookmarkStart w:id="94" w:name="_Toc469052118"/>
      <w:bookmarkStart w:id="95" w:name="_Toc486855404"/>
      <w:r>
        <w:t>Standard tax asset lives</w:t>
      </w:r>
      <w:bookmarkEnd w:id="94"/>
      <w:bookmarkEnd w:id="95"/>
    </w:p>
    <w:p w:rsidR="00DA0301" w:rsidRDefault="00DA0301" w:rsidP="00DA0301">
      <w:r>
        <w:t>We</w:t>
      </w:r>
      <w:r w:rsidRPr="00AB1F30">
        <w:t xml:space="preserve"> approv</w:t>
      </w:r>
      <w:r>
        <w:t>e</w:t>
      </w:r>
      <w:r w:rsidRPr="00AB1F30">
        <w:t xml:space="preserve"> </w:t>
      </w:r>
      <w:r w:rsidR="00672F19">
        <w:t xml:space="preserve">APA's </w:t>
      </w:r>
      <w:r w:rsidRPr="00AB1F30">
        <w:t>propos</w:t>
      </w:r>
      <w:r>
        <w:t xml:space="preserve">ed standard tax asset lives assigned to each of its asset classes for </w:t>
      </w:r>
      <w:r w:rsidRPr="00AB1F30">
        <w:t xml:space="preserve">the </w:t>
      </w:r>
      <w:r>
        <w:rPr>
          <w:rStyle w:val="AERbody"/>
        </w:rPr>
        <w:t>2018</w:t>
      </w:r>
      <w:r w:rsidRPr="00B077E0">
        <w:rPr>
          <w:rStyle w:val="AERbody"/>
        </w:rPr>
        <w:t>–</w:t>
      </w:r>
      <w:r>
        <w:rPr>
          <w:rStyle w:val="AERbody"/>
        </w:rPr>
        <w:t xml:space="preserve">22 </w:t>
      </w:r>
      <w:r w:rsidRPr="00AB1F30">
        <w:t xml:space="preserve">access arrangement period. This is because they are consistent with </w:t>
      </w:r>
      <w:r>
        <w:t xml:space="preserve">the statutory cap on the effective life of gas transmission assets under the </w:t>
      </w:r>
      <w:r w:rsidRPr="006555A7">
        <w:rPr>
          <w:rStyle w:val="AERtextitalic"/>
        </w:rPr>
        <w:t xml:space="preserve">Income Tax Assessment Act </w:t>
      </w:r>
      <w:r w:rsidRPr="003124D9">
        <w:rPr>
          <w:rStyle w:val="AERtextitalic"/>
        </w:rPr>
        <w:t>(ITAA)</w:t>
      </w:r>
      <w:r w:rsidRPr="006555A7">
        <w:rPr>
          <w:rStyle w:val="AERtextitalic"/>
        </w:rPr>
        <w:t xml:space="preserve"> </w:t>
      </w:r>
      <w:r w:rsidRPr="006555A7">
        <w:t>1997</w:t>
      </w:r>
      <w:r>
        <w:t xml:space="preserve">, and with the standard tax asset lives </w:t>
      </w:r>
      <w:r w:rsidRPr="006555A7">
        <w:t xml:space="preserve">prescribed </w:t>
      </w:r>
      <w:r>
        <w:t xml:space="preserve">in the </w:t>
      </w:r>
      <w:r w:rsidRPr="006B0421">
        <w:rPr>
          <w:rStyle w:val="AERtextitalic"/>
        </w:rPr>
        <w:t>Tax Ruling 2016/1</w:t>
      </w:r>
      <w:r>
        <w:t>.</w:t>
      </w:r>
      <w:r w:rsidRPr="0019550D">
        <w:rPr>
          <w:rStyle w:val="FootnoteReference"/>
        </w:rPr>
        <w:footnoteReference w:id="24"/>
      </w:r>
      <w:r>
        <w:t xml:space="preserve"> The proposed standard tax asset lives are also consistent with </w:t>
      </w:r>
      <w:r w:rsidRPr="00F40DA8">
        <w:t xml:space="preserve">the approved standard tax asset lives in the </w:t>
      </w:r>
      <w:r w:rsidR="00D86A73">
        <w:t>2013</w:t>
      </w:r>
      <w:r w:rsidRPr="00B077E0">
        <w:t>–1</w:t>
      </w:r>
      <w:r>
        <w:t>7</w:t>
      </w:r>
      <w:r w:rsidRPr="00B077E0">
        <w:t xml:space="preserve"> </w:t>
      </w:r>
      <w:r w:rsidRPr="00F40DA8">
        <w:t>access arrangement.</w:t>
      </w:r>
      <w:r>
        <w:rPr>
          <w:rStyle w:val="FootnoteReference"/>
        </w:rPr>
        <w:footnoteReference w:id="25"/>
      </w:r>
      <w:r w:rsidRPr="00F40DA8">
        <w:t xml:space="preserve"> </w:t>
      </w:r>
    </w:p>
    <w:p w:rsidR="00DA0301" w:rsidRDefault="00DA0301" w:rsidP="00DA0301">
      <w:r>
        <w:t xml:space="preserve">Our draft decision on </w:t>
      </w:r>
      <w:r w:rsidR="00672F19">
        <w:t xml:space="preserve">APA's </w:t>
      </w:r>
      <w:r w:rsidRPr="00A53273">
        <w:t xml:space="preserve">standard tax asset lives for each of its asset classes for the </w:t>
      </w:r>
      <w:r>
        <w:rPr>
          <w:rStyle w:val="AERbody"/>
        </w:rPr>
        <w:t>2018–22</w:t>
      </w:r>
      <w:r w:rsidRPr="00A53273">
        <w:rPr>
          <w:rStyle w:val="AERbody"/>
        </w:rPr>
        <w:t xml:space="preserve"> </w:t>
      </w:r>
      <w:r w:rsidRPr="00A53273">
        <w:t xml:space="preserve">access arrangement </w:t>
      </w:r>
      <w:proofErr w:type="gramStart"/>
      <w:r w:rsidRPr="00A53273">
        <w:t>period</w:t>
      </w:r>
      <w:proofErr w:type="gramEnd"/>
      <w:r w:rsidRPr="00A53273">
        <w:t xml:space="preserve"> is set out in </w:t>
      </w:r>
      <w:r w:rsidRPr="00A53273">
        <w:fldChar w:fldCharType="begin"/>
      </w:r>
      <w:r w:rsidRPr="00A53273">
        <w:instrText xml:space="preserve"> REF _Ref432675125 \h </w:instrText>
      </w:r>
      <w:r>
        <w:instrText xml:space="preserve"> \* MERGEFORMAT </w:instrText>
      </w:r>
      <w:r w:rsidRPr="00A53273">
        <w:fldChar w:fldCharType="separate"/>
      </w:r>
      <w:r w:rsidR="00DE2785" w:rsidRPr="00896D81">
        <w:t xml:space="preserve">Table </w:t>
      </w:r>
      <w:r w:rsidR="00DE2785">
        <w:t>8</w:t>
      </w:r>
      <w:r w:rsidR="00DE2785" w:rsidRPr="00A53273">
        <w:t>.</w:t>
      </w:r>
      <w:r w:rsidR="00DE2785">
        <w:t>5</w:t>
      </w:r>
      <w:r w:rsidRPr="00A53273">
        <w:fldChar w:fldCharType="end"/>
      </w:r>
      <w:r w:rsidRPr="00A53273">
        <w:t xml:space="preserve">. </w:t>
      </w:r>
    </w:p>
    <w:p w:rsidR="00DA0301" w:rsidRPr="00DA0301" w:rsidRDefault="00DA0301" w:rsidP="008B2E6B">
      <w:pPr>
        <w:pStyle w:val="Heading3"/>
        <w:keepNext/>
        <w:ind w:left="720"/>
      </w:pPr>
      <w:bookmarkStart w:id="96" w:name="_Ref435434428"/>
      <w:bookmarkStart w:id="97" w:name="_Ref465675881"/>
      <w:bookmarkStart w:id="98" w:name="_Toc469052119"/>
      <w:bookmarkStart w:id="99" w:name="_Ref475085702"/>
      <w:bookmarkStart w:id="100" w:name="_Toc486855405"/>
      <w:r>
        <w:t>Remaining tax ass</w:t>
      </w:r>
      <w:r w:rsidRPr="00DA0301">
        <w:t xml:space="preserve">et lives as at 1 </w:t>
      </w:r>
      <w:bookmarkEnd w:id="96"/>
      <w:bookmarkEnd w:id="97"/>
      <w:bookmarkEnd w:id="98"/>
      <w:r w:rsidR="00974378">
        <w:t>January 2018</w:t>
      </w:r>
      <w:bookmarkEnd w:id="99"/>
      <w:bookmarkEnd w:id="100"/>
    </w:p>
    <w:p w:rsidR="00DA0301" w:rsidRDefault="00DA0301" w:rsidP="008B2E6B">
      <w:pPr>
        <w:keepNext/>
      </w:pPr>
      <w:r w:rsidRPr="00700B98">
        <w:t xml:space="preserve">We accept </w:t>
      </w:r>
      <w:r w:rsidR="00672F19">
        <w:t xml:space="preserve">APA's </w:t>
      </w:r>
      <w:r w:rsidRPr="00700B98">
        <w:t xml:space="preserve">proposed weighted average method to calculate the remaining tax asset lives as at 1 </w:t>
      </w:r>
      <w:r w:rsidR="005F5BCC">
        <w:t>January 2018</w:t>
      </w:r>
      <w:r w:rsidRPr="00700B98">
        <w:t xml:space="preserve">. In accepting the weighted average method, we have updated </w:t>
      </w:r>
      <w:r w:rsidR="00672F19">
        <w:t xml:space="preserve">APA's </w:t>
      </w:r>
      <w:r w:rsidRPr="00700B98">
        <w:t>remaining tax asset lives</w:t>
      </w:r>
      <w:r w:rsidRPr="000B6D1E">
        <w:rPr>
          <w:rStyle w:val="AERsuperscript"/>
        </w:rPr>
        <w:footnoteReference w:id="26"/>
      </w:r>
      <w:r w:rsidRPr="00700B98">
        <w:t xml:space="preserve"> as at 1 </w:t>
      </w:r>
      <w:r w:rsidR="005F5BCC">
        <w:t xml:space="preserve">January 2018 </w:t>
      </w:r>
      <w:r w:rsidRPr="00700B98">
        <w:t>to reflect our amendments to the</w:t>
      </w:r>
      <w:r>
        <w:t xml:space="preserve"> proposed roll forward of the</w:t>
      </w:r>
      <w:r w:rsidRPr="00700B98">
        <w:t xml:space="preserve"> </w:t>
      </w:r>
      <w:r>
        <w:t>TAB</w:t>
      </w:r>
      <w:r w:rsidRPr="00700B98">
        <w:t xml:space="preserve"> as discussed in section </w:t>
      </w:r>
      <w:r w:rsidRPr="00700B98">
        <w:fldChar w:fldCharType="begin"/>
      </w:r>
      <w:r w:rsidRPr="00700B98">
        <w:instrText xml:space="preserve"> REF _Ref430866274 \r \h </w:instrText>
      </w:r>
      <w:r>
        <w:instrText xml:space="preserve"> \* MERGEFORMAT </w:instrText>
      </w:r>
      <w:r w:rsidRPr="00700B98">
        <w:fldChar w:fldCharType="separate"/>
      </w:r>
      <w:r w:rsidR="00DE2785">
        <w:t>8.4.1</w:t>
      </w:r>
      <w:r w:rsidRPr="00700B98">
        <w:fldChar w:fldCharType="end"/>
      </w:r>
      <w:r w:rsidRPr="00700B98">
        <w:t>.</w:t>
      </w:r>
      <w:r>
        <w:t xml:space="preserve"> </w:t>
      </w:r>
    </w:p>
    <w:p w:rsidR="00DA0301" w:rsidRPr="00A53273" w:rsidRDefault="00DA0301" w:rsidP="00DA0301">
      <w:r>
        <w:t xml:space="preserve">Our draft decision on </w:t>
      </w:r>
      <w:r w:rsidR="00672F19">
        <w:t xml:space="preserve">APA's </w:t>
      </w:r>
      <w:r w:rsidRPr="00A53273">
        <w:t xml:space="preserve">remaining tax asset lives for each of its asset classes for the </w:t>
      </w:r>
      <w:r>
        <w:rPr>
          <w:rStyle w:val="AERbody"/>
        </w:rPr>
        <w:t>2018–22</w:t>
      </w:r>
      <w:r w:rsidRPr="00A53273">
        <w:rPr>
          <w:rStyle w:val="AERbody"/>
        </w:rPr>
        <w:t xml:space="preserve"> </w:t>
      </w:r>
      <w:r w:rsidRPr="00A53273">
        <w:t xml:space="preserve">access arrangement </w:t>
      </w:r>
      <w:proofErr w:type="gramStart"/>
      <w:r w:rsidRPr="00A53273">
        <w:t>period</w:t>
      </w:r>
      <w:proofErr w:type="gramEnd"/>
      <w:r w:rsidRPr="00A53273">
        <w:t xml:space="preserve"> is set out in </w:t>
      </w:r>
      <w:r w:rsidRPr="00A53273">
        <w:fldChar w:fldCharType="begin"/>
      </w:r>
      <w:r w:rsidRPr="00A53273">
        <w:instrText xml:space="preserve"> REF _Ref432675125 \h </w:instrText>
      </w:r>
      <w:r>
        <w:instrText xml:space="preserve"> \* MERGEFORMAT </w:instrText>
      </w:r>
      <w:r w:rsidRPr="00A53273">
        <w:fldChar w:fldCharType="separate"/>
      </w:r>
      <w:r w:rsidR="00DE2785" w:rsidRPr="00896D81">
        <w:t xml:space="preserve">Table </w:t>
      </w:r>
      <w:r w:rsidR="00DE2785">
        <w:t>8</w:t>
      </w:r>
      <w:r w:rsidR="00DE2785" w:rsidRPr="00A53273">
        <w:t>.</w:t>
      </w:r>
      <w:r w:rsidR="00DE2785">
        <w:t>5</w:t>
      </w:r>
      <w:r w:rsidRPr="00A53273">
        <w:fldChar w:fldCharType="end"/>
      </w:r>
      <w:r w:rsidRPr="00A53273">
        <w:t xml:space="preserve">. </w:t>
      </w:r>
    </w:p>
    <w:p w:rsidR="00DA0301" w:rsidRPr="00A53273" w:rsidRDefault="00DA0301" w:rsidP="00DA0301">
      <w:pPr>
        <w:pStyle w:val="Caption"/>
      </w:pPr>
      <w:bookmarkStart w:id="101" w:name="_Ref432675125"/>
      <w:r w:rsidRPr="00896D81">
        <w:t xml:space="preserve">Table </w:t>
      </w:r>
      <w:fldSimple w:instr=" STYLEREF 1 \s ">
        <w:r w:rsidR="00DE2785">
          <w:rPr>
            <w:noProof/>
          </w:rPr>
          <w:t>8</w:t>
        </w:r>
      </w:fldSimple>
      <w:r w:rsidRPr="00A53273">
        <w:t>.</w:t>
      </w:r>
      <w:fldSimple w:instr=" SEQ Table \* ARABIC \s 1 ">
        <w:r w:rsidR="00DE2785">
          <w:rPr>
            <w:noProof/>
          </w:rPr>
          <w:t>5</w:t>
        </w:r>
      </w:fldSimple>
      <w:bookmarkEnd w:id="101"/>
      <w:r w:rsidRPr="00A53273">
        <w:tab/>
        <w:t xml:space="preserve">AER's draft decision on </w:t>
      </w:r>
      <w:r w:rsidR="00672F19">
        <w:t xml:space="preserve">APA's </w:t>
      </w:r>
      <w:r w:rsidRPr="00A53273">
        <w:t xml:space="preserve">standard tax asset lives and remaining tax asset lives as at 1 </w:t>
      </w:r>
      <w:r w:rsidR="00606866">
        <w:t xml:space="preserve">January 2018 </w:t>
      </w:r>
      <w:r w:rsidRPr="00A53273">
        <w:t xml:space="preserve">for the </w:t>
      </w:r>
      <w:r>
        <w:t>2018</w:t>
      </w:r>
      <w:r w:rsidRPr="00A53273">
        <w:t>–2</w:t>
      </w:r>
      <w:r>
        <w:t>2</w:t>
      </w:r>
      <w:r w:rsidRPr="00A53273">
        <w:t xml:space="preserve"> access arrangement period (year)</w:t>
      </w:r>
    </w:p>
    <w:tbl>
      <w:tblPr>
        <w:tblStyle w:val="AERtable-numbers"/>
        <w:tblW w:w="8711" w:type="dxa"/>
        <w:tblLayout w:type="fixed"/>
        <w:tblLook w:val="04A0" w:firstRow="1" w:lastRow="0" w:firstColumn="1" w:lastColumn="0" w:noHBand="0" w:noVBand="1"/>
      </w:tblPr>
      <w:tblGrid>
        <w:gridCol w:w="2943"/>
        <w:gridCol w:w="2694"/>
        <w:gridCol w:w="3074"/>
      </w:tblGrid>
      <w:tr w:rsidR="00DA0301" w:rsidRPr="00AD1FC2" w:rsidTr="00DD0AEF">
        <w:trPr>
          <w:cnfStyle w:val="100000000000" w:firstRow="1" w:lastRow="0" w:firstColumn="0" w:lastColumn="0" w:oddVBand="0" w:evenVBand="0" w:oddHBand="0" w:evenHBand="0" w:firstRowFirstColumn="0" w:firstRowLastColumn="0" w:lastRowFirstColumn="0" w:lastRowLastColumn="0"/>
          <w:trHeight w:val="634"/>
          <w:tblHeader/>
        </w:trPr>
        <w:tc>
          <w:tcPr>
            <w:cnfStyle w:val="001000000000" w:firstRow="0" w:lastRow="0" w:firstColumn="1" w:lastColumn="0" w:oddVBand="0" w:evenVBand="0" w:oddHBand="0" w:evenHBand="0" w:firstRowFirstColumn="0" w:firstRowLastColumn="0" w:lastRowFirstColumn="0" w:lastRowLastColumn="0"/>
            <w:tcW w:w="2943" w:type="dxa"/>
            <w:noWrap/>
          </w:tcPr>
          <w:p w:rsidR="00DA0301" w:rsidRPr="00DA0301" w:rsidRDefault="00DA0301" w:rsidP="00DA0301">
            <w:r w:rsidRPr="00AD1FC2">
              <w:t>Tax asset class</w:t>
            </w:r>
          </w:p>
        </w:tc>
        <w:tc>
          <w:tcPr>
            <w:tcW w:w="2694" w:type="dxa"/>
            <w:noWrap/>
          </w:tcPr>
          <w:p w:rsidR="00DA0301" w:rsidRPr="00DA0301" w:rsidRDefault="00DA0301" w:rsidP="00DA0301">
            <w:pPr>
              <w:cnfStyle w:val="100000000000" w:firstRow="1" w:lastRow="0" w:firstColumn="0" w:lastColumn="0" w:oddVBand="0" w:evenVBand="0" w:oddHBand="0" w:evenHBand="0" w:firstRowFirstColumn="0" w:firstRowLastColumn="0" w:lastRowFirstColumn="0" w:lastRowLastColumn="0"/>
            </w:pPr>
            <w:r w:rsidRPr="00AD1FC2">
              <w:t>Standard tax asset life</w:t>
            </w:r>
          </w:p>
        </w:tc>
        <w:tc>
          <w:tcPr>
            <w:tcW w:w="3074" w:type="dxa"/>
            <w:noWrap/>
          </w:tcPr>
          <w:p w:rsidR="00E9462A" w:rsidRDefault="00DA0301" w:rsidP="00E9462A">
            <w:pPr>
              <w:cnfStyle w:val="100000000000" w:firstRow="1" w:lastRow="0" w:firstColumn="0" w:lastColumn="0" w:oddVBand="0" w:evenVBand="0" w:oddHBand="0" w:evenHBand="0" w:firstRowFirstColumn="0" w:firstRowLastColumn="0" w:lastRowFirstColumn="0" w:lastRowLastColumn="0"/>
            </w:pPr>
            <w:r w:rsidRPr="00AD1FC2">
              <w:t>Remaining tax asset life</w:t>
            </w:r>
          </w:p>
          <w:p w:rsidR="00DA0301" w:rsidRPr="00DA0301" w:rsidRDefault="00DA0301" w:rsidP="00E9462A">
            <w:pPr>
              <w:cnfStyle w:val="100000000000" w:firstRow="1" w:lastRow="0" w:firstColumn="0" w:lastColumn="0" w:oddVBand="0" w:evenVBand="0" w:oddHBand="0" w:evenHBand="0" w:firstRowFirstColumn="0" w:firstRowLastColumn="0" w:lastRowFirstColumn="0" w:lastRowLastColumn="0"/>
            </w:pPr>
            <w:r w:rsidRPr="00AD1FC2">
              <w:t xml:space="preserve">as at 1 </w:t>
            </w:r>
            <w:r w:rsidR="00606866">
              <w:t>January 2018</w:t>
            </w:r>
          </w:p>
        </w:tc>
      </w:tr>
      <w:tr w:rsidR="007F48E4" w:rsidRPr="00AD1FC2" w:rsidTr="00DD0AE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Pipelines</w:t>
            </w:r>
          </w:p>
        </w:tc>
        <w:tc>
          <w:tcPr>
            <w:tcW w:w="2694" w:type="dxa"/>
            <w:noWrap/>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02" w:name="RANGE!P7"/>
            <w:r w:rsidRPr="007F48E4">
              <w:t>20.0</w:t>
            </w:r>
            <w:bookmarkEnd w:id="102"/>
          </w:p>
        </w:tc>
        <w:tc>
          <w:tcPr>
            <w:tcW w:w="3074" w:type="dxa"/>
            <w:noWrap/>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03" w:name="RANGE!O7"/>
            <w:r w:rsidRPr="007F48E4">
              <w:t>17.1</w:t>
            </w:r>
            <w:bookmarkEnd w:id="103"/>
          </w:p>
        </w:tc>
      </w:tr>
      <w:tr w:rsidR="007F48E4" w:rsidRPr="00AD1FC2" w:rsidTr="00DD0AE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Compressors</w:t>
            </w:r>
          </w:p>
        </w:tc>
        <w:tc>
          <w:tcPr>
            <w:tcW w:w="2694" w:type="dxa"/>
            <w:noWrap/>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04" w:name="RANGE!P8"/>
            <w:r w:rsidRPr="007F48E4">
              <w:t>20.0</w:t>
            </w:r>
            <w:bookmarkEnd w:id="104"/>
          </w:p>
        </w:tc>
        <w:tc>
          <w:tcPr>
            <w:tcW w:w="3074" w:type="dxa"/>
            <w:noWrap/>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05" w:name="RANGE!O8"/>
            <w:r w:rsidRPr="007F48E4">
              <w:t>14.1</w:t>
            </w:r>
            <w:bookmarkEnd w:id="105"/>
          </w:p>
        </w:tc>
      </w:tr>
      <w:tr w:rsidR="007F48E4" w:rsidRPr="00AD1FC2" w:rsidTr="00DD0AE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City gates and field regulators</w:t>
            </w:r>
          </w:p>
        </w:tc>
        <w:tc>
          <w:tcPr>
            <w:tcW w:w="2694" w:type="dxa"/>
            <w:noWrap/>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06" w:name="RANGE!P9"/>
            <w:r w:rsidRPr="007F48E4">
              <w:t>20.0</w:t>
            </w:r>
            <w:bookmarkEnd w:id="106"/>
          </w:p>
        </w:tc>
        <w:tc>
          <w:tcPr>
            <w:tcW w:w="3074" w:type="dxa"/>
            <w:noWrap/>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07" w:name="RANGE!O9"/>
            <w:r w:rsidRPr="007F48E4">
              <w:t>13.7</w:t>
            </w:r>
            <w:bookmarkEnd w:id="107"/>
          </w:p>
        </w:tc>
      </w:tr>
      <w:tr w:rsidR="007F48E4" w:rsidRPr="00AD1FC2" w:rsidTr="00DD0A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Odorant plants</w:t>
            </w:r>
          </w:p>
        </w:tc>
        <w:tc>
          <w:tcPr>
            <w:tcW w:w="2694" w:type="dxa"/>
            <w:noWrap/>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08" w:name="RANGE!P10"/>
            <w:r w:rsidRPr="007F48E4">
              <w:t>20.0</w:t>
            </w:r>
            <w:bookmarkEnd w:id="108"/>
          </w:p>
        </w:tc>
        <w:tc>
          <w:tcPr>
            <w:tcW w:w="3074" w:type="dxa"/>
            <w:noWrap/>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09" w:name="RANGE!O10"/>
            <w:r w:rsidRPr="007F48E4">
              <w:t>13.5</w:t>
            </w:r>
            <w:bookmarkEnd w:id="109"/>
          </w:p>
        </w:tc>
      </w:tr>
      <w:tr w:rsidR="007F48E4" w:rsidRPr="00AD1FC2" w:rsidTr="00DD0AE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Gas quality</w:t>
            </w:r>
          </w:p>
        </w:tc>
        <w:tc>
          <w:tcPr>
            <w:tcW w:w="2694" w:type="dxa"/>
            <w:noWrap/>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10" w:name="RANGE!P11"/>
            <w:r w:rsidRPr="007F48E4">
              <w:t>20.0</w:t>
            </w:r>
            <w:bookmarkEnd w:id="110"/>
          </w:p>
        </w:tc>
        <w:tc>
          <w:tcPr>
            <w:tcW w:w="3074" w:type="dxa"/>
            <w:noWrap/>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11" w:name="RANGE!O11"/>
            <w:r w:rsidRPr="007F48E4">
              <w:t>18.4</w:t>
            </w:r>
            <w:bookmarkEnd w:id="111"/>
          </w:p>
        </w:tc>
      </w:tr>
      <w:tr w:rsidR="007F48E4" w:rsidRPr="00AD1FC2" w:rsidTr="00DD0A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Other</w:t>
            </w:r>
          </w:p>
        </w:tc>
        <w:tc>
          <w:tcPr>
            <w:tcW w:w="2694" w:type="dxa"/>
            <w:noWrap/>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12" w:name="RANGE!P12"/>
            <w:r w:rsidRPr="007F48E4">
              <w:t>7.5</w:t>
            </w:r>
            <w:bookmarkEnd w:id="112"/>
          </w:p>
        </w:tc>
        <w:tc>
          <w:tcPr>
            <w:tcW w:w="3074" w:type="dxa"/>
            <w:noWrap/>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13" w:name="RANGE!O12"/>
            <w:r w:rsidRPr="007F48E4">
              <w:t>5.9</w:t>
            </w:r>
            <w:bookmarkEnd w:id="113"/>
          </w:p>
        </w:tc>
      </w:tr>
      <w:tr w:rsidR="007F48E4" w:rsidRPr="00AD1FC2" w:rsidTr="00DD0AEF">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General buildings</w:t>
            </w:r>
          </w:p>
        </w:tc>
        <w:tc>
          <w:tcPr>
            <w:tcW w:w="2694" w:type="dxa"/>
            <w:noWrap/>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14" w:name="RANGE!P13"/>
            <w:r w:rsidRPr="007F48E4">
              <w:t>60.0</w:t>
            </w:r>
            <w:bookmarkEnd w:id="114"/>
          </w:p>
        </w:tc>
        <w:tc>
          <w:tcPr>
            <w:tcW w:w="3074" w:type="dxa"/>
            <w:noWrap/>
            <w:vAlign w:val="bottom"/>
          </w:tcPr>
          <w:p w:rsidR="007F48E4" w:rsidRPr="007F48E4" w:rsidRDefault="007F48E4" w:rsidP="007F48E4">
            <w:pPr>
              <w:cnfStyle w:val="000000000000" w:firstRow="0" w:lastRow="0" w:firstColumn="0" w:lastColumn="0" w:oddVBand="0" w:evenVBand="0" w:oddHBand="0" w:evenHBand="0" w:firstRowFirstColumn="0" w:firstRowLastColumn="0" w:lastRowFirstColumn="0" w:lastRowLastColumn="0"/>
            </w:pPr>
            <w:bookmarkStart w:id="115" w:name="RANGE!O13"/>
            <w:r w:rsidRPr="007F48E4">
              <w:t>46.8</w:t>
            </w:r>
            <w:bookmarkEnd w:id="115"/>
          </w:p>
        </w:tc>
      </w:tr>
      <w:tr w:rsidR="007F48E4" w:rsidRPr="00AD1FC2" w:rsidTr="00DD0A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F48E4" w:rsidRPr="007F48E4" w:rsidRDefault="007F48E4" w:rsidP="007F48E4">
            <w:r w:rsidRPr="007F48E4">
              <w:t>General land</w:t>
            </w:r>
          </w:p>
        </w:tc>
        <w:tc>
          <w:tcPr>
            <w:tcW w:w="2694" w:type="dxa"/>
            <w:noWrap/>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16" w:name="RANGE!P14"/>
            <w:r w:rsidRPr="007F48E4">
              <w:t>n/a</w:t>
            </w:r>
            <w:bookmarkEnd w:id="116"/>
          </w:p>
        </w:tc>
        <w:tc>
          <w:tcPr>
            <w:tcW w:w="3074" w:type="dxa"/>
            <w:noWrap/>
            <w:vAlign w:val="bottom"/>
          </w:tcPr>
          <w:p w:rsidR="007F48E4" w:rsidRPr="007F48E4" w:rsidRDefault="007F48E4" w:rsidP="007F48E4">
            <w:pPr>
              <w:cnfStyle w:val="000000010000" w:firstRow="0" w:lastRow="0" w:firstColumn="0" w:lastColumn="0" w:oddVBand="0" w:evenVBand="0" w:oddHBand="0" w:evenHBand="1" w:firstRowFirstColumn="0" w:firstRowLastColumn="0" w:lastRowFirstColumn="0" w:lastRowLastColumn="0"/>
            </w:pPr>
            <w:bookmarkStart w:id="117" w:name="RANGE!O14"/>
            <w:r w:rsidRPr="007F48E4">
              <w:t>n/a</w:t>
            </w:r>
            <w:bookmarkEnd w:id="117"/>
          </w:p>
        </w:tc>
      </w:tr>
    </w:tbl>
    <w:p w:rsidR="00DA0301" w:rsidRDefault="00DA0301" w:rsidP="00DA0301">
      <w:pPr>
        <w:pStyle w:val="AERtablesource"/>
      </w:pPr>
      <w:r w:rsidRPr="00EA0E36">
        <w:t xml:space="preserve">Source: </w:t>
      </w:r>
      <w:r w:rsidRPr="00EA0E36">
        <w:tab/>
        <w:t>AER analysis.</w:t>
      </w:r>
    </w:p>
    <w:p w:rsidR="00DA0301" w:rsidRDefault="00DA0301" w:rsidP="00DA0301">
      <w:pPr>
        <w:pStyle w:val="AERtablesource"/>
      </w:pPr>
      <w:r w:rsidRPr="00EA0E36">
        <w:t>n/a</w:t>
      </w:r>
      <w:r w:rsidRPr="00EA0E36">
        <w:tab/>
        <w:t>Not applicable.</w:t>
      </w:r>
      <w:r>
        <w:t xml:space="preserve"> </w:t>
      </w:r>
    </w:p>
    <w:p w:rsidR="00D5015C" w:rsidRDefault="00D5015C" w:rsidP="008B2E6B">
      <w:pPr>
        <w:pStyle w:val="Heading2"/>
        <w:keepNext/>
      </w:pPr>
      <w:bookmarkStart w:id="118" w:name="_Toc486855406"/>
      <w:r>
        <w:t>Revisions</w:t>
      </w:r>
      <w:bookmarkEnd w:id="118"/>
    </w:p>
    <w:p w:rsidR="00DA0301" w:rsidRDefault="00DA0301" w:rsidP="008B2E6B">
      <w:pPr>
        <w:keepNext/>
      </w:pPr>
      <w:r>
        <w:rPr>
          <w:rStyle w:val="AERbody"/>
        </w:rPr>
        <w:t>We</w:t>
      </w:r>
      <w:r w:rsidRPr="00407443">
        <w:rPr>
          <w:rStyle w:val="AERbody"/>
        </w:rPr>
        <w:t xml:space="preserve"> require the following revisions to make the access arrangement proposal acceptable</w:t>
      </w:r>
      <w:r w:rsidRPr="00407443">
        <w:t>:</w:t>
      </w:r>
    </w:p>
    <w:tbl>
      <w:tblPr>
        <w:tblStyle w:val="AERtable-text0"/>
        <w:tblW w:w="0" w:type="auto"/>
        <w:tblLook w:val="04A0" w:firstRow="1" w:lastRow="0" w:firstColumn="1" w:lastColumn="0" w:noHBand="0" w:noVBand="1"/>
      </w:tblPr>
      <w:tblGrid>
        <w:gridCol w:w="2093"/>
        <w:gridCol w:w="6600"/>
      </w:tblGrid>
      <w:tr w:rsidR="00EC5163" w:rsidTr="008B2E6B">
        <w:trPr>
          <w:cnfStyle w:val="100000000000" w:firstRow="1" w:lastRow="0" w:firstColumn="0" w:lastColumn="0" w:oddVBand="0" w:evenVBand="0" w:oddHBand="0" w:evenHBand="0" w:firstRowFirstColumn="0" w:firstRowLastColumn="0" w:lastRowFirstColumn="0" w:lastRowLastColumn="0"/>
        </w:trPr>
        <w:tc>
          <w:tcPr>
            <w:tcW w:w="2093" w:type="dxa"/>
          </w:tcPr>
          <w:p w:rsidR="00EC5163" w:rsidRDefault="00EC5163" w:rsidP="008B2E6B">
            <w:pPr>
              <w:keepNext/>
              <w:rPr>
                <w:rFonts w:eastAsiaTheme="minorHAnsi" w:cstheme="minorBidi"/>
                <w:b w:val="0"/>
                <w:color w:val="auto"/>
                <w:sz w:val="22"/>
                <w:szCs w:val="22"/>
                <w:lang w:eastAsia="en-US"/>
              </w:rPr>
            </w:pPr>
          </w:p>
        </w:tc>
        <w:tc>
          <w:tcPr>
            <w:tcW w:w="6600" w:type="dxa"/>
          </w:tcPr>
          <w:p w:rsidR="00EC5163" w:rsidRDefault="00EC5163" w:rsidP="008B2E6B">
            <w:pPr>
              <w:keepNext/>
              <w:rPr>
                <w:rFonts w:eastAsiaTheme="minorHAnsi" w:cstheme="minorBidi"/>
                <w:b w:val="0"/>
                <w:color w:val="auto"/>
                <w:sz w:val="22"/>
                <w:szCs w:val="22"/>
                <w:lang w:eastAsia="en-US"/>
              </w:rPr>
            </w:pPr>
          </w:p>
        </w:tc>
      </w:tr>
      <w:tr w:rsidR="00EC5163" w:rsidTr="008B2E6B">
        <w:tc>
          <w:tcPr>
            <w:tcW w:w="2093" w:type="dxa"/>
          </w:tcPr>
          <w:p w:rsidR="00EC5163" w:rsidRDefault="00EC5163" w:rsidP="008B2E6B">
            <w:pPr>
              <w:keepNext/>
              <w:rPr>
                <w:rFonts w:eastAsiaTheme="minorHAnsi" w:cstheme="minorBidi"/>
                <w:sz w:val="22"/>
                <w:szCs w:val="22"/>
                <w:lang w:eastAsia="en-US"/>
              </w:rPr>
            </w:pPr>
            <w:r w:rsidRPr="00DA0301">
              <w:rPr>
                <w:rStyle w:val="Strong"/>
              </w:rPr>
              <w:t>Revision 8.1</w:t>
            </w:r>
          </w:p>
        </w:tc>
        <w:tc>
          <w:tcPr>
            <w:tcW w:w="6600" w:type="dxa"/>
          </w:tcPr>
          <w:p w:rsidR="00EC5163" w:rsidRDefault="00EC5163" w:rsidP="008B2E6B">
            <w:pPr>
              <w:keepNext/>
              <w:rPr>
                <w:rFonts w:eastAsiaTheme="minorHAnsi" w:cstheme="minorBidi"/>
                <w:sz w:val="22"/>
                <w:szCs w:val="22"/>
                <w:lang w:eastAsia="en-US"/>
              </w:rPr>
            </w:pPr>
            <w:r w:rsidRPr="00895CF1">
              <w:t xml:space="preserve">Make all necessary amendments to reflect this draft decision on the proposed corporate income tax allowance for the </w:t>
            </w:r>
            <w:r>
              <w:t>2018</w:t>
            </w:r>
            <w:r w:rsidRPr="00895CF1">
              <w:t>–2</w:t>
            </w:r>
            <w:r>
              <w:t>2</w:t>
            </w:r>
            <w:r w:rsidRPr="00895CF1">
              <w:t xml:space="preserve"> access arrangement </w:t>
            </w:r>
            <w:proofErr w:type="gramStart"/>
            <w:r w:rsidRPr="00895CF1">
              <w:t>period</w:t>
            </w:r>
            <w:proofErr w:type="gramEnd"/>
            <w:r w:rsidRPr="00895CF1">
              <w:t xml:space="preserve">, as set out in </w:t>
            </w:r>
            <w:r w:rsidRPr="00895CF1">
              <w:fldChar w:fldCharType="begin"/>
            </w:r>
            <w:r w:rsidRPr="00895CF1">
              <w:instrText xml:space="preserve"> REF  _Ref398553891 \* Lower \h  \* MERGEFORMAT </w:instrText>
            </w:r>
            <w:r w:rsidRPr="00895CF1">
              <w:fldChar w:fldCharType="separate"/>
            </w:r>
            <w:r w:rsidR="00DE2785" w:rsidRPr="00807DCF">
              <w:t xml:space="preserve">table </w:t>
            </w:r>
            <w:r w:rsidR="00DE2785">
              <w:t>8</w:t>
            </w:r>
            <w:r w:rsidR="00DE2785" w:rsidRPr="00807DCF">
              <w:t>.</w:t>
            </w:r>
            <w:r w:rsidR="00DE2785">
              <w:t>1</w:t>
            </w:r>
            <w:r w:rsidRPr="00895CF1">
              <w:fldChar w:fldCharType="end"/>
            </w:r>
            <w:r w:rsidRPr="00895CF1">
              <w:t>.</w:t>
            </w:r>
          </w:p>
        </w:tc>
      </w:tr>
      <w:tr w:rsidR="00EC5163" w:rsidTr="008B2E6B">
        <w:trPr>
          <w:cnfStyle w:val="000000010000" w:firstRow="0" w:lastRow="0" w:firstColumn="0" w:lastColumn="0" w:oddVBand="0" w:evenVBand="0" w:oddHBand="0" w:evenHBand="1" w:firstRowFirstColumn="0" w:firstRowLastColumn="0" w:lastRowFirstColumn="0" w:lastRowLastColumn="0"/>
        </w:trPr>
        <w:tc>
          <w:tcPr>
            <w:tcW w:w="2093" w:type="dxa"/>
          </w:tcPr>
          <w:p w:rsidR="00EC5163" w:rsidRDefault="00EC5163" w:rsidP="008B2E6B">
            <w:pPr>
              <w:keepNext/>
              <w:rPr>
                <w:rFonts w:eastAsiaTheme="minorHAnsi" w:cstheme="minorBidi"/>
                <w:sz w:val="22"/>
                <w:szCs w:val="22"/>
                <w:lang w:eastAsia="en-US"/>
              </w:rPr>
            </w:pPr>
            <w:r w:rsidRPr="00DA0301">
              <w:rPr>
                <w:rStyle w:val="Strong"/>
              </w:rPr>
              <w:t>Revision 8.2</w:t>
            </w:r>
          </w:p>
        </w:tc>
        <w:tc>
          <w:tcPr>
            <w:tcW w:w="6600" w:type="dxa"/>
          </w:tcPr>
          <w:p w:rsidR="00EC5163" w:rsidRPr="00EC5163" w:rsidRDefault="00EC5163" w:rsidP="008B2E6B">
            <w:pPr>
              <w:keepNext/>
              <w:rPr>
                <w:rFonts w:eastAsiaTheme="minorHAnsi" w:cstheme="minorBidi"/>
                <w:sz w:val="22"/>
                <w:szCs w:val="22"/>
                <w:lang w:eastAsia="en-US"/>
              </w:rPr>
            </w:pPr>
            <w:r w:rsidRPr="008B2E6B">
              <w:t xml:space="preserve">Make all necessary amendments to reflect this draft decision on the opening tax </w:t>
            </w:r>
            <w:r w:rsidRPr="00EC5163">
              <w:t xml:space="preserve">asset </w:t>
            </w:r>
            <w:r w:rsidRPr="008B2E6B">
              <w:t xml:space="preserve">base as at 1 January 2018, as set out in </w:t>
            </w:r>
            <w:r w:rsidRPr="008B2E6B">
              <w:fldChar w:fldCharType="begin"/>
            </w:r>
            <w:r w:rsidRPr="008B2E6B">
              <w:instrText xml:space="preserve"> REF _Ref398907505 \h  \* MERGEFORMAT </w:instrText>
            </w:r>
            <w:r w:rsidRPr="008B2E6B">
              <w:fldChar w:fldCharType="separate"/>
            </w:r>
            <w:r w:rsidR="00DE2785" w:rsidRPr="00896D81">
              <w:t xml:space="preserve">Table </w:t>
            </w:r>
            <w:r w:rsidR="00DE2785">
              <w:t>8</w:t>
            </w:r>
            <w:r w:rsidR="00DE2785" w:rsidRPr="00A53273">
              <w:t>.</w:t>
            </w:r>
            <w:r w:rsidR="00DE2785">
              <w:t>4</w:t>
            </w:r>
            <w:r w:rsidRPr="008B2E6B">
              <w:fldChar w:fldCharType="end"/>
            </w:r>
            <w:r w:rsidRPr="008B2E6B">
              <w:t>.</w:t>
            </w:r>
          </w:p>
        </w:tc>
      </w:tr>
      <w:tr w:rsidR="00EC5163" w:rsidTr="008B2E6B">
        <w:tc>
          <w:tcPr>
            <w:tcW w:w="2093" w:type="dxa"/>
          </w:tcPr>
          <w:p w:rsidR="00EC5163" w:rsidRDefault="00EC5163" w:rsidP="008B2E6B">
            <w:pPr>
              <w:keepNext/>
              <w:rPr>
                <w:rFonts w:eastAsiaTheme="minorHAnsi" w:cstheme="minorBidi"/>
                <w:sz w:val="22"/>
                <w:szCs w:val="22"/>
                <w:lang w:eastAsia="en-US"/>
              </w:rPr>
            </w:pPr>
            <w:r w:rsidRPr="00DA0301">
              <w:rPr>
                <w:rStyle w:val="Strong"/>
              </w:rPr>
              <w:t>Revision 8.3</w:t>
            </w:r>
          </w:p>
        </w:tc>
        <w:tc>
          <w:tcPr>
            <w:tcW w:w="6600" w:type="dxa"/>
          </w:tcPr>
          <w:p w:rsidR="00EC5163" w:rsidRDefault="00EC5163" w:rsidP="008B2E6B">
            <w:pPr>
              <w:keepNext/>
              <w:rPr>
                <w:rFonts w:eastAsiaTheme="minorHAnsi" w:cstheme="minorBidi"/>
                <w:sz w:val="22"/>
                <w:szCs w:val="22"/>
                <w:lang w:eastAsia="en-US"/>
              </w:rPr>
            </w:pPr>
            <w:r w:rsidRPr="00DA0301">
              <w:rPr>
                <w:rStyle w:val="Strong"/>
                <w:b w:val="0"/>
                <w:bCs w:val="0"/>
              </w:rPr>
              <w:t xml:space="preserve">Make all necessary amendments to reflect this draft decision on </w:t>
            </w:r>
            <w:r w:rsidRPr="00D04FB2">
              <w:t xml:space="preserve">the </w:t>
            </w:r>
            <w:r w:rsidRPr="00DA0301">
              <w:rPr>
                <w:rStyle w:val="Strong"/>
                <w:b w:val="0"/>
                <w:bCs w:val="0"/>
              </w:rPr>
              <w:t xml:space="preserve">remaining tax asset lives for the </w:t>
            </w:r>
            <w:r>
              <w:rPr>
                <w:rStyle w:val="Strong"/>
                <w:b w:val="0"/>
                <w:bCs w:val="0"/>
              </w:rPr>
              <w:t>2018</w:t>
            </w:r>
            <w:r w:rsidRPr="00DA0301">
              <w:rPr>
                <w:rStyle w:val="Strong"/>
                <w:b w:val="0"/>
                <w:bCs w:val="0"/>
              </w:rPr>
              <w:t xml:space="preserve">–22 access arrangement </w:t>
            </w:r>
            <w:proofErr w:type="gramStart"/>
            <w:r w:rsidRPr="00DA0301">
              <w:rPr>
                <w:rStyle w:val="Strong"/>
                <w:b w:val="0"/>
                <w:bCs w:val="0"/>
              </w:rPr>
              <w:t>period</w:t>
            </w:r>
            <w:proofErr w:type="gramEnd"/>
            <w:r w:rsidRPr="00DA0301">
              <w:rPr>
                <w:rStyle w:val="Strong"/>
                <w:b w:val="0"/>
                <w:bCs w:val="0"/>
              </w:rPr>
              <w:t xml:space="preserve"> as set out in</w:t>
            </w:r>
            <w:r w:rsidRPr="00DA0301">
              <w:rPr>
                <w:rStyle w:val="Strong"/>
              </w:rPr>
              <w:t xml:space="preserve"> </w:t>
            </w:r>
            <w:r w:rsidRPr="00DA0301">
              <w:rPr>
                <w:rStyle w:val="Strong"/>
              </w:rPr>
              <w:fldChar w:fldCharType="begin"/>
            </w:r>
            <w:r w:rsidRPr="00DA0301">
              <w:rPr>
                <w:rStyle w:val="Strong"/>
              </w:rPr>
              <w:instrText xml:space="preserve"> REF _Ref432675125 \h  \* MERGEFORMAT </w:instrText>
            </w:r>
            <w:r w:rsidRPr="00DA0301">
              <w:rPr>
                <w:rStyle w:val="Strong"/>
              </w:rPr>
            </w:r>
            <w:r w:rsidRPr="00DA0301">
              <w:rPr>
                <w:rStyle w:val="Strong"/>
              </w:rPr>
              <w:fldChar w:fldCharType="separate"/>
            </w:r>
            <w:r w:rsidR="00DE2785" w:rsidRPr="00896D81">
              <w:t xml:space="preserve">Table </w:t>
            </w:r>
            <w:r w:rsidR="00DE2785">
              <w:t>8</w:t>
            </w:r>
            <w:r w:rsidR="00DE2785" w:rsidRPr="00A53273">
              <w:t>.</w:t>
            </w:r>
            <w:r w:rsidR="00DE2785">
              <w:t>5</w:t>
            </w:r>
            <w:r w:rsidRPr="00DA0301">
              <w:rPr>
                <w:rStyle w:val="Strong"/>
              </w:rPr>
              <w:fldChar w:fldCharType="end"/>
            </w:r>
            <w:r w:rsidRPr="00DA0301">
              <w:rPr>
                <w:rStyle w:val="Strong"/>
              </w:rPr>
              <w:t>.</w:t>
            </w:r>
          </w:p>
        </w:tc>
      </w:tr>
    </w:tbl>
    <w:p w:rsidR="00EC5163" w:rsidRPr="00407443" w:rsidRDefault="00EC5163" w:rsidP="00DA0301"/>
    <w:p w:rsidR="00D5015C" w:rsidRDefault="00D5015C" w:rsidP="00132D43"/>
    <w:sectPr w:rsidR="00D5015C"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7" w:rsidRPr="00290C63" w:rsidRDefault="00E957C7" w:rsidP="00290C63">
      <w:r>
        <w:separator/>
      </w:r>
    </w:p>
    <w:p w:rsidR="00E957C7" w:rsidRDefault="00E957C7"/>
  </w:endnote>
  <w:endnote w:type="continuationSeparator" w:id="0">
    <w:p w:rsidR="00E957C7" w:rsidRPr="00290C63" w:rsidRDefault="00E957C7" w:rsidP="00290C63">
      <w:r>
        <w:continuationSeparator/>
      </w:r>
    </w:p>
    <w:p w:rsidR="00E957C7" w:rsidRDefault="00E95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7" w:rsidRPr="00290C63" w:rsidRDefault="00E957C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957C7" w:rsidRDefault="00E957C7"/>
  <w:p w:rsidR="00E957C7" w:rsidRDefault="00E957C7"/>
  <w:p w:rsidR="00E957C7" w:rsidRDefault="00E957C7"/>
  <w:p w:rsidR="00E957C7" w:rsidRDefault="00E957C7"/>
  <w:p w:rsidR="00E957C7" w:rsidRDefault="00E957C7"/>
  <w:p w:rsidR="00E957C7" w:rsidRDefault="00E957C7"/>
  <w:p w:rsidR="00E957C7" w:rsidRDefault="00E95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957C7" w:rsidRPr="009B6F84" w:rsidRDefault="00E957C7">
        <w:pPr>
          <w:pStyle w:val="Footer"/>
          <w:rPr>
            <w:sz w:val="20"/>
          </w:rPr>
        </w:pPr>
        <w:r>
          <w:fldChar w:fldCharType="begin"/>
        </w:r>
        <w:r>
          <w:instrText xml:space="preserve"> PAGE   \* MERGEFORMAT </w:instrText>
        </w:r>
        <w:r>
          <w:fldChar w:fldCharType="separate"/>
        </w:r>
        <w:r w:rsidR="00DE2785">
          <w:rPr>
            <w:noProof/>
          </w:rPr>
          <w:t>8-0</w:t>
        </w:r>
        <w:r>
          <w:rPr>
            <w:noProof/>
          </w:rPr>
          <w:fldChar w:fldCharType="end"/>
        </w:r>
        <w:r>
          <w:rPr>
            <w:noProof/>
          </w:rPr>
          <w:t xml:space="preserve">          </w:t>
        </w:r>
        <w:r>
          <w:t xml:space="preserve">Attachment 8 </w:t>
        </w:r>
        <w:r w:rsidRPr="000474DF">
          <w:t>−</w:t>
        </w:r>
        <w:r>
          <w:t xml:space="preserve"> Corporate income tax</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E957C7" w:rsidRDefault="00E95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7" w:rsidRPr="00290C63" w:rsidRDefault="00E957C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957C7" w:rsidRDefault="00E957C7">
    <w:pPr>
      <w:pStyle w:val="Footer"/>
    </w:pPr>
  </w:p>
  <w:p w:rsidR="00E957C7" w:rsidRDefault="00E957C7"/>
  <w:p w:rsidR="00E957C7" w:rsidRDefault="00E957C7"/>
  <w:p w:rsidR="00E957C7" w:rsidRDefault="00E957C7"/>
  <w:p w:rsidR="00E957C7" w:rsidRDefault="00E957C7"/>
  <w:p w:rsidR="00E957C7" w:rsidRDefault="00E957C7"/>
  <w:p w:rsidR="00E957C7" w:rsidRDefault="00E957C7"/>
  <w:p w:rsidR="00E957C7" w:rsidRDefault="00E957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7" w:rsidRPr="00290C63" w:rsidRDefault="00E957C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957C7" w:rsidRDefault="00E957C7"/>
  <w:p w:rsidR="00E957C7" w:rsidRDefault="00E957C7"/>
  <w:p w:rsidR="00E957C7" w:rsidRDefault="00E957C7"/>
  <w:p w:rsidR="00E957C7" w:rsidRDefault="00E957C7"/>
  <w:p w:rsidR="00E957C7" w:rsidRDefault="00E957C7"/>
  <w:p w:rsidR="00E957C7" w:rsidRDefault="00E957C7"/>
  <w:p w:rsidR="00E957C7" w:rsidRDefault="00E957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957C7" w:rsidRPr="009B6F84" w:rsidRDefault="00E957C7">
        <w:pPr>
          <w:pStyle w:val="Footer"/>
          <w:rPr>
            <w:sz w:val="20"/>
          </w:rPr>
        </w:pPr>
        <w:r>
          <w:fldChar w:fldCharType="begin"/>
        </w:r>
        <w:r>
          <w:instrText xml:space="preserve"> PAGE   \* MERGEFORMAT </w:instrText>
        </w:r>
        <w:r>
          <w:fldChar w:fldCharType="separate"/>
        </w:r>
        <w:r w:rsidR="00DE2785">
          <w:rPr>
            <w:noProof/>
          </w:rPr>
          <w:t>8-3</w:t>
        </w:r>
        <w:r>
          <w:rPr>
            <w:noProof/>
          </w:rPr>
          <w:fldChar w:fldCharType="end"/>
        </w:r>
        <w:r>
          <w:rPr>
            <w:noProof/>
          </w:rPr>
          <w:t xml:space="preserve">          </w:t>
        </w:r>
        <w:r>
          <w:t>Attachment 8 – Corporate income tax</w:t>
        </w:r>
        <w:r w:rsidRPr="00D5015C">
          <w:t xml:space="preserve"> | </w:t>
        </w:r>
        <w:r>
          <w:t>Draft decision - APA VTS gas access arrangement</w:t>
        </w:r>
        <w:r w:rsidRPr="00D5015C">
          <w:t xml:space="preserve"> 201</w:t>
        </w:r>
        <w:r>
          <w:t>8</w:t>
        </w:r>
        <w:r w:rsidRPr="00D5015C">
          <w:t>–</w:t>
        </w:r>
        <w:r>
          <w:t>22</w:t>
        </w:r>
      </w:p>
    </w:sdtContent>
  </w:sdt>
  <w:p w:rsidR="00E957C7" w:rsidRDefault="00E957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7" w:rsidRPr="00290C63" w:rsidRDefault="00E957C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957C7" w:rsidRDefault="00E957C7">
    <w:pPr>
      <w:pStyle w:val="Footer"/>
    </w:pPr>
  </w:p>
  <w:p w:rsidR="00E957C7" w:rsidRDefault="00E957C7"/>
  <w:p w:rsidR="00E957C7" w:rsidRDefault="00E957C7"/>
  <w:p w:rsidR="00E957C7" w:rsidRDefault="00E957C7"/>
  <w:p w:rsidR="00E957C7" w:rsidRDefault="00E957C7"/>
  <w:p w:rsidR="00E957C7" w:rsidRDefault="00E957C7"/>
  <w:p w:rsidR="00E957C7" w:rsidRDefault="00E957C7"/>
  <w:p w:rsidR="00E957C7" w:rsidRDefault="00E95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7" w:rsidRPr="00290C63" w:rsidRDefault="00E957C7" w:rsidP="00290C63">
      <w:r>
        <w:separator/>
      </w:r>
    </w:p>
    <w:p w:rsidR="00E957C7" w:rsidRDefault="00E957C7"/>
  </w:footnote>
  <w:footnote w:type="continuationSeparator" w:id="0">
    <w:p w:rsidR="00E957C7" w:rsidRPr="00290C63" w:rsidRDefault="00E957C7" w:rsidP="00290C63">
      <w:r>
        <w:continuationSeparator/>
      </w:r>
    </w:p>
    <w:p w:rsidR="00E957C7" w:rsidRDefault="00E957C7"/>
  </w:footnote>
  <w:footnote w:id="1">
    <w:p w:rsidR="00E957C7" w:rsidRDefault="00E957C7" w:rsidP="008256DE">
      <w:pPr>
        <w:pStyle w:val="FootnoteText"/>
      </w:pPr>
      <w:r>
        <w:rPr>
          <w:rStyle w:val="FootnoteReference"/>
        </w:rPr>
        <w:footnoteRef/>
      </w:r>
      <w:r>
        <w:t xml:space="preserve"> </w:t>
      </w:r>
      <w:r>
        <w:tab/>
        <w:t>NGR, r. 76(c).</w:t>
      </w:r>
    </w:p>
  </w:footnote>
  <w:footnote w:id="2">
    <w:p w:rsidR="00E957C7" w:rsidRDefault="00E957C7" w:rsidP="008256DE">
      <w:pPr>
        <w:pStyle w:val="FootnoteText"/>
      </w:pPr>
      <w:r>
        <w:rPr>
          <w:rStyle w:val="FootnoteReference"/>
        </w:rPr>
        <w:footnoteRef/>
      </w:r>
      <w:r>
        <w:t xml:space="preserve"> </w:t>
      </w:r>
      <w:r>
        <w:tab/>
        <w:t xml:space="preserve">APA, </w:t>
      </w:r>
      <w:r>
        <w:rPr>
          <w:rStyle w:val="AERtextitalic"/>
        </w:rPr>
        <w:t xml:space="preserve">APA VTS </w:t>
      </w:r>
      <w:r w:rsidRPr="002530A7">
        <w:rPr>
          <w:rStyle w:val="AERtextitalic"/>
        </w:rPr>
        <w:t>access arrangement revision submission 201</w:t>
      </w:r>
      <w:r>
        <w:rPr>
          <w:rStyle w:val="AERtextitalic"/>
        </w:rPr>
        <w:t>8</w:t>
      </w:r>
      <w:r w:rsidRPr="002530A7">
        <w:rPr>
          <w:rStyle w:val="AERtextitalic"/>
        </w:rPr>
        <w:t>–22</w:t>
      </w:r>
      <w:r>
        <w:rPr>
          <w:i/>
        </w:rPr>
        <w:t xml:space="preserve">, </w:t>
      </w:r>
      <w:r>
        <w:t>January 2017</w:t>
      </w:r>
      <w:r w:rsidRPr="00F406F0">
        <w:t>, p.</w:t>
      </w:r>
      <w:r>
        <w:t xml:space="preserve"> 213</w:t>
      </w:r>
      <w:r w:rsidRPr="00F406F0">
        <w:t>.</w:t>
      </w:r>
    </w:p>
  </w:footnote>
  <w:footnote w:id="3">
    <w:p w:rsidR="00E957C7" w:rsidRDefault="00E957C7" w:rsidP="008256DE">
      <w:pPr>
        <w:pStyle w:val="FootnoteText"/>
      </w:pPr>
      <w:r>
        <w:rPr>
          <w:rStyle w:val="FootnoteReference"/>
        </w:rPr>
        <w:footnoteRef/>
      </w:r>
      <w:r>
        <w:t xml:space="preserve"> </w:t>
      </w:r>
      <w:r>
        <w:tab/>
      </w:r>
      <w:r w:rsidRPr="003768A0">
        <w:t>The changes affecting revenues are discussed in the overview.</w:t>
      </w:r>
    </w:p>
  </w:footnote>
  <w:footnote w:id="4">
    <w:p w:rsidR="00E957C7" w:rsidRDefault="00E957C7" w:rsidP="00C0155D">
      <w:pPr>
        <w:pStyle w:val="FootnoteText"/>
      </w:pPr>
      <w:r>
        <w:rPr>
          <w:rStyle w:val="FootnoteReference"/>
        </w:rPr>
        <w:footnoteRef/>
      </w:r>
      <w:r>
        <w:t xml:space="preserve"> </w:t>
      </w:r>
      <w:r>
        <w:tab/>
      </w:r>
      <w:hyperlink r:id="rId1" w:history="1">
        <w:r w:rsidRPr="008B2E6B">
          <w:rPr>
            <w:rStyle w:val="Hyperlink"/>
            <w:color w:val="auto"/>
            <w:sz w:val="16"/>
            <w:u w:val="none"/>
          </w:rPr>
          <w:t xml:space="preserve">APA VTS - </w:t>
        </w:r>
        <w:r w:rsidRPr="008B2E6B">
          <w:rPr>
            <w:rStyle w:val="AERtextitalic"/>
          </w:rPr>
          <w:t>B4 -</w:t>
        </w:r>
        <w:r w:rsidRPr="00041EE3">
          <w:rPr>
            <w:rStyle w:val="Hyperlink"/>
            <w:color w:val="auto"/>
            <w:sz w:val="16"/>
            <w:u w:val="none"/>
          </w:rPr>
          <w:t xml:space="preserve"> </w:t>
        </w:r>
        <w:r w:rsidRPr="008B2E6B">
          <w:rPr>
            <w:rStyle w:val="AERtextitalic"/>
          </w:rPr>
          <w:t>APA Post Tax Revenue Model revised with WORM (includes 3 March 2017 updates for inflation in response to AER information request IR003)</w:t>
        </w:r>
        <w:r>
          <w:rPr>
            <w:rStyle w:val="AERtextitalic"/>
          </w:rPr>
          <w:t xml:space="preserve">, </w:t>
        </w:r>
        <w:r w:rsidRPr="006F14E4">
          <w:rPr>
            <w:rStyle w:val="Hyperlink"/>
            <w:color w:val="auto"/>
            <w:sz w:val="16"/>
            <w:u w:val="none"/>
          </w:rPr>
          <w:t>16</w:t>
        </w:r>
        <w:r w:rsidRPr="00041EE3">
          <w:rPr>
            <w:rStyle w:val="Hyperlink"/>
            <w:color w:val="auto"/>
            <w:sz w:val="16"/>
            <w:u w:val="none"/>
          </w:rPr>
          <w:t xml:space="preserve"> May 2017</w:t>
        </w:r>
      </w:hyperlink>
      <w:r w:rsidRPr="00ED35EE">
        <w:rPr>
          <w:rStyle w:val="AERtextitalic"/>
        </w:rPr>
        <w:t>.</w:t>
      </w:r>
    </w:p>
  </w:footnote>
  <w:footnote w:id="5">
    <w:p w:rsidR="00E957C7" w:rsidRDefault="00E957C7">
      <w:pPr>
        <w:pStyle w:val="FootnoteText"/>
      </w:pPr>
      <w:r>
        <w:rPr>
          <w:rStyle w:val="FootnoteReference"/>
        </w:rPr>
        <w:footnoteRef/>
      </w:r>
      <w:r>
        <w:t xml:space="preserve"> </w:t>
      </w:r>
      <w:r>
        <w:tab/>
        <w:t xml:space="preserve">The TAB is roll forward by adding capex and subtracting tax depreciation over the 2013–17 access arrangement period. There are two ways to recognise capex. The </w:t>
      </w:r>
      <w:r w:rsidRPr="00BD1FEF">
        <w:t>as</w:t>
      </w:r>
      <w:r>
        <w:t>-</w:t>
      </w:r>
      <w:r w:rsidRPr="00BD1FEF">
        <w:t xml:space="preserve">incurred capex </w:t>
      </w:r>
      <w:r>
        <w:t xml:space="preserve">approach </w:t>
      </w:r>
      <w:r w:rsidRPr="00BD1FEF">
        <w:t>reco</w:t>
      </w:r>
      <w:r>
        <w:t>gnises</w:t>
      </w:r>
      <w:r w:rsidRPr="00BD1FEF">
        <w:t xml:space="preserve"> </w:t>
      </w:r>
      <w:r>
        <w:t xml:space="preserve">capex </w:t>
      </w:r>
      <w:r w:rsidRPr="00BD1FEF">
        <w:t>in any one year based on expenditure in</w:t>
      </w:r>
      <w:r>
        <w:t>curred in</w:t>
      </w:r>
      <w:r w:rsidRPr="00BD1FEF">
        <w:t xml:space="preserve"> that year regardless </w:t>
      </w:r>
      <w:r>
        <w:t xml:space="preserve">of </w:t>
      </w:r>
      <w:r w:rsidRPr="00BD1FEF">
        <w:t>whether the asset related to that expenditure has been commissioned or not</w:t>
      </w:r>
      <w:r>
        <w:t>, while the as-commissioned capex approach recognises expenditure at the time when the asset related to that expenditure has been commissioned.</w:t>
      </w:r>
    </w:p>
  </w:footnote>
  <w:footnote w:id="6">
    <w:p w:rsidR="00E957C7" w:rsidRDefault="00E957C7" w:rsidP="008256DE">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7">
    <w:p w:rsidR="00E957C7" w:rsidRDefault="00E957C7" w:rsidP="008256DE">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8">
    <w:p w:rsidR="00E957C7" w:rsidRDefault="00E957C7" w:rsidP="005F009F">
      <w:pPr>
        <w:pStyle w:val="FootnoteText"/>
      </w:pPr>
      <w:r>
        <w:rPr>
          <w:rStyle w:val="FootnoteReference"/>
        </w:rPr>
        <w:footnoteRef/>
      </w:r>
      <w:r>
        <w:t xml:space="preserve"> </w:t>
      </w:r>
      <w:r>
        <w:tab/>
      </w:r>
      <w:r w:rsidRPr="003F3E17">
        <w:t xml:space="preserve">APA, </w:t>
      </w:r>
      <w:r w:rsidRPr="003F3E17">
        <w:rPr>
          <w:rStyle w:val="AERtextitalic"/>
        </w:rPr>
        <w:t>Proposed supplementary capital expenditure submission PTRM</w:t>
      </w:r>
      <w:r w:rsidRPr="003F3E17">
        <w:t>, May 2017</w:t>
      </w:r>
      <w:r w:rsidRPr="003F3E17">
        <w:rPr>
          <w:rStyle w:val="AERtextitalic"/>
        </w:rPr>
        <w:t>.</w:t>
      </w:r>
    </w:p>
  </w:footnote>
  <w:footnote w:id="9">
    <w:p w:rsidR="00E957C7" w:rsidRDefault="00E957C7" w:rsidP="005F009F">
      <w:pPr>
        <w:pStyle w:val="FootnoteText"/>
      </w:pPr>
      <w:r>
        <w:rPr>
          <w:rStyle w:val="FootnoteReference"/>
        </w:rPr>
        <w:footnoteRef/>
      </w:r>
      <w:r>
        <w:t xml:space="preserve"> </w:t>
      </w:r>
      <w:r>
        <w:tab/>
        <w:t>NGR, r. 76(c).</w:t>
      </w:r>
    </w:p>
  </w:footnote>
  <w:footnote w:id="10">
    <w:p w:rsidR="00E957C7" w:rsidRDefault="00E957C7" w:rsidP="005F009F">
      <w:pPr>
        <w:pStyle w:val="FootnoteText"/>
      </w:pPr>
      <w:r>
        <w:rPr>
          <w:rStyle w:val="FootnoteReference"/>
        </w:rPr>
        <w:footnoteRef/>
      </w:r>
      <w:r>
        <w:t xml:space="preserve"> </w:t>
      </w:r>
      <w:r>
        <w:tab/>
        <w:t>NGL, s.</w:t>
      </w:r>
      <w:r w:rsidRPr="002E5E36">
        <w:rPr>
          <w:rFonts w:eastAsia="Calibri"/>
        </w:rPr>
        <w:t xml:space="preserve"> 28</w:t>
      </w:r>
      <w:r>
        <w:t>(2)</w:t>
      </w:r>
      <w:r w:rsidRPr="002E5E36">
        <w:rPr>
          <w:rFonts w:eastAsia="Calibri"/>
        </w:rPr>
        <w:t>; NGR r. 100(</w:t>
      </w:r>
      <w:r>
        <w:t>a</w:t>
      </w:r>
      <w:r w:rsidRPr="002E5E36">
        <w:rPr>
          <w:rFonts w:eastAsia="Calibri"/>
        </w:rPr>
        <w:t>). The NGO is set out in NGL, s. 23. The revenue and pricing principles are set out in NGL, s. 24.</w:t>
      </w:r>
    </w:p>
  </w:footnote>
  <w:footnote w:id="11">
    <w:p w:rsidR="00E957C7" w:rsidRDefault="00E957C7" w:rsidP="00F861F7">
      <w:pPr>
        <w:pStyle w:val="FootnoteText"/>
      </w:pPr>
      <w:r>
        <w:rPr>
          <w:rStyle w:val="FootnoteReference"/>
        </w:rPr>
        <w:footnoteRef/>
      </w:r>
      <w:r>
        <w:t xml:space="preserve"> </w:t>
      </w:r>
      <w:r>
        <w:tab/>
        <w:t>NGR, r. 74(2).</w:t>
      </w:r>
    </w:p>
  </w:footnote>
  <w:footnote w:id="12">
    <w:p w:rsidR="00E957C7" w:rsidRPr="00D84948" w:rsidRDefault="00E957C7" w:rsidP="005F009F">
      <w:pPr>
        <w:pStyle w:val="FootnoteText"/>
        <w:rPr>
          <w:szCs w:val="16"/>
        </w:rPr>
      </w:pPr>
      <w:r>
        <w:rPr>
          <w:rStyle w:val="FootnoteReference"/>
        </w:rPr>
        <w:footnoteRef/>
      </w:r>
      <w:r>
        <w:t xml:space="preserve"> </w:t>
      </w:r>
      <w:r>
        <w:tab/>
        <w:t xml:space="preserve">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13">
    <w:p w:rsidR="00E957C7" w:rsidRDefault="00E957C7" w:rsidP="00AF7045">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4">
    <w:p w:rsidR="00E957C7" w:rsidRDefault="00E957C7" w:rsidP="00AF7045">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5">
    <w:p w:rsidR="00E957C7" w:rsidRDefault="00E957C7" w:rsidP="00AF7045">
      <w:pPr>
        <w:pStyle w:val="FootnoteText"/>
      </w:pPr>
      <w:r>
        <w:rPr>
          <w:rStyle w:val="FootnoteReference"/>
        </w:rPr>
        <w:footnoteRef/>
      </w:r>
      <w:r>
        <w:t xml:space="preserve"> </w:t>
      </w:r>
      <w:r>
        <w:tab/>
        <w:t xml:space="preserve">NGR, r. 87A. Our draft decision reduced the proposed opex </w:t>
      </w:r>
      <w:r w:rsidRPr="007F48E4">
        <w:t xml:space="preserve">benefit sharing allowance </w:t>
      </w:r>
      <w:r>
        <w:t xml:space="preserve">which forms parts of the building block component. Please refer to attachment 9 of this draft decision for details.   </w:t>
      </w:r>
    </w:p>
  </w:footnote>
  <w:footnote w:id="16">
    <w:p w:rsidR="00E957C7" w:rsidRDefault="00E957C7" w:rsidP="00A73CBC">
      <w:pPr>
        <w:pStyle w:val="FootnoteText"/>
      </w:pPr>
      <w:r>
        <w:rPr>
          <w:rStyle w:val="FootnoteReference"/>
        </w:rPr>
        <w:footnoteRef/>
      </w:r>
      <w:r>
        <w:t xml:space="preserve"> </w:t>
      </w:r>
      <w:r>
        <w:tab/>
        <w:t xml:space="preserve">ATO, </w:t>
      </w:r>
      <w:r w:rsidRPr="00FA06C0">
        <w:rPr>
          <w:rStyle w:val="AERtextitalic"/>
        </w:rPr>
        <w:t>Guide to depreciating assets 2016</w:t>
      </w:r>
      <w:r>
        <w:t>, June 2016, pp. 14 and15.</w:t>
      </w:r>
    </w:p>
  </w:footnote>
  <w:footnote w:id="17">
    <w:p w:rsidR="00E957C7" w:rsidRDefault="00E957C7" w:rsidP="00EF493D">
      <w:pPr>
        <w:pStyle w:val="FootnoteText"/>
      </w:pPr>
      <w:r>
        <w:rPr>
          <w:rStyle w:val="FootnoteReference"/>
        </w:rPr>
        <w:footnoteRef/>
      </w:r>
      <w:r>
        <w:t xml:space="preserve"> </w:t>
      </w:r>
      <w:r>
        <w:tab/>
      </w:r>
      <w:r w:rsidRPr="000D6D44">
        <w:t xml:space="preserve">AER, </w:t>
      </w:r>
      <w:r w:rsidRPr="000D6D44">
        <w:rPr>
          <w:rStyle w:val="AERtextitalic"/>
        </w:rPr>
        <w:t>Amended decision – APA GasNet 2013–17 access arrangement</w:t>
      </w:r>
      <w:r>
        <w:rPr>
          <w:rStyle w:val="AERtextitalic"/>
        </w:rPr>
        <w:t xml:space="preserve"> PTRM</w:t>
      </w:r>
      <w:r w:rsidRPr="000D6D44">
        <w:t>, 21 November 2013</w:t>
      </w:r>
      <w:r>
        <w:t>.</w:t>
      </w:r>
    </w:p>
  </w:footnote>
  <w:footnote w:id="18">
    <w:p w:rsidR="00E957C7" w:rsidRDefault="00E957C7">
      <w:pPr>
        <w:pStyle w:val="FootnoteText"/>
      </w:pPr>
      <w:r>
        <w:rPr>
          <w:rStyle w:val="FootnoteReference"/>
        </w:rPr>
        <w:footnoteRef/>
      </w:r>
      <w:r>
        <w:t xml:space="preserve"> </w:t>
      </w:r>
      <w:r>
        <w:tab/>
        <w:t>NGR, r. 74(2).</w:t>
      </w:r>
    </w:p>
  </w:footnote>
  <w:footnote w:id="19">
    <w:p w:rsidR="00E957C7" w:rsidRDefault="00E957C7" w:rsidP="00A73CBC">
      <w:pPr>
        <w:pStyle w:val="FootnoteText"/>
      </w:pPr>
      <w:r>
        <w:rPr>
          <w:rStyle w:val="FootnoteReference"/>
        </w:rPr>
        <w:footnoteRef/>
      </w:r>
      <w:r>
        <w:t xml:space="preserve"> </w:t>
      </w:r>
      <w:r>
        <w:tab/>
        <w:t>NGR, cl. 87A(1).</w:t>
      </w:r>
    </w:p>
  </w:footnote>
  <w:footnote w:id="20">
    <w:p w:rsidR="00E957C7" w:rsidRDefault="00E957C7">
      <w:pPr>
        <w:pStyle w:val="FootnoteText"/>
      </w:pPr>
      <w:r>
        <w:rPr>
          <w:rStyle w:val="FootnoteReference"/>
        </w:rPr>
        <w:footnoteRef/>
      </w:r>
      <w:r>
        <w:t xml:space="preserve"> </w:t>
      </w:r>
      <w:r>
        <w:tab/>
        <w:t xml:space="preserve">Please refer to section 6.4.1 of attachment 6 of this draft decision for details. </w:t>
      </w:r>
    </w:p>
  </w:footnote>
  <w:footnote w:id="21">
    <w:p w:rsidR="00E957C7" w:rsidRPr="001D098E" w:rsidRDefault="00E957C7" w:rsidP="007D56D2">
      <w:pPr>
        <w:pStyle w:val="FootnoteText"/>
      </w:pPr>
      <w:r>
        <w:rPr>
          <w:rStyle w:val="FootnoteReference"/>
        </w:rPr>
        <w:footnoteRef/>
      </w:r>
      <w:r>
        <w:t xml:space="preserve"> </w:t>
      </w:r>
      <w:r>
        <w:tab/>
      </w:r>
      <w:r w:rsidRPr="00564A6F">
        <w:t>AER</w:t>
      </w:r>
      <w:r>
        <w:rPr>
          <w:i/>
        </w:rPr>
        <w:t xml:space="preserve">, </w:t>
      </w:r>
      <w:r w:rsidRPr="00EF606A">
        <w:rPr>
          <w:rStyle w:val="AERtextitalic"/>
        </w:rPr>
        <w:t xml:space="preserve">Amended decision, </w:t>
      </w:r>
      <w:r>
        <w:rPr>
          <w:rStyle w:val="AERtextitalic"/>
        </w:rPr>
        <w:t xml:space="preserve">APA </w:t>
      </w:r>
      <w:r w:rsidRPr="00EF606A">
        <w:rPr>
          <w:rStyle w:val="AERtextitalic"/>
        </w:rPr>
        <w:t>GasNet 2013–17 Access arrangement,</w:t>
      </w:r>
      <w:r>
        <w:t xml:space="preserve"> November 2013, p. 11.</w:t>
      </w:r>
    </w:p>
  </w:footnote>
  <w:footnote w:id="22">
    <w:p w:rsidR="00E957C7" w:rsidRDefault="00E957C7" w:rsidP="00591897">
      <w:pPr>
        <w:pStyle w:val="FootnoteText"/>
      </w:pPr>
      <w:r>
        <w:rPr>
          <w:rStyle w:val="FootnoteReference"/>
        </w:rPr>
        <w:footnoteRef/>
      </w:r>
      <w:r>
        <w:t xml:space="preserve"> </w:t>
      </w:r>
      <w:r>
        <w:tab/>
        <w:t xml:space="preserve">APA email response to AER information request IR005, </w:t>
      </w:r>
      <w:r w:rsidRPr="0048602D">
        <w:rPr>
          <w:rStyle w:val="AERtextitalic"/>
        </w:rPr>
        <w:t>RE: [AER]–[</w:t>
      </w:r>
      <w:r>
        <w:rPr>
          <w:rStyle w:val="AERtextitalic"/>
        </w:rPr>
        <w:t>APA VTS</w:t>
      </w:r>
      <w:r w:rsidRPr="0048602D">
        <w:rPr>
          <w:rStyle w:val="AERtextitalic"/>
        </w:rPr>
        <w:t xml:space="preserve"> VTS]–[IR #5]–[Information request in relation to </w:t>
      </w:r>
      <w:r>
        <w:rPr>
          <w:rStyle w:val="AERtextitalic"/>
        </w:rPr>
        <w:t>APA VTS</w:t>
      </w:r>
      <w:r w:rsidRPr="0048602D">
        <w:rPr>
          <w:rStyle w:val="AERtextitalic"/>
        </w:rPr>
        <w:t xml:space="preserve"> proposed RFM and PTRM</w:t>
      </w:r>
      <w:r>
        <w:rPr>
          <w:rStyle w:val="AERtextitalic"/>
        </w:rPr>
        <w:t>]</w:t>
      </w:r>
      <w:r>
        <w:t>, 10 March 2017.</w:t>
      </w:r>
    </w:p>
  </w:footnote>
  <w:footnote w:id="23">
    <w:p w:rsidR="00E957C7" w:rsidRDefault="00E957C7">
      <w:pPr>
        <w:pStyle w:val="FootnoteText"/>
      </w:pPr>
      <w:r>
        <w:rPr>
          <w:rStyle w:val="FootnoteReference"/>
        </w:rPr>
        <w:footnoteRef/>
      </w:r>
      <w:r>
        <w:t xml:space="preserve"> </w:t>
      </w:r>
      <w:r>
        <w:tab/>
        <w:t xml:space="preserve">Please see section 6.1.2 of attachment 6 of this draft decision. </w:t>
      </w:r>
    </w:p>
  </w:footnote>
  <w:footnote w:id="24">
    <w:p w:rsidR="00E957C7" w:rsidRDefault="00E957C7" w:rsidP="00DA0301">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25">
    <w:p w:rsidR="00E957C7" w:rsidRDefault="00E957C7" w:rsidP="00DA0301">
      <w:pPr>
        <w:pStyle w:val="FootnoteText"/>
      </w:pPr>
      <w:r>
        <w:rPr>
          <w:rStyle w:val="FootnoteReference"/>
        </w:rPr>
        <w:footnoteRef/>
      </w:r>
      <w:r>
        <w:t xml:space="preserve"> </w:t>
      </w:r>
      <w:r>
        <w:tab/>
        <w:t>AER</w:t>
      </w:r>
      <w:r w:rsidRPr="001A6E43">
        <w:t xml:space="preserve">, </w:t>
      </w:r>
      <w:r>
        <w:rPr>
          <w:rStyle w:val="AERtextitalic"/>
        </w:rPr>
        <w:t xml:space="preserve">APA GasNet Access Arrangement 2013–17 </w:t>
      </w:r>
      <w:r w:rsidRPr="00040CEF">
        <w:rPr>
          <w:rStyle w:val="AERtextitalic"/>
        </w:rPr>
        <w:t>final decision PTRM</w:t>
      </w:r>
      <w:r w:rsidRPr="001A6E43">
        <w:t xml:space="preserve">, </w:t>
      </w:r>
      <w:r>
        <w:t>March 2013</w:t>
      </w:r>
      <w:r w:rsidRPr="001A6E43">
        <w:t>.</w:t>
      </w:r>
    </w:p>
  </w:footnote>
  <w:footnote w:id="26">
    <w:p w:rsidR="00E957C7" w:rsidRPr="00EF647F" w:rsidRDefault="00E957C7" w:rsidP="00DA0301">
      <w:pPr>
        <w:pStyle w:val="FootnoteText"/>
        <w:rPr>
          <w:vertAlign w:val="superscript"/>
        </w:rPr>
      </w:pPr>
      <w:r>
        <w:rPr>
          <w:rStyle w:val="FootnoteReference"/>
        </w:rPr>
        <w:footnoteRef/>
      </w:r>
      <w:r>
        <w:t xml:space="preserve"> </w:t>
      </w:r>
      <w:r>
        <w:tab/>
      </w:r>
      <w:r w:rsidRPr="009E1948">
        <w:rPr>
          <w:rFonts w:eastAsia="Calibri"/>
        </w:rPr>
        <w:t>We note that the capex determined in this draft decision for 201</w:t>
      </w:r>
      <w:r>
        <w:rPr>
          <w:rFonts w:eastAsia="Calibri"/>
        </w:rPr>
        <w:t>6</w:t>
      </w:r>
      <w:r>
        <w:t xml:space="preserve"> and 2017</w:t>
      </w:r>
      <w:r w:rsidRPr="009E1948">
        <w:rPr>
          <w:rFonts w:eastAsia="Calibri"/>
        </w:rPr>
        <w:t xml:space="preserve"> are estimates. As part of the final decision, we expect the estimate of capex for 20</w:t>
      </w:r>
      <w:r>
        <w:t>1</w:t>
      </w:r>
      <w:r>
        <w:rPr>
          <w:rFonts w:eastAsia="Calibri"/>
        </w:rPr>
        <w:t>6</w:t>
      </w:r>
      <w:r w:rsidRPr="009E1948">
        <w:rPr>
          <w:rFonts w:eastAsia="Calibri"/>
        </w:rPr>
        <w:t xml:space="preserve"> to be</w:t>
      </w:r>
      <w:r>
        <w:t xml:space="preserve"> replaced by actual values and the 2017 capex to be</w:t>
      </w:r>
      <w:r w:rsidRPr="009E1948">
        <w:rPr>
          <w:rFonts w:eastAsia="Calibri"/>
        </w:rPr>
        <w:t xml:space="preserve"> revised based on more up to date information</w:t>
      </w:r>
      <w:r>
        <w:t>,</w:t>
      </w:r>
      <w:r w:rsidRPr="009E1948">
        <w:rPr>
          <w:rFonts w:eastAsia="Calibri"/>
        </w:rPr>
        <w:t xml:space="preserve"> and that </w:t>
      </w:r>
      <w:r>
        <w:t>APA</w:t>
      </w:r>
      <w:r>
        <w:rPr>
          <w:rFonts w:eastAsia="Calibri"/>
        </w:rPr>
        <w:t xml:space="preserve"> may</w:t>
      </w:r>
      <w:r w:rsidRPr="009E1948">
        <w:rPr>
          <w:rFonts w:eastAsia="Calibri"/>
        </w:rPr>
        <w:t xml:space="preserve"> provide this revision in its revised proposal.</w:t>
      </w:r>
      <w:r w:rsidRPr="00EF647F">
        <w:rPr>
          <w:rFonts w:eastAsia="Calibri"/>
        </w:rPr>
        <w:t xml:space="preserve"> The capex figures are used to calculate the weighted average remaining tax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 xml:space="preserve">APA's </w:t>
      </w:r>
      <w:r w:rsidRPr="00EF647F">
        <w:rPr>
          <w:rFonts w:eastAsia="Calibri"/>
        </w:rPr>
        <w:t>remaining tax asset lives using the method approved in this draft decision to</w:t>
      </w:r>
      <w:r w:rsidRPr="008914BF">
        <w:t xml:space="preserve"> reflect </w:t>
      </w:r>
      <w:r>
        <w:t>revisions to 2016 and 2017</w:t>
      </w:r>
      <w:r w:rsidRPr="008914BF">
        <w:t xml:space="preserve"> capex</w:t>
      </w:r>
      <w:r>
        <w:t xml:space="preserve"> values</w:t>
      </w:r>
      <w:r w:rsidRPr="008914BF">
        <w:t xml:space="preserve">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7" w:rsidRDefault="00E95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BF2872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ABMQTkgHlV4K20X9LSRJSTJ5cj7zV5xWts7IWT9vhM=" w:saltValue="Az8hpodW1yjUjWiQ5VblAQ==" w:algorithmName="SHA-256"/>
  <w:defaultTabStop w:val="34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24FF"/>
    <w:rsid w:val="000051DC"/>
    <w:rsid w:val="0000658F"/>
    <w:rsid w:val="0001507B"/>
    <w:rsid w:val="00020016"/>
    <w:rsid w:val="00021202"/>
    <w:rsid w:val="00021C2B"/>
    <w:rsid w:val="0002498B"/>
    <w:rsid w:val="0002517F"/>
    <w:rsid w:val="00026187"/>
    <w:rsid w:val="000266FC"/>
    <w:rsid w:val="000273B3"/>
    <w:rsid w:val="00027E2D"/>
    <w:rsid w:val="0003578C"/>
    <w:rsid w:val="00041EE3"/>
    <w:rsid w:val="00044DA3"/>
    <w:rsid w:val="000474DF"/>
    <w:rsid w:val="00054CCA"/>
    <w:rsid w:val="00055A67"/>
    <w:rsid w:val="00063247"/>
    <w:rsid w:val="0006624E"/>
    <w:rsid w:val="00070F9F"/>
    <w:rsid w:val="0007137B"/>
    <w:rsid w:val="00071A5F"/>
    <w:rsid w:val="00073B74"/>
    <w:rsid w:val="00076416"/>
    <w:rsid w:val="000805A8"/>
    <w:rsid w:val="000812B3"/>
    <w:rsid w:val="0008190B"/>
    <w:rsid w:val="000836D9"/>
    <w:rsid w:val="00085663"/>
    <w:rsid w:val="00085EBF"/>
    <w:rsid w:val="00091B15"/>
    <w:rsid w:val="00095186"/>
    <w:rsid w:val="000A0E71"/>
    <w:rsid w:val="000A1C0C"/>
    <w:rsid w:val="000A3020"/>
    <w:rsid w:val="000A4840"/>
    <w:rsid w:val="000A498E"/>
    <w:rsid w:val="000A62C1"/>
    <w:rsid w:val="000A6A79"/>
    <w:rsid w:val="000A6C7B"/>
    <w:rsid w:val="000B0A7B"/>
    <w:rsid w:val="000B1173"/>
    <w:rsid w:val="000B22BD"/>
    <w:rsid w:val="000B4D1B"/>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06C85"/>
    <w:rsid w:val="00107134"/>
    <w:rsid w:val="001114AA"/>
    <w:rsid w:val="00112684"/>
    <w:rsid w:val="00115743"/>
    <w:rsid w:val="00116EB2"/>
    <w:rsid w:val="0012132C"/>
    <w:rsid w:val="00124609"/>
    <w:rsid w:val="00126A4C"/>
    <w:rsid w:val="001270E3"/>
    <w:rsid w:val="00132D43"/>
    <w:rsid w:val="00133366"/>
    <w:rsid w:val="00133F47"/>
    <w:rsid w:val="00134029"/>
    <w:rsid w:val="00135E73"/>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B692B"/>
    <w:rsid w:val="001B6E01"/>
    <w:rsid w:val="001D055E"/>
    <w:rsid w:val="001E1B3F"/>
    <w:rsid w:val="001E5B2F"/>
    <w:rsid w:val="001E7161"/>
    <w:rsid w:val="001F05A4"/>
    <w:rsid w:val="001F3D4A"/>
    <w:rsid w:val="001F492E"/>
    <w:rsid w:val="001F64EF"/>
    <w:rsid w:val="001F6DA3"/>
    <w:rsid w:val="002010BC"/>
    <w:rsid w:val="002016E7"/>
    <w:rsid w:val="00202752"/>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3DE1"/>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87F3A"/>
    <w:rsid w:val="00290C63"/>
    <w:rsid w:val="00291A99"/>
    <w:rsid w:val="00293B6D"/>
    <w:rsid w:val="00294B08"/>
    <w:rsid w:val="0029518C"/>
    <w:rsid w:val="002963DD"/>
    <w:rsid w:val="00296B65"/>
    <w:rsid w:val="002A68F3"/>
    <w:rsid w:val="002A7DEF"/>
    <w:rsid w:val="002B0696"/>
    <w:rsid w:val="002B3761"/>
    <w:rsid w:val="002C0222"/>
    <w:rsid w:val="002C1499"/>
    <w:rsid w:val="002C233C"/>
    <w:rsid w:val="002C517B"/>
    <w:rsid w:val="002D3509"/>
    <w:rsid w:val="002D5457"/>
    <w:rsid w:val="002D72E8"/>
    <w:rsid w:val="002D79AD"/>
    <w:rsid w:val="002E268F"/>
    <w:rsid w:val="002E3403"/>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5EFE"/>
    <w:rsid w:val="003378BD"/>
    <w:rsid w:val="003424EA"/>
    <w:rsid w:val="00342C2F"/>
    <w:rsid w:val="003436EB"/>
    <w:rsid w:val="00343A18"/>
    <w:rsid w:val="00345744"/>
    <w:rsid w:val="003518B3"/>
    <w:rsid w:val="00353E79"/>
    <w:rsid w:val="00356CDE"/>
    <w:rsid w:val="00356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0DBD"/>
    <w:rsid w:val="003D41F1"/>
    <w:rsid w:val="003D42AB"/>
    <w:rsid w:val="003D5B94"/>
    <w:rsid w:val="003E03ED"/>
    <w:rsid w:val="003E0D3A"/>
    <w:rsid w:val="003E3AAB"/>
    <w:rsid w:val="003E7FE9"/>
    <w:rsid w:val="003F07D4"/>
    <w:rsid w:val="003F174D"/>
    <w:rsid w:val="003F2329"/>
    <w:rsid w:val="003F3E17"/>
    <w:rsid w:val="00400FD2"/>
    <w:rsid w:val="00403711"/>
    <w:rsid w:val="00404C52"/>
    <w:rsid w:val="004156D5"/>
    <w:rsid w:val="00415BA9"/>
    <w:rsid w:val="00415F31"/>
    <w:rsid w:val="0041691D"/>
    <w:rsid w:val="0042000C"/>
    <w:rsid w:val="0042090E"/>
    <w:rsid w:val="00421F27"/>
    <w:rsid w:val="004238D8"/>
    <w:rsid w:val="00423A77"/>
    <w:rsid w:val="00430FDF"/>
    <w:rsid w:val="004324F4"/>
    <w:rsid w:val="00434544"/>
    <w:rsid w:val="00437D3D"/>
    <w:rsid w:val="00445D43"/>
    <w:rsid w:val="00446CD2"/>
    <w:rsid w:val="0045777E"/>
    <w:rsid w:val="00465258"/>
    <w:rsid w:val="00471BC6"/>
    <w:rsid w:val="00476221"/>
    <w:rsid w:val="004766F5"/>
    <w:rsid w:val="00480B4B"/>
    <w:rsid w:val="004838D8"/>
    <w:rsid w:val="00485DC4"/>
    <w:rsid w:val="0048602D"/>
    <w:rsid w:val="00494D04"/>
    <w:rsid w:val="004A19C1"/>
    <w:rsid w:val="004A40BA"/>
    <w:rsid w:val="004A43D1"/>
    <w:rsid w:val="004A492B"/>
    <w:rsid w:val="004B4412"/>
    <w:rsid w:val="004C300A"/>
    <w:rsid w:val="004C348C"/>
    <w:rsid w:val="004C462E"/>
    <w:rsid w:val="004C6CA3"/>
    <w:rsid w:val="004C7F5E"/>
    <w:rsid w:val="004D115B"/>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4EDA"/>
    <w:rsid w:val="0051768F"/>
    <w:rsid w:val="00522DC2"/>
    <w:rsid w:val="00530128"/>
    <w:rsid w:val="00532467"/>
    <w:rsid w:val="005332A9"/>
    <w:rsid w:val="0053603C"/>
    <w:rsid w:val="00537871"/>
    <w:rsid w:val="00542FE9"/>
    <w:rsid w:val="00544598"/>
    <w:rsid w:val="00544C8D"/>
    <w:rsid w:val="00544DFD"/>
    <w:rsid w:val="00556B1E"/>
    <w:rsid w:val="005609F5"/>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1897"/>
    <w:rsid w:val="005A030C"/>
    <w:rsid w:val="005A0BEC"/>
    <w:rsid w:val="005A404D"/>
    <w:rsid w:val="005B1E3C"/>
    <w:rsid w:val="005B3830"/>
    <w:rsid w:val="005B6518"/>
    <w:rsid w:val="005B6AA8"/>
    <w:rsid w:val="005B704A"/>
    <w:rsid w:val="005B72D7"/>
    <w:rsid w:val="005C045F"/>
    <w:rsid w:val="005C16FE"/>
    <w:rsid w:val="005C1FAB"/>
    <w:rsid w:val="005C21A4"/>
    <w:rsid w:val="005C26CC"/>
    <w:rsid w:val="005C4463"/>
    <w:rsid w:val="005D3D88"/>
    <w:rsid w:val="005D48C4"/>
    <w:rsid w:val="005D6208"/>
    <w:rsid w:val="005D6366"/>
    <w:rsid w:val="005D7BA2"/>
    <w:rsid w:val="005D7DC6"/>
    <w:rsid w:val="005E1141"/>
    <w:rsid w:val="005E36C2"/>
    <w:rsid w:val="005E4AF4"/>
    <w:rsid w:val="005F009F"/>
    <w:rsid w:val="005F387E"/>
    <w:rsid w:val="005F3BA1"/>
    <w:rsid w:val="005F5BCC"/>
    <w:rsid w:val="00601E0B"/>
    <w:rsid w:val="0060258B"/>
    <w:rsid w:val="00606866"/>
    <w:rsid w:val="00610EF9"/>
    <w:rsid w:val="006126E9"/>
    <w:rsid w:val="00612E02"/>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B1A"/>
    <w:rsid w:val="00663DAD"/>
    <w:rsid w:val="00664206"/>
    <w:rsid w:val="006649E7"/>
    <w:rsid w:val="00666634"/>
    <w:rsid w:val="00671692"/>
    <w:rsid w:val="00672F19"/>
    <w:rsid w:val="00675E20"/>
    <w:rsid w:val="00676679"/>
    <w:rsid w:val="006821EB"/>
    <w:rsid w:val="00683C89"/>
    <w:rsid w:val="00685B10"/>
    <w:rsid w:val="00691B53"/>
    <w:rsid w:val="00697D0B"/>
    <w:rsid w:val="006A12BA"/>
    <w:rsid w:val="006A4739"/>
    <w:rsid w:val="006A66A1"/>
    <w:rsid w:val="006B032D"/>
    <w:rsid w:val="006B0421"/>
    <w:rsid w:val="006B2395"/>
    <w:rsid w:val="006B40AC"/>
    <w:rsid w:val="006B4CF9"/>
    <w:rsid w:val="006B797C"/>
    <w:rsid w:val="006B7AC8"/>
    <w:rsid w:val="006C1736"/>
    <w:rsid w:val="006C329B"/>
    <w:rsid w:val="006C6303"/>
    <w:rsid w:val="006D550F"/>
    <w:rsid w:val="006D6146"/>
    <w:rsid w:val="006D7F7E"/>
    <w:rsid w:val="006E0CFF"/>
    <w:rsid w:val="006F0D92"/>
    <w:rsid w:val="006F14E4"/>
    <w:rsid w:val="006F1884"/>
    <w:rsid w:val="006F267D"/>
    <w:rsid w:val="006F578E"/>
    <w:rsid w:val="006F7C36"/>
    <w:rsid w:val="0070011E"/>
    <w:rsid w:val="00701CAB"/>
    <w:rsid w:val="007023BB"/>
    <w:rsid w:val="00704DD7"/>
    <w:rsid w:val="00706DC6"/>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838E3"/>
    <w:rsid w:val="007909B4"/>
    <w:rsid w:val="00790E86"/>
    <w:rsid w:val="007949D7"/>
    <w:rsid w:val="007A0143"/>
    <w:rsid w:val="007A34C2"/>
    <w:rsid w:val="007A396C"/>
    <w:rsid w:val="007A4B02"/>
    <w:rsid w:val="007B0BE3"/>
    <w:rsid w:val="007B1816"/>
    <w:rsid w:val="007B186E"/>
    <w:rsid w:val="007B25DC"/>
    <w:rsid w:val="007B2C72"/>
    <w:rsid w:val="007B3789"/>
    <w:rsid w:val="007B640A"/>
    <w:rsid w:val="007B651F"/>
    <w:rsid w:val="007B7BB5"/>
    <w:rsid w:val="007C1C53"/>
    <w:rsid w:val="007C284C"/>
    <w:rsid w:val="007C4B82"/>
    <w:rsid w:val="007C74BB"/>
    <w:rsid w:val="007C7F64"/>
    <w:rsid w:val="007D0A95"/>
    <w:rsid w:val="007D0EB5"/>
    <w:rsid w:val="007D456E"/>
    <w:rsid w:val="007D56D2"/>
    <w:rsid w:val="007D5837"/>
    <w:rsid w:val="007E4904"/>
    <w:rsid w:val="007E4CB5"/>
    <w:rsid w:val="007E4DAE"/>
    <w:rsid w:val="007F066B"/>
    <w:rsid w:val="007F48E4"/>
    <w:rsid w:val="007F4EAB"/>
    <w:rsid w:val="007F5B16"/>
    <w:rsid w:val="007F7C9D"/>
    <w:rsid w:val="008033C4"/>
    <w:rsid w:val="00806731"/>
    <w:rsid w:val="00806C88"/>
    <w:rsid w:val="0081034E"/>
    <w:rsid w:val="00810806"/>
    <w:rsid w:val="00815882"/>
    <w:rsid w:val="00817FBB"/>
    <w:rsid w:val="00820454"/>
    <w:rsid w:val="0082255D"/>
    <w:rsid w:val="00822AC7"/>
    <w:rsid w:val="00822E86"/>
    <w:rsid w:val="008256DE"/>
    <w:rsid w:val="00827814"/>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83924"/>
    <w:rsid w:val="00884C11"/>
    <w:rsid w:val="008909DC"/>
    <w:rsid w:val="00890A19"/>
    <w:rsid w:val="00894255"/>
    <w:rsid w:val="008945AD"/>
    <w:rsid w:val="00894991"/>
    <w:rsid w:val="008A0645"/>
    <w:rsid w:val="008A1C02"/>
    <w:rsid w:val="008A370D"/>
    <w:rsid w:val="008A587D"/>
    <w:rsid w:val="008B16B0"/>
    <w:rsid w:val="008B1BD5"/>
    <w:rsid w:val="008B2E6B"/>
    <w:rsid w:val="008B35CD"/>
    <w:rsid w:val="008B4093"/>
    <w:rsid w:val="008B4238"/>
    <w:rsid w:val="008B5FCC"/>
    <w:rsid w:val="008B7F36"/>
    <w:rsid w:val="008C089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8F6F7F"/>
    <w:rsid w:val="009001B6"/>
    <w:rsid w:val="00900E1B"/>
    <w:rsid w:val="0090131F"/>
    <w:rsid w:val="00904359"/>
    <w:rsid w:val="00907683"/>
    <w:rsid w:val="009132B7"/>
    <w:rsid w:val="00916A2C"/>
    <w:rsid w:val="009233EE"/>
    <w:rsid w:val="00923A3D"/>
    <w:rsid w:val="00930B1A"/>
    <w:rsid w:val="00932612"/>
    <w:rsid w:val="009327DC"/>
    <w:rsid w:val="009338D9"/>
    <w:rsid w:val="009339BD"/>
    <w:rsid w:val="009356CF"/>
    <w:rsid w:val="00945E53"/>
    <w:rsid w:val="009460AA"/>
    <w:rsid w:val="00951978"/>
    <w:rsid w:val="00952C8B"/>
    <w:rsid w:val="00961A4A"/>
    <w:rsid w:val="0096361E"/>
    <w:rsid w:val="009661DE"/>
    <w:rsid w:val="00972C7C"/>
    <w:rsid w:val="00974378"/>
    <w:rsid w:val="009776F4"/>
    <w:rsid w:val="00982DA2"/>
    <w:rsid w:val="00983C25"/>
    <w:rsid w:val="0098466D"/>
    <w:rsid w:val="009856B7"/>
    <w:rsid w:val="009859D6"/>
    <w:rsid w:val="00985C86"/>
    <w:rsid w:val="009A099D"/>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57F8"/>
    <w:rsid w:val="00A0726D"/>
    <w:rsid w:val="00A073AE"/>
    <w:rsid w:val="00A12204"/>
    <w:rsid w:val="00A12750"/>
    <w:rsid w:val="00A13CB0"/>
    <w:rsid w:val="00A1561F"/>
    <w:rsid w:val="00A16544"/>
    <w:rsid w:val="00A166FA"/>
    <w:rsid w:val="00A212AD"/>
    <w:rsid w:val="00A27E3A"/>
    <w:rsid w:val="00A30BF5"/>
    <w:rsid w:val="00A31BE6"/>
    <w:rsid w:val="00A32FBB"/>
    <w:rsid w:val="00A34BA1"/>
    <w:rsid w:val="00A40068"/>
    <w:rsid w:val="00A40BE9"/>
    <w:rsid w:val="00A40C5C"/>
    <w:rsid w:val="00A428EE"/>
    <w:rsid w:val="00A437D0"/>
    <w:rsid w:val="00A443C2"/>
    <w:rsid w:val="00A4478A"/>
    <w:rsid w:val="00A44852"/>
    <w:rsid w:val="00A46CDD"/>
    <w:rsid w:val="00A50502"/>
    <w:rsid w:val="00A53409"/>
    <w:rsid w:val="00A53796"/>
    <w:rsid w:val="00A53848"/>
    <w:rsid w:val="00A56945"/>
    <w:rsid w:val="00A56A6E"/>
    <w:rsid w:val="00A57D04"/>
    <w:rsid w:val="00A60A26"/>
    <w:rsid w:val="00A61598"/>
    <w:rsid w:val="00A61777"/>
    <w:rsid w:val="00A63646"/>
    <w:rsid w:val="00A63914"/>
    <w:rsid w:val="00A73CBC"/>
    <w:rsid w:val="00A84A99"/>
    <w:rsid w:val="00A84F46"/>
    <w:rsid w:val="00A85E87"/>
    <w:rsid w:val="00A863B9"/>
    <w:rsid w:val="00A86AEA"/>
    <w:rsid w:val="00A871F4"/>
    <w:rsid w:val="00A9431A"/>
    <w:rsid w:val="00A95988"/>
    <w:rsid w:val="00A959DF"/>
    <w:rsid w:val="00A97A1B"/>
    <w:rsid w:val="00AA2927"/>
    <w:rsid w:val="00AB2CB8"/>
    <w:rsid w:val="00AB2DE0"/>
    <w:rsid w:val="00AB4617"/>
    <w:rsid w:val="00AC1B2C"/>
    <w:rsid w:val="00AC3264"/>
    <w:rsid w:val="00AC46AD"/>
    <w:rsid w:val="00AC4D2D"/>
    <w:rsid w:val="00AC58EC"/>
    <w:rsid w:val="00AC7282"/>
    <w:rsid w:val="00AC7961"/>
    <w:rsid w:val="00AD314E"/>
    <w:rsid w:val="00AD5FCD"/>
    <w:rsid w:val="00AD6B48"/>
    <w:rsid w:val="00AD7A3A"/>
    <w:rsid w:val="00AD7B8D"/>
    <w:rsid w:val="00AE05BF"/>
    <w:rsid w:val="00AE1BF1"/>
    <w:rsid w:val="00AE23AB"/>
    <w:rsid w:val="00AE58FB"/>
    <w:rsid w:val="00AE5AF0"/>
    <w:rsid w:val="00AE663D"/>
    <w:rsid w:val="00AE6FF5"/>
    <w:rsid w:val="00AE73B3"/>
    <w:rsid w:val="00AE76B0"/>
    <w:rsid w:val="00AF07E7"/>
    <w:rsid w:val="00AF0DD2"/>
    <w:rsid w:val="00AF31E1"/>
    <w:rsid w:val="00AF3BBA"/>
    <w:rsid w:val="00AF4231"/>
    <w:rsid w:val="00AF65BB"/>
    <w:rsid w:val="00AF7045"/>
    <w:rsid w:val="00B00B0E"/>
    <w:rsid w:val="00B00B26"/>
    <w:rsid w:val="00B02385"/>
    <w:rsid w:val="00B02F9D"/>
    <w:rsid w:val="00B05766"/>
    <w:rsid w:val="00B10440"/>
    <w:rsid w:val="00B12FEE"/>
    <w:rsid w:val="00B13048"/>
    <w:rsid w:val="00B13883"/>
    <w:rsid w:val="00B1716D"/>
    <w:rsid w:val="00B17A1D"/>
    <w:rsid w:val="00B207A0"/>
    <w:rsid w:val="00B2194D"/>
    <w:rsid w:val="00B21C21"/>
    <w:rsid w:val="00B22516"/>
    <w:rsid w:val="00B22F54"/>
    <w:rsid w:val="00B24A7E"/>
    <w:rsid w:val="00B25C0C"/>
    <w:rsid w:val="00B304B5"/>
    <w:rsid w:val="00B308A9"/>
    <w:rsid w:val="00B31047"/>
    <w:rsid w:val="00B32BDC"/>
    <w:rsid w:val="00B33148"/>
    <w:rsid w:val="00B35CDF"/>
    <w:rsid w:val="00B403C2"/>
    <w:rsid w:val="00B405A1"/>
    <w:rsid w:val="00B4438A"/>
    <w:rsid w:val="00B45AA2"/>
    <w:rsid w:val="00B479CA"/>
    <w:rsid w:val="00B5084F"/>
    <w:rsid w:val="00B50C8A"/>
    <w:rsid w:val="00B514DD"/>
    <w:rsid w:val="00B52AF0"/>
    <w:rsid w:val="00B53D5F"/>
    <w:rsid w:val="00B54051"/>
    <w:rsid w:val="00B561BD"/>
    <w:rsid w:val="00B56E03"/>
    <w:rsid w:val="00B62765"/>
    <w:rsid w:val="00B65DF5"/>
    <w:rsid w:val="00B7102F"/>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2B2"/>
    <w:rsid w:val="00BB3304"/>
    <w:rsid w:val="00BB6551"/>
    <w:rsid w:val="00BC4A10"/>
    <w:rsid w:val="00BD1FEF"/>
    <w:rsid w:val="00BD30F4"/>
    <w:rsid w:val="00BD3446"/>
    <w:rsid w:val="00BD59CF"/>
    <w:rsid w:val="00BD5C3B"/>
    <w:rsid w:val="00BE1312"/>
    <w:rsid w:val="00BE1F1B"/>
    <w:rsid w:val="00BE3F89"/>
    <w:rsid w:val="00BE47B5"/>
    <w:rsid w:val="00BE5FCE"/>
    <w:rsid w:val="00BF7DAE"/>
    <w:rsid w:val="00C0079E"/>
    <w:rsid w:val="00C0155D"/>
    <w:rsid w:val="00C0572A"/>
    <w:rsid w:val="00C06823"/>
    <w:rsid w:val="00C13EBD"/>
    <w:rsid w:val="00C1631B"/>
    <w:rsid w:val="00C163AB"/>
    <w:rsid w:val="00C170F0"/>
    <w:rsid w:val="00C25962"/>
    <w:rsid w:val="00C25FA6"/>
    <w:rsid w:val="00C3099D"/>
    <w:rsid w:val="00C30C66"/>
    <w:rsid w:val="00C33011"/>
    <w:rsid w:val="00C362C1"/>
    <w:rsid w:val="00C41950"/>
    <w:rsid w:val="00C42C3B"/>
    <w:rsid w:val="00C50422"/>
    <w:rsid w:val="00C51672"/>
    <w:rsid w:val="00C538A9"/>
    <w:rsid w:val="00C53B5A"/>
    <w:rsid w:val="00C53E41"/>
    <w:rsid w:val="00C54909"/>
    <w:rsid w:val="00C54AF3"/>
    <w:rsid w:val="00C54F5A"/>
    <w:rsid w:val="00C569B4"/>
    <w:rsid w:val="00C57DDE"/>
    <w:rsid w:val="00C61468"/>
    <w:rsid w:val="00C61A97"/>
    <w:rsid w:val="00C61E44"/>
    <w:rsid w:val="00C635E5"/>
    <w:rsid w:val="00C63D30"/>
    <w:rsid w:val="00C64FF3"/>
    <w:rsid w:val="00C662AD"/>
    <w:rsid w:val="00C67A92"/>
    <w:rsid w:val="00C71280"/>
    <w:rsid w:val="00C717BF"/>
    <w:rsid w:val="00C76178"/>
    <w:rsid w:val="00C84560"/>
    <w:rsid w:val="00C86679"/>
    <w:rsid w:val="00C8792F"/>
    <w:rsid w:val="00C90472"/>
    <w:rsid w:val="00C91D6E"/>
    <w:rsid w:val="00CA489E"/>
    <w:rsid w:val="00CA6794"/>
    <w:rsid w:val="00CB0279"/>
    <w:rsid w:val="00CB666B"/>
    <w:rsid w:val="00CB734B"/>
    <w:rsid w:val="00CC13E5"/>
    <w:rsid w:val="00CC41B6"/>
    <w:rsid w:val="00CC7ADA"/>
    <w:rsid w:val="00CC7F1D"/>
    <w:rsid w:val="00CD0A88"/>
    <w:rsid w:val="00CD125D"/>
    <w:rsid w:val="00CD283C"/>
    <w:rsid w:val="00CD3641"/>
    <w:rsid w:val="00CD66EA"/>
    <w:rsid w:val="00CD7432"/>
    <w:rsid w:val="00CE0FA5"/>
    <w:rsid w:val="00CE1A9B"/>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4FB2"/>
    <w:rsid w:val="00D12A7B"/>
    <w:rsid w:val="00D12ADB"/>
    <w:rsid w:val="00D15E63"/>
    <w:rsid w:val="00D25A39"/>
    <w:rsid w:val="00D25CF3"/>
    <w:rsid w:val="00D27CFA"/>
    <w:rsid w:val="00D310FA"/>
    <w:rsid w:val="00D325C6"/>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557"/>
    <w:rsid w:val="00D84854"/>
    <w:rsid w:val="00D86A73"/>
    <w:rsid w:val="00D924AE"/>
    <w:rsid w:val="00D92CF1"/>
    <w:rsid w:val="00D92D38"/>
    <w:rsid w:val="00D950F5"/>
    <w:rsid w:val="00D97379"/>
    <w:rsid w:val="00DA0301"/>
    <w:rsid w:val="00DA4752"/>
    <w:rsid w:val="00DA4C09"/>
    <w:rsid w:val="00DA61F3"/>
    <w:rsid w:val="00DA7CB3"/>
    <w:rsid w:val="00DB0D00"/>
    <w:rsid w:val="00DB0F93"/>
    <w:rsid w:val="00DB1A67"/>
    <w:rsid w:val="00DB3721"/>
    <w:rsid w:val="00DB5074"/>
    <w:rsid w:val="00DC0281"/>
    <w:rsid w:val="00DC0369"/>
    <w:rsid w:val="00DC1930"/>
    <w:rsid w:val="00DC1C76"/>
    <w:rsid w:val="00DC4DBF"/>
    <w:rsid w:val="00DC4E19"/>
    <w:rsid w:val="00DC65FE"/>
    <w:rsid w:val="00DC6828"/>
    <w:rsid w:val="00DC7981"/>
    <w:rsid w:val="00DD0AEF"/>
    <w:rsid w:val="00DD4C07"/>
    <w:rsid w:val="00DD577D"/>
    <w:rsid w:val="00DD5ADC"/>
    <w:rsid w:val="00DE1093"/>
    <w:rsid w:val="00DE2785"/>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33A"/>
    <w:rsid w:val="00E65C85"/>
    <w:rsid w:val="00E66199"/>
    <w:rsid w:val="00E70526"/>
    <w:rsid w:val="00E7151E"/>
    <w:rsid w:val="00E754B4"/>
    <w:rsid w:val="00E755EC"/>
    <w:rsid w:val="00E7624D"/>
    <w:rsid w:val="00E81724"/>
    <w:rsid w:val="00E819A4"/>
    <w:rsid w:val="00E833FA"/>
    <w:rsid w:val="00E84B74"/>
    <w:rsid w:val="00E87066"/>
    <w:rsid w:val="00E9462A"/>
    <w:rsid w:val="00E957C7"/>
    <w:rsid w:val="00E966BF"/>
    <w:rsid w:val="00EA0C04"/>
    <w:rsid w:val="00EA3D42"/>
    <w:rsid w:val="00EA6B1B"/>
    <w:rsid w:val="00EB1CBD"/>
    <w:rsid w:val="00EB3A34"/>
    <w:rsid w:val="00EB3C3F"/>
    <w:rsid w:val="00EC04F1"/>
    <w:rsid w:val="00EC0779"/>
    <w:rsid w:val="00EC237F"/>
    <w:rsid w:val="00EC5163"/>
    <w:rsid w:val="00EC573A"/>
    <w:rsid w:val="00ED2AFD"/>
    <w:rsid w:val="00ED35C8"/>
    <w:rsid w:val="00ED35EE"/>
    <w:rsid w:val="00ED3968"/>
    <w:rsid w:val="00ED7323"/>
    <w:rsid w:val="00EE28F3"/>
    <w:rsid w:val="00EE50D1"/>
    <w:rsid w:val="00EE7614"/>
    <w:rsid w:val="00EF493D"/>
    <w:rsid w:val="00EF5110"/>
    <w:rsid w:val="00EF5890"/>
    <w:rsid w:val="00EF606A"/>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2D85"/>
    <w:rsid w:val="00F44B0A"/>
    <w:rsid w:val="00F47559"/>
    <w:rsid w:val="00F50B30"/>
    <w:rsid w:val="00F51F5F"/>
    <w:rsid w:val="00F52D75"/>
    <w:rsid w:val="00F55582"/>
    <w:rsid w:val="00F5676E"/>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46D6"/>
    <w:rsid w:val="00F861F7"/>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3404"/>
    <w:rsid w:val="00FD0541"/>
    <w:rsid w:val="00FD5614"/>
    <w:rsid w:val="00FD5E78"/>
    <w:rsid w:val="00FE0BE1"/>
    <w:rsid w:val="00FE11BB"/>
    <w:rsid w:val="00FE1DE9"/>
    <w:rsid w:val="00FE36AF"/>
    <w:rsid w:val="00FE39C2"/>
    <w:rsid w:val="00FE3C32"/>
    <w:rsid w:val="00FE64AE"/>
    <w:rsid w:val="00FF2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1801123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1041609">
      <w:bodyDiv w:val="1"/>
      <w:marLeft w:val="0"/>
      <w:marRight w:val="0"/>
      <w:marTop w:val="0"/>
      <w:marBottom w:val="0"/>
      <w:divBdr>
        <w:top w:val="none" w:sz="0" w:space="0" w:color="auto"/>
        <w:left w:val="none" w:sz="0" w:space="0" w:color="auto"/>
        <w:bottom w:val="none" w:sz="0" w:space="0" w:color="auto"/>
        <w:right w:val="none" w:sz="0" w:space="0" w:color="auto"/>
      </w:divBdr>
    </w:div>
    <w:div w:id="1914775838">
      <w:bodyDiv w:val="1"/>
      <w:marLeft w:val="0"/>
      <w:marRight w:val="0"/>
      <w:marTop w:val="0"/>
      <w:marBottom w:val="0"/>
      <w:divBdr>
        <w:top w:val="none" w:sz="0" w:space="0" w:color="auto"/>
        <w:left w:val="none" w:sz="0" w:space="0" w:color="auto"/>
        <w:bottom w:val="none" w:sz="0" w:space="0" w:color="auto"/>
        <w:right w:val="none" w:sz="0" w:space="0" w:color="auto"/>
      </w:divBdr>
    </w:div>
    <w:div w:id="1918396615">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6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yperlink" Target="https://www.aer.gov.au/system/files/APA%20VTS-B4-APA%20Post%20Tax%20Revenue%20Model%20revised%20with%20WORM-20170516%20-Public.xlsm" TargetMode="External"/><Relationship Id="rId2" Type="http://schemas.openxmlformats.org/officeDocument/2006/relationships/customXml" Target="../customXml/item2.xml"/><Relationship Id="rId16" Type="http://schemas.openxmlformats.org/officeDocument/2006/relationships/hyperlink" Target="https://www.aer.gov.au/system/files/APA%20VTS-B4-APA%20Post%20Tax%20Revenue%20Model%20revised%20with%20WORM-20170516%20-Public.xls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system/files/APA%20VTS-B4-APA%20Post%20Tax%20Revenue%20Model%20revised%20with%20WORM-20170516%20-Public.xls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1232E-4844-46F5-AD35-63C5383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7CDD9CB1</Template>
  <TotalTime>0</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2017-07-03T04:28:00Z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