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75BB136" wp14:editId="23AA51B7">
                <wp:simplePos x="0" y="0"/>
                <wp:positionH relativeFrom="column">
                  <wp:posOffset>-1116330</wp:posOffset>
                </wp:positionH>
                <wp:positionV relativeFrom="paragraph">
                  <wp:posOffset>-997866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80D9EF0" wp14:editId="1D9745A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EC15B7" w:rsidRDefault="00D34E5A" w:rsidP="008F07A3">
          <w:pPr>
            <w:pStyle w:val="ReportSubtitle"/>
          </w:pPr>
          <w:r>
            <w:t>APA VTS</w:t>
          </w:r>
          <w:r w:rsidR="00A51022">
            <w:t xml:space="preserve"> </w:t>
          </w:r>
          <w:r>
            <w:t>Australia</w:t>
          </w:r>
        </w:p>
        <w:p w:rsidR="00A51022" w:rsidRDefault="00EC15B7" w:rsidP="008F07A3">
          <w:pPr>
            <w:pStyle w:val="ReportSubtitle"/>
          </w:pPr>
          <w:r>
            <w:t>G</w:t>
          </w:r>
          <w:r w:rsidR="00A51022">
            <w:t>as access arrangement</w:t>
          </w:r>
        </w:p>
        <w:p w:rsidR="000A6C7B" w:rsidRDefault="00DA4752" w:rsidP="008F07A3">
          <w:pPr>
            <w:pStyle w:val="ReportSubtitle"/>
          </w:pPr>
          <w:r>
            <w:t xml:space="preserve"> 201</w:t>
          </w:r>
          <w:r w:rsidR="002C3D05">
            <w:t>8 to 20</w:t>
          </w:r>
          <w:r w:rsidR="008C2BCE">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783257" w:rsidP="00327A1E">
          <w:pPr>
            <w:pStyle w:val="ReportDate"/>
          </w:pPr>
          <w:r>
            <w:t>J</w:t>
          </w:r>
          <w:r w:rsidR="00BA2066">
            <w:t>uly</w:t>
          </w:r>
          <w:r>
            <w:t xml:space="preserve"> </w:t>
          </w:r>
          <w:r w:rsidR="002C3D05">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487E2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6C2495">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AD0EFE" w:rsidRDefault="00AD0EFE">
      <w:pPr>
        <w:spacing w:line="240" w:lineRule="auto"/>
      </w:pPr>
      <w:r>
        <w:br w:type="page"/>
      </w:r>
    </w:p>
    <w:p w:rsidR="00AD0EFE" w:rsidRPr="00AB66ED" w:rsidRDefault="00AD0EFE" w:rsidP="00AD0EFE">
      <w:pPr>
        <w:pStyle w:val="UnnumberedHeading"/>
      </w:pPr>
      <w:bookmarkStart w:id="1" w:name="_Toc432083534"/>
      <w:bookmarkStart w:id="2" w:name="_Toc433787709"/>
      <w:bookmarkStart w:id="3" w:name="_Toc462823940"/>
      <w:bookmarkStart w:id="4" w:name="_Toc481053028"/>
      <w:bookmarkStart w:id="5" w:name="_Toc483322538"/>
      <w:bookmarkStart w:id="6" w:name="_Toc487018256"/>
      <w:r w:rsidRPr="00AB66ED">
        <w:lastRenderedPageBreak/>
        <w:t>Invitation for submissions</w:t>
      </w:r>
      <w:bookmarkEnd w:id="1"/>
      <w:bookmarkEnd w:id="2"/>
      <w:bookmarkEnd w:id="3"/>
      <w:bookmarkEnd w:id="4"/>
      <w:bookmarkEnd w:id="5"/>
      <w:bookmarkEnd w:id="6"/>
    </w:p>
    <w:p w:rsidR="00AD0EFE" w:rsidRPr="00F9501B" w:rsidRDefault="00AD0EFE" w:rsidP="00AD0EFE">
      <w:r>
        <w:t xml:space="preserve">This is our draft decision on APA's access arrangement for the </w:t>
      </w:r>
      <w:r w:rsidR="008E254B">
        <w:t xml:space="preserve">Victorian Transmission System for </w:t>
      </w:r>
      <w:r>
        <w:t>1 January 2018 to 31 December 2022. APA will submit a revised proposal in response to this draft decision by 14</w:t>
      </w:r>
      <w:r w:rsidR="00A16F50">
        <w:t xml:space="preserve"> </w:t>
      </w:r>
      <w:r>
        <w:t>August 2017. I</w:t>
      </w:r>
      <w:r w:rsidRPr="00AB66ED">
        <w:t xml:space="preserve">nterested parties are invited to make submissions on </w:t>
      </w:r>
      <w:r>
        <w:t xml:space="preserve">both </w:t>
      </w:r>
      <w:r w:rsidRPr="00AB66ED">
        <w:t xml:space="preserve">our draft decision </w:t>
      </w:r>
      <w:r>
        <w:t>and APA's revised proposal</w:t>
      </w:r>
      <w:r w:rsidRPr="00AB66ED">
        <w:t xml:space="preserve"> </w:t>
      </w:r>
      <w:r w:rsidRPr="00F9501B">
        <w:t xml:space="preserve">by </w:t>
      </w:r>
      <w:r w:rsidRPr="00741909">
        <w:t>15 September 2017.</w:t>
      </w:r>
      <w:r w:rsidRPr="00F9501B">
        <w:t xml:space="preserve"> </w:t>
      </w:r>
    </w:p>
    <w:p w:rsidR="00AD0EFE" w:rsidRPr="00AB66ED" w:rsidRDefault="00AD0EFE" w:rsidP="00AD0EFE">
      <w:r w:rsidRPr="00AB66ED">
        <w:t xml:space="preserve">We will consider and respond to </w:t>
      </w:r>
      <w:r>
        <w:t xml:space="preserve">all </w:t>
      </w:r>
      <w:r w:rsidRPr="00AB66ED">
        <w:t>submissions</w:t>
      </w:r>
      <w:r>
        <w:t xml:space="preserve"> received by that date</w:t>
      </w:r>
      <w:r w:rsidRPr="00AB66ED">
        <w:t xml:space="preserve"> in our final decision.</w:t>
      </w:r>
    </w:p>
    <w:p w:rsidR="00AD0EFE" w:rsidRPr="00AB66ED" w:rsidRDefault="00AD0EFE" w:rsidP="00AD0EFE">
      <w:r w:rsidRPr="00AB66ED">
        <w:t>Submissions should be sent to: VicGAAR2018-22@aer.gov.au.</w:t>
      </w:r>
    </w:p>
    <w:p w:rsidR="00AD0EFE" w:rsidRPr="00AB66ED" w:rsidRDefault="00AD0EFE" w:rsidP="00AD0EFE">
      <w:r w:rsidRPr="00AB66ED">
        <w:t>Alternatively, submissions can be sent to:</w:t>
      </w:r>
    </w:p>
    <w:p w:rsidR="00AD0EFE" w:rsidRPr="00AB66ED" w:rsidRDefault="00AD0EFE" w:rsidP="00AD0EFE">
      <w:r w:rsidRPr="00AB66ED">
        <w:t xml:space="preserve">Mr </w:t>
      </w:r>
      <w:r>
        <w:t>Chris Pattas</w:t>
      </w:r>
      <w:r w:rsidRPr="00AB66ED">
        <w:br/>
        <w:t>General Manager</w:t>
      </w:r>
      <w:r w:rsidRPr="00AB66ED">
        <w:br/>
        <w:t>Australian Energy Regulator</w:t>
      </w:r>
      <w:r w:rsidRPr="00AB66ED">
        <w:br/>
        <w:t>GPO Box 520</w:t>
      </w:r>
      <w:r w:rsidRPr="00AB66ED">
        <w:br/>
        <w:t>Melbourne VIC 3001</w:t>
      </w:r>
    </w:p>
    <w:p w:rsidR="00AD0EFE" w:rsidRDefault="00AD0EFE" w:rsidP="00AD0EFE">
      <w:r>
        <w:t>S</w:t>
      </w:r>
      <w:r w:rsidRPr="00D52944">
        <w:t xml:space="preserve">ubmissions </w:t>
      </w:r>
      <w:r>
        <w:t>should be</w:t>
      </w:r>
      <w:r w:rsidRPr="00D52944">
        <w:t xml:space="preserve"> in Microsoft Word or another text readable document format.</w:t>
      </w:r>
    </w:p>
    <w:p w:rsidR="00AD0EFE" w:rsidRPr="00AB66ED" w:rsidRDefault="00AD0EFE" w:rsidP="00AD0EFE">
      <w:r w:rsidRPr="00AB66ED">
        <w:t>We prefer that all submissions be publicly available to facilitate an informed and transparent consultative process. Submissions will be treated as public documents unless otherwise requested. Parties wishing to submit confidential information should:</w:t>
      </w:r>
    </w:p>
    <w:p w:rsidR="00AD0EFE" w:rsidRPr="00AB66ED" w:rsidRDefault="00AD0EFE" w:rsidP="00AD0EFE">
      <w:pPr>
        <w:pStyle w:val="ListBullet"/>
      </w:pPr>
      <w:r w:rsidRPr="00AB66ED">
        <w:t>clearly identify the information that is the subject of the confidentiality claim</w:t>
      </w:r>
    </w:p>
    <w:p w:rsidR="00AD0EFE" w:rsidRPr="00AB66ED" w:rsidRDefault="00AD0EFE" w:rsidP="00AD0EFE">
      <w:pPr>
        <w:pStyle w:val="ListBullet"/>
      </w:pPr>
      <w:proofErr w:type="gramStart"/>
      <w:r w:rsidRPr="00AB66ED">
        <w:t>provide</w:t>
      </w:r>
      <w:proofErr w:type="gramEnd"/>
      <w:r w:rsidRPr="00AB66ED">
        <w:t xml:space="preserve"> a non-confidential version of the submission in a form suitable for publication.</w:t>
      </w:r>
    </w:p>
    <w:p w:rsidR="00AD0EFE" w:rsidRPr="00AB66ED" w:rsidRDefault="00AD0EFE" w:rsidP="00AD0EFE">
      <w:r w:rsidRPr="00AB66ED">
        <w:t xml:space="preserve">All non-confidential submissions will be placed on our website. For further information regarding our use and disclosure of information provided to us, see the </w:t>
      </w:r>
      <w:r w:rsidRPr="00AB66ED">
        <w:rPr>
          <w:rStyle w:val="AERtextitalic"/>
        </w:rPr>
        <w:t>ACCC/AER Information Policy</w:t>
      </w:r>
      <w:r w:rsidRPr="00AB66ED">
        <w:t xml:space="preserve"> (</w:t>
      </w:r>
      <w:r>
        <w:t>June 2014</w:t>
      </w:r>
      <w:r w:rsidRPr="00AB66ED">
        <w:t>), which is available on our website.</w:t>
      </w:r>
      <w:r>
        <w:rPr>
          <w:rStyle w:val="FootnoteReference"/>
        </w:rPr>
        <w:footnoteReference w:id="1"/>
      </w:r>
    </w:p>
    <w:p w:rsidR="00761454" w:rsidRDefault="00761454">
      <w:pPr>
        <w:spacing w:line="240" w:lineRule="auto"/>
      </w:pPr>
      <w:r>
        <w:br w:type="page"/>
      </w:r>
    </w:p>
    <w:p w:rsidR="00761454" w:rsidRDefault="00761454" w:rsidP="00761454">
      <w:pPr>
        <w:pStyle w:val="UnnumberedHeading"/>
        <w:numPr>
          <w:ilvl w:val="0"/>
          <w:numId w:val="23"/>
        </w:numPr>
      </w:pPr>
      <w:bookmarkStart w:id="7" w:name="_Toc404153950"/>
      <w:bookmarkStart w:id="8" w:name="_Toc404437593"/>
      <w:bookmarkStart w:id="9" w:name="_Toc487018257"/>
      <w:r>
        <w:t>Note</w:t>
      </w:r>
      <w:bookmarkEnd w:id="7"/>
      <w:bookmarkEnd w:id="8"/>
      <w:bookmarkEnd w:id="9"/>
    </w:p>
    <w:p w:rsidR="00A51022" w:rsidRDefault="00A51022" w:rsidP="00A51022">
      <w:pPr>
        <w:numPr>
          <w:ilvl w:val="0"/>
          <w:numId w:val="23"/>
        </w:numPr>
      </w:pPr>
      <w:r>
        <w:t xml:space="preserve">This </w:t>
      </w:r>
      <w:r w:rsidR="00303EFB">
        <w:t>overview</w:t>
      </w:r>
      <w:r>
        <w:t xml:space="preserve"> forms part of the AER's draft decision on the access arrangement for</w:t>
      </w:r>
      <w:r w:rsidR="003F22EA">
        <w:t xml:space="preserve"> </w:t>
      </w:r>
      <w:r w:rsidR="003F22EA" w:rsidRPr="003F22EA">
        <w:t xml:space="preserve">APA VTS </w:t>
      </w:r>
      <w:r w:rsidR="00D34E5A">
        <w:t>Australia</w:t>
      </w:r>
      <w:r>
        <w:t xml:space="preserve"> for 2018</w:t>
      </w:r>
      <w:r w:rsidR="006C2495">
        <w:t>–</w:t>
      </w:r>
      <w:r>
        <w:t>22. It should be read with all other parts of the draft decision.</w:t>
      </w:r>
    </w:p>
    <w:p w:rsidR="00A51022" w:rsidRDefault="00A51022" w:rsidP="00A51022">
      <w:pPr>
        <w:numPr>
          <w:ilvl w:val="0"/>
          <w:numId w:val="23"/>
        </w:numPr>
      </w:pPr>
      <w:r>
        <w:t>The draft decision includes the following documents:</w:t>
      </w:r>
    </w:p>
    <w:p w:rsidR="00A51022" w:rsidRDefault="00A51022" w:rsidP="00A51022">
      <w:pPr>
        <w:numPr>
          <w:ilvl w:val="0"/>
          <w:numId w:val="23"/>
        </w:numPr>
      </w:pPr>
      <w:r>
        <w:t>Overview</w:t>
      </w:r>
    </w:p>
    <w:p w:rsidR="00A51022" w:rsidRDefault="00A51022" w:rsidP="00A51022">
      <w:r>
        <w:t>Attachment 1 - Services covered by the access arrangement</w:t>
      </w:r>
    </w:p>
    <w:p w:rsidR="00A51022" w:rsidRDefault="00A51022" w:rsidP="00A51022">
      <w:r>
        <w:t>Attachment 2 - Capital base</w:t>
      </w:r>
    </w:p>
    <w:p w:rsidR="00A51022" w:rsidRDefault="00A51022" w:rsidP="00A51022">
      <w:r>
        <w:t>Attachment 3 - Rate of return</w:t>
      </w:r>
    </w:p>
    <w:p w:rsidR="00A51022" w:rsidRDefault="00A51022" w:rsidP="00A51022">
      <w:r>
        <w:t>Attachment 4 - Value of imputation credits</w:t>
      </w:r>
    </w:p>
    <w:p w:rsidR="00A51022" w:rsidRDefault="00A51022" w:rsidP="00A51022">
      <w:r>
        <w:t>Attachment 5 - Regulatory depreciation</w:t>
      </w:r>
    </w:p>
    <w:p w:rsidR="00A51022" w:rsidRDefault="00A51022" w:rsidP="00A51022">
      <w:r>
        <w:t xml:space="preserve">Attachment 6 - Capital expenditure </w:t>
      </w:r>
    </w:p>
    <w:p w:rsidR="00A51022" w:rsidRDefault="00A51022" w:rsidP="00A51022">
      <w:r>
        <w:t>Attachment 7 - Operating expenditure</w:t>
      </w:r>
    </w:p>
    <w:p w:rsidR="00A51022" w:rsidRDefault="00A51022" w:rsidP="00A51022">
      <w:r>
        <w:t>Attachment 8 - Corporate income tax</w:t>
      </w:r>
    </w:p>
    <w:p w:rsidR="00A51022" w:rsidRDefault="00A51022" w:rsidP="00A51022">
      <w:r>
        <w:t xml:space="preserve">Attachment 9 - </w:t>
      </w:r>
      <w:r w:rsidR="0088451F">
        <w:t>Opex incentive</w:t>
      </w:r>
      <w:r>
        <w:t xml:space="preserve"> </w:t>
      </w:r>
      <w:r w:rsidR="001B7D78">
        <w:t>mechanism</w:t>
      </w:r>
    </w:p>
    <w:p w:rsidR="00A51022" w:rsidRDefault="00A51022" w:rsidP="00A51022">
      <w:r>
        <w:t>Attachment 10 - Reference tariff setting</w:t>
      </w:r>
    </w:p>
    <w:p w:rsidR="00A51022" w:rsidRDefault="00A51022" w:rsidP="00A51022">
      <w:r>
        <w:t>Attachment 11 - Reference tariff variation mechanism</w:t>
      </w:r>
    </w:p>
    <w:p w:rsidR="00A51022" w:rsidRDefault="00A51022" w:rsidP="00A51022">
      <w:r>
        <w:t>Attachment 12 - Non-tariff components</w:t>
      </w:r>
    </w:p>
    <w:p w:rsidR="00A51022" w:rsidRDefault="00A51022" w:rsidP="00A51022">
      <w:r>
        <w:t>Attachment 13 - Demand</w:t>
      </w:r>
    </w:p>
    <w:p w:rsidR="00761454" w:rsidRPr="00F02D30" w:rsidRDefault="00761454" w:rsidP="00761454">
      <w:pPr>
        <w:numPr>
          <w:ilvl w:val="0"/>
          <w:numId w:val="24"/>
        </w:numPr>
      </w:pPr>
    </w:p>
    <w:p w:rsidR="00CE2A23" w:rsidRPr="00CE2A23" w:rsidRDefault="00CE2A23" w:rsidP="00CE2A23">
      <w:bookmarkStart w:id="10" w:name="_Toc404354899"/>
      <w:bookmarkStart w:id="11" w:name="_Toc404353070"/>
      <w:bookmarkStart w:id="12" w:name="_Toc404684201"/>
      <w:bookmarkStart w:id="13" w:name="_Toc404700923"/>
    </w:p>
    <w:bookmarkEnd w:id="10"/>
    <w:bookmarkEnd w:id="11"/>
    <w:bookmarkEnd w:id="12"/>
    <w:bookmarkEnd w:id="13"/>
    <w:p w:rsidR="00CE2A23" w:rsidRPr="008F07A3" w:rsidRDefault="00CE2A23" w:rsidP="00CE2A23">
      <w:pPr>
        <w:numPr>
          <w:ilvl w:val="0"/>
          <w:numId w:val="24"/>
        </w:numPr>
        <w:sectPr w:rsidR="00CE2A23" w:rsidRPr="008F07A3" w:rsidSect="00F66400">
          <w:footerReference w:type="even" r:id="rId13"/>
          <w:footerReference w:type="default" r:id="rId14"/>
          <w:footerReference w:type="first" r:id="rId15"/>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4" w:name="_Toc403144133"/>
      <w:bookmarkStart w:id="15" w:name="_Toc487018258"/>
      <w:r>
        <w:t>Contents</w:t>
      </w:r>
      <w:bookmarkEnd w:id="14"/>
      <w:bookmarkEnd w:id="15"/>
    </w:p>
    <w:p w:rsidR="00CE2A23" w:rsidRDefault="00CE2A23" w:rsidP="00CE2A23"/>
    <w:sdt>
      <w:sdtPr>
        <w:id w:val="1269200322"/>
        <w:docPartObj>
          <w:docPartGallery w:val="Table of Contents"/>
          <w:docPartUnique/>
        </w:docPartObj>
      </w:sdtPr>
      <w:sdtEndPr/>
      <w:sdtContent>
        <w:p w:rsidR="00B23A9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7018256" w:history="1">
            <w:r w:rsidR="00B23A98" w:rsidRPr="00D03879">
              <w:rPr>
                <w:rStyle w:val="Hyperlink"/>
              </w:rPr>
              <w:t>Invitation for submissions</w:t>
            </w:r>
            <w:r w:rsidR="00B23A98">
              <w:rPr>
                <w:webHidden/>
              </w:rPr>
              <w:tab/>
            </w:r>
            <w:r w:rsidR="00B23A98">
              <w:rPr>
                <w:webHidden/>
              </w:rPr>
              <w:fldChar w:fldCharType="begin"/>
            </w:r>
            <w:r w:rsidR="00B23A98">
              <w:rPr>
                <w:webHidden/>
              </w:rPr>
              <w:instrText xml:space="preserve"> PAGEREF _Toc487018256 \h </w:instrText>
            </w:r>
            <w:r w:rsidR="00B23A98">
              <w:rPr>
                <w:webHidden/>
              </w:rPr>
            </w:r>
            <w:r w:rsidR="00B23A98">
              <w:rPr>
                <w:webHidden/>
              </w:rPr>
              <w:fldChar w:fldCharType="separate"/>
            </w:r>
            <w:r w:rsidR="00971C32">
              <w:rPr>
                <w:webHidden/>
              </w:rPr>
              <w:t>2</w:t>
            </w:r>
            <w:r w:rsidR="00B23A98">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57" w:history="1">
            <w:r w:rsidRPr="00D03879">
              <w:rPr>
                <w:rStyle w:val="Hyperlink"/>
              </w:rPr>
              <w:t>Note</w:t>
            </w:r>
            <w:r>
              <w:rPr>
                <w:webHidden/>
              </w:rPr>
              <w:tab/>
            </w:r>
            <w:r>
              <w:rPr>
                <w:webHidden/>
              </w:rPr>
              <w:fldChar w:fldCharType="begin"/>
            </w:r>
            <w:r>
              <w:rPr>
                <w:webHidden/>
              </w:rPr>
              <w:instrText xml:space="preserve"> PAGEREF _Toc487018257 \h </w:instrText>
            </w:r>
            <w:r>
              <w:rPr>
                <w:webHidden/>
              </w:rPr>
            </w:r>
            <w:r>
              <w:rPr>
                <w:webHidden/>
              </w:rPr>
              <w:fldChar w:fldCharType="separate"/>
            </w:r>
            <w:r w:rsidR="00971C32">
              <w:rPr>
                <w:webHidden/>
              </w:rPr>
              <w:t>3</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58" w:history="1">
            <w:r w:rsidRPr="00D03879">
              <w:rPr>
                <w:rStyle w:val="Hyperlink"/>
              </w:rPr>
              <w:t>Contents</w:t>
            </w:r>
            <w:r>
              <w:rPr>
                <w:webHidden/>
              </w:rPr>
              <w:tab/>
            </w:r>
            <w:r>
              <w:rPr>
                <w:webHidden/>
              </w:rPr>
              <w:fldChar w:fldCharType="begin"/>
            </w:r>
            <w:r>
              <w:rPr>
                <w:webHidden/>
              </w:rPr>
              <w:instrText xml:space="preserve"> PAGEREF _Toc487018258 \h </w:instrText>
            </w:r>
            <w:r>
              <w:rPr>
                <w:webHidden/>
              </w:rPr>
            </w:r>
            <w:r>
              <w:rPr>
                <w:webHidden/>
              </w:rPr>
              <w:fldChar w:fldCharType="separate"/>
            </w:r>
            <w:r w:rsidR="00971C32">
              <w:rPr>
                <w:webHidden/>
              </w:rPr>
              <w:t>4</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59" w:history="1">
            <w:r w:rsidRPr="00D03879">
              <w:rPr>
                <w:rStyle w:val="Hyperlink"/>
              </w:rPr>
              <w:t>Shortened forms</w:t>
            </w:r>
            <w:r>
              <w:rPr>
                <w:webHidden/>
              </w:rPr>
              <w:tab/>
            </w:r>
            <w:r>
              <w:rPr>
                <w:webHidden/>
              </w:rPr>
              <w:fldChar w:fldCharType="begin"/>
            </w:r>
            <w:r>
              <w:rPr>
                <w:webHidden/>
              </w:rPr>
              <w:instrText xml:space="preserve"> PAGEREF _Toc487018259 \h </w:instrText>
            </w:r>
            <w:r>
              <w:rPr>
                <w:webHidden/>
              </w:rPr>
            </w:r>
            <w:r>
              <w:rPr>
                <w:webHidden/>
              </w:rPr>
              <w:fldChar w:fldCharType="separate"/>
            </w:r>
            <w:r w:rsidR="00971C32">
              <w:rPr>
                <w:webHidden/>
              </w:rPr>
              <w:t>6</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60" w:history="1">
            <w:r w:rsidRPr="00D03879">
              <w:rPr>
                <w:rStyle w:val="Hyperlink"/>
              </w:rPr>
              <w:t>1</w:t>
            </w:r>
            <w:r>
              <w:rPr>
                <w:rFonts w:asciiTheme="minorHAnsi" w:eastAsiaTheme="minorEastAsia" w:hAnsiTheme="minorHAnsi"/>
                <w:b w:val="0"/>
                <w:color w:val="auto"/>
                <w:sz w:val="22"/>
                <w:lang w:val="en-AU" w:eastAsia="en-AU"/>
              </w:rPr>
              <w:tab/>
            </w:r>
            <w:r w:rsidRPr="00D03879">
              <w:rPr>
                <w:rStyle w:val="Hyperlink"/>
              </w:rPr>
              <w:t>Introduction</w:t>
            </w:r>
            <w:r>
              <w:rPr>
                <w:webHidden/>
              </w:rPr>
              <w:tab/>
            </w:r>
            <w:r>
              <w:rPr>
                <w:webHidden/>
              </w:rPr>
              <w:fldChar w:fldCharType="begin"/>
            </w:r>
            <w:r>
              <w:rPr>
                <w:webHidden/>
              </w:rPr>
              <w:instrText xml:space="preserve"> PAGEREF _Toc487018260 \h </w:instrText>
            </w:r>
            <w:r>
              <w:rPr>
                <w:webHidden/>
              </w:rPr>
            </w:r>
            <w:r>
              <w:rPr>
                <w:webHidden/>
              </w:rPr>
              <w:fldChar w:fldCharType="separate"/>
            </w:r>
            <w:r w:rsidR="00971C32">
              <w:rPr>
                <w:webHidden/>
              </w:rPr>
              <w:t>8</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1" w:history="1">
            <w:r w:rsidRPr="00D03879">
              <w:rPr>
                <w:rStyle w:val="Hyperlink"/>
              </w:rPr>
              <w:t>1.1</w:t>
            </w:r>
            <w:r>
              <w:rPr>
                <w:rFonts w:asciiTheme="minorHAnsi" w:eastAsiaTheme="minorEastAsia" w:hAnsiTheme="minorHAnsi"/>
                <w:b w:val="0"/>
                <w:color w:val="auto"/>
                <w:sz w:val="22"/>
                <w:lang w:eastAsia="en-AU"/>
              </w:rPr>
              <w:tab/>
            </w:r>
            <w:r w:rsidRPr="00D03879">
              <w:rPr>
                <w:rStyle w:val="Hyperlink"/>
              </w:rPr>
              <w:t>Structure of this overview</w:t>
            </w:r>
            <w:r>
              <w:rPr>
                <w:webHidden/>
              </w:rPr>
              <w:tab/>
            </w:r>
            <w:r>
              <w:rPr>
                <w:webHidden/>
              </w:rPr>
              <w:fldChar w:fldCharType="begin"/>
            </w:r>
            <w:r>
              <w:rPr>
                <w:webHidden/>
              </w:rPr>
              <w:instrText xml:space="preserve"> PAGEREF _Toc487018261 \h </w:instrText>
            </w:r>
            <w:r>
              <w:rPr>
                <w:webHidden/>
              </w:rPr>
            </w:r>
            <w:r>
              <w:rPr>
                <w:webHidden/>
              </w:rPr>
              <w:fldChar w:fldCharType="separate"/>
            </w:r>
            <w:r w:rsidR="00971C32">
              <w:rPr>
                <w:webHidden/>
              </w:rPr>
              <w:t>9</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62" w:history="1">
            <w:r w:rsidRPr="00D03879">
              <w:rPr>
                <w:rStyle w:val="Hyperlink"/>
              </w:rPr>
              <w:t>2</w:t>
            </w:r>
            <w:r>
              <w:rPr>
                <w:rFonts w:asciiTheme="minorHAnsi" w:eastAsiaTheme="minorEastAsia" w:hAnsiTheme="minorHAnsi"/>
                <w:b w:val="0"/>
                <w:color w:val="auto"/>
                <w:sz w:val="22"/>
                <w:lang w:val="en-AU" w:eastAsia="en-AU"/>
              </w:rPr>
              <w:tab/>
            </w:r>
            <w:r w:rsidRPr="00D03879">
              <w:rPr>
                <w:rStyle w:val="Hyperlink"/>
              </w:rPr>
              <w:t>Draft decision</w:t>
            </w:r>
            <w:r>
              <w:rPr>
                <w:webHidden/>
              </w:rPr>
              <w:tab/>
            </w:r>
            <w:r>
              <w:rPr>
                <w:webHidden/>
              </w:rPr>
              <w:fldChar w:fldCharType="begin"/>
            </w:r>
            <w:r>
              <w:rPr>
                <w:webHidden/>
              </w:rPr>
              <w:instrText xml:space="preserve"> PAGEREF _Toc487018262 \h </w:instrText>
            </w:r>
            <w:r>
              <w:rPr>
                <w:webHidden/>
              </w:rPr>
            </w:r>
            <w:r>
              <w:rPr>
                <w:webHidden/>
              </w:rPr>
              <w:fldChar w:fldCharType="separate"/>
            </w:r>
            <w:r w:rsidR="00971C32">
              <w:rPr>
                <w:webHidden/>
              </w:rPr>
              <w:t>10</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3" w:history="1">
            <w:r w:rsidRPr="00D03879">
              <w:rPr>
                <w:rStyle w:val="Hyperlink"/>
              </w:rPr>
              <w:t>2.1</w:t>
            </w:r>
            <w:r>
              <w:rPr>
                <w:rFonts w:asciiTheme="minorHAnsi" w:eastAsiaTheme="minorEastAsia" w:hAnsiTheme="minorHAnsi"/>
                <w:b w:val="0"/>
                <w:color w:val="auto"/>
                <w:sz w:val="22"/>
                <w:lang w:eastAsia="en-AU"/>
              </w:rPr>
              <w:tab/>
            </w:r>
            <w:r w:rsidRPr="00D03879">
              <w:rPr>
                <w:rStyle w:val="Hyperlink"/>
              </w:rPr>
              <w:t>What is driving proposed revenue?</w:t>
            </w:r>
            <w:r>
              <w:rPr>
                <w:webHidden/>
              </w:rPr>
              <w:tab/>
            </w:r>
            <w:r>
              <w:rPr>
                <w:webHidden/>
              </w:rPr>
              <w:fldChar w:fldCharType="begin"/>
            </w:r>
            <w:r>
              <w:rPr>
                <w:webHidden/>
              </w:rPr>
              <w:instrText xml:space="preserve"> PAGEREF _Toc487018263 \h </w:instrText>
            </w:r>
            <w:r>
              <w:rPr>
                <w:webHidden/>
              </w:rPr>
            </w:r>
            <w:r>
              <w:rPr>
                <w:webHidden/>
              </w:rPr>
              <w:fldChar w:fldCharType="separate"/>
            </w:r>
            <w:r w:rsidR="00971C32">
              <w:rPr>
                <w:webHidden/>
              </w:rPr>
              <w:t>10</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4" w:history="1">
            <w:r w:rsidRPr="00D03879">
              <w:rPr>
                <w:rStyle w:val="Hyperlink"/>
              </w:rPr>
              <w:t>2.2</w:t>
            </w:r>
            <w:r>
              <w:rPr>
                <w:rFonts w:asciiTheme="minorHAnsi" w:eastAsiaTheme="minorEastAsia" w:hAnsiTheme="minorHAnsi"/>
                <w:b w:val="0"/>
                <w:color w:val="auto"/>
                <w:sz w:val="22"/>
                <w:lang w:eastAsia="en-AU"/>
              </w:rPr>
              <w:tab/>
            </w:r>
            <w:r w:rsidRPr="00D03879">
              <w:rPr>
                <w:rStyle w:val="Hyperlink"/>
              </w:rPr>
              <w:t>Key differences between our draft decision and APA's proposal</w:t>
            </w:r>
            <w:r>
              <w:rPr>
                <w:webHidden/>
              </w:rPr>
              <w:tab/>
            </w:r>
            <w:r>
              <w:rPr>
                <w:webHidden/>
              </w:rPr>
              <w:fldChar w:fldCharType="begin"/>
            </w:r>
            <w:r>
              <w:rPr>
                <w:webHidden/>
              </w:rPr>
              <w:instrText xml:space="preserve"> PAGEREF _Toc487018264 \h </w:instrText>
            </w:r>
            <w:r>
              <w:rPr>
                <w:webHidden/>
              </w:rPr>
            </w:r>
            <w:r>
              <w:rPr>
                <w:webHidden/>
              </w:rPr>
              <w:fldChar w:fldCharType="separate"/>
            </w:r>
            <w:r w:rsidR="00971C32">
              <w:rPr>
                <w:webHidden/>
              </w:rPr>
              <w:t>12</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5" w:history="1">
            <w:r w:rsidRPr="00D03879">
              <w:rPr>
                <w:rStyle w:val="Hyperlink"/>
              </w:rPr>
              <w:t>2.3</w:t>
            </w:r>
            <w:r>
              <w:rPr>
                <w:rFonts w:asciiTheme="minorHAnsi" w:eastAsiaTheme="minorEastAsia" w:hAnsiTheme="minorHAnsi"/>
                <w:b w:val="0"/>
                <w:color w:val="auto"/>
                <w:sz w:val="22"/>
                <w:lang w:eastAsia="en-AU"/>
              </w:rPr>
              <w:tab/>
            </w:r>
            <w:r w:rsidRPr="00D03879">
              <w:rPr>
                <w:rStyle w:val="Hyperlink"/>
              </w:rPr>
              <w:t>Impact of our draft decision on gas bills</w:t>
            </w:r>
            <w:r>
              <w:rPr>
                <w:webHidden/>
              </w:rPr>
              <w:tab/>
            </w:r>
            <w:r>
              <w:rPr>
                <w:webHidden/>
              </w:rPr>
              <w:fldChar w:fldCharType="begin"/>
            </w:r>
            <w:r>
              <w:rPr>
                <w:webHidden/>
              </w:rPr>
              <w:instrText xml:space="preserve"> PAGEREF _Toc487018265 \h </w:instrText>
            </w:r>
            <w:r>
              <w:rPr>
                <w:webHidden/>
              </w:rPr>
            </w:r>
            <w:r>
              <w:rPr>
                <w:webHidden/>
              </w:rPr>
              <w:fldChar w:fldCharType="separate"/>
            </w:r>
            <w:r w:rsidR="00971C32">
              <w:rPr>
                <w:webHidden/>
              </w:rPr>
              <w:t>13</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66" w:history="1">
            <w:r w:rsidRPr="00D03879">
              <w:rPr>
                <w:rStyle w:val="Hyperlink"/>
              </w:rPr>
              <w:t>3</w:t>
            </w:r>
            <w:r>
              <w:rPr>
                <w:rFonts w:asciiTheme="minorHAnsi" w:eastAsiaTheme="minorEastAsia" w:hAnsiTheme="minorHAnsi"/>
                <w:b w:val="0"/>
                <w:color w:val="auto"/>
                <w:sz w:val="22"/>
                <w:lang w:val="en-AU" w:eastAsia="en-AU"/>
              </w:rPr>
              <w:tab/>
            </w:r>
            <w:r w:rsidRPr="00D03879">
              <w:rPr>
                <w:rStyle w:val="Hyperlink"/>
              </w:rPr>
              <w:t>Reference tariffs, demand and efficiency benefit sharing mechanism</w:t>
            </w:r>
            <w:r>
              <w:rPr>
                <w:webHidden/>
              </w:rPr>
              <w:tab/>
            </w:r>
            <w:r>
              <w:rPr>
                <w:webHidden/>
              </w:rPr>
              <w:fldChar w:fldCharType="begin"/>
            </w:r>
            <w:r>
              <w:rPr>
                <w:webHidden/>
              </w:rPr>
              <w:instrText xml:space="preserve"> PAGEREF _Toc487018266 \h </w:instrText>
            </w:r>
            <w:r>
              <w:rPr>
                <w:webHidden/>
              </w:rPr>
            </w:r>
            <w:r>
              <w:rPr>
                <w:webHidden/>
              </w:rPr>
              <w:fldChar w:fldCharType="separate"/>
            </w:r>
            <w:r w:rsidR="00971C32">
              <w:rPr>
                <w:webHidden/>
              </w:rPr>
              <w:t>16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7" w:history="1">
            <w:r w:rsidRPr="00D03879">
              <w:rPr>
                <w:rStyle w:val="Hyperlink"/>
              </w:rPr>
              <w:t>3.1</w:t>
            </w:r>
            <w:r>
              <w:rPr>
                <w:rFonts w:asciiTheme="minorHAnsi" w:eastAsiaTheme="minorEastAsia" w:hAnsiTheme="minorHAnsi"/>
                <w:b w:val="0"/>
                <w:color w:val="auto"/>
                <w:sz w:val="22"/>
                <w:lang w:eastAsia="en-AU"/>
              </w:rPr>
              <w:tab/>
            </w:r>
            <w:r w:rsidRPr="00D03879">
              <w:rPr>
                <w:rStyle w:val="Hyperlink"/>
              </w:rPr>
              <w:t>Services covered by the access arrangement</w:t>
            </w:r>
            <w:r>
              <w:rPr>
                <w:webHidden/>
              </w:rPr>
              <w:tab/>
            </w:r>
            <w:r>
              <w:rPr>
                <w:webHidden/>
              </w:rPr>
              <w:fldChar w:fldCharType="begin"/>
            </w:r>
            <w:r>
              <w:rPr>
                <w:webHidden/>
              </w:rPr>
              <w:instrText xml:space="preserve"> PAGEREF _Toc487018267 \h </w:instrText>
            </w:r>
            <w:r>
              <w:rPr>
                <w:webHidden/>
              </w:rPr>
            </w:r>
            <w:r>
              <w:rPr>
                <w:webHidden/>
              </w:rPr>
              <w:fldChar w:fldCharType="separate"/>
            </w:r>
            <w:r w:rsidR="00971C32">
              <w:rPr>
                <w:webHidden/>
              </w:rPr>
              <w:t>16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8" w:history="1">
            <w:r w:rsidRPr="00D03879">
              <w:rPr>
                <w:rStyle w:val="Hyperlink"/>
              </w:rPr>
              <w:t>3.2</w:t>
            </w:r>
            <w:r>
              <w:rPr>
                <w:rFonts w:asciiTheme="minorHAnsi" w:eastAsiaTheme="minorEastAsia" w:hAnsiTheme="minorHAnsi"/>
                <w:b w:val="0"/>
                <w:color w:val="auto"/>
                <w:sz w:val="22"/>
                <w:lang w:eastAsia="en-AU"/>
              </w:rPr>
              <w:tab/>
            </w:r>
            <w:r w:rsidRPr="00D03879">
              <w:rPr>
                <w:rStyle w:val="Hyperlink"/>
              </w:rPr>
              <w:t>Reference tariff setting and the reference tariff variation mechanism</w:t>
            </w:r>
            <w:r>
              <w:rPr>
                <w:webHidden/>
              </w:rPr>
              <w:tab/>
            </w:r>
            <w:r>
              <w:rPr>
                <w:webHidden/>
              </w:rPr>
              <w:fldChar w:fldCharType="begin"/>
            </w:r>
            <w:r>
              <w:rPr>
                <w:webHidden/>
              </w:rPr>
              <w:instrText xml:space="preserve"> PAGEREF _Toc487018268 \h </w:instrText>
            </w:r>
            <w:r>
              <w:rPr>
                <w:webHidden/>
              </w:rPr>
            </w:r>
            <w:r>
              <w:rPr>
                <w:webHidden/>
              </w:rPr>
              <w:fldChar w:fldCharType="separate"/>
            </w:r>
            <w:r w:rsidR="00971C32">
              <w:rPr>
                <w:webHidden/>
              </w:rPr>
              <w:t>16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69" w:history="1">
            <w:r w:rsidRPr="00D03879">
              <w:rPr>
                <w:rStyle w:val="Hyperlink"/>
              </w:rPr>
              <w:t>3.3</w:t>
            </w:r>
            <w:r>
              <w:rPr>
                <w:rFonts w:asciiTheme="minorHAnsi" w:eastAsiaTheme="minorEastAsia" w:hAnsiTheme="minorHAnsi"/>
                <w:b w:val="0"/>
                <w:color w:val="auto"/>
                <w:sz w:val="22"/>
                <w:lang w:eastAsia="en-AU"/>
              </w:rPr>
              <w:tab/>
            </w:r>
            <w:r w:rsidRPr="00D03879">
              <w:rPr>
                <w:rStyle w:val="Hyperlink"/>
              </w:rPr>
              <w:t>Forecast Demand</w:t>
            </w:r>
            <w:r>
              <w:rPr>
                <w:webHidden/>
              </w:rPr>
              <w:tab/>
            </w:r>
            <w:r>
              <w:rPr>
                <w:webHidden/>
              </w:rPr>
              <w:fldChar w:fldCharType="begin"/>
            </w:r>
            <w:r>
              <w:rPr>
                <w:webHidden/>
              </w:rPr>
              <w:instrText xml:space="preserve"> PAGEREF _Toc487018269 \h </w:instrText>
            </w:r>
            <w:r>
              <w:rPr>
                <w:webHidden/>
              </w:rPr>
            </w:r>
            <w:r>
              <w:rPr>
                <w:webHidden/>
              </w:rPr>
              <w:fldChar w:fldCharType="separate"/>
            </w:r>
            <w:r w:rsidR="00971C32">
              <w:rPr>
                <w:webHidden/>
              </w:rPr>
              <w:t>17</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70" w:history="1">
            <w:r w:rsidRPr="00D03879">
              <w:rPr>
                <w:rStyle w:val="Hyperlink"/>
              </w:rPr>
              <w:t>4</w:t>
            </w:r>
            <w:r>
              <w:rPr>
                <w:rFonts w:asciiTheme="minorHAnsi" w:eastAsiaTheme="minorEastAsia" w:hAnsiTheme="minorHAnsi"/>
                <w:b w:val="0"/>
                <w:color w:val="auto"/>
                <w:sz w:val="22"/>
                <w:lang w:val="en-AU" w:eastAsia="en-AU"/>
              </w:rPr>
              <w:tab/>
            </w:r>
            <w:r w:rsidRPr="00D03879">
              <w:rPr>
                <w:rStyle w:val="Hyperlink"/>
              </w:rPr>
              <w:t>Total revenue requirement</w:t>
            </w:r>
            <w:r>
              <w:rPr>
                <w:webHidden/>
              </w:rPr>
              <w:tab/>
            </w:r>
            <w:r>
              <w:rPr>
                <w:webHidden/>
              </w:rPr>
              <w:fldChar w:fldCharType="begin"/>
            </w:r>
            <w:r>
              <w:rPr>
                <w:webHidden/>
              </w:rPr>
              <w:instrText xml:space="preserve"> PAGEREF _Toc487018270 \h </w:instrText>
            </w:r>
            <w:r>
              <w:rPr>
                <w:webHidden/>
              </w:rPr>
            </w:r>
            <w:r>
              <w:rPr>
                <w:webHidden/>
              </w:rPr>
              <w:fldChar w:fldCharType="separate"/>
            </w:r>
            <w:r w:rsidR="00971C32">
              <w:rPr>
                <w:webHidden/>
              </w:rPr>
              <w:t>19</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1" w:history="1">
            <w:r w:rsidRPr="00D03879">
              <w:rPr>
                <w:rStyle w:val="Hyperlink"/>
              </w:rPr>
              <w:t>4.1</w:t>
            </w:r>
            <w:r>
              <w:rPr>
                <w:rFonts w:asciiTheme="minorHAnsi" w:eastAsiaTheme="minorEastAsia" w:hAnsiTheme="minorHAnsi"/>
                <w:b w:val="0"/>
                <w:color w:val="auto"/>
                <w:sz w:val="22"/>
                <w:lang w:eastAsia="en-AU"/>
              </w:rPr>
              <w:tab/>
            </w:r>
            <w:r w:rsidRPr="00D03879">
              <w:rPr>
                <w:rStyle w:val="Hyperlink"/>
              </w:rPr>
              <w:t>The building block approach</w:t>
            </w:r>
            <w:r>
              <w:rPr>
                <w:webHidden/>
              </w:rPr>
              <w:tab/>
            </w:r>
            <w:r>
              <w:rPr>
                <w:webHidden/>
              </w:rPr>
              <w:fldChar w:fldCharType="begin"/>
            </w:r>
            <w:r>
              <w:rPr>
                <w:webHidden/>
              </w:rPr>
              <w:instrText xml:space="preserve"> PAGEREF _Toc487018271 \h </w:instrText>
            </w:r>
            <w:r>
              <w:rPr>
                <w:webHidden/>
              </w:rPr>
            </w:r>
            <w:r>
              <w:rPr>
                <w:webHidden/>
              </w:rPr>
              <w:fldChar w:fldCharType="separate"/>
            </w:r>
            <w:r w:rsidR="00971C32">
              <w:rPr>
                <w:webHidden/>
              </w:rPr>
              <w:t>19</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2" w:history="1">
            <w:r w:rsidRPr="00D03879">
              <w:rPr>
                <w:rStyle w:val="Hyperlink"/>
              </w:rPr>
              <w:t>4.2</w:t>
            </w:r>
            <w:r>
              <w:rPr>
                <w:rFonts w:asciiTheme="minorHAnsi" w:eastAsiaTheme="minorEastAsia" w:hAnsiTheme="minorHAnsi"/>
                <w:b w:val="0"/>
                <w:color w:val="auto"/>
                <w:sz w:val="22"/>
                <w:lang w:eastAsia="en-AU"/>
              </w:rPr>
              <w:tab/>
            </w:r>
            <w:r w:rsidRPr="00D03879">
              <w:rPr>
                <w:rStyle w:val="Hyperlink"/>
              </w:rPr>
              <w:t>Draft decision</w:t>
            </w:r>
            <w:r>
              <w:rPr>
                <w:webHidden/>
              </w:rPr>
              <w:tab/>
            </w:r>
            <w:r>
              <w:rPr>
                <w:webHidden/>
              </w:rPr>
              <w:fldChar w:fldCharType="begin"/>
            </w:r>
            <w:r>
              <w:rPr>
                <w:webHidden/>
              </w:rPr>
              <w:instrText xml:space="preserve"> PAGEREF _Toc487018272 \h </w:instrText>
            </w:r>
            <w:r>
              <w:rPr>
                <w:webHidden/>
              </w:rPr>
            </w:r>
            <w:r>
              <w:rPr>
                <w:webHidden/>
              </w:rPr>
              <w:fldChar w:fldCharType="separate"/>
            </w:r>
            <w:r w:rsidR="00971C32">
              <w:rPr>
                <w:webHidden/>
              </w:rPr>
              <w:t>20</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3" w:history="1">
            <w:r w:rsidRPr="00D03879">
              <w:rPr>
                <w:rStyle w:val="Hyperlink"/>
              </w:rPr>
              <w:t>4.3</w:t>
            </w:r>
            <w:r>
              <w:rPr>
                <w:rFonts w:asciiTheme="minorHAnsi" w:eastAsiaTheme="minorEastAsia" w:hAnsiTheme="minorHAnsi"/>
                <w:b w:val="0"/>
                <w:color w:val="auto"/>
                <w:sz w:val="22"/>
                <w:lang w:eastAsia="en-AU"/>
              </w:rPr>
              <w:tab/>
            </w:r>
            <w:r w:rsidRPr="00D03879">
              <w:rPr>
                <w:rStyle w:val="Hyperlink"/>
              </w:rPr>
              <w:t>Total revenue</w:t>
            </w:r>
            <w:r>
              <w:rPr>
                <w:webHidden/>
              </w:rPr>
              <w:tab/>
            </w:r>
            <w:r>
              <w:rPr>
                <w:webHidden/>
              </w:rPr>
              <w:fldChar w:fldCharType="begin"/>
            </w:r>
            <w:r>
              <w:rPr>
                <w:webHidden/>
              </w:rPr>
              <w:instrText xml:space="preserve"> PAGEREF _Toc487018273 \h </w:instrText>
            </w:r>
            <w:r>
              <w:rPr>
                <w:webHidden/>
              </w:rPr>
            </w:r>
            <w:r>
              <w:rPr>
                <w:webHidden/>
              </w:rPr>
              <w:fldChar w:fldCharType="separate"/>
            </w:r>
            <w:r w:rsidR="00971C32">
              <w:rPr>
                <w:webHidden/>
              </w:rPr>
              <w:t>21</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4" w:history="1">
            <w:r w:rsidRPr="00D03879">
              <w:rPr>
                <w:rStyle w:val="Hyperlink"/>
              </w:rPr>
              <w:t>4.4</w:t>
            </w:r>
            <w:r>
              <w:rPr>
                <w:rFonts w:asciiTheme="minorHAnsi" w:eastAsiaTheme="minorEastAsia" w:hAnsiTheme="minorHAnsi"/>
                <w:b w:val="0"/>
                <w:color w:val="auto"/>
                <w:sz w:val="22"/>
                <w:lang w:eastAsia="en-AU"/>
              </w:rPr>
              <w:tab/>
            </w:r>
            <w:r w:rsidRPr="00D03879">
              <w:rPr>
                <w:rStyle w:val="Hyperlink"/>
              </w:rPr>
              <w:t>Revenue smoothing and tariffs</w:t>
            </w:r>
            <w:r>
              <w:rPr>
                <w:webHidden/>
              </w:rPr>
              <w:tab/>
            </w:r>
            <w:r>
              <w:rPr>
                <w:webHidden/>
              </w:rPr>
              <w:fldChar w:fldCharType="begin"/>
            </w:r>
            <w:r>
              <w:rPr>
                <w:webHidden/>
              </w:rPr>
              <w:instrText xml:space="preserve"> PAGEREF _Toc487018274 \h </w:instrText>
            </w:r>
            <w:r>
              <w:rPr>
                <w:webHidden/>
              </w:rPr>
            </w:r>
            <w:r>
              <w:rPr>
                <w:webHidden/>
              </w:rPr>
              <w:fldChar w:fldCharType="separate"/>
            </w:r>
            <w:r w:rsidR="00971C32">
              <w:rPr>
                <w:webHidden/>
              </w:rPr>
              <w:t>22</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75" w:history="1">
            <w:r w:rsidRPr="00D03879">
              <w:rPr>
                <w:rStyle w:val="Hyperlink"/>
              </w:rPr>
              <w:t>5</w:t>
            </w:r>
            <w:r>
              <w:rPr>
                <w:rFonts w:asciiTheme="minorHAnsi" w:eastAsiaTheme="minorEastAsia" w:hAnsiTheme="minorHAnsi"/>
                <w:b w:val="0"/>
                <w:color w:val="auto"/>
                <w:sz w:val="22"/>
                <w:lang w:val="en-AU" w:eastAsia="en-AU"/>
              </w:rPr>
              <w:tab/>
            </w:r>
            <w:r w:rsidRPr="00D03879">
              <w:rPr>
                <w:rStyle w:val="Hyperlink"/>
              </w:rPr>
              <w:t>Key elements of decision on revenue</w:t>
            </w:r>
            <w:r>
              <w:rPr>
                <w:webHidden/>
              </w:rPr>
              <w:tab/>
            </w:r>
            <w:r>
              <w:rPr>
                <w:webHidden/>
              </w:rPr>
              <w:fldChar w:fldCharType="begin"/>
            </w:r>
            <w:r>
              <w:rPr>
                <w:webHidden/>
              </w:rPr>
              <w:instrText xml:space="preserve"> PAGEREF _Toc487018275 \h </w:instrText>
            </w:r>
            <w:r>
              <w:rPr>
                <w:webHidden/>
              </w:rPr>
            </w:r>
            <w:r>
              <w:rPr>
                <w:webHidden/>
              </w:rPr>
              <w:fldChar w:fldCharType="separate"/>
            </w:r>
            <w:r w:rsidR="00971C32">
              <w:rPr>
                <w:webHidden/>
              </w:rPr>
              <w:t>26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6" w:history="1">
            <w:r w:rsidRPr="00D03879">
              <w:rPr>
                <w:rStyle w:val="Hyperlink"/>
              </w:rPr>
              <w:t>5.1</w:t>
            </w:r>
            <w:r>
              <w:rPr>
                <w:rFonts w:asciiTheme="minorHAnsi" w:eastAsiaTheme="minorEastAsia" w:hAnsiTheme="minorHAnsi"/>
                <w:b w:val="0"/>
                <w:color w:val="auto"/>
                <w:sz w:val="22"/>
                <w:lang w:eastAsia="en-AU"/>
              </w:rPr>
              <w:tab/>
            </w:r>
            <w:r w:rsidRPr="00D03879">
              <w:rPr>
                <w:rStyle w:val="Hyperlink"/>
              </w:rPr>
              <w:t>Capital base</w:t>
            </w:r>
            <w:r>
              <w:rPr>
                <w:webHidden/>
              </w:rPr>
              <w:tab/>
            </w:r>
            <w:r>
              <w:rPr>
                <w:webHidden/>
              </w:rPr>
              <w:fldChar w:fldCharType="begin"/>
            </w:r>
            <w:r>
              <w:rPr>
                <w:webHidden/>
              </w:rPr>
              <w:instrText xml:space="preserve"> PAGEREF _Toc487018276 \h </w:instrText>
            </w:r>
            <w:r>
              <w:rPr>
                <w:webHidden/>
              </w:rPr>
            </w:r>
            <w:r>
              <w:rPr>
                <w:webHidden/>
              </w:rPr>
              <w:fldChar w:fldCharType="separate"/>
            </w:r>
            <w:r w:rsidR="00971C32">
              <w:rPr>
                <w:webHidden/>
              </w:rPr>
              <w:t>26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7" w:history="1">
            <w:r w:rsidRPr="00D03879">
              <w:rPr>
                <w:rStyle w:val="Hyperlink"/>
              </w:rPr>
              <w:t>5.2</w:t>
            </w:r>
            <w:r>
              <w:rPr>
                <w:rFonts w:asciiTheme="minorHAnsi" w:eastAsiaTheme="minorEastAsia" w:hAnsiTheme="minorHAnsi"/>
                <w:b w:val="0"/>
                <w:color w:val="auto"/>
                <w:sz w:val="22"/>
                <w:lang w:eastAsia="en-AU"/>
              </w:rPr>
              <w:tab/>
            </w:r>
            <w:r w:rsidRPr="00D03879">
              <w:rPr>
                <w:rStyle w:val="Hyperlink"/>
              </w:rPr>
              <w:t>Rate of return (return on capital)</w:t>
            </w:r>
            <w:r>
              <w:rPr>
                <w:webHidden/>
              </w:rPr>
              <w:tab/>
            </w:r>
            <w:r>
              <w:rPr>
                <w:webHidden/>
              </w:rPr>
              <w:fldChar w:fldCharType="begin"/>
            </w:r>
            <w:r>
              <w:rPr>
                <w:webHidden/>
              </w:rPr>
              <w:instrText xml:space="preserve"> PAGEREF _Toc487018277 \h </w:instrText>
            </w:r>
            <w:r>
              <w:rPr>
                <w:webHidden/>
              </w:rPr>
            </w:r>
            <w:r>
              <w:rPr>
                <w:webHidden/>
              </w:rPr>
              <w:fldChar w:fldCharType="separate"/>
            </w:r>
            <w:r w:rsidR="00971C32">
              <w:rPr>
                <w:webHidden/>
              </w:rPr>
              <w:t>28</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8" w:history="1">
            <w:r w:rsidRPr="00D03879">
              <w:rPr>
                <w:rStyle w:val="Hyperlink"/>
              </w:rPr>
              <w:t>5.3</w:t>
            </w:r>
            <w:r>
              <w:rPr>
                <w:rFonts w:asciiTheme="minorHAnsi" w:eastAsiaTheme="minorEastAsia" w:hAnsiTheme="minorHAnsi"/>
                <w:b w:val="0"/>
                <w:color w:val="auto"/>
                <w:sz w:val="22"/>
                <w:lang w:eastAsia="en-AU"/>
              </w:rPr>
              <w:tab/>
            </w:r>
            <w:r w:rsidRPr="00D03879">
              <w:rPr>
                <w:rStyle w:val="Hyperlink"/>
              </w:rPr>
              <w:t>Value of imputation credits (gamma)</w:t>
            </w:r>
            <w:r>
              <w:rPr>
                <w:webHidden/>
              </w:rPr>
              <w:tab/>
            </w:r>
            <w:r>
              <w:rPr>
                <w:webHidden/>
              </w:rPr>
              <w:fldChar w:fldCharType="begin"/>
            </w:r>
            <w:r>
              <w:rPr>
                <w:webHidden/>
              </w:rPr>
              <w:instrText xml:space="preserve"> PAGEREF _Toc487018278 \h </w:instrText>
            </w:r>
            <w:r>
              <w:rPr>
                <w:webHidden/>
              </w:rPr>
            </w:r>
            <w:r>
              <w:rPr>
                <w:webHidden/>
              </w:rPr>
              <w:fldChar w:fldCharType="separate"/>
            </w:r>
            <w:r w:rsidR="00971C32">
              <w:rPr>
                <w:webHidden/>
              </w:rPr>
              <w:t>32</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79" w:history="1">
            <w:r w:rsidRPr="00D03879">
              <w:rPr>
                <w:rStyle w:val="Hyperlink"/>
              </w:rPr>
              <w:t>5.4</w:t>
            </w:r>
            <w:r>
              <w:rPr>
                <w:rFonts w:asciiTheme="minorHAnsi" w:eastAsiaTheme="minorEastAsia" w:hAnsiTheme="minorHAnsi"/>
                <w:b w:val="0"/>
                <w:color w:val="auto"/>
                <w:sz w:val="22"/>
                <w:lang w:eastAsia="en-AU"/>
              </w:rPr>
              <w:tab/>
            </w:r>
            <w:r w:rsidRPr="00D03879">
              <w:rPr>
                <w:rStyle w:val="Hyperlink"/>
              </w:rPr>
              <w:t>Regulatory depreciation (return of capital)</w:t>
            </w:r>
            <w:r>
              <w:rPr>
                <w:webHidden/>
              </w:rPr>
              <w:tab/>
            </w:r>
            <w:r>
              <w:rPr>
                <w:webHidden/>
              </w:rPr>
              <w:fldChar w:fldCharType="begin"/>
            </w:r>
            <w:r>
              <w:rPr>
                <w:webHidden/>
              </w:rPr>
              <w:instrText xml:space="preserve"> PAGEREF _Toc487018279 \h </w:instrText>
            </w:r>
            <w:r>
              <w:rPr>
                <w:webHidden/>
              </w:rPr>
            </w:r>
            <w:r>
              <w:rPr>
                <w:webHidden/>
              </w:rPr>
              <w:fldChar w:fldCharType="separate"/>
            </w:r>
            <w:r w:rsidR="00971C32">
              <w:rPr>
                <w:webHidden/>
              </w:rPr>
              <w:t>34</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80" w:history="1">
            <w:r w:rsidRPr="00D03879">
              <w:rPr>
                <w:rStyle w:val="Hyperlink"/>
              </w:rPr>
              <w:t>5.5</w:t>
            </w:r>
            <w:r>
              <w:rPr>
                <w:rFonts w:asciiTheme="minorHAnsi" w:eastAsiaTheme="minorEastAsia" w:hAnsiTheme="minorHAnsi"/>
                <w:b w:val="0"/>
                <w:color w:val="auto"/>
                <w:sz w:val="22"/>
                <w:lang w:eastAsia="en-AU"/>
              </w:rPr>
              <w:tab/>
            </w:r>
            <w:r w:rsidRPr="00D03879">
              <w:rPr>
                <w:rStyle w:val="Hyperlink"/>
              </w:rPr>
              <w:t>Capital expenditure</w:t>
            </w:r>
            <w:r>
              <w:rPr>
                <w:webHidden/>
              </w:rPr>
              <w:tab/>
            </w:r>
            <w:r>
              <w:rPr>
                <w:webHidden/>
              </w:rPr>
              <w:fldChar w:fldCharType="begin"/>
            </w:r>
            <w:r>
              <w:rPr>
                <w:webHidden/>
              </w:rPr>
              <w:instrText xml:space="preserve"> PAGEREF _Toc487018280 \h </w:instrText>
            </w:r>
            <w:r>
              <w:rPr>
                <w:webHidden/>
              </w:rPr>
            </w:r>
            <w:r>
              <w:rPr>
                <w:webHidden/>
              </w:rPr>
              <w:fldChar w:fldCharType="separate"/>
            </w:r>
            <w:r w:rsidR="00971C32">
              <w:rPr>
                <w:webHidden/>
              </w:rPr>
              <w:t>35</w:t>
            </w:r>
            <w:r>
              <w:rPr>
                <w:webHidden/>
              </w:rPr>
              <w:fldChar w:fldCharType="end"/>
            </w:r>
          </w:hyperlink>
        </w:p>
        <w:p w:rsidR="00B23A98" w:rsidRDefault="00B23A98">
          <w:pPr>
            <w:pStyle w:val="TOC3"/>
            <w:rPr>
              <w:rFonts w:asciiTheme="minorHAnsi" w:eastAsiaTheme="minorEastAsia" w:hAnsiTheme="minorHAnsi"/>
              <w:lang w:eastAsia="en-AU"/>
            </w:rPr>
          </w:pPr>
          <w:hyperlink w:anchor="_Toc487018281" w:history="1">
            <w:r w:rsidRPr="00D03879">
              <w:rPr>
                <w:rStyle w:val="Hyperlink"/>
              </w:rPr>
              <w:t>5.5.1</w:t>
            </w:r>
            <w:r>
              <w:rPr>
                <w:rFonts w:asciiTheme="minorHAnsi" w:eastAsiaTheme="minorEastAsia" w:hAnsiTheme="minorHAnsi"/>
                <w:lang w:eastAsia="en-AU"/>
              </w:rPr>
              <w:tab/>
            </w:r>
            <w:r w:rsidRPr="00D03879">
              <w:rPr>
                <w:rStyle w:val="Hyperlink"/>
              </w:rPr>
              <w:t>Conforming capex for 2013–17</w:t>
            </w:r>
            <w:r>
              <w:rPr>
                <w:webHidden/>
              </w:rPr>
              <w:tab/>
            </w:r>
            <w:r>
              <w:rPr>
                <w:webHidden/>
              </w:rPr>
              <w:fldChar w:fldCharType="begin"/>
            </w:r>
            <w:r>
              <w:rPr>
                <w:webHidden/>
              </w:rPr>
              <w:instrText xml:space="preserve"> PAGEREF _Toc487018281 \h </w:instrText>
            </w:r>
            <w:r>
              <w:rPr>
                <w:webHidden/>
              </w:rPr>
            </w:r>
            <w:r>
              <w:rPr>
                <w:webHidden/>
              </w:rPr>
              <w:fldChar w:fldCharType="separate"/>
            </w:r>
            <w:r w:rsidR="00971C32">
              <w:rPr>
                <w:webHidden/>
              </w:rPr>
              <w:t>36</w:t>
            </w:r>
            <w:r>
              <w:rPr>
                <w:webHidden/>
              </w:rPr>
              <w:fldChar w:fldCharType="end"/>
            </w:r>
          </w:hyperlink>
        </w:p>
        <w:p w:rsidR="00B23A98" w:rsidRDefault="00B23A98">
          <w:pPr>
            <w:pStyle w:val="TOC3"/>
            <w:rPr>
              <w:rFonts w:asciiTheme="minorHAnsi" w:eastAsiaTheme="minorEastAsia" w:hAnsiTheme="minorHAnsi"/>
              <w:lang w:eastAsia="en-AU"/>
            </w:rPr>
          </w:pPr>
          <w:hyperlink w:anchor="_Toc487018282" w:history="1">
            <w:r w:rsidRPr="00D03879">
              <w:rPr>
                <w:rStyle w:val="Hyperlink"/>
              </w:rPr>
              <w:t>5.5.2</w:t>
            </w:r>
            <w:r>
              <w:rPr>
                <w:rFonts w:asciiTheme="minorHAnsi" w:eastAsiaTheme="minorEastAsia" w:hAnsiTheme="minorHAnsi"/>
                <w:lang w:eastAsia="en-AU"/>
              </w:rPr>
              <w:tab/>
            </w:r>
            <w:r w:rsidRPr="00D03879">
              <w:rPr>
                <w:rStyle w:val="Hyperlink"/>
              </w:rPr>
              <w:t>Conforming capex for the 2018–22 access arrangement period</w:t>
            </w:r>
            <w:r>
              <w:rPr>
                <w:webHidden/>
              </w:rPr>
              <w:tab/>
            </w:r>
            <w:r>
              <w:rPr>
                <w:webHidden/>
              </w:rPr>
              <w:fldChar w:fldCharType="begin"/>
            </w:r>
            <w:r>
              <w:rPr>
                <w:webHidden/>
              </w:rPr>
              <w:instrText xml:space="preserve"> PAGEREF _Toc487018282 \h </w:instrText>
            </w:r>
            <w:r>
              <w:rPr>
                <w:webHidden/>
              </w:rPr>
            </w:r>
            <w:r>
              <w:rPr>
                <w:webHidden/>
              </w:rPr>
              <w:fldChar w:fldCharType="separate"/>
            </w:r>
            <w:r w:rsidR="00971C32">
              <w:rPr>
                <w:webHidden/>
              </w:rPr>
              <w:t>37</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83" w:history="1">
            <w:r w:rsidRPr="00D03879">
              <w:rPr>
                <w:rStyle w:val="Hyperlink"/>
              </w:rPr>
              <w:t>5.6</w:t>
            </w:r>
            <w:r>
              <w:rPr>
                <w:rFonts w:asciiTheme="minorHAnsi" w:eastAsiaTheme="minorEastAsia" w:hAnsiTheme="minorHAnsi"/>
                <w:b w:val="0"/>
                <w:color w:val="auto"/>
                <w:sz w:val="22"/>
                <w:lang w:eastAsia="en-AU"/>
              </w:rPr>
              <w:tab/>
            </w:r>
            <w:r w:rsidRPr="00D03879">
              <w:rPr>
                <w:rStyle w:val="Hyperlink"/>
              </w:rPr>
              <w:t>Operating expenditure</w:t>
            </w:r>
            <w:r>
              <w:rPr>
                <w:webHidden/>
              </w:rPr>
              <w:tab/>
            </w:r>
            <w:r>
              <w:rPr>
                <w:webHidden/>
              </w:rPr>
              <w:fldChar w:fldCharType="begin"/>
            </w:r>
            <w:r>
              <w:rPr>
                <w:webHidden/>
              </w:rPr>
              <w:instrText xml:space="preserve"> PAGEREF _Toc487018283 \h </w:instrText>
            </w:r>
            <w:r>
              <w:rPr>
                <w:webHidden/>
              </w:rPr>
            </w:r>
            <w:r>
              <w:rPr>
                <w:webHidden/>
              </w:rPr>
              <w:fldChar w:fldCharType="separate"/>
            </w:r>
            <w:r w:rsidR="00971C32">
              <w:rPr>
                <w:webHidden/>
              </w:rPr>
              <w:t>40</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84" w:history="1">
            <w:r w:rsidRPr="00D03879">
              <w:rPr>
                <w:rStyle w:val="Hyperlink"/>
              </w:rPr>
              <w:t>5.7</w:t>
            </w:r>
            <w:r>
              <w:rPr>
                <w:rFonts w:asciiTheme="minorHAnsi" w:eastAsiaTheme="minorEastAsia" w:hAnsiTheme="minorHAnsi"/>
                <w:b w:val="0"/>
                <w:color w:val="auto"/>
                <w:sz w:val="22"/>
                <w:lang w:eastAsia="en-AU"/>
              </w:rPr>
              <w:tab/>
            </w:r>
            <w:r w:rsidRPr="00D03879">
              <w:rPr>
                <w:rStyle w:val="Hyperlink"/>
              </w:rPr>
              <w:t>Opex incentive mechanism</w:t>
            </w:r>
            <w:r>
              <w:rPr>
                <w:webHidden/>
              </w:rPr>
              <w:tab/>
            </w:r>
            <w:r>
              <w:rPr>
                <w:webHidden/>
              </w:rPr>
              <w:fldChar w:fldCharType="begin"/>
            </w:r>
            <w:r>
              <w:rPr>
                <w:webHidden/>
              </w:rPr>
              <w:instrText xml:space="preserve"> PAGEREF _Toc487018284 \h </w:instrText>
            </w:r>
            <w:r>
              <w:rPr>
                <w:webHidden/>
              </w:rPr>
            </w:r>
            <w:r>
              <w:rPr>
                <w:webHidden/>
              </w:rPr>
              <w:fldChar w:fldCharType="separate"/>
            </w:r>
            <w:r w:rsidR="00971C32">
              <w:rPr>
                <w:webHidden/>
              </w:rPr>
              <w:t>41</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85" w:history="1">
            <w:r w:rsidRPr="00D03879">
              <w:rPr>
                <w:rStyle w:val="Hyperlink"/>
              </w:rPr>
              <w:t>5.8</w:t>
            </w:r>
            <w:r>
              <w:rPr>
                <w:rFonts w:asciiTheme="minorHAnsi" w:eastAsiaTheme="minorEastAsia" w:hAnsiTheme="minorHAnsi"/>
                <w:b w:val="0"/>
                <w:color w:val="auto"/>
                <w:sz w:val="22"/>
                <w:lang w:eastAsia="en-AU"/>
              </w:rPr>
              <w:tab/>
            </w:r>
            <w:r w:rsidRPr="00D03879">
              <w:rPr>
                <w:rStyle w:val="Hyperlink"/>
              </w:rPr>
              <w:t>Corporate income tax</w:t>
            </w:r>
            <w:r>
              <w:rPr>
                <w:webHidden/>
              </w:rPr>
              <w:tab/>
            </w:r>
            <w:r>
              <w:rPr>
                <w:webHidden/>
              </w:rPr>
              <w:fldChar w:fldCharType="begin"/>
            </w:r>
            <w:r>
              <w:rPr>
                <w:webHidden/>
              </w:rPr>
              <w:instrText xml:space="preserve"> PAGEREF _Toc487018285 \h </w:instrText>
            </w:r>
            <w:r>
              <w:rPr>
                <w:webHidden/>
              </w:rPr>
            </w:r>
            <w:r>
              <w:rPr>
                <w:webHidden/>
              </w:rPr>
              <w:fldChar w:fldCharType="separate"/>
            </w:r>
            <w:r w:rsidR="00971C32">
              <w:rPr>
                <w:webHidden/>
              </w:rPr>
              <w:t>42</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86" w:history="1">
            <w:r w:rsidRPr="00D03879">
              <w:rPr>
                <w:rStyle w:val="Hyperlink"/>
              </w:rPr>
              <w:t>6</w:t>
            </w:r>
            <w:r>
              <w:rPr>
                <w:rFonts w:asciiTheme="minorHAnsi" w:eastAsiaTheme="minorEastAsia" w:hAnsiTheme="minorHAnsi"/>
                <w:b w:val="0"/>
                <w:color w:val="auto"/>
                <w:sz w:val="22"/>
                <w:lang w:val="en-AU" w:eastAsia="en-AU"/>
              </w:rPr>
              <w:tab/>
            </w:r>
            <w:r w:rsidRPr="00D03879">
              <w:rPr>
                <w:rStyle w:val="Hyperlink"/>
              </w:rPr>
              <w:t>Non-tariff components</w:t>
            </w:r>
            <w:r>
              <w:rPr>
                <w:webHidden/>
              </w:rPr>
              <w:tab/>
            </w:r>
            <w:r>
              <w:rPr>
                <w:webHidden/>
              </w:rPr>
              <w:fldChar w:fldCharType="begin"/>
            </w:r>
            <w:r>
              <w:rPr>
                <w:webHidden/>
              </w:rPr>
              <w:instrText xml:space="preserve"> PAGEREF _Toc487018286 \h </w:instrText>
            </w:r>
            <w:r>
              <w:rPr>
                <w:webHidden/>
              </w:rPr>
            </w:r>
            <w:r>
              <w:rPr>
                <w:webHidden/>
              </w:rPr>
              <w:fldChar w:fldCharType="separate"/>
            </w:r>
            <w:r w:rsidR="00971C32">
              <w:rPr>
                <w:webHidden/>
              </w:rPr>
              <w:t>45</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87" w:history="1">
            <w:r w:rsidRPr="00D03879">
              <w:rPr>
                <w:rStyle w:val="Hyperlink"/>
              </w:rPr>
              <w:t>7</w:t>
            </w:r>
            <w:r>
              <w:rPr>
                <w:rFonts w:asciiTheme="minorHAnsi" w:eastAsiaTheme="minorEastAsia" w:hAnsiTheme="minorHAnsi"/>
                <w:b w:val="0"/>
                <w:color w:val="auto"/>
                <w:sz w:val="22"/>
                <w:lang w:val="en-AU" w:eastAsia="en-AU"/>
              </w:rPr>
              <w:tab/>
            </w:r>
            <w:r w:rsidRPr="00D03879">
              <w:rPr>
                <w:rStyle w:val="Hyperlink"/>
              </w:rPr>
              <w:t>Understanding the NGO</w:t>
            </w:r>
            <w:r>
              <w:rPr>
                <w:webHidden/>
              </w:rPr>
              <w:tab/>
            </w:r>
            <w:r>
              <w:rPr>
                <w:webHidden/>
              </w:rPr>
              <w:fldChar w:fldCharType="begin"/>
            </w:r>
            <w:r>
              <w:rPr>
                <w:webHidden/>
              </w:rPr>
              <w:instrText xml:space="preserve"> PAGEREF _Toc487018287 \h </w:instrText>
            </w:r>
            <w:r>
              <w:rPr>
                <w:webHidden/>
              </w:rPr>
            </w:r>
            <w:r>
              <w:rPr>
                <w:webHidden/>
              </w:rPr>
              <w:fldChar w:fldCharType="separate"/>
            </w:r>
            <w:r w:rsidR="00971C32">
              <w:rPr>
                <w:webHidden/>
              </w:rPr>
              <w:t>46</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88" w:history="1">
            <w:r w:rsidRPr="00D03879">
              <w:rPr>
                <w:rStyle w:val="Hyperlink"/>
              </w:rPr>
              <w:t>7.1</w:t>
            </w:r>
            <w:r>
              <w:rPr>
                <w:rFonts w:asciiTheme="minorHAnsi" w:eastAsiaTheme="minorEastAsia" w:hAnsiTheme="minorHAnsi"/>
                <w:b w:val="0"/>
                <w:color w:val="auto"/>
                <w:sz w:val="22"/>
                <w:lang w:eastAsia="en-AU"/>
              </w:rPr>
              <w:tab/>
            </w:r>
            <w:r w:rsidRPr="00D03879">
              <w:rPr>
                <w:rStyle w:val="Hyperlink"/>
              </w:rPr>
              <w:t>Achieving the NGO to the greatest degree</w:t>
            </w:r>
            <w:r>
              <w:rPr>
                <w:webHidden/>
              </w:rPr>
              <w:tab/>
            </w:r>
            <w:r>
              <w:rPr>
                <w:webHidden/>
              </w:rPr>
              <w:fldChar w:fldCharType="begin"/>
            </w:r>
            <w:r>
              <w:rPr>
                <w:webHidden/>
              </w:rPr>
              <w:instrText xml:space="preserve"> PAGEREF _Toc487018288 \h </w:instrText>
            </w:r>
            <w:r>
              <w:rPr>
                <w:webHidden/>
              </w:rPr>
            </w:r>
            <w:r>
              <w:rPr>
                <w:webHidden/>
              </w:rPr>
              <w:fldChar w:fldCharType="separate"/>
            </w:r>
            <w:r w:rsidR="00971C32">
              <w:rPr>
                <w:webHidden/>
              </w:rPr>
              <w:t>49</w:t>
            </w:r>
            <w:r>
              <w:rPr>
                <w:webHidden/>
              </w:rPr>
              <w:fldChar w:fldCharType="end"/>
            </w:r>
          </w:hyperlink>
        </w:p>
        <w:p w:rsidR="00B23A98" w:rsidRDefault="00B23A98">
          <w:pPr>
            <w:pStyle w:val="TOC3"/>
            <w:rPr>
              <w:rFonts w:asciiTheme="minorHAnsi" w:eastAsiaTheme="minorEastAsia" w:hAnsiTheme="minorHAnsi"/>
              <w:lang w:eastAsia="en-AU"/>
            </w:rPr>
          </w:pPr>
          <w:hyperlink w:anchor="_Toc487018289" w:history="1">
            <w:r w:rsidRPr="00D03879">
              <w:rPr>
                <w:rStyle w:val="Hyperlink"/>
              </w:rPr>
              <w:t>7.1.1</w:t>
            </w:r>
            <w:r>
              <w:rPr>
                <w:rFonts w:asciiTheme="minorHAnsi" w:eastAsiaTheme="minorEastAsia" w:hAnsiTheme="minorHAnsi"/>
                <w:lang w:eastAsia="en-AU"/>
              </w:rPr>
              <w:tab/>
            </w:r>
            <w:r w:rsidRPr="00D03879">
              <w:rPr>
                <w:rStyle w:val="Hyperlink"/>
              </w:rPr>
              <w:t>Interrelationships between individual components</w:t>
            </w:r>
            <w:r>
              <w:rPr>
                <w:webHidden/>
              </w:rPr>
              <w:tab/>
            </w:r>
            <w:r>
              <w:rPr>
                <w:webHidden/>
              </w:rPr>
              <w:fldChar w:fldCharType="begin"/>
            </w:r>
            <w:r>
              <w:rPr>
                <w:webHidden/>
              </w:rPr>
              <w:instrText xml:space="preserve"> PAGEREF _Toc487018289 \h </w:instrText>
            </w:r>
            <w:r>
              <w:rPr>
                <w:webHidden/>
              </w:rPr>
            </w:r>
            <w:r>
              <w:rPr>
                <w:webHidden/>
              </w:rPr>
              <w:fldChar w:fldCharType="separate"/>
            </w:r>
            <w:r w:rsidR="00971C32">
              <w:rPr>
                <w:webHidden/>
              </w:rPr>
              <w:t>50</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90" w:history="1">
            <w:r w:rsidRPr="00D03879">
              <w:rPr>
                <w:rStyle w:val="Hyperlink"/>
              </w:rPr>
              <w:t>8</w:t>
            </w:r>
            <w:r>
              <w:rPr>
                <w:rFonts w:asciiTheme="minorHAnsi" w:eastAsiaTheme="minorEastAsia" w:hAnsiTheme="minorHAnsi"/>
                <w:b w:val="0"/>
                <w:color w:val="auto"/>
                <w:sz w:val="22"/>
                <w:lang w:val="en-AU" w:eastAsia="en-AU"/>
              </w:rPr>
              <w:tab/>
            </w:r>
            <w:r w:rsidRPr="00D03879">
              <w:rPr>
                <w:rStyle w:val="Hyperlink"/>
              </w:rPr>
              <w:t>Consultation</w:t>
            </w:r>
            <w:r>
              <w:rPr>
                <w:webHidden/>
              </w:rPr>
              <w:tab/>
            </w:r>
            <w:r>
              <w:rPr>
                <w:webHidden/>
              </w:rPr>
              <w:fldChar w:fldCharType="begin"/>
            </w:r>
            <w:r>
              <w:rPr>
                <w:webHidden/>
              </w:rPr>
              <w:instrText xml:space="preserve"> PAGEREF _Toc487018290 \h </w:instrText>
            </w:r>
            <w:r>
              <w:rPr>
                <w:webHidden/>
              </w:rPr>
            </w:r>
            <w:r>
              <w:rPr>
                <w:webHidden/>
              </w:rPr>
              <w:fldChar w:fldCharType="separate"/>
            </w:r>
            <w:r w:rsidR="00971C32">
              <w:rPr>
                <w:webHidden/>
              </w:rPr>
              <w:t>51</w:t>
            </w:r>
            <w:r>
              <w:rPr>
                <w:webHidden/>
              </w:rPr>
              <w:fldChar w:fldCharType="end"/>
            </w:r>
          </w:hyperlink>
        </w:p>
        <w:p w:rsidR="00B23A98" w:rsidRDefault="00B23A98">
          <w:pPr>
            <w:pStyle w:val="TOC2"/>
            <w:rPr>
              <w:rFonts w:asciiTheme="minorHAnsi" w:eastAsiaTheme="minorEastAsia" w:hAnsiTheme="minorHAnsi"/>
              <w:b w:val="0"/>
              <w:color w:val="auto"/>
              <w:sz w:val="22"/>
              <w:lang w:eastAsia="en-AU"/>
            </w:rPr>
          </w:pPr>
          <w:hyperlink w:anchor="_Toc487018291" w:history="1">
            <w:r w:rsidRPr="00D03879">
              <w:rPr>
                <w:rStyle w:val="Hyperlink"/>
              </w:rPr>
              <w:t>8.1</w:t>
            </w:r>
            <w:r>
              <w:rPr>
                <w:rFonts w:asciiTheme="minorHAnsi" w:eastAsiaTheme="minorEastAsia" w:hAnsiTheme="minorHAnsi"/>
                <w:b w:val="0"/>
                <w:color w:val="auto"/>
                <w:sz w:val="22"/>
                <w:lang w:eastAsia="en-AU"/>
              </w:rPr>
              <w:tab/>
            </w:r>
            <w:r w:rsidRPr="00D03879">
              <w:rPr>
                <w:rStyle w:val="Hyperlink"/>
              </w:rPr>
              <w:t>APA's engagement with customers</w:t>
            </w:r>
            <w:r>
              <w:rPr>
                <w:webHidden/>
              </w:rPr>
              <w:tab/>
            </w:r>
            <w:r>
              <w:rPr>
                <w:webHidden/>
              </w:rPr>
              <w:fldChar w:fldCharType="begin"/>
            </w:r>
            <w:r>
              <w:rPr>
                <w:webHidden/>
              </w:rPr>
              <w:instrText xml:space="preserve"> PAGEREF _Toc487018291 \h </w:instrText>
            </w:r>
            <w:r>
              <w:rPr>
                <w:webHidden/>
              </w:rPr>
            </w:r>
            <w:r>
              <w:rPr>
                <w:webHidden/>
              </w:rPr>
              <w:fldChar w:fldCharType="separate"/>
            </w:r>
            <w:r w:rsidR="00971C32">
              <w:rPr>
                <w:webHidden/>
              </w:rPr>
              <w:t>51</w:t>
            </w:r>
            <w:r>
              <w:rPr>
                <w:webHidden/>
              </w:rPr>
              <w:fldChar w:fldCharType="end"/>
            </w:r>
          </w:hyperlink>
        </w:p>
        <w:p w:rsidR="00B23A98" w:rsidRDefault="00B23A98">
          <w:pPr>
            <w:pStyle w:val="TOC1"/>
            <w:rPr>
              <w:rFonts w:asciiTheme="minorHAnsi" w:eastAsiaTheme="minorEastAsia" w:hAnsiTheme="minorHAnsi"/>
              <w:b w:val="0"/>
              <w:color w:val="auto"/>
              <w:sz w:val="22"/>
              <w:lang w:val="en-AU" w:eastAsia="en-AU"/>
            </w:rPr>
          </w:pPr>
          <w:hyperlink w:anchor="_Toc487018292" w:history="1">
            <w:r w:rsidRPr="00D03879">
              <w:rPr>
                <w:rStyle w:val="Hyperlink"/>
              </w:rPr>
              <w:t>A</w:t>
            </w:r>
            <w:r>
              <w:rPr>
                <w:rFonts w:asciiTheme="minorHAnsi" w:eastAsiaTheme="minorEastAsia" w:hAnsiTheme="minorHAnsi"/>
                <w:b w:val="0"/>
                <w:color w:val="auto"/>
                <w:sz w:val="22"/>
                <w:lang w:val="en-AU" w:eastAsia="en-AU"/>
              </w:rPr>
              <w:tab/>
            </w:r>
            <w:r w:rsidRPr="00D03879">
              <w:rPr>
                <w:rStyle w:val="Hyperlink"/>
              </w:rPr>
              <w:t>List of submissions</w:t>
            </w:r>
            <w:r>
              <w:rPr>
                <w:webHidden/>
              </w:rPr>
              <w:tab/>
            </w:r>
            <w:r>
              <w:rPr>
                <w:webHidden/>
              </w:rPr>
              <w:fldChar w:fldCharType="begin"/>
            </w:r>
            <w:r>
              <w:rPr>
                <w:webHidden/>
              </w:rPr>
              <w:instrText xml:space="preserve"> PAGEREF _Toc487018292 \h </w:instrText>
            </w:r>
            <w:r>
              <w:rPr>
                <w:webHidden/>
              </w:rPr>
            </w:r>
            <w:r>
              <w:rPr>
                <w:webHidden/>
              </w:rPr>
              <w:fldChar w:fldCharType="separate"/>
            </w:r>
            <w:r w:rsidR="00971C32">
              <w:rPr>
                <w:webHidden/>
              </w:rPr>
              <w:t>53</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6" w:name="_Toc404700925"/>
      <w:bookmarkStart w:id="17" w:name="_Toc487018259"/>
      <w:r>
        <w:t>Shortened forms</w:t>
      </w:r>
      <w:bookmarkEnd w:id="16"/>
      <w:bookmarkEnd w:id="17"/>
    </w:p>
    <w:tbl>
      <w:tblPr>
        <w:tblStyle w:val="AERtable-text0"/>
        <w:tblW w:w="0" w:type="auto"/>
        <w:tblLook w:val="04A0" w:firstRow="1" w:lastRow="0" w:firstColumn="1" w:lastColumn="0" w:noHBand="0" w:noVBand="1"/>
      </w:tblPr>
      <w:tblGrid>
        <w:gridCol w:w="4340"/>
        <w:gridCol w:w="4353"/>
      </w:tblGrid>
      <w:tr w:rsidR="00B4195F" w:rsidTr="00B4195F">
        <w:trPr>
          <w:cnfStyle w:val="100000000000" w:firstRow="1" w:lastRow="0" w:firstColumn="0" w:lastColumn="0" w:oddVBand="0" w:evenVBand="0" w:oddHBand="0" w:evenHBand="0" w:firstRowFirstColumn="0" w:firstRowLastColumn="0" w:lastRowFirstColumn="0" w:lastRowLastColumn="0"/>
        </w:trPr>
        <w:tc>
          <w:tcPr>
            <w:tcW w:w="4340" w:type="dxa"/>
          </w:tcPr>
          <w:p w:rsidR="00B4195F" w:rsidRDefault="00B4195F" w:rsidP="00B4195F">
            <w:pPr>
              <w:numPr>
                <w:ilvl w:val="0"/>
                <w:numId w:val="24"/>
              </w:numPr>
            </w:pPr>
            <w:r>
              <w:t>Shortened form</w:t>
            </w:r>
          </w:p>
        </w:tc>
        <w:tc>
          <w:tcPr>
            <w:tcW w:w="4353" w:type="dxa"/>
          </w:tcPr>
          <w:p w:rsidR="00B4195F" w:rsidRDefault="00B4195F" w:rsidP="00B4195F">
            <w:pPr>
              <w:numPr>
                <w:ilvl w:val="0"/>
                <w:numId w:val="24"/>
              </w:numPr>
            </w:pPr>
            <w:r>
              <w:t>Extended form</w:t>
            </w:r>
          </w:p>
        </w:tc>
      </w:tr>
      <w:tr w:rsidR="00B4195F" w:rsidTr="00B4195F">
        <w:tc>
          <w:tcPr>
            <w:tcW w:w="4340" w:type="dxa"/>
          </w:tcPr>
          <w:p w:rsidR="00B4195F" w:rsidRDefault="00B4195F" w:rsidP="00B4195F">
            <w:pPr>
              <w:numPr>
                <w:ilvl w:val="0"/>
                <w:numId w:val="24"/>
              </w:numPr>
            </w:pPr>
            <w:r>
              <w:t>AER</w:t>
            </w:r>
          </w:p>
        </w:tc>
        <w:tc>
          <w:tcPr>
            <w:tcW w:w="4353" w:type="dxa"/>
          </w:tcPr>
          <w:p w:rsidR="00B4195F" w:rsidRDefault="00B4195F" w:rsidP="00B4195F">
            <w:pPr>
              <w:numPr>
                <w:ilvl w:val="0"/>
                <w:numId w:val="24"/>
              </w:numPr>
            </w:pPr>
            <w:r>
              <w:t>Australian Energy Regulator</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ATO</w:t>
            </w:r>
          </w:p>
        </w:tc>
        <w:tc>
          <w:tcPr>
            <w:tcW w:w="4353" w:type="dxa"/>
          </w:tcPr>
          <w:p w:rsidR="00B4195F" w:rsidRPr="00B4195F" w:rsidRDefault="00B4195F" w:rsidP="00B4195F">
            <w:r>
              <w:t>Australian Tax Office</w:t>
            </w:r>
          </w:p>
        </w:tc>
      </w:tr>
      <w:tr w:rsidR="00B4195F" w:rsidTr="00B4195F">
        <w:tc>
          <w:tcPr>
            <w:tcW w:w="4340" w:type="dxa"/>
          </w:tcPr>
          <w:p w:rsidR="00B4195F" w:rsidRDefault="00B4195F" w:rsidP="00B4195F">
            <w:pPr>
              <w:numPr>
                <w:ilvl w:val="0"/>
                <w:numId w:val="24"/>
              </w:numPr>
            </w:pPr>
            <w:r>
              <w:t>capex</w:t>
            </w:r>
          </w:p>
        </w:tc>
        <w:tc>
          <w:tcPr>
            <w:tcW w:w="4353" w:type="dxa"/>
          </w:tcPr>
          <w:p w:rsidR="00B4195F" w:rsidRDefault="00B4195F" w:rsidP="00B4195F">
            <w:pPr>
              <w:numPr>
                <w:ilvl w:val="0"/>
                <w:numId w:val="24"/>
              </w:numPr>
            </w:pPr>
            <w:r>
              <w:t>capital expenditure</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CAPM</w:t>
            </w:r>
          </w:p>
        </w:tc>
        <w:tc>
          <w:tcPr>
            <w:tcW w:w="4353" w:type="dxa"/>
          </w:tcPr>
          <w:p w:rsidR="00B4195F" w:rsidRDefault="00B4195F" w:rsidP="00B4195F">
            <w:pPr>
              <w:numPr>
                <w:ilvl w:val="0"/>
                <w:numId w:val="24"/>
              </w:numPr>
            </w:pPr>
            <w:r>
              <w:t>capital asset pricing model</w:t>
            </w:r>
          </w:p>
        </w:tc>
      </w:tr>
      <w:tr w:rsidR="00B4195F" w:rsidTr="00B4195F">
        <w:tc>
          <w:tcPr>
            <w:tcW w:w="4340" w:type="dxa"/>
          </w:tcPr>
          <w:p w:rsidR="00B4195F" w:rsidRDefault="00B4195F" w:rsidP="00B4195F">
            <w:pPr>
              <w:numPr>
                <w:ilvl w:val="0"/>
                <w:numId w:val="24"/>
              </w:numPr>
            </w:pPr>
            <w:r>
              <w:t>CPI</w:t>
            </w:r>
          </w:p>
        </w:tc>
        <w:tc>
          <w:tcPr>
            <w:tcW w:w="4353" w:type="dxa"/>
          </w:tcPr>
          <w:p w:rsidR="00B4195F" w:rsidRDefault="00B4195F" w:rsidP="00B4195F">
            <w:pPr>
              <w:numPr>
                <w:ilvl w:val="0"/>
                <w:numId w:val="24"/>
              </w:numPr>
            </w:pPr>
            <w:r>
              <w:t>consumer price index</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DRP</w:t>
            </w:r>
          </w:p>
        </w:tc>
        <w:tc>
          <w:tcPr>
            <w:tcW w:w="4353" w:type="dxa"/>
          </w:tcPr>
          <w:p w:rsidR="00B4195F" w:rsidRDefault="00B4195F" w:rsidP="00B4195F">
            <w:pPr>
              <w:numPr>
                <w:ilvl w:val="0"/>
                <w:numId w:val="24"/>
              </w:numPr>
            </w:pPr>
            <w:r>
              <w:t>debt risk premium</w:t>
            </w:r>
          </w:p>
        </w:tc>
      </w:tr>
      <w:tr w:rsidR="00B4195F" w:rsidTr="00B4195F">
        <w:tc>
          <w:tcPr>
            <w:tcW w:w="4340" w:type="dxa"/>
          </w:tcPr>
          <w:p w:rsidR="00B4195F" w:rsidRDefault="00B4195F" w:rsidP="00B4195F">
            <w:pPr>
              <w:numPr>
                <w:ilvl w:val="0"/>
                <w:numId w:val="24"/>
              </w:numPr>
            </w:pPr>
            <w:r>
              <w:t>ECM</w:t>
            </w:r>
          </w:p>
        </w:tc>
        <w:tc>
          <w:tcPr>
            <w:tcW w:w="4353" w:type="dxa"/>
          </w:tcPr>
          <w:p w:rsidR="00B4195F" w:rsidRPr="00B4195F" w:rsidRDefault="00B4195F" w:rsidP="00B4195F">
            <w:r>
              <w:t>(Opex) Efficiency Carryover Mechanism</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ERP</w:t>
            </w:r>
          </w:p>
        </w:tc>
        <w:tc>
          <w:tcPr>
            <w:tcW w:w="4353" w:type="dxa"/>
          </w:tcPr>
          <w:p w:rsidR="00B4195F" w:rsidRDefault="00B4195F" w:rsidP="00B4195F">
            <w:pPr>
              <w:numPr>
                <w:ilvl w:val="0"/>
                <w:numId w:val="24"/>
              </w:numPr>
            </w:pPr>
            <w:r>
              <w:t>equity risk premium</w:t>
            </w:r>
          </w:p>
        </w:tc>
      </w:tr>
      <w:tr w:rsidR="00B4195F" w:rsidTr="00B4195F">
        <w:tc>
          <w:tcPr>
            <w:tcW w:w="4340" w:type="dxa"/>
          </w:tcPr>
          <w:p w:rsidR="00B4195F" w:rsidRDefault="00B4195F" w:rsidP="00B4195F">
            <w:pPr>
              <w:numPr>
                <w:ilvl w:val="0"/>
                <w:numId w:val="24"/>
              </w:numPr>
            </w:pPr>
            <w:r>
              <w:t>Expenditure Guideline</w:t>
            </w:r>
          </w:p>
        </w:tc>
        <w:tc>
          <w:tcPr>
            <w:tcW w:w="4353" w:type="dxa"/>
          </w:tcPr>
          <w:p w:rsidR="00B4195F" w:rsidRPr="00B4195F" w:rsidRDefault="00B4195F" w:rsidP="00B4195F">
            <w:r>
              <w:t xml:space="preserve">Expenditure Forecast </w:t>
            </w:r>
            <w:r w:rsidRPr="00B4195F">
              <w:t>Assessment Guideline</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gamma</w:t>
            </w:r>
          </w:p>
        </w:tc>
        <w:tc>
          <w:tcPr>
            <w:tcW w:w="4353" w:type="dxa"/>
          </w:tcPr>
          <w:p w:rsidR="00B4195F" w:rsidRPr="00B4195F" w:rsidRDefault="00B4195F" w:rsidP="00B4195F">
            <w:r>
              <w:t>Value of Imputation Credits</w:t>
            </w:r>
          </w:p>
        </w:tc>
      </w:tr>
      <w:tr w:rsidR="00B4195F" w:rsidTr="00B4195F">
        <w:tc>
          <w:tcPr>
            <w:tcW w:w="4340" w:type="dxa"/>
          </w:tcPr>
          <w:p w:rsidR="00B4195F" w:rsidRDefault="00B4195F" w:rsidP="00B4195F">
            <w:pPr>
              <w:numPr>
                <w:ilvl w:val="0"/>
                <w:numId w:val="24"/>
              </w:numPr>
            </w:pPr>
            <w:r>
              <w:t>MRP</w:t>
            </w:r>
          </w:p>
        </w:tc>
        <w:tc>
          <w:tcPr>
            <w:tcW w:w="4353" w:type="dxa"/>
          </w:tcPr>
          <w:p w:rsidR="00B4195F" w:rsidRDefault="00B4195F" w:rsidP="00B4195F">
            <w:pPr>
              <w:numPr>
                <w:ilvl w:val="0"/>
                <w:numId w:val="24"/>
              </w:numPr>
            </w:pPr>
            <w:r>
              <w:t>market risk premium</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NGL</w:t>
            </w:r>
          </w:p>
        </w:tc>
        <w:tc>
          <w:tcPr>
            <w:tcW w:w="4353" w:type="dxa"/>
          </w:tcPr>
          <w:p w:rsidR="00B4195F" w:rsidRDefault="00B4195F" w:rsidP="00B4195F">
            <w:pPr>
              <w:numPr>
                <w:ilvl w:val="0"/>
                <w:numId w:val="24"/>
              </w:numPr>
            </w:pPr>
            <w:r>
              <w:t>National Gas Law</w:t>
            </w:r>
          </w:p>
        </w:tc>
      </w:tr>
      <w:tr w:rsidR="00B4195F" w:rsidTr="00B4195F">
        <w:tc>
          <w:tcPr>
            <w:tcW w:w="4340" w:type="dxa"/>
          </w:tcPr>
          <w:p w:rsidR="00B4195F" w:rsidRDefault="00B4195F" w:rsidP="00B4195F">
            <w:pPr>
              <w:numPr>
                <w:ilvl w:val="0"/>
                <w:numId w:val="24"/>
              </w:numPr>
            </w:pPr>
            <w:r>
              <w:t>NGO</w:t>
            </w:r>
          </w:p>
        </w:tc>
        <w:tc>
          <w:tcPr>
            <w:tcW w:w="4353" w:type="dxa"/>
          </w:tcPr>
          <w:p w:rsidR="00B4195F" w:rsidRDefault="00B4195F" w:rsidP="00B4195F">
            <w:pPr>
              <w:numPr>
                <w:ilvl w:val="0"/>
                <w:numId w:val="24"/>
              </w:numPr>
            </w:pPr>
            <w:r>
              <w:t>national gas objective</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NGR</w:t>
            </w:r>
          </w:p>
        </w:tc>
        <w:tc>
          <w:tcPr>
            <w:tcW w:w="4353" w:type="dxa"/>
          </w:tcPr>
          <w:p w:rsidR="00B4195F" w:rsidRDefault="00B4195F" w:rsidP="00B4195F">
            <w:pPr>
              <w:numPr>
                <w:ilvl w:val="0"/>
                <w:numId w:val="24"/>
              </w:numPr>
            </w:pPr>
            <w:r>
              <w:t>National Gas Rules</w:t>
            </w:r>
          </w:p>
        </w:tc>
      </w:tr>
      <w:tr w:rsidR="00B4195F" w:rsidTr="00B4195F">
        <w:tc>
          <w:tcPr>
            <w:tcW w:w="4340" w:type="dxa"/>
          </w:tcPr>
          <w:p w:rsidR="00B4195F" w:rsidRDefault="00B4195F" w:rsidP="00B4195F">
            <w:pPr>
              <w:numPr>
                <w:ilvl w:val="0"/>
                <w:numId w:val="24"/>
              </w:numPr>
            </w:pPr>
            <w:r>
              <w:t>NPV</w:t>
            </w:r>
          </w:p>
        </w:tc>
        <w:tc>
          <w:tcPr>
            <w:tcW w:w="4353" w:type="dxa"/>
          </w:tcPr>
          <w:p w:rsidR="00B4195F" w:rsidRPr="00B4195F" w:rsidRDefault="00B4195F" w:rsidP="00B4195F">
            <w:r>
              <w:t>net present value</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opex</w:t>
            </w:r>
          </w:p>
        </w:tc>
        <w:tc>
          <w:tcPr>
            <w:tcW w:w="4353" w:type="dxa"/>
          </w:tcPr>
          <w:p w:rsidR="00B4195F" w:rsidRDefault="00B4195F" w:rsidP="00B4195F">
            <w:pPr>
              <w:numPr>
                <w:ilvl w:val="0"/>
                <w:numId w:val="24"/>
              </w:numPr>
            </w:pPr>
            <w:r>
              <w:t>operating expenditure</w:t>
            </w:r>
          </w:p>
        </w:tc>
      </w:tr>
      <w:tr w:rsidR="00B4195F" w:rsidTr="00B4195F">
        <w:tc>
          <w:tcPr>
            <w:tcW w:w="4340" w:type="dxa"/>
          </w:tcPr>
          <w:p w:rsidR="00B4195F" w:rsidRDefault="00B4195F" w:rsidP="00B4195F">
            <w:pPr>
              <w:numPr>
                <w:ilvl w:val="0"/>
                <w:numId w:val="24"/>
              </w:numPr>
            </w:pPr>
            <w:r>
              <w:t>PTRM</w:t>
            </w:r>
          </w:p>
        </w:tc>
        <w:tc>
          <w:tcPr>
            <w:tcW w:w="4353" w:type="dxa"/>
          </w:tcPr>
          <w:p w:rsidR="00B4195F" w:rsidRDefault="00B4195F" w:rsidP="00B4195F">
            <w:pPr>
              <w:numPr>
                <w:ilvl w:val="0"/>
                <w:numId w:val="24"/>
              </w:numPr>
            </w:pPr>
            <w:r>
              <w:t>post-tax revenue model</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RBA</w:t>
            </w:r>
          </w:p>
        </w:tc>
        <w:tc>
          <w:tcPr>
            <w:tcW w:w="4353" w:type="dxa"/>
          </w:tcPr>
          <w:p w:rsidR="00B4195F" w:rsidRDefault="00B4195F" w:rsidP="00B4195F">
            <w:pPr>
              <w:numPr>
                <w:ilvl w:val="0"/>
                <w:numId w:val="24"/>
              </w:numPr>
            </w:pPr>
            <w:r>
              <w:t>Reserve Bank of Australia</w:t>
            </w:r>
          </w:p>
        </w:tc>
      </w:tr>
      <w:tr w:rsidR="00B4195F" w:rsidTr="00B4195F">
        <w:tc>
          <w:tcPr>
            <w:tcW w:w="4340" w:type="dxa"/>
          </w:tcPr>
          <w:p w:rsidR="00B4195F" w:rsidRDefault="00B4195F" w:rsidP="00B4195F">
            <w:pPr>
              <w:numPr>
                <w:ilvl w:val="0"/>
                <w:numId w:val="24"/>
              </w:numPr>
            </w:pPr>
            <w:r>
              <w:t>RFM</w:t>
            </w:r>
          </w:p>
        </w:tc>
        <w:tc>
          <w:tcPr>
            <w:tcW w:w="4353" w:type="dxa"/>
          </w:tcPr>
          <w:p w:rsidR="00B4195F" w:rsidRDefault="00B4195F" w:rsidP="00B4195F">
            <w:pPr>
              <w:numPr>
                <w:ilvl w:val="0"/>
                <w:numId w:val="24"/>
              </w:numPr>
            </w:pPr>
            <w:r>
              <w:t>roll forward model</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RIN</w:t>
            </w:r>
          </w:p>
        </w:tc>
        <w:tc>
          <w:tcPr>
            <w:tcW w:w="4353" w:type="dxa"/>
          </w:tcPr>
          <w:p w:rsidR="00B4195F" w:rsidRDefault="00B4195F" w:rsidP="00B4195F">
            <w:pPr>
              <w:numPr>
                <w:ilvl w:val="0"/>
                <w:numId w:val="24"/>
              </w:numPr>
            </w:pPr>
            <w:r>
              <w:t>regulatory information notice</w:t>
            </w:r>
          </w:p>
        </w:tc>
      </w:tr>
      <w:tr w:rsidR="00B4195F" w:rsidTr="00B4195F">
        <w:tc>
          <w:tcPr>
            <w:tcW w:w="4340" w:type="dxa"/>
          </w:tcPr>
          <w:p w:rsidR="00B4195F" w:rsidRDefault="00B4195F" w:rsidP="00B4195F">
            <w:pPr>
              <w:numPr>
                <w:ilvl w:val="0"/>
                <w:numId w:val="24"/>
              </w:numPr>
            </w:pPr>
            <w:r>
              <w:t>RPP</w:t>
            </w:r>
          </w:p>
        </w:tc>
        <w:tc>
          <w:tcPr>
            <w:tcW w:w="4353" w:type="dxa"/>
          </w:tcPr>
          <w:p w:rsidR="00B4195F" w:rsidRDefault="00B4195F" w:rsidP="00B4195F">
            <w:pPr>
              <w:numPr>
                <w:ilvl w:val="0"/>
                <w:numId w:val="24"/>
              </w:numPr>
            </w:pPr>
            <w:r>
              <w:t>revenue and pricing principles</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SLCAPM</w:t>
            </w:r>
          </w:p>
        </w:tc>
        <w:tc>
          <w:tcPr>
            <w:tcW w:w="4353" w:type="dxa"/>
          </w:tcPr>
          <w:p w:rsidR="00B4195F" w:rsidRDefault="00B4195F" w:rsidP="00B4195F">
            <w:pPr>
              <w:numPr>
                <w:ilvl w:val="0"/>
                <w:numId w:val="24"/>
              </w:numPr>
            </w:pPr>
            <w:r>
              <w:t>Sharpe-Lintner capital asset pricing model</w:t>
            </w:r>
          </w:p>
        </w:tc>
      </w:tr>
      <w:tr w:rsidR="00B4195F" w:rsidTr="00B4195F">
        <w:tc>
          <w:tcPr>
            <w:tcW w:w="4340" w:type="dxa"/>
          </w:tcPr>
          <w:p w:rsidR="00B4195F" w:rsidRDefault="00B4195F" w:rsidP="00B4195F">
            <w:pPr>
              <w:numPr>
                <w:ilvl w:val="0"/>
                <w:numId w:val="24"/>
              </w:numPr>
            </w:pPr>
            <w:r>
              <w:t>STTM</w:t>
            </w:r>
          </w:p>
        </w:tc>
        <w:tc>
          <w:tcPr>
            <w:tcW w:w="4353" w:type="dxa"/>
          </w:tcPr>
          <w:p w:rsidR="00B4195F" w:rsidRPr="00B4195F" w:rsidRDefault="00B4195F" w:rsidP="00B4195F">
            <w:r>
              <w:t>Short Term Trading Market</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TAB</w:t>
            </w:r>
          </w:p>
        </w:tc>
        <w:tc>
          <w:tcPr>
            <w:tcW w:w="4353" w:type="dxa"/>
          </w:tcPr>
          <w:p w:rsidR="00B4195F" w:rsidRPr="00B4195F" w:rsidRDefault="00B4195F" w:rsidP="00B4195F">
            <w:r>
              <w:t>Tax asset base</w:t>
            </w:r>
          </w:p>
        </w:tc>
      </w:tr>
      <w:tr w:rsidR="00B4195F" w:rsidTr="00B4195F">
        <w:tc>
          <w:tcPr>
            <w:tcW w:w="4340" w:type="dxa"/>
          </w:tcPr>
          <w:p w:rsidR="00B4195F" w:rsidRDefault="00B4195F" w:rsidP="00B4195F">
            <w:pPr>
              <w:numPr>
                <w:ilvl w:val="0"/>
                <w:numId w:val="24"/>
              </w:numPr>
            </w:pPr>
            <w:r>
              <w:t>UAFG</w:t>
            </w:r>
          </w:p>
        </w:tc>
        <w:tc>
          <w:tcPr>
            <w:tcW w:w="4353" w:type="dxa"/>
          </w:tcPr>
          <w:p w:rsidR="00B4195F" w:rsidRPr="00B4195F" w:rsidRDefault="00B4195F" w:rsidP="00B4195F">
            <w:r>
              <w:t>Unaccounted for gas</w:t>
            </w:r>
          </w:p>
        </w:tc>
      </w:tr>
      <w:tr w:rsidR="00B4195F" w:rsidTr="00B4195F">
        <w:trPr>
          <w:cnfStyle w:val="000000010000" w:firstRow="0" w:lastRow="0" w:firstColumn="0" w:lastColumn="0" w:oddVBand="0" w:evenVBand="0" w:oddHBand="0" w:evenHBand="1" w:firstRowFirstColumn="0" w:firstRowLastColumn="0" w:lastRowFirstColumn="0" w:lastRowLastColumn="0"/>
        </w:trPr>
        <w:tc>
          <w:tcPr>
            <w:tcW w:w="4340" w:type="dxa"/>
          </w:tcPr>
          <w:p w:rsidR="00B4195F" w:rsidRDefault="00B4195F" w:rsidP="00B4195F">
            <w:pPr>
              <w:numPr>
                <w:ilvl w:val="0"/>
                <w:numId w:val="24"/>
              </w:numPr>
            </w:pPr>
            <w:r>
              <w:t>WACC</w:t>
            </w:r>
          </w:p>
        </w:tc>
        <w:tc>
          <w:tcPr>
            <w:tcW w:w="4353" w:type="dxa"/>
          </w:tcPr>
          <w:p w:rsidR="00B4195F" w:rsidRDefault="00B4195F" w:rsidP="00B4195F">
            <w:pPr>
              <w:numPr>
                <w:ilvl w:val="0"/>
                <w:numId w:val="24"/>
              </w:numPr>
            </w:pPr>
            <w:r>
              <w:t>weighted average cost of capital</w:t>
            </w:r>
          </w:p>
        </w:tc>
      </w:tr>
      <w:tr w:rsidR="00B4195F" w:rsidTr="00B4195F">
        <w:tc>
          <w:tcPr>
            <w:tcW w:w="4340" w:type="dxa"/>
          </w:tcPr>
          <w:p w:rsidR="00B4195F" w:rsidRDefault="00B4195F" w:rsidP="00B4195F">
            <w:pPr>
              <w:numPr>
                <w:ilvl w:val="0"/>
                <w:numId w:val="24"/>
              </w:numPr>
            </w:pPr>
            <w:r>
              <w:t>WPI</w:t>
            </w:r>
          </w:p>
        </w:tc>
        <w:tc>
          <w:tcPr>
            <w:tcW w:w="4353" w:type="dxa"/>
          </w:tcPr>
          <w:p w:rsidR="00B4195F" w:rsidRPr="00B4195F" w:rsidRDefault="00B4195F" w:rsidP="00B4195F">
            <w:r>
              <w:t>Wage Price Index</w:t>
            </w:r>
          </w:p>
        </w:tc>
      </w:tr>
    </w:tbl>
    <w:tbl>
      <w:tblPr>
        <w:tblW w:w="0" w:type="auto"/>
        <w:tblInd w:w="108" w:type="dxa"/>
        <w:tblLook w:val="04A0" w:firstRow="1" w:lastRow="0" w:firstColumn="1" w:lastColumn="0" w:noHBand="0" w:noVBand="1"/>
      </w:tblPr>
      <w:tblGrid>
        <w:gridCol w:w="8080"/>
      </w:tblGrid>
      <w:tr w:rsidR="001D392B" w:rsidRPr="000C1C49" w:rsidTr="000F6D0F">
        <w:tc>
          <w:tcPr>
            <w:tcW w:w="8080" w:type="dxa"/>
          </w:tcPr>
          <w:p w:rsidR="001D392B" w:rsidRPr="001D392B" w:rsidRDefault="001D392B" w:rsidP="001D392B">
            <w:pPr>
              <w:pStyle w:val="TableHeading"/>
              <w:rPr>
                <w:rStyle w:val="Emphasis"/>
              </w:rPr>
            </w:pPr>
            <w:bookmarkStart w:id="18" w:name="_Toc416278154"/>
            <w:bookmarkStart w:id="19" w:name="_Toc416346517"/>
            <w:bookmarkStart w:id="20" w:name="_Toc416278157"/>
            <w:bookmarkStart w:id="21" w:name="_Toc416346520"/>
            <w:bookmarkStart w:id="22" w:name="_Toc416278160"/>
            <w:bookmarkStart w:id="23" w:name="_Toc416346523"/>
            <w:bookmarkStart w:id="24" w:name="_Toc416278163"/>
            <w:bookmarkStart w:id="25" w:name="_Toc416346526"/>
            <w:bookmarkStart w:id="26" w:name="_Toc416278166"/>
            <w:bookmarkStart w:id="27" w:name="_Toc416346529"/>
            <w:bookmarkStart w:id="28" w:name="_Toc416278169"/>
            <w:bookmarkStart w:id="29" w:name="_Toc416346532"/>
            <w:bookmarkStart w:id="30" w:name="_Toc416278172"/>
            <w:bookmarkStart w:id="31" w:name="_Toc416346535"/>
            <w:bookmarkStart w:id="32" w:name="_Toc416278175"/>
            <w:bookmarkStart w:id="33" w:name="_Toc416346538"/>
            <w:bookmarkStart w:id="34" w:name="_Toc416278178"/>
            <w:bookmarkStart w:id="35" w:name="_Toc416346541"/>
            <w:bookmarkStart w:id="36" w:name="_Toc416278181"/>
            <w:bookmarkStart w:id="37" w:name="_Toc416346544"/>
            <w:bookmarkStart w:id="38" w:name="_Toc416278184"/>
            <w:bookmarkStart w:id="39" w:name="_Toc416346547"/>
            <w:bookmarkStart w:id="40" w:name="_Toc416278187"/>
            <w:bookmarkStart w:id="41" w:name="_Toc416346550"/>
            <w:bookmarkStart w:id="42" w:name="_Toc416278190"/>
            <w:bookmarkStart w:id="43" w:name="_Toc416346553"/>
            <w:bookmarkStart w:id="44" w:name="_Toc416278193"/>
            <w:bookmarkStart w:id="45" w:name="_Toc416346556"/>
            <w:bookmarkStart w:id="46" w:name="_Toc416278196"/>
            <w:bookmarkStart w:id="47" w:name="_Toc416346559"/>
            <w:bookmarkStart w:id="48" w:name="_Toc416278199"/>
            <w:bookmarkStart w:id="49" w:name="_Toc416346562"/>
            <w:bookmarkStart w:id="50" w:name="_Toc416278202"/>
            <w:bookmarkStart w:id="51" w:name="_Toc416346565"/>
            <w:bookmarkStart w:id="52" w:name="_Toc416278205"/>
            <w:bookmarkStart w:id="53" w:name="_Toc416346568"/>
            <w:bookmarkStart w:id="54" w:name="_Toc416278208"/>
            <w:bookmarkStart w:id="55" w:name="_Toc416346571"/>
            <w:bookmarkStart w:id="56" w:name="_Toc416278211"/>
            <w:bookmarkStart w:id="57" w:name="_Toc416346574"/>
            <w:bookmarkStart w:id="58" w:name="_Toc416278214"/>
            <w:bookmarkStart w:id="59" w:name="_Toc416346577"/>
            <w:bookmarkStart w:id="60" w:name="_Toc416278217"/>
            <w:bookmarkStart w:id="61" w:name="_Toc416346580"/>
            <w:bookmarkStart w:id="62" w:name="_Toc416278220"/>
            <w:bookmarkStart w:id="63" w:name="_Toc416346583"/>
            <w:bookmarkStart w:id="64" w:name="_Toc416278223"/>
            <w:bookmarkStart w:id="65" w:name="_Toc416346586"/>
            <w:bookmarkStart w:id="66" w:name="_Toc416278226"/>
            <w:bookmarkStart w:id="67" w:name="_Toc416346589"/>
            <w:bookmarkStart w:id="68" w:name="_Toc416278229"/>
            <w:bookmarkStart w:id="69" w:name="_Toc416346592"/>
            <w:bookmarkStart w:id="70" w:name="_Toc416278232"/>
            <w:bookmarkStart w:id="71" w:name="_Toc416346595"/>
            <w:bookmarkStart w:id="72" w:name="_Toc416278235"/>
            <w:bookmarkStart w:id="73" w:name="_Toc416346598"/>
            <w:bookmarkStart w:id="74" w:name="_Toc416278238"/>
            <w:bookmarkStart w:id="75" w:name="_Toc416346601"/>
            <w:bookmarkEnd w:id="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Style w:val="Emphasis"/>
              </w:rPr>
              <w:t>Background to our draft decision</w:t>
            </w:r>
          </w:p>
        </w:tc>
      </w:tr>
    </w:tbl>
    <w:p w:rsidR="001D392B" w:rsidRDefault="001D392B">
      <w:r>
        <w:rPr>
          <w:b/>
        </w:rPr>
        <w:br w:type="page"/>
      </w:r>
    </w:p>
    <w:tbl>
      <w:tblPr>
        <w:tblStyle w:val="AERTable-Text"/>
        <w:tblW w:w="0" w:type="auto"/>
        <w:tblInd w:w="108" w:type="dxa"/>
        <w:tblLook w:val="04A0" w:firstRow="1" w:lastRow="0" w:firstColumn="1" w:lastColumn="0" w:noHBand="0" w:noVBand="1"/>
      </w:tblPr>
      <w:tblGrid>
        <w:gridCol w:w="8080"/>
      </w:tblGrid>
      <w:tr w:rsidR="001D392B" w:rsidTr="000F6D0F">
        <w:trPr>
          <w:cnfStyle w:val="100000000000" w:firstRow="1" w:lastRow="0" w:firstColumn="0" w:lastColumn="0" w:oddVBand="0" w:evenVBand="0" w:oddHBand="0" w:evenHBand="0" w:firstRowFirstColumn="0" w:firstRowLastColumn="0" w:lastRowFirstColumn="0" w:lastRowLastColumn="0"/>
        </w:trPr>
        <w:tc>
          <w:tcPr>
            <w:tcW w:w="8080" w:type="dxa"/>
          </w:tcPr>
          <w:p w:rsidR="001D392B" w:rsidRPr="001D392B" w:rsidRDefault="001D392B" w:rsidP="001D392B">
            <w:pPr>
              <w:pStyle w:val="TableHeading"/>
              <w:rPr>
                <w:rStyle w:val="Emphasis"/>
              </w:rPr>
            </w:pPr>
            <w:r>
              <w:rPr>
                <w:rStyle w:val="Emphasis"/>
              </w:rPr>
              <w:t>Background to our draft decision</w:t>
            </w:r>
          </w:p>
        </w:tc>
      </w:tr>
    </w:tbl>
    <w:p w:rsidR="00F25B03" w:rsidRDefault="00A11D94" w:rsidP="00980826">
      <w:r>
        <w:t xml:space="preserve">Since APA submitted </w:t>
      </w:r>
      <w:r w:rsidR="00894B69">
        <w:t>its</w:t>
      </w:r>
      <w:r>
        <w:t xml:space="preserve"> original proposal</w:t>
      </w:r>
      <w:r w:rsidR="00113789">
        <w:t xml:space="preserve"> for the 2018-22</w:t>
      </w:r>
      <w:r>
        <w:t xml:space="preserve"> </w:t>
      </w:r>
      <w:r w:rsidR="00113789">
        <w:t xml:space="preserve">access arrangement </w:t>
      </w:r>
      <w:proofErr w:type="gramStart"/>
      <w:r w:rsidR="00113789">
        <w:t>period</w:t>
      </w:r>
      <w:proofErr w:type="gramEnd"/>
      <w:r w:rsidR="00113789">
        <w:t xml:space="preserve"> </w:t>
      </w:r>
      <w:r>
        <w:t>o</w:t>
      </w:r>
      <w:r w:rsidR="00A46F5B">
        <w:t xml:space="preserve">n 3 January 2017, </w:t>
      </w:r>
      <w:r w:rsidR="00113789">
        <w:t xml:space="preserve">a number of market developments occurred that increased uncertainty in relation to gas supply and demand, particularly </w:t>
      </w:r>
      <w:r w:rsidR="00C90B99">
        <w:t xml:space="preserve">for </w:t>
      </w:r>
      <w:r w:rsidR="00906D0F">
        <w:t>g</w:t>
      </w:r>
      <w:r w:rsidR="00C90B99">
        <w:t xml:space="preserve">as </w:t>
      </w:r>
      <w:r w:rsidR="00906D0F">
        <w:t>p</w:t>
      </w:r>
      <w:r w:rsidR="00C90B99">
        <w:t xml:space="preserve">owered </w:t>
      </w:r>
      <w:r w:rsidR="00906D0F">
        <w:t>g</w:t>
      </w:r>
      <w:r w:rsidR="00C90B99">
        <w:t>eneration (GPG). These developments included:</w:t>
      </w:r>
    </w:p>
    <w:p w:rsidR="00113789" w:rsidRDefault="00113789" w:rsidP="00C90B99">
      <w:pPr>
        <w:pStyle w:val="AERbulletlistfirststyle"/>
      </w:pPr>
      <w:r>
        <w:t>electricity and gas s</w:t>
      </w:r>
      <w:r w:rsidR="00894B69">
        <w:t>upply issues, and resulting g</w:t>
      </w:r>
      <w:r>
        <w:t>overn</w:t>
      </w:r>
      <w:r w:rsidR="00C90B99">
        <w:t>ment intervention in the market</w:t>
      </w:r>
    </w:p>
    <w:p w:rsidR="00113789" w:rsidRDefault="00113789" w:rsidP="00C90B99">
      <w:pPr>
        <w:pStyle w:val="AERbulletlistfirststyle"/>
      </w:pPr>
      <w:r>
        <w:t xml:space="preserve">Federal Government </w:t>
      </w:r>
      <w:r w:rsidR="00FF2132">
        <w:t xml:space="preserve">responses </w:t>
      </w:r>
      <w:r w:rsidR="00FF2132" w:rsidRPr="00324444">
        <w:t>includ</w:t>
      </w:r>
      <w:r w:rsidR="00FF2132">
        <w:t xml:space="preserve">ing </w:t>
      </w:r>
      <w:r w:rsidR="00FF2132" w:rsidRPr="00324444">
        <w:t>a new</w:t>
      </w:r>
      <w:r w:rsidR="00FF2132">
        <w:t xml:space="preserve"> </w:t>
      </w:r>
      <w:r w:rsidR="00FF2132" w:rsidRPr="00324444">
        <w:t xml:space="preserve">power to limit </w:t>
      </w:r>
      <w:r w:rsidR="00FF2132">
        <w:t xml:space="preserve">gas </w:t>
      </w:r>
      <w:r w:rsidR="00FF2132" w:rsidRPr="00324444">
        <w:t>exports</w:t>
      </w:r>
      <w:r w:rsidR="00FF2132">
        <w:t xml:space="preserve"> </w:t>
      </w:r>
      <w:r w:rsidR="00C90B99">
        <w:t xml:space="preserve">under certain conditions </w:t>
      </w:r>
    </w:p>
    <w:p w:rsidR="00C90B99" w:rsidRDefault="003A4720" w:rsidP="00C90B99">
      <w:pPr>
        <w:pStyle w:val="AERbulletlistfirststyle"/>
      </w:pPr>
      <w:r>
        <w:t>c</w:t>
      </w:r>
      <w:r w:rsidR="00C90B99">
        <w:t>losure of the Hazelwood generator</w:t>
      </w:r>
    </w:p>
    <w:p w:rsidR="00C90B99" w:rsidRDefault="00C90B99" w:rsidP="00C90B99">
      <w:pPr>
        <w:pStyle w:val="AERbulletlistfirststyle"/>
      </w:pPr>
      <w:proofErr w:type="gramStart"/>
      <w:r w:rsidRPr="00FF47D8">
        <w:t>a</w:t>
      </w:r>
      <w:proofErr w:type="gramEnd"/>
      <w:r w:rsidRPr="00FF47D8">
        <w:t xml:space="preserve"> threat to system security identified and issued </w:t>
      </w:r>
      <w:r>
        <w:t xml:space="preserve">by </w:t>
      </w:r>
      <w:r w:rsidR="00F91F23">
        <w:t>the</w:t>
      </w:r>
      <w:r w:rsidR="00F91F23" w:rsidRPr="00FF47D8">
        <w:t xml:space="preserve"> Australian Energy Market Operator </w:t>
      </w:r>
      <w:r w:rsidR="00F91F23">
        <w:t>(</w:t>
      </w:r>
      <w:r>
        <w:t>AEMO</w:t>
      </w:r>
      <w:r w:rsidR="00F91F23">
        <w:t>)</w:t>
      </w:r>
      <w:r w:rsidRPr="00FF47D8">
        <w:t xml:space="preserve"> on 10 March 2017</w:t>
      </w:r>
      <w:r>
        <w:rPr>
          <w:rStyle w:val="FootnoteReference"/>
        </w:rPr>
        <w:footnoteReference w:id="2"/>
      </w:r>
      <w:r w:rsidRPr="00FF47D8">
        <w:t xml:space="preserve"> following the publication of the 2017 Victorian Gas Planning Report (VGPR).</w:t>
      </w:r>
      <w:r>
        <w:rPr>
          <w:rStyle w:val="FootnoteReference"/>
        </w:rPr>
        <w:footnoteReference w:id="3"/>
      </w:r>
    </w:p>
    <w:p w:rsidR="00FF47D8" w:rsidRDefault="00F25B03" w:rsidP="00980826">
      <w:r>
        <w:t xml:space="preserve">Submissions on </w:t>
      </w:r>
      <w:r w:rsidR="00C90B99">
        <w:t>APA's original</w:t>
      </w:r>
      <w:r>
        <w:t xml:space="preserve"> proposal</w:t>
      </w:r>
      <w:r w:rsidR="00C90B99">
        <w:t>,</w:t>
      </w:r>
      <w:r>
        <w:t xml:space="preserve"> from </w:t>
      </w:r>
      <w:r w:rsidR="002F3070">
        <w:t xml:space="preserve">a number of </w:t>
      </w:r>
      <w:r>
        <w:t xml:space="preserve">APA's users and </w:t>
      </w:r>
      <w:r w:rsidR="00F91F23">
        <w:t>AEMO</w:t>
      </w:r>
      <w:r w:rsidR="00894B69">
        <w:t>,</w:t>
      </w:r>
      <w:r w:rsidR="00727C39">
        <w:t xml:space="preserve"> </w:t>
      </w:r>
      <w:r>
        <w:t xml:space="preserve">expressed the need for additional investment in the </w:t>
      </w:r>
      <w:r w:rsidRPr="0017632B">
        <w:t>Victorian Transmission System (VTS)</w:t>
      </w:r>
      <w:r>
        <w:t xml:space="preserve"> above that proposed by APA. In particular, submissions supported additional augmentation </w:t>
      </w:r>
      <w:r w:rsidR="00FF47D8">
        <w:t>to address foreca</w:t>
      </w:r>
      <w:r w:rsidR="009917D1">
        <w:t>st tightening of the gas supply/</w:t>
      </w:r>
      <w:r w:rsidR="00FF47D8">
        <w:t xml:space="preserve">demand balance in Victoria, South Australia and NSW. </w:t>
      </w:r>
    </w:p>
    <w:p w:rsidR="00C64E03" w:rsidRDefault="00783257" w:rsidP="00980826">
      <w:r>
        <w:t xml:space="preserve">In response to </w:t>
      </w:r>
      <w:r w:rsidR="00C90B99">
        <w:t>gas market developments and submissions</w:t>
      </w:r>
      <w:r w:rsidR="00C64E03">
        <w:t>, APA submitted what likely solutions might look like, specifically</w:t>
      </w:r>
      <w:r w:rsidR="007B01C8">
        <w:t xml:space="preserve"> submitting a full business case for</w:t>
      </w:r>
      <w:r w:rsidR="00C64E03">
        <w:t xml:space="preserve"> bringing forward construction of the Western Outer Ring Main (the WORM)</w:t>
      </w:r>
      <w:r w:rsidR="00946AAD">
        <w:t>,</w:t>
      </w:r>
      <w:r w:rsidR="00C64E03">
        <w:t xml:space="preserve"> the need for which had been </w:t>
      </w:r>
      <w:r w:rsidR="00042F27">
        <w:t>anticipated by APA</w:t>
      </w:r>
      <w:r w:rsidR="00C64E03">
        <w:t xml:space="preserve"> in the </w:t>
      </w:r>
      <w:r w:rsidR="003A4720">
        <w:t>2023–</w:t>
      </w:r>
      <w:r w:rsidR="00397A83">
        <w:t>2027</w:t>
      </w:r>
      <w:r w:rsidR="00C64E03">
        <w:t xml:space="preserve"> period. </w:t>
      </w:r>
      <w:r w:rsidR="00727C39">
        <w:t>Further consultation</w:t>
      </w:r>
      <w:r w:rsidR="00042F27">
        <w:t xml:space="preserve"> with AEMO indicated that construction of the WORM would meet their requirements to alleviate security issues related to the balance of supply and demand in the VTS.</w:t>
      </w:r>
      <w:r w:rsidR="00727C39">
        <w:t xml:space="preserve"> We also sought the advice of the AER's</w:t>
      </w:r>
      <w:r w:rsidR="00946AAD">
        <w:t xml:space="preserve"> Consumer Challenge Panel</w:t>
      </w:r>
      <w:r w:rsidR="006D6779">
        <w:t xml:space="preserve"> (CCP11)</w:t>
      </w:r>
      <w:r w:rsidR="00946AAD">
        <w:t xml:space="preserve"> </w:t>
      </w:r>
      <w:r w:rsidR="00727C39">
        <w:t xml:space="preserve">on whether this expenditure would serve the </w:t>
      </w:r>
      <w:r w:rsidR="00946AAD">
        <w:t>long-term interests of consumers.</w:t>
      </w:r>
    </w:p>
    <w:p w:rsidR="00946AAD" w:rsidRDefault="00946AAD" w:rsidP="00980826">
      <w:r>
        <w:t xml:space="preserve">This draft decision </w:t>
      </w:r>
      <w:r w:rsidR="00FF2132">
        <w:t xml:space="preserve">address issues raised in submissions and </w:t>
      </w:r>
      <w:r>
        <w:t xml:space="preserve">includes </w:t>
      </w:r>
      <w:r w:rsidR="008C705E">
        <w:t xml:space="preserve">additional </w:t>
      </w:r>
      <w:r>
        <w:t>capital expenditure</w:t>
      </w:r>
      <w:r w:rsidR="008C705E">
        <w:t xml:space="preserve"> </w:t>
      </w:r>
      <w:r w:rsidR="00E11A93">
        <w:t>not</w:t>
      </w:r>
      <w:r>
        <w:t xml:space="preserve"> </w:t>
      </w:r>
      <w:r w:rsidR="00727C39">
        <w:t>contemplated in APA's January proposal</w:t>
      </w:r>
      <w:r>
        <w:t>.</w:t>
      </w:r>
    </w:p>
    <w:p w:rsidR="00727C39" w:rsidRDefault="00727C39" w:rsidP="00E636F5">
      <w:r>
        <w:t>Our approval of additional capex for the</w:t>
      </w:r>
      <w:r w:rsidR="005E17E8">
        <w:t xml:space="preserve"> construction of the</w:t>
      </w:r>
      <w:r>
        <w:t xml:space="preserve"> WORM </w:t>
      </w:r>
      <w:r w:rsidR="00C90B99">
        <w:t>also has</w:t>
      </w:r>
      <w:r w:rsidR="00015508">
        <w:t xml:space="preserve"> consequential impacts on opex, overall revenue and tariffs. Our draft decision shares these additional costs between</w:t>
      </w:r>
      <w:r w:rsidR="005D0DEC">
        <w:t xml:space="preserve"> </w:t>
      </w:r>
      <w:r w:rsidR="00BF4A2E">
        <w:t xml:space="preserve">those using withdrawal zones that use </w:t>
      </w:r>
      <w:r w:rsidR="00BF4A2E" w:rsidRPr="00BF4A2E">
        <w:t xml:space="preserve">the </w:t>
      </w:r>
      <w:r w:rsidR="00BF4A2E">
        <w:t xml:space="preserve">new </w:t>
      </w:r>
      <w:r w:rsidR="00BF4A2E" w:rsidRPr="00BF4A2E">
        <w:t>flow path incorporating the WORM</w:t>
      </w:r>
      <w:r w:rsidR="00BF4A2E">
        <w:t>.</w:t>
      </w:r>
    </w:p>
    <w:p w:rsidR="008C3C5D" w:rsidRPr="00783257" w:rsidRDefault="0004769E" w:rsidP="00783257">
      <w:pPr>
        <w:spacing w:line="240" w:lineRule="auto"/>
      </w:pPr>
      <w:r>
        <w:t xml:space="preserve">As part of our consultation </w:t>
      </w:r>
      <w:r w:rsidR="00397A83">
        <w:t xml:space="preserve">on </w:t>
      </w:r>
      <w:r>
        <w:t xml:space="preserve">this draft decision we seek stakeholder views on whether </w:t>
      </w:r>
      <w:r w:rsidR="00C713A2">
        <w:t xml:space="preserve">APA's WORM </w:t>
      </w:r>
      <w:r>
        <w:t>proposal addresses their concerns.</w:t>
      </w:r>
    </w:p>
    <w:p w:rsidR="00DE563D" w:rsidRDefault="00F66400" w:rsidP="00471BC6">
      <w:pPr>
        <w:pStyle w:val="Heading1"/>
      </w:pPr>
      <w:bookmarkStart w:id="76" w:name="_Toc487018260"/>
      <w:r>
        <w:t>Introduction</w:t>
      </w:r>
      <w:bookmarkEnd w:id="76"/>
      <w:r>
        <w:t xml:space="preserve"> </w:t>
      </w:r>
    </w:p>
    <w:p w:rsidR="00B61E79" w:rsidRPr="00892C24" w:rsidRDefault="00B61E79" w:rsidP="00B61E79">
      <w:r w:rsidRPr="00892C24">
        <w:t xml:space="preserve">The Australian Energy Regulator (AER) regulates energy markets and networks under national energy market legislation and rules. </w:t>
      </w:r>
      <w:r>
        <w:t>Our</w:t>
      </w:r>
      <w:r w:rsidRPr="00892C24">
        <w:t xml:space="preserve"> </w:t>
      </w:r>
      <w:r w:rsidR="009B636C">
        <w:t xml:space="preserve">network regulatory </w:t>
      </w:r>
      <w:r w:rsidRPr="00892C24">
        <w:t xml:space="preserve">functions, which relate to energy </w:t>
      </w:r>
      <w:r w:rsidR="009B636C">
        <w:t>networks in all Australian states and territories, except Western</w:t>
      </w:r>
      <w:r w:rsidRPr="00892C24">
        <w:t xml:space="preserve"> Australia, include setting the amount of revenue that </w:t>
      </w:r>
      <w:r>
        <w:t xml:space="preserve">monopoly </w:t>
      </w:r>
      <w:r w:rsidRPr="00892C24">
        <w:t>network businesses can recover from customers for using networks (electricity poles and wires and gas pipelines) that transport energy.</w:t>
      </w:r>
    </w:p>
    <w:p w:rsidR="00B61E79" w:rsidRPr="00892C24" w:rsidRDefault="00B61E79" w:rsidP="00B61E79">
      <w:r w:rsidRPr="00892C24">
        <w:t xml:space="preserve">The National Gas </w:t>
      </w:r>
      <w:r>
        <w:t xml:space="preserve">Law and </w:t>
      </w:r>
      <w:r w:rsidRPr="00892C24">
        <w:t>Rules (</w:t>
      </w:r>
      <w:r>
        <w:t xml:space="preserve">NGL and </w:t>
      </w:r>
      <w:r w:rsidRPr="00892C24">
        <w:t>NGR) provide the regulatory framework governing gas networks. Our work under this framework is guided by the National Gas Objective (NGO):</w:t>
      </w:r>
      <w:r w:rsidRPr="00892C24">
        <w:rPr>
          <w:rStyle w:val="FootnoteReference"/>
        </w:rPr>
        <w:footnoteReference w:id="4"/>
      </w:r>
    </w:p>
    <w:p w:rsidR="00B61E79" w:rsidRPr="00892C24" w:rsidRDefault="00B61E79" w:rsidP="00B61E79">
      <w:pPr>
        <w:pStyle w:val="AERquote"/>
      </w:pPr>
      <w:r w:rsidRPr="00892C24">
        <w:t xml:space="preserve">…to promote efficient investment in, and efficient operation and use of, natural gas services for the long term interests of consumers of natural gas with respect to price, quality, safety, reliability and security of supply of natural gas. </w:t>
      </w:r>
    </w:p>
    <w:p w:rsidR="00B61E79" w:rsidRPr="00892C24" w:rsidRDefault="00B4195F" w:rsidP="00B4195F">
      <w:r w:rsidRPr="00B4195F">
        <w:t>APA VTS Australia (Operations)</w:t>
      </w:r>
      <w:r>
        <w:t xml:space="preserve"> </w:t>
      </w:r>
      <w:r w:rsidRPr="00B4195F">
        <w:t>Pty Ltd and APA VTS Australia (NSW) Pty Ltd</w:t>
      </w:r>
      <w:r>
        <w:t xml:space="preserve"> (</w:t>
      </w:r>
      <w:r w:rsidR="00603AFD">
        <w:t>APA</w:t>
      </w:r>
      <w:r>
        <w:t>)</w:t>
      </w:r>
      <w:r w:rsidR="00BF4A2E" w:rsidRPr="00BF4A2E">
        <w:t xml:space="preserve"> </w:t>
      </w:r>
      <w:r>
        <w:t>own</w:t>
      </w:r>
      <w:r w:rsidR="00BF4A2E" w:rsidRPr="00BF4A2E">
        <w:t xml:space="preserve"> the </w:t>
      </w:r>
      <w:r w:rsidR="00603AFD">
        <w:t>Victorian Transmission System (</w:t>
      </w:r>
      <w:r w:rsidR="00BF4A2E" w:rsidRPr="00BF4A2E">
        <w:t>VTS</w:t>
      </w:r>
      <w:r w:rsidR="00603AFD">
        <w:t>)</w:t>
      </w:r>
      <w:r>
        <w:rPr>
          <w:rStyle w:val="FootnoteReference"/>
        </w:rPr>
        <w:footnoteReference w:id="5"/>
      </w:r>
      <w:r w:rsidR="00BF4A2E" w:rsidRPr="00BF4A2E">
        <w:t xml:space="preserve">, which is the </w:t>
      </w:r>
      <w:r w:rsidR="00BF4A2E">
        <w:t xml:space="preserve">primary transmission system for </w:t>
      </w:r>
      <w:r w:rsidR="00BF4A2E" w:rsidRPr="00BF4A2E">
        <w:t>the delivery of gas throughout Victoria.</w:t>
      </w:r>
      <w:r w:rsidR="00BF4A2E" w:rsidRPr="00892C24">
        <w:t xml:space="preserve"> </w:t>
      </w:r>
      <w:r w:rsidR="00B61E79" w:rsidRPr="00892C24">
        <w:t xml:space="preserve">Gas pipelines that are subject to full regulation—like </w:t>
      </w:r>
      <w:r w:rsidR="005E17E8">
        <w:t>the VTS</w:t>
      </w:r>
      <w:r w:rsidR="00B61E79" w:rsidRPr="00892C24">
        <w:t xml:space="preserve">—are regulated by </w:t>
      </w:r>
      <w:r w:rsidR="004B157A">
        <w:t>the AER under an approved access arrangement.</w:t>
      </w:r>
      <w:r w:rsidR="0094138C" w:rsidRPr="0094138C">
        <w:rPr>
          <w:rStyle w:val="FootnoteReference"/>
        </w:rPr>
        <w:t xml:space="preserve"> </w:t>
      </w:r>
      <w:r w:rsidR="0094138C" w:rsidRPr="0094138C">
        <w:rPr>
          <w:rStyle w:val="FootnoteReference"/>
        </w:rPr>
        <w:footnoteReference w:id="6"/>
      </w:r>
      <w:r w:rsidR="0094138C" w:rsidRPr="0094138C">
        <w:t xml:space="preserve"> </w:t>
      </w:r>
      <w:r w:rsidR="004B157A">
        <w:t xml:space="preserve">An access arrangement </w:t>
      </w:r>
      <w:r w:rsidR="00A171F7">
        <w:t>specifies</w:t>
      </w:r>
      <w:r w:rsidR="004B157A">
        <w:t xml:space="preserve"> certain pipeline services (</w:t>
      </w:r>
      <w:r w:rsidR="00B61E79" w:rsidRPr="00892C24">
        <w:t>reference services</w:t>
      </w:r>
      <w:r w:rsidR="004B157A">
        <w:t>),</w:t>
      </w:r>
      <w:r w:rsidR="00B61E79" w:rsidRPr="00892C24">
        <w:t xml:space="preserve"> and </w:t>
      </w:r>
      <w:r w:rsidR="004B157A">
        <w:t xml:space="preserve">the </w:t>
      </w:r>
      <w:r w:rsidR="00B61E79" w:rsidRPr="00892C24">
        <w:t xml:space="preserve">price and non-price terms and conditions on which those </w:t>
      </w:r>
      <w:r w:rsidR="00BA6A37">
        <w:t xml:space="preserve">reference </w:t>
      </w:r>
      <w:r w:rsidR="00B61E79" w:rsidRPr="00892C24">
        <w:t xml:space="preserve">services will be offered </w:t>
      </w:r>
      <w:r w:rsidR="009B636C">
        <w:t>over the next five years (2018–2022)</w:t>
      </w:r>
      <w:r w:rsidR="00B61E79" w:rsidRPr="00892C24">
        <w:t>.</w:t>
      </w:r>
    </w:p>
    <w:p w:rsidR="00BA6326" w:rsidRDefault="00B61E79" w:rsidP="00BA6326">
      <w:r>
        <w:t xml:space="preserve">To </w:t>
      </w:r>
      <w:r w:rsidR="004B157A">
        <w:t>approve an access arrangement</w:t>
      </w:r>
      <w:r>
        <w:t>, w</w:t>
      </w:r>
      <w:r w:rsidRPr="00892C24">
        <w:t xml:space="preserve">e make decisions on the revenue that </w:t>
      </w:r>
      <w:r w:rsidR="005755A7">
        <w:t>APA</w:t>
      </w:r>
      <w:r w:rsidRPr="00892C24">
        <w:t xml:space="preserve"> can recover from users of its </w:t>
      </w:r>
      <w:r>
        <w:t>reference services</w:t>
      </w:r>
      <w:r w:rsidRPr="00892C24">
        <w:t xml:space="preserve">. </w:t>
      </w:r>
      <w:r w:rsidR="004B157A">
        <w:t>For this draft decision, o</w:t>
      </w:r>
      <w:r w:rsidRPr="00892C24">
        <w:t>ur assessment is</w:t>
      </w:r>
      <w:r>
        <w:t xml:space="preserve"> based on the</w:t>
      </w:r>
      <w:r w:rsidRPr="00892C24">
        <w:t xml:space="preserve"> proposal </w:t>
      </w:r>
      <w:r>
        <w:t xml:space="preserve">submitted by </w:t>
      </w:r>
      <w:r w:rsidR="005755A7">
        <w:t>APA</w:t>
      </w:r>
      <w:r>
        <w:t xml:space="preserve"> </w:t>
      </w:r>
      <w:r w:rsidRPr="00892C24">
        <w:t>for</w:t>
      </w:r>
      <w:r w:rsidR="008A4E8E">
        <w:t xml:space="preserve"> the VTS</w:t>
      </w:r>
      <w:r w:rsidRPr="00892C24">
        <w:t xml:space="preserve"> on</w:t>
      </w:r>
      <w:r w:rsidRPr="00F91F23">
        <w:rPr>
          <w:rStyle w:val="AERbody"/>
        </w:rPr>
        <w:t xml:space="preserve"> </w:t>
      </w:r>
      <w:r w:rsidR="008A4E8E" w:rsidRPr="00F91F23">
        <w:rPr>
          <w:rStyle w:val="AERbody"/>
        </w:rPr>
        <w:t>3</w:t>
      </w:r>
      <w:r w:rsidRPr="00892C24">
        <w:t xml:space="preserve"> </w:t>
      </w:r>
      <w:r w:rsidR="008A4E8E">
        <w:t>January 2017</w:t>
      </w:r>
      <w:r w:rsidR="00A171F7">
        <w:t xml:space="preserve"> amended to incorporate the updated WORM forecast expenditure</w:t>
      </w:r>
      <w:r w:rsidRPr="00892C24">
        <w:t xml:space="preserve">. </w:t>
      </w:r>
      <w:r w:rsidR="005755A7">
        <w:t>APA</w:t>
      </w:r>
      <w:r>
        <w:t>'s</w:t>
      </w:r>
      <w:r w:rsidRPr="00892C24">
        <w:t xml:space="preserve"> proposal </w:t>
      </w:r>
      <w:r>
        <w:t>sets out its view of its expected costs</w:t>
      </w:r>
      <w:r w:rsidR="00FF2132">
        <w:t>, demand</w:t>
      </w:r>
      <w:r>
        <w:t xml:space="preserve"> and required revenues for the </w:t>
      </w:r>
      <w:r w:rsidRPr="00892C24">
        <w:t>period 1 January 2018 to 31 December 2022.</w:t>
      </w:r>
    </w:p>
    <w:p w:rsidR="005C4732" w:rsidRPr="005C4732" w:rsidRDefault="005C4732" w:rsidP="005C4732">
      <w:r w:rsidRPr="005C4732">
        <w:t xml:space="preserve">This Overview, together with its attachments, constitutes our draft decision on </w:t>
      </w:r>
      <w:r w:rsidR="003F22EA">
        <w:t>APA'</w:t>
      </w:r>
      <w:r w:rsidR="008A4E8E">
        <w:t>s</w:t>
      </w:r>
      <w:r w:rsidRPr="005C4732">
        <w:t xml:space="preserve"> access arrangement proposal</w:t>
      </w:r>
      <w:r w:rsidR="008A4E8E">
        <w:t xml:space="preserve"> for the VTS</w:t>
      </w:r>
      <w:r w:rsidRPr="005C4732">
        <w:t xml:space="preserve">. This draft decision is one of the key steps in reaching our final decision. </w:t>
      </w:r>
      <w:r w:rsidR="003F22EA">
        <w:t xml:space="preserve">APA </w:t>
      </w:r>
      <w:r w:rsidRPr="005C4732">
        <w:t xml:space="preserve">will have the opportunity to submit a revised proposal in response to this draft decision. Stakeholders will then have the opportunity to make submissions to us on both our draft decision and </w:t>
      </w:r>
      <w:r w:rsidR="008A4E8E">
        <w:t>APA's</w:t>
      </w:r>
      <w:r w:rsidRPr="005C4732">
        <w:t xml:space="preserve"> revised proposal. Subject to stakeholder interest, we will also consider holding a public for</w:t>
      </w:r>
      <w:r>
        <w:t xml:space="preserve">um following submission of </w:t>
      </w:r>
      <w:r w:rsidR="008A4E8E">
        <w:t>APA's</w:t>
      </w:r>
      <w:r w:rsidRPr="005C4732">
        <w:t xml:space="preserve"> revised proposal.</w:t>
      </w:r>
    </w:p>
    <w:p w:rsidR="005C4732" w:rsidRDefault="005C4732" w:rsidP="005C4732">
      <w:r w:rsidRPr="005C4732">
        <w:t xml:space="preserve">Following receipt of the revised proposal and submissions, we will then make our final decision taking into account the revised proposal, submissions and any other relevant information. </w:t>
      </w:r>
      <w:r w:rsidR="00FF2E54">
        <w:fldChar w:fldCharType="begin"/>
      </w:r>
      <w:r w:rsidR="00FF2E54">
        <w:instrText xml:space="preserve"> REF _Ref483242202 \h </w:instrText>
      </w:r>
      <w:r w:rsidR="00FF2E54">
        <w:fldChar w:fldCharType="separate"/>
      </w:r>
      <w:r w:rsidR="00971C32">
        <w:t xml:space="preserve">Table </w:t>
      </w:r>
      <w:r w:rsidR="00971C32">
        <w:rPr>
          <w:noProof/>
        </w:rPr>
        <w:t>1</w:t>
      </w:r>
      <w:r w:rsidR="00971C32">
        <w:noBreakHyphen/>
      </w:r>
      <w:r w:rsidR="00971C32">
        <w:rPr>
          <w:noProof/>
        </w:rPr>
        <w:t>1</w:t>
      </w:r>
      <w:r w:rsidR="00FF2E54">
        <w:fldChar w:fldCharType="end"/>
      </w:r>
      <w:r w:rsidR="00FF2E54">
        <w:t xml:space="preserve"> </w:t>
      </w:r>
      <w:r w:rsidRPr="005C4732">
        <w:t>lists key dates and consultation deadlines for this review.</w:t>
      </w:r>
    </w:p>
    <w:p w:rsidR="005C4732" w:rsidRPr="00AB66ED" w:rsidRDefault="00FF2E54" w:rsidP="00783257">
      <w:pPr>
        <w:pStyle w:val="Caption"/>
      </w:pPr>
      <w:bookmarkStart w:id="77" w:name="_Ref483242202"/>
      <w:r>
        <w:t xml:space="preserve">Table </w:t>
      </w:r>
      <w:fldSimple w:instr=" STYLEREF 1 \s ">
        <w:r w:rsidR="00971C32">
          <w:rPr>
            <w:noProof/>
          </w:rPr>
          <w:t>1</w:t>
        </w:r>
      </w:fldSimple>
      <w:r w:rsidR="009F6AC3">
        <w:noBreakHyphen/>
      </w:r>
      <w:fldSimple w:instr=" SEQ Table \* ARABIC \s 1 ">
        <w:r w:rsidR="00971C32">
          <w:rPr>
            <w:noProof/>
          </w:rPr>
          <w:t>1</w:t>
        </w:r>
      </w:fldSimple>
      <w:bookmarkEnd w:id="77"/>
      <w:r>
        <w:t xml:space="preserve"> </w:t>
      </w:r>
      <w:r>
        <w:tab/>
      </w:r>
      <w:r w:rsidR="005C4732" w:rsidRPr="00AB66ED">
        <w:t>Key dates and consultation timelines</w:t>
      </w:r>
    </w:p>
    <w:tbl>
      <w:tblPr>
        <w:tblStyle w:val="AERTable-Text"/>
        <w:tblW w:w="0" w:type="auto"/>
        <w:tblLook w:val="04A0" w:firstRow="1" w:lastRow="0" w:firstColumn="1" w:lastColumn="0" w:noHBand="0" w:noVBand="1"/>
      </w:tblPr>
      <w:tblGrid>
        <w:gridCol w:w="6062"/>
        <w:gridCol w:w="2631"/>
      </w:tblGrid>
      <w:tr w:rsidR="005C4732" w:rsidTr="002B142E">
        <w:trPr>
          <w:cnfStyle w:val="100000000000" w:firstRow="1" w:lastRow="0" w:firstColumn="0" w:lastColumn="0" w:oddVBand="0" w:evenVBand="0" w:oddHBand="0" w:evenHBand="0" w:firstRowFirstColumn="0" w:firstRowLastColumn="0" w:lastRowFirstColumn="0" w:lastRowLastColumn="0"/>
        </w:trPr>
        <w:tc>
          <w:tcPr>
            <w:tcW w:w="6062" w:type="dxa"/>
          </w:tcPr>
          <w:p w:rsidR="005C4732" w:rsidRPr="00AB66ED" w:rsidRDefault="005C4732" w:rsidP="00783257">
            <w:pPr>
              <w:pStyle w:val="Tabletext"/>
              <w:keepNext/>
            </w:pPr>
            <w:r w:rsidRPr="00AB66ED">
              <w:t>Task</w:t>
            </w:r>
          </w:p>
        </w:tc>
        <w:tc>
          <w:tcPr>
            <w:tcW w:w="2631" w:type="dxa"/>
          </w:tcPr>
          <w:p w:rsidR="005C4732" w:rsidRPr="00AB66ED" w:rsidRDefault="005C4732" w:rsidP="00783257">
            <w:pPr>
              <w:pStyle w:val="Tabletext-right"/>
              <w:keepNext/>
            </w:pPr>
            <w:r w:rsidRPr="00AB66ED">
              <w:t>Date</w:t>
            </w:r>
          </w:p>
        </w:tc>
      </w:tr>
      <w:tr w:rsidR="005C4732" w:rsidTr="002B142E">
        <w:tc>
          <w:tcPr>
            <w:tcW w:w="6062" w:type="dxa"/>
          </w:tcPr>
          <w:p w:rsidR="005C4732" w:rsidRPr="005C4732" w:rsidRDefault="005C4732" w:rsidP="00783257">
            <w:pPr>
              <w:pStyle w:val="Tabletext"/>
              <w:keepNext/>
              <w:rPr>
                <w:rStyle w:val="AERtextsize8"/>
              </w:rPr>
            </w:pPr>
            <w:r w:rsidRPr="00AB66ED">
              <w:rPr>
                <w:rStyle w:val="AERtextsize8"/>
              </w:rPr>
              <w:t xml:space="preserve">Access arrangement </w:t>
            </w:r>
            <w:r w:rsidRPr="005C4732">
              <w:rPr>
                <w:rStyle w:val="AERtextsize8"/>
              </w:rPr>
              <w:t xml:space="preserve">revision proposal submitted to the AER </w:t>
            </w:r>
          </w:p>
        </w:tc>
        <w:tc>
          <w:tcPr>
            <w:tcW w:w="2631" w:type="dxa"/>
          </w:tcPr>
          <w:p w:rsidR="005C4732" w:rsidRPr="005C4732" w:rsidRDefault="005C4732" w:rsidP="00783257">
            <w:pPr>
              <w:pStyle w:val="Tabletext-right"/>
              <w:keepNext/>
              <w:rPr>
                <w:rStyle w:val="AERtextsize8"/>
              </w:rPr>
            </w:pPr>
            <w:r>
              <w:rPr>
                <w:rStyle w:val="AERtextsize8"/>
              </w:rPr>
              <w:t>3 January 2017</w:t>
            </w:r>
          </w:p>
        </w:tc>
      </w:tr>
      <w:tr w:rsidR="005C4732" w:rsidTr="002B142E">
        <w:trPr>
          <w:cnfStyle w:val="000000010000" w:firstRow="0" w:lastRow="0" w:firstColumn="0" w:lastColumn="0" w:oddVBand="0" w:evenVBand="0" w:oddHBand="0" w:evenHBand="1" w:firstRowFirstColumn="0" w:firstRowLastColumn="0" w:lastRowFirstColumn="0" w:lastRowLastColumn="0"/>
        </w:trPr>
        <w:tc>
          <w:tcPr>
            <w:tcW w:w="6062" w:type="dxa"/>
          </w:tcPr>
          <w:p w:rsidR="005C4732" w:rsidRPr="005C4732" w:rsidRDefault="005C4732" w:rsidP="00783257">
            <w:pPr>
              <w:pStyle w:val="Tabletext"/>
              <w:keepNext/>
              <w:rPr>
                <w:rStyle w:val="AERtextsize8"/>
              </w:rPr>
            </w:pPr>
            <w:r>
              <w:rPr>
                <w:rStyle w:val="AERtextsize8"/>
              </w:rPr>
              <w:t>P</w:t>
            </w:r>
            <w:r w:rsidRPr="005C4732">
              <w:rPr>
                <w:rStyle w:val="AERtextsize8"/>
              </w:rPr>
              <w:t xml:space="preserve">ublic forum </w:t>
            </w:r>
          </w:p>
        </w:tc>
        <w:tc>
          <w:tcPr>
            <w:tcW w:w="2631" w:type="dxa"/>
          </w:tcPr>
          <w:p w:rsidR="005C4732" w:rsidRPr="005C4732" w:rsidRDefault="005C4732" w:rsidP="00783257">
            <w:pPr>
              <w:pStyle w:val="Tabletext-right"/>
              <w:keepNext/>
              <w:rPr>
                <w:rStyle w:val="AERtextsize8"/>
              </w:rPr>
            </w:pPr>
            <w:r>
              <w:rPr>
                <w:rStyle w:val="AERtextsize8"/>
              </w:rPr>
              <w:t>1 February 2017</w:t>
            </w:r>
          </w:p>
        </w:tc>
      </w:tr>
      <w:tr w:rsidR="005C4732" w:rsidTr="002B142E">
        <w:tc>
          <w:tcPr>
            <w:tcW w:w="6062" w:type="dxa"/>
          </w:tcPr>
          <w:p w:rsidR="005C4732" w:rsidRPr="00AB66ED" w:rsidRDefault="005C4732" w:rsidP="00783257">
            <w:pPr>
              <w:pStyle w:val="Tabletext"/>
              <w:keepNext/>
              <w:rPr>
                <w:rStyle w:val="AERtextsize8"/>
              </w:rPr>
            </w:pPr>
            <w:r w:rsidRPr="00AB66ED">
              <w:rPr>
                <w:rStyle w:val="AERtextsize8"/>
              </w:rPr>
              <w:t>Submissions on access arrangement proposal closed</w:t>
            </w:r>
          </w:p>
        </w:tc>
        <w:tc>
          <w:tcPr>
            <w:tcW w:w="2631" w:type="dxa"/>
          </w:tcPr>
          <w:p w:rsidR="005C4732" w:rsidRPr="005C4732" w:rsidRDefault="005C4732" w:rsidP="00783257">
            <w:pPr>
              <w:pStyle w:val="Tabletext-right"/>
              <w:keepNext/>
              <w:rPr>
                <w:rStyle w:val="AERtextsize8"/>
              </w:rPr>
            </w:pPr>
            <w:r>
              <w:rPr>
                <w:rStyle w:val="AERtextsize8"/>
              </w:rPr>
              <w:t>3 March 2017</w:t>
            </w:r>
          </w:p>
        </w:tc>
      </w:tr>
      <w:tr w:rsidR="005C4732" w:rsidTr="002B142E">
        <w:trPr>
          <w:cnfStyle w:val="000000010000" w:firstRow="0" w:lastRow="0" w:firstColumn="0" w:lastColumn="0" w:oddVBand="0" w:evenVBand="0" w:oddHBand="0" w:evenHBand="1" w:firstRowFirstColumn="0" w:firstRowLastColumn="0" w:lastRowFirstColumn="0" w:lastRowLastColumn="0"/>
        </w:trPr>
        <w:tc>
          <w:tcPr>
            <w:tcW w:w="6062" w:type="dxa"/>
          </w:tcPr>
          <w:p w:rsidR="005C4732" w:rsidRPr="00AB66ED" w:rsidRDefault="005C4732" w:rsidP="00783257">
            <w:pPr>
              <w:pStyle w:val="Tabletext"/>
              <w:keepNext/>
              <w:rPr>
                <w:rStyle w:val="AERtextsize8"/>
              </w:rPr>
            </w:pPr>
            <w:r w:rsidRPr="00AB66ED">
              <w:rPr>
                <w:rStyle w:val="AERtextsize8"/>
              </w:rPr>
              <w:t>AER draft decision published</w:t>
            </w:r>
          </w:p>
        </w:tc>
        <w:tc>
          <w:tcPr>
            <w:tcW w:w="2631" w:type="dxa"/>
          </w:tcPr>
          <w:p w:rsidR="005C4732" w:rsidRPr="00AB66ED" w:rsidRDefault="00DC3CCE" w:rsidP="00DC3CCE">
            <w:pPr>
              <w:pStyle w:val="Tabletext-right"/>
              <w:keepNext/>
              <w:rPr>
                <w:rStyle w:val="AERtextsize8"/>
              </w:rPr>
            </w:pPr>
            <w:r>
              <w:rPr>
                <w:rStyle w:val="AERtextsize8"/>
              </w:rPr>
              <w:t xml:space="preserve">6 </w:t>
            </w:r>
            <w:r w:rsidR="00004D69">
              <w:rPr>
                <w:rStyle w:val="AERtextsize8"/>
              </w:rPr>
              <w:t>Ju</w:t>
            </w:r>
            <w:r>
              <w:rPr>
                <w:rStyle w:val="AERtextsize8"/>
              </w:rPr>
              <w:t>ly</w:t>
            </w:r>
            <w:r w:rsidR="00004D69">
              <w:rPr>
                <w:rStyle w:val="AERtextsize8"/>
              </w:rPr>
              <w:t xml:space="preserve"> 2017</w:t>
            </w:r>
          </w:p>
        </w:tc>
      </w:tr>
      <w:tr w:rsidR="005C4732" w:rsidTr="002B142E">
        <w:tc>
          <w:tcPr>
            <w:tcW w:w="6062" w:type="dxa"/>
          </w:tcPr>
          <w:p w:rsidR="005C4732" w:rsidRPr="00AB66ED" w:rsidRDefault="005C4732" w:rsidP="00783257">
            <w:pPr>
              <w:pStyle w:val="Tabletext"/>
              <w:keepNext/>
              <w:rPr>
                <w:rStyle w:val="AERtextsize8"/>
              </w:rPr>
            </w:pPr>
            <w:r w:rsidRPr="00AB66ED">
              <w:rPr>
                <w:rStyle w:val="AERtextsize8"/>
              </w:rPr>
              <w:t xml:space="preserve">Revised proposal due </w:t>
            </w:r>
          </w:p>
        </w:tc>
        <w:tc>
          <w:tcPr>
            <w:tcW w:w="2631" w:type="dxa"/>
          </w:tcPr>
          <w:p w:rsidR="005C4732" w:rsidRPr="00AB66ED" w:rsidRDefault="00004D69" w:rsidP="00783257">
            <w:pPr>
              <w:pStyle w:val="Tabletext-right"/>
              <w:keepNext/>
              <w:rPr>
                <w:rStyle w:val="AERtextsize8"/>
              </w:rPr>
            </w:pPr>
            <w:r>
              <w:rPr>
                <w:rStyle w:val="AERtextsize8"/>
              </w:rPr>
              <w:t>14 August 2017</w:t>
            </w:r>
          </w:p>
        </w:tc>
      </w:tr>
      <w:tr w:rsidR="005C4732" w:rsidTr="002B142E">
        <w:trPr>
          <w:cnfStyle w:val="000000010000" w:firstRow="0" w:lastRow="0" w:firstColumn="0" w:lastColumn="0" w:oddVBand="0" w:evenVBand="0" w:oddHBand="0" w:evenHBand="1" w:firstRowFirstColumn="0" w:firstRowLastColumn="0" w:lastRowFirstColumn="0" w:lastRowLastColumn="0"/>
        </w:trPr>
        <w:tc>
          <w:tcPr>
            <w:tcW w:w="6062" w:type="dxa"/>
          </w:tcPr>
          <w:p w:rsidR="005C4732" w:rsidRPr="005C4732" w:rsidRDefault="005C4732" w:rsidP="00783257">
            <w:pPr>
              <w:pStyle w:val="Tabletext"/>
              <w:keepNext/>
              <w:rPr>
                <w:rStyle w:val="AERtextsize8"/>
              </w:rPr>
            </w:pPr>
            <w:r>
              <w:rPr>
                <w:rStyle w:val="AERtextsize8"/>
              </w:rPr>
              <w:t>S</w:t>
            </w:r>
            <w:r w:rsidRPr="005C4732">
              <w:rPr>
                <w:rStyle w:val="AERtextsize8"/>
              </w:rPr>
              <w:t>ubmissions on draft decision and revised proposal close</w:t>
            </w:r>
          </w:p>
        </w:tc>
        <w:tc>
          <w:tcPr>
            <w:tcW w:w="2631" w:type="dxa"/>
          </w:tcPr>
          <w:p w:rsidR="005C4732" w:rsidRPr="00AB66ED" w:rsidRDefault="00004D69" w:rsidP="00783257">
            <w:pPr>
              <w:pStyle w:val="Tabletext-right"/>
              <w:keepNext/>
              <w:rPr>
                <w:rStyle w:val="AERtextsize8"/>
              </w:rPr>
            </w:pPr>
            <w:r>
              <w:rPr>
                <w:rStyle w:val="AERtextsize8"/>
              </w:rPr>
              <w:t>15 September 2017</w:t>
            </w:r>
          </w:p>
        </w:tc>
      </w:tr>
      <w:tr w:rsidR="005C4732" w:rsidTr="002B142E">
        <w:tc>
          <w:tcPr>
            <w:tcW w:w="6062" w:type="dxa"/>
          </w:tcPr>
          <w:p w:rsidR="005C4732" w:rsidRPr="005C4732" w:rsidRDefault="005C4732" w:rsidP="00783257">
            <w:pPr>
              <w:pStyle w:val="Tabletext"/>
              <w:keepNext/>
              <w:rPr>
                <w:rStyle w:val="AERtextsize8"/>
              </w:rPr>
            </w:pPr>
            <w:r w:rsidRPr="00AB66ED">
              <w:rPr>
                <w:rStyle w:val="AERtextsize8"/>
              </w:rPr>
              <w:t>AER final decision published</w:t>
            </w:r>
            <w:r w:rsidRPr="005C4732">
              <w:rPr>
                <w:rStyle w:val="AERtextsize8"/>
              </w:rPr>
              <w:t>*</w:t>
            </w:r>
          </w:p>
        </w:tc>
        <w:tc>
          <w:tcPr>
            <w:tcW w:w="2631" w:type="dxa"/>
          </w:tcPr>
          <w:p w:rsidR="005C4732" w:rsidRPr="00AB66ED" w:rsidRDefault="00004D69" w:rsidP="00783257">
            <w:pPr>
              <w:pStyle w:val="Tabletext-right"/>
              <w:keepNext/>
              <w:rPr>
                <w:rStyle w:val="AERtextsize8"/>
              </w:rPr>
            </w:pPr>
            <w:r>
              <w:rPr>
                <w:rStyle w:val="AERtextsize8"/>
              </w:rPr>
              <w:t>29 November 2017</w:t>
            </w:r>
          </w:p>
        </w:tc>
      </w:tr>
    </w:tbl>
    <w:p w:rsidR="005C4732" w:rsidRPr="00071879" w:rsidRDefault="005C4732" w:rsidP="00783257">
      <w:pPr>
        <w:pStyle w:val="AERtablesource"/>
        <w:keepNext/>
      </w:pPr>
      <w:r>
        <w:t>*</w:t>
      </w:r>
      <w:r>
        <w:tab/>
        <w:t>This date is indicative only.</w:t>
      </w:r>
    </w:p>
    <w:p w:rsidR="005C4732" w:rsidRDefault="005C4732" w:rsidP="005C4732">
      <w:pPr>
        <w:pStyle w:val="Heading2"/>
      </w:pPr>
      <w:bookmarkStart w:id="78" w:name="_Toc487018261"/>
      <w:r w:rsidRPr="005C4732">
        <w:t>Structure of this overview</w:t>
      </w:r>
      <w:bookmarkEnd w:id="78"/>
    </w:p>
    <w:p w:rsidR="005C4732" w:rsidRPr="005C4732" w:rsidRDefault="00C51739" w:rsidP="005C4732">
      <w:r>
        <w:t>This o</w:t>
      </w:r>
      <w:r w:rsidR="005C4732" w:rsidRPr="005C4732">
        <w:t>verview provides a summary of our draft decision and its individual components:</w:t>
      </w:r>
    </w:p>
    <w:p w:rsidR="005C4732" w:rsidRPr="005C4732" w:rsidRDefault="005C4732" w:rsidP="005C4732">
      <w:pPr>
        <w:pStyle w:val="AERbulletlistfirststyle"/>
      </w:pPr>
      <w:r w:rsidRPr="005C4732">
        <w:t>Section 2 provides a high level summary of our draft decision</w:t>
      </w:r>
    </w:p>
    <w:p w:rsidR="00B61E79" w:rsidRPr="00524603" w:rsidRDefault="00B61E79" w:rsidP="00B61E79">
      <w:pPr>
        <w:pStyle w:val="AERbulletlistfirststyle"/>
      </w:pPr>
      <w:r>
        <w:t xml:space="preserve">Section </w:t>
      </w:r>
      <w:r w:rsidR="0087748B">
        <w:t xml:space="preserve">3 </w:t>
      </w:r>
      <w:r w:rsidRPr="00524603">
        <w:t xml:space="preserve">sets out our draft decision on </w:t>
      </w:r>
      <w:r>
        <w:t xml:space="preserve">the </w:t>
      </w:r>
      <w:r w:rsidRPr="00524603">
        <w:t>reference service</w:t>
      </w:r>
      <w:r>
        <w:t>s that will be covered by the access arrangement</w:t>
      </w:r>
      <w:r w:rsidRPr="00524603">
        <w:t xml:space="preserve">, </w:t>
      </w:r>
      <w:r>
        <w:t>and the mechanism for setting and varying reference tariffs</w:t>
      </w:r>
      <w:r w:rsidRPr="00524603">
        <w:t xml:space="preserve">. </w:t>
      </w:r>
    </w:p>
    <w:p w:rsidR="005C4732" w:rsidRPr="005C4732" w:rsidRDefault="005C4732" w:rsidP="005C4732">
      <w:pPr>
        <w:pStyle w:val="AERbulletlistfirststyle"/>
      </w:pPr>
      <w:r w:rsidRPr="005C4732">
        <w:t>Section 4 sets out our draft decision on the total revenue requirement</w:t>
      </w:r>
    </w:p>
    <w:p w:rsidR="005C4732" w:rsidRPr="005C4732" w:rsidRDefault="005C4732" w:rsidP="005C4732">
      <w:pPr>
        <w:pStyle w:val="AERbulletlistfirststyle"/>
      </w:pPr>
      <w:r w:rsidRPr="005C4732">
        <w:t>Section 5 provides a break-down of our revenue decision into its key components</w:t>
      </w:r>
    </w:p>
    <w:p w:rsidR="005C4732" w:rsidRPr="005C4732" w:rsidRDefault="008C3C5D" w:rsidP="005C4732">
      <w:pPr>
        <w:pStyle w:val="AERbulletlistfirststyle"/>
      </w:pPr>
      <w:r>
        <w:t>Section 6</w:t>
      </w:r>
      <w:r w:rsidR="005C4732" w:rsidRPr="005C4732">
        <w:t xml:space="preserve"> sets out our draft decision on the non-tariff components of </w:t>
      </w:r>
      <w:r w:rsidR="005755A7">
        <w:t>APA</w:t>
      </w:r>
      <w:r w:rsidR="005C4732" w:rsidRPr="005C4732">
        <w:t>'s access arrangement proposal</w:t>
      </w:r>
    </w:p>
    <w:p w:rsidR="005C4732" w:rsidRPr="005C4732" w:rsidRDefault="005C4732" w:rsidP="005C4732">
      <w:pPr>
        <w:pStyle w:val="AERbulletlistfirststyle"/>
      </w:pPr>
      <w:r w:rsidRPr="005C4732">
        <w:t xml:space="preserve">Section </w:t>
      </w:r>
      <w:r w:rsidR="008C3C5D">
        <w:t>7</w:t>
      </w:r>
      <w:r w:rsidRPr="005C4732">
        <w:t xml:space="preserve"> explains our views on the regulatory framework and the NGO</w:t>
      </w:r>
    </w:p>
    <w:p w:rsidR="005C4732" w:rsidRPr="005C4732" w:rsidRDefault="008C3C5D" w:rsidP="005C4732">
      <w:pPr>
        <w:pStyle w:val="AERbulletlistfirststyle"/>
      </w:pPr>
      <w:r>
        <w:t>Section 8</w:t>
      </w:r>
      <w:r w:rsidR="005C4732" w:rsidRPr="005C4732">
        <w:t xml:space="preserve"> outlines the consultation process we undertook in reaching our draft decision</w:t>
      </w:r>
    </w:p>
    <w:p w:rsidR="005C4732" w:rsidRPr="005C4732" w:rsidRDefault="005C4732" w:rsidP="005C4732">
      <w:pPr>
        <w:pStyle w:val="AERbulletlistfirststyle"/>
      </w:pPr>
      <w:r w:rsidRPr="005C4732">
        <w:t xml:space="preserve">Appendix </w:t>
      </w:r>
      <w:proofErr w:type="gramStart"/>
      <w:r w:rsidRPr="005C4732">
        <w:t>A</w:t>
      </w:r>
      <w:proofErr w:type="gramEnd"/>
      <w:r w:rsidRPr="005C4732">
        <w:t xml:space="preserve"> lists the stakeholder submissions received on </w:t>
      </w:r>
      <w:r w:rsidR="005755A7">
        <w:t>APA</w:t>
      </w:r>
      <w:r w:rsidRPr="005C4732">
        <w:t xml:space="preserve">'s proposal. </w:t>
      </w:r>
    </w:p>
    <w:p w:rsidR="005C4732" w:rsidRPr="005C4732" w:rsidRDefault="00C51739" w:rsidP="005C4732">
      <w:r>
        <w:t>In our attachments to this o</w:t>
      </w:r>
      <w:r w:rsidR="005C4732" w:rsidRPr="005C4732">
        <w:t>verview we set out detailed analysis of the constituent components that make up our draft decision.</w:t>
      </w:r>
    </w:p>
    <w:p w:rsidR="005C4732" w:rsidRDefault="001775C9" w:rsidP="001775C9">
      <w:pPr>
        <w:pStyle w:val="Heading1"/>
      </w:pPr>
      <w:bookmarkStart w:id="79" w:name="_Toc487018262"/>
      <w:r>
        <w:t>Draft decision</w:t>
      </w:r>
      <w:bookmarkEnd w:id="79"/>
    </w:p>
    <w:p w:rsidR="001775C9" w:rsidRDefault="001775C9" w:rsidP="001775C9">
      <w:r w:rsidRPr="001775C9">
        <w:t xml:space="preserve">Our </w:t>
      </w:r>
      <w:r>
        <w:t>draft</w:t>
      </w:r>
      <w:r w:rsidRPr="001775C9">
        <w:t xml:space="preserve"> decision is t</w:t>
      </w:r>
      <w:r>
        <w:t>o approve a forecast revenue requirement of $</w:t>
      </w:r>
      <w:r w:rsidR="00274266">
        <w:t>5</w:t>
      </w:r>
      <w:r w:rsidR="00D53CEF">
        <w:t>5</w:t>
      </w:r>
      <w:r w:rsidR="00DC33D7">
        <w:t>5</w:t>
      </w:r>
      <w:r w:rsidR="00D53CEF">
        <w:t>.</w:t>
      </w:r>
      <w:r w:rsidR="00DC33D7">
        <w:t>4</w:t>
      </w:r>
      <w:r w:rsidRPr="001775C9">
        <w:t xml:space="preserve"> million </w:t>
      </w:r>
      <w:r w:rsidR="00894B69">
        <w:br/>
      </w:r>
      <w:r w:rsidRPr="001775C9">
        <w:t xml:space="preserve">($ nominal, smoothed) </w:t>
      </w:r>
      <w:r>
        <w:t xml:space="preserve">for </w:t>
      </w:r>
      <w:r w:rsidR="003F22EA">
        <w:t>APA</w:t>
      </w:r>
      <w:r w:rsidR="00204FB3">
        <w:t xml:space="preserve"> </w:t>
      </w:r>
      <w:r>
        <w:t>over the 2018</w:t>
      </w:r>
      <w:r w:rsidRPr="001775C9">
        <w:t xml:space="preserve">–22 </w:t>
      </w:r>
      <w:r>
        <w:t>access arrangement</w:t>
      </w:r>
      <w:r w:rsidR="00274266">
        <w:t xml:space="preserve"> period. This is a 2</w:t>
      </w:r>
      <w:r w:rsidR="00DE2DFF">
        <w:t>4.</w:t>
      </w:r>
      <w:r w:rsidR="00D53CEF">
        <w:t>2</w:t>
      </w:r>
      <w:r w:rsidRPr="001775C9">
        <w:t xml:space="preserve"> per cent reduction from </w:t>
      </w:r>
      <w:r w:rsidR="00C51739">
        <w:t>APA's</w:t>
      </w:r>
      <w:r w:rsidRPr="001775C9">
        <w:t xml:space="preserve"> proposed revenue requirement of $</w:t>
      </w:r>
      <w:r w:rsidR="006D5863">
        <w:t>7</w:t>
      </w:r>
      <w:r w:rsidR="00274266">
        <w:t>3</w:t>
      </w:r>
      <w:r w:rsidR="00573F1F">
        <w:t>2</w:t>
      </w:r>
      <w:r w:rsidR="00274266">
        <w:t>.</w:t>
      </w:r>
      <w:r w:rsidR="00573F1F">
        <w:t>3</w:t>
      </w:r>
      <w:r w:rsidRPr="001775C9">
        <w:t xml:space="preserve"> million </w:t>
      </w:r>
      <w:r w:rsidR="00894B69">
        <w:br/>
      </w:r>
      <w:r w:rsidRPr="001775C9">
        <w:t xml:space="preserve">($ nominal, smoothed). Our draft decision would allow </w:t>
      </w:r>
      <w:r w:rsidR="003F22EA">
        <w:t xml:space="preserve">APA </w:t>
      </w:r>
      <w:r w:rsidR="00274266">
        <w:t>to recover 1</w:t>
      </w:r>
      <w:r w:rsidR="00D53CEF">
        <w:t>2</w:t>
      </w:r>
      <w:r w:rsidR="00DE2DFF">
        <w:t>.</w:t>
      </w:r>
      <w:r w:rsidR="00DC33D7">
        <w:t>9</w:t>
      </w:r>
      <w:r w:rsidRPr="001775C9">
        <w:t xml:space="preserve"> per cent more revenue than its 2013</w:t>
      </w:r>
      <w:r w:rsidR="001216C3">
        <w:t>–</w:t>
      </w:r>
      <w:r w:rsidRPr="001775C9">
        <w:t>17 allowance of $</w:t>
      </w:r>
      <w:r>
        <w:t>49</w:t>
      </w:r>
      <w:r w:rsidR="00274266">
        <w:t>2</w:t>
      </w:r>
      <w:r>
        <w:t>.</w:t>
      </w:r>
      <w:r w:rsidR="00274266">
        <w:t>0</w:t>
      </w:r>
      <w:r w:rsidRPr="001775C9">
        <w:t xml:space="preserve"> million ($ nominal</w:t>
      </w:r>
      <w:r w:rsidR="00274266">
        <w:t>, smoothed</w:t>
      </w:r>
      <w:r w:rsidRPr="001775C9">
        <w:t>).</w:t>
      </w:r>
    </w:p>
    <w:p w:rsidR="003D3BC4" w:rsidRDefault="00FF2E54" w:rsidP="001775C9">
      <w:r>
        <w:fldChar w:fldCharType="begin"/>
      </w:r>
      <w:r>
        <w:instrText xml:space="preserve"> REF _Ref483242260 \h </w:instrText>
      </w:r>
      <w:r>
        <w:fldChar w:fldCharType="separate"/>
      </w:r>
      <w:r w:rsidR="00971C32">
        <w:t xml:space="preserve">Figure </w:t>
      </w:r>
      <w:r w:rsidR="00971C32">
        <w:rPr>
          <w:noProof/>
        </w:rPr>
        <w:t>2</w:t>
      </w:r>
      <w:r w:rsidR="00971C32">
        <w:noBreakHyphen/>
      </w:r>
      <w:r w:rsidR="00971C32">
        <w:rPr>
          <w:noProof/>
        </w:rPr>
        <w:t>1</w:t>
      </w:r>
      <w:r>
        <w:fldChar w:fldCharType="end"/>
      </w:r>
      <w:r>
        <w:t xml:space="preserve"> </w:t>
      </w:r>
      <w:r w:rsidR="003D3BC4" w:rsidRPr="003D3BC4">
        <w:t xml:space="preserve">compares our draft decision on </w:t>
      </w:r>
      <w:r w:rsidR="00C51739">
        <w:t>APA's</w:t>
      </w:r>
      <w:r w:rsidR="003D3BC4" w:rsidRPr="003D3BC4">
        <w:t xml:space="preserve"> to</w:t>
      </w:r>
      <w:r w:rsidR="0003341B">
        <w:t xml:space="preserve">tal revenue requirement for </w:t>
      </w:r>
      <w:r w:rsidR="00894B69">
        <w:br/>
      </w:r>
      <w:r w:rsidR="0003341B">
        <w:t>2018</w:t>
      </w:r>
      <w:r w:rsidR="003D3BC4" w:rsidRPr="003D3BC4">
        <w:t>–22 to its proposed revenue requirement, and to the revenue allowed and recovered during the two previous access arrangement periods of 201</w:t>
      </w:r>
      <w:r w:rsidR="00CC0330">
        <w:t>3</w:t>
      </w:r>
      <w:r w:rsidR="003D3BC4" w:rsidRPr="003D3BC4">
        <w:t xml:space="preserve">–17 and </w:t>
      </w:r>
      <w:r w:rsidR="00894B69">
        <w:br/>
      </w:r>
      <w:r w:rsidR="003D3BC4" w:rsidRPr="003D3BC4">
        <w:t>200</w:t>
      </w:r>
      <w:r w:rsidR="00CC0330">
        <w:t>8</w:t>
      </w:r>
      <w:r w:rsidR="003D3BC4" w:rsidRPr="003D3BC4">
        <w:t>–1</w:t>
      </w:r>
      <w:r w:rsidR="00CC0330">
        <w:t>2</w:t>
      </w:r>
      <w:r w:rsidR="003D3BC4" w:rsidRPr="003D3BC4">
        <w:t>.</w:t>
      </w:r>
      <w:r w:rsidR="001216C3" w:rsidRPr="001216C3">
        <w:t xml:space="preserve"> </w:t>
      </w:r>
      <w:r w:rsidR="001216C3" w:rsidRPr="001B6D64">
        <w:t xml:space="preserve">The effect of this draft decision will be to hold </w:t>
      </w:r>
      <w:r w:rsidR="001216C3">
        <w:t>APA</w:t>
      </w:r>
      <w:r w:rsidR="001216C3" w:rsidRPr="001B6D64">
        <w:t>'s revenues relatively constant in real dollar terms.</w:t>
      </w:r>
    </w:p>
    <w:p w:rsidR="003D3BC4" w:rsidRPr="00AC4AFF" w:rsidRDefault="00FF2E54" w:rsidP="00FF2E54">
      <w:pPr>
        <w:pStyle w:val="Caption"/>
        <w:rPr>
          <w:rStyle w:val="AERbody"/>
        </w:rPr>
      </w:pPr>
      <w:bookmarkStart w:id="80" w:name="_Ref483242260"/>
      <w:r>
        <w:t xml:space="preserve">Figure </w:t>
      </w:r>
      <w:fldSimple w:instr=" STYLEREF 1 \s ">
        <w:r w:rsidR="00971C32">
          <w:rPr>
            <w:noProof/>
          </w:rPr>
          <w:t>2</w:t>
        </w:r>
      </w:fldSimple>
      <w:r w:rsidR="00624EE7">
        <w:noBreakHyphen/>
      </w:r>
      <w:fldSimple w:instr=" SEQ Figure \* ARABIC \s 1 ">
        <w:r w:rsidR="00971C32">
          <w:rPr>
            <w:noProof/>
          </w:rPr>
          <w:t>1</w:t>
        </w:r>
      </w:fldSimple>
      <w:bookmarkEnd w:id="80"/>
      <w:r w:rsidR="003D3BC4" w:rsidRPr="00AC4AFF">
        <w:tab/>
      </w:r>
      <w:r w:rsidR="00C51739">
        <w:t>APA's</w:t>
      </w:r>
      <w:r w:rsidR="003D3BC4" w:rsidRPr="00AC4AFF">
        <w:t xml:space="preserve"> past total revenue, proposed total revenue and AER </w:t>
      </w:r>
      <w:r w:rsidR="003D3BC4">
        <w:t>draft</w:t>
      </w:r>
      <w:r w:rsidR="003D3BC4" w:rsidRPr="00AC4AFF">
        <w:t xml:space="preserve"> decision total revenue ($</w:t>
      </w:r>
      <w:r w:rsidR="00C713A2">
        <w:t xml:space="preserve"> </w:t>
      </w:r>
      <w:r w:rsidR="003D3BC4" w:rsidRPr="00AC4AFF">
        <w:t>million, 2017)</w:t>
      </w:r>
    </w:p>
    <w:p w:rsidR="003D3BC4" w:rsidRDefault="00DC33D7" w:rsidP="001775C9">
      <w:r>
        <w:rPr>
          <w:noProof/>
          <w:lang w:eastAsia="en-AU"/>
        </w:rPr>
        <w:drawing>
          <wp:inline distT="0" distB="0" distL="0" distR="0" wp14:anchorId="5CAB7600" wp14:editId="38DAC2EE">
            <wp:extent cx="5495925" cy="332805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802" cy="3330404"/>
                    </a:xfrm>
                    <a:prstGeom prst="rect">
                      <a:avLst/>
                    </a:prstGeom>
                    <a:noFill/>
                  </pic:spPr>
                </pic:pic>
              </a:graphicData>
            </a:graphic>
          </wp:inline>
        </w:drawing>
      </w:r>
    </w:p>
    <w:p w:rsidR="00274266" w:rsidRDefault="003D3BC4" w:rsidP="00274266">
      <w:pPr>
        <w:pStyle w:val="AERtablesource"/>
      </w:pPr>
      <w:r>
        <w:t xml:space="preserve">Source: AER </w:t>
      </w:r>
      <w:r w:rsidR="001216C3">
        <w:t>a</w:t>
      </w:r>
      <w:r>
        <w:t>nalysis</w:t>
      </w:r>
    </w:p>
    <w:p w:rsidR="00EF11B8" w:rsidRDefault="00EF11B8" w:rsidP="00EF11B8">
      <w:pPr>
        <w:pStyle w:val="Heading2"/>
      </w:pPr>
      <w:bookmarkStart w:id="81" w:name="_Toc487018263"/>
      <w:r>
        <w:t>What is driving proposed revenue?</w:t>
      </w:r>
      <w:bookmarkEnd w:id="81"/>
    </w:p>
    <w:p w:rsidR="008F5B60" w:rsidRDefault="0094138C" w:rsidP="00B61E79">
      <w:r w:rsidRPr="0094138C">
        <w:t>The impact of inflation makes it difficult to compare revenue across different time periods on a like-for-like basis. We therefore use real values</w:t>
      </w:r>
      <w:r w:rsidR="001216C3">
        <w:t xml:space="preserve"> based on a common year</w:t>
      </w:r>
      <w:r w:rsidRPr="0094138C">
        <w:t xml:space="preserve">, which have been adjusted for the impact of inflation, to compare revenue from one access arrangement period to the next. </w:t>
      </w:r>
      <w:r w:rsidR="00B61E79">
        <w:t>In real dollar terms, o</w:t>
      </w:r>
      <w:r w:rsidR="00B61E79" w:rsidRPr="00671A03">
        <w:t xml:space="preserve">ur </w:t>
      </w:r>
      <w:r w:rsidR="00B61E79">
        <w:t>draft</w:t>
      </w:r>
      <w:r w:rsidR="00B61E79" w:rsidRPr="00671A03">
        <w:t xml:space="preserve"> decision approves revenues for the 201</w:t>
      </w:r>
      <w:r w:rsidR="00B61E79">
        <w:t>8</w:t>
      </w:r>
      <w:r w:rsidR="00B61E79" w:rsidRPr="00671A03">
        <w:t xml:space="preserve">–22 </w:t>
      </w:r>
      <w:r w:rsidR="00B61E79">
        <w:t>access arrangement</w:t>
      </w:r>
      <w:r w:rsidR="00B61E79" w:rsidRPr="00671A03">
        <w:t xml:space="preserve"> </w:t>
      </w:r>
      <w:r w:rsidR="00B61E79" w:rsidRPr="00671A03">
        <w:rPr>
          <w:rStyle w:val="AERbody"/>
        </w:rPr>
        <w:t xml:space="preserve">period that </w:t>
      </w:r>
      <w:r w:rsidR="00B61E79" w:rsidRPr="00671A03">
        <w:t>are $</w:t>
      </w:r>
      <w:r w:rsidR="001216C3">
        <w:t>12.</w:t>
      </w:r>
      <w:r w:rsidR="00D53CEF">
        <w:t>5</w:t>
      </w:r>
      <w:r w:rsidR="00B61E79" w:rsidRPr="00671A03">
        <w:t xml:space="preserve"> million ($ 2017)—or </w:t>
      </w:r>
      <w:r w:rsidR="00D53CEF">
        <w:t>2.5</w:t>
      </w:r>
      <w:r w:rsidR="00B61E79" w:rsidRPr="00671A03">
        <w:t> per cent—</w:t>
      </w:r>
      <w:r w:rsidR="00B61E79">
        <w:t>higher</w:t>
      </w:r>
      <w:r w:rsidR="00B61E79" w:rsidRPr="00671A03">
        <w:t xml:space="preserve"> than was approved in our decision for 201</w:t>
      </w:r>
      <w:r w:rsidR="00B61E79">
        <w:t>3</w:t>
      </w:r>
      <w:r w:rsidR="00B61E79" w:rsidRPr="00671A03">
        <w:t>–17.</w:t>
      </w:r>
      <w:r w:rsidR="00071B98">
        <w:rPr>
          <w:rStyle w:val="FootnoteReference"/>
        </w:rPr>
        <w:footnoteReference w:id="7"/>
      </w:r>
      <w:r w:rsidR="00B61E79" w:rsidRPr="00671A03">
        <w:t xml:space="preserve"> </w:t>
      </w:r>
    </w:p>
    <w:p w:rsidR="00B61E79" w:rsidRPr="00671A03" w:rsidRDefault="008F5B60" w:rsidP="00B61E79">
      <w:r>
        <w:fldChar w:fldCharType="begin"/>
      </w:r>
      <w:r>
        <w:instrText xml:space="preserve"> REF _Ref483242316 \h </w:instrText>
      </w:r>
      <w:r>
        <w:fldChar w:fldCharType="separate"/>
      </w:r>
      <w:r w:rsidR="00971C32">
        <w:t xml:space="preserve">Figure </w:t>
      </w:r>
      <w:r w:rsidR="00971C32">
        <w:rPr>
          <w:noProof/>
        </w:rPr>
        <w:t>2</w:t>
      </w:r>
      <w:r w:rsidR="00971C32">
        <w:noBreakHyphen/>
      </w:r>
      <w:r w:rsidR="00971C32">
        <w:rPr>
          <w:noProof/>
        </w:rPr>
        <w:t>2</w:t>
      </w:r>
      <w:r>
        <w:fldChar w:fldCharType="end"/>
      </w:r>
      <w:r w:rsidR="00BF6DAA">
        <w:tab/>
        <w:t xml:space="preserve"> </w:t>
      </w:r>
      <w:r w:rsidRPr="00671A03">
        <w:t xml:space="preserve">compares our </w:t>
      </w:r>
      <w:r>
        <w:t>draft</w:t>
      </w:r>
      <w:r w:rsidRPr="00671A03">
        <w:t xml:space="preserve"> decision for the 201</w:t>
      </w:r>
      <w:r>
        <w:t>8</w:t>
      </w:r>
      <w:r w:rsidRPr="00671A03">
        <w:t xml:space="preserve">–22 </w:t>
      </w:r>
      <w:r>
        <w:t>access arrangement</w:t>
      </w:r>
      <w:r w:rsidRPr="00671A03">
        <w:t xml:space="preserve"> </w:t>
      </w:r>
      <w:proofErr w:type="gramStart"/>
      <w:r w:rsidRPr="00671A03">
        <w:t>period</w:t>
      </w:r>
      <w:proofErr w:type="gramEnd"/>
      <w:r w:rsidRPr="00671A03">
        <w:t xml:space="preserve"> </w:t>
      </w:r>
      <w:r>
        <w:t>to APA's</w:t>
      </w:r>
      <w:r w:rsidRPr="00671A03">
        <w:t xml:space="preserve"> allowed revenue for the </w:t>
      </w:r>
      <w:r>
        <w:t>current</w:t>
      </w:r>
      <w:r w:rsidRPr="00671A03">
        <w:t xml:space="preserve"> period, broken down by the various building block components that make up the forecast revenue allowance</w:t>
      </w:r>
      <w:r w:rsidR="00BF6DAA">
        <w:t>.</w:t>
      </w:r>
    </w:p>
    <w:p w:rsidR="0013357D" w:rsidRDefault="0013357D" w:rsidP="0013357D">
      <w:pPr>
        <w:pStyle w:val="Caption"/>
      </w:pPr>
      <w:bookmarkStart w:id="82" w:name="_Ref483242316"/>
      <w:bookmarkStart w:id="83" w:name="_Ref483242292"/>
      <w:r>
        <w:t xml:space="preserve">Figure </w:t>
      </w:r>
      <w:fldSimple w:instr=" STYLEREF 1 \s ">
        <w:r w:rsidR="00971C32">
          <w:rPr>
            <w:noProof/>
          </w:rPr>
          <w:t>2</w:t>
        </w:r>
      </w:fldSimple>
      <w:r w:rsidR="00624EE7">
        <w:noBreakHyphen/>
      </w:r>
      <w:fldSimple w:instr=" SEQ Figure \* ARABIC \s 1 ">
        <w:r w:rsidR="00971C32">
          <w:rPr>
            <w:noProof/>
          </w:rPr>
          <w:t>2</w:t>
        </w:r>
      </w:fldSimple>
      <w:bookmarkEnd w:id="82"/>
      <w:r>
        <w:tab/>
      </w:r>
      <w:r w:rsidRPr="00671A03">
        <w:t xml:space="preserve">AER's </w:t>
      </w:r>
      <w:r>
        <w:t>draft</w:t>
      </w:r>
      <w:r w:rsidRPr="00671A03">
        <w:t xml:space="preserve"> decision for the 201</w:t>
      </w:r>
      <w:r>
        <w:t>8</w:t>
      </w:r>
      <w:r w:rsidRPr="00671A03">
        <w:t xml:space="preserve">–22 </w:t>
      </w:r>
      <w:r>
        <w:t>access arrangement</w:t>
      </w:r>
      <w:r w:rsidRPr="00671A03">
        <w:t xml:space="preserve"> period and </w:t>
      </w:r>
      <w:r>
        <w:t>APA's</w:t>
      </w:r>
      <w:r w:rsidRPr="00671A03">
        <w:t xml:space="preserve"> 201</w:t>
      </w:r>
      <w:r>
        <w:t>3</w:t>
      </w:r>
      <w:r w:rsidRPr="00671A03">
        <w:t>–17 allowed average annual building block costs ($</w:t>
      </w:r>
      <w:r w:rsidR="00D537D6">
        <w:t> </w:t>
      </w:r>
      <w:r w:rsidRPr="00671A03">
        <w:t>million, 2017)</w:t>
      </w:r>
    </w:p>
    <w:p w:rsidR="0013357D" w:rsidRPr="00DC5301" w:rsidRDefault="001216C3" w:rsidP="0013357D">
      <w:r w:rsidRPr="001216C3">
        <w:t xml:space="preserve"> </w:t>
      </w:r>
      <w:r w:rsidR="00573F1F">
        <w:rPr>
          <w:noProof/>
          <w:lang w:eastAsia="en-AU"/>
        </w:rPr>
        <w:drawing>
          <wp:inline distT="0" distB="0" distL="0" distR="0" wp14:anchorId="3B74F1A3" wp14:editId="1066D781">
            <wp:extent cx="5372596" cy="333159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162" cy="3332568"/>
                    </a:xfrm>
                    <a:prstGeom prst="rect">
                      <a:avLst/>
                    </a:prstGeom>
                    <a:noFill/>
                  </pic:spPr>
                </pic:pic>
              </a:graphicData>
            </a:graphic>
          </wp:inline>
        </w:drawing>
      </w:r>
    </w:p>
    <w:bookmarkEnd w:id="83"/>
    <w:p w:rsidR="00DC4C3C" w:rsidRDefault="00DC4C3C" w:rsidP="00DC4C3C">
      <w:pPr>
        <w:pStyle w:val="AERtablesource"/>
      </w:pPr>
      <w:r>
        <w:t xml:space="preserve">Source: AER </w:t>
      </w:r>
      <w:r w:rsidR="001216C3">
        <w:t>a</w:t>
      </w:r>
      <w:r>
        <w:t>nalysis</w:t>
      </w:r>
    </w:p>
    <w:p w:rsidR="00965252" w:rsidRDefault="0087748B" w:rsidP="0087748B">
      <w:r w:rsidRPr="00D2459D">
        <w:t>The</w:t>
      </w:r>
      <w:r w:rsidR="003732C6">
        <w:t xml:space="preserve"> return on capital </w:t>
      </w:r>
      <w:r w:rsidR="00B72AC1">
        <w:t xml:space="preserve">and regulatory depreciation are key drivers of the increase </w:t>
      </w:r>
      <w:r w:rsidR="008A4E8E">
        <w:t xml:space="preserve">in </w:t>
      </w:r>
      <w:r w:rsidR="00190889">
        <w:t xml:space="preserve">real </w:t>
      </w:r>
      <w:r w:rsidR="008A4E8E">
        <w:t>revenue from the current period to</w:t>
      </w:r>
      <w:r w:rsidR="00B72AC1">
        <w:t xml:space="preserve"> the </w:t>
      </w:r>
      <w:r w:rsidR="00B72AC1" w:rsidRPr="00A41711">
        <w:t>201</w:t>
      </w:r>
      <w:r w:rsidR="00B72AC1">
        <w:t>8</w:t>
      </w:r>
      <w:r w:rsidR="00B72AC1" w:rsidRPr="00A41711">
        <w:t>–2</w:t>
      </w:r>
      <w:r w:rsidR="00B72AC1">
        <w:t>2</w:t>
      </w:r>
      <w:r w:rsidR="00B72AC1" w:rsidRPr="00A41711">
        <w:t xml:space="preserve"> access arrangement </w:t>
      </w:r>
      <w:proofErr w:type="gramStart"/>
      <w:r w:rsidR="00B72AC1" w:rsidRPr="00A41711">
        <w:t>period</w:t>
      </w:r>
      <w:proofErr w:type="gramEnd"/>
      <w:r w:rsidR="008A4E8E">
        <w:t xml:space="preserve">. This is driven by </w:t>
      </w:r>
      <w:r w:rsidR="00965252">
        <w:t xml:space="preserve">significant </w:t>
      </w:r>
      <w:r w:rsidR="008A4E8E">
        <w:t>growth in APA's capital base</w:t>
      </w:r>
      <w:r w:rsidR="004B157A">
        <w:t xml:space="preserve">, which increased by </w:t>
      </w:r>
      <w:r w:rsidR="001216C3">
        <w:t>40</w:t>
      </w:r>
      <w:r w:rsidR="00533704">
        <w:t xml:space="preserve"> </w:t>
      </w:r>
      <w:r w:rsidR="004B157A">
        <w:t>per cent</w:t>
      </w:r>
      <w:r w:rsidR="001D0531">
        <w:t xml:space="preserve">, in </w:t>
      </w:r>
      <w:r w:rsidR="001216C3">
        <w:t xml:space="preserve">real </w:t>
      </w:r>
      <w:r w:rsidR="001D0531">
        <w:t>terms,</w:t>
      </w:r>
      <w:r w:rsidR="004B157A">
        <w:t xml:space="preserve"> over the current period and is expected to increase by a further </w:t>
      </w:r>
      <w:r w:rsidR="000521F6">
        <w:t>2.4</w:t>
      </w:r>
      <w:r w:rsidR="004B157A">
        <w:t xml:space="preserve"> per cent over 2018–22.</w:t>
      </w:r>
      <w:r w:rsidR="00B72AC1">
        <w:t xml:space="preserve"> </w:t>
      </w:r>
      <w:r w:rsidR="00965252">
        <w:t>The impact of this growth in the capital base is offset to an extent by the lower rate of return that will apply in 2018–22: 5.75 per cent compared to 7.22 per cent in the current period.</w:t>
      </w:r>
    </w:p>
    <w:p w:rsidR="00B72AC1" w:rsidRDefault="00F57A2C" w:rsidP="0087748B">
      <w:r>
        <w:t>Th</w:t>
      </w:r>
      <w:r w:rsidR="003B7D81">
        <w:t>e</w:t>
      </w:r>
      <w:r>
        <w:t xml:space="preserve"> increases</w:t>
      </w:r>
      <w:r w:rsidR="00330888">
        <w:t xml:space="preserve"> in the return on and </w:t>
      </w:r>
      <w:r w:rsidR="00C51739">
        <w:t>of</w:t>
      </w:r>
      <w:r w:rsidR="00330888">
        <w:t xml:space="preserve"> capital are</w:t>
      </w:r>
      <w:r w:rsidR="00F93EC3">
        <w:t xml:space="preserve"> largely offset by operating efficiencies gained by APA in the current period and passed through to customers in the form of a lo</w:t>
      </w:r>
      <w:r w:rsidR="00C51739">
        <w:t>wer opex forecast in the 2018–</w:t>
      </w:r>
      <w:r w:rsidR="00F93EC3">
        <w:t xml:space="preserve">22 access arrangement </w:t>
      </w:r>
      <w:proofErr w:type="gramStart"/>
      <w:r w:rsidR="00F93EC3">
        <w:t>period</w:t>
      </w:r>
      <w:proofErr w:type="gramEnd"/>
      <w:r w:rsidR="00F93EC3">
        <w:t xml:space="preserve">. </w:t>
      </w:r>
      <w:r w:rsidR="00B72AC1">
        <w:t xml:space="preserve">  </w:t>
      </w:r>
    </w:p>
    <w:p w:rsidR="00E574BF" w:rsidRDefault="00E574BF" w:rsidP="00965252">
      <w:pPr>
        <w:pStyle w:val="Heading2"/>
        <w:keepNext/>
      </w:pPr>
      <w:bookmarkStart w:id="84" w:name="_Toc487018264"/>
      <w:r>
        <w:t>Key differences between our draft decision and APA's proposal</w:t>
      </w:r>
      <w:bookmarkEnd w:id="84"/>
    </w:p>
    <w:p w:rsidR="008F5B60" w:rsidRPr="00671A03" w:rsidRDefault="00BF6DAA" w:rsidP="00965252">
      <w:pPr>
        <w:keepNext/>
      </w:pPr>
      <w:r>
        <w:fldChar w:fldCharType="begin"/>
      </w:r>
      <w:r>
        <w:instrText xml:space="preserve"> REF _Ref483561046 \h </w:instrText>
      </w:r>
      <w:r>
        <w:fldChar w:fldCharType="separate"/>
      </w:r>
      <w:r w:rsidR="00971C32">
        <w:t xml:space="preserve">Figure </w:t>
      </w:r>
      <w:r w:rsidR="00971C32">
        <w:rPr>
          <w:noProof/>
        </w:rPr>
        <w:t>2</w:t>
      </w:r>
      <w:r w:rsidR="00971C32">
        <w:noBreakHyphen/>
      </w:r>
      <w:r w:rsidR="00971C32">
        <w:rPr>
          <w:noProof/>
        </w:rPr>
        <w:t>3</w:t>
      </w:r>
      <w:r>
        <w:fldChar w:fldCharType="end"/>
      </w:r>
      <w:r>
        <w:tab/>
        <w:t xml:space="preserve"> </w:t>
      </w:r>
      <w:r w:rsidR="008F5B60" w:rsidRPr="00671A03">
        <w:t xml:space="preserve">compares the building block revenue from our </w:t>
      </w:r>
      <w:r w:rsidR="008F5B60">
        <w:t>draft</w:t>
      </w:r>
      <w:r w:rsidR="008F5B60" w:rsidRPr="00671A03">
        <w:t xml:space="preserve"> decision to that proposed by </w:t>
      </w:r>
      <w:r w:rsidR="008F5B60">
        <w:t>APA</w:t>
      </w:r>
      <w:r w:rsidR="008F5B60" w:rsidRPr="00671A03">
        <w:t xml:space="preserve"> for the 201</w:t>
      </w:r>
      <w:r w:rsidR="008F5B60">
        <w:t>8</w:t>
      </w:r>
      <w:r w:rsidR="008F5B60" w:rsidRPr="00671A03">
        <w:t xml:space="preserve">–22 </w:t>
      </w:r>
      <w:r w:rsidR="008F5B60">
        <w:t>access arrangement</w:t>
      </w:r>
      <w:r w:rsidR="008F5B60" w:rsidRPr="00671A03">
        <w:t xml:space="preserve"> </w:t>
      </w:r>
      <w:proofErr w:type="gramStart"/>
      <w:r w:rsidR="008F5B60" w:rsidRPr="00671A03">
        <w:t>period</w:t>
      </w:r>
      <w:proofErr w:type="gramEnd"/>
      <w:r w:rsidR="008F5B60" w:rsidRPr="00671A03">
        <w:t>, and to the approved amount for the 201</w:t>
      </w:r>
      <w:r w:rsidR="008F5B60">
        <w:t>3</w:t>
      </w:r>
      <w:r w:rsidR="008F5B60" w:rsidRPr="00671A03">
        <w:t xml:space="preserve">–17 period. </w:t>
      </w:r>
      <w:r w:rsidR="00672EEE">
        <w:t xml:space="preserve">These are </w:t>
      </w:r>
      <w:r w:rsidR="003B7D81">
        <w:t>total amounts based on</w:t>
      </w:r>
      <w:r w:rsidR="00672EEE">
        <w:t xml:space="preserve"> building block costs over the five year access arrangement period.</w:t>
      </w:r>
    </w:p>
    <w:p w:rsidR="00BF6DAA" w:rsidRPr="00FF7E5B" w:rsidRDefault="00BF6DAA" w:rsidP="00BF6DAA">
      <w:pPr>
        <w:pStyle w:val="Caption"/>
      </w:pPr>
      <w:bookmarkStart w:id="85" w:name="_Ref483561046"/>
      <w:r>
        <w:t xml:space="preserve">Figure </w:t>
      </w:r>
      <w:fldSimple w:instr=" STYLEREF 1 \s ">
        <w:r w:rsidR="00971C32">
          <w:rPr>
            <w:noProof/>
          </w:rPr>
          <w:t>2</w:t>
        </w:r>
      </w:fldSimple>
      <w:r w:rsidR="00624EE7">
        <w:noBreakHyphen/>
      </w:r>
      <w:fldSimple w:instr=" SEQ Figure \* ARABIC \s 1 ">
        <w:r w:rsidR="00971C32">
          <w:rPr>
            <w:noProof/>
          </w:rPr>
          <w:t>3</w:t>
        </w:r>
      </w:fldSimple>
      <w:bookmarkEnd w:id="85"/>
      <w:r>
        <w:tab/>
      </w:r>
      <w:r w:rsidRPr="00FF7E5B">
        <w:t>AER's draft decision on components of total revenue ($</w:t>
      </w:r>
      <w:r w:rsidR="00D537D6">
        <w:t> </w:t>
      </w:r>
      <w:r w:rsidRPr="00FF7E5B">
        <w:t>million, 2017)</w:t>
      </w:r>
    </w:p>
    <w:p w:rsidR="00BF6DAA" w:rsidRDefault="001C755F" w:rsidP="00BF6DAA">
      <w:r>
        <w:rPr>
          <w:noProof/>
          <w:lang w:eastAsia="en-AU"/>
        </w:rPr>
        <w:drawing>
          <wp:inline distT="0" distB="0" distL="0" distR="0" wp14:anchorId="546628CF" wp14:editId="6E3868D6">
            <wp:extent cx="5365869" cy="328612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6653" cy="3292729"/>
                    </a:xfrm>
                    <a:prstGeom prst="rect">
                      <a:avLst/>
                    </a:prstGeom>
                    <a:noFill/>
                  </pic:spPr>
                </pic:pic>
              </a:graphicData>
            </a:graphic>
          </wp:inline>
        </w:drawing>
      </w:r>
    </w:p>
    <w:p w:rsidR="00BF6DAA" w:rsidRDefault="00BF6DAA" w:rsidP="00BF6DAA">
      <w:pPr>
        <w:pStyle w:val="AERtablesource"/>
      </w:pPr>
      <w:r>
        <w:t xml:space="preserve">Source: AER </w:t>
      </w:r>
      <w:r w:rsidR="000521F6">
        <w:t>a</w:t>
      </w:r>
      <w:r>
        <w:t>nalysis</w:t>
      </w:r>
    </w:p>
    <w:p w:rsidR="002F6A68" w:rsidRDefault="003B7D81" w:rsidP="002F6A68">
      <w:r>
        <w:t xml:space="preserve">APA's proposed </w:t>
      </w:r>
      <w:r w:rsidR="002F6A68">
        <w:t>total revenue requirement</w:t>
      </w:r>
      <w:r>
        <w:t xml:space="preserve"> </w:t>
      </w:r>
      <w:r w:rsidR="00C51739">
        <w:t>of $73</w:t>
      </w:r>
      <w:r w:rsidR="00573F1F">
        <w:t>2</w:t>
      </w:r>
      <w:r w:rsidR="00C51739">
        <w:t>.</w:t>
      </w:r>
      <w:r w:rsidR="00573F1F">
        <w:t>3</w:t>
      </w:r>
      <w:r w:rsidR="002F6A68">
        <w:t xml:space="preserve"> </w:t>
      </w:r>
      <w:r w:rsidR="002F6A68" w:rsidRPr="009B163E">
        <w:t>million</w:t>
      </w:r>
      <w:r w:rsidR="007B4F16">
        <w:t xml:space="preserve"> ($ nominal) for </w:t>
      </w:r>
      <w:r w:rsidR="00380892">
        <w:t>2018–</w:t>
      </w:r>
      <w:r w:rsidR="002F6A68">
        <w:t>22 was primarily</w:t>
      </w:r>
      <w:r w:rsidR="00FE4E5F">
        <w:t xml:space="preserve"> driven by a</w:t>
      </w:r>
      <w:r w:rsidR="004E7215">
        <w:t xml:space="preserve"> </w:t>
      </w:r>
      <w:r w:rsidR="002F6A68">
        <w:t xml:space="preserve">proposed </w:t>
      </w:r>
      <w:r w:rsidR="004E7215">
        <w:t>rate of return of 7.88 per cent</w:t>
      </w:r>
      <w:r w:rsidR="00190889">
        <w:t xml:space="preserve"> (nominal, vanilla)</w:t>
      </w:r>
      <w:r w:rsidR="00FE4E5F">
        <w:t xml:space="preserve"> </w:t>
      </w:r>
      <w:r w:rsidR="002F6A68">
        <w:t xml:space="preserve">on a capital base which included higher than anticipated capex in the current period to meet </w:t>
      </w:r>
      <w:r w:rsidR="002F6A68" w:rsidRPr="005017A8">
        <w:t>increase</w:t>
      </w:r>
      <w:r w:rsidR="002F6A68">
        <w:t>d</w:t>
      </w:r>
      <w:r w:rsidR="002F6A68" w:rsidRPr="005017A8">
        <w:t xml:space="preserve"> demand for the northern flow of gas from Victoria.</w:t>
      </w:r>
      <w:r w:rsidR="002F6A68">
        <w:rPr>
          <w:rStyle w:val="FootnoteReference"/>
        </w:rPr>
        <w:footnoteReference w:id="8"/>
      </w:r>
      <w:r w:rsidR="002F6A68">
        <w:t xml:space="preserve"> </w:t>
      </w:r>
      <w:r w:rsidR="007B4F16">
        <w:t xml:space="preserve">The rate of return allowed in our final </w:t>
      </w:r>
      <w:r w:rsidR="0091068F">
        <w:t>decision for the current period was 7.22 per cent.</w:t>
      </w:r>
    </w:p>
    <w:p w:rsidR="00DE7400" w:rsidRDefault="00E574BF" w:rsidP="00E574BF">
      <w:r w:rsidRPr="00E574BF">
        <w:t>Our draft decision</w:t>
      </w:r>
      <w:r w:rsidR="000A168B">
        <w:t xml:space="preserve"> allows APA to recover</w:t>
      </w:r>
      <w:r w:rsidRPr="00E574BF">
        <w:t xml:space="preserve"> $</w:t>
      </w:r>
      <w:r w:rsidR="00E8785B">
        <w:t>17</w:t>
      </w:r>
      <w:r w:rsidR="00DC33D7">
        <w:t>6</w:t>
      </w:r>
      <w:r w:rsidR="00D53CEF">
        <w:t>.</w:t>
      </w:r>
      <w:r w:rsidR="00DC33D7">
        <w:t>9</w:t>
      </w:r>
      <w:r w:rsidR="00E8785B">
        <w:t xml:space="preserve"> </w:t>
      </w:r>
      <w:r w:rsidRPr="00E574BF">
        <w:t>million ($</w:t>
      </w:r>
      <w:r w:rsidR="00E8785B">
        <w:t xml:space="preserve"> nominal</w:t>
      </w:r>
      <w:r w:rsidRPr="00E574BF">
        <w:t xml:space="preserve">) </w:t>
      </w:r>
      <w:r w:rsidR="000521F6">
        <w:t xml:space="preserve">or </w:t>
      </w:r>
      <w:r w:rsidR="00E8785B">
        <w:t>2</w:t>
      </w:r>
      <w:r w:rsidR="00DE2DFF">
        <w:t>4.</w:t>
      </w:r>
      <w:r w:rsidR="00D53CEF">
        <w:t>2</w:t>
      </w:r>
      <w:r w:rsidRPr="00E574BF">
        <w:t xml:space="preserve"> per cent less revenue than </w:t>
      </w:r>
      <w:r w:rsidR="000A168B">
        <w:t>its proposed forecast revenue requirement of $</w:t>
      </w:r>
      <w:r w:rsidR="00C51739">
        <w:t>73</w:t>
      </w:r>
      <w:r w:rsidR="00AC1A86">
        <w:t>2</w:t>
      </w:r>
      <w:r w:rsidR="00C51739">
        <w:t>.</w:t>
      </w:r>
      <w:r w:rsidR="00AC1A86">
        <w:t>3</w:t>
      </w:r>
      <w:r w:rsidR="00E8785B">
        <w:t xml:space="preserve"> </w:t>
      </w:r>
      <w:r w:rsidR="000A168B" w:rsidRPr="009B163E">
        <w:t>million</w:t>
      </w:r>
      <w:r w:rsidR="000A168B">
        <w:t xml:space="preserve"> ($ nominal). </w:t>
      </w:r>
      <w:r w:rsidR="00672EEE">
        <w:t xml:space="preserve">A lower approved </w:t>
      </w:r>
      <w:r w:rsidR="00F9125E">
        <w:t xml:space="preserve">return on capital </w:t>
      </w:r>
      <w:r w:rsidR="00DE7400">
        <w:t xml:space="preserve">is the primary driver of the difference between APA's proposed revenue requirement and that approved in our draft decision. </w:t>
      </w:r>
      <w:r w:rsidR="007B4F16">
        <w:t>Key differences between our draft decision and APA's proposal include</w:t>
      </w:r>
      <w:r w:rsidR="00DE7400">
        <w:t>:</w:t>
      </w:r>
    </w:p>
    <w:p w:rsidR="00DE7400" w:rsidRDefault="00DE7400" w:rsidP="00DE7400">
      <w:pPr>
        <w:pStyle w:val="AERbulletlistfirststyle"/>
      </w:pPr>
      <w:r>
        <w:t xml:space="preserve">a </w:t>
      </w:r>
      <w:r w:rsidR="00190889">
        <w:t xml:space="preserve">nominal vanilla </w:t>
      </w:r>
      <w:r>
        <w:t>rate of return of 5.75 per cent, compared to 7.</w:t>
      </w:r>
      <w:r w:rsidR="0091068F">
        <w:t>88 per cent in APA's proposal</w:t>
      </w:r>
    </w:p>
    <w:p w:rsidR="00B62E54" w:rsidRDefault="00D537D6" w:rsidP="00B62E54">
      <w:pPr>
        <w:pStyle w:val="AERbulletlistfirststyle"/>
      </w:pPr>
      <w:proofErr w:type="gramStart"/>
      <w:r>
        <w:t>an</w:t>
      </w:r>
      <w:proofErr w:type="gramEnd"/>
      <w:r>
        <w:t xml:space="preserve"> </w:t>
      </w:r>
      <w:r w:rsidR="00B62E54">
        <w:t xml:space="preserve">imputation credits (gamma) </w:t>
      </w:r>
      <w:r>
        <w:t xml:space="preserve">value </w:t>
      </w:r>
      <w:r w:rsidR="00B62E54">
        <w:t>of 0.4 per cent</w:t>
      </w:r>
      <w:r>
        <w:t>,</w:t>
      </w:r>
      <w:r w:rsidR="00B62E54">
        <w:t xml:space="preserve"> compared to APA’s proposed 0.25, </w:t>
      </w:r>
      <w:r>
        <w:t>resulting in</w:t>
      </w:r>
      <w:r w:rsidR="00B62E54">
        <w:t xml:space="preserve"> a lower corporate income tax allowance.</w:t>
      </w:r>
    </w:p>
    <w:p w:rsidR="002F400A" w:rsidRPr="00E574BF" w:rsidRDefault="002F400A" w:rsidP="002F400A">
      <w:pPr>
        <w:pStyle w:val="AERbulletlistfirststyle"/>
      </w:pPr>
      <w:proofErr w:type="gramStart"/>
      <w:r>
        <w:t>a</w:t>
      </w:r>
      <w:proofErr w:type="gramEnd"/>
      <w:r>
        <w:t xml:space="preserve"> reduction of 2</w:t>
      </w:r>
      <w:r w:rsidR="00770BEF">
        <w:t>7</w:t>
      </w:r>
      <w:r>
        <w:t>.3 per cent to APA’s proposed regulatory depreciation allowance, due to our decision to update APA’</w:t>
      </w:r>
      <w:r w:rsidRPr="0052043B">
        <w:t>s calculation of the remaining asset lives as at 1</w:t>
      </w:r>
      <w:r>
        <w:t> </w:t>
      </w:r>
      <w:r w:rsidRPr="0052043B">
        <w:t>January 2018</w:t>
      </w:r>
      <w:r>
        <w:t xml:space="preserve"> and our decision to reduce APA’s forecast capex.</w:t>
      </w:r>
      <w:r w:rsidRPr="00B62E54">
        <w:t xml:space="preserve"> </w:t>
      </w:r>
      <w:r w:rsidRPr="00E574BF">
        <w:t>O</w:t>
      </w:r>
      <w:r>
        <w:t>ur draft decision</w:t>
      </w:r>
      <w:r w:rsidRPr="00E574BF">
        <w:t xml:space="preserve"> </w:t>
      </w:r>
      <w:r>
        <w:t>on expected inflation has</w:t>
      </w:r>
      <w:r w:rsidRPr="00E574BF">
        <w:t xml:space="preserve"> also reduced the allowance for regulatory depreciation.</w:t>
      </w:r>
    </w:p>
    <w:p w:rsidR="00965252" w:rsidRDefault="00C73038" w:rsidP="003B4E8C">
      <w:pPr>
        <w:pStyle w:val="AERbulletlistfirststyle"/>
      </w:pPr>
      <w:proofErr w:type="gramStart"/>
      <w:r>
        <w:rPr>
          <w:rStyle w:val="AERbody"/>
        </w:rPr>
        <w:t>while</w:t>
      </w:r>
      <w:proofErr w:type="gramEnd"/>
      <w:r>
        <w:rPr>
          <w:rStyle w:val="AERbody"/>
        </w:rPr>
        <w:t xml:space="preserve"> our draft decision </w:t>
      </w:r>
      <w:r w:rsidR="00F63C62">
        <w:rPr>
          <w:rStyle w:val="AERbody"/>
        </w:rPr>
        <w:t>approves</w:t>
      </w:r>
      <w:r>
        <w:rPr>
          <w:rStyle w:val="AERbody"/>
        </w:rPr>
        <w:t xml:space="preserve"> additional capex for the full construction of the WORM</w:t>
      </w:r>
      <w:r w:rsidR="00E11A93">
        <w:rPr>
          <w:rStyle w:val="AERbody"/>
        </w:rPr>
        <w:t xml:space="preserve"> that was not contemplated in its January proposal</w:t>
      </w:r>
      <w:r>
        <w:rPr>
          <w:rStyle w:val="AERbody"/>
        </w:rPr>
        <w:t>, we</w:t>
      </w:r>
      <w:r w:rsidR="00F63C62">
        <w:rPr>
          <w:rStyle w:val="AERbody"/>
        </w:rPr>
        <w:t xml:space="preserve"> have not accepted all of APA's forecast total net capex which </w:t>
      </w:r>
      <w:r w:rsidR="00323BDB">
        <w:rPr>
          <w:rStyle w:val="AERbody"/>
        </w:rPr>
        <w:t>has been reduced</w:t>
      </w:r>
      <w:r w:rsidR="00F63C62">
        <w:rPr>
          <w:rStyle w:val="AERbody"/>
        </w:rPr>
        <w:t xml:space="preserve"> by 16 per cent.</w:t>
      </w:r>
      <w:r>
        <w:rPr>
          <w:rStyle w:val="AERbody"/>
        </w:rPr>
        <w:t xml:space="preserve"> </w:t>
      </w:r>
      <w:r>
        <w:t>T</w:t>
      </w:r>
      <w:r w:rsidR="00965252">
        <w:t xml:space="preserve">he majority of </w:t>
      </w:r>
      <w:r w:rsidR="00F63C62">
        <w:t>the reduction</w:t>
      </w:r>
      <w:r>
        <w:t xml:space="preserve"> arises </w:t>
      </w:r>
      <w:r w:rsidR="00965252">
        <w:t xml:space="preserve">from our draft decision that </w:t>
      </w:r>
      <w:r w:rsidR="00A171F7">
        <w:t xml:space="preserve">APA has not justified its </w:t>
      </w:r>
      <w:r w:rsidR="00965252">
        <w:rPr>
          <w:rStyle w:val="AERbody"/>
        </w:rPr>
        <w:t xml:space="preserve">proposed </w:t>
      </w:r>
      <w:r w:rsidR="00A171F7">
        <w:rPr>
          <w:rStyle w:val="AERbody"/>
        </w:rPr>
        <w:t xml:space="preserve">forecast </w:t>
      </w:r>
      <w:r w:rsidR="000F7684">
        <w:rPr>
          <w:rStyle w:val="AERbody"/>
        </w:rPr>
        <w:t>capex</w:t>
      </w:r>
      <w:r w:rsidR="00A171F7">
        <w:rPr>
          <w:rStyle w:val="AERbody"/>
        </w:rPr>
        <w:t xml:space="preserve"> for its </w:t>
      </w:r>
      <w:r w:rsidR="00965252">
        <w:rPr>
          <w:rStyle w:val="AERbody"/>
        </w:rPr>
        <w:t xml:space="preserve">slabbing program </w:t>
      </w:r>
      <w:r w:rsidR="00A171F7">
        <w:rPr>
          <w:rStyle w:val="AERbody"/>
        </w:rPr>
        <w:t xml:space="preserve">which </w:t>
      </w:r>
      <w:r w:rsidR="00965252">
        <w:rPr>
          <w:rStyle w:val="AERbody"/>
        </w:rPr>
        <w:t>appears premature</w:t>
      </w:r>
      <w:r w:rsidR="007B01C8">
        <w:rPr>
          <w:rStyle w:val="AERbody"/>
        </w:rPr>
        <w:t xml:space="preserve">, </w:t>
      </w:r>
      <w:r w:rsidR="007B01C8" w:rsidRPr="007B01C8">
        <w:rPr>
          <w:rStyle w:val="AERbody"/>
        </w:rPr>
        <w:t>given the available information about the when urban development is likely to proceed</w:t>
      </w:r>
      <w:r>
        <w:rPr>
          <w:rStyle w:val="AERbody"/>
        </w:rPr>
        <w:t xml:space="preserve">. The approval for this expenditure </w:t>
      </w:r>
      <w:r w:rsidR="00965252">
        <w:rPr>
          <w:rStyle w:val="AERbody"/>
        </w:rPr>
        <w:t>can be deferred closer to the time when urban development is actually likely to proceed</w:t>
      </w:r>
      <w:r>
        <w:rPr>
          <w:rStyle w:val="AERbody"/>
        </w:rPr>
        <w:t>.</w:t>
      </w:r>
    </w:p>
    <w:p w:rsidR="00E574BF" w:rsidRPr="00E574BF" w:rsidRDefault="00E574BF" w:rsidP="00E574BF">
      <w:r w:rsidRPr="00E574BF">
        <w:t>A</w:t>
      </w:r>
      <w:r>
        <w:t>PA</w:t>
      </w:r>
      <w:r w:rsidRPr="00E574BF">
        <w:t xml:space="preserve"> will have the opportunity to address these differences in its revised proposal. </w:t>
      </w:r>
    </w:p>
    <w:p w:rsidR="009301E7" w:rsidRDefault="000521F6" w:rsidP="009301E7">
      <w:pPr>
        <w:pStyle w:val="Heading2"/>
      </w:pPr>
      <w:bookmarkStart w:id="86" w:name="_Toc487018265"/>
      <w:r>
        <w:t>I</w:t>
      </w:r>
      <w:r w:rsidR="009301E7">
        <w:t xml:space="preserve">mpact of </w:t>
      </w:r>
      <w:r w:rsidR="006674E9" w:rsidRPr="006674E9">
        <w:t xml:space="preserve">our draft </w:t>
      </w:r>
      <w:r w:rsidR="009301E7">
        <w:t>decision</w:t>
      </w:r>
      <w:r w:rsidR="007E7AEE">
        <w:t xml:space="preserve"> </w:t>
      </w:r>
      <w:r w:rsidR="009301E7">
        <w:t>on gas bills</w:t>
      </w:r>
      <w:bookmarkEnd w:id="86"/>
      <w:r w:rsidR="009301E7">
        <w:t xml:space="preserve"> </w:t>
      </w:r>
    </w:p>
    <w:p w:rsidR="00B3053D" w:rsidRDefault="00B3053D" w:rsidP="00B3053D">
      <w:r>
        <w:t xml:space="preserve">The annual gas bill for customers in Victoria will reflect the combined cost of all the gas supply chain components. </w:t>
      </w:r>
      <w:r w:rsidR="004B157A">
        <w:t xml:space="preserve">Changes in </w:t>
      </w:r>
      <w:r w:rsidR="004B157A" w:rsidRPr="00302CDC">
        <w:t>gas bill</w:t>
      </w:r>
      <w:r w:rsidR="004B157A">
        <w:t>s over time</w:t>
      </w:r>
      <w:r w:rsidR="004B157A" w:rsidRPr="00302CDC">
        <w:t xml:space="preserve"> reflect movements in one or more of the components of the bill. </w:t>
      </w:r>
      <w:r>
        <w:t>The</w:t>
      </w:r>
      <w:r w:rsidR="004B157A">
        <w:t xml:space="preserve"> main</w:t>
      </w:r>
      <w:r>
        <w:t xml:space="preserve"> components are: </w:t>
      </w:r>
    </w:p>
    <w:p w:rsidR="00B3053D" w:rsidRPr="00B3053D" w:rsidRDefault="009775C5" w:rsidP="00B3053D">
      <w:pPr>
        <w:pStyle w:val="AERbulletlistfirststyle"/>
      </w:pPr>
      <w:r>
        <w:t>t</w:t>
      </w:r>
      <w:r w:rsidR="00B3053D">
        <w:t>he cost of producing gas (the wholesale gas generation cost</w:t>
      </w:r>
      <w:r w:rsidR="00B3053D" w:rsidRPr="00B3053D">
        <w:t xml:space="preserve">);  </w:t>
      </w:r>
    </w:p>
    <w:p w:rsidR="00B3053D" w:rsidRPr="00B3053D" w:rsidRDefault="009775C5" w:rsidP="00B3053D">
      <w:pPr>
        <w:pStyle w:val="AERbulletlistfirststyle"/>
      </w:pPr>
      <w:r>
        <w:t>t</w:t>
      </w:r>
      <w:r w:rsidR="00B3053D">
        <w:t xml:space="preserve">he cost of the pipelines used to transport the gas (the </w:t>
      </w:r>
      <w:r w:rsidR="00B3053D" w:rsidRPr="00B3053D">
        <w:t>transmission and distribution networks) and other infrastructure such as metering costs; and</w:t>
      </w:r>
    </w:p>
    <w:p w:rsidR="00B3053D" w:rsidRPr="00B3053D" w:rsidRDefault="00B3053D" w:rsidP="00B3053D">
      <w:pPr>
        <w:pStyle w:val="AERbulletlistfirststyle"/>
      </w:pPr>
      <w:proofErr w:type="gramStart"/>
      <w:r>
        <w:t>the</w:t>
      </w:r>
      <w:proofErr w:type="gramEnd"/>
      <w:r>
        <w:t xml:space="preserve"> retailers costs and profit margin. </w:t>
      </w:r>
    </w:p>
    <w:p w:rsidR="00B3053D" w:rsidRDefault="00B3053D" w:rsidP="00B3053D">
      <w:r>
        <w:t xml:space="preserve">Our draft decision for APA </w:t>
      </w:r>
      <w:r w:rsidR="004B157A">
        <w:t>affects</w:t>
      </w:r>
      <w:r>
        <w:t xml:space="preserve"> transmission charges</w:t>
      </w:r>
      <w:r w:rsidR="004B157A">
        <w:t>,</w:t>
      </w:r>
      <w:r>
        <w:t xml:space="preserve"> which represent approximately </w:t>
      </w:r>
      <w:r w:rsidR="00E8785B">
        <w:t>2.1</w:t>
      </w:r>
      <w:r>
        <w:t xml:space="preserve"> per cent on average of a Victorian customer's annual gas bill. This small percentage largely explains the relatively modest impact that this draft decision is likely to have on average annual gas bills. </w:t>
      </w:r>
    </w:p>
    <w:p w:rsidR="004B157A" w:rsidRDefault="00B3053D" w:rsidP="00B3053D">
      <w:r>
        <w:t>We estimate the expected bill impact by varying the transmission charges in accordance with our draft decision, while holding other components of the bill constant.</w:t>
      </w:r>
      <w:r w:rsidR="0074794B">
        <w:rPr>
          <w:rStyle w:val="FootnoteReference"/>
        </w:rPr>
        <w:footnoteReference w:id="9"/>
      </w:r>
      <w:r>
        <w:t xml:space="preserve"> </w:t>
      </w:r>
      <w:r w:rsidR="007E7AEE" w:rsidRPr="007E7AEE">
        <w:t>Our estimates are in nominal terms (taking into account expected future inflation to determine what the nominal price levels will be in future periods) because it will be nominal amounts that consumers will be paying.</w:t>
      </w:r>
      <w:r w:rsidR="007E7AEE">
        <w:t xml:space="preserve"> </w:t>
      </w:r>
      <w:r>
        <w:t xml:space="preserve">Based on this approach, we expect that our draft decision will result in </w:t>
      </w:r>
      <w:r w:rsidR="000F7684">
        <w:t xml:space="preserve">an increase to </w:t>
      </w:r>
      <w:r>
        <w:t>the transmission component of the average annual gas bills for residential customers in Victoria over the 201</w:t>
      </w:r>
      <w:r w:rsidR="00E8785B">
        <w:t>8</w:t>
      </w:r>
      <w:r>
        <w:t xml:space="preserve">–22 access arrangement </w:t>
      </w:r>
      <w:proofErr w:type="gramStart"/>
      <w:r>
        <w:t>period</w:t>
      </w:r>
      <w:proofErr w:type="gramEnd"/>
      <w:r>
        <w:t xml:space="preserve">. The transmission component of the average annual residential gas bill in </w:t>
      </w:r>
      <w:r w:rsidR="009E2909">
        <w:t xml:space="preserve">2018 is expected to be about </w:t>
      </w:r>
      <w:r w:rsidR="00E64A51">
        <w:t>$</w:t>
      </w:r>
      <w:r w:rsidR="00DC33D7">
        <w:t>1</w:t>
      </w:r>
      <w:r w:rsidR="00E64A51">
        <w:t xml:space="preserve"> </w:t>
      </w:r>
      <w:r w:rsidR="00DC33D7">
        <w:t>lower</w:t>
      </w:r>
      <w:r w:rsidR="00E64A51">
        <w:t xml:space="preserve"> </w:t>
      </w:r>
      <w:r w:rsidR="00DC33D7">
        <w:t xml:space="preserve">than </w:t>
      </w:r>
      <w:r w:rsidR="009E2909">
        <w:t>the current, 2017 level. By the end of the 2018–</w:t>
      </w:r>
      <w:r>
        <w:t xml:space="preserve">22 </w:t>
      </w:r>
      <w:r w:rsidR="009E2909">
        <w:t xml:space="preserve">access arrangement, the transmission component of the average annual bill is expected to be about </w:t>
      </w:r>
      <w:r>
        <w:t>$</w:t>
      </w:r>
      <w:r w:rsidR="00DC33D7">
        <w:t>4</w:t>
      </w:r>
      <w:r w:rsidR="00E8785B">
        <w:t xml:space="preserve"> </w:t>
      </w:r>
      <w:r>
        <w:t>($</w:t>
      </w:r>
      <w:r w:rsidR="000521F6">
        <w:t> </w:t>
      </w:r>
      <w:r>
        <w:t xml:space="preserve">nominal) </w:t>
      </w:r>
      <w:r w:rsidR="00E8785B">
        <w:t>above</w:t>
      </w:r>
      <w:r w:rsidR="00FE3565">
        <w:t xml:space="preserve"> the 201</w:t>
      </w:r>
      <w:r>
        <w:t xml:space="preserve">7 level. </w:t>
      </w:r>
      <w:r w:rsidR="009E2909">
        <w:t>Similarly, the transmission component of the average small business gas bill in 2018 is expected to be about $</w:t>
      </w:r>
      <w:r w:rsidR="00DC33D7">
        <w:t>1</w:t>
      </w:r>
      <w:r w:rsidR="009E2909">
        <w:t xml:space="preserve"> </w:t>
      </w:r>
      <w:r w:rsidR="00DC33D7">
        <w:t>lower</w:t>
      </w:r>
      <w:r w:rsidR="009E2909">
        <w:t xml:space="preserve"> than in </w:t>
      </w:r>
      <w:proofErr w:type="gramStart"/>
      <w:r w:rsidR="009E2909">
        <w:t>2017,</w:t>
      </w:r>
      <w:proofErr w:type="gramEnd"/>
      <w:r w:rsidR="009E2909">
        <w:t xml:space="preserve"> and about $</w:t>
      </w:r>
      <w:r w:rsidR="00DC33D7">
        <w:t>36</w:t>
      </w:r>
      <w:r w:rsidR="009E2909">
        <w:t xml:space="preserve"> above the current 2017 level by 2022.</w:t>
      </w:r>
    </w:p>
    <w:p w:rsidR="00B3053D" w:rsidRDefault="009F6AC3" w:rsidP="00B3053D">
      <w:r>
        <w:fldChar w:fldCharType="begin"/>
      </w:r>
      <w:r>
        <w:instrText xml:space="preserve"> REF _Ref483915886 \h </w:instrText>
      </w:r>
      <w:r>
        <w:fldChar w:fldCharType="separate"/>
      </w:r>
      <w:r w:rsidR="00971C32">
        <w:t xml:space="preserve">Table </w:t>
      </w:r>
      <w:r w:rsidR="00971C32">
        <w:rPr>
          <w:noProof/>
        </w:rPr>
        <w:t>2</w:t>
      </w:r>
      <w:r w:rsidR="00971C32">
        <w:noBreakHyphen/>
      </w:r>
      <w:r w:rsidR="00971C32">
        <w:rPr>
          <w:noProof/>
        </w:rPr>
        <w:t>1</w:t>
      </w:r>
      <w:r>
        <w:fldChar w:fldCharType="end"/>
      </w:r>
      <w:r>
        <w:t xml:space="preserve"> shows our estimated impact of this draft decision on average annual gas bills for residential and commercial customers over the 2018–22 access arrangement period compared to APA's proposal. These impacts are</w:t>
      </w:r>
      <w:r w:rsidR="00B3053D">
        <w:t xml:space="preserve"> indicative only, and individual customers' actual bills will </w:t>
      </w:r>
      <w:r>
        <w:t xml:space="preserve">also </w:t>
      </w:r>
      <w:r w:rsidR="00B3053D">
        <w:t xml:space="preserve">depend on their usage patterns and the structure of their chosen retail tariff offering. </w:t>
      </w:r>
    </w:p>
    <w:p w:rsidR="004C645B" w:rsidRDefault="009F6AC3" w:rsidP="001D0531">
      <w:pPr>
        <w:pStyle w:val="Caption"/>
      </w:pPr>
      <w:bookmarkStart w:id="87" w:name="_Ref483915886"/>
      <w:r>
        <w:t xml:space="preserve">Table </w:t>
      </w:r>
      <w:fldSimple w:instr=" STYLEREF 1 \s ">
        <w:r w:rsidR="00971C32">
          <w:rPr>
            <w:noProof/>
          </w:rPr>
          <w:t>2</w:t>
        </w:r>
      </w:fldSimple>
      <w:r>
        <w:noBreakHyphen/>
      </w:r>
      <w:fldSimple w:instr=" SEQ Table \* ARABIC \s 1 ">
        <w:r w:rsidR="00971C32">
          <w:rPr>
            <w:noProof/>
          </w:rPr>
          <w:t>1</w:t>
        </w:r>
      </w:fldSimple>
      <w:bookmarkEnd w:id="87"/>
      <w:r>
        <w:t xml:space="preserve"> AER's estimated impact of our draft decision and APA's proposal on average annual gas bills for the 2018–22 access arrangement period</w:t>
      </w:r>
    </w:p>
    <w:tbl>
      <w:tblPr>
        <w:tblStyle w:val="AERtable-text1"/>
        <w:tblW w:w="8105" w:type="dxa"/>
        <w:tblLook w:val="04A0" w:firstRow="1" w:lastRow="0" w:firstColumn="1" w:lastColumn="0" w:noHBand="0" w:noVBand="1"/>
      </w:tblPr>
      <w:tblGrid>
        <w:gridCol w:w="2449"/>
        <w:gridCol w:w="661"/>
        <w:gridCol w:w="999"/>
        <w:gridCol w:w="999"/>
        <w:gridCol w:w="999"/>
        <w:gridCol w:w="999"/>
        <w:gridCol w:w="999"/>
      </w:tblGrid>
      <w:tr w:rsidR="00CE64D3" w:rsidRPr="00CE64D3" w:rsidTr="00CE64D3">
        <w:trPr>
          <w:cnfStyle w:val="100000000000" w:firstRow="1" w:lastRow="0" w:firstColumn="0" w:lastColumn="0" w:oddVBand="0" w:evenVBand="0" w:oddHBand="0" w:evenHBand="0" w:firstRowFirstColumn="0" w:firstRowLastColumn="0" w:lastRowFirstColumn="0" w:lastRowLastColumn="0"/>
          <w:trHeight w:val="285"/>
        </w:trPr>
        <w:tc>
          <w:tcPr>
            <w:tcW w:w="2449" w:type="dxa"/>
            <w:noWrap/>
            <w:hideMark/>
          </w:tcPr>
          <w:p w:rsidR="00CE64D3" w:rsidRPr="00CE64D3" w:rsidRDefault="00CE64D3" w:rsidP="00CE64D3">
            <w:r w:rsidRPr="00CE64D3">
              <w:t> </w:t>
            </w:r>
          </w:p>
        </w:tc>
        <w:tc>
          <w:tcPr>
            <w:tcW w:w="661" w:type="dxa"/>
            <w:noWrap/>
            <w:hideMark/>
          </w:tcPr>
          <w:p w:rsidR="00CE64D3" w:rsidRPr="00CE64D3" w:rsidRDefault="00CE64D3" w:rsidP="00CE64D3">
            <w:r w:rsidRPr="00CE64D3">
              <w:t>2017</w:t>
            </w:r>
          </w:p>
        </w:tc>
        <w:tc>
          <w:tcPr>
            <w:tcW w:w="999" w:type="dxa"/>
            <w:noWrap/>
            <w:hideMark/>
          </w:tcPr>
          <w:p w:rsidR="00CE64D3" w:rsidRPr="00CE64D3" w:rsidRDefault="00CE64D3" w:rsidP="00CE64D3">
            <w:r w:rsidRPr="00CE64D3">
              <w:t>2018</w:t>
            </w:r>
          </w:p>
        </w:tc>
        <w:tc>
          <w:tcPr>
            <w:tcW w:w="999" w:type="dxa"/>
            <w:noWrap/>
            <w:hideMark/>
          </w:tcPr>
          <w:p w:rsidR="00CE64D3" w:rsidRPr="00CE64D3" w:rsidRDefault="00CE64D3" w:rsidP="00CE64D3">
            <w:r w:rsidRPr="00CE64D3">
              <w:t>2019</w:t>
            </w:r>
          </w:p>
        </w:tc>
        <w:tc>
          <w:tcPr>
            <w:tcW w:w="999" w:type="dxa"/>
            <w:noWrap/>
            <w:hideMark/>
          </w:tcPr>
          <w:p w:rsidR="00CE64D3" w:rsidRPr="00CE64D3" w:rsidRDefault="00CE64D3" w:rsidP="00CE64D3">
            <w:r w:rsidRPr="00CE64D3">
              <w:t>2020</w:t>
            </w:r>
          </w:p>
        </w:tc>
        <w:tc>
          <w:tcPr>
            <w:tcW w:w="999" w:type="dxa"/>
            <w:noWrap/>
            <w:hideMark/>
          </w:tcPr>
          <w:p w:rsidR="00CE64D3" w:rsidRPr="00CE64D3" w:rsidRDefault="00CE64D3" w:rsidP="00CE64D3">
            <w:r w:rsidRPr="00CE64D3">
              <w:t>2021</w:t>
            </w:r>
          </w:p>
        </w:tc>
        <w:tc>
          <w:tcPr>
            <w:tcW w:w="999" w:type="dxa"/>
            <w:noWrap/>
            <w:hideMark/>
          </w:tcPr>
          <w:p w:rsidR="00CE64D3" w:rsidRPr="00CE64D3" w:rsidRDefault="00CE64D3" w:rsidP="00CE64D3">
            <w:r w:rsidRPr="00CE64D3">
              <w:t>2022</w:t>
            </w:r>
          </w:p>
        </w:tc>
      </w:tr>
      <w:tr w:rsidR="00CE64D3" w:rsidRPr="00CE64D3" w:rsidTr="00CE64D3">
        <w:trPr>
          <w:trHeight w:val="285"/>
        </w:trPr>
        <w:tc>
          <w:tcPr>
            <w:tcW w:w="2449" w:type="dxa"/>
            <w:noWrap/>
            <w:hideMark/>
          </w:tcPr>
          <w:p w:rsidR="00CE64D3" w:rsidRPr="00B32105" w:rsidRDefault="00CE64D3" w:rsidP="00CE64D3">
            <w:pPr>
              <w:rPr>
                <w:rStyle w:val="Strong"/>
              </w:rPr>
            </w:pPr>
            <w:r w:rsidRPr="00B32105">
              <w:rPr>
                <w:rStyle w:val="Strong"/>
              </w:rPr>
              <w:t>AER draft decision</w:t>
            </w:r>
          </w:p>
        </w:tc>
        <w:tc>
          <w:tcPr>
            <w:tcW w:w="661" w:type="dxa"/>
            <w:noWrap/>
            <w:hideMark/>
          </w:tcPr>
          <w:p w:rsidR="00CE64D3" w:rsidRPr="00CE64D3" w:rsidRDefault="00CE64D3" w:rsidP="00CE64D3">
            <w:r w:rsidRPr="00CE64D3">
              <w:t> </w:t>
            </w:r>
          </w:p>
        </w:tc>
        <w:tc>
          <w:tcPr>
            <w:tcW w:w="999" w:type="dxa"/>
            <w:noWrap/>
            <w:hideMark/>
          </w:tcPr>
          <w:p w:rsidR="00CE64D3" w:rsidRPr="00CE64D3" w:rsidRDefault="00CE64D3" w:rsidP="00CE64D3">
            <w:r w:rsidRPr="00CE64D3">
              <w:t> </w:t>
            </w:r>
          </w:p>
        </w:tc>
        <w:tc>
          <w:tcPr>
            <w:tcW w:w="999" w:type="dxa"/>
            <w:noWrap/>
            <w:hideMark/>
          </w:tcPr>
          <w:p w:rsidR="00CE64D3" w:rsidRPr="00CE64D3" w:rsidRDefault="00CE64D3" w:rsidP="00CE64D3">
            <w:r w:rsidRPr="00CE64D3">
              <w:t> </w:t>
            </w:r>
          </w:p>
        </w:tc>
        <w:tc>
          <w:tcPr>
            <w:tcW w:w="999" w:type="dxa"/>
            <w:noWrap/>
            <w:hideMark/>
          </w:tcPr>
          <w:p w:rsidR="00CE64D3" w:rsidRPr="00CE64D3" w:rsidRDefault="00CE64D3" w:rsidP="00CE64D3">
            <w:r w:rsidRPr="00CE64D3">
              <w:t> </w:t>
            </w:r>
          </w:p>
        </w:tc>
        <w:tc>
          <w:tcPr>
            <w:tcW w:w="999" w:type="dxa"/>
            <w:noWrap/>
            <w:hideMark/>
          </w:tcPr>
          <w:p w:rsidR="00CE64D3" w:rsidRPr="00CE64D3" w:rsidRDefault="00CE64D3" w:rsidP="00CE64D3">
            <w:r w:rsidRPr="00CE64D3">
              <w:t> </w:t>
            </w:r>
          </w:p>
        </w:tc>
        <w:tc>
          <w:tcPr>
            <w:tcW w:w="999" w:type="dxa"/>
            <w:noWrap/>
            <w:hideMark/>
          </w:tcPr>
          <w:p w:rsidR="00CE64D3" w:rsidRPr="00CE64D3" w:rsidRDefault="00CE64D3" w:rsidP="00CE64D3">
            <w:r w:rsidRPr="00CE64D3">
              <w:t> </w:t>
            </w:r>
          </w:p>
        </w:tc>
      </w:tr>
      <w:tr w:rsidR="00DC33D7" w:rsidRPr="00CE64D3" w:rsidTr="008E1D98">
        <w:trPr>
          <w:cnfStyle w:val="000000010000" w:firstRow="0" w:lastRow="0" w:firstColumn="0" w:lastColumn="0" w:oddVBand="0" w:evenVBand="0" w:oddHBand="0" w:evenHBand="1" w:firstRowFirstColumn="0" w:firstRowLastColumn="0" w:lastRowFirstColumn="0" w:lastRowLastColumn="0"/>
          <w:trHeight w:val="285"/>
        </w:trPr>
        <w:tc>
          <w:tcPr>
            <w:tcW w:w="2449" w:type="dxa"/>
            <w:noWrap/>
            <w:hideMark/>
          </w:tcPr>
          <w:p w:rsidR="00DC33D7" w:rsidRPr="00DC33D7" w:rsidRDefault="00DC33D7" w:rsidP="00DC33D7">
            <w:r w:rsidRPr="00DC33D7">
              <w:t>Residential annual gas bill</w:t>
            </w:r>
          </w:p>
        </w:tc>
        <w:tc>
          <w:tcPr>
            <w:tcW w:w="661" w:type="dxa"/>
            <w:noWrap/>
            <w:hideMark/>
          </w:tcPr>
          <w:p w:rsidR="00DC33D7" w:rsidRPr="00DC33D7" w:rsidRDefault="00DC33D7" w:rsidP="00DC33D7">
            <w:r w:rsidRPr="00DC33D7">
              <w:t>1271</w:t>
            </w:r>
            <w:r w:rsidRPr="00DC33D7">
              <w:rPr>
                <w:rStyle w:val="AERsuperscript"/>
              </w:rPr>
              <w:t>a</w:t>
            </w:r>
          </w:p>
        </w:tc>
        <w:tc>
          <w:tcPr>
            <w:tcW w:w="999" w:type="dxa"/>
            <w:noWrap/>
            <w:vAlign w:val="bottom"/>
          </w:tcPr>
          <w:p w:rsidR="00DC33D7" w:rsidRPr="00DC33D7" w:rsidRDefault="00DC33D7" w:rsidP="00DC33D7">
            <w:r w:rsidRPr="00DC33D7">
              <w:t>1270</w:t>
            </w:r>
          </w:p>
        </w:tc>
        <w:tc>
          <w:tcPr>
            <w:tcW w:w="999" w:type="dxa"/>
            <w:noWrap/>
            <w:vAlign w:val="bottom"/>
          </w:tcPr>
          <w:p w:rsidR="00DC33D7" w:rsidRPr="00DC33D7" w:rsidRDefault="00DC33D7" w:rsidP="00DC33D7">
            <w:r w:rsidRPr="00DC33D7">
              <w:t>1272</w:t>
            </w:r>
          </w:p>
        </w:tc>
        <w:tc>
          <w:tcPr>
            <w:tcW w:w="999" w:type="dxa"/>
            <w:noWrap/>
            <w:vAlign w:val="bottom"/>
          </w:tcPr>
          <w:p w:rsidR="00DC33D7" w:rsidRPr="00DC33D7" w:rsidRDefault="00DC33D7" w:rsidP="00DC33D7">
            <w:r w:rsidRPr="00DC33D7">
              <w:t>1273</w:t>
            </w:r>
          </w:p>
        </w:tc>
        <w:tc>
          <w:tcPr>
            <w:tcW w:w="999" w:type="dxa"/>
            <w:noWrap/>
            <w:vAlign w:val="bottom"/>
          </w:tcPr>
          <w:p w:rsidR="00DC33D7" w:rsidRPr="00DC33D7" w:rsidRDefault="00DC33D7" w:rsidP="00DC33D7">
            <w:r w:rsidRPr="00DC33D7">
              <w:t>1274</w:t>
            </w:r>
          </w:p>
        </w:tc>
        <w:tc>
          <w:tcPr>
            <w:tcW w:w="999" w:type="dxa"/>
            <w:noWrap/>
            <w:vAlign w:val="bottom"/>
          </w:tcPr>
          <w:p w:rsidR="00DC33D7" w:rsidRPr="00DC33D7" w:rsidRDefault="00DC33D7" w:rsidP="00DC33D7">
            <w:r w:rsidRPr="00DC33D7">
              <w:t>1275</w:t>
            </w:r>
          </w:p>
        </w:tc>
      </w:tr>
      <w:tr w:rsidR="00DC33D7" w:rsidRPr="00CE64D3" w:rsidTr="008E1D98">
        <w:trPr>
          <w:trHeight w:val="285"/>
        </w:trPr>
        <w:tc>
          <w:tcPr>
            <w:tcW w:w="2449" w:type="dxa"/>
            <w:noWrap/>
            <w:hideMark/>
          </w:tcPr>
          <w:p w:rsidR="00DC33D7" w:rsidRPr="00DC33D7" w:rsidRDefault="00DC33D7" w:rsidP="00DC33D7">
            <w:r w:rsidRPr="00DC33D7">
              <w:t>Annual change</w:t>
            </w:r>
            <w:r w:rsidRPr="00DC33D7">
              <w:rPr>
                <w:rStyle w:val="AERsuperscript"/>
              </w:rPr>
              <w:t>c</w:t>
            </w:r>
          </w:p>
        </w:tc>
        <w:tc>
          <w:tcPr>
            <w:tcW w:w="661" w:type="dxa"/>
            <w:noWrap/>
            <w:hideMark/>
          </w:tcPr>
          <w:p w:rsidR="00DC33D7" w:rsidRPr="00DC33D7" w:rsidRDefault="00DC33D7" w:rsidP="00DC33D7">
            <w:r w:rsidRPr="00DC33D7">
              <w:t> </w:t>
            </w:r>
          </w:p>
        </w:tc>
        <w:tc>
          <w:tcPr>
            <w:tcW w:w="999" w:type="dxa"/>
            <w:noWrap/>
            <w:vAlign w:val="bottom"/>
          </w:tcPr>
          <w:p w:rsidR="00DC33D7" w:rsidRPr="00DC33D7" w:rsidRDefault="00DC33D7" w:rsidP="00DC33D7">
            <w:r w:rsidRPr="00DC33D7">
              <w:t>–1 (–0%)</w:t>
            </w:r>
          </w:p>
        </w:tc>
        <w:tc>
          <w:tcPr>
            <w:tcW w:w="999" w:type="dxa"/>
            <w:noWrap/>
            <w:vAlign w:val="bottom"/>
          </w:tcPr>
          <w:p w:rsidR="00DC33D7" w:rsidRPr="00DC33D7" w:rsidRDefault="00DC33D7" w:rsidP="00DC33D7">
            <w:r w:rsidRPr="00DC33D7">
              <w:t>2 (0.1%)</w:t>
            </w:r>
          </w:p>
        </w:tc>
        <w:tc>
          <w:tcPr>
            <w:tcW w:w="999" w:type="dxa"/>
            <w:noWrap/>
            <w:vAlign w:val="bottom"/>
          </w:tcPr>
          <w:p w:rsidR="00DC33D7" w:rsidRPr="00DC33D7" w:rsidRDefault="00DC33D7" w:rsidP="00DC33D7">
            <w:r w:rsidRPr="00DC33D7">
              <w:t>1 (0.1%)</w:t>
            </w:r>
          </w:p>
        </w:tc>
        <w:tc>
          <w:tcPr>
            <w:tcW w:w="999" w:type="dxa"/>
            <w:noWrap/>
            <w:vAlign w:val="bottom"/>
          </w:tcPr>
          <w:p w:rsidR="00DC33D7" w:rsidRPr="00DC33D7" w:rsidRDefault="00DC33D7" w:rsidP="00DC33D7">
            <w:r w:rsidRPr="00DC33D7">
              <w:t>1 (0.1%)</w:t>
            </w:r>
          </w:p>
        </w:tc>
        <w:tc>
          <w:tcPr>
            <w:tcW w:w="999" w:type="dxa"/>
            <w:noWrap/>
            <w:vAlign w:val="bottom"/>
          </w:tcPr>
          <w:p w:rsidR="00DC33D7" w:rsidRPr="00DC33D7" w:rsidRDefault="00DC33D7" w:rsidP="00DC33D7">
            <w:r w:rsidRPr="00DC33D7">
              <w:t>1 (0.1%)</w:t>
            </w:r>
          </w:p>
        </w:tc>
      </w:tr>
      <w:tr w:rsidR="00DC33D7" w:rsidRPr="00CE64D3" w:rsidTr="008E1D98">
        <w:trPr>
          <w:cnfStyle w:val="000000010000" w:firstRow="0" w:lastRow="0" w:firstColumn="0" w:lastColumn="0" w:oddVBand="0" w:evenVBand="0" w:oddHBand="0" w:evenHBand="1" w:firstRowFirstColumn="0" w:firstRowLastColumn="0" w:lastRowFirstColumn="0" w:lastRowLastColumn="0"/>
          <w:trHeight w:val="285"/>
        </w:trPr>
        <w:tc>
          <w:tcPr>
            <w:tcW w:w="2449" w:type="dxa"/>
            <w:noWrap/>
            <w:hideMark/>
          </w:tcPr>
          <w:p w:rsidR="00DC33D7" w:rsidRPr="00DC33D7" w:rsidRDefault="00DC33D7" w:rsidP="00DC33D7">
            <w:r w:rsidRPr="00DC33D7">
              <w:t>Small business annual gas bill</w:t>
            </w:r>
          </w:p>
        </w:tc>
        <w:tc>
          <w:tcPr>
            <w:tcW w:w="661" w:type="dxa"/>
            <w:noWrap/>
            <w:hideMark/>
          </w:tcPr>
          <w:p w:rsidR="00DC33D7" w:rsidRPr="00DC33D7" w:rsidRDefault="00DC33D7" w:rsidP="00DC33D7">
            <w:r w:rsidRPr="00DC33D7">
              <w:t>7775</w:t>
            </w:r>
            <w:r w:rsidRPr="00DC33D7">
              <w:rPr>
                <w:rStyle w:val="AERsuperscript"/>
              </w:rPr>
              <w:t>b</w:t>
            </w:r>
          </w:p>
        </w:tc>
        <w:tc>
          <w:tcPr>
            <w:tcW w:w="999" w:type="dxa"/>
            <w:noWrap/>
            <w:vAlign w:val="bottom"/>
          </w:tcPr>
          <w:p w:rsidR="00DC33D7" w:rsidRPr="00DC33D7" w:rsidRDefault="00DC33D7" w:rsidP="00DC33D7">
            <w:r w:rsidRPr="00DC33D7">
              <w:t>7774</w:t>
            </w:r>
          </w:p>
        </w:tc>
        <w:tc>
          <w:tcPr>
            <w:tcW w:w="999" w:type="dxa"/>
            <w:noWrap/>
            <w:vAlign w:val="bottom"/>
          </w:tcPr>
          <w:p w:rsidR="00DC33D7" w:rsidRPr="00DC33D7" w:rsidRDefault="00DC33D7" w:rsidP="00DC33D7">
            <w:r w:rsidRPr="00DC33D7">
              <w:t>7785</w:t>
            </w:r>
          </w:p>
        </w:tc>
        <w:tc>
          <w:tcPr>
            <w:tcW w:w="999" w:type="dxa"/>
            <w:noWrap/>
            <w:vAlign w:val="bottom"/>
          </w:tcPr>
          <w:p w:rsidR="00DC33D7" w:rsidRPr="00DC33D7" w:rsidRDefault="00DC33D7" w:rsidP="00DC33D7">
            <w:r w:rsidRPr="00DC33D7">
              <w:t>7794</w:t>
            </w:r>
          </w:p>
        </w:tc>
        <w:tc>
          <w:tcPr>
            <w:tcW w:w="999" w:type="dxa"/>
            <w:noWrap/>
            <w:vAlign w:val="bottom"/>
          </w:tcPr>
          <w:p w:rsidR="00DC33D7" w:rsidRPr="00DC33D7" w:rsidRDefault="00DC33D7" w:rsidP="00DC33D7">
            <w:r w:rsidRPr="00DC33D7">
              <w:t>7802</w:t>
            </w:r>
          </w:p>
        </w:tc>
        <w:tc>
          <w:tcPr>
            <w:tcW w:w="999" w:type="dxa"/>
            <w:noWrap/>
            <w:vAlign w:val="bottom"/>
          </w:tcPr>
          <w:p w:rsidR="00DC33D7" w:rsidRPr="00DC33D7" w:rsidRDefault="00DC33D7" w:rsidP="00DC33D7">
            <w:r w:rsidRPr="00DC33D7">
              <w:t>7811</w:t>
            </w:r>
          </w:p>
        </w:tc>
      </w:tr>
      <w:tr w:rsidR="00DC33D7" w:rsidRPr="00CE64D3" w:rsidTr="008E1D98">
        <w:trPr>
          <w:trHeight w:val="285"/>
        </w:trPr>
        <w:tc>
          <w:tcPr>
            <w:tcW w:w="2449" w:type="dxa"/>
            <w:noWrap/>
            <w:hideMark/>
          </w:tcPr>
          <w:p w:rsidR="00DC33D7" w:rsidRPr="00DC33D7" w:rsidRDefault="00DC33D7" w:rsidP="00DC33D7">
            <w:r w:rsidRPr="00DC33D7">
              <w:t>Annual change</w:t>
            </w:r>
            <w:r w:rsidRPr="00DC33D7">
              <w:rPr>
                <w:rStyle w:val="AERsuperscript"/>
              </w:rPr>
              <w:t>c</w:t>
            </w:r>
          </w:p>
        </w:tc>
        <w:tc>
          <w:tcPr>
            <w:tcW w:w="661" w:type="dxa"/>
            <w:noWrap/>
            <w:hideMark/>
          </w:tcPr>
          <w:p w:rsidR="00DC33D7" w:rsidRPr="00DC33D7" w:rsidRDefault="00DC33D7" w:rsidP="00DC33D7">
            <w:r w:rsidRPr="00DC33D7">
              <w:t> </w:t>
            </w:r>
          </w:p>
        </w:tc>
        <w:tc>
          <w:tcPr>
            <w:tcW w:w="999" w:type="dxa"/>
            <w:noWrap/>
            <w:vAlign w:val="bottom"/>
          </w:tcPr>
          <w:p w:rsidR="00DC33D7" w:rsidRPr="00DC33D7" w:rsidRDefault="00DC33D7" w:rsidP="00DC33D7">
            <w:r w:rsidRPr="00DC33D7">
              <w:t>–1 (–0%)</w:t>
            </w:r>
          </w:p>
        </w:tc>
        <w:tc>
          <w:tcPr>
            <w:tcW w:w="999" w:type="dxa"/>
            <w:noWrap/>
            <w:vAlign w:val="bottom"/>
          </w:tcPr>
          <w:p w:rsidR="00DC33D7" w:rsidRPr="00DC33D7" w:rsidRDefault="00DC33D7" w:rsidP="00DC33D7">
            <w:r w:rsidRPr="00DC33D7">
              <w:t>11 (0.1%)</w:t>
            </w:r>
          </w:p>
        </w:tc>
        <w:tc>
          <w:tcPr>
            <w:tcW w:w="999" w:type="dxa"/>
            <w:noWrap/>
            <w:vAlign w:val="bottom"/>
          </w:tcPr>
          <w:p w:rsidR="00DC33D7" w:rsidRPr="00DC33D7" w:rsidRDefault="00DC33D7" w:rsidP="00DC33D7">
            <w:r w:rsidRPr="00DC33D7">
              <w:t>9 (0.1%)</w:t>
            </w:r>
          </w:p>
        </w:tc>
        <w:tc>
          <w:tcPr>
            <w:tcW w:w="999" w:type="dxa"/>
            <w:noWrap/>
            <w:vAlign w:val="bottom"/>
          </w:tcPr>
          <w:p w:rsidR="00DC33D7" w:rsidRPr="00DC33D7" w:rsidRDefault="00DC33D7" w:rsidP="00DC33D7">
            <w:r w:rsidRPr="00DC33D7">
              <w:t>8 (0.1%)</w:t>
            </w:r>
          </w:p>
        </w:tc>
        <w:tc>
          <w:tcPr>
            <w:tcW w:w="999" w:type="dxa"/>
            <w:noWrap/>
            <w:vAlign w:val="bottom"/>
          </w:tcPr>
          <w:p w:rsidR="00DC33D7" w:rsidRPr="00DC33D7" w:rsidRDefault="00DC33D7" w:rsidP="00DC33D7">
            <w:r w:rsidRPr="00DC33D7">
              <w:t>9 (0.1%)</w:t>
            </w:r>
          </w:p>
        </w:tc>
      </w:tr>
      <w:tr w:rsidR="00DC33D7" w:rsidRPr="00CE64D3" w:rsidTr="008E1D98">
        <w:trPr>
          <w:cnfStyle w:val="000000010000" w:firstRow="0" w:lastRow="0" w:firstColumn="0" w:lastColumn="0" w:oddVBand="0" w:evenVBand="0" w:oddHBand="0" w:evenHBand="1" w:firstRowFirstColumn="0" w:firstRowLastColumn="0" w:lastRowFirstColumn="0" w:lastRowLastColumn="0"/>
          <w:trHeight w:val="285"/>
        </w:trPr>
        <w:tc>
          <w:tcPr>
            <w:tcW w:w="2449" w:type="dxa"/>
            <w:noWrap/>
            <w:hideMark/>
          </w:tcPr>
          <w:p w:rsidR="00DC33D7" w:rsidRPr="00B32105" w:rsidRDefault="00DC33D7" w:rsidP="00DC33D7">
            <w:pPr>
              <w:rPr>
                <w:rStyle w:val="Strong"/>
              </w:rPr>
            </w:pPr>
            <w:r w:rsidRPr="00B32105">
              <w:rPr>
                <w:rStyle w:val="Strong"/>
              </w:rPr>
              <w:t>APA proposal</w:t>
            </w:r>
          </w:p>
        </w:tc>
        <w:tc>
          <w:tcPr>
            <w:tcW w:w="661" w:type="dxa"/>
            <w:noWrap/>
            <w:hideMark/>
          </w:tcPr>
          <w:p w:rsidR="00DC33D7" w:rsidRPr="00DC33D7" w:rsidRDefault="00DC33D7" w:rsidP="00DC33D7">
            <w:r w:rsidRPr="00DC33D7">
              <w:t> </w:t>
            </w:r>
          </w:p>
        </w:tc>
        <w:tc>
          <w:tcPr>
            <w:tcW w:w="999" w:type="dxa"/>
            <w:noWrap/>
            <w:vAlign w:val="bottom"/>
          </w:tcPr>
          <w:p w:rsidR="00DC33D7" w:rsidRPr="00DC33D7" w:rsidRDefault="00DC33D7" w:rsidP="00DC33D7">
            <w:r w:rsidRPr="00DC33D7">
              <w:t> </w:t>
            </w:r>
          </w:p>
        </w:tc>
        <w:tc>
          <w:tcPr>
            <w:tcW w:w="999" w:type="dxa"/>
            <w:noWrap/>
            <w:vAlign w:val="bottom"/>
          </w:tcPr>
          <w:p w:rsidR="00DC33D7" w:rsidRPr="00DC33D7" w:rsidRDefault="00DC33D7" w:rsidP="00DC33D7">
            <w:r w:rsidRPr="00DC33D7">
              <w:t> </w:t>
            </w:r>
          </w:p>
        </w:tc>
        <w:tc>
          <w:tcPr>
            <w:tcW w:w="999" w:type="dxa"/>
            <w:noWrap/>
            <w:vAlign w:val="bottom"/>
          </w:tcPr>
          <w:p w:rsidR="00DC33D7" w:rsidRPr="00DC33D7" w:rsidRDefault="00DC33D7" w:rsidP="00DC33D7">
            <w:r w:rsidRPr="00DC33D7">
              <w:t> </w:t>
            </w:r>
          </w:p>
        </w:tc>
        <w:tc>
          <w:tcPr>
            <w:tcW w:w="999" w:type="dxa"/>
            <w:noWrap/>
            <w:vAlign w:val="bottom"/>
          </w:tcPr>
          <w:p w:rsidR="00DC33D7" w:rsidRPr="00DC33D7" w:rsidRDefault="00DC33D7" w:rsidP="00DC33D7">
            <w:r w:rsidRPr="00DC33D7">
              <w:t> </w:t>
            </w:r>
          </w:p>
        </w:tc>
        <w:tc>
          <w:tcPr>
            <w:tcW w:w="999" w:type="dxa"/>
            <w:noWrap/>
            <w:vAlign w:val="bottom"/>
          </w:tcPr>
          <w:p w:rsidR="00DC33D7" w:rsidRPr="00DC33D7" w:rsidRDefault="00DC33D7" w:rsidP="00DC33D7">
            <w:r w:rsidRPr="00DC33D7">
              <w:t> </w:t>
            </w:r>
          </w:p>
        </w:tc>
      </w:tr>
      <w:tr w:rsidR="00DC33D7" w:rsidRPr="00CE64D3" w:rsidTr="008E1D98">
        <w:trPr>
          <w:trHeight w:val="285"/>
        </w:trPr>
        <w:tc>
          <w:tcPr>
            <w:tcW w:w="2449" w:type="dxa"/>
            <w:noWrap/>
            <w:hideMark/>
          </w:tcPr>
          <w:p w:rsidR="00DC33D7" w:rsidRPr="00DC33D7" w:rsidRDefault="00DC33D7" w:rsidP="00DC33D7">
            <w:r w:rsidRPr="00DC33D7">
              <w:t>Residential annual gas bill</w:t>
            </w:r>
          </w:p>
        </w:tc>
        <w:tc>
          <w:tcPr>
            <w:tcW w:w="661" w:type="dxa"/>
            <w:noWrap/>
            <w:hideMark/>
          </w:tcPr>
          <w:p w:rsidR="00DC33D7" w:rsidRPr="00DC33D7" w:rsidRDefault="00DC33D7" w:rsidP="00DC33D7">
            <w:r w:rsidRPr="00DC33D7">
              <w:t>1271</w:t>
            </w:r>
            <w:r w:rsidRPr="00DC33D7">
              <w:rPr>
                <w:rStyle w:val="AERsuperscript"/>
              </w:rPr>
              <w:t>a</w:t>
            </w:r>
          </w:p>
        </w:tc>
        <w:tc>
          <w:tcPr>
            <w:tcW w:w="999" w:type="dxa"/>
            <w:noWrap/>
            <w:vAlign w:val="bottom"/>
          </w:tcPr>
          <w:p w:rsidR="00DC33D7" w:rsidRPr="00DC33D7" w:rsidRDefault="00DC33D7" w:rsidP="00DC33D7">
            <w:r w:rsidRPr="00DC33D7">
              <w:t>1277</w:t>
            </w:r>
          </w:p>
        </w:tc>
        <w:tc>
          <w:tcPr>
            <w:tcW w:w="999" w:type="dxa"/>
            <w:noWrap/>
            <w:vAlign w:val="bottom"/>
          </w:tcPr>
          <w:p w:rsidR="00DC33D7" w:rsidRPr="00DC33D7" w:rsidRDefault="00DC33D7" w:rsidP="00DC33D7">
            <w:r w:rsidRPr="00DC33D7">
              <w:t>1280</w:t>
            </w:r>
          </w:p>
        </w:tc>
        <w:tc>
          <w:tcPr>
            <w:tcW w:w="999" w:type="dxa"/>
            <w:noWrap/>
            <w:vAlign w:val="bottom"/>
          </w:tcPr>
          <w:p w:rsidR="00DC33D7" w:rsidRPr="00DC33D7" w:rsidRDefault="00DC33D7" w:rsidP="00DC33D7">
            <w:r w:rsidRPr="00DC33D7">
              <w:t>1282</w:t>
            </w:r>
          </w:p>
        </w:tc>
        <w:tc>
          <w:tcPr>
            <w:tcW w:w="999" w:type="dxa"/>
            <w:noWrap/>
            <w:vAlign w:val="bottom"/>
          </w:tcPr>
          <w:p w:rsidR="00DC33D7" w:rsidRPr="00DC33D7" w:rsidRDefault="00DC33D7" w:rsidP="00DC33D7">
            <w:r w:rsidRPr="00DC33D7">
              <w:t>1285</w:t>
            </w:r>
          </w:p>
        </w:tc>
        <w:tc>
          <w:tcPr>
            <w:tcW w:w="999" w:type="dxa"/>
            <w:noWrap/>
            <w:vAlign w:val="bottom"/>
          </w:tcPr>
          <w:p w:rsidR="00DC33D7" w:rsidRPr="00DC33D7" w:rsidRDefault="00DC33D7" w:rsidP="00DC33D7">
            <w:r w:rsidRPr="00DC33D7">
              <w:t>1288</w:t>
            </w:r>
          </w:p>
        </w:tc>
      </w:tr>
      <w:tr w:rsidR="00DC33D7" w:rsidRPr="00CE64D3" w:rsidTr="008E1D98">
        <w:trPr>
          <w:cnfStyle w:val="000000010000" w:firstRow="0" w:lastRow="0" w:firstColumn="0" w:lastColumn="0" w:oddVBand="0" w:evenVBand="0" w:oddHBand="0" w:evenHBand="1" w:firstRowFirstColumn="0" w:firstRowLastColumn="0" w:lastRowFirstColumn="0" w:lastRowLastColumn="0"/>
          <w:trHeight w:val="285"/>
        </w:trPr>
        <w:tc>
          <w:tcPr>
            <w:tcW w:w="2449" w:type="dxa"/>
            <w:noWrap/>
            <w:hideMark/>
          </w:tcPr>
          <w:p w:rsidR="00DC33D7" w:rsidRPr="00DC33D7" w:rsidRDefault="00DC33D7" w:rsidP="00DC33D7">
            <w:r w:rsidRPr="00DC33D7">
              <w:t>Annual change</w:t>
            </w:r>
            <w:r w:rsidRPr="00DC33D7">
              <w:rPr>
                <w:rStyle w:val="AERsuperscript"/>
              </w:rPr>
              <w:t>c</w:t>
            </w:r>
          </w:p>
        </w:tc>
        <w:tc>
          <w:tcPr>
            <w:tcW w:w="661" w:type="dxa"/>
            <w:noWrap/>
            <w:hideMark/>
          </w:tcPr>
          <w:p w:rsidR="00DC33D7" w:rsidRPr="00DC33D7" w:rsidRDefault="00DC33D7" w:rsidP="00DC33D7">
            <w:r w:rsidRPr="00DC33D7">
              <w:t> </w:t>
            </w:r>
          </w:p>
        </w:tc>
        <w:tc>
          <w:tcPr>
            <w:tcW w:w="999" w:type="dxa"/>
            <w:noWrap/>
            <w:vAlign w:val="bottom"/>
          </w:tcPr>
          <w:p w:rsidR="00DC33D7" w:rsidRPr="00DC33D7" w:rsidRDefault="00DC33D7" w:rsidP="00DC33D7">
            <w:r w:rsidRPr="00DC33D7">
              <w:t>6 (0.5%)</w:t>
            </w:r>
          </w:p>
        </w:tc>
        <w:tc>
          <w:tcPr>
            <w:tcW w:w="999" w:type="dxa"/>
            <w:noWrap/>
            <w:vAlign w:val="bottom"/>
          </w:tcPr>
          <w:p w:rsidR="00DC33D7" w:rsidRPr="00DC33D7" w:rsidRDefault="00DC33D7" w:rsidP="00DC33D7">
            <w:r w:rsidRPr="00DC33D7">
              <w:t>3 (0.2%)</w:t>
            </w:r>
          </w:p>
        </w:tc>
        <w:tc>
          <w:tcPr>
            <w:tcW w:w="999" w:type="dxa"/>
            <w:noWrap/>
            <w:vAlign w:val="bottom"/>
          </w:tcPr>
          <w:p w:rsidR="00DC33D7" w:rsidRPr="00DC33D7" w:rsidRDefault="00DC33D7" w:rsidP="00DC33D7">
            <w:r w:rsidRPr="00DC33D7">
              <w:t>2 (0.2%)</w:t>
            </w:r>
          </w:p>
        </w:tc>
        <w:tc>
          <w:tcPr>
            <w:tcW w:w="999" w:type="dxa"/>
            <w:noWrap/>
            <w:vAlign w:val="bottom"/>
          </w:tcPr>
          <w:p w:rsidR="00DC33D7" w:rsidRPr="00DC33D7" w:rsidRDefault="00DC33D7" w:rsidP="00DC33D7">
            <w:r w:rsidRPr="00DC33D7">
              <w:t>3 (0.2%)</w:t>
            </w:r>
          </w:p>
        </w:tc>
        <w:tc>
          <w:tcPr>
            <w:tcW w:w="999" w:type="dxa"/>
            <w:noWrap/>
            <w:vAlign w:val="bottom"/>
          </w:tcPr>
          <w:p w:rsidR="00DC33D7" w:rsidRPr="00DC33D7" w:rsidRDefault="00DC33D7" w:rsidP="00DC33D7">
            <w:r w:rsidRPr="00DC33D7">
              <w:t>3 (0.2%)</w:t>
            </w:r>
          </w:p>
        </w:tc>
      </w:tr>
      <w:tr w:rsidR="00DC33D7" w:rsidRPr="00CE64D3" w:rsidTr="008E1D98">
        <w:trPr>
          <w:trHeight w:val="285"/>
        </w:trPr>
        <w:tc>
          <w:tcPr>
            <w:tcW w:w="2449" w:type="dxa"/>
            <w:noWrap/>
            <w:hideMark/>
          </w:tcPr>
          <w:p w:rsidR="00DC33D7" w:rsidRPr="00DC33D7" w:rsidRDefault="00DC33D7" w:rsidP="00DC33D7">
            <w:r w:rsidRPr="00DC33D7">
              <w:t>Small business annual gas bill</w:t>
            </w:r>
          </w:p>
        </w:tc>
        <w:tc>
          <w:tcPr>
            <w:tcW w:w="661" w:type="dxa"/>
            <w:noWrap/>
            <w:hideMark/>
          </w:tcPr>
          <w:p w:rsidR="00DC33D7" w:rsidRPr="00DC33D7" w:rsidRDefault="00DC33D7" w:rsidP="00DC33D7">
            <w:r w:rsidRPr="00DC33D7">
              <w:t>7775</w:t>
            </w:r>
            <w:r w:rsidRPr="00DC33D7">
              <w:rPr>
                <w:rStyle w:val="AERsuperscript"/>
              </w:rPr>
              <w:t>b</w:t>
            </w:r>
          </w:p>
        </w:tc>
        <w:tc>
          <w:tcPr>
            <w:tcW w:w="999" w:type="dxa"/>
            <w:noWrap/>
            <w:vAlign w:val="bottom"/>
          </w:tcPr>
          <w:p w:rsidR="00DC33D7" w:rsidRPr="00DC33D7" w:rsidRDefault="00DC33D7" w:rsidP="00DC33D7">
            <w:r w:rsidRPr="00DC33D7">
              <w:t>7829</w:t>
            </w:r>
          </w:p>
        </w:tc>
        <w:tc>
          <w:tcPr>
            <w:tcW w:w="999" w:type="dxa"/>
            <w:noWrap/>
            <w:vAlign w:val="bottom"/>
          </w:tcPr>
          <w:p w:rsidR="00DC33D7" w:rsidRPr="00DC33D7" w:rsidRDefault="00DC33D7" w:rsidP="00DC33D7">
            <w:r w:rsidRPr="00DC33D7">
              <w:t>7850</w:t>
            </w:r>
          </w:p>
        </w:tc>
        <w:tc>
          <w:tcPr>
            <w:tcW w:w="999" w:type="dxa"/>
            <w:noWrap/>
            <w:vAlign w:val="bottom"/>
          </w:tcPr>
          <w:p w:rsidR="00DC33D7" w:rsidRPr="00DC33D7" w:rsidRDefault="00DC33D7" w:rsidP="00DC33D7">
            <w:r w:rsidRPr="00DC33D7">
              <w:t>7871</w:t>
            </w:r>
          </w:p>
        </w:tc>
        <w:tc>
          <w:tcPr>
            <w:tcW w:w="999" w:type="dxa"/>
            <w:noWrap/>
            <w:vAlign w:val="bottom"/>
          </w:tcPr>
          <w:p w:rsidR="00DC33D7" w:rsidRPr="00DC33D7" w:rsidRDefault="00DC33D7" w:rsidP="00DC33D7">
            <w:r w:rsidRPr="00DC33D7">
              <w:t>7893</w:t>
            </w:r>
          </w:p>
        </w:tc>
        <w:tc>
          <w:tcPr>
            <w:tcW w:w="999" w:type="dxa"/>
            <w:noWrap/>
            <w:vAlign w:val="bottom"/>
          </w:tcPr>
          <w:p w:rsidR="00DC33D7" w:rsidRPr="00DC33D7" w:rsidRDefault="00DC33D7" w:rsidP="00DC33D7">
            <w:r w:rsidRPr="00DC33D7">
              <w:t>7916</w:t>
            </w:r>
          </w:p>
        </w:tc>
      </w:tr>
      <w:tr w:rsidR="00DC33D7" w:rsidRPr="00CE64D3" w:rsidTr="008E1D98">
        <w:trPr>
          <w:cnfStyle w:val="000000010000" w:firstRow="0" w:lastRow="0" w:firstColumn="0" w:lastColumn="0" w:oddVBand="0" w:evenVBand="0" w:oddHBand="0" w:evenHBand="1" w:firstRowFirstColumn="0" w:firstRowLastColumn="0" w:lastRowFirstColumn="0" w:lastRowLastColumn="0"/>
          <w:trHeight w:val="285"/>
        </w:trPr>
        <w:tc>
          <w:tcPr>
            <w:tcW w:w="2449" w:type="dxa"/>
            <w:noWrap/>
            <w:hideMark/>
          </w:tcPr>
          <w:p w:rsidR="00DC33D7" w:rsidRPr="00DC33D7" w:rsidRDefault="00DC33D7" w:rsidP="00DC33D7">
            <w:r w:rsidRPr="00DC33D7">
              <w:t>Annual change</w:t>
            </w:r>
            <w:r w:rsidRPr="00DC33D7">
              <w:rPr>
                <w:rStyle w:val="AERsuperscript"/>
              </w:rPr>
              <w:t>c</w:t>
            </w:r>
          </w:p>
        </w:tc>
        <w:tc>
          <w:tcPr>
            <w:tcW w:w="661" w:type="dxa"/>
            <w:noWrap/>
            <w:hideMark/>
          </w:tcPr>
          <w:p w:rsidR="00DC33D7" w:rsidRPr="00DC33D7" w:rsidRDefault="00DC33D7" w:rsidP="00DC33D7">
            <w:r w:rsidRPr="00DC33D7">
              <w:t> </w:t>
            </w:r>
          </w:p>
        </w:tc>
        <w:tc>
          <w:tcPr>
            <w:tcW w:w="999" w:type="dxa"/>
            <w:noWrap/>
            <w:vAlign w:val="bottom"/>
          </w:tcPr>
          <w:p w:rsidR="00DC33D7" w:rsidRPr="00DC33D7" w:rsidRDefault="00DC33D7" w:rsidP="00DC33D7">
            <w:r w:rsidRPr="00DC33D7">
              <w:t>54 (0.7%)</w:t>
            </w:r>
          </w:p>
        </w:tc>
        <w:tc>
          <w:tcPr>
            <w:tcW w:w="999" w:type="dxa"/>
            <w:noWrap/>
            <w:vAlign w:val="bottom"/>
          </w:tcPr>
          <w:p w:rsidR="00DC33D7" w:rsidRPr="00DC33D7" w:rsidRDefault="00DC33D7" w:rsidP="00DC33D7">
            <w:r w:rsidRPr="00DC33D7">
              <w:t>21 (0.3%)</w:t>
            </w:r>
          </w:p>
        </w:tc>
        <w:tc>
          <w:tcPr>
            <w:tcW w:w="999" w:type="dxa"/>
            <w:noWrap/>
            <w:vAlign w:val="bottom"/>
          </w:tcPr>
          <w:p w:rsidR="00DC33D7" w:rsidRPr="00DC33D7" w:rsidRDefault="00DC33D7" w:rsidP="00DC33D7">
            <w:r w:rsidRPr="00DC33D7">
              <w:t>21 (0.3%)</w:t>
            </w:r>
          </w:p>
        </w:tc>
        <w:tc>
          <w:tcPr>
            <w:tcW w:w="999" w:type="dxa"/>
            <w:noWrap/>
            <w:vAlign w:val="bottom"/>
          </w:tcPr>
          <w:p w:rsidR="00DC33D7" w:rsidRPr="00DC33D7" w:rsidRDefault="00DC33D7" w:rsidP="00DC33D7">
            <w:r w:rsidRPr="00DC33D7">
              <w:t>22 (0.3%)</w:t>
            </w:r>
          </w:p>
        </w:tc>
        <w:tc>
          <w:tcPr>
            <w:tcW w:w="999" w:type="dxa"/>
            <w:noWrap/>
            <w:vAlign w:val="bottom"/>
          </w:tcPr>
          <w:p w:rsidR="00DC33D7" w:rsidRPr="00DC33D7" w:rsidRDefault="00DC33D7" w:rsidP="00DC33D7">
            <w:r w:rsidRPr="00DC33D7">
              <w:t>23 (0.3%)</w:t>
            </w:r>
          </w:p>
        </w:tc>
      </w:tr>
    </w:tbl>
    <w:p w:rsidR="00CE64D3" w:rsidRPr="00CE64D3" w:rsidRDefault="00CE64D3" w:rsidP="004A3CE5">
      <w:pPr>
        <w:pStyle w:val="AERtablesource"/>
      </w:pPr>
      <w:r w:rsidRPr="00CE64D3">
        <w:t>Source:</w:t>
      </w:r>
      <w:r w:rsidRPr="00CE64D3">
        <w:tab/>
        <w:t>AER analysis.</w:t>
      </w:r>
      <w:r>
        <w:t xml:space="preserve"> </w:t>
      </w:r>
      <w:r w:rsidR="004A3CE5" w:rsidRPr="00B55F50">
        <w:rPr>
          <w:rStyle w:val="AERtextitalic"/>
          <w:i w:val="0"/>
        </w:rPr>
        <w:t>APA</w:t>
      </w:r>
      <w:r w:rsidR="004A3CE5">
        <w:rPr>
          <w:rStyle w:val="AERtextitalic"/>
        </w:rPr>
        <w:t>,</w:t>
      </w:r>
      <w:r w:rsidR="004A3CE5" w:rsidRPr="004A3CE5">
        <w:rPr>
          <w:rStyle w:val="AERtextitalic"/>
        </w:rPr>
        <w:t xml:space="preserve"> B1 - RIN templates - </w:t>
      </w:r>
      <w:r w:rsidR="004A3CE5" w:rsidRPr="00B55F50">
        <w:rPr>
          <w:rStyle w:val="AERtextitalic"/>
          <w:i w:val="0"/>
        </w:rPr>
        <w:t xml:space="preserve">20170103 </w:t>
      </w:r>
    </w:p>
    <w:p w:rsidR="00CE64D3" w:rsidRPr="00CE64D3" w:rsidRDefault="00CE64D3" w:rsidP="00CE64D3">
      <w:pPr>
        <w:pStyle w:val="AERtablesource"/>
      </w:pPr>
      <w:r w:rsidRPr="00CE64D3">
        <w:t>(a)</w:t>
      </w:r>
      <w:r w:rsidRPr="00CE64D3">
        <w:tab/>
        <w:t xml:space="preserve">Based on </w:t>
      </w:r>
      <w:r>
        <w:t xml:space="preserve">transmission </w:t>
      </w:r>
      <w:r w:rsidRPr="00CE64D3">
        <w:t xml:space="preserve">charges accounting for </w:t>
      </w:r>
      <w:r>
        <w:t>2.1</w:t>
      </w:r>
      <w:r w:rsidRPr="00CE64D3">
        <w:t xml:space="preserve"> per cent of t</w:t>
      </w:r>
      <w:r>
        <w:t>he average residential gas bill.</w:t>
      </w:r>
    </w:p>
    <w:p w:rsidR="00CE64D3" w:rsidRDefault="00CE64D3" w:rsidP="00CE64D3">
      <w:pPr>
        <w:pStyle w:val="AERtablesource"/>
      </w:pPr>
      <w:r w:rsidRPr="00CE64D3">
        <w:t>(b)</w:t>
      </w:r>
      <w:r w:rsidRPr="00CE64D3">
        <w:tab/>
        <w:t xml:space="preserve">Based on </w:t>
      </w:r>
      <w:r>
        <w:t xml:space="preserve">transmission </w:t>
      </w:r>
      <w:r w:rsidRPr="00CE64D3">
        <w:t xml:space="preserve">charges accounting for </w:t>
      </w:r>
      <w:r>
        <w:t>2.8</w:t>
      </w:r>
      <w:r w:rsidRPr="00CE64D3">
        <w:t xml:space="preserve"> per cent of the average small business gas bill</w:t>
      </w:r>
      <w:r>
        <w:t>.</w:t>
      </w:r>
      <w:r w:rsidRPr="00CE64D3">
        <w:t xml:space="preserve"> </w:t>
      </w:r>
    </w:p>
    <w:p w:rsidR="00CE64D3" w:rsidRPr="00CE64D3" w:rsidRDefault="00CE64D3" w:rsidP="00CE64D3">
      <w:pPr>
        <w:pStyle w:val="AERtablesource"/>
      </w:pPr>
      <w:r w:rsidRPr="00CE64D3">
        <w:t>(c)</w:t>
      </w:r>
      <w:r w:rsidRPr="00CE64D3">
        <w:tab/>
        <w:t xml:space="preserve">Annual change amounts and percentages are indicative. They are derived by varying the </w:t>
      </w:r>
      <w:r>
        <w:t>transmission</w:t>
      </w:r>
      <w:r w:rsidRPr="00CE64D3">
        <w:t xml:space="preserve"> component of 2017 bill amounts by the nominal weighted average expected change in tariffs. Actual bill impacts will vary depending on consumption and tariff class.</w:t>
      </w:r>
    </w:p>
    <w:p w:rsidR="009F6AC3" w:rsidRDefault="009F6AC3" w:rsidP="00B3053D">
      <w:r>
        <w:t>We do not expect transmission charges flowing from this draft decision will be a large contributor to overall gas bill changes.</w:t>
      </w:r>
    </w:p>
    <w:p w:rsidR="006674E9" w:rsidRPr="006674E9" w:rsidRDefault="00B3053D" w:rsidP="006674E9">
      <w:r>
        <w:t xml:space="preserve">While our approach isolates the effect of our decision on gas prices, it does not imply that other components of the bill will remain unchanged across the access arrangement period. </w:t>
      </w:r>
      <w:r w:rsidR="006674E9" w:rsidRPr="006674E9">
        <w:t>Wholesale gas costs make-up a smaller percentage of the retail gas prices paid by energy consumers. AEMO’s modelling forecasts retail prices to rise on average by 2.1 per cent per annum (in real dollar terms) for residential customers, driven mainly by wholesale prices.</w:t>
      </w:r>
      <w:r w:rsidR="006674E9" w:rsidRPr="006674E9">
        <w:rPr>
          <w:rStyle w:val="FootnoteReference"/>
        </w:rPr>
        <w:footnoteReference w:id="10"/>
      </w:r>
      <w:r w:rsidR="006674E9" w:rsidRPr="006674E9">
        <w:t xml:space="preserve"> </w:t>
      </w:r>
      <w:proofErr w:type="gramStart"/>
      <w:r w:rsidR="006674E9" w:rsidRPr="006674E9">
        <w:t xml:space="preserve">Modelling by </w:t>
      </w:r>
      <w:r w:rsidR="006674E9">
        <w:t>AEMO</w:t>
      </w:r>
      <w:r w:rsidR="006674E9" w:rsidRPr="006674E9">
        <w:t xml:space="preserve"> projects that the delivered wholesale cost of gas in Australia will increase by 48 per cent by 2036.</w:t>
      </w:r>
      <w:proofErr w:type="gramEnd"/>
      <w:r w:rsidR="006674E9" w:rsidRPr="006674E9">
        <w:rPr>
          <w:rStyle w:val="FootnoteReference"/>
        </w:rPr>
        <w:footnoteReference w:id="11"/>
      </w:r>
    </w:p>
    <w:p w:rsidR="00720CD0" w:rsidRPr="00720CD0" w:rsidRDefault="00720CD0" w:rsidP="00720CD0">
      <w:r w:rsidRPr="00720CD0">
        <w:t xml:space="preserve">Bill impacts for customers connected directly to the </w:t>
      </w:r>
      <w:r>
        <w:t>VTS</w:t>
      </w:r>
      <w:r w:rsidRPr="00720CD0">
        <w:t>, including gas fired power stations and large industrial manufacturers, will be different to impacts for retail customers. Directly connected customers don't pay distribution network charges, so the transmission component of their gas bill is a larger proportion of their total bill. More generally, bill impacts for directly connected customers are a magnified version of bill impacts estimated for retail customers.</w:t>
      </w:r>
    </w:p>
    <w:p w:rsidR="00720CD0" w:rsidRDefault="00720CD0" w:rsidP="00533704"/>
    <w:p w:rsidR="002B2481" w:rsidRDefault="002B2481" w:rsidP="002B2481">
      <w:pPr>
        <w:pStyle w:val="Heading1"/>
      </w:pPr>
      <w:bookmarkStart w:id="88" w:name="_Ref433643781"/>
      <w:bookmarkStart w:id="89" w:name="_Toc436046188"/>
      <w:bookmarkStart w:id="90" w:name="_Toc444855396"/>
      <w:bookmarkStart w:id="91" w:name="_Ref485388057"/>
      <w:bookmarkStart w:id="92" w:name="_Toc487018266"/>
      <w:r>
        <w:t xml:space="preserve">Reference tariffs, demand and </w:t>
      </w:r>
      <w:bookmarkEnd w:id="88"/>
      <w:bookmarkEnd w:id="89"/>
      <w:bookmarkEnd w:id="90"/>
      <w:r w:rsidR="001B7D78">
        <w:t xml:space="preserve">efficiency </w:t>
      </w:r>
      <w:r w:rsidR="00BF08AA">
        <w:t xml:space="preserve">benefit sharing </w:t>
      </w:r>
      <w:r w:rsidR="001B7D78">
        <w:t>mechanism</w:t>
      </w:r>
      <w:bookmarkEnd w:id="91"/>
      <w:bookmarkEnd w:id="92"/>
    </w:p>
    <w:p w:rsidR="002B2481" w:rsidRDefault="002B2481" w:rsidP="002B2481">
      <w:pPr>
        <w:pStyle w:val="Heading2"/>
      </w:pPr>
      <w:bookmarkStart w:id="93" w:name="_Toc487018267"/>
      <w:r>
        <w:t>Services covered by the access arrangement</w:t>
      </w:r>
      <w:bookmarkEnd w:id="93"/>
    </w:p>
    <w:p w:rsidR="00AB6BD6" w:rsidRPr="00AB6BD6" w:rsidRDefault="009F6AC3" w:rsidP="00AB6BD6">
      <w:r>
        <w:t xml:space="preserve">An </w:t>
      </w:r>
      <w:r w:rsidR="00AB6BD6" w:rsidRPr="00AB6BD6">
        <w:t xml:space="preserve">access arrangement sets out </w:t>
      </w:r>
      <w:r>
        <w:t xml:space="preserve">at least one </w:t>
      </w:r>
      <w:r w:rsidR="00AB6BD6" w:rsidRPr="00AB6BD6">
        <w:t>service likely to be sought by a significant part of the market</w:t>
      </w:r>
      <w:r>
        <w:t xml:space="preserve"> (reference services)</w:t>
      </w:r>
      <w:r w:rsidR="00AB6BD6" w:rsidRPr="00AB6BD6">
        <w:t>. For each reference service, the access arrangement specifies the reference tariff and the other terms and conditions on which the reference service will be provided.</w:t>
      </w:r>
      <w:r w:rsidR="00AB6BD6" w:rsidRPr="00AB6BD6">
        <w:rPr>
          <w:rStyle w:val="FootnoteReference"/>
        </w:rPr>
        <w:footnoteReference w:id="12"/>
      </w:r>
    </w:p>
    <w:p w:rsidR="00DF31EC" w:rsidRDefault="00126304" w:rsidP="00DF31EC">
      <w:r>
        <w:t xml:space="preserve">Our draft decision is to approve </w:t>
      </w:r>
      <w:r w:rsidR="00DF31EC">
        <w:t>APA</w:t>
      </w:r>
      <w:r w:rsidR="00AB6BD6">
        <w:t>'s</w:t>
      </w:r>
      <w:r>
        <w:t xml:space="preserve"> proposal</w:t>
      </w:r>
      <w:r w:rsidR="00DF31EC" w:rsidRPr="00DF31EC">
        <w:t xml:space="preserve"> to</w:t>
      </w:r>
      <w:r>
        <w:t xml:space="preserve"> continue to</w:t>
      </w:r>
      <w:r w:rsidR="00DF31EC" w:rsidRPr="00DF31EC">
        <w:t xml:space="preserve"> offer</w:t>
      </w:r>
      <w:r w:rsidR="00AB6BD6">
        <w:t xml:space="preserve"> the Tariffed Transmission Service,</w:t>
      </w:r>
      <w:r w:rsidR="00DF31EC" w:rsidRPr="00DF31EC">
        <w:t xml:space="preserve"> the same </w:t>
      </w:r>
      <w:r w:rsidR="004D2035">
        <w:t>primary reference service</w:t>
      </w:r>
      <w:r w:rsidR="00AB6BD6">
        <w:t>,</w:t>
      </w:r>
      <w:r w:rsidR="00DF31EC" w:rsidRPr="00DF31EC">
        <w:t xml:space="preserve"> in the 2018–22 access arrangement period as it has in the current period. We considered and approved this </w:t>
      </w:r>
      <w:r w:rsidR="00AB6BD6">
        <w:t>service</w:t>
      </w:r>
      <w:r w:rsidR="00DF31EC" w:rsidRPr="00DF31EC">
        <w:t xml:space="preserve"> in our </w:t>
      </w:r>
      <w:r w:rsidR="000F7684">
        <w:t>final decision on</w:t>
      </w:r>
      <w:r w:rsidR="00DF31EC" w:rsidRPr="00DF31EC">
        <w:t xml:space="preserve"> </w:t>
      </w:r>
      <w:r w:rsidR="004D2035">
        <w:t>APA's</w:t>
      </w:r>
      <w:r w:rsidR="00DF31EC" w:rsidRPr="00DF31EC">
        <w:t xml:space="preserve"> </w:t>
      </w:r>
      <w:r w:rsidR="00380892">
        <w:t>2013–</w:t>
      </w:r>
      <w:r w:rsidR="000F7684">
        <w:t xml:space="preserve">17 </w:t>
      </w:r>
      <w:r w:rsidR="00DF31EC" w:rsidRPr="00DF31EC">
        <w:t xml:space="preserve">access arrangement, and remain of the view that </w:t>
      </w:r>
      <w:r w:rsidR="004D2035">
        <w:t>it is</w:t>
      </w:r>
      <w:r w:rsidR="00DF31EC" w:rsidRPr="00DF31EC">
        <w:t xml:space="preserve"> appropriate.</w:t>
      </w:r>
    </w:p>
    <w:p w:rsidR="004709D4" w:rsidRDefault="00126304" w:rsidP="002B2481">
      <w:r>
        <w:t>We also accept</w:t>
      </w:r>
      <w:r w:rsidR="00DF31EC" w:rsidRPr="00DF31EC">
        <w:t xml:space="preserve"> </w:t>
      </w:r>
      <w:r w:rsidR="009F502D">
        <w:t>APA</w:t>
      </w:r>
      <w:r w:rsidR="00C51739">
        <w:t>’</w:t>
      </w:r>
      <w:r>
        <w:t>s proposal</w:t>
      </w:r>
      <w:r w:rsidR="00DF31EC" w:rsidRPr="00DF31EC">
        <w:t xml:space="preserve"> </w:t>
      </w:r>
      <w:r>
        <w:t>to remove</w:t>
      </w:r>
      <w:r w:rsidR="00DF31EC" w:rsidRPr="00DF31EC">
        <w:t xml:space="preserve"> its </w:t>
      </w:r>
      <w:r w:rsidR="00AB6BD6" w:rsidRPr="00AB6BD6">
        <w:t>Authorise</w:t>
      </w:r>
      <w:r w:rsidR="00AB6BD6">
        <w:t xml:space="preserve">d Maximum Daily Quantity Credit </w:t>
      </w:r>
      <w:r w:rsidR="00AB6BD6" w:rsidRPr="00AB6BD6">
        <w:t>Certificates</w:t>
      </w:r>
      <w:r w:rsidR="00AB6BD6">
        <w:t xml:space="preserve"> (</w:t>
      </w:r>
      <w:r w:rsidR="00DF31EC" w:rsidRPr="00DF31EC">
        <w:t>AMDQ CC</w:t>
      </w:r>
      <w:r w:rsidR="00AB6BD6">
        <w:t>)</w:t>
      </w:r>
      <w:r w:rsidR="00DF31EC" w:rsidRPr="00DF31EC">
        <w:t xml:space="preserve"> reference service, which we </w:t>
      </w:r>
      <w:r w:rsidR="000F7684">
        <w:t xml:space="preserve">had </w:t>
      </w:r>
      <w:r w:rsidR="00DF31EC" w:rsidRPr="00DF31EC">
        <w:t xml:space="preserve">required it </w:t>
      </w:r>
      <w:r w:rsidR="000F7684">
        <w:t>to include</w:t>
      </w:r>
      <w:r w:rsidR="000F7684" w:rsidRPr="00DF31EC">
        <w:t xml:space="preserve"> </w:t>
      </w:r>
      <w:r w:rsidR="00380892">
        <w:t>in its 2013–</w:t>
      </w:r>
      <w:r w:rsidR="000F7684">
        <w:t>17 access arrangement</w:t>
      </w:r>
      <w:r w:rsidR="00DF31EC" w:rsidRPr="00DF31EC">
        <w:t xml:space="preserve">. This change reflects changes to the NGR </w:t>
      </w:r>
      <w:r w:rsidR="000F7684">
        <w:t>that took effect</w:t>
      </w:r>
      <w:r w:rsidR="000F7684" w:rsidRPr="00DF31EC">
        <w:t xml:space="preserve"> </w:t>
      </w:r>
      <w:r w:rsidR="00DF31EC" w:rsidRPr="00DF31EC">
        <w:t>during the current period</w:t>
      </w:r>
      <w:r w:rsidR="009F502D">
        <w:t xml:space="preserve">. </w:t>
      </w:r>
    </w:p>
    <w:p w:rsidR="00C330FC" w:rsidRDefault="00C330FC" w:rsidP="00C330FC">
      <w:pPr>
        <w:pStyle w:val="Heading2"/>
      </w:pPr>
      <w:bookmarkStart w:id="94" w:name="_Toc481056444"/>
      <w:bookmarkStart w:id="95" w:name="_Toc487018268"/>
      <w:r>
        <w:t>Reference tariff setting and the reference tariff variation mechanism</w:t>
      </w:r>
      <w:bookmarkEnd w:id="94"/>
      <w:bookmarkEnd w:id="95"/>
    </w:p>
    <w:p w:rsidR="00C330FC" w:rsidRDefault="00C330FC" w:rsidP="00C330FC">
      <w:r>
        <w:t xml:space="preserve">Our draft decision on </w:t>
      </w:r>
      <w:r w:rsidR="003F22EA">
        <w:t>APA'</w:t>
      </w:r>
      <w:r w:rsidR="00204FB3">
        <w:t>s</w:t>
      </w:r>
      <w:r>
        <w:t xml:space="preserve"> proposed access arrangement includes decisions on the structure of its reference tariffs and the mechanism by which those tariffs will be determined from year to year (the annual reference tariff variation mechanism).</w:t>
      </w:r>
    </w:p>
    <w:p w:rsidR="00C330FC" w:rsidRDefault="00C330FC" w:rsidP="00C330FC">
      <w:r>
        <w:t>The proposed reference tariff variation mechanism includes:</w:t>
      </w:r>
    </w:p>
    <w:p w:rsidR="00C330FC" w:rsidRPr="006C79A0" w:rsidRDefault="00C330FC" w:rsidP="00C330FC">
      <w:pPr>
        <w:pStyle w:val="AERbulletlistfirststyle"/>
      </w:pPr>
      <w:r>
        <w:t>an annual reference tariff variation mechanism, and</w:t>
      </w:r>
    </w:p>
    <w:p w:rsidR="00C330FC" w:rsidRPr="006C79A0" w:rsidRDefault="00C330FC" w:rsidP="00C330FC">
      <w:pPr>
        <w:pStyle w:val="AERbulletlistfirststyle"/>
      </w:pPr>
      <w:proofErr w:type="gramStart"/>
      <w:r>
        <w:t>a</w:t>
      </w:r>
      <w:proofErr w:type="gramEnd"/>
      <w:r>
        <w:t xml:space="preserve"> cost pass through mechanism, including a number of cost pass through events.</w:t>
      </w:r>
    </w:p>
    <w:p w:rsidR="00421493" w:rsidRDefault="00421493" w:rsidP="00421493">
      <w:r>
        <w:t>The AER accepts the fundamental features of APA's proposed reference tariffs, including the tariff design, the zonal structure, the basis for charging users, and the general approach to allocating costs.</w:t>
      </w:r>
    </w:p>
    <w:p w:rsidR="000526CF" w:rsidRPr="000526CF" w:rsidRDefault="000526CF" w:rsidP="000526CF">
      <w:pPr>
        <w:rPr>
          <w:rStyle w:val="AERbody"/>
        </w:rPr>
      </w:pPr>
      <w:r w:rsidRPr="000526CF">
        <w:rPr>
          <w:rStyle w:val="AERbody"/>
        </w:rPr>
        <w:t>The reference tariff includes:</w:t>
      </w:r>
    </w:p>
    <w:p w:rsidR="000526CF" w:rsidRPr="000526CF" w:rsidRDefault="000526CF" w:rsidP="000526CF">
      <w:pPr>
        <w:pStyle w:val="AERbulletlistfirststyle"/>
        <w:rPr>
          <w:rStyle w:val="AERbody"/>
        </w:rPr>
      </w:pPr>
      <w:r w:rsidRPr="000526CF">
        <w:rPr>
          <w:rStyle w:val="AERbody"/>
        </w:rPr>
        <w:t>Injection tariffs–the charge pa</w:t>
      </w:r>
      <w:r w:rsidR="00672EEE">
        <w:rPr>
          <w:rStyle w:val="AERbody"/>
        </w:rPr>
        <w:t>yable for injecting gas into the</w:t>
      </w:r>
      <w:r w:rsidRPr="000526CF">
        <w:rPr>
          <w:rStyle w:val="AERbody"/>
        </w:rPr>
        <w:t xml:space="preserve"> VTS</w:t>
      </w:r>
    </w:p>
    <w:p w:rsidR="000526CF" w:rsidRPr="000526CF" w:rsidRDefault="000526CF" w:rsidP="000526CF">
      <w:pPr>
        <w:pStyle w:val="AERbulletlistfirststyle"/>
        <w:rPr>
          <w:rStyle w:val="AERbody"/>
        </w:rPr>
      </w:pPr>
      <w:r w:rsidRPr="000526CF">
        <w:rPr>
          <w:rStyle w:val="AERbody"/>
        </w:rPr>
        <w:t>Withdrawal tariffs–the cha</w:t>
      </w:r>
      <w:r w:rsidR="00672EEE">
        <w:rPr>
          <w:rStyle w:val="AERbody"/>
        </w:rPr>
        <w:t>rge for withdrawing gas from the</w:t>
      </w:r>
      <w:r w:rsidRPr="000526CF">
        <w:rPr>
          <w:rStyle w:val="AERbody"/>
        </w:rPr>
        <w:t xml:space="preserve"> VTS </w:t>
      </w:r>
    </w:p>
    <w:p w:rsidR="00411A33" w:rsidRDefault="000526CF" w:rsidP="000526CF">
      <w:r w:rsidRPr="000526CF">
        <w:rPr>
          <w:rStyle w:val="AERbody"/>
        </w:rPr>
        <w:t>A zonal tariff structure is proposed to continue to apply. This is where users</w:t>
      </w:r>
      <w:r w:rsidRPr="000526CF">
        <w:t xml:space="preserve"> pay for the use of the VTS transmission system depending on the length of the pipeline they use within certain </w:t>
      </w:r>
      <w:proofErr w:type="gramStart"/>
      <w:r w:rsidRPr="000526CF">
        <w:t>zones,</w:t>
      </w:r>
      <w:proofErr w:type="gramEnd"/>
      <w:r w:rsidRPr="000526CF">
        <w:t xml:space="preserve"> and for the injection and or withdrawal of gas from the pipeline. Non-system costs, such as the return of and on capital and corporate overheads are allocated to customers on a postage stamp basis.</w:t>
      </w:r>
    </w:p>
    <w:p w:rsidR="00993C1C" w:rsidRDefault="00442B10" w:rsidP="00E2181F">
      <w:r>
        <w:t xml:space="preserve">For example, </w:t>
      </w:r>
      <w:r w:rsidR="00A46702" w:rsidRPr="00A46702">
        <w:t>VNI expenditure will be recovered during the 2018–22 access arrangement from those using the interconnector to take gas from Victoria to New South Wales and Queensland (shippers and retailers) to supply markets outside Victoria. These customers take their gas supply via the Culcairn withdrawal tariff and this gas is n</w:t>
      </w:r>
      <w:r w:rsidR="00A46702">
        <w:t>ot used by Victorian customers.</w:t>
      </w:r>
      <w:r w:rsidR="00A46702" w:rsidRPr="00A46702">
        <w:t xml:space="preserve"> However, the VNI will result in larger throughput on the Victorian network delivering some benefits for Victorian customers in the form of a reduction in shared network costs.</w:t>
      </w:r>
      <w:r w:rsidR="00A46702">
        <w:t xml:space="preserve"> </w:t>
      </w:r>
    </w:p>
    <w:p w:rsidR="00DC3CCE" w:rsidRDefault="00442B10" w:rsidP="00EF3B0D">
      <w:r>
        <w:t>Likewise, w</w:t>
      </w:r>
      <w:r w:rsidRPr="00442B10">
        <w:t>e approve APA's proposal that costs associated with the WORM are allocated to users based on their use of the WORM. This means that costs directly attributable to supplying the users are allocated to those users. In summ</w:t>
      </w:r>
      <w:r w:rsidRPr="00993C1C">
        <w:t>ary, the impact of the WORM on VTS tariffs is immaterial. Some injection and withdrawal tariffs increase slightly and others drop a little. The approach we have taken is consistent with APA's standard cost allocation methodology</w:t>
      </w:r>
      <w:r>
        <w:t xml:space="preserve">. </w:t>
      </w:r>
      <w:proofErr w:type="gramStart"/>
      <w:r>
        <w:t xml:space="preserve">Approval of capex on the WORM </w:t>
      </w:r>
      <w:r w:rsidRPr="00442B10">
        <w:t>proposal results in an increase in annual direct costs to be recovered through tariffs</w:t>
      </w:r>
      <w:r w:rsidRPr="00993C1C">
        <w:rPr>
          <w:rStyle w:val="AERtexthighlight"/>
          <w:shd w:val="clear" w:color="auto" w:fill="auto"/>
        </w:rPr>
        <w:t>, from</w:t>
      </w:r>
      <w:r w:rsidRPr="00E2181F">
        <w:rPr>
          <w:rStyle w:val="AERtexthighlight"/>
          <w:shd w:val="clear" w:color="auto" w:fill="auto"/>
        </w:rPr>
        <w:t xml:space="preserve"> approximately</w:t>
      </w:r>
      <w:r w:rsidRPr="00442B10">
        <w:t xml:space="preserve"> $760,000 to $7.6 million.</w:t>
      </w:r>
      <w:proofErr w:type="gramEnd"/>
    </w:p>
    <w:p w:rsidR="00EF3B0D" w:rsidRPr="00EF3B0D" w:rsidRDefault="00EF3B0D" w:rsidP="00EF3B0D">
      <w:r>
        <w:t>In this draft decision w</w:t>
      </w:r>
      <w:r w:rsidRPr="00EF3B0D">
        <w:t>e are amending the existing cross system tariff such that users who ship gas from Longford or Culcairn into Iona storage and then take it out for export to South Australia (via the Sea Gas pipeline) are charged the cross-system tariff in addition to the current storage refill tariff.</w:t>
      </w:r>
    </w:p>
    <w:p w:rsidR="00136D41" w:rsidRPr="000526CF" w:rsidRDefault="00136D41" w:rsidP="00136D41">
      <w:pPr>
        <w:rPr>
          <w:rStyle w:val="AERbody"/>
        </w:rPr>
      </w:pPr>
      <w:r>
        <w:rPr>
          <w:rStyle w:val="AERbody"/>
        </w:rPr>
        <w:t>APA proposed that the previous re</w:t>
      </w:r>
      <w:r w:rsidRPr="000526CF">
        <w:rPr>
          <w:rStyle w:val="AERbody"/>
        </w:rPr>
        <w:t xml:space="preserve">ference tariff </w:t>
      </w:r>
      <w:r>
        <w:rPr>
          <w:rStyle w:val="AERbody"/>
        </w:rPr>
        <w:t xml:space="preserve">variation </w:t>
      </w:r>
      <w:r w:rsidRPr="000526CF">
        <w:rPr>
          <w:rStyle w:val="AERbody"/>
        </w:rPr>
        <w:t>mechanism</w:t>
      </w:r>
      <w:r>
        <w:rPr>
          <w:rStyle w:val="AERbody"/>
        </w:rPr>
        <w:t>s</w:t>
      </w:r>
      <w:r w:rsidRPr="000526CF">
        <w:rPr>
          <w:rStyle w:val="AERbody"/>
        </w:rPr>
        <w:t xml:space="preserve"> continue to apply for the 2018–22 access arrangement subject to annual updates of the return on debt, which alter the rate of return each year.</w:t>
      </w:r>
    </w:p>
    <w:p w:rsidR="00136D41" w:rsidRDefault="00136D41" w:rsidP="00136D41">
      <w:r>
        <w:t xml:space="preserve">The </w:t>
      </w:r>
      <w:r w:rsidRPr="00136D41">
        <w:t>two exis</w:t>
      </w:r>
      <w:r>
        <w:t xml:space="preserve">ting reference tariff variation </w:t>
      </w:r>
      <w:r w:rsidRPr="00136D41">
        <w:t>mechanisms</w:t>
      </w:r>
      <w:r>
        <w:t xml:space="preserve"> are:</w:t>
      </w:r>
    </w:p>
    <w:p w:rsidR="00136D41" w:rsidRPr="00136D41" w:rsidRDefault="00136D41" w:rsidP="00136D41">
      <w:pPr>
        <w:pStyle w:val="AERbulletlistfirststyle"/>
      </w:pPr>
      <w:r>
        <w:t>a scheduled reference tariff variation m</w:t>
      </w:r>
      <w:r w:rsidRPr="00136D41">
        <w:t>echanism - which applies in</w:t>
      </w:r>
      <w:r>
        <w:t xml:space="preserve"> respect of each y</w:t>
      </w:r>
      <w:r w:rsidRPr="00136D41">
        <w:t xml:space="preserve">ear of </w:t>
      </w:r>
      <w:r>
        <w:t>the access arrangement p</w:t>
      </w:r>
      <w:r w:rsidRPr="00136D41">
        <w:t>eriod; and</w:t>
      </w:r>
    </w:p>
    <w:p w:rsidR="00136D41" w:rsidRPr="00786536" w:rsidRDefault="00136D41" w:rsidP="00136D41">
      <w:pPr>
        <w:pStyle w:val="AERbulletlistfirststyle"/>
      </w:pPr>
      <w:proofErr w:type="gramStart"/>
      <w:r>
        <w:t>a</w:t>
      </w:r>
      <w:proofErr w:type="gramEnd"/>
      <w:r>
        <w:t xml:space="preserve"> cost pass-through reference tariff variation m</w:t>
      </w:r>
      <w:r w:rsidRPr="00136D41">
        <w:t>echanism - under which</w:t>
      </w:r>
      <w:r>
        <w:t xml:space="preserve"> APA</w:t>
      </w:r>
      <w:r w:rsidRPr="00136D41">
        <w:t xml:space="preserve"> may seek to vary the </w:t>
      </w:r>
      <w:r>
        <w:t>r</w:t>
      </w:r>
      <w:r w:rsidRPr="00136D41">
        <w:t>eference</w:t>
      </w:r>
      <w:r>
        <w:t xml:space="preserve"> tariffs as a result of a cost p</w:t>
      </w:r>
      <w:r w:rsidRPr="00136D41">
        <w:t>ass</w:t>
      </w:r>
      <w:r>
        <w:t xml:space="preserve"> </w:t>
      </w:r>
      <w:r w:rsidRPr="00136D41">
        <w:t>through</w:t>
      </w:r>
      <w:r>
        <w:t xml:space="preserve"> e</w:t>
      </w:r>
      <w:r w:rsidRPr="00136D41">
        <w:t>vent.</w:t>
      </w:r>
    </w:p>
    <w:p w:rsidR="00C330FC" w:rsidRDefault="00C330FC" w:rsidP="00C330FC">
      <w:r>
        <w:t>We approve the reference tariff variation mechanism</w:t>
      </w:r>
      <w:r w:rsidR="00136D41">
        <w:t>s</w:t>
      </w:r>
      <w:r>
        <w:t xml:space="preserve"> proposed by </w:t>
      </w:r>
      <w:r w:rsidR="003F22EA">
        <w:t xml:space="preserve">APA </w:t>
      </w:r>
      <w:r>
        <w:t xml:space="preserve">as per the formulas set out in </w:t>
      </w:r>
      <w:r w:rsidR="000526CF">
        <w:t>attachment 11</w:t>
      </w:r>
      <w:r w:rsidR="00AB6BD6">
        <w:t>.</w:t>
      </w:r>
    </w:p>
    <w:p w:rsidR="00126304" w:rsidRDefault="00126304" w:rsidP="00524838">
      <w:pPr>
        <w:pStyle w:val="Heading2"/>
      </w:pPr>
      <w:bookmarkStart w:id="96" w:name="_Toc475002926"/>
      <w:bookmarkStart w:id="97" w:name="_Toc487018269"/>
      <w:r>
        <w:t>Forecast Demand</w:t>
      </w:r>
      <w:bookmarkEnd w:id="97"/>
    </w:p>
    <w:p w:rsidR="00126304" w:rsidRDefault="00126304" w:rsidP="00126304">
      <w:r w:rsidRPr="009E5EE8">
        <w:t xml:space="preserve">Demand is an important </w:t>
      </w:r>
      <w:r>
        <w:t>input into the derivation of APA</w:t>
      </w:r>
      <w:r w:rsidRPr="009E5EE8">
        <w:t xml:space="preserve">'s reference tariffs. </w:t>
      </w:r>
      <w:r w:rsidRPr="00EC38AF">
        <w:t>In simple terms, tariff</w:t>
      </w:r>
      <w:r>
        <w:t>s</w:t>
      </w:r>
      <w:r w:rsidRPr="00EC38AF">
        <w:t xml:space="preserve"> are determined by dividing cost (as reflected in forecast revenue) by total demand (GJ/day), </w:t>
      </w:r>
      <w:r>
        <w:t>so</w:t>
      </w:r>
      <w:r w:rsidRPr="00EC38AF">
        <w:t xml:space="preserve"> that an increase in forecast demand has the effect of reducing the tariff price and vice versa.</w:t>
      </w:r>
    </w:p>
    <w:p w:rsidR="00D92FA6" w:rsidRDefault="00627D8B" w:rsidP="00D92FA6">
      <w:r>
        <w:t xml:space="preserve">Our draft decision is </w:t>
      </w:r>
      <w:r w:rsidR="00A46702">
        <w:t>to</w:t>
      </w:r>
      <w:r w:rsidR="00D92FA6">
        <w:t xml:space="preserve"> </w:t>
      </w:r>
      <w:r w:rsidR="00E2181F">
        <w:t xml:space="preserve">not </w:t>
      </w:r>
      <w:r>
        <w:t xml:space="preserve">accept APA's proposed </w:t>
      </w:r>
      <w:r w:rsidR="00D92FA6">
        <w:t xml:space="preserve">total VTS withdrawal volumes for the 2018–22 access arrangement </w:t>
      </w:r>
      <w:proofErr w:type="gramStart"/>
      <w:r w:rsidR="00D92FA6">
        <w:t>period</w:t>
      </w:r>
      <w:proofErr w:type="gramEnd"/>
      <w:r w:rsidR="00D92FA6">
        <w:t xml:space="preserve">. While we are satisfied that APA's overall methodology to forecast total VTS withdrawal volumes is consistent with rule 74(2) of the NGR, we have not accepted the forecasts for Tariff V and storage refill demand—components of total withdrawal volumes. We have updated the Tariff V forecast to reflect the changes we have made to the three Victorian gas distributors' demand forecasts. We also forecast a higher volume of gas flowing into Iona Underground Storage. </w:t>
      </w:r>
      <w:r>
        <w:t>These changes result in a small (0.</w:t>
      </w:r>
      <w:r w:rsidR="00A25B03">
        <w:t>56</w:t>
      </w:r>
      <w:r>
        <w:t xml:space="preserve"> per cent) increase to APA's forecast of withdrawal volumes of gas from the VTS. </w:t>
      </w:r>
    </w:p>
    <w:p w:rsidR="00627D8B" w:rsidRDefault="00D92FA6" w:rsidP="00627D8B">
      <w:r>
        <w:t xml:space="preserve">We accept APA's proposed forecast of Tariff D demand (large commercial and industrial), </w:t>
      </w:r>
      <w:r w:rsidR="00E2181F">
        <w:t>gas powered g</w:t>
      </w:r>
      <w:r>
        <w:t xml:space="preserve">eneration (GPG) demand and interstate transfers. </w:t>
      </w:r>
    </w:p>
    <w:p w:rsidR="00627D8B" w:rsidRDefault="00627D8B" w:rsidP="00627D8B">
      <w:r>
        <w:t>The forecasts from our draft decision mean:</w:t>
      </w:r>
    </w:p>
    <w:p w:rsidR="00627D8B" w:rsidRDefault="00627D8B" w:rsidP="00627D8B">
      <w:pPr>
        <w:pStyle w:val="AERbulletlistfirststyle"/>
      </w:pPr>
      <w:proofErr w:type="gramStart"/>
      <w:r>
        <w:t>a</w:t>
      </w:r>
      <w:proofErr w:type="gramEnd"/>
      <w:r>
        <w:t xml:space="preserve"> decrease in Tariff V gas </w:t>
      </w:r>
      <w:r w:rsidRPr="00243150">
        <w:t xml:space="preserve">demand of around </w:t>
      </w:r>
      <w:r>
        <w:t>-0.35</w:t>
      </w:r>
      <w:r w:rsidRPr="00243150">
        <w:t xml:space="preserve"> </w:t>
      </w:r>
      <w:r>
        <w:t>per cent per year over 2018–</w:t>
      </w:r>
      <w:r w:rsidRPr="00243150">
        <w:t>22 access arrangement period.</w:t>
      </w:r>
      <w:r>
        <w:t xml:space="preserve"> The relatively flat demand reflects population growth being offset by improving appliance efficiency and improving quality of insulation in Victoria's housing stock</w:t>
      </w:r>
      <w:r w:rsidR="00F872DC">
        <w:t>.</w:t>
      </w:r>
      <w:r>
        <w:rPr>
          <w:rStyle w:val="FootnoteReference"/>
        </w:rPr>
        <w:footnoteReference w:id="13"/>
      </w:r>
    </w:p>
    <w:p w:rsidR="00627D8B" w:rsidRDefault="00F872DC" w:rsidP="00627D8B">
      <w:pPr>
        <w:pStyle w:val="AERbulletlistfirststyle"/>
      </w:pPr>
      <w:proofErr w:type="gramStart"/>
      <w:r>
        <w:t>a</w:t>
      </w:r>
      <w:proofErr w:type="gramEnd"/>
      <w:r w:rsidR="00627D8B">
        <w:t xml:space="preserve"> decrease in Tariff D demand of -2.0 per cent per year over the 2018</w:t>
      </w:r>
      <w:r w:rsidR="00627D8B" w:rsidRPr="00705A92">
        <w:t>–22 access arrangement period.</w:t>
      </w:r>
      <w:r w:rsidR="00627D8B">
        <w:t xml:space="preserve"> This decline reflects an ongoing decline in industrial demand observed since 2007, owing to reduced economic activity in that sector</w:t>
      </w:r>
      <w:r>
        <w:t>.</w:t>
      </w:r>
      <w:r w:rsidR="00627D8B">
        <w:rPr>
          <w:rStyle w:val="FootnoteReference"/>
        </w:rPr>
        <w:footnoteReference w:id="14"/>
      </w:r>
    </w:p>
    <w:p w:rsidR="00627D8B" w:rsidRDefault="00F872DC" w:rsidP="00627D8B">
      <w:pPr>
        <w:pStyle w:val="AERbulletlistfirststyle"/>
      </w:pPr>
      <w:proofErr w:type="gramStart"/>
      <w:r>
        <w:t>a</w:t>
      </w:r>
      <w:proofErr w:type="gramEnd"/>
      <w:r w:rsidR="00627D8B">
        <w:t xml:space="preserve"> decline in GPG demand over the 2018–22 access arrangement period, following a short-term spike in GPG generation in 2017 as gas-fired power generators replace electricity supply lost through the closure of the Hazelwoo</w:t>
      </w:r>
      <w:r w:rsidR="00627D8B" w:rsidRPr="00F346A2">
        <w:t>d power station.</w:t>
      </w:r>
      <w:r w:rsidR="00627D8B">
        <w:t xml:space="preserve"> GPG demand is forecast to fall to below a third of the pre-2017 level by 2022, following an increase in renewable generation in response to the Victorian Renewable Energy Target</w:t>
      </w:r>
      <w:r>
        <w:t>.</w:t>
      </w:r>
    </w:p>
    <w:p w:rsidR="00627D8B" w:rsidRDefault="00627D8B" w:rsidP="00627D8B">
      <w:pPr>
        <w:pStyle w:val="AERbulletlistfirststyle"/>
        <w:rPr>
          <w:rStyle w:val="AERbody"/>
        </w:rPr>
      </w:pPr>
      <w:proofErr w:type="gramStart"/>
      <w:r>
        <w:t>annual</w:t>
      </w:r>
      <w:proofErr w:type="gramEnd"/>
      <w:r>
        <w:t xml:space="preserve"> gas flows from the VTS through Culcairn into the NSW transmission system</w:t>
      </w:r>
      <w:r w:rsidR="00A25B03">
        <w:t xml:space="preserve"> is </w:t>
      </w:r>
      <w:r w:rsidR="00524F40">
        <w:t xml:space="preserve">forecast </w:t>
      </w:r>
      <w:r>
        <w:t xml:space="preserve">to remain at the </w:t>
      </w:r>
      <w:r w:rsidR="00A25B03">
        <w:t xml:space="preserve">estimated </w:t>
      </w:r>
      <w:r>
        <w:t>2017 level over the 2018–22 access arrangement period</w:t>
      </w:r>
      <w:r w:rsidR="00F872DC">
        <w:t>.</w:t>
      </w:r>
    </w:p>
    <w:p w:rsidR="00126304" w:rsidRDefault="00627D8B" w:rsidP="00627D8B">
      <w:r w:rsidRPr="00696423">
        <w:t>Further detail on our dra</w:t>
      </w:r>
      <w:r>
        <w:t>ft decision in regards to APA</w:t>
      </w:r>
      <w:r w:rsidRPr="00696423">
        <w:t xml:space="preserve">'s </w:t>
      </w:r>
      <w:r>
        <w:t>demand forecast</w:t>
      </w:r>
      <w:r w:rsidRPr="00696423">
        <w:t xml:space="preserve"> is set out in attachment </w:t>
      </w:r>
      <w:r>
        <w:t>1</w:t>
      </w:r>
      <w:r w:rsidRPr="00696423">
        <w:t>3.</w:t>
      </w:r>
    </w:p>
    <w:bookmarkEnd w:id="96"/>
    <w:p w:rsidR="00AC0ED1" w:rsidRDefault="00AC0ED1">
      <w:pPr>
        <w:spacing w:line="240" w:lineRule="auto"/>
        <w:rPr>
          <w:rStyle w:val="AERbody"/>
        </w:rPr>
      </w:pPr>
    </w:p>
    <w:p w:rsidR="00AC0ED1" w:rsidRDefault="00AC0ED1" w:rsidP="00AC0ED1">
      <w:pPr>
        <w:pStyle w:val="Heading1"/>
      </w:pPr>
      <w:bookmarkStart w:id="98" w:name="_Toc481056446"/>
      <w:bookmarkStart w:id="99" w:name="_Ref481056638"/>
      <w:bookmarkStart w:id="100" w:name="_Toc487018270"/>
      <w:r>
        <w:t>Total revenue requirement</w:t>
      </w:r>
      <w:bookmarkEnd w:id="98"/>
      <w:bookmarkEnd w:id="99"/>
      <w:bookmarkEnd w:id="100"/>
    </w:p>
    <w:p w:rsidR="007E7AEE" w:rsidRPr="007E7AEE" w:rsidRDefault="002B142E" w:rsidP="00C059F0">
      <w:pPr>
        <w:numPr>
          <w:ilvl w:val="0"/>
          <w:numId w:val="24"/>
        </w:numPr>
      </w:pPr>
      <w:r w:rsidRPr="007C3463">
        <w:t xml:space="preserve">The total revenue requirement is a forecast of the efficient cost of providing gas </w:t>
      </w:r>
      <w:r>
        <w:t>transmission</w:t>
      </w:r>
      <w:r w:rsidRPr="007C3463">
        <w:t xml:space="preserve"> services over the access arrangement period. </w:t>
      </w:r>
      <w:r w:rsidR="007E7AEE" w:rsidRPr="007E7AEE">
        <w:t xml:space="preserve">We determine annual revenue—and the total revenue requirement—in nominal terms because it will be in nominal amounts that consumers will be paying. To do this, we take into account expected future inflation to determine what the nominal price levels will be in future periods. Our draft decision uses 10 year inflation expectations </w:t>
      </w:r>
      <w:r w:rsidR="008E1D98">
        <w:t>on average</w:t>
      </w:r>
      <w:r w:rsidR="00413ADF">
        <w:t xml:space="preserve"> </w:t>
      </w:r>
      <w:r w:rsidR="007E7AEE" w:rsidRPr="007E7AEE">
        <w:t>to convert revenues to nominal values.</w:t>
      </w:r>
    </w:p>
    <w:p w:rsidR="002B142E" w:rsidRDefault="002B142E" w:rsidP="002B142E">
      <w:pPr>
        <w:numPr>
          <w:ilvl w:val="0"/>
          <w:numId w:val="24"/>
        </w:numPr>
      </w:pPr>
      <w:r w:rsidRPr="007C3463">
        <w:t xml:space="preserve">The total revenue </w:t>
      </w:r>
      <w:r>
        <w:t xml:space="preserve">requirement </w:t>
      </w:r>
      <w:r w:rsidRPr="007C3463">
        <w:t xml:space="preserve">set out in this </w:t>
      </w:r>
      <w:r>
        <w:t xml:space="preserve">draft </w:t>
      </w:r>
      <w:r w:rsidRPr="007C3463">
        <w:t xml:space="preserve">decision has been determined by assessing each building block cost of </w:t>
      </w:r>
      <w:r>
        <w:t>AP</w:t>
      </w:r>
      <w:r w:rsidR="00204FB3">
        <w:t>A</w:t>
      </w:r>
      <w:r w:rsidRPr="007C3463">
        <w:t xml:space="preserve">'s access arrangement proposal. We have assessed whether these building block costs are consistent with the costs that would be incurred by an efficient provider of gas </w:t>
      </w:r>
      <w:r>
        <w:t>transmission</w:t>
      </w:r>
      <w:r w:rsidRPr="007C3463">
        <w:t xml:space="preserve"> services.</w:t>
      </w:r>
      <w:r>
        <w:t xml:space="preserve"> </w:t>
      </w:r>
    </w:p>
    <w:p w:rsidR="007E7AEE" w:rsidRPr="00122031" w:rsidRDefault="002B142E" w:rsidP="008E1D98">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rsidR="003F22EA">
        <w:t xml:space="preserve">APA </w:t>
      </w:r>
      <w:r w:rsidRPr="004D0BCD">
        <w:t xml:space="preserve">operates under a </w:t>
      </w:r>
      <w:r w:rsidR="00F01D90">
        <w:t>control mechanism that takes the form of an average revenue yield.</w:t>
      </w:r>
      <w:r w:rsidR="00F01D90" w:rsidRPr="00F01D90">
        <w:t xml:space="preserve"> </w:t>
      </w:r>
      <w:r w:rsidR="00F01D90">
        <w:t>It is a price control formula that adjusts for the effect of differences between actual and forecast volumes over the access arrangement</w:t>
      </w:r>
      <w:r w:rsidR="0027703A">
        <w:t>. The tariffs we determine, (including the means of varying the tariffs from year to year) are the bindi</w:t>
      </w:r>
      <w:r w:rsidR="00C51739">
        <w:t>ng constraint across the 2018–</w:t>
      </w:r>
      <w:r w:rsidR="0027703A">
        <w:t>22 access arrangement period</w:t>
      </w:r>
      <w:r w:rsidR="00F01D90">
        <w:t>,</w:t>
      </w:r>
      <w:r w:rsidR="0027703A">
        <w:t xml:space="preserve"> rather than the total revenue requirement set out in our decision.</w:t>
      </w:r>
      <w:r w:rsidR="00C51739">
        <w:rPr>
          <w:rStyle w:val="FootnoteReference"/>
        </w:rPr>
        <w:footnoteReference w:id="15"/>
      </w:r>
      <w:r w:rsidR="00F01D90">
        <w:t xml:space="preserve"> </w:t>
      </w:r>
      <w:r w:rsidR="007E7AEE" w:rsidRPr="007E7AEE">
        <w:t>Tariffs are adjusted each year using the</w:t>
      </w:r>
      <w:r w:rsidR="00413ADF">
        <w:t xml:space="preserve"> '</w:t>
      </w:r>
      <w:r w:rsidR="007E7AEE" w:rsidRPr="007E7AEE">
        <w:t xml:space="preserve">X factors'. X factors are percentage changes in real weighted average tariffs from year to year. The process of determining </w:t>
      </w:r>
      <w:proofErr w:type="gramStart"/>
      <w:r w:rsidR="007E7AEE" w:rsidRPr="007E7AEE">
        <w:t>X factors is</w:t>
      </w:r>
      <w:proofErr w:type="gramEnd"/>
      <w:r w:rsidR="007E7AEE" w:rsidRPr="007E7AEE">
        <w:t xml:space="preserve"> discussed in section </w:t>
      </w:r>
      <w:r w:rsidR="009A7663">
        <w:fldChar w:fldCharType="begin"/>
      </w:r>
      <w:r w:rsidR="009A7663">
        <w:instrText xml:space="preserve"> REF _Ref485039430 \r \h </w:instrText>
      </w:r>
      <w:r w:rsidR="009A7663">
        <w:fldChar w:fldCharType="separate"/>
      </w:r>
      <w:r w:rsidR="00971C32">
        <w:t>4.4</w:t>
      </w:r>
      <w:r w:rsidR="009A7663">
        <w:fldChar w:fldCharType="end"/>
      </w:r>
      <w:r w:rsidR="007E7AEE" w:rsidRPr="007E7AEE">
        <w:t>.</w:t>
      </w:r>
    </w:p>
    <w:p w:rsidR="002B142E" w:rsidRPr="002B142E" w:rsidRDefault="002B142E" w:rsidP="00B55712">
      <w:pPr>
        <w:pStyle w:val="Heading2"/>
      </w:pPr>
      <w:bookmarkStart w:id="101" w:name="_Toc433016423"/>
      <w:bookmarkStart w:id="102" w:name="_Toc436046176"/>
      <w:bookmarkStart w:id="103" w:name="_Toc444855384"/>
      <w:bookmarkStart w:id="104" w:name="_Toc487018271"/>
      <w:r>
        <w:t>The building block approach</w:t>
      </w:r>
      <w:bookmarkEnd w:id="101"/>
      <w:bookmarkEnd w:id="102"/>
      <w:bookmarkEnd w:id="103"/>
      <w:bookmarkEnd w:id="104"/>
    </w:p>
    <w:p w:rsidR="002B142E" w:rsidRPr="00EE5F0C" w:rsidRDefault="002B142E" w:rsidP="002B142E">
      <w:pPr>
        <w:numPr>
          <w:ilvl w:val="0"/>
          <w:numId w:val="24"/>
        </w:numPr>
      </w:pPr>
      <w:r w:rsidRPr="00EE5F0C">
        <w:t xml:space="preserve">We have employed the building block approach to determine </w:t>
      </w:r>
      <w:r>
        <w:t>AP</w:t>
      </w:r>
      <w:r w:rsidR="00204FB3">
        <w:t>A</w:t>
      </w:r>
      <w:r>
        <w:t>'s total revenue requirement</w:t>
      </w:r>
      <w:r w:rsidRPr="00EE5F0C">
        <w:t xml:space="preserve">—that is, we based the </w:t>
      </w:r>
      <w:r>
        <w:t>total revenue requirement on our estimate of the</w:t>
      </w:r>
      <w:r w:rsidRPr="00EE5F0C">
        <w:t xml:space="preserve"> efficient costs that </w:t>
      </w:r>
      <w:r>
        <w:t>AP</w:t>
      </w:r>
      <w:r w:rsidR="00204FB3">
        <w:t>A</w:t>
      </w:r>
      <w:r>
        <w:t xml:space="preserve"> </w:t>
      </w:r>
      <w:r w:rsidRPr="00EE5F0C">
        <w:t xml:space="preserve">is likely to incur in providing </w:t>
      </w:r>
      <w:r w:rsidR="00F872DC">
        <w:t>its reference</w:t>
      </w:r>
      <w:r w:rsidR="00B62E54">
        <w:t xml:space="preserve"> service</w:t>
      </w:r>
      <w:r w:rsidRPr="00EE5F0C">
        <w:t>. The building block costs</w:t>
      </w:r>
      <w:r>
        <w:t>, as shown in</w:t>
      </w:r>
      <w:r w:rsidR="00A41818">
        <w:t xml:space="preserve"> </w:t>
      </w:r>
      <w:r w:rsidR="00A41818">
        <w:fldChar w:fldCharType="begin"/>
      </w:r>
      <w:r w:rsidR="00A41818">
        <w:instrText xml:space="preserve"> REF _Ref433875586 \h </w:instrText>
      </w:r>
      <w:r w:rsidR="00A41818">
        <w:fldChar w:fldCharType="separate"/>
      </w:r>
      <w:r w:rsidR="00971C32" w:rsidRPr="009F6AC3">
        <w:t xml:space="preserve">Figure </w:t>
      </w:r>
      <w:r w:rsidR="00971C32">
        <w:rPr>
          <w:noProof/>
        </w:rPr>
        <w:t>4</w:t>
      </w:r>
      <w:r w:rsidR="00971C32">
        <w:noBreakHyphen/>
      </w:r>
      <w:r w:rsidR="00971C32">
        <w:rPr>
          <w:noProof/>
        </w:rPr>
        <w:t>1</w:t>
      </w:r>
      <w:r w:rsidR="00A41818">
        <w:fldChar w:fldCharType="end"/>
      </w:r>
      <w:r>
        <w:t>,</w:t>
      </w:r>
      <w:r w:rsidRPr="00EE5F0C">
        <w:t xml:space="preserve"> include:</w:t>
      </w:r>
      <w:r w:rsidRPr="00EE5F0C">
        <w:rPr>
          <w:rStyle w:val="FootnoteReference"/>
        </w:rPr>
        <w:footnoteReference w:id="16"/>
      </w:r>
    </w:p>
    <w:p w:rsidR="002B142E" w:rsidRPr="002B142E" w:rsidRDefault="002B142E" w:rsidP="002B142E">
      <w:pPr>
        <w:pStyle w:val="AERbulletlistfirststyle"/>
      </w:pPr>
      <w:r w:rsidRPr="00EE5F0C">
        <w:t xml:space="preserve">return on </w:t>
      </w:r>
      <w:r w:rsidRPr="002B142E">
        <w:t>the projected capital base (return on capital)</w:t>
      </w:r>
    </w:p>
    <w:p w:rsidR="002B142E" w:rsidRPr="002B142E" w:rsidRDefault="002B142E" w:rsidP="002B142E">
      <w:pPr>
        <w:pStyle w:val="AERbulletlistfirststyle"/>
      </w:pPr>
      <w:r w:rsidRPr="00EE5F0C">
        <w:t>depreciation o</w:t>
      </w:r>
      <w:r w:rsidRPr="002B142E">
        <w:t>f the projected capital base (return of capital)</w:t>
      </w:r>
    </w:p>
    <w:p w:rsidR="002B142E" w:rsidRPr="002B142E" w:rsidRDefault="002B142E" w:rsidP="002B142E">
      <w:pPr>
        <w:pStyle w:val="AERbulletlistfirststyle"/>
      </w:pPr>
      <w:r w:rsidRPr="00EE5F0C">
        <w:t>the estimated cost of corporate income tax</w:t>
      </w:r>
    </w:p>
    <w:p w:rsidR="002B142E" w:rsidRPr="002B142E" w:rsidRDefault="002B142E" w:rsidP="002B142E">
      <w:pPr>
        <w:pStyle w:val="AERbulletlistfirststyle"/>
      </w:pPr>
      <w:r>
        <w:t xml:space="preserve">revenue </w:t>
      </w:r>
      <w:r w:rsidRPr="002B142E">
        <w:t xml:space="preserve">increments or decrements resulting from incentive </w:t>
      </w:r>
      <w:r w:rsidR="00672EEE">
        <w:t>mechanisms</w:t>
      </w:r>
      <w:r w:rsidRPr="002B142E">
        <w:t xml:space="preserve"> such as the </w:t>
      </w:r>
      <w:r w:rsidR="001B7D78">
        <w:t xml:space="preserve">benefit sharing </w:t>
      </w:r>
      <w:r w:rsidR="00231C90">
        <w:t>allowance</w:t>
      </w:r>
    </w:p>
    <w:p w:rsidR="002B142E" w:rsidRPr="002B142E" w:rsidRDefault="002B142E" w:rsidP="002B142E">
      <w:pPr>
        <w:pStyle w:val="AERbulletlistfirststyle"/>
      </w:pPr>
      <w:proofErr w:type="gramStart"/>
      <w:r w:rsidRPr="00EE5F0C">
        <w:t>forecast</w:t>
      </w:r>
      <w:proofErr w:type="gramEnd"/>
      <w:r w:rsidRPr="00EE5F0C">
        <w:t xml:space="preserve"> </w:t>
      </w:r>
      <w:r w:rsidRPr="002B142E">
        <w:t>opex.</w:t>
      </w:r>
    </w:p>
    <w:p w:rsidR="002B142E" w:rsidRPr="00EE5F0C" w:rsidRDefault="002B142E" w:rsidP="002B142E">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2B142E" w:rsidRPr="001D0531" w:rsidRDefault="002B142E" w:rsidP="009F6AC3">
      <w:pPr>
        <w:pStyle w:val="Caption"/>
        <w:rPr>
          <w:rStyle w:val="Strong"/>
          <w:b/>
          <w:bCs/>
        </w:rPr>
      </w:pPr>
      <w:bookmarkStart w:id="105" w:name="_Ref433875505"/>
      <w:bookmarkStart w:id="106" w:name="_Ref433875586"/>
      <w:r w:rsidRPr="009F6AC3">
        <w:t>Figure</w:t>
      </w:r>
      <w:bookmarkEnd w:id="105"/>
      <w:r w:rsidRPr="009F6AC3">
        <w:t xml:space="preserve"> </w:t>
      </w:r>
      <w:fldSimple w:instr=" STYLEREF 1 \s ">
        <w:r w:rsidR="00971C32">
          <w:rPr>
            <w:noProof/>
          </w:rPr>
          <w:t>4</w:t>
        </w:r>
      </w:fldSimple>
      <w:r w:rsidR="00624EE7">
        <w:noBreakHyphen/>
      </w:r>
      <w:fldSimple w:instr=" SEQ Figure \* ARABIC \s 1 ">
        <w:r w:rsidR="00971C32">
          <w:rPr>
            <w:noProof/>
          </w:rPr>
          <w:t>1</w:t>
        </w:r>
      </w:fldSimple>
      <w:bookmarkEnd w:id="106"/>
      <w:r w:rsidRPr="009F6AC3">
        <w:tab/>
      </w:r>
      <w:proofErr w:type="gramStart"/>
      <w:r w:rsidRPr="009E2909">
        <w:rPr>
          <w:rStyle w:val="Strong"/>
          <w:b/>
          <w:bCs/>
        </w:rPr>
        <w:t>The</w:t>
      </w:r>
      <w:proofErr w:type="gramEnd"/>
      <w:r w:rsidRPr="009E2909">
        <w:rPr>
          <w:rStyle w:val="Strong"/>
          <w:b/>
          <w:bCs/>
        </w:rPr>
        <w:t xml:space="preserve"> building block approach for determining total revenue</w:t>
      </w:r>
    </w:p>
    <w:p w:rsidR="002B142E" w:rsidRPr="00122031" w:rsidRDefault="002B142E" w:rsidP="002B142E">
      <w:pPr>
        <w:pStyle w:val="ListParagraph"/>
        <w:numPr>
          <w:ilvl w:val="0"/>
          <w:numId w:val="24"/>
        </w:numPr>
      </w:pPr>
      <w:r w:rsidRPr="002B142E">
        <w:rPr>
          <w:noProof/>
          <w:lang w:eastAsia="en-AU"/>
        </w:rPr>
        <mc:AlternateContent>
          <mc:Choice Requires="wpc">
            <w:drawing>
              <wp:inline distT="0" distB="0" distL="0" distR="0" wp14:anchorId="051AB934" wp14:editId="6D3FC319">
                <wp:extent cx="5567010" cy="3490622"/>
                <wp:effectExtent l="0" t="0" r="15240" b="1460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A53E73" w:rsidRPr="009A07AA" w:rsidRDefault="00A53E73" w:rsidP="002B142E">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A53E73" w:rsidRPr="009A07AA" w:rsidRDefault="00A53E73" w:rsidP="002B142E">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A53E73" w:rsidRPr="009A07AA" w:rsidRDefault="00A53E73" w:rsidP="002B142E">
                              <w:pPr>
                                <w:spacing w:after="200"/>
                                <w:rPr>
                                  <w:rStyle w:val="AERbody"/>
                                  <w:rFonts w:ascii="Calibri" w:hAnsi="Calibri"/>
                                </w:rPr>
                              </w:pPr>
                              <w:r w:rsidRPr="009A07AA">
                                <w:rPr>
                                  <w:rStyle w:val="AERbody"/>
                                  <w:rFonts w:ascii="Calibri" w:hAnsi="Calibri"/>
                                  <w:color w:val="FFFFFF"/>
                                </w:rPr>
                                <w:t>Corporate income tax (net of value of imputation credits)</w:t>
                              </w:r>
                            </w:p>
                            <w:p w:rsidR="00A53E73" w:rsidRPr="007F7192" w:rsidRDefault="00A53E73" w:rsidP="002B142E">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A53E73" w:rsidRPr="002569F7" w:rsidRDefault="00A53E73" w:rsidP="002B142E">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A53E73" w:rsidRPr="008D2606" w:rsidRDefault="00A53E73" w:rsidP="002B142E">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53E73" w:rsidRPr="004414F4" w:rsidRDefault="00A53E73" w:rsidP="002B142E">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A53E73" w:rsidRPr="00784189" w:rsidRDefault="00A53E73" w:rsidP="002B142E">
                              <w:pPr>
                                <w:rPr>
                                  <w:rFonts w:ascii="Calibri" w:hAnsi="Calibri"/>
                                  <w:color w:val="FFFFFF"/>
                                </w:rPr>
                              </w:pPr>
                              <w:r w:rsidRPr="00784189">
                                <w:rPr>
                                  <w:rFonts w:ascii="Calibri" w:hAnsi="Calibri"/>
                                  <w:color w:val="FFFFFF"/>
                                </w:rPr>
                                <w:t>Incentive mechanisms (increment or decrement)</w:t>
                              </w:r>
                            </w:p>
                            <w:p w:rsidR="00A53E73" w:rsidRPr="00F51767" w:rsidRDefault="00A53E73" w:rsidP="002B142E"/>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A53E73" w:rsidRPr="00E91FF0" w:rsidRDefault="00A53E73" w:rsidP="002B142E">
                              <w:pPr>
                                <w:pStyle w:val="AERtabletextleft"/>
                              </w:pPr>
                              <w:r w:rsidRPr="00E91FF0">
                                <w:t xml:space="preserve">Total </w:t>
                              </w:r>
                              <w:r>
                                <w:t>r</w:t>
                              </w:r>
                              <w:r w:rsidRPr="00E91FF0">
                                <w:t>evenue</w:t>
                              </w:r>
                            </w:p>
                            <w:p w:rsidR="00A53E73" w:rsidRDefault="00A53E73" w:rsidP="002B142E"/>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8.35pt;height:274.85pt;mso-position-horizontal-relative:char;mso-position-vertical-relative:line" coordsize="55664,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664;height:349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A53E73" w:rsidRPr="009A07AA" w:rsidRDefault="00A53E73" w:rsidP="002B142E">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A53E73" w:rsidRPr="009A07AA" w:rsidRDefault="00A53E73" w:rsidP="002B142E">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A53E73" w:rsidRPr="009A07AA" w:rsidRDefault="00A53E73" w:rsidP="002B142E">
                        <w:pPr>
                          <w:spacing w:after="200"/>
                          <w:rPr>
                            <w:rStyle w:val="AERbody"/>
                            <w:rFonts w:ascii="Calibri" w:hAnsi="Calibri"/>
                          </w:rPr>
                        </w:pPr>
                        <w:r w:rsidRPr="009A07AA">
                          <w:rPr>
                            <w:rStyle w:val="AERbody"/>
                            <w:rFonts w:ascii="Calibri" w:hAnsi="Calibri"/>
                            <w:color w:val="FFFFFF"/>
                          </w:rPr>
                          <w:t>Corporate income tax (net of value of imputation credits)</w:t>
                        </w:r>
                      </w:p>
                      <w:p w:rsidR="00A53E73" w:rsidRPr="007F7192" w:rsidRDefault="00A53E73" w:rsidP="002B142E">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A53E73" w:rsidRPr="002569F7" w:rsidRDefault="00A53E73" w:rsidP="002B142E">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A53E73" w:rsidRPr="008D2606" w:rsidRDefault="00A53E73" w:rsidP="002B142E">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53E73" w:rsidRPr="004414F4" w:rsidRDefault="00A53E73" w:rsidP="002B142E">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A53E73" w:rsidRPr="00784189" w:rsidRDefault="00A53E73" w:rsidP="002B142E">
                        <w:pPr>
                          <w:rPr>
                            <w:rFonts w:ascii="Calibri" w:hAnsi="Calibri"/>
                            <w:color w:val="FFFFFF"/>
                          </w:rPr>
                        </w:pPr>
                        <w:r w:rsidRPr="00784189">
                          <w:rPr>
                            <w:rFonts w:ascii="Calibri" w:hAnsi="Calibri"/>
                            <w:color w:val="FFFFFF"/>
                          </w:rPr>
                          <w:t>Incentive mechanisms (increment or decrement)</w:t>
                        </w:r>
                      </w:p>
                      <w:p w:rsidR="00A53E73" w:rsidRPr="00F51767" w:rsidRDefault="00A53E73" w:rsidP="002B142E"/>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A53E73" w:rsidRPr="00E91FF0" w:rsidRDefault="00A53E73" w:rsidP="002B142E">
                        <w:pPr>
                          <w:pStyle w:val="AERtabletextleft"/>
                        </w:pPr>
                        <w:r w:rsidRPr="00E91FF0">
                          <w:t xml:space="preserve">Total </w:t>
                        </w:r>
                        <w:r>
                          <w:t>r</w:t>
                        </w:r>
                        <w:r w:rsidRPr="00E91FF0">
                          <w:t>evenue</w:t>
                        </w:r>
                      </w:p>
                      <w:p w:rsidR="00A53E73" w:rsidRDefault="00A53E73" w:rsidP="002B142E"/>
                    </w:txbxContent>
                  </v:textbox>
                </v:shape>
                <w10:anchorlock/>
              </v:group>
            </w:pict>
          </mc:Fallback>
        </mc:AlternateContent>
      </w:r>
    </w:p>
    <w:p w:rsidR="002B142E" w:rsidRPr="002B142E" w:rsidRDefault="002B142E" w:rsidP="00B55712">
      <w:pPr>
        <w:pStyle w:val="Heading2"/>
      </w:pPr>
      <w:bookmarkStart w:id="107" w:name="_Toc433016425"/>
      <w:bookmarkStart w:id="108" w:name="_Toc436046177"/>
      <w:bookmarkStart w:id="109" w:name="_Toc444855385"/>
      <w:bookmarkStart w:id="110" w:name="_Toc487018272"/>
      <w:r>
        <w:t>Draft</w:t>
      </w:r>
      <w:r w:rsidRPr="002B142E">
        <w:t xml:space="preserve"> decision</w:t>
      </w:r>
      <w:bookmarkEnd w:id="107"/>
      <w:bookmarkEnd w:id="108"/>
      <w:bookmarkEnd w:id="109"/>
      <w:bookmarkEnd w:id="110"/>
    </w:p>
    <w:p w:rsidR="002B142E" w:rsidRPr="00B5370C" w:rsidRDefault="002B142E" w:rsidP="002B142E">
      <w:r w:rsidRPr="00B5370C">
        <w:t>We</w:t>
      </w:r>
      <w:r>
        <w:t xml:space="preserve"> do not approve </w:t>
      </w:r>
      <w:r w:rsidR="003F22EA">
        <w:t>APA'</w:t>
      </w:r>
      <w:r w:rsidR="00204FB3">
        <w:t>s</w:t>
      </w:r>
      <w:r w:rsidRPr="00B5370C">
        <w:t xml:space="preserve"> proposed total revenue requirement (smoothed) of $</w:t>
      </w:r>
      <w:r w:rsidR="00E8785B">
        <w:t>73</w:t>
      </w:r>
      <w:r w:rsidR="00AC1A86">
        <w:t>2</w:t>
      </w:r>
      <w:r w:rsidR="00E8785B">
        <w:t>.</w:t>
      </w:r>
      <w:r w:rsidR="00AC1A86">
        <w:t>3</w:t>
      </w:r>
      <w:r w:rsidR="00B70919">
        <w:t> </w:t>
      </w:r>
      <w:r w:rsidRPr="00B5370C">
        <w:t>million ($</w:t>
      </w:r>
      <w:r w:rsidR="008E1D98">
        <w:t> </w:t>
      </w:r>
      <w:r w:rsidRPr="00B5370C">
        <w:t>nominal) for reference services</w:t>
      </w:r>
      <w:r>
        <w:t xml:space="preserve"> over the 201</w:t>
      </w:r>
      <w:r w:rsidR="00E8785B">
        <w:t>8</w:t>
      </w:r>
      <w:r w:rsidRPr="00B5370C">
        <w:t>–2</w:t>
      </w:r>
      <w:r>
        <w:t>2</w:t>
      </w:r>
      <w:r w:rsidRPr="00B5370C">
        <w:t xml:space="preserve"> access arrangement period.</w:t>
      </w:r>
      <w:r w:rsidRPr="00B5370C">
        <w:rPr>
          <w:rStyle w:val="FootnoteReference"/>
        </w:rPr>
        <w:footnoteReference w:id="17"/>
      </w:r>
      <w:r w:rsidRPr="00B5370C">
        <w:t xml:space="preserve"> </w:t>
      </w:r>
      <w:r w:rsidR="00CE07A4">
        <w:t xml:space="preserve">Our draft decision is to approve </w:t>
      </w:r>
      <w:r w:rsidRPr="00B5370C">
        <w:t>a total revenue requirement</w:t>
      </w:r>
      <w:r>
        <w:t xml:space="preserve"> (smoothed)</w:t>
      </w:r>
      <w:r w:rsidRPr="00B5370C">
        <w:t xml:space="preserve"> o</w:t>
      </w:r>
      <w:r w:rsidR="00B55712">
        <w:t>f $</w:t>
      </w:r>
      <w:r w:rsidR="00E8785B">
        <w:t>5</w:t>
      </w:r>
      <w:r w:rsidR="002E7CEA">
        <w:t>5</w:t>
      </w:r>
      <w:r w:rsidR="00DC33D7">
        <w:t>5</w:t>
      </w:r>
      <w:r w:rsidR="002E7CEA">
        <w:t>.</w:t>
      </w:r>
      <w:r w:rsidR="00DC33D7">
        <w:t>4</w:t>
      </w:r>
      <w:r>
        <w:t xml:space="preserve"> million ($</w:t>
      </w:r>
      <w:r w:rsidR="008E1D98">
        <w:t> </w:t>
      </w:r>
      <w:r>
        <w:t>nominal) f</w:t>
      </w:r>
      <w:r w:rsidRPr="00B5370C">
        <w:t xml:space="preserve">or </w:t>
      </w:r>
      <w:r w:rsidR="003F22EA">
        <w:t xml:space="preserve">APA </w:t>
      </w:r>
      <w:r w:rsidRPr="00B5370C">
        <w:t>over the 20</w:t>
      </w:r>
      <w:r>
        <w:t>1</w:t>
      </w:r>
      <w:r w:rsidR="00E8785B">
        <w:t>8</w:t>
      </w:r>
      <w:r w:rsidRPr="00B5370C">
        <w:t>–2</w:t>
      </w:r>
      <w:r>
        <w:t>2</w:t>
      </w:r>
      <w:r w:rsidRPr="00B5370C">
        <w:t xml:space="preserve"> access arrangement period</w:t>
      </w:r>
      <w:r w:rsidR="00CE07A4">
        <w:t>. This i</w:t>
      </w:r>
      <w:r w:rsidR="00672EEE">
        <w:t>s 2</w:t>
      </w:r>
      <w:r w:rsidR="002E7CEA">
        <w:t>4.</w:t>
      </w:r>
      <w:r w:rsidR="00DC33D7">
        <w:t>2</w:t>
      </w:r>
      <w:r w:rsidR="00672EEE">
        <w:t xml:space="preserve"> per cent lower than APA's proposal</w:t>
      </w:r>
      <w:r w:rsidRPr="00B5370C">
        <w:t>.</w:t>
      </w:r>
      <w:r w:rsidRPr="00B5370C">
        <w:rPr>
          <w:rStyle w:val="FootnoteReference"/>
        </w:rPr>
        <w:footnoteReference w:id="18"/>
      </w:r>
      <w:r>
        <w:t xml:space="preserve"> </w:t>
      </w:r>
    </w:p>
    <w:p w:rsidR="002B142E" w:rsidRDefault="00B55712" w:rsidP="002B142E">
      <w:r>
        <w:t xml:space="preserve">We do not approve </w:t>
      </w:r>
      <w:r w:rsidR="003F22EA">
        <w:t>APA'</w:t>
      </w:r>
      <w:r w:rsidR="00204FB3">
        <w:t>s</w:t>
      </w:r>
      <w:r w:rsidR="002B142E" w:rsidRPr="00B5370C">
        <w:t xml:space="preserve"> proposed 201</w:t>
      </w:r>
      <w:r w:rsidR="002B142E">
        <w:t>8</w:t>
      </w:r>
      <w:r w:rsidR="002B142E" w:rsidRPr="00B5370C">
        <w:t xml:space="preserve"> tariffs, which </w:t>
      </w:r>
      <w:r w:rsidR="009F6AC3">
        <w:t>included</w:t>
      </w:r>
      <w:r w:rsidR="009F6AC3" w:rsidRPr="00B5370C">
        <w:t xml:space="preserve"> </w:t>
      </w:r>
      <w:r w:rsidR="002B142E" w:rsidRPr="00B5370C">
        <w:t>a</w:t>
      </w:r>
      <w:r w:rsidR="002B142E">
        <w:t xml:space="preserve"> weighted a</w:t>
      </w:r>
      <w:r w:rsidR="005E6E0D">
        <w:t>verage in</w:t>
      </w:r>
      <w:r w:rsidR="002B142E">
        <w:t xml:space="preserve">crease in real tariffs </w:t>
      </w:r>
      <w:r w:rsidR="002B142E" w:rsidRPr="00B5370C">
        <w:t xml:space="preserve">of </w:t>
      </w:r>
      <w:r w:rsidR="00737B2F">
        <w:t>23.8</w:t>
      </w:r>
      <w:r w:rsidR="002B142E">
        <w:t xml:space="preserve"> </w:t>
      </w:r>
      <w:r w:rsidR="002B142E" w:rsidRPr="00B5370C">
        <w:t>per cent</w:t>
      </w:r>
      <w:r>
        <w:t>.</w:t>
      </w:r>
      <w:r w:rsidR="00737B2F">
        <w:rPr>
          <w:rStyle w:val="FootnoteReference"/>
        </w:rPr>
        <w:footnoteReference w:id="19"/>
      </w:r>
      <w:r>
        <w:t xml:space="preserve"> We also do not approve </w:t>
      </w:r>
      <w:r w:rsidR="003F22EA">
        <w:t>APA'</w:t>
      </w:r>
      <w:r w:rsidR="00204FB3">
        <w:t>s</w:t>
      </w:r>
      <w:r w:rsidR="002B142E">
        <w:t xml:space="preserve"> proposed </w:t>
      </w:r>
      <w:r w:rsidR="00533704">
        <w:br/>
      </w:r>
      <w:r w:rsidR="002B142E">
        <w:t>201</w:t>
      </w:r>
      <w:r w:rsidR="00071B98">
        <w:t>9</w:t>
      </w:r>
      <w:r w:rsidR="002B142E">
        <w:t xml:space="preserve">–22 tariff path, which </w:t>
      </w:r>
      <w:r w:rsidR="009F6AC3">
        <w:t xml:space="preserve">was for </w:t>
      </w:r>
      <w:r w:rsidR="002B142E">
        <w:t>a weighted average</w:t>
      </w:r>
      <w:r w:rsidR="00E8785B">
        <w:t xml:space="preserve"> increase in real tariffs of </w:t>
      </w:r>
      <w:r w:rsidR="001E509D">
        <w:t>3.3</w:t>
      </w:r>
      <w:r w:rsidR="005F152D">
        <w:t> per </w:t>
      </w:r>
      <w:r w:rsidR="002B142E">
        <w:t>cent per year.</w:t>
      </w:r>
      <w:r w:rsidR="002B142E">
        <w:rPr>
          <w:rStyle w:val="FootnoteReference"/>
        </w:rPr>
        <w:footnoteReference w:id="20"/>
      </w:r>
      <w:r w:rsidR="002B142E" w:rsidRPr="00B5370C">
        <w:t xml:space="preserve"> </w:t>
      </w:r>
      <w:r w:rsidR="002B142E">
        <w:t>As a result of our lower total revenue requirement</w:t>
      </w:r>
      <w:r w:rsidR="00C21657">
        <w:t>,</w:t>
      </w:r>
      <w:r w:rsidR="002B142E">
        <w:t xml:space="preserve"> our draft decision is for a real </w:t>
      </w:r>
      <w:r w:rsidR="00DC33D7">
        <w:t>de</w:t>
      </w:r>
      <w:r w:rsidR="0041767B">
        <w:t>crease</w:t>
      </w:r>
      <w:r w:rsidR="002B142E">
        <w:t xml:space="preserve"> in weighted average tariffs of </w:t>
      </w:r>
      <w:r w:rsidR="00DC33D7">
        <w:t>0.25</w:t>
      </w:r>
      <w:r w:rsidR="005E6E0D">
        <w:t xml:space="preserve"> per cent for 2018, and real increase of </w:t>
      </w:r>
      <w:r w:rsidR="001E509D">
        <w:t>0.</w:t>
      </w:r>
      <w:r w:rsidR="00DC33D7">
        <w:t>2</w:t>
      </w:r>
      <w:r w:rsidR="002B142E">
        <w:t xml:space="preserve"> per cent in </w:t>
      </w:r>
      <w:r w:rsidR="005E6E0D">
        <w:t xml:space="preserve">the remaining </w:t>
      </w:r>
      <w:r w:rsidR="002B142E">
        <w:t>year</w:t>
      </w:r>
      <w:r w:rsidR="005E6E0D">
        <w:t>s</w:t>
      </w:r>
      <w:r w:rsidR="002B142E">
        <w:t xml:space="preserve"> of the 201</w:t>
      </w:r>
      <w:r w:rsidR="0041767B">
        <w:t>8</w:t>
      </w:r>
      <w:r w:rsidR="002B142E">
        <w:t>–22 access arrangement period.</w:t>
      </w:r>
      <w:r w:rsidR="000663ED">
        <w:rPr>
          <w:rStyle w:val="FootnoteReference"/>
        </w:rPr>
        <w:footnoteReference w:id="21"/>
      </w:r>
      <w:r w:rsidR="002B142E">
        <w:t xml:space="preserve"> Our decision aims to balance AP</w:t>
      </w:r>
      <w:r w:rsidR="00204FB3">
        <w:t>A</w:t>
      </w:r>
      <w:r w:rsidR="002B142E">
        <w:t xml:space="preserve">'s ability to recover revenues and recognises the potential for </w:t>
      </w:r>
      <w:r w:rsidR="005E6E0D">
        <w:t xml:space="preserve">stable </w:t>
      </w:r>
      <w:r w:rsidR="002B142E">
        <w:t xml:space="preserve">prices </w:t>
      </w:r>
      <w:r w:rsidR="005E6E0D">
        <w:t xml:space="preserve">over the </w:t>
      </w:r>
      <w:r w:rsidR="002B142E">
        <w:t xml:space="preserve">access arrangement period.  Approved building block revenues (unsmoothed) are expected to </w:t>
      </w:r>
      <w:r w:rsidR="005E6E0D">
        <w:t>increase over the access arrangement period</w:t>
      </w:r>
      <w:r w:rsidR="002B142E">
        <w:t xml:space="preserve">. Section </w:t>
      </w:r>
      <w:r w:rsidR="002B142E">
        <w:fldChar w:fldCharType="begin"/>
      </w:r>
      <w:r w:rsidR="002B142E">
        <w:instrText xml:space="preserve"> REF _Ref478504958 \r \h </w:instrText>
      </w:r>
      <w:r w:rsidR="002B142E">
        <w:fldChar w:fldCharType="separate"/>
      </w:r>
      <w:r w:rsidR="00971C32">
        <w:t>4.4</w:t>
      </w:r>
      <w:r w:rsidR="002B142E">
        <w:fldChar w:fldCharType="end"/>
      </w:r>
      <w:r w:rsidR="002B142E">
        <w:t xml:space="preserve"> discusses our approach to revenue </w:t>
      </w:r>
      <w:r w:rsidR="00B27011">
        <w:t>smoothing</w:t>
      </w:r>
      <w:r w:rsidR="005F152D">
        <w:t xml:space="preserve"> </w:t>
      </w:r>
      <w:r w:rsidR="002B142E">
        <w:t>and tariffs.</w:t>
      </w:r>
    </w:p>
    <w:p w:rsidR="00AC0ED1" w:rsidRPr="00524838" w:rsidRDefault="00A41818" w:rsidP="002B142E">
      <w:pPr>
        <w:rPr>
          <w:rStyle w:val="AERbody"/>
        </w:rPr>
      </w:pPr>
      <w:r>
        <w:fldChar w:fldCharType="begin"/>
      </w:r>
      <w:r>
        <w:instrText xml:space="preserve"> REF _Ref483479689 \h </w:instrText>
      </w:r>
      <w:r>
        <w:fldChar w:fldCharType="separate"/>
      </w:r>
      <w:r w:rsidR="00971C32">
        <w:t xml:space="preserve">Table </w:t>
      </w:r>
      <w:r w:rsidR="00971C32">
        <w:rPr>
          <w:noProof/>
        </w:rPr>
        <w:t>4</w:t>
      </w:r>
      <w:r w:rsidR="00971C32">
        <w:noBreakHyphen/>
      </w:r>
      <w:r w:rsidR="00971C32">
        <w:rPr>
          <w:noProof/>
        </w:rPr>
        <w:t>1</w:t>
      </w:r>
      <w:r>
        <w:fldChar w:fldCharType="end"/>
      </w:r>
      <w:r>
        <w:t xml:space="preserve"> </w:t>
      </w:r>
      <w:r w:rsidR="002B142E">
        <w:t>sets out our draft decision on AP</w:t>
      </w:r>
      <w:r w:rsidR="00204FB3">
        <w:t>A</w:t>
      </w:r>
      <w:r w:rsidR="002B142E" w:rsidRPr="00A96757">
        <w:t xml:space="preserve">'s </w:t>
      </w:r>
      <w:r w:rsidR="009F6AC3">
        <w:t xml:space="preserve">total </w:t>
      </w:r>
      <w:r w:rsidR="002B142E" w:rsidRPr="00A96757">
        <w:t>revenue requirement</w:t>
      </w:r>
      <w:r w:rsidR="002B142E">
        <w:t>,</w:t>
      </w:r>
      <w:r w:rsidR="002B142E" w:rsidRPr="00A96757">
        <w:t xml:space="preserve"> by building block</w:t>
      </w:r>
      <w:r w:rsidR="002B142E">
        <w:t>,</w:t>
      </w:r>
      <w:r w:rsidR="002B142E" w:rsidRPr="00A96757">
        <w:t xml:space="preserve"> for each year of the 201</w:t>
      </w:r>
      <w:r w:rsidR="00812AB9">
        <w:t>8</w:t>
      </w:r>
      <w:r w:rsidR="002B142E" w:rsidRPr="00A96757">
        <w:t>–2</w:t>
      </w:r>
      <w:r w:rsidR="002B142E">
        <w:t>2</w:t>
      </w:r>
      <w:r w:rsidR="002B142E" w:rsidRPr="00A96757">
        <w:t xml:space="preserve"> access arrangement </w:t>
      </w:r>
      <w:proofErr w:type="gramStart"/>
      <w:r w:rsidR="002B142E" w:rsidRPr="00A96757">
        <w:t>period</w:t>
      </w:r>
      <w:proofErr w:type="gramEnd"/>
      <w:r w:rsidR="002B142E" w:rsidRPr="00A96757">
        <w:t xml:space="preserve">, </w:t>
      </w:r>
      <w:r w:rsidR="002B142E">
        <w:t>the</w:t>
      </w:r>
      <w:r w:rsidR="002B142E" w:rsidRPr="00A96757">
        <w:t xml:space="preserve"> total revenue after equalisation (smoothing) and the X factors for use in the tariff variation mechanism</w:t>
      </w:r>
      <w:r w:rsidR="00B55712">
        <w:t>.</w:t>
      </w:r>
    </w:p>
    <w:p w:rsidR="00B55712" w:rsidRPr="007A5A6C" w:rsidRDefault="00A41818" w:rsidP="00A41818">
      <w:pPr>
        <w:pStyle w:val="Caption"/>
      </w:pPr>
      <w:bookmarkStart w:id="111" w:name="_Ref483479689"/>
      <w:r>
        <w:t xml:space="preserve">Table </w:t>
      </w:r>
      <w:fldSimple w:instr=" STYLEREF 1 \s ">
        <w:r w:rsidR="00971C32">
          <w:rPr>
            <w:noProof/>
          </w:rPr>
          <w:t>4</w:t>
        </w:r>
      </w:fldSimple>
      <w:r w:rsidR="009F6AC3">
        <w:noBreakHyphen/>
      </w:r>
      <w:fldSimple w:instr=" SEQ Table \* ARABIC \s 1 ">
        <w:r w:rsidR="00971C32">
          <w:rPr>
            <w:noProof/>
          </w:rPr>
          <w:t>1</w:t>
        </w:r>
      </w:fldSimple>
      <w:bookmarkEnd w:id="111"/>
      <w:r w:rsidR="00B55712" w:rsidRPr="007A5A6C">
        <w:tab/>
        <w:t xml:space="preserve">AER's draft decision on </w:t>
      </w:r>
      <w:r w:rsidR="00B55712">
        <w:t>AP</w:t>
      </w:r>
      <w:r w:rsidR="00204FB3">
        <w:t>A</w:t>
      </w:r>
      <w:r w:rsidR="00B55712" w:rsidRPr="007A5A6C">
        <w:t>'s smoothed total revenue and X factors for the 201</w:t>
      </w:r>
      <w:r w:rsidR="00380892">
        <w:t>8</w:t>
      </w:r>
      <w:r w:rsidR="00B55712" w:rsidRPr="007A5A6C">
        <w:t>–2</w:t>
      </w:r>
      <w:r w:rsidR="00B55712">
        <w:t>2</w:t>
      </w:r>
      <w:r w:rsidR="00B55712" w:rsidRPr="007A5A6C">
        <w:t xml:space="preserve"> access arrangement period ($</w:t>
      </w:r>
      <w:r w:rsidR="005F152D">
        <w:t xml:space="preserve"> </w:t>
      </w:r>
      <w:r w:rsidR="00B55712" w:rsidRPr="007A5A6C">
        <w:t>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B55712" w:rsidRPr="00F6794A" w:rsidTr="00204FB3">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B55712" w:rsidRPr="00B55712" w:rsidRDefault="00B55712" w:rsidP="00B55712">
            <w:r w:rsidRPr="00F6794A">
              <w:t>Building block</w:t>
            </w:r>
          </w:p>
        </w:tc>
        <w:tc>
          <w:tcPr>
            <w:tcW w:w="982" w:type="dxa"/>
            <w:hideMark/>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t>2018</w:t>
            </w:r>
          </w:p>
        </w:tc>
        <w:tc>
          <w:tcPr>
            <w:tcW w:w="982" w:type="dxa"/>
            <w:hideMark/>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rsidRPr="00F6794A">
              <w:t>2019</w:t>
            </w:r>
          </w:p>
        </w:tc>
        <w:tc>
          <w:tcPr>
            <w:tcW w:w="982" w:type="dxa"/>
            <w:hideMark/>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t>20</w:t>
            </w:r>
            <w:r w:rsidRPr="00F6794A">
              <w:t>20</w:t>
            </w:r>
          </w:p>
        </w:tc>
        <w:tc>
          <w:tcPr>
            <w:tcW w:w="982" w:type="dxa"/>
            <w:hideMark/>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rsidRPr="00F6794A">
              <w:t>2021</w:t>
            </w:r>
          </w:p>
        </w:tc>
        <w:tc>
          <w:tcPr>
            <w:tcW w:w="982" w:type="dxa"/>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rsidRPr="00F6794A">
              <w:t>202</w:t>
            </w:r>
            <w:r w:rsidRPr="00B55712">
              <w:t>2</w:t>
            </w:r>
          </w:p>
        </w:tc>
        <w:tc>
          <w:tcPr>
            <w:tcW w:w="982" w:type="dxa"/>
            <w:hideMark/>
          </w:tcPr>
          <w:p w:rsidR="00B55712" w:rsidRPr="00B55712" w:rsidRDefault="00B55712" w:rsidP="00B55712">
            <w:pPr>
              <w:cnfStyle w:val="100000000000" w:firstRow="1" w:lastRow="0" w:firstColumn="0" w:lastColumn="0" w:oddVBand="0" w:evenVBand="0" w:oddHBand="0" w:evenHBand="0" w:firstRowFirstColumn="0" w:firstRowLastColumn="0" w:lastRowFirstColumn="0" w:lastRowLastColumn="0"/>
            </w:pPr>
            <w:r w:rsidRPr="00F6794A">
              <w:t>Total</w:t>
            </w:r>
          </w:p>
        </w:tc>
      </w:tr>
      <w:tr w:rsidR="00DC33D7" w:rsidRPr="003E1DD7" w:rsidTr="00DC33D7">
        <w:trPr>
          <w:trHeight w:val="291"/>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Return on capital</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56.7</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59.7</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62.4</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66.0</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65.8</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310.5</w:t>
            </w:r>
          </w:p>
        </w:tc>
      </w:tr>
      <w:tr w:rsidR="00DC33D7" w:rsidRPr="003E1DD7" w:rsidTr="00DC33D7">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Regulatory depreciation</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11.6</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14.2</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15.8</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19.5</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17.0</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78.1</w:t>
            </w:r>
          </w:p>
        </w:tc>
      </w:tr>
      <w:tr w:rsidR="00DC33D7" w:rsidRPr="003E1DD7" w:rsidTr="00DC33D7">
        <w:trPr>
          <w:trHeight w:val="302"/>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Operating expenditure</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26.6</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27.3</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28.0</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29.8</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30.8</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142.6</w:t>
            </w:r>
          </w:p>
        </w:tc>
      </w:tr>
      <w:tr w:rsidR="00DC33D7" w:rsidRPr="003E1DD7" w:rsidTr="00DC33D7">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Revenue adjustments</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7.1</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4.7</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3.9</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2.4</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0.0</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18.0</w:t>
            </w:r>
          </w:p>
        </w:tc>
      </w:tr>
      <w:tr w:rsidR="00DC33D7" w:rsidRPr="003E1DD7" w:rsidTr="00DC33D7">
        <w:trPr>
          <w:trHeight w:val="280"/>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Net tax allowance</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1.3</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1.5</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1.9</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1.4</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0.5</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pPr>
            <w:r w:rsidRPr="00DC33D7">
              <w:t>6.5</w:t>
            </w:r>
          </w:p>
        </w:tc>
      </w:tr>
      <w:tr w:rsidR="00DC33D7" w:rsidRPr="00DC33D7" w:rsidTr="00DC33D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pPr>
              <w:rPr>
                <w:rStyle w:val="Strong"/>
              </w:rPr>
            </w:pPr>
            <w:r w:rsidRPr="00DC33D7">
              <w:rPr>
                <w:rStyle w:val="Strong"/>
              </w:rPr>
              <w:t>Building block revenue - unsmoothed</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103.3</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107.4</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112.0</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119.0</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114.0</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rPr>
                <w:rStyle w:val="Strong"/>
              </w:rPr>
            </w:pPr>
            <w:r w:rsidRPr="00DC33D7">
              <w:rPr>
                <w:rStyle w:val="Strong"/>
              </w:rPr>
              <w:t>555.7</w:t>
            </w:r>
          </w:p>
        </w:tc>
      </w:tr>
      <w:tr w:rsidR="00DC33D7" w:rsidRPr="00DC33D7" w:rsidTr="00DC33D7">
        <w:trPr>
          <w:trHeight w:val="270"/>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pPr>
              <w:rPr>
                <w:rStyle w:val="Strong"/>
              </w:rPr>
            </w:pPr>
            <w:r w:rsidRPr="00DC33D7">
              <w:rPr>
                <w:rStyle w:val="Strong"/>
              </w:rPr>
              <w:t>Building block revenue - smoothed</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105.5</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108.1</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111.0</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113.9</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117.0</w:t>
            </w:r>
          </w:p>
        </w:tc>
        <w:tc>
          <w:tcPr>
            <w:tcW w:w="982" w:type="dxa"/>
          </w:tcPr>
          <w:p w:rsidR="00DC33D7" w:rsidRPr="00DC33D7" w:rsidRDefault="00DC33D7" w:rsidP="00DC33D7">
            <w:pPr>
              <w:cnfStyle w:val="000000000000" w:firstRow="0" w:lastRow="0" w:firstColumn="0" w:lastColumn="0" w:oddVBand="0" w:evenVBand="0" w:oddHBand="0" w:evenHBand="0" w:firstRowFirstColumn="0" w:firstRowLastColumn="0" w:lastRowFirstColumn="0" w:lastRowLastColumn="0"/>
              <w:rPr>
                <w:rStyle w:val="Strong"/>
              </w:rPr>
            </w:pPr>
            <w:r w:rsidRPr="00DC33D7">
              <w:rPr>
                <w:rStyle w:val="Strong"/>
              </w:rPr>
              <w:t>555.4</w:t>
            </w:r>
          </w:p>
        </w:tc>
      </w:tr>
      <w:tr w:rsidR="00DC33D7" w:rsidRPr="003E1DD7" w:rsidTr="00DC33D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vAlign w:val="top"/>
          </w:tcPr>
          <w:p w:rsidR="00DC33D7" w:rsidRPr="00DC33D7" w:rsidRDefault="00DC33D7" w:rsidP="00DC33D7">
            <w:r w:rsidRPr="00DC33D7">
              <w:t>X factors</w:t>
            </w:r>
          </w:p>
        </w:tc>
        <w:tc>
          <w:tcPr>
            <w:tcW w:w="982" w:type="dxa"/>
          </w:tcPr>
          <w:p w:rsidR="00DC33D7" w:rsidRPr="00DC33D7" w:rsidRDefault="00B32105" w:rsidP="00DC33D7">
            <w:pPr>
              <w:cnfStyle w:val="000000010000" w:firstRow="0" w:lastRow="0" w:firstColumn="0" w:lastColumn="0" w:oddVBand="0" w:evenVBand="0" w:oddHBand="0" w:evenHBand="1" w:firstRowFirstColumn="0" w:firstRowLastColumn="0" w:lastRowFirstColumn="0" w:lastRowLastColumn="0"/>
            </w:pPr>
            <w:r>
              <w:t>0.25%</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–0.07%</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–0.17%</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–0.16%</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–0.27%</w:t>
            </w:r>
          </w:p>
        </w:tc>
        <w:tc>
          <w:tcPr>
            <w:tcW w:w="982" w:type="dxa"/>
          </w:tcPr>
          <w:p w:rsidR="00DC33D7" w:rsidRPr="00DC33D7" w:rsidRDefault="00DC33D7" w:rsidP="00DC33D7">
            <w:pPr>
              <w:cnfStyle w:val="000000010000" w:firstRow="0" w:lastRow="0" w:firstColumn="0" w:lastColumn="0" w:oddVBand="0" w:evenVBand="0" w:oddHBand="0" w:evenHBand="1" w:firstRowFirstColumn="0" w:firstRowLastColumn="0" w:lastRowFirstColumn="0" w:lastRowLastColumn="0"/>
            </w:pPr>
            <w:r w:rsidRPr="00DC33D7">
              <w:t>n/a</w:t>
            </w:r>
          </w:p>
        </w:tc>
      </w:tr>
    </w:tbl>
    <w:p w:rsidR="00B55712" w:rsidRPr="00CB6E5B" w:rsidRDefault="00B55712" w:rsidP="00B55712">
      <w:pPr>
        <w:pStyle w:val="AERtablesource"/>
      </w:pPr>
      <w:r w:rsidRPr="00B55712">
        <w:rPr>
          <w:rFonts w:eastAsia="Calibri"/>
        </w:rPr>
        <w:t xml:space="preserve">Source: </w:t>
      </w:r>
      <w:r w:rsidRPr="00B55712">
        <w:rPr>
          <w:rFonts w:eastAsia="Calibri"/>
        </w:rPr>
        <w:tab/>
      </w:r>
      <w:r w:rsidRPr="00CB6E5B">
        <w:t>AER analysis</w:t>
      </w:r>
      <w:r>
        <w:t>.</w:t>
      </w:r>
    </w:p>
    <w:p w:rsidR="00B55712" w:rsidRPr="00B5370C" w:rsidRDefault="00B55712" w:rsidP="00B55712">
      <w:pPr>
        <w:pStyle w:val="AERtablesource"/>
      </w:pPr>
      <w:r w:rsidRPr="00CB6E5B">
        <w:t xml:space="preserve">n/a: </w:t>
      </w:r>
      <w:r w:rsidRPr="00CB6E5B">
        <w:tab/>
        <w:t>not applicable.</w:t>
      </w:r>
    </w:p>
    <w:p w:rsidR="00B55712" w:rsidRPr="00EF51EE" w:rsidRDefault="00B55712" w:rsidP="00B55712">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B55712" w:rsidRPr="00122031" w:rsidRDefault="00B55712" w:rsidP="00B55712">
      <w:pPr>
        <w:pStyle w:val="AERtablesource"/>
      </w:pPr>
      <w:r w:rsidRPr="00D2764A">
        <w:tab/>
      </w:r>
      <w:r>
        <w:t>The X factor for 2018 is indicative only</w:t>
      </w:r>
      <w:r w:rsidRPr="00D2764A">
        <w:t>.</w:t>
      </w:r>
      <w:r>
        <w:t xml:space="preserve"> The draft decision establishes 2018 tariffs directly, rather than referencing a change from 2017 tariffs.</w:t>
      </w:r>
    </w:p>
    <w:p w:rsidR="00FF5AD3" w:rsidRDefault="00FF5AD3" w:rsidP="00FF5AD3">
      <w:pPr>
        <w:pStyle w:val="Heading2"/>
      </w:pPr>
      <w:bookmarkStart w:id="112" w:name="_Toc433016426"/>
      <w:bookmarkStart w:id="113" w:name="_Toc436046178"/>
      <w:bookmarkStart w:id="114" w:name="_Toc444855386"/>
      <w:bookmarkStart w:id="115" w:name="_Toc487018273"/>
      <w:r>
        <w:t>Total revenue</w:t>
      </w:r>
      <w:bookmarkEnd w:id="112"/>
      <w:bookmarkEnd w:id="113"/>
      <w:bookmarkEnd w:id="114"/>
      <w:bookmarkEnd w:id="115"/>
    </w:p>
    <w:p w:rsidR="00FF5AD3" w:rsidRDefault="00FF5AD3" w:rsidP="00FF5AD3">
      <w:pPr>
        <w:numPr>
          <w:ilvl w:val="0"/>
          <w:numId w:val="24"/>
        </w:numPr>
      </w:pPr>
      <w:r>
        <w:fldChar w:fldCharType="begin"/>
      </w:r>
      <w:r>
        <w:instrText xml:space="preserve"> REF _Ref401651183 \h </w:instrText>
      </w:r>
      <w:r>
        <w:fldChar w:fldCharType="separate"/>
      </w:r>
      <w:r w:rsidR="00971C32">
        <w:t xml:space="preserve">Figure </w:t>
      </w:r>
      <w:r w:rsidR="00971C32">
        <w:rPr>
          <w:noProof/>
        </w:rPr>
        <w:t>4</w:t>
      </w:r>
      <w:r w:rsidR="00971C32">
        <w:noBreakHyphen/>
      </w:r>
      <w:r w:rsidR="00971C32">
        <w:rPr>
          <w:noProof/>
        </w:rPr>
        <w:t>2</w:t>
      </w:r>
      <w:r>
        <w:fldChar w:fldCharType="end"/>
      </w:r>
      <w:r>
        <w:t xml:space="preserve"> shows the effect of our draft decision adjustments on AP</w:t>
      </w:r>
      <w:r w:rsidR="00204FB3">
        <w:t>A</w:t>
      </w:r>
      <w:r w:rsidRPr="007126FA">
        <w:t>'s proposed building blocks</w:t>
      </w:r>
      <w:r w:rsidR="0041767B">
        <w:t xml:space="preserve"> for the 2018</w:t>
      </w:r>
      <w:r>
        <w:t xml:space="preserve">–22 access arrangement </w:t>
      </w:r>
      <w:proofErr w:type="gramStart"/>
      <w:r>
        <w:t>period</w:t>
      </w:r>
      <w:proofErr w:type="gramEnd"/>
      <w:r w:rsidRPr="007126FA">
        <w:t xml:space="preserve">. It shows </w:t>
      </w:r>
      <w:r>
        <w:t>the reductions to</w:t>
      </w:r>
      <w:r w:rsidRPr="007126FA">
        <w:t xml:space="preserve"> </w:t>
      </w:r>
      <w:r>
        <w:t>AP</w:t>
      </w:r>
      <w:r w:rsidR="00204FB3">
        <w:t>A</w:t>
      </w:r>
      <w:r w:rsidRPr="007126FA">
        <w:t>'s propos</w:t>
      </w:r>
      <w:r>
        <w:t>ed</w:t>
      </w:r>
      <w:r w:rsidRPr="007126FA">
        <w:t xml:space="preserve"> </w:t>
      </w:r>
      <w:r>
        <w:rPr>
          <w:rStyle w:val="AERbody"/>
        </w:rPr>
        <w:t>return on capital, depreciation</w:t>
      </w:r>
      <w:r w:rsidRPr="007126FA">
        <w:t xml:space="preserve"> </w:t>
      </w:r>
      <w:r>
        <w:t xml:space="preserve">and tax </w:t>
      </w:r>
      <w:r w:rsidRPr="007126FA">
        <w:t>building block</w:t>
      </w:r>
      <w:r>
        <w:t>s</w:t>
      </w:r>
      <w:r w:rsidRPr="007126FA">
        <w:t>.</w:t>
      </w:r>
    </w:p>
    <w:p w:rsidR="00FF5AD3" w:rsidRDefault="00FF5AD3" w:rsidP="00FF5AD3">
      <w:pPr>
        <w:pStyle w:val="Caption"/>
      </w:pPr>
      <w:bookmarkStart w:id="116" w:name="_Ref401651183"/>
      <w:r>
        <w:t xml:space="preserve">Figure </w:t>
      </w:r>
      <w:fldSimple w:instr=" STYLEREF 1 \s ">
        <w:r w:rsidR="00971C32">
          <w:rPr>
            <w:noProof/>
          </w:rPr>
          <w:t>4</w:t>
        </w:r>
      </w:fldSimple>
      <w:r w:rsidR="00624EE7">
        <w:noBreakHyphen/>
      </w:r>
      <w:fldSimple w:instr=" SEQ Figure \* ARABIC \s 1 ">
        <w:r w:rsidR="00971C32">
          <w:rPr>
            <w:noProof/>
          </w:rPr>
          <w:t>2</w:t>
        </w:r>
      </w:fldSimple>
      <w:bookmarkEnd w:id="116"/>
      <w:r>
        <w:tab/>
      </w:r>
      <w:r w:rsidRPr="00CB6E5B">
        <w:t xml:space="preserve">AER’s draft decision and </w:t>
      </w:r>
      <w:r w:rsidR="003F22EA">
        <w:t>APA'</w:t>
      </w:r>
      <w:r w:rsidR="00204FB3">
        <w:t>s</w:t>
      </w:r>
      <w:r w:rsidRPr="00CB6E5B">
        <w:t xml:space="preserve"> proposed </w:t>
      </w:r>
      <w:r>
        <w:t xml:space="preserve">building block </w:t>
      </w:r>
      <w:r w:rsidRPr="00CB6E5B">
        <w:t>revenue (unsmoothed) ($</w:t>
      </w:r>
      <w:r w:rsidR="005F152D">
        <w:t xml:space="preserve"> </w:t>
      </w:r>
      <w:r w:rsidRPr="00CB6E5B">
        <w:t>million, nominal)</w:t>
      </w:r>
    </w:p>
    <w:p w:rsidR="00C14A69" w:rsidRPr="00C14A69" w:rsidRDefault="001C755F" w:rsidP="00783257">
      <w:r>
        <w:rPr>
          <w:noProof/>
          <w:lang w:eastAsia="en-AU"/>
        </w:rPr>
        <w:drawing>
          <wp:inline distT="0" distB="0" distL="0" distR="0" wp14:anchorId="1AE03332" wp14:editId="2618C228">
            <wp:extent cx="5524500" cy="3342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5090" cy="3343031"/>
                    </a:xfrm>
                    <a:prstGeom prst="rect">
                      <a:avLst/>
                    </a:prstGeom>
                    <a:noFill/>
                  </pic:spPr>
                </pic:pic>
              </a:graphicData>
            </a:graphic>
          </wp:inline>
        </w:drawing>
      </w:r>
    </w:p>
    <w:p w:rsidR="00FF5AD3" w:rsidRPr="00E65F11" w:rsidRDefault="00FF5AD3" w:rsidP="00FF5AD3">
      <w:pPr>
        <w:pStyle w:val="AERtablesource"/>
      </w:pPr>
      <w:r w:rsidRPr="00FF5AD3">
        <w:rPr>
          <w:rFonts w:eastAsia="Calibri"/>
        </w:rPr>
        <w:t xml:space="preserve">Source: </w:t>
      </w:r>
      <w:r w:rsidRPr="00FF5AD3">
        <w:rPr>
          <w:rFonts w:eastAsia="Calibri"/>
        </w:rPr>
        <w:tab/>
      </w:r>
      <w:r w:rsidRPr="00CB6E5B">
        <w:t>AER analysis</w:t>
      </w:r>
      <w:r>
        <w:t>.</w:t>
      </w:r>
      <w:r w:rsidRPr="00CB6E5B">
        <w:t xml:space="preserve">  </w:t>
      </w:r>
    </w:p>
    <w:p w:rsidR="00C64762" w:rsidRDefault="00C64762" w:rsidP="00C64762">
      <w:pPr>
        <w:pStyle w:val="Heading2"/>
      </w:pPr>
      <w:bookmarkStart w:id="117" w:name="_Toc404599676"/>
      <w:bookmarkStart w:id="118" w:name="_Toc433016427"/>
      <w:bookmarkStart w:id="119" w:name="_Toc436046179"/>
      <w:bookmarkStart w:id="120" w:name="_Toc444855387"/>
      <w:bookmarkStart w:id="121" w:name="_Ref478504950"/>
      <w:bookmarkStart w:id="122" w:name="_Ref478504958"/>
      <w:bookmarkStart w:id="123" w:name="_Ref485039419"/>
      <w:bookmarkStart w:id="124" w:name="_Ref485039430"/>
      <w:bookmarkStart w:id="125" w:name="_Toc487018274"/>
      <w:r>
        <w:t>Revenue smoothing and t</w:t>
      </w:r>
      <w:r w:rsidRPr="00C64762">
        <w:t>ariffs</w:t>
      </w:r>
      <w:bookmarkEnd w:id="117"/>
      <w:bookmarkEnd w:id="118"/>
      <w:bookmarkEnd w:id="119"/>
      <w:bookmarkEnd w:id="120"/>
      <w:bookmarkEnd w:id="121"/>
      <w:bookmarkEnd w:id="122"/>
      <w:bookmarkEnd w:id="123"/>
      <w:bookmarkEnd w:id="124"/>
      <w:bookmarkEnd w:id="125"/>
    </w:p>
    <w:p w:rsidR="00F01D90" w:rsidRDefault="00C64762" w:rsidP="00F01D90">
      <w:r w:rsidRPr="00EF51EE">
        <w:rPr>
          <w:rStyle w:val="AERbody"/>
        </w:rPr>
        <w:t>After</w:t>
      </w:r>
      <w:r>
        <w:rPr>
          <w:rStyle w:val="AERbody"/>
        </w:rPr>
        <w:t xml:space="preserve"> our assessment of </w:t>
      </w:r>
      <w:r w:rsidR="003F22EA">
        <w:rPr>
          <w:rStyle w:val="AERbody"/>
        </w:rPr>
        <w:t>APA'</w:t>
      </w:r>
      <w:r w:rsidR="00204FB3">
        <w:rPr>
          <w:rStyle w:val="AERbody"/>
        </w:rPr>
        <w:t>s</w:t>
      </w:r>
      <w:r w:rsidRPr="00EF51EE">
        <w:rPr>
          <w:rStyle w:val="AERbody"/>
        </w:rPr>
        <w:t xml:space="preserve"> total </w:t>
      </w:r>
      <w:r>
        <w:rPr>
          <w:rStyle w:val="AERbody"/>
        </w:rPr>
        <w:t>building block revenue (</w:t>
      </w:r>
      <w:r w:rsidRPr="00EF51EE">
        <w:rPr>
          <w:rStyle w:val="AERbody"/>
        </w:rPr>
        <w:t>unsmoothed revenue</w:t>
      </w:r>
      <w:r>
        <w:rPr>
          <w:rStyle w:val="AERbody"/>
        </w:rPr>
        <w:t>)</w:t>
      </w:r>
      <w:r w:rsidRPr="00EF51EE">
        <w:rPr>
          <w:rStyle w:val="AERbody"/>
        </w:rPr>
        <w:t>, we determine</w:t>
      </w:r>
      <w:r w:rsidR="005F152D">
        <w:rPr>
          <w:rStyle w:val="AERbody"/>
        </w:rPr>
        <w:t>d</w:t>
      </w:r>
      <w:r w:rsidRPr="00EF51EE">
        <w:rPr>
          <w:rStyle w:val="AERbody"/>
        </w:rPr>
        <w:t xml:space="preserve"> the smoothed revenue profile across the </w:t>
      </w:r>
      <w:r w:rsidR="00F872DC">
        <w:rPr>
          <w:rStyle w:val="AERbody"/>
        </w:rPr>
        <w:t>2018</w:t>
      </w:r>
      <w:r>
        <w:rPr>
          <w:rStyle w:val="AERbody"/>
        </w:rPr>
        <w:t>–22</w:t>
      </w:r>
      <w:r w:rsidRPr="00EF51EE">
        <w:rPr>
          <w:rStyle w:val="AERbody"/>
        </w:rPr>
        <w:t xml:space="preserve"> access arrangement period.</w:t>
      </w:r>
      <w:r w:rsidR="009A7663" w:rsidRPr="009A7663">
        <w:rPr>
          <w:rStyle w:val="FootnoteReference"/>
        </w:rPr>
        <w:t xml:space="preserve"> </w:t>
      </w:r>
      <w:r w:rsidR="009A7663" w:rsidRPr="009A7663">
        <w:rPr>
          <w:rStyle w:val="FootnoteReference"/>
        </w:rPr>
        <w:footnoteReference w:id="22"/>
      </w:r>
      <w:r w:rsidRPr="00EF51EE">
        <w:rPr>
          <w:rStyle w:val="AERbody"/>
        </w:rPr>
        <w:t xml:space="preserve"> </w:t>
      </w:r>
      <w:r w:rsidR="00F01D90">
        <w:t>APA has operated under largely the same reference tariff control mechanism since the first access arrangement. It is a price control formula that adjusts for the effect of differences between actual and forecast volumes over the access arrangement, to ensure that the net present value of building block revenues equals the revenues forecast to be achieved in the current regulatory year and future regulatory years of the 2018–22 access arrangement. The control mechanism takes the form of an average revenue yield</w:t>
      </w:r>
      <w:r w:rsidR="003B4E8C">
        <w:t>.</w:t>
      </w:r>
      <w:r w:rsidR="003B4E8C">
        <w:rPr>
          <w:rStyle w:val="FootnoteReference"/>
        </w:rPr>
        <w:footnoteReference w:id="23"/>
      </w:r>
      <w:r w:rsidR="003B4E8C">
        <w:t xml:space="preserve"> </w:t>
      </w:r>
    </w:p>
    <w:p w:rsidR="009A7663" w:rsidRPr="009A7663" w:rsidRDefault="00C64762" w:rsidP="009A7663">
      <w:r>
        <w:rPr>
          <w:rStyle w:val="AERbody"/>
        </w:rPr>
        <w:t xml:space="preserve">This weighted average tariff change is labelled the 'X factor'. </w:t>
      </w:r>
      <w:r w:rsidR="009A7663" w:rsidRPr="009A7663">
        <w:t xml:space="preserve">The X factors that we determine must ensure that the sum of the smoothed revenues across the period equals the unsmoothed building block revenue in net present value (NPV) terms. </w:t>
      </w:r>
    </w:p>
    <w:p w:rsidR="009A7663" w:rsidRPr="009A7663" w:rsidRDefault="009A7663" w:rsidP="009A7663">
      <w:r w:rsidRPr="009A7663">
        <w:t>The X factors represent the weighted average real change in tariffs. As part of the annual reference tariff variation process, we combine the X factors we have determined in our decision with actual inflation to create reference tariffs for the coming year. This means that the prices paid by consumers, and therefore the revenues received by the networks, change with actual inflation, but (ignoring other non-inflation factors) are constant in real terms.</w:t>
      </w:r>
    </w:p>
    <w:p w:rsidR="00C64762" w:rsidRPr="00EF51EE" w:rsidRDefault="00C64762" w:rsidP="00C64762">
      <w:pPr>
        <w:numPr>
          <w:ilvl w:val="0"/>
          <w:numId w:val="24"/>
        </w:numPr>
        <w:rPr>
          <w:rStyle w:val="AERbody"/>
        </w:rPr>
      </w:pPr>
      <w:r>
        <w:rPr>
          <w:rStyle w:val="AERbody"/>
        </w:rPr>
        <w:t>The mechanics of the tariff variation mechanism are addressed in attachment 11.</w:t>
      </w:r>
    </w:p>
    <w:p w:rsidR="00C64762" w:rsidRDefault="00C64762" w:rsidP="00C64762">
      <w:pPr>
        <w:numPr>
          <w:ilvl w:val="0"/>
          <w:numId w:val="24"/>
        </w:numPr>
        <w:rPr>
          <w:rStyle w:val="AERbody"/>
        </w:rPr>
      </w:pPr>
      <w:r>
        <w:fldChar w:fldCharType="begin"/>
      </w:r>
      <w:r>
        <w:rPr>
          <w:rStyle w:val="AERbody"/>
        </w:rPr>
        <w:instrText xml:space="preserve"> REF _Ref433798190 \h </w:instrText>
      </w:r>
      <w:r>
        <w:fldChar w:fldCharType="separate"/>
      </w:r>
      <w:r w:rsidR="00971C32">
        <w:t xml:space="preserve">Table </w:t>
      </w:r>
      <w:r w:rsidR="00971C32">
        <w:rPr>
          <w:noProof/>
        </w:rPr>
        <w:t>4</w:t>
      </w:r>
      <w:r w:rsidR="00971C32">
        <w:noBreakHyphen/>
      </w:r>
      <w:r w:rsidR="00971C32">
        <w:rPr>
          <w:noProof/>
        </w:rPr>
        <w:t>2</w:t>
      </w:r>
      <w:r>
        <w:fldChar w:fldCharType="end"/>
      </w:r>
      <w:r>
        <w:t xml:space="preserve"> </w:t>
      </w:r>
      <w:r w:rsidRPr="00EF51EE">
        <w:rPr>
          <w:rStyle w:val="AERbody"/>
        </w:rPr>
        <w:t xml:space="preserve">presents our draft decision X factors, and compares them to </w:t>
      </w:r>
      <w:r>
        <w:rPr>
          <w:rStyle w:val="AERbody"/>
        </w:rPr>
        <w:t xml:space="preserve">the </w:t>
      </w:r>
      <w:r w:rsidR="003F22EA">
        <w:rPr>
          <w:rStyle w:val="AERbody"/>
        </w:rPr>
        <w:t xml:space="preserve">APA </w:t>
      </w:r>
      <w:r w:rsidRPr="00EF51EE">
        <w:rPr>
          <w:rStyle w:val="AERbody"/>
        </w:rPr>
        <w:t>proposal</w:t>
      </w:r>
      <w:r>
        <w:rPr>
          <w:rStyle w:val="AERbody"/>
        </w:rPr>
        <w:t>.</w:t>
      </w:r>
    </w:p>
    <w:p w:rsidR="00C64762" w:rsidRPr="00EF51EE" w:rsidRDefault="00C64762" w:rsidP="00783257">
      <w:pPr>
        <w:pStyle w:val="Caption"/>
      </w:pPr>
      <w:bookmarkStart w:id="126" w:name="_Ref433798190"/>
      <w:r>
        <w:t xml:space="preserve">Table </w:t>
      </w:r>
      <w:fldSimple w:instr=" STYLEREF 1 \s ">
        <w:r w:rsidR="00971C32">
          <w:rPr>
            <w:noProof/>
          </w:rPr>
          <w:t>4</w:t>
        </w:r>
      </w:fldSimple>
      <w:r w:rsidR="009F6AC3">
        <w:noBreakHyphen/>
      </w:r>
      <w:fldSimple w:instr=" SEQ Table \* ARABIC \s 1 ">
        <w:r w:rsidR="00971C32">
          <w:rPr>
            <w:noProof/>
          </w:rPr>
          <w:t>2</w:t>
        </w:r>
      </w:fldSimple>
      <w:bookmarkEnd w:id="126"/>
      <w:r w:rsidRPr="00EF51EE">
        <w:tab/>
      </w:r>
      <w:r>
        <w:t xml:space="preserve">Weighted average tariff change across the access arrangement period (X factors) — comparison of </w:t>
      </w:r>
      <w:r w:rsidR="00204FB3">
        <w:t>APA</w:t>
      </w:r>
      <w:r>
        <w:t>'s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C64762" w:rsidRPr="00502306" w:rsidTr="00204FB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C64762" w:rsidRPr="00502306" w:rsidRDefault="00C64762" w:rsidP="00783257">
            <w:pPr>
              <w:keepNext/>
            </w:pPr>
          </w:p>
        </w:tc>
        <w:tc>
          <w:tcPr>
            <w:tcW w:w="1213" w:type="dxa"/>
            <w:hideMark/>
          </w:tcPr>
          <w:p w:rsidR="00C64762" w:rsidRPr="00C64762" w:rsidRDefault="00C64762" w:rsidP="00783257">
            <w:pPr>
              <w:keepNext/>
              <w:cnfStyle w:val="100000000000" w:firstRow="1" w:lastRow="0" w:firstColumn="0" w:lastColumn="0" w:oddVBand="0" w:evenVBand="0" w:oddHBand="0" w:evenHBand="0" w:firstRowFirstColumn="0" w:firstRowLastColumn="0" w:lastRowFirstColumn="0" w:lastRowLastColumn="0"/>
            </w:pPr>
            <w:r w:rsidRPr="00502306">
              <w:t>2018</w:t>
            </w:r>
          </w:p>
        </w:tc>
        <w:tc>
          <w:tcPr>
            <w:tcW w:w="1212" w:type="dxa"/>
            <w:hideMark/>
          </w:tcPr>
          <w:p w:rsidR="00C64762" w:rsidRPr="00C64762" w:rsidRDefault="00C64762" w:rsidP="00783257">
            <w:pPr>
              <w:keepNext/>
              <w:cnfStyle w:val="100000000000" w:firstRow="1" w:lastRow="0" w:firstColumn="0" w:lastColumn="0" w:oddVBand="0" w:evenVBand="0" w:oddHBand="0" w:evenHBand="0" w:firstRowFirstColumn="0" w:firstRowLastColumn="0" w:lastRowFirstColumn="0" w:lastRowLastColumn="0"/>
            </w:pPr>
            <w:r w:rsidRPr="00502306">
              <w:t>2019</w:t>
            </w:r>
          </w:p>
        </w:tc>
        <w:tc>
          <w:tcPr>
            <w:tcW w:w="1213" w:type="dxa"/>
            <w:hideMark/>
          </w:tcPr>
          <w:p w:rsidR="00C64762" w:rsidRPr="00C64762" w:rsidRDefault="00C64762" w:rsidP="00783257">
            <w:pPr>
              <w:keepNext/>
              <w:cnfStyle w:val="100000000000" w:firstRow="1" w:lastRow="0" w:firstColumn="0" w:lastColumn="0" w:oddVBand="0" w:evenVBand="0" w:oddHBand="0" w:evenHBand="0" w:firstRowFirstColumn="0" w:firstRowLastColumn="0" w:lastRowFirstColumn="0" w:lastRowLastColumn="0"/>
            </w:pPr>
            <w:r w:rsidRPr="00502306">
              <w:t>2020</w:t>
            </w:r>
          </w:p>
        </w:tc>
        <w:tc>
          <w:tcPr>
            <w:tcW w:w="1213" w:type="dxa"/>
            <w:hideMark/>
          </w:tcPr>
          <w:p w:rsidR="00C64762" w:rsidRPr="00C64762" w:rsidRDefault="00C64762" w:rsidP="00783257">
            <w:pPr>
              <w:keepNext/>
              <w:cnfStyle w:val="100000000000" w:firstRow="1" w:lastRow="0" w:firstColumn="0" w:lastColumn="0" w:oddVBand="0" w:evenVBand="0" w:oddHBand="0" w:evenHBand="0" w:firstRowFirstColumn="0" w:firstRowLastColumn="0" w:lastRowFirstColumn="0" w:lastRowLastColumn="0"/>
            </w:pPr>
            <w:r w:rsidRPr="00502306">
              <w:t>2021</w:t>
            </w:r>
          </w:p>
        </w:tc>
        <w:tc>
          <w:tcPr>
            <w:tcW w:w="1213" w:type="dxa"/>
          </w:tcPr>
          <w:p w:rsidR="00C64762" w:rsidRPr="00C64762" w:rsidRDefault="00C64762" w:rsidP="00783257">
            <w:pPr>
              <w:keepNext/>
              <w:cnfStyle w:val="100000000000" w:firstRow="1" w:lastRow="0" w:firstColumn="0" w:lastColumn="0" w:oddVBand="0" w:evenVBand="0" w:oddHBand="0" w:evenHBand="0" w:firstRowFirstColumn="0" w:firstRowLastColumn="0" w:lastRowFirstColumn="0" w:lastRowLastColumn="0"/>
            </w:pPr>
            <w:r w:rsidRPr="00502306">
              <w:t>202</w:t>
            </w:r>
            <w:r w:rsidRPr="00C64762">
              <w:t>2</w:t>
            </w:r>
          </w:p>
        </w:tc>
      </w:tr>
      <w:tr w:rsidR="00DC459A" w:rsidRPr="003E1DD7" w:rsidTr="00DC33D7">
        <w:trPr>
          <w:trHeight w:val="231"/>
        </w:trPr>
        <w:tc>
          <w:tcPr>
            <w:cnfStyle w:val="001000000000" w:firstRow="0" w:lastRow="0" w:firstColumn="1" w:lastColumn="0" w:oddVBand="0" w:evenVBand="0" w:oddHBand="0" w:evenHBand="0" w:firstRowFirstColumn="0" w:firstRowLastColumn="0" w:lastRowFirstColumn="0" w:lastRowLastColumn="0"/>
            <w:tcW w:w="2663" w:type="dxa"/>
            <w:vAlign w:val="top"/>
          </w:tcPr>
          <w:p w:rsidR="00DC459A" w:rsidRPr="00DC459A" w:rsidRDefault="00DC459A" w:rsidP="00DC33D7">
            <w:pPr>
              <w:rPr>
                <w:rStyle w:val="Strong"/>
              </w:rPr>
            </w:pPr>
            <w:r w:rsidRPr="00DC459A">
              <w:rPr>
                <w:rStyle w:val="Strong"/>
              </w:rPr>
              <w:t>AER draft decision</w:t>
            </w:r>
          </w:p>
        </w:tc>
        <w:tc>
          <w:tcPr>
            <w:tcW w:w="1213" w:type="dxa"/>
            <w:vAlign w:val="top"/>
          </w:tcPr>
          <w:p w:rsidR="00DC459A" w:rsidRPr="00DC459A" w:rsidRDefault="00DC459A" w:rsidP="00DC33D7">
            <w:pPr>
              <w:cnfStyle w:val="000000000000" w:firstRow="0" w:lastRow="0" w:firstColumn="0" w:lastColumn="0" w:oddVBand="0" w:evenVBand="0" w:oddHBand="0" w:evenHBand="0" w:firstRowFirstColumn="0" w:firstRowLastColumn="0" w:lastRowFirstColumn="0" w:lastRowLastColumn="0"/>
            </w:pPr>
          </w:p>
        </w:tc>
        <w:tc>
          <w:tcPr>
            <w:tcW w:w="1212" w:type="dxa"/>
            <w:vAlign w:val="top"/>
          </w:tcPr>
          <w:p w:rsidR="00DC459A" w:rsidRPr="00DC459A" w:rsidRDefault="00DC459A" w:rsidP="00DC33D7">
            <w:pPr>
              <w:cnfStyle w:val="000000000000" w:firstRow="0" w:lastRow="0" w:firstColumn="0" w:lastColumn="0" w:oddVBand="0" w:evenVBand="0" w:oddHBand="0" w:evenHBand="0" w:firstRowFirstColumn="0" w:firstRowLastColumn="0" w:lastRowFirstColumn="0" w:lastRowLastColumn="0"/>
            </w:pPr>
          </w:p>
        </w:tc>
        <w:tc>
          <w:tcPr>
            <w:tcW w:w="1213" w:type="dxa"/>
            <w:vAlign w:val="top"/>
          </w:tcPr>
          <w:p w:rsidR="00DC459A" w:rsidRPr="00DC459A" w:rsidRDefault="00DC459A" w:rsidP="00DC33D7">
            <w:pPr>
              <w:cnfStyle w:val="000000000000" w:firstRow="0" w:lastRow="0" w:firstColumn="0" w:lastColumn="0" w:oddVBand="0" w:evenVBand="0" w:oddHBand="0" w:evenHBand="0" w:firstRowFirstColumn="0" w:firstRowLastColumn="0" w:lastRowFirstColumn="0" w:lastRowLastColumn="0"/>
            </w:pPr>
          </w:p>
        </w:tc>
        <w:tc>
          <w:tcPr>
            <w:tcW w:w="1213" w:type="dxa"/>
            <w:vAlign w:val="top"/>
          </w:tcPr>
          <w:p w:rsidR="00DC459A" w:rsidRPr="00DC459A" w:rsidRDefault="00DC459A" w:rsidP="00DC33D7">
            <w:pPr>
              <w:cnfStyle w:val="000000000000" w:firstRow="0" w:lastRow="0" w:firstColumn="0" w:lastColumn="0" w:oddVBand="0" w:evenVBand="0" w:oddHBand="0" w:evenHBand="0" w:firstRowFirstColumn="0" w:firstRowLastColumn="0" w:lastRowFirstColumn="0" w:lastRowLastColumn="0"/>
            </w:pPr>
          </w:p>
        </w:tc>
        <w:tc>
          <w:tcPr>
            <w:tcW w:w="1213" w:type="dxa"/>
            <w:vAlign w:val="top"/>
          </w:tcPr>
          <w:p w:rsidR="00DC459A" w:rsidRPr="00DC459A" w:rsidRDefault="00DC459A" w:rsidP="00DC33D7">
            <w:pPr>
              <w:cnfStyle w:val="000000000000" w:firstRow="0" w:lastRow="0" w:firstColumn="0" w:lastColumn="0" w:oddVBand="0" w:evenVBand="0" w:oddHBand="0" w:evenHBand="0" w:firstRowFirstColumn="0" w:firstRowLastColumn="0" w:lastRowFirstColumn="0" w:lastRowLastColumn="0"/>
            </w:pPr>
          </w:p>
        </w:tc>
      </w:tr>
      <w:tr w:rsidR="007A2835" w:rsidRPr="003E1DD7" w:rsidTr="00AE4C11">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vAlign w:val="top"/>
          </w:tcPr>
          <w:p w:rsidR="007A2835" w:rsidRPr="007A2835" w:rsidRDefault="007A2835" w:rsidP="007A2835">
            <w:r w:rsidRPr="007A2835">
              <w:t>X factor</w:t>
            </w:r>
            <w:r w:rsidRPr="007A2835">
              <w:rPr>
                <w:rStyle w:val="AERsuperscript"/>
              </w:rPr>
              <w:t>a</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0.25%</w:t>
            </w:r>
          </w:p>
        </w:tc>
        <w:tc>
          <w:tcPr>
            <w:tcW w:w="1212" w:type="dxa"/>
          </w:tcPr>
          <w:p w:rsidR="007A2835" w:rsidRPr="007A2835" w:rsidRDefault="00B32105" w:rsidP="007A2835">
            <w:pPr>
              <w:cnfStyle w:val="000000010000" w:firstRow="0" w:lastRow="0" w:firstColumn="0" w:lastColumn="0" w:oddVBand="0" w:evenVBand="0" w:oddHBand="0" w:evenHBand="1" w:firstRowFirstColumn="0" w:firstRowLastColumn="0" w:lastRowFirstColumn="0" w:lastRowLastColumn="0"/>
            </w:pPr>
            <w:r>
              <w:t>–</w:t>
            </w:r>
            <w:r w:rsidR="007A2835" w:rsidRPr="007A2835">
              <w:t>0.07%</w:t>
            </w:r>
          </w:p>
        </w:tc>
        <w:tc>
          <w:tcPr>
            <w:tcW w:w="1213" w:type="dxa"/>
          </w:tcPr>
          <w:p w:rsidR="007A2835" w:rsidRPr="007A2835" w:rsidRDefault="00B32105" w:rsidP="007A2835">
            <w:pPr>
              <w:cnfStyle w:val="000000010000" w:firstRow="0" w:lastRow="0" w:firstColumn="0" w:lastColumn="0" w:oddVBand="0" w:evenVBand="0" w:oddHBand="0" w:evenHBand="1" w:firstRowFirstColumn="0" w:firstRowLastColumn="0" w:lastRowFirstColumn="0" w:lastRowLastColumn="0"/>
            </w:pPr>
            <w:r>
              <w:t>–</w:t>
            </w:r>
            <w:r w:rsidR="007A2835" w:rsidRPr="007A2835">
              <w:t>0.17%</w:t>
            </w:r>
          </w:p>
        </w:tc>
        <w:tc>
          <w:tcPr>
            <w:tcW w:w="1213" w:type="dxa"/>
          </w:tcPr>
          <w:p w:rsidR="007A2835" w:rsidRPr="007A2835" w:rsidRDefault="00B32105" w:rsidP="007A2835">
            <w:pPr>
              <w:cnfStyle w:val="000000010000" w:firstRow="0" w:lastRow="0" w:firstColumn="0" w:lastColumn="0" w:oddVBand="0" w:evenVBand="0" w:oddHBand="0" w:evenHBand="1" w:firstRowFirstColumn="0" w:firstRowLastColumn="0" w:lastRowFirstColumn="0" w:lastRowLastColumn="0"/>
            </w:pPr>
            <w:r>
              <w:t>–</w:t>
            </w:r>
            <w:r w:rsidR="007A2835" w:rsidRPr="007A2835">
              <w:t>0.16%</w:t>
            </w:r>
          </w:p>
        </w:tc>
        <w:tc>
          <w:tcPr>
            <w:tcW w:w="1213" w:type="dxa"/>
          </w:tcPr>
          <w:p w:rsidR="007A2835" w:rsidRPr="007A2835" w:rsidRDefault="00B32105" w:rsidP="007A2835">
            <w:pPr>
              <w:cnfStyle w:val="000000010000" w:firstRow="0" w:lastRow="0" w:firstColumn="0" w:lastColumn="0" w:oddVBand="0" w:evenVBand="0" w:oddHBand="0" w:evenHBand="1" w:firstRowFirstColumn="0" w:firstRowLastColumn="0" w:lastRowFirstColumn="0" w:lastRowLastColumn="0"/>
            </w:pPr>
            <w:r>
              <w:t>–</w:t>
            </w:r>
            <w:r w:rsidR="007A2835" w:rsidRPr="007A2835">
              <w:t>0.27%</w:t>
            </w:r>
          </w:p>
        </w:tc>
      </w:tr>
      <w:tr w:rsidR="007A2835" w:rsidRPr="003E1DD7" w:rsidTr="00AE4C11">
        <w:trPr>
          <w:trHeight w:val="262"/>
        </w:trPr>
        <w:tc>
          <w:tcPr>
            <w:cnfStyle w:val="001000000000" w:firstRow="0" w:lastRow="0" w:firstColumn="1" w:lastColumn="0" w:oddVBand="0" w:evenVBand="0" w:oddHBand="0" w:evenHBand="0" w:firstRowFirstColumn="0" w:firstRowLastColumn="0" w:lastRowFirstColumn="0" w:lastRowLastColumn="0"/>
            <w:tcW w:w="2663" w:type="dxa"/>
            <w:vAlign w:val="top"/>
          </w:tcPr>
          <w:p w:rsidR="007A2835" w:rsidRPr="007A2835" w:rsidRDefault="007A2835" w:rsidP="007A2835">
            <w:r w:rsidRPr="007A2835">
              <w:t>Nominal price change</w:t>
            </w:r>
          </w:p>
        </w:tc>
        <w:tc>
          <w:tcPr>
            <w:tcW w:w="1213" w:type="dxa"/>
          </w:tcPr>
          <w:p w:rsidR="007A2835" w:rsidRPr="007A2835" w:rsidRDefault="007A2835" w:rsidP="007A2835">
            <w:pPr>
              <w:cnfStyle w:val="000000000000" w:firstRow="0" w:lastRow="0" w:firstColumn="0" w:lastColumn="0" w:oddVBand="0" w:evenVBand="0" w:oddHBand="0" w:evenHBand="0" w:firstRowFirstColumn="0" w:firstRowLastColumn="0" w:lastRowFirstColumn="0" w:lastRowLastColumn="0"/>
            </w:pPr>
            <w:r w:rsidRPr="007A2835">
              <w:t>2.19%</w:t>
            </w:r>
          </w:p>
        </w:tc>
        <w:tc>
          <w:tcPr>
            <w:tcW w:w="1212" w:type="dxa"/>
          </w:tcPr>
          <w:p w:rsidR="007A2835" w:rsidRPr="007A2835" w:rsidRDefault="007A2835" w:rsidP="007A2835">
            <w:pPr>
              <w:cnfStyle w:val="000000000000" w:firstRow="0" w:lastRow="0" w:firstColumn="0" w:lastColumn="0" w:oddVBand="0" w:evenVBand="0" w:oddHBand="0" w:evenHBand="0" w:firstRowFirstColumn="0" w:firstRowLastColumn="0" w:lastRowFirstColumn="0" w:lastRowLastColumn="0"/>
            </w:pPr>
            <w:r w:rsidRPr="007A2835">
              <w:t>2.53%</w:t>
            </w:r>
          </w:p>
        </w:tc>
        <w:tc>
          <w:tcPr>
            <w:tcW w:w="1213" w:type="dxa"/>
          </w:tcPr>
          <w:p w:rsidR="007A2835" w:rsidRPr="007A2835" w:rsidRDefault="007A2835" w:rsidP="007A2835">
            <w:pPr>
              <w:cnfStyle w:val="000000000000" w:firstRow="0" w:lastRow="0" w:firstColumn="0" w:lastColumn="0" w:oddVBand="0" w:evenVBand="0" w:oddHBand="0" w:evenHBand="0" w:firstRowFirstColumn="0" w:firstRowLastColumn="0" w:lastRowFirstColumn="0" w:lastRowLastColumn="0"/>
            </w:pPr>
            <w:r w:rsidRPr="007A2835">
              <w:t>2.63%</w:t>
            </w:r>
          </w:p>
        </w:tc>
        <w:tc>
          <w:tcPr>
            <w:tcW w:w="1213" w:type="dxa"/>
          </w:tcPr>
          <w:p w:rsidR="007A2835" w:rsidRPr="007A2835" w:rsidRDefault="007A2835" w:rsidP="007A2835">
            <w:pPr>
              <w:cnfStyle w:val="000000000000" w:firstRow="0" w:lastRow="0" w:firstColumn="0" w:lastColumn="0" w:oddVBand="0" w:evenVBand="0" w:oddHBand="0" w:evenHBand="0" w:firstRowFirstColumn="0" w:firstRowLastColumn="0" w:lastRowFirstColumn="0" w:lastRowLastColumn="0"/>
            </w:pPr>
            <w:r w:rsidRPr="007A2835">
              <w:t>2.61%</w:t>
            </w:r>
          </w:p>
        </w:tc>
        <w:tc>
          <w:tcPr>
            <w:tcW w:w="1213" w:type="dxa"/>
          </w:tcPr>
          <w:p w:rsidR="007A2835" w:rsidRPr="007A2835" w:rsidRDefault="007A2835" w:rsidP="007A2835">
            <w:pPr>
              <w:cnfStyle w:val="000000000000" w:firstRow="0" w:lastRow="0" w:firstColumn="0" w:lastColumn="0" w:oddVBand="0" w:evenVBand="0" w:oddHBand="0" w:evenHBand="0" w:firstRowFirstColumn="0" w:firstRowLastColumn="0" w:lastRowFirstColumn="0" w:lastRowLastColumn="0"/>
            </w:pPr>
            <w:r w:rsidRPr="007A2835">
              <w:t>2.73%</w:t>
            </w:r>
          </w:p>
        </w:tc>
      </w:tr>
      <w:tr w:rsidR="007A2835" w:rsidRPr="003E1DD7" w:rsidTr="00AE4C11">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vAlign w:val="top"/>
          </w:tcPr>
          <w:p w:rsidR="007A2835" w:rsidRPr="007A2835" w:rsidRDefault="007A2835" w:rsidP="007A2835">
            <w:pPr>
              <w:rPr>
                <w:rStyle w:val="Strong"/>
              </w:rPr>
            </w:pPr>
            <w:r w:rsidRPr="007A2835">
              <w:rPr>
                <w:rStyle w:val="Strong"/>
              </w:rPr>
              <w:t>APA's proposal</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 </w:t>
            </w:r>
          </w:p>
        </w:tc>
        <w:tc>
          <w:tcPr>
            <w:tcW w:w="1212"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 </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 </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 </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 </w:t>
            </w:r>
          </w:p>
        </w:tc>
      </w:tr>
      <w:tr w:rsidR="007A2835" w:rsidRPr="003E1DD7" w:rsidTr="00AE4C11">
        <w:trPr>
          <w:trHeight w:val="83"/>
        </w:trPr>
        <w:tc>
          <w:tcPr>
            <w:cnfStyle w:val="001000000000" w:firstRow="0" w:lastRow="0" w:firstColumn="1" w:lastColumn="0" w:oddVBand="0" w:evenVBand="0" w:oddHBand="0" w:evenHBand="0" w:firstRowFirstColumn="0" w:firstRowLastColumn="0" w:lastRowFirstColumn="0" w:lastRowLastColumn="0"/>
            <w:tcW w:w="2663" w:type="dxa"/>
            <w:vAlign w:val="top"/>
          </w:tcPr>
          <w:p w:rsidR="007A2835" w:rsidRPr="007A2835" w:rsidRDefault="007A2835" w:rsidP="007A2835">
            <w:r w:rsidRPr="007A2835">
              <w:t>X factor</w:t>
            </w:r>
            <w:r w:rsidRPr="007A2835">
              <w:rPr>
                <w:rStyle w:val="AERsuperscript"/>
              </w:rPr>
              <w:t>a</w:t>
            </w:r>
          </w:p>
        </w:tc>
        <w:tc>
          <w:tcPr>
            <w:tcW w:w="1213" w:type="dxa"/>
          </w:tcPr>
          <w:p w:rsidR="007A2835" w:rsidRPr="007A2835" w:rsidRDefault="00B32105" w:rsidP="007A2835">
            <w:pPr>
              <w:cnfStyle w:val="000000000000" w:firstRow="0" w:lastRow="0" w:firstColumn="0" w:lastColumn="0" w:oddVBand="0" w:evenVBand="0" w:oddHBand="0" w:evenHBand="0" w:firstRowFirstColumn="0" w:firstRowLastColumn="0" w:lastRowFirstColumn="0" w:lastRowLastColumn="0"/>
            </w:pPr>
            <w:r>
              <w:t>–</w:t>
            </w:r>
            <w:r w:rsidR="007A2835" w:rsidRPr="007A2835">
              <w:t>23.79%</w:t>
            </w:r>
          </w:p>
        </w:tc>
        <w:tc>
          <w:tcPr>
            <w:tcW w:w="1212" w:type="dxa"/>
          </w:tcPr>
          <w:p w:rsidR="007A2835" w:rsidRPr="007A2835" w:rsidRDefault="00B32105" w:rsidP="007A2835">
            <w:pPr>
              <w:cnfStyle w:val="000000000000" w:firstRow="0" w:lastRow="0" w:firstColumn="0" w:lastColumn="0" w:oddVBand="0" w:evenVBand="0" w:oddHBand="0" w:evenHBand="0" w:firstRowFirstColumn="0" w:firstRowLastColumn="0" w:lastRowFirstColumn="0" w:lastRowLastColumn="0"/>
            </w:pPr>
            <w:r>
              <w:t>–</w:t>
            </w:r>
            <w:r w:rsidR="007A2835" w:rsidRPr="007A2835">
              <w:t>2.48%</w:t>
            </w:r>
          </w:p>
        </w:tc>
        <w:tc>
          <w:tcPr>
            <w:tcW w:w="1213" w:type="dxa"/>
          </w:tcPr>
          <w:p w:rsidR="007A2835" w:rsidRPr="007A2835" w:rsidRDefault="00B32105" w:rsidP="007A2835">
            <w:pPr>
              <w:cnfStyle w:val="000000000000" w:firstRow="0" w:lastRow="0" w:firstColumn="0" w:lastColumn="0" w:oddVBand="0" w:evenVBand="0" w:oddHBand="0" w:evenHBand="0" w:firstRowFirstColumn="0" w:firstRowLastColumn="0" w:lastRowFirstColumn="0" w:lastRowLastColumn="0"/>
            </w:pPr>
            <w:r>
              <w:t>–</w:t>
            </w:r>
            <w:r w:rsidR="007A2835" w:rsidRPr="007A2835">
              <w:t>3.44%</w:t>
            </w:r>
          </w:p>
        </w:tc>
        <w:tc>
          <w:tcPr>
            <w:tcW w:w="1213" w:type="dxa"/>
          </w:tcPr>
          <w:p w:rsidR="007A2835" w:rsidRPr="007A2835" w:rsidRDefault="00B32105" w:rsidP="007A2835">
            <w:pPr>
              <w:cnfStyle w:val="000000000000" w:firstRow="0" w:lastRow="0" w:firstColumn="0" w:lastColumn="0" w:oddVBand="0" w:evenVBand="0" w:oddHBand="0" w:evenHBand="0" w:firstRowFirstColumn="0" w:firstRowLastColumn="0" w:lastRowFirstColumn="0" w:lastRowLastColumn="0"/>
            </w:pPr>
            <w:r>
              <w:t>–</w:t>
            </w:r>
            <w:r w:rsidR="007A2835" w:rsidRPr="007A2835">
              <w:t>3.50%</w:t>
            </w:r>
          </w:p>
        </w:tc>
        <w:tc>
          <w:tcPr>
            <w:tcW w:w="1213" w:type="dxa"/>
          </w:tcPr>
          <w:p w:rsidR="007A2835" w:rsidRPr="007A2835" w:rsidRDefault="00B32105" w:rsidP="007A2835">
            <w:pPr>
              <w:cnfStyle w:val="000000000000" w:firstRow="0" w:lastRow="0" w:firstColumn="0" w:lastColumn="0" w:oddVBand="0" w:evenVBand="0" w:oddHBand="0" w:evenHBand="0" w:firstRowFirstColumn="0" w:firstRowLastColumn="0" w:lastRowFirstColumn="0" w:lastRowLastColumn="0"/>
            </w:pPr>
            <w:r>
              <w:t>–</w:t>
            </w:r>
            <w:r w:rsidR="007A2835" w:rsidRPr="007A2835">
              <w:t>3.63%</w:t>
            </w:r>
          </w:p>
        </w:tc>
      </w:tr>
      <w:tr w:rsidR="007A2835" w:rsidRPr="003E1DD7" w:rsidTr="00AE4C11">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vAlign w:val="top"/>
          </w:tcPr>
          <w:p w:rsidR="007A2835" w:rsidRPr="007A2835" w:rsidRDefault="007A2835" w:rsidP="007A2835">
            <w:r w:rsidRPr="007A2835">
              <w:t>Nominal price change</w:t>
            </w:r>
            <w:r w:rsidRPr="007A2835">
              <w:rPr>
                <w:rStyle w:val="AERsuperscript"/>
              </w:rPr>
              <w:t>b</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26.83%</w:t>
            </w:r>
          </w:p>
        </w:tc>
        <w:tc>
          <w:tcPr>
            <w:tcW w:w="1212"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4.99%</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5.97%</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6.04%</w:t>
            </w:r>
          </w:p>
        </w:tc>
        <w:tc>
          <w:tcPr>
            <w:tcW w:w="1213" w:type="dxa"/>
          </w:tcPr>
          <w:p w:rsidR="007A2835" w:rsidRPr="007A2835" w:rsidRDefault="007A2835" w:rsidP="007A2835">
            <w:pPr>
              <w:cnfStyle w:val="000000010000" w:firstRow="0" w:lastRow="0" w:firstColumn="0" w:lastColumn="0" w:oddVBand="0" w:evenVBand="0" w:oddHBand="0" w:evenHBand="1" w:firstRowFirstColumn="0" w:firstRowLastColumn="0" w:lastRowFirstColumn="0" w:lastRowLastColumn="0"/>
            </w:pPr>
            <w:r w:rsidRPr="007A2835">
              <w:t>6.17%</w:t>
            </w:r>
          </w:p>
        </w:tc>
      </w:tr>
    </w:tbl>
    <w:p w:rsidR="00C64762" w:rsidRPr="00CC0330" w:rsidRDefault="00C64762" w:rsidP="00783257">
      <w:pPr>
        <w:pStyle w:val="AERtablesource"/>
        <w:keepNext/>
        <w:rPr>
          <w:i/>
        </w:rPr>
      </w:pPr>
      <w:r w:rsidRPr="00C64762">
        <w:rPr>
          <w:rFonts w:eastAsia="Calibri"/>
        </w:rPr>
        <w:t xml:space="preserve">Source: </w:t>
      </w:r>
      <w:r w:rsidRPr="00C64762">
        <w:rPr>
          <w:rFonts w:eastAsia="Calibri"/>
        </w:rPr>
        <w:tab/>
        <w:t>AP</w:t>
      </w:r>
      <w:r w:rsidR="00461C19">
        <w:rPr>
          <w:rFonts w:eastAsia="Calibri"/>
        </w:rPr>
        <w:t>A</w:t>
      </w:r>
      <w:r w:rsidRPr="00C64762">
        <w:rPr>
          <w:rFonts w:eastAsia="Calibri"/>
        </w:rPr>
        <w:t xml:space="preserve">, </w:t>
      </w:r>
      <w:r w:rsidRPr="00C64762">
        <w:rPr>
          <w:rStyle w:val="AERtextitalic"/>
          <w:rFonts w:eastAsia="Calibri"/>
        </w:rPr>
        <w:t xml:space="preserve">Proposed </w:t>
      </w:r>
      <w:r w:rsidR="00CC0330" w:rsidRPr="00CC0330">
        <w:rPr>
          <w:rStyle w:val="AERtextitalic"/>
        </w:rPr>
        <w:t>su</w:t>
      </w:r>
      <w:r w:rsidR="00CC0330">
        <w:rPr>
          <w:rStyle w:val="AERtextitalic"/>
        </w:rPr>
        <w:t xml:space="preserve">pplementary capital expenditure </w:t>
      </w:r>
      <w:r w:rsidR="00CC0330" w:rsidRPr="00CC0330">
        <w:rPr>
          <w:rStyle w:val="AERtextitalic"/>
        </w:rPr>
        <w:t>submission</w:t>
      </w:r>
      <w:r w:rsidR="00CC0330">
        <w:rPr>
          <w:rStyle w:val="AERtextitalic"/>
        </w:rPr>
        <w:t xml:space="preserve"> PTRM</w:t>
      </w:r>
      <w:r w:rsidRPr="00C64762">
        <w:rPr>
          <w:rFonts w:eastAsia="Calibri"/>
        </w:rPr>
        <w:t xml:space="preserve">, </w:t>
      </w:r>
      <w:r w:rsidR="00CC0330">
        <w:rPr>
          <w:rFonts w:eastAsia="Calibri"/>
        </w:rPr>
        <w:t>May</w:t>
      </w:r>
      <w:r w:rsidRPr="00C64762">
        <w:rPr>
          <w:rFonts w:eastAsia="Calibri"/>
        </w:rPr>
        <w:t xml:space="preserve"> 201</w:t>
      </w:r>
      <w:r w:rsidR="00461C19">
        <w:rPr>
          <w:rFonts w:eastAsia="Calibri"/>
        </w:rPr>
        <w:t>7</w:t>
      </w:r>
      <w:r w:rsidRPr="00C64762">
        <w:rPr>
          <w:rFonts w:eastAsia="Calibri"/>
        </w:rPr>
        <w:t xml:space="preserve">; </w:t>
      </w:r>
      <w:r w:rsidRPr="00E65F11">
        <w:t>AER analysis.</w:t>
      </w:r>
    </w:p>
    <w:p w:rsidR="00C64762" w:rsidRDefault="00C64762" w:rsidP="00783257">
      <w:pPr>
        <w:pStyle w:val="AERtablesource"/>
        <w:keepNext/>
      </w:pPr>
      <w:r>
        <w:t>(</w:t>
      </w:r>
      <w:r w:rsidRPr="00E65F11">
        <w:t>a)</w:t>
      </w:r>
      <w:r w:rsidRPr="00E65F11">
        <w:tab/>
      </w:r>
      <w:r w:rsidR="00E42CA6" w:rsidRPr="00E42CA6">
        <w:t>Under the CPI–X form of control, a positive X factor is a decrease in price (and therefore in revenue). For example, an X factor of –3.5 per cent in 2021 proposed by APA means a real price increase of 3.5 per cent that year. After consideration of inflation (assumed at 2.45 per cent) this becomes a nominal price increase of 6</w:t>
      </w:r>
      <w:r w:rsidR="007A2835">
        <w:t>.04</w:t>
      </w:r>
      <w:r w:rsidR="00E42CA6" w:rsidRPr="00E42CA6">
        <w:t xml:space="preserve"> per cent.</w:t>
      </w:r>
      <w:r w:rsidR="00E42CA6" w:rsidRPr="00E65F11" w:rsidDel="00E42CA6">
        <w:t xml:space="preserve"> </w:t>
      </w:r>
    </w:p>
    <w:p w:rsidR="00971C32" w:rsidRDefault="00C64762" w:rsidP="00971C32">
      <w:pPr>
        <w:pStyle w:val="AERtablesource"/>
      </w:pPr>
      <w:r>
        <w:t>(b)</w:t>
      </w:r>
      <w:r>
        <w:tab/>
        <w:t xml:space="preserve">For comparison purposes the nominal price changes are derived from the real price changes for </w:t>
      </w:r>
      <w:r w:rsidR="003F22EA">
        <w:t xml:space="preserve">APA </w:t>
      </w:r>
      <w:r>
        <w:t>adjusted by AER's draft decision forecast inflation of 2.45 per cent.</w:t>
      </w:r>
      <w:r>
        <w:fldChar w:fldCharType="begin"/>
      </w:r>
      <w:r>
        <w:rPr>
          <w:rStyle w:val="AERbody"/>
        </w:rPr>
        <w:instrText xml:space="preserve"> REF _Ref433876113 \h </w:instrText>
      </w:r>
      <w:r w:rsidR="00CA6876">
        <w:instrText xml:space="preserve"> \* MERGEFORMAT </w:instrText>
      </w:r>
      <w:r>
        <w:fldChar w:fldCharType="separate"/>
      </w:r>
    </w:p>
    <w:p w:rsidR="00C64762" w:rsidRDefault="00971C32" w:rsidP="00C64762">
      <w:pPr>
        <w:numPr>
          <w:ilvl w:val="0"/>
          <w:numId w:val="24"/>
        </w:numPr>
        <w:rPr>
          <w:rStyle w:val="AERbody"/>
        </w:rPr>
      </w:pPr>
      <w:r>
        <w:t xml:space="preserve">Figure </w:t>
      </w:r>
      <w:r>
        <w:rPr>
          <w:noProof/>
        </w:rPr>
        <w:t>4</w:t>
      </w:r>
      <w:r>
        <w:rPr>
          <w:noProof/>
        </w:rPr>
        <w:noBreakHyphen/>
        <w:t>3</w:t>
      </w:r>
      <w:r w:rsidR="00C64762">
        <w:fldChar w:fldCharType="end"/>
      </w:r>
      <w:r w:rsidR="00C64762">
        <w:t xml:space="preserve"> </w:t>
      </w:r>
      <w:r w:rsidR="00C64762">
        <w:rPr>
          <w:rStyle w:val="AERbody"/>
        </w:rPr>
        <w:t xml:space="preserve">shows indicative tariff paths for </w:t>
      </w:r>
      <w:r w:rsidR="003F22EA">
        <w:rPr>
          <w:rStyle w:val="AERbody"/>
        </w:rPr>
        <w:t>APA'</w:t>
      </w:r>
      <w:r w:rsidR="00204FB3">
        <w:rPr>
          <w:rStyle w:val="AERbody"/>
        </w:rPr>
        <w:t>s</w:t>
      </w:r>
      <w:r w:rsidR="00C64762">
        <w:rPr>
          <w:rStyle w:val="AERbody"/>
        </w:rPr>
        <w:t xml:space="preserve"> reference services across the </w:t>
      </w:r>
      <w:r w:rsidR="00A376B9">
        <w:rPr>
          <w:rStyle w:val="AERbody"/>
        </w:rPr>
        <w:br/>
      </w:r>
      <w:r w:rsidR="00C64762">
        <w:rPr>
          <w:rStyle w:val="AERbody"/>
        </w:rPr>
        <w:t>201</w:t>
      </w:r>
      <w:r w:rsidR="004923C5">
        <w:rPr>
          <w:rStyle w:val="AERbody"/>
        </w:rPr>
        <w:t>8</w:t>
      </w:r>
      <w:r w:rsidR="00C64762">
        <w:rPr>
          <w:rStyle w:val="AERbody"/>
        </w:rPr>
        <w:t xml:space="preserve">–22 </w:t>
      </w:r>
      <w:proofErr w:type="gramStart"/>
      <w:r w:rsidR="00C64762">
        <w:rPr>
          <w:rStyle w:val="AERbody"/>
        </w:rPr>
        <w:t>period</w:t>
      </w:r>
      <w:proofErr w:type="gramEnd"/>
      <w:r w:rsidR="00C64762">
        <w:rPr>
          <w:rStyle w:val="AERbody"/>
        </w:rPr>
        <w:t xml:space="preserve">. It compares </w:t>
      </w:r>
      <w:r w:rsidR="003F22EA">
        <w:rPr>
          <w:rStyle w:val="AERbody"/>
        </w:rPr>
        <w:t>APA</w:t>
      </w:r>
      <w:r w:rsidR="00204FB3">
        <w:rPr>
          <w:rStyle w:val="AERbody"/>
        </w:rPr>
        <w:t>'s</w:t>
      </w:r>
      <w:r w:rsidR="003F22EA">
        <w:rPr>
          <w:rStyle w:val="AERbody"/>
        </w:rPr>
        <w:t xml:space="preserve"> </w:t>
      </w:r>
      <w:r w:rsidR="00C64762">
        <w:rPr>
          <w:rStyle w:val="AERbody"/>
        </w:rPr>
        <w:t>proposed tariff pat</w:t>
      </w:r>
      <w:r w:rsidR="0041767B">
        <w:rPr>
          <w:rStyle w:val="AERbody"/>
        </w:rPr>
        <w:t>h with that approved in the 2013</w:t>
      </w:r>
      <w:r w:rsidR="00C64762">
        <w:rPr>
          <w:rStyle w:val="AERbody"/>
        </w:rPr>
        <w:t>–17 access arrangement, and with this draft decision.</w:t>
      </w:r>
      <w:r w:rsidR="00C64762">
        <w:rPr>
          <w:rStyle w:val="FootnoteReference"/>
        </w:rPr>
        <w:footnoteReference w:id="24"/>
      </w:r>
      <w:r w:rsidR="00C64762">
        <w:rPr>
          <w:rStyle w:val="AERbody"/>
        </w:rPr>
        <w:t xml:space="preserve"> This provides a broad overall indication of the average movement across this period.</w:t>
      </w:r>
    </w:p>
    <w:p w:rsidR="00F11B85" w:rsidRDefault="00F11B85" w:rsidP="00C64762">
      <w:pPr>
        <w:pStyle w:val="Caption"/>
      </w:pPr>
      <w:bookmarkStart w:id="127" w:name="_Ref433876088"/>
      <w:bookmarkStart w:id="128" w:name="_Ref433876113"/>
    </w:p>
    <w:p w:rsidR="00C64762" w:rsidRPr="0080422F" w:rsidRDefault="00C64762" w:rsidP="00504A14">
      <w:pPr>
        <w:pStyle w:val="Caption"/>
      </w:pPr>
      <w:r>
        <w:t>Figure</w:t>
      </w:r>
      <w:bookmarkEnd w:id="127"/>
      <w:r>
        <w:t xml:space="preserve"> </w:t>
      </w:r>
      <w:fldSimple w:instr=" STYLEREF 1 \s ">
        <w:r w:rsidR="00971C32">
          <w:rPr>
            <w:noProof/>
          </w:rPr>
          <w:t>4</w:t>
        </w:r>
      </w:fldSimple>
      <w:r w:rsidR="00624EE7">
        <w:noBreakHyphen/>
      </w:r>
      <w:fldSimple w:instr=" SEQ Figure \* ARABIC \s 1 ">
        <w:r w:rsidR="00971C32">
          <w:rPr>
            <w:noProof/>
          </w:rPr>
          <w:t>3</w:t>
        </w:r>
      </w:fldSimple>
      <w:bookmarkEnd w:id="128"/>
      <w:r w:rsidRPr="0080422F">
        <w:tab/>
      </w:r>
      <w:r w:rsidRPr="00504A14">
        <w:rPr>
          <w:rStyle w:val="AERtexthighlight"/>
          <w:shd w:val="clear" w:color="auto" w:fill="auto"/>
        </w:rPr>
        <w:t xml:space="preserve">Indicative reference tariff paths for </w:t>
      </w:r>
      <w:r w:rsidR="003F22EA" w:rsidRPr="00504A14">
        <w:rPr>
          <w:rStyle w:val="AERtexthighlight"/>
          <w:shd w:val="clear" w:color="auto" w:fill="auto"/>
        </w:rPr>
        <w:t>APA'</w:t>
      </w:r>
      <w:r w:rsidR="00204FB3" w:rsidRPr="00504A14">
        <w:rPr>
          <w:rStyle w:val="AERtexthighlight"/>
          <w:shd w:val="clear" w:color="auto" w:fill="auto"/>
        </w:rPr>
        <w:t>s</w:t>
      </w:r>
      <w:r w:rsidRPr="00504A14">
        <w:rPr>
          <w:rStyle w:val="AERtexthighlight"/>
          <w:shd w:val="clear" w:color="auto" w:fill="auto"/>
        </w:rPr>
        <w:t xml:space="preserve"> reference services from 20</w:t>
      </w:r>
      <w:r w:rsidR="0041767B" w:rsidRPr="00504A14">
        <w:rPr>
          <w:rStyle w:val="AERtexthighlight"/>
          <w:shd w:val="clear" w:color="auto" w:fill="auto"/>
        </w:rPr>
        <w:t>13</w:t>
      </w:r>
      <w:r w:rsidRPr="00504A14">
        <w:rPr>
          <w:rStyle w:val="AERtexthighlight"/>
          <w:shd w:val="clear" w:color="auto" w:fill="auto"/>
        </w:rPr>
        <w:t xml:space="preserve"> to 2022 (nominal index)</w:t>
      </w:r>
    </w:p>
    <w:p w:rsidR="00C64762" w:rsidRPr="00C64762" w:rsidRDefault="007A2835" w:rsidP="00C64762">
      <w:pPr>
        <w:pStyle w:val="AERtablesource"/>
        <w:rPr>
          <w:rFonts w:eastAsia="Calibri"/>
        </w:rPr>
      </w:pPr>
      <w:r>
        <w:rPr>
          <w:rFonts w:eastAsia="Calibri"/>
          <w:noProof/>
          <w:lang w:eastAsia="en-AU"/>
        </w:rPr>
        <w:drawing>
          <wp:inline distT="0" distB="0" distL="0" distR="0" wp14:anchorId="1EDD4CD4" wp14:editId="2AD921C1">
            <wp:extent cx="5695950" cy="348113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9968" cy="3483587"/>
                    </a:xfrm>
                    <a:prstGeom prst="rect">
                      <a:avLst/>
                    </a:prstGeom>
                    <a:noFill/>
                  </pic:spPr>
                </pic:pic>
              </a:graphicData>
            </a:graphic>
          </wp:inline>
        </w:drawing>
      </w:r>
      <w:r w:rsidR="004923C5" w:rsidRPr="004923C5">
        <w:rPr>
          <w:rFonts w:eastAsia="Calibri"/>
        </w:rPr>
        <w:t xml:space="preserve"> </w:t>
      </w:r>
    </w:p>
    <w:p w:rsidR="00C64762" w:rsidRPr="003751C2" w:rsidRDefault="00C64762" w:rsidP="003751C2">
      <w:pPr>
        <w:pStyle w:val="AERtablesource"/>
        <w:rPr>
          <w:rFonts w:eastAsia="Calibri"/>
        </w:rPr>
      </w:pPr>
      <w:r w:rsidRPr="003751C2">
        <w:rPr>
          <w:rFonts w:eastAsia="Calibri"/>
        </w:rPr>
        <w:t xml:space="preserve">Source: </w:t>
      </w:r>
      <w:r w:rsidRPr="003751C2">
        <w:rPr>
          <w:rFonts w:eastAsia="Calibri"/>
        </w:rPr>
        <w:tab/>
      </w:r>
      <w:r w:rsidRPr="003751C2">
        <w:t xml:space="preserve">AER analysis; </w:t>
      </w:r>
      <w:hyperlink r:id="rId21" w:history="1">
        <w:r w:rsidR="00A37EC9">
          <w:rPr>
            <w:rStyle w:val="Hyperlink"/>
            <w:rFonts w:eastAsiaTheme="majorEastAsia"/>
            <w:color w:val="auto"/>
            <w:sz w:val="16"/>
            <w:u w:val="none"/>
          </w:rPr>
          <w:t>APA</w:t>
        </w:r>
        <w:r w:rsidR="003751C2" w:rsidRPr="00F8785E">
          <w:rPr>
            <w:rStyle w:val="Hyperlink"/>
            <w:rFonts w:eastAsiaTheme="majorEastAsia"/>
            <w:color w:val="auto"/>
            <w:sz w:val="16"/>
            <w:u w:val="none"/>
          </w:rPr>
          <w:t xml:space="preserve">, </w:t>
        </w:r>
        <w:r w:rsidR="003751C2" w:rsidRPr="00F8785E">
          <w:rPr>
            <w:rStyle w:val="AERtextitalic"/>
            <w:rFonts w:eastAsiaTheme="majorEastAsia"/>
          </w:rPr>
          <w:t>B4 - APA Post Tax Revenue Model revised with WORM (includes 3 March 2017 updates for inflation in response to AER information request IR003)</w:t>
        </w:r>
        <w:r w:rsidR="003751C2" w:rsidRPr="00B55F50">
          <w:rPr>
            <w:rStyle w:val="Hyperlink"/>
            <w:rFonts w:eastAsiaTheme="majorEastAsia"/>
            <w:color w:val="auto"/>
            <w:sz w:val="16"/>
            <w:u w:val="none"/>
          </w:rPr>
          <w:t>, 16 May 2017</w:t>
        </w:r>
      </w:hyperlink>
      <w:r w:rsidRPr="003751C2">
        <w:t xml:space="preserve">. </w:t>
      </w:r>
      <w:r w:rsidR="00CA6876">
        <w:t>APA</w:t>
      </w:r>
      <w:r w:rsidR="00CA6876" w:rsidRPr="00CA6876">
        <w:rPr>
          <w:rStyle w:val="AERtextitalic"/>
        </w:rPr>
        <w:t>, B5 - Tariff Model revised with WORM, Confidential</w:t>
      </w:r>
      <w:r w:rsidR="00CA6876">
        <w:t>, 16 May 2017.</w:t>
      </w:r>
    </w:p>
    <w:p w:rsidR="00C64762" w:rsidRDefault="003F22EA" w:rsidP="00C64762">
      <w:pPr>
        <w:numPr>
          <w:ilvl w:val="0"/>
          <w:numId w:val="24"/>
        </w:numPr>
        <w:rPr>
          <w:rStyle w:val="AERbody"/>
        </w:rPr>
      </w:pPr>
      <w:r>
        <w:rPr>
          <w:rStyle w:val="AERbody"/>
        </w:rPr>
        <w:t>APA'</w:t>
      </w:r>
      <w:r w:rsidR="00204FB3">
        <w:rPr>
          <w:rStyle w:val="AERbody"/>
        </w:rPr>
        <w:t>s</w:t>
      </w:r>
      <w:r w:rsidR="00C64762" w:rsidRPr="00A60C12">
        <w:rPr>
          <w:rStyle w:val="AERbody"/>
        </w:rPr>
        <w:t xml:space="preserve"> proposed </w:t>
      </w:r>
      <w:r w:rsidR="00C64762">
        <w:rPr>
          <w:rStyle w:val="AERbody"/>
        </w:rPr>
        <w:t xml:space="preserve">tariff </w:t>
      </w:r>
      <w:r w:rsidR="00C64762" w:rsidRPr="00A60C12">
        <w:rPr>
          <w:rStyle w:val="AERbody"/>
        </w:rPr>
        <w:t>path</w:t>
      </w:r>
      <w:r w:rsidR="0041767B">
        <w:rPr>
          <w:rStyle w:val="AERbody"/>
        </w:rPr>
        <w:t xml:space="preserve"> </w:t>
      </w:r>
      <w:r w:rsidR="004923C5">
        <w:rPr>
          <w:rStyle w:val="AERbody"/>
        </w:rPr>
        <w:t xml:space="preserve">suggested </w:t>
      </w:r>
      <w:r w:rsidR="0041767B">
        <w:rPr>
          <w:rStyle w:val="AERbody"/>
        </w:rPr>
        <w:t>an in</w:t>
      </w:r>
      <w:r w:rsidR="00C64762" w:rsidRPr="00A60C12">
        <w:rPr>
          <w:rStyle w:val="AERbody"/>
        </w:rPr>
        <w:t>crease</w:t>
      </w:r>
      <w:r w:rsidR="00C64762">
        <w:rPr>
          <w:rStyle w:val="AERbody"/>
        </w:rPr>
        <w:t xml:space="preserve"> of </w:t>
      </w:r>
      <w:r w:rsidR="00CA6876">
        <w:rPr>
          <w:rStyle w:val="AERbody"/>
        </w:rPr>
        <w:t>27.2</w:t>
      </w:r>
      <w:r w:rsidR="00C64762">
        <w:rPr>
          <w:rStyle w:val="AERbody"/>
        </w:rPr>
        <w:t xml:space="preserve"> per cent (in nominal terms) in 2018, followed by tariffs that increase at an average o</w:t>
      </w:r>
      <w:r w:rsidR="00CC0330">
        <w:rPr>
          <w:rStyle w:val="AERbody"/>
        </w:rPr>
        <w:t xml:space="preserve">f </w:t>
      </w:r>
      <w:r w:rsidR="003C0A74">
        <w:rPr>
          <w:rStyle w:val="AERbody"/>
        </w:rPr>
        <w:t>7</w:t>
      </w:r>
      <w:r w:rsidR="00BA345C">
        <w:rPr>
          <w:rStyle w:val="AERbody"/>
        </w:rPr>
        <w:t>.</w:t>
      </w:r>
      <w:r w:rsidR="003C0A74">
        <w:rPr>
          <w:rStyle w:val="AERbody"/>
        </w:rPr>
        <w:t>2</w:t>
      </w:r>
      <w:r w:rsidR="00C64762">
        <w:rPr>
          <w:rStyle w:val="AERbody"/>
        </w:rPr>
        <w:t xml:space="preserve"> per cent per year for the remaining years of the 201</w:t>
      </w:r>
      <w:r w:rsidR="00461C19">
        <w:rPr>
          <w:rStyle w:val="AERbody"/>
        </w:rPr>
        <w:t>8</w:t>
      </w:r>
      <w:r w:rsidR="00C64762">
        <w:rPr>
          <w:rStyle w:val="AERbody"/>
        </w:rPr>
        <w:t xml:space="preserve">–22 access arrangement </w:t>
      </w:r>
      <w:proofErr w:type="gramStart"/>
      <w:r w:rsidR="00C64762">
        <w:rPr>
          <w:rStyle w:val="AERbody"/>
        </w:rPr>
        <w:t>period</w:t>
      </w:r>
      <w:proofErr w:type="gramEnd"/>
      <w:r w:rsidR="00C64762" w:rsidRPr="00A60C12">
        <w:rPr>
          <w:rStyle w:val="AERbody"/>
        </w:rPr>
        <w:t>.</w:t>
      </w:r>
      <w:r w:rsidR="00C64762">
        <w:rPr>
          <w:rStyle w:val="AERbody"/>
        </w:rPr>
        <w:t xml:space="preserve"> </w:t>
      </w:r>
      <w:r w:rsidR="00C64762" w:rsidRPr="00A60C12">
        <w:rPr>
          <w:rStyle w:val="AERbody"/>
        </w:rPr>
        <w:t>Our draft decision pro</w:t>
      </w:r>
      <w:r w:rsidR="00C64762">
        <w:rPr>
          <w:rStyle w:val="AERbody"/>
        </w:rPr>
        <w:t>vides for</w:t>
      </w:r>
      <w:r w:rsidR="00C64762" w:rsidRPr="00A60C12">
        <w:rPr>
          <w:rStyle w:val="AERbody"/>
        </w:rPr>
        <w:t xml:space="preserve"> lo</w:t>
      </w:r>
      <w:r>
        <w:rPr>
          <w:rStyle w:val="AERbody"/>
        </w:rPr>
        <w:t>wer total smoothed revenue than</w:t>
      </w:r>
      <w:r w:rsidR="00461C19">
        <w:rPr>
          <w:rStyle w:val="AERbody"/>
        </w:rPr>
        <w:t xml:space="preserve"> </w:t>
      </w:r>
      <w:r>
        <w:rPr>
          <w:rStyle w:val="AERbody"/>
        </w:rPr>
        <w:t>APA'</w:t>
      </w:r>
      <w:r w:rsidR="00204FB3">
        <w:rPr>
          <w:rStyle w:val="AERbody"/>
        </w:rPr>
        <w:t>s</w:t>
      </w:r>
      <w:r>
        <w:rPr>
          <w:rStyle w:val="AERbody"/>
        </w:rPr>
        <w:t xml:space="preserve"> </w:t>
      </w:r>
      <w:r w:rsidR="00C64762" w:rsidRPr="00A60C12">
        <w:rPr>
          <w:rStyle w:val="AERbody"/>
        </w:rPr>
        <w:t xml:space="preserve">proposal, in line with our reductions to total unsmoothed revenue. Our draft decision </w:t>
      </w:r>
      <w:r w:rsidR="00C64762">
        <w:rPr>
          <w:rStyle w:val="AERbody"/>
        </w:rPr>
        <w:t xml:space="preserve">tariff </w:t>
      </w:r>
      <w:r w:rsidR="00C64762" w:rsidRPr="00A60C12">
        <w:rPr>
          <w:rStyle w:val="AERbody"/>
        </w:rPr>
        <w:t xml:space="preserve">path </w:t>
      </w:r>
      <w:r w:rsidR="00C64762">
        <w:rPr>
          <w:rStyle w:val="AERbody"/>
        </w:rPr>
        <w:t>shows</w:t>
      </w:r>
      <w:r w:rsidR="00CC0330">
        <w:rPr>
          <w:rStyle w:val="AERbody"/>
        </w:rPr>
        <w:t xml:space="preserve"> an in</w:t>
      </w:r>
      <w:r w:rsidR="00C64762" w:rsidRPr="00A60C12">
        <w:rPr>
          <w:rStyle w:val="AERbody"/>
        </w:rPr>
        <w:t>crease</w:t>
      </w:r>
      <w:r w:rsidR="00C64762">
        <w:rPr>
          <w:rStyle w:val="AERbody"/>
        </w:rPr>
        <w:t xml:space="preserve"> of </w:t>
      </w:r>
      <w:r w:rsidR="00CE2560">
        <w:rPr>
          <w:rStyle w:val="AERbody"/>
        </w:rPr>
        <w:t>3.</w:t>
      </w:r>
      <w:r w:rsidR="007A2835">
        <w:rPr>
          <w:rStyle w:val="AERbody"/>
        </w:rPr>
        <w:t>7</w:t>
      </w:r>
      <w:r w:rsidR="00CC0330">
        <w:rPr>
          <w:rStyle w:val="AERbody"/>
        </w:rPr>
        <w:t xml:space="preserve"> </w:t>
      </w:r>
      <w:r w:rsidR="00C64762">
        <w:rPr>
          <w:rStyle w:val="AERbody"/>
        </w:rPr>
        <w:t>per cent</w:t>
      </w:r>
      <w:r w:rsidR="00C64762" w:rsidRPr="00A60C12">
        <w:rPr>
          <w:rStyle w:val="AERbody"/>
        </w:rPr>
        <w:t xml:space="preserve"> in </w:t>
      </w:r>
      <w:r w:rsidR="00C64762">
        <w:rPr>
          <w:rStyle w:val="AERbody"/>
        </w:rPr>
        <w:t>tariffs</w:t>
      </w:r>
      <w:r w:rsidR="00C64762" w:rsidRPr="00A60C12">
        <w:rPr>
          <w:rStyle w:val="AERbody"/>
        </w:rPr>
        <w:t xml:space="preserve"> </w:t>
      </w:r>
      <w:r w:rsidR="00C64762">
        <w:rPr>
          <w:rStyle w:val="AERbody"/>
        </w:rPr>
        <w:t xml:space="preserve">(in nominal terms) </w:t>
      </w:r>
      <w:r w:rsidR="00CC0330">
        <w:rPr>
          <w:rStyle w:val="AERbody"/>
        </w:rPr>
        <w:t>on average over th</w:t>
      </w:r>
      <w:r w:rsidR="00C64762">
        <w:rPr>
          <w:rStyle w:val="AERbody"/>
        </w:rPr>
        <w:t>e 201</w:t>
      </w:r>
      <w:r w:rsidR="00461C19">
        <w:rPr>
          <w:rStyle w:val="AERbody"/>
        </w:rPr>
        <w:t>8</w:t>
      </w:r>
      <w:r w:rsidR="00C64762">
        <w:rPr>
          <w:rStyle w:val="AERbody"/>
        </w:rPr>
        <w:t xml:space="preserve">–22 access arrangement </w:t>
      </w:r>
      <w:proofErr w:type="gramStart"/>
      <w:r w:rsidR="00C64762">
        <w:rPr>
          <w:rStyle w:val="AERbody"/>
        </w:rPr>
        <w:t>period</w:t>
      </w:r>
      <w:proofErr w:type="gramEnd"/>
      <w:r w:rsidR="00C64762">
        <w:rPr>
          <w:rStyle w:val="AERbody"/>
        </w:rPr>
        <w:t>.</w:t>
      </w:r>
    </w:p>
    <w:p w:rsidR="00C64762" w:rsidRDefault="00C64762" w:rsidP="00C64762">
      <w:pPr>
        <w:rPr>
          <w:rStyle w:val="AERbody"/>
        </w:rPr>
      </w:pPr>
      <w:r>
        <w:rPr>
          <w:rStyle w:val="AERbody"/>
        </w:rPr>
        <w:t>In choosing the smoothing profile for this draft decision we have balanced a number of competing objectives:</w:t>
      </w:r>
    </w:p>
    <w:p w:rsidR="00C64762" w:rsidRPr="00C64762" w:rsidRDefault="00C64762" w:rsidP="00C64762">
      <w:pPr>
        <w:pStyle w:val="AERbulletlistfirststyle"/>
        <w:rPr>
          <w:rStyle w:val="AERbody"/>
        </w:rPr>
      </w:pPr>
      <w:r>
        <w:rPr>
          <w:rStyle w:val="AERbody"/>
        </w:rPr>
        <w:t>Equalising (in NPV terms) unsmoothed and smoothed revenue</w:t>
      </w:r>
    </w:p>
    <w:p w:rsidR="00C64762" w:rsidRPr="00C64762" w:rsidRDefault="00C64762" w:rsidP="00C64762">
      <w:pPr>
        <w:pStyle w:val="AERbulletlistfirststyle"/>
        <w:rPr>
          <w:rStyle w:val="AERbody"/>
        </w:rPr>
      </w:pPr>
      <w:r>
        <w:rPr>
          <w:rStyle w:val="AERbody"/>
        </w:rPr>
        <w:t>Providing price signals that reflect the underlying efficient costs</w:t>
      </w:r>
    </w:p>
    <w:p w:rsidR="00C64762" w:rsidRPr="00C64762" w:rsidRDefault="00C64762" w:rsidP="00C64762">
      <w:pPr>
        <w:pStyle w:val="AERbulletlistfirststyle"/>
        <w:rPr>
          <w:rStyle w:val="AERbody"/>
        </w:rPr>
      </w:pPr>
      <w:r>
        <w:rPr>
          <w:rStyle w:val="AERbody"/>
        </w:rPr>
        <w:t xml:space="preserve">Minimising </w:t>
      </w:r>
      <w:r w:rsidRPr="00C64762">
        <w:rPr>
          <w:rStyle w:val="AERbody"/>
        </w:rPr>
        <w:t>tariff variability from 2017 and within the 201</w:t>
      </w:r>
      <w:r w:rsidR="00461C19">
        <w:rPr>
          <w:rStyle w:val="AERbody"/>
        </w:rPr>
        <w:t>8</w:t>
      </w:r>
      <w:r w:rsidRPr="00C64762">
        <w:rPr>
          <w:rStyle w:val="AERbody"/>
        </w:rPr>
        <w:t>–22 access arrangement period</w:t>
      </w:r>
    </w:p>
    <w:p w:rsidR="00C64762" w:rsidRPr="00C64762" w:rsidRDefault="00C64762" w:rsidP="00C64762">
      <w:pPr>
        <w:pStyle w:val="AERbulletlistfirststyle"/>
        <w:rPr>
          <w:rStyle w:val="AERbody"/>
        </w:rPr>
      </w:pPr>
      <w:r>
        <w:rPr>
          <w:rStyle w:val="AERbody"/>
        </w:rPr>
        <w:t>Minimising the likelihood of variability in tariffs at the start of the 202</w:t>
      </w:r>
      <w:r w:rsidR="00461C19">
        <w:rPr>
          <w:rStyle w:val="AERbody"/>
        </w:rPr>
        <w:t>3</w:t>
      </w:r>
      <w:r w:rsidRPr="00C64762">
        <w:rPr>
          <w:rStyle w:val="AERbody"/>
        </w:rPr>
        <w:t>–27 access arrangement period.</w:t>
      </w:r>
    </w:p>
    <w:p w:rsidR="00C64762" w:rsidRDefault="00C64762" w:rsidP="00C64762">
      <w:pPr>
        <w:rPr>
          <w:rStyle w:val="AERbody"/>
        </w:rPr>
      </w:pPr>
      <w:r>
        <w:rPr>
          <w:rStyle w:val="AERbody"/>
        </w:rPr>
        <w:t>Each of these points is discussed in turn.</w:t>
      </w:r>
    </w:p>
    <w:p w:rsidR="00C64762" w:rsidRDefault="00C64762" w:rsidP="00C64762">
      <w:pPr>
        <w:rPr>
          <w:rStyle w:val="AERbody"/>
        </w:rPr>
      </w:pPr>
      <w:r>
        <w:rPr>
          <w:rStyle w:val="AERbody"/>
        </w:rPr>
        <w:t xml:space="preserve">First, we are satisfied that our draft decision tariff path for </w:t>
      </w:r>
      <w:r w:rsidR="003F22EA">
        <w:rPr>
          <w:rStyle w:val="AERbody"/>
        </w:rPr>
        <w:t>APA'</w:t>
      </w:r>
      <w:r w:rsidR="00204FB3">
        <w:rPr>
          <w:rStyle w:val="AERbody"/>
        </w:rPr>
        <w:t>s</w:t>
      </w:r>
      <w:r>
        <w:rPr>
          <w:rStyle w:val="AERbody"/>
        </w:rPr>
        <w:t xml:space="preserve"> 201</w:t>
      </w:r>
      <w:r w:rsidR="00BF3FC7">
        <w:rPr>
          <w:rStyle w:val="AERbody"/>
        </w:rPr>
        <w:t>8</w:t>
      </w:r>
      <w:r>
        <w:rPr>
          <w:rStyle w:val="AERbody"/>
        </w:rPr>
        <w:t>–22 access arrangement period a</w:t>
      </w:r>
      <w:r w:rsidRPr="00B5370C">
        <w:rPr>
          <w:rStyle w:val="AERbody"/>
        </w:rPr>
        <w:t>chieves revenue equalisation as required by rule 92(2) of the NGR</w:t>
      </w:r>
      <w:r>
        <w:rPr>
          <w:rStyle w:val="AERbody"/>
        </w:rPr>
        <w:t>.</w:t>
      </w:r>
      <w:r>
        <w:rPr>
          <w:rStyle w:val="FootnoteReference"/>
        </w:rPr>
        <w:footnoteReference w:id="25"/>
      </w:r>
      <w:r>
        <w:rPr>
          <w:rStyle w:val="AERbody"/>
        </w:rPr>
        <w:t xml:space="preserve"> As set out above, we have made substantial reductions to the unsmoothed revenue proposed by AP</w:t>
      </w:r>
      <w:r w:rsidR="00BF3FC7">
        <w:rPr>
          <w:rStyle w:val="AERbody"/>
        </w:rPr>
        <w:t>A</w:t>
      </w:r>
      <w:r>
        <w:rPr>
          <w:rStyle w:val="AERbody"/>
        </w:rPr>
        <w:t xml:space="preserve">. Accordingly, we set the tariff path so that it adjusts the smoothed revenue downward to better reflect the unsmoothed building block costs. </w:t>
      </w:r>
    </w:p>
    <w:p w:rsidR="00C64762" w:rsidRDefault="00C64762" w:rsidP="00C64762">
      <w:pPr>
        <w:rPr>
          <w:rStyle w:val="AERbody"/>
        </w:rPr>
      </w:pPr>
      <w:r>
        <w:rPr>
          <w:rStyle w:val="AERbody"/>
        </w:rPr>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Pr>
          <w:rStyle w:val="FootnoteReference"/>
        </w:rPr>
        <w:footnoteReference w:id="26"/>
      </w:r>
      <w:r>
        <w:rPr>
          <w:rStyle w:val="AERbody"/>
        </w:rPr>
        <w:t xml:space="preserve"> Our draft decision tariff path shows consistent decreases </w:t>
      </w:r>
      <w:r w:rsidR="00BF3FC7">
        <w:rPr>
          <w:rStyle w:val="AERbody"/>
        </w:rPr>
        <w:t>across the</w:t>
      </w:r>
      <w:r>
        <w:rPr>
          <w:rStyle w:val="AERbody"/>
        </w:rPr>
        <w:t xml:space="preserve"> 201</w:t>
      </w:r>
      <w:r w:rsidR="00BF3FC7">
        <w:rPr>
          <w:rStyle w:val="AERbody"/>
        </w:rPr>
        <w:t>8</w:t>
      </w:r>
      <w:r>
        <w:rPr>
          <w:rStyle w:val="AERbody"/>
        </w:rPr>
        <w:t xml:space="preserve">–22 access arrangement </w:t>
      </w:r>
      <w:proofErr w:type="gramStart"/>
      <w:r>
        <w:rPr>
          <w:rStyle w:val="AERbody"/>
        </w:rPr>
        <w:t>period</w:t>
      </w:r>
      <w:proofErr w:type="gramEnd"/>
      <w:r>
        <w:rPr>
          <w:rStyle w:val="AERbody"/>
        </w:rPr>
        <w:t xml:space="preserve">. This reflects the lower unsmoothed building block costs and increasing demand in the later years of the access arrangement period that would generally result in lower tariffs, all things being equal. </w:t>
      </w:r>
    </w:p>
    <w:p w:rsidR="00C64762" w:rsidRDefault="00C64762" w:rsidP="00C64762">
      <w:pPr>
        <w:rPr>
          <w:rStyle w:val="AERbody"/>
        </w:rPr>
      </w:pPr>
      <w:r>
        <w:rPr>
          <w:rStyle w:val="AERbody"/>
        </w:rPr>
        <w:t xml:space="preserve">Third, in setting the tariff path, we aim to minimise tariff volatility from 2017 </w:t>
      </w:r>
      <w:r w:rsidR="00AA69DA">
        <w:rPr>
          <w:rStyle w:val="AERbody"/>
        </w:rPr>
        <w:t xml:space="preserve">to 2018 </w:t>
      </w:r>
      <w:r>
        <w:rPr>
          <w:rStyle w:val="AERbody"/>
        </w:rPr>
        <w:t>and within the 201</w:t>
      </w:r>
      <w:r w:rsidR="00BF3FC7">
        <w:rPr>
          <w:rStyle w:val="AERbody"/>
        </w:rPr>
        <w:t>8</w:t>
      </w:r>
      <w:r>
        <w:rPr>
          <w:rStyle w:val="AERbody"/>
        </w:rPr>
        <w:t>–22 access arrangement period. Our chosen tariff path reflects this objective, but also reflects the consideration we must give to other competing objectives. For instance, setting a flat tariff path from 2017 would better minimise volatility</w:t>
      </w:r>
      <w:r w:rsidR="00AA69DA">
        <w:rPr>
          <w:rStyle w:val="AERbody"/>
        </w:rPr>
        <w:t xml:space="preserve"> within the 2018–22 access arrangement period</w:t>
      </w:r>
      <w:r>
        <w:rPr>
          <w:rStyle w:val="AERbody"/>
        </w:rPr>
        <w:t xml:space="preserve">, but would not achieve revenue equalisation. </w:t>
      </w:r>
    </w:p>
    <w:p w:rsidR="00C64762" w:rsidRDefault="00C64762" w:rsidP="00C64762">
      <w:pPr>
        <w:rPr>
          <w:rStyle w:val="AERbody"/>
        </w:rPr>
      </w:pPr>
      <w:r>
        <w:rPr>
          <w:rStyle w:val="AERbody"/>
        </w:rPr>
        <w:t xml:space="preserve">Fourth, in setting the tariff path, we also aim to minimise the likelihood of tariff volatility between this access arrangement period and the next. We do not know with certainty what </w:t>
      </w:r>
      <w:r w:rsidR="003F22EA">
        <w:rPr>
          <w:rStyle w:val="AERbody"/>
        </w:rPr>
        <w:t>APA'</w:t>
      </w:r>
      <w:r w:rsidR="00204FB3">
        <w:rPr>
          <w:rStyle w:val="AERbody"/>
        </w:rPr>
        <w:t>s</w:t>
      </w:r>
      <w:r>
        <w:rPr>
          <w:rStyle w:val="AERbody"/>
        </w:rPr>
        <w:t xml:space="preserve"> ef</w:t>
      </w:r>
      <w:r w:rsidR="002C7BA2">
        <w:rPr>
          <w:rStyle w:val="AERbody"/>
        </w:rPr>
        <w:t>ficient costs will be in 202</w:t>
      </w:r>
      <w:r w:rsidR="00AA69DA">
        <w:rPr>
          <w:rStyle w:val="AERbody"/>
        </w:rPr>
        <w:t>3</w:t>
      </w:r>
      <w:r>
        <w:rPr>
          <w:rStyle w:val="AERbody"/>
        </w:rPr>
        <w:t>, or across the 202</w:t>
      </w:r>
      <w:r w:rsidR="00BF3FC7">
        <w:rPr>
          <w:rStyle w:val="AERbody"/>
        </w:rPr>
        <w:t>3</w:t>
      </w:r>
      <w:r>
        <w:rPr>
          <w:rStyle w:val="AERbody"/>
        </w:rPr>
        <w:t xml:space="preserve">–27 access arrangement </w:t>
      </w:r>
      <w:proofErr w:type="gramStart"/>
      <w:r>
        <w:rPr>
          <w:rStyle w:val="AERbody"/>
        </w:rPr>
        <w:t>period</w:t>
      </w:r>
      <w:proofErr w:type="gramEnd"/>
      <w:r>
        <w:rPr>
          <w:rStyle w:val="AERbody"/>
        </w:rPr>
        <w:t xml:space="preserve"> more generally. The unsmoothed</w:t>
      </w:r>
      <w:r w:rsidR="002C7BA2">
        <w:rPr>
          <w:rStyle w:val="AERbody"/>
        </w:rPr>
        <w:t xml:space="preserve"> building block costs for 202</w:t>
      </w:r>
      <w:r>
        <w:rPr>
          <w:rStyle w:val="AERbody"/>
        </w:rPr>
        <w:t xml:space="preserve">2 (the last year of </w:t>
      </w:r>
      <w:r w:rsidR="003F22EA">
        <w:rPr>
          <w:rStyle w:val="AERbody"/>
        </w:rPr>
        <w:t>APA'</w:t>
      </w:r>
      <w:r w:rsidR="004923C5">
        <w:rPr>
          <w:rStyle w:val="AERbody"/>
        </w:rPr>
        <w:t>s</w:t>
      </w:r>
      <w:r>
        <w:rPr>
          <w:rStyle w:val="AERbody"/>
        </w:rPr>
        <w:t xml:space="preserve"> 201</w:t>
      </w:r>
      <w:r w:rsidR="00BF3FC7">
        <w:rPr>
          <w:rStyle w:val="AERbody"/>
        </w:rPr>
        <w:t>8</w:t>
      </w:r>
      <w:r>
        <w:rPr>
          <w:rStyle w:val="AERbody"/>
        </w:rPr>
        <w:t>–22 access arrangement period) are the best available proxy. Hence, this objective requires minimising the divergence between the smoothed and unsmoothed revenues for the last year of the access arrangement period. If there were no significant chan</w:t>
      </w:r>
      <w:r w:rsidR="002C7BA2">
        <w:rPr>
          <w:rStyle w:val="AERbody"/>
        </w:rPr>
        <w:t>ges in forecast costs from 2022 to 202</w:t>
      </w:r>
      <w:r>
        <w:rPr>
          <w:rStyle w:val="AERbody"/>
        </w:rPr>
        <w:t>3, this final year divergence gives us an estimate of the size of the tariff change at the start of the 202</w:t>
      </w:r>
      <w:r w:rsidR="00BF3FC7">
        <w:rPr>
          <w:rStyle w:val="AERbody"/>
        </w:rPr>
        <w:t>3</w:t>
      </w:r>
      <w:r>
        <w:rPr>
          <w:rStyle w:val="AERbody"/>
        </w:rPr>
        <w:t xml:space="preserve">–27 access arrangement </w:t>
      </w:r>
      <w:proofErr w:type="gramStart"/>
      <w:r>
        <w:rPr>
          <w:rStyle w:val="AERbody"/>
        </w:rPr>
        <w:t>period</w:t>
      </w:r>
      <w:proofErr w:type="gramEnd"/>
      <w:r>
        <w:rPr>
          <w:rStyle w:val="AERbody"/>
        </w:rPr>
        <w:t xml:space="preserve">. </w:t>
      </w:r>
    </w:p>
    <w:p w:rsidR="00CC0330" w:rsidRDefault="00C64762" w:rsidP="00C64762">
      <w:pPr>
        <w:rPr>
          <w:rStyle w:val="AERbody"/>
        </w:rPr>
      </w:pPr>
      <w:r>
        <w:rPr>
          <w:rStyle w:val="AERbody"/>
        </w:rPr>
        <w:t xml:space="preserve">For this draft decision, this final year divergence is </w:t>
      </w:r>
      <w:r w:rsidR="007A2835">
        <w:rPr>
          <w:rStyle w:val="AERbody"/>
        </w:rPr>
        <w:t>2.6</w:t>
      </w:r>
      <w:r w:rsidR="004923C5">
        <w:rPr>
          <w:rStyle w:val="AERbody"/>
        </w:rPr>
        <w:t xml:space="preserve"> </w:t>
      </w:r>
      <w:r>
        <w:rPr>
          <w:rStyle w:val="AERbody"/>
        </w:rPr>
        <w:t xml:space="preserve">per cent. </w:t>
      </w:r>
    </w:p>
    <w:p w:rsidR="00C64762" w:rsidRPr="0064509B" w:rsidRDefault="00C64762" w:rsidP="00C64762">
      <w:pPr>
        <w:rPr>
          <w:rStyle w:val="AERbody"/>
        </w:rPr>
      </w:pPr>
      <w:r w:rsidRPr="0064509B">
        <w:rPr>
          <w:rStyle w:val="AERbody"/>
        </w:rPr>
        <w:t>We note that if there are significant changes i</w:t>
      </w:r>
      <w:r w:rsidR="00533704">
        <w:rPr>
          <w:rStyle w:val="AERbody"/>
        </w:rPr>
        <w:t>n costs at the start of the 2023</w:t>
      </w:r>
      <w:r w:rsidRPr="0064509B">
        <w:rPr>
          <w:rStyle w:val="AERbody"/>
        </w:rPr>
        <w:t>–27 access arrangement period, this might increase or decrease the required tariff change at that time.</w:t>
      </w:r>
    </w:p>
    <w:p w:rsidR="00BF3FC7" w:rsidRDefault="00C64762" w:rsidP="003930B3">
      <w:r>
        <w:rPr>
          <w:rStyle w:val="AERbody"/>
        </w:rPr>
        <w:t xml:space="preserve">We are satisfied that our draft decision tariff path reflects our balanced consideration of these competing objectives. </w:t>
      </w:r>
      <w:r w:rsidRPr="00DB51D8">
        <w:rPr>
          <w:rStyle w:val="AERbody"/>
        </w:rPr>
        <w:t>We will review this smoothing</w:t>
      </w:r>
      <w:r>
        <w:rPr>
          <w:rStyle w:val="AERbody"/>
        </w:rPr>
        <w:t xml:space="preserve"> profile </w:t>
      </w:r>
      <w:r w:rsidRPr="00DB51D8">
        <w:rPr>
          <w:rStyle w:val="AERbody"/>
        </w:rPr>
        <w:t>for the final decision if necessary.</w:t>
      </w:r>
      <w:r>
        <w:rPr>
          <w:rStyle w:val="AERbody"/>
        </w:rPr>
        <w:t xml:space="preserve"> </w:t>
      </w:r>
    </w:p>
    <w:p w:rsidR="00BF3FC7" w:rsidRDefault="00BF3FC7" w:rsidP="00BF3FC7">
      <w:pPr>
        <w:pStyle w:val="Heading1"/>
      </w:pPr>
      <w:bookmarkStart w:id="129" w:name="_Ref435706840"/>
      <w:bookmarkStart w:id="130" w:name="_Toc436046180"/>
      <w:bookmarkStart w:id="131" w:name="_Toc444855388"/>
      <w:bookmarkStart w:id="132" w:name="_Toc487018275"/>
      <w:r>
        <w:t>Key elements of decision on revenue</w:t>
      </w:r>
      <w:bookmarkEnd w:id="129"/>
      <w:bookmarkEnd w:id="130"/>
      <w:bookmarkEnd w:id="131"/>
      <w:bookmarkEnd w:id="132"/>
    </w:p>
    <w:p w:rsidR="00BF3FC7" w:rsidRPr="002D2243" w:rsidRDefault="00BF3FC7" w:rsidP="00BF3FC7">
      <w:r>
        <w:t xml:space="preserve">The components of our draft decision include the building blocks we use to determine the revenue that </w:t>
      </w:r>
      <w:r w:rsidR="003F22EA">
        <w:t xml:space="preserve">APA </w:t>
      </w:r>
      <w:r>
        <w:t xml:space="preserve">may recover from its users. </w:t>
      </w:r>
      <w:r w:rsidRPr="002D2243">
        <w:t xml:space="preserve">The following sections summarise our revenue decision by building block. The attachments </w:t>
      </w:r>
      <w:r>
        <w:t xml:space="preserve">to this draft decision provide a more detailed explanation of our analysis and findings. </w:t>
      </w:r>
    </w:p>
    <w:p w:rsidR="00502B52" w:rsidRDefault="00502B52" w:rsidP="00502B52">
      <w:pPr>
        <w:pStyle w:val="Heading2"/>
      </w:pPr>
      <w:bookmarkStart w:id="133" w:name="_Toc430002789"/>
      <w:bookmarkStart w:id="134" w:name="_Ref433617846"/>
      <w:bookmarkStart w:id="135" w:name="_Toc436046181"/>
      <w:bookmarkStart w:id="136" w:name="_Toc444855389"/>
      <w:bookmarkStart w:id="137" w:name="_Toc487018276"/>
      <w:r>
        <w:t>Capital base</w:t>
      </w:r>
      <w:bookmarkEnd w:id="133"/>
      <w:bookmarkEnd w:id="134"/>
      <w:bookmarkEnd w:id="135"/>
      <w:bookmarkEnd w:id="136"/>
      <w:bookmarkEnd w:id="137"/>
    </w:p>
    <w:p w:rsidR="00386862" w:rsidRPr="001905C9" w:rsidRDefault="00386862" w:rsidP="00386862">
      <w:r w:rsidRPr="001905C9">
        <w:t>The capital base roll forward accounts for the value of</w:t>
      </w:r>
      <w:r>
        <w:t xml:space="preserve"> APA's </w:t>
      </w:r>
      <w:r w:rsidRPr="001905C9">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27"/>
      </w:r>
      <w:r w:rsidR="00F8785E">
        <w:t xml:space="preserve"> </w:t>
      </w:r>
      <w:r w:rsidRPr="001905C9">
        <w:t xml:space="preserve">Following this process, </w:t>
      </w:r>
      <w:r>
        <w:t>we</w:t>
      </w:r>
      <w:r w:rsidRPr="001905C9">
        <w:t xml:space="preserve"> arrive at a closing value of the capital base at the end of </w:t>
      </w:r>
      <w:r w:rsidR="009F6AC3">
        <w:t>each</w:t>
      </w:r>
      <w:r w:rsidRPr="001905C9">
        <w:t xml:space="preserve"> year</w:t>
      </w:r>
      <w:r w:rsidR="009F6AC3">
        <w:t xml:space="preserve"> of the access arrangement period</w:t>
      </w:r>
      <w:r w:rsidRPr="001905C9">
        <w:t xml:space="preserve">. The opening value of the capital base is used to determine the return of capital (regulatory depreciation) and return on capital building block allowances. </w:t>
      </w:r>
    </w:p>
    <w:p w:rsidR="002B12CF" w:rsidRDefault="002B12CF" w:rsidP="002B12CF">
      <w:r w:rsidRPr="001905C9">
        <w:t xml:space="preserve">We do not approve </w:t>
      </w:r>
      <w:r w:rsidR="00231C90">
        <w:t>APA</w:t>
      </w:r>
      <w:r>
        <w:t>'s</w:t>
      </w:r>
      <w:r w:rsidRPr="001905C9">
        <w:t xml:space="preserve"> proposed opening capital base of $</w:t>
      </w:r>
      <w:r>
        <w:t>1008.5</w:t>
      </w:r>
      <w:r w:rsidRPr="001905C9">
        <w:t xml:space="preserve"> million ($</w:t>
      </w:r>
      <w:r w:rsidR="00F8785E">
        <w:t> </w:t>
      </w:r>
      <w:r w:rsidRPr="001905C9">
        <w:t xml:space="preserve">nominal) as at 1 </w:t>
      </w:r>
      <w:r>
        <w:t xml:space="preserve">January </w:t>
      </w:r>
      <w:r w:rsidRPr="001905C9">
        <w:t>201</w:t>
      </w:r>
      <w:r>
        <w:t>8</w:t>
      </w:r>
      <w:r w:rsidRPr="001905C9">
        <w:t>. This is because</w:t>
      </w:r>
      <w:r w:rsidR="00F8785E">
        <w:t>:</w:t>
      </w:r>
      <w:r w:rsidRPr="001905C9">
        <w:t xml:space="preserve"> </w:t>
      </w:r>
    </w:p>
    <w:p w:rsidR="002B12CF" w:rsidRDefault="002B12CF" w:rsidP="002B12CF">
      <w:pPr>
        <w:pStyle w:val="AERbulletlistfirststyle"/>
      </w:pPr>
      <w:r w:rsidRPr="001905C9">
        <w:t xml:space="preserve">we </w:t>
      </w:r>
      <w:r w:rsidR="00231C90">
        <w:t>do not accept APA</w:t>
      </w:r>
      <w:r>
        <w:t>'s proposal to use forecast inflation as an input to roll forward the capital base over the 20</w:t>
      </w:r>
      <w:r w:rsidR="00F8785E">
        <w:t>13–17 access arrangement period</w:t>
      </w:r>
    </w:p>
    <w:p w:rsidR="002B12CF" w:rsidRDefault="002B12CF" w:rsidP="002B12CF">
      <w:pPr>
        <w:pStyle w:val="AERbulletlistfirststyle"/>
      </w:pPr>
      <w:r>
        <w:t>we have made several</w:t>
      </w:r>
      <w:r w:rsidRPr="001905C9">
        <w:t xml:space="preserve"> amendments to </w:t>
      </w:r>
      <w:r>
        <w:t xml:space="preserve">other proposed inputs for the </w:t>
      </w:r>
      <w:r w:rsidR="00D1370A">
        <w:t>roll forward model (</w:t>
      </w:r>
      <w:r>
        <w:t>RFM</w:t>
      </w:r>
      <w:r w:rsidR="00D1370A">
        <w:t>)</w:t>
      </w:r>
    </w:p>
    <w:p w:rsidR="002B12CF" w:rsidRDefault="002B12CF" w:rsidP="002B12CF">
      <w:pPr>
        <w:pStyle w:val="AERbulletlistfirststyle"/>
      </w:pPr>
      <w:proofErr w:type="gramStart"/>
      <w:r>
        <w:t>we</w:t>
      </w:r>
      <w:proofErr w:type="gramEnd"/>
      <w:r>
        <w:t xml:space="preserve"> have </w:t>
      </w:r>
      <w:r w:rsidRPr="00E368C8">
        <w:t xml:space="preserve">substituted our latest version of the </w:t>
      </w:r>
      <w:r>
        <w:t>RFM</w:t>
      </w:r>
      <w:r w:rsidR="00D1370A">
        <w:t xml:space="preserve"> to correct a number</w:t>
      </w:r>
      <w:r>
        <w:t xml:space="preserve"> of errors in </w:t>
      </w:r>
      <w:r w:rsidR="003F54D9">
        <w:t>APA's</w:t>
      </w:r>
      <w:r>
        <w:t xml:space="preserve"> proposed RFM.</w:t>
      </w:r>
    </w:p>
    <w:p w:rsidR="002B12CF" w:rsidRPr="001905C9" w:rsidRDefault="002B12CF" w:rsidP="002B12CF">
      <w:r w:rsidRPr="001905C9">
        <w:t>We determine an opening capital base of $</w:t>
      </w:r>
      <w:r>
        <w:t>9</w:t>
      </w:r>
      <w:r w:rsidR="009B003D">
        <w:t>85.</w:t>
      </w:r>
      <w:r w:rsidR="00BA345C">
        <w:t>5</w:t>
      </w:r>
      <w:r>
        <w:t xml:space="preserve"> million ($nominal) as at </w:t>
      </w:r>
      <w:r w:rsidR="00533704">
        <w:br/>
      </w:r>
      <w:r>
        <w:t>1 January</w:t>
      </w:r>
      <w:r w:rsidRPr="001905C9">
        <w:t xml:space="preserve"> 201</w:t>
      </w:r>
      <w:r>
        <w:t>8</w:t>
      </w:r>
      <w:r w:rsidRPr="001905C9">
        <w:t>, which is $</w:t>
      </w:r>
      <w:r w:rsidR="009B003D">
        <w:t>2</w:t>
      </w:r>
      <w:r w:rsidR="00BA345C">
        <w:t>3.0</w:t>
      </w:r>
      <w:r w:rsidRPr="001905C9">
        <w:t xml:space="preserve"> million ($</w:t>
      </w:r>
      <w:r w:rsidR="004923C5">
        <w:t> </w:t>
      </w:r>
      <w:r w:rsidRPr="001905C9">
        <w:t>nominal) l</w:t>
      </w:r>
      <w:r>
        <w:t>ower</w:t>
      </w:r>
      <w:r w:rsidRPr="001905C9">
        <w:t xml:space="preserve"> than that proposed by A</w:t>
      </w:r>
      <w:r>
        <w:t>PA</w:t>
      </w:r>
      <w:r w:rsidRPr="001905C9">
        <w:t xml:space="preserve">, a reduction of </w:t>
      </w:r>
      <w:r w:rsidR="009B003D">
        <w:t>2.3</w:t>
      </w:r>
      <w:r w:rsidRPr="001905C9">
        <w:t xml:space="preserve"> per cent. </w:t>
      </w:r>
    </w:p>
    <w:p w:rsidR="00502B52" w:rsidRDefault="00502B52" w:rsidP="00502B52">
      <w:r>
        <w:fldChar w:fldCharType="begin"/>
      </w:r>
      <w:r>
        <w:instrText xml:space="preserve"> REF _Ref466022771 \h </w:instrText>
      </w:r>
      <w:r>
        <w:fldChar w:fldCharType="separate"/>
      </w:r>
      <w:r w:rsidR="00971C32">
        <w:t xml:space="preserve">Table </w:t>
      </w:r>
      <w:r w:rsidR="00971C32">
        <w:rPr>
          <w:noProof/>
        </w:rPr>
        <w:t>5</w:t>
      </w:r>
      <w:r w:rsidR="00971C32">
        <w:noBreakHyphen/>
      </w:r>
      <w:r w:rsidR="00971C32">
        <w:rPr>
          <w:noProof/>
        </w:rPr>
        <w:t>1</w:t>
      </w:r>
      <w:r>
        <w:fldChar w:fldCharType="end"/>
      </w:r>
      <w:r>
        <w:t xml:space="preserve"> </w:t>
      </w:r>
      <w:r w:rsidRPr="001905C9">
        <w:t>summarises our draft dec</w:t>
      </w:r>
      <w:r w:rsidR="00204FB3">
        <w:t>ision on the roll forward of APA</w:t>
      </w:r>
      <w:r>
        <w:t>'</w:t>
      </w:r>
      <w:r w:rsidRPr="001905C9">
        <w:t>s capital base during the 201</w:t>
      </w:r>
      <w:r w:rsidR="00720CD0">
        <w:t>3</w:t>
      </w:r>
      <w:r w:rsidRPr="001905C9">
        <w:t>–1</w:t>
      </w:r>
      <w:r>
        <w:t>7</w:t>
      </w:r>
      <w:r w:rsidRPr="001905C9">
        <w:t xml:space="preserve"> access arrangement period</w:t>
      </w:r>
      <w:r>
        <w:t>.</w:t>
      </w:r>
    </w:p>
    <w:p w:rsidR="00502B52" w:rsidRDefault="00502B52" w:rsidP="003751C2">
      <w:pPr>
        <w:pStyle w:val="Caption"/>
      </w:pPr>
      <w:bookmarkStart w:id="138" w:name="_Ref466022771"/>
      <w:r>
        <w:t xml:space="preserve">Table </w:t>
      </w:r>
      <w:fldSimple w:instr=" STYLEREF 1 \s ">
        <w:r w:rsidR="00971C32">
          <w:rPr>
            <w:noProof/>
          </w:rPr>
          <w:t>5</w:t>
        </w:r>
      </w:fldSimple>
      <w:r w:rsidR="009F6AC3">
        <w:noBreakHyphen/>
      </w:r>
      <w:fldSimple w:instr=" SEQ Table \* ARABIC \s 1 ">
        <w:r w:rsidR="00971C32">
          <w:rPr>
            <w:noProof/>
          </w:rPr>
          <w:t>1</w:t>
        </w:r>
      </w:fldSimple>
      <w:bookmarkEnd w:id="138"/>
      <w:r>
        <w:tab/>
        <w:t>AER draft de</w:t>
      </w:r>
      <w:r w:rsidR="00204FB3">
        <w:t>cision on APA</w:t>
      </w:r>
      <w:r>
        <w:t>'s capita</w:t>
      </w:r>
      <w:r w:rsidR="00FE340F">
        <w:t>l base roll forward for the 2013</w:t>
      </w:r>
      <w:r>
        <w:t>–17 access arrangement period ($</w:t>
      </w:r>
      <w:r w:rsidR="00F8785E">
        <w:t xml:space="preserve"> </w:t>
      </w:r>
      <w:r>
        <w:t>million, nominal)</w:t>
      </w:r>
    </w:p>
    <w:tbl>
      <w:tblPr>
        <w:tblStyle w:val="AERtable-numbers"/>
        <w:tblW w:w="8755" w:type="dxa"/>
        <w:tblLook w:val="04A0" w:firstRow="1" w:lastRow="0" w:firstColumn="1" w:lastColumn="0" w:noHBand="0" w:noVBand="1"/>
      </w:tblPr>
      <w:tblGrid>
        <w:gridCol w:w="3510"/>
        <w:gridCol w:w="958"/>
        <w:gridCol w:w="1017"/>
        <w:gridCol w:w="1017"/>
        <w:gridCol w:w="1017"/>
        <w:gridCol w:w="216"/>
        <w:gridCol w:w="958"/>
        <w:gridCol w:w="62"/>
      </w:tblGrid>
      <w:tr w:rsidR="00502B52" w:rsidTr="00926A47">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510" w:type="dxa"/>
          </w:tcPr>
          <w:p w:rsidR="00502B52" w:rsidRDefault="00502B52" w:rsidP="00F8785E">
            <w:pPr>
              <w:keepNext/>
              <w:rPr>
                <w:rFonts w:eastAsiaTheme="minorHAnsi" w:cstheme="minorBidi"/>
                <w:b w:val="0"/>
                <w:color w:val="auto"/>
                <w:sz w:val="22"/>
                <w:szCs w:val="22"/>
                <w:lang w:eastAsia="en-US"/>
              </w:rPr>
            </w:pPr>
          </w:p>
        </w:tc>
        <w:tc>
          <w:tcPr>
            <w:tcW w:w="958" w:type="dxa"/>
          </w:tcPr>
          <w:p w:rsidR="00502B52" w:rsidRPr="00502B52" w:rsidRDefault="00502B52" w:rsidP="00F8785E">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00386862">
              <w:t>3</w:t>
            </w:r>
          </w:p>
        </w:tc>
        <w:tc>
          <w:tcPr>
            <w:tcW w:w="1017" w:type="dxa"/>
          </w:tcPr>
          <w:p w:rsidR="00502B52" w:rsidRPr="00502B52" w:rsidRDefault="00502B52" w:rsidP="00F8785E">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00386862">
              <w:t>4</w:t>
            </w:r>
          </w:p>
        </w:tc>
        <w:tc>
          <w:tcPr>
            <w:tcW w:w="1017" w:type="dxa"/>
          </w:tcPr>
          <w:p w:rsidR="00502B52" w:rsidRPr="00502B52" w:rsidRDefault="00502B52" w:rsidP="00F8785E">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00386862">
              <w:t>5</w:t>
            </w:r>
          </w:p>
        </w:tc>
        <w:tc>
          <w:tcPr>
            <w:tcW w:w="1017" w:type="dxa"/>
          </w:tcPr>
          <w:p w:rsidR="00502B52" w:rsidRPr="00502B52" w:rsidRDefault="00502B52" w:rsidP="00F8785E">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00386862">
              <w:t>6</w:t>
            </w:r>
          </w:p>
        </w:tc>
        <w:tc>
          <w:tcPr>
            <w:tcW w:w="1174" w:type="dxa"/>
            <w:gridSpan w:val="2"/>
          </w:tcPr>
          <w:p w:rsidR="00502B52" w:rsidRPr="00502B52" w:rsidRDefault="00386862" w:rsidP="00F8785E">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00502B52">
              <w:t>7</w:t>
            </w:r>
          </w:p>
        </w:tc>
      </w:tr>
      <w:tr w:rsidR="00BA345C" w:rsidTr="00926A47">
        <w:tc>
          <w:tcPr>
            <w:cnfStyle w:val="001000000000" w:firstRow="0" w:lastRow="0" w:firstColumn="1" w:lastColumn="0" w:oddVBand="0" w:evenVBand="0" w:oddHBand="0" w:evenHBand="0" w:firstRowFirstColumn="0" w:firstRowLastColumn="0" w:lastRowFirstColumn="0" w:lastRowLastColumn="0"/>
            <w:tcW w:w="3510" w:type="dxa"/>
          </w:tcPr>
          <w:p w:rsidR="00BA345C" w:rsidRPr="00BA345C" w:rsidRDefault="00BA345C" w:rsidP="00F8785E">
            <w:pPr>
              <w:keepNext/>
              <w:rPr>
                <w:rFonts w:eastAsiaTheme="minorHAnsi" w:cstheme="minorBidi"/>
                <w:sz w:val="22"/>
                <w:szCs w:val="22"/>
                <w:lang w:eastAsia="en-US"/>
              </w:rPr>
            </w:pPr>
            <w:r w:rsidRPr="00BA345C">
              <w:t>Opening capital base</w:t>
            </w:r>
          </w:p>
        </w:tc>
        <w:tc>
          <w:tcPr>
            <w:tcW w:w="958"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634.0</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649.8</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762.5</w:t>
            </w:r>
          </w:p>
        </w:tc>
        <w:tc>
          <w:tcPr>
            <w:tcW w:w="1233" w:type="dxa"/>
            <w:gridSpan w:val="2"/>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842.7</w:t>
            </w:r>
          </w:p>
        </w:tc>
        <w:tc>
          <w:tcPr>
            <w:tcW w:w="1020" w:type="dxa"/>
            <w:gridSpan w:val="2"/>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931.7</w:t>
            </w:r>
          </w:p>
        </w:tc>
      </w:tr>
      <w:tr w:rsidR="00BA345C" w:rsidTr="009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A345C" w:rsidRPr="00BA345C" w:rsidRDefault="00BA345C" w:rsidP="00F8785E">
            <w:pPr>
              <w:keepNext/>
              <w:rPr>
                <w:rFonts w:eastAsiaTheme="minorHAnsi" w:cstheme="minorBidi"/>
                <w:b/>
                <w:bCs/>
                <w:sz w:val="22"/>
                <w:szCs w:val="22"/>
                <w:lang w:eastAsia="en-US"/>
              </w:rPr>
            </w:pPr>
            <w:r w:rsidRPr="00BA345C">
              <w:t>Net capex</w:t>
            </w:r>
          </w:p>
        </w:tc>
        <w:tc>
          <w:tcPr>
            <w:tcW w:w="958"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15.9</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127.9</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97.4</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108.1</w:t>
            </w:r>
          </w:p>
        </w:tc>
        <w:tc>
          <w:tcPr>
            <w:tcW w:w="1236" w:type="dxa"/>
            <w:gridSpan w:val="3"/>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65.0</w:t>
            </w:r>
          </w:p>
        </w:tc>
      </w:tr>
      <w:tr w:rsidR="00BA345C" w:rsidTr="00926A47">
        <w:tc>
          <w:tcPr>
            <w:cnfStyle w:val="001000000000" w:firstRow="0" w:lastRow="0" w:firstColumn="1" w:lastColumn="0" w:oddVBand="0" w:evenVBand="0" w:oddHBand="0" w:evenHBand="0" w:firstRowFirstColumn="0" w:firstRowLastColumn="0" w:lastRowFirstColumn="0" w:lastRowLastColumn="0"/>
            <w:tcW w:w="3510" w:type="dxa"/>
          </w:tcPr>
          <w:p w:rsidR="00BA345C" w:rsidRPr="00BA345C" w:rsidRDefault="00BA345C" w:rsidP="00F8785E">
            <w:pPr>
              <w:keepNext/>
              <w:rPr>
                <w:rFonts w:eastAsiaTheme="minorHAnsi" w:cstheme="minorBidi"/>
                <w:b/>
                <w:bCs/>
                <w:sz w:val="22"/>
                <w:szCs w:val="22"/>
                <w:lang w:eastAsia="en-US"/>
              </w:rPr>
            </w:pPr>
            <w:r w:rsidRPr="00BA345C">
              <w:t>Indexation of capital base</w:t>
            </w:r>
          </w:p>
        </w:tc>
        <w:tc>
          <w:tcPr>
            <w:tcW w:w="958"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12.3</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11.2</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12.9</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12.4</w:t>
            </w:r>
          </w:p>
        </w:tc>
        <w:tc>
          <w:tcPr>
            <w:tcW w:w="1236" w:type="dxa"/>
            <w:gridSpan w:val="3"/>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18.6</w:t>
            </w:r>
          </w:p>
        </w:tc>
      </w:tr>
      <w:tr w:rsidR="00BA345C" w:rsidTr="009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A345C" w:rsidRPr="00BA345C" w:rsidRDefault="00BA345C" w:rsidP="00F8785E">
            <w:pPr>
              <w:keepNext/>
              <w:rPr>
                <w:rFonts w:eastAsiaTheme="minorHAnsi" w:cstheme="minorBidi"/>
                <w:b/>
                <w:bCs/>
                <w:sz w:val="22"/>
                <w:szCs w:val="22"/>
                <w:lang w:eastAsia="en-US"/>
              </w:rPr>
            </w:pPr>
            <w:r w:rsidRPr="00BA345C">
              <w:rPr>
                <w:rStyle w:val="AERtextitalic"/>
              </w:rPr>
              <w:t>Less:</w:t>
            </w:r>
            <w:r w:rsidRPr="00BA345C">
              <w:t xml:space="preserve"> straight-line depreciation</w:t>
            </w:r>
          </w:p>
        </w:tc>
        <w:tc>
          <w:tcPr>
            <w:tcW w:w="958"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12.4</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26.4</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30.2</w:t>
            </w:r>
          </w:p>
        </w:tc>
        <w:tc>
          <w:tcPr>
            <w:tcW w:w="1017" w:type="dxa"/>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31.6</w:t>
            </w:r>
          </w:p>
        </w:tc>
        <w:tc>
          <w:tcPr>
            <w:tcW w:w="1236" w:type="dxa"/>
            <w:gridSpan w:val="3"/>
            <w:vAlign w:val="bottom"/>
          </w:tcPr>
          <w:p w:rsidR="00BA345C" w:rsidRPr="00BA345C" w:rsidRDefault="00BA345C"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A345C">
              <w:t>29.8</w:t>
            </w:r>
          </w:p>
        </w:tc>
      </w:tr>
      <w:tr w:rsidR="00BA345C" w:rsidTr="00926A47">
        <w:tc>
          <w:tcPr>
            <w:cnfStyle w:val="001000000000" w:firstRow="0" w:lastRow="0" w:firstColumn="1" w:lastColumn="0" w:oddVBand="0" w:evenVBand="0" w:oddHBand="0" w:evenHBand="0" w:firstRowFirstColumn="0" w:firstRowLastColumn="0" w:lastRowFirstColumn="0" w:lastRowLastColumn="0"/>
            <w:tcW w:w="3510" w:type="dxa"/>
          </w:tcPr>
          <w:p w:rsidR="00BA345C" w:rsidRPr="00BA345C" w:rsidRDefault="00BA345C" w:rsidP="00F8785E">
            <w:pPr>
              <w:keepNext/>
              <w:rPr>
                <w:rFonts w:eastAsiaTheme="minorHAnsi" w:cstheme="minorBidi"/>
                <w:b/>
                <w:bCs/>
                <w:sz w:val="22"/>
                <w:szCs w:val="22"/>
                <w:lang w:eastAsia="en-US"/>
              </w:rPr>
            </w:pPr>
            <w:r w:rsidRPr="00BA345C">
              <w:t>Closing capital base</w:t>
            </w:r>
          </w:p>
        </w:tc>
        <w:tc>
          <w:tcPr>
            <w:tcW w:w="958"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649.8</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762.5</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842.7</w:t>
            </w:r>
          </w:p>
        </w:tc>
        <w:tc>
          <w:tcPr>
            <w:tcW w:w="1017" w:type="dxa"/>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931.7</w:t>
            </w:r>
          </w:p>
        </w:tc>
        <w:tc>
          <w:tcPr>
            <w:tcW w:w="1236" w:type="dxa"/>
            <w:gridSpan w:val="3"/>
            <w:vAlign w:val="bottom"/>
          </w:tcPr>
          <w:p w:rsidR="00BA345C" w:rsidRPr="00BA345C" w:rsidRDefault="00BA345C" w:rsidP="00F8785E">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A345C">
              <w:t>985.5</w:t>
            </w:r>
          </w:p>
        </w:tc>
      </w:tr>
      <w:tr w:rsidR="002B12CF" w:rsidTr="009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2B12CF" w:rsidRPr="002B12CF" w:rsidRDefault="002B12CF" w:rsidP="00F8785E">
            <w:pPr>
              <w:keepNext/>
              <w:rPr>
                <w:rStyle w:val="Strong"/>
              </w:rPr>
            </w:pPr>
            <w:r w:rsidRPr="00D007EE">
              <w:rPr>
                <w:rStyle w:val="Strong"/>
              </w:rPr>
              <w:t xml:space="preserve">Opening capital base as at 1 </w:t>
            </w:r>
            <w:r w:rsidRPr="002B12CF">
              <w:rPr>
                <w:rStyle w:val="Strong"/>
              </w:rPr>
              <w:t>January 2018</w:t>
            </w:r>
          </w:p>
        </w:tc>
        <w:tc>
          <w:tcPr>
            <w:tcW w:w="958" w:type="dxa"/>
          </w:tcPr>
          <w:p w:rsidR="002B12CF" w:rsidRDefault="002B12CF"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017" w:type="dxa"/>
          </w:tcPr>
          <w:p w:rsidR="002B12CF" w:rsidRDefault="002B12CF"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017" w:type="dxa"/>
          </w:tcPr>
          <w:p w:rsidR="002B12CF" w:rsidRDefault="002B12CF"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017" w:type="dxa"/>
          </w:tcPr>
          <w:p w:rsidR="002B12CF" w:rsidRDefault="002B12CF" w:rsidP="00F8785E">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236" w:type="dxa"/>
            <w:gridSpan w:val="3"/>
          </w:tcPr>
          <w:p w:rsidR="002B12CF" w:rsidRPr="002B12CF" w:rsidRDefault="00DB1243" w:rsidP="00F8785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9</w:t>
            </w:r>
            <w:r w:rsidR="009B003D">
              <w:rPr>
                <w:rStyle w:val="Strong"/>
              </w:rPr>
              <w:t>85.</w:t>
            </w:r>
            <w:r w:rsidR="00BA345C">
              <w:rPr>
                <w:rStyle w:val="Strong"/>
              </w:rPr>
              <w:t>5</w:t>
            </w:r>
          </w:p>
        </w:tc>
      </w:tr>
    </w:tbl>
    <w:p w:rsidR="00502B52" w:rsidRDefault="00502B52" w:rsidP="00F8785E">
      <w:pPr>
        <w:pStyle w:val="AERtablesource"/>
        <w:keepNext/>
      </w:pPr>
      <w:r>
        <w:t>Source:</w:t>
      </w:r>
      <w:r>
        <w:tab/>
        <w:t>AER analysis.</w:t>
      </w:r>
    </w:p>
    <w:p w:rsidR="00291D7A" w:rsidRDefault="002B12CF" w:rsidP="002B12CF">
      <w:r w:rsidRPr="00D007EE">
        <w:t>We do not approve AP</w:t>
      </w:r>
      <w:r>
        <w:t>A</w:t>
      </w:r>
      <w:r w:rsidRPr="00D007EE">
        <w:t>'s proposed roll forward of its projected capital base across the 201</w:t>
      </w:r>
      <w:r>
        <w:t>8</w:t>
      </w:r>
      <w:r w:rsidRPr="00D007EE">
        <w:t>–2</w:t>
      </w:r>
      <w:r w:rsidR="00A9419E">
        <w:t>2</w:t>
      </w:r>
      <w:r w:rsidRPr="00D007EE">
        <w:t xml:space="preserve"> access arrangement period, and do not approve its</w:t>
      </w:r>
      <w:r>
        <w:t xml:space="preserve"> closing capital base at </w:t>
      </w:r>
      <w:r w:rsidR="00A53E73">
        <w:t>31 </w:t>
      </w:r>
      <w:r>
        <w:t>December</w:t>
      </w:r>
      <w:r w:rsidRPr="00D007EE">
        <w:t xml:space="preserve"> 202</w:t>
      </w:r>
      <w:r>
        <w:t>2</w:t>
      </w:r>
      <w:r w:rsidRPr="00D007EE">
        <w:t xml:space="preserve"> of $</w:t>
      </w:r>
      <w:r w:rsidR="00DB1243">
        <w:t>1176.8</w:t>
      </w:r>
      <w:r>
        <w:t xml:space="preserve"> </w:t>
      </w:r>
      <w:r w:rsidRPr="00D007EE">
        <w:t>million ($</w:t>
      </w:r>
      <w:r w:rsidR="008753A6">
        <w:t> </w:t>
      </w:r>
      <w:r w:rsidRPr="00D007EE">
        <w:t>nominal). This is because</w:t>
      </w:r>
      <w:r w:rsidR="00291D7A">
        <w:t>:</w:t>
      </w:r>
      <w:r w:rsidRPr="00D007EE">
        <w:t xml:space="preserve"> </w:t>
      </w:r>
    </w:p>
    <w:p w:rsidR="00291D7A" w:rsidRPr="00DC278F" w:rsidRDefault="00291D7A" w:rsidP="00291D7A">
      <w:pPr>
        <w:pStyle w:val="AERbulletlistfirststyle"/>
      </w:pPr>
      <w:r w:rsidRPr="00DC278F">
        <w:t xml:space="preserve">we </w:t>
      </w:r>
      <w:r>
        <w:t>amended APA</w:t>
      </w:r>
      <w:r w:rsidRPr="00DC278F">
        <w:t>'s proposed inputs to the projected capital base roll forward, specif</w:t>
      </w:r>
      <w:r w:rsidR="00CE2560">
        <w:t xml:space="preserve">ically the opening capital base, </w:t>
      </w:r>
      <w:r w:rsidRPr="00DC278F">
        <w:t xml:space="preserve">forecast depreciation (attachment 5), </w:t>
      </w:r>
      <w:r>
        <w:t>expected</w:t>
      </w:r>
      <w:r w:rsidRPr="00DC278F">
        <w:t xml:space="preserve"> inflation (attachment 3), and forecast capex (attachment 6)</w:t>
      </w:r>
    </w:p>
    <w:p w:rsidR="00291D7A" w:rsidRPr="00DC278F" w:rsidRDefault="00291D7A" w:rsidP="00291D7A">
      <w:pPr>
        <w:pStyle w:val="AERbulletlistfirststyle"/>
      </w:pPr>
      <w:proofErr w:type="gramStart"/>
      <w:r>
        <w:t>we</w:t>
      </w:r>
      <w:proofErr w:type="gramEnd"/>
      <w:r>
        <w:t xml:space="preserve"> do not accept APA's proposal to use lagged actual inflation (annually updated) in the</w:t>
      </w:r>
      <w:r w:rsidRPr="00DC278F">
        <w:t xml:space="preserve"> roll forward of its projected capital base (attachment 3).</w:t>
      </w:r>
    </w:p>
    <w:p w:rsidR="002B12CF" w:rsidRPr="00D007EE" w:rsidRDefault="002B12CF" w:rsidP="002B12CF">
      <w:r w:rsidRPr="00D007EE">
        <w:t xml:space="preserve">Based on our </w:t>
      </w:r>
      <w:r>
        <w:t>revised</w:t>
      </w:r>
      <w:r w:rsidRPr="00D007EE">
        <w:t xml:space="preserve"> amounts for these inputs, we determine a projected closing capital base of $</w:t>
      </w:r>
      <w:r>
        <w:t xml:space="preserve"> </w:t>
      </w:r>
      <w:r w:rsidR="00DB1243">
        <w:t>11</w:t>
      </w:r>
      <w:r w:rsidR="00BA345C">
        <w:t>38.7</w:t>
      </w:r>
      <w:r>
        <w:t xml:space="preserve"> million ($</w:t>
      </w:r>
      <w:r w:rsidR="008753A6">
        <w:t> </w:t>
      </w:r>
      <w:r>
        <w:t>nominal) as at 31</w:t>
      </w:r>
      <w:r w:rsidRPr="00D007EE">
        <w:t xml:space="preserve"> </w:t>
      </w:r>
      <w:r>
        <w:t>December</w:t>
      </w:r>
      <w:r w:rsidRPr="00D007EE">
        <w:t xml:space="preserve"> 202</w:t>
      </w:r>
      <w:r>
        <w:t>2</w:t>
      </w:r>
      <w:r w:rsidRPr="00D007EE">
        <w:t>. This is $</w:t>
      </w:r>
      <w:r w:rsidR="00DB1243">
        <w:t>3</w:t>
      </w:r>
      <w:r w:rsidR="008753A6">
        <w:t>8.2</w:t>
      </w:r>
      <w:r w:rsidRPr="00D007EE">
        <w:t xml:space="preserve"> million ($</w:t>
      </w:r>
      <w:r w:rsidR="008753A6">
        <w:t> </w:t>
      </w:r>
      <w:r w:rsidRPr="00D007EE">
        <w:t>nominal) less than that proposed by AP</w:t>
      </w:r>
      <w:r>
        <w:t>A</w:t>
      </w:r>
      <w:r w:rsidRPr="00D007EE">
        <w:t xml:space="preserve">, a reduction of </w:t>
      </w:r>
      <w:r w:rsidR="009B003D">
        <w:t>3.</w:t>
      </w:r>
      <w:r w:rsidR="008753A6">
        <w:t>2</w:t>
      </w:r>
      <w:r w:rsidRPr="00D007EE">
        <w:t xml:space="preserve"> per cent. </w:t>
      </w:r>
    </w:p>
    <w:p w:rsidR="00502B52" w:rsidRDefault="00502B52" w:rsidP="00502B52">
      <w:r>
        <w:fldChar w:fldCharType="begin"/>
      </w:r>
      <w:r>
        <w:instrText xml:space="preserve"> REF _Ref466022793 \h </w:instrText>
      </w:r>
      <w:r>
        <w:fldChar w:fldCharType="separate"/>
      </w:r>
      <w:r w:rsidR="00971C32">
        <w:t xml:space="preserve">Table </w:t>
      </w:r>
      <w:r w:rsidR="00971C32">
        <w:rPr>
          <w:noProof/>
        </w:rPr>
        <w:t>5</w:t>
      </w:r>
      <w:r w:rsidR="00971C32">
        <w:noBreakHyphen/>
      </w:r>
      <w:r w:rsidR="00971C32">
        <w:rPr>
          <w:noProof/>
        </w:rPr>
        <w:t>2</w:t>
      </w:r>
      <w:r>
        <w:fldChar w:fldCharType="end"/>
      </w:r>
      <w:r w:rsidRPr="00D007EE">
        <w:t xml:space="preserve"> sets out the projected roll forward of the capital base during the 201</w:t>
      </w:r>
      <w:r w:rsidR="00A9419E">
        <w:t>8</w:t>
      </w:r>
      <w:r w:rsidRPr="00D007EE">
        <w:t>–2</w:t>
      </w:r>
      <w:r>
        <w:t>2</w:t>
      </w:r>
      <w:r w:rsidRPr="00D007EE">
        <w:t xml:space="preserve"> access arrangement period.</w:t>
      </w:r>
    </w:p>
    <w:p w:rsidR="00502B52" w:rsidRDefault="00502B52" w:rsidP="00502B52">
      <w:pPr>
        <w:pStyle w:val="Caption"/>
      </w:pPr>
      <w:bookmarkStart w:id="139" w:name="_Ref466022793"/>
      <w:r>
        <w:t xml:space="preserve">Table </w:t>
      </w:r>
      <w:fldSimple w:instr=" STYLEREF 1 \s ">
        <w:r w:rsidR="00971C32">
          <w:rPr>
            <w:noProof/>
          </w:rPr>
          <w:t>5</w:t>
        </w:r>
      </w:fldSimple>
      <w:r w:rsidR="009F6AC3">
        <w:noBreakHyphen/>
      </w:r>
      <w:fldSimple w:instr=" SEQ Table \* ARABIC \s 1 ">
        <w:r w:rsidR="00971C32">
          <w:rPr>
            <w:noProof/>
          </w:rPr>
          <w:t>2</w:t>
        </w:r>
      </w:fldSimple>
      <w:bookmarkEnd w:id="139"/>
      <w:r>
        <w:tab/>
        <w:t>AER's draft decision on AP</w:t>
      </w:r>
      <w:r w:rsidR="00F806A2">
        <w:t>A</w:t>
      </w:r>
      <w:r>
        <w:t>'s projected capital base roll forward for the 201</w:t>
      </w:r>
      <w:r w:rsidR="00E2596A">
        <w:t>8</w:t>
      </w:r>
      <w:r>
        <w:t>–22 access arrangement period ($</w:t>
      </w:r>
      <w:r w:rsidR="00F97043">
        <w:t xml:space="preserve"> </w:t>
      </w:r>
      <w:r>
        <w:t>million, nominal)</w:t>
      </w:r>
    </w:p>
    <w:tbl>
      <w:tblPr>
        <w:tblStyle w:val="AERtable-numbers"/>
        <w:tblW w:w="0" w:type="auto"/>
        <w:tblLook w:val="04A0" w:firstRow="1" w:lastRow="0" w:firstColumn="1" w:lastColumn="0" w:noHBand="0" w:noVBand="1"/>
      </w:tblPr>
      <w:tblGrid>
        <w:gridCol w:w="2718"/>
        <w:gridCol w:w="1195"/>
        <w:gridCol w:w="1195"/>
        <w:gridCol w:w="1195"/>
        <w:gridCol w:w="1195"/>
        <w:gridCol w:w="1195"/>
      </w:tblGrid>
      <w:tr w:rsidR="00502B52" w:rsidTr="00BA3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502B52" w:rsidRDefault="00502B52" w:rsidP="00502B52"/>
        </w:tc>
        <w:tc>
          <w:tcPr>
            <w:tcW w:w="1195" w:type="dxa"/>
          </w:tcPr>
          <w:p w:rsidR="00502B52" w:rsidRPr="00502B52" w:rsidRDefault="00386862" w:rsidP="00502B52">
            <w:pPr>
              <w:cnfStyle w:val="100000000000" w:firstRow="1" w:lastRow="0" w:firstColumn="0" w:lastColumn="0" w:oddVBand="0" w:evenVBand="0" w:oddHBand="0" w:evenHBand="0" w:firstRowFirstColumn="0" w:firstRowLastColumn="0" w:lastRowFirstColumn="0" w:lastRowLastColumn="0"/>
            </w:pPr>
            <w:r>
              <w:t>20</w:t>
            </w:r>
            <w:r w:rsidR="00502B52">
              <w:t>18</w:t>
            </w:r>
          </w:p>
        </w:tc>
        <w:tc>
          <w:tcPr>
            <w:tcW w:w="1195" w:type="dxa"/>
          </w:tcPr>
          <w:p w:rsidR="00502B52" w:rsidRPr="00502B52" w:rsidRDefault="00386862" w:rsidP="00502B52">
            <w:pPr>
              <w:cnfStyle w:val="100000000000" w:firstRow="1" w:lastRow="0" w:firstColumn="0" w:lastColumn="0" w:oddVBand="0" w:evenVBand="0" w:oddHBand="0" w:evenHBand="0" w:firstRowFirstColumn="0" w:firstRowLastColumn="0" w:lastRowFirstColumn="0" w:lastRowLastColumn="0"/>
            </w:pPr>
            <w:r>
              <w:t>201</w:t>
            </w:r>
            <w:r w:rsidR="00502B52">
              <w:t>9</w:t>
            </w:r>
          </w:p>
        </w:tc>
        <w:tc>
          <w:tcPr>
            <w:tcW w:w="1195" w:type="dxa"/>
          </w:tcPr>
          <w:p w:rsidR="00502B52" w:rsidRPr="00502B52" w:rsidRDefault="00386862" w:rsidP="00502B52">
            <w:pPr>
              <w:cnfStyle w:val="100000000000" w:firstRow="1" w:lastRow="0" w:firstColumn="0" w:lastColumn="0" w:oddVBand="0" w:evenVBand="0" w:oddHBand="0" w:evenHBand="0" w:firstRowFirstColumn="0" w:firstRowLastColumn="0" w:lastRowFirstColumn="0" w:lastRowLastColumn="0"/>
            </w:pPr>
            <w:r>
              <w:t>20</w:t>
            </w:r>
            <w:r w:rsidR="00502B52">
              <w:t>20</w:t>
            </w:r>
          </w:p>
        </w:tc>
        <w:tc>
          <w:tcPr>
            <w:tcW w:w="1195" w:type="dxa"/>
          </w:tcPr>
          <w:p w:rsidR="00502B52" w:rsidRPr="00502B52" w:rsidRDefault="00386862" w:rsidP="00502B52">
            <w:pPr>
              <w:cnfStyle w:val="100000000000" w:firstRow="1" w:lastRow="0" w:firstColumn="0" w:lastColumn="0" w:oddVBand="0" w:evenVBand="0" w:oddHBand="0" w:evenHBand="0" w:firstRowFirstColumn="0" w:firstRowLastColumn="0" w:lastRowFirstColumn="0" w:lastRowLastColumn="0"/>
            </w:pPr>
            <w:r>
              <w:t>20</w:t>
            </w:r>
            <w:r w:rsidR="00502B52">
              <w:t>21</w:t>
            </w:r>
          </w:p>
        </w:tc>
        <w:tc>
          <w:tcPr>
            <w:tcW w:w="1195" w:type="dxa"/>
          </w:tcPr>
          <w:p w:rsidR="00502B52" w:rsidRPr="00502B52" w:rsidRDefault="00386862" w:rsidP="00502B52">
            <w:pPr>
              <w:cnfStyle w:val="100000000000" w:firstRow="1" w:lastRow="0" w:firstColumn="0" w:lastColumn="0" w:oddVBand="0" w:evenVBand="0" w:oddHBand="0" w:evenHBand="0" w:firstRowFirstColumn="0" w:firstRowLastColumn="0" w:lastRowFirstColumn="0" w:lastRowLastColumn="0"/>
            </w:pPr>
            <w:r>
              <w:t>20</w:t>
            </w:r>
            <w:r w:rsidR="00502B52">
              <w:t>22</w:t>
            </w:r>
          </w:p>
        </w:tc>
      </w:tr>
      <w:tr w:rsidR="00BA345C" w:rsidTr="00BA345C">
        <w:tc>
          <w:tcPr>
            <w:cnfStyle w:val="001000000000" w:firstRow="0" w:lastRow="0" w:firstColumn="1" w:lastColumn="0" w:oddVBand="0" w:evenVBand="0" w:oddHBand="0" w:evenHBand="0" w:firstRowFirstColumn="0" w:firstRowLastColumn="0" w:lastRowFirstColumn="0" w:lastRowLastColumn="0"/>
            <w:tcW w:w="2718" w:type="dxa"/>
          </w:tcPr>
          <w:p w:rsidR="00BA345C" w:rsidRPr="00BA345C" w:rsidRDefault="00BA345C" w:rsidP="00BA345C">
            <w:r w:rsidRPr="00BA345C">
              <w:t>Opening capital base</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985.5</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1037.6</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1084.1</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1147.3</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1143.2</w:t>
            </w:r>
          </w:p>
        </w:tc>
      </w:tr>
      <w:tr w:rsidR="00BA345C" w:rsidTr="00BA3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A345C" w:rsidRPr="00BA345C" w:rsidRDefault="00BA345C" w:rsidP="00BA345C">
            <w:r w:rsidRPr="00BA345C">
              <w:t>Net capex</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63.6</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60.7</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79.0</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15.4</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12.5</w:t>
            </w:r>
          </w:p>
        </w:tc>
      </w:tr>
      <w:tr w:rsidR="00BA345C" w:rsidTr="00BA345C">
        <w:tc>
          <w:tcPr>
            <w:cnfStyle w:val="001000000000" w:firstRow="0" w:lastRow="0" w:firstColumn="1" w:lastColumn="0" w:oddVBand="0" w:evenVBand="0" w:oddHBand="0" w:evenHBand="0" w:firstRowFirstColumn="0" w:firstRowLastColumn="0" w:lastRowFirstColumn="0" w:lastRowLastColumn="0"/>
            <w:tcW w:w="2718" w:type="dxa"/>
          </w:tcPr>
          <w:p w:rsidR="00BA345C" w:rsidRPr="00BA345C" w:rsidRDefault="00BA345C" w:rsidP="00BA345C">
            <w:r w:rsidRPr="00BA345C">
              <w:t>Indexation of capital base</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24.1</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25.4</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26.6</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28.1</w:t>
            </w:r>
          </w:p>
        </w:tc>
        <w:tc>
          <w:tcPr>
            <w:tcW w:w="1195" w:type="dxa"/>
            <w:vAlign w:val="bottom"/>
          </w:tcPr>
          <w:p w:rsidR="00BA345C" w:rsidRPr="00BA345C" w:rsidRDefault="00BA345C" w:rsidP="00BA345C">
            <w:pPr>
              <w:cnfStyle w:val="000000000000" w:firstRow="0" w:lastRow="0" w:firstColumn="0" w:lastColumn="0" w:oddVBand="0" w:evenVBand="0" w:oddHBand="0" w:evenHBand="0" w:firstRowFirstColumn="0" w:firstRowLastColumn="0" w:lastRowFirstColumn="0" w:lastRowLastColumn="0"/>
            </w:pPr>
            <w:r w:rsidRPr="00BA345C">
              <w:t>28.0</w:t>
            </w:r>
          </w:p>
        </w:tc>
      </w:tr>
      <w:tr w:rsidR="00BA345C" w:rsidTr="00BA3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A345C" w:rsidRPr="00BA345C" w:rsidRDefault="00BA345C" w:rsidP="00BA345C">
            <w:r w:rsidRPr="00BA345C">
              <w:rPr>
                <w:rStyle w:val="AERtextitalic"/>
              </w:rPr>
              <w:t>Less:</w:t>
            </w:r>
            <w:r w:rsidRPr="00BA345C">
              <w:t xml:space="preserve"> straight-line depreciation</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35.7</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39.6</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42.4</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47.6</w:t>
            </w:r>
          </w:p>
        </w:tc>
        <w:tc>
          <w:tcPr>
            <w:tcW w:w="1195" w:type="dxa"/>
            <w:vAlign w:val="bottom"/>
          </w:tcPr>
          <w:p w:rsidR="00BA345C" w:rsidRPr="00BA345C" w:rsidRDefault="00BA345C" w:rsidP="00BA345C">
            <w:pPr>
              <w:cnfStyle w:val="000000010000" w:firstRow="0" w:lastRow="0" w:firstColumn="0" w:lastColumn="0" w:oddVBand="0" w:evenVBand="0" w:oddHBand="0" w:evenHBand="1" w:firstRowFirstColumn="0" w:firstRowLastColumn="0" w:lastRowFirstColumn="0" w:lastRowLastColumn="0"/>
            </w:pPr>
            <w:r w:rsidRPr="00BA345C">
              <w:t>45.0</w:t>
            </w:r>
          </w:p>
        </w:tc>
      </w:tr>
      <w:tr w:rsidR="00BA345C" w:rsidRPr="00BA345C" w:rsidTr="00BA345C">
        <w:tc>
          <w:tcPr>
            <w:cnfStyle w:val="001000000000" w:firstRow="0" w:lastRow="0" w:firstColumn="1" w:lastColumn="0" w:oddVBand="0" w:evenVBand="0" w:oddHBand="0" w:evenHBand="0" w:firstRowFirstColumn="0" w:firstRowLastColumn="0" w:lastRowFirstColumn="0" w:lastRowLastColumn="0"/>
            <w:tcW w:w="2718" w:type="dxa"/>
          </w:tcPr>
          <w:p w:rsidR="00BA345C" w:rsidRPr="00E91CEE" w:rsidRDefault="00BA345C" w:rsidP="00E91CEE">
            <w:pPr>
              <w:rPr>
                <w:rStyle w:val="Strong"/>
              </w:rPr>
            </w:pPr>
            <w:r w:rsidRPr="00E91CEE">
              <w:rPr>
                <w:rStyle w:val="Strong"/>
              </w:rPr>
              <w:t>Closing capital base</w:t>
            </w:r>
          </w:p>
        </w:tc>
        <w:tc>
          <w:tcPr>
            <w:tcW w:w="1195" w:type="dxa"/>
            <w:vAlign w:val="bottom"/>
          </w:tcPr>
          <w:p w:rsidR="00BA345C" w:rsidRPr="00E91CEE" w:rsidRDefault="00BA345C" w:rsidP="00E91CEE">
            <w:pPr>
              <w:cnfStyle w:val="000000000000" w:firstRow="0" w:lastRow="0" w:firstColumn="0" w:lastColumn="0" w:oddVBand="0" w:evenVBand="0" w:oddHBand="0" w:evenHBand="0" w:firstRowFirstColumn="0" w:firstRowLastColumn="0" w:lastRowFirstColumn="0" w:lastRowLastColumn="0"/>
              <w:rPr>
                <w:rStyle w:val="Strong"/>
              </w:rPr>
            </w:pPr>
            <w:r w:rsidRPr="00E91CEE">
              <w:rPr>
                <w:rStyle w:val="Strong"/>
              </w:rPr>
              <w:t>1037.6</w:t>
            </w:r>
          </w:p>
        </w:tc>
        <w:tc>
          <w:tcPr>
            <w:tcW w:w="1195" w:type="dxa"/>
            <w:vAlign w:val="bottom"/>
          </w:tcPr>
          <w:p w:rsidR="00BA345C" w:rsidRPr="00E91CEE" w:rsidRDefault="00BA345C" w:rsidP="00E91CEE">
            <w:pPr>
              <w:cnfStyle w:val="000000000000" w:firstRow="0" w:lastRow="0" w:firstColumn="0" w:lastColumn="0" w:oddVBand="0" w:evenVBand="0" w:oddHBand="0" w:evenHBand="0" w:firstRowFirstColumn="0" w:firstRowLastColumn="0" w:lastRowFirstColumn="0" w:lastRowLastColumn="0"/>
              <w:rPr>
                <w:rStyle w:val="Strong"/>
              </w:rPr>
            </w:pPr>
            <w:r w:rsidRPr="00E91CEE">
              <w:rPr>
                <w:rStyle w:val="Strong"/>
              </w:rPr>
              <w:t>1084.1</w:t>
            </w:r>
          </w:p>
        </w:tc>
        <w:tc>
          <w:tcPr>
            <w:tcW w:w="1195" w:type="dxa"/>
            <w:vAlign w:val="bottom"/>
          </w:tcPr>
          <w:p w:rsidR="00BA345C" w:rsidRPr="00E91CEE" w:rsidRDefault="00BA345C" w:rsidP="00E91CEE">
            <w:pPr>
              <w:cnfStyle w:val="000000000000" w:firstRow="0" w:lastRow="0" w:firstColumn="0" w:lastColumn="0" w:oddVBand="0" w:evenVBand="0" w:oddHBand="0" w:evenHBand="0" w:firstRowFirstColumn="0" w:firstRowLastColumn="0" w:lastRowFirstColumn="0" w:lastRowLastColumn="0"/>
              <w:rPr>
                <w:rStyle w:val="Strong"/>
              </w:rPr>
            </w:pPr>
            <w:r w:rsidRPr="00E91CEE">
              <w:rPr>
                <w:rStyle w:val="Strong"/>
              </w:rPr>
              <w:t>1147.3</w:t>
            </w:r>
          </w:p>
        </w:tc>
        <w:tc>
          <w:tcPr>
            <w:tcW w:w="1195" w:type="dxa"/>
            <w:vAlign w:val="bottom"/>
          </w:tcPr>
          <w:p w:rsidR="00BA345C" w:rsidRPr="00E91CEE" w:rsidRDefault="00BA345C" w:rsidP="00E91CEE">
            <w:pPr>
              <w:cnfStyle w:val="000000000000" w:firstRow="0" w:lastRow="0" w:firstColumn="0" w:lastColumn="0" w:oddVBand="0" w:evenVBand="0" w:oddHBand="0" w:evenHBand="0" w:firstRowFirstColumn="0" w:firstRowLastColumn="0" w:lastRowFirstColumn="0" w:lastRowLastColumn="0"/>
              <w:rPr>
                <w:rStyle w:val="Strong"/>
              </w:rPr>
            </w:pPr>
            <w:r w:rsidRPr="00E91CEE">
              <w:rPr>
                <w:rStyle w:val="Strong"/>
              </w:rPr>
              <w:t>1143.2</w:t>
            </w:r>
          </w:p>
        </w:tc>
        <w:tc>
          <w:tcPr>
            <w:tcW w:w="1195" w:type="dxa"/>
            <w:vAlign w:val="bottom"/>
          </w:tcPr>
          <w:p w:rsidR="00BA345C" w:rsidRPr="00E91CEE" w:rsidRDefault="00BA345C" w:rsidP="00E91CEE">
            <w:pPr>
              <w:cnfStyle w:val="000000000000" w:firstRow="0" w:lastRow="0" w:firstColumn="0" w:lastColumn="0" w:oddVBand="0" w:evenVBand="0" w:oddHBand="0" w:evenHBand="0" w:firstRowFirstColumn="0" w:firstRowLastColumn="0" w:lastRowFirstColumn="0" w:lastRowLastColumn="0"/>
              <w:rPr>
                <w:rStyle w:val="Strong"/>
              </w:rPr>
            </w:pPr>
            <w:r w:rsidRPr="00E91CEE">
              <w:rPr>
                <w:rStyle w:val="Strong"/>
              </w:rPr>
              <w:t>1138.7</w:t>
            </w:r>
          </w:p>
        </w:tc>
      </w:tr>
    </w:tbl>
    <w:p w:rsidR="00502B52" w:rsidRPr="001905C9" w:rsidRDefault="00502B52" w:rsidP="00502B52">
      <w:pPr>
        <w:pStyle w:val="AERtablesource"/>
      </w:pPr>
      <w:r>
        <w:t>Source:</w:t>
      </w:r>
      <w:r>
        <w:tab/>
        <w:t>AER analysis.</w:t>
      </w:r>
    </w:p>
    <w:p w:rsidR="00A53E73" w:rsidRDefault="00A53E73" w:rsidP="00502B52">
      <w:r>
        <w:t xml:space="preserve">As set out above, APA proposed to change the treatment of inflation for both the </w:t>
      </w:r>
      <w:r w:rsidR="003367DD">
        <w:t>historical</w:t>
      </w:r>
      <w:r>
        <w:t xml:space="preserve"> roll forward of the capital base (in the 2013–17 RFM) and the projected roll forward of the capital base (in the 2018–22 PTRM). Each of these changes was proposed to address the same underlying issue—an inflation 'mismatch' that APA submitted resulted in under compensation for the service provider across the 2013–17 access arrangement period, and increased </w:t>
      </w:r>
      <w:r w:rsidR="003367DD">
        <w:t>the l</w:t>
      </w:r>
      <w:r>
        <w:t xml:space="preserve">ikelihood of under or over recovery in future access arrangement periods. </w:t>
      </w:r>
      <w:r w:rsidR="002051CE">
        <w:t xml:space="preserve">We </w:t>
      </w:r>
      <w:r w:rsidR="002051CE" w:rsidRPr="003C7143">
        <w:t>do not consider that APA has set out the correct framework for assessing over or under recovery</w:t>
      </w:r>
      <w:r w:rsidR="002051CE">
        <w:t xml:space="preserve"> when inflation outcomes differ from expected inflation</w:t>
      </w:r>
      <w:r w:rsidR="002051CE" w:rsidRPr="003C7143">
        <w:t>.</w:t>
      </w:r>
      <w:r w:rsidR="002051CE">
        <w:t xml:space="preserve"> </w:t>
      </w:r>
      <w:r>
        <w:t xml:space="preserve">Given the information currently available to us, we do not agree with APA that there is an inflation 'mismatch'. </w:t>
      </w:r>
      <w:r w:rsidR="002051CE">
        <w:t xml:space="preserve">Accordingly, we do not accept either of the proposed changes to inflation treatment in the </w:t>
      </w:r>
      <w:r w:rsidR="003367DD">
        <w:t>regulatory</w:t>
      </w:r>
      <w:r w:rsidR="002051CE">
        <w:t xml:space="preserve"> models and have instead applied the AER's standard approach.</w:t>
      </w:r>
    </w:p>
    <w:p w:rsidR="00502B52" w:rsidRDefault="00502B52" w:rsidP="00502B52">
      <w:r>
        <w:t>Further detail on our dra</w:t>
      </w:r>
      <w:r w:rsidR="00F806A2">
        <w:t>ft decision in regards to APA</w:t>
      </w:r>
      <w:r>
        <w:t>'s capital base is set out in attachment 2.</w:t>
      </w:r>
    </w:p>
    <w:p w:rsidR="00624EE7" w:rsidRDefault="00624EE7" w:rsidP="00502B52">
      <w:r>
        <w:fldChar w:fldCharType="begin"/>
      </w:r>
      <w:r>
        <w:instrText xml:space="preserve"> REF _Ref485210920 \h </w:instrText>
      </w:r>
      <w:r>
        <w:fldChar w:fldCharType="separate"/>
      </w:r>
      <w:r w:rsidR="00971C32">
        <w:t xml:space="preserve">Figure </w:t>
      </w:r>
      <w:r w:rsidR="00971C32">
        <w:rPr>
          <w:noProof/>
        </w:rPr>
        <w:t>5</w:t>
      </w:r>
      <w:r w:rsidR="00971C32">
        <w:noBreakHyphen/>
      </w:r>
      <w:r w:rsidR="00971C32">
        <w:rPr>
          <w:noProof/>
        </w:rPr>
        <w:t>1</w:t>
      </w:r>
      <w:r>
        <w:fldChar w:fldCharType="end"/>
      </w:r>
      <w:r>
        <w:t xml:space="preserve"> </w:t>
      </w:r>
      <w:r w:rsidRPr="00624EE7">
        <w:t xml:space="preserve">compares our draft decision on </w:t>
      </w:r>
      <w:r>
        <w:t>APA's</w:t>
      </w:r>
      <w:r w:rsidRPr="00624EE7">
        <w:t xml:space="preserve"> forecast capital base to </w:t>
      </w:r>
      <w:r>
        <w:t>APA'</w:t>
      </w:r>
      <w:r w:rsidRPr="00624EE7">
        <w:t>s proposal and actual capital base in real dollar terms.</w:t>
      </w:r>
    </w:p>
    <w:p w:rsidR="00624EE7" w:rsidRDefault="00624EE7" w:rsidP="00F8785E">
      <w:pPr>
        <w:pStyle w:val="Caption"/>
      </w:pPr>
      <w:bookmarkStart w:id="140" w:name="_Ref485210920"/>
      <w:r>
        <w:t xml:space="preserve">Figure </w:t>
      </w:r>
      <w:fldSimple w:instr=" STYLEREF 1 \s ">
        <w:r w:rsidR="00971C32">
          <w:rPr>
            <w:noProof/>
          </w:rPr>
          <w:t>5</w:t>
        </w:r>
      </w:fldSimple>
      <w:r>
        <w:noBreakHyphen/>
      </w:r>
      <w:fldSimple w:instr=" SEQ Figure \* ARABIC \s 1 ">
        <w:r w:rsidR="00971C32">
          <w:rPr>
            <w:noProof/>
          </w:rPr>
          <w:t>1</w:t>
        </w:r>
      </w:fldSimple>
      <w:bookmarkEnd w:id="140"/>
      <w:r>
        <w:tab/>
        <w:t>APA's actual, proposed forecast and draft decision forecast capital base ($ million, 2017)</w:t>
      </w:r>
    </w:p>
    <w:p w:rsidR="00BA345C" w:rsidRPr="001F2E11" w:rsidRDefault="003C0A74" w:rsidP="00502B52">
      <w:r>
        <w:rPr>
          <w:noProof/>
          <w:lang w:eastAsia="en-AU"/>
        </w:rPr>
        <w:drawing>
          <wp:inline distT="0" distB="0" distL="0" distR="0" wp14:anchorId="66F0C08D" wp14:editId="3D17E074">
            <wp:extent cx="5247861" cy="317445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9389" cy="3175377"/>
                    </a:xfrm>
                    <a:prstGeom prst="rect">
                      <a:avLst/>
                    </a:prstGeom>
                    <a:noFill/>
                  </pic:spPr>
                </pic:pic>
              </a:graphicData>
            </a:graphic>
          </wp:inline>
        </w:drawing>
      </w:r>
    </w:p>
    <w:p w:rsidR="003751C2" w:rsidRPr="003751C2" w:rsidRDefault="003751C2" w:rsidP="003751C2">
      <w:pPr>
        <w:pStyle w:val="AERtablesource"/>
      </w:pPr>
      <w:bookmarkStart w:id="141" w:name="_Toc430002790"/>
      <w:bookmarkStart w:id="142" w:name="_Ref433367669"/>
      <w:bookmarkStart w:id="143" w:name="_Ref433619827"/>
      <w:bookmarkStart w:id="144" w:name="_Toc436046182"/>
      <w:bookmarkStart w:id="145" w:name="_Ref437605154"/>
      <w:bookmarkStart w:id="146" w:name="_Toc444855390"/>
      <w:r w:rsidRPr="003751C2">
        <w:t>Source:</w:t>
      </w:r>
      <w:r w:rsidRPr="003751C2">
        <w:tab/>
        <w:t>AER analysis.</w:t>
      </w:r>
    </w:p>
    <w:p w:rsidR="005E3485" w:rsidRDefault="005E3485" w:rsidP="005E3485">
      <w:pPr>
        <w:pStyle w:val="Heading2"/>
      </w:pPr>
      <w:bookmarkStart w:id="147" w:name="_Toc487018277"/>
      <w:bookmarkStart w:id="148" w:name="_GoBack"/>
      <w:bookmarkEnd w:id="148"/>
      <w:r>
        <w:t>Rate of return (return on capital)</w:t>
      </w:r>
      <w:bookmarkEnd w:id="141"/>
      <w:bookmarkEnd w:id="142"/>
      <w:bookmarkEnd w:id="143"/>
      <w:bookmarkEnd w:id="144"/>
      <w:bookmarkEnd w:id="145"/>
      <w:bookmarkEnd w:id="146"/>
      <w:bookmarkEnd w:id="147"/>
    </w:p>
    <w:p w:rsidR="00E35B21" w:rsidRPr="00AE6E1D" w:rsidRDefault="00E35B21" w:rsidP="00E35B21">
      <w:r w:rsidRPr="00AE6E1D">
        <w:t xml:space="preserve">The allowed rate of return provides a </w:t>
      </w:r>
      <w:r>
        <w:t>service provider</w:t>
      </w:r>
      <w:r w:rsidRPr="00AE6E1D">
        <w:t xml:space="preserve"> a return on capital to service the interest on its loans and give a return on equity to investors. The return on capital building block is calculated as a product of the rate of return and the value of the RAB.</w:t>
      </w:r>
    </w:p>
    <w:p w:rsidR="00E35B21" w:rsidRDefault="00E35B21" w:rsidP="00E35B21">
      <w:r w:rsidRPr="009F45DE">
        <w:t xml:space="preserve">We are satisfied that the allowed rate of </w:t>
      </w:r>
      <w:r w:rsidRPr="009F45DE">
        <w:rPr>
          <w:rStyle w:val="AERbody"/>
        </w:rPr>
        <w:t xml:space="preserve">return of </w:t>
      </w:r>
      <w:r>
        <w:rPr>
          <w:rStyle w:val="AERbody"/>
        </w:rPr>
        <w:t>5.75</w:t>
      </w:r>
      <w:r w:rsidRPr="009F45DE">
        <w:rPr>
          <w:rStyle w:val="AERbody"/>
        </w:rPr>
        <w:t> per cent</w:t>
      </w:r>
      <w:r w:rsidRPr="009F45DE">
        <w:t xml:space="preserve"> (nominal vanilla) we determined contributes to the achievement of the N</w:t>
      </w:r>
      <w:r>
        <w:t>G</w:t>
      </w:r>
      <w:r w:rsidRPr="009F45DE">
        <w:t>O, and achieves the allowed rate of return objective (ARORO) set out in the N</w:t>
      </w:r>
      <w:r>
        <w:t>G</w:t>
      </w:r>
      <w:r w:rsidR="00F62B96">
        <w:t>R</w:t>
      </w:r>
      <w:r w:rsidRPr="009F45DE">
        <w:t>.</w:t>
      </w:r>
      <w:r w:rsidRPr="009F45DE">
        <w:rPr>
          <w:rStyle w:val="FootnoteReference"/>
        </w:rPr>
        <w:footnoteReference w:id="28"/>
      </w:r>
      <w:r w:rsidRPr="009F45DE">
        <w:t xml:space="preserve"> That is, we are satisfied that this allowed rate of return is commensurate with the efficient financing costs of a benchmark efficient entity with a similar degree of risk as that which applies to </w:t>
      </w:r>
      <w:r>
        <w:t xml:space="preserve">APA </w:t>
      </w:r>
      <w:r w:rsidRPr="009F45DE">
        <w:t xml:space="preserve">in providing </w:t>
      </w:r>
      <w:r>
        <w:t xml:space="preserve">reference </w:t>
      </w:r>
      <w:r w:rsidRPr="009F45DE">
        <w:t>services.</w:t>
      </w:r>
      <w:r w:rsidRPr="009F45DE">
        <w:rPr>
          <w:rStyle w:val="FootnoteReference"/>
        </w:rPr>
        <w:footnoteReference w:id="29"/>
      </w:r>
      <w:r>
        <w:t xml:space="preserve"> </w:t>
      </w:r>
      <w:r w:rsidRPr="00AE6E1D">
        <w:t xml:space="preserve">We are not satisfied </w:t>
      </w:r>
      <w:r>
        <w:t>that APA's</w:t>
      </w:r>
      <w:r w:rsidRPr="00AE6E1D">
        <w:t xml:space="preserve"> proposed (indicative) </w:t>
      </w:r>
      <w:r>
        <w:t xml:space="preserve"> </w:t>
      </w:r>
      <w:r w:rsidRPr="00AE6E1D">
        <w:t>per cent rate of return for 201</w:t>
      </w:r>
      <w:r>
        <w:t>8</w:t>
      </w:r>
      <w:r w:rsidRPr="00AE6E1D">
        <w:t xml:space="preserve"> will achieve the ARORO.</w:t>
      </w:r>
      <w:r w:rsidRPr="00AE6E1D">
        <w:rPr>
          <w:rStyle w:val="FootnoteReference"/>
        </w:rPr>
        <w:footnoteReference w:id="30"/>
      </w:r>
      <w:r w:rsidRPr="00AE6E1D">
        <w:t xml:space="preserve"> </w:t>
      </w:r>
    </w:p>
    <w:p w:rsidR="00E35B21" w:rsidRPr="009734B7" w:rsidRDefault="00137500" w:rsidP="00E35B21">
      <w:r>
        <w:fldChar w:fldCharType="begin"/>
      </w:r>
      <w:r>
        <w:instrText xml:space="preserve"> REF _Ref486847108 \h </w:instrText>
      </w:r>
      <w:r>
        <w:fldChar w:fldCharType="separate"/>
      </w:r>
      <w:r w:rsidR="00971C32" w:rsidRPr="00E71176">
        <w:t xml:space="preserve">Table </w:t>
      </w:r>
      <w:r w:rsidR="00971C32">
        <w:rPr>
          <w:noProof/>
        </w:rPr>
        <w:t>5</w:t>
      </w:r>
      <w:r w:rsidR="00971C32" w:rsidRPr="00E71176">
        <w:noBreakHyphen/>
      </w:r>
      <w:r w:rsidR="00971C32">
        <w:rPr>
          <w:noProof/>
        </w:rPr>
        <w:t>3</w:t>
      </w:r>
      <w:r>
        <w:fldChar w:fldCharType="end"/>
      </w:r>
      <w:r>
        <w:t xml:space="preserve"> </w:t>
      </w:r>
      <w:r w:rsidR="00E35B21" w:rsidRPr="009734B7">
        <w:t xml:space="preserve">sets out our rate of return and </w:t>
      </w:r>
      <w:r w:rsidR="00E35B21">
        <w:t>APA</w:t>
      </w:r>
      <w:r w:rsidR="00E35B21" w:rsidRPr="009734B7">
        <w:t>'s proposed rate of return.</w:t>
      </w:r>
    </w:p>
    <w:p w:rsidR="00E35B21" w:rsidRPr="00E71176" w:rsidRDefault="00E35B21" w:rsidP="00E35B21">
      <w:pPr>
        <w:pStyle w:val="Caption"/>
      </w:pPr>
      <w:bookmarkStart w:id="149" w:name="_Ref486847108"/>
      <w:r w:rsidRPr="00E71176">
        <w:t xml:space="preserve">Table </w:t>
      </w:r>
      <w:fldSimple w:instr=" STYLEREF 1 \s ">
        <w:r w:rsidR="00971C32">
          <w:rPr>
            <w:noProof/>
          </w:rPr>
          <w:t>5</w:t>
        </w:r>
      </w:fldSimple>
      <w:r w:rsidRPr="00E71176">
        <w:noBreakHyphen/>
      </w:r>
      <w:fldSimple w:instr=" SEQ Table \* ARABIC \s 1 ">
        <w:r w:rsidR="00971C32">
          <w:rPr>
            <w:noProof/>
          </w:rPr>
          <w:t>3</w:t>
        </w:r>
      </w:fldSimple>
      <w:bookmarkEnd w:id="149"/>
      <w:r w:rsidRPr="00E71176">
        <w:tab/>
        <w:t xml:space="preserve">Draft decision on </w:t>
      </w:r>
      <w:r>
        <w:t>APA</w:t>
      </w:r>
      <w:r w:rsidRPr="00E71176">
        <w:t>'s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E35B21" w:rsidRPr="00351675" w:rsidTr="00770BEF">
        <w:trPr>
          <w:cnfStyle w:val="100000000000" w:firstRow="1" w:lastRow="0" w:firstColumn="0" w:lastColumn="0" w:oddVBand="0" w:evenVBand="0" w:oddHBand="0" w:evenHBand="0" w:firstRowFirstColumn="0" w:firstRowLastColumn="0" w:lastRowFirstColumn="0" w:lastRowLastColumn="0"/>
        </w:trPr>
        <w:tc>
          <w:tcPr>
            <w:tcW w:w="1123" w:type="pct"/>
          </w:tcPr>
          <w:p w:rsidR="00E35B21" w:rsidRPr="00E71176" w:rsidRDefault="00E35B21" w:rsidP="00E35B21"/>
        </w:tc>
        <w:tc>
          <w:tcPr>
            <w:tcW w:w="970" w:type="pct"/>
          </w:tcPr>
          <w:p w:rsidR="00E35B21" w:rsidRPr="00E35B21" w:rsidRDefault="00E35B21" w:rsidP="00E35B21">
            <w:r w:rsidRPr="00E71176">
              <w:t>Previous allowed return (2013-17)</w:t>
            </w:r>
          </w:p>
        </w:tc>
        <w:tc>
          <w:tcPr>
            <w:tcW w:w="1067" w:type="pct"/>
          </w:tcPr>
          <w:p w:rsidR="00E35B21" w:rsidRPr="00E35B21" w:rsidRDefault="00E35B21" w:rsidP="00E35B21">
            <w:r>
              <w:t>APA</w:t>
            </w:r>
            <w:r w:rsidRPr="00E35B21">
              <w:t>'s proposal (2018-22)</w:t>
            </w:r>
          </w:p>
        </w:tc>
        <w:tc>
          <w:tcPr>
            <w:tcW w:w="736" w:type="pct"/>
          </w:tcPr>
          <w:p w:rsidR="00E35B21" w:rsidRPr="00E35B21" w:rsidRDefault="00E35B21" w:rsidP="00E35B21">
            <w:r w:rsidRPr="00E71176">
              <w:t>AER draft decision (2018)</w:t>
            </w:r>
          </w:p>
        </w:tc>
        <w:tc>
          <w:tcPr>
            <w:tcW w:w="1104" w:type="pct"/>
          </w:tcPr>
          <w:p w:rsidR="00E35B21" w:rsidRPr="00E35B21" w:rsidRDefault="00E35B21" w:rsidP="00E35B21">
            <w:r w:rsidRPr="00E71176">
              <w:t>Allowed return over 2018 regulatory  control period</w:t>
            </w:r>
          </w:p>
        </w:tc>
      </w:tr>
      <w:tr w:rsidR="00E35B21" w:rsidRPr="00351675" w:rsidTr="00770BEF">
        <w:tc>
          <w:tcPr>
            <w:tcW w:w="1123" w:type="pct"/>
          </w:tcPr>
          <w:p w:rsidR="00E35B21" w:rsidRPr="00E35B21" w:rsidRDefault="00E35B21" w:rsidP="00E35B21">
            <w:r w:rsidRPr="00E71176">
              <w:t xml:space="preserve">Return on equity    (nominal post–tax) </w:t>
            </w:r>
          </w:p>
        </w:tc>
        <w:tc>
          <w:tcPr>
            <w:tcW w:w="970" w:type="pct"/>
          </w:tcPr>
          <w:p w:rsidR="00E35B21" w:rsidRPr="00E35B21" w:rsidRDefault="00E35B21" w:rsidP="00E35B21">
            <w:r>
              <w:t>8.02%</w:t>
            </w:r>
          </w:p>
        </w:tc>
        <w:tc>
          <w:tcPr>
            <w:tcW w:w="1067" w:type="pct"/>
          </w:tcPr>
          <w:p w:rsidR="00E35B21" w:rsidRPr="00E35B21" w:rsidRDefault="00E35B21" w:rsidP="00E35B21">
            <w:r>
              <w:t>8.45%</w:t>
            </w:r>
          </w:p>
        </w:tc>
        <w:tc>
          <w:tcPr>
            <w:tcW w:w="736" w:type="pct"/>
          </w:tcPr>
          <w:p w:rsidR="00E35B21" w:rsidRPr="00E35B21" w:rsidRDefault="00E35B21" w:rsidP="00E35B21">
            <w:r w:rsidRPr="00E71176">
              <w:t>7.2</w:t>
            </w:r>
            <w:r w:rsidRPr="00E35B21">
              <w:t>%</w:t>
            </w:r>
          </w:p>
        </w:tc>
        <w:tc>
          <w:tcPr>
            <w:tcW w:w="1104" w:type="pct"/>
          </w:tcPr>
          <w:p w:rsidR="00E35B21" w:rsidRPr="00E35B21" w:rsidRDefault="00E35B21" w:rsidP="00E35B21">
            <w:r w:rsidRPr="00E71176">
              <w:t>Constant   (7.2%</w:t>
            </w:r>
          </w:p>
        </w:tc>
      </w:tr>
      <w:tr w:rsidR="00E35B21" w:rsidRPr="00351675" w:rsidTr="00770BEF">
        <w:trPr>
          <w:cnfStyle w:val="000000010000" w:firstRow="0" w:lastRow="0" w:firstColumn="0" w:lastColumn="0" w:oddVBand="0" w:evenVBand="0" w:oddHBand="0" w:evenHBand="1" w:firstRowFirstColumn="0" w:firstRowLastColumn="0" w:lastRowFirstColumn="0" w:lastRowLastColumn="0"/>
        </w:trPr>
        <w:tc>
          <w:tcPr>
            <w:tcW w:w="1123" w:type="pct"/>
          </w:tcPr>
          <w:p w:rsidR="00E35B21" w:rsidRPr="00E35B21" w:rsidRDefault="00E35B21" w:rsidP="00E35B21">
            <w:r w:rsidRPr="00E71176">
              <w:t xml:space="preserve">Return on debt      (nominal </w:t>
            </w:r>
            <w:r w:rsidRPr="00E35B21">
              <w:t>pre–tax)</w:t>
            </w:r>
          </w:p>
        </w:tc>
        <w:tc>
          <w:tcPr>
            <w:tcW w:w="970" w:type="pct"/>
          </w:tcPr>
          <w:p w:rsidR="00E35B21" w:rsidRPr="00E35B21" w:rsidRDefault="00E35B21" w:rsidP="00E35B21">
            <w:r>
              <w:t>6.68%</w:t>
            </w:r>
          </w:p>
        </w:tc>
        <w:tc>
          <w:tcPr>
            <w:tcW w:w="1067" w:type="pct"/>
          </w:tcPr>
          <w:p w:rsidR="00E35B21" w:rsidRPr="00E35B21" w:rsidRDefault="00E35B21" w:rsidP="00E35B21">
            <w:r>
              <w:t>7.47%</w:t>
            </w:r>
          </w:p>
        </w:tc>
        <w:tc>
          <w:tcPr>
            <w:tcW w:w="736" w:type="pct"/>
          </w:tcPr>
          <w:p w:rsidR="00E35B21" w:rsidRPr="00E35B21" w:rsidRDefault="00E35B21" w:rsidP="00E35B21">
            <w:r w:rsidRPr="00E71176">
              <w:t>4.79</w:t>
            </w:r>
            <w:r w:rsidRPr="00E35B21">
              <w:t>%</w:t>
            </w:r>
          </w:p>
        </w:tc>
        <w:tc>
          <w:tcPr>
            <w:tcW w:w="1104" w:type="pct"/>
          </w:tcPr>
          <w:p w:rsidR="00E35B21" w:rsidRPr="00E35B21" w:rsidRDefault="00E35B21" w:rsidP="00E35B21">
            <w:r w:rsidRPr="00E71176">
              <w:t>Updated annually</w:t>
            </w:r>
          </w:p>
        </w:tc>
      </w:tr>
      <w:tr w:rsidR="00E35B21" w:rsidRPr="00351675" w:rsidTr="00770BEF">
        <w:tc>
          <w:tcPr>
            <w:tcW w:w="1123" w:type="pct"/>
          </w:tcPr>
          <w:p w:rsidR="00E35B21" w:rsidRPr="00E35B21" w:rsidRDefault="00E35B21" w:rsidP="00E35B21">
            <w:r w:rsidRPr="00E71176">
              <w:t>Gearing</w:t>
            </w:r>
          </w:p>
        </w:tc>
        <w:tc>
          <w:tcPr>
            <w:tcW w:w="970" w:type="pct"/>
          </w:tcPr>
          <w:p w:rsidR="00E35B21" w:rsidRPr="00E35B21" w:rsidRDefault="00E35B21" w:rsidP="00E35B21">
            <w:r>
              <w:t>60</w:t>
            </w:r>
          </w:p>
        </w:tc>
        <w:tc>
          <w:tcPr>
            <w:tcW w:w="1067" w:type="pct"/>
          </w:tcPr>
          <w:p w:rsidR="00E35B21" w:rsidRPr="00E35B21" w:rsidRDefault="00E35B21" w:rsidP="00E35B21">
            <w:r>
              <w:t>60</w:t>
            </w:r>
          </w:p>
        </w:tc>
        <w:tc>
          <w:tcPr>
            <w:tcW w:w="736" w:type="pct"/>
          </w:tcPr>
          <w:p w:rsidR="00E35B21" w:rsidRPr="00E35B21" w:rsidRDefault="00E35B21" w:rsidP="00E35B21">
            <w:r w:rsidRPr="00E71176">
              <w:t>60</w:t>
            </w:r>
          </w:p>
        </w:tc>
        <w:tc>
          <w:tcPr>
            <w:tcW w:w="1104" w:type="pct"/>
          </w:tcPr>
          <w:p w:rsidR="00E35B21" w:rsidRPr="00E35B21" w:rsidRDefault="00E35B21" w:rsidP="00E35B21">
            <w:r w:rsidRPr="00E71176">
              <w:t>Constant   (60%)</w:t>
            </w:r>
          </w:p>
        </w:tc>
      </w:tr>
      <w:tr w:rsidR="00E35B21" w:rsidRPr="00351675" w:rsidTr="00770BEF">
        <w:trPr>
          <w:cnfStyle w:val="000000010000" w:firstRow="0" w:lastRow="0" w:firstColumn="0" w:lastColumn="0" w:oddVBand="0" w:evenVBand="0" w:oddHBand="0" w:evenHBand="1" w:firstRowFirstColumn="0" w:firstRowLastColumn="0" w:lastRowFirstColumn="0" w:lastRowLastColumn="0"/>
        </w:trPr>
        <w:tc>
          <w:tcPr>
            <w:tcW w:w="1123" w:type="pct"/>
          </w:tcPr>
          <w:p w:rsidR="00E35B21" w:rsidRPr="00E35B21" w:rsidRDefault="00E35B21" w:rsidP="00E35B21">
            <w:r w:rsidRPr="00E71176">
              <w:t>Nominal vanilla WACC</w:t>
            </w:r>
          </w:p>
        </w:tc>
        <w:tc>
          <w:tcPr>
            <w:tcW w:w="970" w:type="pct"/>
          </w:tcPr>
          <w:p w:rsidR="00E35B21" w:rsidRPr="00E35B21" w:rsidRDefault="00E35B21" w:rsidP="00E35B21">
            <w:r>
              <w:t>7.22%</w:t>
            </w:r>
          </w:p>
        </w:tc>
        <w:tc>
          <w:tcPr>
            <w:tcW w:w="1067" w:type="pct"/>
          </w:tcPr>
          <w:p w:rsidR="00E35B21" w:rsidRPr="00E35B21" w:rsidRDefault="00E35B21" w:rsidP="00E35B21">
            <w:r>
              <w:t>7.88%</w:t>
            </w:r>
          </w:p>
        </w:tc>
        <w:tc>
          <w:tcPr>
            <w:tcW w:w="736" w:type="pct"/>
          </w:tcPr>
          <w:p w:rsidR="00E35B21" w:rsidRPr="00E35B21" w:rsidRDefault="00E35B21" w:rsidP="00E35B21">
            <w:r w:rsidRPr="00E71176">
              <w:t>5.75</w:t>
            </w:r>
            <w:r w:rsidRPr="00E35B21">
              <w:t>%</w:t>
            </w:r>
          </w:p>
        </w:tc>
        <w:tc>
          <w:tcPr>
            <w:tcW w:w="1104" w:type="pct"/>
          </w:tcPr>
          <w:p w:rsidR="00E35B21" w:rsidRPr="00E35B21" w:rsidRDefault="00E35B21" w:rsidP="00E35B21">
            <w:r w:rsidRPr="00E71176">
              <w:t>Updated annually for return on debt</w:t>
            </w:r>
          </w:p>
        </w:tc>
      </w:tr>
      <w:tr w:rsidR="00E35B21" w:rsidRPr="00351675" w:rsidTr="00770BEF">
        <w:tc>
          <w:tcPr>
            <w:tcW w:w="1123" w:type="pct"/>
          </w:tcPr>
          <w:p w:rsidR="00E35B21" w:rsidRPr="00E35B21" w:rsidRDefault="00E35B21" w:rsidP="00E35B21">
            <w:r w:rsidRPr="00E71176">
              <w:t>Forecast inflation</w:t>
            </w:r>
          </w:p>
        </w:tc>
        <w:tc>
          <w:tcPr>
            <w:tcW w:w="970" w:type="pct"/>
          </w:tcPr>
          <w:p w:rsidR="00E35B21" w:rsidRPr="00E35B21" w:rsidRDefault="00E35B21" w:rsidP="00E35B21">
            <w:r>
              <w:t>2.5%</w:t>
            </w:r>
          </w:p>
        </w:tc>
        <w:tc>
          <w:tcPr>
            <w:tcW w:w="1067" w:type="pct"/>
          </w:tcPr>
          <w:p w:rsidR="00E35B21" w:rsidRPr="00E35B21" w:rsidRDefault="00E35B21" w:rsidP="00E35B21">
            <w:r>
              <w:t>2%</w:t>
            </w:r>
          </w:p>
        </w:tc>
        <w:tc>
          <w:tcPr>
            <w:tcW w:w="736" w:type="pct"/>
          </w:tcPr>
          <w:p w:rsidR="00E35B21" w:rsidRPr="00E35B21" w:rsidRDefault="00E35B21" w:rsidP="00E35B21">
            <w:r w:rsidRPr="00E71176">
              <w:t>2.</w:t>
            </w:r>
            <w:r w:rsidRPr="00E35B21">
              <w:t>45%</w:t>
            </w:r>
          </w:p>
        </w:tc>
        <w:tc>
          <w:tcPr>
            <w:tcW w:w="1104" w:type="pct"/>
          </w:tcPr>
          <w:p w:rsidR="00E35B21" w:rsidRPr="00E35B21" w:rsidRDefault="00E35B21" w:rsidP="00E35B21">
            <w:r w:rsidRPr="00E71176">
              <w:t>Constant   (%)</w:t>
            </w:r>
          </w:p>
        </w:tc>
      </w:tr>
    </w:tbl>
    <w:p w:rsidR="00E35B21" w:rsidRPr="00E71176" w:rsidRDefault="00E35B21" w:rsidP="00E35B21">
      <w:pPr>
        <w:pStyle w:val="AERtablesource"/>
      </w:pPr>
      <w:r w:rsidRPr="00E71176">
        <w:t>Source:</w:t>
      </w:r>
      <w:r w:rsidRPr="00E71176">
        <w:tab/>
        <w:t xml:space="preserve">AER analysis; </w:t>
      </w:r>
      <w:r w:rsidR="00A37EC9">
        <w:t>APA</w:t>
      </w:r>
      <w:r>
        <w:t xml:space="preserve">, </w:t>
      </w:r>
      <w:r w:rsidRPr="000C05A5">
        <w:rPr>
          <w:rStyle w:val="AERtextitalic"/>
        </w:rPr>
        <w:t>Victorian transmission system access arrangement submission</w:t>
      </w:r>
      <w:r>
        <w:t>, 3 January 2017.</w:t>
      </w:r>
    </w:p>
    <w:p w:rsidR="00E35B21" w:rsidRPr="00AE6E1D" w:rsidRDefault="00E35B21" w:rsidP="00E35B21">
      <w:r w:rsidRPr="00AE6E1D">
        <w:t xml:space="preserve">Our return on equity estimate for this draft </w:t>
      </w:r>
      <w:r w:rsidRPr="00AE6E1D">
        <w:rPr>
          <w:rStyle w:val="AERbody"/>
        </w:rPr>
        <w:t>decision is 7.</w:t>
      </w:r>
      <w:r>
        <w:rPr>
          <w:rStyle w:val="AERbody"/>
        </w:rPr>
        <w:t>2</w:t>
      </w:r>
      <w:r w:rsidRPr="00AE6E1D">
        <w:rPr>
          <w:rStyle w:val="AERbody"/>
        </w:rPr>
        <w:t xml:space="preserve"> per c</w:t>
      </w:r>
      <w:r w:rsidRPr="00AE6E1D">
        <w:t xml:space="preserve">ent. We derived this estimate by applying the </w:t>
      </w:r>
      <w:r w:rsidR="000F37BC">
        <w:t>foundation model</w:t>
      </w:r>
      <w:r w:rsidRPr="00AE6E1D">
        <w:t xml:space="preserve"> approach</w:t>
      </w:r>
      <w:r w:rsidR="000F37BC">
        <w:t xml:space="preserve"> (</w:t>
      </w:r>
      <w:r w:rsidR="00F62B96">
        <w:t xml:space="preserve">as set out </w:t>
      </w:r>
      <w:r w:rsidR="000F37BC">
        <w:t>in the Guideline)</w:t>
      </w:r>
      <w:r w:rsidRPr="00AE6E1D">
        <w:t xml:space="preserve"> </w:t>
      </w:r>
      <w:r w:rsidR="000F37BC">
        <w:t xml:space="preserve">used </w:t>
      </w:r>
      <w:r w:rsidRPr="00AE6E1D">
        <w:t>to determine the allowed return on equity in our most recent decisions.</w:t>
      </w:r>
      <w:r w:rsidRPr="00AE6E1D">
        <w:rPr>
          <w:rStyle w:val="FootnoteReference"/>
        </w:rPr>
        <w:footnoteReference w:id="31"/>
      </w:r>
      <w:r w:rsidRPr="00AE6E1D">
        <w:t xml:space="preserve"> This is a six step process, where we have regard to a considerable amount of relevant information, including various equity models. </w:t>
      </w:r>
    </w:p>
    <w:p w:rsidR="00E35B21" w:rsidRDefault="00E35B21" w:rsidP="00E35B21">
      <w:r w:rsidRPr="00AE6E1D">
        <w:t xml:space="preserve">Our return on equity point estimate and the parameter inputs are set out in </w:t>
      </w:r>
      <w:r>
        <w:t>the table below.</w:t>
      </w:r>
      <w:r w:rsidRPr="00AE6E1D">
        <w:t xml:space="preserve"> </w:t>
      </w:r>
      <w:r>
        <w:t xml:space="preserve">APA </w:t>
      </w:r>
      <w:r w:rsidRPr="00AE6E1D">
        <w:t>proposed departing fro</w:t>
      </w:r>
      <w:r>
        <w:t xml:space="preserve">m the approach in the Guideline for the market risk premium and equity beta parameters. </w:t>
      </w:r>
      <w:r w:rsidRPr="00AE6E1D">
        <w:t xml:space="preserve">We are not satisfied that </w:t>
      </w:r>
      <w:r>
        <w:t>APA's proposal</w:t>
      </w:r>
      <w:r w:rsidRPr="00AE6E1D">
        <w:t xml:space="preserve"> would result in an outcome that better achieves the ARORO.</w:t>
      </w:r>
      <w:r w:rsidRPr="00AE6E1D">
        <w:rPr>
          <w:rStyle w:val="FootnoteReference"/>
        </w:rPr>
        <w:footnoteReference w:id="32"/>
      </w:r>
    </w:p>
    <w:p w:rsidR="00E35B21" w:rsidRPr="00AE6E1D" w:rsidRDefault="00E35B21" w:rsidP="00E76C5B">
      <w:pPr>
        <w:pStyle w:val="Caption"/>
      </w:pPr>
      <w:r w:rsidRPr="00E71176">
        <w:t xml:space="preserve">Table </w:t>
      </w:r>
      <w:fldSimple w:instr=" STYLEREF 1 \s ">
        <w:r w:rsidR="00971C32">
          <w:rPr>
            <w:noProof/>
          </w:rPr>
          <w:t>5</w:t>
        </w:r>
      </w:fldSimple>
      <w:r w:rsidRPr="00E71176">
        <w:noBreakHyphen/>
      </w:r>
      <w:fldSimple w:instr=" SEQ Table \* ARABIC \s 1 ">
        <w:r w:rsidR="00971C32">
          <w:rPr>
            <w:noProof/>
          </w:rPr>
          <w:t>4</w:t>
        </w:r>
      </w:fldSimple>
      <w:r w:rsidRPr="00E71176">
        <w:tab/>
        <w:t xml:space="preserve">Draft decision on </w:t>
      </w:r>
      <w:r>
        <w:t>APA</w:t>
      </w:r>
      <w:r w:rsidRPr="00E71176">
        <w:t xml:space="preserve">'s </w:t>
      </w:r>
      <w:r>
        <w:t>return on equity</w:t>
      </w:r>
      <w:r w:rsidRPr="00E71176">
        <w:t xml:space="preserve"> (% nominal)</w:t>
      </w:r>
    </w:p>
    <w:tbl>
      <w:tblPr>
        <w:tblStyle w:val="AERtable-numbers"/>
        <w:tblW w:w="5000" w:type="pct"/>
        <w:tblLook w:val="04A0" w:firstRow="1" w:lastRow="0" w:firstColumn="1" w:lastColumn="0" w:noHBand="0" w:noVBand="1"/>
      </w:tblPr>
      <w:tblGrid>
        <w:gridCol w:w="2173"/>
        <w:gridCol w:w="2046"/>
        <w:gridCol w:w="2410"/>
        <w:gridCol w:w="2064"/>
      </w:tblGrid>
      <w:tr w:rsidR="00E35B21" w:rsidRPr="0036067E" w:rsidTr="00770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35B21" w:rsidRPr="00E71176" w:rsidRDefault="00E35B21" w:rsidP="00E76C5B">
            <w:pPr>
              <w:keepNext/>
            </w:pPr>
          </w:p>
        </w:tc>
        <w:tc>
          <w:tcPr>
            <w:tcW w:w="1177" w:type="pct"/>
          </w:tcPr>
          <w:p w:rsidR="00E35B21" w:rsidRPr="00E35B21" w:rsidRDefault="00E35B21" w:rsidP="00E76C5B">
            <w:pPr>
              <w:keepNext/>
              <w:cnfStyle w:val="100000000000" w:firstRow="1" w:lastRow="0" w:firstColumn="0" w:lastColumn="0" w:oddVBand="0" w:evenVBand="0" w:oddHBand="0" w:evenHBand="0" w:firstRowFirstColumn="0" w:firstRowLastColumn="0" w:lastRowFirstColumn="0" w:lastRowLastColumn="0"/>
            </w:pPr>
            <w:r w:rsidRPr="00E71176">
              <w:t>AER previous decision (2013–1</w:t>
            </w:r>
            <w:r w:rsidRPr="00E35B21">
              <w:t>7)</w:t>
            </w:r>
          </w:p>
        </w:tc>
        <w:tc>
          <w:tcPr>
            <w:tcW w:w="1386" w:type="pct"/>
          </w:tcPr>
          <w:p w:rsidR="00E35B21" w:rsidRPr="00E35B21" w:rsidRDefault="00E35B21" w:rsidP="00E76C5B">
            <w:pPr>
              <w:keepNext/>
              <w:cnfStyle w:val="100000000000" w:firstRow="1" w:lastRow="0" w:firstColumn="0" w:lastColumn="0" w:oddVBand="0" w:evenVBand="0" w:oddHBand="0" w:evenHBand="0" w:firstRowFirstColumn="0" w:firstRowLastColumn="0" w:lastRowFirstColumn="0" w:lastRowLastColumn="0"/>
            </w:pPr>
            <w:r>
              <w:t>APA</w:t>
            </w:r>
            <w:r w:rsidRPr="00E35B21">
              <w:t>'s proposal (2018–22)</w:t>
            </w:r>
          </w:p>
        </w:tc>
        <w:tc>
          <w:tcPr>
            <w:tcW w:w="1187" w:type="pct"/>
          </w:tcPr>
          <w:p w:rsidR="00E35B21" w:rsidRPr="00E35B21" w:rsidRDefault="00E35B21" w:rsidP="00E76C5B">
            <w:pPr>
              <w:keepNext/>
              <w:cnfStyle w:val="100000000000" w:firstRow="1" w:lastRow="0" w:firstColumn="0" w:lastColumn="0" w:oddVBand="0" w:evenVBand="0" w:oddHBand="0" w:evenHBand="0" w:firstRowFirstColumn="0" w:firstRowLastColumn="0" w:lastRowFirstColumn="0" w:lastRowLastColumn="0"/>
            </w:pPr>
            <w:r w:rsidRPr="00E71176">
              <w:t>AER draft decision (2017-18)</w:t>
            </w:r>
          </w:p>
        </w:tc>
      </w:tr>
      <w:tr w:rsidR="00E35B21" w:rsidRPr="00BD56F3" w:rsidTr="00770BEF">
        <w:tc>
          <w:tcPr>
            <w:cnfStyle w:val="001000000000" w:firstRow="0" w:lastRow="0" w:firstColumn="1" w:lastColumn="0" w:oddVBand="0" w:evenVBand="0" w:oddHBand="0" w:evenHBand="0" w:firstRowFirstColumn="0" w:firstRowLastColumn="0" w:lastRowFirstColumn="0" w:lastRowLastColumn="0"/>
            <w:tcW w:w="1250" w:type="pct"/>
          </w:tcPr>
          <w:p w:rsidR="00E35B21" w:rsidRPr="00E35B21" w:rsidRDefault="00E35B21" w:rsidP="00E76C5B">
            <w:pPr>
              <w:keepNext/>
            </w:pPr>
            <w:r w:rsidRPr="00E71176">
              <w:t>Nominal risk free rate (return on equity only)</w:t>
            </w:r>
          </w:p>
        </w:tc>
        <w:tc>
          <w:tcPr>
            <w:tcW w:w="117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t>3.22%</w:t>
            </w:r>
          </w:p>
        </w:tc>
        <w:tc>
          <w:tcPr>
            <w:tcW w:w="1386"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rPr>
                <w:rStyle w:val="AERsuperscript"/>
              </w:rPr>
            </w:pPr>
            <w:r>
              <w:t>2.24</w:t>
            </w:r>
            <w:r w:rsidRPr="00E35B21">
              <w:t>%</w:t>
            </w:r>
            <w:r w:rsidRPr="00E35B21">
              <w:rPr>
                <w:rStyle w:val="AERsuperscript"/>
              </w:rPr>
              <w:t>a</w:t>
            </w:r>
          </w:p>
        </w:tc>
        <w:tc>
          <w:tcPr>
            <w:tcW w:w="118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rPr>
                <w:rStyle w:val="AERsuperscript"/>
              </w:rPr>
            </w:pPr>
            <w:r w:rsidRPr="00E71176">
              <w:t>2.6%</w:t>
            </w:r>
            <w:r w:rsidRPr="00E35B21">
              <w:rPr>
                <w:rStyle w:val="AERsuperscript"/>
              </w:rPr>
              <w:t>b</w:t>
            </w:r>
          </w:p>
        </w:tc>
      </w:tr>
      <w:tr w:rsidR="00E35B21" w:rsidRPr="00BD56F3" w:rsidTr="00770B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35B21" w:rsidRPr="00E35B21" w:rsidRDefault="00E35B21" w:rsidP="00E76C5B">
            <w:pPr>
              <w:keepNext/>
            </w:pPr>
            <w:r w:rsidRPr="00E71176">
              <w:t xml:space="preserve">Equity risk premium </w:t>
            </w:r>
          </w:p>
        </w:tc>
        <w:tc>
          <w:tcPr>
            <w:tcW w:w="1177"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t>4.8%</w:t>
            </w:r>
          </w:p>
        </w:tc>
        <w:tc>
          <w:tcPr>
            <w:tcW w:w="1386"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t>6.76%</w:t>
            </w:r>
          </w:p>
        </w:tc>
        <w:tc>
          <w:tcPr>
            <w:tcW w:w="1187"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rsidRPr="00E71176">
              <w:t>4.55%</w:t>
            </w:r>
          </w:p>
        </w:tc>
      </w:tr>
      <w:tr w:rsidR="00E35B21" w:rsidRPr="00BD56F3" w:rsidTr="00770BEF">
        <w:tc>
          <w:tcPr>
            <w:cnfStyle w:val="001000000000" w:firstRow="0" w:lastRow="0" w:firstColumn="1" w:lastColumn="0" w:oddVBand="0" w:evenVBand="0" w:oddHBand="0" w:evenHBand="0" w:firstRowFirstColumn="0" w:firstRowLastColumn="0" w:lastRowFirstColumn="0" w:lastRowLastColumn="0"/>
            <w:tcW w:w="1250" w:type="pct"/>
          </w:tcPr>
          <w:p w:rsidR="00E35B21" w:rsidRPr="00E35B21" w:rsidRDefault="00E35B21" w:rsidP="00E76C5B">
            <w:pPr>
              <w:keepNext/>
            </w:pPr>
            <w:r>
              <w:t>Market risk premium</w:t>
            </w:r>
          </w:p>
        </w:tc>
        <w:tc>
          <w:tcPr>
            <w:tcW w:w="117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t>6</w:t>
            </w:r>
          </w:p>
        </w:tc>
        <w:tc>
          <w:tcPr>
            <w:tcW w:w="1386"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t>8.45%</w:t>
            </w:r>
          </w:p>
        </w:tc>
        <w:tc>
          <w:tcPr>
            <w:tcW w:w="118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rsidRPr="00E71176">
              <w:t>6.5%</w:t>
            </w:r>
          </w:p>
        </w:tc>
      </w:tr>
      <w:tr w:rsidR="00E35B21" w:rsidRPr="00BD56F3" w:rsidTr="00770B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35B21" w:rsidRPr="00E35B21" w:rsidRDefault="00E35B21" w:rsidP="00E76C5B">
            <w:pPr>
              <w:keepNext/>
            </w:pPr>
            <w:r w:rsidRPr="00E71176">
              <w:t>Equity beta</w:t>
            </w:r>
          </w:p>
        </w:tc>
        <w:tc>
          <w:tcPr>
            <w:tcW w:w="1177"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rsidRPr="00E71176">
              <w:t>0.8</w:t>
            </w:r>
          </w:p>
        </w:tc>
        <w:tc>
          <w:tcPr>
            <w:tcW w:w="1386"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rsidRPr="00E71176">
              <w:t>0.</w:t>
            </w:r>
            <w:r w:rsidRPr="00E35B21">
              <w:t>8</w:t>
            </w:r>
          </w:p>
        </w:tc>
        <w:tc>
          <w:tcPr>
            <w:tcW w:w="1187" w:type="pct"/>
          </w:tcPr>
          <w:p w:rsidR="00E35B21" w:rsidRPr="00E35B21" w:rsidRDefault="00E35B21" w:rsidP="00E76C5B">
            <w:pPr>
              <w:keepNext/>
              <w:cnfStyle w:val="000000010000" w:firstRow="0" w:lastRow="0" w:firstColumn="0" w:lastColumn="0" w:oddVBand="0" w:evenVBand="0" w:oddHBand="0" w:evenHBand="1" w:firstRowFirstColumn="0" w:firstRowLastColumn="0" w:lastRowFirstColumn="0" w:lastRowLastColumn="0"/>
            </w:pPr>
            <w:r w:rsidRPr="00E71176">
              <w:t>0.7</w:t>
            </w:r>
          </w:p>
        </w:tc>
      </w:tr>
      <w:tr w:rsidR="00E35B21" w:rsidRPr="00BD56F3" w:rsidTr="00770BEF">
        <w:tc>
          <w:tcPr>
            <w:cnfStyle w:val="001000000000" w:firstRow="0" w:lastRow="0" w:firstColumn="1" w:lastColumn="0" w:oddVBand="0" w:evenVBand="0" w:oddHBand="0" w:evenHBand="0" w:firstRowFirstColumn="0" w:firstRowLastColumn="0" w:lastRowFirstColumn="0" w:lastRowLastColumn="0"/>
            <w:tcW w:w="1250" w:type="pct"/>
          </w:tcPr>
          <w:p w:rsidR="00E35B21" w:rsidRPr="00E35B21" w:rsidRDefault="00E35B21" w:rsidP="00E76C5B">
            <w:pPr>
              <w:keepNext/>
            </w:pPr>
            <w:r w:rsidRPr="00E71176">
              <w:t xml:space="preserve">Nominal post–tax return on equity </w:t>
            </w:r>
          </w:p>
        </w:tc>
        <w:tc>
          <w:tcPr>
            <w:tcW w:w="117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t>8.02%</w:t>
            </w:r>
          </w:p>
        </w:tc>
        <w:tc>
          <w:tcPr>
            <w:tcW w:w="1386"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t>8.45%</w:t>
            </w:r>
          </w:p>
        </w:tc>
        <w:tc>
          <w:tcPr>
            <w:tcW w:w="1187" w:type="pct"/>
          </w:tcPr>
          <w:p w:rsidR="00E35B21" w:rsidRPr="00E35B21" w:rsidRDefault="00E35B21" w:rsidP="00E76C5B">
            <w:pPr>
              <w:keepNext/>
              <w:cnfStyle w:val="000000000000" w:firstRow="0" w:lastRow="0" w:firstColumn="0" w:lastColumn="0" w:oddVBand="0" w:evenVBand="0" w:oddHBand="0" w:evenHBand="0" w:firstRowFirstColumn="0" w:firstRowLastColumn="0" w:lastRowFirstColumn="0" w:lastRowLastColumn="0"/>
            </w:pPr>
            <w:r w:rsidRPr="00E71176">
              <w:t>7.2%</w:t>
            </w:r>
          </w:p>
        </w:tc>
      </w:tr>
    </w:tbl>
    <w:p w:rsidR="00E35B21" w:rsidRPr="00E71176" w:rsidRDefault="00E35B21" w:rsidP="00E76C5B">
      <w:pPr>
        <w:pStyle w:val="AERtablesource"/>
        <w:keepNext/>
      </w:pPr>
      <w:r w:rsidRPr="00E71176">
        <w:t>Source:</w:t>
      </w:r>
      <w:r w:rsidRPr="00E71176">
        <w:tab/>
        <w:t xml:space="preserve">AER analysis; </w:t>
      </w:r>
      <w:r w:rsidR="00A37EC9">
        <w:t>APA</w:t>
      </w:r>
      <w:r>
        <w:t xml:space="preserve">, </w:t>
      </w:r>
      <w:r w:rsidRPr="000C05A5">
        <w:rPr>
          <w:rStyle w:val="AERtextitalic"/>
        </w:rPr>
        <w:t>Victorian transmission system access arrangement submission</w:t>
      </w:r>
      <w:r>
        <w:t>, 3 January 2017</w:t>
      </w:r>
    </w:p>
    <w:p w:rsidR="00E35B21" w:rsidRDefault="00E35B21" w:rsidP="00E76C5B">
      <w:pPr>
        <w:pStyle w:val="AERtablesource"/>
        <w:keepNext/>
        <w:rPr>
          <w:rStyle w:val="AERtextsize8"/>
          <w:rFonts w:eastAsia="Calibri"/>
          <w:szCs w:val="20"/>
          <w:lang w:eastAsia="en-AU"/>
        </w:rPr>
      </w:pPr>
      <w:r w:rsidRPr="00E71176">
        <w:rPr>
          <w:rStyle w:val="AERtextsize8"/>
        </w:rPr>
        <w:tab/>
      </w:r>
      <w:proofErr w:type="gramStart"/>
      <w:r w:rsidRPr="00E71176">
        <w:rPr>
          <w:rStyle w:val="AERsuperscript"/>
        </w:rPr>
        <w:t>a</w:t>
      </w:r>
      <w:proofErr w:type="gramEnd"/>
      <w:r w:rsidRPr="00E71176">
        <w:rPr>
          <w:rStyle w:val="AERsuperscript"/>
        </w:rPr>
        <w:t xml:space="preserve"> </w:t>
      </w:r>
      <w:r w:rsidRPr="00E71176">
        <w:rPr>
          <w:rStyle w:val="AERtextsize8"/>
        </w:rPr>
        <w:t xml:space="preserve">Based on </w:t>
      </w:r>
      <w:r>
        <w:rPr>
          <w:rStyle w:val="AERtextsize8"/>
        </w:rPr>
        <w:t>APA</w:t>
      </w:r>
      <w:r w:rsidRPr="00E71176">
        <w:rPr>
          <w:rStyle w:val="AERtextsize8"/>
        </w:rPr>
        <w:t xml:space="preserve">'s indicative averaging period adopted for its proposal </w:t>
      </w:r>
      <w:r>
        <w:rPr>
          <w:rStyle w:val="AERtextsize8"/>
        </w:rPr>
        <w:t>of 20 business days to 31 October 2016.</w:t>
      </w:r>
      <w:r w:rsidRPr="00E71176">
        <w:rPr>
          <w:rStyle w:val="AERtextsize8"/>
        </w:rPr>
        <w:tab/>
      </w:r>
    </w:p>
    <w:p w:rsidR="005E3485" w:rsidRDefault="00E35B21" w:rsidP="00E76C5B">
      <w:pPr>
        <w:pStyle w:val="AERtablesource"/>
        <w:keepNext/>
      </w:pPr>
      <w:r>
        <w:rPr>
          <w:rStyle w:val="AERtextsize8"/>
        </w:rPr>
        <w:tab/>
      </w:r>
      <w:proofErr w:type="gramStart"/>
      <w:r w:rsidRPr="00E71176">
        <w:rPr>
          <w:rStyle w:val="AERsuperscript"/>
        </w:rPr>
        <w:t>b</w:t>
      </w:r>
      <w:proofErr w:type="gramEnd"/>
      <w:r w:rsidRPr="00E71176">
        <w:rPr>
          <w:rStyle w:val="AERsuperscript"/>
        </w:rPr>
        <w:t xml:space="preserve"> </w:t>
      </w:r>
      <w:r w:rsidRPr="00E71176">
        <w:rPr>
          <w:rStyle w:val="AERtextsize8"/>
        </w:rPr>
        <w:t>Calculated with a placeholder averaging period of 20 business days up to 28 April 2017.</w:t>
      </w:r>
    </w:p>
    <w:p w:rsidR="00B90D94" w:rsidRPr="00694FE4" w:rsidRDefault="00B90D94" w:rsidP="00B90D94">
      <w:r w:rsidRPr="00694FE4">
        <w:t>Our return on debt estimate is based on a gradual transition from the ‘on-the-day’ approach we used in the past to the ‘trailing average’ approach we proposed in the Guideline. The trailing average approach reflects the return on debt that a network business would face if it raised debt annually in equal parcels. Our return on debt approach incorporates a transition to the new approach.</w:t>
      </w:r>
    </w:p>
    <w:p w:rsidR="00B90D94" w:rsidRPr="00694FE4" w:rsidRDefault="00B90D94" w:rsidP="00B90D94">
      <w:r w:rsidRPr="00694FE4">
        <w:t>Our decision is also to update the return on debt annually. Therefore, our estimate in this decision is for the first year of the regulatory period. Due to this, we update our rate of return annually.</w:t>
      </w:r>
    </w:p>
    <w:p w:rsidR="00B90D94" w:rsidRPr="00694FE4" w:rsidRDefault="00B90D94" w:rsidP="00B90D94">
      <w:r w:rsidRPr="00694FE4">
        <w:t xml:space="preserve">We commence the trailing average with an initial estimation of the return on debt that is then progressively updated over the regulatory period. In practice, this means that for new debt that is issued (10 per cent of the initial estimate each year) we apply an estimate of the observed return on debt immediately. For existing debt issued before the commencement of the trailing average approach, we will continue to apply the on-the-day approach for the portion that has not been updated. Consequently, at the end of 10 years the total debt portfolio will have been updated and incorporated into the trailing average. </w:t>
      </w:r>
    </w:p>
    <w:p w:rsidR="00B90D94" w:rsidRPr="00694FE4" w:rsidRDefault="00B90D94" w:rsidP="00B90D94">
      <w:r w:rsidRPr="00694FE4">
        <w:t xml:space="preserve">Our return on debt estimate is developed on the basis that a benchmark efficient entity issues debt with a 10 year term and has a BBB+ credit rating. To estimate the yield on this debt, we use an independent third party data service provider. </w:t>
      </w:r>
      <w:r w:rsidR="0045426C" w:rsidRPr="00A52C17">
        <w:t>We have reviewed the</w:t>
      </w:r>
      <w:r w:rsidR="0045426C">
        <w:t xml:space="preserve"> recent</w:t>
      </w:r>
      <w:r w:rsidR="0045426C" w:rsidRPr="00A52C17">
        <w:t xml:space="preserve"> draft proposals and decided to adopt a simple average of the data series provided by the Reserve Bank of Australia and Bloomberg.</w:t>
      </w:r>
    </w:p>
    <w:p w:rsidR="00B90D94" w:rsidRPr="00694FE4" w:rsidRDefault="00B90D94" w:rsidP="00B90D94">
      <w:r w:rsidRPr="00694FE4">
        <w:t xml:space="preserve">Our estimation procedure allows the service provider to propose a period between 10 business days and 12 months in length before the start of each regulatory year, over which the observed rates are averaged to estimate the return on debt. This results in service providers proposing an averaging period consistent with its debt practices and therefore, our return on debt estimate is different for different service providers. </w:t>
      </w:r>
    </w:p>
    <w:p w:rsidR="00B90D94" w:rsidRDefault="00B90D94" w:rsidP="005E3485">
      <w:r w:rsidRPr="00694FE4">
        <w:t xml:space="preserve">Our return on debt estimate for the first year of </w:t>
      </w:r>
      <w:r>
        <w:t>APA's</w:t>
      </w:r>
      <w:r w:rsidRPr="00694FE4">
        <w:t xml:space="preserve"> access arrangement period in this draft decision is 4.79 per cent. This return on debt number will be updated annually during the regulatory period to partially reflect prevailing interest rates. Our approach and estimation procedures are consistent with the Guideline. We note that </w:t>
      </w:r>
      <w:r>
        <w:t>APA</w:t>
      </w:r>
      <w:r w:rsidRPr="00694FE4">
        <w:t xml:space="preserve"> in its current draft proposal </w:t>
      </w:r>
      <w:r>
        <w:t>proposed to depart from our return on debt approach as set</w:t>
      </w:r>
      <w:r w:rsidRPr="00694FE4">
        <w:t xml:space="preserve"> out in the Guideline and </w:t>
      </w:r>
      <w:r>
        <w:t xml:space="preserve">adopted an immediate transition to the trailing average approach. It </w:t>
      </w:r>
      <w:r w:rsidRPr="00694FE4">
        <w:t xml:space="preserve">proposed a return on debt of </w:t>
      </w:r>
      <w:r>
        <w:t>7.47</w:t>
      </w:r>
      <w:r w:rsidRPr="00694FE4">
        <w:t xml:space="preserve"> per cent. </w:t>
      </w:r>
    </w:p>
    <w:p w:rsidR="00AE4C11" w:rsidRDefault="00AE4C11" w:rsidP="00AE4C11">
      <w:r>
        <w:t>Our estimate of e</w:t>
      </w:r>
      <w:r w:rsidRPr="008C6404">
        <w:t>xpected</w:t>
      </w:r>
      <w:r>
        <w:t xml:space="preserve"> </w:t>
      </w:r>
      <w:r w:rsidRPr="008C6404">
        <w:t>inflation</w:t>
      </w:r>
      <w:r>
        <w:t xml:space="preserve"> is estimated</w:t>
      </w:r>
      <w:r w:rsidRPr="008C6404">
        <w:t xml:space="preserve"> </w:t>
      </w:r>
      <w:r>
        <w:t xml:space="preserve">as </w:t>
      </w:r>
      <w:r w:rsidRPr="008C6404">
        <w:t xml:space="preserve">the geometric average of 10 annual expected inflation rates. We use the RBA's forecasts of inflation for the first two annual rates </w:t>
      </w:r>
      <w:r>
        <w:t xml:space="preserve">and </w:t>
      </w:r>
      <w:r w:rsidRPr="008C6404">
        <w:t xml:space="preserve">the mid-point of the RBA's inflation target band </w:t>
      </w:r>
      <w:r>
        <w:t>for</w:t>
      </w:r>
      <w:r w:rsidRPr="008C6404">
        <w:t xml:space="preserve"> the remaining eight annual rates.</w:t>
      </w:r>
    </w:p>
    <w:p w:rsidR="00895FC9" w:rsidRDefault="00A37EC9" w:rsidP="00895FC9">
      <w:r>
        <w:t>APA</w:t>
      </w:r>
      <w:r w:rsidR="00895FC9">
        <w:t xml:space="preserve"> </w:t>
      </w:r>
      <w:r w:rsidR="00FB6E34">
        <w:t xml:space="preserve">proposed </w:t>
      </w:r>
      <w:r w:rsidR="00AE4C11">
        <w:t>that the</w:t>
      </w:r>
      <w:r w:rsidR="00FB6E34">
        <w:t xml:space="preserve"> inflation </w:t>
      </w:r>
      <w:r w:rsidR="00AE4C11">
        <w:t xml:space="preserve">rate in its revenue model be calculated </w:t>
      </w:r>
      <w:r w:rsidR="00895FC9">
        <w:t>as the year-on-year change in June-quarter Consumer Price Index (CPI)</w:t>
      </w:r>
      <w:r w:rsidR="00AE4C11">
        <w:t xml:space="preserve"> for the previous year</w:t>
      </w:r>
      <w:r w:rsidR="00FB6E34">
        <w:t>.</w:t>
      </w:r>
      <w:r w:rsidR="00AE4C11">
        <w:t xml:space="preserve"> </w:t>
      </w:r>
      <w:r>
        <w:t>APA</w:t>
      </w:r>
      <w:r w:rsidR="00895FC9">
        <w:t>'s proposal requires an estimate of expected inflation that is:</w:t>
      </w:r>
    </w:p>
    <w:p w:rsidR="00895FC9" w:rsidRDefault="00895FC9" w:rsidP="00895FC9">
      <w:pPr>
        <w:pStyle w:val="AERbulletlistfirststyle"/>
      </w:pPr>
      <w:r>
        <w:t>time varying, compared to our current approach of a single inflation estimate reflecting an annual average over a ten-year investment horizon; and</w:t>
      </w:r>
    </w:p>
    <w:p w:rsidR="00895FC9" w:rsidRDefault="00895FC9" w:rsidP="00895FC9">
      <w:pPr>
        <w:pStyle w:val="AERbulletlistfirststyle"/>
      </w:pPr>
      <w:proofErr w:type="gramStart"/>
      <w:r>
        <w:t>updated</w:t>
      </w:r>
      <w:proofErr w:type="gramEnd"/>
      <w:r>
        <w:t xml:space="preserve"> annually, as the CPI data required to calculate the estimates for years 2 through 5 would not be available at the time of our final determination.</w:t>
      </w:r>
      <w:r>
        <w:rPr>
          <w:rStyle w:val="FootnoteReference"/>
        </w:rPr>
        <w:footnoteReference w:id="33"/>
      </w:r>
    </w:p>
    <w:p w:rsidR="00AE4C11" w:rsidRDefault="00895FC9" w:rsidP="00AE4C11">
      <w:r>
        <w:t xml:space="preserve">We </w:t>
      </w:r>
      <w:r w:rsidR="002F6C7A">
        <w:t>do</w:t>
      </w:r>
      <w:r w:rsidR="00A37EC9">
        <w:t xml:space="preserve"> not accept APA</w:t>
      </w:r>
      <w:r>
        <w:t>'s proposal.</w:t>
      </w:r>
      <w:r w:rsidR="00AE4C11" w:rsidRPr="00AE4C11">
        <w:t xml:space="preserve"> </w:t>
      </w:r>
      <w:r w:rsidR="00403301">
        <w:t xml:space="preserve">The effect of the annual adjustments is to effectively remove the forecast inflation used in the revenue model and apply actual inflation each year. </w:t>
      </w:r>
      <w:r w:rsidR="00C8203B">
        <w:t>APA proposed this approach to address 'mismatch' between the regulatory deprecation calculations at different stages in the regulatory process.</w:t>
      </w:r>
      <w:r w:rsidR="00C8203B">
        <w:rPr>
          <w:rStyle w:val="FootnoteReference"/>
        </w:rPr>
        <w:footnoteReference w:id="34"/>
      </w:r>
      <w:r w:rsidR="00C8203B">
        <w:t xml:space="preserve"> APA submitted that this resulted in under-compensation for the service provider across the 2013–17 access arrangement </w:t>
      </w:r>
      <w:proofErr w:type="gramStart"/>
      <w:r w:rsidR="00C8203B">
        <w:t>period</w:t>
      </w:r>
      <w:proofErr w:type="gramEnd"/>
      <w:r w:rsidR="00C8203B">
        <w:t xml:space="preserve">, and increased the likelihood of under or over recovery in future access arrangement periods. </w:t>
      </w:r>
      <w:r w:rsidR="00403301">
        <w:t xml:space="preserve">We </w:t>
      </w:r>
      <w:r w:rsidR="00403301" w:rsidRPr="003C7143">
        <w:t>do not consider that APA has set out the correct framework for assessing over or under recovery</w:t>
      </w:r>
      <w:r w:rsidR="00403301">
        <w:t xml:space="preserve"> when inflation outcomes differ from expected inflation</w:t>
      </w:r>
      <w:r w:rsidR="00403301" w:rsidRPr="003C7143">
        <w:t>.</w:t>
      </w:r>
      <w:r w:rsidR="00C8203B">
        <w:t xml:space="preserve"> Given the information currently available to us, we do not agree with APA that there is an inflation 'mismatch'. We therefore do not accept </w:t>
      </w:r>
      <w:r w:rsidR="003367DD">
        <w:t>APA's proposed approach</w:t>
      </w:r>
      <w:r w:rsidR="00C8203B">
        <w:t xml:space="preserve">. APA's proposed revenue model </w:t>
      </w:r>
      <w:r w:rsidR="00C8203B" w:rsidRPr="00A527A2">
        <w:t xml:space="preserve">may </w:t>
      </w:r>
      <w:r w:rsidR="00C8203B">
        <w:t xml:space="preserve">also </w:t>
      </w:r>
      <w:r w:rsidR="00C8203B" w:rsidRPr="00A527A2">
        <w:t xml:space="preserve">materially alter the risk profile of </w:t>
      </w:r>
      <w:r w:rsidR="00C8203B">
        <w:t>APA</w:t>
      </w:r>
      <w:r w:rsidR="00C8203B" w:rsidRPr="00A527A2">
        <w:t xml:space="preserve"> and allocation of risk between </w:t>
      </w:r>
      <w:r w:rsidR="00C8203B">
        <w:t>APA</w:t>
      </w:r>
      <w:r w:rsidR="00C8203B" w:rsidRPr="00A527A2">
        <w:t xml:space="preserve"> and consumers, with consequences for determining a rate of return that is commensurate with these risks.</w:t>
      </w:r>
      <w:r w:rsidR="00C8203B">
        <w:t xml:space="preserve"> APA's proposal does not address this issue at all.</w:t>
      </w:r>
    </w:p>
    <w:p w:rsidR="00AE4C11" w:rsidRDefault="00AE4C11" w:rsidP="00AE4C11">
      <w:r>
        <w:t xml:space="preserve">It is important to note that we are currently conducting a broader industry-wide review of our method for estimating expected inflation and the treatment of inflation in our </w:t>
      </w:r>
      <w:r w:rsidR="003367DD">
        <w:t>regulatory</w:t>
      </w:r>
      <w:r>
        <w:t xml:space="preserve"> models. That review is yet to be finalised and so findings from the review cannot therefore be included in this decision. That said, for the purposes of this determination, on the basis of the information currently available to us, we consider the treatment of inflation in our </w:t>
      </w:r>
      <w:r w:rsidR="003367DD">
        <w:t>regulatory</w:t>
      </w:r>
      <w:r>
        <w:t xml:space="preserve"> models will contribute to the achievement of the National Gas Objective and allowed rate of return objective.</w:t>
      </w:r>
    </w:p>
    <w:p w:rsidR="005E3485" w:rsidRPr="00A43C2D" w:rsidRDefault="005E3485" w:rsidP="005E3485">
      <w:r w:rsidRPr="00696423">
        <w:t>Further detail on our dra</w:t>
      </w:r>
      <w:r>
        <w:t>ft decision in regards to APA</w:t>
      </w:r>
      <w:r w:rsidRPr="00696423">
        <w:t xml:space="preserve">'s </w:t>
      </w:r>
      <w:r>
        <w:t>rate of return</w:t>
      </w:r>
      <w:r w:rsidRPr="00696423">
        <w:t xml:space="preserve"> is set out in attachment 3.  </w:t>
      </w:r>
    </w:p>
    <w:p w:rsidR="005E3485" w:rsidRDefault="005E3485" w:rsidP="00E76C5B">
      <w:pPr>
        <w:pStyle w:val="Heading2"/>
        <w:keepNext/>
      </w:pPr>
      <w:bookmarkStart w:id="150" w:name="_Toc430002791"/>
      <w:bookmarkStart w:id="151" w:name="_Ref433619978"/>
      <w:bookmarkStart w:id="152" w:name="_Toc436046183"/>
      <w:bookmarkStart w:id="153" w:name="_Toc444855391"/>
      <w:bookmarkStart w:id="154" w:name="_Toc487018278"/>
      <w:r>
        <w:t>Value of imputation credits (gamma)</w:t>
      </w:r>
      <w:bookmarkEnd w:id="150"/>
      <w:bookmarkEnd w:id="151"/>
      <w:bookmarkEnd w:id="152"/>
      <w:bookmarkEnd w:id="153"/>
      <w:bookmarkEnd w:id="154"/>
    </w:p>
    <w:p w:rsidR="00791EE5" w:rsidRPr="00694FE4" w:rsidRDefault="00791EE5" w:rsidP="00E76C5B">
      <w:pPr>
        <w:keepNext/>
      </w:pPr>
      <w:r w:rsidRPr="00694FE4">
        <w:t>Under the Australian imputation tax system, investors can receive an imputation credit for income tax paid at the company level.</w:t>
      </w:r>
      <w:r>
        <w:rPr>
          <w:rStyle w:val="FootnoteReference"/>
        </w:rPr>
        <w:footnoteReference w:id="35"/>
      </w:r>
      <w:r w:rsidRPr="00694FE4">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791EE5" w:rsidRPr="00694FE4" w:rsidRDefault="00791EE5" w:rsidP="00791EE5">
      <w:r w:rsidRPr="00694FE4">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requires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791EE5" w:rsidRPr="00694FE4" w:rsidRDefault="00791EE5" w:rsidP="00791EE5">
      <w:r w:rsidRPr="00694FE4">
        <w:t xml:space="preserve">Our draft decision adopts a value of imputation credits of 0.4. We do not accept </w:t>
      </w:r>
      <w:r>
        <w:t>APA's</w:t>
      </w:r>
      <w:r w:rsidRPr="00694FE4">
        <w:t xml:space="preserve"> proposed value of imputation credits (or gamma) of 0.25.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791EE5" w:rsidRPr="00694FE4" w:rsidRDefault="00791EE5" w:rsidP="00791EE5">
      <w:r w:rsidRPr="00694FE4">
        <w:t>In coming to a value of imputation credits of 0.4:</w:t>
      </w:r>
    </w:p>
    <w:p w:rsidR="00791EE5" w:rsidRPr="00694FE4" w:rsidRDefault="00791EE5" w:rsidP="00791EE5">
      <w:pPr>
        <w:pStyle w:val="AERbulletlistfirststyle"/>
      </w:pPr>
      <w:r w:rsidRPr="00694FE4">
        <w:t>We adopt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36"/>
      </w:r>
      <w:r w:rsidRPr="00694FE4">
        <w:t xml:space="preserve"> As such, we view the value of imputation credits as the proportion of company tax returned to investors through the utilisation of imputation credits.</w:t>
      </w:r>
      <w:r>
        <w:rPr>
          <w:rStyle w:val="FootnoteReference"/>
        </w:rPr>
        <w:footnoteReference w:id="37"/>
      </w:r>
    </w:p>
    <w:p w:rsidR="00791EE5" w:rsidRDefault="00791EE5" w:rsidP="00791EE5">
      <w:pPr>
        <w:pStyle w:val="AERbulletlistfirststyle"/>
      </w:pPr>
      <w:r w:rsidRPr="00694FE4">
        <w:t>We consider our conceptual approach allows for the value of imputation credits to be estimated on a consistent basis with the allowed rate of return and allowed revenues under the post-tax framework in the NER/NGR.</w:t>
      </w:r>
      <w:r>
        <w:rPr>
          <w:rStyle w:val="FootnoteReference"/>
        </w:rPr>
        <w:footnoteReference w:id="38"/>
      </w:r>
    </w:p>
    <w:p w:rsidR="00791EE5" w:rsidRDefault="00791EE5" w:rsidP="00791EE5">
      <w:pPr>
        <w:pStyle w:val="AERbulletlistfirststyle"/>
      </w:pPr>
      <w:r w:rsidRPr="00694FE4">
        <w:t>We use the widely accepted approach of estimating the value of imputation credits as the product of two sub-parameters: the 'distribution rate' and the 'utilisation rate'. Our definition of, and estimation approach for, these sub-parameters is set out in</w:t>
      </w:r>
      <w:r w:rsidR="00E76C5B">
        <w:t xml:space="preserve"> </w:t>
      </w:r>
      <w:r w:rsidR="00E76C5B">
        <w:fldChar w:fldCharType="begin"/>
      </w:r>
      <w:r w:rsidR="00E76C5B">
        <w:instrText xml:space="preserve"> REF _Ref486506608 \h </w:instrText>
      </w:r>
      <w:r w:rsidR="00E76C5B">
        <w:fldChar w:fldCharType="separate"/>
      </w:r>
      <w:r w:rsidR="00971C32" w:rsidRPr="00E71176">
        <w:t xml:space="preserve">Table </w:t>
      </w:r>
      <w:r w:rsidR="00971C32">
        <w:rPr>
          <w:noProof/>
        </w:rPr>
        <w:t>5</w:t>
      </w:r>
      <w:r w:rsidR="00971C32" w:rsidRPr="00E71176">
        <w:noBreakHyphen/>
      </w:r>
      <w:r w:rsidR="00971C32">
        <w:rPr>
          <w:noProof/>
        </w:rPr>
        <w:t>5</w:t>
      </w:r>
      <w:r w:rsidR="00E76C5B">
        <w:fldChar w:fldCharType="end"/>
      </w:r>
      <w:r>
        <w:t>.</w:t>
      </w:r>
    </w:p>
    <w:p w:rsidR="00791EE5" w:rsidRPr="00694FE4" w:rsidRDefault="00791EE5" w:rsidP="00791EE5">
      <w:pPr>
        <w:pStyle w:val="Caption"/>
      </w:pPr>
      <w:bookmarkStart w:id="155" w:name="_Ref486506608"/>
      <w:r w:rsidRPr="00E71176">
        <w:t xml:space="preserve">Table </w:t>
      </w:r>
      <w:fldSimple w:instr=" STYLEREF 1 \s ">
        <w:r w:rsidR="00971C32">
          <w:rPr>
            <w:noProof/>
          </w:rPr>
          <w:t>5</w:t>
        </w:r>
      </w:fldSimple>
      <w:r w:rsidRPr="00E71176">
        <w:noBreakHyphen/>
      </w:r>
      <w:r w:rsidRPr="00014A94">
        <w:fldChar w:fldCharType="begin"/>
      </w:r>
      <w:r>
        <w:instrText xml:space="preserve"> SEQ Table \* ARABIC \s 1 </w:instrText>
      </w:r>
      <w:r w:rsidRPr="00014A94">
        <w:fldChar w:fldCharType="separate"/>
      </w:r>
      <w:r w:rsidR="00971C32">
        <w:rPr>
          <w:noProof/>
        </w:rPr>
        <w:t>5</w:t>
      </w:r>
      <w:r w:rsidRPr="00014A94">
        <w:fldChar w:fldCharType="end"/>
      </w:r>
      <w:bookmarkEnd w:id="155"/>
      <w:r w:rsidRPr="00E71176">
        <w:tab/>
      </w:r>
      <w:r w:rsidRPr="00694FE4">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791EE5" w:rsidRPr="00694FE4" w:rsidTr="00B4195F">
        <w:trPr>
          <w:cnfStyle w:val="100000000000" w:firstRow="1" w:lastRow="0" w:firstColumn="0" w:lastColumn="0" w:oddVBand="0" w:evenVBand="0" w:oddHBand="0" w:evenHBand="0" w:firstRowFirstColumn="0" w:firstRowLastColumn="0" w:lastRowFirstColumn="0" w:lastRowLastColumn="0"/>
          <w:trHeight w:val="254"/>
        </w:trPr>
        <w:tc>
          <w:tcPr>
            <w:tcW w:w="2987" w:type="dxa"/>
          </w:tcPr>
          <w:p w:rsidR="00791EE5" w:rsidRPr="00694FE4" w:rsidRDefault="00791EE5" w:rsidP="00791EE5">
            <w:pPr>
              <w:numPr>
                <w:ilvl w:val="0"/>
                <w:numId w:val="24"/>
              </w:numPr>
            </w:pPr>
            <w:r w:rsidRPr="00694FE4">
              <w:t>Sub-parameter</w:t>
            </w:r>
          </w:p>
        </w:tc>
        <w:tc>
          <w:tcPr>
            <w:tcW w:w="2894" w:type="dxa"/>
          </w:tcPr>
          <w:p w:rsidR="00791EE5" w:rsidRPr="00694FE4" w:rsidRDefault="00791EE5" w:rsidP="00791EE5">
            <w:pPr>
              <w:numPr>
                <w:ilvl w:val="0"/>
                <w:numId w:val="24"/>
              </w:numPr>
            </w:pPr>
            <w:r w:rsidRPr="00694FE4">
              <w:t>Definition</w:t>
            </w:r>
          </w:p>
        </w:tc>
        <w:tc>
          <w:tcPr>
            <w:tcW w:w="2894" w:type="dxa"/>
          </w:tcPr>
          <w:p w:rsidR="00791EE5" w:rsidRPr="00694FE4" w:rsidRDefault="00791EE5" w:rsidP="00791EE5">
            <w:pPr>
              <w:numPr>
                <w:ilvl w:val="0"/>
                <w:numId w:val="24"/>
              </w:numPr>
            </w:pPr>
            <w:r w:rsidRPr="00694FE4">
              <w:t>Estimation approach</w:t>
            </w:r>
          </w:p>
        </w:tc>
      </w:tr>
      <w:tr w:rsidR="00791EE5" w:rsidRPr="00694FE4" w:rsidTr="00B4195F">
        <w:trPr>
          <w:trHeight w:val="630"/>
        </w:trPr>
        <w:tc>
          <w:tcPr>
            <w:tcW w:w="2987" w:type="dxa"/>
          </w:tcPr>
          <w:p w:rsidR="00791EE5" w:rsidRPr="00791EE5" w:rsidRDefault="00791EE5" w:rsidP="00791EE5">
            <w:r w:rsidRPr="00694FE4">
              <w:t xml:space="preserve">Distribution rate </w:t>
            </w:r>
            <w:r w:rsidRPr="00791EE5">
              <w:t>(or payout ratio)</w:t>
            </w:r>
          </w:p>
        </w:tc>
        <w:tc>
          <w:tcPr>
            <w:tcW w:w="2894" w:type="dxa"/>
          </w:tcPr>
          <w:p w:rsidR="00791EE5" w:rsidRPr="00791EE5" w:rsidRDefault="00791EE5" w:rsidP="00791EE5">
            <w:r w:rsidRPr="00694FE4">
              <w:t>The proportion of imputation credits generated that is distributed to investors.</w:t>
            </w:r>
          </w:p>
        </w:tc>
        <w:tc>
          <w:tcPr>
            <w:tcW w:w="2894" w:type="dxa"/>
          </w:tcPr>
          <w:p w:rsidR="00791EE5" w:rsidRPr="00791EE5" w:rsidRDefault="00791EE5" w:rsidP="00791EE5">
            <w:r w:rsidRPr="00694FE4">
              <w:t xml:space="preserve">Primary reliance placed on the widely accepted cumulative payout ratio approach. Some regard is also given to Lally's estimate for listed equity from financial reports of the 20 largest listed firms. </w:t>
            </w:r>
          </w:p>
        </w:tc>
      </w:tr>
      <w:tr w:rsidR="00791EE5" w:rsidRPr="00694FE4" w:rsidTr="00B4195F">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791EE5" w:rsidRPr="00791EE5" w:rsidRDefault="00791EE5" w:rsidP="00791EE5">
            <w:r w:rsidRPr="00694FE4">
              <w:t>Utilisation rate (or theta)</w:t>
            </w:r>
          </w:p>
        </w:tc>
        <w:tc>
          <w:tcPr>
            <w:tcW w:w="2894" w:type="dxa"/>
          </w:tcPr>
          <w:p w:rsidR="00791EE5" w:rsidRPr="00791EE5" w:rsidRDefault="00791EE5" w:rsidP="00791EE5">
            <w:r w:rsidRPr="00694FE4">
              <w:t>The utilisation value to investors in the market per dollar of imputation credits distributed.</w:t>
            </w:r>
            <w:r w:rsidRPr="00791EE5">
              <w:rPr>
                <w:rStyle w:val="FootnoteReference"/>
              </w:rPr>
              <w:footnoteReference w:id="39"/>
            </w:r>
          </w:p>
        </w:tc>
        <w:tc>
          <w:tcPr>
            <w:tcW w:w="2894" w:type="dxa"/>
          </w:tcPr>
          <w:p w:rsidR="00791EE5" w:rsidRPr="00791EE5" w:rsidRDefault="00791EE5" w:rsidP="00791EE5">
            <w:r w:rsidRPr="00694FE4">
              <w:t xml:space="preserve">A range of approaches, with due regard to the merit of each approach: </w:t>
            </w:r>
          </w:p>
          <w:p w:rsidR="00791EE5" w:rsidRPr="00791EE5" w:rsidRDefault="00791EE5" w:rsidP="00791EE5">
            <w:r w:rsidRPr="00694FE4">
              <w:t xml:space="preserve">equity </w:t>
            </w:r>
            <w:r w:rsidRPr="00791EE5">
              <w:t>ownership approach</w:t>
            </w:r>
          </w:p>
          <w:p w:rsidR="00791EE5" w:rsidRPr="00791EE5" w:rsidRDefault="00791EE5" w:rsidP="00791EE5">
            <w:r w:rsidRPr="00694FE4">
              <w:t>tax statistics</w:t>
            </w:r>
          </w:p>
          <w:p w:rsidR="00791EE5" w:rsidRPr="00791EE5" w:rsidRDefault="00791EE5" w:rsidP="00791EE5">
            <w:proofErr w:type="gramStart"/>
            <w:r w:rsidRPr="00694FE4">
              <w:t>implied</w:t>
            </w:r>
            <w:proofErr w:type="gramEnd"/>
            <w:r w:rsidRPr="00694FE4">
              <w:t xml:space="preserve"> market value studies. </w:t>
            </w:r>
          </w:p>
        </w:tc>
      </w:tr>
    </w:tbl>
    <w:p w:rsidR="00791EE5" w:rsidRPr="00694FE4" w:rsidRDefault="00791EE5" w:rsidP="00A37EC9">
      <w:pPr>
        <w:pStyle w:val="AERtablesource"/>
      </w:pPr>
      <w:r w:rsidRPr="00694FE4">
        <w:t xml:space="preserve">Source: </w:t>
      </w:r>
      <w:r w:rsidRPr="00694FE4">
        <w:tab/>
        <w:t>AER analysis.</w:t>
      </w:r>
    </w:p>
    <w:p w:rsidR="00791EE5" w:rsidRPr="00694FE4" w:rsidRDefault="00791EE5" w:rsidP="00791EE5">
      <w:r w:rsidRPr="00694FE4">
        <w:t>Overall, the evidence suggests a range of estimates for the value of imputation credits might be reasonable. With regard to the merits of the evidence before us, we choose a value of imputation credits of 0.4 from within a range of 0.3 to 0.5.</w:t>
      </w:r>
    </w:p>
    <w:p w:rsidR="00791EE5" w:rsidRPr="00694FE4" w:rsidRDefault="00791EE5" w:rsidP="00791EE5">
      <w:r w:rsidRPr="00694FE4">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791EE5" w:rsidRPr="00694FE4" w:rsidRDefault="00791EE5" w:rsidP="00791EE5">
      <w:pPr>
        <w:numPr>
          <w:ilvl w:val="0"/>
          <w:numId w:val="24"/>
        </w:numPr>
      </w:pPr>
      <w:r w:rsidRPr="00694FE4">
        <w:t xml:space="preserve">Further detail on our draft decision in regards to the value of </w:t>
      </w:r>
      <w:r>
        <w:t>APA</w:t>
      </w:r>
      <w:r w:rsidRPr="00694FE4">
        <w:t xml:space="preserve">'s imputation credits is set out in attachment 4. </w:t>
      </w:r>
    </w:p>
    <w:p w:rsidR="005E3485" w:rsidRDefault="005E3485" w:rsidP="005E3485">
      <w:pPr>
        <w:pStyle w:val="Heading2"/>
      </w:pPr>
      <w:bookmarkStart w:id="156" w:name="_Toc430002792"/>
      <w:bookmarkStart w:id="157" w:name="_Ref433367629"/>
      <w:bookmarkStart w:id="158" w:name="_Ref434386292"/>
      <w:bookmarkStart w:id="159" w:name="_Ref435797241"/>
      <w:bookmarkStart w:id="160" w:name="_Toc436046184"/>
      <w:bookmarkStart w:id="161" w:name="_Toc444855392"/>
      <w:bookmarkStart w:id="162" w:name="_Toc487018279"/>
      <w:r>
        <w:t>Regulatory depreciation (return of capital)</w:t>
      </w:r>
      <w:bookmarkEnd w:id="156"/>
      <w:bookmarkEnd w:id="157"/>
      <w:bookmarkEnd w:id="158"/>
      <w:bookmarkEnd w:id="159"/>
      <w:bookmarkEnd w:id="160"/>
      <w:bookmarkEnd w:id="161"/>
      <w:bookmarkEnd w:id="162"/>
    </w:p>
    <w:p w:rsidR="003E0FCD" w:rsidRPr="00A575B0" w:rsidRDefault="003E0FCD" w:rsidP="003E0FCD">
      <w:r w:rsidRPr="00CA36EA">
        <w:t xml:space="preserve">When determining the total revenue for </w:t>
      </w:r>
      <w:r>
        <w:t>APA</w:t>
      </w:r>
      <w:r w:rsidRPr="00CA36EA">
        <w:t xml:space="preserve">, </w:t>
      </w:r>
      <w:r>
        <w:t>we</w:t>
      </w:r>
      <w:r w:rsidRPr="00CA36EA">
        <w:t xml:space="preserve"> </w:t>
      </w:r>
      <w:r>
        <w:t>include an allowance for</w:t>
      </w:r>
      <w:r w:rsidRPr="00CA36EA">
        <w:t xml:space="preserve"> the depreciation </w:t>
      </w:r>
      <w:r>
        <w:t>of</w:t>
      </w:r>
      <w:r w:rsidRPr="00CA36EA">
        <w:t xml:space="preserve"> the projected capital base (</w:t>
      </w:r>
      <w:r>
        <w:t>otherwise referred to as</w:t>
      </w:r>
      <w:r w:rsidRPr="00CA36EA">
        <w:t xml:space="preserve"> </w:t>
      </w:r>
      <w:r>
        <w:t>‘</w:t>
      </w:r>
      <w:r w:rsidRPr="00CA36EA">
        <w:t>return of capital</w:t>
      </w:r>
      <w:r>
        <w:t>’</w:t>
      </w:r>
      <w:r w:rsidRPr="00CA36EA">
        <w:t>).</w:t>
      </w:r>
      <w:r>
        <w:rPr>
          <w:rStyle w:val="FootnoteReference"/>
        </w:rPr>
        <w:footnoteReference w:id="40"/>
      </w:r>
      <w:r w:rsidRPr="00CA36EA">
        <w:t xml:space="preserve"> Regulatory depreciation is used to model the nominal asset values over the </w:t>
      </w:r>
      <w:r>
        <w:t>2018–22</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41"/>
      </w:r>
      <w:r>
        <w:t xml:space="preserve"> </w:t>
      </w:r>
    </w:p>
    <w:p w:rsidR="003E0FCD" w:rsidRDefault="003E0FCD" w:rsidP="003E0FCD">
      <w:r>
        <w:t>We</w:t>
      </w:r>
      <w:r w:rsidRPr="00CA36EA">
        <w:t xml:space="preserve"> a</w:t>
      </w:r>
      <w:r w:rsidR="00585816">
        <w:t>ccept APA</w:t>
      </w:r>
      <w:r>
        <w:t>’s</w:t>
      </w:r>
      <w:r w:rsidRPr="00CA36EA">
        <w:t xml:space="preserve"> proposal to use the </w:t>
      </w:r>
      <w:r>
        <w:t xml:space="preserve">real </w:t>
      </w:r>
      <w:r w:rsidRPr="00CA36EA">
        <w:t>straight-line</w:t>
      </w:r>
      <w:r>
        <w:t xml:space="preserve"> </w:t>
      </w:r>
      <w:r w:rsidRPr="00CA36EA">
        <w:t>method to calculate the re</w:t>
      </w:r>
      <w:r>
        <w:t>gulatory depreciation allowance. However, we do not approve APA’s proposed regulatory depreciation allowance of $10</w:t>
      </w:r>
      <w:r w:rsidR="008753A6">
        <w:t>7.4</w:t>
      </w:r>
      <w:r>
        <w:t xml:space="preserve"> million ($</w:t>
      </w:r>
      <w:r w:rsidR="008753A6">
        <w:t> </w:t>
      </w:r>
      <w:r>
        <w:t>nominal) for the 2018–22 access arrangement period. This is mainly because o</w:t>
      </w:r>
      <w:r w:rsidR="00585816">
        <w:t>f our decision to update APA</w:t>
      </w:r>
      <w:r>
        <w:t>'s calculation of the remaining asset lives as at 1 January 2018</w:t>
      </w:r>
      <w:r w:rsidR="00DB1243">
        <w:t xml:space="preserve">, </w:t>
      </w:r>
      <w:r>
        <w:t>and due to the effect of our determination</w:t>
      </w:r>
      <w:r w:rsidR="00585816">
        <w:t>s on other components of APA</w:t>
      </w:r>
      <w:r>
        <w:t>’s</w:t>
      </w:r>
      <w:r w:rsidRPr="001C0783">
        <w:t xml:space="preserve"> </w:t>
      </w:r>
      <w:r>
        <w:t>proposal. Discussed in other attachments, these determinations include the</w:t>
      </w:r>
      <w:r w:rsidRPr="001C0783">
        <w:t xml:space="preserve"> opening </w:t>
      </w:r>
      <w:r>
        <w:t xml:space="preserve">capital base (attachment 2), and the </w:t>
      </w:r>
      <w:r w:rsidRPr="001C0783">
        <w:t xml:space="preserve">forecast </w:t>
      </w:r>
      <w:r>
        <w:t>cap</w:t>
      </w:r>
      <w:r w:rsidRPr="001C0783">
        <w:t>ex</w:t>
      </w:r>
      <w:r>
        <w:t xml:space="preserve"> (attachment 6).</w:t>
      </w:r>
    </w:p>
    <w:p w:rsidR="00382B38" w:rsidRDefault="00382B38" w:rsidP="00382B38">
      <w:r w:rsidRPr="00A27483">
        <w:t xml:space="preserve">We approve </w:t>
      </w:r>
      <w:r>
        <w:t>APA’</w:t>
      </w:r>
      <w:r w:rsidRPr="00A27483">
        <w:t xml:space="preserve">s proposed </w:t>
      </w:r>
      <w:r>
        <w:t xml:space="preserve">asset classes and the </w:t>
      </w:r>
      <w:r w:rsidRPr="00A27483">
        <w:t xml:space="preserve">standard asset lives assigned to each of its asset classes for the </w:t>
      </w:r>
      <w:r>
        <w:t>2018–22</w:t>
      </w:r>
      <w:r w:rsidRPr="00A27483">
        <w:t xml:space="preserve"> access arrangement period</w:t>
      </w:r>
      <w:r w:rsidR="00D1370A">
        <w:t>, which are</w:t>
      </w:r>
      <w:r w:rsidRPr="00A27483">
        <w:t xml:space="preserve"> consistent with the approved standard </w:t>
      </w:r>
      <w:r>
        <w:t>asset</w:t>
      </w:r>
      <w:r w:rsidRPr="00A27483">
        <w:t xml:space="preserve"> lives for the </w:t>
      </w:r>
      <w:r w:rsidR="00D1370A">
        <w:t>current</w:t>
      </w:r>
      <w:r w:rsidRPr="00A27483">
        <w:t xml:space="preserve"> period. </w:t>
      </w:r>
      <w:r>
        <w:t>T</w:t>
      </w:r>
      <w:r w:rsidRPr="00A27483">
        <w:t xml:space="preserve">hey are </w:t>
      </w:r>
      <w:r>
        <w:t xml:space="preserve">also broadly </w:t>
      </w:r>
      <w:r w:rsidRPr="00A27483">
        <w:t>comparable with the standard asset lives approved in our</w:t>
      </w:r>
      <w:r w:rsidR="00D1370A">
        <w:t xml:space="preserve"> previous decisions for this and other APA pipelines.</w:t>
      </w:r>
      <w:r w:rsidRPr="00B07FFE">
        <w:rPr>
          <w:rStyle w:val="FootnoteReference"/>
        </w:rPr>
        <w:footnoteReference w:id="42"/>
      </w:r>
      <w:r w:rsidRPr="00B07FFE">
        <w:rPr>
          <w:rStyle w:val="FootnoteReference"/>
        </w:rPr>
        <w:t xml:space="preserve"> </w:t>
      </w:r>
    </w:p>
    <w:p w:rsidR="00DB1243" w:rsidRDefault="00382B38" w:rsidP="00382B38">
      <w:r>
        <w:t>We accept APA’s proposed weighted average method to calculate the remaining asset lives as at 1 January 2018.</w:t>
      </w:r>
      <w:r>
        <w:rPr>
          <w:rStyle w:val="FootnoteReference"/>
        </w:rPr>
        <w:footnoteReference w:id="43"/>
      </w:r>
      <w:r>
        <w:t xml:space="preserve"> In accepting the weighted average method, we have updated the proposed remaining asset lives as at 1 January 2018 due to the input changes we made to APA’s proposed roll forward model (RFM). These input changes affect the remaining asset lives calculat</w:t>
      </w:r>
      <w:r w:rsidR="00DB1243">
        <w:t>ion and are discussed in</w:t>
      </w:r>
      <w:r>
        <w:t xml:space="preserve"> </w:t>
      </w:r>
      <w:r w:rsidR="00DB1243">
        <w:t>attachment 5</w:t>
      </w:r>
    </w:p>
    <w:p w:rsidR="00382B38" w:rsidRDefault="00382B38" w:rsidP="00382B38">
      <w:r w:rsidRPr="00A27483">
        <w:t xml:space="preserve">Our draft decision on </w:t>
      </w:r>
      <w:r>
        <w:t>APA’</w:t>
      </w:r>
      <w:r w:rsidRPr="00A27483">
        <w:t>s regulatory depreciation allowance is $</w:t>
      </w:r>
      <w:r w:rsidR="009B003D">
        <w:t>78.</w:t>
      </w:r>
      <w:r w:rsidR="00624EE7">
        <w:t>1</w:t>
      </w:r>
      <w:r w:rsidRPr="00A27483">
        <w:t> million ($</w:t>
      </w:r>
      <w:r w:rsidR="008753A6">
        <w:t> </w:t>
      </w:r>
      <w:r w:rsidRPr="00A27483">
        <w:t xml:space="preserve">nominal) </w:t>
      </w:r>
      <w:r>
        <w:t xml:space="preserve">in total for </w:t>
      </w:r>
      <w:r w:rsidRPr="00A27483">
        <w:t xml:space="preserve">the </w:t>
      </w:r>
      <w:r>
        <w:t>2018–22</w:t>
      </w:r>
      <w:r w:rsidRPr="00A27483">
        <w:t xml:space="preserve"> access arrangement period as set out in</w:t>
      </w:r>
      <w:r w:rsidR="00FF4EBC">
        <w:t xml:space="preserve"> </w:t>
      </w:r>
      <w:r w:rsidR="00FF4EBC">
        <w:fldChar w:fldCharType="begin"/>
      </w:r>
      <w:r w:rsidR="00FF4EBC">
        <w:instrText xml:space="preserve"> REF _Ref398282397 \h </w:instrText>
      </w:r>
      <w:r w:rsidR="00FF4EBC">
        <w:fldChar w:fldCharType="separate"/>
      </w:r>
      <w:r w:rsidR="00971C32">
        <w:t xml:space="preserve">Table </w:t>
      </w:r>
      <w:r w:rsidR="00971C32">
        <w:rPr>
          <w:noProof/>
        </w:rPr>
        <w:t>5</w:t>
      </w:r>
      <w:r w:rsidR="00971C32">
        <w:noBreakHyphen/>
      </w:r>
      <w:r w:rsidR="00971C32">
        <w:rPr>
          <w:noProof/>
        </w:rPr>
        <w:t>6</w:t>
      </w:r>
      <w:r w:rsidR="00FF4EBC">
        <w:fldChar w:fldCharType="end"/>
      </w:r>
      <w:r w:rsidRPr="00A27483">
        <w:t>.</w:t>
      </w:r>
    </w:p>
    <w:p w:rsidR="00382B38" w:rsidRPr="001D3081" w:rsidRDefault="00FF4EBC" w:rsidP="003751C2">
      <w:pPr>
        <w:pStyle w:val="Caption"/>
      </w:pPr>
      <w:bookmarkStart w:id="163" w:name="_Ref398282397"/>
      <w:r>
        <w:t xml:space="preserve">Table </w:t>
      </w:r>
      <w:fldSimple w:instr=" STYLEREF 1 \s ">
        <w:r w:rsidR="00971C32">
          <w:rPr>
            <w:noProof/>
          </w:rPr>
          <w:t>5</w:t>
        </w:r>
      </w:fldSimple>
      <w:r w:rsidR="009F6AC3">
        <w:noBreakHyphen/>
      </w:r>
      <w:fldSimple w:instr=" SEQ Table \* ARABIC \s 1 ">
        <w:r w:rsidR="00971C32">
          <w:rPr>
            <w:noProof/>
          </w:rPr>
          <w:t>6</w:t>
        </w:r>
      </w:fldSimple>
      <w:bookmarkEnd w:id="163"/>
      <w:r>
        <w:tab/>
      </w:r>
      <w:r w:rsidR="00382B38" w:rsidRPr="001D3081">
        <w:t xml:space="preserve">AER’s draft decision on </w:t>
      </w:r>
      <w:r w:rsidR="00382B38">
        <w:t>APA</w:t>
      </w:r>
      <w:r w:rsidR="00382B38" w:rsidRPr="001D3081">
        <w:t xml:space="preserve">’s regulatory depreciation allowance for the </w:t>
      </w:r>
      <w:r w:rsidR="00382B38">
        <w:t>2018–22</w:t>
      </w:r>
      <w:r w:rsidR="00382B38" w:rsidRPr="001D3081">
        <w:t xml:space="preserve"> access arrangement period ($</w:t>
      </w:r>
      <w:r w:rsidR="00F8785E">
        <w:t xml:space="preserve"> </w:t>
      </w:r>
      <w:r w:rsidR="00382B38" w:rsidRPr="001D3081">
        <w:t>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382B38" w:rsidRPr="00DC459A" w:rsidTr="006328E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382B38" w:rsidRPr="00DC459A" w:rsidRDefault="00382B38" w:rsidP="00DC459A"/>
        </w:tc>
        <w:tc>
          <w:tcPr>
            <w:tcW w:w="1031" w:type="dxa"/>
            <w:noWrap/>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2018</w:t>
            </w:r>
          </w:p>
        </w:tc>
        <w:tc>
          <w:tcPr>
            <w:tcW w:w="1031" w:type="dxa"/>
            <w:noWrap/>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2019</w:t>
            </w:r>
          </w:p>
        </w:tc>
        <w:tc>
          <w:tcPr>
            <w:tcW w:w="1031" w:type="dxa"/>
            <w:noWrap/>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2020</w:t>
            </w:r>
          </w:p>
        </w:tc>
        <w:tc>
          <w:tcPr>
            <w:tcW w:w="1031" w:type="dxa"/>
            <w:noWrap/>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2021</w:t>
            </w:r>
          </w:p>
        </w:tc>
        <w:tc>
          <w:tcPr>
            <w:tcW w:w="1031" w:type="dxa"/>
            <w:noWrap/>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2022</w:t>
            </w:r>
          </w:p>
        </w:tc>
        <w:tc>
          <w:tcPr>
            <w:tcW w:w="1031" w:type="dxa"/>
          </w:tcPr>
          <w:p w:rsidR="00382B38" w:rsidRPr="00DC459A" w:rsidRDefault="00382B38" w:rsidP="00DC459A">
            <w:pPr>
              <w:cnfStyle w:val="100000000000" w:firstRow="1" w:lastRow="0" w:firstColumn="0" w:lastColumn="0" w:oddVBand="0" w:evenVBand="0" w:oddHBand="0" w:evenHBand="0" w:firstRowFirstColumn="0" w:firstRowLastColumn="0" w:lastRowFirstColumn="0" w:lastRowLastColumn="0"/>
            </w:pPr>
            <w:r w:rsidRPr="00DC459A">
              <w:t>Total</w:t>
            </w:r>
          </w:p>
        </w:tc>
      </w:tr>
      <w:tr w:rsidR="00624EE7" w:rsidRPr="00DC459A" w:rsidTr="0087748B">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24EE7" w:rsidRPr="00DC459A" w:rsidRDefault="00624EE7" w:rsidP="00DC459A">
            <w:r w:rsidRPr="00DC459A">
              <w:t>Straight-line depreciation</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35.7</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39.6</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42.4</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47.6</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45.0</w:t>
            </w:r>
          </w:p>
        </w:tc>
        <w:tc>
          <w:tcPr>
            <w:tcW w:w="1031" w:type="dxa"/>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pPr>
            <w:r w:rsidRPr="00DC459A">
              <w:t>210.3</w:t>
            </w:r>
          </w:p>
        </w:tc>
      </w:tr>
      <w:tr w:rsidR="00624EE7" w:rsidRPr="00DC459A" w:rsidTr="0087748B">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24EE7" w:rsidRPr="00DC459A" w:rsidRDefault="00624EE7" w:rsidP="00DC459A">
            <w:r w:rsidRPr="00DC459A">
              <w:t xml:space="preserve">Less: indexation on capital base </w:t>
            </w:r>
          </w:p>
        </w:tc>
        <w:tc>
          <w:tcPr>
            <w:tcW w:w="1031" w:type="dxa"/>
            <w:noWrap/>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24.1</w:t>
            </w:r>
          </w:p>
        </w:tc>
        <w:tc>
          <w:tcPr>
            <w:tcW w:w="1031" w:type="dxa"/>
            <w:noWrap/>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25.4</w:t>
            </w:r>
          </w:p>
        </w:tc>
        <w:tc>
          <w:tcPr>
            <w:tcW w:w="1031" w:type="dxa"/>
            <w:noWrap/>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26.6</w:t>
            </w:r>
          </w:p>
        </w:tc>
        <w:tc>
          <w:tcPr>
            <w:tcW w:w="1031" w:type="dxa"/>
            <w:noWrap/>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28.1</w:t>
            </w:r>
          </w:p>
        </w:tc>
        <w:tc>
          <w:tcPr>
            <w:tcW w:w="1031" w:type="dxa"/>
            <w:noWrap/>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28.0</w:t>
            </w:r>
          </w:p>
        </w:tc>
        <w:tc>
          <w:tcPr>
            <w:tcW w:w="1031" w:type="dxa"/>
            <w:vAlign w:val="bottom"/>
          </w:tcPr>
          <w:p w:rsidR="00624EE7" w:rsidRPr="00DC459A" w:rsidRDefault="00624EE7" w:rsidP="00DC459A">
            <w:pPr>
              <w:cnfStyle w:val="000000010000" w:firstRow="0" w:lastRow="0" w:firstColumn="0" w:lastColumn="0" w:oddVBand="0" w:evenVBand="0" w:oddHBand="0" w:evenHBand="1" w:firstRowFirstColumn="0" w:firstRowLastColumn="0" w:lastRowFirstColumn="0" w:lastRowLastColumn="0"/>
            </w:pPr>
            <w:r w:rsidRPr="00DC459A">
              <w:t>132.2</w:t>
            </w:r>
          </w:p>
        </w:tc>
      </w:tr>
      <w:tr w:rsidR="00624EE7" w:rsidRPr="00DC459A" w:rsidTr="0087748B">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24EE7" w:rsidRPr="00DC459A" w:rsidRDefault="00624EE7" w:rsidP="00DC459A">
            <w:pPr>
              <w:rPr>
                <w:rStyle w:val="Strong"/>
              </w:rPr>
            </w:pPr>
            <w:r w:rsidRPr="00DC459A">
              <w:rPr>
                <w:rStyle w:val="Strong"/>
              </w:rPr>
              <w:t>Regulatory depreciation</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11.6</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14.2</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15.8</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19.5</w:t>
            </w:r>
          </w:p>
        </w:tc>
        <w:tc>
          <w:tcPr>
            <w:tcW w:w="1031" w:type="dxa"/>
            <w:noWrap/>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17.0</w:t>
            </w:r>
          </w:p>
        </w:tc>
        <w:tc>
          <w:tcPr>
            <w:tcW w:w="1031" w:type="dxa"/>
            <w:vAlign w:val="bottom"/>
          </w:tcPr>
          <w:p w:rsidR="00624EE7" w:rsidRPr="00DC459A" w:rsidRDefault="00624EE7" w:rsidP="00DC459A">
            <w:pPr>
              <w:cnfStyle w:val="000000000000" w:firstRow="0" w:lastRow="0" w:firstColumn="0" w:lastColumn="0" w:oddVBand="0" w:evenVBand="0" w:oddHBand="0" w:evenHBand="0" w:firstRowFirstColumn="0" w:firstRowLastColumn="0" w:lastRowFirstColumn="0" w:lastRowLastColumn="0"/>
              <w:rPr>
                <w:rStyle w:val="Strong"/>
              </w:rPr>
            </w:pPr>
            <w:r w:rsidRPr="00DC459A">
              <w:rPr>
                <w:rStyle w:val="Strong"/>
              </w:rPr>
              <w:t>78.1</w:t>
            </w:r>
          </w:p>
        </w:tc>
      </w:tr>
    </w:tbl>
    <w:p w:rsidR="00382B38" w:rsidRPr="00A27483" w:rsidRDefault="00382B38" w:rsidP="00F8785E">
      <w:pPr>
        <w:pStyle w:val="AERtablesource"/>
        <w:keepNext/>
      </w:pPr>
      <w:r>
        <w:t xml:space="preserve">Source: </w:t>
      </w:r>
      <w:r>
        <w:tab/>
        <w:t>AER analysis.</w:t>
      </w:r>
    </w:p>
    <w:p w:rsidR="00382B38" w:rsidRDefault="00382B38" w:rsidP="00382B38">
      <w:r w:rsidRPr="00696423">
        <w:t>Further detail on our dra</w:t>
      </w:r>
      <w:r>
        <w:t>ft decision in regards to APA</w:t>
      </w:r>
      <w:r w:rsidRPr="00696423">
        <w:t xml:space="preserve">'s </w:t>
      </w:r>
      <w:r>
        <w:t>regulatory depreciation</w:t>
      </w:r>
      <w:r w:rsidRPr="00696423">
        <w:t xml:space="preserve"> is set out in attachment </w:t>
      </w:r>
      <w:r>
        <w:t>5.</w:t>
      </w:r>
    </w:p>
    <w:p w:rsidR="00382B38" w:rsidRDefault="00382B38" w:rsidP="00382B38">
      <w:pPr>
        <w:pStyle w:val="Heading2"/>
      </w:pPr>
      <w:bookmarkStart w:id="164" w:name="_Toc430002793"/>
      <w:bookmarkStart w:id="165" w:name="_Ref433367036"/>
      <w:bookmarkStart w:id="166" w:name="_Ref433367606"/>
      <w:bookmarkStart w:id="167" w:name="_Ref433617819"/>
      <w:bookmarkStart w:id="168" w:name="_Ref433619834"/>
      <w:bookmarkStart w:id="169" w:name="_Ref433619862"/>
      <w:bookmarkStart w:id="170" w:name="_Ref435797234"/>
      <w:bookmarkStart w:id="171" w:name="_Toc436046185"/>
      <w:bookmarkStart w:id="172" w:name="_Toc444855393"/>
      <w:bookmarkStart w:id="173" w:name="_Toc487018280"/>
      <w:r>
        <w:t>Capital expenditure</w:t>
      </w:r>
      <w:bookmarkEnd w:id="164"/>
      <w:bookmarkEnd w:id="165"/>
      <w:bookmarkEnd w:id="166"/>
      <w:bookmarkEnd w:id="167"/>
      <w:bookmarkEnd w:id="168"/>
      <w:bookmarkEnd w:id="169"/>
      <w:bookmarkEnd w:id="170"/>
      <w:bookmarkEnd w:id="171"/>
      <w:bookmarkEnd w:id="172"/>
      <w:bookmarkEnd w:id="173"/>
    </w:p>
    <w:p w:rsidR="002C62CD" w:rsidRDefault="002C62CD" w:rsidP="002C62CD">
      <w:r>
        <w:t xml:space="preserve">Capital expenditure (capex) refers to the capital </w:t>
      </w:r>
      <w:r w:rsidRPr="00F745EE">
        <w:t xml:space="preserve">costs and expenditure incurred </w:t>
      </w:r>
      <w:r>
        <w:t>in the provision of</w:t>
      </w:r>
      <w:r w:rsidRPr="00F745EE">
        <w:t xml:space="preserve"> pipeline services</w:t>
      </w:r>
      <w:r>
        <w:t>.</w:t>
      </w:r>
      <w:r>
        <w:rPr>
          <w:rStyle w:val="FootnoteReference"/>
        </w:rPr>
        <w:footnoteReference w:id="44"/>
      </w:r>
      <w:r>
        <w:t xml:space="preserve"> This investment mostly relates to assets with long lives. APA recovers the costs of these assets through the return on capital and depreciation building blocks that form part of its total revenue. In this way APA recovers the financing cost and depreciation associated with these assets over the expected life of these assets.</w:t>
      </w:r>
    </w:p>
    <w:p w:rsidR="001D1896" w:rsidRDefault="001D1896" w:rsidP="001D1896">
      <w:r>
        <w:t xml:space="preserve">Our draft decision includes an </w:t>
      </w:r>
      <w:r w:rsidRPr="00EE386B">
        <w:t xml:space="preserve">assessment of </w:t>
      </w:r>
      <w:r>
        <w:t>APA's actual capex</w:t>
      </w:r>
      <w:r w:rsidRPr="00EE386B">
        <w:t xml:space="preserve"> </w:t>
      </w:r>
      <w:r>
        <w:t>in the current period, which forms part of its opening capital base.</w:t>
      </w:r>
      <w:r>
        <w:rPr>
          <w:rStyle w:val="FootnoteReference"/>
        </w:rPr>
        <w:footnoteReference w:id="45"/>
      </w:r>
      <w:r>
        <w:t xml:space="preserve"> It also includes an assessment of APA's </w:t>
      </w:r>
      <w:r w:rsidRPr="00EE386B">
        <w:t>forecast capex for the 20</w:t>
      </w:r>
      <w:r>
        <w:t>18</w:t>
      </w:r>
      <w:r w:rsidRPr="00EE386B">
        <w:t>–</w:t>
      </w:r>
      <w:r>
        <w:t>22</w:t>
      </w:r>
      <w:r w:rsidRPr="00EE386B">
        <w:t xml:space="preserve"> access arrangement </w:t>
      </w:r>
      <w:proofErr w:type="gramStart"/>
      <w:r w:rsidRPr="00EE386B">
        <w:t>period</w:t>
      </w:r>
      <w:proofErr w:type="gramEnd"/>
      <w:r>
        <w:t>, which forms part of its projected capital base.</w:t>
      </w:r>
      <w:r>
        <w:rPr>
          <w:rStyle w:val="FootnoteReference"/>
        </w:rPr>
        <w:footnoteReference w:id="46"/>
      </w:r>
      <w:r>
        <w:t xml:space="preserve"> </w:t>
      </w:r>
    </w:p>
    <w:p w:rsidR="001D1896" w:rsidRDefault="00F74ED1" w:rsidP="001D1896">
      <w:r>
        <w:fldChar w:fldCharType="begin"/>
      </w:r>
      <w:r>
        <w:instrText xml:space="preserve"> REF _Ref483833320 \h </w:instrText>
      </w:r>
      <w:r>
        <w:fldChar w:fldCharType="separate"/>
      </w:r>
      <w:r w:rsidR="00971C32">
        <w:t xml:space="preserve">Figure </w:t>
      </w:r>
      <w:r w:rsidR="00971C32">
        <w:rPr>
          <w:noProof/>
        </w:rPr>
        <w:t>5</w:t>
      </w:r>
      <w:r w:rsidR="00971C32">
        <w:noBreakHyphen/>
      </w:r>
      <w:r w:rsidR="00971C32">
        <w:rPr>
          <w:noProof/>
        </w:rPr>
        <w:t>2</w:t>
      </w:r>
      <w:r>
        <w:fldChar w:fldCharType="end"/>
      </w:r>
      <w:r>
        <w:t xml:space="preserve"> </w:t>
      </w:r>
      <w:r w:rsidR="00F91F23">
        <w:t>compares APA</w:t>
      </w:r>
      <w:r w:rsidR="001D1896">
        <w:t xml:space="preserve">'s past and proposed forecast capex, and the forecasts we have approved in our previous decision for 2013–17 and this draft decision for </w:t>
      </w:r>
      <w:r w:rsidR="00533704">
        <w:br/>
      </w:r>
      <w:r w:rsidR="001D1896">
        <w:t xml:space="preserve">2018–22. </w:t>
      </w:r>
    </w:p>
    <w:p w:rsidR="00F74ED1" w:rsidRDefault="00F74ED1" w:rsidP="00F74ED1">
      <w:pPr>
        <w:pStyle w:val="Caption"/>
      </w:pPr>
      <w:bookmarkStart w:id="174" w:name="_Ref483833320"/>
      <w:r>
        <w:t xml:space="preserve">Figure </w:t>
      </w:r>
      <w:fldSimple w:instr=" STYLEREF 1 \s ">
        <w:r w:rsidR="00971C32">
          <w:rPr>
            <w:noProof/>
          </w:rPr>
          <w:t>5</w:t>
        </w:r>
      </w:fldSimple>
      <w:r w:rsidR="00624EE7">
        <w:noBreakHyphen/>
      </w:r>
      <w:fldSimple w:instr=" SEQ Figure \* ARABIC \s 1 ">
        <w:r w:rsidR="00971C32">
          <w:rPr>
            <w:noProof/>
          </w:rPr>
          <w:t>2</w:t>
        </w:r>
      </w:fldSimple>
      <w:bookmarkEnd w:id="174"/>
      <w:r>
        <w:tab/>
        <w:t>AE</w:t>
      </w:r>
      <w:r w:rsidR="00F91F23">
        <w:t>R draft decision compared to APA</w:t>
      </w:r>
      <w:r>
        <w:t>'s past and proposed capex ($</w:t>
      </w:r>
      <w:r w:rsidR="00272737">
        <w:t xml:space="preserve"> </w:t>
      </w:r>
      <w:r>
        <w:t>million, 2017)</w:t>
      </w:r>
    </w:p>
    <w:p w:rsidR="001D1896" w:rsidRDefault="00F74ED1" w:rsidP="005723E8">
      <w:r w:rsidRPr="00F74ED1">
        <w:rPr>
          <w:noProof/>
          <w:lang w:eastAsia="en-AU"/>
        </w:rPr>
        <w:drawing>
          <wp:inline distT="0" distB="0" distL="0" distR="0" wp14:anchorId="580A85F3" wp14:editId="26C1A3E1">
            <wp:extent cx="5382895" cy="3416068"/>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82895" cy="3416068"/>
                    </a:xfrm>
                    <a:prstGeom prst="rect">
                      <a:avLst/>
                    </a:prstGeom>
                  </pic:spPr>
                </pic:pic>
              </a:graphicData>
            </a:graphic>
          </wp:inline>
        </w:drawing>
      </w:r>
    </w:p>
    <w:p w:rsidR="00F74ED1" w:rsidRPr="00F74ED1" w:rsidRDefault="00F74ED1" w:rsidP="00F74ED1">
      <w:pPr>
        <w:pStyle w:val="AERtablesource"/>
      </w:pPr>
      <w:r w:rsidRPr="0089106C">
        <w:t>Source:</w:t>
      </w:r>
      <w:r w:rsidRPr="0089106C">
        <w:tab/>
      </w:r>
      <w:r w:rsidRPr="00F74ED1">
        <w:t>AER analysis.</w:t>
      </w:r>
    </w:p>
    <w:p w:rsidR="00382B38" w:rsidRPr="00546EAA" w:rsidRDefault="00382B38" w:rsidP="00B62E54">
      <w:pPr>
        <w:pStyle w:val="Heading3"/>
        <w:ind w:left="720"/>
      </w:pPr>
      <w:bookmarkStart w:id="175" w:name="_Toc487018281"/>
      <w:r w:rsidRPr="00546EAA">
        <w:t>Conforming capex for 2013–17</w:t>
      </w:r>
      <w:bookmarkEnd w:id="175"/>
    </w:p>
    <w:p w:rsidR="00F74ED1" w:rsidRDefault="00F74ED1" w:rsidP="00CF58BF">
      <w:pPr>
        <w:pStyle w:val="ListParagraph"/>
        <w:numPr>
          <w:ilvl w:val="0"/>
          <w:numId w:val="24"/>
        </w:numPr>
      </w:pPr>
      <w:r>
        <w:t>A</w:t>
      </w:r>
      <w:r w:rsidR="00A54DC8">
        <w:t>PA</w:t>
      </w:r>
      <w:r>
        <w:t>'s actual capex in the current period was</w:t>
      </w:r>
      <w:r w:rsidR="00A54DC8">
        <w:t xml:space="preserve"> $244.6 million ($</w:t>
      </w:r>
      <w:r w:rsidR="00F8785E">
        <w:t xml:space="preserve"> </w:t>
      </w:r>
      <w:r w:rsidR="00A54DC8">
        <w:t>2017) higher than contemplated in our last decision. The k</w:t>
      </w:r>
      <w:r w:rsidR="00CF58BF">
        <w:t xml:space="preserve">ey driver of this increase was augmentation capex, which included additional investment in the </w:t>
      </w:r>
      <w:r w:rsidR="00CF58BF" w:rsidRPr="00CF58BF">
        <w:t>Victorian Northern Interconnector Expansion</w:t>
      </w:r>
      <w:r w:rsidR="00CF58BF">
        <w:t xml:space="preserve"> (VNIE) and South West Pipeline (SWP)</w:t>
      </w:r>
      <w:r w:rsidR="00CF58BF" w:rsidRPr="005017A8">
        <w:t xml:space="preserve"> </w:t>
      </w:r>
      <w:r w:rsidR="00CF58BF">
        <w:t xml:space="preserve">to Anglesea Pipeline projects. These investments were required to meet </w:t>
      </w:r>
      <w:r w:rsidR="00CF58BF" w:rsidRPr="005017A8">
        <w:t>significant changes in the east coast gas market</w:t>
      </w:r>
      <w:r w:rsidR="00CF58BF">
        <w:t xml:space="preserve"> </w:t>
      </w:r>
      <w:r w:rsidR="000C5225">
        <w:t xml:space="preserve">that APA did not anticipate until </w:t>
      </w:r>
      <w:r w:rsidR="00CF58BF">
        <w:t>after finalisation of the access arrangement</w:t>
      </w:r>
      <w:r w:rsidR="000C5225">
        <w:t>. The effect of these changes</w:t>
      </w:r>
      <w:r w:rsidR="00CF58BF" w:rsidRPr="005017A8">
        <w:t xml:space="preserve"> </w:t>
      </w:r>
      <w:r w:rsidR="00CF58BF">
        <w:t xml:space="preserve">resulted </w:t>
      </w:r>
      <w:r w:rsidR="00CF58BF" w:rsidRPr="005017A8">
        <w:t>in increase</w:t>
      </w:r>
      <w:r w:rsidR="00CF58BF">
        <w:t>d</w:t>
      </w:r>
      <w:r w:rsidR="00CF58BF" w:rsidRPr="005017A8">
        <w:t xml:space="preserve"> demand for the northern flow of gas from Victoria.</w:t>
      </w:r>
      <w:r w:rsidR="00CF58BF">
        <w:rPr>
          <w:rStyle w:val="FootnoteReference"/>
        </w:rPr>
        <w:footnoteReference w:id="47"/>
      </w:r>
      <w:r w:rsidR="00CF58BF">
        <w:t xml:space="preserve"> </w:t>
      </w:r>
    </w:p>
    <w:p w:rsidR="00052061" w:rsidRDefault="00052061" w:rsidP="00CF58BF">
      <w:pPr>
        <w:pStyle w:val="ListParagraph"/>
        <w:numPr>
          <w:ilvl w:val="0"/>
          <w:numId w:val="24"/>
        </w:numPr>
        <w:rPr>
          <w:rStyle w:val="AERbody"/>
        </w:rPr>
      </w:pPr>
      <w:r>
        <w:rPr>
          <w:rStyle w:val="AERbody"/>
        </w:rPr>
        <w:t>We have approved the additional capex for the VNIE on the basis that:</w:t>
      </w:r>
    </w:p>
    <w:p w:rsidR="006D10A2" w:rsidRDefault="00A46702" w:rsidP="003930B3">
      <w:pPr>
        <w:pStyle w:val="AERbulletlistfirststyle"/>
      </w:pPr>
      <w:r>
        <w:rPr>
          <w:rStyle w:val="AERbody"/>
        </w:rPr>
        <w:t>APA has</w:t>
      </w:r>
      <w:r w:rsidR="006D10A2">
        <w:rPr>
          <w:rStyle w:val="AERbody"/>
        </w:rPr>
        <w:t xml:space="preserve"> demonstrated that </w:t>
      </w:r>
      <w:r w:rsidR="006D10A2" w:rsidRPr="006D10A2">
        <w:rPr>
          <w:rStyle w:val="AERbody"/>
        </w:rPr>
        <w:t>significant changes in the east coast gas market</w:t>
      </w:r>
      <w:r w:rsidR="006D10A2">
        <w:rPr>
          <w:rStyle w:val="AERbody"/>
        </w:rPr>
        <w:t>, since the finalisation of the current access arrangement,</w:t>
      </w:r>
      <w:r w:rsidR="006D10A2" w:rsidRPr="006D10A2">
        <w:rPr>
          <w:rStyle w:val="AERbody"/>
        </w:rPr>
        <w:t xml:space="preserve"> have led to increased demand for gas to flow north from Victoria. APA has </w:t>
      </w:r>
      <w:r w:rsidR="006D10A2">
        <w:rPr>
          <w:rStyle w:val="AERbody"/>
        </w:rPr>
        <w:t>confirmed</w:t>
      </w:r>
      <w:r w:rsidR="006D10A2" w:rsidRPr="006D10A2">
        <w:rPr>
          <w:rStyle w:val="AERbody"/>
        </w:rPr>
        <w:t xml:space="preserve"> that it has contracts with NSW shippers reflecting this increased demand.</w:t>
      </w:r>
      <w:r w:rsidR="006D10A2" w:rsidRPr="006D10A2">
        <w:rPr>
          <w:rStyle w:val="FootnoteReference"/>
        </w:rPr>
        <w:footnoteReference w:id="48"/>
      </w:r>
    </w:p>
    <w:p w:rsidR="006D10A2" w:rsidRDefault="00052061" w:rsidP="003930B3">
      <w:pPr>
        <w:pStyle w:val="AERbulletlistfirststyle"/>
      </w:pPr>
      <w:proofErr w:type="gramStart"/>
      <w:r w:rsidRPr="00052061">
        <w:t>the</w:t>
      </w:r>
      <w:proofErr w:type="gramEnd"/>
      <w:r w:rsidRPr="00052061">
        <w:t xml:space="preserve"> present value of the incremental revenue to be generated as a result of the expenditure exceeds the present value of the capital expenditure.</w:t>
      </w:r>
      <w:r w:rsidRPr="00052061">
        <w:rPr>
          <w:rStyle w:val="FootnoteReference"/>
        </w:rPr>
        <w:t xml:space="preserve"> </w:t>
      </w:r>
      <w:r w:rsidRPr="00052061">
        <w:rPr>
          <w:rStyle w:val="FootnoteReference"/>
        </w:rPr>
        <w:footnoteReference w:id="49"/>
      </w:r>
      <w:r w:rsidRPr="00052061">
        <w:t xml:space="preserve"> </w:t>
      </w:r>
    </w:p>
    <w:p w:rsidR="00F469C5" w:rsidRDefault="00A46702" w:rsidP="003930B3">
      <w:pPr>
        <w:pStyle w:val="AERbulletlistfirststyle"/>
        <w:rPr>
          <w:rStyle w:val="AERbody"/>
        </w:rPr>
      </w:pPr>
      <w:proofErr w:type="gramStart"/>
      <w:r>
        <w:t>t</w:t>
      </w:r>
      <w:r w:rsidR="006D10A2">
        <w:t>aking</w:t>
      </w:r>
      <w:proofErr w:type="gramEnd"/>
      <w:r w:rsidR="006D10A2">
        <w:t xml:space="preserve"> advice from Sleeman Consulting into account, </w:t>
      </w:r>
      <w:r w:rsidR="006D10A2" w:rsidRPr="006D10A2">
        <w:t>we are satisfied that the $339.2 million is prudent, in accordance with good industry practice and achieves the lowest sustainable cost of providing services.</w:t>
      </w:r>
      <w:r w:rsidR="00052061">
        <w:rPr>
          <w:rStyle w:val="AERbody"/>
        </w:rPr>
        <w:t xml:space="preserve"> </w:t>
      </w:r>
    </w:p>
    <w:p w:rsidR="006D10A2" w:rsidRPr="003930B3" w:rsidRDefault="009917D1" w:rsidP="003930B3">
      <w:pPr>
        <w:rPr>
          <w:rStyle w:val="AERbody"/>
        </w:rPr>
      </w:pPr>
      <w:r>
        <w:rPr>
          <w:rStyle w:val="AERbody"/>
        </w:rPr>
        <w:t>Further, given the tight supply/</w:t>
      </w:r>
      <w:r w:rsidR="006D10A2" w:rsidRPr="003930B3">
        <w:rPr>
          <w:rStyle w:val="AERbody"/>
        </w:rPr>
        <w:t>demand balance in Victoria, the VNI</w:t>
      </w:r>
      <w:r>
        <w:rPr>
          <w:rStyle w:val="AERbody"/>
        </w:rPr>
        <w:t>E</w:t>
      </w:r>
      <w:r w:rsidR="006D10A2" w:rsidRPr="003930B3">
        <w:rPr>
          <w:rStyle w:val="AERbody"/>
        </w:rPr>
        <w:t xml:space="preserve"> also provides system security benefits for Victorian customers. </w:t>
      </w:r>
    </w:p>
    <w:p w:rsidR="00CF58BF" w:rsidRDefault="00CF58BF" w:rsidP="00CF58BF">
      <w:pPr>
        <w:pStyle w:val="ListParagraph"/>
        <w:numPr>
          <w:ilvl w:val="0"/>
          <w:numId w:val="24"/>
        </w:numPr>
      </w:pPr>
      <w:r>
        <w:fldChar w:fldCharType="begin"/>
      </w:r>
      <w:r>
        <w:instrText xml:space="preserve"> REF _Ref483245186 \h </w:instrText>
      </w:r>
      <w:r>
        <w:fldChar w:fldCharType="separate"/>
      </w:r>
      <w:r w:rsidR="00971C32">
        <w:t xml:space="preserve">Table </w:t>
      </w:r>
      <w:r w:rsidR="00971C32">
        <w:rPr>
          <w:noProof/>
        </w:rPr>
        <w:t>5</w:t>
      </w:r>
      <w:r w:rsidR="00971C32">
        <w:noBreakHyphen/>
      </w:r>
      <w:r w:rsidR="00971C32">
        <w:rPr>
          <w:noProof/>
        </w:rPr>
        <w:t>7</w:t>
      </w:r>
      <w:r>
        <w:fldChar w:fldCharType="end"/>
      </w:r>
      <w:r>
        <w:t xml:space="preserve"> sets out our draft decision on approved capex for the current period.</w:t>
      </w:r>
    </w:p>
    <w:p w:rsidR="00382B38" w:rsidRPr="00546EAA" w:rsidRDefault="00FF4EBC" w:rsidP="00FF4EBC">
      <w:pPr>
        <w:pStyle w:val="Tabletitle"/>
        <w:rPr>
          <w:rStyle w:val="AERbody"/>
        </w:rPr>
      </w:pPr>
      <w:bookmarkStart w:id="176" w:name="_Ref483245186"/>
      <w:r>
        <w:t xml:space="preserve">Table </w:t>
      </w:r>
      <w:fldSimple w:instr=" STYLEREF 1 \s ">
        <w:r w:rsidR="00971C32">
          <w:rPr>
            <w:noProof/>
          </w:rPr>
          <w:t>5</w:t>
        </w:r>
      </w:fldSimple>
      <w:r w:rsidR="009F6AC3">
        <w:noBreakHyphen/>
      </w:r>
      <w:fldSimple w:instr=" SEQ Table \* ARABIC \s 1 ">
        <w:r w:rsidR="00971C32">
          <w:rPr>
            <w:noProof/>
          </w:rPr>
          <w:t>7</w:t>
        </w:r>
      </w:fldSimple>
      <w:bookmarkEnd w:id="176"/>
      <w:r w:rsidR="00382B38" w:rsidRPr="00546EAA">
        <w:rPr>
          <w:rStyle w:val="AERbody"/>
        </w:rPr>
        <w:tab/>
      </w:r>
      <w:r w:rsidR="00382B38" w:rsidRPr="00FF4EBC">
        <w:rPr>
          <w:rStyle w:val="AERbody"/>
          <w:color w:val="076A92" w:themeColor="text1"/>
          <w:sz w:val="24"/>
        </w:rPr>
        <w:t>Approved capex, 2013 to 2017 ($</w:t>
      </w:r>
      <w:r w:rsidR="00F97043">
        <w:rPr>
          <w:rStyle w:val="AERbody"/>
        </w:rPr>
        <w:t xml:space="preserve"> </w:t>
      </w:r>
      <w:r w:rsidR="00382B38" w:rsidRPr="00FF4EBC">
        <w:rPr>
          <w:rStyle w:val="AERbody"/>
          <w:color w:val="076A92" w:themeColor="text1"/>
          <w:sz w:val="24"/>
        </w:rPr>
        <w:t>million)</w:t>
      </w:r>
    </w:p>
    <w:tbl>
      <w:tblPr>
        <w:tblStyle w:val="AERtable-numbers"/>
        <w:tblW w:w="5000" w:type="pct"/>
        <w:tblLayout w:type="fixed"/>
        <w:tblLook w:val="04A0" w:firstRow="1" w:lastRow="0" w:firstColumn="1" w:lastColumn="0" w:noHBand="0" w:noVBand="1"/>
      </w:tblPr>
      <w:tblGrid>
        <w:gridCol w:w="2360"/>
        <w:gridCol w:w="1026"/>
        <w:gridCol w:w="1026"/>
        <w:gridCol w:w="1026"/>
        <w:gridCol w:w="1026"/>
        <w:gridCol w:w="1026"/>
        <w:gridCol w:w="1203"/>
      </w:tblGrid>
      <w:tr w:rsidR="00382B38" w:rsidRPr="004F416F" w:rsidTr="00F9704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6" w:type="pct"/>
            <w:hideMark/>
          </w:tcPr>
          <w:p w:rsidR="00382B38" w:rsidRPr="00382B38" w:rsidRDefault="00382B38" w:rsidP="00382B38">
            <w:r w:rsidRPr="00546EAA">
              <w:t> Category</w:t>
            </w:r>
          </w:p>
        </w:tc>
        <w:tc>
          <w:tcPr>
            <w:tcW w:w="590" w:type="pct"/>
            <w:hideMark/>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2013</w:t>
            </w:r>
          </w:p>
        </w:tc>
        <w:tc>
          <w:tcPr>
            <w:tcW w:w="590" w:type="pct"/>
            <w:hideMark/>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2014</w:t>
            </w:r>
          </w:p>
        </w:tc>
        <w:tc>
          <w:tcPr>
            <w:tcW w:w="590" w:type="pct"/>
            <w:hideMark/>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2015</w:t>
            </w:r>
          </w:p>
        </w:tc>
        <w:tc>
          <w:tcPr>
            <w:tcW w:w="590" w:type="pct"/>
            <w:hideMark/>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2016</w:t>
            </w:r>
          </w:p>
        </w:tc>
        <w:tc>
          <w:tcPr>
            <w:tcW w:w="590" w:type="pct"/>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2017</w:t>
            </w:r>
          </w:p>
        </w:tc>
        <w:tc>
          <w:tcPr>
            <w:tcW w:w="692" w:type="pct"/>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 xml:space="preserve">Total </w:t>
            </w:r>
            <w:r w:rsidRPr="00546EAA">
              <w:br/>
              <w:t>(2013–17)</w:t>
            </w:r>
          </w:p>
        </w:tc>
      </w:tr>
      <w:tr w:rsidR="00C10749" w:rsidRPr="004F416F" w:rsidTr="00F97043">
        <w:trPr>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rsidR="00C10749" w:rsidRPr="00C10749" w:rsidRDefault="00C10749" w:rsidP="00C10749">
            <w:r w:rsidRPr="00546EAA">
              <w:t xml:space="preserve">Augmentation </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12.3</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112.4</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74.6</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92.1</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52.3</w:t>
            </w:r>
          </w:p>
        </w:tc>
        <w:tc>
          <w:tcPr>
            <w:tcW w:w="692"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rPr>
                <w:rStyle w:val="Strong"/>
              </w:rPr>
            </w:pPr>
            <w:r w:rsidRPr="00431611">
              <w:rPr>
                <w:rStyle w:val="Strong"/>
              </w:rPr>
              <w:t>343.8</w:t>
            </w:r>
          </w:p>
        </w:tc>
      </w:tr>
      <w:tr w:rsidR="00C10749" w:rsidRPr="004F416F" w:rsidTr="00F970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rsidR="00C10749" w:rsidRPr="00C10749" w:rsidRDefault="00C10749" w:rsidP="00C10749">
            <w:r w:rsidRPr="00546EAA">
              <w:t>Replacement &amp; Upgrade</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pPr>
            <w:r>
              <w:t>1.6</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pPr>
            <w:r>
              <w:t>7.5</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pPr>
            <w:r>
              <w:t>14.2</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pPr>
            <w:r>
              <w:t>10.</w:t>
            </w:r>
            <w:r w:rsidR="00FD22E7">
              <w:t>5</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pPr>
            <w:r>
              <w:t>2.1</w:t>
            </w:r>
          </w:p>
        </w:tc>
        <w:tc>
          <w:tcPr>
            <w:tcW w:w="692"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35.</w:t>
            </w:r>
            <w:r w:rsidR="00FD22E7">
              <w:rPr>
                <w:rStyle w:val="Strong"/>
              </w:rPr>
              <w:t>9</w:t>
            </w:r>
          </w:p>
        </w:tc>
      </w:tr>
      <w:tr w:rsidR="00C10749" w:rsidRPr="004F416F" w:rsidTr="00F97043">
        <w:trPr>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rsidR="00C10749" w:rsidRPr="00C10749" w:rsidRDefault="00C10749" w:rsidP="00C10749">
            <w:r w:rsidRPr="00546EAA">
              <w:t xml:space="preserve">Non-System </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1.7</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4.2</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5.7</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2.3</w:t>
            </w:r>
          </w:p>
        </w:tc>
        <w:tc>
          <w:tcPr>
            <w:tcW w:w="590"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pPr>
            <w:r>
              <w:t>8.6</w:t>
            </w:r>
          </w:p>
        </w:tc>
        <w:tc>
          <w:tcPr>
            <w:tcW w:w="692" w:type="pct"/>
            <w:vAlign w:val="top"/>
          </w:tcPr>
          <w:p w:rsidR="00C10749" w:rsidRPr="00C10749" w:rsidRDefault="00C10749" w:rsidP="00C10749">
            <w:pPr>
              <w:cnfStyle w:val="000000000000" w:firstRow="0" w:lastRow="0" w:firstColumn="0" w:lastColumn="0" w:oddVBand="0" w:evenVBand="0" w:oddHBand="0" w:evenHBand="0" w:firstRowFirstColumn="0" w:firstRowLastColumn="0" w:lastRowFirstColumn="0" w:lastRowLastColumn="0"/>
              <w:rPr>
                <w:rStyle w:val="Strong"/>
              </w:rPr>
            </w:pPr>
            <w:r w:rsidRPr="00431611">
              <w:rPr>
                <w:rStyle w:val="Strong"/>
              </w:rPr>
              <w:t>22.6</w:t>
            </w:r>
          </w:p>
        </w:tc>
      </w:tr>
      <w:tr w:rsidR="00C10749" w:rsidRPr="004F416F" w:rsidTr="00F970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6" w:type="pct"/>
          </w:tcPr>
          <w:p w:rsidR="00C10749" w:rsidRPr="00C10749" w:rsidRDefault="00C10749" w:rsidP="00C10749">
            <w:pPr>
              <w:rPr>
                <w:rStyle w:val="Strong"/>
              </w:rPr>
            </w:pPr>
            <w:r w:rsidRPr="00546EAA">
              <w:rPr>
                <w:rStyle w:val="Strong"/>
              </w:rPr>
              <w:t>TOTAL CAPEX</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15.6</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124.2</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94.5</w:t>
            </w:r>
          </w:p>
        </w:tc>
        <w:tc>
          <w:tcPr>
            <w:tcW w:w="590" w:type="pct"/>
            <w:vAlign w:val="top"/>
          </w:tcPr>
          <w:p w:rsidR="00C10749" w:rsidRPr="00C10749" w:rsidRDefault="00FD22E7" w:rsidP="00C10749">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105</w:t>
            </w:r>
            <w:r w:rsidR="00C10749" w:rsidRPr="00431611">
              <w:rPr>
                <w:rStyle w:val="Strong"/>
              </w:rPr>
              <w:t>.</w:t>
            </w:r>
            <w:r>
              <w:rPr>
                <w:rStyle w:val="Strong"/>
              </w:rPr>
              <w:t>0</w:t>
            </w:r>
          </w:p>
        </w:tc>
        <w:tc>
          <w:tcPr>
            <w:tcW w:w="590"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63.0</w:t>
            </w:r>
          </w:p>
        </w:tc>
        <w:tc>
          <w:tcPr>
            <w:tcW w:w="692" w:type="pct"/>
            <w:vAlign w:val="top"/>
          </w:tcPr>
          <w:p w:rsidR="00C10749" w:rsidRPr="00C10749" w:rsidRDefault="00C10749" w:rsidP="00C10749">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402.</w:t>
            </w:r>
            <w:r w:rsidR="00FD22E7">
              <w:rPr>
                <w:rStyle w:val="Strong"/>
              </w:rPr>
              <w:t>3</w:t>
            </w:r>
          </w:p>
        </w:tc>
      </w:tr>
    </w:tbl>
    <w:p w:rsidR="00CF58BF" w:rsidRDefault="00F11B85" w:rsidP="00F11B85">
      <w:pPr>
        <w:pStyle w:val="Source"/>
      </w:pPr>
      <w:r>
        <w:t>Source:</w:t>
      </w:r>
      <w:r>
        <w:tab/>
        <w:t>AER analysis</w:t>
      </w:r>
    </w:p>
    <w:p w:rsidR="00CF58BF" w:rsidRDefault="00CF58BF" w:rsidP="00CF58BF">
      <w:pPr>
        <w:pStyle w:val="ListParagraph"/>
        <w:numPr>
          <w:ilvl w:val="0"/>
          <w:numId w:val="24"/>
        </w:numPr>
      </w:pPr>
      <w:r>
        <w:t>Our approved capex</w:t>
      </w:r>
      <w:r w:rsidR="00AC5130">
        <w:t xml:space="preserve"> includes </w:t>
      </w:r>
      <w:r w:rsidR="00683875">
        <w:t>actual capital expenditure on the major capital works projects of the VNIE and SWP and other expenditure on replacement and upgrades as well as non-system capex.</w:t>
      </w:r>
    </w:p>
    <w:p w:rsidR="00780E83" w:rsidRPr="00780E83" w:rsidRDefault="00E2596A" w:rsidP="00780E83">
      <w:r w:rsidRPr="00E2596A">
        <w:t>However, we have not approved $6.0 million of APA’s estimated capex for pigging projects to be undertaken during 2017. On the information before us APA's estimated cost of these works does not appear consistent with the costs of works on similar projects in the current period.</w:t>
      </w:r>
      <w:r>
        <w:rPr>
          <w:rStyle w:val="FootnoteReference"/>
        </w:rPr>
        <w:footnoteReference w:id="50"/>
      </w:r>
      <w:r w:rsidR="00A46702">
        <w:t xml:space="preserve"> </w:t>
      </w:r>
      <w:r w:rsidR="00B27011">
        <w:t xml:space="preserve">APA did not provide </w:t>
      </w:r>
      <w:r w:rsidR="004E4C82">
        <w:t>sufficient explanation to assist our understanding as to why they should be different.</w:t>
      </w:r>
    </w:p>
    <w:p w:rsidR="00382B38" w:rsidRPr="00546EAA" w:rsidRDefault="00382B38" w:rsidP="00783257">
      <w:pPr>
        <w:pStyle w:val="Heading3"/>
        <w:ind w:left="720"/>
      </w:pPr>
      <w:bookmarkStart w:id="177" w:name="_Toc483847098"/>
      <w:bookmarkStart w:id="178" w:name="_Toc476651832"/>
      <w:bookmarkStart w:id="179" w:name="_Toc487018282"/>
      <w:bookmarkEnd w:id="177"/>
      <w:r w:rsidRPr="00546EAA">
        <w:t>Conforming capex for the 201</w:t>
      </w:r>
      <w:r w:rsidR="00780E83">
        <w:t>8</w:t>
      </w:r>
      <w:r w:rsidRPr="00546EAA">
        <w:t>–22 access arrangement period</w:t>
      </w:r>
      <w:bookmarkEnd w:id="178"/>
      <w:bookmarkEnd w:id="179"/>
    </w:p>
    <w:p w:rsidR="009F6AC3" w:rsidRDefault="00783257" w:rsidP="00693B0E">
      <w:r>
        <w:t>The proposal APA submitted in January 2017 set out the capex it considered it would require over the 2018–22 access arrangement period</w:t>
      </w:r>
      <w:r w:rsidR="00693B0E">
        <w:t>. It forecast $</w:t>
      </w:r>
      <w:r w:rsidR="00693B0E" w:rsidRPr="00427F03">
        <w:t>168.4</w:t>
      </w:r>
      <w:r w:rsidR="00693B0E">
        <w:t xml:space="preserve"> million ($2017, real) which included $26.7 million ($2017, real) for procurement of the WORM easement.</w:t>
      </w:r>
      <w:r>
        <w:t xml:space="preserve"> Submissions on that proposal from </w:t>
      </w:r>
      <w:r w:rsidR="006B4709">
        <w:t xml:space="preserve">a number of </w:t>
      </w:r>
      <w:r>
        <w:t>APA's users and AEMO—the operator of the VTS—suggested that additional capex would be necessary to address system security concerns. These views were supported by AEMO's Victorian Gas Planning Report,</w:t>
      </w:r>
      <w:r>
        <w:rPr>
          <w:rStyle w:val="FootnoteReference"/>
        </w:rPr>
        <w:footnoteReference w:id="51"/>
      </w:r>
      <w:r>
        <w:t xml:space="preserve"> and Gas Statement of Opportunities,</w:t>
      </w:r>
      <w:r>
        <w:rPr>
          <w:rStyle w:val="FootnoteReference"/>
        </w:rPr>
        <w:footnoteReference w:id="52"/>
      </w:r>
      <w:r>
        <w:t xml:space="preserve"> (both released in late March 2017) and in its system security notices.</w:t>
      </w:r>
      <w:r>
        <w:rPr>
          <w:rStyle w:val="FootnoteReference"/>
        </w:rPr>
        <w:footnoteReference w:id="53"/>
      </w:r>
    </w:p>
    <w:p w:rsidR="00865C0C" w:rsidRDefault="00783257" w:rsidP="00693B0E">
      <w:r>
        <w:t>In response, APA provided additional information on the capex required to address the tightening of the supply/demand balance in the VTS forecast by AEMO in March 2017.</w:t>
      </w:r>
      <w:r>
        <w:rPr>
          <w:rStyle w:val="FootnoteReference"/>
        </w:rPr>
        <w:footnoteReference w:id="54"/>
      </w:r>
      <w:r>
        <w:t xml:space="preserve"> Specifically, </w:t>
      </w:r>
      <w:r w:rsidR="00A46702">
        <w:t>APA proposed</w:t>
      </w:r>
      <w:r w:rsidR="00865C0C" w:rsidRPr="00865C0C">
        <w:t xml:space="preserve"> to include $126.7 million ($</w:t>
      </w:r>
      <w:r w:rsidR="00F97043">
        <w:t xml:space="preserve"> </w:t>
      </w:r>
      <w:r w:rsidR="00865C0C" w:rsidRPr="00865C0C">
        <w:t xml:space="preserve">2017) to undertake </w:t>
      </w:r>
      <w:r w:rsidR="00A46702">
        <w:t xml:space="preserve">construction of </w:t>
      </w:r>
      <w:r w:rsidR="00865C0C" w:rsidRPr="00865C0C">
        <w:t xml:space="preserve">the entire </w:t>
      </w:r>
      <w:r w:rsidR="00F97043">
        <w:t>WORM</w:t>
      </w:r>
      <w:r w:rsidR="00865C0C" w:rsidRPr="00865C0C">
        <w:t xml:space="preserve"> project during the 2018–22 access arrangement </w:t>
      </w:r>
      <w:proofErr w:type="gramStart"/>
      <w:r w:rsidR="00865C0C" w:rsidRPr="00865C0C">
        <w:t>period</w:t>
      </w:r>
      <w:proofErr w:type="gramEnd"/>
      <w:r w:rsidR="00865C0C" w:rsidRPr="00865C0C">
        <w:t>.</w:t>
      </w:r>
      <w:r w:rsidR="00865C0C" w:rsidRPr="00865C0C">
        <w:rPr>
          <w:rStyle w:val="FootnoteReference"/>
        </w:rPr>
        <w:footnoteReference w:id="55"/>
      </w:r>
      <w:r w:rsidR="00865C0C" w:rsidRPr="00865C0C">
        <w:t xml:space="preserve"> </w:t>
      </w:r>
    </w:p>
    <w:p w:rsidR="00693B0E" w:rsidRDefault="00693B0E" w:rsidP="00693B0E">
      <w:r>
        <w:t xml:space="preserve">This increased its total forecast net capex </w:t>
      </w:r>
      <w:r w:rsidRPr="00A41711">
        <w:t>for the 201</w:t>
      </w:r>
      <w:r>
        <w:t>8</w:t>
      </w:r>
      <w:r w:rsidRPr="00A41711">
        <w:t>–2</w:t>
      </w:r>
      <w:r>
        <w:t>2</w:t>
      </w:r>
      <w:r w:rsidRPr="00A41711">
        <w:t xml:space="preserve"> </w:t>
      </w:r>
      <w:r>
        <w:t>access arrangement period from $</w:t>
      </w:r>
      <w:r w:rsidRPr="00427F03">
        <w:t>168.4</w:t>
      </w:r>
      <w:r>
        <w:t xml:space="preserve"> million ($2017) to </w:t>
      </w:r>
      <w:r w:rsidRPr="00546EAA">
        <w:t>$</w:t>
      </w:r>
      <w:r>
        <w:t>256.1</w:t>
      </w:r>
      <w:r w:rsidRPr="00546EAA">
        <w:t xml:space="preserve"> million</w:t>
      </w:r>
      <w:r>
        <w:t>, an increase of $87.7 million or 52.1 per cent from its initial proposal.</w:t>
      </w:r>
      <w:r w:rsidR="00865C0C">
        <w:t xml:space="preserve"> APA propo</w:t>
      </w:r>
      <w:r w:rsidR="008C2FE9">
        <w:t>sed</w:t>
      </w:r>
      <w:r w:rsidR="00865C0C">
        <w:t xml:space="preserve"> </w:t>
      </w:r>
      <w:r w:rsidR="001D2C98">
        <w:t>preparatory works, including planning, design and purchasing the WORM easement, to occur in 2018 and 2019, with construction to begin in 2020 and</w:t>
      </w:r>
      <w:r w:rsidR="008C2FE9">
        <w:t xml:space="preserve"> the WORM </w:t>
      </w:r>
      <w:r w:rsidR="00F97043">
        <w:t xml:space="preserve">to </w:t>
      </w:r>
      <w:r w:rsidR="008C2FE9">
        <w:t>be operational by the end of 2020.</w:t>
      </w:r>
    </w:p>
    <w:p w:rsidR="00427F03" w:rsidRDefault="00783257" w:rsidP="004C0F82">
      <w:r>
        <w:t>Our draft decision considers this updated information together with the other capex items included in APA's January proposal.</w:t>
      </w:r>
      <w:r w:rsidR="00693B0E">
        <w:t xml:space="preserve"> </w:t>
      </w:r>
      <w:r w:rsidR="00CA3FC4">
        <w:t>To inform our assessment of this new information, we sought advice from AEMO on how well APA's proposal would address its concerns</w:t>
      </w:r>
      <w:r w:rsidR="003E7BED">
        <w:t>. AEMO offered strong support, indicating that</w:t>
      </w:r>
      <w:r w:rsidR="003E7BED" w:rsidRPr="003E7BED">
        <w:t xml:space="preserve"> </w:t>
      </w:r>
      <w:r w:rsidR="003E7BED">
        <w:t>construction of the WORM would meet their requirements to alleviate security issues related to the balance of supply and demand in the VTS.</w:t>
      </w:r>
    </w:p>
    <w:p w:rsidR="002075F1" w:rsidRDefault="002075F1" w:rsidP="00B22B4A">
      <w:r>
        <w:t xml:space="preserve">CCP11 </w:t>
      </w:r>
      <w:r w:rsidR="00720CD0">
        <w:t xml:space="preserve">accepted </w:t>
      </w:r>
      <w:r w:rsidR="00B24870">
        <w:t xml:space="preserve">that the proposal </w:t>
      </w:r>
      <w:r w:rsidR="00B24870" w:rsidRPr="00B24870">
        <w:t>is</w:t>
      </w:r>
      <w:r>
        <w:t xml:space="preserve"> conforming capex due to it being</w:t>
      </w:r>
      <w:r w:rsidR="00B24870" w:rsidRPr="00B24870">
        <w:t xml:space="preserve"> necessary to maintain the safety and integrity of services </w:t>
      </w:r>
      <w:r w:rsidR="00B24870">
        <w:t xml:space="preserve">and to maintain capacity to meet </w:t>
      </w:r>
      <w:r w:rsidR="00B24870" w:rsidRPr="00B24870">
        <w:t>demand that exists at the time the capital expenditure is incurred</w:t>
      </w:r>
      <w:r>
        <w:t>.</w:t>
      </w:r>
      <w:r w:rsidR="00B24870">
        <w:rPr>
          <w:rStyle w:val="FootnoteReference"/>
        </w:rPr>
        <w:footnoteReference w:id="56"/>
      </w:r>
      <w:r>
        <w:t xml:space="preserve"> However, they </w:t>
      </w:r>
      <w:r w:rsidR="001D2C98">
        <w:rPr>
          <w:rStyle w:val="AERbody"/>
        </w:rPr>
        <w:t>raised concerns about the extent to which the WORM is directed at augmenting the Iona storage facility and meeting the demands of consumers other than Victorian consumers.</w:t>
      </w:r>
      <w:r w:rsidR="001D2C98">
        <w:rPr>
          <w:rStyle w:val="FootnoteReference"/>
        </w:rPr>
        <w:footnoteReference w:id="57"/>
      </w:r>
    </w:p>
    <w:p w:rsidR="00B22B4A" w:rsidRDefault="001E5EAE" w:rsidP="00B22B4A">
      <w:pPr>
        <w:rPr>
          <w:lang w:eastAsia="en-AU"/>
        </w:rPr>
      </w:pPr>
      <w:r w:rsidRPr="001E5EAE">
        <w:t>We have undertaken our own assessment of the proposal, which includes advice from Sleeman Consulting on the reasonableness of the cost estimates for building the WORM. Sleeman Consulting have advised that APA’s estimated cost of $126.7 million for the WORM is reasonable using current data and assumptions.</w:t>
      </w:r>
      <w:r w:rsidR="00E03F6E">
        <w:rPr>
          <w:rStyle w:val="FootnoteReference"/>
        </w:rPr>
        <w:footnoteReference w:id="58"/>
      </w:r>
      <w:r w:rsidRPr="001E5EAE">
        <w:t xml:space="preserve"> This, along with our own assessment, leads us to conclude that the proposed $126.7 million ($</w:t>
      </w:r>
      <w:r w:rsidR="00463EE1">
        <w:t xml:space="preserve"> </w:t>
      </w:r>
      <w:r w:rsidRPr="001E5EAE">
        <w:t xml:space="preserve">2017) expenditure on the WORM </w:t>
      </w:r>
      <w:r>
        <w:t xml:space="preserve">is </w:t>
      </w:r>
      <w:r w:rsidRPr="001E5EAE">
        <w:t xml:space="preserve">conforming </w:t>
      </w:r>
      <w:r>
        <w:t>capex</w:t>
      </w:r>
      <w:r w:rsidRPr="001E5EAE">
        <w:t>.</w:t>
      </w:r>
      <w:r w:rsidR="00B22B4A">
        <w:rPr>
          <w:rStyle w:val="FootnoteReference"/>
        </w:rPr>
        <w:footnoteReference w:id="59"/>
      </w:r>
    </w:p>
    <w:p w:rsidR="004C0F82" w:rsidRPr="00546EAA" w:rsidRDefault="00C112FB" w:rsidP="004C0F82">
      <w:r>
        <w:t>O</w:t>
      </w:r>
      <w:r w:rsidR="00810DDE">
        <w:t>ur draft decision</w:t>
      </w:r>
      <w:r>
        <w:t xml:space="preserve"> </w:t>
      </w:r>
      <w:r w:rsidR="00810DDE">
        <w:t xml:space="preserve">is to </w:t>
      </w:r>
      <w:r w:rsidR="004C0F82" w:rsidRPr="00546EAA">
        <w:t xml:space="preserve">approve </w:t>
      </w:r>
      <w:r w:rsidR="004C0F82" w:rsidRPr="00546EAA">
        <w:rPr>
          <w:rStyle w:val="AERbody"/>
        </w:rPr>
        <w:t>$</w:t>
      </w:r>
      <w:r w:rsidR="006674B1">
        <w:rPr>
          <w:rStyle w:val="AERbody"/>
        </w:rPr>
        <w:t>215</w:t>
      </w:r>
      <w:r w:rsidR="004C0F82">
        <w:rPr>
          <w:rStyle w:val="AERbody"/>
        </w:rPr>
        <w:t>.</w:t>
      </w:r>
      <w:r w:rsidR="006674B1">
        <w:rPr>
          <w:rStyle w:val="AERbody"/>
        </w:rPr>
        <w:t>0</w:t>
      </w:r>
      <w:r w:rsidR="004C0F82" w:rsidRPr="00546EAA">
        <w:rPr>
          <w:rStyle w:val="AERbody"/>
        </w:rPr>
        <w:t xml:space="preserve"> million ($</w:t>
      </w:r>
      <w:r w:rsidR="00463EE1">
        <w:rPr>
          <w:rStyle w:val="AERbody"/>
        </w:rPr>
        <w:t xml:space="preserve"> </w:t>
      </w:r>
      <w:r w:rsidR="004C0F82" w:rsidRPr="00546EAA">
        <w:rPr>
          <w:rStyle w:val="AERbody"/>
        </w:rPr>
        <w:t>2017</w:t>
      </w:r>
      <w:r w:rsidR="004C0F82" w:rsidRPr="00546EAA">
        <w:t xml:space="preserve">) of </w:t>
      </w:r>
      <w:r w:rsidR="004C0F82">
        <w:t>APA</w:t>
      </w:r>
      <w:r w:rsidR="004C0F82" w:rsidRPr="00546EAA">
        <w:t>'s proposed</w:t>
      </w:r>
      <w:r>
        <w:t xml:space="preserve"> </w:t>
      </w:r>
      <w:r>
        <w:br/>
      </w:r>
      <w:r w:rsidR="004C0F82" w:rsidRPr="00546EAA">
        <w:t>$</w:t>
      </w:r>
      <w:r w:rsidR="004C0F82">
        <w:t>256.1</w:t>
      </w:r>
      <w:r w:rsidR="004C0F82" w:rsidRPr="00546EAA">
        <w:t xml:space="preserve"> million ($</w:t>
      </w:r>
      <w:r w:rsidR="00463EE1">
        <w:t xml:space="preserve"> </w:t>
      </w:r>
      <w:r w:rsidR="004C0F82" w:rsidRPr="00546EAA">
        <w:t xml:space="preserve">2017) total net capex for the 2018–22 access arrangement </w:t>
      </w:r>
      <w:proofErr w:type="gramStart"/>
      <w:r w:rsidR="004C0F82" w:rsidRPr="00546EAA">
        <w:t>period</w:t>
      </w:r>
      <w:proofErr w:type="gramEnd"/>
      <w:r w:rsidR="004C0F82" w:rsidRPr="00546EAA">
        <w:t xml:space="preserve"> as conforming capex.</w:t>
      </w:r>
      <w:r w:rsidR="004C0F82" w:rsidRPr="00546EAA">
        <w:rPr>
          <w:rStyle w:val="FootnoteReference"/>
        </w:rPr>
        <w:footnoteReference w:id="60"/>
      </w:r>
      <w:r w:rsidR="004C0F82" w:rsidRPr="00546EAA">
        <w:t xml:space="preserve"> </w:t>
      </w:r>
      <w:r>
        <w:t>While this includes additional capex from APA's January proposal for full construction of the WORM, it</w:t>
      </w:r>
      <w:r w:rsidR="004C0F82" w:rsidRPr="00546EAA">
        <w:t xml:space="preserve"> is $</w:t>
      </w:r>
      <w:r w:rsidR="006674B1">
        <w:t>41.1</w:t>
      </w:r>
      <w:r w:rsidR="004C0F82" w:rsidRPr="00546EAA">
        <w:t xml:space="preserve"> million, or </w:t>
      </w:r>
      <w:r w:rsidR="004C0F82">
        <w:t>1</w:t>
      </w:r>
      <w:r w:rsidR="006674B1">
        <w:t>6</w:t>
      </w:r>
      <w:r w:rsidR="004C0F82" w:rsidRPr="00546EAA">
        <w:t xml:space="preserve"> per cent, less than </w:t>
      </w:r>
      <w:r>
        <w:t xml:space="preserve">the total net capex </w:t>
      </w:r>
      <w:r w:rsidR="004C0F82" w:rsidRPr="00546EAA">
        <w:t>proposed by APA.</w:t>
      </w:r>
      <w:r>
        <w:t xml:space="preserve"> </w:t>
      </w:r>
    </w:p>
    <w:p w:rsidR="00971C32" w:rsidRDefault="004C0F82" w:rsidP="00463EE1">
      <w:pPr>
        <w:rPr>
          <w:b/>
          <w:bCs/>
          <w:color w:val="076A92" w:themeColor="text1"/>
          <w:sz w:val="24"/>
          <w:szCs w:val="18"/>
        </w:rPr>
      </w:pPr>
      <w:r w:rsidRPr="00546EAA">
        <w:t xml:space="preserve">We show approved capex by category for the 2018–22 access arrangement period in </w:t>
      </w:r>
      <w:r w:rsidR="00FF4EBC">
        <w:fldChar w:fldCharType="begin"/>
      </w:r>
      <w:r w:rsidR="00FF4EBC">
        <w:instrText xml:space="preserve"> REF _Ref483245224 \h </w:instrText>
      </w:r>
      <w:r w:rsidR="00FF4EBC">
        <w:fldChar w:fldCharType="separate"/>
      </w:r>
    </w:p>
    <w:p w:rsidR="00533704" w:rsidRDefault="00971C32" w:rsidP="00463EE1">
      <w:pPr>
        <w:rPr>
          <w:b/>
          <w:bCs/>
          <w:color w:val="076A92" w:themeColor="text1"/>
          <w:sz w:val="24"/>
          <w:szCs w:val="18"/>
        </w:rPr>
      </w:pPr>
      <w:proofErr w:type="gramStart"/>
      <w:r>
        <w:t xml:space="preserve">Table </w:t>
      </w:r>
      <w:r>
        <w:rPr>
          <w:noProof/>
        </w:rPr>
        <w:t>5</w:t>
      </w:r>
      <w:r>
        <w:noBreakHyphen/>
      </w:r>
      <w:r>
        <w:rPr>
          <w:noProof/>
        </w:rPr>
        <w:t>8</w:t>
      </w:r>
      <w:r w:rsidR="00FF4EBC">
        <w:fldChar w:fldCharType="end"/>
      </w:r>
      <w:r w:rsidR="00FF4EBC">
        <w:t>.</w:t>
      </w:r>
      <w:bookmarkStart w:id="180" w:name="_Ref483245224"/>
      <w:proofErr w:type="gramEnd"/>
    </w:p>
    <w:p w:rsidR="00382B38" w:rsidRPr="00546EAA" w:rsidRDefault="00FF4EBC" w:rsidP="00FF4EBC">
      <w:pPr>
        <w:pStyle w:val="Caption"/>
      </w:pPr>
      <w:r>
        <w:t xml:space="preserve">Table </w:t>
      </w:r>
      <w:fldSimple w:instr=" STYLEREF 1 \s ">
        <w:r w:rsidR="00971C32">
          <w:rPr>
            <w:noProof/>
          </w:rPr>
          <w:t>5</w:t>
        </w:r>
      </w:fldSimple>
      <w:r w:rsidR="009F6AC3">
        <w:noBreakHyphen/>
      </w:r>
      <w:fldSimple w:instr=" SEQ Table \* ARABIC \s 1 ">
        <w:r w:rsidR="00971C32">
          <w:rPr>
            <w:noProof/>
          </w:rPr>
          <w:t>8</w:t>
        </w:r>
      </w:fldSimple>
      <w:bookmarkEnd w:id="180"/>
      <w:r w:rsidR="00382B38" w:rsidRPr="00546EAA">
        <w:tab/>
        <w:t>AER approved capex by category over the 2018–22 access arrangement period ($</w:t>
      </w:r>
      <w:r w:rsidR="00463EE1">
        <w:t xml:space="preserve"> </w:t>
      </w:r>
      <w:r w:rsidR="00382B38" w:rsidRPr="00546EAA">
        <w:t>million, 2017)</w:t>
      </w:r>
    </w:p>
    <w:tbl>
      <w:tblPr>
        <w:tblStyle w:val="AERtable-numbers"/>
        <w:tblW w:w="5000" w:type="pct"/>
        <w:tblLook w:val="04A0" w:firstRow="1" w:lastRow="0" w:firstColumn="1" w:lastColumn="0" w:noHBand="0" w:noVBand="1"/>
      </w:tblPr>
      <w:tblGrid>
        <w:gridCol w:w="3370"/>
        <w:gridCol w:w="1135"/>
        <w:gridCol w:w="848"/>
        <w:gridCol w:w="852"/>
        <w:gridCol w:w="850"/>
        <w:gridCol w:w="843"/>
        <w:gridCol w:w="795"/>
      </w:tblGrid>
      <w:tr w:rsidR="00382B38" w:rsidRPr="004F416F" w:rsidTr="006328E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8" w:type="pct"/>
            <w:hideMark/>
          </w:tcPr>
          <w:p w:rsidR="00382B38" w:rsidRPr="00382B38" w:rsidRDefault="00382B38" w:rsidP="00382B38">
            <w:r w:rsidRPr="00546EAA">
              <w:t> Category</w:t>
            </w:r>
          </w:p>
        </w:tc>
        <w:tc>
          <w:tcPr>
            <w:tcW w:w="653" w:type="pct"/>
            <w:hideMark/>
          </w:tcPr>
          <w:p w:rsidR="00382B38" w:rsidRPr="00382B38" w:rsidRDefault="00382B38" w:rsidP="007F3EA2">
            <w:pPr>
              <w:cnfStyle w:val="100000000000" w:firstRow="1" w:lastRow="0" w:firstColumn="0" w:lastColumn="0" w:oddVBand="0" w:evenVBand="0" w:oddHBand="0" w:evenHBand="0" w:firstRowFirstColumn="0" w:firstRowLastColumn="0" w:lastRowFirstColumn="0" w:lastRowLastColumn="0"/>
            </w:pPr>
            <w:r w:rsidRPr="00546EAA">
              <w:t>2018</w:t>
            </w:r>
          </w:p>
        </w:tc>
        <w:tc>
          <w:tcPr>
            <w:tcW w:w="488" w:type="pct"/>
            <w:hideMark/>
          </w:tcPr>
          <w:p w:rsidR="00382B38" w:rsidRPr="00382B38" w:rsidRDefault="00382B38" w:rsidP="007F3EA2">
            <w:pPr>
              <w:cnfStyle w:val="100000000000" w:firstRow="1" w:lastRow="0" w:firstColumn="0" w:lastColumn="0" w:oddVBand="0" w:evenVBand="0" w:oddHBand="0" w:evenHBand="0" w:firstRowFirstColumn="0" w:firstRowLastColumn="0" w:lastRowFirstColumn="0" w:lastRowLastColumn="0"/>
            </w:pPr>
            <w:r w:rsidRPr="00546EAA">
              <w:t>2019</w:t>
            </w:r>
          </w:p>
        </w:tc>
        <w:tc>
          <w:tcPr>
            <w:tcW w:w="490" w:type="pct"/>
            <w:hideMark/>
          </w:tcPr>
          <w:p w:rsidR="00382B38" w:rsidRPr="00382B38" w:rsidRDefault="00382B38" w:rsidP="007F3EA2">
            <w:pPr>
              <w:cnfStyle w:val="100000000000" w:firstRow="1" w:lastRow="0" w:firstColumn="0" w:lastColumn="0" w:oddVBand="0" w:evenVBand="0" w:oddHBand="0" w:evenHBand="0" w:firstRowFirstColumn="0" w:firstRowLastColumn="0" w:lastRowFirstColumn="0" w:lastRowLastColumn="0"/>
            </w:pPr>
            <w:r w:rsidRPr="00546EAA">
              <w:t>2020</w:t>
            </w:r>
          </w:p>
        </w:tc>
        <w:tc>
          <w:tcPr>
            <w:tcW w:w="489" w:type="pct"/>
            <w:hideMark/>
          </w:tcPr>
          <w:p w:rsidR="00382B38" w:rsidRPr="00382B38" w:rsidRDefault="00382B38" w:rsidP="007F3EA2">
            <w:pPr>
              <w:cnfStyle w:val="100000000000" w:firstRow="1" w:lastRow="0" w:firstColumn="0" w:lastColumn="0" w:oddVBand="0" w:evenVBand="0" w:oddHBand="0" w:evenHBand="0" w:firstRowFirstColumn="0" w:firstRowLastColumn="0" w:lastRowFirstColumn="0" w:lastRowLastColumn="0"/>
            </w:pPr>
            <w:r w:rsidRPr="00546EAA">
              <w:t>2021</w:t>
            </w:r>
          </w:p>
        </w:tc>
        <w:tc>
          <w:tcPr>
            <w:tcW w:w="485" w:type="pct"/>
            <w:hideMark/>
          </w:tcPr>
          <w:p w:rsidR="00382B38" w:rsidRPr="00382B38" w:rsidRDefault="00382B38" w:rsidP="007F3EA2">
            <w:pPr>
              <w:cnfStyle w:val="100000000000" w:firstRow="1" w:lastRow="0" w:firstColumn="0" w:lastColumn="0" w:oddVBand="0" w:evenVBand="0" w:oddHBand="0" w:evenHBand="0" w:firstRowFirstColumn="0" w:firstRowLastColumn="0" w:lastRowFirstColumn="0" w:lastRowLastColumn="0"/>
            </w:pPr>
            <w:r w:rsidRPr="00546EAA">
              <w:t>2022</w:t>
            </w:r>
          </w:p>
        </w:tc>
        <w:tc>
          <w:tcPr>
            <w:tcW w:w="457" w:type="pct"/>
          </w:tcPr>
          <w:p w:rsidR="00382B38" w:rsidRPr="00382B38" w:rsidRDefault="00382B38" w:rsidP="00382B38">
            <w:pPr>
              <w:cnfStyle w:val="100000000000" w:firstRow="1" w:lastRow="0" w:firstColumn="0" w:lastColumn="0" w:oddVBand="0" w:evenVBand="0" w:oddHBand="0" w:evenHBand="0" w:firstRowFirstColumn="0" w:firstRowLastColumn="0" w:lastRowFirstColumn="0" w:lastRowLastColumn="0"/>
            </w:pPr>
            <w:r w:rsidRPr="00546EAA">
              <w:t>Total</w:t>
            </w:r>
          </w:p>
        </w:tc>
      </w:tr>
      <w:tr w:rsidR="007630AF" w:rsidRPr="004F416F" w:rsidTr="006328E7">
        <w:trPr>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rsidR="007630AF" w:rsidRPr="007630AF" w:rsidRDefault="007630AF" w:rsidP="007630AF">
            <w:r w:rsidRPr="003B2C5C">
              <w:t xml:space="preserve">Augmentation </w:t>
            </w:r>
          </w:p>
        </w:tc>
        <w:tc>
          <w:tcPr>
            <w:tcW w:w="653"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44.4 </w:t>
            </w:r>
          </w:p>
        </w:tc>
        <w:tc>
          <w:tcPr>
            <w:tcW w:w="488"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w:t>
            </w:r>
            <w:r w:rsidRPr="007630AF">
              <w:t xml:space="preserve">46.8 </w:t>
            </w:r>
          </w:p>
        </w:tc>
        <w:tc>
          <w:tcPr>
            <w:tcW w:w="490"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w:t>
            </w:r>
            <w:r w:rsidRPr="007630AF">
              <w:t xml:space="preserve">59.8 </w:t>
            </w:r>
          </w:p>
        </w:tc>
        <w:tc>
          <w:tcPr>
            <w:tcW w:w="489"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  </w:t>
            </w:r>
          </w:p>
        </w:tc>
        <w:tc>
          <w:tcPr>
            <w:tcW w:w="485"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  </w:t>
            </w:r>
          </w:p>
        </w:tc>
        <w:tc>
          <w:tcPr>
            <w:tcW w:w="457"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rPr>
                <w:rStyle w:val="Strong"/>
              </w:rPr>
            </w:pPr>
            <w:r w:rsidRPr="003B2C5C">
              <w:rPr>
                <w:rStyle w:val="Strong"/>
              </w:rPr>
              <w:t xml:space="preserve"> 15</w:t>
            </w:r>
            <w:r w:rsidRPr="007630AF">
              <w:rPr>
                <w:rStyle w:val="Strong"/>
              </w:rPr>
              <w:t xml:space="preserve">1.0 </w:t>
            </w:r>
          </w:p>
        </w:tc>
      </w:tr>
      <w:tr w:rsidR="007630AF" w:rsidRPr="004F416F" w:rsidTr="006328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rsidR="007630AF" w:rsidRPr="007630AF" w:rsidRDefault="007630AF" w:rsidP="007630AF">
            <w:r w:rsidRPr="003B2C5C">
              <w:t>Replacement and Upgrade</w:t>
            </w:r>
          </w:p>
        </w:tc>
        <w:tc>
          <w:tcPr>
            <w:tcW w:w="653"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pPr>
            <w:r w:rsidRPr="003B2C5C">
              <w:t xml:space="preserve"> 12.5 </w:t>
            </w:r>
          </w:p>
        </w:tc>
        <w:tc>
          <w:tcPr>
            <w:tcW w:w="488"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pPr>
            <w:r w:rsidRPr="003B2C5C">
              <w:t xml:space="preserve"> 6.5 </w:t>
            </w:r>
          </w:p>
        </w:tc>
        <w:tc>
          <w:tcPr>
            <w:tcW w:w="490"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pPr>
            <w:r w:rsidRPr="003B2C5C">
              <w:t xml:space="preserve"> 9.3 </w:t>
            </w:r>
          </w:p>
        </w:tc>
        <w:tc>
          <w:tcPr>
            <w:tcW w:w="489"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pPr>
            <w:r w:rsidRPr="003B2C5C">
              <w:t xml:space="preserve"> 10.2 </w:t>
            </w:r>
          </w:p>
        </w:tc>
        <w:tc>
          <w:tcPr>
            <w:tcW w:w="485"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pPr>
            <w:r w:rsidRPr="003B2C5C">
              <w:t xml:space="preserve"> 8.6 </w:t>
            </w:r>
          </w:p>
        </w:tc>
        <w:tc>
          <w:tcPr>
            <w:tcW w:w="457"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47.1 </w:t>
            </w:r>
          </w:p>
        </w:tc>
      </w:tr>
      <w:tr w:rsidR="007630AF" w:rsidRPr="004F416F" w:rsidTr="006328E7">
        <w:trPr>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rsidR="007630AF" w:rsidRPr="007630AF" w:rsidRDefault="007630AF" w:rsidP="007630AF">
            <w:r w:rsidRPr="003B2C5C">
              <w:t xml:space="preserve">Non-System </w:t>
            </w:r>
          </w:p>
        </w:tc>
        <w:tc>
          <w:tcPr>
            <w:tcW w:w="653"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4.2 </w:t>
            </w:r>
          </w:p>
        </w:tc>
        <w:tc>
          <w:tcPr>
            <w:tcW w:w="488"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3.6 </w:t>
            </w:r>
          </w:p>
        </w:tc>
        <w:tc>
          <w:tcPr>
            <w:tcW w:w="490"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3.3 </w:t>
            </w:r>
          </w:p>
        </w:tc>
        <w:tc>
          <w:tcPr>
            <w:tcW w:w="489"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3.6 </w:t>
            </w:r>
          </w:p>
        </w:tc>
        <w:tc>
          <w:tcPr>
            <w:tcW w:w="485"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pPr>
            <w:r w:rsidRPr="003B2C5C">
              <w:t xml:space="preserve"> 2.3 </w:t>
            </w:r>
          </w:p>
        </w:tc>
        <w:tc>
          <w:tcPr>
            <w:tcW w:w="457" w:type="pct"/>
            <w:vAlign w:val="top"/>
          </w:tcPr>
          <w:p w:rsidR="007630AF" w:rsidRPr="007630AF" w:rsidRDefault="007630AF" w:rsidP="007630AF">
            <w:pPr>
              <w:cnfStyle w:val="000000000000" w:firstRow="0" w:lastRow="0" w:firstColumn="0" w:lastColumn="0" w:oddVBand="0" w:evenVBand="0" w:oddHBand="0" w:evenHBand="0" w:firstRowFirstColumn="0" w:firstRowLastColumn="0" w:lastRowFirstColumn="0" w:lastRowLastColumn="0"/>
              <w:rPr>
                <w:rStyle w:val="Strong"/>
              </w:rPr>
            </w:pPr>
            <w:r w:rsidRPr="003B2C5C">
              <w:rPr>
                <w:rStyle w:val="Strong"/>
              </w:rPr>
              <w:t xml:space="preserve"> 16.9 </w:t>
            </w:r>
          </w:p>
        </w:tc>
      </w:tr>
      <w:tr w:rsidR="007630AF" w:rsidRPr="004F416F" w:rsidTr="006328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rsidR="007630AF" w:rsidRPr="007630AF" w:rsidRDefault="007630AF" w:rsidP="007630AF">
            <w:pPr>
              <w:rPr>
                <w:rStyle w:val="Strong"/>
              </w:rPr>
            </w:pPr>
            <w:r w:rsidRPr="003B2C5C">
              <w:rPr>
                <w:rStyle w:val="Strong"/>
              </w:rPr>
              <w:t>TOTAL CAPEX</w:t>
            </w:r>
          </w:p>
        </w:tc>
        <w:tc>
          <w:tcPr>
            <w:tcW w:w="653"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61.1 </w:t>
            </w:r>
          </w:p>
        </w:tc>
        <w:tc>
          <w:tcPr>
            <w:tcW w:w="488"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5</w:t>
            </w:r>
            <w:r w:rsidRPr="007630AF">
              <w:rPr>
                <w:rStyle w:val="Strong"/>
              </w:rPr>
              <w:t xml:space="preserve">6.9 </w:t>
            </w:r>
          </w:p>
        </w:tc>
        <w:tc>
          <w:tcPr>
            <w:tcW w:w="490"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72.</w:t>
            </w:r>
            <w:r w:rsidRPr="007630AF">
              <w:rPr>
                <w:rStyle w:val="Strong"/>
              </w:rPr>
              <w:t xml:space="preserve">3 </w:t>
            </w:r>
          </w:p>
        </w:tc>
        <w:tc>
          <w:tcPr>
            <w:tcW w:w="489"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13.7 </w:t>
            </w:r>
          </w:p>
        </w:tc>
        <w:tc>
          <w:tcPr>
            <w:tcW w:w="485"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10.9 </w:t>
            </w:r>
          </w:p>
        </w:tc>
        <w:tc>
          <w:tcPr>
            <w:tcW w:w="457" w:type="pct"/>
            <w:vAlign w:val="top"/>
          </w:tcPr>
          <w:p w:rsidR="007630AF" w:rsidRPr="007630AF" w:rsidRDefault="007630AF" w:rsidP="007630AF">
            <w:pPr>
              <w:cnfStyle w:val="000000010000" w:firstRow="0" w:lastRow="0" w:firstColumn="0" w:lastColumn="0" w:oddVBand="0" w:evenVBand="0" w:oddHBand="0" w:evenHBand="1" w:firstRowFirstColumn="0" w:firstRowLastColumn="0" w:lastRowFirstColumn="0" w:lastRowLastColumn="0"/>
              <w:rPr>
                <w:rStyle w:val="Strong"/>
              </w:rPr>
            </w:pPr>
            <w:r w:rsidRPr="003B2C5C">
              <w:rPr>
                <w:rStyle w:val="Strong"/>
              </w:rPr>
              <w:t xml:space="preserve"> 21</w:t>
            </w:r>
            <w:r w:rsidRPr="007630AF">
              <w:rPr>
                <w:rStyle w:val="Strong"/>
              </w:rPr>
              <w:t xml:space="preserve">5.0 </w:t>
            </w:r>
          </w:p>
        </w:tc>
      </w:tr>
    </w:tbl>
    <w:p w:rsidR="00382B38" w:rsidRPr="00546EAA" w:rsidRDefault="00382B38" w:rsidP="00382B38">
      <w:pPr>
        <w:pStyle w:val="AERtablesource"/>
        <w:rPr>
          <w:rStyle w:val="AERbody"/>
        </w:rPr>
      </w:pPr>
      <w:r w:rsidRPr="00382B38">
        <w:rPr>
          <w:rStyle w:val="AERbody"/>
          <w:sz w:val="16"/>
        </w:rPr>
        <w:t xml:space="preserve">Source: </w:t>
      </w:r>
      <w:r w:rsidR="00F11B85">
        <w:rPr>
          <w:rStyle w:val="AERbody"/>
        </w:rPr>
        <w:tab/>
      </w:r>
      <w:r w:rsidRPr="00382B38">
        <w:rPr>
          <w:rStyle w:val="AERbody"/>
          <w:sz w:val="16"/>
        </w:rPr>
        <w:t>AER analysis. Totals may not add due to rounding</w:t>
      </w:r>
      <w:r w:rsidRPr="00546EAA">
        <w:rPr>
          <w:rStyle w:val="AERbody"/>
        </w:rPr>
        <w:t>.</w:t>
      </w:r>
    </w:p>
    <w:p w:rsidR="0057275A" w:rsidRDefault="0057275A" w:rsidP="00547717">
      <w:pPr>
        <w:pStyle w:val="ListParagraph"/>
        <w:numPr>
          <w:ilvl w:val="0"/>
          <w:numId w:val="24"/>
        </w:numPr>
        <w:rPr>
          <w:rStyle w:val="AERbody"/>
        </w:rPr>
      </w:pPr>
      <w:r>
        <w:rPr>
          <w:rStyle w:val="AERbody"/>
        </w:rPr>
        <w:t>The key differences between our draft decision and APA's proposal are:</w:t>
      </w:r>
    </w:p>
    <w:p w:rsidR="003E7BED" w:rsidRDefault="003E7BED" w:rsidP="003E7BED">
      <w:pPr>
        <w:pStyle w:val="AERbulletlistfirststyle"/>
        <w:rPr>
          <w:rStyle w:val="AERbody"/>
        </w:rPr>
      </w:pPr>
      <w:r>
        <w:rPr>
          <w:rStyle w:val="AERbody"/>
        </w:rPr>
        <w:t>APA’s propos</w:t>
      </w:r>
      <w:r w:rsidR="00D73D11">
        <w:rPr>
          <w:rStyle w:val="AERbody"/>
        </w:rPr>
        <w:t xml:space="preserve">al to undertake all of the </w:t>
      </w:r>
      <w:r>
        <w:rPr>
          <w:rStyle w:val="AERbody"/>
        </w:rPr>
        <w:t>slabbing program (</w:t>
      </w:r>
      <w:r w:rsidR="00D73D11">
        <w:rPr>
          <w:rStyle w:val="AERbody"/>
        </w:rPr>
        <w:t xml:space="preserve">Safety Management, High Consequence Areas - </w:t>
      </w:r>
      <w:r>
        <w:rPr>
          <w:rStyle w:val="AERbody"/>
        </w:rPr>
        <w:t>$2</w:t>
      </w:r>
      <w:r w:rsidR="001D0531">
        <w:rPr>
          <w:rStyle w:val="AERbody"/>
        </w:rPr>
        <w:t>4</w:t>
      </w:r>
      <w:r>
        <w:rPr>
          <w:rStyle w:val="AERbody"/>
        </w:rPr>
        <w:t>.</w:t>
      </w:r>
      <w:r w:rsidR="001D0531">
        <w:rPr>
          <w:rStyle w:val="AERbody"/>
        </w:rPr>
        <w:t>2</w:t>
      </w:r>
      <w:r>
        <w:rPr>
          <w:rStyle w:val="AERbody"/>
        </w:rPr>
        <w:t xml:space="preserve"> million) </w:t>
      </w:r>
      <w:r w:rsidR="008A48CE">
        <w:rPr>
          <w:rStyle w:val="AERbody"/>
        </w:rPr>
        <w:t xml:space="preserve">in 2018 and 2019 </w:t>
      </w:r>
      <w:r w:rsidR="00D73D11">
        <w:rPr>
          <w:rStyle w:val="AERbody"/>
        </w:rPr>
        <w:t>does not appear prudent or efficient, as there are likely to be substantial economic benefits from</w:t>
      </w:r>
      <w:r>
        <w:rPr>
          <w:rStyle w:val="AERbody"/>
        </w:rPr>
        <w:t xml:space="preserve"> deferr</w:t>
      </w:r>
      <w:r w:rsidR="00D73D11">
        <w:rPr>
          <w:rStyle w:val="AERbody"/>
        </w:rPr>
        <w:t>ing much of this work un</w:t>
      </w:r>
      <w:r w:rsidR="008A48CE">
        <w:rPr>
          <w:rStyle w:val="AERbody"/>
        </w:rPr>
        <w:t>t</w:t>
      </w:r>
      <w:r w:rsidR="00D73D11">
        <w:rPr>
          <w:rStyle w:val="AERbody"/>
        </w:rPr>
        <w:t>il</w:t>
      </w:r>
      <w:r>
        <w:rPr>
          <w:rStyle w:val="AERbody"/>
        </w:rPr>
        <w:t xml:space="preserve"> closer to the time of when urban development is actually likely to proceed</w:t>
      </w:r>
      <w:r w:rsidR="00C51D96">
        <w:rPr>
          <w:rStyle w:val="AERbody"/>
        </w:rPr>
        <w:t xml:space="preserve">. </w:t>
      </w:r>
      <w:r w:rsidR="00C51D96" w:rsidRPr="00C51D96">
        <w:t xml:space="preserve">We recognise that some slabbing is necessary in the 2018-22 access arrangement </w:t>
      </w:r>
      <w:proofErr w:type="gramStart"/>
      <w:r w:rsidR="00C51D96" w:rsidRPr="00C51D96">
        <w:t>period</w:t>
      </w:r>
      <w:proofErr w:type="gramEnd"/>
      <w:r w:rsidR="00C51D96" w:rsidRPr="00C51D96">
        <w:t>, particularly along sections of the pipeline where land development is imminent</w:t>
      </w:r>
      <w:r w:rsidR="00C51D96">
        <w:t>.</w:t>
      </w:r>
      <w:r w:rsidR="00C51D96" w:rsidRPr="00C51D96">
        <w:t xml:space="preserve"> </w:t>
      </w:r>
      <w:r w:rsidR="00C51D96">
        <w:t>W</w:t>
      </w:r>
      <w:r w:rsidR="00C51D96" w:rsidRPr="00C51D96">
        <w:t>e invite APA to respond with an alternative slabbing program that is more consistent with the rate of urban development</w:t>
      </w:r>
      <w:r w:rsidR="00C51D96">
        <w:t>.</w:t>
      </w:r>
    </w:p>
    <w:p w:rsidR="003E7BED" w:rsidRDefault="00FA654F" w:rsidP="003E7BED">
      <w:pPr>
        <w:pStyle w:val="AERbulletlistfirststyle"/>
        <w:rPr>
          <w:rStyle w:val="AERbody"/>
        </w:rPr>
      </w:pPr>
      <w:r w:rsidRPr="00FA654F">
        <w:t xml:space="preserve">proposed </w:t>
      </w:r>
      <w:r>
        <w:t xml:space="preserve">expenditure of </w:t>
      </w:r>
      <w:r w:rsidRPr="00FA654F">
        <w:t>$6.</w:t>
      </w:r>
      <w:r w:rsidR="001D2C98">
        <w:t>7</w:t>
      </w:r>
      <w:r w:rsidRPr="00FA654F">
        <w:t xml:space="preserve"> million ($2017) </w:t>
      </w:r>
      <w:r>
        <w:t xml:space="preserve">for </w:t>
      </w:r>
      <w:r w:rsidR="003E7BED">
        <w:rPr>
          <w:rStyle w:val="AERbody"/>
        </w:rPr>
        <w:t>pipe integrity</w:t>
      </w:r>
      <w:r w:rsidR="001D2C98">
        <w:rPr>
          <w:rStyle w:val="AERbody"/>
        </w:rPr>
        <w:t>, particularly</w:t>
      </w:r>
      <w:r w:rsidR="003E7BED">
        <w:rPr>
          <w:rStyle w:val="AERbody"/>
        </w:rPr>
        <w:t xml:space="preserve"> </w:t>
      </w:r>
      <w:r w:rsidR="00643630">
        <w:rPr>
          <w:rStyle w:val="AERbody"/>
        </w:rPr>
        <w:t>modifying pipelines at</w:t>
      </w:r>
      <w:r w:rsidR="00643630" w:rsidRPr="00B66A69">
        <w:t xml:space="preserve"> </w:t>
      </w:r>
      <w:r w:rsidR="00643630">
        <w:t xml:space="preserve">James Street, Tyres to Maryvale and Truganina to Plumpton </w:t>
      </w:r>
      <w:r w:rsidR="00643630" w:rsidRPr="00B66A69">
        <w:t>to enable inline inspection</w:t>
      </w:r>
      <w:r w:rsidR="00D73D11">
        <w:t>,</w:t>
      </w:r>
      <w:r w:rsidR="00643630">
        <w:t xml:space="preserve"> is not prudent </w:t>
      </w:r>
      <w:r w:rsidR="00D73D11">
        <w:t xml:space="preserve">as APA have not shown it is </w:t>
      </w:r>
      <w:r w:rsidR="001D2C98">
        <w:t>cost-beneficial</w:t>
      </w:r>
      <w:r w:rsidR="00D73D11">
        <w:t xml:space="preserve"> on short sections of pipeline</w:t>
      </w:r>
    </w:p>
    <w:p w:rsidR="009633DC" w:rsidRDefault="009633DC" w:rsidP="009633DC">
      <w:pPr>
        <w:pStyle w:val="AERbulletlistfirststyle"/>
        <w:rPr>
          <w:rStyle w:val="AERbody"/>
        </w:rPr>
      </w:pPr>
      <w:r>
        <w:rPr>
          <w:rStyle w:val="AERbody"/>
        </w:rPr>
        <w:t xml:space="preserve">Wollert Compressor station Turbine Overhauls ($4.7 million) are routine maintenance activities </w:t>
      </w:r>
      <w:r w:rsidR="00C51D96" w:rsidRPr="00C51D96">
        <w:t>that APA can prioritise within its existing base opex forecast</w:t>
      </w:r>
      <w:r w:rsidR="00C51D96" w:rsidRPr="00C51D96">
        <w:rPr>
          <w:rStyle w:val="AERbody"/>
        </w:rPr>
        <w:t xml:space="preserve"> </w:t>
      </w:r>
    </w:p>
    <w:p w:rsidR="009633DC" w:rsidRDefault="009633DC" w:rsidP="009633DC">
      <w:pPr>
        <w:pStyle w:val="AERbulletlistfirststyle"/>
        <w:rPr>
          <w:rStyle w:val="AERbody"/>
        </w:rPr>
      </w:pPr>
      <w:r>
        <w:rPr>
          <w:rStyle w:val="AERbody"/>
        </w:rPr>
        <w:t xml:space="preserve">our estimation that the costs on the </w:t>
      </w:r>
      <w:r w:rsidRPr="00893A9A">
        <w:rPr>
          <w:rStyle w:val="AERbody"/>
        </w:rPr>
        <w:t>Warragul Lateral Expansion</w:t>
      </w:r>
      <w:r>
        <w:rPr>
          <w:rStyle w:val="AERbody"/>
        </w:rPr>
        <w:t xml:space="preserve"> are overestimated by around </w:t>
      </w:r>
      <w:r w:rsidR="00D73D11">
        <w:rPr>
          <w:rStyle w:val="AERbody"/>
        </w:rPr>
        <w:t xml:space="preserve">105 </w:t>
      </w:r>
      <w:r>
        <w:rPr>
          <w:rStyle w:val="AERbody"/>
        </w:rPr>
        <w:t>per cent or $3.</w:t>
      </w:r>
      <w:r w:rsidR="001D0531">
        <w:rPr>
          <w:rStyle w:val="AERbody"/>
        </w:rPr>
        <w:t>8</w:t>
      </w:r>
      <w:r>
        <w:rPr>
          <w:rStyle w:val="AERbody"/>
        </w:rPr>
        <w:t xml:space="preserve"> million</w:t>
      </w:r>
    </w:p>
    <w:p w:rsidR="009633DC" w:rsidRDefault="00D73D11" w:rsidP="009633DC">
      <w:pPr>
        <w:pStyle w:val="AERbulletlistfirststyle"/>
        <w:rPr>
          <w:rStyle w:val="AERbody"/>
        </w:rPr>
      </w:pPr>
      <w:proofErr w:type="gramStart"/>
      <w:r>
        <w:t>the</w:t>
      </w:r>
      <w:proofErr w:type="gramEnd"/>
      <w:r>
        <w:t xml:space="preserve"> </w:t>
      </w:r>
      <w:r w:rsidR="009633DC" w:rsidRPr="00E06910">
        <w:t>Coogee pipeline</w:t>
      </w:r>
      <w:r w:rsidR="009633DC">
        <w:t xml:space="preserve"> </w:t>
      </w:r>
      <w:r w:rsidR="009633DC" w:rsidRPr="00E06910">
        <w:t>decommissioning</w:t>
      </w:r>
      <w:r w:rsidR="009633DC">
        <w:t xml:space="preserve"> ($1.8 million)</w:t>
      </w:r>
      <w:r>
        <w:t xml:space="preserve"> </w:t>
      </w:r>
      <w:r w:rsidR="008A48CE">
        <w:t>in the 2018</w:t>
      </w:r>
      <w:r w:rsidR="00E11A93">
        <w:t>–</w:t>
      </w:r>
      <w:r w:rsidR="008A48CE">
        <w:t>22 access arrangement period appears</w:t>
      </w:r>
      <w:r>
        <w:t xml:space="preserve"> premature, given the future of the methanol plant </w:t>
      </w:r>
      <w:r w:rsidR="008A48CE">
        <w:t>it supports</w:t>
      </w:r>
      <w:r>
        <w:t xml:space="preserve"> is yet to be decided</w:t>
      </w:r>
      <w:r w:rsidR="009633DC">
        <w:t>.</w:t>
      </w:r>
      <w:r w:rsidR="009633DC">
        <w:rPr>
          <w:rStyle w:val="FootnoteReference"/>
        </w:rPr>
        <w:footnoteReference w:id="61"/>
      </w:r>
    </w:p>
    <w:p w:rsidR="00FF5AD3" w:rsidRPr="00FF5AD3" w:rsidRDefault="007F3EA2" w:rsidP="0000547F">
      <w:r w:rsidRPr="00696423">
        <w:t>Further detail on our dra</w:t>
      </w:r>
      <w:r>
        <w:t>ft decision in regards to APA</w:t>
      </w:r>
      <w:r w:rsidRPr="00696423">
        <w:t xml:space="preserve">'s </w:t>
      </w:r>
      <w:r>
        <w:t>capex</w:t>
      </w:r>
      <w:r w:rsidRPr="00696423">
        <w:t xml:space="preserve"> is set out in attachment </w:t>
      </w:r>
      <w:r>
        <w:t>6</w:t>
      </w:r>
      <w:r w:rsidR="00E03F6E">
        <w:t>.</w:t>
      </w:r>
    </w:p>
    <w:p w:rsidR="007F3EA2" w:rsidRDefault="007F3EA2" w:rsidP="007F3EA2">
      <w:pPr>
        <w:pStyle w:val="Heading2"/>
      </w:pPr>
      <w:bookmarkStart w:id="181" w:name="_Toc430002794"/>
      <w:bookmarkStart w:id="182" w:name="_Ref433619841"/>
      <w:bookmarkStart w:id="183" w:name="_Ref434340255"/>
      <w:bookmarkStart w:id="184" w:name="_Toc436046186"/>
      <w:bookmarkStart w:id="185" w:name="_Toc444855394"/>
      <w:bookmarkStart w:id="186" w:name="_Toc487018283"/>
      <w:r>
        <w:t>Operating expenditure</w:t>
      </w:r>
      <w:bookmarkEnd w:id="181"/>
      <w:bookmarkEnd w:id="182"/>
      <w:bookmarkEnd w:id="183"/>
      <w:bookmarkEnd w:id="184"/>
      <w:bookmarkEnd w:id="185"/>
      <w:bookmarkEnd w:id="186"/>
    </w:p>
    <w:p w:rsidR="002C62CD" w:rsidRPr="00AE792F" w:rsidRDefault="002C62CD" w:rsidP="002C62CD">
      <w:r w:rsidRPr="00AE792F">
        <w:t xml:space="preserve">Operating expenditure (opex) is the operating, maintenance and other non-capital expenses, incurred in the </w:t>
      </w:r>
      <w:r w:rsidRPr="00AE792F">
        <w:rPr>
          <w:rStyle w:val="AERbody"/>
        </w:rPr>
        <w:t>provision</w:t>
      </w:r>
      <w:r w:rsidRPr="00AE792F">
        <w:t xml:space="preserve"> of reference services for a pipeline. Forecast opex is one of the building blocks we use to determine a service provider's total revenue requirement.</w:t>
      </w:r>
    </w:p>
    <w:p w:rsidR="00693B0E" w:rsidRDefault="00D36AF1" w:rsidP="00693B0E">
      <w:r w:rsidRPr="00ED08EA">
        <w:t>Our draft decision</w:t>
      </w:r>
      <w:r w:rsidR="00C03FF7">
        <w:t xml:space="preserve"> </w:t>
      </w:r>
      <w:r w:rsidRPr="00ED08EA">
        <w:t xml:space="preserve">is to accept </w:t>
      </w:r>
      <w:r>
        <w:t>APA</w:t>
      </w:r>
      <w:r w:rsidRPr="00ED08EA">
        <w:t>’</w:t>
      </w:r>
      <w:r>
        <w:t>s</w:t>
      </w:r>
      <w:r w:rsidR="00FF2E54">
        <w:t xml:space="preserve"> </w:t>
      </w:r>
      <w:r w:rsidRPr="00ED08EA">
        <w:t xml:space="preserve">opex </w:t>
      </w:r>
      <w:r w:rsidR="00F140AD">
        <w:t>proposal</w:t>
      </w:r>
      <w:r w:rsidRPr="00ED08EA">
        <w:t xml:space="preserve"> of $</w:t>
      </w:r>
      <w:r>
        <w:t>132</w:t>
      </w:r>
      <w:r w:rsidRPr="00ED08EA">
        <w:t>.</w:t>
      </w:r>
      <w:r w:rsidR="002910D9">
        <w:t>4</w:t>
      </w:r>
      <w:r w:rsidR="00FF2E54" w:rsidRPr="00ED08EA">
        <w:t xml:space="preserve"> </w:t>
      </w:r>
      <w:r w:rsidRPr="00ED08EA">
        <w:t>million ($2017) over the 201</w:t>
      </w:r>
      <w:r w:rsidR="00C1247C">
        <w:t>8</w:t>
      </w:r>
      <w:r w:rsidRPr="00ED08EA">
        <w:t>–22 access arrangement period</w:t>
      </w:r>
      <w:r w:rsidR="00EF2E35">
        <w:t>,</w:t>
      </w:r>
      <w:r w:rsidR="00EB1A1C">
        <w:t xml:space="preserve"> as set out in </w:t>
      </w:r>
      <w:r w:rsidR="00EB1A1C">
        <w:fldChar w:fldCharType="begin"/>
      </w:r>
      <w:r w:rsidR="00EB1A1C">
        <w:instrText xml:space="preserve"> REF _Ref483247479 \h </w:instrText>
      </w:r>
      <w:r w:rsidR="00EB1A1C">
        <w:fldChar w:fldCharType="separate"/>
      </w:r>
      <w:r w:rsidR="00971C32">
        <w:t xml:space="preserve">Table </w:t>
      </w:r>
      <w:r w:rsidR="00971C32">
        <w:rPr>
          <w:noProof/>
        </w:rPr>
        <w:t>5</w:t>
      </w:r>
      <w:r w:rsidR="00971C32">
        <w:noBreakHyphen/>
      </w:r>
      <w:r w:rsidR="00971C32">
        <w:rPr>
          <w:noProof/>
        </w:rPr>
        <w:t>9</w:t>
      </w:r>
      <w:r w:rsidR="00EB1A1C">
        <w:fldChar w:fldCharType="end"/>
      </w:r>
      <w:r w:rsidRPr="00ED08EA">
        <w:t>.</w:t>
      </w:r>
      <w:r>
        <w:rPr>
          <w:rStyle w:val="FootnoteReference"/>
        </w:rPr>
        <w:footnoteReference w:id="62"/>
      </w:r>
      <w:r>
        <w:t xml:space="preserve"> </w:t>
      </w:r>
      <w:bookmarkStart w:id="187" w:name="_Ref473124021"/>
      <w:r w:rsidR="00F140AD">
        <w:t>Our draft decision</w:t>
      </w:r>
      <w:r w:rsidR="00EB1A1C">
        <w:t xml:space="preserve"> represents a 2.5 per cent increase </w:t>
      </w:r>
      <w:r w:rsidR="00843618">
        <w:t>from APA's actual</w:t>
      </w:r>
      <w:r w:rsidR="00EB1A1C">
        <w:t xml:space="preserve"> opex in the 2013</w:t>
      </w:r>
      <w:r w:rsidR="00EB1A1C" w:rsidRPr="00ED08EA">
        <w:t xml:space="preserve">–17 </w:t>
      </w:r>
      <w:r w:rsidR="00EB1A1C">
        <w:t xml:space="preserve">access arrangement </w:t>
      </w:r>
      <w:proofErr w:type="gramStart"/>
      <w:r w:rsidR="00EB1A1C" w:rsidRPr="00ED08EA">
        <w:t>period</w:t>
      </w:r>
      <w:proofErr w:type="gramEnd"/>
      <w:r w:rsidR="009633DC">
        <w:t xml:space="preserve"> and a reduction of </w:t>
      </w:r>
      <w:r w:rsidR="00252C75">
        <w:t>19.9</w:t>
      </w:r>
      <w:r w:rsidR="008A3D4B">
        <w:t xml:space="preserve"> per cent from </w:t>
      </w:r>
      <w:r w:rsidR="009F6AC3">
        <w:t xml:space="preserve">opex forecast approved </w:t>
      </w:r>
      <w:r w:rsidR="008A3D4B">
        <w:t>in our final decision</w:t>
      </w:r>
      <w:r w:rsidR="009F6AC3">
        <w:t xml:space="preserve"> for the 2013–17 access arrangement period</w:t>
      </w:r>
      <w:r w:rsidR="005755A7">
        <w:t>.</w:t>
      </w:r>
      <w:r w:rsidR="009F6AC3">
        <w:rPr>
          <w:rStyle w:val="FootnoteReference"/>
        </w:rPr>
        <w:footnoteReference w:id="63"/>
      </w:r>
      <w:r w:rsidR="00EB1A1C" w:rsidRPr="00CF53A6">
        <w:t xml:space="preserve"> </w:t>
      </w:r>
    </w:p>
    <w:p w:rsidR="00693B0E" w:rsidRPr="00D5276E" w:rsidRDefault="00693B0E" w:rsidP="00693B0E">
      <w:pPr>
        <w:rPr>
          <w:rStyle w:val="AERbody"/>
        </w:rPr>
      </w:pPr>
      <w:r w:rsidRPr="00D5276E">
        <w:rPr>
          <w:rStyle w:val="AERbody"/>
        </w:rPr>
        <w:fldChar w:fldCharType="begin"/>
      </w:r>
      <w:r w:rsidRPr="00D5276E">
        <w:rPr>
          <w:rStyle w:val="AERbody"/>
        </w:rPr>
        <w:instrText xml:space="preserve"> REF _Ref483247479 \h </w:instrText>
      </w:r>
      <w:r>
        <w:rPr>
          <w:rStyle w:val="AERbody"/>
        </w:rPr>
        <w:instrText xml:space="preserve"> \* MERGEFORMAT </w:instrText>
      </w:r>
      <w:r w:rsidRPr="00D5276E">
        <w:rPr>
          <w:rStyle w:val="AERbody"/>
        </w:rPr>
      </w:r>
      <w:r w:rsidRPr="00D5276E">
        <w:rPr>
          <w:rStyle w:val="AERbody"/>
        </w:rPr>
        <w:fldChar w:fldCharType="separate"/>
      </w:r>
      <w:r w:rsidR="00971C32" w:rsidRPr="00971C32">
        <w:rPr>
          <w:rStyle w:val="AERbody"/>
        </w:rPr>
        <w:t>Table 5</w:t>
      </w:r>
      <w:r w:rsidR="00971C32" w:rsidRPr="00971C32">
        <w:rPr>
          <w:rStyle w:val="AERbody"/>
        </w:rPr>
        <w:noBreakHyphen/>
        <w:t>9</w:t>
      </w:r>
      <w:r w:rsidRPr="00D5276E">
        <w:rPr>
          <w:rStyle w:val="AERbody"/>
        </w:rPr>
        <w:fldChar w:fldCharType="end"/>
      </w:r>
      <w:r w:rsidRPr="00D5276E">
        <w:rPr>
          <w:rStyle w:val="AERbody"/>
        </w:rPr>
        <w:t xml:space="preserve"> sets out the total opex approved in this draft decision. </w:t>
      </w:r>
    </w:p>
    <w:p w:rsidR="00C03FF7" w:rsidRPr="00C03FF7" w:rsidRDefault="00EB1A1C" w:rsidP="00C03FF7">
      <w:pPr>
        <w:pStyle w:val="Caption"/>
      </w:pPr>
      <w:bookmarkStart w:id="188" w:name="_Ref483247479"/>
      <w:bookmarkEnd w:id="187"/>
      <w:r>
        <w:t xml:space="preserve">Table </w:t>
      </w:r>
      <w:fldSimple w:instr=" STYLEREF 1 \s ">
        <w:r w:rsidR="00971C32">
          <w:rPr>
            <w:noProof/>
          </w:rPr>
          <w:t>5</w:t>
        </w:r>
      </w:fldSimple>
      <w:r w:rsidR="009F6AC3">
        <w:noBreakHyphen/>
      </w:r>
      <w:fldSimple w:instr=" SEQ Table \* ARABIC \s 1 ">
        <w:r w:rsidR="00971C32">
          <w:rPr>
            <w:noProof/>
          </w:rPr>
          <w:t>9</w:t>
        </w:r>
      </w:fldSimple>
      <w:bookmarkEnd w:id="188"/>
      <w:r>
        <w:tab/>
      </w:r>
      <w:proofErr w:type="gramStart"/>
      <w:r w:rsidR="00C03FF7" w:rsidRPr="00C03FF7">
        <w:t>Our</w:t>
      </w:r>
      <w:proofErr w:type="gramEnd"/>
      <w:r w:rsidR="00C03FF7" w:rsidRPr="00C03FF7">
        <w:t xml:space="preserve"> draft decision on total opex ($</w:t>
      </w:r>
      <w:r w:rsidR="00272737">
        <w:t xml:space="preserve"> </w:t>
      </w:r>
      <w:r w:rsidR="00C03FF7" w:rsidRPr="00C03FF7">
        <w:t>million, 2017)</w:t>
      </w:r>
    </w:p>
    <w:tbl>
      <w:tblPr>
        <w:tblStyle w:val="AERtable-numbers"/>
        <w:tblW w:w="0" w:type="auto"/>
        <w:tblLook w:val="04A0" w:firstRow="1" w:lastRow="0" w:firstColumn="1" w:lastColumn="0" w:noHBand="0" w:noVBand="1"/>
      </w:tblPr>
      <w:tblGrid>
        <w:gridCol w:w="2469"/>
        <w:gridCol w:w="1037"/>
        <w:gridCol w:w="1037"/>
        <w:gridCol w:w="1038"/>
        <w:gridCol w:w="1037"/>
        <w:gridCol w:w="1037"/>
        <w:gridCol w:w="1038"/>
      </w:tblGrid>
      <w:tr w:rsidR="00C03FF7" w:rsidTr="00783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C03FF7" w:rsidRPr="00C03FF7" w:rsidRDefault="00C03FF7" w:rsidP="00C03FF7"/>
        </w:tc>
        <w:tc>
          <w:tcPr>
            <w:tcW w:w="1037"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2018</w:t>
            </w:r>
          </w:p>
        </w:tc>
        <w:tc>
          <w:tcPr>
            <w:tcW w:w="1037"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2019</w:t>
            </w:r>
          </w:p>
        </w:tc>
        <w:tc>
          <w:tcPr>
            <w:tcW w:w="1038"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2020</w:t>
            </w:r>
          </w:p>
        </w:tc>
        <w:tc>
          <w:tcPr>
            <w:tcW w:w="1037"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2021</w:t>
            </w:r>
          </w:p>
        </w:tc>
        <w:tc>
          <w:tcPr>
            <w:tcW w:w="1037"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2022</w:t>
            </w:r>
          </w:p>
        </w:tc>
        <w:tc>
          <w:tcPr>
            <w:tcW w:w="1038" w:type="dxa"/>
          </w:tcPr>
          <w:p w:rsidR="00C03FF7" w:rsidRPr="00C03FF7" w:rsidRDefault="00C03FF7" w:rsidP="00C03FF7">
            <w:pPr>
              <w:cnfStyle w:val="100000000000" w:firstRow="1" w:lastRow="0" w:firstColumn="0" w:lastColumn="0" w:oddVBand="0" w:evenVBand="0" w:oddHBand="0" w:evenHBand="0" w:firstRowFirstColumn="0" w:firstRowLastColumn="0" w:lastRowFirstColumn="0" w:lastRowLastColumn="0"/>
            </w:pPr>
            <w:r w:rsidRPr="00C03FF7">
              <w:t>Total</w:t>
            </w:r>
          </w:p>
        </w:tc>
      </w:tr>
      <w:tr w:rsidR="00C03FF7" w:rsidTr="00783257">
        <w:tc>
          <w:tcPr>
            <w:cnfStyle w:val="001000000000" w:firstRow="0" w:lastRow="0" w:firstColumn="1" w:lastColumn="0" w:oddVBand="0" w:evenVBand="0" w:oddHBand="0" w:evenHBand="0" w:firstRowFirstColumn="0" w:firstRowLastColumn="0" w:lastRowFirstColumn="0" w:lastRowLastColumn="0"/>
            <w:tcW w:w="2469" w:type="dxa"/>
          </w:tcPr>
          <w:p w:rsidR="00C03FF7" w:rsidRPr="00C03FF7" w:rsidRDefault="00C03FF7" w:rsidP="00C03FF7">
            <w:r w:rsidRPr="00C03FF7">
              <w:t>APA's revised proposal and our draft decision</w:t>
            </w:r>
          </w:p>
        </w:tc>
        <w:tc>
          <w:tcPr>
            <w:tcW w:w="1037"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26.0</w:t>
            </w:r>
          </w:p>
        </w:tc>
        <w:tc>
          <w:tcPr>
            <w:tcW w:w="1037"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26.1</w:t>
            </w:r>
          </w:p>
        </w:tc>
        <w:tc>
          <w:tcPr>
            <w:tcW w:w="1038"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26.1</w:t>
            </w:r>
          </w:p>
        </w:tc>
        <w:tc>
          <w:tcPr>
            <w:tcW w:w="1037"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27.1</w:t>
            </w:r>
          </w:p>
        </w:tc>
        <w:tc>
          <w:tcPr>
            <w:tcW w:w="1037"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27.3</w:t>
            </w:r>
          </w:p>
        </w:tc>
        <w:tc>
          <w:tcPr>
            <w:tcW w:w="1038" w:type="dxa"/>
          </w:tcPr>
          <w:p w:rsidR="00C03FF7" w:rsidRPr="00C03FF7" w:rsidRDefault="00C03FF7" w:rsidP="00C03FF7">
            <w:pPr>
              <w:cnfStyle w:val="000000000000" w:firstRow="0" w:lastRow="0" w:firstColumn="0" w:lastColumn="0" w:oddVBand="0" w:evenVBand="0" w:oddHBand="0" w:evenHBand="0" w:firstRowFirstColumn="0" w:firstRowLastColumn="0" w:lastRowFirstColumn="0" w:lastRowLastColumn="0"/>
            </w:pPr>
            <w:r w:rsidRPr="00C03FF7">
              <w:t>132.4</w:t>
            </w:r>
          </w:p>
        </w:tc>
      </w:tr>
    </w:tbl>
    <w:p w:rsidR="003F59D7" w:rsidRDefault="00C03FF7" w:rsidP="00D5276E">
      <w:pPr>
        <w:pStyle w:val="Source"/>
      </w:pPr>
      <w:r w:rsidRPr="00C03FF7">
        <w:t xml:space="preserve">Source: </w:t>
      </w:r>
      <w:r w:rsidR="0000547F">
        <w:tab/>
      </w:r>
      <w:r w:rsidR="00A37EC9">
        <w:t>APA</w:t>
      </w:r>
      <w:r w:rsidRPr="00C03FF7">
        <w:t xml:space="preserve">, </w:t>
      </w:r>
      <w:r w:rsidRPr="00C03FF7">
        <w:rPr>
          <w:rStyle w:val="AERtextitalic"/>
        </w:rPr>
        <w:t>B4 - APA Post Tax Revenue Model revised with WORM</w:t>
      </w:r>
      <w:r w:rsidRPr="00C03FF7">
        <w:t xml:space="preserve"> (includes 3 March 2017 updates for inflation in response to AER information request IR#03), 16 May 2017</w:t>
      </w:r>
      <w:r w:rsidR="003F59D7">
        <w:t xml:space="preserve">. </w:t>
      </w:r>
    </w:p>
    <w:p w:rsidR="00D36AF1" w:rsidRDefault="00693B0E" w:rsidP="00D36AF1">
      <w:r>
        <w:t>As we explained above, in response to s</w:t>
      </w:r>
      <w:r w:rsidR="001C080C" w:rsidRPr="001C080C">
        <w:t xml:space="preserve">takeholders' submissions on APA's initial proposal APA provided information </w:t>
      </w:r>
      <w:r>
        <w:t xml:space="preserve">on the additional capex that would be required to complete construction of the WORM. This </w:t>
      </w:r>
      <w:r w:rsidR="001C080C" w:rsidRPr="001C080C">
        <w:t>additional capex has consequences for the opex APA requires</w:t>
      </w:r>
      <w:r>
        <w:t xml:space="preserve">, and our draft decision accepts the consequential increase in APA’s total opex forecast </w:t>
      </w:r>
      <w:r w:rsidR="00943367">
        <w:t>from $131.5</w:t>
      </w:r>
      <w:r w:rsidR="00D36AF1" w:rsidRPr="005B485B">
        <w:t xml:space="preserve"> million ($2017)</w:t>
      </w:r>
      <w:r w:rsidR="00D36AF1">
        <w:t xml:space="preserve"> to $132.</w:t>
      </w:r>
      <w:r w:rsidR="002910D9">
        <w:t>4</w:t>
      </w:r>
      <w:r w:rsidR="00FF2E54">
        <w:t xml:space="preserve"> </w:t>
      </w:r>
      <w:r w:rsidR="00D36AF1">
        <w:t>million ($2017)</w:t>
      </w:r>
      <w:r w:rsidR="00D36AF1" w:rsidRPr="005B485B">
        <w:t>.</w:t>
      </w:r>
      <w:r w:rsidR="00943367">
        <w:rPr>
          <w:rStyle w:val="FootnoteReference"/>
        </w:rPr>
        <w:footnoteReference w:id="64"/>
      </w:r>
    </w:p>
    <w:p w:rsidR="00D36AF1" w:rsidRPr="00346331" w:rsidRDefault="00D36AF1" w:rsidP="00D36AF1">
      <w:r w:rsidRPr="00FC7234">
        <w:t>Using our base</w:t>
      </w:r>
      <w:r w:rsidR="0069264D" w:rsidRPr="00ED08EA">
        <w:t>–</w:t>
      </w:r>
      <w:r w:rsidR="0069264D">
        <w:t>step</w:t>
      </w:r>
      <w:r w:rsidR="0069264D" w:rsidRPr="00ED08EA">
        <w:t>–</w:t>
      </w:r>
      <w:r w:rsidRPr="00FC7234">
        <w:t>trend approach</w:t>
      </w:r>
      <w:r>
        <w:t xml:space="preserve"> and taking into account the new information, we developed an alternative total opex estimate of $13</w:t>
      </w:r>
      <w:r w:rsidR="003F59D7">
        <w:t xml:space="preserve">4.9 </w:t>
      </w:r>
      <w:r w:rsidRPr="00ED08EA">
        <w:t>million ($2017)</w:t>
      </w:r>
      <w:r>
        <w:t>.</w:t>
      </w:r>
      <w:r w:rsidR="003F59D7">
        <w:rPr>
          <w:rStyle w:val="FootnoteReference"/>
        </w:rPr>
        <w:footnoteReference w:id="65"/>
      </w:r>
      <w:r>
        <w:t xml:space="preserve"> This is no</w:t>
      </w:r>
      <w:r w:rsidR="006656B5">
        <w:t>t materially different from APA</w:t>
      </w:r>
      <w:r>
        <w:t>'</w:t>
      </w:r>
      <w:r w:rsidR="006656B5">
        <w:t>s</w:t>
      </w:r>
      <w:r>
        <w:t xml:space="preserve"> </w:t>
      </w:r>
      <w:r w:rsidR="00453073">
        <w:t>updated</w:t>
      </w:r>
      <w:r>
        <w:t xml:space="preserve"> proposal of </w:t>
      </w:r>
      <w:r w:rsidR="00E03F6E">
        <w:t>$</w:t>
      </w:r>
      <w:r>
        <w:t>132</w:t>
      </w:r>
      <w:r w:rsidRPr="00ED08EA">
        <w:t>.</w:t>
      </w:r>
      <w:r w:rsidR="002910D9">
        <w:t>4</w:t>
      </w:r>
      <w:r w:rsidR="00FF2E54" w:rsidRPr="00ED08EA">
        <w:t xml:space="preserve"> </w:t>
      </w:r>
      <w:r w:rsidRPr="00ED08EA">
        <w:t>million ($2017)</w:t>
      </w:r>
      <w:r w:rsidR="006656B5">
        <w:t>. So we are satisfied APA</w:t>
      </w:r>
      <w:r>
        <w:t>'</w:t>
      </w:r>
      <w:r w:rsidR="006656B5">
        <w:t>s</w:t>
      </w:r>
      <w:r>
        <w:t xml:space="preserve"> proposal </w:t>
      </w:r>
      <w:r w:rsidRPr="00574A69">
        <w:t>reasonably reflects the opex criteria</w:t>
      </w:r>
      <w:r>
        <w:t xml:space="preserve">. </w:t>
      </w:r>
    </w:p>
    <w:p w:rsidR="00D36AF1" w:rsidRPr="00285945" w:rsidRDefault="00A41818" w:rsidP="00D36AF1">
      <w:r>
        <w:fldChar w:fldCharType="begin"/>
      </w:r>
      <w:r>
        <w:instrText xml:space="preserve"> REF _Ref483479343 \h </w:instrText>
      </w:r>
      <w:r>
        <w:fldChar w:fldCharType="separate"/>
      </w:r>
      <w:r w:rsidR="00971C32">
        <w:t xml:space="preserve">Figure </w:t>
      </w:r>
      <w:r w:rsidR="00971C32">
        <w:rPr>
          <w:noProof/>
        </w:rPr>
        <w:t>5</w:t>
      </w:r>
      <w:r w:rsidR="00971C32">
        <w:noBreakHyphen/>
      </w:r>
      <w:r w:rsidR="00971C32">
        <w:rPr>
          <w:noProof/>
        </w:rPr>
        <w:t>3</w:t>
      </w:r>
      <w:r>
        <w:fldChar w:fldCharType="end"/>
      </w:r>
      <w:r>
        <w:t xml:space="preserve"> </w:t>
      </w:r>
      <w:r w:rsidR="00D36AF1">
        <w:t>shows our</w:t>
      </w:r>
      <w:r w:rsidR="006656B5">
        <w:t xml:space="preserve"> draft decision compared to APA</w:t>
      </w:r>
      <w:r w:rsidR="00D36AF1">
        <w:t>'s proposal, its past allowances and past actual expenditure.</w:t>
      </w:r>
    </w:p>
    <w:p w:rsidR="00D36AF1" w:rsidRDefault="00A41818" w:rsidP="00A41818">
      <w:pPr>
        <w:pStyle w:val="Caption"/>
      </w:pPr>
      <w:bookmarkStart w:id="189" w:name="_Ref483479343"/>
      <w:r>
        <w:t xml:space="preserve">Figure </w:t>
      </w:r>
      <w:fldSimple w:instr=" STYLEREF 1 \s ">
        <w:r w:rsidR="00971C32">
          <w:rPr>
            <w:noProof/>
          </w:rPr>
          <w:t>5</w:t>
        </w:r>
      </w:fldSimple>
      <w:r w:rsidR="00624EE7">
        <w:noBreakHyphen/>
      </w:r>
      <w:fldSimple w:instr=" SEQ Figure \* ARABIC \s 1 ">
        <w:r w:rsidR="00971C32">
          <w:rPr>
            <w:noProof/>
          </w:rPr>
          <w:t>3</w:t>
        </w:r>
      </w:fldSimple>
      <w:bookmarkEnd w:id="189"/>
      <w:r>
        <w:tab/>
      </w:r>
      <w:proofErr w:type="gramStart"/>
      <w:r w:rsidR="00D36AF1" w:rsidRPr="006F26B1">
        <w:t>Our</w:t>
      </w:r>
      <w:proofErr w:type="gramEnd"/>
      <w:r w:rsidR="00D36AF1" w:rsidRPr="006F26B1">
        <w:t xml:space="preserve"> dr</w:t>
      </w:r>
      <w:r w:rsidR="006656B5">
        <w:t>aft decision compared to APA</w:t>
      </w:r>
      <w:r w:rsidR="00D36AF1" w:rsidRPr="006F26B1">
        <w:t>'s past and</w:t>
      </w:r>
      <w:r w:rsidR="002910D9">
        <w:t xml:space="preserve"> </w:t>
      </w:r>
      <w:r w:rsidR="00D36AF1" w:rsidRPr="006F26B1">
        <w:t>proposed opex ($ million, 2017)</w:t>
      </w:r>
    </w:p>
    <w:p w:rsidR="001D7979" w:rsidRDefault="001D7979" w:rsidP="00FF2E54">
      <w:pPr>
        <w:pStyle w:val="Source"/>
      </w:pPr>
      <w:r w:rsidRPr="001D7979">
        <w:rPr>
          <w:noProof/>
          <w:lang w:eastAsia="en-AU"/>
        </w:rPr>
        <w:drawing>
          <wp:inline distT="0" distB="0" distL="0" distR="0" wp14:anchorId="6DB8B817" wp14:editId="627B43E3">
            <wp:extent cx="5400675" cy="395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3952875"/>
                    </a:xfrm>
                    <a:prstGeom prst="rect">
                      <a:avLst/>
                    </a:prstGeom>
                    <a:noFill/>
                    <a:ln>
                      <a:noFill/>
                    </a:ln>
                  </pic:spPr>
                </pic:pic>
              </a:graphicData>
            </a:graphic>
          </wp:inline>
        </w:drawing>
      </w:r>
      <w:r w:rsidRPr="001D7979">
        <w:t xml:space="preserve"> </w:t>
      </w:r>
    </w:p>
    <w:p w:rsidR="002445F3" w:rsidRDefault="00D36AF1" w:rsidP="00D5276E">
      <w:pPr>
        <w:pStyle w:val="Source"/>
      </w:pPr>
      <w:r>
        <w:t>Source:</w:t>
      </w:r>
      <w:r w:rsidR="00D5276E">
        <w:tab/>
      </w:r>
      <w:r>
        <w:t>APA</w:t>
      </w:r>
      <w:r w:rsidRPr="002445F3">
        <w:rPr>
          <w:rStyle w:val="AERtextitalic"/>
        </w:rPr>
        <w:t xml:space="preserve">, </w:t>
      </w:r>
      <w:r w:rsidR="002445F3" w:rsidRPr="002445F3">
        <w:rPr>
          <w:rStyle w:val="AERtextitalic"/>
        </w:rPr>
        <w:t>B.1 - RIN templates - Redacted</w:t>
      </w:r>
      <w:r w:rsidR="002445F3">
        <w:t xml:space="preserve">, January 2017; </w:t>
      </w:r>
      <w:r w:rsidR="00A37EC9">
        <w:t>APA</w:t>
      </w:r>
      <w:r w:rsidR="00B55F50" w:rsidRPr="00CD7D82">
        <w:t xml:space="preserve">, </w:t>
      </w:r>
      <w:r w:rsidR="00B55F50" w:rsidRPr="000F4406">
        <w:rPr>
          <w:rStyle w:val="AERtextitalic"/>
        </w:rPr>
        <w:t>B2 - Operating expenditure model revised with WORM</w:t>
      </w:r>
      <w:r w:rsidR="00B55F50">
        <w:t>, 15 May 2017;</w:t>
      </w:r>
      <w:r w:rsidR="00B55F50" w:rsidRPr="00CD7D82">
        <w:t xml:space="preserve"> </w:t>
      </w:r>
      <w:r>
        <w:t xml:space="preserve">AER analysis. </w:t>
      </w:r>
    </w:p>
    <w:p w:rsidR="00D36AF1" w:rsidRDefault="00D36AF1" w:rsidP="00D5276E">
      <w:pPr>
        <w:pStyle w:val="Source"/>
      </w:pPr>
      <w:r w:rsidRPr="00C57E0B">
        <w:t xml:space="preserve">Note: </w:t>
      </w:r>
      <w:r w:rsidR="00D5276E">
        <w:tab/>
      </w:r>
      <w:r w:rsidRPr="00C57E0B">
        <w:t>Includes debt raising costs.</w:t>
      </w:r>
    </w:p>
    <w:p w:rsidR="00263D9B" w:rsidRPr="00C57E0B" w:rsidRDefault="00263D9B" w:rsidP="00263D9B">
      <w:r w:rsidRPr="00263D9B">
        <w:t>Further detail on our draft decision in regards to APA's opex is set out in attachment 7.</w:t>
      </w:r>
    </w:p>
    <w:p w:rsidR="000F6D0F" w:rsidRDefault="000F6D0F" w:rsidP="005A1BFE">
      <w:pPr>
        <w:pStyle w:val="Heading2"/>
      </w:pPr>
      <w:bookmarkStart w:id="190" w:name="_Toc487018284"/>
      <w:r>
        <w:t>Opex incentive mechanism</w:t>
      </w:r>
      <w:bookmarkEnd w:id="190"/>
    </w:p>
    <w:p w:rsidR="000F6D0F" w:rsidRDefault="000F6D0F" w:rsidP="000F6D0F">
      <w:r>
        <w:rPr>
          <w:rStyle w:val="AERbody"/>
        </w:rPr>
        <w:t>The opex</w:t>
      </w:r>
      <w:r w:rsidRPr="0082272C">
        <w:rPr>
          <w:rStyle w:val="AERbody"/>
        </w:rPr>
        <w:t xml:space="preserve"> </w:t>
      </w:r>
      <w:r>
        <w:rPr>
          <w:rStyle w:val="AERbody"/>
        </w:rPr>
        <w:t>incentive</w:t>
      </w:r>
      <w:r w:rsidRPr="0082272C">
        <w:rPr>
          <w:rStyle w:val="AERbody"/>
        </w:rPr>
        <w:t xml:space="preserve"> mechanism </w:t>
      </w:r>
      <w:r>
        <w:rPr>
          <w:rStyle w:val="AERbody"/>
        </w:rPr>
        <w:t xml:space="preserve">in APA's access arrangement </w:t>
      </w:r>
      <w:r w:rsidRPr="0082272C">
        <w:rPr>
          <w:rStyle w:val="AERbody"/>
        </w:rPr>
        <w:t>provides an additional incentive</w:t>
      </w:r>
      <w:r w:rsidR="001C1B18">
        <w:rPr>
          <w:rStyle w:val="AERbody"/>
        </w:rPr>
        <w:t xml:space="preserve"> </w:t>
      </w:r>
      <w:r w:rsidR="001C1B18" w:rsidRPr="001C1B18">
        <w:rPr>
          <w:rStyle w:val="AERbody"/>
        </w:rPr>
        <w:t xml:space="preserve">to that provided under an incentive based </w:t>
      </w:r>
      <w:r w:rsidR="001C1B18">
        <w:rPr>
          <w:rStyle w:val="AERbody"/>
        </w:rPr>
        <w:t>regime</w:t>
      </w:r>
      <w:r w:rsidRPr="0082272C">
        <w:rPr>
          <w:rStyle w:val="AERbody"/>
        </w:rPr>
        <w:t xml:space="preserve"> for </w:t>
      </w:r>
      <w:r>
        <w:rPr>
          <w:rStyle w:val="AERbody"/>
        </w:rPr>
        <w:t>APA</w:t>
      </w:r>
      <w:r w:rsidRPr="0082272C">
        <w:rPr>
          <w:rStyle w:val="AERbody"/>
        </w:rPr>
        <w:t xml:space="preserve"> to pursue efficiency improvements in </w:t>
      </w:r>
      <w:r>
        <w:rPr>
          <w:rStyle w:val="AERbody"/>
        </w:rPr>
        <w:t>its opex over an access arrangement period</w:t>
      </w:r>
      <w:r w:rsidRPr="0082272C">
        <w:rPr>
          <w:rStyle w:val="AERbody"/>
        </w:rPr>
        <w:t>.</w:t>
      </w:r>
      <w:r>
        <w:rPr>
          <w:rStyle w:val="AERbody"/>
        </w:rPr>
        <w:t xml:space="preserve"> It does this by allowing APA </w:t>
      </w:r>
      <w:r w:rsidRPr="0082272C">
        <w:rPr>
          <w:rStyle w:val="AERbody"/>
        </w:rPr>
        <w:t xml:space="preserve">to retain efficiency savings </w:t>
      </w:r>
      <w:r>
        <w:rPr>
          <w:rStyle w:val="AERbody"/>
        </w:rPr>
        <w:t>achieved within a particular period</w:t>
      </w:r>
      <w:r w:rsidRPr="0082272C">
        <w:rPr>
          <w:rStyle w:val="AERbody"/>
        </w:rPr>
        <w:t xml:space="preserve"> for a longer period of time.</w:t>
      </w:r>
    </w:p>
    <w:p w:rsidR="000F6D0F" w:rsidRDefault="000F6D0F" w:rsidP="000F6D0F">
      <w:r>
        <w:rPr>
          <w:rStyle w:val="AERbody"/>
        </w:rPr>
        <w:t xml:space="preserve">Our draft decision is to </w:t>
      </w:r>
      <w:r w:rsidRPr="0060237E">
        <w:rPr>
          <w:rStyle w:val="AERbody"/>
        </w:rPr>
        <w:t>appro</w:t>
      </w:r>
      <w:r>
        <w:rPr>
          <w:rStyle w:val="AERbody"/>
        </w:rPr>
        <w:t xml:space="preserve">ve a benefit sharing allowance of </w:t>
      </w:r>
      <w:r w:rsidRPr="0060237E">
        <w:rPr>
          <w:rStyle w:val="AERbody"/>
        </w:rPr>
        <w:t>$</w:t>
      </w:r>
      <w:r>
        <w:t>17.1</w:t>
      </w:r>
      <w:r>
        <w:rPr>
          <w:rStyle w:val="AERbody"/>
        </w:rPr>
        <w:t xml:space="preserve"> million ($2017</w:t>
      </w:r>
      <w:r w:rsidRPr="0060237E">
        <w:rPr>
          <w:rStyle w:val="AERbody"/>
        </w:rPr>
        <w:t>) from the app</w:t>
      </w:r>
      <w:r>
        <w:rPr>
          <w:rStyle w:val="AERbody"/>
        </w:rPr>
        <w:t>lication of the opex incentive mechanism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Pr="00883854">
        <w:rPr>
          <w:rStyle w:val="AERbody"/>
        </w:rPr>
        <w:t>This is $</w:t>
      </w:r>
      <w:r>
        <w:rPr>
          <w:rStyle w:val="AERbody"/>
        </w:rPr>
        <w:t>1.5 million ($20</w:t>
      </w:r>
      <w:r w:rsidRPr="00883854">
        <w:rPr>
          <w:rStyle w:val="AERbody"/>
        </w:rPr>
        <w:t xml:space="preserve">17) </w:t>
      </w:r>
      <w:r>
        <w:rPr>
          <w:rStyle w:val="AERbody"/>
        </w:rPr>
        <w:t>less</w:t>
      </w:r>
      <w:r w:rsidRPr="00883854">
        <w:rPr>
          <w:rStyle w:val="AERbody"/>
        </w:rPr>
        <w:t xml:space="preserve"> than </w:t>
      </w:r>
      <w:r>
        <w:rPr>
          <w:rStyle w:val="AERbody"/>
        </w:rPr>
        <w:t xml:space="preserve">APA's </w:t>
      </w:r>
      <w:r w:rsidRPr="00883854">
        <w:rPr>
          <w:rStyle w:val="AERbody"/>
        </w:rPr>
        <w:t>proposal.</w:t>
      </w:r>
      <w:r w:rsidR="007B01C8">
        <w:rPr>
          <w:rStyle w:val="AERbody"/>
        </w:rPr>
        <w:t xml:space="preserve"> </w:t>
      </w:r>
      <w:r w:rsidR="00DB1FEA" w:rsidRPr="007B01C8">
        <w:rPr>
          <w:rStyle w:val="AERbody"/>
        </w:rPr>
        <w:t xml:space="preserve">The primary reason for this difference is we did not </w:t>
      </w:r>
      <w:r w:rsidR="00DB1FEA">
        <w:rPr>
          <w:rStyle w:val="AERbody"/>
        </w:rPr>
        <w:t xml:space="preserve">adopt APA's adjustment to its allowed opex forecast, </w:t>
      </w:r>
      <w:r w:rsidR="00DB1FEA" w:rsidRPr="007B01C8">
        <w:rPr>
          <w:rStyle w:val="AERbody"/>
        </w:rPr>
        <w:t xml:space="preserve">associated with </w:t>
      </w:r>
      <w:r w:rsidR="00DB1FEA">
        <w:rPr>
          <w:rStyle w:val="AERbody"/>
        </w:rPr>
        <w:t xml:space="preserve">un-forecast </w:t>
      </w:r>
      <w:r w:rsidR="00DB1FEA" w:rsidRPr="007B01C8">
        <w:rPr>
          <w:rStyle w:val="AERbody"/>
        </w:rPr>
        <w:t>extensions and expansions</w:t>
      </w:r>
      <w:r w:rsidR="00DB1FEA">
        <w:rPr>
          <w:rStyle w:val="AERbody"/>
        </w:rPr>
        <w:t xml:space="preserve"> it undertook</w:t>
      </w:r>
      <w:r w:rsidR="00DB1FEA" w:rsidRPr="00F71A9F">
        <w:rPr>
          <w:rStyle w:val="AERbody"/>
        </w:rPr>
        <w:t xml:space="preserve"> </w:t>
      </w:r>
      <w:r w:rsidR="00DB1FEA" w:rsidRPr="007B01C8">
        <w:rPr>
          <w:rStyle w:val="AERbody"/>
        </w:rPr>
        <w:t xml:space="preserve">in the </w:t>
      </w:r>
      <w:r w:rsidR="00DB1FEA">
        <w:rPr>
          <w:rStyle w:val="AERbody"/>
        </w:rPr>
        <w:t>current</w:t>
      </w:r>
      <w:r w:rsidR="00DB1FEA" w:rsidRPr="007B01C8">
        <w:rPr>
          <w:rStyle w:val="AERbody"/>
        </w:rPr>
        <w:t xml:space="preserve"> period</w:t>
      </w:r>
      <w:r w:rsidR="00DB1FEA">
        <w:rPr>
          <w:rStyle w:val="AERbody"/>
        </w:rPr>
        <w:t>.</w:t>
      </w:r>
      <w:r w:rsidR="00DB1FEA" w:rsidRPr="007B01C8">
        <w:rPr>
          <w:rStyle w:val="AERbody"/>
        </w:rPr>
        <w:t xml:space="preserve"> The costs</w:t>
      </w:r>
      <w:r w:rsidR="00DB1FEA">
        <w:rPr>
          <w:rStyle w:val="AERbody"/>
        </w:rPr>
        <w:t xml:space="preserve"> it </w:t>
      </w:r>
      <w:r w:rsidR="00DB1FEA" w:rsidRPr="007B01C8">
        <w:rPr>
          <w:rStyle w:val="AERbody"/>
        </w:rPr>
        <w:t>identified were not additional operating and maintenance costs associated with extensions and expansions</w:t>
      </w:r>
      <w:r w:rsidR="00977ECC">
        <w:rPr>
          <w:rStyle w:val="AERbody"/>
        </w:rPr>
        <w:t xml:space="preserve">. APA added </w:t>
      </w:r>
      <w:r w:rsidR="00977ECC" w:rsidRPr="008B3299">
        <w:t xml:space="preserve">allowances for linepack and spare fittings inventories </w:t>
      </w:r>
      <w:r w:rsidR="00977ECC">
        <w:t>instead.</w:t>
      </w:r>
    </w:p>
    <w:p w:rsidR="000F6D0F" w:rsidRPr="00564D35" w:rsidRDefault="000F6D0F" w:rsidP="000F6D0F">
      <w:pPr>
        <w:rPr>
          <w:rStyle w:val="AERbody"/>
        </w:rPr>
      </w:pPr>
      <w:r>
        <w:rPr>
          <w:rStyle w:val="AERbody"/>
        </w:rPr>
        <w:fldChar w:fldCharType="begin"/>
      </w:r>
      <w:r>
        <w:rPr>
          <w:rStyle w:val="AERbody"/>
        </w:rPr>
        <w:instrText xml:space="preserve"> REF _Ref482714274 \h </w:instrText>
      </w:r>
      <w:r>
        <w:rPr>
          <w:rStyle w:val="AERbody"/>
        </w:rPr>
      </w:r>
      <w:r>
        <w:rPr>
          <w:rStyle w:val="AERbody"/>
        </w:rPr>
        <w:fldChar w:fldCharType="separate"/>
      </w:r>
      <w:r w:rsidR="00971C32" w:rsidRPr="00564D35">
        <w:t xml:space="preserve">Table </w:t>
      </w:r>
      <w:r w:rsidR="00971C32">
        <w:rPr>
          <w:noProof/>
        </w:rPr>
        <w:t>5</w:t>
      </w:r>
      <w:r w:rsidR="00971C32">
        <w:noBreakHyphen/>
      </w:r>
      <w:r w:rsidR="00971C32">
        <w:rPr>
          <w:noProof/>
        </w:rPr>
        <w:t>10</w:t>
      </w:r>
      <w:r>
        <w:rPr>
          <w:rStyle w:val="AERbody"/>
        </w:rPr>
        <w:fldChar w:fldCharType="end"/>
      </w:r>
      <w:r>
        <w:rPr>
          <w:rStyle w:val="AERbody"/>
        </w:rPr>
        <w:t xml:space="preserve"> shows our draft decision on </w:t>
      </w:r>
      <w:r w:rsidR="00556BF9">
        <w:rPr>
          <w:rStyle w:val="AERbody"/>
        </w:rPr>
        <w:t>APA's</w:t>
      </w:r>
      <w:r>
        <w:rPr>
          <w:rStyle w:val="AERbody"/>
        </w:rPr>
        <w:t xml:space="preserve"> proposed benefit sharing allowance</w:t>
      </w:r>
      <w:r w:rsidRPr="00564D35">
        <w:rPr>
          <w:rStyle w:val="AERbody"/>
        </w:rPr>
        <w:t>.</w:t>
      </w:r>
    </w:p>
    <w:p w:rsidR="000F6D0F" w:rsidRPr="00564D35" w:rsidRDefault="000F6D0F" w:rsidP="00693B0E">
      <w:pPr>
        <w:pStyle w:val="Tabletitle"/>
        <w:keepNext/>
      </w:pPr>
      <w:bookmarkStart w:id="191" w:name="_Ref482714274"/>
      <w:bookmarkStart w:id="192" w:name="_Ref482714024"/>
      <w:bookmarkStart w:id="193" w:name="_Ref436207458"/>
      <w:r w:rsidRPr="00564D35">
        <w:t xml:space="preserve">Table </w:t>
      </w:r>
      <w:fldSimple w:instr=" STYLEREF 1 \s ">
        <w:r w:rsidR="00971C32">
          <w:rPr>
            <w:noProof/>
          </w:rPr>
          <w:t>5</w:t>
        </w:r>
      </w:fldSimple>
      <w:r w:rsidR="009F6AC3">
        <w:noBreakHyphen/>
      </w:r>
      <w:fldSimple w:instr=" SEQ Table \* ARABIC \s 1 ">
        <w:r w:rsidR="00971C32">
          <w:rPr>
            <w:noProof/>
          </w:rPr>
          <w:t>10</w:t>
        </w:r>
      </w:fldSimple>
      <w:bookmarkEnd w:id="191"/>
      <w:r w:rsidRPr="00564D35">
        <w:t xml:space="preserve"> AER’s draft decision on APA's </w:t>
      </w:r>
      <w:r>
        <w:t xml:space="preserve">benefit sharing allowance </w:t>
      </w:r>
      <w:r>
        <w:br/>
      </w:r>
      <w:r w:rsidRPr="00564D35">
        <w:t>($ million, 2017)</w:t>
      </w:r>
      <w:bookmarkEnd w:id="192"/>
    </w:p>
    <w:bookmarkEnd w:id="193"/>
    <w:tbl>
      <w:tblPr>
        <w:tblStyle w:val="AERtable-numbers"/>
        <w:tblW w:w="0" w:type="auto"/>
        <w:tblLook w:val="04A0" w:firstRow="1" w:lastRow="0" w:firstColumn="1" w:lastColumn="0" w:noHBand="0" w:noVBand="1"/>
      </w:tblPr>
      <w:tblGrid>
        <w:gridCol w:w="3329"/>
        <w:gridCol w:w="894"/>
        <w:gridCol w:w="894"/>
        <w:gridCol w:w="894"/>
        <w:gridCol w:w="894"/>
        <w:gridCol w:w="894"/>
        <w:gridCol w:w="894"/>
      </w:tblGrid>
      <w:tr w:rsidR="000F6D0F" w:rsidRPr="00564D35" w:rsidTr="000F6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Pr>
          <w:p w:rsidR="000F6D0F" w:rsidRPr="00564D35" w:rsidRDefault="000F6D0F" w:rsidP="00693B0E">
            <w:pPr>
              <w:keepNext/>
            </w:pP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2018</w:t>
            </w: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2019</w:t>
            </w: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2020</w:t>
            </w: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2021</w:t>
            </w: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2022</w:t>
            </w:r>
          </w:p>
        </w:tc>
        <w:tc>
          <w:tcPr>
            <w:tcW w:w="894" w:type="dxa"/>
          </w:tcPr>
          <w:p w:rsidR="000F6D0F" w:rsidRPr="000F6D0F" w:rsidRDefault="000F6D0F" w:rsidP="00693B0E">
            <w:pPr>
              <w:keepNext/>
              <w:cnfStyle w:val="100000000000" w:firstRow="1" w:lastRow="0" w:firstColumn="0" w:lastColumn="0" w:oddVBand="0" w:evenVBand="0" w:oddHBand="0" w:evenHBand="0" w:firstRowFirstColumn="0" w:firstRowLastColumn="0" w:lastRowFirstColumn="0" w:lastRowLastColumn="0"/>
            </w:pPr>
            <w:r w:rsidRPr="00564D35">
              <w:t>Total</w:t>
            </w:r>
          </w:p>
        </w:tc>
      </w:tr>
      <w:tr w:rsidR="000F6D0F" w:rsidRPr="00564D35" w:rsidTr="000F6D0F">
        <w:tc>
          <w:tcPr>
            <w:cnfStyle w:val="001000000000" w:firstRow="0" w:lastRow="0" w:firstColumn="1" w:lastColumn="0" w:oddVBand="0" w:evenVBand="0" w:oddHBand="0" w:evenHBand="0" w:firstRowFirstColumn="0" w:firstRowLastColumn="0" w:lastRowFirstColumn="0" w:lastRowLastColumn="0"/>
            <w:tcW w:w="3329" w:type="dxa"/>
          </w:tcPr>
          <w:p w:rsidR="000F6D0F" w:rsidRPr="000F6D0F" w:rsidRDefault="000F6D0F" w:rsidP="00693B0E">
            <w:pPr>
              <w:keepNext/>
            </w:pPr>
            <w:r w:rsidRPr="00564D35">
              <w:t>APA's</w:t>
            </w:r>
            <w:r w:rsidRPr="000F6D0F">
              <w:t xml:space="preserve"> proposed benefit sharing allowance</w:t>
            </w:r>
          </w:p>
        </w:tc>
        <w:tc>
          <w:tcPr>
            <w:tcW w:w="894" w:type="dxa"/>
            <w:vAlign w:val="top"/>
          </w:tcPr>
          <w:p w:rsidR="000F6D0F" w:rsidRPr="000F6D0F" w:rsidRDefault="000F6D0F" w:rsidP="00693B0E">
            <w:pPr>
              <w:keepNext/>
              <w:cnfStyle w:val="000000000000" w:firstRow="0" w:lastRow="0" w:firstColumn="0" w:lastColumn="0" w:oddVBand="0" w:evenVBand="0" w:oddHBand="0" w:evenHBand="0" w:firstRowFirstColumn="0" w:firstRowLastColumn="0" w:lastRowFirstColumn="0" w:lastRowLastColumn="0"/>
            </w:pPr>
            <w:r w:rsidRPr="00564D35">
              <w:t xml:space="preserve">8.4 </w:t>
            </w:r>
          </w:p>
        </w:tc>
        <w:tc>
          <w:tcPr>
            <w:tcW w:w="894" w:type="dxa"/>
            <w:vAlign w:val="top"/>
          </w:tcPr>
          <w:p w:rsidR="000F6D0F" w:rsidRPr="000F6D0F" w:rsidRDefault="000F6D0F" w:rsidP="00693B0E">
            <w:pPr>
              <w:keepNext/>
              <w:cnfStyle w:val="000000000000" w:firstRow="0" w:lastRow="0" w:firstColumn="0" w:lastColumn="0" w:oddVBand="0" w:evenVBand="0" w:oddHBand="0" w:evenHBand="0" w:firstRowFirstColumn="0" w:firstRowLastColumn="0" w:lastRowFirstColumn="0" w:lastRowLastColumn="0"/>
            </w:pPr>
            <w:r w:rsidRPr="00564D35">
              <w:t xml:space="preserve">4.6 </w:t>
            </w:r>
          </w:p>
        </w:tc>
        <w:tc>
          <w:tcPr>
            <w:tcW w:w="894" w:type="dxa"/>
            <w:vAlign w:val="top"/>
          </w:tcPr>
          <w:p w:rsidR="000F6D0F" w:rsidRPr="000F6D0F" w:rsidRDefault="000F6D0F" w:rsidP="00693B0E">
            <w:pPr>
              <w:keepNext/>
              <w:cnfStyle w:val="000000000000" w:firstRow="0" w:lastRow="0" w:firstColumn="0" w:lastColumn="0" w:oddVBand="0" w:evenVBand="0" w:oddHBand="0" w:evenHBand="0" w:firstRowFirstColumn="0" w:firstRowLastColumn="0" w:lastRowFirstColumn="0" w:lastRowLastColumn="0"/>
            </w:pPr>
            <w:r w:rsidRPr="00564D35">
              <w:t xml:space="preserve">3.5 </w:t>
            </w:r>
          </w:p>
        </w:tc>
        <w:tc>
          <w:tcPr>
            <w:tcW w:w="894" w:type="dxa"/>
            <w:vAlign w:val="top"/>
          </w:tcPr>
          <w:p w:rsidR="000F6D0F" w:rsidRPr="000F6D0F" w:rsidRDefault="000F6D0F" w:rsidP="00693B0E">
            <w:pPr>
              <w:keepNext/>
              <w:cnfStyle w:val="000000000000" w:firstRow="0" w:lastRow="0" w:firstColumn="0" w:lastColumn="0" w:oddVBand="0" w:evenVBand="0" w:oddHBand="0" w:evenHBand="0" w:firstRowFirstColumn="0" w:firstRowLastColumn="0" w:lastRowFirstColumn="0" w:lastRowLastColumn="0"/>
            </w:pPr>
            <w:r w:rsidRPr="00564D35">
              <w:t xml:space="preserve">2.1 </w:t>
            </w:r>
          </w:p>
        </w:tc>
        <w:tc>
          <w:tcPr>
            <w:tcW w:w="894" w:type="dxa"/>
            <w:vAlign w:val="top"/>
          </w:tcPr>
          <w:p w:rsidR="000F6D0F" w:rsidRPr="000F6D0F" w:rsidRDefault="00556BF9" w:rsidP="00693B0E">
            <w:pPr>
              <w:keepNext/>
              <w:cnfStyle w:val="000000000000" w:firstRow="0" w:lastRow="0" w:firstColumn="0" w:lastColumn="0" w:oddVBand="0" w:evenVBand="0" w:oddHBand="0" w:evenHBand="0" w:firstRowFirstColumn="0" w:firstRowLastColumn="0" w:lastRowFirstColumn="0" w:lastRowLastColumn="0"/>
            </w:pPr>
            <w:r>
              <w:t>–</w:t>
            </w:r>
            <w:r w:rsidR="000F6D0F" w:rsidRPr="00564D35">
              <w:t xml:space="preserve"> </w:t>
            </w:r>
          </w:p>
        </w:tc>
        <w:tc>
          <w:tcPr>
            <w:tcW w:w="894" w:type="dxa"/>
            <w:vAlign w:val="top"/>
          </w:tcPr>
          <w:p w:rsidR="000F6D0F" w:rsidRPr="000F6D0F" w:rsidRDefault="000F6D0F" w:rsidP="00693B0E">
            <w:pPr>
              <w:keepNext/>
              <w:cnfStyle w:val="000000000000" w:firstRow="0" w:lastRow="0" w:firstColumn="0" w:lastColumn="0" w:oddVBand="0" w:evenVBand="0" w:oddHBand="0" w:evenHBand="0" w:firstRowFirstColumn="0" w:firstRowLastColumn="0" w:lastRowFirstColumn="0" w:lastRowLastColumn="0"/>
            </w:pPr>
            <w:r w:rsidRPr="00564D35">
              <w:t xml:space="preserve">18.6 </w:t>
            </w:r>
          </w:p>
        </w:tc>
      </w:tr>
      <w:tr w:rsidR="000F6D0F" w:rsidRPr="00564D35" w:rsidTr="000F6D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Pr>
          <w:p w:rsidR="000F6D0F" w:rsidRPr="000F6D0F" w:rsidRDefault="000F6D0F" w:rsidP="00693B0E">
            <w:pPr>
              <w:keepNext/>
            </w:pPr>
            <w:r w:rsidRPr="00564D35">
              <w:t>Draft decision</w:t>
            </w:r>
          </w:p>
        </w:tc>
        <w:tc>
          <w:tcPr>
            <w:tcW w:w="894" w:type="dxa"/>
            <w:vAlign w:val="top"/>
          </w:tcPr>
          <w:p w:rsidR="000F6D0F" w:rsidRPr="000F6D0F" w:rsidRDefault="000F6D0F" w:rsidP="00693B0E">
            <w:pPr>
              <w:keepNext/>
              <w:cnfStyle w:val="000000010000" w:firstRow="0" w:lastRow="0" w:firstColumn="0" w:lastColumn="0" w:oddVBand="0" w:evenVBand="0" w:oddHBand="0" w:evenHBand="1" w:firstRowFirstColumn="0" w:firstRowLastColumn="0" w:lastRowFirstColumn="0" w:lastRowLastColumn="0"/>
            </w:pPr>
            <w:r>
              <w:t>6.9</w:t>
            </w:r>
            <w:r w:rsidRPr="000F6D0F">
              <w:t xml:space="preserve"> </w:t>
            </w:r>
          </w:p>
        </w:tc>
        <w:tc>
          <w:tcPr>
            <w:tcW w:w="894" w:type="dxa"/>
            <w:vAlign w:val="top"/>
          </w:tcPr>
          <w:p w:rsidR="000F6D0F" w:rsidRPr="000F6D0F" w:rsidRDefault="000F6D0F" w:rsidP="00693B0E">
            <w:pPr>
              <w:keepNext/>
              <w:cnfStyle w:val="000000010000" w:firstRow="0" w:lastRow="0" w:firstColumn="0" w:lastColumn="0" w:oddVBand="0" w:evenVBand="0" w:oddHBand="0" w:evenHBand="1" w:firstRowFirstColumn="0" w:firstRowLastColumn="0" w:lastRowFirstColumn="0" w:lastRowLastColumn="0"/>
            </w:pPr>
            <w:r>
              <w:t>4.5</w:t>
            </w:r>
            <w:r w:rsidRPr="000F6D0F">
              <w:t xml:space="preserve"> </w:t>
            </w:r>
          </w:p>
        </w:tc>
        <w:tc>
          <w:tcPr>
            <w:tcW w:w="894" w:type="dxa"/>
            <w:vAlign w:val="top"/>
          </w:tcPr>
          <w:p w:rsidR="000F6D0F" w:rsidRPr="000F6D0F" w:rsidRDefault="000F6D0F" w:rsidP="00693B0E">
            <w:pPr>
              <w:keepNext/>
              <w:cnfStyle w:val="000000010000" w:firstRow="0" w:lastRow="0" w:firstColumn="0" w:lastColumn="0" w:oddVBand="0" w:evenVBand="0" w:oddHBand="0" w:evenHBand="1" w:firstRowFirstColumn="0" w:firstRowLastColumn="0" w:lastRowFirstColumn="0" w:lastRowLastColumn="0"/>
            </w:pPr>
            <w:r w:rsidRPr="00564D35">
              <w:t xml:space="preserve">3.6 </w:t>
            </w:r>
          </w:p>
        </w:tc>
        <w:tc>
          <w:tcPr>
            <w:tcW w:w="894" w:type="dxa"/>
            <w:vAlign w:val="top"/>
          </w:tcPr>
          <w:p w:rsidR="000F6D0F" w:rsidRPr="000F6D0F" w:rsidRDefault="000F6D0F" w:rsidP="00693B0E">
            <w:pPr>
              <w:keepNext/>
              <w:cnfStyle w:val="000000010000" w:firstRow="0" w:lastRow="0" w:firstColumn="0" w:lastColumn="0" w:oddVBand="0" w:evenVBand="0" w:oddHBand="0" w:evenHBand="1" w:firstRowFirstColumn="0" w:firstRowLastColumn="0" w:lastRowFirstColumn="0" w:lastRowLastColumn="0"/>
            </w:pPr>
            <w:r w:rsidRPr="00564D35">
              <w:t xml:space="preserve">2.1 </w:t>
            </w:r>
          </w:p>
        </w:tc>
        <w:tc>
          <w:tcPr>
            <w:tcW w:w="894" w:type="dxa"/>
            <w:vAlign w:val="top"/>
          </w:tcPr>
          <w:p w:rsidR="000F6D0F" w:rsidRPr="000F6D0F" w:rsidRDefault="00556BF9" w:rsidP="00693B0E">
            <w:pPr>
              <w:keepNext/>
              <w:cnfStyle w:val="000000010000" w:firstRow="0" w:lastRow="0" w:firstColumn="0" w:lastColumn="0" w:oddVBand="0" w:evenVBand="0" w:oddHBand="0" w:evenHBand="1" w:firstRowFirstColumn="0" w:firstRowLastColumn="0" w:lastRowFirstColumn="0" w:lastRowLastColumn="0"/>
            </w:pPr>
            <w:r>
              <w:t>–</w:t>
            </w:r>
            <w:r w:rsidR="000F6D0F" w:rsidRPr="00564D35">
              <w:t xml:space="preserve"> </w:t>
            </w:r>
          </w:p>
        </w:tc>
        <w:tc>
          <w:tcPr>
            <w:tcW w:w="894" w:type="dxa"/>
            <w:vAlign w:val="top"/>
          </w:tcPr>
          <w:p w:rsidR="000F6D0F" w:rsidRPr="000F6D0F" w:rsidRDefault="000F6D0F" w:rsidP="00693B0E">
            <w:pPr>
              <w:keepNext/>
              <w:cnfStyle w:val="000000010000" w:firstRow="0" w:lastRow="0" w:firstColumn="0" w:lastColumn="0" w:oddVBand="0" w:evenVBand="0" w:oddHBand="0" w:evenHBand="1" w:firstRowFirstColumn="0" w:firstRowLastColumn="0" w:lastRowFirstColumn="0" w:lastRowLastColumn="0"/>
            </w:pPr>
            <w:r w:rsidRPr="00564D35">
              <w:t>17.</w:t>
            </w:r>
            <w:r w:rsidRPr="000F6D0F">
              <w:t xml:space="preserve">1 </w:t>
            </w:r>
          </w:p>
        </w:tc>
      </w:tr>
      <w:tr w:rsidR="001F0259" w:rsidRPr="00564D35" w:rsidTr="000F6D0F">
        <w:tc>
          <w:tcPr>
            <w:cnfStyle w:val="001000000000" w:firstRow="0" w:lastRow="0" w:firstColumn="1" w:lastColumn="0" w:oddVBand="0" w:evenVBand="0" w:oddHBand="0" w:evenHBand="0" w:firstRowFirstColumn="0" w:firstRowLastColumn="0" w:lastRowFirstColumn="0" w:lastRowLastColumn="0"/>
            <w:tcW w:w="3329" w:type="dxa"/>
          </w:tcPr>
          <w:p w:rsidR="001F0259" w:rsidRPr="001F0259" w:rsidRDefault="001F0259" w:rsidP="00693B0E">
            <w:pPr>
              <w:keepNext/>
              <w:rPr>
                <w:rStyle w:val="Strong"/>
              </w:rPr>
            </w:pPr>
            <w:r w:rsidRPr="00F71751">
              <w:rPr>
                <w:rStyle w:val="Strong"/>
              </w:rPr>
              <w:t>Difference</w:t>
            </w:r>
          </w:p>
        </w:tc>
        <w:tc>
          <w:tcPr>
            <w:tcW w:w="894" w:type="dxa"/>
            <w:vAlign w:val="top"/>
          </w:tcPr>
          <w:p w:rsidR="001F0259" w:rsidRPr="001F0259" w:rsidRDefault="001F0259" w:rsidP="00693B0E">
            <w:pPr>
              <w:keepNext/>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–1.5</w:t>
            </w:r>
          </w:p>
        </w:tc>
        <w:tc>
          <w:tcPr>
            <w:tcW w:w="894" w:type="dxa"/>
            <w:vAlign w:val="top"/>
          </w:tcPr>
          <w:p w:rsidR="001F0259" w:rsidRPr="001F0259" w:rsidRDefault="001F0259" w:rsidP="00693B0E">
            <w:pPr>
              <w:keepNext/>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–0.1</w:t>
            </w:r>
          </w:p>
        </w:tc>
        <w:tc>
          <w:tcPr>
            <w:tcW w:w="894" w:type="dxa"/>
            <w:vAlign w:val="top"/>
          </w:tcPr>
          <w:p w:rsidR="001F0259" w:rsidRPr="001F0259" w:rsidRDefault="001F0259" w:rsidP="00693B0E">
            <w:pPr>
              <w:keepNext/>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0.1</w:t>
            </w:r>
          </w:p>
        </w:tc>
        <w:tc>
          <w:tcPr>
            <w:tcW w:w="894" w:type="dxa"/>
            <w:vAlign w:val="top"/>
          </w:tcPr>
          <w:p w:rsidR="001F0259" w:rsidRPr="001F0259" w:rsidRDefault="001F0259" w:rsidP="00693B0E">
            <w:pPr>
              <w:keepNext/>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0.0</w:t>
            </w:r>
          </w:p>
        </w:tc>
        <w:tc>
          <w:tcPr>
            <w:tcW w:w="894" w:type="dxa"/>
            <w:vAlign w:val="top"/>
          </w:tcPr>
          <w:p w:rsidR="001F0259" w:rsidRPr="001F0259" w:rsidRDefault="00556BF9" w:rsidP="00693B0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p>
        </w:tc>
        <w:tc>
          <w:tcPr>
            <w:tcW w:w="894" w:type="dxa"/>
            <w:vAlign w:val="top"/>
          </w:tcPr>
          <w:p w:rsidR="001F0259" w:rsidRPr="001F0259" w:rsidRDefault="001F0259" w:rsidP="00693B0E">
            <w:pPr>
              <w:keepNext/>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–1.5</w:t>
            </w:r>
          </w:p>
        </w:tc>
      </w:tr>
    </w:tbl>
    <w:p w:rsidR="000F6D0F" w:rsidRPr="00564D35" w:rsidRDefault="000F6D0F" w:rsidP="00693B0E">
      <w:pPr>
        <w:pStyle w:val="Source"/>
        <w:keepNext/>
      </w:pPr>
      <w:r>
        <w:t>Source:</w:t>
      </w:r>
      <w:r>
        <w:tab/>
      </w:r>
      <w:r w:rsidR="00A37EC9">
        <w:t>APA</w:t>
      </w:r>
      <w:r w:rsidR="00DE1AA9">
        <w:t>,</w:t>
      </w:r>
      <w:r w:rsidR="00DE1AA9" w:rsidRPr="00DE1AA9">
        <w:t xml:space="preserve"> </w:t>
      </w:r>
      <w:r w:rsidR="00DE1AA9" w:rsidRPr="00556BF9">
        <w:rPr>
          <w:rStyle w:val="AERtextitalic"/>
        </w:rPr>
        <w:t>VTS Revision Proposal submission</w:t>
      </w:r>
      <w:r w:rsidR="00DE1AA9">
        <w:t>,</w:t>
      </w:r>
      <w:r w:rsidR="00DE1AA9" w:rsidRPr="00DE1AA9">
        <w:t xml:space="preserve"> 20170103 - Public</w:t>
      </w:r>
      <w:r w:rsidRPr="00564D35">
        <w:t>, p. 208; AER analysis.</w:t>
      </w:r>
    </w:p>
    <w:p w:rsidR="000F6D0F" w:rsidRPr="00564D35" w:rsidRDefault="000F6D0F" w:rsidP="00693B0E">
      <w:pPr>
        <w:pStyle w:val="Source"/>
        <w:keepNext/>
      </w:pPr>
      <w:r w:rsidRPr="00564D35">
        <w:t xml:space="preserve">Note: </w:t>
      </w:r>
      <w:r w:rsidR="00105AB2">
        <w:tab/>
      </w:r>
      <w:r w:rsidRPr="00564D35">
        <w:t>Numbers may not add up due to rounding.</w:t>
      </w:r>
    </w:p>
    <w:p w:rsidR="0086448A" w:rsidRPr="0086448A" w:rsidRDefault="001C080C" w:rsidP="0086448A">
      <w:pPr>
        <w:rPr>
          <w:lang w:eastAsia="en-AU"/>
        </w:rPr>
      </w:pPr>
      <w:r>
        <w:t>We accept AP</w:t>
      </w:r>
      <w:r w:rsidRPr="001C080C">
        <w:t>A’s proposal to retain an opex incentive mechanism for the 2018–22 access arrangement period.</w:t>
      </w:r>
      <w:r>
        <w:t xml:space="preserve"> However, f</w:t>
      </w:r>
      <w:r w:rsidR="00B90FD2">
        <w:t xml:space="preserve">or the </w:t>
      </w:r>
      <w:r w:rsidR="001F0259">
        <w:t>2018–22 access arrangement period</w:t>
      </w:r>
      <w:r w:rsidR="00B90FD2">
        <w:t xml:space="preserve"> w</w:t>
      </w:r>
      <w:r w:rsidR="0086448A" w:rsidRPr="0086448A">
        <w:t>e have amended APA’s proposed opex incentive mecha</w:t>
      </w:r>
      <w:r w:rsidR="0086448A">
        <w:t xml:space="preserve">nism to reflect </w:t>
      </w:r>
      <w:r w:rsidR="00556BF9">
        <w:t>improvements included in</w:t>
      </w:r>
      <w:r w:rsidR="0086448A" w:rsidRPr="0086448A">
        <w:t xml:space="preserve"> the efficiency benefit sharing scheme (EBSS) we released in November 2013 for electricity service providers.</w:t>
      </w:r>
      <w:r w:rsidR="0086448A" w:rsidRPr="0086448A">
        <w:rPr>
          <w:rStyle w:val="FootnoteReference"/>
        </w:rPr>
        <w:footnoteReference w:id="66"/>
      </w:r>
      <w:r w:rsidR="0086448A" w:rsidRPr="0086448A">
        <w:t xml:space="preserve"> </w:t>
      </w:r>
      <w:r w:rsidR="002A7D43" w:rsidRPr="002A7D43">
        <w:t xml:space="preserve">Importantly, the amendments give APA more flexibility in the choice of base year it uses to forecast opex in the following period. </w:t>
      </w:r>
    </w:p>
    <w:p w:rsidR="007F3EA2" w:rsidRDefault="00263D9B" w:rsidP="007F3EA2">
      <w:r>
        <w:t>Further d</w:t>
      </w:r>
      <w:r w:rsidR="000F6D0F">
        <w:rPr>
          <w:rStyle w:val="AERbody"/>
        </w:rPr>
        <w:t xml:space="preserve">etail on our draft decision on APA's </w:t>
      </w:r>
      <w:r w:rsidR="000F6D0F">
        <w:t>opex incentive mechanism</w:t>
      </w:r>
      <w:r w:rsidR="000F6D0F">
        <w:rPr>
          <w:rStyle w:val="AERbody"/>
        </w:rPr>
        <w:t xml:space="preserve"> is set out in attachment 9.</w:t>
      </w:r>
    </w:p>
    <w:p w:rsidR="009214D9" w:rsidRDefault="009214D9" w:rsidP="009214D9">
      <w:pPr>
        <w:pStyle w:val="Heading2"/>
      </w:pPr>
      <w:bookmarkStart w:id="194" w:name="_Toc430002796"/>
      <w:bookmarkStart w:id="195" w:name="_Toc436046187"/>
      <w:bookmarkStart w:id="196" w:name="_Toc444855395"/>
      <w:bookmarkStart w:id="197" w:name="_Toc487018285"/>
      <w:r>
        <w:t>Corporate income tax</w:t>
      </w:r>
      <w:bookmarkEnd w:id="194"/>
      <w:bookmarkEnd w:id="195"/>
      <w:bookmarkEnd w:id="196"/>
      <w:bookmarkEnd w:id="197"/>
    </w:p>
    <w:p w:rsidR="00B90BFA" w:rsidRPr="00132D43" w:rsidRDefault="00B90BFA" w:rsidP="00B90BFA">
      <w:r w:rsidRPr="00FD50DB">
        <w:t xml:space="preserve">When determining the total revenue for </w:t>
      </w:r>
      <w:r>
        <w:t>APA</w:t>
      </w:r>
      <w:r w:rsidRPr="00FD50DB">
        <w:t xml:space="preserve">, we </w:t>
      </w:r>
      <w:r>
        <w:t>include an</w:t>
      </w:r>
      <w:r w:rsidRPr="00FD50DB">
        <w:t xml:space="preserve"> estimate </w:t>
      </w:r>
      <w:r>
        <w:t>of APA</w:t>
      </w:r>
      <w:r w:rsidRPr="00FD50DB">
        <w:t>’s cost of corporate income tax.</w:t>
      </w:r>
      <w:r w:rsidRPr="00FD50DB">
        <w:rPr>
          <w:rStyle w:val="FootnoteReference"/>
        </w:rPr>
        <w:footnoteReference w:id="67"/>
      </w:r>
      <w:r w:rsidRPr="00FD50DB">
        <w:t xml:space="preserve"> </w:t>
      </w:r>
      <w:r>
        <w:t>APA</w:t>
      </w:r>
      <w:r w:rsidRPr="00FD50DB">
        <w:t xml:space="preserve"> has adopted the post-tax framework to derive its revenue requirement for the </w:t>
      </w:r>
      <w:r>
        <w:t>2018–22</w:t>
      </w:r>
      <w:r w:rsidRPr="00FD50DB">
        <w:t xml:space="preserve"> access arrangement </w:t>
      </w:r>
      <w:proofErr w:type="gramStart"/>
      <w:r w:rsidRPr="00FD50DB">
        <w:t>period</w:t>
      </w:r>
      <w:proofErr w:type="gramEnd"/>
      <w:r w:rsidRPr="00FD50DB">
        <w:t>.</w:t>
      </w:r>
      <w:r w:rsidRPr="00FD50DB">
        <w:rPr>
          <w:rStyle w:val="FootnoteReference"/>
        </w:rPr>
        <w:footnoteReference w:id="68"/>
      </w:r>
      <w:r w:rsidRPr="00FD50DB">
        <w:t xml:space="preserve"> Under the post-tax framework, a separate corporate income tax allowance is calculated as part of the building blocks assessment.</w:t>
      </w:r>
    </w:p>
    <w:p w:rsidR="00B90BFA" w:rsidRDefault="00B90BFA" w:rsidP="009214D9">
      <w:r>
        <w:t>We accept APA’</w:t>
      </w:r>
      <w:r w:rsidR="005A1BFE">
        <w:t>s proposed approach to calculating</w:t>
      </w:r>
      <w:r>
        <w:t xml:space="preserve"> its forecast corporate income tax allowance. </w:t>
      </w:r>
      <w:r w:rsidR="006656B5">
        <w:t>APA</w:t>
      </w:r>
      <w:r>
        <w:t xml:space="preserve">'s proposed </w:t>
      </w:r>
      <w:r w:rsidR="005A1BFE">
        <w:t>approach is consistent with our</w:t>
      </w:r>
      <w:r>
        <w:t xml:space="preserve"> post-tax revenue model (PTRM) for electricity service providers and the approach previously approved in gas access arrangement decisions. However, w</w:t>
      </w:r>
      <w:r w:rsidRPr="00FD50DB">
        <w:t xml:space="preserve">e do not approve </w:t>
      </w:r>
      <w:r w:rsidR="006656B5">
        <w:t>APA</w:t>
      </w:r>
      <w:r w:rsidRPr="00FD50DB">
        <w:t>’s proposed corporate income tax allowance of $</w:t>
      </w:r>
      <w:r w:rsidRPr="00107134">
        <w:t>2</w:t>
      </w:r>
      <w:r w:rsidR="00DB1243">
        <w:t>2</w:t>
      </w:r>
      <w:r w:rsidRPr="00107134">
        <w:t>.</w:t>
      </w:r>
      <w:r w:rsidR="00DB1243">
        <w:t>9</w:t>
      </w:r>
      <w:r>
        <w:t xml:space="preserve"> </w:t>
      </w:r>
      <w:r w:rsidRPr="00FD50DB">
        <w:t>million ($</w:t>
      </w:r>
      <w:r w:rsidR="008753A6">
        <w:t> </w:t>
      </w:r>
      <w:r w:rsidRPr="00FD50DB">
        <w:t xml:space="preserve">nominal) for the </w:t>
      </w:r>
      <w:r>
        <w:rPr>
          <w:rStyle w:val="AERbody"/>
        </w:rPr>
        <w:t>2018–22</w:t>
      </w:r>
      <w:r w:rsidRPr="00FD50DB">
        <w:rPr>
          <w:rStyle w:val="AERbody"/>
        </w:rPr>
        <w:t xml:space="preserve"> </w:t>
      </w:r>
      <w:r w:rsidRPr="00FD50DB">
        <w:t xml:space="preserve">access arrangement period. </w:t>
      </w:r>
      <w:r>
        <w:t>Our</w:t>
      </w:r>
      <w:r w:rsidRPr="009C2602">
        <w:t xml:space="preserve"> draft decision on </w:t>
      </w:r>
      <w:r w:rsidR="005A1BFE">
        <w:t>APA</w:t>
      </w:r>
      <w:r>
        <w:t>’s</w:t>
      </w:r>
      <w:r w:rsidRPr="009C2602">
        <w:t xml:space="preserve"> </w:t>
      </w:r>
      <w:r>
        <w:t>corporate income tax</w:t>
      </w:r>
      <w:r w:rsidRPr="009C2602">
        <w:t xml:space="preserve"> allowance over the </w:t>
      </w:r>
      <w:r>
        <w:rPr>
          <w:rStyle w:val="AERbody"/>
        </w:rPr>
        <w:t>2018</w:t>
      </w:r>
      <w:r w:rsidRPr="00B077E0">
        <w:rPr>
          <w:rStyle w:val="AERbody"/>
        </w:rPr>
        <w:t>–</w:t>
      </w:r>
      <w:r>
        <w:rPr>
          <w:rStyle w:val="AERbody"/>
        </w:rPr>
        <w:t>22</w:t>
      </w:r>
      <w:r w:rsidRPr="00B077E0">
        <w:rPr>
          <w:rStyle w:val="AERbody"/>
        </w:rPr>
        <w:t xml:space="preserve"> </w:t>
      </w:r>
      <w:r w:rsidRPr="009C2602">
        <w:t>access arrangement period is $</w:t>
      </w:r>
      <w:r w:rsidR="00624EE7">
        <w:t>6.5</w:t>
      </w:r>
      <w:r>
        <w:t xml:space="preserve"> million ($</w:t>
      </w:r>
      <w:r w:rsidR="008753A6">
        <w:t> </w:t>
      </w:r>
      <w:r>
        <w:t xml:space="preserve">nominal). </w:t>
      </w:r>
      <w:r w:rsidRPr="009C2602">
        <w:t>This represents a reduction of $</w:t>
      </w:r>
      <w:r w:rsidR="00DB1243">
        <w:t>1</w:t>
      </w:r>
      <w:r w:rsidR="00624EE7">
        <w:t>6.3</w:t>
      </w:r>
      <w:r w:rsidRPr="009C2602">
        <w:t xml:space="preserve"> million (</w:t>
      </w:r>
      <w:r>
        <w:t>$</w:t>
      </w:r>
      <w:r w:rsidR="008753A6">
        <w:t> </w:t>
      </w:r>
      <w:r w:rsidRPr="009C2602">
        <w:t xml:space="preserve">nominal) or </w:t>
      </w:r>
      <w:r w:rsidR="00624EE7">
        <w:t>71.4</w:t>
      </w:r>
      <w:r w:rsidRPr="009C2602">
        <w:t xml:space="preserve"> per cent </w:t>
      </w:r>
      <w:r w:rsidR="009F6AC3">
        <w:t>compared to</w:t>
      </w:r>
      <w:r w:rsidR="009F6AC3" w:rsidRPr="009C2602">
        <w:t xml:space="preserve"> </w:t>
      </w:r>
      <w:r w:rsidR="005A1BFE">
        <w:t>APA</w:t>
      </w:r>
      <w:r>
        <w:t>’</w:t>
      </w:r>
      <w:r w:rsidRPr="009C2602">
        <w:t xml:space="preserve">s proposed </w:t>
      </w:r>
      <w:r>
        <w:t>forecast corporate income tax allowance.</w:t>
      </w:r>
    </w:p>
    <w:p w:rsidR="009214D9" w:rsidRDefault="009214D9" w:rsidP="009214D9">
      <w:r>
        <w:t>The reduction reflects our amendments to APA's proposed inputs for forecasting the cost of corporate income tax, including:</w:t>
      </w:r>
    </w:p>
    <w:p w:rsidR="009214D9" w:rsidRPr="008256DE" w:rsidRDefault="009214D9" w:rsidP="00BA4F3B">
      <w:pPr>
        <w:pStyle w:val="AERbulletlistfirststyle"/>
      </w:pPr>
      <w:r>
        <w:t>t</w:t>
      </w:r>
      <w:r w:rsidRPr="008256DE">
        <w:t xml:space="preserve">he opening tax asset base (TAB) (section </w:t>
      </w:r>
      <w:r w:rsidR="00BA4F3B" w:rsidRPr="00BA4F3B">
        <w:t>8.4.1</w:t>
      </w:r>
      <w:r w:rsidR="00BA4F3B">
        <w:t>, attachment 8)</w:t>
      </w:r>
    </w:p>
    <w:p w:rsidR="009214D9" w:rsidRPr="008256DE" w:rsidRDefault="009214D9" w:rsidP="00BA4F3B">
      <w:pPr>
        <w:pStyle w:val="AERbulletlistfirststyle"/>
      </w:pPr>
      <w:r>
        <w:t>r</w:t>
      </w:r>
      <w:r w:rsidRPr="008256DE">
        <w:t>emaining tax asset lives (section</w:t>
      </w:r>
      <w:r w:rsidR="00BA4F3B">
        <w:t xml:space="preserve"> </w:t>
      </w:r>
      <w:r w:rsidR="00BA4F3B" w:rsidRPr="00BA4F3B">
        <w:t>8.4.3</w:t>
      </w:r>
      <w:r w:rsidR="00BA4F3B">
        <w:t>, attachment 8</w:t>
      </w:r>
      <w:r w:rsidRPr="008256DE">
        <w:t>)</w:t>
      </w:r>
    </w:p>
    <w:p w:rsidR="009214D9" w:rsidRPr="008256DE" w:rsidRDefault="009214D9" w:rsidP="009214D9">
      <w:pPr>
        <w:pStyle w:val="AERbulletlistfirststyle"/>
      </w:pPr>
      <w:proofErr w:type="gramStart"/>
      <w:r>
        <w:t>t</w:t>
      </w:r>
      <w:r w:rsidRPr="008256DE">
        <w:t>he</w:t>
      </w:r>
      <w:proofErr w:type="gramEnd"/>
      <w:r w:rsidRPr="008256DE">
        <w:t xml:space="preserve"> value of imputation credits (gamma) (attachment 4).</w:t>
      </w:r>
    </w:p>
    <w:p w:rsidR="009214D9" w:rsidRDefault="009214D9" w:rsidP="009214D9">
      <w:pPr>
        <w:rPr>
          <w:rStyle w:val="AERbody"/>
        </w:rPr>
      </w:pPr>
      <w:r>
        <w:t xml:space="preserve">Our </w:t>
      </w:r>
      <w:proofErr w:type="gramStart"/>
      <w:r>
        <w:t>adjustments to the</w:t>
      </w:r>
      <w:r>
        <w:rPr>
          <w:rStyle w:val="AERbody"/>
        </w:rPr>
        <w:t xml:space="preserve"> </w:t>
      </w:r>
      <w:r w:rsidR="00836C30">
        <w:rPr>
          <w:rStyle w:val="AERbody"/>
        </w:rPr>
        <w:t xml:space="preserve">following building blocks - </w:t>
      </w:r>
      <w:r>
        <w:rPr>
          <w:rStyle w:val="AERbody"/>
        </w:rPr>
        <w:t xml:space="preserve">return on capital (attachments 2 and 3), regulatory depreciation (attachment 5), forecast capex (attachment 6) and forecast opex (attachment 7) </w:t>
      </w:r>
      <w:r w:rsidR="00836C30">
        <w:rPr>
          <w:rStyle w:val="AERbody"/>
        </w:rPr>
        <w:t>-</w:t>
      </w:r>
      <w:r>
        <w:rPr>
          <w:rStyle w:val="AERbody"/>
        </w:rPr>
        <w:t xml:space="preserve"> affect</w:t>
      </w:r>
      <w:r w:rsidR="00836C30">
        <w:rPr>
          <w:rStyle w:val="AERbody"/>
        </w:rPr>
        <w:t>s</w:t>
      </w:r>
      <w:proofErr w:type="gramEnd"/>
      <w:r>
        <w:rPr>
          <w:rStyle w:val="AERbody"/>
        </w:rPr>
        <w:t xml:space="preserve"> revenues, which in turn impacts the tax calculation</w:t>
      </w:r>
      <w:r w:rsidRPr="00F17F59">
        <w:rPr>
          <w:rStyle w:val="AERbody"/>
        </w:rPr>
        <w:t>.</w:t>
      </w:r>
      <w:r>
        <w:rPr>
          <w:rStyle w:val="FootnoteReference"/>
        </w:rPr>
        <w:footnoteReference w:id="69"/>
      </w:r>
      <w:r>
        <w:rPr>
          <w:rStyle w:val="AERbody"/>
        </w:rPr>
        <w:t xml:space="preserve"> </w:t>
      </w:r>
    </w:p>
    <w:p w:rsidR="00B90BFA" w:rsidRDefault="00B90BFA" w:rsidP="009214D9">
      <w:pPr>
        <w:rPr>
          <w:rStyle w:val="AERbody"/>
        </w:rPr>
      </w:pPr>
      <w:r>
        <w:rPr>
          <w:rStyle w:val="AERbody"/>
        </w:rPr>
        <w:t>We do not approve the proposed opening TAB of $5</w:t>
      </w:r>
      <w:r w:rsidR="00DB1243">
        <w:rPr>
          <w:rStyle w:val="AERbody"/>
        </w:rPr>
        <w:t>43</w:t>
      </w:r>
      <w:r>
        <w:rPr>
          <w:rStyle w:val="AERbody"/>
        </w:rPr>
        <w:t>.</w:t>
      </w:r>
      <w:r w:rsidR="00DB1243">
        <w:rPr>
          <w:rStyle w:val="AERbody"/>
        </w:rPr>
        <w:t>2</w:t>
      </w:r>
      <w:r>
        <w:rPr>
          <w:rStyle w:val="AERbody"/>
        </w:rPr>
        <w:t xml:space="preserve"> million ($</w:t>
      </w:r>
      <w:r w:rsidR="008753A6">
        <w:rPr>
          <w:rStyle w:val="AERbody"/>
        </w:rPr>
        <w:t> </w:t>
      </w:r>
      <w:r>
        <w:rPr>
          <w:rStyle w:val="AERbody"/>
        </w:rPr>
        <w:t>nominal) as at 1 January 2018. We instead determined an opening TAB of $</w:t>
      </w:r>
      <w:r w:rsidR="00624EE7">
        <w:rPr>
          <w:rStyle w:val="AERbody"/>
        </w:rPr>
        <w:t>512.7</w:t>
      </w:r>
      <w:r>
        <w:rPr>
          <w:rStyle w:val="AERbody"/>
        </w:rPr>
        <w:t xml:space="preserve"> million ($</w:t>
      </w:r>
      <w:r w:rsidR="008753A6">
        <w:rPr>
          <w:rStyle w:val="AERbody"/>
        </w:rPr>
        <w:t> </w:t>
      </w:r>
      <w:r>
        <w:rPr>
          <w:rStyle w:val="AERbody"/>
        </w:rPr>
        <w:t>nominal). This is b</w:t>
      </w:r>
      <w:r w:rsidR="005A1BFE">
        <w:rPr>
          <w:rStyle w:val="AERbody"/>
        </w:rPr>
        <w:t>ecause we do not approve APA</w:t>
      </w:r>
      <w:r>
        <w:rPr>
          <w:rStyle w:val="AERbody"/>
        </w:rPr>
        <w:t>’s proposal to use '</w:t>
      </w:r>
      <w:r w:rsidRPr="00071A5F">
        <w:rPr>
          <w:rStyle w:val="AERbody"/>
        </w:rPr>
        <w:t>as</w:t>
      </w:r>
      <w:r>
        <w:rPr>
          <w:rStyle w:val="AERbody"/>
        </w:rPr>
        <w:t>-</w:t>
      </w:r>
      <w:r w:rsidRPr="00071A5F">
        <w:rPr>
          <w:rStyle w:val="AERbody"/>
        </w:rPr>
        <w:t>incurred</w:t>
      </w:r>
      <w:r>
        <w:rPr>
          <w:rStyle w:val="AERbody"/>
        </w:rPr>
        <w:t>'</w:t>
      </w:r>
      <w:r w:rsidRPr="00071A5F">
        <w:rPr>
          <w:rStyle w:val="AERbody"/>
        </w:rPr>
        <w:t xml:space="preserve"> </w:t>
      </w:r>
      <w:r>
        <w:rPr>
          <w:rStyle w:val="AERbody"/>
        </w:rPr>
        <w:t xml:space="preserve">actual </w:t>
      </w:r>
      <w:r w:rsidRPr="00071A5F">
        <w:rPr>
          <w:rStyle w:val="AERbody"/>
        </w:rPr>
        <w:t>capex</w:t>
      </w:r>
      <w:r>
        <w:rPr>
          <w:rStyle w:val="AERbody"/>
        </w:rPr>
        <w:t xml:space="preserve"> and forecast tax depreciation</w:t>
      </w:r>
      <w:r w:rsidRPr="00071A5F">
        <w:rPr>
          <w:rStyle w:val="AERbody"/>
        </w:rPr>
        <w:t xml:space="preserve"> </w:t>
      </w:r>
      <w:r>
        <w:rPr>
          <w:rStyle w:val="AERbody"/>
        </w:rPr>
        <w:t>to roll forward the TAB for the 2013–17 access arrangement period.</w:t>
      </w:r>
      <w:r>
        <w:rPr>
          <w:rStyle w:val="FootnoteReference"/>
        </w:rPr>
        <w:footnoteReference w:id="70"/>
      </w:r>
      <w:r>
        <w:rPr>
          <w:rStyle w:val="AERbody"/>
        </w:rPr>
        <w:t xml:space="preserve"> </w:t>
      </w:r>
    </w:p>
    <w:p w:rsidR="00B90BFA" w:rsidRDefault="00B90BFA" w:rsidP="00B90BFA">
      <w:pPr>
        <w:rPr>
          <w:rStyle w:val="AERbody"/>
        </w:rPr>
      </w:pPr>
      <w:r>
        <w:rPr>
          <w:rStyle w:val="AERbody"/>
        </w:rPr>
        <w:t xml:space="preserve">Our draft decision is to use 'as-commissioned' actual capex and actual tax depreciation to roll forward the TAB for the </w:t>
      </w:r>
      <w:r w:rsidRPr="003E03ED">
        <w:rPr>
          <w:rStyle w:val="AERbody"/>
        </w:rPr>
        <w:t xml:space="preserve">2013–17 access arrangement </w:t>
      </w:r>
      <w:proofErr w:type="gramStart"/>
      <w:r w:rsidRPr="003E03ED">
        <w:rPr>
          <w:rStyle w:val="AERbody"/>
        </w:rPr>
        <w:t>period</w:t>
      </w:r>
      <w:proofErr w:type="gramEnd"/>
      <w:r w:rsidRPr="003E03ED">
        <w:rPr>
          <w:rStyle w:val="AERbody"/>
        </w:rPr>
        <w:t>.</w:t>
      </w:r>
    </w:p>
    <w:p w:rsidR="009214D9" w:rsidRDefault="009214D9" w:rsidP="008753A6">
      <w:pPr>
        <w:rPr>
          <w:rStyle w:val="AERbody"/>
        </w:rPr>
      </w:pPr>
      <w:r>
        <w:rPr>
          <w:rStyle w:val="AERbody"/>
        </w:rPr>
        <w:t xml:space="preserve">We approve APA’s proposed standard tax asset lives for the 2018–22 access arrangement </w:t>
      </w:r>
      <w:proofErr w:type="gramStart"/>
      <w:r>
        <w:rPr>
          <w:rStyle w:val="AERbody"/>
        </w:rPr>
        <w:t>period</w:t>
      </w:r>
      <w:proofErr w:type="gramEnd"/>
      <w:r>
        <w:rPr>
          <w:rStyle w:val="AERbody"/>
        </w:rPr>
        <w:t xml:space="preserve">. They are consistent with the provisions of the </w:t>
      </w:r>
      <w:r w:rsidRPr="005A1BFE">
        <w:rPr>
          <w:rStyle w:val="AERtextitalic"/>
        </w:rPr>
        <w:t>Income Tax Assessment Act</w:t>
      </w:r>
      <w:r>
        <w:rPr>
          <w:rStyle w:val="AERbody"/>
        </w:rPr>
        <w:t xml:space="preserve"> 1997</w:t>
      </w:r>
      <w:r w:rsidR="005A1BFE">
        <w:rPr>
          <w:rStyle w:val="AERbody"/>
        </w:rPr>
        <w:t xml:space="preserve"> (Cth)</w:t>
      </w:r>
      <w:r>
        <w:rPr>
          <w:rStyle w:val="AERbody"/>
        </w:rPr>
        <w:t xml:space="preserve"> and the standard tax asset lives prescribed in the </w:t>
      </w:r>
      <w:r w:rsidRPr="000C11EC">
        <w:rPr>
          <w:rStyle w:val="AERtextitalic"/>
        </w:rPr>
        <w:t xml:space="preserve">Tax Ruling </w:t>
      </w:r>
      <w:r w:rsidRPr="008753A6">
        <w:t>2016/1.</w:t>
      </w:r>
      <w:r>
        <w:rPr>
          <w:rStyle w:val="FootnoteReference"/>
        </w:rPr>
        <w:footnoteReference w:id="71"/>
      </w:r>
      <w:r>
        <w:rPr>
          <w:rStyle w:val="AERbody"/>
        </w:rPr>
        <w:t xml:space="preserve"> They are also consistent with the approved standard tax asset lives in the 2013–17 access arrangement. </w:t>
      </w:r>
    </w:p>
    <w:p w:rsidR="00B90BFA" w:rsidRDefault="005A1BFE" w:rsidP="00B90BFA">
      <w:pPr>
        <w:rPr>
          <w:rStyle w:val="AERbody"/>
        </w:rPr>
      </w:pPr>
      <w:r>
        <w:rPr>
          <w:rStyle w:val="AERbody"/>
        </w:rPr>
        <w:t>We accept APA</w:t>
      </w:r>
      <w:r w:rsidR="00B90BFA">
        <w:rPr>
          <w:rStyle w:val="AERbody"/>
        </w:rPr>
        <w:t>’s proposed weighted average method to calculate the remaining tax asset lives as at 1 January 2018. In accepting the weighted average</w:t>
      </w:r>
      <w:r>
        <w:rPr>
          <w:rStyle w:val="AERbody"/>
        </w:rPr>
        <w:t xml:space="preserve"> method, we have updated APA</w:t>
      </w:r>
      <w:r w:rsidR="00B90BFA">
        <w:rPr>
          <w:rStyle w:val="AERbody"/>
        </w:rPr>
        <w:t xml:space="preserve">’s proposed remaining tax asset lives as at 1 </w:t>
      </w:r>
      <w:r w:rsidR="00B90BFA" w:rsidRPr="00107134">
        <w:rPr>
          <w:rStyle w:val="AERbody"/>
        </w:rPr>
        <w:t>January 2018</w:t>
      </w:r>
      <w:r w:rsidR="00B90BFA">
        <w:rPr>
          <w:rStyle w:val="AERbody"/>
        </w:rPr>
        <w:t>. This is due to changes we have made to the roll forward of the opening TAB for the 2013–17 access arrangement period and other inputs that affect the calculation of the rema</w:t>
      </w:r>
      <w:r>
        <w:rPr>
          <w:rStyle w:val="AERbody"/>
        </w:rPr>
        <w:t>ining tax asset lives in APA</w:t>
      </w:r>
      <w:r w:rsidR="00B90BFA">
        <w:rPr>
          <w:rStyle w:val="AERbody"/>
        </w:rPr>
        <w:t>’s proposed RFM</w:t>
      </w:r>
      <w:r w:rsidR="00DB1243">
        <w:rPr>
          <w:rStyle w:val="AERbody"/>
        </w:rPr>
        <w:t>.</w:t>
      </w:r>
    </w:p>
    <w:bookmarkStart w:id="198" w:name="_Ref398553891"/>
    <w:p w:rsidR="00B90BFA" w:rsidRDefault="00A376B9" w:rsidP="00B90BFA">
      <w:r>
        <w:fldChar w:fldCharType="begin"/>
      </w:r>
      <w:r>
        <w:instrText xml:space="preserve"> REF _Ref483480134 \h </w:instrText>
      </w:r>
      <w:r>
        <w:fldChar w:fldCharType="separate"/>
      </w:r>
      <w:r w:rsidR="00971C32">
        <w:t xml:space="preserve">Table </w:t>
      </w:r>
      <w:r w:rsidR="00971C32">
        <w:rPr>
          <w:noProof/>
        </w:rPr>
        <w:t>5</w:t>
      </w:r>
      <w:r w:rsidR="00971C32">
        <w:noBreakHyphen/>
      </w:r>
      <w:r w:rsidR="00971C32">
        <w:rPr>
          <w:noProof/>
        </w:rPr>
        <w:t>11</w:t>
      </w:r>
      <w:r>
        <w:fldChar w:fldCharType="end"/>
      </w:r>
      <w:r w:rsidR="00B90BFA" w:rsidRPr="00B22516">
        <w:t xml:space="preserve"> </w:t>
      </w:r>
      <w:r w:rsidR="00B90BFA" w:rsidRPr="00B22516">
        <w:rPr>
          <w:rStyle w:val="AERbody"/>
        </w:rPr>
        <w:t>sets out our draft decision on the estimated cost of corporate income tax allowance for AP</w:t>
      </w:r>
      <w:r w:rsidR="00A37EC9">
        <w:rPr>
          <w:rStyle w:val="AERbody"/>
        </w:rPr>
        <w:t>A</w:t>
      </w:r>
      <w:r w:rsidR="00B90BFA">
        <w:rPr>
          <w:rStyle w:val="AERbody"/>
        </w:rPr>
        <w:t xml:space="preserve"> over the 2018–22 access arrangement period</w:t>
      </w:r>
      <w:r w:rsidR="00B90BFA" w:rsidRPr="00B22516">
        <w:rPr>
          <w:rStyle w:val="AERbody"/>
        </w:rPr>
        <w:t>.</w:t>
      </w:r>
    </w:p>
    <w:p w:rsidR="009214D9" w:rsidRPr="00807DCF" w:rsidRDefault="00A376B9" w:rsidP="00693B0E">
      <w:pPr>
        <w:pStyle w:val="Caption"/>
      </w:pPr>
      <w:bookmarkStart w:id="199" w:name="_Ref483480134"/>
      <w:bookmarkEnd w:id="198"/>
      <w:r>
        <w:t xml:space="preserve">Table </w:t>
      </w:r>
      <w:fldSimple w:instr=" STYLEREF 1 \s ">
        <w:r w:rsidR="00971C32">
          <w:rPr>
            <w:noProof/>
          </w:rPr>
          <w:t>5</w:t>
        </w:r>
      </w:fldSimple>
      <w:r w:rsidR="009F6AC3">
        <w:noBreakHyphen/>
      </w:r>
      <w:fldSimple w:instr=" SEQ Table \* ARABIC \s 1 ">
        <w:r w:rsidR="00971C32">
          <w:rPr>
            <w:noProof/>
          </w:rPr>
          <w:t>11</w:t>
        </w:r>
      </w:fldSimple>
      <w:bookmarkEnd w:id="199"/>
      <w:r w:rsidR="009214D9" w:rsidRPr="00807DCF">
        <w:tab/>
        <w:t xml:space="preserve">AER’s draft decision on corporate income tax allowance for </w:t>
      </w:r>
      <w:r w:rsidR="009214D9">
        <w:t>APA</w:t>
      </w:r>
      <w:r w:rsidR="009214D9" w:rsidRPr="00807DCF">
        <w:t xml:space="preserve"> ($</w:t>
      </w:r>
      <w:r w:rsidR="00272737">
        <w:t xml:space="preserve"> </w:t>
      </w:r>
      <w:r w:rsidR="009214D9" w:rsidRPr="00807DCF">
        <w:t xml:space="preserve">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9214D9" w:rsidRPr="008D4B9C" w:rsidTr="006328E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9214D9" w:rsidRPr="008D4B9C" w:rsidRDefault="009214D9" w:rsidP="00693B0E">
            <w:pPr>
              <w:keepNext/>
            </w:pPr>
          </w:p>
        </w:tc>
        <w:tc>
          <w:tcPr>
            <w:tcW w:w="933"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t>2</w:t>
            </w:r>
            <w:r w:rsidRPr="009214D9">
              <w:t>018</w:t>
            </w:r>
          </w:p>
        </w:tc>
        <w:tc>
          <w:tcPr>
            <w:tcW w:w="934"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t>2</w:t>
            </w:r>
            <w:r w:rsidRPr="009214D9">
              <w:t>019</w:t>
            </w:r>
          </w:p>
        </w:tc>
        <w:tc>
          <w:tcPr>
            <w:tcW w:w="934"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t>2</w:t>
            </w:r>
            <w:r w:rsidRPr="009214D9">
              <w:t>020</w:t>
            </w:r>
          </w:p>
        </w:tc>
        <w:tc>
          <w:tcPr>
            <w:tcW w:w="934"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t>2</w:t>
            </w:r>
            <w:r w:rsidRPr="009214D9">
              <w:t>021</w:t>
            </w:r>
          </w:p>
        </w:tc>
        <w:tc>
          <w:tcPr>
            <w:tcW w:w="934"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t>2</w:t>
            </w:r>
            <w:r w:rsidRPr="009214D9">
              <w:t>022</w:t>
            </w:r>
          </w:p>
        </w:tc>
        <w:tc>
          <w:tcPr>
            <w:tcW w:w="934" w:type="dxa"/>
          </w:tcPr>
          <w:p w:rsidR="009214D9" w:rsidRPr="009214D9" w:rsidRDefault="009214D9" w:rsidP="00693B0E">
            <w:pPr>
              <w:keepNext/>
              <w:cnfStyle w:val="100000000000" w:firstRow="1" w:lastRow="0" w:firstColumn="0" w:lastColumn="0" w:oddVBand="0" w:evenVBand="0" w:oddHBand="0" w:evenHBand="0" w:firstRowFirstColumn="0" w:firstRowLastColumn="0" w:lastRowFirstColumn="0" w:lastRowLastColumn="0"/>
            </w:pPr>
            <w:r w:rsidRPr="008D4B9C">
              <w:t>Total</w:t>
            </w:r>
          </w:p>
        </w:tc>
      </w:tr>
      <w:tr w:rsidR="00624EE7" w:rsidRPr="008D4B9C" w:rsidTr="006328E7">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624EE7" w:rsidRPr="00624EE7" w:rsidRDefault="00624EE7" w:rsidP="00624EE7">
            <w:r w:rsidRPr="00624EE7">
              <w:t>Tax payable</w:t>
            </w:r>
          </w:p>
        </w:tc>
        <w:tc>
          <w:tcPr>
            <w:tcW w:w="933"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2.2</w:t>
            </w:r>
          </w:p>
        </w:tc>
        <w:tc>
          <w:tcPr>
            <w:tcW w:w="934"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2.5</w:t>
            </w:r>
          </w:p>
        </w:tc>
        <w:tc>
          <w:tcPr>
            <w:tcW w:w="934"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3.1</w:t>
            </w:r>
          </w:p>
        </w:tc>
        <w:tc>
          <w:tcPr>
            <w:tcW w:w="934"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2.3</w:t>
            </w:r>
          </w:p>
        </w:tc>
        <w:tc>
          <w:tcPr>
            <w:tcW w:w="934"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0.8</w:t>
            </w:r>
          </w:p>
        </w:tc>
        <w:tc>
          <w:tcPr>
            <w:tcW w:w="934" w:type="dxa"/>
            <w:vAlign w:val="bottom"/>
          </w:tcPr>
          <w:p w:rsidR="00624EE7" w:rsidRPr="00624EE7" w:rsidRDefault="00624EE7" w:rsidP="00624EE7">
            <w:pPr>
              <w:cnfStyle w:val="000000000000" w:firstRow="0" w:lastRow="0" w:firstColumn="0" w:lastColumn="0" w:oddVBand="0" w:evenVBand="0" w:oddHBand="0" w:evenHBand="0" w:firstRowFirstColumn="0" w:firstRowLastColumn="0" w:lastRowFirstColumn="0" w:lastRowLastColumn="0"/>
            </w:pPr>
            <w:r w:rsidRPr="00624EE7">
              <w:t>10.9</w:t>
            </w:r>
          </w:p>
        </w:tc>
      </w:tr>
      <w:tr w:rsidR="00624EE7" w:rsidRPr="008D4B9C" w:rsidTr="006328E7">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624EE7" w:rsidRPr="00624EE7" w:rsidRDefault="00624EE7" w:rsidP="00624EE7">
            <w:r w:rsidRPr="000C11EC">
              <w:rPr>
                <w:rStyle w:val="AERtextitalic"/>
              </w:rPr>
              <w:t>Less:</w:t>
            </w:r>
            <w:r w:rsidRPr="00624EE7">
              <w:t xml:space="preserve"> value of imputation credits</w:t>
            </w:r>
          </w:p>
        </w:tc>
        <w:tc>
          <w:tcPr>
            <w:tcW w:w="933"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0.9</w:t>
            </w:r>
          </w:p>
        </w:tc>
        <w:tc>
          <w:tcPr>
            <w:tcW w:w="934"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1.0</w:t>
            </w:r>
          </w:p>
        </w:tc>
        <w:tc>
          <w:tcPr>
            <w:tcW w:w="934"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1.2</w:t>
            </w:r>
          </w:p>
        </w:tc>
        <w:tc>
          <w:tcPr>
            <w:tcW w:w="934"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0.9</w:t>
            </w:r>
          </w:p>
        </w:tc>
        <w:tc>
          <w:tcPr>
            <w:tcW w:w="934"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0.3</w:t>
            </w:r>
          </w:p>
        </w:tc>
        <w:tc>
          <w:tcPr>
            <w:tcW w:w="934" w:type="dxa"/>
            <w:vAlign w:val="bottom"/>
          </w:tcPr>
          <w:p w:rsidR="00624EE7" w:rsidRPr="00624EE7" w:rsidRDefault="00624EE7" w:rsidP="00624EE7">
            <w:pPr>
              <w:cnfStyle w:val="000000010000" w:firstRow="0" w:lastRow="0" w:firstColumn="0" w:lastColumn="0" w:oddVBand="0" w:evenVBand="0" w:oddHBand="0" w:evenHBand="1" w:firstRowFirstColumn="0" w:firstRowLastColumn="0" w:lastRowFirstColumn="0" w:lastRowLastColumn="0"/>
            </w:pPr>
            <w:r w:rsidRPr="00624EE7">
              <w:t>4.4</w:t>
            </w:r>
          </w:p>
        </w:tc>
      </w:tr>
      <w:tr w:rsidR="00624EE7" w:rsidRPr="00624EE7" w:rsidTr="006328E7">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624EE7" w:rsidRPr="000C11EC" w:rsidRDefault="00624EE7" w:rsidP="000C11EC">
            <w:pPr>
              <w:rPr>
                <w:rStyle w:val="Strong"/>
              </w:rPr>
            </w:pPr>
            <w:r w:rsidRPr="000C11EC">
              <w:rPr>
                <w:rStyle w:val="Strong"/>
              </w:rPr>
              <w:t>Net corporate income tax allowance</w:t>
            </w:r>
          </w:p>
        </w:tc>
        <w:tc>
          <w:tcPr>
            <w:tcW w:w="933"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1.3</w:t>
            </w:r>
          </w:p>
        </w:tc>
        <w:tc>
          <w:tcPr>
            <w:tcW w:w="934"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1.5</w:t>
            </w:r>
          </w:p>
        </w:tc>
        <w:tc>
          <w:tcPr>
            <w:tcW w:w="934"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1.9</w:t>
            </w:r>
          </w:p>
        </w:tc>
        <w:tc>
          <w:tcPr>
            <w:tcW w:w="934"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1.4</w:t>
            </w:r>
          </w:p>
        </w:tc>
        <w:tc>
          <w:tcPr>
            <w:tcW w:w="934"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0.5</w:t>
            </w:r>
          </w:p>
        </w:tc>
        <w:tc>
          <w:tcPr>
            <w:tcW w:w="934" w:type="dxa"/>
            <w:vAlign w:val="bottom"/>
          </w:tcPr>
          <w:p w:rsidR="00624EE7" w:rsidRPr="000C11EC" w:rsidRDefault="00624EE7" w:rsidP="000C11EC">
            <w:pPr>
              <w:cnfStyle w:val="000000000000" w:firstRow="0" w:lastRow="0" w:firstColumn="0" w:lastColumn="0" w:oddVBand="0" w:evenVBand="0" w:oddHBand="0" w:evenHBand="0" w:firstRowFirstColumn="0" w:firstRowLastColumn="0" w:lastRowFirstColumn="0" w:lastRowLastColumn="0"/>
              <w:rPr>
                <w:rStyle w:val="Strong"/>
              </w:rPr>
            </w:pPr>
            <w:r w:rsidRPr="000C11EC">
              <w:rPr>
                <w:rStyle w:val="Strong"/>
              </w:rPr>
              <w:t>6.5</w:t>
            </w:r>
          </w:p>
        </w:tc>
      </w:tr>
    </w:tbl>
    <w:p w:rsidR="009214D9" w:rsidRPr="005F5B41" w:rsidRDefault="009214D9" w:rsidP="00693B0E">
      <w:pPr>
        <w:pStyle w:val="AERtablesource"/>
        <w:keepNext/>
      </w:pPr>
      <w:r w:rsidRPr="00FD50DB">
        <w:t xml:space="preserve">Source: </w:t>
      </w:r>
      <w:r w:rsidRPr="00FD50DB">
        <w:tab/>
        <w:t>AER analysis.</w:t>
      </w:r>
    </w:p>
    <w:p w:rsidR="009214D9" w:rsidRDefault="009214D9" w:rsidP="009214D9">
      <w:r>
        <w:t xml:space="preserve">Further detail on our draft decision in regards to APA's corporate income tax is set out in attachment 8.  </w:t>
      </w:r>
    </w:p>
    <w:p w:rsidR="009214D9" w:rsidRDefault="009214D9" w:rsidP="009214D9">
      <w:pPr>
        <w:pStyle w:val="Heading1"/>
      </w:pPr>
      <w:bookmarkStart w:id="200" w:name="_Toc430002798"/>
      <w:bookmarkStart w:id="201" w:name="_Ref433643795"/>
      <w:bookmarkStart w:id="202" w:name="_Ref433793594"/>
      <w:bookmarkStart w:id="203" w:name="_Toc436046194"/>
      <w:bookmarkStart w:id="204" w:name="_Toc444855397"/>
      <w:bookmarkStart w:id="205" w:name="_Ref476037483"/>
      <w:bookmarkStart w:id="206" w:name="_Toc487018286"/>
      <w:r>
        <w:t>Non-tariff components</w:t>
      </w:r>
      <w:bookmarkEnd w:id="200"/>
      <w:bookmarkEnd w:id="201"/>
      <w:bookmarkEnd w:id="202"/>
      <w:bookmarkEnd w:id="203"/>
      <w:bookmarkEnd w:id="204"/>
      <w:bookmarkEnd w:id="205"/>
      <w:bookmarkEnd w:id="206"/>
    </w:p>
    <w:p w:rsidR="001F5844" w:rsidRDefault="001F5844" w:rsidP="001F5844">
      <w:r>
        <w:t xml:space="preserve">The non-tariff components of an access arrangement </w:t>
      </w:r>
      <w:r w:rsidR="005A1BFE">
        <w:t>include</w:t>
      </w:r>
      <w:r>
        <w:t>:</w:t>
      </w:r>
    </w:p>
    <w:p w:rsidR="001F5844" w:rsidRPr="00D74DB8" w:rsidRDefault="001F5844" w:rsidP="001F5844">
      <w:pPr>
        <w:pStyle w:val="AERbulletlistfirststyle"/>
      </w:pPr>
      <w:r>
        <w:t xml:space="preserve">the </w:t>
      </w:r>
      <w:r w:rsidRPr="00D74DB8">
        <w:t>terms and conditions for supply of the reference service</w:t>
      </w:r>
    </w:p>
    <w:p w:rsidR="001F5844" w:rsidRPr="00D74DB8" w:rsidRDefault="001F5844" w:rsidP="001F5844">
      <w:pPr>
        <w:pStyle w:val="AERbulletlistfirststyle"/>
      </w:pPr>
      <w:r w:rsidRPr="000707C1">
        <w:t>queuing</w:t>
      </w:r>
      <w:r w:rsidRPr="00D74DB8">
        <w:t xml:space="preserve"> requirements—a process or mechanism for establishing an order of priority between prospective users of spare and/or developable capacity  </w:t>
      </w:r>
    </w:p>
    <w:p w:rsidR="001F5844" w:rsidRPr="00D74DB8" w:rsidRDefault="001F5844" w:rsidP="001F5844">
      <w:pPr>
        <w:pStyle w:val="AERbulletlistfirststyle"/>
      </w:pPr>
      <w:r w:rsidRPr="000707C1">
        <w:t>extension and expansion requirements—the method for determining whether an extension or exp</w:t>
      </w:r>
      <w:r w:rsidRPr="00D74DB8">
        <w:t>ansion is a part of the covered pipeline and the effect this will have on tariffs</w:t>
      </w:r>
    </w:p>
    <w:p w:rsidR="001F5844" w:rsidRPr="00D74DB8" w:rsidRDefault="001F5844" w:rsidP="001F5844">
      <w:pPr>
        <w:pStyle w:val="AERbulletlistfirststyle"/>
      </w:pPr>
      <w:r w:rsidRPr="000707C1">
        <w:t xml:space="preserve">capacity trading requirements—how users may assign contracted capacity and change delivery and receipt points </w:t>
      </w:r>
    </w:p>
    <w:p w:rsidR="001F5844" w:rsidRPr="00D74DB8" w:rsidRDefault="001F5844" w:rsidP="001F5844">
      <w:pPr>
        <w:pStyle w:val="AERbulletlistfirststyle"/>
      </w:pPr>
      <w:r>
        <w:t>provision for receipt and delivery point changes, and</w:t>
      </w:r>
    </w:p>
    <w:p w:rsidR="001F5844" w:rsidRPr="00D74DB8" w:rsidRDefault="001F5844" w:rsidP="001F5844">
      <w:pPr>
        <w:pStyle w:val="AERbulletlistfirststyle"/>
      </w:pPr>
      <w:proofErr w:type="gramStart"/>
      <w:r>
        <w:t>a</w:t>
      </w:r>
      <w:proofErr w:type="gramEnd"/>
      <w:r>
        <w:t xml:space="preserve"> </w:t>
      </w:r>
      <w:r w:rsidRPr="00D74DB8">
        <w:t>review submission date and a revision commencement date.</w:t>
      </w:r>
    </w:p>
    <w:p w:rsidR="001F5844" w:rsidRDefault="001F5844" w:rsidP="009214D9">
      <w:r w:rsidRPr="009214D9">
        <w:t>A</w:t>
      </w:r>
      <w:r>
        <w:t>PA</w:t>
      </w:r>
      <w:r w:rsidRPr="009214D9">
        <w:t xml:space="preserve"> has proposed only very minor ch</w:t>
      </w:r>
      <w:r>
        <w:t xml:space="preserve">anges to the access arrangement </w:t>
      </w:r>
      <w:r w:rsidRPr="009214D9">
        <w:t>in respect of non-tariff components.</w:t>
      </w:r>
      <w:r>
        <w:t xml:space="preserve"> APA notes that substantive revisions were approved for the last access arrangement, and submits that limiting the scope of revisions is desirable for stability</w:t>
      </w:r>
      <w:r w:rsidR="0027435B">
        <w:t>,</w:t>
      </w:r>
      <w:r>
        <w:t xml:space="preserve"> particularly in light of possible changes to the operation of the Declared Wholesale Gas Market (DWGM) during the access arrangement period.</w:t>
      </w:r>
      <w:r>
        <w:rPr>
          <w:rStyle w:val="FootnoteReference"/>
        </w:rPr>
        <w:footnoteReference w:id="72"/>
      </w:r>
    </w:p>
    <w:p w:rsidR="009214D9" w:rsidRDefault="009214D9" w:rsidP="009214D9">
      <w:r>
        <w:t>Our draft decision is to accept all of APA's</w:t>
      </w:r>
      <w:r w:rsidR="0027435B">
        <w:t xml:space="preserve"> </w:t>
      </w:r>
      <w:r>
        <w:t>non-tariff components</w:t>
      </w:r>
      <w:r w:rsidR="001F5844">
        <w:t xml:space="preserve"> without</w:t>
      </w:r>
      <w:r w:rsidR="0027435B">
        <w:t xml:space="preserve"> revision or</w:t>
      </w:r>
      <w:r w:rsidR="001F5844">
        <w:t xml:space="preserve"> </w:t>
      </w:r>
      <w:r w:rsidR="0027435B">
        <w:t>amendment</w:t>
      </w:r>
      <w:r>
        <w:t>.</w:t>
      </w:r>
      <w:r w:rsidR="001F5844" w:rsidRPr="001F5844">
        <w:t xml:space="preserve"> </w:t>
      </w:r>
    </w:p>
    <w:p w:rsidR="0027435B" w:rsidRDefault="0027435B" w:rsidP="0027435B">
      <w:r>
        <w:t>However</w:t>
      </w:r>
      <w:r w:rsidR="00836C30">
        <w:t>,</w:t>
      </w:r>
      <w:r>
        <w:t xml:space="preserve"> in relation to </w:t>
      </w:r>
      <w:r w:rsidR="00836C30">
        <w:t xml:space="preserve">the </w:t>
      </w:r>
      <w:r>
        <w:t>review submission date</w:t>
      </w:r>
      <w:r w:rsidR="00836C30">
        <w:t xml:space="preserve">, </w:t>
      </w:r>
      <w:r>
        <w:t xml:space="preserve">we note that </w:t>
      </w:r>
      <w:r w:rsidR="005755A7">
        <w:t>A</w:t>
      </w:r>
      <w:r w:rsidR="005A1BFE">
        <w:t>GN</w:t>
      </w:r>
      <w:r>
        <w:t xml:space="preserve"> has proposed a review submission date of 1 December 2021, and AusNet has indicated it is also prepared to adopt this earlier date. We welcome this approach as it will avoid the administrative difficulties of receiving review submissions in the middle of the holid</w:t>
      </w:r>
      <w:r w:rsidR="005A1BFE">
        <w:t xml:space="preserve">ay season. We </w:t>
      </w:r>
      <w:r>
        <w:t>encourage APA to also bring forward its review submission date by one month to 1 December 2021.</w:t>
      </w:r>
    </w:p>
    <w:p w:rsidR="0027435B" w:rsidRDefault="0027435B" w:rsidP="0027435B">
      <w:r>
        <w:t xml:space="preserve">Further detail on our draft decision in regards to APA's non-tariff components is set out in attachment </w:t>
      </w:r>
      <w:r w:rsidR="00287569">
        <w:t>12</w:t>
      </w:r>
      <w:r>
        <w:t xml:space="preserve">.  </w:t>
      </w:r>
    </w:p>
    <w:p w:rsidR="00287569" w:rsidRDefault="00287569">
      <w:pPr>
        <w:spacing w:line="240" w:lineRule="auto"/>
      </w:pPr>
    </w:p>
    <w:p w:rsidR="00287569" w:rsidRDefault="00287569" w:rsidP="00287569">
      <w:pPr>
        <w:pStyle w:val="Heading1"/>
      </w:pPr>
      <w:bookmarkStart w:id="207" w:name="_Toc481056464"/>
      <w:bookmarkStart w:id="208" w:name="_Ref481056671"/>
      <w:bookmarkStart w:id="209" w:name="_Toc487018287"/>
      <w:r>
        <w:t>Understanding the NGO</w:t>
      </w:r>
      <w:bookmarkEnd w:id="207"/>
      <w:bookmarkEnd w:id="208"/>
      <w:bookmarkEnd w:id="209"/>
    </w:p>
    <w:p w:rsidR="00287569" w:rsidRDefault="00287569" w:rsidP="00287569">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287569" w:rsidRDefault="00287569" w:rsidP="00287569">
      <w:pPr>
        <w:pStyle w:val="AERquoteindent2"/>
      </w:pPr>
      <w:proofErr w:type="gramStart"/>
      <w:r w:rsidRPr="006C7462">
        <w:t>to</w:t>
      </w:r>
      <w:proofErr w:type="gramEnd"/>
      <w:r w:rsidRPr="006C7462">
        <w:t xml:space="preserve">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73"/>
      </w:r>
      <w:r w:rsidRPr="006C7462">
        <w:t xml:space="preserve">  </w:t>
      </w:r>
    </w:p>
    <w:p w:rsidR="00287569" w:rsidRPr="006C7462" w:rsidRDefault="00287569" w:rsidP="00287569">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74"/>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75"/>
      </w:r>
    </w:p>
    <w:p w:rsidR="00287569" w:rsidRPr="00F853E0" w:rsidRDefault="00287569" w:rsidP="00287569">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76"/>
      </w:r>
      <w:r>
        <w:t xml:space="preserve"> </w:t>
      </w:r>
      <w:r w:rsidRPr="00F853E0">
        <w:t xml:space="preserve">We have also considered the quality and reliability of services provided to consumers. For example, the opex allowance and pass through mechanism approved in this draft decision has been set so that </w:t>
      </w:r>
      <w:r w:rsidR="0085788E">
        <w:t xml:space="preserve">APA </w:t>
      </w:r>
      <w:r w:rsidRPr="00F853E0">
        <w:t>can meet existing and new regulatory requirements. Our approved capex forecast includes expenditure to replace assets that are aged or in unacceptable condition.</w:t>
      </w:r>
    </w:p>
    <w:p w:rsidR="00287569" w:rsidRDefault="00287569" w:rsidP="00287569">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77"/>
      </w:r>
      <w:r w:rsidRPr="006C7462">
        <w:t xml:space="preserve"> At the same time, however, there are a range of outcomes tha</w:t>
      </w:r>
      <w:r>
        <w:t>t are unlikely to advance the NG</w:t>
      </w:r>
      <w:r w:rsidRPr="006C7462">
        <w:t>O</w:t>
      </w:r>
      <w:r>
        <w:t>, or not advance the NGO</w:t>
      </w:r>
      <w:r w:rsidRPr="006C7462">
        <w:t xml:space="preserve"> to </w:t>
      </w:r>
      <w:r>
        <w:t>the degree that others would</w:t>
      </w:r>
      <w:r w:rsidRPr="006C7462">
        <w:t xml:space="preserve">. </w:t>
      </w:r>
    </w:p>
    <w:p w:rsidR="00287569" w:rsidRDefault="00287569" w:rsidP="00287569">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78"/>
      </w:r>
      <w:r w:rsidRPr="006C7462">
        <w:t xml:space="preserve"> This could have significant longer term pricing implications for those consumers who continue to use network services.</w:t>
      </w:r>
    </w:p>
    <w:p w:rsidR="00287569" w:rsidRDefault="00287569" w:rsidP="00287569">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79"/>
      </w:r>
      <w:r w:rsidRPr="006C7462">
        <w:t xml:space="preserve"> </w:t>
      </w:r>
      <w:r>
        <w:t>and</w:t>
      </w:r>
      <w:r w:rsidRPr="006C7462">
        <w:t xml:space="preserve"> </w:t>
      </w:r>
      <w:r>
        <w:t>could</w:t>
      </w:r>
      <w:r w:rsidRPr="006C7462">
        <w:t xml:space="preserve"> have adverse consequences for safety, security and reliability of the network. </w:t>
      </w:r>
    </w:p>
    <w:p w:rsidR="00287569" w:rsidRPr="003B504B" w:rsidRDefault="00287569" w:rsidP="00287569">
      <w:r w:rsidRPr="006C7462">
        <w:t>The N</w:t>
      </w:r>
      <w:r>
        <w:t>G</w:t>
      </w:r>
      <w:r w:rsidRPr="006C7462">
        <w:t>L also includes the revenue and pricing principles (RPP), which support the N</w:t>
      </w:r>
      <w:r>
        <w:t>G</w:t>
      </w:r>
      <w:r w:rsidRPr="006C7462">
        <w:t>O.</w:t>
      </w:r>
      <w:r w:rsidRPr="006C7462">
        <w:rPr>
          <w:rStyle w:val="FootnoteReference"/>
        </w:rPr>
        <w:footnoteReference w:id="80"/>
      </w:r>
      <w:r w:rsidRPr="006C7462">
        <w:t xml:space="preserve"> As the N</w:t>
      </w:r>
      <w:r>
        <w:t>G</w:t>
      </w:r>
      <w:r w:rsidRPr="006C7462">
        <w:t>L requires,</w:t>
      </w:r>
      <w:r w:rsidRPr="006C7462">
        <w:rPr>
          <w:rStyle w:val="FootnoteReference"/>
        </w:rPr>
        <w:footnoteReference w:id="81"/>
      </w:r>
      <w:r w:rsidRPr="006C7462">
        <w:t xml:space="preserve"> we have taken the RPPs into account throughout our analysis</w:t>
      </w:r>
      <w:r w:rsidR="00BA6A37">
        <w:t xml:space="preserve"> under the NGR</w:t>
      </w:r>
      <w:r w:rsidRPr="006C7462">
        <w:t xml:space="preserve">. The RPPs are: </w:t>
      </w:r>
    </w:p>
    <w:p w:rsidR="00287569" w:rsidRPr="00AF78C7" w:rsidRDefault="00287569" w:rsidP="00287569">
      <w:pPr>
        <w:pStyle w:val="AERquote"/>
      </w:pPr>
      <w:bookmarkStart w:id="210"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210"/>
    </w:p>
    <w:p w:rsidR="00287569" w:rsidRPr="00AF78C7" w:rsidRDefault="00287569" w:rsidP="00287569">
      <w:pPr>
        <w:pStyle w:val="AERquotebullet1"/>
      </w:pPr>
      <w:r w:rsidRPr="00AF78C7">
        <w:t xml:space="preserve">providing </w:t>
      </w:r>
      <w:r>
        <w:t>reference</w:t>
      </w:r>
      <w:r w:rsidRPr="00AF78C7">
        <w:t xml:space="preserve"> services; and</w:t>
      </w:r>
    </w:p>
    <w:p w:rsidR="00287569" w:rsidRPr="00AF78C7" w:rsidRDefault="00287569" w:rsidP="00287569">
      <w:pPr>
        <w:pStyle w:val="AERquotebullet1"/>
      </w:pPr>
      <w:bookmarkStart w:id="211" w:name="id39d95c28_3773_4662_b32f_fead85a8dc26_0"/>
      <w:proofErr w:type="gramStart"/>
      <w:r w:rsidRPr="00AF78C7">
        <w:t>complying</w:t>
      </w:r>
      <w:proofErr w:type="gramEnd"/>
      <w:r w:rsidRPr="00AF78C7">
        <w:t xml:space="preserve"> with a regulatory obligation or requirement or making a regulatory payment.</w:t>
      </w:r>
      <w:bookmarkEnd w:id="211"/>
    </w:p>
    <w:p w:rsidR="00287569" w:rsidRPr="00AF78C7" w:rsidRDefault="00287569" w:rsidP="00287569">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287569" w:rsidRPr="00AF78C7" w:rsidRDefault="00287569" w:rsidP="00287569">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287569" w:rsidRPr="003B504B" w:rsidRDefault="00287569" w:rsidP="00287569">
      <w:pPr>
        <w:pStyle w:val="AERquotebullet1"/>
      </w:pPr>
      <w:r w:rsidRPr="00AF78C7">
        <w:t xml:space="preserve">the efficient provision of </w:t>
      </w:r>
      <w:r>
        <w:t>pipeline</w:t>
      </w:r>
      <w:r w:rsidRPr="00AF78C7">
        <w:t xml:space="preserve"> services; and</w:t>
      </w:r>
    </w:p>
    <w:p w:rsidR="00287569" w:rsidRPr="00AF78C7" w:rsidRDefault="00287569" w:rsidP="00287569">
      <w:pPr>
        <w:pStyle w:val="AERquotebullet1"/>
      </w:pPr>
      <w:proofErr w:type="gramStart"/>
      <w:r w:rsidRPr="00AF78C7">
        <w:t>the</w:t>
      </w:r>
      <w:proofErr w:type="gramEnd"/>
      <w:r w:rsidRPr="00AF78C7">
        <w:t xml:space="preserve"> efficient use of the </w:t>
      </w:r>
      <w:r>
        <w:t>pipeline</w:t>
      </w:r>
      <w:r w:rsidRPr="00AF78C7">
        <w:t>.</w:t>
      </w:r>
    </w:p>
    <w:p w:rsidR="00287569" w:rsidRPr="00AF78C7" w:rsidRDefault="00287569" w:rsidP="00287569">
      <w:pPr>
        <w:pStyle w:val="AERquote"/>
      </w:pPr>
      <w:r w:rsidRPr="00AF78C7">
        <w:t xml:space="preserve">Regard should be had to the </w:t>
      </w:r>
      <w:r>
        <w:t>capital</w:t>
      </w:r>
      <w:r w:rsidRPr="00AF78C7">
        <w:t xml:space="preserve"> base with respect to a </w:t>
      </w:r>
      <w:r>
        <w:t>pipeline</w:t>
      </w:r>
      <w:r w:rsidRPr="00AF78C7">
        <w:t xml:space="preserve"> adopted—</w:t>
      </w:r>
    </w:p>
    <w:p w:rsidR="00287569" w:rsidRPr="00AF78C7" w:rsidRDefault="00287569" w:rsidP="00287569">
      <w:pPr>
        <w:pStyle w:val="AERquotebullet1"/>
      </w:pPr>
      <w:r w:rsidRPr="00AF78C7">
        <w:t>in any previous—</w:t>
      </w:r>
    </w:p>
    <w:p w:rsidR="00287569" w:rsidRPr="005766DB" w:rsidRDefault="00287569" w:rsidP="00287569">
      <w:pPr>
        <w:pStyle w:val="AERquotebullet1"/>
      </w:pPr>
      <w:r>
        <w:t>full access arrangement</w:t>
      </w:r>
      <w:r w:rsidRPr="005766DB">
        <w:t>; or</w:t>
      </w:r>
    </w:p>
    <w:p w:rsidR="00287569" w:rsidRPr="005766DB" w:rsidRDefault="00287569" w:rsidP="00287569">
      <w:pPr>
        <w:pStyle w:val="AERquotebullet1"/>
      </w:pPr>
      <w:r>
        <w:t>decision of a relevant regulator under section 2 of the Gas Code</w:t>
      </w:r>
      <w:r w:rsidRPr="005766DB">
        <w:t>; or</w:t>
      </w:r>
    </w:p>
    <w:p w:rsidR="00287569" w:rsidRPr="00AF78C7" w:rsidRDefault="00287569" w:rsidP="00287569">
      <w:pPr>
        <w:pStyle w:val="AERquotebullet1"/>
      </w:pPr>
      <w:proofErr w:type="gramStart"/>
      <w:r w:rsidRPr="00AF78C7">
        <w:t>in</w:t>
      </w:r>
      <w:proofErr w:type="gramEnd"/>
      <w:r w:rsidRPr="00AF78C7">
        <w:t xml:space="preserve"> the Rules.</w:t>
      </w:r>
    </w:p>
    <w:p w:rsidR="00287569" w:rsidRPr="00AF78C7" w:rsidRDefault="00287569" w:rsidP="00287569">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287569" w:rsidRPr="00AF78C7" w:rsidRDefault="00287569" w:rsidP="00287569">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287569" w:rsidRDefault="00287569" w:rsidP="00287569">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287569" w:rsidRDefault="00287569" w:rsidP="00287569">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82"/>
      </w:r>
      <w:r>
        <w:t xml:space="preserve"> For example:</w:t>
      </w:r>
    </w:p>
    <w:p w:rsidR="00287569" w:rsidRPr="00524603" w:rsidRDefault="00287569" w:rsidP="00287569">
      <w:pPr>
        <w:pStyle w:val="AERbulletlistfirststyle"/>
      </w:pPr>
      <w:r w:rsidRPr="00232478">
        <w:t xml:space="preserve">In determining forecast opex and capex that reasonably reflects the opex and capex </w:t>
      </w:r>
      <w:r w:rsidRPr="00524603">
        <w:t xml:space="preserve">criteria, we take into account the revenue and pricing principle that we should provide </w:t>
      </w:r>
      <w:r w:rsidR="005755A7">
        <w:t>APA</w:t>
      </w:r>
      <w:r w:rsidRPr="00524603">
        <w:t xml:space="preserve"> with a reasonable opportunity to recover at least efficient costs (refer to capex attachment 6 and opex attachment 7). </w:t>
      </w:r>
    </w:p>
    <w:p w:rsidR="00287569" w:rsidRPr="00524603" w:rsidRDefault="00287569" w:rsidP="00287569">
      <w:pPr>
        <w:pStyle w:val="AERbulletlistfirststyle"/>
      </w:pPr>
      <w:r w:rsidRPr="00A35C7A">
        <w:t xml:space="preserve">We take into account the economic costs and risks of the potential for under and over investment by a service provider in our assessment </w:t>
      </w:r>
      <w:r w:rsidRPr="00524603">
        <w:t xml:space="preserve">of </w:t>
      </w:r>
      <w:r w:rsidR="005755A7">
        <w:t>APA</w:t>
      </w:r>
      <w:r w:rsidRPr="00524603">
        <w:t>’s forecast capex and opex proposals (refer to capex attachment 6 and opex attachment 7).</w:t>
      </w:r>
    </w:p>
    <w:p w:rsidR="00287569" w:rsidRPr="00524603" w:rsidRDefault="00287569" w:rsidP="00287569">
      <w:pPr>
        <w:pStyle w:val="AERbulletlistfirststyle"/>
      </w:pPr>
      <w:r w:rsidRPr="00A35C7A">
        <w:t xml:space="preserve">We consider the economic costs and risks of the potential for under and over utilisation of </w:t>
      </w:r>
      <w:r w:rsidR="005755A7">
        <w:t>APA</w:t>
      </w:r>
      <w:r w:rsidRPr="00524603">
        <w:t>’s network in our decisions on demand forecasting and forecast augmentation capex (refer to capex attachment 6 and demand attachment 13).</w:t>
      </w:r>
    </w:p>
    <w:p w:rsidR="00287569" w:rsidRPr="00524603" w:rsidRDefault="00231C90" w:rsidP="00287569">
      <w:pPr>
        <w:pStyle w:val="AERbulletlistfirststyle"/>
      </w:pPr>
      <w:r>
        <w:t xml:space="preserve">The </w:t>
      </w:r>
      <w:r w:rsidR="001B7D78">
        <w:t>benefit sharing</w:t>
      </w:r>
      <w:r w:rsidR="00287569" w:rsidRPr="00524603">
        <w:t xml:space="preserve"> </w:t>
      </w:r>
      <w:r>
        <w:t>allowance</w:t>
      </w:r>
      <w:r w:rsidR="00810781">
        <w:t xml:space="preserve"> for opex</w:t>
      </w:r>
      <w:r w:rsidR="00287569" w:rsidRPr="00524603">
        <w:t xml:space="preserve"> in this decision provides </w:t>
      </w:r>
      <w:r w:rsidR="005755A7">
        <w:t>APA</w:t>
      </w:r>
      <w:r w:rsidR="00287569" w:rsidRPr="00524603">
        <w:t xml:space="preserve"> with effective incentives which we consider will promote economic efficiency with respect to the reference service that </w:t>
      </w:r>
      <w:r w:rsidR="005755A7">
        <w:t>APA</w:t>
      </w:r>
      <w:r w:rsidR="00287569" w:rsidRPr="00524603">
        <w:t xml:space="preserve"> provides throughout the access arrangement period (refer to </w:t>
      </w:r>
      <w:r>
        <w:t>opex incentive</w:t>
      </w:r>
      <w:r w:rsidR="00287569" w:rsidRPr="00524603">
        <w:t xml:space="preserve"> </w:t>
      </w:r>
      <w:r w:rsidR="001B7D78">
        <w:t>mechanism</w:t>
      </w:r>
      <w:r w:rsidR="00287569" w:rsidRPr="00524603">
        <w:t xml:space="preserve"> attachment 9). </w:t>
      </w:r>
    </w:p>
    <w:p w:rsidR="00287569" w:rsidRPr="00524603" w:rsidRDefault="00287569" w:rsidP="00287569">
      <w:pPr>
        <w:pStyle w:val="AERbulletlistfirststyle"/>
      </w:pPr>
      <w:r w:rsidRPr="00E90ACB">
        <w:t xml:space="preserve">We have determined </w:t>
      </w:r>
      <w:r w:rsidR="005755A7">
        <w:t>APA</w:t>
      </w:r>
      <w:r w:rsidRPr="00524603">
        <w:t>’s opening capital base taking into account the capital adopted in the previous access arrangement (refer to capital base attachment 2).</w:t>
      </w:r>
    </w:p>
    <w:p w:rsidR="00287569" w:rsidRPr="00524603" w:rsidRDefault="00287569" w:rsidP="00287569">
      <w:pPr>
        <w:pStyle w:val="AERbulletlistfirststyle"/>
      </w:pPr>
      <w:r w:rsidRPr="00D46ABC">
        <w:t>The allowed rate of return objective reflects the revenue and pricing principle in s.</w:t>
      </w:r>
      <w:r w:rsidRPr="00524603">
        <w:t xml:space="preserve"> 24(5). We have determined a rate of return that we consider will provide </w:t>
      </w:r>
      <w:r w:rsidR="005755A7">
        <w:t>APA</w:t>
      </w:r>
      <w:r w:rsidRPr="00524603">
        <w:t xml:space="preserve"> with a return commensurate with the regulatory and commercial risks involved in providing pipeline services (refer to rate of return attachment 3).</w:t>
      </w:r>
    </w:p>
    <w:p w:rsidR="00287569" w:rsidRPr="00524603" w:rsidRDefault="00287569" w:rsidP="00287569">
      <w:pPr>
        <w:pStyle w:val="AERbulletlistfirststyle"/>
      </w:pPr>
      <w:r w:rsidRPr="00D46ABC">
        <w:t xml:space="preserve">Our financing determinations provide </w:t>
      </w:r>
      <w:r w:rsidR="005755A7">
        <w:t>APA</w:t>
      </w:r>
      <w:r w:rsidRPr="00524603">
        <w:t xml:space="preserve"> with a reasonable opportunity to recover at least the efficient costs of accessing debt and capital (refer to rate of return attachment 3).</w:t>
      </w:r>
    </w:p>
    <w:p w:rsidR="00287569" w:rsidRPr="001B46C8" w:rsidRDefault="00287569" w:rsidP="00287569">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proofErr w:type="gramStart"/>
      <w:r>
        <w:rPr>
          <w:rStyle w:val="AERbody"/>
        </w:rPr>
        <w:t xml:space="preserve">that </w:t>
      </w:r>
      <w:r w:rsidR="00BA6A37">
        <w:rPr>
          <w:rStyle w:val="AERbody"/>
        </w:rPr>
        <w:t>results</w:t>
      </w:r>
      <w:proofErr w:type="gramEnd"/>
      <w:r w:rsidR="00BA6A37">
        <w:rPr>
          <w:rStyle w:val="AERbody"/>
        </w:rPr>
        <w:t xml:space="preserve"> in higher revenue than another option.</w:t>
      </w:r>
      <w:r w:rsidRPr="00FF25A5">
        <w:rPr>
          <w:rStyle w:val="AERsuperscript"/>
        </w:rPr>
        <w:t xml:space="preserve"> </w:t>
      </w:r>
      <w:r w:rsidRPr="001B46C8">
        <w:rPr>
          <w:rStyle w:val="AERbody"/>
        </w:rPr>
        <w:t>Some of these decisions include:</w:t>
      </w:r>
    </w:p>
    <w:p w:rsidR="00287569" w:rsidRPr="00A06587" w:rsidRDefault="00287569" w:rsidP="00287569">
      <w:pPr>
        <w:pStyle w:val="AERbulletlistfirststyle"/>
        <w:rPr>
          <w:rStyle w:val="AERbody"/>
        </w:rPr>
      </w:pPr>
      <w:r w:rsidRPr="00A06587">
        <w:rPr>
          <w:rStyle w:val="AERbody"/>
        </w:rPr>
        <w:t>selecting at the top of the range for the equity beta</w:t>
      </w:r>
    </w:p>
    <w:p w:rsidR="00287569" w:rsidRPr="00E90ACB" w:rsidRDefault="00287569" w:rsidP="00287569">
      <w:pPr>
        <w:pStyle w:val="AERbulletlistfirststyle"/>
        <w:rPr>
          <w:rStyle w:val="AERbody"/>
        </w:rPr>
      </w:pPr>
      <w:r w:rsidRPr="00E90ACB">
        <w:rPr>
          <w:rStyle w:val="AERbody"/>
        </w:rPr>
        <w:t>setting the return on debt by reference to data for a BBB broad band credit rating, when the benchmark is BBB+</w:t>
      </w:r>
    </w:p>
    <w:p w:rsidR="00287569" w:rsidRPr="00524603" w:rsidRDefault="00287569" w:rsidP="00287569">
      <w:pPr>
        <w:pStyle w:val="AERbulletlistfirststyle"/>
        <w:rPr>
          <w:rStyle w:val="AERbody"/>
        </w:rPr>
      </w:pPr>
      <w:proofErr w:type="gramStart"/>
      <w:r w:rsidRPr="00E90ACB">
        <w:rPr>
          <w:rStyle w:val="AERbody"/>
        </w:rPr>
        <w:t>the</w:t>
      </w:r>
      <w:proofErr w:type="gramEnd"/>
      <w:r w:rsidRPr="00E90ACB">
        <w:rPr>
          <w:rStyle w:val="AERbody"/>
        </w:rPr>
        <w:t xml:space="preserve"> cash flow</w:t>
      </w:r>
      <w:r w:rsidRPr="00524603">
        <w:rPr>
          <w:rStyle w:val="AERbody"/>
        </w:rPr>
        <w:t xml:space="preserve"> timing assumptions in the post-tax revenue model. </w:t>
      </w:r>
    </w:p>
    <w:p w:rsidR="00287569" w:rsidRDefault="00287569" w:rsidP="00287569">
      <w:pPr>
        <w:rPr>
          <w:rStyle w:val="AERbody"/>
        </w:rPr>
      </w:pPr>
      <w:r>
        <w:t>We</w:t>
      </w:r>
      <w:r w:rsidRPr="00A34B93">
        <w:t xml:space="preserve"> take into account the RPPs when exercising discretion </w:t>
      </w:r>
      <w:r>
        <w:t xml:space="preserve">about an appropriate estimate. </w:t>
      </w:r>
      <w:r w:rsidRPr="00A34B93">
        <w:t xml:space="preserve">The legislative framework recognises the complexity of this task by providing </w:t>
      </w:r>
      <w:r>
        <w:t>us</w:t>
      </w:r>
      <w:r w:rsidRPr="00A34B93">
        <w:t xml:space="preserve"> with significant discretion in many aspects of the decision-making process to make judgements on these matters.</w:t>
      </w:r>
    </w:p>
    <w:p w:rsidR="00287569" w:rsidRDefault="00287569" w:rsidP="00287569">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287569" w:rsidRDefault="00287569" w:rsidP="00287569">
      <w:pPr>
        <w:pStyle w:val="Heading2"/>
      </w:pPr>
      <w:bookmarkStart w:id="212" w:name="_Toc481056465"/>
      <w:bookmarkStart w:id="213" w:name="_Toc487018288"/>
      <w:r>
        <w:t>Achieving the NGO to the greatest degree</w:t>
      </w:r>
      <w:bookmarkEnd w:id="212"/>
      <w:bookmarkEnd w:id="213"/>
    </w:p>
    <w:p w:rsidR="00287569" w:rsidRDefault="00287569" w:rsidP="00287569">
      <w:pPr>
        <w:numPr>
          <w:ilvl w:val="0"/>
          <w:numId w:val="24"/>
        </w:numPr>
      </w:pPr>
      <w:bookmarkStart w:id="214" w:name="_Toc409422588"/>
      <w:bookmarkStart w:id="215" w:name="_Ref409431158"/>
      <w:bookmarkStart w:id="216" w:name="_Toc411428071"/>
      <w:r w:rsidRPr="00C362C1">
        <w:t>A</w:t>
      </w:r>
      <w:r>
        <w:t>n access arrangement decision is</w:t>
      </w:r>
      <w:r w:rsidRPr="00C362C1">
        <w:t xml:space="preserve"> complex.</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w:t>
      </w:r>
      <w:r w:rsidR="00BA6A37">
        <w:t>T</w:t>
      </w:r>
      <w:r>
        <w:t>here</w:t>
      </w:r>
      <w:r w:rsidR="00BA6A37">
        <w:t xml:space="preserve"> may</w:t>
      </w:r>
      <w:r>
        <w:t xml:space="preserve"> be more than one plausible forecast. There is substantial debate amongst stakeholders about the costs we must forecast, with both sides often supported by expert opinion. As a result, for certain components of our decision there may be several plausible answers or several plausible point estimates. </w:t>
      </w:r>
    </w:p>
    <w:p w:rsidR="00287569" w:rsidRDefault="00287569" w:rsidP="00287569">
      <w:pPr>
        <w:numPr>
          <w:ilvl w:val="0"/>
          <w:numId w:val="24"/>
        </w:numPr>
      </w:pPr>
      <w:r>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w:t>
      </w:r>
      <w:r w:rsidR="000E573C" w:rsidRPr="000E573C">
        <w:rPr>
          <w:rStyle w:val="FootnoteReference"/>
        </w:rPr>
        <w:t xml:space="preserve"> </w:t>
      </w:r>
      <w:r w:rsidR="000E573C" w:rsidRPr="000E573C">
        <w:rPr>
          <w:rStyle w:val="FootnoteReference"/>
        </w:rPr>
        <w:footnoteReference w:id="83"/>
      </w:r>
      <w:r>
        <w:t xml:space="preserve"> </w:t>
      </w:r>
    </w:p>
    <w:p w:rsidR="00287569" w:rsidRDefault="00287569" w:rsidP="00287569">
      <w:r>
        <w:t xml:space="preserve">In </w:t>
      </w:r>
      <w:r w:rsidR="000E573C">
        <w:t>reaching</w:t>
      </w:r>
      <w:r>
        <w:t xml:space="preserve"> this draft decision we have considered </w:t>
      </w:r>
      <w:r w:rsidR="005755A7">
        <w:t>APA</w:t>
      </w:r>
      <w:r>
        <w:t>’s proposal</w:t>
      </w:r>
      <w:r w:rsidR="000E573C">
        <w:t xml:space="preserve"> and </w:t>
      </w:r>
      <w:r>
        <w:t xml:space="preserve">examined each of the building block components of the forecast revenue requirement, and the incentive </w:t>
      </w:r>
      <w:r w:rsidR="001B7D78">
        <w:t>mechanisms</w:t>
      </w:r>
      <w:r>
        <w:t xml:space="preserve"> that should apply across the next access arrangement period. We have considered submissions we received in regard to </w:t>
      </w:r>
      <w:r w:rsidR="005755A7">
        <w:t>APA</w:t>
      </w:r>
      <w:r>
        <w:t xml:space="preserve">’s proposal. We have conducted our own analysis and engaged expert consultants to help us better understand if and how </w:t>
      </w:r>
      <w:r w:rsidR="005755A7">
        <w:t>APA</w:t>
      </w:r>
      <w:r>
        <w: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287569" w:rsidRPr="00366D90" w:rsidRDefault="00287569" w:rsidP="00287569">
      <w:r>
        <w:t xml:space="preserve">Therefore, we are satisfied that among the options before us, our draft decision on </w:t>
      </w:r>
      <w:r w:rsidR="005755A7">
        <w:t>APA</w:t>
      </w:r>
      <w:r>
        <w:t>’s access arrangement for the 201</w:t>
      </w:r>
      <w:r w:rsidR="000E573C">
        <w:t>8</w:t>
      </w:r>
      <w:r>
        <w:t>–2</w:t>
      </w:r>
      <w:r w:rsidR="000E573C">
        <w:t>2</w:t>
      </w:r>
      <w:r>
        <w:t xml:space="preserve"> access arrangement period contributes to achieving the NGO to the greatest degree.</w:t>
      </w:r>
    </w:p>
    <w:p w:rsidR="00287569" w:rsidRDefault="00287569" w:rsidP="00272737">
      <w:pPr>
        <w:pStyle w:val="Heading3"/>
        <w:keepNext/>
        <w:ind w:left="720"/>
      </w:pPr>
      <w:bookmarkStart w:id="217" w:name="_Toc481056466"/>
      <w:bookmarkStart w:id="218" w:name="_Toc487018289"/>
      <w:bookmarkEnd w:id="214"/>
      <w:bookmarkEnd w:id="215"/>
      <w:bookmarkEnd w:id="216"/>
      <w:r>
        <w:t>Interrelationships between individual components</w:t>
      </w:r>
      <w:bookmarkEnd w:id="217"/>
      <w:bookmarkEnd w:id="218"/>
    </w:p>
    <w:p w:rsidR="00287569" w:rsidRPr="00C362C1" w:rsidRDefault="00287569" w:rsidP="00272737">
      <w:pPr>
        <w:keepNext/>
      </w:pPr>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84"/>
      </w:r>
      <w:r w:rsidRPr="009D2C84">
        <w:t xml:space="preserve"> Interrelationships can take various forms, including:</w:t>
      </w:r>
    </w:p>
    <w:p w:rsidR="00287569" w:rsidRPr="00524603" w:rsidRDefault="00287569" w:rsidP="00287569">
      <w:pPr>
        <w:pStyle w:val="AERbulletlistfirststyle"/>
      </w:pPr>
      <w:proofErr w:type="gramStart"/>
      <w:r w:rsidRPr="00C362C1">
        <w:t>underlying</w:t>
      </w:r>
      <w:proofErr w:type="gramEnd"/>
      <w:r w:rsidRPr="00C362C1">
        <w:t xml:space="preserve"> drivers and context which are likely to affect many constituent components of our decision. For example, forecast demand affects the </w:t>
      </w:r>
      <w:r w:rsidRPr="00524603">
        <w:t>forecasts of efficient levels of capex and opex in the access arrangement period (see attachments 6, 7 and 13).</w:t>
      </w:r>
    </w:p>
    <w:p w:rsidR="00287569" w:rsidRPr="00524603" w:rsidRDefault="00287569" w:rsidP="00287569">
      <w:pPr>
        <w:pStyle w:val="AERbulletlistfirststyle"/>
      </w:pPr>
      <w:proofErr w:type="gramStart"/>
      <w:r w:rsidRPr="00C362C1">
        <w:t>direct</w:t>
      </w:r>
      <w:proofErr w:type="gramEnd"/>
      <w:r w:rsidRPr="00C362C1">
        <w:t xml:space="preserve"> mathematical links between different components of a decision. For example, the </w:t>
      </w:r>
      <w:r w:rsidRPr="00524603">
        <w:t>value of imputation credits (gamma) has an impact on the appropriate tax allowance; the benchmark efficient entity's debt to equity ratio has a direct effect on the cost of equity, the cost of debt, and the overall vanilla rate of return (see attachments 3, 4 and 8).</w:t>
      </w:r>
    </w:p>
    <w:p w:rsidR="00287569" w:rsidRPr="00524603" w:rsidRDefault="00287569" w:rsidP="00287569">
      <w:pPr>
        <w:pStyle w:val="AERbulletlistfirststyle"/>
      </w:pPr>
      <w:proofErr w:type="gramStart"/>
      <w:r w:rsidRPr="00C362C1">
        <w:t>trade-</w:t>
      </w:r>
      <w:proofErr w:type="gramEnd"/>
      <w:r w:rsidRPr="00C362C1">
        <w:t>offs between different components of revenue. For example, undertaking a particular capex project may affect the need for opex and vice versa</w:t>
      </w:r>
      <w:r w:rsidRPr="00524603">
        <w:t xml:space="preserve"> (see attachments 6 and 7).</w:t>
      </w:r>
    </w:p>
    <w:p w:rsidR="00287569" w:rsidRPr="00524603" w:rsidRDefault="00287569" w:rsidP="00287569">
      <w:pPr>
        <w:pStyle w:val="AERbulletlistfirststyle"/>
      </w:pPr>
      <w:proofErr w:type="gramStart"/>
      <w:r w:rsidRPr="00C362C1">
        <w:t>trade-</w:t>
      </w:r>
      <w:proofErr w:type="gramEnd"/>
      <w:r w:rsidRPr="00C362C1">
        <w:t xml:space="preserve">offs between forecast and actual regulatory measures. The reasons </w:t>
      </w:r>
      <w:r w:rsidR="000E573C">
        <w:t>supporting</w:t>
      </w:r>
      <w:r w:rsidR="000E573C" w:rsidRPr="00C362C1">
        <w:t xml:space="preserve"> </w:t>
      </w:r>
      <w:r w:rsidRPr="00C362C1">
        <w:t xml:space="preserve">one part of a proposal may have impacts on other parts of a proposal. For example, </w:t>
      </w:r>
      <w:r w:rsidRPr="00524603">
        <w:t>completion of forecast augmentation (capex) to the network will mean the service provider has more assets to maintain, leading to higher opex requirements (see attachments 6 and 7).</w:t>
      </w:r>
    </w:p>
    <w:p w:rsidR="00287569" w:rsidRPr="00524603" w:rsidRDefault="00287569" w:rsidP="00287569">
      <w:pPr>
        <w:pStyle w:val="AERbulletlistfirststyle"/>
      </w:pPr>
      <w:proofErr w:type="gramStart"/>
      <w:r w:rsidRPr="00C362C1">
        <w:t>the</w:t>
      </w:r>
      <w:proofErr w:type="gramEnd"/>
      <w:r w:rsidRPr="00C362C1">
        <w:t xml:space="preserve"> </w:t>
      </w:r>
      <w:r w:rsidRPr="00524603">
        <w:t>service provider's approach to managing its network. The service provider's governance arrangements and its approach to risk management will influence most aspects of the proposal, including capex/opex trade-offs (see attachments 6 and 7).</w:t>
      </w:r>
    </w:p>
    <w:p w:rsidR="00287569" w:rsidRDefault="00287569" w:rsidP="00C34012">
      <w:r w:rsidRPr="009D2C84">
        <w:t>We have considered interrelationships</w:t>
      </w:r>
      <w:r>
        <w:t>, including those above,</w:t>
      </w:r>
      <w:r w:rsidRPr="009D2C84">
        <w:t xml:space="preserve"> in our analysis of the </w:t>
      </w:r>
      <w:r>
        <w:t>individual</w:t>
      </w:r>
      <w:r w:rsidRPr="009D2C84">
        <w:t xml:space="preserve"> components of our </w:t>
      </w:r>
      <w:r>
        <w:t xml:space="preserve">draft </w:t>
      </w:r>
      <w:r w:rsidRPr="009D2C84">
        <w:t xml:space="preserve">decision. </w:t>
      </w:r>
      <w:r>
        <w:t>These considerations are explored in the relevant attachments</w:t>
      </w:r>
      <w:r w:rsidRPr="009D2C84">
        <w:t>.</w:t>
      </w:r>
    </w:p>
    <w:p w:rsidR="00287569" w:rsidRDefault="00287569" w:rsidP="00287569">
      <w:pPr>
        <w:pStyle w:val="Heading1"/>
      </w:pPr>
      <w:bookmarkStart w:id="219" w:name="_Toc481056467"/>
      <w:bookmarkStart w:id="220" w:name="_Ref481056678"/>
      <w:bookmarkStart w:id="221" w:name="_Toc487018290"/>
      <w:r>
        <w:t>Consultation</w:t>
      </w:r>
      <w:bookmarkEnd w:id="219"/>
      <w:bookmarkEnd w:id="220"/>
      <w:bookmarkEnd w:id="221"/>
    </w:p>
    <w:p w:rsidR="00287569" w:rsidRPr="00E75F4D" w:rsidRDefault="00287569" w:rsidP="00287569">
      <w:r w:rsidRPr="00E75F4D">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 under which we have:</w:t>
      </w:r>
    </w:p>
    <w:p w:rsidR="00287569" w:rsidRPr="00524603" w:rsidRDefault="00287569" w:rsidP="00287569">
      <w:pPr>
        <w:pStyle w:val="AERbulletlistfirststyle"/>
      </w:pPr>
      <w:r w:rsidRPr="00E75F4D">
        <w:t xml:space="preserve">published </w:t>
      </w:r>
      <w:r>
        <w:t>APA</w:t>
      </w:r>
      <w:r w:rsidRPr="00524603">
        <w:t xml:space="preserve">'s access arrangement revision proposal and the material </w:t>
      </w:r>
      <w:r>
        <w:t>APA</w:t>
      </w:r>
      <w:r w:rsidRPr="00524603">
        <w:t xml:space="preserve"> provided in support of that proposal</w:t>
      </w:r>
    </w:p>
    <w:p w:rsidR="00287569" w:rsidRPr="00524603" w:rsidRDefault="00287569" w:rsidP="00287569">
      <w:pPr>
        <w:pStyle w:val="AERbulletlistfirststyle"/>
      </w:pPr>
      <w:r w:rsidRPr="00E75F4D">
        <w:t xml:space="preserve">invited and had regard to submissions on </w:t>
      </w:r>
      <w:r>
        <w:t>APA</w:t>
      </w:r>
      <w:r w:rsidRPr="00524603">
        <w:t xml:space="preserve">'s proposal </w:t>
      </w:r>
    </w:p>
    <w:p w:rsidR="00287569" w:rsidRDefault="00287569" w:rsidP="00287569">
      <w:pPr>
        <w:pStyle w:val="AERbulletlistfirststyle"/>
      </w:pPr>
      <w:r>
        <w:t xml:space="preserve">consulted directly with APA in relation to </w:t>
      </w:r>
      <w:r w:rsidR="00BF7B18">
        <w:t>submissions received from APA's stakeholders including</w:t>
      </w:r>
      <w:r w:rsidR="00231C90">
        <w:t xml:space="preserve"> AEMO, the </w:t>
      </w:r>
      <w:r w:rsidR="00BF7B18">
        <w:t>operator</w:t>
      </w:r>
      <w:r w:rsidR="00231C90">
        <w:t xml:space="preserve"> of the VTS</w:t>
      </w:r>
    </w:p>
    <w:p w:rsidR="00287569" w:rsidRPr="00524603" w:rsidRDefault="00287569" w:rsidP="00287569">
      <w:pPr>
        <w:pStyle w:val="AERbulletlistfirststyle"/>
      </w:pPr>
      <w:r>
        <w:t>held a public forum on APA's proposal</w:t>
      </w:r>
    </w:p>
    <w:p w:rsidR="00287569" w:rsidRPr="00524603" w:rsidRDefault="00287569" w:rsidP="00287569">
      <w:pPr>
        <w:pStyle w:val="AERbulletlistfirststyle"/>
      </w:pPr>
      <w:r w:rsidRPr="00E75F4D">
        <w:t xml:space="preserve">published </w:t>
      </w:r>
      <w:r w:rsidRPr="00524603">
        <w:t>this draft decision and reasoning</w:t>
      </w:r>
    </w:p>
    <w:p w:rsidR="00287569" w:rsidRDefault="00287569" w:rsidP="00287569">
      <w:pPr>
        <w:pStyle w:val="AERbulletlistfirststyle"/>
      </w:pPr>
      <w:proofErr w:type="gramStart"/>
      <w:r w:rsidRPr="00E75F4D">
        <w:t>invited</w:t>
      </w:r>
      <w:proofErr w:type="gramEnd"/>
      <w:r w:rsidRPr="00E75F4D">
        <w:t xml:space="preserve"> written submissions on </w:t>
      </w:r>
      <w:r w:rsidRPr="00524603">
        <w:t>this draft decision.</w:t>
      </w:r>
    </w:p>
    <w:p w:rsidR="00287569" w:rsidRPr="00524603" w:rsidRDefault="00287569" w:rsidP="00287569">
      <w:r>
        <w:t xml:space="preserve">We have also consulted on our approaches to these reviews: our 2013 Better Regulation Program brought a wide range of views to our development of assessment tools and techniques and our approaches to decision making. More recently, we have commenced consultation on approaches to forecasting inflation for the purposes of modelling regulated revenues. Our continued engagement on these processes </w:t>
      </w:r>
      <w:r w:rsidR="009F6AC3">
        <w:t>enables us to identify and</w:t>
      </w:r>
      <w:r>
        <w:t xml:space="preserve"> reflect stakeholder priorities and </w:t>
      </w:r>
      <w:r w:rsidRPr="00E75F4D">
        <w:rPr>
          <w:rStyle w:val="AERbody"/>
        </w:rPr>
        <w:t>will result in decisions that will or are likely to contribute to the achievement of the NGO to the greatest degree</w:t>
      </w:r>
      <w:r>
        <w:rPr>
          <w:rStyle w:val="AERbody"/>
        </w:rPr>
        <w:t>.</w:t>
      </w:r>
    </w:p>
    <w:p w:rsidR="00287569" w:rsidRDefault="00BF7B18" w:rsidP="00287569">
      <w:pPr>
        <w:pStyle w:val="Heading2"/>
      </w:pPr>
      <w:bookmarkStart w:id="222" w:name="_Toc481056468"/>
      <w:bookmarkStart w:id="223" w:name="_Toc487018291"/>
      <w:r>
        <w:t>APA</w:t>
      </w:r>
      <w:r w:rsidR="00287569">
        <w:t>'s engagement with customers</w:t>
      </w:r>
      <w:bookmarkEnd w:id="222"/>
      <w:bookmarkEnd w:id="223"/>
    </w:p>
    <w:p w:rsidR="00BF7B18" w:rsidRDefault="000121AA" w:rsidP="00BF7B18">
      <w:r>
        <w:t>Other than a brief discussion in its proposal,</w:t>
      </w:r>
      <w:r>
        <w:rPr>
          <w:rStyle w:val="FootnoteReference"/>
        </w:rPr>
        <w:footnoteReference w:id="85"/>
      </w:r>
      <w:r>
        <w:t xml:space="preserve"> </w:t>
      </w:r>
      <w:r w:rsidR="00BF7B18">
        <w:t xml:space="preserve">APA has not provided evidence that it undertook engagement with its users in developing its access arrangement proposal. </w:t>
      </w:r>
      <w:r w:rsidR="00217DBE">
        <w:t>CCP11</w:t>
      </w:r>
      <w:r w:rsidR="00231C90">
        <w:t xml:space="preserve"> made particular note of this</w:t>
      </w:r>
      <w:r w:rsidR="00217DBE">
        <w:t>. In their submission CCP11 was unable to establish whether APA had addressed feedback from stakeholders within its proposal.</w:t>
      </w:r>
      <w:r w:rsidR="0000547F">
        <w:t xml:space="preserve"> Prior to submission of its proposal, CCP11 </w:t>
      </w:r>
      <w:r w:rsidR="00F75EF6">
        <w:t>offered assistance to APA in providing feedback on their stakeholder engagement plan; however this offer was not taken up.</w:t>
      </w:r>
      <w:r w:rsidR="00217DBE">
        <w:t xml:space="preserve"> </w:t>
      </w:r>
      <w:r w:rsidR="00BF7B18">
        <w:t xml:space="preserve">We consider that consumer engagement is important in regulatory processes as it </w:t>
      </w:r>
      <w:r w:rsidR="0000547F">
        <w:t xml:space="preserve">supports </w:t>
      </w:r>
      <w:r w:rsidR="00BF7B18">
        <w:t>regulatory outcomes that better align with consumers' long term interests.</w:t>
      </w:r>
      <w:r w:rsidR="009F6AC3" w:rsidDel="009F6AC3">
        <w:rPr>
          <w:rStyle w:val="FootnoteReference"/>
        </w:rPr>
        <w:t xml:space="preserve"> </w:t>
      </w:r>
      <w:r w:rsidR="00BF7B18">
        <w:t xml:space="preserve"> </w:t>
      </w:r>
    </w:p>
    <w:p w:rsidR="00BF7B18" w:rsidRDefault="00BF7B18" w:rsidP="00BF7B18">
      <w:r>
        <w:t xml:space="preserve">The AER's Consumer Engagement Guideline for Network Service Providers (guideline) sets out how we expect service providers to engage with their consumers. As noted in our guideline, stronger consumer engagement can help us test service providers' expenditure proposals, and can raise alternative </w:t>
      </w:r>
      <w:proofErr w:type="gramStart"/>
      <w:r>
        <w:t>views</w:t>
      </w:r>
      <w:proofErr w:type="gramEnd"/>
      <w:r>
        <w:t xml:space="preserve"> on matters such as service priorities, capex proposals, and price structures. Although our guideline is not binding, we have stated that we expect all service providers to adopt the guideline and demonstrate a commitment to ongoing and genuine consumer engagement.</w:t>
      </w:r>
      <w:r>
        <w:rPr>
          <w:rStyle w:val="FootnoteReference"/>
        </w:rPr>
        <w:footnoteReference w:id="86"/>
      </w:r>
    </w:p>
    <w:p w:rsidR="00287569" w:rsidRDefault="0000547F" w:rsidP="00C34012">
      <w:r>
        <w:t>Our own c</w:t>
      </w:r>
      <w:r w:rsidR="00BF7B18">
        <w:t>onsultation</w:t>
      </w:r>
      <w:r>
        <w:t xml:space="preserve"> on APA's proposal</w:t>
      </w:r>
      <w:r w:rsidR="00BF7B18">
        <w:t xml:space="preserve"> has shown that there is considerable </w:t>
      </w:r>
      <w:r w:rsidR="00840BD3">
        <w:t>stakeholder</w:t>
      </w:r>
      <w:r w:rsidR="00BF7B18">
        <w:t xml:space="preserve"> interest in</w:t>
      </w:r>
      <w:r w:rsidR="00840BD3">
        <w:t xml:space="preserve"> APA's capex program as well as pricing tariffs on withdrawals at Culcairn</w:t>
      </w:r>
      <w:r w:rsidR="00DC4C4D">
        <w:t>.</w:t>
      </w:r>
      <w:r w:rsidR="00DC4C4D" w:rsidRPr="00DC4C4D">
        <w:t xml:space="preserve"> </w:t>
      </w:r>
      <w:r w:rsidR="00840BD3">
        <w:t>We consider that APA</w:t>
      </w:r>
      <w:r w:rsidR="00DC4C4D">
        <w:t xml:space="preserve">'s access arrangement proposal would have benefited from </w:t>
      </w:r>
      <w:r w:rsidR="00840BD3">
        <w:t>stakeholder</w:t>
      </w:r>
      <w:r w:rsidR="00DC4C4D">
        <w:t xml:space="preserve"> engagement on these matters at an early stage.</w:t>
      </w:r>
      <w:r w:rsidR="00217DBE">
        <w:t xml:space="preserve"> </w:t>
      </w:r>
      <w:r w:rsidR="000121AA">
        <w:t>APA's proposal notes that it</w:t>
      </w:r>
      <w:r w:rsidR="000121AA" w:rsidRPr="000121AA">
        <w:t xml:space="preserve"> has developed the first phase of its Consumer Engagement Plan</w:t>
      </w:r>
      <w:r w:rsidR="000121AA">
        <w:t xml:space="preserve"> </w:t>
      </w:r>
      <w:r w:rsidR="000121AA" w:rsidRPr="000121AA">
        <w:t>which is focused on identifying relevant consumer stakeholders and</w:t>
      </w:r>
      <w:r w:rsidR="000121AA">
        <w:t xml:space="preserve"> </w:t>
      </w:r>
      <w:r w:rsidR="000121AA" w:rsidRPr="000121AA">
        <w:t>potential approaches for engagement.</w:t>
      </w:r>
      <w:r w:rsidR="000121AA">
        <w:rPr>
          <w:rStyle w:val="FootnoteReference"/>
        </w:rPr>
        <w:footnoteReference w:id="87"/>
      </w:r>
      <w:r w:rsidR="000121AA">
        <w:t xml:space="preserve"> </w:t>
      </w:r>
      <w:r w:rsidR="00840BD3">
        <w:t xml:space="preserve">We recommend that </w:t>
      </w:r>
      <w:r w:rsidR="00C51D96">
        <w:t>APA</w:t>
      </w:r>
      <w:r w:rsidR="001C1B18" w:rsidRPr="001C1B18">
        <w:t xml:space="preserve"> undertake more rigo</w:t>
      </w:r>
      <w:r w:rsidR="001C1B18">
        <w:t>rous engagement from this point</w:t>
      </w:r>
      <w:r w:rsidR="001C1B18" w:rsidRPr="001C1B18">
        <w:t>, including in the deve</w:t>
      </w:r>
      <w:r w:rsidR="001C1B18">
        <w:t>lopment of its revised proposal</w:t>
      </w:r>
      <w:r w:rsidR="001C1B18" w:rsidRPr="001C1B18">
        <w:t>, to build confidence between APA, AEMO and its users</w:t>
      </w:r>
      <w:r w:rsidR="00C51D96">
        <w:t xml:space="preserve"> </w:t>
      </w:r>
      <w:r w:rsidR="001C1B18" w:rsidRPr="001C1B18">
        <w:t>that its proposal addresses their concerns and is supported</w:t>
      </w:r>
      <w:r w:rsidR="00DC4C4D">
        <w:t>.</w:t>
      </w:r>
    </w:p>
    <w:p w:rsidR="006328E7" w:rsidRDefault="006328E7" w:rsidP="006328E7">
      <w:pPr>
        <w:pStyle w:val="Heading7"/>
      </w:pPr>
      <w:bookmarkStart w:id="224" w:name="_Toc430002805"/>
      <w:bookmarkStart w:id="225" w:name="_Ref433793731"/>
      <w:bookmarkStart w:id="226" w:name="_Toc444855401"/>
      <w:bookmarkStart w:id="227" w:name="_Ref476037787"/>
      <w:bookmarkStart w:id="228" w:name="_Toc487018292"/>
      <w:r>
        <w:t>List of submissions</w:t>
      </w:r>
      <w:bookmarkEnd w:id="224"/>
      <w:bookmarkEnd w:id="225"/>
      <w:bookmarkEnd w:id="226"/>
      <w:bookmarkEnd w:id="227"/>
      <w:bookmarkEnd w:id="228"/>
    </w:p>
    <w:p w:rsidR="006328E7" w:rsidRPr="00157A02" w:rsidRDefault="006328E7" w:rsidP="006328E7"/>
    <w:tbl>
      <w:tblPr>
        <w:tblStyle w:val="AERtable-text0"/>
        <w:tblW w:w="0" w:type="auto"/>
        <w:tblLook w:val="04A0" w:firstRow="1" w:lastRow="0" w:firstColumn="1" w:lastColumn="0" w:noHBand="0" w:noVBand="1"/>
      </w:tblPr>
      <w:tblGrid>
        <w:gridCol w:w="6487"/>
        <w:gridCol w:w="2206"/>
      </w:tblGrid>
      <w:tr w:rsidR="006328E7" w:rsidTr="006328E7">
        <w:trPr>
          <w:cnfStyle w:val="100000000000" w:firstRow="1" w:lastRow="0" w:firstColumn="0" w:lastColumn="0" w:oddVBand="0" w:evenVBand="0" w:oddHBand="0" w:evenHBand="0" w:firstRowFirstColumn="0" w:firstRowLastColumn="0" w:lastRowFirstColumn="0" w:lastRowLastColumn="0"/>
        </w:trPr>
        <w:tc>
          <w:tcPr>
            <w:tcW w:w="6487" w:type="dxa"/>
          </w:tcPr>
          <w:p w:rsidR="006328E7" w:rsidRPr="006328E7" w:rsidRDefault="006328E7" w:rsidP="006328E7">
            <w:r>
              <w:t>Submission from</w:t>
            </w:r>
          </w:p>
        </w:tc>
        <w:tc>
          <w:tcPr>
            <w:tcW w:w="2206" w:type="dxa"/>
          </w:tcPr>
          <w:p w:rsidR="006328E7" w:rsidRPr="006328E7" w:rsidRDefault="006328E7" w:rsidP="006328E7">
            <w:r>
              <w:t>Date received</w:t>
            </w:r>
          </w:p>
        </w:tc>
      </w:tr>
      <w:tr w:rsidR="006328E7" w:rsidTr="006328E7">
        <w:tc>
          <w:tcPr>
            <w:tcW w:w="6487" w:type="dxa"/>
          </w:tcPr>
          <w:p w:rsidR="006328E7" w:rsidRPr="006328E7" w:rsidRDefault="006328E7" w:rsidP="006328E7">
            <w:r>
              <w:t xml:space="preserve">Australian </w:t>
            </w:r>
            <w:r w:rsidRPr="006328E7">
              <w:t xml:space="preserve">Energy </w:t>
            </w:r>
            <w:r>
              <w:t>Market Operator</w:t>
            </w:r>
          </w:p>
        </w:tc>
        <w:tc>
          <w:tcPr>
            <w:tcW w:w="2206" w:type="dxa"/>
          </w:tcPr>
          <w:p w:rsidR="006328E7" w:rsidRPr="006328E7" w:rsidRDefault="006328E7" w:rsidP="0000547F">
            <w:r>
              <w:t>3 March 2017</w:t>
            </w:r>
            <w:r w:rsidR="0000547F">
              <w:t>, 16 May 2017*</w:t>
            </w:r>
          </w:p>
        </w:tc>
      </w:tr>
      <w:tr w:rsidR="006328E7" w:rsidTr="006328E7">
        <w:trPr>
          <w:cnfStyle w:val="000000010000" w:firstRow="0" w:lastRow="0" w:firstColumn="0" w:lastColumn="0" w:oddVBand="0" w:evenVBand="0" w:oddHBand="0" w:evenHBand="1" w:firstRowFirstColumn="0" w:firstRowLastColumn="0" w:lastRowFirstColumn="0" w:lastRowLastColumn="0"/>
        </w:trPr>
        <w:tc>
          <w:tcPr>
            <w:tcW w:w="6487" w:type="dxa"/>
          </w:tcPr>
          <w:p w:rsidR="006328E7" w:rsidRPr="006328E7" w:rsidRDefault="006328E7" w:rsidP="006328E7">
            <w:r>
              <w:t>Consortium of Gas Market Participants</w:t>
            </w:r>
          </w:p>
        </w:tc>
        <w:tc>
          <w:tcPr>
            <w:tcW w:w="2206" w:type="dxa"/>
          </w:tcPr>
          <w:p w:rsidR="006328E7" w:rsidRPr="006328E7" w:rsidRDefault="006328E7" w:rsidP="006328E7">
            <w:r>
              <w:t>3</w:t>
            </w:r>
            <w:r w:rsidRPr="006328E7">
              <w:t xml:space="preserve"> March 2017</w:t>
            </w:r>
          </w:p>
        </w:tc>
      </w:tr>
      <w:tr w:rsidR="006328E7" w:rsidTr="006328E7">
        <w:tc>
          <w:tcPr>
            <w:tcW w:w="6487" w:type="dxa"/>
          </w:tcPr>
          <w:p w:rsidR="006328E7" w:rsidRPr="006328E7" w:rsidRDefault="006328E7" w:rsidP="006328E7">
            <w:r>
              <w:t>Consumer Challenge Panel (CCP11)</w:t>
            </w:r>
          </w:p>
        </w:tc>
        <w:tc>
          <w:tcPr>
            <w:tcW w:w="2206" w:type="dxa"/>
          </w:tcPr>
          <w:p w:rsidR="006328E7" w:rsidRPr="006328E7" w:rsidRDefault="006328E7" w:rsidP="00DE1AA9">
            <w:r>
              <w:t>3</w:t>
            </w:r>
            <w:r w:rsidRPr="006328E7">
              <w:t xml:space="preserve"> March 2017</w:t>
            </w:r>
            <w:r w:rsidR="0000547F">
              <w:t xml:space="preserve">, </w:t>
            </w:r>
            <w:r w:rsidR="00DE1AA9">
              <w:t>6 June 2017</w:t>
            </w:r>
            <w:r w:rsidR="0000547F">
              <w:t>*</w:t>
            </w:r>
          </w:p>
        </w:tc>
      </w:tr>
      <w:tr w:rsidR="006328E7" w:rsidTr="006328E7">
        <w:trPr>
          <w:cnfStyle w:val="000000010000" w:firstRow="0" w:lastRow="0" w:firstColumn="0" w:lastColumn="0" w:oddVBand="0" w:evenVBand="0" w:oddHBand="0" w:evenHBand="1" w:firstRowFirstColumn="0" w:firstRowLastColumn="0" w:lastRowFirstColumn="0" w:lastRowLastColumn="0"/>
        </w:trPr>
        <w:tc>
          <w:tcPr>
            <w:tcW w:w="6487" w:type="dxa"/>
          </w:tcPr>
          <w:p w:rsidR="006328E7" w:rsidRDefault="006328E7" w:rsidP="006328E7">
            <w:r>
              <w:t>Energy Australia</w:t>
            </w:r>
          </w:p>
        </w:tc>
        <w:tc>
          <w:tcPr>
            <w:tcW w:w="2206" w:type="dxa"/>
          </w:tcPr>
          <w:p w:rsidR="006328E7" w:rsidRDefault="006328E7" w:rsidP="006328E7">
            <w:r>
              <w:t>3</w:t>
            </w:r>
            <w:r w:rsidRPr="006328E7">
              <w:t xml:space="preserve"> March 2017</w:t>
            </w:r>
          </w:p>
        </w:tc>
      </w:tr>
      <w:tr w:rsidR="006328E7" w:rsidTr="006328E7">
        <w:tc>
          <w:tcPr>
            <w:tcW w:w="6487" w:type="dxa"/>
          </w:tcPr>
          <w:p w:rsidR="006328E7" w:rsidRPr="006328E7" w:rsidRDefault="006328E7" w:rsidP="006328E7">
            <w:r>
              <w:t>Tasmanian Gas Pipeline Pty Ltd</w:t>
            </w:r>
          </w:p>
        </w:tc>
        <w:tc>
          <w:tcPr>
            <w:tcW w:w="2206" w:type="dxa"/>
          </w:tcPr>
          <w:p w:rsidR="006328E7" w:rsidRPr="006328E7" w:rsidRDefault="006328E7" w:rsidP="006328E7">
            <w:r>
              <w:t>3</w:t>
            </w:r>
            <w:r w:rsidRPr="006328E7">
              <w:t xml:space="preserve"> March 2017</w:t>
            </w:r>
          </w:p>
        </w:tc>
      </w:tr>
      <w:tr w:rsidR="006328E7" w:rsidTr="006328E7">
        <w:trPr>
          <w:cnfStyle w:val="000000010000" w:firstRow="0" w:lastRow="0" w:firstColumn="0" w:lastColumn="0" w:oddVBand="0" w:evenVBand="0" w:oddHBand="0" w:evenHBand="1" w:firstRowFirstColumn="0" w:firstRowLastColumn="0" w:lastRowFirstColumn="0" w:lastRowLastColumn="0"/>
        </w:trPr>
        <w:tc>
          <w:tcPr>
            <w:tcW w:w="6487" w:type="dxa"/>
          </w:tcPr>
          <w:p w:rsidR="006328E7" w:rsidRPr="006328E7" w:rsidRDefault="006328E7" w:rsidP="006328E7">
            <w:r>
              <w:t>Powershop Australia</w:t>
            </w:r>
          </w:p>
        </w:tc>
        <w:tc>
          <w:tcPr>
            <w:tcW w:w="2206" w:type="dxa"/>
          </w:tcPr>
          <w:p w:rsidR="006328E7" w:rsidRPr="006328E7" w:rsidRDefault="006328E7" w:rsidP="006328E7">
            <w:r>
              <w:t>6</w:t>
            </w:r>
            <w:r w:rsidRPr="006328E7">
              <w:t xml:space="preserve"> March 2017</w:t>
            </w:r>
          </w:p>
        </w:tc>
      </w:tr>
      <w:tr w:rsidR="006328E7" w:rsidTr="006328E7">
        <w:tc>
          <w:tcPr>
            <w:tcW w:w="6487" w:type="dxa"/>
          </w:tcPr>
          <w:p w:rsidR="006328E7" w:rsidRPr="006328E7" w:rsidRDefault="006328E7" w:rsidP="006328E7">
            <w:r>
              <w:t>Lochard Energy</w:t>
            </w:r>
          </w:p>
        </w:tc>
        <w:tc>
          <w:tcPr>
            <w:tcW w:w="2206" w:type="dxa"/>
          </w:tcPr>
          <w:p w:rsidR="006328E7" w:rsidRPr="006328E7" w:rsidRDefault="006328E7" w:rsidP="006328E7">
            <w:r>
              <w:t>8</w:t>
            </w:r>
            <w:r w:rsidRPr="006328E7">
              <w:t xml:space="preserve"> March 2017</w:t>
            </w:r>
          </w:p>
        </w:tc>
      </w:tr>
      <w:tr w:rsidR="006328E7" w:rsidTr="006328E7">
        <w:trPr>
          <w:cnfStyle w:val="000000010000" w:firstRow="0" w:lastRow="0" w:firstColumn="0" w:lastColumn="0" w:oddVBand="0" w:evenVBand="0" w:oddHBand="0" w:evenHBand="1" w:firstRowFirstColumn="0" w:firstRowLastColumn="0" w:lastRowFirstColumn="0" w:lastRowLastColumn="0"/>
        </w:trPr>
        <w:tc>
          <w:tcPr>
            <w:tcW w:w="6487" w:type="dxa"/>
          </w:tcPr>
          <w:p w:rsidR="006328E7" w:rsidRPr="006328E7" w:rsidRDefault="006328E7" w:rsidP="006328E7">
            <w:r>
              <w:t>Origin Energy</w:t>
            </w:r>
          </w:p>
        </w:tc>
        <w:tc>
          <w:tcPr>
            <w:tcW w:w="2206" w:type="dxa"/>
          </w:tcPr>
          <w:p w:rsidR="006328E7" w:rsidRPr="006328E7" w:rsidRDefault="006328E7" w:rsidP="006328E7">
            <w:r>
              <w:t>8</w:t>
            </w:r>
            <w:r w:rsidRPr="006328E7">
              <w:t xml:space="preserve"> March 2017</w:t>
            </w:r>
          </w:p>
        </w:tc>
      </w:tr>
      <w:tr w:rsidR="006328E7" w:rsidTr="006328E7">
        <w:tc>
          <w:tcPr>
            <w:tcW w:w="6487" w:type="dxa"/>
          </w:tcPr>
          <w:p w:rsidR="006328E7" w:rsidRPr="006328E7" w:rsidRDefault="006328E7" w:rsidP="006328E7">
            <w:r>
              <w:t>Bev</w:t>
            </w:r>
            <w:r w:rsidR="00D7074F">
              <w:t>erly</w:t>
            </w:r>
            <w:r>
              <w:t xml:space="preserve"> Hughson </w:t>
            </w:r>
          </w:p>
        </w:tc>
        <w:tc>
          <w:tcPr>
            <w:tcW w:w="2206" w:type="dxa"/>
          </w:tcPr>
          <w:p w:rsidR="006328E7" w:rsidRPr="006328E7" w:rsidRDefault="006328E7" w:rsidP="006328E7">
            <w:r>
              <w:t>2</w:t>
            </w:r>
            <w:r w:rsidRPr="006328E7">
              <w:t>2 March 2017</w:t>
            </w:r>
          </w:p>
        </w:tc>
      </w:tr>
      <w:tr w:rsidR="006328E7" w:rsidTr="006328E7">
        <w:trPr>
          <w:cnfStyle w:val="000000010000" w:firstRow="0" w:lastRow="0" w:firstColumn="0" w:lastColumn="0" w:oddVBand="0" w:evenVBand="0" w:oddHBand="0" w:evenHBand="1" w:firstRowFirstColumn="0" w:firstRowLastColumn="0" w:lastRowFirstColumn="0" w:lastRowLastColumn="0"/>
        </w:trPr>
        <w:tc>
          <w:tcPr>
            <w:tcW w:w="6487" w:type="dxa"/>
          </w:tcPr>
          <w:p w:rsidR="006328E7" w:rsidRPr="006328E7" w:rsidRDefault="006328E7" w:rsidP="006328E7">
            <w:r>
              <w:t>Visy Industries Australia</w:t>
            </w:r>
          </w:p>
        </w:tc>
        <w:tc>
          <w:tcPr>
            <w:tcW w:w="2206" w:type="dxa"/>
          </w:tcPr>
          <w:p w:rsidR="006328E7" w:rsidRPr="006328E7" w:rsidRDefault="006328E7" w:rsidP="006328E7">
            <w:r>
              <w:t>30</w:t>
            </w:r>
            <w:r w:rsidRPr="006328E7">
              <w:t xml:space="preserve"> March 2017</w:t>
            </w:r>
          </w:p>
        </w:tc>
      </w:tr>
      <w:tr w:rsidR="00C51D96" w:rsidTr="006328E7">
        <w:tc>
          <w:tcPr>
            <w:tcW w:w="6487" w:type="dxa"/>
          </w:tcPr>
          <w:p w:rsidR="00C51D96" w:rsidRDefault="00C51D96" w:rsidP="006328E7">
            <w:r w:rsidRPr="00C51D96">
              <w:t>Lily D'Ambrosio MP</w:t>
            </w:r>
          </w:p>
        </w:tc>
        <w:tc>
          <w:tcPr>
            <w:tcW w:w="2206" w:type="dxa"/>
          </w:tcPr>
          <w:p w:rsidR="00C51D96" w:rsidRDefault="00C51D96" w:rsidP="006328E7">
            <w:r>
              <w:t>26 May 2017</w:t>
            </w:r>
          </w:p>
        </w:tc>
      </w:tr>
    </w:tbl>
    <w:p w:rsidR="006328E7" w:rsidRPr="00157A02" w:rsidRDefault="0000547F" w:rsidP="0000547F">
      <w:pPr>
        <w:pStyle w:val="AERtablesource"/>
      </w:pPr>
      <w:r>
        <w:t xml:space="preserve">* </w:t>
      </w:r>
      <w:r>
        <w:tab/>
        <w:t>To assist our assessment of additional capex required to address stakeholder concerns raised in submissions, we sought targeted advice from AEMO and CCP11.</w:t>
      </w:r>
    </w:p>
    <w:p w:rsidR="003D3BC4" w:rsidRPr="001775C9" w:rsidRDefault="003D3BC4" w:rsidP="001775C9"/>
    <w:sectPr w:rsidR="003D3BC4" w:rsidRPr="001775C9" w:rsidSect="00F66400">
      <w:headerReference w:type="default" r:id="rId25"/>
      <w:footerReference w:type="even" r:id="rId26"/>
      <w:footerReference w:type="default" r:id="rId27"/>
      <w:footerReference w:type="first" r:id="rId2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E73" w:rsidRPr="00290C63" w:rsidRDefault="00A53E73" w:rsidP="00290C63">
      <w:r>
        <w:separator/>
      </w:r>
    </w:p>
    <w:p w:rsidR="00A53E73" w:rsidRDefault="00A53E73"/>
  </w:endnote>
  <w:endnote w:type="continuationSeparator" w:id="0">
    <w:p w:rsidR="00A53E73" w:rsidRPr="00290C63" w:rsidRDefault="00A53E73" w:rsidP="00290C63">
      <w:r>
        <w:continuationSeparator/>
      </w:r>
    </w:p>
    <w:p w:rsidR="00A53E73" w:rsidRDefault="00A53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73" w:rsidRPr="00290C63" w:rsidRDefault="00A53E7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Pr>
        <w:rStyle w:val="PageNumber"/>
        <w:noProof/>
      </w:rPr>
      <w:t>46</w:t>
    </w:r>
    <w:r w:rsidRPr="00290C63">
      <w:rPr>
        <w:rStyle w:val="PageNumber"/>
      </w:rPr>
      <w:fldChar w:fldCharType="end"/>
    </w:r>
    <w:r w:rsidRPr="00290C63">
      <w:rPr>
        <w:rStyle w:val="PageNumber"/>
      </w:rPr>
      <w:tab/>
      <w:t>Xxx report—month/year</w:t>
    </w:r>
  </w:p>
  <w:p w:rsidR="00A53E73" w:rsidRDefault="00A53E73"/>
  <w:p w:rsidR="00A53E73" w:rsidRDefault="00A53E73"/>
  <w:p w:rsidR="00A53E73" w:rsidRDefault="00A53E73"/>
  <w:p w:rsidR="00A53E73" w:rsidRDefault="00A53E73"/>
  <w:p w:rsidR="00A53E73" w:rsidRDefault="00A53E73"/>
  <w:p w:rsidR="00A53E73" w:rsidRDefault="00A53E73"/>
  <w:p w:rsidR="00A53E73" w:rsidRDefault="00A53E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A53E73" w:rsidRPr="009B6F84" w:rsidRDefault="00A53E73">
        <w:pPr>
          <w:pStyle w:val="Footer"/>
          <w:rPr>
            <w:sz w:val="20"/>
          </w:rPr>
        </w:pPr>
        <w:r>
          <w:fldChar w:fldCharType="begin"/>
        </w:r>
        <w:r>
          <w:instrText xml:space="preserve"> PAGE   \* MERGEFORMAT </w:instrText>
        </w:r>
        <w:r>
          <w:fldChar w:fldCharType="separate"/>
        </w:r>
        <w:r w:rsidR="00971C32">
          <w:rPr>
            <w:noProof/>
          </w:rPr>
          <w:t>0</w:t>
        </w:r>
        <w:r>
          <w:rPr>
            <w:noProof/>
          </w:rPr>
          <w:fldChar w:fldCharType="end"/>
        </w:r>
        <w:r>
          <w:rPr>
            <w:noProof/>
          </w:rPr>
          <w:t xml:space="preserve">          </w:t>
        </w:r>
        <w:r>
          <w:t>Overview</w:t>
        </w:r>
        <w:r w:rsidRPr="009B6F84">
          <w:rPr>
            <w:rFonts w:cs="Gautami"/>
            <w:noProof/>
            <w:szCs w:val="16"/>
          </w:rPr>
          <w:t xml:space="preserve"> | </w:t>
        </w:r>
        <w:r>
          <w:t>Draft decision - APA VTS gas access arrangement</w:t>
        </w:r>
        <w:r w:rsidRPr="009B6F84">
          <w:rPr>
            <w:sz w:val="20"/>
          </w:rPr>
          <w:t xml:space="preserve"> </w:t>
        </w:r>
        <w:r w:rsidRPr="009B6F84">
          <w:rPr>
            <w:rFonts w:cs="Gautami"/>
            <w:noProof/>
            <w:szCs w:val="16"/>
          </w:rPr>
          <w:t>201</w:t>
        </w:r>
        <w:r>
          <w:t>8</w:t>
        </w:r>
        <w:r>
          <w:rPr>
            <w:rFonts w:cs="Gautami"/>
            <w:noProof/>
            <w:szCs w:val="16"/>
          </w:rPr>
          <w:t>–</w:t>
        </w:r>
        <w:r>
          <w:t>22</w:t>
        </w:r>
      </w:p>
    </w:sdtContent>
  </w:sdt>
  <w:p w:rsidR="00A53E73" w:rsidRDefault="00A53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73" w:rsidRPr="00290C63" w:rsidRDefault="00A53E7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Pr>
        <w:noProof/>
      </w:rPr>
      <w:t>46</w:t>
    </w:r>
    <w:r w:rsidRPr="00290C63">
      <w:fldChar w:fldCharType="end"/>
    </w:r>
  </w:p>
  <w:p w:rsidR="00A53E73" w:rsidRDefault="00A53E73">
    <w:pPr>
      <w:pStyle w:val="Footer"/>
    </w:pPr>
  </w:p>
  <w:p w:rsidR="00A53E73" w:rsidRDefault="00A53E73"/>
  <w:p w:rsidR="00A53E73" w:rsidRDefault="00A53E73"/>
  <w:p w:rsidR="00A53E73" w:rsidRDefault="00A53E73"/>
  <w:p w:rsidR="00A53E73" w:rsidRDefault="00A53E73"/>
  <w:p w:rsidR="00A53E73" w:rsidRDefault="00A53E73"/>
  <w:p w:rsidR="00A53E73" w:rsidRDefault="00A53E73"/>
  <w:p w:rsidR="00A53E73" w:rsidRDefault="00A53E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73" w:rsidRPr="00290C63" w:rsidRDefault="00A53E7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Pr>
        <w:rStyle w:val="PageNumber"/>
        <w:noProof/>
      </w:rPr>
      <w:t>46</w:t>
    </w:r>
    <w:r w:rsidRPr="00290C63">
      <w:rPr>
        <w:rStyle w:val="PageNumber"/>
      </w:rPr>
      <w:fldChar w:fldCharType="end"/>
    </w:r>
    <w:r w:rsidRPr="00290C63">
      <w:rPr>
        <w:rStyle w:val="PageNumber"/>
      </w:rPr>
      <w:tab/>
      <w:t>Xxx report—month/year</w:t>
    </w:r>
  </w:p>
  <w:p w:rsidR="00A53E73" w:rsidRDefault="00A53E73"/>
  <w:p w:rsidR="00A53E73" w:rsidRDefault="00A53E73"/>
  <w:p w:rsidR="00A53E73" w:rsidRDefault="00A53E73"/>
  <w:p w:rsidR="00A53E73" w:rsidRDefault="00A53E73"/>
  <w:p w:rsidR="00A53E73" w:rsidRDefault="00A53E73"/>
  <w:p w:rsidR="00A53E73" w:rsidRDefault="00A53E73"/>
  <w:p w:rsidR="00A53E73" w:rsidRDefault="00A53E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53E73" w:rsidRPr="009B6F84" w:rsidRDefault="00A53E73">
        <w:pPr>
          <w:pStyle w:val="Footer"/>
          <w:rPr>
            <w:sz w:val="20"/>
          </w:rPr>
        </w:pPr>
        <w:r>
          <w:fldChar w:fldCharType="begin"/>
        </w:r>
        <w:r>
          <w:instrText xml:space="preserve"> PAGE   \* MERGEFORMAT </w:instrText>
        </w:r>
        <w:r>
          <w:fldChar w:fldCharType="separate"/>
        </w:r>
        <w:r w:rsidR="00971C32">
          <w:rPr>
            <w:noProof/>
          </w:rPr>
          <w:t>29</w:t>
        </w:r>
        <w:r>
          <w:rPr>
            <w:noProof/>
          </w:rPr>
          <w:fldChar w:fldCharType="end"/>
        </w:r>
        <w:r>
          <w:rPr>
            <w:noProof/>
          </w:rPr>
          <w:t xml:space="preserve">          </w:t>
        </w:r>
        <w:r>
          <w:t>Overview</w:t>
        </w:r>
        <w:r w:rsidRPr="00132D43">
          <w:t xml:space="preserve"> | </w:t>
        </w:r>
        <w:r>
          <w:t>Draft decision - APA VTS gas access arrangement</w:t>
        </w:r>
        <w:r w:rsidRPr="00A51022">
          <w:t xml:space="preserve"> 201</w:t>
        </w:r>
        <w:r>
          <w:t>8</w:t>
        </w:r>
        <w:r w:rsidRPr="00A51022">
          <w:t>–</w:t>
        </w:r>
        <w:r>
          <w:t>22</w:t>
        </w:r>
      </w:p>
    </w:sdtContent>
  </w:sdt>
  <w:p w:rsidR="00A53E73" w:rsidRDefault="00A53E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73" w:rsidRPr="00290C63" w:rsidRDefault="00A53E7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Pr>
        <w:noProof/>
      </w:rPr>
      <w:t>46</w:t>
    </w:r>
    <w:r w:rsidRPr="00290C63">
      <w:fldChar w:fldCharType="end"/>
    </w:r>
  </w:p>
  <w:p w:rsidR="00A53E73" w:rsidRDefault="00A53E73">
    <w:pPr>
      <w:pStyle w:val="Footer"/>
    </w:pPr>
  </w:p>
  <w:p w:rsidR="00A53E73" w:rsidRDefault="00A53E73"/>
  <w:p w:rsidR="00A53E73" w:rsidRDefault="00A53E73"/>
  <w:p w:rsidR="00A53E73" w:rsidRDefault="00A53E73"/>
  <w:p w:rsidR="00A53E73" w:rsidRDefault="00A53E73"/>
  <w:p w:rsidR="00A53E73" w:rsidRDefault="00A53E73"/>
  <w:p w:rsidR="00A53E73" w:rsidRDefault="00A53E73"/>
  <w:p w:rsidR="00A53E73" w:rsidRDefault="00A53E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E73" w:rsidRPr="00290C63" w:rsidRDefault="00A53E73" w:rsidP="00290C63">
      <w:r>
        <w:separator/>
      </w:r>
    </w:p>
    <w:p w:rsidR="00A53E73" w:rsidRDefault="00A53E73"/>
  </w:footnote>
  <w:footnote w:type="continuationSeparator" w:id="0">
    <w:p w:rsidR="00A53E73" w:rsidRPr="00290C63" w:rsidRDefault="00A53E73" w:rsidP="00290C63">
      <w:r>
        <w:continuationSeparator/>
      </w:r>
    </w:p>
    <w:p w:rsidR="00A53E73" w:rsidRDefault="00A53E73"/>
  </w:footnote>
  <w:footnote w:id="1">
    <w:p w:rsidR="00A53E73" w:rsidRDefault="00A53E73" w:rsidP="00AD0EFE">
      <w:pPr>
        <w:pStyle w:val="FootnoteText"/>
      </w:pPr>
      <w:r>
        <w:rPr>
          <w:rStyle w:val="FootnoteReference"/>
        </w:rPr>
        <w:footnoteRef/>
      </w:r>
      <w:r>
        <w:t xml:space="preserve"> </w:t>
      </w:r>
      <w:r>
        <w:tab/>
      </w:r>
      <w:r w:rsidRPr="00AB66ED">
        <w:t>https://www.aer.gov.au/publications/corporate-documents/accc-and-aer-information-policy-collection-and-disclosure-of-information</w:t>
      </w:r>
    </w:p>
  </w:footnote>
  <w:footnote w:id="2">
    <w:p w:rsidR="00A53E73" w:rsidRDefault="00A53E73" w:rsidP="00C90B99">
      <w:pPr>
        <w:pStyle w:val="FootnoteText"/>
      </w:pPr>
      <w:r>
        <w:rPr>
          <w:rStyle w:val="FootnoteReference"/>
        </w:rPr>
        <w:footnoteRef/>
      </w:r>
      <w:r w:rsidRPr="00727C39">
        <w:t xml:space="preserve"> </w:t>
      </w:r>
      <w:r>
        <w:tab/>
      </w:r>
      <w:hyperlink r:id="rId1" w:history="1">
        <w:r w:rsidRPr="00727C39">
          <w:rPr>
            <w:rStyle w:val="Hyperlink"/>
            <w:color w:val="auto"/>
            <w:sz w:val="16"/>
            <w:u w:val="none"/>
          </w:rPr>
          <w:t>https://www.aemo.com.au/-/media/Files/Gas/DWGM/2017/Threat-to-System-Security-Notice---SWP-to-Port-Campbell-constraint.pdf</w:t>
        </w:r>
      </w:hyperlink>
    </w:p>
  </w:footnote>
  <w:footnote w:id="3">
    <w:p w:rsidR="00A53E73" w:rsidRDefault="00A53E73" w:rsidP="00C90B99">
      <w:pPr>
        <w:pStyle w:val="FootnoteText"/>
      </w:pPr>
      <w:r>
        <w:rPr>
          <w:rStyle w:val="FootnoteReference"/>
        </w:rPr>
        <w:footnoteRef/>
      </w:r>
      <w:r>
        <w:t xml:space="preserve"> </w:t>
      </w:r>
      <w:r>
        <w:tab/>
      </w:r>
      <w:r w:rsidRPr="00727C39">
        <w:t>https://www.aemo.com.au/Gas/National-planning-and-forecasting/Victorian-Gas-Planning-Report</w:t>
      </w:r>
    </w:p>
  </w:footnote>
  <w:footnote w:id="4">
    <w:p w:rsidR="00A53E73" w:rsidRDefault="00A53E73" w:rsidP="00B61E79">
      <w:pPr>
        <w:pStyle w:val="FootnoteText"/>
      </w:pPr>
      <w:r>
        <w:rPr>
          <w:rStyle w:val="FootnoteReference"/>
        </w:rPr>
        <w:footnoteRef/>
      </w:r>
      <w:r>
        <w:t xml:space="preserve"> </w:t>
      </w:r>
      <w:r>
        <w:tab/>
      </w:r>
      <w:proofErr w:type="gramStart"/>
      <w:r>
        <w:t>NGL, s. 23.</w:t>
      </w:r>
      <w:proofErr w:type="gramEnd"/>
      <w:r>
        <w:t xml:space="preserve"> </w:t>
      </w:r>
    </w:p>
  </w:footnote>
  <w:footnote w:id="5">
    <w:p w:rsidR="00A53E73" w:rsidRDefault="00A53E73">
      <w:pPr>
        <w:pStyle w:val="FootnoteText"/>
      </w:pPr>
      <w:r>
        <w:rPr>
          <w:rStyle w:val="FootnoteReference"/>
        </w:rPr>
        <w:footnoteRef/>
      </w:r>
      <w:r>
        <w:t xml:space="preserve"> </w:t>
      </w:r>
      <w:r>
        <w:tab/>
      </w:r>
      <w:r w:rsidRPr="00B4195F">
        <w:t>APA VTS</w:t>
      </w:r>
      <w:r>
        <w:t>,</w:t>
      </w:r>
      <w:r w:rsidRPr="00B4195F">
        <w:t xml:space="preserve"> </w:t>
      </w:r>
      <w:r w:rsidRPr="00272737">
        <w:t>VTS Revision Proposal submission</w:t>
      </w:r>
      <w:r>
        <w:t>,</w:t>
      </w:r>
      <w:r w:rsidRPr="00B4195F">
        <w:t xml:space="preserve"> 20170103 - Public</w:t>
      </w:r>
      <w:r>
        <w:t>, p. 7.</w:t>
      </w:r>
    </w:p>
  </w:footnote>
  <w:footnote w:id="6">
    <w:p w:rsidR="00A53E73" w:rsidRDefault="00A53E73" w:rsidP="0094138C">
      <w:pPr>
        <w:pStyle w:val="FootnoteText"/>
      </w:pPr>
      <w:r>
        <w:rPr>
          <w:rStyle w:val="FootnoteReference"/>
        </w:rPr>
        <w:footnoteRef/>
      </w:r>
      <w:r>
        <w:t xml:space="preserve"> </w:t>
      </w:r>
      <w:r>
        <w:tab/>
        <w:t xml:space="preserve">The NGL provides for different types of regulation to apply to gas pipelines, based on competition and significance criteria. A 'full regulation' pipeline must periodically submit an access arrangement to the AER, setting out pricing for a reference service sought by a significant part of the market (see section </w:t>
      </w:r>
      <w:r>
        <w:fldChar w:fldCharType="begin"/>
      </w:r>
      <w:r>
        <w:instrText xml:space="preserve"> REF _Ref485388057 \r \h </w:instrText>
      </w:r>
      <w:r>
        <w:fldChar w:fldCharType="separate"/>
      </w:r>
      <w:r w:rsidR="00971C32">
        <w:t>3</w:t>
      </w:r>
      <w:r>
        <w:fldChar w:fldCharType="end"/>
      </w:r>
      <w:r>
        <w:t xml:space="preserve"> of this Overview). 'Light regulation' pipelines are not subject to upfront price regulation. The light regulation model is more </w:t>
      </w:r>
      <w:proofErr w:type="gramStart"/>
      <w:r>
        <w:t>a negotiate</w:t>
      </w:r>
      <w:proofErr w:type="gramEnd"/>
      <w:r>
        <w:t>-arbitrate approach, placing greater emphasis on commercial negotiation and information disclosure. The AER plays a role only if dispute resolution mechanisms are triggered.</w:t>
      </w:r>
    </w:p>
  </w:footnote>
  <w:footnote w:id="7">
    <w:p w:rsidR="00A53E73" w:rsidRDefault="00A53E73">
      <w:pPr>
        <w:pStyle w:val="FootnoteText"/>
      </w:pPr>
      <w:r>
        <w:rPr>
          <w:rStyle w:val="FootnoteReference"/>
        </w:rPr>
        <w:footnoteRef/>
      </w:r>
      <w:r>
        <w:t xml:space="preserve"> </w:t>
      </w:r>
      <w:r>
        <w:tab/>
      </w:r>
      <w:r w:rsidRPr="00071B98">
        <w:t>The comparison of revenues between the 2018–22 and 2013–17 access arrangement periods is based on smoothed revenues. In nominal dollar terms, our draft decision revenues for the 2018–22 access arrangement period are about $62.8 million (or 12.8 per cent) higher than the average annual revenues approved for the 2013–17 access arrangement period.</w:t>
      </w:r>
    </w:p>
  </w:footnote>
  <w:footnote w:id="8">
    <w:p w:rsidR="00A53E73" w:rsidRDefault="00A53E73" w:rsidP="002F6A68">
      <w:pPr>
        <w:pStyle w:val="FootnoteText"/>
      </w:pPr>
      <w:r>
        <w:rPr>
          <w:rStyle w:val="FootnoteReference"/>
        </w:rPr>
        <w:footnoteRef/>
      </w:r>
      <w:r>
        <w:t xml:space="preserve"> </w:t>
      </w:r>
      <w:r>
        <w:tab/>
      </w:r>
      <w:proofErr w:type="gramStart"/>
      <w:r w:rsidRPr="003F3E17">
        <w:t xml:space="preserve">APA, </w:t>
      </w:r>
      <w:r w:rsidRPr="003F3E17">
        <w:rPr>
          <w:rStyle w:val="AERtextitalic"/>
        </w:rPr>
        <w:t>Proposed supplementary cap</w:t>
      </w:r>
      <w:r>
        <w:rPr>
          <w:rStyle w:val="AERtextitalic"/>
        </w:rPr>
        <w:t>ital expenditure submission</w:t>
      </w:r>
      <w:r>
        <w:t>,</w:t>
      </w:r>
      <w:r w:rsidRPr="003F3E17">
        <w:t xml:space="preserve"> May 2017</w:t>
      </w:r>
      <w:r>
        <w:t>, p. 41.</w:t>
      </w:r>
      <w:proofErr w:type="gramEnd"/>
    </w:p>
  </w:footnote>
  <w:footnote w:id="9">
    <w:p w:rsidR="00A53E73" w:rsidRDefault="00A53E73">
      <w:pPr>
        <w:pStyle w:val="FootnoteText"/>
      </w:pPr>
      <w:r>
        <w:rPr>
          <w:rStyle w:val="FootnoteReference"/>
        </w:rPr>
        <w:footnoteRef/>
      </w:r>
      <w:r>
        <w:t xml:space="preserve"> </w:t>
      </w:r>
      <w:r>
        <w:tab/>
      </w:r>
      <w:r w:rsidRPr="00E42CA6">
        <w:t xml:space="preserve">We vary the transmission charges based on the nominal weighted average expected change in tariffs. </w:t>
      </w:r>
      <w:r>
        <w:t xml:space="preserve">The weighted average change </w:t>
      </w:r>
      <w:proofErr w:type="gramStart"/>
      <w:r>
        <w:t xml:space="preserve">tariffs </w:t>
      </w:r>
      <w:r w:rsidRPr="00E42CA6">
        <w:t>is</w:t>
      </w:r>
      <w:proofErr w:type="gramEnd"/>
      <w:r w:rsidRPr="00E42CA6">
        <w:t xml:space="preserve"> calculated based on smoothed revenues with the assumption that there is no volume forecast error.      </w:t>
      </w:r>
      <w:r>
        <w:t xml:space="preserve"> </w:t>
      </w:r>
    </w:p>
  </w:footnote>
  <w:footnote w:id="10">
    <w:p w:rsidR="00A53E73" w:rsidRDefault="00A53E73" w:rsidP="006674E9">
      <w:pPr>
        <w:pStyle w:val="FootnoteText"/>
      </w:pPr>
      <w:r>
        <w:rPr>
          <w:rStyle w:val="FootnoteReference"/>
        </w:rPr>
        <w:footnoteRef/>
      </w:r>
      <w:r>
        <w:t xml:space="preserve"> </w:t>
      </w:r>
      <w:r>
        <w:tab/>
      </w:r>
      <w:proofErr w:type="gramStart"/>
      <w:r>
        <w:t xml:space="preserve">AEMO, </w:t>
      </w:r>
      <w:r w:rsidRPr="00272737">
        <w:rPr>
          <w:rStyle w:val="AERtextitalic"/>
        </w:rPr>
        <w:t>National Gas Forecasting Report for Eastern and Southern Australia</w:t>
      </w:r>
      <w:r>
        <w:t>, December 2016, p. 26.</w:t>
      </w:r>
      <w:proofErr w:type="gramEnd"/>
    </w:p>
  </w:footnote>
  <w:footnote w:id="11">
    <w:p w:rsidR="00A53E73" w:rsidRDefault="00A53E73" w:rsidP="006674E9">
      <w:pPr>
        <w:pStyle w:val="FootnoteText"/>
      </w:pPr>
      <w:r>
        <w:rPr>
          <w:rStyle w:val="FootnoteReference"/>
        </w:rPr>
        <w:footnoteRef/>
      </w:r>
      <w:r>
        <w:t xml:space="preserve"> </w:t>
      </w:r>
      <w:r>
        <w:tab/>
        <w:t xml:space="preserve">AEMO, </w:t>
      </w:r>
      <w:r w:rsidRPr="00272737">
        <w:rPr>
          <w:rStyle w:val="AERtextitalic"/>
        </w:rPr>
        <w:t>National Gas Forecasting Report for Eastern and Southern Australia</w:t>
      </w:r>
      <w:r>
        <w:t>, December 2016, p. 7</w:t>
      </w:r>
    </w:p>
  </w:footnote>
  <w:footnote w:id="12">
    <w:p w:rsidR="00A53E73" w:rsidRDefault="00A53E73" w:rsidP="00AB6BD6">
      <w:pPr>
        <w:pStyle w:val="FootnoteText"/>
      </w:pPr>
      <w:r>
        <w:rPr>
          <w:rStyle w:val="FootnoteReference"/>
        </w:rPr>
        <w:footnoteRef/>
      </w:r>
      <w:r>
        <w:t xml:space="preserve"> </w:t>
      </w:r>
      <w:r>
        <w:tab/>
      </w:r>
      <w:proofErr w:type="gramStart"/>
      <w:r>
        <w:t>NGR, r. 48.</w:t>
      </w:r>
      <w:proofErr w:type="gramEnd"/>
    </w:p>
  </w:footnote>
  <w:footnote w:id="13">
    <w:p w:rsidR="00A53E73" w:rsidRDefault="00A53E73" w:rsidP="00627D8B">
      <w:pPr>
        <w:pStyle w:val="FootnoteText"/>
      </w:pPr>
      <w:r>
        <w:rPr>
          <w:rStyle w:val="FootnoteReference"/>
        </w:rPr>
        <w:footnoteRef/>
      </w:r>
      <w:r>
        <w:t xml:space="preserve"> </w:t>
      </w:r>
      <w:r>
        <w:tab/>
        <w:t xml:space="preserve">APA VTS, </w:t>
      </w:r>
      <w:r>
        <w:rPr>
          <w:rStyle w:val="AERtextitalic"/>
        </w:rPr>
        <w:t>VTS</w:t>
      </w:r>
      <w:r w:rsidRPr="002530A7">
        <w:rPr>
          <w:rStyle w:val="AERtextitalic"/>
        </w:rPr>
        <w:t xml:space="preserve"> access arrangement revision submission 201</w:t>
      </w:r>
      <w:r>
        <w:rPr>
          <w:rStyle w:val="AERtextitalic"/>
        </w:rPr>
        <w:t>8</w:t>
      </w:r>
      <w:r w:rsidRPr="002530A7">
        <w:rPr>
          <w:rStyle w:val="AERtextitalic"/>
        </w:rPr>
        <w:t>–22</w:t>
      </w:r>
      <w:r w:rsidRPr="00243150">
        <w:t xml:space="preserve">, </w:t>
      </w:r>
      <w:r>
        <w:t>January 2017</w:t>
      </w:r>
      <w:r w:rsidRPr="00F406F0">
        <w:t>, p.</w:t>
      </w:r>
      <w:r>
        <w:t xml:space="preserve"> 4</w:t>
      </w:r>
      <w:r w:rsidRPr="00F406F0">
        <w:t>.</w:t>
      </w:r>
    </w:p>
  </w:footnote>
  <w:footnote w:id="14">
    <w:p w:rsidR="00A53E73" w:rsidRDefault="00A53E73" w:rsidP="00627D8B">
      <w:pPr>
        <w:pStyle w:val="FootnoteText"/>
      </w:pPr>
      <w:r>
        <w:rPr>
          <w:rStyle w:val="FootnoteReference"/>
        </w:rPr>
        <w:footnoteRef/>
      </w:r>
      <w:r>
        <w:t xml:space="preserve"> </w:t>
      </w:r>
      <w:r>
        <w:tab/>
        <w:t xml:space="preserve">APA VTS, </w:t>
      </w:r>
      <w:r>
        <w:rPr>
          <w:rStyle w:val="AERtextitalic"/>
        </w:rPr>
        <w:t>VTS</w:t>
      </w:r>
      <w:r w:rsidRPr="002530A7">
        <w:rPr>
          <w:rStyle w:val="AERtextitalic"/>
        </w:rPr>
        <w:t xml:space="preserve"> access arrangement revision submission 201</w:t>
      </w:r>
      <w:r>
        <w:rPr>
          <w:rStyle w:val="AERtextitalic"/>
        </w:rPr>
        <w:t>8</w:t>
      </w:r>
      <w:r w:rsidRPr="002530A7">
        <w:rPr>
          <w:rStyle w:val="AERtextitalic"/>
        </w:rPr>
        <w:t>–22</w:t>
      </w:r>
      <w:r w:rsidRPr="00243150">
        <w:t xml:space="preserve">, </w:t>
      </w:r>
      <w:r>
        <w:t>January 2017</w:t>
      </w:r>
      <w:r w:rsidRPr="00F406F0">
        <w:t xml:space="preserve">, </w:t>
      </w:r>
      <w:r>
        <w:t>p</w:t>
      </w:r>
      <w:r w:rsidRPr="00F406F0">
        <w:t>p.</w:t>
      </w:r>
      <w:r>
        <w:t xml:space="preserve"> 4–5</w:t>
      </w:r>
      <w:r w:rsidRPr="00F406F0">
        <w:t>.</w:t>
      </w:r>
    </w:p>
  </w:footnote>
  <w:footnote w:id="15">
    <w:p w:rsidR="00A53E73" w:rsidRDefault="00A53E73" w:rsidP="00C51739">
      <w:pPr>
        <w:pStyle w:val="FootnoteText"/>
      </w:pPr>
      <w:r>
        <w:rPr>
          <w:rStyle w:val="FootnoteReference"/>
        </w:rPr>
        <w:footnoteRef/>
      </w:r>
      <w:r>
        <w:t xml:space="preserve"> </w:t>
      </w:r>
      <w:r>
        <w:tab/>
        <w:t xml:space="preserve">Where actual demand across the 2017–22 access arrangement </w:t>
      </w:r>
      <w:proofErr w:type="gramStart"/>
      <w:r>
        <w:t>period</w:t>
      </w:r>
      <w:proofErr w:type="gramEnd"/>
      <w:r>
        <w:t xml:space="preserve"> varies from the demand forecast in the access arrangement, APA's actual revenue will vary from the revenue allowance determined in our decision. In general, if actual demand is above forecast demand, APA's actual revenue will be above forecast revenue, and vice versa.</w:t>
      </w:r>
    </w:p>
  </w:footnote>
  <w:footnote w:id="16">
    <w:p w:rsidR="00A53E73" w:rsidRDefault="00A53E73" w:rsidP="002B142E">
      <w:pPr>
        <w:pStyle w:val="FootnoteText"/>
      </w:pPr>
      <w:r>
        <w:rPr>
          <w:rStyle w:val="FootnoteReference"/>
        </w:rPr>
        <w:footnoteRef/>
      </w:r>
      <w:r>
        <w:t xml:space="preserve"> </w:t>
      </w:r>
      <w:r>
        <w:tab/>
      </w:r>
      <w:proofErr w:type="gramStart"/>
      <w:r>
        <w:t>NGR, r. 76.</w:t>
      </w:r>
      <w:proofErr w:type="gramEnd"/>
    </w:p>
  </w:footnote>
  <w:footnote w:id="17">
    <w:p w:rsidR="00A53E73" w:rsidRDefault="00A53E73" w:rsidP="00413ADF">
      <w:pPr>
        <w:pStyle w:val="FootnoteText"/>
      </w:pPr>
      <w:r>
        <w:rPr>
          <w:rStyle w:val="FootnoteReference"/>
        </w:rPr>
        <w:footnoteRef/>
      </w:r>
      <w:r>
        <w:t xml:space="preserve"> </w:t>
      </w:r>
      <w:r>
        <w:tab/>
      </w:r>
      <w:proofErr w:type="gramStart"/>
      <w:r w:rsidRPr="003F3E17">
        <w:t xml:space="preserve">APA, </w:t>
      </w:r>
      <w:r w:rsidRPr="003F3E17">
        <w:rPr>
          <w:rStyle w:val="AERtextitalic"/>
        </w:rPr>
        <w:t>Proposed supplementary cap</w:t>
      </w:r>
      <w:r>
        <w:rPr>
          <w:rStyle w:val="AERtextitalic"/>
        </w:rPr>
        <w:t>ital expenditure submission</w:t>
      </w:r>
      <w:r>
        <w:t>,</w:t>
      </w:r>
      <w:r w:rsidRPr="003F3E17">
        <w:t xml:space="preserve"> May 2017</w:t>
      </w:r>
      <w:r>
        <w:t>, p. 41.</w:t>
      </w:r>
      <w:proofErr w:type="gramEnd"/>
    </w:p>
  </w:footnote>
  <w:footnote w:id="18">
    <w:p w:rsidR="00A53E73" w:rsidRDefault="00A53E73" w:rsidP="002B142E">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 xml:space="preserve">for the 2017–22 access arrangement </w:t>
      </w:r>
      <w:proofErr w:type="gramStart"/>
      <w:r>
        <w:t>period</w:t>
      </w:r>
      <w:proofErr w:type="gramEnd"/>
      <w:r>
        <w:t xml:space="preserve"> as set in this draft decision.</w:t>
      </w:r>
    </w:p>
  </w:footnote>
  <w:footnote w:id="19">
    <w:p w:rsidR="00A53E73" w:rsidRDefault="00A53E73">
      <w:pPr>
        <w:pStyle w:val="FootnoteText"/>
      </w:pPr>
      <w:r>
        <w:rPr>
          <w:rStyle w:val="FootnoteReference"/>
        </w:rPr>
        <w:footnoteRef/>
      </w:r>
      <w:r>
        <w:t xml:space="preserve"> </w:t>
      </w:r>
      <w:r>
        <w:tab/>
      </w:r>
      <w:r w:rsidRPr="00E42CA6">
        <w:t>The change in weighted average increase in real tariff is calculated based on the smoothed revenues proposed by APA</w:t>
      </w:r>
      <w:r>
        <w:t xml:space="preserve"> and our draft decision forecast CPI</w:t>
      </w:r>
      <w:r w:rsidRPr="00E42CA6">
        <w:t xml:space="preserve">. </w:t>
      </w:r>
      <w:proofErr w:type="gramStart"/>
      <w:r w:rsidRPr="00E42CA6">
        <w:t xml:space="preserve">APA, </w:t>
      </w:r>
      <w:r w:rsidRPr="00E42CA6">
        <w:rPr>
          <w:rStyle w:val="AERtextitalic"/>
        </w:rPr>
        <w:t>Proposed supplementary capital expenditure submission</w:t>
      </w:r>
      <w:r w:rsidRPr="00E42CA6">
        <w:t>, May 2017, p. 41.</w:t>
      </w:r>
      <w:proofErr w:type="gramEnd"/>
      <w:r w:rsidRPr="00E42CA6">
        <w:t xml:space="preserve"> </w:t>
      </w:r>
    </w:p>
  </w:footnote>
  <w:footnote w:id="20">
    <w:p w:rsidR="00A53E73" w:rsidRDefault="00A53E73" w:rsidP="00413ADF">
      <w:pPr>
        <w:pStyle w:val="FootnoteText"/>
      </w:pPr>
      <w:r>
        <w:rPr>
          <w:rStyle w:val="FootnoteReference"/>
        </w:rPr>
        <w:footnoteRef/>
      </w:r>
      <w:r>
        <w:t xml:space="preserve"> </w:t>
      </w:r>
      <w:r>
        <w:tab/>
      </w:r>
      <w:proofErr w:type="gramStart"/>
      <w:r w:rsidRPr="001E509D">
        <w:t xml:space="preserve">APA, </w:t>
      </w:r>
      <w:r w:rsidRPr="001E509D">
        <w:rPr>
          <w:rStyle w:val="AERtextitalic"/>
        </w:rPr>
        <w:t>Proposed supplementary capital expenditure submission</w:t>
      </w:r>
      <w:r w:rsidRPr="001E509D">
        <w:t>, May 2017, p. 41.</w:t>
      </w:r>
      <w:proofErr w:type="gramEnd"/>
      <w:r w:rsidRPr="001E509D">
        <w:t xml:space="preserve"> </w:t>
      </w:r>
    </w:p>
  </w:footnote>
  <w:footnote w:id="21">
    <w:p w:rsidR="00A53E73" w:rsidRDefault="00A53E73">
      <w:pPr>
        <w:pStyle w:val="FootnoteText"/>
      </w:pPr>
      <w:r>
        <w:rPr>
          <w:rStyle w:val="FootnoteReference"/>
        </w:rPr>
        <w:footnoteRef/>
      </w:r>
      <w:r>
        <w:t xml:space="preserve"> </w:t>
      </w:r>
      <w:r>
        <w:tab/>
      </w:r>
      <w:r w:rsidRPr="00E42CA6">
        <w:t xml:space="preserve">This is calculated based on smoothed revenues with the assumption that there is no volume forecast error.     </w:t>
      </w:r>
      <w:r w:rsidRPr="001E509D">
        <w:t xml:space="preserve"> </w:t>
      </w:r>
    </w:p>
  </w:footnote>
  <w:footnote w:id="22">
    <w:p w:rsidR="00A53E73" w:rsidRDefault="00A53E73" w:rsidP="009A7663">
      <w:pPr>
        <w:pStyle w:val="FootnoteText"/>
      </w:pPr>
      <w:r>
        <w:rPr>
          <w:rStyle w:val="FootnoteReference"/>
        </w:rPr>
        <w:footnoteRef/>
      </w:r>
      <w:r>
        <w:t xml:space="preserve"> </w:t>
      </w:r>
      <w:r>
        <w:tab/>
        <w:t xml:space="preserve">This process of smoothing revenues is described in the NGR as 'revenue equalisation'. </w:t>
      </w:r>
      <w:proofErr w:type="gramStart"/>
      <w:r>
        <w:t>NGR, r. 92.</w:t>
      </w:r>
      <w:proofErr w:type="gramEnd"/>
      <w:r>
        <w:t xml:space="preserve"> </w:t>
      </w:r>
    </w:p>
  </w:footnote>
  <w:footnote w:id="23">
    <w:p w:rsidR="00A53E73" w:rsidRDefault="00A53E73">
      <w:pPr>
        <w:pStyle w:val="FootnoteText"/>
      </w:pPr>
      <w:r>
        <w:rPr>
          <w:rStyle w:val="FootnoteReference"/>
        </w:rPr>
        <w:footnoteRef/>
      </w:r>
      <w:r>
        <w:t xml:space="preserve"> </w:t>
      </w:r>
      <w:r>
        <w:tab/>
      </w:r>
      <w:r w:rsidRPr="003B4E8C">
        <w:t xml:space="preserve">The average revenue yield shares characteristics with both </w:t>
      </w:r>
      <w:proofErr w:type="gramStart"/>
      <w:r w:rsidRPr="003B4E8C">
        <w:t>a revenue</w:t>
      </w:r>
      <w:proofErr w:type="gramEnd"/>
      <w:r w:rsidRPr="003B4E8C">
        <w:t xml:space="preserve"> and a price cap. Like a price cap, the business is exposed to the risk that demand may be greater or less than forecast. If actual demand is greater than forecast, the NSP earns higher revenues than forecast and vice versa if actual demand is less than forecast.</w:t>
      </w:r>
    </w:p>
  </w:footnote>
  <w:footnote w:id="24">
    <w:p w:rsidR="00A53E73" w:rsidRDefault="00A53E73" w:rsidP="00C64762">
      <w:pPr>
        <w:pStyle w:val="FootnoteText"/>
      </w:pPr>
      <w:r>
        <w:rPr>
          <w:rStyle w:val="FootnoteReference"/>
        </w:rPr>
        <w:footnoteRef/>
      </w:r>
      <w:r>
        <w:t xml:space="preserve"> </w:t>
      </w:r>
      <w:r>
        <w:tab/>
        <w:t>The tariff path for 2012–22 uses actual inflation outcomes for the 2012–16 period, and forecast inflation for 2017–22.</w:t>
      </w:r>
    </w:p>
  </w:footnote>
  <w:footnote w:id="25">
    <w:p w:rsidR="00A53E73" w:rsidRDefault="00A53E73" w:rsidP="00C64762">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6">
    <w:p w:rsidR="00A53E73" w:rsidRDefault="00A53E73" w:rsidP="00C64762">
      <w:pPr>
        <w:pStyle w:val="FootnoteText"/>
      </w:pPr>
      <w:r>
        <w:rPr>
          <w:rStyle w:val="FootnoteReference"/>
        </w:rPr>
        <w:footnoteRef/>
      </w:r>
      <w:r>
        <w:t xml:space="preserve"> </w:t>
      </w:r>
      <w:r>
        <w:tab/>
        <w:t xml:space="preserve">NGL, </w:t>
      </w:r>
      <w:proofErr w:type="gramStart"/>
      <w:r>
        <w:t>rr</w:t>
      </w:r>
      <w:proofErr w:type="gramEnd"/>
      <w:r>
        <w:t xml:space="preserve">. </w:t>
      </w:r>
      <w:proofErr w:type="gramStart"/>
      <w:r>
        <w:t>23, 24.</w:t>
      </w:r>
      <w:proofErr w:type="gramEnd"/>
    </w:p>
  </w:footnote>
  <w:footnote w:id="27">
    <w:p w:rsidR="00A53E73" w:rsidRDefault="00A53E73" w:rsidP="00386862">
      <w:pPr>
        <w:pStyle w:val="FootnoteText"/>
      </w:pPr>
      <w:r>
        <w:rPr>
          <w:rStyle w:val="FootnoteReference"/>
        </w:rPr>
        <w:footnoteRef/>
      </w:r>
      <w:r>
        <w:t xml:space="preserve"> </w:t>
      </w:r>
      <w:r>
        <w:tab/>
        <w:t>The term 'rolled forward' means the process of carrying over the value of the capital base form one regulatory year to the next.</w:t>
      </w:r>
    </w:p>
  </w:footnote>
  <w:footnote w:id="28">
    <w:p w:rsidR="00A53E73" w:rsidRDefault="00A53E73" w:rsidP="00E35B21">
      <w:pPr>
        <w:pStyle w:val="FootnoteText"/>
      </w:pPr>
      <w:r>
        <w:rPr>
          <w:rStyle w:val="FootnoteReference"/>
        </w:rPr>
        <w:footnoteRef/>
      </w:r>
      <w:r>
        <w:t xml:space="preserve"> </w:t>
      </w:r>
      <w:r>
        <w:tab/>
      </w:r>
      <w:proofErr w:type="gramStart"/>
      <w:r w:rsidRPr="00E71176">
        <w:t>NGR, cl. 87(2).</w:t>
      </w:r>
      <w:proofErr w:type="gramEnd"/>
    </w:p>
  </w:footnote>
  <w:footnote w:id="29">
    <w:p w:rsidR="00A53E73" w:rsidRDefault="00A53E73" w:rsidP="00E35B21">
      <w:pPr>
        <w:pStyle w:val="FootnoteText"/>
      </w:pPr>
      <w:r>
        <w:rPr>
          <w:rStyle w:val="FootnoteReference"/>
        </w:rPr>
        <w:footnoteRef/>
      </w:r>
      <w:r>
        <w:t xml:space="preserve"> </w:t>
      </w:r>
      <w:r>
        <w:tab/>
      </w:r>
      <w:proofErr w:type="gramStart"/>
      <w:r w:rsidRPr="00E71176">
        <w:t>NGR r. 87(3).</w:t>
      </w:r>
      <w:proofErr w:type="gramEnd"/>
    </w:p>
  </w:footnote>
  <w:footnote w:id="30">
    <w:p w:rsidR="00A53E73" w:rsidRDefault="00A53E73" w:rsidP="00E35B21">
      <w:pPr>
        <w:pStyle w:val="FootnoteText"/>
      </w:pPr>
      <w:r>
        <w:rPr>
          <w:rStyle w:val="FootnoteReference"/>
        </w:rPr>
        <w:footnoteRef/>
      </w:r>
      <w:r>
        <w:t xml:space="preserve"> </w:t>
      </w:r>
      <w:r>
        <w:tab/>
        <w:t xml:space="preserve">APA VTS, </w:t>
      </w:r>
      <w:r w:rsidRPr="000C05A5">
        <w:rPr>
          <w:rStyle w:val="AERtextitalic"/>
        </w:rPr>
        <w:t>Victorian transmission system access arrangement submission</w:t>
      </w:r>
      <w:r>
        <w:t>, 3 January 2017, p. 163.</w:t>
      </w:r>
    </w:p>
  </w:footnote>
  <w:footnote w:id="31">
    <w:p w:rsidR="00A53E73" w:rsidRDefault="00A53E73" w:rsidP="00E35B21">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32">
    <w:p w:rsidR="00A53E73" w:rsidRDefault="00A53E73" w:rsidP="00E35B21">
      <w:pPr>
        <w:pStyle w:val="FootnoteText"/>
      </w:pPr>
      <w:r>
        <w:rPr>
          <w:rStyle w:val="FootnoteReference"/>
        </w:rPr>
        <w:footnoteRef/>
      </w:r>
      <w:r>
        <w:t xml:space="preserve"> </w:t>
      </w:r>
      <w:r>
        <w:tab/>
        <w:t>NGR, cl. 87(18)</w:t>
      </w:r>
    </w:p>
  </w:footnote>
  <w:footnote w:id="33">
    <w:p w:rsidR="00A53E73" w:rsidRDefault="00A53E73" w:rsidP="00895FC9">
      <w:pPr>
        <w:pStyle w:val="FootnoteText"/>
      </w:pPr>
      <w:r>
        <w:rPr>
          <w:rStyle w:val="FootnoteReference"/>
        </w:rPr>
        <w:footnoteRef/>
      </w:r>
      <w:r>
        <w:t xml:space="preserve"> </w:t>
      </w:r>
      <w:r>
        <w:tab/>
        <w:t>APA did not state which inflation estimates for years 2-5 it proposed to use as placeholder values, but used an estimate of 2 per cent for all five years in its proposed post-tax revenue model.</w:t>
      </w:r>
    </w:p>
  </w:footnote>
  <w:footnote w:id="34">
    <w:p w:rsidR="00A53E73" w:rsidRDefault="00A53E73" w:rsidP="00C8203B">
      <w:pPr>
        <w:pStyle w:val="FootnoteText"/>
      </w:pPr>
      <w:r>
        <w:rPr>
          <w:rStyle w:val="FootnoteReference"/>
        </w:rPr>
        <w:footnoteRef/>
      </w:r>
      <w:r>
        <w:t xml:space="preserve"> </w:t>
      </w:r>
      <w:r>
        <w:tab/>
      </w:r>
      <w:proofErr w:type="gramStart"/>
      <w:r w:rsidRPr="00F62F0C">
        <w:t xml:space="preserve">APA, </w:t>
      </w:r>
      <w:r>
        <w:rPr>
          <w:rStyle w:val="AERtextitalic"/>
        </w:rPr>
        <w:t xml:space="preserve">VTS Revision Proposal </w:t>
      </w:r>
      <w:r w:rsidRPr="00C56FBC">
        <w:rPr>
          <w:rStyle w:val="AERtextitalic"/>
        </w:rPr>
        <w:t>submission</w:t>
      </w:r>
      <w:r w:rsidRPr="00F62F0C">
        <w:t>, 3 January 2017, pp.</w:t>
      </w:r>
      <w:r>
        <w:t> </w:t>
      </w:r>
      <w:r w:rsidRPr="00F62F0C">
        <w:t>118–119.</w:t>
      </w:r>
      <w:proofErr w:type="gramEnd"/>
    </w:p>
  </w:footnote>
  <w:footnote w:id="35">
    <w:p w:rsidR="00A53E73" w:rsidRDefault="00A53E73" w:rsidP="00791EE5">
      <w:pPr>
        <w:pStyle w:val="FootnoteText"/>
      </w:pPr>
      <w:r>
        <w:rPr>
          <w:rStyle w:val="FootnoteReference"/>
        </w:rPr>
        <w:footnoteRef/>
      </w:r>
      <w:r>
        <w:t xml:space="preserve"> </w:t>
      </w:r>
      <w:r>
        <w:tab/>
      </w:r>
      <w:r w:rsidRPr="00F7105C">
        <w:rPr>
          <w:rStyle w:val="AERtextitalic"/>
        </w:rPr>
        <w:t>Income Tax Assessment Act 1997,</w:t>
      </w:r>
      <w:r>
        <w:t xml:space="preserve"> parts 3–6.</w:t>
      </w:r>
    </w:p>
  </w:footnote>
  <w:footnote w:id="36">
    <w:p w:rsidR="00A53E73" w:rsidRDefault="00A53E73" w:rsidP="00791EE5">
      <w:pPr>
        <w:pStyle w:val="FootnoteText"/>
      </w:pPr>
      <w:r>
        <w:rPr>
          <w:rStyle w:val="FootnoteReference"/>
        </w:rPr>
        <w:footnoteRef/>
      </w:r>
      <w:r>
        <w:t xml:space="preserve"> </w:t>
      </w:r>
      <w:r>
        <w:tab/>
        <w:t>Post-tax refers to after company tax and before personal tax.</w:t>
      </w:r>
    </w:p>
  </w:footnote>
  <w:footnote w:id="37">
    <w:p w:rsidR="00A53E73" w:rsidRDefault="00A53E73" w:rsidP="00791EE5">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8">
    <w:p w:rsidR="00A53E73" w:rsidRDefault="00A53E73" w:rsidP="00791EE5">
      <w:pPr>
        <w:pStyle w:val="FootnoteText"/>
      </w:pPr>
      <w:r>
        <w:rPr>
          <w:rStyle w:val="FootnoteReference"/>
        </w:rPr>
        <w:footnoteRef/>
      </w:r>
      <w:r>
        <w:t xml:space="preserve"> </w:t>
      </w:r>
      <w:r>
        <w:tab/>
      </w:r>
      <w:r w:rsidRPr="00672176">
        <w:t>In finance, the consistency principle requires that the definition of the cash flows in the numerator of a net present value (NPV) calculation must match the definition of the discount rate (or rate of return / cost of capital) in the denominator of the calculation (see Peirson, Brown, Easton, Howard, Pinder, Business Finance, McGraw-Hill, Ed. 10, 2009, p. 427). By maintaining this consistency principle, we provide a benchmark efficient entity with an ex ante total return (inclusive of the value of imputation credits) commensurate with the efficient financing costs of a benchmark efficient entity.</w:t>
      </w:r>
    </w:p>
  </w:footnote>
  <w:footnote w:id="39">
    <w:p w:rsidR="00A53E73" w:rsidRDefault="00A53E73" w:rsidP="00791EE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40">
    <w:p w:rsidR="00A53E73" w:rsidRDefault="00A53E73" w:rsidP="003E0FCD">
      <w:pPr>
        <w:pStyle w:val="FootnoteText"/>
      </w:pPr>
      <w:r>
        <w:rPr>
          <w:rStyle w:val="FootnoteReference"/>
        </w:rPr>
        <w:footnoteRef/>
      </w:r>
      <w:r>
        <w:t xml:space="preserve"> </w:t>
      </w:r>
      <w:r>
        <w:tab/>
      </w:r>
      <w:proofErr w:type="gramStart"/>
      <w:r>
        <w:t>NGR, r. 76(b).</w:t>
      </w:r>
      <w:proofErr w:type="gramEnd"/>
    </w:p>
  </w:footnote>
  <w:footnote w:id="41">
    <w:p w:rsidR="00A53E73" w:rsidRDefault="00A53E73" w:rsidP="003E0FCD">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42">
    <w:p w:rsidR="00A53E73" w:rsidRPr="009A55A7" w:rsidRDefault="00A53E73" w:rsidP="00382B38">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43">
    <w:p w:rsidR="00A53E73" w:rsidRDefault="00A53E73" w:rsidP="00382B38">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6</w:t>
      </w:r>
      <w:r>
        <w:t xml:space="preserve"> and 2017</w:t>
      </w:r>
      <w:r w:rsidRPr="009E1948">
        <w:rPr>
          <w:rFonts w:eastAsia="Calibri"/>
        </w:rPr>
        <w:t xml:space="preserve"> are estimates. As part of the final decision, we expect the estimate of capex for 201</w:t>
      </w:r>
      <w:r>
        <w:rPr>
          <w:rFonts w:eastAsia="Calibri"/>
        </w:rPr>
        <w:t>6</w:t>
      </w:r>
      <w:r w:rsidRPr="009E1948">
        <w:rPr>
          <w:rFonts w:eastAsia="Calibri"/>
        </w:rPr>
        <w:t xml:space="preserve"> to be </w:t>
      </w:r>
      <w:r>
        <w:t xml:space="preserve">replaced by actuals and the estimate of capex for 2017 may be </w:t>
      </w:r>
      <w:r w:rsidRPr="009E1948">
        <w:rPr>
          <w:rFonts w:eastAsia="Calibri"/>
        </w:rPr>
        <w:t xml:space="preserve">revised based on more up to date information </w:t>
      </w:r>
      <w:r>
        <w:t>by</w:t>
      </w:r>
      <w:r w:rsidRPr="009E1948">
        <w:rPr>
          <w:rFonts w:eastAsia="Calibri"/>
        </w:rPr>
        <w:t xml:space="preserve"> </w:t>
      </w:r>
      <w:r>
        <w:t>APA</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APA</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2016</w:t>
      </w:r>
      <w:r w:rsidRPr="008914BF">
        <w:t xml:space="preserve"> </w:t>
      </w:r>
      <w:r>
        <w:t xml:space="preserve">and 2017 </w:t>
      </w:r>
      <w:r w:rsidRPr="008914BF">
        <w:t>capex</w:t>
      </w:r>
      <w:r>
        <w:t xml:space="preserve"> values</w:t>
      </w:r>
      <w:r w:rsidRPr="008914BF">
        <w:t xml:space="preserve"> for the final decision.</w:t>
      </w:r>
    </w:p>
  </w:footnote>
  <w:footnote w:id="44">
    <w:p w:rsidR="00A53E73" w:rsidRDefault="00A53E73" w:rsidP="002C62CD">
      <w:pPr>
        <w:pStyle w:val="FootnoteText"/>
      </w:pPr>
      <w:r>
        <w:rPr>
          <w:rStyle w:val="FootnoteReference"/>
        </w:rPr>
        <w:footnoteRef/>
      </w:r>
      <w:r>
        <w:t xml:space="preserve"> </w:t>
      </w:r>
      <w:r>
        <w:tab/>
      </w:r>
      <w:proofErr w:type="gramStart"/>
      <w:r>
        <w:t>NGR, r. 69.</w:t>
      </w:r>
      <w:proofErr w:type="gramEnd"/>
    </w:p>
  </w:footnote>
  <w:footnote w:id="45">
    <w:p w:rsidR="00A53E73" w:rsidRDefault="00A53E73" w:rsidP="001D1896">
      <w:pPr>
        <w:pStyle w:val="FootnoteText"/>
      </w:pPr>
      <w:r>
        <w:rPr>
          <w:rStyle w:val="FootnoteReference"/>
        </w:rPr>
        <w:footnoteRef/>
      </w:r>
      <w:r>
        <w:t xml:space="preserve"> </w:t>
      </w:r>
      <w:r>
        <w:tab/>
      </w:r>
      <w:proofErr w:type="gramStart"/>
      <w:r>
        <w:t>NGR, r. 77.</w:t>
      </w:r>
      <w:proofErr w:type="gramEnd"/>
    </w:p>
  </w:footnote>
  <w:footnote w:id="46">
    <w:p w:rsidR="00A53E73" w:rsidRDefault="00A53E73" w:rsidP="001D1896">
      <w:pPr>
        <w:pStyle w:val="FootnoteText"/>
      </w:pPr>
      <w:r>
        <w:rPr>
          <w:rStyle w:val="FootnoteReference"/>
        </w:rPr>
        <w:footnoteRef/>
      </w:r>
      <w:r>
        <w:t xml:space="preserve"> </w:t>
      </w:r>
      <w:r>
        <w:tab/>
        <w:t>NGR, r. 78(b)</w:t>
      </w:r>
    </w:p>
  </w:footnote>
  <w:footnote w:id="47">
    <w:p w:rsidR="00A53E73" w:rsidRDefault="00A53E73" w:rsidP="00CF58BF">
      <w:pPr>
        <w:pStyle w:val="FootnoteText"/>
      </w:pPr>
      <w:r>
        <w:rPr>
          <w:rStyle w:val="FootnoteReference"/>
        </w:rPr>
        <w:footnoteRef/>
      </w:r>
      <w:r>
        <w:t xml:space="preserve"> </w:t>
      </w:r>
      <w:r>
        <w:tab/>
      </w:r>
      <w:r w:rsidRPr="003751C2">
        <w:t>APA VTS</w:t>
      </w:r>
      <w:r>
        <w:t>,</w:t>
      </w:r>
      <w:r w:rsidRPr="003751C2">
        <w:t xml:space="preserve"> </w:t>
      </w:r>
      <w:r w:rsidRPr="00272737">
        <w:rPr>
          <w:rStyle w:val="AERtextitalic"/>
        </w:rPr>
        <w:t>VTS Revision Proposal submission</w:t>
      </w:r>
      <w:r>
        <w:t>,</w:t>
      </w:r>
      <w:r w:rsidRPr="003751C2">
        <w:t xml:space="preserve"> 20170103 - Public</w:t>
      </w:r>
      <w:r w:rsidRPr="00BF4247">
        <w:t>,</w:t>
      </w:r>
      <w:r>
        <w:t xml:space="preserve"> p. 63.</w:t>
      </w:r>
    </w:p>
  </w:footnote>
  <w:footnote w:id="48">
    <w:p w:rsidR="00A53E73" w:rsidRDefault="00A53E73" w:rsidP="006D10A2">
      <w:pPr>
        <w:pStyle w:val="FootnoteText"/>
      </w:pPr>
      <w:r>
        <w:rPr>
          <w:rStyle w:val="FootnoteReference"/>
        </w:rPr>
        <w:footnoteRef/>
      </w:r>
      <w:r>
        <w:t xml:space="preserve"> </w:t>
      </w:r>
      <w:r>
        <w:tab/>
      </w:r>
      <w:r w:rsidRPr="006E4E02">
        <w:t>APA, Response to Information Request AER APA VTS 007, 3 Ap</w:t>
      </w:r>
      <w:r>
        <w:t>ril 2017, p.2</w:t>
      </w:r>
      <w:r w:rsidRPr="006E4E02">
        <w:t xml:space="preserve"> (APA Response to AER Information Request 007). </w:t>
      </w:r>
    </w:p>
  </w:footnote>
  <w:footnote w:id="49">
    <w:p w:rsidR="00A53E73" w:rsidRDefault="00A53E73" w:rsidP="00052061">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79(2)(b).</w:t>
      </w:r>
    </w:p>
  </w:footnote>
  <w:footnote w:id="50">
    <w:p w:rsidR="00A53E73" w:rsidRDefault="00A53E73">
      <w:pPr>
        <w:pStyle w:val="FootnoteText"/>
      </w:pPr>
      <w:r>
        <w:rPr>
          <w:rStyle w:val="FootnoteReference"/>
        </w:rPr>
        <w:footnoteRef/>
      </w:r>
      <w:r>
        <w:t xml:space="preserve"> </w:t>
      </w:r>
      <w:r>
        <w:tab/>
      </w:r>
      <w:r w:rsidRPr="00E2596A">
        <w:t>We note the estimate of 2017 capex in APA’s initial proposal may be updated with more recent information in the revised proposal it submits in August.</w:t>
      </w:r>
    </w:p>
  </w:footnote>
  <w:footnote w:id="51">
    <w:p w:rsidR="00A53E73" w:rsidRDefault="00A53E73" w:rsidP="00783257">
      <w:pPr>
        <w:pStyle w:val="FootnoteText"/>
      </w:pPr>
      <w:r>
        <w:rPr>
          <w:rStyle w:val="FootnoteReference"/>
        </w:rPr>
        <w:footnoteRef/>
      </w:r>
      <w:r>
        <w:t xml:space="preserve"> </w:t>
      </w:r>
      <w:r>
        <w:tab/>
      </w:r>
      <w:r w:rsidRPr="00166EDB">
        <w:t xml:space="preserve">AEMO, </w:t>
      </w:r>
      <w:r w:rsidRPr="00010518">
        <w:rPr>
          <w:rStyle w:val="AERtextitalic"/>
        </w:rPr>
        <w:t>Victorian Gas Planning Report: Declared Transmission System Planning for Victoria</w:t>
      </w:r>
      <w:r w:rsidRPr="00166EDB">
        <w:t>,</w:t>
      </w:r>
      <w:r>
        <w:t xml:space="preserve"> March 2017</w:t>
      </w:r>
      <w:r w:rsidRPr="00166EDB">
        <w:t>.</w:t>
      </w:r>
    </w:p>
  </w:footnote>
  <w:footnote w:id="52">
    <w:p w:rsidR="00A53E73" w:rsidRDefault="00A53E73" w:rsidP="00783257">
      <w:pPr>
        <w:pStyle w:val="FootnoteText"/>
      </w:pPr>
      <w:r>
        <w:rPr>
          <w:rStyle w:val="FootnoteReference"/>
        </w:rPr>
        <w:footnoteRef/>
      </w:r>
      <w:r>
        <w:t xml:space="preserve"> </w:t>
      </w:r>
      <w:r>
        <w:tab/>
      </w:r>
      <w:r w:rsidRPr="00166EDB">
        <w:t xml:space="preserve">AEMO, </w:t>
      </w:r>
      <w:r w:rsidRPr="00010518">
        <w:rPr>
          <w:rStyle w:val="AERtextitalic"/>
        </w:rPr>
        <w:t>Gas Statement of Opportunities: For Eastern and South-Eastern Australia</w:t>
      </w:r>
      <w:r w:rsidRPr="00166EDB">
        <w:t>, March 2017</w:t>
      </w:r>
      <w:r>
        <w:t xml:space="preserve">. </w:t>
      </w:r>
    </w:p>
  </w:footnote>
  <w:footnote w:id="53">
    <w:p w:rsidR="00A53E73" w:rsidRDefault="00A53E73" w:rsidP="00783257">
      <w:pPr>
        <w:pStyle w:val="FootnoteText"/>
      </w:pPr>
      <w:r>
        <w:rPr>
          <w:rStyle w:val="FootnoteReference"/>
        </w:rPr>
        <w:footnoteRef/>
      </w:r>
      <w:r>
        <w:t xml:space="preserve"> </w:t>
      </w:r>
      <w:r>
        <w:tab/>
        <w:t xml:space="preserve">AEMO, </w:t>
      </w:r>
      <w:r w:rsidRPr="00010518">
        <w:rPr>
          <w:rStyle w:val="AERtextitalic"/>
        </w:rPr>
        <w:t>Notice of a Threat to System Security – Seeking a Market Response</w:t>
      </w:r>
      <w:r>
        <w:t>, 10 March 2017 &lt;</w:t>
      </w:r>
      <w:r w:rsidRPr="00166EDB">
        <w:t xml:space="preserve"> </w:t>
      </w:r>
      <w:hyperlink r:id="rId2" w:history="1">
        <w:r w:rsidRPr="002A1C86">
          <w:rPr>
            <w:rStyle w:val="Hyperlink"/>
            <w:sz w:val="16"/>
          </w:rPr>
          <w:t>https://www.aemo.com.au/-/media/Files/Gas/DWGM/2017/Threat-to-System-Security-Notice---SWP-to-Port-Campbell-constraint.pdf</w:t>
        </w:r>
      </w:hyperlink>
      <w:r>
        <w:t xml:space="preserve">&gt;, AEMO, </w:t>
      </w:r>
      <w:r w:rsidRPr="00010518">
        <w:rPr>
          <w:rStyle w:val="AERtextitalic"/>
        </w:rPr>
        <w:t>Notice of a Threat to System Security</w:t>
      </w:r>
      <w:r>
        <w:t>, 10 March 2017 &lt;</w:t>
      </w:r>
      <w:r w:rsidRPr="00166EDB">
        <w:t xml:space="preserve"> </w:t>
      </w:r>
      <w:hyperlink r:id="rId3" w:history="1">
        <w:r w:rsidRPr="002A1C86">
          <w:rPr>
            <w:rStyle w:val="Hyperlink"/>
            <w:sz w:val="16"/>
          </w:rPr>
          <w:t>https://www.aemo.com.au/-/media/Files/Gas/DWGM/2017/Threat-to-System-Security-Notice---Warragul.pdf</w:t>
        </w:r>
      </w:hyperlink>
      <w:r>
        <w:t xml:space="preserve">&gt;. </w:t>
      </w:r>
    </w:p>
  </w:footnote>
  <w:footnote w:id="54">
    <w:p w:rsidR="00A53E73" w:rsidRDefault="00A53E73" w:rsidP="00783257">
      <w:pPr>
        <w:pStyle w:val="FootnoteText"/>
      </w:pPr>
      <w:r>
        <w:rPr>
          <w:rStyle w:val="FootnoteReference"/>
        </w:rPr>
        <w:footnoteRef/>
      </w:r>
      <w:r>
        <w:t xml:space="preserve"> </w:t>
      </w:r>
      <w:r>
        <w:tab/>
        <w:t xml:space="preserve">AEMO, </w:t>
      </w:r>
      <w:r w:rsidRPr="000D0864">
        <w:rPr>
          <w:rStyle w:val="AERtextitalic"/>
        </w:rPr>
        <w:t>Victorian Gas Planning Report</w:t>
      </w:r>
      <w:r>
        <w:rPr>
          <w:rStyle w:val="AERtextitalic"/>
        </w:rPr>
        <w:t>:</w:t>
      </w:r>
      <w:r>
        <w:t xml:space="preserve"> </w:t>
      </w:r>
      <w:r w:rsidRPr="000D0864">
        <w:rPr>
          <w:rStyle w:val="AERtextitalic"/>
        </w:rPr>
        <w:t>Declared Transmission System Planning for Victoria</w:t>
      </w:r>
      <w:r>
        <w:rPr>
          <w:rStyle w:val="AERtextitalic"/>
        </w:rPr>
        <w:t>,</w:t>
      </w:r>
      <w:r>
        <w:t xml:space="preserve"> March 2017, p. 55, </w:t>
      </w:r>
      <w:r w:rsidRPr="00166EDB">
        <w:t xml:space="preserve">AEMO, </w:t>
      </w:r>
      <w:r w:rsidRPr="00010518">
        <w:rPr>
          <w:rStyle w:val="AERtextitalic"/>
        </w:rPr>
        <w:t>Gas Statement of Opportunities: For Eastern and South-Eastern Australia</w:t>
      </w:r>
      <w:r w:rsidRPr="00166EDB">
        <w:t>, March 2017</w:t>
      </w:r>
      <w:r>
        <w:t>.</w:t>
      </w:r>
    </w:p>
  </w:footnote>
  <w:footnote w:id="55">
    <w:p w:rsidR="00A53E73" w:rsidRDefault="00A53E73" w:rsidP="00865C0C">
      <w:pPr>
        <w:pStyle w:val="FootnoteText"/>
      </w:pPr>
      <w:r>
        <w:rPr>
          <w:rStyle w:val="FootnoteReference"/>
        </w:rPr>
        <w:footnoteRef/>
      </w:r>
      <w:r>
        <w:t xml:space="preserve"> </w:t>
      </w:r>
      <w:r>
        <w:tab/>
      </w:r>
      <w:r w:rsidRPr="00957003">
        <w:t>APA Revised Access Arrangement Submission (WORM)</w:t>
      </w:r>
      <w:r>
        <w:t xml:space="preserve">. </w:t>
      </w:r>
    </w:p>
    <w:p w:rsidR="00A53E73" w:rsidRDefault="00A53E73" w:rsidP="00865C0C">
      <w:pPr>
        <w:pStyle w:val="FootnoteText"/>
      </w:pPr>
      <w:r>
        <w:tab/>
        <w:t xml:space="preserve">APA, </w:t>
      </w:r>
      <w:r>
        <w:rPr>
          <w:rStyle w:val="AERtextitalic"/>
        </w:rPr>
        <w:t xml:space="preserve">Business Case 506 - </w:t>
      </w:r>
      <w:r w:rsidRPr="002E2C59">
        <w:rPr>
          <w:rStyle w:val="AERtextitalic"/>
        </w:rPr>
        <w:t xml:space="preserve">Western Outer Ring Main (WORM) </w:t>
      </w:r>
      <w:r>
        <w:rPr>
          <w:rStyle w:val="AERtextitalic"/>
        </w:rPr>
        <w:t>Project</w:t>
      </w:r>
      <w:r>
        <w:t>, 21 April 2017</w:t>
      </w:r>
    </w:p>
  </w:footnote>
  <w:footnote w:id="56">
    <w:p w:rsidR="00A53E73" w:rsidRDefault="00A53E73">
      <w:pPr>
        <w:pStyle w:val="FootnoteText"/>
      </w:pPr>
      <w:r>
        <w:rPr>
          <w:rStyle w:val="FootnoteReference"/>
        </w:rPr>
        <w:footnoteRef/>
      </w:r>
      <w:r>
        <w:t xml:space="preserve"> </w:t>
      </w:r>
      <w:r>
        <w:tab/>
        <w:t xml:space="preserve">NGR, r </w:t>
      </w:r>
      <w:r w:rsidRPr="00B24870">
        <w:t>79(2)(c)</w:t>
      </w:r>
    </w:p>
  </w:footnote>
  <w:footnote w:id="57">
    <w:p w:rsidR="00A53E73" w:rsidRDefault="00A53E73" w:rsidP="001D2C98">
      <w:pPr>
        <w:pStyle w:val="FootnoteText"/>
      </w:pPr>
      <w:r>
        <w:rPr>
          <w:rStyle w:val="FootnoteReference"/>
        </w:rPr>
        <w:footnoteRef/>
      </w:r>
      <w:r>
        <w:t xml:space="preserve"> </w:t>
      </w:r>
      <w:r>
        <w:tab/>
      </w:r>
      <w:hyperlink r:id="rId4" w:history="1">
        <w:r w:rsidRPr="00C34012">
          <w:t xml:space="preserve">Consumer Challenge Panel (CCP11) - </w:t>
        </w:r>
        <w:r w:rsidRPr="00C34012">
          <w:rPr>
            <w:rStyle w:val="AERtextitalic"/>
          </w:rPr>
          <w:t>Advice to the AER regarding APA VTS proposal to complete the WORM in the 2018-22 access arrangement period</w:t>
        </w:r>
        <w:r w:rsidRPr="00C34012">
          <w:t xml:space="preserve"> - 6 June 2017</w:t>
        </w:r>
      </w:hyperlink>
      <w:r>
        <w:t>, p. 4.</w:t>
      </w:r>
    </w:p>
  </w:footnote>
  <w:footnote w:id="58">
    <w:p w:rsidR="00A53E73" w:rsidRDefault="00A53E73">
      <w:pPr>
        <w:pStyle w:val="FootnoteText"/>
      </w:pPr>
      <w:r>
        <w:rPr>
          <w:rStyle w:val="FootnoteReference"/>
        </w:rPr>
        <w:footnoteRef/>
      </w:r>
      <w:r>
        <w:t xml:space="preserve"> </w:t>
      </w:r>
      <w:r>
        <w:tab/>
        <w:t xml:space="preserve">Sleeman Consulting, </w:t>
      </w:r>
      <w:r>
        <w:rPr>
          <w:rStyle w:val="AERtextitalic"/>
        </w:rPr>
        <w:t>Western Outer Ring Main Project Capex Related Considerations</w:t>
      </w:r>
      <w:r>
        <w:t>, May 2017, p. 3 (Sleeman Consulting WORM Report).</w:t>
      </w:r>
    </w:p>
  </w:footnote>
  <w:footnote w:id="59">
    <w:p w:rsidR="00A53E73" w:rsidRDefault="00A53E73" w:rsidP="00B22B4A">
      <w:pPr>
        <w:pStyle w:val="FootnoteText"/>
      </w:pPr>
      <w:r>
        <w:rPr>
          <w:rStyle w:val="FootnoteReference"/>
        </w:rPr>
        <w:footnoteRef/>
      </w:r>
      <w:r>
        <w:t xml:space="preserve"> </w:t>
      </w:r>
      <w:r>
        <w:tab/>
        <w:t>NGR, r. 79(1</w:t>
      </w:r>
      <w:proofErr w:type="gramStart"/>
      <w:r>
        <w:t>)(</w:t>
      </w:r>
      <w:proofErr w:type="gramEnd"/>
      <w:r>
        <w:t>a).</w:t>
      </w:r>
    </w:p>
  </w:footnote>
  <w:footnote w:id="60">
    <w:p w:rsidR="00A53E73" w:rsidRDefault="00A53E73" w:rsidP="004C0F82">
      <w:pPr>
        <w:pStyle w:val="FootnoteText"/>
      </w:pPr>
      <w:r>
        <w:rPr>
          <w:rStyle w:val="FootnoteReference"/>
        </w:rPr>
        <w:footnoteRef/>
      </w:r>
      <w:r>
        <w:t xml:space="preserve"> </w:t>
      </w:r>
      <w:r>
        <w:tab/>
      </w:r>
      <w:proofErr w:type="gramStart"/>
      <w:r>
        <w:t>NGR, r. 79(1).</w:t>
      </w:r>
      <w:proofErr w:type="gramEnd"/>
    </w:p>
  </w:footnote>
  <w:footnote w:id="61">
    <w:p w:rsidR="00A53E73" w:rsidRDefault="00A53E73" w:rsidP="009633DC">
      <w:pPr>
        <w:pStyle w:val="FootnoteText"/>
      </w:pPr>
      <w:r>
        <w:rPr>
          <w:rStyle w:val="FootnoteReference"/>
        </w:rPr>
        <w:footnoteRef/>
      </w:r>
      <w:r>
        <w:t xml:space="preserve"> </w:t>
      </w:r>
      <w:r>
        <w:tab/>
      </w:r>
      <w:proofErr w:type="gramStart"/>
      <w:r>
        <w:t>NGR, r. 69.</w:t>
      </w:r>
      <w:proofErr w:type="gramEnd"/>
      <w:r>
        <w:t xml:space="preserve"> </w:t>
      </w:r>
    </w:p>
  </w:footnote>
  <w:footnote w:id="62">
    <w:p w:rsidR="00A53E73" w:rsidRDefault="00A53E73" w:rsidP="00D36AF1">
      <w:pPr>
        <w:pStyle w:val="FootnoteText"/>
      </w:pPr>
      <w:r>
        <w:rPr>
          <w:rStyle w:val="FootnoteReference"/>
        </w:rPr>
        <w:footnoteRef/>
      </w:r>
      <w:r>
        <w:t xml:space="preserve"> </w:t>
      </w:r>
      <w:r>
        <w:tab/>
      </w:r>
      <w:r w:rsidRPr="00CD7D82">
        <w:t xml:space="preserve">APA VTS, </w:t>
      </w:r>
      <w:r w:rsidRPr="00272737">
        <w:rPr>
          <w:rStyle w:val="AERtextitalic"/>
        </w:rPr>
        <w:t>B2 - Operating expenditure model revised with WORM</w:t>
      </w:r>
      <w:r w:rsidRPr="00CD7D82">
        <w:t xml:space="preserve">, 15 May 2017. </w:t>
      </w:r>
      <w:proofErr w:type="gramStart"/>
      <w:r w:rsidRPr="00CD7D82">
        <w:t>Includes debt raising costs.</w:t>
      </w:r>
      <w:proofErr w:type="gramEnd"/>
    </w:p>
  </w:footnote>
  <w:footnote w:id="63">
    <w:p w:rsidR="00A53E73" w:rsidRDefault="00A53E73" w:rsidP="009F6AC3">
      <w:pPr>
        <w:pStyle w:val="FootnoteText"/>
      </w:pPr>
      <w:r>
        <w:rPr>
          <w:rStyle w:val="FootnoteReference"/>
        </w:rPr>
        <w:footnoteRef/>
      </w:r>
      <w:r>
        <w:t xml:space="preserve"> </w:t>
      </w:r>
      <w:r>
        <w:tab/>
      </w:r>
      <w:proofErr w:type="gramStart"/>
      <w:r w:rsidRPr="00765AB0">
        <w:t>AER</w:t>
      </w:r>
      <w:r w:rsidRPr="00765AB0">
        <w:rPr>
          <w:sz w:val="22"/>
        </w:rPr>
        <w:t xml:space="preserve">, </w:t>
      </w:r>
      <w:r w:rsidRPr="00765AB0">
        <w:rPr>
          <w:rStyle w:val="AERtextitalic"/>
        </w:rPr>
        <w:t>Access arrangement final decision - APA GasNet - Part 1</w:t>
      </w:r>
      <w:r w:rsidRPr="00765AB0">
        <w:rPr>
          <w:sz w:val="22"/>
        </w:rPr>
        <w:t xml:space="preserve">, </w:t>
      </w:r>
      <w:r w:rsidRPr="00765AB0">
        <w:t>March 2013</w:t>
      </w:r>
      <w:r>
        <w:rPr>
          <w:rStyle w:val="Hyperlink"/>
        </w:rPr>
        <w:t>.</w:t>
      </w:r>
      <w:proofErr w:type="gramEnd"/>
    </w:p>
  </w:footnote>
  <w:footnote w:id="64">
    <w:p w:rsidR="00A53E73" w:rsidRDefault="00A53E73">
      <w:pPr>
        <w:pStyle w:val="FootnoteText"/>
      </w:pPr>
      <w:r>
        <w:rPr>
          <w:rStyle w:val="FootnoteReference"/>
        </w:rPr>
        <w:footnoteRef/>
      </w:r>
      <w:r>
        <w:t xml:space="preserve"> </w:t>
      </w:r>
      <w:r>
        <w:tab/>
      </w:r>
      <w:proofErr w:type="gramStart"/>
      <w:r>
        <w:t>Including debt raising costs.</w:t>
      </w:r>
      <w:proofErr w:type="gramEnd"/>
    </w:p>
  </w:footnote>
  <w:footnote w:id="65">
    <w:p w:rsidR="00A53E73" w:rsidRDefault="00A53E73">
      <w:pPr>
        <w:pStyle w:val="FootnoteText"/>
      </w:pPr>
      <w:r>
        <w:rPr>
          <w:rStyle w:val="FootnoteReference"/>
        </w:rPr>
        <w:footnoteRef/>
      </w:r>
      <w:r>
        <w:t xml:space="preserve"> </w:t>
      </w:r>
      <w:r>
        <w:tab/>
      </w:r>
      <w:proofErr w:type="gramStart"/>
      <w:r>
        <w:t>Including debt raising costs.</w:t>
      </w:r>
      <w:proofErr w:type="gramEnd"/>
    </w:p>
  </w:footnote>
  <w:footnote w:id="66">
    <w:p w:rsidR="00A53E73" w:rsidRDefault="00A53E73" w:rsidP="0086448A">
      <w:pPr>
        <w:pStyle w:val="FootnoteText"/>
      </w:pPr>
      <w:r>
        <w:rPr>
          <w:rStyle w:val="FootnoteReference"/>
        </w:rPr>
        <w:footnoteRef/>
      </w:r>
      <w:r>
        <w:t xml:space="preserve"> </w:t>
      </w:r>
      <w:r>
        <w:tab/>
      </w:r>
      <w:proofErr w:type="gramStart"/>
      <w:r>
        <w:t xml:space="preserve">AER, </w:t>
      </w:r>
      <w:r>
        <w:rPr>
          <w:rStyle w:val="AERtextitalic"/>
        </w:rPr>
        <w:t>Efficiency Benefit Sharing Scheme for Electricity Network Service Providers</w:t>
      </w:r>
      <w:r>
        <w:t>, November 2013, pp. 7–9.</w:t>
      </w:r>
      <w:proofErr w:type="gramEnd"/>
    </w:p>
  </w:footnote>
  <w:footnote w:id="67">
    <w:p w:rsidR="00A53E73" w:rsidRDefault="00A53E73" w:rsidP="00B90BFA">
      <w:pPr>
        <w:pStyle w:val="FootnoteText"/>
      </w:pPr>
      <w:r>
        <w:rPr>
          <w:rStyle w:val="FootnoteReference"/>
        </w:rPr>
        <w:footnoteRef/>
      </w:r>
      <w:r>
        <w:t xml:space="preserve"> </w:t>
      </w:r>
      <w:r>
        <w:tab/>
      </w:r>
      <w:proofErr w:type="gramStart"/>
      <w:r>
        <w:t>NGR, r. 76(c).</w:t>
      </w:r>
      <w:proofErr w:type="gramEnd"/>
    </w:p>
  </w:footnote>
  <w:footnote w:id="68">
    <w:p w:rsidR="00A53E73" w:rsidRDefault="00A53E73" w:rsidP="00B90BFA">
      <w:pPr>
        <w:pStyle w:val="FootnoteText"/>
      </w:pPr>
      <w:r>
        <w:rPr>
          <w:rStyle w:val="FootnoteReference"/>
        </w:rPr>
        <w:footnoteRef/>
      </w:r>
      <w:r>
        <w:t xml:space="preserve"> </w:t>
      </w:r>
      <w:r>
        <w:tab/>
        <w:t xml:space="preserve">APA VTS, </w:t>
      </w:r>
      <w:r w:rsidRPr="00DE1AA9">
        <w:rPr>
          <w:rStyle w:val="AERtextitalic"/>
        </w:rPr>
        <w:t xml:space="preserve">VTS Revision Proposal submission - </w:t>
      </w:r>
      <w:r w:rsidRPr="00272737">
        <w:t>20170103 - Public</w:t>
      </w:r>
      <w:r w:rsidRPr="00F406F0">
        <w:t>, p.</w:t>
      </w:r>
      <w:r>
        <w:t xml:space="preserve"> 213</w:t>
      </w:r>
      <w:r w:rsidRPr="00F406F0">
        <w:t>.</w:t>
      </w:r>
    </w:p>
  </w:footnote>
  <w:footnote w:id="69">
    <w:p w:rsidR="00A53E73" w:rsidRDefault="00A53E73" w:rsidP="009214D9">
      <w:pPr>
        <w:pStyle w:val="FootnoteText"/>
      </w:pPr>
      <w:r>
        <w:rPr>
          <w:rStyle w:val="FootnoteReference"/>
        </w:rPr>
        <w:footnoteRef/>
      </w:r>
      <w:r>
        <w:t xml:space="preserve"> </w:t>
      </w:r>
      <w:r>
        <w:tab/>
      </w:r>
      <w:r w:rsidRPr="003768A0">
        <w:t>The changes affecting revenues are discussed in the overview.</w:t>
      </w:r>
    </w:p>
  </w:footnote>
  <w:footnote w:id="70">
    <w:p w:rsidR="00A53E73" w:rsidRDefault="00A53E73" w:rsidP="00B90BFA">
      <w:pPr>
        <w:pStyle w:val="FootnoteText"/>
      </w:pPr>
      <w:r>
        <w:rPr>
          <w:rStyle w:val="FootnoteReference"/>
        </w:rPr>
        <w:footnoteRef/>
      </w:r>
      <w:r>
        <w:t xml:space="preserve"> </w:t>
      </w:r>
      <w:r>
        <w:tab/>
        <w:t xml:space="preserve">The TAB is roll forward by adding capex and subtracting tax depreciation over the 2013–17 access arrangement </w:t>
      </w:r>
      <w:proofErr w:type="gramStart"/>
      <w:r>
        <w:t>period</w:t>
      </w:r>
      <w:proofErr w:type="gramEnd"/>
      <w:r>
        <w:t xml:space="preserve">. There are two ways to recognise capex. The </w:t>
      </w:r>
      <w:r w:rsidRPr="00BD1FEF">
        <w:t>as</w:t>
      </w:r>
      <w:r>
        <w:t>-</w:t>
      </w:r>
      <w:r w:rsidRPr="00BD1FEF">
        <w:t xml:space="preserve">incurred capex </w:t>
      </w:r>
      <w:r>
        <w:t xml:space="preserve">approach </w:t>
      </w:r>
      <w:r w:rsidRPr="00BD1FEF">
        <w:t>reco</w:t>
      </w:r>
      <w:r>
        <w:t>gnises</w:t>
      </w:r>
      <w:r w:rsidRPr="00BD1FEF">
        <w:t xml:space="preserve"> </w:t>
      </w:r>
      <w:r>
        <w:t xml:space="preserve">capex </w:t>
      </w:r>
      <w:r w:rsidRPr="00BD1FEF">
        <w:t>in any one year based on expenditure in</w:t>
      </w:r>
      <w:r>
        <w:t>curred in</w:t>
      </w:r>
      <w:r w:rsidRPr="00BD1FEF">
        <w:t xml:space="preserve"> that year regardless </w:t>
      </w:r>
      <w:r>
        <w:t xml:space="preserve">of </w:t>
      </w:r>
      <w:r w:rsidRPr="00BD1FEF">
        <w:t>whether the asset related to that expenditure has been commissioned or not</w:t>
      </w:r>
      <w:r>
        <w:t>, while the as-commissioned capex approach recognises expenditure at the time when the asset related to that expenditure has been commissioned.</w:t>
      </w:r>
    </w:p>
  </w:footnote>
  <w:footnote w:id="71">
    <w:p w:rsidR="00A53E73" w:rsidRDefault="00A53E73" w:rsidP="009214D9">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72">
    <w:p w:rsidR="00A53E73" w:rsidRDefault="00A53E73" w:rsidP="001F5844">
      <w:pPr>
        <w:pStyle w:val="FootnoteText"/>
      </w:pPr>
      <w:r>
        <w:rPr>
          <w:rStyle w:val="FootnoteReference"/>
        </w:rPr>
        <w:footnoteRef/>
      </w:r>
      <w:r>
        <w:t xml:space="preserve"> </w:t>
      </w:r>
      <w:r>
        <w:tab/>
      </w:r>
      <w:proofErr w:type="gramStart"/>
      <w:r>
        <w:t>APA VTS Submission p. 16.</w:t>
      </w:r>
      <w:proofErr w:type="gramEnd"/>
    </w:p>
  </w:footnote>
  <w:footnote w:id="73">
    <w:p w:rsidR="00A53E73" w:rsidRDefault="00A53E73" w:rsidP="00287569">
      <w:pPr>
        <w:pStyle w:val="FootnoteText"/>
      </w:pPr>
      <w:r>
        <w:rPr>
          <w:rStyle w:val="FootnoteReference"/>
        </w:rPr>
        <w:footnoteRef/>
      </w:r>
      <w:r>
        <w:t xml:space="preserve"> </w:t>
      </w:r>
      <w:r>
        <w:tab/>
      </w:r>
      <w:proofErr w:type="gramStart"/>
      <w:r>
        <w:t>NGL, s. 23.</w:t>
      </w:r>
      <w:proofErr w:type="gramEnd"/>
    </w:p>
  </w:footnote>
  <w:footnote w:id="74">
    <w:p w:rsidR="00A53E73" w:rsidRDefault="00A53E73" w:rsidP="00287569">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A53E73" w:rsidRDefault="00A53E73" w:rsidP="00287569">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A53E73" w:rsidRDefault="00A53E73" w:rsidP="00287569">
      <w:pPr>
        <w:pStyle w:val="FootnoteText"/>
      </w:pPr>
      <w:r>
        <w:tab/>
        <w:t xml:space="preserve">Hansard, </w:t>
      </w:r>
      <w:r w:rsidRPr="00A12D0C">
        <w:rPr>
          <w:rStyle w:val="AERtextitalic"/>
        </w:rPr>
        <w:t>SA House of Assembly</w:t>
      </w:r>
      <w:r>
        <w:t>, 26 September 2013, pp. 7171</w:t>
      </w:r>
      <w:r>
        <w:rPr>
          <w:rFonts w:cs="Gautami"/>
        </w:rPr>
        <w:t>–</w:t>
      </w:r>
      <w:r>
        <w:t>7176.</w:t>
      </w:r>
    </w:p>
  </w:footnote>
  <w:footnote w:id="75">
    <w:p w:rsidR="00A53E73" w:rsidRDefault="00A53E73" w:rsidP="00287569">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76">
    <w:p w:rsidR="00A53E73" w:rsidRDefault="00A53E73" w:rsidP="00287569">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77">
    <w:p w:rsidR="00A53E73" w:rsidRPr="001114AA" w:rsidRDefault="00A53E73" w:rsidP="00287569">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A53E73" w:rsidRDefault="00A53E73" w:rsidP="00287569">
      <w:pPr>
        <w:pStyle w:val="FootnoteText"/>
      </w:pPr>
      <w:r>
        <w:tab/>
        <w:t>Energy Ministers also accept this view – see Hansard, SA House of Assembly, 26 September 2013 p. 7172.</w:t>
      </w:r>
    </w:p>
    <w:p w:rsidR="00A53E73" w:rsidRDefault="00A53E73" w:rsidP="00287569">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78">
    <w:p w:rsidR="00A53E73" w:rsidRDefault="00A53E73" w:rsidP="00287569">
      <w:pPr>
        <w:pStyle w:val="FootnoteText"/>
      </w:pPr>
      <w:r>
        <w:rPr>
          <w:rStyle w:val="FootnoteReference"/>
        </w:rPr>
        <w:footnoteRef/>
      </w:r>
      <w:r>
        <w:t xml:space="preserve"> </w:t>
      </w:r>
      <w:r>
        <w:tab/>
      </w:r>
      <w:proofErr w:type="gramStart"/>
      <w:r>
        <w:t>NGL, s. 24(7).</w:t>
      </w:r>
      <w:proofErr w:type="gramEnd"/>
    </w:p>
  </w:footnote>
  <w:footnote w:id="79">
    <w:p w:rsidR="00A53E73" w:rsidRDefault="00A53E73" w:rsidP="00287569">
      <w:pPr>
        <w:pStyle w:val="FootnoteText"/>
      </w:pPr>
      <w:r>
        <w:rPr>
          <w:rStyle w:val="FootnoteReference"/>
        </w:rPr>
        <w:footnoteRef/>
      </w:r>
      <w:r>
        <w:t xml:space="preserve"> </w:t>
      </w:r>
      <w:r>
        <w:tab/>
      </w:r>
      <w:proofErr w:type="gramStart"/>
      <w:r>
        <w:t>NGL, s. 24(6).</w:t>
      </w:r>
      <w:proofErr w:type="gramEnd"/>
    </w:p>
  </w:footnote>
  <w:footnote w:id="80">
    <w:p w:rsidR="00A53E73" w:rsidRDefault="00A53E73" w:rsidP="00287569">
      <w:pPr>
        <w:pStyle w:val="FootnoteText"/>
      </w:pPr>
      <w:r>
        <w:rPr>
          <w:rStyle w:val="FootnoteReference"/>
        </w:rPr>
        <w:footnoteRef/>
      </w:r>
      <w:r>
        <w:t xml:space="preserve"> </w:t>
      </w:r>
      <w:r>
        <w:tab/>
      </w:r>
      <w:proofErr w:type="gramStart"/>
      <w:r>
        <w:t>NGL, s. 24.</w:t>
      </w:r>
      <w:proofErr w:type="gramEnd"/>
    </w:p>
  </w:footnote>
  <w:footnote w:id="81">
    <w:p w:rsidR="00A53E73" w:rsidRDefault="00A53E73" w:rsidP="00287569">
      <w:pPr>
        <w:pStyle w:val="FootnoteText"/>
      </w:pPr>
      <w:r>
        <w:rPr>
          <w:rStyle w:val="FootnoteReference"/>
        </w:rPr>
        <w:footnoteRef/>
      </w:r>
      <w:r>
        <w:t xml:space="preserve"> </w:t>
      </w:r>
      <w:r>
        <w:tab/>
      </w:r>
      <w:proofErr w:type="gramStart"/>
      <w:r>
        <w:t>NGL, s. 28(2).</w:t>
      </w:r>
      <w:proofErr w:type="gramEnd"/>
    </w:p>
  </w:footnote>
  <w:footnote w:id="82">
    <w:p w:rsidR="00A53E73" w:rsidRDefault="00A53E73" w:rsidP="00287569">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83">
    <w:p w:rsidR="00A53E73" w:rsidRDefault="00A53E73" w:rsidP="000E573C">
      <w:pPr>
        <w:pStyle w:val="FootnoteText"/>
      </w:pPr>
      <w:r>
        <w:rPr>
          <w:rStyle w:val="FootnoteReference"/>
        </w:rPr>
        <w:footnoteRef/>
      </w:r>
      <w:r>
        <w:t xml:space="preserve"> </w:t>
      </w:r>
      <w:r>
        <w:tab/>
        <w:t>NGL, s. 28(1</w:t>
      </w:r>
      <w:proofErr w:type="gramStart"/>
      <w:r>
        <w:t>)(</w:t>
      </w:r>
      <w:proofErr w:type="gramEnd"/>
      <w:r>
        <w:t xml:space="preserve">b)(iii). </w:t>
      </w:r>
    </w:p>
  </w:footnote>
  <w:footnote w:id="84">
    <w:p w:rsidR="00A53E73" w:rsidRDefault="00A53E73" w:rsidP="00287569">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85">
    <w:p w:rsidR="00A53E73" w:rsidRDefault="00A53E73">
      <w:pPr>
        <w:pStyle w:val="FootnoteText"/>
      </w:pPr>
      <w:r>
        <w:rPr>
          <w:rStyle w:val="FootnoteReference"/>
        </w:rPr>
        <w:footnoteRef/>
      </w:r>
      <w:r>
        <w:t xml:space="preserve"> </w:t>
      </w:r>
      <w:r>
        <w:tab/>
      </w:r>
      <w:r w:rsidRPr="000121AA">
        <w:t>APA VTS</w:t>
      </w:r>
      <w:r>
        <w:t>,</w:t>
      </w:r>
      <w:r w:rsidRPr="000121AA">
        <w:t xml:space="preserve"> </w:t>
      </w:r>
      <w:r w:rsidRPr="00272737">
        <w:rPr>
          <w:rStyle w:val="AERtextitalic"/>
        </w:rPr>
        <w:t>VTS Revision Proposal submission</w:t>
      </w:r>
      <w:r>
        <w:rPr>
          <w:rStyle w:val="AERtextitalic"/>
        </w:rPr>
        <w:t>,</w:t>
      </w:r>
      <w:r w:rsidRPr="000121AA">
        <w:t xml:space="preserve"> 20170103 - Public</w:t>
      </w:r>
      <w:r>
        <w:t>, pp. 2-3.</w:t>
      </w:r>
    </w:p>
  </w:footnote>
  <w:footnote w:id="86">
    <w:p w:rsidR="00A53E73" w:rsidRDefault="00A53E73" w:rsidP="00F81E5A">
      <w:pPr>
        <w:pStyle w:val="FootnoteText"/>
      </w:pPr>
      <w:r>
        <w:rPr>
          <w:rStyle w:val="FootnoteReference"/>
        </w:rPr>
        <w:footnoteRef/>
      </w:r>
      <w:r>
        <w:t xml:space="preserve"> </w:t>
      </w:r>
      <w:r>
        <w:tab/>
        <w:t xml:space="preserve">AER, </w:t>
      </w:r>
      <w:hyperlink r:id="rId5" w:history="1">
        <w:r w:rsidRPr="00272737">
          <w:rPr>
            <w:rStyle w:val="AERtextitalic"/>
          </w:rPr>
          <w:t>Consumer engagement guideline for network service providers</w:t>
        </w:r>
      </w:hyperlink>
      <w:r w:rsidRPr="00272737">
        <w:rPr>
          <w:rStyle w:val="AERtextitalic"/>
        </w:rPr>
        <w:t>,</w:t>
      </w:r>
      <w:r>
        <w:t xml:space="preserve"> August 2013</w:t>
      </w:r>
      <w:r w:rsidRPr="00F81E5A">
        <w:t xml:space="preserve"> </w:t>
      </w:r>
      <w:r>
        <w:t>p. 5</w:t>
      </w:r>
    </w:p>
  </w:footnote>
  <w:footnote w:id="87">
    <w:p w:rsidR="00A53E73" w:rsidRDefault="00A53E73">
      <w:pPr>
        <w:pStyle w:val="FootnoteText"/>
      </w:pPr>
      <w:r>
        <w:rPr>
          <w:rStyle w:val="FootnoteReference"/>
        </w:rPr>
        <w:footnoteRef/>
      </w:r>
      <w:r>
        <w:t xml:space="preserve"> </w:t>
      </w:r>
      <w:r>
        <w:tab/>
      </w:r>
      <w:r w:rsidRPr="000121AA">
        <w:t>APA VTS</w:t>
      </w:r>
      <w:r>
        <w:t>,</w:t>
      </w:r>
      <w:r w:rsidRPr="000121AA">
        <w:t xml:space="preserve"> </w:t>
      </w:r>
      <w:r w:rsidRPr="00272737">
        <w:rPr>
          <w:rStyle w:val="AERtextitalic"/>
        </w:rPr>
        <w:t>VTS Revision Proposal submission</w:t>
      </w:r>
      <w:r>
        <w:t>,</w:t>
      </w:r>
      <w:r w:rsidRPr="000121AA">
        <w:t xml:space="preserve"> 20170103 - Public</w:t>
      </w:r>
      <w:r>
        <w:t xml:space="preserve">, p. 3; </w:t>
      </w:r>
      <w:r w:rsidRPr="000121AA">
        <w:t>APA VTS</w:t>
      </w:r>
      <w:r>
        <w:t>,</w:t>
      </w:r>
      <w:r w:rsidRPr="000121AA">
        <w:t xml:space="preserve"> </w:t>
      </w:r>
      <w:r w:rsidRPr="00272737">
        <w:rPr>
          <w:rStyle w:val="AERtextitalic"/>
        </w:rPr>
        <w:t>A4 - Consumer Engagement Plan</w:t>
      </w:r>
      <w:r w:rsidRPr="000121AA">
        <w:t xml:space="preserve"> </w:t>
      </w:r>
      <w:r>
        <w:t xml:space="preserve">, </w:t>
      </w:r>
      <w:r w:rsidRPr="000121AA">
        <w:t>20170103 - 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73" w:rsidRDefault="00A53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13E4A93"/>
    <w:multiLevelType w:val="hybridMultilevel"/>
    <w:tmpl w:val="4F700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68066998"/>
    <w:multiLevelType w:val="hybridMultilevel"/>
    <w:tmpl w:val="7AD00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760CEF"/>
    <w:multiLevelType w:val="hybridMultilevel"/>
    <w:tmpl w:val="95E87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30"/>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3"/>
  </w:num>
  <w:num w:numId="29">
    <w:abstractNumId w:val="20"/>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7"/>
  </w:num>
  <w:num w:numId="3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ESBdboS668FAfqYz0fw1CoTBDHGGJtuW5uEmK/bHSc=" w:saltValue="hIzMadEeLuF4vimqJ1w+sA==" w:algorithmName="SHA-256"/>
  <w:defaultTabStop w:val="340"/>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24\D16 9531  AER - Draft decision ElectraNet transmission determination - Overview.DOCX"/>
  </w:docVars>
  <w:rsids>
    <w:rsidRoot w:val="00961A4A"/>
    <w:rsid w:val="00004D69"/>
    <w:rsid w:val="000051DC"/>
    <w:rsid w:val="0000547F"/>
    <w:rsid w:val="0000658F"/>
    <w:rsid w:val="000101B5"/>
    <w:rsid w:val="000121AA"/>
    <w:rsid w:val="0001507B"/>
    <w:rsid w:val="00015508"/>
    <w:rsid w:val="00020016"/>
    <w:rsid w:val="00021202"/>
    <w:rsid w:val="00021C2B"/>
    <w:rsid w:val="0002498B"/>
    <w:rsid w:val="0002517F"/>
    <w:rsid w:val="00026187"/>
    <w:rsid w:val="000266A0"/>
    <w:rsid w:val="000266FC"/>
    <w:rsid w:val="000273B3"/>
    <w:rsid w:val="00027E2D"/>
    <w:rsid w:val="0003341B"/>
    <w:rsid w:val="0003578C"/>
    <w:rsid w:val="00037275"/>
    <w:rsid w:val="00042F27"/>
    <w:rsid w:val="00044DA3"/>
    <w:rsid w:val="000474DF"/>
    <w:rsid w:val="0004769E"/>
    <w:rsid w:val="000502F5"/>
    <w:rsid w:val="00052061"/>
    <w:rsid w:val="000521F6"/>
    <w:rsid w:val="000526CF"/>
    <w:rsid w:val="00055A67"/>
    <w:rsid w:val="000628A3"/>
    <w:rsid w:val="00063247"/>
    <w:rsid w:val="0006624E"/>
    <w:rsid w:val="000663ED"/>
    <w:rsid w:val="00070F9F"/>
    <w:rsid w:val="0007137B"/>
    <w:rsid w:val="00071B98"/>
    <w:rsid w:val="00073B74"/>
    <w:rsid w:val="00076416"/>
    <w:rsid w:val="000805A8"/>
    <w:rsid w:val="0008190B"/>
    <w:rsid w:val="00081C38"/>
    <w:rsid w:val="000836D9"/>
    <w:rsid w:val="00083E6A"/>
    <w:rsid w:val="00085663"/>
    <w:rsid w:val="00085EBF"/>
    <w:rsid w:val="00091B15"/>
    <w:rsid w:val="00093B86"/>
    <w:rsid w:val="00095186"/>
    <w:rsid w:val="000A0E71"/>
    <w:rsid w:val="000A168B"/>
    <w:rsid w:val="000A1C0C"/>
    <w:rsid w:val="000A3020"/>
    <w:rsid w:val="000A4840"/>
    <w:rsid w:val="000A62C1"/>
    <w:rsid w:val="000A6A79"/>
    <w:rsid w:val="000A6C7B"/>
    <w:rsid w:val="000B0A7B"/>
    <w:rsid w:val="000B1173"/>
    <w:rsid w:val="000B5827"/>
    <w:rsid w:val="000B7037"/>
    <w:rsid w:val="000C02D1"/>
    <w:rsid w:val="000C0C63"/>
    <w:rsid w:val="000C11EC"/>
    <w:rsid w:val="000C2B40"/>
    <w:rsid w:val="000C5225"/>
    <w:rsid w:val="000C5255"/>
    <w:rsid w:val="000D07A7"/>
    <w:rsid w:val="000D122C"/>
    <w:rsid w:val="000D75B0"/>
    <w:rsid w:val="000E0F31"/>
    <w:rsid w:val="000E1819"/>
    <w:rsid w:val="000E4821"/>
    <w:rsid w:val="000E4AA9"/>
    <w:rsid w:val="000E573C"/>
    <w:rsid w:val="000E6C72"/>
    <w:rsid w:val="000E7F39"/>
    <w:rsid w:val="000F023D"/>
    <w:rsid w:val="000F0F4B"/>
    <w:rsid w:val="000F37BC"/>
    <w:rsid w:val="000F6D0F"/>
    <w:rsid w:val="000F7684"/>
    <w:rsid w:val="00100EA2"/>
    <w:rsid w:val="00101AA1"/>
    <w:rsid w:val="00102338"/>
    <w:rsid w:val="00104566"/>
    <w:rsid w:val="00104FF6"/>
    <w:rsid w:val="00105AB2"/>
    <w:rsid w:val="00110E36"/>
    <w:rsid w:val="001114AA"/>
    <w:rsid w:val="00113789"/>
    <w:rsid w:val="00114DB1"/>
    <w:rsid w:val="00115743"/>
    <w:rsid w:val="00116EB2"/>
    <w:rsid w:val="0012132C"/>
    <w:rsid w:val="001216C3"/>
    <w:rsid w:val="00124609"/>
    <w:rsid w:val="00126304"/>
    <w:rsid w:val="00126A4C"/>
    <w:rsid w:val="001270E3"/>
    <w:rsid w:val="00132D43"/>
    <w:rsid w:val="00133366"/>
    <w:rsid w:val="0013357D"/>
    <w:rsid w:val="00133F47"/>
    <w:rsid w:val="00134029"/>
    <w:rsid w:val="00136D41"/>
    <w:rsid w:val="00137500"/>
    <w:rsid w:val="00142C2D"/>
    <w:rsid w:val="00144C96"/>
    <w:rsid w:val="0014573B"/>
    <w:rsid w:val="001463A3"/>
    <w:rsid w:val="0015073A"/>
    <w:rsid w:val="001573E4"/>
    <w:rsid w:val="00160756"/>
    <w:rsid w:val="00161DC8"/>
    <w:rsid w:val="00166760"/>
    <w:rsid w:val="0017232E"/>
    <w:rsid w:val="00174102"/>
    <w:rsid w:val="001754EE"/>
    <w:rsid w:val="0017632B"/>
    <w:rsid w:val="001775C9"/>
    <w:rsid w:val="00180157"/>
    <w:rsid w:val="001809BC"/>
    <w:rsid w:val="00180E97"/>
    <w:rsid w:val="001820B4"/>
    <w:rsid w:val="00184351"/>
    <w:rsid w:val="00184AC8"/>
    <w:rsid w:val="00185BA5"/>
    <w:rsid w:val="00185CB9"/>
    <w:rsid w:val="00185DBE"/>
    <w:rsid w:val="00186ADC"/>
    <w:rsid w:val="00186F77"/>
    <w:rsid w:val="001877A4"/>
    <w:rsid w:val="00190889"/>
    <w:rsid w:val="001926A4"/>
    <w:rsid w:val="00192AD5"/>
    <w:rsid w:val="00194597"/>
    <w:rsid w:val="00194E00"/>
    <w:rsid w:val="00197150"/>
    <w:rsid w:val="0019745E"/>
    <w:rsid w:val="00197B16"/>
    <w:rsid w:val="001A530D"/>
    <w:rsid w:val="001A5FB3"/>
    <w:rsid w:val="001A7155"/>
    <w:rsid w:val="001B45A0"/>
    <w:rsid w:val="001B680E"/>
    <w:rsid w:val="001B7D78"/>
    <w:rsid w:val="001C080C"/>
    <w:rsid w:val="001C1B18"/>
    <w:rsid w:val="001C755F"/>
    <w:rsid w:val="001D0531"/>
    <w:rsid w:val="001D055E"/>
    <w:rsid w:val="001D1896"/>
    <w:rsid w:val="001D2C98"/>
    <w:rsid w:val="001D32C2"/>
    <w:rsid w:val="001D392B"/>
    <w:rsid w:val="001D7979"/>
    <w:rsid w:val="001E1B3F"/>
    <w:rsid w:val="001E509D"/>
    <w:rsid w:val="001E5EAE"/>
    <w:rsid w:val="001E7161"/>
    <w:rsid w:val="001F0259"/>
    <w:rsid w:val="001F05A4"/>
    <w:rsid w:val="001F3D4A"/>
    <w:rsid w:val="001F492E"/>
    <w:rsid w:val="001F5844"/>
    <w:rsid w:val="001F64EF"/>
    <w:rsid w:val="001F6DA3"/>
    <w:rsid w:val="002010BC"/>
    <w:rsid w:val="002016E7"/>
    <w:rsid w:val="00202E03"/>
    <w:rsid w:val="002033B9"/>
    <w:rsid w:val="002043D0"/>
    <w:rsid w:val="0020492C"/>
    <w:rsid w:val="00204EC9"/>
    <w:rsid w:val="00204FB3"/>
    <w:rsid w:val="002051CE"/>
    <w:rsid w:val="0020530B"/>
    <w:rsid w:val="00206505"/>
    <w:rsid w:val="0020743F"/>
    <w:rsid w:val="002075F1"/>
    <w:rsid w:val="00210FDD"/>
    <w:rsid w:val="00216C93"/>
    <w:rsid w:val="00217DBE"/>
    <w:rsid w:val="00223051"/>
    <w:rsid w:val="00223D2B"/>
    <w:rsid w:val="00224DB9"/>
    <w:rsid w:val="0022569A"/>
    <w:rsid w:val="0023005C"/>
    <w:rsid w:val="00231012"/>
    <w:rsid w:val="00231C90"/>
    <w:rsid w:val="00233775"/>
    <w:rsid w:val="0023414B"/>
    <w:rsid w:val="00243635"/>
    <w:rsid w:val="002445F3"/>
    <w:rsid w:val="00247079"/>
    <w:rsid w:val="00251745"/>
    <w:rsid w:val="00252C75"/>
    <w:rsid w:val="002549DB"/>
    <w:rsid w:val="002552BA"/>
    <w:rsid w:val="002575D3"/>
    <w:rsid w:val="00260016"/>
    <w:rsid w:val="00263AC0"/>
    <w:rsid w:val="00263D9B"/>
    <w:rsid w:val="00264264"/>
    <w:rsid w:val="0026689B"/>
    <w:rsid w:val="0026772D"/>
    <w:rsid w:val="00272737"/>
    <w:rsid w:val="002730B2"/>
    <w:rsid w:val="00274266"/>
    <w:rsid w:val="0027435B"/>
    <w:rsid w:val="00274C7E"/>
    <w:rsid w:val="0027703A"/>
    <w:rsid w:val="002777CF"/>
    <w:rsid w:val="002810F2"/>
    <w:rsid w:val="00286874"/>
    <w:rsid w:val="00287569"/>
    <w:rsid w:val="00290C63"/>
    <w:rsid w:val="00290EDD"/>
    <w:rsid w:val="002910D9"/>
    <w:rsid w:val="00291A99"/>
    <w:rsid w:val="00291D7A"/>
    <w:rsid w:val="00293B6D"/>
    <w:rsid w:val="00294B08"/>
    <w:rsid w:val="0029518C"/>
    <w:rsid w:val="002963DD"/>
    <w:rsid w:val="00296B65"/>
    <w:rsid w:val="002A7D43"/>
    <w:rsid w:val="002A7DEF"/>
    <w:rsid w:val="002B0696"/>
    <w:rsid w:val="002B12CF"/>
    <w:rsid w:val="002B142E"/>
    <w:rsid w:val="002B2481"/>
    <w:rsid w:val="002B5F73"/>
    <w:rsid w:val="002C0222"/>
    <w:rsid w:val="002C1499"/>
    <w:rsid w:val="002C233C"/>
    <w:rsid w:val="002C3D05"/>
    <w:rsid w:val="002C517B"/>
    <w:rsid w:val="002C62CD"/>
    <w:rsid w:val="002C7BA2"/>
    <w:rsid w:val="002D3509"/>
    <w:rsid w:val="002D5457"/>
    <w:rsid w:val="002D72E8"/>
    <w:rsid w:val="002D79AD"/>
    <w:rsid w:val="002E268F"/>
    <w:rsid w:val="002E2E3D"/>
    <w:rsid w:val="002E6DF5"/>
    <w:rsid w:val="002E78DD"/>
    <w:rsid w:val="002E7B22"/>
    <w:rsid w:val="002E7CEA"/>
    <w:rsid w:val="002F12EC"/>
    <w:rsid w:val="002F3070"/>
    <w:rsid w:val="002F400A"/>
    <w:rsid w:val="002F6A68"/>
    <w:rsid w:val="002F6C7A"/>
    <w:rsid w:val="002F7986"/>
    <w:rsid w:val="00301B40"/>
    <w:rsid w:val="00301C82"/>
    <w:rsid w:val="003029EE"/>
    <w:rsid w:val="00303CB1"/>
    <w:rsid w:val="00303EFB"/>
    <w:rsid w:val="00304D38"/>
    <w:rsid w:val="00305CC8"/>
    <w:rsid w:val="00307F6D"/>
    <w:rsid w:val="00314D83"/>
    <w:rsid w:val="0031571F"/>
    <w:rsid w:val="003177A2"/>
    <w:rsid w:val="00317E02"/>
    <w:rsid w:val="00323449"/>
    <w:rsid w:val="00323BDB"/>
    <w:rsid w:val="003241BF"/>
    <w:rsid w:val="003271B5"/>
    <w:rsid w:val="00327A1E"/>
    <w:rsid w:val="00327E28"/>
    <w:rsid w:val="00330376"/>
    <w:rsid w:val="00330888"/>
    <w:rsid w:val="00331264"/>
    <w:rsid w:val="00333FE1"/>
    <w:rsid w:val="00334C8D"/>
    <w:rsid w:val="003367DD"/>
    <w:rsid w:val="003378BD"/>
    <w:rsid w:val="00340095"/>
    <w:rsid w:val="003424EA"/>
    <w:rsid w:val="00342C2F"/>
    <w:rsid w:val="003436EB"/>
    <w:rsid w:val="00343A18"/>
    <w:rsid w:val="00343DE4"/>
    <w:rsid w:val="00345744"/>
    <w:rsid w:val="003518B3"/>
    <w:rsid w:val="00353E79"/>
    <w:rsid w:val="00364EA0"/>
    <w:rsid w:val="00366981"/>
    <w:rsid w:val="003673C6"/>
    <w:rsid w:val="00370678"/>
    <w:rsid w:val="0037214E"/>
    <w:rsid w:val="00372C85"/>
    <w:rsid w:val="003732C6"/>
    <w:rsid w:val="00373845"/>
    <w:rsid w:val="003744E3"/>
    <w:rsid w:val="003751C2"/>
    <w:rsid w:val="00375F71"/>
    <w:rsid w:val="00376219"/>
    <w:rsid w:val="0037663E"/>
    <w:rsid w:val="0037699E"/>
    <w:rsid w:val="00377A29"/>
    <w:rsid w:val="00377C69"/>
    <w:rsid w:val="00380892"/>
    <w:rsid w:val="00382B38"/>
    <w:rsid w:val="0038415D"/>
    <w:rsid w:val="0038461C"/>
    <w:rsid w:val="003846F1"/>
    <w:rsid w:val="00386862"/>
    <w:rsid w:val="00390E6A"/>
    <w:rsid w:val="003930B3"/>
    <w:rsid w:val="00393ABE"/>
    <w:rsid w:val="00395DB6"/>
    <w:rsid w:val="00397398"/>
    <w:rsid w:val="00397A83"/>
    <w:rsid w:val="003A371A"/>
    <w:rsid w:val="003A4720"/>
    <w:rsid w:val="003A59CD"/>
    <w:rsid w:val="003A6B00"/>
    <w:rsid w:val="003B30B2"/>
    <w:rsid w:val="003B484F"/>
    <w:rsid w:val="003B4E8C"/>
    <w:rsid w:val="003B504B"/>
    <w:rsid w:val="003B5179"/>
    <w:rsid w:val="003B685C"/>
    <w:rsid w:val="003B7D81"/>
    <w:rsid w:val="003B7FBA"/>
    <w:rsid w:val="003C0A74"/>
    <w:rsid w:val="003C30CA"/>
    <w:rsid w:val="003C6537"/>
    <w:rsid w:val="003C6A13"/>
    <w:rsid w:val="003C764A"/>
    <w:rsid w:val="003C78BA"/>
    <w:rsid w:val="003D3BC4"/>
    <w:rsid w:val="003D41F1"/>
    <w:rsid w:val="003D42AB"/>
    <w:rsid w:val="003D5B94"/>
    <w:rsid w:val="003E0D3A"/>
    <w:rsid w:val="003E0FCD"/>
    <w:rsid w:val="003E1DD7"/>
    <w:rsid w:val="003E3AAB"/>
    <w:rsid w:val="003E7BED"/>
    <w:rsid w:val="003E7FE9"/>
    <w:rsid w:val="003F07D4"/>
    <w:rsid w:val="003F174D"/>
    <w:rsid w:val="003F22EA"/>
    <w:rsid w:val="003F2329"/>
    <w:rsid w:val="003F54D9"/>
    <w:rsid w:val="003F59D7"/>
    <w:rsid w:val="00400FD2"/>
    <w:rsid w:val="00403301"/>
    <w:rsid w:val="00403711"/>
    <w:rsid w:val="00404C52"/>
    <w:rsid w:val="00411A33"/>
    <w:rsid w:val="00413ADF"/>
    <w:rsid w:val="004156D5"/>
    <w:rsid w:val="00415BA9"/>
    <w:rsid w:val="00415F31"/>
    <w:rsid w:val="0041691D"/>
    <w:rsid w:val="0041767B"/>
    <w:rsid w:val="0042000C"/>
    <w:rsid w:val="0042090E"/>
    <w:rsid w:val="00421493"/>
    <w:rsid w:val="00421F27"/>
    <w:rsid w:val="004238D8"/>
    <w:rsid w:val="00423A77"/>
    <w:rsid w:val="00427F03"/>
    <w:rsid w:val="004324F4"/>
    <w:rsid w:val="00434544"/>
    <w:rsid w:val="00442B10"/>
    <w:rsid w:val="00445D43"/>
    <w:rsid w:val="00446CD2"/>
    <w:rsid w:val="00453073"/>
    <w:rsid w:val="0045426C"/>
    <w:rsid w:val="0045777E"/>
    <w:rsid w:val="00461C19"/>
    <w:rsid w:val="00463EE1"/>
    <w:rsid w:val="00465258"/>
    <w:rsid w:val="004709D4"/>
    <w:rsid w:val="00471BC6"/>
    <w:rsid w:val="00472DE7"/>
    <w:rsid w:val="004758C0"/>
    <w:rsid w:val="00476221"/>
    <w:rsid w:val="004766F5"/>
    <w:rsid w:val="00480B4B"/>
    <w:rsid w:val="004838D8"/>
    <w:rsid w:val="00485DC4"/>
    <w:rsid w:val="00487E22"/>
    <w:rsid w:val="004923C5"/>
    <w:rsid w:val="004941B1"/>
    <w:rsid w:val="00494D04"/>
    <w:rsid w:val="00496D2E"/>
    <w:rsid w:val="00497320"/>
    <w:rsid w:val="004A3CE5"/>
    <w:rsid w:val="004A40BA"/>
    <w:rsid w:val="004A43D1"/>
    <w:rsid w:val="004A492B"/>
    <w:rsid w:val="004B157A"/>
    <w:rsid w:val="004B4412"/>
    <w:rsid w:val="004C0355"/>
    <w:rsid w:val="004C0F82"/>
    <w:rsid w:val="004C348C"/>
    <w:rsid w:val="004C462E"/>
    <w:rsid w:val="004C645B"/>
    <w:rsid w:val="004C6CA3"/>
    <w:rsid w:val="004C7E40"/>
    <w:rsid w:val="004C7F5E"/>
    <w:rsid w:val="004D2035"/>
    <w:rsid w:val="004D343C"/>
    <w:rsid w:val="004D372A"/>
    <w:rsid w:val="004D55BA"/>
    <w:rsid w:val="004D720C"/>
    <w:rsid w:val="004E0FA7"/>
    <w:rsid w:val="004E22EC"/>
    <w:rsid w:val="004E4C82"/>
    <w:rsid w:val="004E7215"/>
    <w:rsid w:val="004F0BFA"/>
    <w:rsid w:val="004F13DA"/>
    <w:rsid w:val="004F1C6C"/>
    <w:rsid w:val="004F4D2A"/>
    <w:rsid w:val="004F4D69"/>
    <w:rsid w:val="004F6883"/>
    <w:rsid w:val="004F6A0E"/>
    <w:rsid w:val="004F6BB3"/>
    <w:rsid w:val="005009CD"/>
    <w:rsid w:val="00501709"/>
    <w:rsid w:val="005025D2"/>
    <w:rsid w:val="00502B52"/>
    <w:rsid w:val="00504A14"/>
    <w:rsid w:val="00504E5F"/>
    <w:rsid w:val="0050790A"/>
    <w:rsid w:val="0051337E"/>
    <w:rsid w:val="00513FA7"/>
    <w:rsid w:val="0051753E"/>
    <w:rsid w:val="0051768F"/>
    <w:rsid w:val="0052043B"/>
    <w:rsid w:val="00522DC2"/>
    <w:rsid w:val="00524838"/>
    <w:rsid w:val="00524F40"/>
    <w:rsid w:val="00530128"/>
    <w:rsid w:val="005318F1"/>
    <w:rsid w:val="00532467"/>
    <w:rsid w:val="005328E4"/>
    <w:rsid w:val="005332A9"/>
    <w:rsid w:val="00533704"/>
    <w:rsid w:val="0053603C"/>
    <w:rsid w:val="00537871"/>
    <w:rsid w:val="00542818"/>
    <w:rsid w:val="00542FE9"/>
    <w:rsid w:val="00544598"/>
    <w:rsid w:val="00544C8D"/>
    <w:rsid w:val="00544DFD"/>
    <w:rsid w:val="00547717"/>
    <w:rsid w:val="00556B1E"/>
    <w:rsid w:val="00556BF9"/>
    <w:rsid w:val="00564A4D"/>
    <w:rsid w:val="00564D35"/>
    <w:rsid w:val="0056598C"/>
    <w:rsid w:val="00566E0B"/>
    <w:rsid w:val="00567BA5"/>
    <w:rsid w:val="00571B35"/>
    <w:rsid w:val="00571B43"/>
    <w:rsid w:val="00571D57"/>
    <w:rsid w:val="005723E8"/>
    <w:rsid w:val="0057275A"/>
    <w:rsid w:val="00573A3B"/>
    <w:rsid w:val="00573F1F"/>
    <w:rsid w:val="0057524C"/>
    <w:rsid w:val="005755A7"/>
    <w:rsid w:val="00577716"/>
    <w:rsid w:val="00577A09"/>
    <w:rsid w:val="005829C2"/>
    <w:rsid w:val="00584D8F"/>
    <w:rsid w:val="00585816"/>
    <w:rsid w:val="00587A18"/>
    <w:rsid w:val="00587ADE"/>
    <w:rsid w:val="005A0BEC"/>
    <w:rsid w:val="005A1BFE"/>
    <w:rsid w:val="005A248F"/>
    <w:rsid w:val="005A404D"/>
    <w:rsid w:val="005A49C1"/>
    <w:rsid w:val="005B11A7"/>
    <w:rsid w:val="005B1E3C"/>
    <w:rsid w:val="005B6518"/>
    <w:rsid w:val="005B704A"/>
    <w:rsid w:val="005B72D7"/>
    <w:rsid w:val="005C045F"/>
    <w:rsid w:val="005C16FE"/>
    <w:rsid w:val="005C1FAB"/>
    <w:rsid w:val="005C21A4"/>
    <w:rsid w:val="005C26CC"/>
    <w:rsid w:val="005C4463"/>
    <w:rsid w:val="005C4732"/>
    <w:rsid w:val="005D0DEC"/>
    <w:rsid w:val="005D3D88"/>
    <w:rsid w:val="005D48C4"/>
    <w:rsid w:val="005D6208"/>
    <w:rsid w:val="005D6366"/>
    <w:rsid w:val="005D7BA2"/>
    <w:rsid w:val="005E17E8"/>
    <w:rsid w:val="005E3485"/>
    <w:rsid w:val="005E36C2"/>
    <w:rsid w:val="005E3884"/>
    <w:rsid w:val="005E4AF4"/>
    <w:rsid w:val="005E6E0D"/>
    <w:rsid w:val="005F152D"/>
    <w:rsid w:val="005F387E"/>
    <w:rsid w:val="00601E0B"/>
    <w:rsid w:val="0060258B"/>
    <w:rsid w:val="00603AFD"/>
    <w:rsid w:val="00610EF9"/>
    <w:rsid w:val="00611B81"/>
    <w:rsid w:val="00612F4F"/>
    <w:rsid w:val="00614EA0"/>
    <w:rsid w:val="00615C6B"/>
    <w:rsid w:val="00617D4C"/>
    <w:rsid w:val="00621DCE"/>
    <w:rsid w:val="00621FC5"/>
    <w:rsid w:val="00624EE7"/>
    <w:rsid w:val="00624F2C"/>
    <w:rsid w:val="00627D8B"/>
    <w:rsid w:val="006328E7"/>
    <w:rsid w:val="00632D6D"/>
    <w:rsid w:val="00636569"/>
    <w:rsid w:val="00636EF9"/>
    <w:rsid w:val="00640687"/>
    <w:rsid w:val="00642C3E"/>
    <w:rsid w:val="00643630"/>
    <w:rsid w:val="00644A01"/>
    <w:rsid w:val="00651E2D"/>
    <w:rsid w:val="00652324"/>
    <w:rsid w:val="006577FB"/>
    <w:rsid w:val="0066104A"/>
    <w:rsid w:val="00663066"/>
    <w:rsid w:val="00663DAD"/>
    <w:rsid w:val="00664206"/>
    <w:rsid w:val="006649E7"/>
    <w:rsid w:val="006656B5"/>
    <w:rsid w:val="00666634"/>
    <w:rsid w:val="006670B4"/>
    <w:rsid w:val="006674B1"/>
    <w:rsid w:val="006674E9"/>
    <w:rsid w:val="00671692"/>
    <w:rsid w:val="0067174E"/>
    <w:rsid w:val="00672EEE"/>
    <w:rsid w:val="00675E20"/>
    <w:rsid w:val="00676679"/>
    <w:rsid w:val="00677256"/>
    <w:rsid w:val="00683875"/>
    <w:rsid w:val="00683C89"/>
    <w:rsid w:val="00691B53"/>
    <w:rsid w:val="00691C7F"/>
    <w:rsid w:val="0069264D"/>
    <w:rsid w:val="00693B0E"/>
    <w:rsid w:val="00697D0B"/>
    <w:rsid w:val="006A12BA"/>
    <w:rsid w:val="006A2CF0"/>
    <w:rsid w:val="006A4739"/>
    <w:rsid w:val="006A66A1"/>
    <w:rsid w:val="006B032D"/>
    <w:rsid w:val="006B2395"/>
    <w:rsid w:val="006B40AC"/>
    <w:rsid w:val="006B4709"/>
    <w:rsid w:val="006B4CF9"/>
    <w:rsid w:val="006B67E2"/>
    <w:rsid w:val="006B797C"/>
    <w:rsid w:val="006B7AC8"/>
    <w:rsid w:val="006C1736"/>
    <w:rsid w:val="006C2495"/>
    <w:rsid w:val="006C329B"/>
    <w:rsid w:val="006C6303"/>
    <w:rsid w:val="006D10A2"/>
    <w:rsid w:val="006D550F"/>
    <w:rsid w:val="006D5863"/>
    <w:rsid w:val="006D6146"/>
    <w:rsid w:val="006D64F2"/>
    <w:rsid w:val="006D6779"/>
    <w:rsid w:val="006D7F7E"/>
    <w:rsid w:val="006E0CFF"/>
    <w:rsid w:val="006F0D92"/>
    <w:rsid w:val="006F267D"/>
    <w:rsid w:val="0070011E"/>
    <w:rsid w:val="00701CAB"/>
    <w:rsid w:val="007023BB"/>
    <w:rsid w:val="00704DD7"/>
    <w:rsid w:val="00707563"/>
    <w:rsid w:val="007112E7"/>
    <w:rsid w:val="00715F61"/>
    <w:rsid w:val="00720CD0"/>
    <w:rsid w:val="00722132"/>
    <w:rsid w:val="007228F7"/>
    <w:rsid w:val="0072348C"/>
    <w:rsid w:val="00724A37"/>
    <w:rsid w:val="00727C39"/>
    <w:rsid w:val="007303C3"/>
    <w:rsid w:val="00731188"/>
    <w:rsid w:val="007356CC"/>
    <w:rsid w:val="007368E6"/>
    <w:rsid w:val="007375DF"/>
    <w:rsid w:val="00737B2F"/>
    <w:rsid w:val="007429BE"/>
    <w:rsid w:val="00743223"/>
    <w:rsid w:val="00743349"/>
    <w:rsid w:val="0074403A"/>
    <w:rsid w:val="00746E01"/>
    <w:rsid w:val="0074794B"/>
    <w:rsid w:val="00751DCD"/>
    <w:rsid w:val="00755084"/>
    <w:rsid w:val="00757364"/>
    <w:rsid w:val="00757BDF"/>
    <w:rsid w:val="007609D0"/>
    <w:rsid w:val="00761454"/>
    <w:rsid w:val="0076193D"/>
    <w:rsid w:val="007630AF"/>
    <w:rsid w:val="00763E5D"/>
    <w:rsid w:val="00765AB0"/>
    <w:rsid w:val="00767740"/>
    <w:rsid w:val="00767B5E"/>
    <w:rsid w:val="00770BEF"/>
    <w:rsid w:val="00775460"/>
    <w:rsid w:val="00777EE6"/>
    <w:rsid w:val="00780E83"/>
    <w:rsid w:val="00782EEA"/>
    <w:rsid w:val="00783257"/>
    <w:rsid w:val="00786536"/>
    <w:rsid w:val="007909B4"/>
    <w:rsid w:val="00790E86"/>
    <w:rsid w:val="00791EE5"/>
    <w:rsid w:val="007949D7"/>
    <w:rsid w:val="007A0143"/>
    <w:rsid w:val="007A2835"/>
    <w:rsid w:val="007A34C2"/>
    <w:rsid w:val="007A396C"/>
    <w:rsid w:val="007A4B02"/>
    <w:rsid w:val="007B01C8"/>
    <w:rsid w:val="007B0BE3"/>
    <w:rsid w:val="007B1816"/>
    <w:rsid w:val="007B186E"/>
    <w:rsid w:val="007B1ED7"/>
    <w:rsid w:val="007B25DC"/>
    <w:rsid w:val="007B26D8"/>
    <w:rsid w:val="007B2C72"/>
    <w:rsid w:val="007B3789"/>
    <w:rsid w:val="007B49D8"/>
    <w:rsid w:val="007B4F16"/>
    <w:rsid w:val="007B651F"/>
    <w:rsid w:val="007B7066"/>
    <w:rsid w:val="007B7BB5"/>
    <w:rsid w:val="007C1C53"/>
    <w:rsid w:val="007C284C"/>
    <w:rsid w:val="007C4B82"/>
    <w:rsid w:val="007C74BB"/>
    <w:rsid w:val="007C7F64"/>
    <w:rsid w:val="007D0A95"/>
    <w:rsid w:val="007D0EB5"/>
    <w:rsid w:val="007D456E"/>
    <w:rsid w:val="007D5837"/>
    <w:rsid w:val="007E4904"/>
    <w:rsid w:val="007E4CB5"/>
    <w:rsid w:val="007E4DAE"/>
    <w:rsid w:val="007E7AEE"/>
    <w:rsid w:val="007F066B"/>
    <w:rsid w:val="007F3EA2"/>
    <w:rsid w:val="007F4EAB"/>
    <w:rsid w:val="007F5B16"/>
    <w:rsid w:val="007F7C9D"/>
    <w:rsid w:val="008033C4"/>
    <w:rsid w:val="00806731"/>
    <w:rsid w:val="00806C88"/>
    <w:rsid w:val="0081034E"/>
    <w:rsid w:val="00810781"/>
    <w:rsid w:val="00810806"/>
    <w:rsid w:val="00810DDE"/>
    <w:rsid w:val="00812AB9"/>
    <w:rsid w:val="00815882"/>
    <w:rsid w:val="00820454"/>
    <w:rsid w:val="00821228"/>
    <w:rsid w:val="00822AC7"/>
    <w:rsid w:val="00822E86"/>
    <w:rsid w:val="008344F6"/>
    <w:rsid w:val="0083510F"/>
    <w:rsid w:val="00836C30"/>
    <w:rsid w:val="00837BF3"/>
    <w:rsid w:val="00840BD3"/>
    <w:rsid w:val="008415DE"/>
    <w:rsid w:val="008420DE"/>
    <w:rsid w:val="00843618"/>
    <w:rsid w:val="00845865"/>
    <w:rsid w:val="0084799B"/>
    <w:rsid w:val="00850C90"/>
    <w:rsid w:val="00851209"/>
    <w:rsid w:val="0085171F"/>
    <w:rsid w:val="0085788E"/>
    <w:rsid w:val="00863DBF"/>
    <w:rsid w:val="0086448A"/>
    <w:rsid w:val="008658A1"/>
    <w:rsid w:val="00865C0C"/>
    <w:rsid w:val="0086716A"/>
    <w:rsid w:val="00870613"/>
    <w:rsid w:val="0087380F"/>
    <w:rsid w:val="008753A6"/>
    <w:rsid w:val="0087648F"/>
    <w:rsid w:val="00876612"/>
    <w:rsid w:val="0087748B"/>
    <w:rsid w:val="00882BB1"/>
    <w:rsid w:val="008837AC"/>
    <w:rsid w:val="0088451F"/>
    <w:rsid w:val="008909DC"/>
    <w:rsid w:val="00893A9A"/>
    <w:rsid w:val="00894255"/>
    <w:rsid w:val="008945AD"/>
    <w:rsid w:val="00894B69"/>
    <w:rsid w:val="00895FC9"/>
    <w:rsid w:val="008A0645"/>
    <w:rsid w:val="008A1C02"/>
    <w:rsid w:val="008A2A26"/>
    <w:rsid w:val="008A370D"/>
    <w:rsid w:val="008A3D4B"/>
    <w:rsid w:val="008A48CE"/>
    <w:rsid w:val="008A4E8E"/>
    <w:rsid w:val="008A587D"/>
    <w:rsid w:val="008A5EA3"/>
    <w:rsid w:val="008B16B0"/>
    <w:rsid w:val="008B1BD5"/>
    <w:rsid w:val="008B2780"/>
    <w:rsid w:val="008B35CD"/>
    <w:rsid w:val="008B4093"/>
    <w:rsid w:val="008B5FCC"/>
    <w:rsid w:val="008B7F36"/>
    <w:rsid w:val="008C2BCE"/>
    <w:rsid w:val="008C2FE9"/>
    <w:rsid w:val="008C357F"/>
    <w:rsid w:val="008C3C5D"/>
    <w:rsid w:val="008C5486"/>
    <w:rsid w:val="008C705E"/>
    <w:rsid w:val="008D1661"/>
    <w:rsid w:val="008D27E0"/>
    <w:rsid w:val="008D5F90"/>
    <w:rsid w:val="008D6800"/>
    <w:rsid w:val="008D72F1"/>
    <w:rsid w:val="008E1D98"/>
    <w:rsid w:val="008E254B"/>
    <w:rsid w:val="008E4089"/>
    <w:rsid w:val="008E5AFF"/>
    <w:rsid w:val="008E7031"/>
    <w:rsid w:val="008E77DE"/>
    <w:rsid w:val="008F040C"/>
    <w:rsid w:val="008F07A3"/>
    <w:rsid w:val="008F3322"/>
    <w:rsid w:val="008F3519"/>
    <w:rsid w:val="008F3A0D"/>
    <w:rsid w:val="008F5B60"/>
    <w:rsid w:val="009001B6"/>
    <w:rsid w:val="00900E1B"/>
    <w:rsid w:val="0090131F"/>
    <w:rsid w:val="00906D0F"/>
    <w:rsid w:val="00907683"/>
    <w:rsid w:val="0091068F"/>
    <w:rsid w:val="00911331"/>
    <w:rsid w:val="009132B7"/>
    <w:rsid w:val="00916A2C"/>
    <w:rsid w:val="009214D9"/>
    <w:rsid w:val="009233EE"/>
    <w:rsid w:val="00926A0D"/>
    <w:rsid w:val="00926A47"/>
    <w:rsid w:val="009301E7"/>
    <w:rsid w:val="00930B1A"/>
    <w:rsid w:val="00932612"/>
    <w:rsid w:val="009327DC"/>
    <w:rsid w:val="009338D9"/>
    <w:rsid w:val="009339BD"/>
    <w:rsid w:val="009356CF"/>
    <w:rsid w:val="0094138C"/>
    <w:rsid w:val="00943367"/>
    <w:rsid w:val="00945E53"/>
    <w:rsid w:val="009460AA"/>
    <w:rsid w:val="00946AAD"/>
    <w:rsid w:val="00951978"/>
    <w:rsid w:val="00952C8B"/>
    <w:rsid w:val="00961A4A"/>
    <w:rsid w:val="009633DC"/>
    <w:rsid w:val="00965252"/>
    <w:rsid w:val="009661B1"/>
    <w:rsid w:val="009661DE"/>
    <w:rsid w:val="00971C32"/>
    <w:rsid w:val="00972C7C"/>
    <w:rsid w:val="009775C5"/>
    <w:rsid w:val="009776F4"/>
    <w:rsid w:val="00977ECC"/>
    <w:rsid w:val="00980826"/>
    <w:rsid w:val="00982DA2"/>
    <w:rsid w:val="00983C25"/>
    <w:rsid w:val="0098466D"/>
    <w:rsid w:val="009856B7"/>
    <w:rsid w:val="009859D6"/>
    <w:rsid w:val="00985C86"/>
    <w:rsid w:val="009917D1"/>
    <w:rsid w:val="00993C1C"/>
    <w:rsid w:val="009A5454"/>
    <w:rsid w:val="009A59E6"/>
    <w:rsid w:val="009A5FC3"/>
    <w:rsid w:val="009A7663"/>
    <w:rsid w:val="009B003D"/>
    <w:rsid w:val="009B50C7"/>
    <w:rsid w:val="009B636C"/>
    <w:rsid w:val="009B6F84"/>
    <w:rsid w:val="009B74B0"/>
    <w:rsid w:val="009C0152"/>
    <w:rsid w:val="009C1A74"/>
    <w:rsid w:val="009C3A28"/>
    <w:rsid w:val="009C3D42"/>
    <w:rsid w:val="009C491E"/>
    <w:rsid w:val="009D0DF1"/>
    <w:rsid w:val="009D22D6"/>
    <w:rsid w:val="009D2C84"/>
    <w:rsid w:val="009D3906"/>
    <w:rsid w:val="009D4F23"/>
    <w:rsid w:val="009D6B46"/>
    <w:rsid w:val="009E2909"/>
    <w:rsid w:val="009E35B6"/>
    <w:rsid w:val="009E5ABC"/>
    <w:rsid w:val="009F3BBA"/>
    <w:rsid w:val="009F43B4"/>
    <w:rsid w:val="009F4940"/>
    <w:rsid w:val="009F502D"/>
    <w:rsid w:val="009F5BA1"/>
    <w:rsid w:val="009F6AC3"/>
    <w:rsid w:val="00A02A88"/>
    <w:rsid w:val="00A04012"/>
    <w:rsid w:val="00A040FF"/>
    <w:rsid w:val="00A046FA"/>
    <w:rsid w:val="00A0562E"/>
    <w:rsid w:val="00A0726D"/>
    <w:rsid w:val="00A073AE"/>
    <w:rsid w:val="00A1155D"/>
    <w:rsid w:val="00A11D94"/>
    <w:rsid w:val="00A12204"/>
    <w:rsid w:val="00A12750"/>
    <w:rsid w:val="00A13CB0"/>
    <w:rsid w:val="00A1561F"/>
    <w:rsid w:val="00A16544"/>
    <w:rsid w:val="00A16F50"/>
    <w:rsid w:val="00A171F7"/>
    <w:rsid w:val="00A24087"/>
    <w:rsid w:val="00A25B03"/>
    <w:rsid w:val="00A30BF5"/>
    <w:rsid w:val="00A31BE6"/>
    <w:rsid w:val="00A31E2B"/>
    <w:rsid w:val="00A32FBB"/>
    <w:rsid w:val="00A376B9"/>
    <w:rsid w:val="00A37EC9"/>
    <w:rsid w:val="00A40068"/>
    <w:rsid w:val="00A40BE9"/>
    <w:rsid w:val="00A41818"/>
    <w:rsid w:val="00A428EE"/>
    <w:rsid w:val="00A443C2"/>
    <w:rsid w:val="00A4478A"/>
    <w:rsid w:val="00A44852"/>
    <w:rsid w:val="00A46702"/>
    <w:rsid w:val="00A46DC5"/>
    <w:rsid w:val="00A46F5B"/>
    <w:rsid w:val="00A50502"/>
    <w:rsid w:val="00A51022"/>
    <w:rsid w:val="00A53409"/>
    <w:rsid w:val="00A53796"/>
    <w:rsid w:val="00A53848"/>
    <w:rsid w:val="00A53E73"/>
    <w:rsid w:val="00A53FB5"/>
    <w:rsid w:val="00A54DC8"/>
    <w:rsid w:val="00A56945"/>
    <w:rsid w:val="00A56A6E"/>
    <w:rsid w:val="00A57D04"/>
    <w:rsid w:val="00A60A26"/>
    <w:rsid w:val="00A61598"/>
    <w:rsid w:val="00A61777"/>
    <w:rsid w:val="00A63646"/>
    <w:rsid w:val="00A63914"/>
    <w:rsid w:val="00A6405E"/>
    <w:rsid w:val="00A67133"/>
    <w:rsid w:val="00A71BA1"/>
    <w:rsid w:val="00A745D3"/>
    <w:rsid w:val="00A84A99"/>
    <w:rsid w:val="00A84F46"/>
    <w:rsid w:val="00A85E87"/>
    <w:rsid w:val="00A86AEA"/>
    <w:rsid w:val="00A871F4"/>
    <w:rsid w:val="00A9419E"/>
    <w:rsid w:val="00A94308"/>
    <w:rsid w:val="00A9431A"/>
    <w:rsid w:val="00A95988"/>
    <w:rsid w:val="00A959DF"/>
    <w:rsid w:val="00A97A1B"/>
    <w:rsid w:val="00AA2927"/>
    <w:rsid w:val="00AA69DA"/>
    <w:rsid w:val="00AA7E2A"/>
    <w:rsid w:val="00AB171B"/>
    <w:rsid w:val="00AB2CB8"/>
    <w:rsid w:val="00AB4617"/>
    <w:rsid w:val="00AB673D"/>
    <w:rsid w:val="00AB6BD6"/>
    <w:rsid w:val="00AC0ED1"/>
    <w:rsid w:val="00AC1A86"/>
    <w:rsid w:val="00AC1B2C"/>
    <w:rsid w:val="00AC3264"/>
    <w:rsid w:val="00AC3C3C"/>
    <w:rsid w:val="00AC46AD"/>
    <w:rsid w:val="00AC4D2D"/>
    <w:rsid w:val="00AC5130"/>
    <w:rsid w:val="00AC58EC"/>
    <w:rsid w:val="00AC7282"/>
    <w:rsid w:val="00AC7961"/>
    <w:rsid w:val="00AD0EFE"/>
    <w:rsid w:val="00AD2FA1"/>
    <w:rsid w:val="00AD314E"/>
    <w:rsid w:val="00AD5FCD"/>
    <w:rsid w:val="00AD6593"/>
    <w:rsid w:val="00AD6B48"/>
    <w:rsid w:val="00AD6E73"/>
    <w:rsid w:val="00AD7A3A"/>
    <w:rsid w:val="00AE1BF1"/>
    <w:rsid w:val="00AE23AB"/>
    <w:rsid w:val="00AE4C11"/>
    <w:rsid w:val="00AE58FB"/>
    <w:rsid w:val="00AE5AF0"/>
    <w:rsid w:val="00AE663D"/>
    <w:rsid w:val="00AE73B3"/>
    <w:rsid w:val="00AF07E7"/>
    <w:rsid w:val="00AF0DD2"/>
    <w:rsid w:val="00AF31E1"/>
    <w:rsid w:val="00AF3BBA"/>
    <w:rsid w:val="00AF4231"/>
    <w:rsid w:val="00B00B0E"/>
    <w:rsid w:val="00B00B26"/>
    <w:rsid w:val="00B01783"/>
    <w:rsid w:val="00B02385"/>
    <w:rsid w:val="00B02F9D"/>
    <w:rsid w:val="00B05766"/>
    <w:rsid w:val="00B13048"/>
    <w:rsid w:val="00B13883"/>
    <w:rsid w:val="00B1716D"/>
    <w:rsid w:val="00B17A1D"/>
    <w:rsid w:val="00B207A0"/>
    <w:rsid w:val="00B21C21"/>
    <w:rsid w:val="00B22B4A"/>
    <w:rsid w:val="00B22F54"/>
    <w:rsid w:val="00B23A98"/>
    <w:rsid w:val="00B24870"/>
    <w:rsid w:val="00B24A7E"/>
    <w:rsid w:val="00B25C0C"/>
    <w:rsid w:val="00B27011"/>
    <w:rsid w:val="00B304B5"/>
    <w:rsid w:val="00B3053D"/>
    <w:rsid w:val="00B308A9"/>
    <w:rsid w:val="00B31047"/>
    <w:rsid w:val="00B32105"/>
    <w:rsid w:val="00B33148"/>
    <w:rsid w:val="00B35CDF"/>
    <w:rsid w:val="00B403C2"/>
    <w:rsid w:val="00B405A1"/>
    <w:rsid w:val="00B4195F"/>
    <w:rsid w:val="00B435B8"/>
    <w:rsid w:val="00B4438A"/>
    <w:rsid w:val="00B45AA2"/>
    <w:rsid w:val="00B479CA"/>
    <w:rsid w:val="00B5084F"/>
    <w:rsid w:val="00B514DD"/>
    <w:rsid w:val="00B52AF0"/>
    <w:rsid w:val="00B53D5F"/>
    <w:rsid w:val="00B54051"/>
    <w:rsid w:val="00B55712"/>
    <w:rsid w:val="00B55F50"/>
    <w:rsid w:val="00B561BD"/>
    <w:rsid w:val="00B56B5E"/>
    <w:rsid w:val="00B56E03"/>
    <w:rsid w:val="00B61E79"/>
    <w:rsid w:val="00B62765"/>
    <w:rsid w:val="00B62E54"/>
    <w:rsid w:val="00B65DF5"/>
    <w:rsid w:val="00B70919"/>
    <w:rsid w:val="00B72AC1"/>
    <w:rsid w:val="00B7679F"/>
    <w:rsid w:val="00B77159"/>
    <w:rsid w:val="00B771DC"/>
    <w:rsid w:val="00B8080B"/>
    <w:rsid w:val="00B82223"/>
    <w:rsid w:val="00B87BA5"/>
    <w:rsid w:val="00B87C39"/>
    <w:rsid w:val="00B90BFA"/>
    <w:rsid w:val="00B90D94"/>
    <w:rsid w:val="00B90FD2"/>
    <w:rsid w:val="00B93891"/>
    <w:rsid w:val="00B9562D"/>
    <w:rsid w:val="00BA0CC0"/>
    <w:rsid w:val="00BA2066"/>
    <w:rsid w:val="00BA21DA"/>
    <w:rsid w:val="00BA2B60"/>
    <w:rsid w:val="00BA345C"/>
    <w:rsid w:val="00BA3C93"/>
    <w:rsid w:val="00BA4665"/>
    <w:rsid w:val="00BA4F3B"/>
    <w:rsid w:val="00BA6326"/>
    <w:rsid w:val="00BA6A37"/>
    <w:rsid w:val="00BA7FD7"/>
    <w:rsid w:val="00BB135E"/>
    <w:rsid w:val="00BB1681"/>
    <w:rsid w:val="00BB2FB2"/>
    <w:rsid w:val="00BB3304"/>
    <w:rsid w:val="00BB6551"/>
    <w:rsid w:val="00BC4A10"/>
    <w:rsid w:val="00BD046D"/>
    <w:rsid w:val="00BD30F4"/>
    <w:rsid w:val="00BD3446"/>
    <w:rsid w:val="00BD59CF"/>
    <w:rsid w:val="00BE1312"/>
    <w:rsid w:val="00BE1F1B"/>
    <w:rsid w:val="00BE3F89"/>
    <w:rsid w:val="00BE47B5"/>
    <w:rsid w:val="00BE581D"/>
    <w:rsid w:val="00BE5FCE"/>
    <w:rsid w:val="00BF08AA"/>
    <w:rsid w:val="00BF2A79"/>
    <w:rsid w:val="00BF3FC7"/>
    <w:rsid w:val="00BF4A2E"/>
    <w:rsid w:val="00BF6DAA"/>
    <w:rsid w:val="00BF7B18"/>
    <w:rsid w:val="00C0079E"/>
    <w:rsid w:val="00C02C81"/>
    <w:rsid w:val="00C03FF7"/>
    <w:rsid w:val="00C0572A"/>
    <w:rsid w:val="00C059F0"/>
    <w:rsid w:val="00C10749"/>
    <w:rsid w:val="00C112FB"/>
    <w:rsid w:val="00C1247C"/>
    <w:rsid w:val="00C13EBD"/>
    <w:rsid w:val="00C14A69"/>
    <w:rsid w:val="00C1631B"/>
    <w:rsid w:val="00C163AB"/>
    <w:rsid w:val="00C170F0"/>
    <w:rsid w:val="00C21657"/>
    <w:rsid w:val="00C25962"/>
    <w:rsid w:val="00C25FA6"/>
    <w:rsid w:val="00C3099D"/>
    <w:rsid w:val="00C3164E"/>
    <w:rsid w:val="00C33011"/>
    <w:rsid w:val="00C330FC"/>
    <w:rsid w:val="00C34012"/>
    <w:rsid w:val="00C362C1"/>
    <w:rsid w:val="00C41950"/>
    <w:rsid w:val="00C423B1"/>
    <w:rsid w:val="00C42C3B"/>
    <w:rsid w:val="00C51672"/>
    <w:rsid w:val="00C51739"/>
    <w:rsid w:val="00C51D96"/>
    <w:rsid w:val="00C538A9"/>
    <w:rsid w:val="00C53B5A"/>
    <w:rsid w:val="00C53E41"/>
    <w:rsid w:val="00C544AF"/>
    <w:rsid w:val="00C54909"/>
    <w:rsid w:val="00C54AF3"/>
    <w:rsid w:val="00C54F5A"/>
    <w:rsid w:val="00C569B4"/>
    <w:rsid w:val="00C57A26"/>
    <w:rsid w:val="00C57DDE"/>
    <w:rsid w:val="00C61468"/>
    <w:rsid w:val="00C61A97"/>
    <w:rsid w:val="00C61E44"/>
    <w:rsid w:val="00C64762"/>
    <w:rsid w:val="00C64E03"/>
    <w:rsid w:val="00C64FF3"/>
    <w:rsid w:val="00C662AD"/>
    <w:rsid w:val="00C67A92"/>
    <w:rsid w:val="00C71280"/>
    <w:rsid w:val="00C713A2"/>
    <w:rsid w:val="00C717BF"/>
    <w:rsid w:val="00C73038"/>
    <w:rsid w:val="00C76178"/>
    <w:rsid w:val="00C8203B"/>
    <w:rsid w:val="00C84560"/>
    <w:rsid w:val="00C86679"/>
    <w:rsid w:val="00C8792F"/>
    <w:rsid w:val="00C90472"/>
    <w:rsid w:val="00C90B99"/>
    <w:rsid w:val="00C90F28"/>
    <w:rsid w:val="00C91D6E"/>
    <w:rsid w:val="00C9628E"/>
    <w:rsid w:val="00CA3FC4"/>
    <w:rsid w:val="00CA489E"/>
    <w:rsid w:val="00CA6876"/>
    <w:rsid w:val="00CB0279"/>
    <w:rsid w:val="00CB666B"/>
    <w:rsid w:val="00CB734B"/>
    <w:rsid w:val="00CC0330"/>
    <w:rsid w:val="00CC2D68"/>
    <w:rsid w:val="00CC41B6"/>
    <w:rsid w:val="00CC7ADA"/>
    <w:rsid w:val="00CC7F1D"/>
    <w:rsid w:val="00CD0A88"/>
    <w:rsid w:val="00CD125D"/>
    <w:rsid w:val="00CD283C"/>
    <w:rsid w:val="00CD3641"/>
    <w:rsid w:val="00CD66EA"/>
    <w:rsid w:val="00CD7432"/>
    <w:rsid w:val="00CD7D82"/>
    <w:rsid w:val="00CE07A4"/>
    <w:rsid w:val="00CE0FA5"/>
    <w:rsid w:val="00CE22A7"/>
    <w:rsid w:val="00CE2560"/>
    <w:rsid w:val="00CE2A23"/>
    <w:rsid w:val="00CE31C8"/>
    <w:rsid w:val="00CE484B"/>
    <w:rsid w:val="00CE64D3"/>
    <w:rsid w:val="00CE7CBA"/>
    <w:rsid w:val="00CF0DEE"/>
    <w:rsid w:val="00CF34A4"/>
    <w:rsid w:val="00CF42AA"/>
    <w:rsid w:val="00CF58BF"/>
    <w:rsid w:val="00CF5EAA"/>
    <w:rsid w:val="00CF6AE3"/>
    <w:rsid w:val="00CF77BB"/>
    <w:rsid w:val="00D006AE"/>
    <w:rsid w:val="00D00905"/>
    <w:rsid w:val="00D010C1"/>
    <w:rsid w:val="00D01CF0"/>
    <w:rsid w:val="00D0442A"/>
    <w:rsid w:val="00D12A7B"/>
    <w:rsid w:val="00D12ADB"/>
    <w:rsid w:val="00D1370A"/>
    <w:rsid w:val="00D139CB"/>
    <w:rsid w:val="00D15E63"/>
    <w:rsid w:val="00D23F2F"/>
    <w:rsid w:val="00D25A39"/>
    <w:rsid w:val="00D27CFA"/>
    <w:rsid w:val="00D310FA"/>
    <w:rsid w:val="00D325C6"/>
    <w:rsid w:val="00D33955"/>
    <w:rsid w:val="00D34E5A"/>
    <w:rsid w:val="00D36AF1"/>
    <w:rsid w:val="00D37213"/>
    <w:rsid w:val="00D4360D"/>
    <w:rsid w:val="00D5276E"/>
    <w:rsid w:val="00D537D6"/>
    <w:rsid w:val="00D53CEF"/>
    <w:rsid w:val="00D554C1"/>
    <w:rsid w:val="00D5607F"/>
    <w:rsid w:val="00D61388"/>
    <w:rsid w:val="00D61A54"/>
    <w:rsid w:val="00D62108"/>
    <w:rsid w:val="00D64AA4"/>
    <w:rsid w:val="00D64DEA"/>
    <w:rsid w:val="00D64F84"/>
    <w:rsid w:val="00D663CD"/>
    <w:rsid w:val="00D6726A"/>
    <w:rsid w:val="00D7001B"/>
    <w:rsid w:val="00D7074F"/>
    <w:rsid w:val="00D7160D"/>
    <w:rsid w:val="00D7168E"/>
    <w:rsid w:val="00D71E57"/>
    <w:rsid w:val="00D72B5A"/>
    <w:rsid w:val="00D72D27"/>
    <w:rsid w:val="00D73D11"/>
    <w:rsid w:val="00D7786B"/>
    <w:rsid w:val="00D80893"/>
    <w:rsid w:val="00D82519"/>
    <w:rsid w:val="00D844FF"/>
    <w:rsid w:val="00D84854"/>
    <w:rsid w:val="00D924AE"/>
    <w:rsid w:val="00D92CF1"/>
    <w:rsid w:val="00D92D38"/>
    <w:rsid w:val="00D92FA6"/>
    <w:rsid w:val="00D950F5"/>
    <w:rsid w:val="00D97379"/>
    <w:rsid w:val="00DA4752"/>
    <w:rsid w:val="00DA4C09"/>
    <w:rsid w:val="00DA61F3"/>
    <w:rsid w:val="00DA7CB3"/>
    <w:rsid w:val="00DB0D00"/>
    <w:rsid w:val="00DB0F93"/>
    <w:rsid w:val="00DB1243"/>
    <w:rsid w:val="00DB1A67"/>
    <w:rsid w:val="00DB1FEA"/>
    <w:rsid w:val="00DB3721"/>
    <w:rsid w:val="00DB5074"/>
    <w:rsid w:val="00DB6A15"/>
    <w:rsid w:val="00DC0281"/>
    <w:rsid w:val="00DC1930"/>
    <w:rsid w:val="00DC1C76"/>
    <w:rsid w:val="00DC23B6"/>
    <w:rsid w:val="00DC33D7"/>
    <w:rsid w:val="00DC3CCE"/>
    <w:rsid w:val="00DC459A"/>
    <w:rsid w:val="00DC4C3C"/>
    <w:rsid w:val="00DC4C4D"/>
    <w:rsid w:val="00DC4DBF"/>
    <w:rsid w:val="00DC4E19"/>
    <w:rsid w:val="00DC5301"/>
    <w:rsid w:val="00DC65FE"/>
    <w:rsid w:val="00DC7981"/>
    <w:rsid w:val="00DD4C07"/>
    <w:rsid w:val="00DD4CA2"/>
    <w:rsid w:val="00DD577D"/>
    <w:rsid w:val="00DD5ADC"/>
    <w:rsid w:val="00DE1093"/>
    <w:rsid w:val="00DE1AA9"/>
    <w:rsid w:val="00DE2DFF"/>
    <w:rsid w:val="00DE4EFA"/>
    <w:rsid w:val="00DE5520"/>
    <w:rsid w:val="00DE563D"/>
    <w:rsid w:val="00DE7400"/>
    <w:rsid w:val="00DE7AB5"/>
    <w:rsid w:val="00DF0152"/>
    <w:rsid w:val="00DF1958"/>
    <w:rsid w:val="00DF31EC"/>
    <w:rsid w:val="00E03F6E"/>
    <w:rsid w:val="00E04818"/>
    <w:rsid w:val="00E06442"/>
    <w:rsid w:val="00E06952"/>
    <w:rsid w:val="00E11A93"/>
    <w:rsid w:val="00E11E61"/>
    <w:rsid w:val="00E157B2"/>
    <w:rsid w:val="00E16055"/>
    <w:rsid w:val="00E2181F"/>
    <w:rsid w:val="00E2281F"/>
    <w:rsid w:val="00E2332D"/>
    <w:rsid w:val="00E23993"/>
    <w:rsid w:val="00E2574F"/>
    <w:rsid w:val="00E25951"/>
    <w:rsid w:val="00E2596A"/>
    <w:rsid w:val="00E25B8C"/>
    <w:rsid w:val="00E31CF6"/>
    <w:rsid w:val="00E34A4A"/>
    <w:rsid w:val="00E35AFC"/>
    <w:rsid w:val="00E35B21"/>
    <w:rsid w:val="00E35E2F"/>
    <w:rsid w:val="00E40A44"/>
    <w:rsid w:val="00E41D39"/>
    <w:rsid w:val="00E42CA6"/>
    <w:rsid w:val="00E456FC"/>
    <w:rsid w:val="00E45773"/>
    <w:rsid w:val="00E45A88"/>
    <w:rsid w:val="00E50A02"/>
    <w:rsid w:val="00E54106"/>
    <w:rsid w:val="00E54697"/>
    <w:rsid w:val="00E574BF"/>
    <w:rsid w:val="00E57A08"/>
    <w:rsid w:val="00E63631"/>
    <w:rsid w:val="00E636F5"/>
    <w:rsid w:val="00E64A51"/>
    <w:rsid w:val="00E64C2A"/>
    <w:rsid w:val="00E65C85"/>
    <w:rsid w:val="00E66199"/>
    <w:rsid w:val="00E70526"/>
    <w:rsid w:val="00E754B4"/>
    <w:rsid w:val="00E755EC"/>
    <w:rsid w:val="00E75C25"/>
    <w:rsid w:val="00E7624D"/>
    <w:rsid w:val="00E76C5B"/>
    <w:rsid w:val="00E81724"/>
    <w:rsid w:val="00E819A4"/>
    <w:rsid w:val="00E821BE"/>
    <w:rsid w:val="00E8245F"/>
    <w:rsid w:val="00E833FA"/>
    <w:rsid w:val="00E84B74"/>
    <w:rsid w:val="00E87066"/>
    <w:rsid w:val="00E8785B"/>
    <w:rsid w:val="00E91CEE"/>
    <w:rsid w:val="00E966BF"/>
    <w:rsid w:val="00E97BEE"/>
    <w:rsid w:val="00EA0C04"/>
    <w:rsid w:val="00EA3D42"/>
    <w:rsid w:val="00EA41C6"/>
    <w:rsid w:val="00EA6B1B"/>
    <w:rsid w:val="00EB0BB7"/>
    <w:rsid w:val="00EB1A1C"/>
    <w:rsid w:val="00EB1CBD"/>
    <w:rsid w:val="00EB3A34"/>
    <w:rsid w:val="00EB3C3F"/>
    <w:rsid w:val="00EC04F1"/>
    <w:rsid w:val="00EC15B7"/>
    <w:rsid w:val="00EC237F"/>
    <w:rsid w:val="00EC573A"/>
    <w:rsid w:val="00ED35C8"/>
    <w:rsid w:val="00ED3968"/>
    <w:rsid w:val="00ED5BFC"/>
    <w:rsid w:val="00ED7323"/>
    <w:rsid w:val="00EE28F3"/>
    <w:rsid w:val="00EE50D1"/>
    <w:rsid w:val="00EE7614"/>
    <w:rsid w:val="00EF11B8"/>
    <w:rsid w:val="00EF2E35"/>
    <w:rsid w:val="00EF3B0D"/>
    <w:rsid w:val="00EF5110"/>
    <w:rsid w:val="00EF5890"/>
    <w:rsid w:val="00EF76BA"/>
    <w:rsid w:val="00F01D90"/>
    <w:rsid w:val="00F0231A"/>
    <w:rsid w:val="00F03463"/>
    <w:rsid w:val="00F036B7"/>
    <w:rsid w:val="00F0700F"/>
    <w:rsid w:val="00F07F1F"/>
    <w:rsid w:val="00F10411"/>
    <w:rsid w:val="00F10A9A"/>
    <w:rsid w:val="00F11B2D"/>
    <w:rsid w:val="00F11B85"/>
    <w:rsid w:val="00F121C2"/>
    <w:rsid w:val="00F140AD"/>
    <w:rsid w:val="00F1485B"/>
    <w:rsid w:val="00F15882"/>
    <w:rsid w:val="00F170C7"/>
    <w:rsid w:val="00F171E0"/>
    <w:rsid w:val="00F20BD3"/>
    <w:rsid w:val="00F25B03"/>
    <w:rsid w:val="00F26777"/>
    <w:rsid w:val="00F322E9"/>
    <w:rsid w:val="00F3231B"/>
    <w:rsid w:val="00F33808"/>
    <w:rsid w:val="00F364DB"/>
    <w:rsid w:val="00F373A5"/>
    <w:rsid w:val="00F37864"/>
    <w:rsid w:val="00F404F9"/>
    <w:rsid w:val="00F44B0A"/>
    <w:rsid w:val="00F469C5"/>
    <w:rsid w:val="00F46DCF"/>
    <w:rsid w:val="00F47559"/>
    <w:rsid w:val="00F50B30"/>
    <w:rsid w:val="00F51F5F"/>
    <w:rsid w:val="00F52D75"/>
    <w:rsid w:val="00F55582"/>
    <w:rsid w:val="00F57647"/>
    <w:rsid w:val="00F57A2C"/>
    <w:rsid w:val="00F62A14"/>
    <w:rsid w:val="00F62B96"/>
    <w:rsid w:val="00F6301B"/>
    <w:rsid w:val="00F63C62"/>
    <w:rsid w:val="00F644AB"/>
    <w:rsid w:val="00F64C7B"/>
    <w:rsid w:val="00F66400"/>
    <w:rsid w:val="00F676DD"/>
    <w:rsid w:val="00F67AB6"/>
    <w:rsid w:val="00F70028"/>
    <w:rsid w:val="00F70434"/>
    <w:rsid w:val="00F74ED1"/>
    <w:rsid w:val="00F75A26"/>
    <w:rsid w:val="00F75EF6"/>
    <w:rsid w:val="00F76706"/>
    <w:rsid w:val="00F77D6D"/>
    <w:rsid w:val="00F80206"/>
    <w:rsid w:val="00F806A2"/>
    <w:rsid w:val="00F81E5A"/>
    <w:rsid w:val="00F83034"/>
    <w:rsid w:val="00F83FAD"/>
    <w:rsid w:val="00F844C6"/>
    <w:rsid w:val="00F872DC"/>
    <w:rsid w:val="00F8785E"/>
    <w:rsid w:val="00F9125E"/>
    <w:rsid w:val="00F91F23"/>
    <w:rsid w:val="00F92FA6"/>
    <w:rsid w:val="00F9353B"/>
    <w:rsid w:val="00F937F1"/>
    <w:rsid w:val="00F93EC3"/>
    <w:rsid w:val="00F952A0"/>
    <w:rsid w:val="00F97043"/>
    <w:rsid w:val="00FA31B1"/>
    <w:rsid w:val="00FA3320"/>
    <w:rsid w:val="00FA3C7F"/>
    <w:rsid w:val="00FA48B8"/>
    <w:rsid w:val="00FA6246"/>
    <w:rsid w:val="00FA654F"/>
    <w:rsid w:val="00FB24ED"/>
    <w:rsid w:val="00FB3304"/>
    <w:rsid w:val="00FB5005"/>
    <w:rsid w:val="00FB60FE"/>
    <w:rsid w:val="00FB6E34"/>
    <w:rsid w:val="00FB74E2"/>
    <w:rsid w:val="00FB778B"/>
    <w:rsid w:val="00FD2277"/>
    <w:rsid w:val="00FD22E7"/>
    <w:rsid w:val="00FD5614"/>
    <w:rsid w:val="00FD5E78"/>
    <w:rsid w:val="00FE0BE1"/>
    <w:rsid w:val="00FE11BB"/>
    <w:rsid w:val="00FE1DE9"/>
    <w:rsid w:val="00FE340F"/>
    <w:rsid w:val="00FE3565"/>
    <w:rsid w:val="00FE36AF"/>
    <w:rsid w:val="00FE39C2"/>
    <w:rsid w:val="00FE3C32"/>
    <w:rsid w:val="00FE4E5F"/>
    <w:rsid w:val="00FE64AE"/>
    <w:rsid w:val="00FF2132"/>
    <w:rsid w:val="00FF2E54"/>
    <w:rsid w:val="00FF47D8"/>
    <w:rsid w:val="00FF4EBC"/>
    <w:rsid w:val="00FF5AD3"/>
    <w:rsid w:val="00FF7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375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37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7490">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47082646">
      <w:bodyDiv w:val="1"/>
      <w:marLeft w:val="0"/>
      <w:marRight w:val="0"/>
      <w:marTop w:val="0"/>
      <w:marBottom w:val="0"/>
      <w:divBdr>
        <w:top w:val="none" w:sz="0" w:space="0" w:color="auto"/>
        <w:left w:val="none" w:sz="0" w:space="0" w:color="auto"/>
        <w:bottom w:val="none" w:sz="0" w:space="0" w:color="auto"/>
        <w:right w:val="none" w:sz="0" w:space="0" w:color="auto"/>
      </w:divBdr>
    </w:div>
    <w:div w:id="354157585">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1145812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07398288">
      <w:bodyDiv w:val="1"/>
      <w:marLeft w:val="0"/>
      <w:marRight w:val="0"/>
      <w:marTop w:val="0"/>
      <w:marBottom w:val="0"/>
      <w:divBdr>
        <w:top w:val="none" w:sz="0" w:space="0" w:color="auto"/>
        <w:left w:val="none" w:sz="0" w:space="0" w:color="auto"/>
        <w:bottom w:val="none" w:sz="0" w:space="0" w:color="auto"/>
        <w:right w:val="none" w:sz="0" w:space="0" w:color="auto"/>
      </w:divBdr>
    </w:div>
    <w:div w:id="628046772">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6083794">
      <w:bodyDiv w:val="1"/>
      <w:marLeft w:val="0"/>
      <w:marRight w:val="0"/>
      <w:marTop w:val="0"/>
      <w:marBottom w:val="0"/>
      <w:divBdr>
        <w:top w:val="none" w:sz="0" w:space="0" w:color="auto"/>
        <w:left w:val="none" w:sz="0" w:space="0" w:color="auto"/>
        <w:bottom w:val="none" w:sz="0" w:space="0" w:color="auto"/>
        <w:right w:val="none" w:sz="0" w:space="0" w:color="auto"/>
      </w:divBdr>
    </w:div>
    <w:div w:id="745299502">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0241496">
      <w:bodyDiv w:val="1"/>
      <w:marLeft w:val="0"/>
      <w:marRight w:val="0"/>
      <w:marTop w:val="0"/>
      <w:marBottom w:val="0"/>
      <w:divBdr>
        <w:top w:val="none" w:sz="0" w:space="0" w:color="auto"/>
        <w:left w:val="none" w:sz="0" w:space="0" w:color="auto"/>
        <w:bottom w:val="none" w:sz="0" w:space="0" w:color="auto"/>
        <w:right w:val="none" w:sz="0" w:space="0" w:color="auto"/>
      </w:divBdr>
    </w:div>
    <w:div w:id="900599256">
      <w:bodyDiv w:val="1"/>
      <w:marLeft w:val="0"/>
      <w:marRight w:val="0"/>
      <w:marTop w:val="0"/>
      <w:marBottom w:val="0"/>
      <w:divBdr>
        <w:top w:val="none" w:sz="0" w:space="0" w:color="auto"/>
        <w:left w:val="none" w:sz="0" w:space="0" w:color="auto"/>
        <w:bottom w:val="none" w:sz="0" w:space="0" w:color="auto"/>
        <w:right w:val="none" w:sz="0" w:space="0" w:color="auto"/>
      </w:divBdr>
    </w:div>
    <w:div w:id="906495180">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6968222">
      <w:bodyDiv w:val="1"/>
      <w:marLeft w:val="0"/>
      <w:marRight w:val="0"/>
      <w:marTop w:val="0"/>
      <w:marBottom w:val="0"/>
      <w:divBdr>
        <w:top w:val="none" w:sz="0" w:space="0" w:color="auto"/>
        <w:left w:val="none" w:sz="0" w:space="0" w:color="auto"/>
        <w:bottom w:val="none" w:sz="0" w:space="0" w:color="auto"/>
        <w:right w:val="none" w:sz="0" w:space="0" w:color="auto"/>
      </w:divBdr>
    </w:div>
    <w:div w:id="1206215577">
      <w:bodyDiv w:val="1"/>
      <w:marLeft w:val="0"/>
      <w:marRight w:val="0"/>
      <w:marTop w:val="0"/>
      <w:marBottom w:val="0"/>
      <w:divBdr>
        <w:top w:val="none" w:sz="0" w:space="0" w:color="auto"/>
        <w:left w:val="none" w:sz="0" w:space="0" w:color="auto"/>
        <w:bottom w:val="none" w:sz="0" w:space="0" w:color="auto"/>
        <w:right w:val="none" w:sz="0" w:space="0" w:color="auto"/>
      </w:divBdr>
    </w:div>
    <w:div w:id="1221016815">
      <w:bodyDiv w:val="1"/>
      <w:marLeft w:val="0"/>
      <w:marRight w:val="0"/>
      <w:marTop w:val="0"/>
      <w:marBottom w:val="0"/>
      <w:divBdr>
        <w:top w:val="none" w:sz="0" w:space="0" w:color="auto"/>
        <w:left w:val="none" w:sz="0" w:space="0" w:color="auto"/>
        <w:bottom w:val="none" w:sz="0" w:space="0" w:color="auto"/>
        <w:right w:val="none" w:sz="0" w:space="0" w:color="auto"/>
      </w:divBdr>
    </w:div>
    <w:div w:id="1318194679">
      <w:bodyDiv w:val="1"/>
      <w:marLeft w:val="0"/>
      <w:marRight w:val="0"/>
      <w:marTop w:val="0"/>
      <w:marBottom w:val="0"/>
      <w:divBdr>
        <w:top w:val="none" w:sz="0" w:space="0" w:color="auto"/>
        <w:left w:val="none" w:sz="0" w:space="0" w:color="auto"/>
        <w:bottom w:val="none" w:sz="0" w:space="0" w:color="auto"/>
        <w:right w:val="none" w:sz="0" w:space="0" w:color="auto"/>
      </w:divBdr>
    </w:div>
    <w:div w:id="181279317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aer.gov.au/system/files/APA%20VTS-B4-APA%20Post%20Tax%20Revenue%20Model%20revised%20with%20WORM-20170516%20-Public.xlsm" TargetMode="Externa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e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emo.com.au/-/media/Files/Gas/DWGM/2017/Threat-to-System-Security-Notice---Warragul.pdf" TargetMode="External"/><Relationship Id="rId2" Type="http://schemas.openxmlformats.org/officeDocument/2006/relationships/hyperlink" Target="https://www.aemo.com.au/-/media/Files/Gas/DWGM/2017/Threat-to-System-Security-Notice---SWP-to-Port-Campbell-constraint.pdf" TargetMode="External"/><Relationship Id="rId1" Type="http://schemas.openxmlformats.org/officeDocument/2006/relationships/hyperlink" Target="https://www.aemo.com.au/-/media/Files/Gas/DWGM/2017/Threat-to-System-Security-Notice---SWP-to-Port-Campbell-constraint.pdf" TargetMode="External"/><Relationship Id="rId5" Type="http://schemas.openxmlformats.org/officeDocument/2006/relationships/hyperlink" Target="https://www.aer.gov.au/networks-pipelines/guidelines-schemes-models-reviews/consumer-engagement-guideline-for-network-service-providers" TargetMode="External"/><Relationship Id="rId4" Type="http://schemas.openxmlformats.org/officeDocument/2006/relationships/hyperlink" Target="https://www.aer.gov.au/system/files/Consumer%20Challenge%20Panel%20%28CCP11%29%20-%20Advice%20to%20the%20AER%20regarding%20APA%20VTS%20proposal%20to%20complete%20the%20WORM%20in%20the%202018-22%20access%20arrangement%20period%20-%206%20June%202017.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0D842F-BE63-4459-A768-6601E63D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93D5E1CF</Template>
  <TotalTime>0</TotalTime>
  <Pages>54</Pages>
  <Words>14778</Words>
  <Characters>84235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2017-07-05T01:42:00Z</dcterms:created>
  <dcterms:modified xsi:type="dcterms:W3CDTF">2017-07-05T01:43:00Z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