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4D4066" w:rsidP="00290C63">
          <w:r w:rsidRPr="00290C63">
            <w:rPr>
              <w:noProof/>
              <w:lang w:eastAsia="en-AU"/>
            </w:rPr>
            <w:drawing>
              <wp:anchor distT="0" distB="0" distL="114300" distR="114300" simplePos="0" relativeHeight="251659264" behindDoc="1" locked="0" layoutInCell="1" allowOverlap="1" wp14:anchorId="522E3240" wp14:editId="514A92C5">
                <wp:simplePos x="0" y="0"/>
                <wp:positionH relativeFrom="column">
                  <wp:posOffset>-1112520</wp:posOffset>
                </wp:positionH>
                <wp:positionV relativeFrom="paragraph">
                  <wp:posOffset>-842645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DE7AB5" w:rsidRPr="00DB723B">
            <w:rPr>
              <w:noProof/>
              <w:lang w:eastAsia="en-AU"/>
            </w:rPr>
            <w:drawing>
              <wp:anchor distT="0" distB="0" distL="114300" distR="114300" simplePos="0" relativeHeight="251661312" behindDoc="1" locked="0" layoutInCell="1" allowOverlap="1" wp14:anchorId="07AFFAB3" wp14:editId="05315FA0">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40331C" w:rsidRDefault="0040331C" w:rsidP="00D5015C">
          <w:pPr>
            <w:pStyle w:val="ReportSubtitle"/>
          </w:pPr>
          <w:r w:rsidRPr="0040331C">
            <w:t>DRAFT DECISION</w:t>
          </w:r>
        </w:p>
        <w:p w:rsidR="008016BC" w:rsidRDefault="00A011C1" w:rsidP="00D5015C">
          <w:pPr>
            <w:pStyle w:val="ReportSubtitle"/>
          </w:pPr>
          <w:r>
            <w:t>AusNet Services</w:t>
          </w:r>
          <w:r w:rsidR="00D5015C">
            <w:t xml:space="preserve"> </w:t>
          </w:r>
        </w:p>
        <w:p w:rsidR="00D5015C" w:rsidRDefault="008016BC" w:rsidP="00D5015C">
          <w:pPr>
            <w:pStyle w:val="ReportSubtitle"/>
          </w:pPr>
          <w:r>
            <w:t>G</w:t>
          </w:r>
          <w:r w:rsidR="00D5015C">
            <w:t>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6903A2">
            <w:t>0</w:t>
          </w:r>
          <w:r w:rsidR="000474DF">
            <w:t xml:space="preserve"> </w:t>
          </w:r>
          <w:r w:rsidR="00185BA5">
            <w:t>–</w:t>
          </w:r>
          <w:r w:rsidR="000474DF">
            <w:t xml:space="preserve"> </w:t>
          </w:r>
          <w:r w:rsidR="006903A2">
            <w:t>Reference tariff setting</w:t>
          </w:r>
        </w:p>
        <w:p w:rsidR="00D5015C" w:rsidRDefault="00D5015C" w:rsidP="00327A1E">
          <w:pPr>
            <w:pStyle w:val="ReportDate"/>
          </w:pPr>
        </w:p>
        <w:p w:rsidR="00D5015C" w:rsidRDefault="00D5015C" w:rsidP="00327A1E">
          <w:pPr>
            <w:pStyle w:val="ReportDate"/>
          </w:pPr>
        </w:p>
        <w:p w:rsidR="000A6C7B" w:rsidRPr="00327A1E" w:rsidRDefault="004D4066" w:rsidP="00327A1E">
          <w:pPr>
            <w:pStyle w:val="ReportDate"/>
          </w:pPr>
          <w:r>
            <w:t xml:space="preserve">July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6903A2">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F17837" w:rsidRPr="00F17837">
        <w:t>1300 585 165</w:t>
      </w:r>
      <w:r>
        <w:br/>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954117"/>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A011C1">
        <w:t>AusNet</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954118"/>
      <w:r>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05645A" w:rsidRDefault="006903A2">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954117" w:history="1">
            <w:r w:rsidR="0005645A" w:rsidRPr="00C9784B">
              <w:rPr>
                <w:rStyle w:val="Hyperlink"/>
              </w:rPr>
              <w:t>Note</w:t>
            </w:r>
            <w:r w:rsidR="0005645A">
              <w:rPr>
                <w:webHidden/>
              </w:rPr>
              <w:tab/>
            </w:r>
            <w:r w:rsidR="0005645A">
              <w:rPr>
                <w:webHidden/>
              </w:rPr>
              <w:fldChar w:fldCharType="begin"/>
            </w:r>
            <w:r w:rsidR="0005645A">
              <w:rPr>
                <w:webHidden/>
              </w:rPr>
              <w:instrText xml:space="preserve"> PAGEREF _Toc486954117 \h </w:instrText>
            </w:r>
            <w:r w:rsidR="0005645A">
              <w:rPr>
                <w:webHidden/>
              </w:rPr>
            </w:r>
            <w:r w:rsidR="0005645A">
              <w:rPr>
                <w:webHidden/>
              </w:rPr>
              <w:fldChar w:fldCharType="separate"/>
            </w:r>
            <w:r w:rsidR="00B42756">
              <w:rPr>
                <w:webHidden/>
              </w:rPr>
              <w:t>10-2</w:t>
            </w:r>
            <w:r w:rsidR="0005645A">
              <w:rPr>
                <w:webHidden/>
              </w:rPr>
              <w:fldChar w:fldCharType="end"/>
            </w:r>
          </w:hyperlink>
        </w:p>
        <w:p w:rsidR="0005645A" w:rsidRDefault="0005645A">
          <w:pPr>
            <w:pStyle w:val="TOC1"/>
            <w:rPr>
              <w:rFonts w:asciiTheme="minorHAnsi" w:eastAsiaTheme="minorEastAsia" w:hAnsiTheme="minorHAnsi"/>
              <w:b w:val="0"/>
              <w:color w:val="auto"/>
              <w:sz w:val="22"/>
              <w:lang w:val="en-AU" w:eastAsia="en-AU"/>
            </w:rPr>
          </w:pPr>
          <w:hyperlink w:anchor="_Toc486954118" w:history="1">
            <w:r w:rsidRPr="00C9784B">
              <w:rPr>
                <w:rStyle w:val="Hyperlink"/>
              </w:rPr>
              <w:t>Contents</w:t>
            </w:r>
            <w:r>
              <w:rPr>
                <w:webHidden/>
              </w:rPr>
              <w:tab/>
            </w:r>
            <w:r>
              <w:rPr>
                <w:webHidden/>
              </w:rPr>
              <w:fldChar w:fldCharType="begin"/>
            </w:r>
            <w:r>
              <w:rPr>
                <w:webHidden/>
              </w:rPr>
              <w:instrText xml:space="preserve"> PAGEREF _Toc486954118 \h </w:instrText>
            </w:r>
            <w:r>
              <w:rPr>
                <w:webHidden/>
              </w:rPr>
            </w:r>
            <w:r>
              <w:rPr>
                <w:webHidden/>
              </w:rPr>
              <w:fldChar w:fldCharType="separate"/>
            </w:r>
            <w:r w:rsidR="00B42756">
              <w:rPr>
                <w:webHidden/>
              </w:rPr>
              <w:t>10-3</w:t>
            </w:r>
            <w:r>
              <w:rPr>
                <w:webHidden/>
              </w:rPr>
              <w:fldChar w:fldCharType="end"/>
            </w:r>
          </w:hyperlink>
        </w:p>
        <w:p w:rsidR="0005645A" w:rsidRDefault="0005645A">
          <w:pPr>
            <w:pStyle w:val="TOC1"/>
            <w:rPr>
              <w:rFonts w:asciiTheme="minorHAnsi" w:eastAsiaTheme="minorEastAsia" w:hAnsiTheme="minorHAnsi"/>
              <w:b w:val="0"/>
              <w:color w:val="auto"/>
              <w:sz w:val="22"/>
              <w:lang w:val="en-AU" w:eastAsia="en-AU"/>
            </w:rPr>
          </w:pPr>
          <w:hyperlink w:anchor="_Toc486954119" w:history="1">
            <w:r w:rsidRPr="00C9784B">
              <w:rPr>
                <w:rStyle w:val="Hyperlink"/>
              </w:rPr>
              <w:t>Shortened forms</w:t>
            </w:r>
            <w:r>
              <w:rPr>
                <w:webHidden/>
              </w:rPr>
              <w:tab/>
            </w:r>
            <w:r>
              <w:rPr>
                <w:webHidden/>
              </w:rPr>
              <w:fldChar w:fldCharType="begin"/>
            </w:r>
            <w:r>
              <w:rPr>
                <w:webHidden/>
              </w:rPr>
              <w:instrText xml:space="preserve"> PAGEREF _Toc486954119 \h </w:instrText>
            </w:r>
            <w:r>
              <w:rPr>
                <w:webHidden/>
              </w:rPr>
            </w:r>
            <w:r>
              <w:rPr>
                <w:webHidden/>
              </w:rPr>
              <w:fldChar w:fldCharType="separate"/>
            </w:r>
            <w:r w:rsidR="00B42756">
              <w:rPr>
                <w:webHidden/>
              </w:rPr>
              <w:t>10-4</w:t>
            </w:r>
            <w:r>
              <w:rPr>
                <w:webHidden/>
              </w:rPr>
              <w:fldChar w:fldCharType="end"/>
            </w:r>
          </w:hyperlink>
        </w:p>
        <w:p w:rsidR="0005645A" w:rsidRDefault="0005645A">
          <w:pPr>
            <w:pStyle w:val="TOC1"/>
            <w:rPr>
              <w:rFonts w:asciiTheme="minorHAnsi" w:eastAsiaTheme="minorEastAsia" w:hAnsiTheme="minorHAnsi"/>
              <w:b w:val="0"/>
              <w:color w:val="auto"/>
              <w:sz w:val="22"/>
              <w:lang w:val="en-AU" w:eastAsia="en-AU"/>
            </w:rPr>
          </w:pPr>
          <w:hyperlink w:anchor="_Toc486954120" w:history="1">
            <w:r w:rsidRPr="00C9784B">
              <w:rPr>
                <w:rStyle w:val="Hyperlink"/>
              </w:rPr>
              <w:t>10</w:t>
            </w:r>
            <w:r>
              <w:rPr>
                <w:rFonts w:asciiTheme="minorHAnsi" w:eastAsiaTheme="minorEastAsia" w:hAnsiTheme="minorHAnsi"/>
                <w:b w:val="0"/>
                <w:color w:val="auto"/>
                <w:sz w:val="22"/>
                <w:lang w:val="en-AU" w:eastAsia="en-AU"/>
              </w:rPr>
              <w:tab/>
            </w:r>
            <w:r w:rsidRPr="00C9784B">
              <w:rPr>
                <w:rStyle w:val="Hyperlink"/>
              </w:rPr>
              <w:t>Reference tariff setting</w:t>
            </w:r>
            <w:r>
              <w:rPr>
                <w:webHidden/>
              </w:rPr>
              <w:tab/>
            </w:r>
            <w:r>
              <w:rPr>
                <w:webHidden/>
              </w:rPr>
              <w:fldChar w:fldCharType="begin"/>
            </w:r>
            <w:r>
              <w:rPr>
                <w:webHidden/>
              </w:rPr>
              <w:instrText xml:space="preserve"> PAGEREF _Toc486954120 \h </w:instrText>
            </w:r>
            <w:r>
              <w:rPr>
                <w:webHidden/>
              </w:rPr>
            </w:r>
            <w:r>
              <w:rPr>
                <w:webHidden/>
              </w:rPr>
              <w:fldChar w:fldCharType="separate"/>
            </w:r>
            <w:r w:rsidR="00B42756">
              <w:rPr>
                <w:webHidden/>
              </w:rPr>
              <w:t>10-5</w:t>
            </w:r>
            <w:r>
              <w:rPr>
                <w:webHidden/>
              </w:rPr>
              <w:fldChar w:fldCharType="end"/>
            </w:r>
          </w:hyperlink>
        </w:p>
        <w:p w:rsidR="0005645A" w:rsidRDefault="0005645A">
          <w:pPr>
            <w:pStyle w:val="TOC2"/>
            <w:tabs>
              <w:tab w:val="left" w:pos="1276"/>
            </w:tabs>
            <w:rPr>
              <w:rFonts w:asciiTheme="minorHAnsi" w:eastAsiaTheme="minorEastAsia" w:hAnsiTheme="minorHAnsi"/>
              <w:b w:val="0"/>
              <w:color w:val="auto"/>
              <w:sz w:val="22"/>
              <w:lang w:eastAsia="en-AU"/>
            </w:rPr>
          </w:pPr>
          <w:hyperlink w:anchor="_Toc486954121" w:history="1">
            <w:r w:rsidRPr="00C9784B">
              <w:rPr>
                <w:rStyle w:val="Hyperlink"/>
              </w:rPr>
              <w:t>10.1</w:t>
            </w:r>
            <w:r>
              <w:rPr>
                <w:rFonts w:asciiTheme="minorHAnsi" w:eastAsiaTheme="minorEastAsia" w:hAnsiTheme="minorHAnsi"/>
                <w:b w:val="0"/>
                <w:color w:val="auto"/>
                <w:sz w:val="22"/>
                <w:lang w:eastAsia="en-AU"/>
              </w:rPr>
              <w:tab/>
            </w:r>
            <w:r w:rsidRPr="00C9784B">
              <w:rPr>
                <w:rStyle w:val="Hyperlink"/>
              </w:rPr>
              <w:t>Draft decision</w:t>
            </w:r>
            <w:r>
              <w:rPr>
                <w:webHidden/>
              </w:rPr>
              <w:tab/>
            </w:r>
            <w:r>
              <w:rPr>
                <w:webHidden/>
              </w:rPr>
              <w:fldChar w:fldCharType="begin"/>
            </w:r>
            <w:r>
              <w:rPr>
                <w:webHidden/>
              </w:rPr>
              <w:instrText xml:space="preserve"> PAGEREF _Toc486954121 \h </w:instrText>
            </w:r>
            <w:r>
              <w:rPr>
                <w:webHidden/>
              </w:rPr>
            </w:r>
            <w:r>
              <w:rPr>
                <w:webHidden/>
              </w:rPr>
              <w:fldChar w:fldCharType="separate"/>
            </w:r>
            <w:r w:rsidR="00B42756">
              <w:rPr>
                <w:webHidden/>
              </w:rPr>
              <w:t>10-5</w:t>
            </w:r>
            <w:r>
              <w:rPr>
                <w:webHidden/>
              </w:rPr>
              <w:fldChar w:fldCharType="end"/>
            </w:r>
          </w:hyperlink>
        </w:p>
        <w:p w:rsidR="0005645A" w:rsidRDefault="0005645A">
          <w:pPr>
            <w:pStyle w:val="TOC2"/>
            <w:tabs>
              <w:tab w:val="left" w:pos="1276"/>
            </w:tabs>
            <w:rPr>
              <w:rFonts w:asciiTheme="minorHAnsi" w:eastAsiaTheme="minorEastAsia" w:hAnsiTheme="minorHAnsi"/>
              <w:b w:val="0"/>
              <w:color w:val="auto"/>
              <w:sz w:val="22"/>
              <w:lang w:eastAsia="en-AU"/>
            </w:rPr>
          </w:pPr>
          <w:hyperlink w:anchor="_Toc486954122" w:history="1">
            <w:r w:rsidRPr="00C9784B">
              <w:rPr>
                <w:rStyle w:val="Hyperlink"/>
              </w:rPr>
              <w:t>10.2</w:t>
            </w:r>
            <w:r>
              <w:rPr>
                <w:rFonts w:asciiTheme="minorHAnsi" w:eastAsiaTheme="minorEastAsia" w:hAnsiTheme="minorHAnsi"/>
                <w:b w:val="0"/>
                <w:color w:val="auto"/>
                <w:sz w:val="22"/>
                <w:lang w:eastAsia="en-AU"/>
              </w:rPr>
              <w:tab/>
            </w:r>
            <w:r w:rsidRPr="00C9784B">
              <w:rPr>
                <w:rStyle w:val="Hyperlink"/>
              </w:rPr>
              <w:t>AusNet's proposal</w:t>
            </w:r>
            <w:r>
              <w:rPr>
                <w:webHidden/>
              </w:rPr>
              <w:tab/>
            </w:r>
            <w:r>
              <w:rPr>
                <w:webHidden/>
              </w:rPr>
              <w:fldChar w:fldCharType="begin"/>
            </w:r>
            <w:r>
              <w:rPr>
                <w:webHidden/>
              </w:rPr>
              <w:instrText xml:space="preserve"> PAGEREF _Toc486954122 \h </w:instrText>
            </w:r>
            <w:r>
              <w:rPr>
                <w:webHidden/>
              </w:rPr>
            </w:r>
            <w:r>
              <w:rPr>
                <w:webHidden/>
              </w:rPr>
              <w:fldChar w:fldCharType="separate"/>
            </w:r>
            <w:r w:rsidR="00B42756">
              <w:rPr>
                <w:webHidden/>
              </w:rPr>
              <w:t>10-5</w:t>
            </w:r>
            <w:r>
              <w:rPr>
                <w:webHidden/>
              </w:rPr>
              <w:fldChar w:fldCharType="end"/>
            </w:r>
          </w:hyperlink>
        </w:p>
        <w:p w:rsidR="0005645A" w:rsidRDefault="0005645A">
          <w:pPr>
            <w:pStyle w:val="TOC2"/>
            <w:tabs>
              <w:tab w:val="left" w:pos="1276"/>
            </w:tabs>
            <w:rPr>
              <w:rFonts w:asciiTheme="minorHAnsi" w:eastAsiaTheme="minorEastAsia" w:hAnsiTheme="minorHAnsi"/>
              <w:b w:val="0"/>
              <w:color w:val="auto"/>
              <w:sz w:val="22"/>
              <w:lang w:eastAsia="en-AU"/>
            </w:rPr>
          </w:pPr>
          <w:hyperlink w:anchor="_Toc486954123" w:history="1">
            <w:r w:rsidRPr="00C9784B">
              <w:rPr>
                <w:rStyle w:val="Hyperlink"/>
              </w:rPr>
              <w:t>10.3</w:t>
            </w:r>
            <w:r>
              <w:rPr>
                <w:rFonts w:asciiTheme="minorHAnsi" w:eastAsiaTheme="minorEastAsia" w:hAnsiTheme="minorHAnsi"/>
                <w:b w:val="0"/>
                <w:color w:val="auto"/>
                <w:sz w:val="22"/>
                <w:lang w:eastAsia="en-AU"/>
              </w:rPr>
              <w:tab/>
            </w:r>
            <w:r w:rsidRPr="00C9784B">
              <w:rPr>
                <w:rStyle w:val="Hyperlink"/>
              </w:rPr>
              <w:t>Assessment approach</w:t>
            </w:r>
            <w:r>
              <w:rPr>
                <w:webHidden/>
              </w:rPr>
              <w:tab/>
            </w:r>
            <w:r>
              <w:rPr>
                <w:webHidden/>
              </w:rPr>
              <w:fldChar w:fldCharType="begin"/>
            </w:r>
            <w:r>
              <w:rPr>
                <w:webHidden/>
              </w:rPr>
              <w:instrText xml:space="preserve"> PAGEREF _Toc486954123 \h </w:instrText>
            </w:r>
            <w:r>
              <w:rPr>
                <w:webHidden/>
              </w:rPr>
            </w:r>
            <w:r>
              <w:rPr>
                <w:webHidden/>
              </w:rPr>
              <w:fldChar w:fldCharType="separate"/>
            </w:r>
            <w:r w:rsidR="00B42756">
              <w:rPr>
                <w:webHidden/>
              </w:rPr>
              <w:t>10-6</w:t>
            </w:r>
            <w:r>
              <w:rPr>
                <w:webHidden/>
              </w:rPr>
              <w:fldChar w:fldCharType="end"/>
            </w:r>
          </w:hyperlink>
        </w:p>
        <w:p w:rsidR="0005645A" w:rsidRDefault="0005645A">
          <w:pPr>
            <w:pStyle w:val="TOC3"/>
            <w:rPr>
              <w:rFonts w:asciiTheme="minorHAnsi" w:eastAsiaTheme="minorEastAsia" w:hAnsiTheme="minorHAnsi"/>
              <w:lang w:eastAsia="en-AU"/>
            </w:rPr>
          </w:pPr>
          <w:hyperlink w:anchor="_Toc486954124" w:history="1">
            <w:r w:rsidRPr="00C9784B">
              <w:rPr>
                <w:rStyle w:val="Hyperlink"/>
                <w14:scene3d>
                  <w14:camera w14:prst="orthographicFront"/>
                  <w14:lightRig w14:rig="threePt" w14:dir="t">
                    <w14:rot w14:lat="0" w14:lon="0" w14:rev="0"/>
                  </w14:lightRig>
                </w14:scene3d>
              </w:rPr>
              <w:t>10.3.1</w:t>
            </w:r>
            <w:r>
              <w:rPr>
                <w:rFonts w:asciiTheme="minorHAnsi" w:eastAsiaTheme="minorEastAsia" w:hAnsiTheme="minorHAnsi"/>
                <w:lang w:eastAsia="en-AU"/>
              </w:rPr>
              <w:tab/>
            </w:r>
            <w:r w:rsidRPr="00C9784B">
              <w:rPr>
                <w:rStyle w:val="Hyperlink"/>
              </w:rPr>
              <w:t>Interrelationships</w:t>
            </w:r>
            <w:r>
              <w:rPr>
                <w:webHidden/>
              </w:rPr>
              <w:tab/>
            </w:r>
            <w:r>
              <w:rPr>
                <w:webHidden/>
              </w:rPr>
              <w:fldChar w:fldCharType="begin"/>
            </w:r>
            <w:r>
              <w:rPr>
                <w:webHidden/>
              </w:rPr>
              <w:instrText xml:space="preserve"> PAGEREF _Toc486954124 \h </w:instrText>
            </w:r>
            <w:r>
              <w:rPr>
                <w:webHidden/>
              </w:rPr>
            </w:r>
            <w:r>
              <w:rPr>
                <w:webHidden/>
              </w:rPr>
              <w:fldChar w:fldCharType="separate"/>
            </w:r>
            <w:r w:rsidR="00B42756">
              <w:rPr>
                <w:webHidden/>
              </w:rPr>
              <w:t>10-8</w:t>
            </w:r>
            <w:r>
              <w:rPr>
                <w:webHidden/>
              </w:rPr>
              <w:fldChar w:fldCharType="end"/>
            </w:r>
          </w:hyperlink>
        </w:p>
        <w:p w:rsidR="0005645A" w:rsidRDefault="0005645A">
          <w:pPr>
            <w:pStyle w:val="TOC2"/>
            <w:tabs>
              <w:tab w:val="left" w:pos="1276"/>
            </w:tabs>
            <w:rPr>
              <w:rFonts w:asciiTheme="minorHAnsi" w:eastAsiaTheme="minorEastAsia" w:hAnsiTheme="minorHAnsi"/>
              <w:b w:val="0"/>
              <w:color w:val="auto"/>
              <w:sz w:val="22"/>
              <w:lang w:eastAsia="en-AU"/>
            </w:rPr>
          </w:pPr>
          <w:hyperlink w:anchor="_Toc486954125" w:history="1">
            <w:r w:rsidRPr="00C9784B">
              <w:rPr>
                <w:rStyle w:val="Hyperlink"/>
              </w:rPr>
              <w:t>10.4</w:t>
            </w:r>
            <w:r>
              <w:rPr>
                <w:rFonts w:asciiTheme="minorHAnsi" w:eastAsiaTheme="minorEastAsia" w:hAnsiTheme="minorHAnsi"/>
                <w:b w:val="0"/>
                <w:color w:val="auto"/>
                <w:sz w:val="22"/>
                <w:lang w:eastAsia="en-AU"/>
              </w:rPr>
              <w:tab/>
            </w:r>
            <w:r w:rsidRPr="00C9784B">
              <w:rPr>
                <w:rStyle w:val="Hyperlink"/>
              </w:rPr>
              <w:t>Reasons for draft decision</w:t>
            </w:r>
            <w:r>
              <w:rPr>
                <w:webHidden/>
              </w:rPr>
              <w:tab/>
            </w:r>
            <w:r>
              <w:rPr>
                <w:webHidden/>
              </w:rPr>
              <w:fldChar w:fldCharType="begin"/>
            </w:r>
            <w:r>
              <w:rPr>
                <w:webHidden/>
              </w:rPr>
              <w:instrText xml:space="preserve"> PAGEREF _Toc486954125 \h </w:instrText>
            </w:r>
            <w:r>
              <w:rPr>
                <w:webHidden/>
              </w:rPr>
            </w:r>
            <w:r>
              <w:rPr>
                <w:webHidden/>
              </w:rPr>
              <w:fldChar w:fldCharType="separate"/>
            </w:r>
            <w:r w:rsidR="00B42756">
              <w:rPr>
                <w:webHidden/>
              </w:rPr>
              <w:t>10-8</w:t>
            </w:r>
            <w:r>
              <w:rPr>
                <w:webHidden/>
              </w:rPr>
              <w:fldChar w:fldCharType="end"/>
            </w:r>
          </w:hyperlink>
        </w:p>
        <w:p w:rsidR="0005645A" w:rsidRDefault="0005645A">
          <w:pPr>
            <w:pStyle w:val="TOC3"/>
            <w:rPr>
              <w:rFonts w:asciiTheme="minorHAnsi" w:eastAsiaTheme="minorEastAsia" w:hAnsiTheme="minorHAnsi"/>
              <w:lang w:eastAsia="en-AU"/>
            </w:rPr>
          </w:pPr>
          <w:hyperlink w:anchor="_Toc486954126" w:history="1">
            <w:r w:rsidRPr="00C9784B">
              <w:rPr>
                <w:rStyle w:val="Hyperlink"/>
                <w14:scene3d>
                  <w14:camera w14:prst="orthographicFront"/>
                  <w14:lightRig w14:rig="threePt" w14:dir="t">
                    <w14:rot w14:lat="0" w14:lon="0" w14:rev="0"/>
                  </w14:lightRig>
                </w14:scene3d>
              </w:rPr>
              <w:t>10.4.1</w:t>
            </w:r>
            <w:r>
              <w:rPr>
                <w:rFonts w:asciiTheme="minorHAnsi" w:eastAsiaTheme="minorEastAsia" w:hAnsiTheme="minorHAnsi"/>
                <w:lang w:eastAsia="en-AU"/>
              </w:rPr>
              <w:tab/>
            </w:r>
            <w:r w:rsidRPr="00C9784B">
              <w:rPr>
                <w:rStyle w:val="Hyperlink"/>
              </w:rPr>
              <w:t>Ability to introduce, vary or remove tariffs</w:t>
            </w:r>
            <w:r>
              <w:rPr>
                <w:webHidden/>
              </w:rPr>
              <w:tab/>
            </w:r>
            <w:r>
              <w:rPr>
                <w:webHidden/>
              </w:rPr>
              <w:fldChar w:fldCharType="begin"/>
            </w:r>
            <w:r>
              <w:rPr>
                <w:webHidden/>
              </w:rPr>
              <w:instrText xml:space="preserve"> PAGEREF _Toc486954126 \h </w:instrText>
            </w:r>
            <w:r>
              <w:rPr>
                <w:webHidden/>
              </w:rPr>
            </w:r>
            <w:r>
              <w:rPr>
                <w:webHidden/>
              </w:rPr>
              <w:fldChar w:fldCharType="separate"/>
            </w:r>
            <w:r w:rsidR="00B42756">
              <w:rPr>
                <w:webHidden/>
              </w:rPr>
              <w:t>10-9</w:t>
            </w:r>
            <w:r>
              <w:rPr>
                <w:webHidden/>
              </w:rPr>
              <w:fldChar w:fldCharType="end"/>
            </w:r>
          </w:hyperlink>
        </w:p>
        <w:p w:rsidR="0005645A" w:rsidRDefault="0005645A">
          <w:pPr>
            <w:pStyle w:val="TOC3"/>
            <w:rPr>
              <w:rFonts w:asciiTheme="minorHAnsi" w:eastAsiaTheme="minorEastAsia" w:hAnsiTheme="minorHAnsi"/>
              <w:lang w:eastAsia="en-AU"/>
            </w:rPr>
          </w:pPr>
          <w:hyperlink w:anchor="_Toc486954127" w:history="1">
            <w:r w:rsidRPr="00C9784B">
              <w:rPr>
                <w:rStyle w:val="Hyperlink"/>
                <w14:scene3d>
                  <w14:camera w14:prst="orthographicFront"/>
                  <w14:lightRig w14:rig="threePt" w14:dir="t">
                    <w14:rot w14:lat="0" w14:lon="0" w14:rev="0"/>
                  </w14:lightRig>
                </w14:scene3d>
              </w:rPr>
              <w:t>10.4.2</w:t>
            </w:r>
            <w:r>
              <w:rPr>
                <w:rFonts w:asciiTheme="minorHAnsi" w:eastAsiaTheme="minorEastAsia" w:hAnsiTheme="minorHAnsi"/>
                <w:lang w:eastAsia="en-AU"/>
              </w:rPr>
              <w:tab/>
            </w:r>
            <w:r w:rsidRPr="00C9784B">
              <w:rPr>
                <w:rStyle w:val="Hyperlink"/>
              </w:rPr>
              <w:t>Allocation of revenue and costs to reference tariffs</w:t>
            </w:r>
            <w:r>
              <w:rPr>
                <w:webHidden/>
              </w:rPr>
              <w:tab/>
            </w:r>
            <w:r>
              <w:rPr>
                <w:webHidden/>
              </w:rPr>
              <w:fldChar w:fldCharType="begin"/>
            </w:r>
            <w:r>
              <w:rPr>
                <w:webHidden/>
              </w:rPr>
              <w:instrText xml:space="preserve"> PAGEREF _Toc486954127 \h </w:instrText>
            </w:r>
            <w:r>
              <w:rPr>
                <w:webHidden/>
              </w:rPr>
            </w:r>
            <w:r>
              <w:rPr>
                <w:webHidden/>
              </w:rPr>
              <w:fldChar w:fldCharType="separate"/>
            </w:r>
            <w:r w:rsidR="00B42756">
              <w:rPr>
                <w:webHidden/>
              </w:rPr>
              <w:t>10-9</w:t>
            </w:r>
            <w:r>
              <w:rPr>
                <w:webHidden/>
              </w:rPr>
              <w:fldChar w:fldCharType="end"/>
            </w:r>
          </w:hyperlink>
        </w:p>
        <w:p w:rsidR="0005645A" w:rsidRDefault="0005645A">
          <w:pPr>
            <w:pStyle w:val="TOC3"/>
            <w:rPr>
              <w:rFonts w:asciiTheme="minorHAnsi" w:eastAsiaTheme="minorEastAsia" w:hAnsiTheme="minorHAnsi"/>
              <w:lang w:eastAsia="en-AU"/>
            </w:rPr>
          </w:pPr>
          <w:hyperlink w:anchor="_Toc486954128" w:history="1">
            <w:r w:rsidRPr="00C9784B">
              <w:rPr>
                <w:rStyle w:val="Hyperlink"/>
                <w14:scene3d>
                  <w14:camera w14:prst="orthographicFront"/>
                  <w14:lightRig w14:rig="threePt" w14:dir="t">
                    <w14:rot w14:lat="0" w14:lon="0" w14:rev="0"/>
                  </w14:lightRig>
                </w14:scene3d>
              </w:rPr>
              <w:t>10.4.3</w:t>
            </w:r>
            <w:r>
              <w:rPr>
                <w:rFonts w:asciiTheme="minorHAnsi" w:eastAsiaTheme="minorEastAsia" w:hAnsiTheme="minorHAnsi"/>
                <w:lang w:eastAsia="en-AU"/>
              </w:rPr>
              <w:tab/>
            </w:r>
            <w:r w:rsidRPr="00C9784B">
              <w:rPr>
                <w:rStyle w:val="Hyperlink"/>
              </w:rPr>
              <w:t>Establishment of tariff classes</w:t>
            </w:r>
            <w:r>
              <w:rPr>
                <w:webHidden/>
              </w:rPr>
              <w:tab/>
            </w:r>
            <w:r>
              <w:rPr>
                <w:webHidden/>
              </w:rPr>
              <w:fldChar w:fldCharType="begin"/>
            </w:r>
            <w:r>
              <w:rPr>
                <w:webHidden/>
              </w:rPr>
              <w:instrText xml:space="preserve"> PAGEREF _Toc486954128 \h </w:instrText>
            </w:r>
            <w:r>
              <w:rPr>
                <w:webHidden/>
              </w:rPr>
            </w:r>
            <w:r>
              <w:rPr>
                <w:webHidden/>
              </w:rPr>
              <w:fldChar w:fldCharType="separate"/>
            </w:r>
            <w:r w:rsidR="00B42756">
              <w:rPr>
                <w:webHidden/>
              </w:rPr>
              <w:t>10-10</w:t>
            </w:r>
            <w:r>
              <w:rPr>
                <w:webHidden/>
              </w:rPr>
              <w:fldChar w:fldCharType="end"/>
            </w:r>
          </w:hyperlink>
        </w:p>
        <w:p w:rsidR="0005645A" w:rsidRDefault="0005645A">
          <w:pPr>
            <w:pStyle w:val="TOC3"/>
            <w:rPr>
              <w:rFonts w:asciiTheme="minorHAnsi" w:eastAsiaTheme="minorEastAsia" w:hAnsiTheme="minorHAnsi"/>
              <w:lang w:eastAsia="en-AU"/>
            </w:rPr>
          </w:pPr>
          <w:hyperlink w:anchor="_Toc486954129" w:history="1">
            <w:r w:rsidRPr="00C9784B">
              <w:rPr>
                <w:rStyle w:val="Hyperlink"/>
                <w14:scene3d>
                  <w14:camera w14:prst="orthographicFront"/>
                  <w14:lightRig w14:rig="threePt" w14:dir="t">
                    <w14:rot w14:lat="0" w14:lon="0" w14:rev="0"/>
                  </w14:lightRig>
                </w14:scene3d>
              </w:rPr>
              <w:t>10.4.4</w:t>
            </w:r>
            <w:r>
              <w:rPr>
                <w:rFonts w:asciiTheme="minorHAnsi" w:eastAsiaTheme="minorEastAsia" w:hAnsiTheme="minorHAnsi"/>
                <w:lang w:eastAsia="en-AU"/>
              </w:rPr>
              <w:tab/>
            </w:r>
            <w:r w:rsidRPr="00C9784B">
              <w:rPr>
                <w:rStyle w:val="Hyperlink"/>
              </w:rPr>
              <w:t>Tariff classes and revenue limits</w:t>
            </w:r>
            <w:r>
              <w:rPr>
                <w:webHidden/>
              </w:rPr>
              <w:tab/>
            </w:r>
            <w:r>
              <w:rPr>
                <w:webHidden/>
              </w:rPr>
              <w:fldChar w:fldCharType="begin"/>
            </w:r>
            <w:r>
              <w:rPr>
                <w:webHidden/>
              </w:rPr>
              <w:instrText xml:space="preserve"> PAGEREF _Toc486954129 \h </w:instrText>
            </w:r>
            <w:r>
              <w:rPr>
                <w:webHidden/>
              </w:rPr>
            </w:r>
            <w:r>
              <w:rPr>
                <w:webHidden/>
              </w:rPr>
              <w:fldChar w:fldCharType="separate"/>
            </w:r>
            <w:r w:rsidR="00B42756">
              <w:rPr>
                <w:webHidden/>
              </w:rPr>
              <w:t>10-10</w:t>
            </w:r>
            <w:r>
              <w:rPr>
                <w:webHidden/>
              </w:rPr>
              <w:fldChar w:fldCharType="end"/>
            </w:r>
          </w:hyperlink>
        </w:p>
        <w:p w:rsidR="0005645A" w:rsidRDefault="0005645A">
          <w:pPr>
            <w:pStyle w:val="TOC2"/>
            <w:tabs>
              <w:tab w:val="left" w:pos="1276"/>
            </w:tabs>
            <w:rPr>
              <w:rFonts w:asciiTheme="minorHAnsi" w:eastAsiaTheme="minorEastAsia" w:hAnsiTheme="minorHAnsi"/>
              <w:b w:val="0"/>
              <w:color w:val="auto"/>
              <w:sz w:val="22"/>
              <w:lang w:eastAsia="en-AU"/>
            </w:rPr>
          </w:pPr>
          <w:hyperlink w:anchor="_Toc486954130" w:history="1">
            <w:r w:rsidRPr="00C9784B">
              <w:rPr>
                <w:rStyle w:val="Hyperlink"/>
              </w:rPr>
              <w:t>10.5</w:t>
            </w:r>
            <w:r>
              <w:rPr>
                <w:rFonts w:asciiTheme="minorHAnsi" w:eastAsiaTheme="minorEastAsia" w:hAnsiTheme="minorHAnsi"/>
                <w:b w:val="0"/>
                <w:color w:val="auto"/>
                <w:sz w:val="22"/>
                <w:lang w:eastAsia="en-AU"/>
              </w:rPr>
              <w:tab/>
            </w:r>
            <w:r w:rsidRPr="00C9784B">
              <w:rPr>
                <w:rStyle w:val="Hyperlink"/>
              </w:rPr>
              <w:t>Revisions</w:t>
            </w:r>
            <w:r>
              <w:rPr>
                <w:webHidden/>
              </w:rPr>
              <w:tab/>
            </w:r>
            <w:r>
              <w:rPr>
                <w:webHidden/>
              </w:rPr>
              <w:fldChar w:fldCharType="begin"/>
            </w:r>
            <w:r>
              <w:rPr>
                <w:webHidden/>
              </w:rPr>
              <w:instrText xml:space="preserve"> PAGEREF _Toc486954130 \h </w:instrText>
            </w:r>
            <w:r>
              <w:rPr>
                <w:webHidden/>
              </w:rPr>
            </w:r>
            <w:r>
              <w:rPr>
                <w:webHidden/>
              </w:rPr>
              <w:fldChar w:fldCharType="separate"/>
            </w:r>
            <w:r w:rsidR="00B42756">
              <w:rPr>
                <w:webHidden/>
              </w:rPr>
              <w:t>10-12</w:t>
            </w:r>
            <w:r>
              <w:rPr>
                <w:webHidden/>
              </w:rPr>
              <w:fldChar w:fldCharType="end"/>
            </w:r>
          </w:hyperlink>
        </w:p>
        <w:p w:rsidR="00CE2A23" w:rsidRDefault="006903A2" w:rsidP="006903A2">
          <w:pPr>
            <w:pStyle w:val="TOC1"/>
          </w:pPr>
          <w:r>
            <w:fldChar w:fldCharType="end"/>
          </w:r>
        </w:p>
      </w:sdtContent>
    </w:sdt>
    <w:p w:rsidR="001A080C" w:rsidRDefault="00CE2A23" w:rsidP="00CE2A23">
      <w:r>
        <w:t xml:space="preserve"> </w:t>
      </w:r>
    </w:p>
    <w:p w:rsidR="001A080C" w:rsidRDefault="001A080C" w:rsidP="001A080C"/>
    <w:p w:rsidR="00CE2A23" w:rsidRPr="001A080C" w:rsidRDefault="001A080C" w:rsidP="001A080C">
      <w:pPr>
        <w:tabs>
          <w:tab w:val="left" w:pos="3420"/>
        </w:tabs>
      </w:pPr>
      <w:r>
        <w:tab/>
      </w:r>
    </w:p>
    <w:p w:rsidR="00A507CD" w:rsidRDefault="00CE2A23" w:rsidP="00CE2A23">
      <w:pPr>
        <w:pStyle w:val="UnnumberedHeading"/>
        <w:numPr>
          <w:ilvl w:val="0"/>
          <w:numId w:val="23"/>
        </w:numPr>
      </w:pPr>
      <w:bookmarkStart w:id="11" w:name="_Toc404700925"/>
      <w:bookmarkStart w:id="12" w:name="_Toc486954119"/>
      <w:r>
        <w:t>Shortened forms</w:t>
      </w:r>
      <w:bookmarkEnd w:id="11"/>
      <w:bookmarkEnd w:id="12"/>
    </w:p>
    <w:tbl>
      <w:tblPr>
        <w:tblStyle w:val="AERtable-numbers"/>
        <w:tblW w:w="0" w:type="auto"/>
        <w:tblLook w:val="04A0" w:firstRow="1" w:lastRow="0" w:firstColumn="1" w:lastColumn="0" w:noHBand="0" w:noVBand="1"/>
      </w:tblPr>
      <w:tblGrid>
        <w:gridCol w:w="3652"/>
        <w:gridCol w:w="5041"/>
      </w:tblGrid>
      <w:tr w:rsidR="00F17837" w:rsidTr="00F178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Shortened form</w:t>
            </w:r>
          </w:p>
        </w:tc>
        <w:tc>
          <w:tcPr>
            <w:tcW w:w="5041" w:type="dxa"/>
          </w:tcPr>
          <w:p w:rsidR="00F17837" w:rsidRPr="00F17837" w:rsidRDefault="00F17837" w:rsidP="00F17837">
            <w:pPr>
              <w:numPr>
                <w:ilvl w:val="0"/>
                <w:numId w:val="24"/>
              </w:numPr>
              <w:cnfStyle w:val="100000000000" w:firstRow="1" w:lastRow="0" w:firstColumn="0" w:lastColumn="0" w:oddVBand="0" w:evenVBand="0" w:oddHBand="0" w:evenHBand="0" w:firstRowFirstColumn="0" w:firstRowLastColumn="0" w:lastRowFirstColumn="0" w:lastRowLastColumn="0"/>
            </w:pPr>
            <w:r w:rsidRPr="00F17837">
              <w:t>Extended form</w:t>
            </w:r>
          </w:p>
        </w:tc>
      </w:tr>
      <w:tr w:rsidR="00F17837" w:rsidTr="00F17837">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AER</w:t>
            </w:r>
          </w:p>
        </w:tc>
        <w:tc>
          <w:tcPr>
            <w:tcW w:w="5041" w:type="dxa"/>
          </w:tcPr>
          <w:p w:rsidR="00F17837" w:rsidRPr="00F17837" w:rsidRDefault="00F17837" w:rsidP="00F17837">
            <w:pPr>
              <w:numPr>
                <w:ilvl w:val="0"/>
                <w:numId w:val="24"/>
              </w:numPr>
              <w:cnfStyle w:val="000000000000" w:firstRow="0" w:lastRow="0" w:firstColumn="0" w:lastColumn="0" w:oddVBand="0" w:evenVBand="0" w:oddHBand="0" w:evenHBand="0" w:firstRowFirstColumn="0" w:firstRowLastColumn="0" w:lastRowFirstColumn="0" w:lastRowLastColumn="0"/>
            </w:pPr>
            <w:r w:rsidRPr="00F17837">
              <w:t>Australian Energy Regulator</w:t>
            </w:r>
          </w:p>
        </w:tc>
      </w:tr>
      <w:tr w:rsidR="00F17837" w:rsidTr="00F178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ATO</w:t>
            </w:r>
          </w:p>
        </w:tc>
        <w:tc>
          <w:tcPr>
            <w:tcW w:w="5041" w:type="dxa"/>
          </w:tcPr>
          <w:p w:rsidR="00F17837" w:rsidRPr="00F17837" w:rsidRDefault="00F17837" w:rsidP="00F17837">
            <w:pPr>
              <w:cnfStyle w:val="000000010000" w:firstRow="0" w:lastRow="0" w:firstColumn="0" w:lastColumn="0" w:oddVBand="0" w:evenVBand="0" w:oddHBand="0" w:evenHBand="1" w:firstRowFirstColumn="0" w:firstRowLastColumn="0" w:lastRowFirstColumn="0" w:lastRowLastColumn="0"/>
            </w:pPr>
            <w:r w:rsidRPr="00F17837">
              <w:t>Australian Tax Office</w:t>
            </w:r>
          </w:p>
        </w:tc>
      </w:tr>
      <w:tr w:rsidR="00F17837" w:rsidTr="00F17837">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capex</w:t>
            </w:r>
          </w:p>
        </w:tc>
        <w:tc>
          <w:tcPr>
            <w:tcW w:w="5041" w:type="dxa"/>
          </w:tcPr>
          <w:p w:rsidR="00F17837" w:rsidRPr="00F17837" w:rsidRDefault="00F17837" w:rsidP="00F17837">
            <w:pPr>
              <w:numPr>
                <w:ilvl w:val="0"/>
                <w:numId w:val="24"/>
              </w:numPr>
              <w:cnfStyle w:val="000000000000" w:firstRow="0" w:lastRow="0" w:firstColumn="0" w:lastColumn="0" w:oddVBand="0" w:evenVBand="0" w:oddHBand="0" w:evenHBand="0" w:firstRowFirstColumn="0" w:firstRowLastColumn="0" w:lastRowFirstColumn="0" w:lastRowLastColumn="0"/>
            </w:pPr>
            <w:r w:rsidRPr="00F17837">
              <w:t>capital expenditure</w:t>
            </w:r>
          </w:p>
        </w:tc>
      </w:tr>
      <w:tr w:rsidR="00F17837" w:rsidTr="00F178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CAPM</w:t>
            </w:r>
          </w:p>
        </w:tc>
        <w:tc>
          <w:tcPr>
            <w:tcW w:w="5041" w:type="dxa"/>
          </w:tcPr>
          <w:p w:rsidR="00F17837" w:rsidRPr="00F17837" w:rsidRDefault="00F17837" w:rsidP="00F17837">
            <w:pPr>
              <w:numPr>
                <w:ilvl w:val="0"/>
                <w:numId w:val="24"/>
              </w:numPr>
              <w:cnfStyle w:val="000000010000" w:firstRow="0" w:lastRow="0" w:firstColumn="0" w:lastColumn="0" w:oddVBand="0" w:evenVBand="0" w:oddHBand="0" w:evenHBand="1" w:firstRowFirstColumn="0" w:firstRowLastColumn="0" w:lastRowFirstColumn="0" w:lastRowLastColumn="0"/>
            </w:pPr>
            <w:r w:rsidRPr="00F17837">
              <w:t>capital asset pricing model</w:t>
            </w:r>
          </w:p>
        </w:tc>
      </w:tr>
      <w:tr w:rsidR="00F17837" w:rsidTr="00F17837">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CESS</w:t>
            </w:r>
          </w:p>
        </w:tc>
        <w:tc>
          <w:tcPr>
            <w:tcW w:w="5041" w:type="dxa"/>
          </w:tcPr>
          <w:p w:rsidR="00F17837" w:rsidRPr="00F17837" w:rsidRDefault="00F17837" w:rsidP="00F17837">
            <w:pPr>
              <w:numPr>
                <w:ilvl w:val="0"/>
                <w:numId w:val="24"/>
              </w:numPr>
              <w:cnfStyle w:val="000000000000" w:firstRow="0" w:lastRow="0" w:firstColumn="0" w:lastColumn="0" w:oddVBand="0" w:evenVBand="0" w:oddHBand="0" w:evenHBand="0" w:firstRowFirstColumn="0" w:firstRowLastColumn="0" w:lastRowFirstColumn="0" w:lastRowLastColumn="0"/>
            </w:pPr>
            <w:r w:rsidRPr="00F17837">
              <w:t>Capital Expenditure Sharing Scheme</w:t>
            </w:r>
          </w:p>
        </w:tc>
      </w:tr>
      <w:tr w:rsidR="00F17837" w:rsidTr="00F178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CPI</w:t>
            </w:r>
          </w:p>
        </w:tc>
        <w:tc>
          <w:tcPr>
            <w:tcW w:w="5041" w:type="dxa"/>
          </w:tcPr>
          <w:p w:rsidR="00F17837" w:rsidRPr="00F17837" w:rsidRDefault="00F17837" w:rsidP="00F17837">
            <w:pPr>
              <w:numPr>
                <w:ilvl w:val="0"/>
                <w:numId w:val="24"/>
              </w:numPr>
              <w:cnfStyle w:val="000000010000" w:firstRow="0" w:lastRow="0" w:firstColumn="0" w:lastColumn="0" w:oddVBand="0" w:evenVBand="0" w:oddHBand="0" w:evenHBand="1" w:firstRowFirstColumn="0" w:firstRowLastColumn="0" w:lastRowFirstColumn="0" w:lastRowLastColumn="0"/>
            </w:pPr>
            <w:r w:rsidRPr="00F17837">
              <w:t>consumer price index</w:t>
            </w:r>
          </w:p>
        </w:tc>
      </w:tr>
      <w:tr w:rsidR="00F17837" w:rsidTr="00F17837">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DRP</w:t>
            </w:r>
          </w:p>
        </w:tc>
        <w:tc>
          <w:tcPr>
            <w:tcW w:w="5041" w:type="dxa"/>
          </w:tcPr>
          <w:p w:rsidR="00F17837" w:rsidRPr="00F17837" w:rsidRDefault="00F17837" w:rsidP="00F17837">
            <w:pPr>
              <w:numPr>
                <w:ilvl w:val="0"/>
                <w:numId w:val="24"/>
              </w:numPr>
              <w:cnfStyle w:val="000000000000" w:firstRow="0" w:lastRow="0" w:firstColumn="0" w:lastColumn="0" w:oddVBand="0" w:evenVBand="0" w:oddHBand="0" w:evenHBand="0" w:firstRowFirstColumn="0" w:firstRowLastColumn="0" w:lastRowFirstColumn="0" w:lastRowLastColumn="0"/>
            </w:pPr>
            <w:r w:rsidRPr="00F17837">
              <w:t>debt risk premium</w:t>
            </w:r>
          </w:p>
        </w:tc>
      </w:tr>
      <w:tr w:rsidR="00F17837" w:rsidTr="00F178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ECM</w:t>
            </w:r>
          </w:p>
        </w:tc>
        <w:tc>
          <w:tcPr>
            <w:tcW w:w="5041" w:type="dxa"/>
          </w:tcPr>
          <w:p w:rsidR="00F17837" w:rsidRPr="00F17837" w:rsidRDefault="00F17837" w:rsidP="00F17837">
            <w:pPr>
              <w:cnfStyle w:val="000000010000" w:firstRow="0" w:lastRow="0" w:firstColumn="0" w:lastColumn="0" w:oddVBand="0" w:evenVBand="0" w:oddHBand="0" w:evenHBand="1" w:firstRowFirstColumn="0" w:firstRowLastColumn="0" w:lastRowFirstColumn="0" w:lastRowLastColumn="0"/>
            </w:pPr>
            <w:r w:rsidRPr="00F17837">
              <w:t>(Opex) Efficiency Carryover Mechanism</w:t>
            </w:r>
          </w:p>
        </w:tc>
      </w:tr>
      <w:tr w:rsidR="00F17837" w:rsidTr="00F17837">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ERP</w:t>
            </w:r>
          </w:p>
        </w:tc>
        <w:tc>
          <w:tcPr>
            <w:tcW w:w="5041" w:type="dxa"/>
          </w:tcPr>
          <w:p w:rsidR="00F17837" w:rsidRPr="00F17837" w:rsidRDefault="00F17837" w:rsidP="00F17837">
            <w:pPr>
              <w:numPr>
                <w:ilvl w:val="0"/>
                <w:numId w:val="24"/>
              </w:numPr>
              <w:cnfStyle w:val="000000000000" w:firstRow="0" w:lastRow="0" w:firstColumn="0" w:lastColumn="0" w:oddVBand="0" w:evenVBand="0" w:oddHBand="0" w:evenHBand="0" w:firstRowFirstColumn="0" w:firstRowLastColumn="0" w:lastRowFirstColumn="0" w:lastRowLastColumn="0"/>
            </w:pPr>
            <w:r w:rsidRPr="00F17837">
              <w:t>equity risk premium</w:t>
            </w:r>
          </w:p>
        </w:tc>
      </w:tr>
      <w:tr w:rsidR="00F17837" w:rsidTr="00F178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Expenditure Guideline</w:t>
            </w:r>
          </w:p>
        </w:tc>
        <w:tc>
          <w:tcPr>
            <w:tcW w:w="5041" w:type="dxa"/>
          </w:tcPr>
          <w:p w:rsidR="00F17837" w:rsidRPr="00F17837" w:rsidRDefault="00F17837" w:rsidP="00F17837">
            <w:pPr>
              <w:cnfStyle w:val="000000010000" w:firstRow="0" w:lastRow="0" w:firstColumn="0" w:lastColumn="0" w:oddVBand="0" w:evenVBand="0" w:oddHBand="0" w:evenHBand="1" w:firstRowFirstColumn="0" w:firstRowLastColumn="0" w:lastRowFirstColumn="0" w:lastRowLastColumn="0"/>
            </w:pPr>
            <w:r w:rsidRPr="00F17837">
              <w:t>Expenditure Forecast Assessment Guideline</w:t>
            </w:r>
          </w:p>
        </w:tc>
      </w:tr>
      <w:tr w:rsidR="00F17837" w:rsidTr="00F17837">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gamma</w:t>
            </w:r>
          </w:p>
        </w:tc>
        <w:tc>
          <w:tcPr>
            <w:tcW w:w="5041" w:type="dxa"/>
          </w:tcPr>
          <w:p w:rsidR="00F17837" w:rsidRPr="00F17837" w:rsidRDefault="00F17837" w:rsidP="00F17837">
            <w:pPr>
              <w:cnfStyle w:val="000000000000" w:firstRow="0" w:lastRow="0" w:firstColumn="0" w:lastColumn="0" w:oddVBand="0" w:evenVBand="0" w:oddHBand="0" w:evenHBand="0" w:firstRowFirstColumn="0" w:firstRowLastColumn="0" w:lastRowFirstColumn="0" w:lastRowLastColumn="0"/>
            </w:pPr>
            <w:r w:rsidRPr="00F17837">
              <w:t>Value of Imputation Credits</w:t>
            </w:r>
          </w:p>
        </w:tc>
      </w:tr>
      <w:tr w:rsidR="00F17837" w:rsidTr="00F178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MRP</w:t>
            </w:r>
          </w:p>
        </w:tc>
        <w:tc>
          <w:tcPr>
            <w:tcW w:w="5041" w:type="dxa"/>
          </w:tcPr>
          <w:p w:rsidR="00F17837" w:rsidRPr="00F17837" w:rsidRDefault="00F17837" w:rsidP="00F17837">
            <w:pPr>
              <w:numPr>
                <w:ilvl w:val="0"/>
                <w:numId w:val="24"/>
              </w:numPr>
              <w:cnfStyle w:val="000000010000" w:firstRow="0" w:lastRow="0" w:firstColumn="0" w:lastColumn="0" w:oddVBand="0" w:evenVBand="0" w:oddHBand="0" w:evenHBand="1" w:firstRowFirstColumn="0" w:firstRowLastColumn="0" w:lastRowFirstColumn="0" w:lastRowLastColumn="0"/>
            </w:pPr>
            <w:r w:rsidRPr="00F17837">
              <w:t>market risk premium</w:t>
            </w:r>
          </w:p>
        </w:tc>
      </w:tr>
      <w:tr w:rsidR="00F17837" w:rsidTr="00F17837">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NGL</w:t>
            </w:r>
          </w:p>
        </w:tc>
        <w:tc>
          <w:tcPr>
            <w:tcW w:w="5041" w:type="dxa"/>
          </w:tcPr>
          <w:p w:rsidR="00F17837" w:rsidRPr="00F17837" w:rsidRDefault="00F17837" w:rsidP="00F17837">
            <w:pPr>
              <w:numPr>
                <w:ilvl w:val="0"/>
                <w:numId w:val="24"/>
              </w:numPr>
              <w:cnfStyle w:val="000000000000" w:firstRow="0" w:lastRow="0" w:firstColumn="0" w:lastColumn="0" w:oddVBand="0" w:evenVBand="0" w:oddHBand="0" w:evenHBand="0" w:firstRowFirstColumn="0" w:firstRowLastColumn="0" w:lastRowFirstColumn="0" w:lastRowLastColumn="0"/>
            </w:pPr>
            <w:r w:rsidRPr="00F17837">
              <w:t>National Gas Law</w:t>
            </w:r>
          </w:p>
        </w:tc>
      </w:tr>
      <w:tr w:rsidR="00F17837" w:rsidTr="00F178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NGO</w:t>
            </w:r>
          </w:p>
        </w:tc>
        <w:tc>
          <w:tcPr>
            <w:tcW w:w="5041" w:type="dxa"/>
          </w:tcPr>
          <w:p w:rsidR="00F17837" w:rsidRPr="00F17837" w:rsidRDefault="00F17837" w:rsidP="00F17837">
            <w:pPr>
              <w:numPr>
                <w:ilvl w:val="0"/>
                <w:numId w:val="24"/>
              </w:numPr>
              <w:cnfStyle w:val="000000010000" w:firstRow="0" w:lastRow="0" w:firstColumn="0" w:lastColumn="0" w:oddVBand="0" w:evenVBand="0" w:oddHBand="0" w:evenHBand="1" w:firstRowFirstColumn="0" w:firstRowLastColumn="0" w:lastRowFirstColumn="0" w:lastRowLastColumn="0"/>
            </w:pPr>
            <w:r w:rsidRPr="00F17837">
              <w:t>national gas objective</w:t>
            </w:r>
          </w:p>
        </w:tc>
      </w:tr>
      <w:tr w:rsidR="00F17837" w:rsidTr="00F17837">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NGR</w:t>
            </w:r>
          </w:p>
        </w:tc>
        <w:tc>
          <w:tcPr>
            <w:tcW w:w="5041" w:type="dxa"/>
          </w:tcPr>
          <w:p w:rsidR="00F17837" w:rsidRPr="00F17837" w:rsidRDefault="00F17837" w:rsidP="00F17837">
            <w:pPr>
              <w:numPr>
                <w:ilvl w:val="0"/>
                <w:numId w:val="24"/>
              </w:numPr>
              <w:cnfStyle w:val="000000000000" w:firstRow="0" w:lastRow="0" w:firstColumn="0" w:lastColumn="0" w:oddVBand="0" w:evenVBand="0" w:oddHBand="0" w:evenHBand="0" w:firstRowFirstColumn="0" w:firstRowLastColumn="0" w:lastRowFirstColumn="0" w:lastRowLastColumn="0"/>
            </w:pPr>
            <w:r w:rsidRPr="00F17837">
              <w:t>National Gas Rules</w:t>
            </w:r>
          </w:p>
        </w:tc>
      </w:tr>
      <w:tr w:rsidR="00F17837" w:rsidTr="00F178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NPV</w:t>
            </w:r>
          </w:p>
        </w:tc>
        <w:tc>
          <w:tcPr>
            <w:tcW w:w="5041" w:type="dxa"/>
          </w:tcPr>
          <w:p w:rsidR="00F17837" w:rsidRPr="00F17837" w:rsidRDefault="00F17837" w:rsidP="00F17837">
            <w:pPr>
              <w:cnfStyle w:val="000000010000" w:firstRow="0" w:lastRow="0" w:firstColumn="0" w:lastColumn="0" w:oddVBand="0" w:evenVBand="0" w:oddHBand="0" w:evenHBand="1" w:firstRowFirstColumn="0" w:firstRowLastColumn="0" w:lastRowFirstColumn="0" w:lastRowLastColumn="0"/>
            </w:pPr>
            <w:r w:rsidRPr="00F17837">
              <w:t>net present value</w:t>
            </w:r>
          </w:p>
        </w:tc>
      </w:tr>
      <w:tr w:rsidR="00F17837" w:rsidTr="00F17837">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opex</w:t>
            </w:r>
          </w:p>
        </w:tc>
        <w:tc>
          <w:tcPr>
            <w:tcW w:w="5041" w:type="dxa"/>
          </w:tcPr>
          <w:p w:rsidR="00F17837" w:rsidRPr="00F17837" w:rsidRDefault="00F17837" w:rsidP="00F17837">
            <w:pPr>
              <w:numPr>
                <w:ilvl w:val="0"/>
                <w:numId w:val="24"/>
              </w:numPr>
              <w:cnfStyle w:val="000000000000" w:firstRow="0" w:lastRow="0" w:firstColumn="0" w:lastColumn="0" w:oddVBand="0" w:evenVBand="0" w:oddHBand="0" w:evenHBand="0" w:firstRowFirstColumn="0" w:firstRowLastColumn="0" w:lastRowFirstColumn="0" w:lastRowLastColumn="0"/>
            </w:pPr>
            <w:r w:rsidRPr="00F17837">
              <w:t>operating expenditure</w:t>
            </w:r>
          </w:p>
        </w:tc>
      </w:tr>
      <w:tr w:rsidR="00F17837" w:rsidTr="00F178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PTRM</w:t>
            </w:r>
          </w:p>
        </w:tc>
        <w:tc>
          <w:tcPr>
            <w:tcW w:w="5041" w:type="dxa"/>
          </w:tcPr>
          <w:p w:rsidR="00F17837" w:rsidRPr="00F17837" w:rsidRDefault="00F17837" w:rsidP="00F17837">
            <w:pPr>
              <w:numPr>
                <w:ilvl w:val="0"/>
                <w:numId w:val="24"/>
              </w:numPr>
              <w:cnfStyle w:val="000000010000" w:firstRow="0" w:lastRow="0" w:firstColumn="0" w:lastColumn="0" w:oddVBand="0" w:evenVBand="0" w:oddHBand="0" w:evenHBand="1" w:firstRowFirstColumn="0" w:firstRowLastColumn="0" w:lastRowFirstColumn="0" w:lastRowLastColumn="0"/>
            </w:pPr>
            <w:r w:rsidRPr="00F17837">
              <w:t>post-tax revenue model</w:t>
            </w:r>
          </w:p>
        </w:tc>
      </w:tr>
      <w:tr w:rsidR="00F17837" w:rsidTr="00F17837">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RBA</w:t>
            </w:r>
          </w:p>
        </w:tc>
        <w:tc>
          <w:tcPr>
            <w:tcW w:w="5041" w:type="dxa"/>
          </w:tcPr>
          <w:p w:rsidR="00F17837" w:rsidRPr="00F17837" w:rsidRDefault="00F17837" w:rsidP="00F17837">
            <w:pPr>
              <w:numPr>
                <w:ilvl w:val="0"/>
                <w:numId w:val="24"/>
              </w:numPr>
              <w:cnfStyle w:val="000000000000" w:firstRow="0" w:lastRow="0" w:firstColumn="0" w:lastColumn="0" w:oddVBand="0" w:evenVBand="0" w:oddHBand="0" w:evenHBand="0" w:firstRowFirstColumn="0" w:firstRowLastColumn="0" w:lastRowFirstColumn="0" w:lastRowLastColumn="0"/>
            </w:pPr>
            <w:r w:rsidRPr="00F17837">
              <w:t>Reserve Bank of Australia</w:t>
            </w:r>
          </w:p>
        </w:tc>
      </w:tr>
      <w:tr w:rsidR="00F17837" w:rsidTr="00F178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RFM</w:t>
            </w:r>
          </w:p>
        </w:tc>
        <w:tc>
          <w:tcPr>
            <w:tcW w:w="5041" w:type="dxa"/>
          </w:tcPr>
          <w:p w:rsidR="00F17837" w:rsidRPr="00F17837" w:rsidRDefault="00F17837" w:rsidP="00F17837">
            <w:pPr>
              <w:numPr>
                <w:ilvl w:val="0"/>
                <w:numId w:val="24"/>
              </w:numPr>
              <w:cnfStyle w:val="000000010000" w:firstRow="0" w:lastRow="0" w:firstColumn="0" w:lastColumn="0" w:oddVBand="0" w:evenVBand="0" w:oddHBand="0" w:evenHBand="1" w:firstRowFirstColumn="0" w:firstRowLastColumn="0" w:lastRowFirstColumn="0" w:lastRowLastColumn="0"/>
            </w:pPr>
            <w:r w:rsidRPr="00F17837">
              <w:t>roll forward model</w:t>
            </w:r>
          </w:p>
        </w:tc>
      </w:tr>
      <w:tr w:rsidR="00F17837" w:rsidTr="00F17837">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RIN</w:t>
            </w:r>
          </w:p>
        </w:tc>
        <w:tc>
          <w:tcPr>
            <w:tcW w:w="5041" w:type="dxa"/>
          </w:tcPr>
          <w:p w:rsidR="00F17837" w:rsidRPr="00F17837" w:rsidRDefault="00F17837" w:rsidP="00F17837">
            <w:pPr>
              <w:numPr>
                <w:ilvl w:val="0"/>
                <w:numId w:val="24"/>
              </w:numPr>
              <w:cnfStyle w:val="000000000000" w:firstRow="0" w:lastRow="0" w:firstColumn="0" w:lastColumn="0" w:oddVBand="0" w:evenVBand="0" w:oddHBand="0" w:evenHBand="0" w:firstRowFirstColumn="0" w:firstRowLastColumn="0" w:lastRowFirstColumn="0" w:lastRowLastColumn="0"/>
            </w:pPr>
            <w:r w:rsidRPr="00F17837">
              <w:t>regulatory information notice</w:t>
            </w:r>
          </w:p>
        </w:tc>
      </w:tr>
      <w:tr w:rsidR="00F17837" w:rsidTr="00F178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RPP</w:t>
            </w:r>
          </w:p>
        </w:tc>
        <w:tc>
          <w:tcPr>
            <w:tcW w:w="5041" w:type="dxa"/>
          </w:tcPr>
          <w:p w:rsidR="00F17837" w:rsidRPr="00F17837" w:rsidRDefault="00F17837" w:rsidP="00F17837">
            <w:pPr>
              <w:numPr>
                <w:ilvl w:val="0"/>
                <w:numId w:val="24"/>
              </w:numPr>
              <w:cnfStyle w:val="000000010000" w:firstRow="0" w:lastRow="0" w:firstColumn="0" w:lastColumn="0" w:oddVBand="0" w:evenVBand="0" w:oddHBand="0" w:evenHBand="1" w:firstRowFirstColumn="0" w:firstRowLastColumn="0" w:lastRowFirstColumn="0" w:lastRowLastColumn="0"/>
            </w:pPr>
            <w:r w:rsidRPr="00F17837">
              <w:t>revenue and pricing principles</w:t>
            </w:r>
          </w:p>
        </w:tc>
      </w:tr>
      <w:tr w:rsidR="00F17837" w:rsidTr="00F17837">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SLCAPM</w:t>
            </w:r>
          </w:p>
        </w:tc>
        <w:tc>
          <w:tcPr>
            <w:tcW w:w="5041" w:type="dxa"/>
          </w:tcPr>
          <w:p w:rsidR="00F17837" w:rsidRPr="00F17837" w:rsidRDefault="00F17837" w:rsidP="00F17837">
            <w:pPr>
              <w:numPr>
                <w:ilvl w:val="0"/>
                <w:numId w:val="24"/>
              </w:numPr>
              <w:cnfStyle w:val="000000000000" w:firstRow="0" w:lastRow="0" w:firstColumn="0" w:lastColumn="0" w:oddVBand="0" w:evenVBand="0" w:oddHBand="0" w:evenHBand="0" w:firstRowFirstColumn="0" w:firstRowLastColumn="0" w:lastRowFirstColumn="0" w:lastRowLastColumn="0"/>
            </w:pPr>
            <w:r w:rsidRPr="00F17837">
              <w:t>Sharpe-Lintner capital asset pricing model</w:t>
            </w:r>
          </w:p>
        </w:tc>
      </w:tr>
      <w:tr w:rsidR="00F17837" w:rsidTr="00F178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STTM</w:t>
            </w:r>
          </w:p>
        </w:tc>
        <w:tc>
          <w:tcPr>
            <w:tcW w:w="5041" w:type="dxa"/>
          </w:tcPr>
          <w:p w:rsidR="00F17837" w:rsidRPr="00F17837" w:rsidRDefault="00F17837" w:rsidP="00F17837">
            <w:pPr>
              <w:cnfStyle w:val="000000010000" w:firstRow="0" w:lastRow="0" w:firstColumn="0" w:lastColumn="0" w:oddVBand="0" w:evenVBand="0" w:oddHBand="0" w:evenHBand="1" w:firstRowFirstColumn="0" w:firstRowLastColumn="0" w:lastRowFirstColumn="0" w:lastRowLastColumn="0"/>
            </w:pPr>
            <w:r w:rsidRPr="00F17837">
              <w:t>Short Term Trading Market</w:t>
            </w:r>
          </w:p>
        </w:tc>
      </w:tr>
      <w:tr w:rsidR="00F17837" w:rsidTr="00F17837">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TAB</w:t>
            </w:r>
          </w:p>
        </w:tc>
        <w:tc>
          <w:tcPr>
            <w:tcW w:w="5041" w:type="dxa"/>
          </w:tcPr>
          <w:p w:rsidR="00F17837" w:rsidRPr="00F17837" w:rsidRDefault="00F17837" w:rsidP="00F17837">
            <w:pPr>
              <w:cnfStyle w:val="000000000000" w:firstRow="0" w:lastRow="0" w:firstColumn="0" w:lastColumn="0" w:oddVBand="0" w:evenVBand="0" w:oddHBand="0" w:evenHBand="0" w:firstRowFirstColumn="0" w:firstRowLastColumn="0" w:lastRowFirstColumn="0" w:lastRowLastColumn="0"/>
            </w:pPr>
            <w:r w:rsidRPr="00F17837">
              <w:t>Tax asset base</w:t>
            </w:r>
          </w:p>
        </w:tc>
      </w:tr>
      <w:tr w:rsidR="00F17837" w:rsidTr="00F178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UAFG</w:t>
            </w:r>
          </w:p>
        </w:tc>
        <w:tc>
          <w:tcPr>
            <w:tcW w:w="5041" w:type="dxa"/>
          </w:tcPr>
          <w:p w:rsidR="00F17837" w:rsidRPr="00F17837" w:rsidRDefault="00F17837" w:rsidP="00F17837">
            <w:pPr>
              <w:cnfStyle w:val="000000010000" w:firstRow="0" w:lastRow="0" w:firstColumn="0" w:lastColumn="0" w:oddVBand="0" w:evenVBand="0" w:oddHBand="0" w:evenHBand="1" w:firstRowFirstColumn="0" w:firstRowLastColumn="0" w:lastRowFirstColumn="0" w:lastRowLastColumn="0"/>
            </w:pPr>
            <w:r w:rsidRPr="00F17837">
              <w:t>Unaccounted for gas</w:t>
            </w:r>
          </w:p>
        </w:tc>
      </w:tr>
      <w:tr w:rsidR="00F17837" w:rsidTr="00F17837">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WACC</w:t>
            </w:r>
          </w:p>
        </w:tc>
        <w:tc>
          <w:tcPr>
            <w:tcW w:w="5041" w:type="dxa"/>
          </w:tcPr>
          <w:p w:rsidR="00F17837" w:rsidRPr="00F17837" w:rsidRDefault="00F17837" w:rsidP="00F17837">
            <w:pPr>
              <w:numPr>
                <w:ilvl w:val="0"/>
                <w:numId w:val="24"/>
              </w:numPr>
              <w:cnfStyle w:val="000000000000" w:firstRow="0" w:lastRow="0" w:firstColumn="0" w:lastColumn="0" w:oddVBand="0" w:evenVBand="0" w:oddHBand="0" w:evenHBand="0" w:firstRowFirstColumn="0" w:firstRowLastColumn="0" w:lastRowFirstColumn="0" w:lastRowLastColumn="0"/>
            </w:pPr>
            <w:r w:rsidRPr="00F17837">
              <w:t>weighted average cost of capital</w:t>
            </w:r>
          </w:p>
        </w:tc>
      </w:tr>
      <w:tr w:rsidR="00F17837" w:rsidTr="00F178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17837" w:rsidRPr="00F17837" w:rsidRDefault="00F17837" w:rsidP="00F17837">
            <w:pPr>
              <w:numPr>
                <w:ilvl w:val="0"/>
                <w:numId w:val="24"/>
              </w:numPr>
            </w:pPr>
            <w:r w:rsidRPr="00F17837">
              <w:t>WPI</w:t>
            </w:r>
          </w:p>
        </w:tc>
        <w:tc>
          <w:tcPr>
            <w:tcW w:w="5041" w:type="dxa"/>
          </w:tcPr>
          <w:p w:rsidR="00F17837" w:rsidRPr="00F17837" w:rsidRDefault="00F17837" w:rsidP="00F17837">
            <w:pPr>
              <w:cnfStyle w:val="000000010000" w:firstRow="0" w:lastRow="0" w:firstColumn="0" w:lastColumn="0" w:oddVBand="0" w:evenVBand="0" w:oddHBand="0" w:evenHBand="1" w:firstRowFirstColumn="0" w:firstRowLastColumn="0" w:lastRowFirstColumn="0" w:lastRowLastColumn="0"/>
            </w:pPr>
            <w:r w:rsidRPr="00F17837">
              <w:t>Wage Price Index</w:t>
            </w:r>
          </w:p>
        </w:tc>
      </w:tr>
    </w:tbl>
    <w:p w:rsidR="00DE563D" w:rsidRDefault="006903A2" w:rsidP="006903A2">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6954120"/>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Reference tariff setting</w:t>
      </w:r>
      <w:bookmarkEnd w:id="71"/>
    </w:p>
    <w:p w:rsidR="006247AD" w:rsidRPr="006247AD" w:rsidRDefault="006247AD" w:rsidP="006247AD">
      <w:r w:rsidRPr="006247AD">
        <w:t xml:space="preserve">This attachment outlines the AER’s assessment of </w:t>
      </w:r>
      <w:r w:rsidR="00A011C1">
        <w:t>AusNet's</w:t>
      </w:r>
      <w:r w:rsidRPr="006247AD">
        <w:t xml:space="preserve"> proposed reference tariffs against the requirements of the National Gas Rules (NGR). </w:t>
      </w:r>
      <w:r w:rsidR="00756E73">
        <w:t xml:space="preserve">Our </w:t>
      </w:r>
      <w:r w:rsidRPr="006247AD">
        <w:t>assessment focuses on the structure of reference tariffs and takes into account the revenue and pricing principles.</w:t>
      </w:r>
      <w:r w:rsidRPr="006247AD">
        <w:rPr>
          <w:rStyle w:val="FootnoteReference"/>
        </w:rPr>
        <w:footnoteReference w:id="1"/>
      </w:r>
    </w:p>
    <w:p w:rsidR="00132D43" w:rsidRDefault="00132D43" w:rsidP="00132D43">
      <w:pPr>
        <w:pStyle w:val="Heading2"/>
      </w:pPr>
      <w:bookmarkStart w:id="72" w:name="_Toc486954121"/>
      <w:r>
        <w:t>Draft decision</w:t>
      </w:r>
      <w:bookmarkEnd w:id="72"/>
    </w:p>
    <w:p w:rsidR="00434151" w:rsidRDefault="007B5021" w:rsidP="009E6DC5">
      <w:r>
        <w:t xml:space="preserve">While we </w:t>
      </w:r>
      <w:r w:rsidR="00434151">
        <w:t>generally</w:t>
      </w:r>
      <w:r w:rsidR="009E6DC5" w:rsidRPr="009E6DC5">
        <w:t xml:space="preserve"> a</w:t>
      </w:r>
      <w:r>
        <w:t xml:space="preserve">pprove </w:t>
      </w:r>
      <w:r w:rsidR="00A011C1">
        <w:t>AusNet's</w:t>
      </w:r>
      <w:r w:rsidR="009E6DC5" w:rsidRPr="009E6DC5">
        <w:t xml:space="preserve"> proposed reference tariff structure for the 2018-22 access arrangement period</w:t>
      </w:r>
      <w:r w:rsidR="00434151">
        <w:t>, there is one aspect that we do not a</w:t>
      </w:r>
      <w:r>
        <w:t>pprove</w:t>
      </w:r>
      <w:r w:rsidR="00434151">
        <w:t>.</w:t>
      </w:r>
    </w:p>
    <w:p w:rsidR="007B5021" w:rsidRDefault="009E6DC5" w:rsidP="009E6DC5">
      <w:r w:rsidRPr="009E6DC5">
        <w:t>We are satisfied the proposed reference tariff structure complies with the requirements of the NGR.</w:t>
      </w:r>
      <w:r w:rsidRPr="009E6DC5">
        <w:rPr>
          <w:rStyle w:val="FootnoteReference"/>
        </w:rPr>
        <w:footnoteReference w:id="2"/>
      </w:r>
      <w:r w:rsidRPr="009E6DC5">
        <w:t xml:space="preserve"> </w:t>
      </w:r>
      <w:r w:rsidR="007B5021">
        <w:t>However, we do not approve AusNet</w:t>
      </w:r>
      <w:r w:rsidR="00DD389B">
        <w:t>'s</w:t>
      </w:r>
      <w:r w:rsidR="007B5021">
        <w:t xml:space="preserve"> </w:t>
      </w:r>
      <w:r w:rsidR="00DD389B">
        <w:t xml:space="preserve">proposal </w:t>
      </w:r>
      <w:r w:rsidR="007B5021">
        <w:t xml:space="preserve">to </w:t>
      </w:r>
      <w:r w:rsidR="007B5021" w:rsidRPr="007B5021">
        <w:t>introduce, vary or remove tariffs during a calendar year</w:t>
      </w:r>
      <w:r w:rsidR="007B5021">
        <w:t>.</w:t>
      </w:r>
    </w:p>
    <w:p w:rsidR="009E6DC5" w:rsidRPr="009E6DC5" w:rsidRDefault="007B5021" w:rsidP="009E6DC5">
      <w:r>
        <w:t>Further</w:t>
      </w:r>
      <w:r w:rsidR="009E6DC5" w:rsidRPr="009E6DC5">
        <w:t>, the quantum of the proposed reference tariffs must be amended to reflect the revised revenue allowance set out in this draft decision.</w:t>
      </w:r>
    </w:p>
    <w:p w:rsidR="00132D43" w:rsidRDefault="00A011C1" w:rsidP="00132D43">
      <w:pPr>
        <w:pStyle w:val="Heading2"/>
      </w:pPr>
      <w:bookmarkStart w:id="73" w:name="_Toc486954122"/>
      <w:r>
        <w:t>AusNet's</w:t>
      </w:r>
      <w:r w:rsidR="00132D43">
        <w:t xml:space="preserve"> proposal</w:t>
      </w:r>
      <w:bookmarkEnd w:id="73"/>
    </w:p>
    <w:p w:rsidR="001D7E34" w:rsidRDefault="00A011C1" w:rsidP="001A3727">
      <w:r>
        <w:t>AusNet's</w:t>
      </w:r>
      <w:r w:rsidR="001A3727" w:rsidRPr="001A3727">
        <w:t xml:space="preserve"> proposed reference tariffs for the 2018-22 access arrangement </w:t>
      </w:r>
      <w:proofErr w:type="gramStart"/>
      <w:r w:rsidR="001A3727" w:rsidRPr="001A3727">
        <w:t>period</w:t>
      </w:r>
      <w:proofErr w:type="gramEnd"/>
      <w:r w:rsidR="001A3727" w:rsidRPr="001A3727">
        <w:t xml:space="preserve"> are consistent with those in the current access arrangement. </w:t>
      </w:r>
      <w:r>
        <w:t>AusNet's</w:t>
      </w:r>
      <w:r w:rsidR="001A3727" w:rsidRPr="001A3727">
        <w:t xml:space="preserve"> proposed </w:t>
      </w:r>
      <w:r w:rsidR="0052230A">
        <w:t xml:space="preserve">haulage </w:t>
      </w:r>
      <w:r w:rsidR="001A3727" w:rsidRPr="001A3727">
        <w:t xml:space="preserve">reference tariffs are outlined in </w:t>
      </w:r>
      <w:r w:rsidR="00F17837">
        <w:fldChar w:fldCharType="begin"/>
      </w:r>
      <w:r w:rsidR="00F17837">
        <w:instrText xml:space="preserve"> REF _Ref485203233 \h </w:instrText>
      </w:r>
      <w:r w:rsidR="00F17837">
        <w:fldChar w:fldCharType="separate"/>
      </w:r>
      <w:r w:rsidR="00B42756">
        <w:t xml:space="preserve">Table </w:t>
      </w:r>
      <w:r w:rsidR="00B42756">
        <w:rPr>
          <w:noProof/>
        </w:rPr>
        <w:t>10</w:t>
      </w:r>
      <w:r w:rsidR="00B42756">
        <w:t>.</w:t>
      </w:r>
      <w:r w:rsidR="00B42756">
        <w:rPr>
          <w:noProof/>
        </w:rPr>
        <w:t>1</w:t>
      </w:r>
      <w:r w:rsidR="00F17837">
        <w:fldChar w:fldCharType="end"/>
      </w:r>
      <w:r w:rsidR="00F17837">
        <w:t xml:space="preserve"> </w:t>
      </w:r>
      <w:r w:rsidR="001A3727" w:rsidRPr="001A3727">
        <w:t>and its proposed ancillary reference services are outlined in</w:t>
      </w:r>
      <w:r w:rsidR="00F17837">
        <w:t xml:space="preserve"> </w:t>
      </w:r>
      <w:r w:rsidR="00F17837">
        <w:fldChar w:fldCharType="begin"/>
      </w:r>
      <w:r w:rsidR="00F17837">
        <w:instrText xml:space="preserve"> REF _Ref485203243 \h </w:instrText>
      </w:r>
      <w:r w:rsidR="00F17837">
        <w:fldChar w:fldCharType="separate"/>
      </w:r>
      <w:r w:rsidR="00B42756">
        <w:t xml:space="preserve">Table </w:t>
      </w:r>
      <w:r w:rsidR="00B42756">
        <w:rPr>
          <w:noProof/>
        </w:rPr>
        <w:t>10</w:t>
      </w:r>
      <w:r w:rsidR="00B42756">
        <w:t>.</w:t>
      </w:r>
      <w:r w:rsidR="00B42756">
        <w:rPr>
          <w:noProof/>
        </w:rPr>
        <w:t>2</w:t>
      </w:r>
      <w:r w:rsidR="00F17837">
        <w:fldChar w:fldCharType="end"/>
      </w:r>
      <w:r w:rsidR="001A3727" w:rsidRPr="001A3727">
        <w:t>.</w:t>
      </w:r>
    </w:p>
    <w:p w:rsidR="0052565C" w:rsidRPr="006E3719" w:rsidRDefault="00F17837" w:rsidP="00F17837">
      <w:pPr>
        <w:pStyle w:val="Caption"/>
        <w:rPr>
          <w:rStyle w:val="AERtextblue"/>
          <w:color w:val="076A92" w:themeColor="text1"/>
        </w:rPr>
      </w:pPr>
      <w:bookmarkStart w:id="74" w:name="_Ref485203233"/>
      <w:proofErr w:type="gramStart"/>
      <w:r>
        <w:t xml:space="preserve">Table </w:t>
      </w:r>
      <w:proofErr w:type="gramEnd"/>
      <w:r w:rsidR="00B42756">
        <w:fldChar w:fldCharType="begin"/>
      </w:r>
      <w:r w:rsidR="00B42756">
        <w:instrText xml:space="preserve"> STYLEREF 1 \s </w:instrText>
      </w:r>
      <w:r w:rsidR="00B42756">
        <w:fldChar w:fldCharType="separate"/>
      </w:r>
      <w:r w:rsidR="00B42756">
        <w:rPr>
          <w:noProof/>
        </w:rPr>
        <w:t>10</w:t>
      </w:r>
      <w:r w:rsidR="00B42756">
        <w:rPr>
          <w:noProof/>
        </w:rPr>
        <w:fldChar w:fldCharType="end"/>
      </w:r>
      <w:proofErr w:type="gramStart"/>
      <w:r w:rsidR="00C706BB">
        <w:t>.</w:t>
      </w:r>
      <w:proofErr w:type="gramEnd"/>
      <w:r w:rsidR="008F54A0">
        <w:fldChar w:fldCharType="begin"/>
      </w:r>
      <w:r w:rsidR="008F54A0">
        <w:instrText xml:space="preserve"> SEQ Table \* ARABIC \s 1 </w:instrText>
      </w:r>
      <w:r w:rsidR="008F54A0">
        <w:fldChar w:fldCharType="separate"/>
      </w:r>
      <w:r w:rsidR="00B42756">
        <w:rPr>
          <w:noProof/>
        </w:rPr>
        <w:t>1</w:t>
      </w:r>
      <w:r w:rsidR="008F54A0">
        <w:rPr>
          <w:noProof/>
        </w:rPr>
        <w:fldChar w:fldCharType="end"/>
      </w:r>
      <w:bookmarkEnd w:id="74"/>
      <w:r>
        <w:t xml:space="preserve"> </w:t>
      </w:r>
      <w:r w:rsidR="00A011C1">
        <w:t>AusNet's</w:t>
      </w:r>
      <w:r w:rsidR="005A6B80" w:rsidRPr="005A6B80">
        <w:t xml:space="preserve"> tariff classes and tariff charge components</w:t>
      </w:r>
    </w:p>
    <w:tbl>
      <w:tblPr>
        <w:tblStyle w:val="AERtable-text0"/>
        <w:tblW w:w="8364" w:type="dxa"/>
        <w:tblInd w:w="108" w:type="dxa"/>
        <w:tblLook w:val="04A0" w:firstRow="1" w:lastRow="0" w:firstColumn="1" w:lastColumn="0" w:noHBand="0" w:noVBand="1"/>
      </w:tblPr>
      <w:tblGrid>
        <w:gridCol w:w="1701"/>
        <w:gridCol w:w="2552"/>
        <w:gridCol w:w="4111"/>
      </w:tblGrid>
      <w:tr w:rsidR="00BE4919" w:rsidRPr="00A972FF" w:rsidTr="00161312">
        <w:trPr>
          <w:cnfStyle w:val="100000000000" w:firstRow="1" w:lastRow="0" w:firstColumn="0" w:lastColumn="0" w:oddVBand="0" w:evenVBand="0" w:oddHBand="0" w:evenHBand="0" w:firstRowFirstColumn="0" w:firstRowLastColumn="0" w:lastRowFirstColumn="0" w:lastRowLastColumn="0"/>
          <w:trHeight w:val="578"/>
          <w:tblHeader/>
        </w:trPr>
        <w:tc>
          <w:tcPr>
            <w:tcW w:w="1701" w:type="dxa"/>
          </w:tcPr>
          <w:p w:rsidR="00BE4919" w:rsidRPr="00BE4919" w:rsidRDefault="00BE4919" w:rsidP="00BE4919">
            <w:r w:rsidRPr="00BE4919">
              <w:t>Customer category</w:t>
            </w:r>
          </w:p>
        </w:tc>
        <w:tc>
          <w:tcPr>
            <w:tcW w:w="2552" w:type="dxa"/>
          </w:tcPr>
          <w:p w:rsidR="00BE4919" w:rsidRPr="00BE4919" w:rsidRDefault="00BE4919" w:rsidP="00BE4919">
            <w:r w:rsidRPr="00BE4919">
              <w:t>Tariff class</w:t>
            </w:r>
          </w:p>
        </w:tc>
        <w:tc>
          <w:tcPr>
            <w:tcW w:w="4111" w:type="dxa"/>
          </w:tcPr>
          <w:p w:rsidR="00BE4919" w:rsidRPr="00BE4919" w:rsidRDefault="00BE4919" w:rsidP="00BE4919">
            <w:r w:rsidRPr="00BE4919">
              <w:t>Charging components</w:t>
            </w:r>
          </w:p>
        </w:tc>
      </w:tr>
      <w:tr w:rsidR="00BE4919" w:rsidRPr="00EA2F8C" w:rsidTr="00D671AA">
        <w:tc>
          <w:tcPr>
            <w:tcW w:w="1701" w:type="dxa"/>
          </w:tcPr>
          <w:p w:rsidR="00BE4919" w:rsidRPr="00BE4919" w:rsidRDefault="00BE4919" w:rsidP="00BE4919">
            <w:r w:rsidRPr="00BE4919">
              <w:t>Residential</w:t>
            </w:r>
          </w:p>
        </w:tc>
        <w:tc>
          <w:tcPr>
            <w:tcW w:w="2552" w:type="dxa"/>
          </w:tcPr>
          <w:p w:rsidR="00BE4919" w:rsidRPr="00BE4919" w:rsidRDefault="00750E84" w:rsidP="00BE4919">
            <w:r>
              <w:t>T</w:t>
            </w:r>
            <w:r w:rsidR="00BE4919" w:rsidRPr="00BE4919">
              <w:t>ariff V central</w:t>
            </w:r>
          </w:p>
          <w:p w:rsidR="00BE4919" w:rsidRPr="00BE4919" w:rsidRDefault="00750E84" w:rsidP="00BE4919">
            <w:r>
              <w:t>T</w:t>
            </w:r>
            <w:r w:rsidR="00BE4919" w:rsidRPr="00BE4919">
              <w:t>ariff V west</w:t>
            </w:r>
          </w:p>
          <w:p w:rsidR="00BE4919" w:rsidRPr="00BE4919" w:rsidRDefault="00750E84" w:rsidP="00BE4919">
            <w:r>
              <w:t>T</w:t>
            </w:r>
            <w:r w:rsidR="00BE4919" w:rsidRPr="00BE4919">
              <w:t>ariff V adjoining central</w:t>
            </w:r>
          </w:p>
          <w:p w:rsidR="00BE4919" w:rsidRPr="00BE4919" w:rsidRDefault="00750E84" w:rsidP="00750E84">
            <w:r>
              <w:t>T</w:t>
            </w:r>
            <w:r w:rsidR="00BE4919" w:rsidRPr="00BE4919">
              <w:t>ariff V adjoining west</w:t>
            </w:r>
          </w:p>
        </w:tc>
        <w:tc>
          <w:tcPr>
            <w:tcW w:w="4111" w:type="dxa"/>
          </w:tcPr>
          <w:p w:rsidR="00BE4919" w:rsidRPr="00BE4919" w:rsidRDefault="00BE4919" w:rsidP="00BE4919">
            <w:r w:rsidRPr="00BE4919">
              <w:t>One fixed charge</w:t>
            </w:r>
          </w:p>
          <w:p w:rsidR="00BE4919" w:rsidRPr="00BE4919" w:rsidRDefault="00BE4919" w:rsidP="00BE4919">
            <w:r w:rsidRPr="00BE4919">
              <w:t>Three peak volume throughput block charges</w:t>
            </w:r>
          </w:p>
          <w:p w:rsidR="00BE4919" w:rsidRPr="00BE4919" w:rsidRDefault="00BE4919" w:rsidP="00BE4919">
            <w:r w:rsidRPr="00BE4919">
              <w:t>Three off-peak volume throughput block charges</w:t>
            </w:r>
          </w:p>
          <w:p w:rsidR="00BE4919" w:rsidRPr="00BE4919" w:rsidRDefault="00BE4919" w:rsidP="00BE4919">
            <w:r w:rsidRPr="00BE4919">
              <w:t>Ancillary reference charges</w:t>
            </w:r>
          </w:p>
        </w:tc>
      </w:tr>
      <w:tr w:rsidR="00BE4919" w:rsidRPr="00EA2F8C" w:rsidTr="00D671AA">
        <w:trPr>
          <w:cnfStyle w:val="000000010000" w:firstRow="0" w:lastRow="0" w:firstColumn="0" w:lastColumn="0" w:oddVBand="0" w:evenVBand="0" w:oddHBand="0" w:evenHBand="1" w:firstRowFirstColumn="0" w:firstRowLastColumn="0" w:lastRowFirstColumn="0" w:lastRowLastColumn="0"/>
        </w:trPr>
        <w:tc>
          <w:tcPr>
            <w:tcW w:w="1701" w:type="dxa"/>
          </w:tcPr>
          <w:p w:rsidR="00BE4919" w:rsidRPr="00BE4919" w:rsidRDefault="00BE4919" w:rsidP="00BE4919">
            <w:r w:rsidRPr="00BE4919">
              <w:t>Non-residential</w:t>
            </w:r>
          </w:p>
        </w:tc>
        <w:tc>
          <w:tcPr>
            <w:tcW w:w="2552" w:type="dxa"/>
          </w:tcPr>
          <w:p w:rsidR="00BE4919" w:rsidRPr="00BE4919" w:rsidRDefault="00750E84" w:rsidP="00BE4919">
            <w:r>
              <w:t>T</w:t>
            </w:r>
            <w:r w:rsidR="00BE4919" w:rsidRPr="00BE4919">
              <w:t>ariff V central</w:t>
            </w:r>
          </w:p>
          <w:p w:rsidR="00BE4919" w:rsidRPr="00BE4919" w:rsidRDefault="00750E84" w:rsidP="00BE4919">
            <w:r>
              <w:t>T</w:t>
            </w:r>
            <w:r w:rsidR="00BE4919" w:rsidRPr="00BE4919">
              <w:t>ariff V west</w:t>
            </w:r>
          </w:p>
          <w:p w:rsidR="00BE4919" w:rsidRPr="00BE4919" w:rsidRDefault="00750E84" w:rsidP="00BE4919">
            <w:r>
              <w:t>T</w:t>
            </w:r>
            <w:r w:rsidR="00BE4919" w:rsidRPr="00BE4919">
              <w:t>ariff V adjoining central</w:t>
            </w:r>
          </w:p>
          <w:p w:rsidR="00BE4919" w:rsidRPr="00BE4919" w:rsidRDefault="00750E84" w:rsidP="00BE4919">
            <w:r>
              <w:t>T</w:t>
            </w:r>
            <w:r w:rsidR="00BE4919" w:rsidRPr="00BE4919">
              <w:t>ariff V adjoining west</w:t>
            </w:r>
          </w:p>
        </w:tc>
        <w:tc>
          <w:tcPr>
            <w:tcW w:w="4111" w:type="dxa"/>
          </w:tcPr>
          <w:p w:rsidR="00BE4919" w:rsidRPr="00BE4919" w:rsidRDefault="00BE4919" w:rsidP="00BE4919">
            <w:r w:rsidRPr="00BE4919">
              <w:t>One fixed charge</w:t>
            </w:r>
          </w:p>
          <w:p w:rsidR="00BE4919" w:rsidRPr="00BE4919" w:rsidRDefault="00BE4919" w:rsidP="00BE4919">
            <w:r w:rsidRPr="00BE4919">
              <w:t>Three peak volume throughput block charges</w:t>
            </w:r>
          </w:p>
          <w:p w:rsidR="00BE4919" w:rsidRPr="00BE4919" w:rsidRDefault="00BE4919" w:rsidP="00BE4919">
            <w:r w:rsidRPr="00BE4919">
              <w:t>Three off-peak volume throughput block charges</w:t>
            </w:r>
          </w:p>
          <w:p w:rsidR="00BE4919" w:rsidRPr="00BE4919" w:rsidRDefault="00BE4919" w:rsidP="00BE4919">
            <w:r w:rsidRPr="00BE4919">
              <w:t>Ancillary reference charges</w:t>
            </w:r>
          </w:p>
        </w:tc>
      </w:tr>
      <w:tr w:rsidR="00BE4919" w:rsidRPr="00EA2F8C" w:rsidTr="00D671AA">
        <w:trPr>
          <w:trHeight w:val="1890"/>
        </w:trPr>
        <w:tc>
          <w:tcPr>
            <w:tcW w:w="1701" w:type="dxa"/>
          </w:tcPr>
          <w:p w:rsidR="00BE4919" w:rsidRPr="00BE4919" w:rsidRDefault="00BE4919" w:rsidP="00BE4919">
            <w:r w:rsidRPr="00BE4919">
              <w:t>Demand</w:t>
            </w:r>
          </w:p>
        </w:tc>
        <w:tc>
          <w:tcPr>
            <w:tcW w:w="2552" w:type="dxa"/>
          </w:tcPr>
          <w:p w:rsidR="00BE4919" w:rsidRPr="00BE4919" w:rsidRDefault="00BE4919" w:rsidP="00BE4919">
            <w:r w:rsidRPr="00BE4919">
              <w:t>Tariff M central</w:t>
            </w:r>
          </w:p>
          <w:p w:rsidR="00BE4919" w:rsidRPr="00BE4919" w:rsidRDefault="00BE4919" w:rsidP="00BE4919">
            <w:r w:rsidRPr="00BE4919">
              <w:t>Tariff M west</w:t>
            </w:r>
          </w:p>
          <w:p w:rsidR="00BE4919" w:rsidRPr="00BE4919" w:rsidRDefault="00BE4919" w:rsidP="00BE4919">
            <w:r w:rsidRPr="00BE4919">
              <w:t>Tariff M adjoining central</w:t>
            </w:r>
          </w:p>
          <w:p w:rsidR="00BE4919" w:rsidRPr="00BE4919" w:rsidRDefault="00BE4919" w:rsidP="00BE4919">
            <w:r w:rsidRPr="00BE4919">
              <w:t>Tariff M adjoining west</w:t>
            </w:r>
          </w:p>
        </w:tc>
        <w:tc>
          <w:tcPr>
            <w:tcW w:w="4111" w:type="dxa"/>
          </w:tcPr>
          <w:p w:rsidR="00BE4919" w:rsidRPr="00BE4919" w:rsidRDefault="00BE4919" w:rsidP="00BE4919">
            <w:r w:rsidRPr="00BE4919">
              <w:t>Three stepped variable demand charges</w:t>
            </w:r>
          </w:p>
          <w:p w:rsidR="00BE4919" w:rsidRPr="00BE4919" w:rsidRDefault="00BE4919" w:rsidP="00BE4919">
            <w:r w:rsidRPr="00BE4919">
              <w:t>Ancillary reference charges</w:t>
            </w:r>
          </w:p>
        </w:tc>
      </w:tr>
      <w:tr w:rsidR="00BE4919" w:rsidRPr="00EA2F8C" w:rsidTr="00D671AA">
        <w:trPr>
          <w:cnfStyle w:val="000000010000" w:firstRow="0" w:lastRow="0" w:firstColumn="0" w:lastColumn="0" w:oddVBand="0" w:evenVBand="0" w:oddHBand="0" w:evenHBand="1" w:firstRowFirstColumn="0" w:firstRowLastColumn="0" w:lastRowFirstColumn="0" w:lastRowLastColumn="0"/>
        </w:trPr>
        <w:tc>
          <w:tcPr>
            <w:tcW w:w="1701" w:type="dxa"/>
          </w:tcPr>
          <w:p w:rsidR="00BE4919" w:rsidRPr="00BE4919" w:rsidRDefault="00BE4919" w:rsidP="00BE4919">
            <w:r w:rsidRPr="00BE4919">
              <w:t>Demand</w:t>
            </w:r>
          </w:p>
        </w:tc>
        <w:tc>
          <w:tcPr>
            <w:tcW w:w="2552" w:type="dxa"/>
          </w:tcPr>
          <w:p w:rsidR="00BE4919" w:rsidRPr="00BE4919" w:rsidRDefault="00BE4919" w:rsidP="00BE4919">
            <w:r w:rsidRPr="00BE4919">
              <w:t>Tariff D central</w:t>
            </w:r>
          </w:p>
          <w:p w:rsidR="00BE4919" w:rsidRPr="00BE4919" w:rsidRDefault="00BE4919" w:rsidP="00BE4919">
            <w:r w:rsidRPr="00BE4919">
              <w:t>Tariff D west</w:t>
            </w:r>
          </w:p>
          <w:p w:rsidR="00BE4919" w:rsidRPr="00BE4919" w:rsidRDefault="00BE4919" w:rsidP="00BE4919">
            <w:r w:rsidRPr="00BE4919">
              <w:t>Tariff D adjoining central</w:t>
            </w:r>
          </w:p>
          <w:p w:rsidR="00BE4919" w:rsidRPr="00BE4919" w:rsidRDefault="00BE4919" w:rsidP="00BE4919">
            <w:r w:rsidRPr="00BE4919">
              <w:t>Tariff D adjoining west</w:t>
            </w:r>
          </w:p>
        </w:tc>
        <w:tc>
          <w:tcPr>
            <w:tcW w:w="4111" w:type="dxa"/>
          </w:tcPr>
          <w:p w:rsidR="00BE4919" w:rsidRPr="00BE4919" w:rsidRDefault="00BE4919" w:rsidP="00BE4919">
            <w:r w:rsidRPr="00BE4919">
              <w:t>Three stepped variable demand charges</w:t>
            </w:r>
          </w:p>
          <w:p w:rsidR="00BE4919" w:rsidRPr="00BE4919" w:rsidRDefault="00BE4919" w:rsidP="00BE4919">
            <w:r w:rsidRPr="00BE4919">
              <w:t>Ancillary reference charges</w:t>
            </w:r>
          </w:p>
        </w:tc>
      </w:tr>
    </w:tbl>
    <w:p w:rsidR="008626AB" w:rsidRDefault="00F17837" w:rsidP="00F17837">
      <w:pPr>
        <w:pStyle w:val="Caption"/>
      </w:pPr>
      <w:bookmarkStart w:id="75" w:name="_Ref485203243"/>
      <w:r>
        <w:t xml:space="preserve">Table </w:t>
      </w:r>
      <w:r w:rsidR="00B42756">
        <w:fldChar w:fldCharType="begin"/>
      </w:r>
      <w:r w:rsidR="00B42756">
        <w:instrText xml:space="preserve"> STYLEREF 1 \s </w:instrText>
      </w:r>
      <w:r w:rsidR="00B42756">
        <w:fldChar w:fldCharType="separate"/>
      </w:r>
      <w:r w:rsidR="00B42756">
        <w:rPr>
          <w:noProof/>
        </w:rPr>
        <w:t>10</w:t>
      </w:r>
      <w:r w:rsidR="00B42756">
        <w:rPr>
          <w:noProof/>
        </w:rPr>
        <w:fldChar w:fldCharType="end"/>
      </w:r>
      <w:r w:rsidR="00783C86">
        <w:t>.</w:t>
      </w:r>
      <w:r w:rsidR="00B42756">
        <w:fldChar w:fldCharType="begin"/>
      </w:r>
      <w:r w:rsidR="00B42756">
        <w:instrText xml:space="preserve"> SEQ Table \* ARABIC \s 1 </w:instrText>
      </w:r>
      <w:r w:rsidR="00B42756">
        <w:fldChar w:fldCharType="separate"/>
      </w:r>
      <w:r w:rsidR="00B42756">
        <w:rPr>
          <w:noProof/>
        </w:rPr>
        <w:t>2</w:t>
      </w:r>
      <w:r w:rsidR="00B42756">
        <w:rPr>
          <w:noProof/>
        </w:rPr>
        <w:fldChar w:fldCharType="end"/>
      </w:r>
      <w:bookmarkEnd w:id="75"/>
      <w:r>
        <w:t xml:space="preserve"> </w:t>
      </w:r>
      <w:r w:rsidR="00A011C1">
        <w:t>AusNet's</w:t>
      </w:r>
      <w:r w:rsidR="008626AB" w:rsidRPr="008626AB">
        <w:t xml:space="preserve"> ancillary reference services</w:t>
      </w:r>
    </w:p>
    <w:tbl>
      <w:tblPr>
        <w:tblStyle w:val="AERtable-text0"/>
        <w:tblW w:w="8364" w:type="dxa"/>
        <w:tblInd w:w="108" w:type="dxa"/>
        <w:tblLook w:val="04A0" w:firstRow="1" w:lastRow="0" w:firstColumn="1" w:lastColumn="0" w:noHBand="0" w:noVBand="1"/>
      </w:tblPr>
      <w:tblGrid>
        <w:gridCol w:w="8364"/>
      </w:tblGrid>
      <w:tr w:rsidR="00834205" w:rsidRPr="00A972FF" w:rsidTr="00BE6BEF">
        <w:trPr>
          <w:cnfStyle w:val="100000000000" w:firstRow="1" w:lastRow="0" w:firstColumn="0" w:lastColumn="0" w:oddVBand="0" w:evenVBand="0" w:oddHBand="0" w:evenHBand="0" w:firstRowFirstColumn="0" w:firstRowLastColumn="0" w:lastRowFirstColumn="0" w:lastRowLastColumn="0"/>
          <w:trHeight w:val="578"/>
        </w:trPr>
        <w:tc>
          <w:tcPr>
            <w:tcW w:w="8364" w:type="dxa"/>
          </w:tcPr>
          <w:p w:rsidR="00834205" w:rsidRPr="00834205" w:rsidRDefault="00834205" w:rsidP="00834205">
            <w:r w:rsidRPr="00834205">
              <w:t>Ancillary reference service</w:t>
            </w:r>
          </w:p>
        </w:tc>
      </w:tr>
      <w:tr w:rsidR="00834205" w:rsidRPr="00EA2F8C" w:rsidTr="00BE6BEF">
        <w:tc>
          <w:tcPr>
            <w:tcW w:w="8364" w:type="dxa"/>
          </w:tcPr>
          <w:p w:rsidR="00834205" w:rsidRPr="00834205" w:rsidRDefault="00834205" w:rsidP="00834205">
            <w:r w:rsidRPr="00834205">
              <w:t>Meter and gas installation test</w:t>
            </w:r>
          </w:p>
        </w:tc>
      </w:tr>
      <w:tr w:rsidR="00834205" w:rsidRPr="00EA2F8C" w:rsidTr="00BE6BEF">
        <w:trPr>
          <w:cnfStyle w:val="000000010000" w:firstRow="0" w:lastRow="0" w:firstColumn="0" w:lastColumn="0" w:oddVBand="0" w:evenVBand="0" w:oddHBand="0" w:evenHBand="1" w:firstRowFirstColumn="0" w:firstRowLastColumn="0" w:lastRowFirstColumn="0" w:lastRowLastColumn="0"/>
        </w:trPr>
        <w:tc>
          <w:tcPr>
            <w:tcW w:w="8364" w:type="dxa"/>
          </w:tcPr>
          <w:p w:rsidR="00834205" w:rsidRPr="00834205" w:rsidRDefault="00834205" w:rsidP="00834205">
            <w:r w:rsidRPr="00834205">
              <w:t>Disconnection service</w:t>
            </w:r>
          </w:p>
        </w:tc>
      </w:tr>
      <w:tr w:rsidR="00834205" w:rsidRPr="00EA2F8C" w:rsidTr="00BE6BEF">
        <w:tc>
          <w:tcPr>
            <w:tcW w:w="8364" w:type="dxa"/>
          </w:tcPr>
          <w:p w:rsidR="00834205" w:rsidRPr="00834205" w:rsidRDefault="00834205" w:rsidP="00834205">
            <w:r w:rsidRPr="00834205">
              <w:t>Reconnection service</w:t>
            </w:r>
          </w:p>
        </w:tc>
      </w:tr>
      <w:tr w:rsidR="00834205" w:rsidRPr="00EA2F8C" w:rsidTr="00BE6BEF">
        <w:trPr>
          <w:cnfStyle w:val="000000010000" w:firstRow="0" w:lastRow="0" w:firstColumn="0" w:lastColumn="0" w:oddVBand="0" w:evenVBand="0" w:oddHBand="0" w:evenHBand="1" w:firstRowFirstColumn="0" w:firstRowLastColumn="0" w:lastRowFirstColumn="0" w:lastRowLastColumn="0"/>
        </w:trPr>
        <w:tc>
          <w:tcPr>
            <w:tcW w:w="8364" w:type="dxa"/>
          </w:tcPr>
          <w:p w:rsidR="00834205" w:rsidRPr="00834205" w:rsidRDefault="00834205" w:rsidP="00834205">
            <w:r w:rsidRPr="00834205">
              <w:t>Special meter reading service</w:t>
            </w:r>
          </w:p>
        </w:tc>
      </w:tr>
    </w:tbl>
    <w:p w:rsidR="00132D43" w:rsidRDefault="00132D43" w:rsidP="00132D43">
      <w:pPr>
        <w:pStyle w:val="Heading2"/>
      </w:pPr>
      <w:bookmarkStart w:id="76" w:name="_Toc486954123"/>
      <w:r>
        <w:t>Assessment approach</w:t>
      </w:r>
      <w:bookmarkEnd w:id="76"/>
    </w:p>
    <w:p w:rsidR="003D751A" w:rsidRPr="003D751A" w:rsidRDefault="003D751A" w:rsidP="003D751A">
      <w:r w:rsidRPr="003D751A">
        <w:t>In an access arrangement, a service provider is required to specify the reference tariff and proposed approach to setting the reference tariff for each reference service.</w:t>
      </w:r>
      <w:r w:rsidRPr="003D751A">
        <w:rPr>
          <w:rStyle w:val="FootnoteReference"/>
        </w:rPr>
        <w:footnoteReference w:id="3"/>
      </w:r>
      <w:r w:rsidRPr="003D751A">
        <w:t xml:space="preserve"> This is done by:</w:t>
      </w:r>
    </w:p>
    <w:p w:rsidR="00FF117E" w:rsidRPr="00FF117E" w:rsidRDefault="00FF117E" w:rsidP="0035736C">
      <w:pPr>
        <w:pStyle w:val="AERbulletlistfirststyle"/>
      </w:pPr>
      <w:r w:rsidRPr="00FF117E">
        <w:t>explaining how revenue and costs are allocated, including the relationship between costs and tariffs</w:t>
      </w:r>
      <w:r w:rsidR="00B33383">
        <w:rPr>
          <w:rStyle w:val="FootnoteReference"/>
        </w:rPr>
        <w:footnoteReference w:id="4"/>
      </w:r>
      <w:r w:rsidRPr="00FF117E">
        <w:t xml:space="preserve"> </w:t>
      </w:r>
    </w:p>
    <w:p w:rsidR="00FF117E" w:rsidRPr="00FF117E" w:rsidRDefault="00FF117E" w:rsidP="0035736C">
      <w:pPr>
        <w:pStyle w:val="AERbulletlistfirststyle"/>
      </w:pPr>
      <w:r w:rsidRPr="00FF117E">
        <w:t>defining the tariff classes</w:t>
      </w:r>
      <w:r w:rsidR="0060691B">
        <w:rPr>
          <w:rStyle w:val="FootnoteReference"/>
        </w:rPr>
        <w:footnoteReference w:id="5"/>
      </w:r>
      <w:r w:rsidRPr="00FF117E">
        <w:t xml:space="preserve"> </w:t>
      </w:r>
    </w:p>
    <w:p w:rsidR="00FF117E" w:rsidRPr="00FF117E" w:rsidRDefault="00FF117E" w:rsidP="0035736C">
      <w:pPr>
        <w:pStyle w:val="AERbulletlistfirststyle"/>
      </w:pPr>
      <w:r w:rsidRPr="00FF117E">
        <w:t>comparing the revenue to be raised by each reference tariff with the costs of providing each individual reference service</w:t>
      </w:r>
      <w:r w:rsidR="00DB430B">
        <w:rPr>
          <w:rStyle w:val="FootnoteReference"/>
        </w:rPr>
        <w:footnoteReference w:id="6"/>
      </w:r>
      <w:r w:rsidRPr="00FF117E">
        <w:t xml:space="preserve"> </w:t>
      </w:r>
    </w:p>
    <w:p w:rsidR="00132D43" w:rsidRDefault="0035736C" w:rsidP="0035736C">
      <w:pPr>
        <w:pStyle w:val="AERbulletlistfirststyle"/>
      </w:pPr>
      <w:proofErr w:type="gramStart"/>
      <w:r>
        <w:t>e</w:t>
      </w:r>
      <w:r w:rsidR="00FF117E" w:rsidRPr="00FF117E">
        <w:t>xplaining</w:t>
      </w:r>
      <w:proofErr w:type="gramEnd"/>
      <w:r w:rsidR="00FF117E" w:rsidRPr="00FF117E">
        <w:t xml:space="preserve"> and describing any pricing principles employed.</w:t>
      </w:r>
      <w:r w:rsidR="00E03E39">
        <w:rPr>
          <w:rStyle w:val="FootnoteReference"/>
        </w:rPr>
        <w:footnoteReference w:id="7"/>
      </w:r>
    </w:p>
    <w:p w:rsidR="00DD1EB9" w:rsidRPr="00DD1EB9" w:rsidRDefault="00DD1EB9" w:rsidP="00DD1EB9">
      <w:r w:rsidRPr="00DD1EB9">
        <w:t xml:space="preserve">The AER is required to assess </w:t>
      </w:r>
      <w:r w:rsidR="00A011C1">
        <w:t>AusNet's</w:t>
      </w:r>
      <w:r w:rsidRPr="00DD1EB9">
        <w:t xml:space="preserve"> proposed reference tariffs.</w:t>
      </w:r>
      <w:r w:rsidRPr="00DD1EB9">
        <w:rPr>
          <w:rStyle w:val="FootnoteReference"/>
        </w:rPr>
        <w:footnoteReference w:id="8"/>
      </w:r>
      <w:r w:rsidRPr="00DD1EB9">
        <w:t xml:space="preserve"> Where we do not accept them, we must determine the initial (i.e. 2018) reference tariffs to apply for each reference service.</w:t>
      </w:r>
    </w:p>
    <w:p w:rsidR="00DD1EB9" w:rsidRDefault="00DD1EB9" w:rsidP="00DD1EB9">
      <w:r w:rsidRPr="00DD1EB9">
        <w:t xml:space="preserve">In our assessment of the proposed reference tariffs, we reviewed </w:t>
      </w:r>
      <w:r w:rsidR="00A011C1">
        <w:t>AusNet's</w:t>
      </w:r>
      <w:r w:rsidRPr="00DD1EB9">
        <w:t>:</w:t>
      </w:r>
    </w:p>
    <w:p w:rsidR="001163C9" w:rsidRPr="001163C9" w:rsidRDefault="001163C9" w:rsidP="00B433DA">
      <w:pPr>
        <w:pStyle w:val="AERbulletlistfirststyle"/>
      </w:pPr>
      <w:r w:rsidRPr="001163C9">
        <w:t>access arrangement information</w:t>
      </w:r>
      <w:r w:rsidR="00DF1AAF">
        <w:rPr>
          <w:rStyle w:val="FootnoteReference"/>
        </w:rPr>
        <w:footnoteReference w:id="9"/>
      </w:r>
      <w:r w:rsidRPr="001163C9">
        <w:t xml:space="preserve"> </w:t>
      </w:r>
    </w:p>
    <w:p w:rsidR="001163C9" w:rsidRDefault="001163C9" w:rsidP="00B433DA">
      <w:pPr>
        <w:pStyle w:val="AERbulletlistfirststyle"/>
      </w:pPr>
      <w:proofErr w:type="gramStart"/>
      <w:r w:rsidRPr="001163C9">
        <w:t>access</w:t>
      </w:r>
      <w:proofErr w:type="gramEnd"/>
      <w:r w:rsidRPr="001163C9">
        <w:t xml:space="preserve"> arrangement proposal.</w:t>
      </w:r>
      <w:r w:rsidR="00A6726E">
        <w:rPr>
          <w:rStyle w:val="FootnoteReference"/>
        </w:rPr>
        <w:footnoteReference w:id="10"/>
      </w:r>
    </w:p>
    <w:p w:rsidR="006A26F2" w:rsidRDefault="009D03D1" w:rsidP="006A26F2">
      <w:r w:rsidRPr="009D03D1">
        <w:t>We also had regard to submissions received in the course of our consultation on the proposed access arrangement.</w:t>
      </w:r>
      <w:r w:rsidRPr="009D03D1">
        <w:rPr>
          <w:rStyle w:val="FootnoteReference"/>
        </w:rPr>
        <w:footnoteReference w:id="11"/>
      </w:r>
    </w:p>
    <w:p w:rsidR="007C36D4" w:rsidRDefault="00D81639" w:rsidP="00161312">
      <w:pPr>
        <w:pStyle w:val="HeadingBoldBlue"/>
      </w:pPr>
      <w:r w:rsidRPr="00D81639">
        <w:t>Identifying the reference service</w:t>
      </w:r>
    </w:p>
    <w:p w:rsidR="006A26F2" w:rsidRDefault="006A26F2" w:rsidP="006A26F2">
      <w:r w:rsidRPr="00D92007">
        <w:t>The NGR requires service providers to specify a reference tariff for each reference service.</w:t>
      </w:r>
      <w:r w:rsidRPr="00D92007">
        <w:rPr>
          <w:rStyle w:val="FootnoteReference"/>
        </w:rPr>
        <w:footnoteReference w:id="12"/>
      </w:r>
      <w:r w:rsidRPr="00D92007">
        <w:t xml:space="preserve"> When undertaking our review, we first consider what is (or are) the reference service(s) for the purpose of the NGR. Our decision on what constitutes the reference service is set out in Attachment 1.</w:t>
      </w:r>
    </w:p>
    <w:p w:rsidR="00476625" w:rsidRDefault="00476625" w:rsidP="00161312">
      <w:pPr>
        <w:pStyle w:val="HeadingBoldBlue"/>
      </w:pPr>
      <w:r w:rsidRPr="00476625">
        <w:t>Assessing the tariff setting method for the reference service</w:t>
      </w:r>
    </w:p>
    <w:p w:rsidR="00801CD2" w:rsidRDefault="00801CD2" w:rsidP="00801CD2">
      <w:r w:rsidRPr="00801CD2">
        <w:t>The reference tariffs for a</w:t>
      </w:r>
      <w:r w:rsidR="00980686">
        <w:t>n</w:t>
      </w:r>
      <w:r w:rsidRPr="00801CD2">
        <w:t xml:space="preserve"> access arrangement must be designed to meet the requirements of the NGR. Our discretion on tariff design is limited.</w:t>
      </w:r>
      <w:r w:rsidRPr="00801CD2">
        <w:rPr>
          <w:rStyle w:val="FootnoteReference"/>
        </w:rPr>
        <w:footnoteReference w:id="13"/>
      </w:r>
      <w:r w:rsidRPr="00801CD2">
        <w:t xml:space="preserve"> Consequently, we consider how the service provider intends to charge for reference service</w:t>
      </w:r>
      <w:r w:rsidR="00272B8D">
        <w:t>s</w:t>
      </w:r>
      <w:r w:rsidRPr="00801CD2">
        <w:t xml:space="preserve"> by:</w:t>
      </w:r>
    </w:p>
    <w:p w:rsidR="001377AF" w:rsidRDefault="002410F8" w:rsidP="00161312">
      <w:pPr>
        <w:pStyle w:val="ListNumber"/>
      </w:pPr>
      <w:r w:rsidRPr="002410F8">
        <w:t xml:space="preserve">Assessing how </w:t>
      </w:r>
      <w:r w:rsidR="00A011C1">
        <w:t>AusNet</w:t>
      </w:r>
      <w:r w:rsidRPr="002410F8">
        <w:t xml:space="preserve"> intends to allocate costs and revenue between reference services and other services. It must demonstrate that total revenue is allocated between reference and other services in the ratio in which costs are allocated between these services. Costs must also be allocated to the reference service and other services to which the cost is directly attributable.</w:t>
      </w:r>
      <w:r w:rsidR="00B617E8">
        <w:rPr>
          <w:rStyle w:val="FootnoteReference"/>
        </w:rPr>
        <w:footnoteReference w:id="14"/>
      </w:r>
    </w:p>
    <w:p w:rsidR="001B4A97" w:rsidRDefault="001B4A97" w:rsidP="00161312">
      <w:pPr>
        <w:pStyle w:val="ListNumber"/>
      </w:pPr>
      <w:r w:rsidRPr="001B4A97">
        <w:t xml:space="preserve">Assessing how </w:t>
      </w:r>
      <w:r w:rsidR="00A011C1">
        <w:t>AusNet</w:t>
      </w:r>
      <w:r w:rsidRPr="001B4A97">
        <w:t xml:space="preserve"> groups its customers into tariff classes. For reference services, </w:t>
      </w:r>
      <w:r w:rsidR="00A011C1">
        <w:t>AusNet</w:t>
      </w:r>
      <w:r w:rsidRPr="001B4A97">
        <w:t xml:space="preserve"> is required to group customers together on an economically efficient basis and to avoid </w:t>
      </w:r>
      <w:r>
        <w:t>unnecessary transaction costs.</w:t>
      </w:r>
      <w:r>
        <w:rPr>
          <w:rStyle w:val="FootnoteReference"/>
        </w:rPr>
        <w:footnoteReference w:id="15"/>
      </w:r>
      <w:r>
        <w:t xml:space="preserve"> </w:t>
      </w:r>
      <w:r w:rsidRPr="001B4A97">
        <w:t xml:space="preserve">We consider </w:t>
      </w:r>
      <w:r w:rsidR="006B50C0">
        <w:t xml:space="preserve">if </w:t>
      </w:r>
      <w:r w:rsidRPr="001B4A97">
        <w:t>the nature of the reference service (e.g. volume and demand tariff classes) is consistent with the need to group customers together on an economically efficient basis and avoid unnecessary transaction costs.</w:t>
      </w:r>
    </w:p>
    <w:p w:rsidR="0013600E" w:rsidRDefault="0013600E" w:rsidP="00161312">
      <w:pPr>
        <w:pStyle w:val="ListNumber"/>
      </w:pPr>
      <w:r w:rsidRPr="0013600E">
        <w:t>Assessing:</w:t>
      </w:r>
    </w:p>
    <w:p w:rsidR="00F23150" w:rsidRPr="00F23150" w:rsidRDefault="00F23150" w:rsidP="00161312">
      <w:pPr>
        <w:pStyle w:val="Listalphabet"/>
      </w:pPr>
      <w:r w:rsidRPr="00F23150">
        <w:t>how the expected average revenue of a tariff class compares with the stand alone and avoidable costs of providing that reference service to that tariff class</w:t>
      </w:r>
    </w:p>
    <w:p w:rsidR="00F23150" w:rsidRPr="00F23150" w:rsidRDefault="00F23150" w:rsidP="00161312">
      <w:pPr>
        <w:pStyle w:val="Listalphabet"/>
      </w:pPr>
      <w:r w:rsidRPr="00F23150">
        <w:t>whether the tariff takes into account transaction costs associated with developing and applying the tariff</w:t>
      </w:r>
    </w:p>
    <w:p w:rsidR="00DB0E81" w:rsidRDefault="00F23150" w:rsidP="00161312">
      <w:pPr>
        <w:pStyle w:val="Listalphabet"/>
      </w:pPr>
      <w:r w:rsidRPr="00F23150">
        <w:t>whether the tariffs take into account the long run marginal costs of providing each reference service</w:t>
      </w:r>
    </w:p>
    <w:p w:rsidR="00F23150" w:rsidRDefault="00F23150" w:rsidP="00161312">
      <w:pPr>
        <w:pStyle w:val="Listalphabet"/>
      </w:pPr>
      <w:proofErr w:type="gramStart"/>
      <w:r w:rsidRPr="00F23150">
        <w:t>whether</w:t>
      </w:r>
      <w:proofErr w:type="gramEnd"/>
      <w:r w:rsidRPr="00F23150">
        <w:t xml:space="preserve"> customers belonging to the relevant tariff class are able or likely to respond to price signals.</w:t>
      </w:r>
      <w:r w:rsidR="00611DC4">
        <w:rPr>
          <w:rStyle w:val="FootnoteReference"/>
        </w:rPr>
        <w:footnoteReference w:id="16"/>
      </w:r>
    </w:p>
    <w:p w:rsidR="007B74DF" w:rsidRDefault="007B74DF" w:rsidP="00161312">
      <w:pPr>
        <w:pStyle w:val="HeadingBoldBlue"/>
      </w:pPr>
      <w:r>
        <w:t>Prudent discounts</w:t>
      </w:r>
    </w:p>
    <w:p w:rsidR="00ED3648" w:rsidRDefault="00A011C1" w:rsidP="003E1C95">
      <w:pPr>
        <w:rPr>
          <w:highlight w:val="yellow"/>
        </w:rPr>
      </w:pPr>
      <w:r>
        <w:t>AusNet</w:t>
      </w:r>
      <w:r w:rsidR="00045644">
        <w:t xml:space="preserve"> has not proposed any prudent discounts during the 2018-22 access arrangement </w:t>
      </w:r>
      <w:proofErr w:type="gramStart"/>
      <w:r w:rsidR="00045644">
        <w:t>period</w:t>
      </w:r>
      <w:proofErr w:type="gramEnd"/>
      <w:r w:rsidR="00045644">
        <w:t>.</w:t>
      </w:r>
    </w:p>
    <w:p w:rsidR="00132D43" w:rsidRDefault="00132D43" w:rsidP="00161312">
      <w:pPr>
        <w:pStyle w:val="Heading3"/>
        <w:ind w:left="720"/>
      </w:pPr>
      <w:bookmarkStart w:id="77" w:name="_Toc486954124"/>
      <w:r>
        <w:t>Interrelationships</w:t>
      </w:r>
      <w:bookmarkEnd w:id="77"/>
    </w:p>
    <w:p w:rsidR="00FF5357" w:rsidRDefault="00A011C1" w:rsidP="00FF5357">
      <w:r>
        <w:t>AusNet's</w:t>
      </w:r>
      <w:r w:rsidR="00FF5357">
        <w:t xml:space="preserve"> tariffs</w:t>
      </w:r>
      <w:r w:rsidR="00FF5357" w:rsidRPr="00FF5357">
        <w:t xml:space="preserve"> have an interrelationship with the </w:t>
      </w:r>
      <w:r w:rsidR="00FF5357">
        <w:t xml:space="preserve">services it provides to recover its revenue, </w:t>
      </w:r>
      <w:r w:rsidR="00FF5357" w:rsidRPr="00FF5357">
        <w:t>the AER's total revenue requirement</w:t>
      </w:r>
      <w:r w:rsidR="00FF5357">
        <w:t xml:space="preserve"> for </w:t>
      </w:r>
      <w:r>
        <w:t>AusNet</w:t>
      </w:r>
      <w:r w:rsidR="00FF5357" w:rsidRPr="00FF5357">
        <w:t xml:space="preserve"> and the application of annual tariff variation mechanisms.</w:t>
      </w:r>
    </w:p>
    <w:p w:rsidR="00FF5357" w:rsidRPr="00FF5357" w:rsidRDefault="00A011C1" w:rsidP="00FF5357">
      <w:r>
        <w:t>AusNet's</w:t>
      </w:r>
      <w:r w:rsidR="00FF5357" w:rsidRPr="00FF5357">
        <w:t xml:space="preserve"> haulage reference tariffs are adjusted annually by </w:t>
      </w:r>
      <w:r w:rsidR="00D14B54">
        <w:t xml:space="preserve">applying </w:t>
      </w:r>
      <w:r w:rsidR="00FF5357" w:rsidRPr="00FF5357">
        <w:t xml:space="preserve">a weighted average price cap formula. Its haulage reference tariffs are derived from the total revenue requirement after demand for each tariff </w:t>
      </w:r>
      <w:r w:rsidR="0011562F">
        <w:t>class is considered</w:t>
      </w:r>
      <w:r w:rsidR="00FF5357" w:rsidRPr="00FF5357">
        <w:t xml:space="preserve">. This means the tariffs we determine (including the means of varying the tariffs from year to year) are the binding constraint across the 2018–22 access arrangement </w:t>
      </w:r>
      <w:proofErr w:type="gramStart"/>
      <w:r w:rsidR="00FF5357" w:rsidRPr="00FF5357">
        <w:t>period</w:t>
      </w:r>
      <w:proofErr w:type="gramEnd"/>
      <w:r w:rsidR="00FF5357" w:rsidRPr="00FF5357">
        <w:t>, rather than the total revenue requirement set out in our decision.</w:t>
      </w:r>
    </w:p>
    <w:p w:rsidR="00FF5357" w:rsidRPr="00FF5357" w:rsidRDefault="00FF5357" w:rsidP="00FF5357">
      <w:r w:rsidRPr="00FF5357">
        <w:t xml:space="preserve">After the first year of the access arrangement period, </w:t>
      </w:r>
      <w:r w:rsidR="00A011C1">
        <w:t>AusNet's</w:t>
      </w:r>
      <w:r w:rsidRPr="00FF5357">
        <w:t xml:space="preserve"> ancillary reference service prices are set by </w:t>
      </w:r>
      <w:r w:rsidR="000A24EE">
        <w:t xml:space="preserve">applying </w:t>
      </w:r>
      <w:r w:rsidRPr="00FF5357">
        <w:t>the ancillary reference service tariff variation formula.</w:t>
      </w:r>
    </w:p>
    <w:p w:rsidR="00FF5357" w:rsidRPr="00FF5357" w:rsidRDefault="00FF5357" w:rsidP="00FF5357">
      <w:r w:rsidRPr="00FF5357">
        <w:t>Our draft decision on:</w:t>
      </w:r>
    </w:p>
    <w:p w:rsidR="00FF5357" w:rsidRDefault="00FF5357" w:rsidP="00080969">
      <w:pPr>
        <w:pStyle w:val="AERbulletlistfirststyle"/>
      </w:pPr>
      <w:r w:rsidRPr="00FF5357">
        <w:t xml:space="preserve">AusNet's total revenue requirement is set out in the Overview </w:t>
      </w:r>
    </w:p>
    <w:p w:rsidR="00FF5357" w:rsidRPr="00FF5357" w:rsidRDefault="00FF5357" w:rsidP="00080969">
      <w:pPr>
        <w:pStyle w:val="AERbulletlistfirststyle"/>
      </w:pPr>
      <w:r w:rsidRPr="00FF5357">
        <w:t xml:space="preserve">the services </w:t>
      </w:r>
      <w:r w:rsidR="00A011C1">
        <w:t>AusNet</w:t>
      </w:r>
      <w:r w:rsidRPr="00FF5357">
        <w:t xml:space="preserve"> will offer to customers over the 2018–22 access arrangement period is set out in attachment 1—Services covered by the access arrangement</w:t>
      </w:r>
    </w:p>
    <w:p w:rsidR="00CC31FD" w:rsidRPr="00CC31FD" w:rsidRDefault="00FF5357" w:rsidP="00080969">
      <w:pPr>
        <w:pStyle w:val="AERbulletlistfirststyle"/>
      </w:pPr>
      <w:proofErr w:type="gramStart"/>
      <w:r w:rsidRPr="00FF5357">
        <w:t>the</w:t>
      </w:r>
      <w:proofErr w:type="gramEnd"/>
      <w:r w:rsidRPr="00FF5357">
        <w:t xml:space="preserve"> annual tariff variation mechanisms are set out in attachment 11—Reference tariff variation mechanism.</w:t>
      </w:r>
    </w:p>
    <w:p w:rsidR="00132D43" w:rsidRDefault="00132D43" w:rsidP="00132D43">
      <w:pPr>
        <w:pStyle w:val="Heading2"/>
      </w:pPr>
      <w:bookmarkStart w:id="78" w:name="_Toc486954125"/>
      <w:r>
        <w:t>Reasons for draft decision</w:t>
      </w:r>
      <w:bookmarkEnd w:id="78"/>
    </w:p>
    <w:p w:rsidR="00FB2F92" w:rsidRPr="00FB2F92" w:rsidRDefault="00FB2F92" w:rsidP="00FB2F92">
      <w:r w:rsidRPr="00FB2F92">
        <w:t xml:space="preserve">We accept </w:t>
      </w:r>
      <w:r w:rsidR="00A011C1">
        <w:t>AusNet</w:t>
      </w:r>
      <w:r w:rsidR="00BF49C4">
        <w:t>'s</w:t>
      </w:r>
      <w:r w:rsidRPr="00FB2F92">
        <w:t xml:space="preserve"> proposed reference tariff </w:t>
      </w:r>
      <w:r w:rsidR="00B15B44">
        <w:t xml:space="preserve">structure </w:t>
      </w:r>
      <w:r w:rsidR="002E3F62">
        <w:t>because</w:t>
      </w:r>
      <w:r w:rsidRPr="00FB2F92">
        <w:t xml:space="preserve"> we are satisfied that it complies with the NGR requirements.</w:t>
      </w:r>
      <w:r w:rsidRPr="00FB2F92">
        <w:rPr>
          <w:rStyle w:val="FootnoteReference"/>
        </w:rPr>
        <w:footnoteReference w:id="17"/>
      </w:r>
    </w:p>
    <w:p w:rsidR="00A406A1" w:rsidRPr="00A406A1" w:rsidRDefault="00A406A1" w:rsidP="00A406A1">
      <w:r w:rsidRPr="00A406A1">
        <w:t>The tariff structure is consistent with that applied in the current access arrangement and its continuation has been supported by some stakeholders.</w:t>
      </w:r>
      <w:r w:rsidRPr="00A406A1">
        <w:rPr>
          <w:rStyle w:val="FootnoteReference"/>
        </w:rPr>
        <w:footnoteReference w:id="18"/>
      </w:r>
      <w:r w:rsidRPr="00A406A1">
        <w:t xml:space="preserve"> However, we consider the quantum of the proposed initial reference tariffs must be amended to reflect the draft decision forecast demand and revised revenue allowance.</w:t>
      </w:r>
    </w:p>
    <w:p w:rsidR="00A406A1" w:rsidRDefault="00A406A1" w:rsidP="00A406A1">
      <w:r w:rsidRPr="00A406A1">
        <w:t>The remainder of this section sets out the reasons for our draft decision under the following headings:</w:t>
      </w:r>
    </w:p>
    <w:p w:rsidR="00956BDE" w:rsidRPr="00A406A1" w:rsidRDefault="00956BDE" w:rsidP="004F7CB8">
      <w:pPr>
        <w:pStyle w:val="AERbulletlistfirststyle"/>
      </w:pPr>
      <w:r>
        <w:t>ability to introduce, vary or remove tariffs</w:t>
      </w:r>
    </w:p>
    <w:p w:rsidR="00BF7D57" w:rsidRPr="00BF7D57" w:rsidRDefault="00BF7D57" w:rsidP="004F7CB8">
      <w:pPr>
        <w:pStyle w:val="AERbulletlistfirststyle"/>
      </w:pPr>
      <w:r w:rsidRPr="00BF7D57">
        <w:t>allocation of revenue and costs to reference tariffs</w:t>
      </w:r>
    </w:p>
    <w:p w:rsidR="00BF7D57" w:rsidRPr="00BF7D57" w:rsidRDefault="00BF7D57" w:rsidP="004F7CB8">
      <w:pPr>
        <w:pStyle w:val="AERbulletlistfirststyle"/>
      </w:pPr>
      <w:r w:rsidRPr="00BF7D57">
        <w:t>establishment of tariff classes</w:t>
      </w:r>
    </w:p>
    <w:p w:rsidR="00132D43" w:rsidRDefault="00BF7D57" w:rsidP="004F7CB8">
      <w:pPr>
        <w:pStyle w:val="AERbulletlistfirststyle"/>
      </w:pPr>
      <w:proofErr w:type="gramStart"/>
      <w:r w:rsidRPr="00BF7D57">
        <w:t>tariff</w:t>
      </w:r>
      <w:proofErr w:type="gramEnd"/>
      <w:r w:rsidRPr="00BF7D57">
        <w:t xml:space="preserve"> classes and revenue limits.</w:t>
      </w:r>
    </w:p>
    <w:p w:rsidR="004A499B" w:rsidRPr="00171395" w:rsidRDefault="004A499B" w:rsidP="00161312">
      <w:pPr>
        <w:pStyle w:val="Heading3"/>
        <w:ind w:left="720"/>
      </w:pPr>
      <w:bookmarkStart w:id="79" w:name="_Toc486954126"/>
      <w:r w:rsidRPr="00171395">
        <w:t>Ability to introduce, vary or remove tariffs</w:t>
      </w:r>
      <w:bookmarkEnd w:id="79"/>
    </w:p>
    <w:p w:rsidR="00434151" w:rsidRDefault="004A499B" w:rsidP="00434151">
      <w:r>
        <w:t xml:space="preserve">While we accept the ability for AusNet to introduce, vary or remove tariffs over the access arrangement period, we do not accept the ability to make these tariff changes </w:t>
      </w:r>
      <w:r w:rsidR="00133274">
        <w:t xml:space="preserve">within </w:t>
      </w:r>
      <w:r>
        <w:t>a calendar year (intra</w:t>
      </w:r>
      <w:r w:rsidR="00537786">
        <w:t>-</w:t>
      </w:r>
      <w:r>
        <w:t>year tariff variations).</w:t>
      </w:r>
      <w:r w:rsidRPr="004A499B">
        <w:t xml:space="preserve"> </w:t>
      </w:r>
    </w:p>
    <w:p w:rsidR="00434151" w:rsidRDefault="00434151" w:rsidP="00434151">
      <w:r>
        <w:t xml:space="preserve">AusNet stated that the ability to make </w:t>
      </w:r>
      <w:r w:rsidR="002B6A17">
        <w:t>intra-year</w:t>
      </w:r>
      <w:r>
        <w:t xml:space="preserve"> tariff variations is to address practical issues that have arisen during the current access arrangement period.</w:t>
      </w:r>
      <w:r>
        <w:rPr>
          <w:rStyle w:val="FootnoteReference"/>
        </w:rPr>
        <w:footnoteReference w:id="19"/>
      </w:r>
      <w:r w:rsidR="00365503">
        <w:t xml:space="preserve"> However, AusNet's </w:t>
      </w:r>
      <w:r>
        <w:t>proposal did not provide any discussion or indication as to what those practical issues have been.</w:t>
      </w:r>
    </w:p>
    <w:p w:rsidR="004A499B" w:rsidRDefault="004A499B" w:rsidP="00434151">
      <w:r w:rsidRPr="004A499B">
        <w:t>We</w:t>
      </w:r>
      <w:r w:rsidR="00434151">
        <w:t xml:space="preserve"> do not accept </w:t>
      </w:r>
      <w:r w:rsidRPr="004A499B">
        <w:t>intra</w:t>
      </w:r>
      <w:r w:rsidR="00A9558B">
        <w:t>-</w:t>
      </w:r>
      <w:r w:rsidRPr="004A499B">
        <w:t>year tariff variations</w:t>
      </w:r>
      <w:r w:rsidR="00434151">
        <w:t xml:space="preserve"> because they</w:t>
      </w:r>
      <w:r w:rsidRPr="004A499B">
        <w:t xml:space="preserve"> create uncertainty for customers on annual price movements, which is undesirable. </w:t>
      </w:r>
      <w:r w:rsidR="00434151">
        <w:t xml:space="preserve">Further, </w:t>
      </w:r>
      <w:r w:rsidR="002B6A17">
        <w:t>intra-year</w:t>
      </w:r>
      <w:r w:rsidR="00434151" w:rsidRPr="00434151">
        <w:t xml:space="preserve"> tariff variations are</w:t>
      </w:r>
      <w:r w:rsidR="00434151">
        <w:t xml:space="preserve"> not</w:t>
      </w:r>
      <w:r w:rsidR="00E44D89">
        <w:t xml:space="preserve"> in the long-</w:t>
      </w:r>
      <w:r w:rsidR="00434151" w:rsidRPr="00434151">
        <w:t>term interest</w:t>
      </w:r>
      <w:r w:rsidR="00434151">
        <w:t>s of</w:t>
      </w:r>
      <w:r w:rsidR="00434151" w:rsidRPr="00434151">
        <w:t xml:space="preserve"> </w:t>
      </w:r>
      <w:r w:rsidR="00434151">
        <w:t>cu</w:t>
      </w:r>
      <w:r w:rsidR="00434151" w:rsidRPr="00434151">
        <w:t>stomers as they can lead to price shocks</w:t>
      </w:r>
      <w:r w:rsidR="00434151">
        <w:t>. We consider that o</w:t>
      </w:r>
      <w:r w:rsidRPr="004A499B">
        <w:t>nce tariffs are set, it is best they are not adjusted until the following financial year</w:t>
      </w:r>
      <w:r w:rsidR="00795F44">
        <w:t xml:space="preserve"> commences</w:t>
      </w:r>
      <w:r w:rsidRPr="004A499B">
        <w:t>.</w:t>
      </w:r>
      <w:r w:rsidR="00434151">
        <w:t xml:space="preserve"> W</w:t>
      </w:r>
      <w:r w:rsidR="00434151" w:rsidRPr="00434151">
        <w:t xml:space="preserve">e consider </w:t>
      </w:r>
      <w:r w:rsidR="00F917AA">
        <w:t>tariff stability is in the long-</w:t>
      </w:r>
      <w:r w:rsidR="00434151" w:rsidRPr="00434151">
        <w:t>term interest of customers and should be the priority over the 201</w:t>
      </w:r>
      <w:r w:rsidR="00434151">
        <w:t>8</w:t>
      </w:r>
      <w:r w:rsidR="00127D93">
        <w:t>-</w:t>
      </w:r>
      <w:r w:rsidR="00434151" w:rsidRPr="00434151">
        <w:t>2</w:t>
      </w:r>
      <w:r w:rsidR="00434151">
        <w:t>2</w:t>
      </w:r>
      <w:r w:rsidR="00434151" w:rsidRPr="00434151">
        <w:t xml:space="preserve"> access arrangement period.</w:t>
      </w:r>
    </w:p>
    <w:p w:rsidR="00887DE1" w:rsidRDefault="003D2C7A" w:rsidP="00161312">
      <w:pPr>
        <w:pStyle w:val="Heading3"/>
        <w:ind w:left="720"/>
      </w:pPr>
      <w:bookmarkStart w:id="80" w:name="_Toc486954127"/>
      <w:r w:rsidRPr="003D2C7A">
        <w:t>Allocation of revenue and costs to reference tariffs</w:t>
      </w:r>
      <w:bookmarkEnd w:id="80"/>
    </w:p>
    <w:p w:rsidR="00A47C39" w:rsidRPr="00A47C39" w:rsidRDefault="00A47C39" w:rsidP="00A47C39">
      <w:r w:rsidRPr="00A47C39">
        <w:t xml:space="preserve">We are satisfied </w:t>
      </w:r>
      <w:r w:rsidR="00A011C1">
        <w:t>AusNet's</w:t>
      </w:r>
      <w:r w:rsidRPr="00A47C39">
        <w:t xml:space="preserve"> approach to allocating revenue and </w:t>
      </w:r>
      <w:r w:rsidR="00210309" w:rsidRPr="00A47C39">
        <w:t>costs between reference services and non-reference services comply</w:t>
      </w:r>
      <w:r w:rsidRPr="00A47C39">
        <w:t xml:space="preserve"> with the NGR</w:t>
      </w:r>
      <w:r w:rsidRPr="00A47C39">
        <w:rPr>
          <w:rStyle w:val="FootnoteReference"/>
        </w:rPr>
        <w:footnoteReference w:id="20"/>
      </w:r>
      <w:r w:rsidRPr="00A47C39">
        <w:t xml:space="preserve"> because:</w:t>
      </w:r>
    </w:p>
    <w:p w:rsidR="00A47C39" w:rsidRDefault="00A011C1" w:rsidP="00421F51">
      <w:pPr>
        <w:pStyle w:val="AERbulletlistfirststyle"/>
      </w:pPr>
      <w:r>
        <w:t>AusNet's</w:t>
      </w:r>
      <w:r w:rsidR="00AF4D5E">
        <w:t xml:space="preserve"> proposed costs relating to its reference services do not include costs incurred and recovered by providing non-reference services</w:t>
      </w:r>
    </w:p>
    <w:p w:rsidR="00A47C39" w:rsidRDefault="00A011C1" w:rsidP="00421F51">
      <w:pPr>
        <w:pStyle w:val="AERbulletlistfirststyle"/>
      </w:pPr>
      <w:r>
        <w:t>AusNet</w:t>
      </w:r>
      <w:r w:rsidR="00E2553A">
        <w:t xml:space="preserve"> has not allocated the non-reference service revenue to a reference service, as the underlying costs </w:t>
      </w:r>
      <w:r w:rsidR="004D5A16">
        <w:t xml:space="preserve">of the former </w:t>
      </w:r>
      <w:r w:rsidR="00E2553A">
        <w:t>have not been included in its building block revenue</w:t>
      </w:r>
    </w:p>
    <w:p w:rsidR="005A6B91" w:rsidRDefault="00A011C1" w:rsidP="00421F51">
      <w:pPr>
        <w:pStyle w:val="AERbulletlistfirststyle"/>
      </w:pPr>
      <w:r>
        <w:t>AusNet's</w:t>
      </w:r>
      <w:r w:rsidR="00A47C39" w:rsidRPr="00A47C39">
        <w:t xml:space="preserve"> proposal included information outlining its stand alone, avoidable and long run marginal costs</w:t>
      </w:r>
      <w:r w:rsidR="009C1EC2">
        <w:t>.</w:t>
      </w:r>
      <w:r w:rsidR="009C1EC2">
        <w:rPr>
          <w:rStyle w:val="FootnoteReference"/>
        </w:rPr>
        <w:footnoteReference w:id="21"/>
      </w:r>
    </w:p>
    <w:p w:rsidR="005A6B91" w:rsidRDefault="005A6B91" w:rsidP="00161312">
      <w:pPr>
        <w:pStyle w:val="Heading3"/>
        <w:ind w:left="720"/>
      </w:pPr>
      <w:bookmarkStart w:id="81" w:name="_Toc486954128"/>
      <w:r w:rsidRPr="005A6B91">
        <w:t>Establishment of tariff classes</w:t>
      </w:r>
      <w:bookmarkEnd w:id="81"/>
    </w:p>
    <w:p w:rsidR="00FD7695" w:rsidRDefault="00A011C1" w:rsidP="00FB0811">
      <w:r>
        <w:t>AusNet</w:t>
      </w:r>
      <w:r w:rsidR="00736F28" w:rsidRPr="00736F28">
        <w:t xml:space="preserve"> groups its customers by size (small or large), tariff class (residential, non-residential and demand) and location on the distribution network (central, west, adjoining central</w:t>
      </w:r>
      <w:r w:rsidR="00EA08ED">
        <w:t xml:space="preserve"> and</w:t>
      </w:r>
      <w:r w:rsidR="00736F28" w:rsidRPr="00736F28">
        <w:t xml:space="preserve"> adjoining west). </w:t>
      </w:r>
      <w:r w:rsidR="00B0267C">
        <w:t xml:space="preserve">These tariff classes are consistent with those in the current access arrangement. </w:t>
      </w:r>
      <w:r w:rsidR="00736F28" w:rsidRPr="00736F28">
        <w:t xml:space="preserve">We consider that these characteristics are likely to drive costs within </w:t>
      </w:r>
      <w:r>
        <w:t>AusNet's</w:t>
      </w:r>
      <w:r w:rsidR="00506188">
        <w:t xml:space="preserve"> gas distribution network and are therefore appropriate.</w:t>
      </w:r>
      <w:r w:rsidR="00CA551E">
        <w:t xml:space="preserve"> </w:t>
      </w:r>
      <w:r w:rsidR="00736F28" w:rsidRPr="00736F28">
        <w:t>As a result, we are satisfied that the proposed tariff classes are consistent with the requirements of the NGR.</w:t>
      </w:r>
      <w:r w:rsidR="00736F28" w:rsidRPr="00736F28">
        <w:rPr>
          <w:rStyle w:val="FootnoteReference"/>
        </w:rPr>
        <w:footnoteReference w:id="22"/>
      </w:r>
    </w:p>
    <w:p w:rsidR="00FD7695" w:rsidRDefault="00FD7695" w:rsidP="00161312">
      <w:pPr>
        <w:pStyle w:val="Heading3"/>
        <w:ind w:left="720"/>
      </w:pPr>
      <w:bookmarkStart w:id="82" w:name="_Toc486954129"/>
      <w:r w:rsidRPr="00FD7695">
        <w:t>Tariff classes and revenue limits</w:t>
      </w:r>
      <w:bookmarkEnd w:id="82"/>
    </w:p>
    <w:p w:rsidR="00AE73E8" w:rsidRPr="00AE73E8" w:rsidRDefault="00AE73E8" w:rsidP="00AE73E8">
      <w:r w:rsidRPr="00AE73E8">
        <w:t xml:space="preserve">We have assessed </w:t>
      </w:r>
      <w:r w:rsidR="00A011C1">
        <w:t>AusNet's</w:t>
      </w:r>
      <w:r w:rsidRPr="00AE73E8">
        <w:t xml:space="preserve"> tariff classes and revenue limits against the following NGR</w:t>
      </w:r>
      <w:r w:rsidRPr="00AE73E8">
        <w:rPr>
          <w:rStyle w:val="FootnoteReference"/>
        </w:rPr>
        <w:footnoteReference w:id="23"/>
      </w:r>
      <w:r w:rsidRPr="00AE73E8">
        <w:t xml:space="preserve"> considerations:</w:t>
      </w:r>
    </w:p>
    <w:p w:rsidR="00EB3B5A" w:rsidRPr="00EB3B5A" w:rsidRDefault="00EB3B5A" w:rsidP="004914FF">
      <w:pPr>
        <w:pStyle w:val="AERbulletlistfirststyle"/>
      </w:pPr>
      <w:r w:rsidRPr="00EB3B5A">
        <w:t>the expected average revenue of a tariff class compared with the stand alone cost and avoidable cost of providing the reference service to that tariff class</w:t>
      </w:r>
    </w:p>
    <w:p w:rsidR="00EB3B5A" w:rsidRDefault="00EB3B5A" w:rsidP="004914FF">
      <w:pPr>
        <w:pStyle w:val="AERbulletlistfirststyle"/>
      </w:pPr>
      <w:r w:rsidRPr="00EB3B5A">
        <w:t>whether the tariffs take into account the long run marginal costs of the reference services</w:t>
      </w:r>
    </w:p>
    <w:p w:rsidR="00526FFB" w:rsidRPr="00EB3B5A" w:rsidRDefault="00526FFB" w:rsidP="00526FFB">
      <w:pPr>
        <w:pStyle w:val="AERbulletlistfirststyle"/>
      </w:pPr>
      <w:r w:rsidRPr="00EB3B5A">
        <w:t>whether the tariff takes into account transaction costs associated with developing and applying the tariff</w:t>
      </w:r>
    </w:p>
    <w:p w:rsidR="00526B6F" w:rsidRDefault="00EB3B5A" w:rsidP="004914FF">
      <w:pPr>
        <w:pStyle w:val="AERbulletlistfirststyle"/>
      </w:pPr>
      <w:proofErr w:type="gramStart"/>
      <w:r w:rsidRPr="00EB3B5A">
        <w:t>whether</w:t>
      </w:r>
      <w:proofErr w:type="gramEnd"/>
      <w:r w:rsidRPr="00EB3B5A">
        <w:t xml:space="preserve"> customers belonging to the relevant tariff class are able or likely to respond to price signals.</w:t>
      </w:r>
    </w:p>
    <w:p w:rsidR="00526B6F" w:rsidRDefault="00526B6F" w:rsidP="00161312">
      <w:pPr>
        <w:pStyle w:val="HeadingBoldBlue"/>
      </w:pPr>
      <w:r w:rsidRPr="00526B6F">
        <w:t>Stand alone and avoidable costs</w:t>
      </w:r>
    </w:p>
    <w:p w:rsidR="00526B6F" w:rsidRPr="00526B6F" w:rsidRDefault="00526B6F" w:rsidP="00526B6F">
      <w:r w:rsidRPr="00526B6F">
        <w:t xml:space="preserve">We are satisfied </w:t>
      </w:r>
      <w:r w:rsidR="00A011C1">
        <w:t>AusNet's</w:t>
      </w:r>
      <w:r w:rsidRPr="00526B6F">
        <w:t xml:space="preserve"> proposed reference tariffs are consistent with the NGR</w:t>
      </w:r>
      <w:r w:rsidRPr="00526B6F">
        <w:rPr>
          <w:rStyle w:val="FootnoteReference"/>
        </w:rPr>
        <w:footnoteReference w:id="24"/>
      </w:r>
      <w:r w:rsidRPr="00526B6F">
        <w:t xml:space="preserve"> because the expected revenue to be recovered lies on or between:</w:t>
      </w:r>
    </w:p>
    <w:p w:rsidR="00526B6F" w:rsidRDefault="00526B6F" w:rsidP="00E169C7">
      <w:pPr>
        <w:pStyle w:val="AERbulletlistfirststyle"/>
      </w:pPr>
      <w:r w:rsidRPr="00526B6F">
        <w:t>an upper bound representing the stand alone cost of providing the reference service to customers who belong to that tariff class</w:t>
      </w:r>
    </w:p>
    <w:p w:rsidR="00721923" w:rsidRDefault="00526B6F" w:rsidP="00E169C7">
      <w:pPr>
        <w:pStyle w:val="AERbulletlistfirststyle"/>
      </w:pPr>
      <w:proofErr w:type="gramStart"/>
      <w:r w:rsidRPr="00526B6F">
        <w:t>a</w:t>
      </w:r>
      <w:proofErr w:type="gramEnd"/>
      <w:r w:rsidRPr="00526B6F">
        <w:t xml:space="preserve"> lower bound representing the avoidable cost of not providing the reference service to these customers.</w:t>
      </w:r>
      <w:r>
        <w:rPr>
          <w:rStyle w:val="FootnoteReference"/>
        </w:rPr>
        <w:footnoteReference w:id="25"/>
      </w:r>
    </w:p>
    <w:p w:rsidR="00721923" w:rsidRDefault="00721923" w:rsidP="00721923">
      <w:r w:rsidRPr="00721923">
        <w:t xml:space="preserve">We had regard to quantitative material </w:t>
      </w:r>
      <w:r w:rsidR="00A011C1">
        <w:t>AusNet</w:t>
      </w:r>
      <w:r w:rsidRPr="00721923">
        <w:t xml:space="preserve"> submitted to us, which indicated the above criteria were met.</w:t>
      </w:r>
      <w:r w:rsidRPr="00721923">
        <w:rPr>
          <w:rStyle w:val="FootnoteReference"/>
        </w:rPr>
        <w:footnoteReference w:id="26"/>
      </w:r>
      <w:r w:rsidRPr="00721923">
        <w:t xml:space="preserve"> The methodology used to calculate stand alone and avoidable costs is consistent with the methodology in </w:t>
      </w:r>
      <w:r w:rsidR="00A011C1">
        <w:t>AusNet's</w:t>
      </w:r>
      <w:r w:rsidRPr="00721923">
        <w:t xml:space="preserve"> current access arrangement. </w:t>
      </w:r>
      <w:r w:rsidR="00A011C1">
        <w:t>AusNet</w:t>
      </w:r>
      <w:r w:rsidRPr="00721923">
        <w:t xml:space="preserve"> demonstrated that for each tariff, the expected revenue fell on or between the stand alone and avoidable costs. We note our discretion on stand alone and avoidable cost calculation is limited under the NGR.</w:t>
      </w:r>
      <w:r w:rsidRPr="00721923">
        <w:rPr>
          <w:rStyle w:val="FootnoteReference"/>
        </w:rPr>
        <w:footnoteReference w:id="27"/>
      </w:r>
    </w:p>
    <w:p w:rsidR="00AC23BF" w:rsidRDefault="001A6CF8" w:rsidP="00161312">
      <w:pPr>
        <w:pStyle w:val="HeadingBoldBlue"/>
      </w:pPr>
      <w:r>
        <w:t>Long run marginal costs</w:t>
      </w:r>
    </w:p>
    <w:p w:rsidR="00AC23BF" w:rsidRPr="00AC23BF" w:rsidRDefault="00A011C1" w:rsidP="00AC23BF">
      <w:r>
        <w:t>AusNet</w:t>
      </w:r>
      <w:r w:rsidR="00AC23BF" w:rsidRPr="00AC23BF">
        <w:t xml:space="preserve"> used the Average Incremental Cost approach to calculate the long run marginal cost (LRMC) by tariff class.</w:t>
      </w:r>
      <w:r w:rsidR="00AC23BF" w:rsidRPr="00AC23BF">
        <w:rPr>
          <w:rStyle w:val="FootnoteReference"/>
        </w:rPr>
        <w:footnoteReference w:id="28"/>
      </w:r>
      <w:r w:rsidR="00AC23BF" w:rsidRPr="00AC23BF">
        <w:t xml:space="preserve"> However, </w:t>
      </w:r>
      <w:r>
        <w:t>AusNet</w:t>
      </w:r>
      <w:r w:rsidR="00AC23BF" w:rsidRPr="00AC23BF">
        <w:t xml:space="preserve"> stated that although its LRMC are considered reasonable estimates, the calculations are sensitive to input assumptions.</w:t>
      </w:r>
      <w:r w:rsidR="00AC23BF" w:rsidRPr="00AC23BF">
        <w:rPr>
          <w:rStyle w:val="FootnoteReference"/>
        </w:rPr>
        <w:footnoteReference w:id="29"/>
      </w:r>
      <w:r w:rsidR="00AC23BF" w:rsidRPr="00AC23BF">
        <w:t xml:space="preserve"> As a result, the LRMC should only be used as a guide when assessing price levels and structures, rather than being considered definitive.</w:t>
      </w:r>
    </w:p>
    <w:p w:rsidR="00AC23BF" w:rsidRDefault="00AC23BF" w:rsidP="00AC23BF">
      <w:r w:rsidRPr="00AC23BF">
        <w:t>We note our discretion on LRMC is limited</w:t>
      </w:r>
      <w:r w:rsidRPr="00A315B8">
        <w:t xml:space="preserve"> </w:t>
      </w:r>
      <w:r w:rsidRPr="00AC23BF">
        <w:t>under the NGR.</w:t>
      </w:r>
      <w:r w:rsidRPr="00AC23BF">
        <w:rPr>
          <w:rStyle w:val="FootnoteReference"/>
        </w:rPr>
        <w:footnoteReference w:id="30"/>
      </w:r>
      <w:r w:rsidRPr="00AC23BF">
        <w:t xml:space="preserve"> However, we consider </w:t>
      </w:r>
      <w:r w:rsidR="00A011C1">
        <w:t>AusNet's</w:t>
      </w:r>
      <w:r w:rsidRPr="00AC23BF">
        <w:t xml:space="preserve"> approach is generally consistent with the approach of other gas distribution networks and this approach has historical precedent in past access arrangements.</w:t>
      </w:r>
    </w:p>
    <w:p w:rsidR="002B5117" w:rsidRDefault="002B5117" w:rsidP="00161312">
      <w:pPr>
        <w:pStyle w:val="HeadingBoldBlue"/>
      </w:pPr>
      <w:r w:rsidRPr="00AC23BF">
        <w:t>Transaction costs</w:t>
      </w:r>
    </w:p>
    <w:p w:rsidR="002B5117" w:rsidRPr="00AC23BF" w:rsidRDefault="002B5117" w:rsidP="002B5117">
      <w:r w:rsidRPr="00AC23BF">
        <w:t xml:space="preserve">We are satisfied </w:t>
      </w:r>
      <w:r>
        <w:t>AusNet's</w:t>
      </w:r>
      <w:r w:rsidRPr="00AC23BF">
        <w:t xml:space="preserve"> proposed reference tariffs have taken into account transaction costs associated with the tariffs and the need to avoid these costs where possible.</w:t>
      </w:r>
      <w:r w:rsidRPr="00AC23BF">
        <w:rPr>
          <w:rStyle w:val="FootnoteReference"/>
        </w:rPr>
        <w:footnoteReference w:id="31"/>
      </w:r>
      <w:r w:rsidRPr="00AC23BF">
        <w:t xml:space="preserve"> We consider </w:t>
      </w:r>
      <w:r w:rsidR="00917934">
        <w:t xml:space="preserve">that continuing </w:t>
      </w:r>
      <w:r w:rsidRPr="00AC23BF">
        <w:t>the current access arrangement tariff classes and structures will minimise any additional transaction costs across access arrangement periods.</w:t>
      </w:r>
    </w:p>
    <w:p w:rsidR="00AC23BF" w:rsidRDefault="00AC23BF" w:rsidP="00161312">
      <w:pPr>
        <w:pStyle w:val="HeadingBoldBlue"/>
      </w:pPr>
      <w:r w:rsidRPr="00AC23BF">
        <w:t>Response to price signals</w:t>
      </w:r>
    </w:p>
    <w:p w:rsidR="00570E28" w:rsidRDefault="00F72D53" w:rsidP="00210309">
      <w:r w:rsidRPr="00F72D53">
        <w:t xml:space="preserve">We are satisfied </w:t>
      </w:r>
      <w:r w:rsidR="00A011C1">
        <w:t>AusNet's</w:t>
      </w:r>
      <w:r w:rsidRPr="00F72D53">
        <w:t xml:space="preserve"> proposed reference tariffs have been designed with regard to whether customers are able or likely to respond to price signals.</w:t>
      </w:r>
      <w:r w:rsidRPr="00F72D53">
        <w:rPr>
          <w:rStyle w:val="FootnoteReference"/>
        </w:rPr>
        <w:footnoteReference w:id="32"/>
      </w:r>
      <w:r w:rsidRPr="00F72D53">
        <w:t xml:space="preserve"> We consider the existing tariff structure</w:t>
      </w:r>
      <w:r w:rsidR="008B5597">
        <w:t>s are</w:t>
      </w:r>
      <w:r w:rsidRPr="00F72D53">
        <w:t xml:space="preserve"> well known to </w:t>
      </w:r>
      <w:r w:rsidR="00A011C1">
        <w:t>AusNet's</w:t>
      </w:r>
      <w:r w:rsidRPr="00F72D53">
        <w:t xml:space="preserve"> customers, which allows them to respond to the prices within each block (or band) by adjusting their consumption.</w:t>
      </w:r>
      <w:r w:rsidR="00AC23BF" w:rsidRPr="00AC23BF">
        <w:br/>
      </w:r>
    </w:p>
    <w:p w:rsidR="004376BC" w:rsidRPr="0011792F" w:rsidRDefault="004376BC" w:rsidP="004546A6">
      <w:pPr>
        <w:pStyle w:val="Heading2"/>
        <w:keepNext/>
      </w:pPr>
      <w:bookmarkStart w:id="83" w:name="_Toc436056151"/>
      <w:bookmarkStart w:id="84" w:name="_Toc483552995"/>
      <w:bookmarkStart w:id="85" w:name="_Toc484427242"/>
      <w:bookmarkStart w:id="86" w:name="_Toc486954130"/>
      <w:r w:rsidRPr="0011792F">
        <w:t>Revisions</w:t>
      </w:r>
      <w:bookmarkEnd w:id="83"/>
      <w:bookmarkEnd w:id="84"/>
      <w:bookmarkEnd w:id="85"/>
      <w:bookmarkEnd w:id="86"/>
      <w:r w:rsidRPr="0011792F">
        <w:t xml:space="preserve"> </w:t>
      </w:r>
    </w:p>
    <w:p w:rsidR="006612A7" w:rsidRDefault="006612A7" w:rsidP="004546A6">
      <w:pPr>
        <w:keepNext/>
      </w:pPr>
      <w:r>
        <w:t>The required revisions are set out in Table 10.</w:t>
      </w:r>
      <w:r w:rsidR="00783C86">
        <w:t>3</w:t>
      </w:r>
      <w:r>
        <w:t xml:space="preserve"> below.</w:t>
      </w:r>
    </w:p>
    <w:p w:rsidR="00783C86" w:rsidRDefault="00783C86" w:rsidP="004546A6">
      <w:pPr>
        <w:pStyle w:val="Caption"/>
      </w:pPr>
      <w:r>
        <w:t xml:space="preserve">Table </w:t>
      </w:r>
      <w:r w:rsidRPr="00783C86">
        <w:fldChar w:fldCharType="begin"/>
      </w:r>
      <w:r>
        <w:instrText xml:space="preserve"> STYLEREF 1 \s </w:instrText>
      </w:r>
      <w:r w:rsidRPr="00783C86">
        <w:fldChar w:fldCharType="separate"/>
      </w:r>
      <w:r w:rsidR="00B42756">
        <w:rPr>
          <w:noProof/>
        </w:rPr>
        <w:t>10</w:t>
      </w:r>
      <w:r w:rsidRPr="00783C86">
        <w:fldChar w:fldCharType="end"/>
      </w:r>
      <w:r>
        <w:t>.3 AusNet's</w:t>
      </w:r>
      <w:r w:rsidRPr="008626AB">
        <w:t xml:space="preserve"> </w:t>
      </w:r>
      <w:r>
        <w:t>reference tariff revisions</w:t>
      </w:r>
    </w:p>
    <w:tbl>
      <w:tblPr>
        <w:tblStyle w:val="AERtable-numbers"/>
        <w:tblW w:w="0" w:type="auto"/>
        <w:tblLook w:val="04A0" w:firstRow="1" w:lastRow="0" w:firstColumn="1" w:lastColumn="0" w:noHBand="0" w:noVBand="1"/>
      </w:tblPr>
      <w:tblGrid>
        <w:gridCol w:w="1989"/>
        <w:gridCol w:w="6704"/>
      </w:tblGrid>
      <w:tr w:rsidR="003E32A5" w:rsidRPr="00055868" w:rsidTr="00DE00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top"/>
          </w:tcPr>
          <w:p w:rsidR="003E32A5" w:rsidRPr="003E32A5" w:rsidRDefault="003E32A5" w:rsidP="004546A6">
            <w:pPr>
              <w:keepNext/>
            </w:pPr>
            <w:r w:rsidRPr="003E32A5">
              <w:t xml:space="preserve">Reference </w:t>
            </w:r>
          </w:p>
        </w:tc>
        <w:tc>
          <w:tcPr>
            <w:tcW w:w="11230" w:type="dxa"/>
            <w:vAlign w:val="top"/>
          </w:tcPr>
          <w:p w:rsidR="003E32A5" w:rsidRPr="003E32A5" w:rsidRDefault="003E32A5" w:rsidP="004546A6">
            <w:pPr>
              <w:pStyle w:val="AERtablesource"/>
              <w:keepNext/>
              <w:cnfStyle w:val="100000000000" w:firstRow="1" w:lastRow="0" w:firstColumn="0" w:lastColumn="0" w:oddVBand="0" w:evenVBand="0" w:oddHBand="0" w:evenHBand="0" w:firstRowFirstColumn="0" w:firstRowLastColumn="0" w:lastRowFirstColumn="0" w:lastRowLastColumn="0"/>
            </w:pPr>
            <w:r w:rsidRPr="003E32A5">
              <w:t>Amendment</w:t>
            </w:r>
          </w:p>
        </w:tc>
      </w:tr>
      <w:tr w:rsidR="003E32A5" w:rsidRPr="00C04953" w:rsidTr="00DE0046">
        <w:tc>
          <w:tcPr>
            <w:cnfStyle w:val="001000000000" w:firstRow="0" w:lastRow="0" w:firstColumn="1" w:lastColumn="0" w:oddVBand="0" w:evenVBand="0" w:oddHBand="0" w:evenHBand="0" w:firstRowFirstColumn="0" w:firstRowLastColumn="0" w:lastRowFirstColumn="0" w:lastRowLastColumn="0"/>
            <w:tcW w:w="2802" w:type="dxa"/>
            <w:vAlign w:val="top"/>
          </w:tcPr>
          <w:p w:rsidR="003E32A5" w:rsidRPr="003E32A5" w:rsidRDefault="003E32A5" w:rsidP="004546A6">
            <w:pPr>
              <w:keepNext/>
            </w:pPr>
            <w:r>
              <w:t xml:space="preserve">Part B, clause </w:t>
            </w:r>
            <w:r w:rsidR="00D270EB">
              <w:t>4</w:t>
            </w:r>
            <w:r>
              <w:t>.1</w:t>
            </w:r>
          </w:p>
        </w:tc>
        <w:tc>
          <w:tcPr>
            <w:tcW w:w="11230" w:type="dxa"/>
            <w:vAlign w:val="top"/>
          </w:tcPr>
          <w:p w:rsidR="003E32A5" w:rsidRPr="003E32A5" w:rsidRDefault="003E32A5" w:rsidP="004546A6">
            <w:pPr>
              <w:keepNext/>
              <w:jc w:val="left"/>
              <w:cnfStyle w:val="000000000000" w:firstRow="0" w:lastRow="0" w:firstColumn="0" w:lastColumn="0" w:oddVBand="0" w:evenVBand="0" w:oddHBand="0" w:evenHBand="0" w:firstRowFirstColumn="0" w:firstRowLastColumn="0" w:lastRowFirstColumn="0" w:lastRowLastColumn="0"/>
            </w:pPr>
            <w:r>
              <w:t xml:space="preserve">Amend </w:t>
            </w:r>
            <w:r w:rsidRPr="004546A6">
              <w:t xml:space="preserve">clause </w:t>
            </w:r>
            <w:r w:rsidR="00133274" w:rsidRPr="004546A6">
              <w:t>4</w:t>
            </w:r>
            <w:r w:rsidRPr="004546A6">
              <w:t>.1</w:t>
            </w:r>
            <w:r w:rsidR="00133274" w:rsidRPr="004546A6">
              <w:t>(b) and clause 4.</w:t>
            </w:r>
            <w:r w:rsidR="009A06AB" w:rsidRPr="004546A6">
              <w:t>1</w:t>
            </w:r>
            <w:r w:rsidR="00133274" w:rsidRPr="004546A6">
              <w:t>(</w:t>
            </w:r>
            <w:r w:rsidR="009A06AB" w:rsidRPr="004546A6">
              <w:t>c</w:t>
            </w:r>
            <w:r w:rsidR="00133274" w:rsidRPr="004546A6">
              <w:t xml:space="preserve">) </w:t>
            </w:r>
            <w:r w:rsidR="009A06AB" w:rsidRPr="004546A6">
              <w:t xml:space="preserve">of Part B of AusNet's proposed access arrangement </w:t>
            </w:r>
            <w:r w:rsidR="00133274" w:rsidRPr="004546A6">
              <w:t xml:space="preserve">to remove </w:t>
            </w:r>
            <w:r w:rsidR="00C07304" w:rsidRPr="004546A6">
              <w:t>AusNet's</w:t>
            </w:r>
            <w:r w:rsidR="009A06AB" w:rsidRPr="004546A6">
              <w:t xml:space="preserve"> </w:t>
            </w:r>
            <w:r w:rsidR="00133274" w:rsidRPr="004546A6">
              <w:t>ability to i</w:t>
            </w:r>
            <w:r w:rsidR="00401045" w:rsidRPr="004546A6">
              <w:t>ntroduce, vary or remove tariffs within a calendar year</w:t>
            </w:r>
            <w:r w:rsidR="00401045">
              <w:t>.</w:t>
            </w:r>
          </w:p>
        </w:tc>
      </w:tr>
    </w:tbl>
    <w:p w:rsidR="00570E28" w:rsidRDefault="00570E28" w:rsidP="003F6F23"/>
    <w:sectPr w:rsidR="00570E28" w:rsidSect="00CF42AA">
      <w:headerReference w:type="default" r:id="rId16"/>
      <w:footerReference w:type="even" r:id="rId17"/>
      <w:footerReference w:type="default" r:id="rId18"/>
      <w:footerReference w:type="first" r:id="rId1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837" w:rsidRPr="00290C63" w:rsidRDefault="00F17837" w:rsidP="00290C63">
      <w:r>
        <w:separator/>
      </w:r>
    </w:p>
    <w:p w:rsidR="00F17837" w:rsidRDefault="00F17837"/>
  </w:endnote>
  <w:endnote w:type="continuationSeparator" w:id="0">
    <w:p w:rsidR="00F17837" w:rsidRPr="00290C63" w:rsidRDefault="00F17837" w:rsidP="00290C63">
      <w:r>
        <w:continuationSeparator/>
      </w:r>
    </w:p>
    <w:p w:rsidR="00F17837" w:rsidRDefault="00F17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837" w:rsidRPr="00290C63" w:rsidRDefault="00F17837"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F17837" w:rsidRDefault="00F17837"/>
  <w:p w:rsidR="00F17837" w:rsidRDefault="00F17837"/>
  <w:p w:rsidR="00F17837" w:rsidRDefault="00F17837"/>
  <w:p w:rsidR="00F17837" w:rsidRDefault="00F17837"/>
  <w:p w:rsidR="00F17837" w:rsidRDefault="00F17837"/>
  <w:p w:rsidR="00F17837" w:rsidRDefault="00F17837"/>
  <w:p w:rsidR="00F17837" w:rsidRDefault="00F178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F17837" w:rsidRPr="009B6F84" w:rsidRDefault="00F17837">
        <w:pPr>
          <w:pStyle w:val="Footer"/>
          <w:rPr>
            <w:sz w:val="20"/>
          </w:rPr>
        </w:pPr>
        <w:r>
          <w:fldChar w:fldCharType="begin"/>
        </w:r>
        <w:r>
          <w:instrText xml:space="preserve"> PAGE   \* MERGEFORMAT </w:instrText>
        </w:r>
        <w:r>
          <w:fldChar w:fldCharType="separate"/>
        </w:r>
        <w:r w:rsidR="00B42756">
          <w:rPr>
            <w:noProof/>
          </w:rPr>
          <w:t>10-0</w:t>
        </w:r>
        <w:r>
          <w:rPr>
            <w:noProof/>
          </w:rPr>
          <w:fldChar w:fldCharType="end"/>
        </w:r>
        <w:r>
          <w:rPr>
            <w:noProof/>
          </w:rPr>
          <w:t xml:space="preserve">          </w:t>
        </w:r>
        <w:r>
          <w:t xml:space="preserve">Attachment 10 </w:t>
        </w:r>
        <w:r w:rsidRPr="000474DF">
          <w:t>−</w:t>
        </w:r>
        <w:r>
          <w:t xml:space="preserve"> Reference tariff setting</w:t>
        </w:r>
        <w:r w:rsidRPr="009B6F84">
          <w:rPr>
            <w:rFonts w:cs="Gautami"/>
            <w:noProof/>
            <w:szCs w:val="16"/>
          </w:rPr>
          <w:t xml:space="preserve"> | </w:t>
        </w:r>
        <w:r>
          <w:t>Draft decision - AusNet gas access arrangement</w:t>
        </w:r>
        <w:r w:rsidRPr="00D5015C">
          <w:t xml:space="preserve"> 201</w:t>
        </w:r>
        <w:r>
          <w:t>8</w:t>
        </w:r>
        <w:r w:rsidRPr="00D5015C">
          <w:t>–</w:t>
        </w:r>
        <w:r>
          <w:t>22</w:t>
        </w:r>
      </w:p>
    </w:sdtContent>
  </w:sdt>
  <w:p w:rsidR="00F17837" w:rsidRDefault="00F17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837" w:rsidRPr="00290C63" w:rsidRDefault="00F17837"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F17837" w:rsidRDefault="00F17837">
    <w:pPr>
      <w:pStyle w:val="Footer"/>
    </w:pPr>
  </w:p>
  <w:p w:rsidR="00F17837" w:rsidRDefault="00F17837"/>
  <w:p w:rsidR="00F17837" w:rsidRDefault="00F17837"/>
  <w:p w:rsidR="00F17837" w:rsidRDefault="00F17837"/>
  <w:p w:rsidR="00F17837" w:rsidRDefault="00F17837"/>
  <w:p w:rsidR="00F17837" w:rsidRDefault="00F17837"/>
  <w:p w:rsidR="00F17837" w:rsidRDefault="00F17837"/>
  <w:p w:rsidR="00F17837" w:rsidRDefault="00F1783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837" w:rsidRPr="00290C63" w:rsidRDefault="00F17837"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F17837" w:rsidRDefault="00F17837"/>
  <w:p w:rsidR="00F17837" w:rsidRDefault="00F17837"/>
  <w:p w:rsidR="00F17837" w:rsidRDefault="00F17837"/>
  <w:p w:rsidR="00F17837" w:rsidRDefault="00F17837"/>
  <w:p w:rsidR="00F17837" w:rsidRDefault="00F17837"/>
  <w:p w:rsidR="00F17837" w:rsidRDefault="00F17837"/>
  <w:p w:rsidR="00F17837" w:rsidRDefault="00F178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ERtextblue"/>
        <w:color w:val="076A92" w:themeColor="text1"/>
      </w:rPr>
      <w:id w:val="340901426"/>
      <w:docPartObj>
        <w:docPartGallery w:val="Page Numbers (Bottom of Page)"/>
        <w:docPartUnique/>
      </w:docPartObj>
    </w:sdtPr>
    <w:sdtEndPr>
      <w:rPr>
        <w:rStyle w:val="AERtextblue"/>
      </w:rPr>
    </w:sdtEndPr>
    <w:sdtContent>
      <w:p w:rsidR="00F17837" w:rsidRPr="00272B8D" w:rsidRDefault="00F17837" w:rsidP="00272B8D">
        <w:pPr>
          <w:pStyle w:val="Footer"/>
          <w:rPr>
            <w:rStyle w:val="AERtextblue"/>
            <w:color w:val="076A92" w:themeColor="text1"/>
          </w:rPr>
        </w:pPr>
        <w:r w:rsidRPr="00272B8D">
          <w:rPr>
            <w:rStyle w:val="AERtextblue"/>
            <w:color w:val="076A92" w:themeColor="text1"/>
          </w:rPr>
          <w:fldChar w:fldCharType="begin"/>
        </w:r>
        <w:r w:rsidRPr="00272B8D">
          <w:rPr>
            <w:rStyle w:val="AERtextblue"/>
            <w:color w:val="076A92" w:themeColor="text1"/>
          </w:rPr>
          <w:instrText xml:space="preserve"> PAGE   \* MERGEFORMAT </w:instrText>
        </w:r>
        <w:r w:rsidRPr="00272B8D">
          <w:rPr>
            <w:rStyle w:val="AERtextblue"/>
            <w:color w:val="076A92" w:themeColor="text1"/>
          </w:rPr>
          <w:fldChar w:fldCharType="separate"/>
        </w:r>
        <w:r w:rsidR="00B42756">
          <w:rPr>
            <w:rStyle w:val="AERtextblue"/>
            <w:noProof/>
            <w:color w:val="076A92" w:themeColor="text1"/>
          </w:rPr>
          <w:t>10-3</w:t>
        </w:r>
        <w:r w:rsidRPr="00272B8D">
          <w:rPr>
            <w:rStyle w:val="AERtextblue"/>
            <w:color w:val="076A92" w:themeColor="text1"/>
          </w:rPr>
          <w:fldChar w:fldCharType="end"/>
        </w:r>
        <w:r w:rsidRPr="00272B8D">
          <w:rPr>
            <w:rStyle w:val="AERtextblue"/>
            <w:color w:val="076A92" w:themeColor="text1"/>
          </w:rPr>
          <w:t xml:space="preserve">          Attachment 10 − Reference tariff setting | Draft decision - AusNet gas access arrangement 2018–22</w:t>
        </w:r>
      </w:p>
    </w:sdtContent>
  </w:sdt>
  <w:p w:rsidR="00F17837" w:rsidRPr="00272B8D" w:rsidRDefault="00F17837" w:rsidP="00272B8D">
    <w:pPr>
      <w:pStyle w:val="Footer"/>
      <w:rPr>
        <w:rStyle w:val="AERtextblue"/>
        <w:color w:val="076A92" w:themeColor="text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837" w:rsidRPr="00290C63" w:rsidRDefault="00F17837"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F17837" w:rsidRDefault="00F17837">
    <w:pPr>
      <w:pStyle w:val="Footer"/>
    </w:pPr>
  </w:p>
  <w:p w:rsidR="00F17837" w:rsidRDefault="00F17837"/>
  <w:p w:rsidR="00F17837" w:rsidRDefault="00F17837"/>
  <w:p w:rsidR="00F17837" w:rsidRDefault="00F17837"/>
  <w:p w:rsidR="00F17837" w:rsidRDefault="00F17837"/>
  <w:p w:rsidR="00F17837" w:rsidRDefault="00F17837"/>
  <w:p w:rsidR="00F17837" w:rsidRDefault="00F17837"/>
  <w:p w:rsidR="00F17837" w:rsidRDefault="00F178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837" w:rsidRPr="00290C63" w:rsidRDefault="00F17837" w:rsidP="00290C63">
      <w:r>
        <w:separator/>
      </w:r>
    </w:p>
    <w:p w:rsidR="00F17837" w:rsidRDefault="00F17837"/>
  </w:footnote>
  <w:footnote w:type="continuationSeparator" w:id="0">
    <w:p w:rsidR="00F17837" w:rsidRPr="00290C63" w:rsidRDefault="00F17837" w:rsidP="00290C63">
      <w:r>
        <w:continuationSeparator/>
      </w:r>
    </w:p>
    <w:p w:rsidR="00F17837" w:rsidRDefault="00F17837"/>
  </w:footnote>
  <w:footnote w:id="1">
    <w:p w:rsidR="00F17837" w:rsidRDefault="00F17837" w:rsidP="006247AD">
      <w:pPr>
        <w:pStyle w:val="FootnoteText"/>
      </w:pPr>
      <w:r>
        <w:rPr>
          <w:rStyle w:val="FootnoteReference"/>
        </w:rPr>
        <w:footnoteRef/>
      </w:r>
      <w:r>
        <w:t xml:space="preserve"> </w:t>
      </w:r>
      <w:r>
        <w:tab/>
        <w:t>NGL, ss. 24(2)–(7).</w:t>
      </w:r>
    </w:p>
  </w:footnote>
  <w:footnote w:id="2">
    <w:p w:rsidR="00F17837" w:rsidRDefault="00F17837" w:rsidP="009E6DC5">
      <w:pPr>
        <w:pStyle w:val="FootnoteText"/>
      </w:pPr>
      <w:r>
        <w:rPr>
          <w:rStyle w:val="FootnoteReference"/>
        </w:rPr>
        <w:footnoteRef/>
      </w:r>
      <w:r>
        <w:t xml:space="preserve"> </w:t>
      </w:r>
      <w:r>
        <w:tab/>
        <w:t xml:space="preserve">NGR, </w:t>
      </w:r>
      <w:proofErr w:type="gramStart"/>
      <w:r>
        <w:t>rr</w:t>
      </w:r>
      <w:proofErr w:type="gramEnd"/>
      <w:r>
        <w:t xml:space="preserve">. </w:t>
      </w:r>
      <w:proofErr w:type="gramStart"/>
      <w:r>
        <w:t>93, 94.</w:t>
      </w:r>
      <w:proofErr w:type="gramEnd"/>
    </w:p>
  </w:footnote>
  <w:footnote w:id="3">
    <w:p w:rsidR="00F17837" w:rsidRDefault="00F17837" w:rsidP="003D751A">
      <w:pPr>
        <w:pStyle w:val="FootnoteText"/>
      </w:pPr>
      <w:r>
        <w:rPr>
          <w:rStyle w:val="FootnoteReference"/>
        </w:rPr>
        <w:footnoteRef/>
      </w:r>
      <w:r>
        <w:t xml:space="preserve"> </w:t>
      </w:r>
      <w:r>
        <w:tab/>
        <w:t xml:space="preserve">NGR, </w:t>
      </w:r>
      <w:proofErr w:type="gramStart"/>
      <w:r>
        <w:t>rr</w:t>
      </w:r>
      <w:proofErr w:type="gramEnd"/>
      <w:r>
        <w:t>. 48(1</w:t>
      </w:r>
      <w:proofErr w:type="gramStart"/>
      <w:r>
        <w:t>)(</w:t>
      </w:r>
      <w:proofErr w:type="gramEnd"/>
      <w:r>
        <w:t xml:space="preserve">d)(i), 72(1)(j).  </w:t>
      </w:r>
    </w:p>
  </w:footnote>
  <w:footnote w:id="4">
    <w:p w:rsidR="00F17837" w:rsidRDefault="00F17837">
      <w:pPr>
        <w:pStyle w:val="FootnoteText"/>
      </w:pPr>
      <w:r>
        <w:rPr>
          <w:rStyle w:val="FootnoteReference"/>
        </w:rPr>
        <w:footnoteRef/>
      </w:r>
      <w:r>
        <w:t xml:space="preserve"> </w:t>
      </w:r>
      <w:r>
        <w:tab/>
      </w:r>
      <w:r w:rsidRPr="00FE1852">
        <w:t xml:space="preserve">NGR, </w:t>
      </w:r>
      <w:proofErr w:type="gramStart"/>
      <w:r w:rsidRPr="00FE1852">
        <w:t>rr</w:t>
      </w:r>
      <w:proofErr w:type="gramEnd"/>
      <w:r w:rsidRPr="00FE1852">
        <w:t>. 72(1</w:t>
      </w:r>
      <w:proofErr w:type="gramStart"/>
      <w:r w:rsidRPr="00FE1852">
        <w:t>)(</w:t>
      </w:r>
      <w:proofErr w:type="gramEnd"/>
      <w:r w:rsidRPr="00FE1852">
        <w:t>j)(i), 93(1)–(2).</w:t>
      </w:r>
    </w:p>
  </w:footnote>
  <w:footnote w:id="5">
    <w:p w:rsidR="00F17837" w:rsidRDefault="00F17837" w:rsidP="00190EB3">
      <w:pPr>
        <w:pStyle w:val="FootnoteText"/>
      </w:pPr>
      <w:r>
        <w:rPr>
          <w:rStyle w:val="FootnoteReference"/>
        </w:rPr>
        <w:footnoteRef/>
      </w:r>
      <w:r>
        <w:t xml:space="preserve"> </w:t>
      </w:r>
      <w:r>
        <w:tab/>
      </w:r>
      <w:r w:rsidRPr="0060691B">
        <w:t>NGR, r. 94(1)–(2).</w:t>
      </w:r>
    </w:p>
  </w:footnote>
  <w:footnote w:id="6">
    <w:p w:rsidR="00F17837" w:rsidRDefault="00F17837">
      <w:pPr>
        <w:pStyle w:val="FootnoteText"/>
      </w:pPr>
      <w:r>
        <w:rPr>
          <w:rStyle w:val="FootnoteReference"/>
        </w:rPr>
        <w:footnoteRef/>
      </w:r>
      <w:r>
        <w:t xml:space="preserve"> </w:t>
      </w:r>
      <w:r>
        <w:tab/>
      </w:r>
      <w:proofErr w:type="gramStart"/>
      <w:r>
        <w:t>NGR, r. 94(3).</w:t>
      </w:r>
      <w:proofErr w:type="gramEnd"/>
    </w:p>
  </w:footnote>
  <w:footnote w:id="7">
    <w:p w:rsidR="00F17837" w:rsidRDefault="00F17837">
      <w:pPr>
        <w:pStyle w:val="FootnoteText"/>
      </w:pPr>
      <w:r>
        <w:rPr>
          <w:rStyle w:val="FootnoteReference"/>
        </w:rPr>
        <w:footnoteRef/>
      </w:r>
      <w:r>
        <w:t xml:space="preserve"> </w:t>
      </w:r>
      <w:r>
        <w:tab/>
        <w:t>NGR, r. 72(1</w:t>
      </w:r>
      <w:proofErr w:type="gramStart"/>
      <w:r>
        <w:t>)(</w:t>
      </w:r>
      <w:proofErr w:type="gramEnd"/>
      <w:r>
        <w:t xml:space="preserve">j)(ii). </w:t>
      </w:r>
    </w:p>
  </w:footnote>
  <w:footnote w:id="8">
    <w:p w:rsidR="00F17837" w:rsidRDefault="00F17837" w:rsidP="00DD1EB9">
      <w:pPr>
        <w:pStyle w:val="FootnoteText"/>
      </w:pPr>
      <w:r>
        <w:rPr>
          <w:rStyle w:val="FootnoteReference"/>
        </w:rPr>
        <w:footnoteRef/>
      </w:r>
      <w:r>
        <w:t xml:space="preserve"> </w:t>
      </w:r>
      <w:r>
        <w:tab/>
      </w:r>
      <w:proofErr w:type="gramStart"/>
      <w:r>
        <w:t>NGR, r. 97(4).</w:t>
      </w:r>
      <w:proofErr w:type="gramEnd"/>
    </w:p>
  </w:footnote>
  <w:footnote w:id="9">
    <w:p w:rsidR="00F17837" w:rsidRDefault="00F17837">
      <w:pPr>
        <w:pStyle w:val="FootnoteText"/>
      </w:pPr>
      <w:r>
        <w:rPr>
          <w:rStyle w:val="FootnoteReference"/>
        </w:rPr>
        <w:footnoteRef/>
      </w:r>
      <w:r>
        <w:t xml:space="preserve"> </w:t>
      </w:r>
      <w:r>
        <w:tab/>
      </w:r>
      <w:proofErr w:type="gramStart"/>
      <w:r>
        <w:t xml:space="preserve">AusNet, </w:t>
      </w:r>
      <w:r w:rsidRPr="00DF1AAF">
        <w:t xml:space="preserve">Access arrangement information, </w:t>
      </w:r>
      <w:r>
        <w:t>December 2016, pp. 294-304.</w:t>
      </w:r>
      <w:proofErr w:type="gramEnd"/>
    </w:p>
  </w:footnote>
  <w:footnote w:id="10">
    <w:p w:rsidR="00F17837" w:rsidRDefault="00F17837" w:rsidP="009305D4">
      <w:pPr>
        <w:pStyle w:val="FootnoteText"/>
      </w:pPr>
      <w:r>
        <w:rPr>
          <w:rStyle w:val="FootnoteReference"/>
        </w:rPr>
        <w:footnoteRef/>
      </w:r>
      <w:r>
        <w:t xml:space="preserve"> </w:t>
      </w:r>
      <w:r>
        <w:tab/>
      </w:r>
      <w:proofErr w:type="gramStart"/>
      <w:r>
        <w:t>AusNet</w:t>
      </w:r>
      <w:r w:rsidRPr="000F69ED">
        <w:t xml:space="preserve">, </w:t>
      </w:r>
      <w:r w:rsidRPr="00A6726E">
        <w:t xml:space="preserve">Part B of the access arrangement for the distribution system, </w:t>
      </w:r>
      <w:r w:rsidRPr="000F69ED">
        <w:t>December 2016.</w:t>
      </w:r>
      <w:proofErr w:type="gramEnd"/>
    </w:p>
  </w:footnote>
  <w:footnote w:id="11">
    <w:p w:rsidR="00F17837" w:rsidRDefault="00F17837" w:rsidP="009D03D1">
      <w:pPr>
        <w:pStyle w:val="FootnoteText"/>
      </w:pPr>
      <w:r>
        <w:rPr>
          <w:rStyle w:val="FootnoteReference"/>
        </w:rPr>
        <w:footnoteRef/>
      </w:r>
      <w:r>
        <w:t xml:space="preserve"> </w:t>
      </w:r>
      <w:r>
        <w:tab/>
      </w:r>
      <w:proofErr w:type="gramStart"/>
      <w:r>
        <w:t>NGR, r. 59.</w:t>
      </w:r>
      <w:proofErr w:type="gramEnd"/>
    </w:p>
  </w:footnote>
  <w:footnote w:id="12">
    <w:p w:rsidR="00F17837" w:rsidRDefault="00F17837" w:rsidP="006A26F2">
      <w:pPr>
        <w:pStyle w:val="FootnoteText"/>
      </w:pPr>
      <w:r>
        <w:rPr>
          <w:rStyle w:val="FootnoteReference"/>
        </w:rPr>
        <w:footnoteRef/>
      </w:r>
      <w:r>
        <w:t xml:space="preserve"> </w:t>
      </w:r>
      <w:r>
        <w:tab/>
        <w:t>NGR, r. 48(1</w:t>
      </w:r>
      <w:proofErr w:type="gramStart"/>
      <w:r>
        <w:t>)(</w:t>
      </w:r>
      <w:proofErr w:type="gramEnd"/>
      <w:r>
        <w:t>d)(i).</w:t>
      </w:r>
    </w:p>
  </w:footnote>
  <w:footnote w:id="13">
    <w:p w:rsidR="00F17837" w:rsidRDefault="00F17837" w:rsidP="00801CD2">
      <w:pPr>
        <w:pStyle w:val="FootnoteText"/>
      </w:pPr>
      <w:r>
        <w:rPr>
          <w:rStyle w:val="FootnoteReference"/>
        </w:rPr>
        <w:footnoteRef/>
      </w:r>
      <w:r>
        <w:t xml:space="preserve"> </w:t>
      </w:r>
      <w:r>
        <w:tab/>
      </w:r>
      <w:proofErr w:type="gramStart"/>
      <w:r>
        <w:t>NGR, r. 94(6).</w:t>
      </w:r>
      <w:proofErr w:type="gramEnd"/>
    </w:p>
  </w:footnote>
  <w:footnote w:id="14">
    <w:p w:rsidR="00F17837" w:rsidRDefault="00F17837">
      <w:pPr>
        <w:pStyle w:val="FootnoteText"/>
      </w:pPr>
      <w:r>
        <w:rPr>
          <w:rStyle w:val="FootnoteReference"/>
        </w:rPr>
        <w:footnoteRef/>
      </w:r>
      <w:r>
        <w:t xml:space="preserve"> </w:t>
      </w:r>
      <w:r>
        <w:tab/>
      </w:r>
      <w:proofErr w:type="gramStart"/>
      <w:r>
        <w:t>NGR, r. 93(2).</w:t>
      </w:r>
      <w:proofErr w:type="gramEnd"/>
    </w:p>
  </w:footnote>
  <w:footnote w:id="15">
    <w:p w:rsidR="00F17837" w:rsidRDefault="00F17837">
      <w:pPr>
        <w:pStyle w:val="FootnoteText"/>
      </w:pPr>
      <w:r>
        <w:rPr>
          <w:rStyle w:val="FootnoteReference"/>
        </w:rPr>
        <w:footnoteRef/>
      </w:r>
      <w:r>
        <w:t xml:space="preserve"> </w:t>
      </w:r>
      <w:r>
        <w:tab/>
      </w:r>
      <w:proofErr w:type="gramStart"/>
      <w:r>
        <w:t>NGR, r. 94(2).</w:t>
      </w:r>
      <w:proofErr w:type="gramEnd"/>
    </w:p>
  </w:footnote>
  <w:footnote w:id="16">
    <w:p w:rsidR="00F17837" w:rsidRDefault="00F17837">
      <w:pPr>
        <w:pStyle w:val="FootnoteText"/>
      </w:pPr>
      <w:r>
        <w:rPr>
          <w:rStyle w:val="FootnoteReference"/>
        </w:rPr>
        <w:footnoteRef/>
      </w:r>
      <w:r>
        <w:t xml:space="preserve"> </w:t>
      </w:r>
      <w:r>
        <w:tab/>
        <w:t>NGR, r. 94(3)–(4).</w:t>
      </w:r>
    </w:p>
  </w:footnote>
  <w:footnote w:id="17">
    <w:p w:rsidR="00F17837" w:rsidRDefault="00F17837" w:rsidP="00FB2F92">
      <w:pPr>
        <w:pStyle w:val="FootnoteText"/>
      </w:pPr>
      <w:r>
        <w:rPr>
          <w:rStyle w:val="FootnoteReference"/>
        </w:rPr>
        <w:footnoteRef/>
      </w:r>
      <w:r>
        <w:t xml:space="preserve"> </w:t>
      </w:r>
      <w:r>
        <w:tab/>
        <w:t xml:space="preserve">NGR, </w:t>
      </w:r>
      <w:proofErr w:type="gramStart"/>
      <w:r>
        <w:t>rr</w:t>
      </w:r>
      <w:proofErr w:type="gramEnd"/>
      <w:r>
        <w:t xml:space="preserve">. </w:t>
      </w:r>
      <w:proofErr w:type="gramStart"/>
      <w:r>
        <w:t>94(6).</w:t>
      </w:r>
      <w:proofErr w:type="gramEnd"/>
    </w:p>
  </w:footnote>
  <w:footnote w:id="18">
    <w:p w:rsidR="00F17837" w:rsidRPr="00891483" w:rsidRDefault="00F17837" w:rsidP="00A406A1">
      <w:pPr>
        <w:pStyle w:val="FootnoteText"/>
        <w:rPr>
          <w:i/>
        </w:rPr>
      </w:pPr>
      <w:r>
        <w:rPr>
          <w:rStyle w:val="FootnoteReference"/>
        </w:rPr>
        <w:footnoteRef/>
      </w:r>
      <w:r>
        <w:t xml:space="preserve"> </w:t>
      </w:r>
      <w:r>
        <w:tab/>
      </w:r>
      <w:proofErr w:type="gramStart"/>
      <w:r w:rsidRPr="00F17837">
        <w:t xml:space="preserve">Origin Energy - </w:t>
      </w:r>
      <w:r w:rsidRPr="00161312">
        <w:rPr>
          <w:rStyle w:val="AERtextitalic"/>
        </w:rPr>
        <w:t>Victorian gas access arrangement review 2018-22 - Response to gas distribution businesses' proposals</w:t>
      </w:r>
      <w:r w:rsidRPr="00F17837">
        <w:t xml:space="preserve"> - 10 March 2017</w:t>
      </w:r>
      <w:r>
        <w:t>.</w:t>
      </w:r>
      <w:proofErr w:type="gramEnd"/>
    </w:p>
  </w:footnote>
  <w:footnote w:id="19">
    <w:p w:rsidR="00F17837" w:rsidRDefault="00F17837">
      <w:pPr>
        <w:pStyle w:val="FootnoteText"/>
      </w:pPr>
      <w:r>
        <w:rPr>
          <w:rStyle w:val="FootnoteReference"/>
        </w:rPr>
        <w:footnoteRef/>
      </w:r>
      <w:r>
        <w:t xml:space="preserve"> </w:t>
      </w:r>
      <w:r>
        <w:tab/>
      </w:r>
      <w:r w:rsidRPr="00F17837">
        <w:t xml:space="preserve">AusNet Services - </w:t>
      </w:r>
      <w:r w:rsidRPr="00161312">
        <w:rPr>
          <w:rStyle w:val="AERtextitalic"/>
        </w:rPr>
        <w:t>Access Arrangement Information 2018-2022</w:t>
      </w:r>
      <w:r w:rsidRPr="00F17837">
        <w:t xml:space="preserve"> - 20161221</w:t>
      </w:r>
      <w:r>
        <w:t>, p. 293.</w:t>
      </w:r>
    </w:p>
  </w:footnote>
  <w:footnote w:id="20">
    <w:p w:rsidR="00F17837" w:rsidRDefault="00F17837" w:rsidP="00A47C39">
      <w:pPr>
        <w:pStyle w:val="FootnoteText"/>
      </w:pPr>
      <w:r>
        <w:rPr>
          <w:rStyle w:val="FootnoteReference"/>
        </w:rPr>
        <w:footnoteRef/>
      </w:r>
      <w:r>
        <w:t xml:space="preserve"> </w:t>
      </w:r>
      <w:r>
        <w:tab/>
      </w:r>
      <w:r w:rsidRPr="00AC5E38">
        <w:t xml:space="preserve">NGR, </w:t>
      </w:r>
      <w:proofErr w:type="gramStart"/>
      <w:r>
        <w:t>r</w:t>
      </w:r>
      <w:r w:rsidRPr="00AC5E38">
        <w:t>r</w:t>
      </w:r>
      <w:proofErr w:type="gramEnd"/>
      <w:r w:rsidRPr="00AC5E38">
        <w:t xml:space="preserve">. </w:t>
      </w:r>
      <w:proofErr w:type="gramStart"/>
      <w:r w:rsidRPr="00AC5E38">
        <w:t>93(1)</w:t>
      </w:r>
      <w:r>
        <w:t>,</w:t>
      </w:r>
      <w:r w:rsidRPr="00AC5E38">
        <w:t xml:space="preserve"> (2).</w:t>
      </w:r>
      <w:proofErr w:type="gramEnd"/>
    </w:p>
  </w:footnote>
  <w:footnote w:id="21">
    <w:p w:rsidR="00F17837" w:rsidRDefault="00F17837">
      <w:pPr>
        <w:pStyle w:val="FootnoteText"/>
      </w:pPr>
      <w:r>
        <w:rPr>
          <w:rStyle w:val="FootnoteReference"/>
        </w:rPr>
        <w:footnoteRef/>
      </w:r>
      <w:r>
        <w:t xml:space="preserve"> </w:t>
      </w:r>
      <w:r>
        <w:tab/>
      </w:r>
      <w:r w:rsidRPr="00F17837">
        <w:t xml:space="preserve">AusNet Services - </w:t>
      </w:r>
      <w:r w:rsidRPr="00BD4298">
        <w:rPr>
          <w:rStyle w:val="AERtextitalic"/>
        </w:rPr>
        <w:t>Access Arrangement Information 2018-2022</w:t>
      </w:r>
      <w:r w:rsidRPr="00F17837">
        <w:t xml:space="preserve"> - 20161221</w:t>
      </w:r>
      <w:r>
        <w:t>, pp. 294-304.</w:t>
      </w:r>
    </w:p>
  </w:footnote>
  <w:footnote w:id="22">
    <w:p w:rsidR="00F17837" w:rsidRDefault="00F17837" w:rsidP="00736F28">
      <w:pPr>
        <w:pStyle w:val="FootnoteText"/>
      </w:pPr>
      <w:r>
        <w:rPr>
          <w:rStyle w:val="FootnoteReference"/>
        </w:rPr>
        <w:footnoteRef/>
      </w:r>
      <w:r>
        <w:t xml:space="preserve"> </w:t>
      </w:r>
      <w:r>
        <w:tab/>
      </w:r>
      <w:r w:rsidRPr="00761A86">
        <w:t xml:space="preserve">NGR, </w:t>
      </w:r>
      <w:proofErr w:type="gramStart"/>
      <w:r w:rsidRPr="00761A86">
        <w:t>r</w:t>
      </w:r>
      <w:r>
        <w:t>r</w:t>
      </w:r>
      <w:proofErr w:type="gramEnd"/>
      <w:r w:rsidRPr="00761A86">
        <w:t xml:space="preserve">. </w:t>
      </w:r>
      <w:proofErr w:type="gramStart"/>
      <w:r w:rsidRPr="00761A86">
        <w:t>94(1)</w:t>
      </w:r>
      <w:r>
        <w:t xml:space="preserve">, </w:t>
      </w:r>
      <w:r w:rsidRPr="00761A86">
        <w:t>(2).</w:t>
      </w:r>
      <w:proofErr w:type="gramEnd"/>
    </w:p>
  </w:footnote>
  <w:footnote w:id="23">
    <w:p w:rsidR="00F17837" w:rsidRDefault="00F17837" w:rsidP="00AE73E8">
      <w:pPr>
        <w:pStyle w:val="FootnoteText"/>
      </w:pPr>
      <w:r>
        <w:rPr>
          <w:rStyle w:val="FootnoteReference"/>
        </w:rPr>
        <w:footnoteRef/>
      </w:r>
      <w:r>
        <w:t xml:space="preserve"> </w:t>
      </w:r>
      <w:r>
        <w:tab/>
      </w:r>
      <w:proofErr w:type="gramStart"/>
      <w:r>
        <w:t>NGR, r. 94.</w:t>
      </w:r>
      <w:proofErr w:type="gramEnd"/>
    </w:p>
  </w:footnote>
  <w:footnote w:id="24">
    <w:p w:rsidR="00F17837" w:rsidRDefault="00F17837" w:rsidP="00526B6F">
      <w:pPr>
        <w:pStyle w:val="FootnoteText"/>
      </w:pPr>
      <w:r>
        <w:rPr>
          <w:rStyle w:val="FootnoteReference"/>
        </w:rPr>
        <w:footnoteRef/>
      </w:r>
      <w:r>
        <w:t xml:space="preserve"> </w:t>
      </w:r>
      <w:r>
        <w:tab/>
      </w:r>
      <w:proofErr w:type="gramStart"/>
      <w:r>
        <w:t>NGR, r. 94(3).</w:t>
      </w:r>
      <w:proofErr w:type="gramEnd"/>
    </w:p>
  </w:footnote>
  <w:footnote w:id="25">
    <w:p w:rsidR="00F17837" w:rsidRDefault="00F17837">
      <w:pPr>
        <w:pStyle w:val="FootnoteText"/>
      </w:pPr>
      <w:r>
        <w:rPr>
          <w:rStyle w:val="FootnoteReference"/>
        </w:rPr>
        <w:footnoteRef/>
      </w:r>
      <w:r>
        <w:t xml:space="preserve"> </w:t>
      </w:r>
      <w:r>
        <w:tab/>
      </w:r>
      <w:r w:rsidRPr="00F17837">
        <w:t xml:space="preserve">AusNet Services - </w:t>
      </w:r>
      <w:r w:rsidRPr="00BD4298">
        <w:rPr>
          <w:rStyle w:val="AERtextitalic"/>
        </w:rPr>
        <w:t>Access Arrangement Information 2018-2022</w:t>
      </w:r>
      <w:r w:rsidRPr="00F17837">
        <w:t xml:space="preserve"> - 20161221</w:t>
      </w:r>
      <w:r>
        <w:t>, pp. 297-299.</w:t>
      </w:r>
    </w:p>
  </w:footnote>
  <w:footnote w:id="26">
    <w:p w:rsidR="00F17837" w:rsidRDefault="00F17837" w:rsidP="00721923">
      <w:pPr>
        <w:pStyle w:val="FootnoteText"/>
      </w:pPr>
      <w:r>
        <w:rPr>
          <w:rStyle w:val="FootnoteReference"/>
        </w:rPr>
        <w:footnoteRef/>
      </w:r>
      <w:r>
        <w:t xml:space="preserve"> </w:t>
      </w:r>
      <w:r>
        <w:tab/>
      </w:r>
      <w:r w:rsidR="007B3C0A" w:rsidRPr="00F17837">
        <w:t xml:space="preserve">AusNet Services - </w:t>
      </w:r>
      <w:r w:rsidR="007B3C0A" w:rsidRPr="00BD4298">
        <w:rPr>
          <w:rStyle w:val="AERtextitalic"/>
        </w:rPr>
        <w:t>Access Arrangement Information 2018-2022</w:t>
      </w:r>
      <w:r w:rsidR="007B3C0A" w:rsidRPr="00F17837">
        <w:t xml:space="preserve"> - 20161221</w:t>
      </w:r>
      <w:r w:rsidR="007B3C0A">
        <w:t>, pp. 297-299.</w:t>
      </w:r>
    </w:p>
  </w:footnote>
  <w:footnote w:id="27">
    <w:p w:rsidR="00F17837" w:rsidRDefault="00F17837" w:rsidP="00721923">
      <w:pPr>
        <w:pStyle w:val="FootnoteText"/>
      </w:pPr>
      <w:r>
        <w:rPr>
          <w:rStyle w:val="FootnoteReference"/>
        </w:rPr>
        <w:footnoteRef/>
      </w:r>
      <w:r>
        <w:t xml:space="preserve"> </w:t>
      </w:r>
      <w:r>
        <w:tab/>
      </w:r>
      <w:proofErr w:type="gramStart"/>
      <w:r>
        <w:t>NGR, r. 94(6).</w:t>
      </w:r>
      <w:proofErr w:type="gramEnd"/>
    </w:p>
  </w:footnote>
  <w:footnote w:id="28">
    <w:p w:rsidR="00F17837" w:rsidRDefault="00F17837" w:rsidP="00AC23BF">
      <w:pPr>
        <w:pStyle w:val="FootnoteText"/>
      </w:pPr>
      <w:r>
        <w:rPr>
          <w:rStyle w:val="FootnoteReference"/>
        </w:rPr>
        <w:footnoteRef/>
      </w:r>
      <w:r>
        <w:t xml:space="preserve"> </w:t>
      </w:r>
      <w:r>
        <w:tab/>
      </w:r>
      <w:r w:rsidRPr="00F17837">
        <w:t xml:space="preserve">AusNet Services - </w:t>
      </w:r>
      <w:r w:rsidRPr="00BD4298">
        <w:rPr>
          <w:rStyle w:val="AERtextitalic"/>
        </w:rPr>
        <w:t>Access Arrangement Information 2018-2022</w:t>
      </w:r>
      <w:r w:rsidRPr="00F17837">
        <w:t xml:space="preserve"> - 20161221</w:t>
      </w:r>
      <w:r>
        <w:t>, pp. 296.</w:t>
      </w:r>
    </w:p>
  </w:footnote>
  <w:footnote w:id="29">
    <w:p w:rsidR="00F17837" w:rsidRDefault="00F17837" w:rsidP="00AC23BF">
      <w:pPr>
        <w:pStyle w:val="FootnoteText"/>
      </w:pPr>
      <w:r>
        <w:rPr>
          <w:rStyle w:val="FootnoteReference"/>
        </w:rPr>
        <w:footnoteRef/>
      </w:r>
      <w:r>
        <w:t xml:space="preserve"> </w:t>
      </w:r>
      <w:r>
        <w:tab/>
      </w:r>
      <w:r w:rsidRPr="00F17837">
        <w:t xml:space="preserve">AusNet Services - </w:t>
      </w:r>
      <w:r w:rsidRPr="00BD4298">
        <w:rPr>
          <w:rStyle w:val="AERtextitalic"/>
        </w:rPr>
        <w:t>Access Arrangement Information 2018-2022</w:t>
      </w:r>
      <w:r w:rsidRPr="00F17837">
        <w:t xml:space="preserve"> - 20161221</w:t>
      </w:r>
      <w:r>
        <w:t>, pp. 296.</w:t>
      </w:r>
    </w:p>
  </w:footnote>
  <w:footnote w:id="30">
    <w:p w:rsidR="00F17837" w:rsidRDefault="00F17837" w:rsidP="00AC23BF">
      <w:pPr>
        <w:pStyle w:val="FootnoteText"/>
      </w:pPr>
      <w:r>
        <w:rPr>
          <w:rStyle w:val="FootnoteReference"/>
        </w:rPr>
        <w:footnoteRef/>
      </w:r>
      <w:r>
        <w:t xml:space="preserve"> </w:t>
      </w:r>
      <w:r>
        <w:tab/>
      </w:r>
      <w:proofErr w:type="gramStart"/>
      <w:r>
        <w:t>NGR, r. 94(6).</w:t>
      </w:r>
      <w:proofErr w:type="gramEnd"/>
    </w:p>
  </w:footnote>
  <w:footnote w:id="31">
    <w:p w:rsidR="00F17837" w:rsidRDefault="00F17837" w:rsidP="002B5117">
      <w:pPr>
        <w:pStyle w:val="FootnoteText"/>
      </w:pPr>
      <w:r>
        <w:rPr>
          <w:rStyle w:val="FootnoteReference"/>
        </w:rPr>
        <w:footnoteRef/>
      </w:r>
      <w:r>
        <w:t xml:space="preserve"> </w:t>
      </w:r>
      <w:r>
        <w:tab/>
        <w:t xml:space="preserve">NGR, </w:t>
      </w:r>
      <w:proofErr w:type="gramStart"/>
      <w:r>
        <w:t>rr</w:t>
      </w:r>
      <w:proofErr w:type="gramEnd"/>
      <w:r>
        <w:t xml:space="preserve">. </w:t>
      </w:r>
      <w:proofErr w:type="gramStart"/>
      <w:r>
        <w:t>94(2), 94(4).</w:t>
      </w:r>
      <w:proofErr w:type="gramEnd"/>
    </w:p>
  </w:footnote>
  <w:footnote w:id="32">
    <w:p w:rsidR="00F17837" w:rsidRDefault="00F17837" w:rsidP="00F72D53">
      <w:pPr>
        <w:pStyle w:val="FootnoteText"/>
      </w:pPr>
      <w:r>
        <w:rPr>
          <w:rStyle w:val="FootnoteReference"/>
        </w:rPr>
        <w:footnoteRef/>
      </w:r>
      <w:r>
        <w:t xml:space="preserve"> </w:t>
      </w:r>
      <w:r>
        <w:tab/>
        <w:t>NGR, r. 94(4</w:t>
      </w:r>
      <w:proofErr w:type="gramStart"/>
      <w:r>
        <w:t>)(</w:t>
      </w:r>
      <w:proofErr w:type="gramEnd"/>
      <w:r>
        <w:t>b)(ii).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837" w:rsidRDefault="00F178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2870225"/>
    <w:multiLevelType w:val="multilevel"/>
    <w:tmpl w:val="39D4CB02"/>
    <w:numStyleLink w:val="AERnumberedlist"/>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CB46D700"/>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1"/>
  </w:num>
  <w:num w:numId="15">
    <w:abstractNumId w:val="15"/>
  </w:num>
  <w:num w:numId="16">
    <w:abstractNumId w:val="23"/>
  </w:num>
  <w:num w:numId="17">
    <w:abstractNumId w:val="10"/>
  </w:num>
  <w:num w:numId="18">
    <w:abstractNumId w:val="17"/>
  </w:num>
  <w:num w:numId="19">
    <w:abstractNumId w:val="24"/>
  </w:num>
  <w:num w:numId="20">
    <w:abstractNumId w:val="30"/>
  </w:num>
  <w:num w:numId="21">
    <w:abstractNumId w:val="27"/>
  </w:num>
  <w:num w:numId="22">
    <w:abstractNumId w:val="25"/>
  </w:num>
  <w:num w:numId="23">
    <w:abstractNumId w:val="18"/>
  </w:num>
  <w:num w:numId="24">
    <w:abstractNumId w:val="26"/>
  </w:num>
  <w:num w:numId="25">
    <w:abstractNumId w:val="28"/>
  </w:num>
  <w:num w:numId="26">
    <w:abstractNumId w:val="19"/>
  </w:num>
  <w:num w:numId="27">
    <w:abstractNumId w:val="16"/>
  </w:num>
  <w:num w:numId="28">
    <w:abstractNumId w:val="32"/>
  </w:num>
  <w:num w:numId="29">
    <w:abstractNumId w:val="22"/>
  </w:num>
  <w:num w:numId="30">
    <w:abstractNumId w:val="9"/>
  </w:num>
  <w:num w:numId="31">
    <w:abstractNumId w:val="31"/>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8"/>
    <w:lvlOverride w:ilvl="3">
      <w:lvl w:ilvl="3">
        <w:start w:val="1"/>
        <w:numFmt w:val="decimal"/>
        <w:lvlText w:val="%2.%3.%4"/>
        <w:lvlJc w:val="left"/>
        <w:pPr>
          <w:tabs>
            <w:tab w:val="num" w:pos="0"/>
          </w:tabs>
          <w:ind w:left="0" w:hanging="851"/>
        </w:pPr>
        <w:rPr>
          <w:rFonts w:hint="default"/>
        </w:rPr>
      </w:lvl>
    </w:lvlOverride>
  </w:num>
  <w:num w:numId="33">
    <w:abstractNumId w:val="14"/>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0"/>
  </w:num>
  <w:num w:numId="3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JSihvtFnxFPTv80afoIgOOKoJLDRb8Gyt2KHy7KI8PQ=" w:saltValue="4XoihHjue5So+IdxJ47tfw==" w:algorithmName="SHA-256"/>
  <w:defaultTabStop w:val="34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3634D"/>
    <w:rsid w:val="00044DA3"/>
    <w:rsid w:val="00045644"/>
    <w:rsid w:val="000474DF"/>
    <w:rsid w:val="00055A67"/>
    <w:rsid w:val="0005645A"/>
    <w:rsid w:val="00063247"/>
    <w:rsid w:val="0006624E"/>
    <w:rsid w:val="00070F9F"/>
    <w:rsid w:val="0007137B"/>
    <w:rsid w:val="00073B74"/>
    <w:rsid w:val="00076416"/>
    <w:rsid w:val="000805A8"/>
    <w:rsid w:val="00080969"/>
    <w:rsid w:val="000818C8"/>
    <w:rsid w:val="0008190B"/>
    <w:rsid w:val="000836D9"/>
    <w:rsid w:val="000848B0"/>
    <w:rsid w:val="00085663"/>
    <w:rsid w:val="00085EBF"/>
    <w:rsid w:val="00087B32"/>
    <w:rsid w:val="00091B15"/>
    <w:rsid w:val="00095186"/>
    <w:rsid w:val="000A0E71"/>
    <w:rsid w:val="000A1C0C"/>
    <w:rsid w:val="000A24EE"/>
    <w:rsid w:val="000A3020"/>
    <w:rsid w:val="000A4840"/>
    <w:rsid w:val="000A62C1"/>
    <w:rsid w:val="000A6A79"/>
    <w:rsid w:val="000A6C7B"/>
    <w:rsid w:val="000B0A7B"/>
    <w:rsid w:val="000B1173"/>
    <w:rsid w:val="000B5827"/>
    <w:rsid w:val="000B6C64"/>
    <w:rsid w:val="000B7037"/>
    <w:rsid w:val="000C0052"/>
    <w:rsid w:val="000C02D1"/>
    <w:rsid w:val="000C0C63"/>
    <w:rsid w:val="000C2B40"/>
    <w:rsid w:val="000C5255"/>
    <w:rsid w:val="000D07A7"/>
    <w:rsid w:val="000D122C"/>
    <w:rsid w:val="000D75B0"/>
    <w:rsid w:val="000E1819"/>
    <w:rsid w:val="000E4821"/>
    <w:rsid w:val="000E4AA9"/>
    <w:rsid w:val="000E6C72"/>
    <w:rsid w:val="000E7F39"/>
    <w:rsid w:val="000F2F4E"/>
    <w:rsid w:val="00100EA2"/>
    <w:rsid w:val="00101AA1"/>
    <w:rsid w:val="00101B2B"/>
    <w:rsid w:val="00102338"/>
    <w:rsid w:val="00104566"/>
    <w:rsid w:val="00104FF6"/>
    <w:rsid w:val="001114AA"/>
    <w:rsid w:val="00112684"/>
    <w:rsid w:val="0011562F"/>
    <w:rsid w:val="00115743"/>
    <w:rsid w:val="001163C9"/>
    <w:rsid w:val="00116EB2"/>
    <w:rsid w:val="0012132C"/>
    <w:rsid w:val="00121B73"/>
    <w:rsid w:val="00124609"/>
    <w:rsid w:val="00124F1B"/>
    <w:rsid w:val="00126A4C"/>
    <w:rsid w:val="001270E3"/>
    <w:rsid w:val="00127D93"/>
    <w:rsid w:val="00132904"/>
    <w:rsid w:val="00132D43"/>
    <w:rsid w:val="00133274"/>
    <w:rsid w:val="00133366"/>
    <w:rsid w:val="00133F47"/>
    <w:rsid w:val="00134029"/>
    <w:rsid w:val="0013600E"/>
    <w:rsid w:val="001377AF"/>
    <w:rsid w:val="0014290E"/>
    <w:rsid w:val="00142C2D"/>
    <w:rsid w:val="00142DBD"/>
    <w:rsid w:val="00144C96"/>
    <w:rsid w:val="0014573B"/>
    <w:rsid w:val="001463A3"/>
    <w:rsid w:val="0015073A"/>
    <w:rsid w:val="001573E4"/>
    <w:rsid w:val="00160756"/>
    <w:rsid w:val="00161312"/>
    <w:rsid w:val="00161DC8"/>
    <w:rsid w:val="00166760"/>
    <w:rsid w:val="00171395"/>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0EB3"/>
    <w:rsid w:val="001926A4"/>
    <w:rsid w:val="00192AD5"/>
    <w:rsid w:val="00194597"/>
    <w:rsid w:val="00194E00"/>
    <w:rsid w:val="0019745E"/>
    <w:rsid w:val="00197B16"/>
    <w:rsid w:val="001A080C"/>
    <w:rsid w:val="001A3727"/>
    <w:rsid w:val="001A530D"/>
    <w:rsid w:val="001A5FB3"/>
    <w:rsid w:val="001A6CF8"/>
    <w:rsid w:val="001A7155"/>
    <w:rsid w:val="001B2D39"/>
    <w:rsid w:val="001B45A0"/>
    <w:rsid w:val="001B4A97"/>
    <w:rsid w:val="001B680E"/>
    <w:rsid w:val="001C0318"/>
    <w:rsid w:val="001D055E"/>
    <w:rsid w:val="001D7E34"/>
    <w:rsid w:val="001E1B3F"/>
    <w:rsid w:val="001E4B0A"/>
    <w:rsid w:val="001E7161"/>
    <w:rsid w:val="001F05A4"/>
    <w:rsid w:val="001F2465"/>
    <w:rsid w:val="001F3D4A"/>
    <w:rsid w:val="001F492E"/>
    <w:rsid w:val="001F64EF"/>
    <w:rsid w:val="001F6DA3"/>
    <w:rsid w:val="002010BC"/>
    <w:rsid w:val="002016E7"/>
    <w:rsid w:val="00202E03"/>
    <w:rsid w:val="002033B9"/>
    <w:rsid w:val="002043D0"/>
    <w:rsid w:val="0020492C"/>
    <w:rsid w:val="00204EC9"/>
    <w:rsid w:val="00206505"/>
    <w:rsid w:val="0020743F"/>
    <w:rsid w:val="00210309"/>
    <w:rsid w:val="00216C93"/>
    <w:rsid w:val="00223051"/>
    <w:rsid w:val="00224DB9"/>
    <w:rsid w:val="0022569A"/>
    <w:rsid w:val="0023005C"/>
    <w:rsid w:val="00231012"/>
    <w:rsid w:val="00233775"/>
    <w:rsid w:val="0023414B"/>
    <w:rsid w:val="002410F8"/>
    <w:rsid w:val="00243635"/>
    <w:rsid w:val="00247079"/>
    <w:rsid w:val="00251745"/>
    <w:rsid w:val="002552BA"/>
    <w:rsid w:val="00260016"/>
    <w:rsid w:val="00263AC0"/>
    <w:rsid w:val="00264264"/>
    <w:rsid w:val="0026689B"/>
    <w:rsid w:val="0026772D"/>
    <w:rsid w:val="00272B8D"/>
    <w:rsid w:val="002730B2"/>
    <w:rsid w:val="00274C7E"/>
    <w:rsid w:val="002777CF"/>
    <w:rsid w:val="002810F2"/>
    <w:rsid w:val="00286874"/>
    <w:rsid w:val="00290C63"/>
    <w:rsid w:val="00291A99"/>
    <w:rsid w:val="00293B6D"/>
    <w:rsid w:val="00294B08"/>
    <w:rsid w:val="0029518C"/>
    <w:rsid w:val="002963DD"/>
    <w:rsid w:val="00296B65"/>
    <w:rsid w:val="002A7DEF"/>
    <w:rsid w:val="002B0696"/>
    <w:rsid w:val="002B5117"/>
    <w:rsid w:val="002B6A17"/>
    <w:rsid w:val="002C0222"/>
    <w:rsid w:val="002C1499"/>
    <w:rsid w:val="002C233C"/>
    <w:rsid w:val="002C517B"/>
    <w:rsid w:val="002D3509"/>
    <w:rsid w:val="002D5457"/>
    <w:rsid w:val="002D5AA6"/>
    <w:rsid w:val="002D72E8"/>
    <w:rsid w:val="002D79AD"/>
    <w:rsid w:val="002E268F"/>
    <w:rsid w:val="002E3F62"/>
    <w:rsid w:val="002E78DD"/>
    <w:rsid w:val="002E7B22"/>
    <w:rsid w:val="002F113C"/>
    <w:rsid w:val="002F12EC"/>
    <w:rsid w:val="002F2242"/>
    <w:rsid w:val="002F7986"/>
    <w:rsid w:val="00301B40"/>
    <w:rsid w:val="00301C82"/>
    <w:rsid w:val="003029EE"/>
    <w:rsid w:val="00303973"/>
    <w:rsid w:val="00304D38"/>
    <w:rsid w:val="00305CC8"/>
    <w:rsid w:val="00307F6D"/>
    <w:rsid w:val="00314D83"/>
    <w:rsid w:val="00314E62"/>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4750E"/>
    <w:rsid w:val="003518B3"/>
    <w:rsid w:val="00353E79"/>
    <w:rsid w:val="003541FD"/>
    <w:rsid w:val="0035736C"/>
    <w:rsid w:val="00364EA0"/>
    <w:rsid w:val="00365503"/>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19CA"/>
    <w:rsid w:val="003B29F7"/>
    <w:rsid w:val="003B2D83"/>
    <w:rsid w:val="003B30B2"/>
    <w:rsid w:val="003B484F"/>
    <w:rsid w:val="003B504B"/>
    <w:rsid w:val="003B5179"/>
    <w:rsid w:val="003B685C"/>
    <w:rsid w:val="003B7FBA"/>
    <w:rsid w:val="003C6537"/>
    <w:rsid w:val="003C6A13"/>
    <w:rsid w:val="003C764A"/>
    <w:rsid w:val="003C78BA"/>
    <w:rsid w:val="003D04D8"/>
    <w:rsid w:val="003D2C7A"/>
    <w:rsid w:val="003D41F1"/>
    <w:rsid w:val="003D42AB"/>
    <w:rsid w:val="003D5B94"/>
    <w:rsid w:val="003D751A"/>
    <w:rsid w:val="003E0D3A"/>
    <w:rsid w:val="003E1C95"/>
    <w:rsid w:val="003E32A5"/>
    <w:rsid w:val="003E3AAB"/>
    <w:rsid w:val="003E7FE9"/>
    <w:rsid w:val="003F07D4"/>
    <w:rsid w:val="003F14DB"/>
    <w:rsid w:val="003F174D"/>
    <w:rsid w:val="003F2329"/>
    <w:rsid w:val="003F6F23"/>
    <w:rsid w:val="00400FD2"/>
    <w:rsid w:val="00401045"/>
    <w:rsid w:val="0040331C"/>
    <w:rsid w:val="00403711"/>
    <w:rsid w:val="00404C52"/>
    <w:rsid w:val="004156D5"/>
    <w:rsid w:val="00415BA9"/>
    <w:rsid w:val="00415F1D"/>
    <w:rsid w:val="00415F31"/>
    <w:rsid w:val="0041691D"/>
    <w:rsid w:val="0042000C"/>
    <w:rsid w:val="0042090E"/>
    <w:rsid w:val="00421F27"/>
    <w:rsid w:val="00421F51"/>
    <w:rsid w:val="004238D8"/>
    <w:rsid w:val="00423A77"/>
    <w:rsid w:val="00425BD3"/>
    <w:rsid w:val="004324F4"/>
    <w:rsid w:val="00434151"/>
    <w:rsid w:val="00434544"/>
    <w:rsid w:val="004376BC"/>
    <w:rsid w:val="00445D43"/>
    <w:rsid w:val="00446CD2"/>
    <w:rsid w:val="00450EAB"/>
    <w:rsid w:val="00452A3C"/>
    <w:rsid w:val="004546A6"/>
    <w:rsid w:val="0045777E"/>
    <w:rsid w:val="00465258"/>
    <w:rsid w:val="00471716"/>
    <w:rsid w:val="00471BC6"/>
    <w:rsid w:val="00476221"/>
    <w:rsid w:val="00476625"/>
    <w:rsid w:val="004766F5"/>
    <w:rsid w:val="00480B4B"/>
    <w:rsid w:val="00482804"/>
    <w:rsid w:val="004838D8"/>
    <w:rsid w:val="00485DC4"/>
    <w:rsid w:val="004914FF"/>
    <w:rsid w:val="00494D04"/>
    <w:rsid w:val="00495411"/>
    <w:rsid w:val="004A40BA"/>
    <w:rsid w:val="004A43D1"/>
    <w:rsid w:val="004A492B"/>
    <w:rsid w:val="004A499B"/>
    <w:rsid w:val="004A766A"/>
    <w:rsid w:val="004A7AD3"/>
    <w:rsid w:val="004B4412"/>
    <w:rsid w:val="004B6916"/>
    <w:rsid w:val="004B7406"/>
    <w:rsid w:val="004B7685"/>
    <w:rsid w:val="004C348C"/>
    <w:rsid w:val="004C462E"/>
    <w:rsid w:val="004C6CA3"/>
    <w:rsid w:val="004C7F5E"/>
    <w:rsid w:val="004D24CD"/>
    <w:rsid w:val="004D343C"/>
    <w:rsid w:val="004D372A"/>
    <w:rsid w:val="004D3B21"/>
    <w:rsid w:val="004D4066"/>
    <w:rsid w:val="004D55BA"/>
    <w:rsid w:val="004D5A16"/>
    <w:rsid w:val="004D720C"/>
    <w:rsid w:val="004E0FA7"/>
    <w:rsid w:val="004E22EC"/>
    <w:rsid w:val="004F06FD"/>
    <w:rsid w:val="004F0BFA"/>
    <w:rsid w:val="004F13DA"/>
    <w:rsid w:val="004F467F"/>
    <w:rsid w:val="004F4D69"/>
    <w:rsid w:val="004F6883"/>
    <w:rsid w:val="004F6A0E"/>
    <w:rsid w:val="004F6BB3"/>
    <w:rsid w:val="004F7CB8"/>
    <w:rsid w:val="005009CD"/>
    <w:rsid w:val="005041D3"/>
    <w:rsid w:val="00504E5F"/>
    <w:rsid w:val="00506188"/>
    <w:rsid w:val="005070FD"/>
    <w:rsid w:val="0051337E"/>
    <w:rsid w:val="00513FA7"/>
    <w:rsid w:val="0051768F"/>
    <w:rsid w:val="0052230A"/>
    <w:rsid w:val="00522741"/>
    <w:rsid w:val="00522DC2"/>
    <w:rsid w:val="0052565C"/>
    <w:rsid w:val="00526B6F"/>
    <w:rsid w:val="00526FFB"/>
    <w:rsid w:val="00530128"/>
    <w:rsid w:val="00532467"/>
    <w:rsid w:val="005332A9"/>
    <w:rsid w:val="0053603C"/>
    <w:rsid w:val="0053763C"/>
    <w:rsid w:val="00537786"/>
    <w:rsid w:val="00537871"/>
    <w:rsid w:val="00542FE9"/>
    <w:rsid w:val="00544598"/>
    <w:rsid w:val="00544C8D"/>
    <w:rsid w:val="00544DFD"/>
    <w:rsid w:val="00556B1E"/>
    <w:rsid w:val="00564A4D"/>
    <w:rsid w:val="0056598C"/>
    <w:rsid w:val="00566E0B"/>
    <w:rsid w:val="00567BA5"/>
    <w:rsid w:val="00570E28"/>
    <w:rsid w:val="00571B35"/>
    <w:rsid w:val="00571B43"/>
    <w:rsid w:val="00571D57"/>
    <w:rsid w:val="00573A3B"/>
    <w:rsid w:val="00577716"/>
    <w:rsid w:val="005779C3"/>
    <w:rsid w:val="00577A09"/>
    <w:rsid w:val="005829C2"/>
    <w:rsid w:val="00584D8F"/>
    <w:rsid w:val="00587A18"/>
    <w:rsid w:val="00587ADE"/>
    <w:rsid w:val="00597518"/>
    <w:rsid w:val="005A0794"/>
    <w:rsid w:val="005A0BEC"/>
    <w:rsid w:val="005A404D"/>
    <w:rsid w:val="005A6B80"/>
    <w:rsid w:val="005A6B91"/>
    <w:rsid w:val="005B1E3C"/>
    <w:rsid w:val="005B6518"/>
    <w:rsid w:val="005B704A"/>
    <w:rsid w:val="005B72D7"/>
    <w:rsid w:val="005C045F"/>
    <w:rsid w:val="005C16FE"/>
    <w:rsid w:val="005C1FAB"/>
    <w:rsid w:val="005C21A4"/>
    <w:rsid w:val="005C26CC"/>
    <w:rsid w:val="005C4463"/>
    <w:rsid w:val="005D2FB1"/>
    <w:rsid w:val="005D3D88"/>
    <w:rsid w:val="005D48C4"/>
    <w:rsid w:val="005D566F"/>
    <w:rsid w:val="005D6208"/>
    <w:rsid w:val="005D6366"/>
    <w:rsid w:val="005D7BA2"/>
    <w:rsid w:val="005E36C2"/>
    <w:rsid w:val="005E4AF4"/>
    <w:rsid w:val="005F16DF"/>
    <w:rsid w:val="005F387E"/>
    <w:rsid w:val="00601E0B"/>
    <w:rsid w:val="0060258B"/>
    <w:rsid w:val="0060691B"/>
    <w:rsid w:val="00610EF9"/>
    <w:rsid w:val="00611DC4"/>
    <w:rsid w:val="00612F4F"/>
    <w:rsid w:val="00614EA0"/>
    <w:rsid w:val="00615C6B"/>
    <w:rsid w:val="00617D4C"/>
    <w:rsid w:val="00621DCE"/>
    <w:rsid w:val="00621FC5"/>
    <w:rsid w:val="006247AD"/>
    <w:rsid w:val="00624A2A"/>
    <w:rsid w:val="00624F2C"/>
    <w:rsid w:val="006301A0"/>
    <w:rsid w:val="00632D6D"/>
    <w:rsid w:val="00636569"/>
    <w:rsid w:val="00636EF9"/>
    <w:rsid w:val="00642C3E"/>
    <w:rsid w:val="00644A01"/>
    <w:rsid w:val="00651E2D"/>
    <w:rsid w:val="00652324"/>
    <w:rsid w:val="00653471"/>
    <w:rsid w:val="006577FB"/>
    <w:rsid w:val="0066104A"/>
    <w:rsid w:val="006612A7"/>
    <w:rsid w:val="00662D62"/>
    <w:rsid w:val="00663066"/>
    <w:rsid w:val="00663DAD"/>
    <w:rsid w:val="00664206"/>
    <w:rsid w:val="006649E7"/>
    <w:rsid w:val="00666634"/>
    <w:rsid w:val="00671692"/>
    <w:rsid w:val="00675E20"/>
    <w:rsid w:val="00676679"/>
    <w:rsid w:val="00683C89"/>
    <w:rsid w:val="006903A2"/>
    <w:rsid w:val="00691B53"/>
    <w:rsid w:val="00696898"/>
    <w:rsid w:val="00697D0B"/>
    <w:rsid w:val="006A12BA"/>
    <w:rsid w:val="006A26F2"/>
    <w:rsid w:val="006A4739"/>
    <w:rsid w:val="006A4860"/>
    <w:rsid w:val="006A66A1"/>
    <w:rsid w:val="006B032D"/>
    <w:rsid w:val="006B2395"/>
    <w:rsid w:val="006B3287"/>
    <w:rsid w:val="006B40AC"/>
    <w:rsid w:val="006B4CF9"/>
    <w:rsid w:val="006B50C0"/>
    <w:rsid w:val="006B797C"/>
    <w:rsid w:val="006B7AC8"/>
    <w:rsid w:val="006C1736"/>
    <w:rsid w:val="006C329B"/>
    <w:rsid w:val="006C6303"/>
    <w:rsid w:val="006D1C61"/>
    <w:rsid w:val="006D550F"/>
    <w:rsid w:val="006D6146"/>
    <w:rsid w:val="006D7F7E"/>
    <w:rsid w:val="006E0CFF"/>
    <w:rsid w:val="006E3719"/>
    <w:rsid w:val="006F0D92"/>
    <w:rsid w:val="006F267D"/>
    <w:rsid w:val="0070011E"/>
    <w:rsid w:val="0070041D"/>
    <w:rsid w:val="00701CAB"/>
    <w:rsid w:val="007023BB"/>
    <w:rsid w:val="00704DD7"/>
    <w:rsid w:val="00707563"/>
    <w:rsid w:val="00715F61"/>
    <w:rsid w:val="00721923"/>
    <w:rsid w:val="00722132"/>
    <w:rsid w:val="007228F7"/>
    <w:rsid w:val="0072348C"/>
    <w:rsid w:val="00724A37"/>
    <w:rsid w:val="00726B03"/>
    <w:rsid w:val="007303C3"/>
    <w:rsid w:val="00731188"/>
    <w:rsid w:val="007315AE"/>
    <w:rsid w:val="007356CC"/>
    <w:rsid w:val="007366A7"/>
    <w:rsid w:val="007368E6"/>
    <w:rsid w:val="00736F28"/>
    <w:rsid w:val="007375DF"/>
    <w:rsid w:val="007429BE"/>
    <w:rsid w:val="00743223"/>
    <w:rsid w:val="00743349"/>
    <w:rsid w:val="0074403A"/>
    <w:rsid w:val="00746E01"/>
    <w:rsid w:val="00750E84"/>
    <w:rsid w:val="00751DCD"/>
    <w:rsid w:val="00755084"/>
    <w:rsid w:val="00756E73"/>
    <w:rsid w:val="00757364"/>
    <w:rsid w:val="00757BDF"/>
    <w:rsid w:val="007609D0"/>
    <w:rsid w:val="00761454"/>
    <w:rsid w:val="0076193D"/>
    <w:rsid w:val="00763E5D"/>
    <w:rsid w:val="00767740"/>
    <w:rsid w:val="00767B5E"/>
    <w:rsid w:val="00775460"/>
    <w:rsid w:val="00776E5E"/>
    <w:rsid w:val="00777EE6"/>
    <w:rsid w:val="00782EEA"/>
    <w:rsid w:val="00783C86"/>
    <w:rsid w:val="007909B4"/>
    <w:rsid w:val="00790E86"/>
    <w:rsid w:val="007949D7"/>
    <w:rsid w:val="007956C5"/>
    <w:rsid w:val="00795F44"/>
    <w:rsid w:val="007A0143"/>
    <w:rsid w:val="007A160D"/>
    <w:rsid w:val="007A34C2"/>
    <w:rsid w:val="007A37A5"/>
    <w:rsid w:val="007A396C"/>
    <w:rsid w:val="007A4B02"/>
    <w:rsid w:val="007B0BE3"/>
    <w:rsid w:val="007B1816"/>
    <w:rsid w:val="007B186E"/>
    <w:rsid w:val="007B25DC"/>
    <w:rsid w:val="007B2656"/>
    <w:rsid w:val="007B2C72"/>
    <w:rsid w:val="007B3789"/>
    <w:rsid w:val="007B3C0A"/>
    <w:rsid w:val="007B5021"/>
    <w:rsid w:val="007B651F"/>
    <w:rsid w:val="007B74DF"/>
    <w:rsid w:val="007B7BB5"/>
    <w:rsid w:val="007C1C53"/>
    <w:rsid w:val="007C284C"/>
    <w:rsid w:val="007C36D4"/>
    <w:rsid w:val="007C4B82"/>
    <w:rsid w:val="007C74BB"/>
    <w:rsid w:val="007C7F64"/>
    <w:rsid w:val="007D0A95"/>
    <w:rsid w:val="007D0EB5"/>
    <w:rsid w:val="007D456E"/>
    <w:rsid w:val="007D5837"/>
    <w:rsid w:val="007E4904"/>
    <w:rsid w:val="007E4CB5"/>
    <w:rsid w:val="007E4DAE"/>
    <w:rsid w:val="007F066B"/>
    <w:rsid w:val="007F4D60"/>
    <w:rsid w:val="007F4EAB"/>
    <w:rsid w:val="007F5B16"/>
    <w:rsid w:val="007F7C9D"/>
    <w:rsid w:val="008016BC"/>
    <w:rsid w:val="00801CD2"/>
    <w:rsid w:val="008033C4"/>
    <w:rsid w:val="00803830"/>
    <w:rsid w:val="00806731"/>
    <w:rsid w:val="00806C88"/>
    <w:rsid w:val="0081034E"/>
    <w:rsid w:val="00810806"/>
    <w:rsid w:val="00815882"/>
    <w:rsid w:val="00820454"/>
    <w:rsid w:val="00822AC7"/>
    <w:rsid w:val="00822E86"/>
    <w:rsid w:val="00834205"/>
    <w:rsid w:val="008344F6"/>
    <w:rsid w:val="0083510F"/>
    <w:rsid w:val="00837BF3"/>
    <w:rsid w:val="008415DE"/>
    <w:rsid w:val="008420DE"/>
    <w:rsid w:val="00845865"/>
    <w:rsid w:val="0084799B"/>
    <w:rsid w:val="00850C90"/>
    <w:rsid w:val="00851209"/>
    <w:rsid w:val="0085171F"/>
    <w:rsid w:val="00855107"/>
    <w:rsid w:val="008626AB"/>
    <w:rsid w:val="00863258"/>
    <w:rsid w:val="008658A1"/>
    <w:rsid w:val="0086716A"/>
    <w:rsid w:val="00870613"/>
    <w:rsid w:val="0087380F"/>
    <w:rsid w:val="0087648F"/>
    <w:rsid w:val="00876612"/>
    <w:rsid w:val="00882BB1"/>
    <w:rsid w:val="008837AC"/>
    <w:rsid w:val="00887DE1"/>
    <w:rsid w:val="008909DC"/>
    <w:rsid w:val="00894255"/>
    <w:rsid w:val="008945AD"/>
    <w:rsid w:val="008A0645"/>
    <w:rsid w:val="008A1C02"/>
    <w:rsid w:val="008A370D"/>
    <w:rsid w:val="008A587D"/>
    <w:rsid w:val="008A6668"/>
    <w:rsid w:val="008B16B0"/>
    <w:rsid w:val="008B1BD5"/>
    <w:rsid w:val="008B35CD"/>
    <w:rsid w:val="008B4093"/>
    <w:rsid w:val="008B5597"/>
    <w:rsid w:val="008B5FCC"/>
    <w:rsid w:val="008B7F36"/>
    <w:rsid w:val="008C2965"/>
    <w:rsid w:val="008C357F"/>
    <w:rsid w:val="008C5486"/>
    <w:rsid w:val="008D1661"/>
    <w:rsid w:val="008D27E0"/>
    <w:rsid w:val="008D5455"/>
    <w:rsid w:val="008D5F90"/>
    <w:rsid w:val="008D6800"/>
    <w:rsid w:val="008D72F1"/>
    <w:rsid w:val="008E4089"/>
    <w:rsid w:val="008E46B1"/>
    <w:rsid w:val="008E5AFF"/>
    <w:rsid w:val="008E7031"/>
    <w:rsid w:val="008E77DE"/>
    <w:rsid w:val="008F040C"/>
    <w:rsid w:val="008F07A3"/>
    <w:rsid w:val="008F0F5E"/>
    <w:rsid w:val="008F3322"/>
    <w:rsid w:val="008F3519"/>
    <w:rsid w:val="008F3A0D"/>
    <w:rsid w:val="008F54A0"/>
    <w:rsid w:val="008F5DE7"/>
    <w:rsid w:val="008F7C28"/>
    <w:rsid w:val="009001B6"/>
    <w:rsid w:val="00900E1B"/>
    <w:rsid w:val="0090131F"/>
    <w:rsid w:val="00902009"/>
    <w:rsid w:val="00907683"/>
    <w:rsid w:val="009132B7"/>
    <w:rsid w:val="0091341B"/>
    <w:rsid w:val="00916A2C"/>
    <w:rsid w:val="00917934"/>
    <w:rsid w:val="009233EE"/>
    <w:rsid w:val="009240AC"/>
    <w:rsid w:val="009305D4"/>
    <w:rsid w:val="00930B1A"/>
    <w:rsid w:val="00932612"/>
    <w:rsid w:val="009327DC"/>
    <w:rsid w:val="009338D9"/>
    <w:rsid w:val="009339BD"/>
    <w:rsid w:val="009356CF"/>
    <w:rsid w:val="00945E53"/>
    <w:rsid w:val="009460AA"/>
    <w:rsid w:val="009467BA"/>
    <w:rsid w:val="00950C1E"/>
    <w:rsid w:val="00951978"/>
    <w:rsid w:val="00952C8B"/>
    <w:rsid w:val="00956BDE"/>
    <w:rsid w:val="00961A4A"/>
    <w:rsid w:val="00962B33"/>
    <w:rsid w:val="009661DE"/>
    <w:rsid w:val="00972C7C"/>
    <w:rsid w:val="009776F4"/>
    <w:rsid w:val="00980686"/>
    <w:rsid w:val="00982DA2"/>
    <w:rsid w:val="00983C25"/>
    <w:rsid w:val="0098466D"/>
    <w:rsid w:val="00984697"/>
    <w:rsid w:val="009856B7"/>
    <w:rsid w:val="009859D6"/>
    <w:rsid w:val="00985C86"/>
    <w:rsid w:val="009A06AB"/>
    <w:rsid w:val="009A5FC3"/>
    <w:rsid w:val="009B6F84"/>
    <w:rsid w:val="009B74B0"/>
    <w:rsid w:val="009C0152"/>
    <w:rsid w:val="009C16D6"/>
    <w:rsid w:val="009C1A74"/>
    <w:rsid w:val="009C1EC2"/>
    <w:rsid w:val="009C3D42"/>
    <w:rsid w:val="009C491E"/>
    <w:rsid w:val="009D03D1"/>
    <w:rsid w:val="009D0DF1"/>
    <w:rsid w:val="009D22D6"/>
    <w:rsid w:val="009D2C84"/>
    <w:rsid w:val="009D3906"/>
    <w:rsid w:val="009D6B46"/>
    <w:rsid w:val="009E1830"/>
    <w:rsid w:val="009E2488"/>
    <w:rsid w:val="009E35B6"/>
    <w:rsid w:val="009E5ABC"/>
    <w:rsid w:val="009E6DC5"/>
    <w:rsid w:val="009F1815"/>
    <w:rsid w:val="009F1FF8"/>
    <w:rsid w:val="009F3BBA"/>
    <w:rsid w:val="009F43B4"/>
    <w:rsid w:val="009F4940"/>
    <w:rsid w:val="009F5BA1"/>
    <w:rsid w:val="009F6BCD"/>
    <w:rsid w:val="00A011C1"/>
    <w:rsid w:val="00A02A88"/>
    <w:rsid w:val="00A04012"/>
    <w:rsid w:val="00A046FA"/>
    <w:rsid w:val="00A0562E"/>
    <w:rsid w:val="00A066E9"/>
    <w:rsid w:val="00A0726D"/>
    <w:rsid w:val="00A073AE"/>
    <w:rsid w:val="00A12204"/>
    <w:rsid w:val="00A12750"/>
    <w:rsid w:val="00A13CB0"/>
    <w:rsid w:val="00A1561F"/>
    <w:rsid w:val="00A16544"/>
    <w:rsid w:val="00A30BF5"/>
    <w:rsid w:val="00A31BE6"/>
    <w:rsid w:val="00A32FBB"/>
    <w:rsid w:val="00A40068"/>
    <w:rsid w:val="00A406A1"/>
    <w:rsid w:val="00A40BE9"/>
    <w:rsid w:val="00A428EE"/>
    <w:rsid w:val="00A43F4F"/>
    <w:rsid w:val="00A443C2"/>
    <w:rsid w:val="00A4478A"/>
    <w:rsid w:val="00A44852"/>
    <w:rsid w:val="00A47C39"/>
    <w:rsid w:val="00A50502"/>
    <w:rsid w:val="00A507CD"/>
    <w:rsid w:val="00A53409"/>
    <w:rsid w:val="00A53796"/>
    <w:rsid w:val="00A53848"/>
    <w:rsid w:val="00A56945"/>
    <w:rsid w:val="00A569E8"/>
    <w:rsid w:val="00A56A6E"/>
    <w:rsid w:val="00A57D04"/>
    <w:rsid w:val="00A60A26"/>
    <w:rsid w:val="00A61598"/>
    <w:rsid w:val="00A61777"/>
    <w:rsid w:val="00A63646"/>
    <w:rsid w:val="00A63914"/>
    <w:rsid w:val="00A6726E"/>
    <w:rsid w:val="00A67CB4"/>
    <w:rsid w:val="00A84A99"/>
    <w:rsid w:val="00A84F46"/>
    <w:rsid w:val="00A85E87"/>
    <w:rsid w:val="00A86AEA"/>
    <w:rsid w:val="00A871F4"/>
    <w:rsid w:val="00A90020"/>
    <w:rsid w:val="00A9431A"/>
    <w:rsid w:val="00A9558B"/>
    <w:rsid w:val="00A95988"/>
    <w:rsid w:val="00A959DF"/>
    <w:rsid w:val="00A97A1B"/>
    <w:rsid w:val="00AA2927"/>
    <w:rsid w:val="00AB2CB8"/>
    <w:rsid w:val="00AB4617"/>
    <w:rsid w:val="00AB51D3"/>
    <w:rsid w:val="00AC1B2C"/>
    <w:rsid w:val="00AC23BF"/>
    <w:rsid w:val="00AC3264"/>
    <w:rsid w:val="00AC46AD"/>
    <w:rsid w:val="00AC4D2D"/>
    <w:rsid w:val="00AC58EC"/>
    <w:rsid w:val="00AC7282"/>
    <w:rsid w:val="00AC7961"/>
    <w:rsid w:val="00AD1D00"/>
    <w:rsid w:val="00AD314E"/>
    <w:rsid w:val="00AD5FCD"/>
    <w:rsid w:val="00AD6B48"/>
    <w:rsid w:val="00AD7A3A"/>
    <w:rsid w:val="00AE1BF1"/>
    <w:rsid w:val="00AE23AB"/>
    <w:rsid w:val="00AE58FB"/>
    <w:rsid w:val="00AE5AF0"/>
    <w:rsid w:val="00AE663D"/>
    <w:rsid w:val="00AE73AF"/>
    <w:rsid w:val="00AE73B3"/>
    <w:rsid w:val="00AE73E8"/>
    <w:rsid w:val="00AF07E7"/>
    <w:rsid w:val="00AF0DD2"/>
    <w:rsid w:val="00AF31E1"/>
    <w:rsid w:val="00AF3BB1"/>
    <w:rsid w:val="00AF3BBA"/>
    <w:rsid w:val="00AF4231"/>
    <w:rsid w:val="00AF4D5E"/>
    <w:rsid w:val="00B00B0E"/>
    <w:rsid w:val="00B00B26"/>
    <w:rsid w:val="00B02385"/>
    <w:rsid w:val="00B0267C"/>
    <w:rsid w:val="00B02F9D"/>
    <w:rsid w:val="00B05766"/>
    <w:rsid w:val="00B1136C"/>
    <w:rsid w:val="00B13048"/>
    <w:rsid w:val="00B13883"/>
    <w:rsid w:val="00B15B44"/>
    <w:rsid w:val="00B1716D"/>
    <w:rsid w:val="00B17A1D"/>
    <w:rsid w:val="00B207A0"/>
    <w:rsid w:val="00B21C21"/>
    <w:rsid w:val="00B22F54"/>
    <w:rsid w:val="00B24A7E"/>
    <w:rsid w:val="00B25C0C"/>
    <w:rsid w:val="00B26A35"/>
    <w:rsid w:val="00B304B5"/>
    <w:rsid w:val="00B308A9"/>
    <w:rsid w:val="00B31047"/>
    <w:rsid w:val="00B33148"/>
    <w:rsid w:val="00B33383"/>
    <w:rsid w:val="00B35CDF"/>
    <w:rsid w:val="00B403C2"/>
    <w:rsid w:val="00B405A1"/>
    <w:rsid w:val="00B42756"/>
    <w:rsid w:val="00B433DA"/>
    <w:rsid w:val="00B43C29"/>
    <w:rsid w:val="00B4438A"/>
    <w:rsid w:val="00B45AA2"/>
    <w:rsid w:val="00B479CA"/>
    <w:rsid w:val="00B5084F"/>
    <w:rsid w:val="00B514DD"/>
    <w:rsid w:val="00B52AF0"/>
    <w:rsid w:val="00B53D5F"/>
    <w:rsid w:val="00B54051"/>
    <w:rsid w:val="00B561BD"/>
    <w:rsid w:val="00B56E03"/>
    <w:rsid w:val="00B617E8"/>
    <w:rsid w:val="00B62765"/>
    <w:rsid w:val="00B65DF5"/>
    <w:rsid w:val="00B749E3"/>
    <w:rsid w:val="00B75748"/>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B41"/>
    <w:rsid w:val="00BB2FB2"/>
    <w:rsid w:val="00BB3304"/>
    <w:rsid w:val="00BB6551"/>
    <w:rsid w:val="00BB6DF8"/>
    <w:rsid w:val="00BC4A10"/>
    <w:rsid w:val="00BD30F4"/>
    <w:rsid w:val="00BD3446"/>
    <w:rsid w:val="00BD59CF"/>
    <w:rsid w:val="00BE1312"/>
    <w:rsid w:val="00BE1F1B"/>
    <w:rsid w:val="00BE3F89"/>
    <w:rsid w:val="00BE47B5"/>
    <w:rsid w:val="00BE4919"/>
    <w:rsid w:val="00BE5FCE"/>
    <w:rsid w:val="00BE6BEF"/>
    <w:rsid w:val="00BF19CF"/>
    <w:rsid w:val="00BF49C4"/>
    <w:rsid w:val="00BF7D57"/>
    <w:rsid w:val="00C0079E"/>
    <w:rsid w:val="00C0572A"/>
    <w:rsid w:val="00C07304"/>
    <w:rsid w:val="00C13A37"/>
    <w:rsid w:val="00C13EBD"/>
    <w:rsid w:val="00C1631B"/>
    <w:rsid w:val="00C163AB"/>
    <w:rsid w:val="00C170F0"/>
    <w:rsid w:val="00C25962"/>
    <w:rsid w:val="00C25FA6"/>
    <w:rsid w:val="00C3099D"/>
    <w:rsid w:val="00C33011"/>
    <w:rsid w:val="00C3526D"/>
    <w:rsid w:val="00C362C1"/>
    <w:rsid w:val="00C4008B"/>
    <w:rsid w:val="00C41950"/>
    <w:rsid w:val="00C42C3B"/>
    <w:rsid w:val="00C51672"/>
    <w:rsid w:val="00C538A9"/>
    <w:rsid w:val="00C53B5A"/>
    <w:rsid w:val="00C53E41"/>
    <w:rsid w:val="00C54909"/>
    <w:rsid w:val="00C54AF3"/>
    <w:rsid w:val="00C54F5A"/>
    <w:rsid w:val="00C569B4"/>
    <w:rsid w:val="00C57DDE"/>
    <w:rsid w:val="00C61468"/>
    <w:rsid w:val="00C61A97"/>
    <w:rsid w:val="00C61E44"/>
    <w:rsid w:val="00C63384"/>
    <w:rsid w:val="00C64FF3"/>
    <w:rsid w:val="00C662AD"/>
    <w:rsid w:val="00C66CC1"/>
    <w:rsid w:val="00C67A92"/>
    <w:rsid w:val="00C706BB"/>
    <w:rsid w:val="00C71280"/>
    <w:rsid w:val="00C717BF"/>
    <w:rsid w:val="00C76178"/>
    <w:rsid w:val="00C81B85"/>
    <w:rsid w:val="00C84560"/>
    <w:rsid w:val="00C86679"/>
    <w:rsid w:val="00C8792F"/>
    <w:rsid w:val="00C90472"/>
    <w:rsid w:val="00C91D6E"/>
    <w:rsid w:val="00C95104"/>
    <w:rsid w:val="00CA33E1"/>
    <w:rsid w:val="00CA489E"/>
    <w:rsid w:val="00CA551E"/>
    <w:rsid w:val="00CB0279"/>
    <w:rsid w:val="00CB0F2C"/>
    <w:rsid w:val="00CB666B"/>
    <w:rsid w:val="00CB734B"/>
    <w:rsid w:val="00CC2F0A"/>
    <w:rsid w:val="00CC31FD"/>
    <w:rsid w:val="00CC3F49"/>
    <w:rsid w:val="00CC3F6B"/>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2C83"/>
    <w:rsid w:val="00CF42AA"/>
    <w:rsid w:val="00CF5EAA"/>
    <w:rsid w:val="00CF6AE3"/>
    <w:rsid w:val="00CF77BB"/>
    <w:rsid w:val="00CF7AE0"/>
    <w:rsid w:val="00D006AE"/>
    <w:rsid w:val="00D00905"/>
    <w:rsid w:val="00D010C1"/>
    <w:rsid w:val="00D01CF0"/>
    <w:rsid w:val="00D0442A"/>
    <w:rsid w:val="00D12A7B"/>
    <w:rsid w:val="00D12ADB"/>
    <w:rsid w:val="00D14B54"/>
    <w:rsid w:val="00D15E63"/>
    <w:rsid w:val="00D253F5"/>
    <w:rsid w:val="00D25A39"/>
    <w:rsid w:val="00D270EB"/>
    <w:rsid w:val="00D27CFA"/>
    <w:rsid w:val="00D310FA"/>
    <w:rsid w:val="00D325C6"/>
    <w:rsid w:val="00D37213"/>
    <w:rsid w:val="00D4360D"/>
    <w:rsid w:val="00D44554"/>
    <w:rsid w:val="00D5015C"/>
    <w:rsid w:val="00D5607F"/>
    <w:rsid w:val="00D60238"/>
    <w:rsid w:val="00D61388"/>
    <w:rsid w:val="00D61A54"/>
    <w:rsid w:val="00D62108"/>
    <w:rsid w:val="00D64AA4"/>
    <w:rsid w:val="00D64DEA"/>
    <w:rsid w:val="00D64F84"/>
    <w:rsid w:val="00D663CD"/>
    <w:rsid w:val="00D671AA"/>
    <w:rsid w:val="00D6726A"/>
    <w:rsid w:val="00D7001B"/>
    <w:rsid w:val="00D7160D"/>
    <w:rsid w:val="00D7168E"/>
    <w:rsid w:val="00D71C4C"/>
    <w:rsid w:val="00D71E57"/>
    <w:rsid w:val="00D72D27"/>
    <w:rsid w:val="00D74CCD"/>
    <w:rsid w:val="00D7786B"/>
    <w:rsid w:val="00D77CFE"/>
    <w:rsid w:val="00D80893"/>
    <w:rsid w:val="00D81639"/>
    <w:rsid w:val="00D82519"/>
    <w:rsid w:val="00D84854"/>
    <w:rsid w:val="00D900A2"/>
    <w:rsid w:val="00D92007"/>
    <w:rsid w:val="00D924AE"/>
    <w:rsid w:val="00D92CF1"/>
    <w:rsid w:val="00D92D38"/>
    <w:rsid w:val="00D950F5"/>
    <w:rsid w:val="00D97379"/>
    <w:rsid w:val="00D973D2"/>
    <w:rsid w:val="00DA4752"/>
    <w:rsid w:val="00DA4C09"/>
    <w:rsid w:val="00DA61F3"/>
    <w:rsid w:val="00DA7CB3"/>
    <w:rsid w:val="00DB0D00"/>
    <w:rsid w:val="00DB0E81"/>
    <w:rsid w:val="00DB0F93"/>
    <w:rsid w:val="00DB1A67"/>
    <w:rsid w:val="00DB1B90"/>
    <w:rsid w:val="00DB3721"/>
    <w:rsid w:val="00DB430B"/>
    <w:rsid w:val="00DB5074"/>
    <w:rsid w:val="00DB5229"/>
    <w:rsid w:val="00DB7A56"/>
    <w:rsid w:val="00DB7AE7"/>
    <w:rsid w:val="00DC0281"/>
    <w:rsid w:val="00DC1930"/>
    <w:rsid w:val="00DC1C76"/>
    <w:rsid w:val="00DC4DBF"/>
    <w:rsid w:val="00DC4E19"/>
    <w:rsid w:val="00DC65FE"/>
    <w:rsid w:val="00DC7981"/>
    <w:rsid w:val="00DD1EB9"/>
    <w:rsid w:val="00DD389B"/>
    <w:rsid w:val="00DD4C07"/>
    <w:rsid w:val="00DD560A"/>
    <w:rsid w:val="00DD577D"/>
    <w:rsid w:val="00DD5ADC"/>
    <w:rsid w:val="00DE1093"/>
    <w:rsid w:val="00DE4EFA"/>
    <w:rsid w:val="00DE5520"/>
    <w:rsid w:val="00DE563D"/>
    <w:rsid w:val="00DE7AB5"/>
    <w:rsid w:val="00DF0152"/>
    <w:rsid w:val="00DF1958"/>
    <w:rsid w:val="00DF1AAF"/>
    <w:rsid w:val="00DF1FFE"/>
    <w:rsid w:val="00E03E39"/>
    <w:rsid w:val="00E04818"/>
    <w:rsid w:val="00E06442"/>
    <w:rsid w:val="00E06952"/>
    <w:rsid w:val="00E11E61"/>
    <w:rsid w:val="00E157B2"/>
    <w:rsid w:val="00E16055"/>
    <w:rsid w:val="00E169C7"/>
    <w:rsid w:val="00E230EE"/>
    <w:rsid w:val="00E2332D"/>
    <w:rsid w:val="00E23993"/>
    <w:rsid w:val="00E2553A"/>
    <w:rsid w:val="00E2574F"/>
    <w:rsid w:val="00E25951"/>
    <w:rsid w:val="00E25B8C"/>
    <w:rsid w:val="00E30858"/>
    <w:rsid w:val="00E30DFD"/>
    <w:rsid w:val="00E31CF6"/>
    <w:rsid w:val="00E327DB"/>
    <w:rsid w:val="00E3451F"/>
    <w:rsid w:val="00E34A4A"/>
    <w:rsid w:val="00E35463"/>
    <w:rsid w:val="00E35AFC"/>
    <w:rsid w:val="00E41D39"/>
    <w:rsid w:val="00E44D89"/>
    <w:rsid w:val="00E50A02"/>
    <w:rsid w:val="00E54106"/>
    <w:rsid w:val="00E54697"/>
    <w:rsid w:val="00E57A08"/>
    <w:rsid w:val="00E621C3"/>
    <w:rsid w:val="00E62673"/>
    <w:rsid w:val="00E63631"/>
    <w:rsid w:val="00E64C2A"/>
    <w:rsid w:val="00E65C85"/>
    <w:rsid w:val="00E66199"/>
    <w:rsid w:val="00E70526"/>
    <w:rsid w:val="00E70F74"/>
    <w:rsid w:val="00E71A67"/>
    <w:rsid w:val="00E754B4"/>
    <w:rsid w:val="00E755EC"/>
    <w:rsid w:val="00E7624D"/>
    <w:rsid w:val="00E81724"/>
    <w:rsid w:val="00E819A4"/>
    <w:rsid w:val="00E833FA"/>
    <w:rsid w:val="00E84B74"/>
    <w:rsid w:val="00E87066"/>
    <w:rsid w:val="00E966BF"/>
    <w:rsid w:val="00EA08ED"/>
    <w:rsid w:val="00EA0C04"/>
    <w:rsid w:val="00EA3D42"/>
    <w:rsid w:val="00EA6B1B"/>
    <w:rsid w:val="00EB1CBD"/>
    <w:rsid w:val="00EB3A34"/>
    <w:rsid w:val="00EB3B5A"/>
    <w:rsid w:val="00EB3C3F"/>
    <w:rsid w:val="00EC04F1"/>
    <w:rsid w:val="00EC237F"/>
    <w:rsid w:val="00EC573A"/>
    <w:rsid w:val="00ED35C8"/>
    <w:rsid w:val="00ED3648"/>
    <w:rsid w:val="00ED3968"/>
    <w:rsid w:val="00ED7323"/>
    <w:rsid w:val="00ED74C8"/>
    <w:rsid w:val="00ED7CA6"/>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17837"/>
    <w:rsid w:val="00F20BD3"/>
    <w:rsid w:val="00F22A8C"/>
    <w:rsid w:val="00F23150"/>
    <w:rsid w:val="00F322E9"/>
    <w:rsid w:val="00F3231B"/>
    <w:rsid w:val="00F33808"/>
    <w:rsid w:val="00F373A5"/>
    <w:rsid w:val="00F37864"/>
    <w:rsid w:val="00F404F9"/>
    <w:rsid w:val="00F44B0A"/>
    <w:rsid w:val="00F47559"/>
    <w:rsid w:val="00F50B30"/>
    <w:rsid w:val="00F510F4"/>
    <w:rsid w:val="00F51F5F"/>
    <w:rsid w:val="00F52D75"/>
    <w:rsid w:val="00F55582"/>
    <w:rsid w:val="00F57647"/>
    <w:rsid w:val="00F62A14"/>
    <w:rsid w:val="00F644AB"/>
    <w:rsid w:val="00F64C7B"/>
    <w:rsid w:val="00F670BB"/>
    <w:rsid w:val="00F671A3"/>
    <w:rsid w:val="00F676DD"/>
    <w:rsid w:val="00F67AB6"/>
    <w:rsid w:val="00F70028"/>
    <w:rsid w:val="00F70434"/>
    <w:rsid w:val="00F72B9A"/>
    <w:rsid w:val="00F72D53"/>
    <w:rsid w:val="00F75A26"/>
    <w:rsid w:val="00F76706"/>
    <w:rsid w:val="00F77D6D"/>
    <w:rsid w:val="00F80206"/>
    <w:rsid w:val="00F83034"/>
    <w:rsid w:val="00F83FAD"/>
    <w:rsid w:val="00F844C6"/>
    <w:rsid w:val="00F917AA"/>
    <w:rsid w:val="00F92FA6"/>
    <w:rsid w:val="00F9353B"/>
    <w:rsid w:val="00F937F1"/>
    <w:rsid w:val="00F952A0"/>
    <w:rsid w:val="00FA07D8"/>
    <w:rsid w:val="00FA31B1"/>
    <w:rsid w:val="00FA3320"/>
    <w:rsid w:val="00FA3C7F"/>
    <w:rsid w:val="00FA6246"/>
    <w:rsid w:val="00FB0811"/>
    <w:rsid w:val="00FB24ED"/>
    <w:rsid w:val="00FB2F92"/>
    <w:rsid w:val="00FB3304"/>
    <w:rsid w:val="00FB5005"/>
    <w:rsid w:val="00FB60FE"/>
    <w:rsid w:val="00FB74E2"/>
    <w:rsid w:val="00FB778B"/>
    <w:rsid w:val="00FC0566"/>
    <w:rsid w:val="00FD5614"/>
    <w:rsid w:val="00FD5E78"/>
    <w:rsid w:val="00FD621A"/>
    <w:rsid w:val="00FD7695"/>
    <w:rsid w:val="00FE0BE1"/>
    <w:rsid w:val="00FE11BB"/>
    <w:rsid w:val="00FE1852"/>
    <w:rsid w:val="00FE1DE9"/>
    <w:rsid w:val="00FE36AF"/>
    <w:rsid w:val="00FE39C2"/>
    <w:rsid w:val="00FE3C32"/>
    <w:rsid w:val="00FE4D4F"/>
    <w:rsid w:val="00FE64AE"/>
    <w:rsid w:val="00FF117E"/>
    <w:rsid w:val="00FF4887"/>
    <w:rsid w:val="00FF53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DF72BB-04F5-4D0E-AAD5-9CD756E7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CF056327</Template>
  <TotalTime>0</TotalTime>
  <Pages>13</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2017-07-04T07:53:00Z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