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5A971DAC" wp14:editId="725A33A9">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097CD4FB" wp14:editId="15035AF5">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0B33D2" w:rsidRDefault="000B33D2" w:rsidP="00D5015C">
          <w:pPr>
            <w:pStyle w:val="ReportSubtitle"/>
          </w:pPr>
          <w:r w:rsidRPr="000B33D2">
            <w:t>DRAFT DECISION</w:t>
          </w:r>
        </w:p>
        <w:p w:rsidR="0075022A" w:rsidRDefault="0075022A" w:rsidP="00D5015C">
          <w:pPr>
            <w:pStyle w:val="ReportSubtitle"/>
          </w:pPr>
          <w:r>
            <w:t>AusNet Services</w:t>
          </w:r>
          <w:r w:rsidR="00D5015C">
            <w:t xml:space="preserve"> </w:t>
          </w:r>
        </w:p>
        <w:p w:rsidR="00D5015C" w:rsidRDefault="0075022A" w:rsidP="00D5015C">
          <w:pPr>
            <w:pStyle w:val="ReportSubtitle"/>
          </w:pPr>
          <w:r>
            <w:t>G</w:t>
          </w:r>
          <w:r w:rsidR="00D5015C">
            <w:t>as access arrangement</w:t>
          </w:r>
        </w:p>
        <w:p w:rsidR="00D5015C" w:rsidRDefault="00D5015C" w:rsidP="00D5015C">
          <w:pPr>
            <w:pStyle w:val="ReportSubtitle"/>
          </w:pPr>
          <w:r>
            <w:t xml:space="preserve"> 2018 to 2022</w:t>
          </w:r>
        </w:p>
        <w:p w:rsidR="008F07A3" w:rsidRPr="000A6C7B" w:rsidRDefault="008F07A3" w:rsidP="00D5015C">
          <w:pPr>
            <w:pStyle w:val="ReportSubtitle"/>
            <w:tabs>
              <w:tab w:val="left" w:pos="1122"/>
              <w:tab w:val="center" w:pos="4238"/>
            </w:tabs>
            <w:jc w:val="left"/>
          </w:pPr>
        </w:p>
        <w:p w:rsidR="000A6C7B" w:rsidRDefault="0037699E" w:rsidP="008F07A3">
          <w:pPr>
            <w:pStyle w:val="ReportSubtitle"/>
          </w:pPr>
          <w:r>
            <w:t xml:space="preserve">Attachment </w:t>
          </w:r>
          <w:r w:rsidR="00471BC6">
            <w:t>1</w:t>
          </w:r>
          <w:r w:rsidR="000C6409">
            <w:t>3</w:t>
          </w:r>
          <w:r w:rsidR="000474DF">
            <w:t xml:space="preserve"> </w:t>
          </w:r>
          <w:r w:rsidR="00185BA5">
            <w:t>–</w:t>
          </w:r>
          <w:r w:rsidR="000474DF">
            <w:t xml:space="preserve"> </w:t>
          </w:r>
          <w:r w:rsidR="000C6409">
            <w:t>Demand</w:t>
          </w:r>
        </w:p>
        <w:p w:rsidR="00D5015C" w:rsidRDefault="00D5015C" w:rsidP="00327A1E">
          <w:pPr>
            <w:pStyle w:val="ReportDate"/>
          </w:pPr>
        </w:p>
        <w:p w:rsidR="00D5015C" w:rsidRDefault="00D5015C" w:rsidP="00327A1E">
          <w:pPr>
            <w:pStyle w:val="ReportDate"/>
          </w:pPr>
        </w:p>
        <w:p w:rsidR="000A6C7B" w:rsidRPr="00327A1E" w:rsidRDefault="00003960" w:rsidP="00327A1E">
          <w:pPr>
            <w:pStyle w:val="ReportDate"/>
          </w:pPr>
          <w:r>
            <w:t xml:space="preserve">July </w:t>
          </w:r>
          <w:r w:rsidR="00F22A8C">
            <w:t>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0C6409">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003960" w:rsidRPr="00003960">
        <w:t>1300 585 165</w:t>
      </w:r>
    </w:p>
    <w:p w:rsidR="00CE2A23" w:rsidRDefault="00CE2A23" w:rsidP="00761454">
      <w: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6841049"/>
      <w:r>
        <w:lastRenderedPageBreak/>
        <w:t>Note</w:t>
      </w:r>
      <w:bookmarkEnd w:id="1"/>
      <w:bookmarkEnd w:id="2"/>
      <w:bookmarkEnd w:id="3"/>
    </w:p>
    <w:p w:rsidR="00D5015C" w:rsidRDefault="00D5015C" w:rsidP="00D5015C">
      <w:pPr>
        <w:numPr>
          <w:ilvl w:val="0"/>
          <w:numId w:val="23"/>
        </w:numPr>
      </w:pPr>
      <w:r>
        <w:t xml:space="preserve">This attachment forms part of the AER's draft decision on the access arrangement for </w:t>
      </w:r>
      <w:r w:rsidR="0075022A">
        <w:t>AusNet Services</w:t>
      </w:r>
      <w:r>
        <w:t xml:space="preserve"> for 2018</w:t>
      </w:r>
      <w:r>
        <w:noBreakHyphen/>
        <w:t>22. It should be read with all other parts of the draft decision.</w:t>
      </w:r>
    </w:p>
    <w:p w:rsidR="00D5015C" w:rsidRDefault="00D5015C" w:rsidP="00D5015C">
      <w:pPr>
        <w:numPr>
          <w:ilvl w:val="0"/>
          <w:numId w:val="23"/>
        </w:numPr>
      </w:pPr>
      <w:r>
        <w:t>The draft decision includes the following documents:</w:t>
      </w:r>
    </w:p>
    <w:p w:rsidR="00D5015C" w:rsidRDefault="00D5015C" w:rsidP="00D5015C">
      <w:pPr>
        <w:numPr>
          <w:ilvl w:val="0"/>
          <w:numId w:val="23"/>
        </w:numPr>
      </w:pPr>
      <w:r>
        <w:t>Overview</w:t>
      </w:r>
    </w:p>
    <w:p w:rsidR="00D5015C" w:rsidRDefault="00D5015C" w:rsidP="00D5015C">
      <w:r>
        <w:t>Attachment 1 - Services covered by the access arrangement</w:t>
      </w:r>
    </w:p>
    <w:p w:rsidR="00D5015C" w:rsidRDefault="00D5015C" w:rsidP="00D5015C">
      <w:r>
        <w:t>Attachment 2 - Capital base</w:t>
      </w:r>
    </w:p>
    <w:p w:rsidR="00D5015C" w:rsidRDefault="00D5015C" w:rsidP="00D5015C">
      <w:r>
        <w:t>Attachment 3 - Rate of return</w:t>
      </w:r>
    </w:p>
    <w:p w:rsidR="00D5015C" w:rsidRDefault="00D5015C" w:rsidP="00D5015C">
      <w:r>
        <w:t>Attachment 4 - Value of imputation credits</w:t>
      </w:r>
    </w:p>
    <w:p w:rsidR="00D5015C" w:rsidRDefault="00D5015C" w:rsidP="00D5015C">
      <w:r>
        <w:t>Attachment 5 - Regulatory depreciation</w:t>
      </w:r>
    </w:p>
    <w:p w:rsidR="00D5015C" w:rsidRDefault="00D5015C" w:rsidP="00D5015C">
      <w:r>
        <w:t xml:space="preserve">Attachment 6 - Capital expenditure </w:t>
      </w:r>
    </w:p>
    <w:p w:rsidR="00D5015C" w:rsidRDefault="00D5015C" w:rsidP="00D5015C">
      <w:r>
        <w:t>Attachment 7 - Operating expenditure</w:t>
      </w:r>
    </w:p>
    <w:p w:rsidR="00D5015C" w:rsidRDefault="00D5015C" w:rsidP="00D5015C">
      <w:r>
        <w:t>Attachment 8 - Corporate income tax</w:t>
      </w:r>
    </w:p>
    <w:p w:rsidR="00D5015C" w:rsidRDefault="00D5015C" w:rsidP="00D5015C">
      <w:r>
        <w:t>Attachment 9 - Efficiency carryover mechanism</w:t>
      </w:r>
    </w:p>
    <w:p w:rsidR="00D5015C" w:rsidRDefault="00D5015C" w:rsidP="00D5015C">
      <w:r>
        <w:t>Attachment 10 - Reference tariff setting</w:t>
      </w:r>
    </w:p>
    <w:p w:rsidR="00D5015C" w:rsidRDefault="00D5015C" w:rsidP="00D5015C">
      <w:r>
        <w:t>Attachment 11 - Reference tariff variation mechanism</w:t>
      </w:r>
    </w:p>
    <w:p w:rsidR="00D5015C" w:rsidRDefault="00D5015C" w:rsidP="00D5015C">
      <w:r>
        <w:t>Attachment 12 - Non-tariff components</w:t>
      </w:r>
    </w:p>
    <w:p w:rsidR="00D5015C" w:rsidRDefault="00D5015C" w:rsidP="00D5015C">
      <w:r>
        <w:t>Attachment 13 - Demand</w:t>
      </w:r>
    </w:p>
    <w:p w:rsidR="00D5015C" w:rsidRDefault="00D5015C" w:rsidP="00D5015C">
      <w:r>
        <w:t>Attachment 14 - Other incentive schemes</w:t>
      </w:r>
    </w:p>
    <w:p w:rsidR="00CE2A23" w:rsidRPr="00CE2A23" w:rsidRDefault="00CE2A23" w:rsidP="00CE2A23">
      <w:bookmarkStart w:id="4" w:name="_Toc404354899"/>
      <w:bookmarkStart w:id="5" w:name="_Toc404353070"/>
      <w:bookmarkStart w:id="6" w:name="_Toc404684201"/>
      <w:bookmarkStart w:id="7" w:name="_Toc404700923"/>
    </w:p>
    <w:bookmarkEnd w:id="4"/>
    <w:bookmarkEnd w:id="5"/>
    <w:bookmarkEnd w:id="6"/>
    <w:bookmarkEnd w:id="7"/>
    <w:p w:rsidR="00CE2A23" w:rsidRPr="008F07A3" w:rsidRDefault="00CE2A23" w:rsidP="00CE2A23">
      <w:pPr>
        <w:numPr>
          <w:ilvl w:val="0"/>
          <w:numId w:val="24"/>
        </w:numPr>
        <w:sectPr w:rsidR="00CE2A23" w:rsidRPr="008F07A3" w:rsidSect="00317E02">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6841050"/>
      <w:r>
        <w:t>Contents</w:t>
      </w:r>
      <w:bookmarkEnd w:id="8"/>
      <w:bookmarkEnd w:id="9"/>
    </w:p>
    <w:p w:rsidR="00CE2A23" w:rsidRDefault="00CE2A23" w:rsidP="00CE2A23"/>
    <w:sdt>
      <w:sdtPr>
        <w:id w:val="1269200322"/>
        <w:docPartObj>
          <w:docPartGallery w:val="Table of Contents"/>
          <w:docPartUnique/>
        </w:docPartObj>
      </w:sdtPr>
      <w:sdtEndPr/>
      <w:sdtContent>
        <w:p w:rsidR="0044125E" w:rsidRDefault="000C6409">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 </w:instrText>
          </w:r>
          <w:r>
            <w:fldChar w:fldCharType="separate"/>
          </w:r>
          <w:hyperlink w:anchor="_Toc486841049" w:history="1">
            <w:r w:rsidR="0044125E" w:rsidRPr="00A4356C">
              <w:rPr>
                <w:rStyle w:val="Hyperlink"/>
              </w:rPr>
              <w:t>Note</w:t>
            </w:r>
            <w:r w:rsidR="0044125E">
              <w:rPr>
                <w:webHidden/>
              </w:rPr>
              <w:tab/>
            </w:r>
            <w:r w:rsidR="0044125E">
              <w:rPr>
                <w:webHidden/>
              </w:rPr>
              <w:fldChar w:fldCharType="begin"/>
            </w:r>
            <w:r w:rsidR="0044125E">
              <w:rPr>
                <w:webHidden/>
              </w:rPr>
              <w:instrText xml:space="preserve"> PAGEREF _Toc486841049 \h </w:instrText>
            </w:r>
            <w:r w:rsidR="0044125E">
              <w:rPr>
                <w:webHidden/>
              </w:rPr>
            </w:r>
            <w:r w:rsidR="0044125E">
              <w:rPr>
                <w:webHidden/>
              </w:rPr>
              <w:fldChar w:fldCharType="separate"/>
            </w:r>
            <w:r w:rsidR="00093FB9">
              <w:rPr>
                <w:webHidden/>
              </w:rPr>
              <w:t>13-2</w:t>
            </w:r>
            <w:r w:rsidR="0044125E">
              <w:rPr>
                <w:webHidden/>
              </w:rPr>
              <w:fldChar w:fldCharType="end"/>
            </w:r>
          </w:hyperlink>
        </w:p>
        <w:p w:rsidR="0044125E" w:rsidRDefault="00093FB9">
          <w:pPr>
            <w:pStyle w:val="TOC1"/>
            <w:rPr>
              <w:rFonts w:asciiTheme="minorHAnsi" w:eastAsiaTheme="minorEastAsia" w:hAnsiTheme="minorHAnsi"/>
              <w:b w:val="0"/>
              <w:color w:val="auto"/>
              <w:sz w:val="22"/>
              <w:lang w:val="en-AU" w:eastAsia="en-AU"/>
            </w:rPr>
          </w:pPr>
          <w:hyperlink w:anchor="_Toc486841050" w:history="1">
            <w:r w:rsidR="0044125E" w:rsidRPr="00A4356C">
              <w:rPr>
                <w:rStyle w:val="Hyperlink"/>
              </w:rPr>
              <w:t>Contents</w:t>
            </w:r>
            <w:r w:rsidR="0044125E">
              <w:rPr>
                <w:webHidden/>
              </w:rPr>
              <w:tab/>
            </w:r>
            <w:r w:rsidR="0044125E">
              <w:rPr>
                <w:webHidden/>
              </w:rPr>
              <w:fldChar w:fldCharType="begin"/>
            </w:r>
            <w:r w:rsidR="0044125E">
              <w:rPr>
                <w:webHidden/>
              </w:rPr>
              <w:instrText xml:space="preserve"> PAGEREF _Toc486841050 \h </w:instrText>
            </w:r>
            <w:r w:rsidR="0044125E">
              <w:rPr>
                <w:webHidden/>
              </w:rPr>
            </w:r>
            <w:r w:rsidR="0044125E">
              <w:rPr>
                <w:webHidden/>
              </w:rPr>
              <w:fldChar w:fldCharType="separate"/>
            </w:r>
            <w:r>
              <w:rPr>
                <w:webHidden/>
              </w:rPr>
              <w:t>13-3</w:t>
            </w:r>
            <w:r w:rsidR="0044125E">
              <w:rPr>
                <w:webHidden/>
              </w:rPr>
              <w:fldChar w:fldCharType="end"/>
            </w:r>
          </w:hyperlink>
        </w:p>
        <w:p w:rsidR="0044125E" w:rsidRDefault="00093FB9">
          <w:pPr>
            <w:pStyle w:val="TOC1"/>
            <w:rPr>
              <w:rFonts w:asciiTheme="minorHAnsi" w:eastAsiaTheme="minorEastAsia" w:hAnsiTheme="minorHAnsi"/>
              <w:b w:val="0"/>
              <w:color w:val="auto"/>
              <w:sz w:val="22"/>
              <w:lang w:val="en-AU" w:eastAsia="en-AU"/>
            </w:rPr>
          </w:pPr>
          <w:hyperlink w:anchor="_Toc486841051" w:history="1">
            <w:r w:rsidR="0044125E" w:rsidRPr="00A4356C">
              <w:rPr>
                <w:rStyle w:val="Hyperlink"/>
              </w:rPr>
              <w:t>Shortened forms</w:t>
            </w:r>
            <w:r w:rsidR="0044125E">
              <w:rPr>
                <w:webHidden/>
              </w:rPr>
              <w:tab/>
            </w:r>
            <w:r w:rsidR="0044125E">
              <w:rPr>
                <w:webHidden/>
              </w:rPr>
              <w:fldChar w:fldCharType="begin"/>
            </w:r>
            <w:r w:rsidR="0044125E">
              <w:rPr>
                <w:webHidden/>
              </w:rPr>
              <w:instrText xml:space="preserve"> PAGEREF _Toc486841051 \h </w:instrText>
            </w:r>
            <w:r w:rsidR="0044125E">
              <w:rPr>
                <w:webHidden/>
              </w:rPr>
            </w:r>
            <w:r w:rsidR="0044125E">
              <w:rPr>
                <w:webHidden/>
              </w:rPr>
              <w:fldChar w:fldCharType="separate"/>
            </w:r>
            <w:r>
              <w:rPr>
                <w:webHidden/>
              </w:rPr>
              <w:t>13-4</w:t>
            </w:r>
            <w:r w:rsidR="0044125E">
              <w:rPr>
                <w:webHidden/>
              </w:rPr>
              <w:fldChar w:fldCharType="end"/>
            </w:r>
          </w:hyperlink>
        </w:p>
        <w:p w:rsidR="0044125E" w:rsidRDefault="00093FB9">
          <w:pPr>
            <w:pStyle w:val="TOC1"/>
            <w:rPr>
              <w:rFonts w:asciiTheme="minorHAnsi" w:eastAsiaTheme="minorEastAsia" w:hAnsiTheme="minorHAnsi"/>
              <w:b w:val="0"/>
              <w:color w:val="auto"/>
              <w:sz w:val="22"/>
              <w:lang w:val="en-AU" w:eastAsia="en-AU"/>
            </w:rPr>
          </w:pPr>
          <w:hyperlink w:anchor="_Toc486841052" w:history="1">
            <w:r w:rsidR="0044125E" w:rsidRPr="00A4356C">
              <w:rPr>
                <w:rStyle w:val="Hyperlink"/>
              </w:rPr>
              <w:t>13</w:t>
            </w:r>
            <w:r w:rsidR="0044125E">
              <w:rPr>
                <w:rFonts w:asciiTheme="minorHAnsi" w:eastAsiaTheme="minorEastAsia" w:hAnsiTheme="minorHAnsi"/>
                <w:b w:val="0"/>
                <w:color w:val="auto"/>
                <w:sz w:val="22"/>
                <w:lang w:val="en-AU" w:eastAsia="en-AU"/>
              </w:rPr>
              <w:tab/>
            </w:r>
            <w:r w:rsidR="0044125E" w:rsidRPr="00A4356C">
              <w:rPr>
                <w:rStyle w:val="Hyperlink"/>
              </w:rPr>
              <w:t>Demand</w:t>
            </w:r>
            <w:r w:rsidR="0044125E">
              <w:rPr>
                <w:webHidden/>
              </w:rPr>
              <w:tab/>
            </w:r>
            <w:r w:rsidR="0044125E">
              <w:rPr>
                <w:webHidden/>
              </w:rPr>
              <w:fldChar w:fldCharType="begin"/>
            </w:r>
            <w:r w:rsidR="0044125E">
              <w:rPr>
                <w:webHidden/>
              </w:rPr>
              <w:instrText xml:space="preserve"> PAGEREF _Toc486841052 \h </w:instrText>
            </w:r>
            <w:r w:rsidR="0044125E">
              <w:rPr>
                <w:webHidden/>
              </w:rPr>
            </w:r>
            <w:r w:rsidR="0044125E">
              <w:rPr>
                <w:webHidden/>
              </w:rPr>
              <w:fldChar w:fldCharType="separate"/>
            </w:r>
            <w:r>
              <w:rPr>
                <w:webHidden/>
              </w:rPr>
              <w:t>13-5</w:t>
            </w:r>
            <w:r w:rsidR="0044125E">
              <w:rPr>
                <w:webHidden/>
              </w:rPr>
              <w:fldChar w:fldCharType="end"/>
            </w:r>
          </w:hyperlink>
        </w:p>
        <w:p w:rsidR="0044125E" w:rsidRDefault="00093FB9">
          <w:pPr>
            <w:pStyle w:val="TOC2"/>
            <w:tabs>
              <w:tab w:val="left" w:pos="1276"/>
            </w:tabs>
            <w:rPr>
              <w:rFonts w:asciiTheme="minorHAnsi" w:eastAsiaTheme="minorEastAsia" w:hAnsiTheme="minorHAnsi"/>
              <w:b w:val="0"/>
              <w:color w:val="auto"/>
              <w:sz w:val="22"/>
              <w:lang w:eastAsia="en-AU"/>
            </w:rPr>
          </w:pPr>
          <w:hyperlink w:anchor="_Toc486841053" w:history="1">
            <w:r w:rsidR="0044125E" w:rsidRPr="00A4356C">
              <w:rPr>
                <w:rStyle w:val="Hyperlink"/>
              </w:rPr>
              <w:t>13.1</w:t>
            </w:r>
            <w:r w:rsidR="0044125E">
              <w:rPr>
                <w:rFonts w:asciiTheme="minorHAnsi" w:eastAsiaTheme="minorEastAsia" w:hAnsiTheme="minorHAnsi"/>
                <w:b w:val="0"/>
                <w:color w:val="auto"/>
                <w:sz w:val="22"/>
                <w:lang w:eastAsia="en-AU"/>
              </w:rPr>
              <w:tab/>
            </w:r>
            <w:r w:rsidR="0044125E" w:rsidRPr="00A4356C">
              <w:rPr>
                <w:rStyle w:val="Hyperlink"/>
              </w:rPr>
              <w:t>Draft decision</w:t>
            </w:r>
            <w:r w:rsidR="0044125E">
              <w:rPr>
                <w:webHidden/>
              </w:rPr>
              <w:tab/>
            </w:r>
            <w:r w:rsidR="0044125E">
              <w:rPr>
                <w:webHidden/>
              </w:rPr>
              <w:fldChar w:fldCharType="begin"/>
            </w:r>
            <w:r w:rsidR="0044125E">
              <w:rPr>
                <w:webHidden/>
              </w:rPr>
              <w:instrText xml:space="preserve"> PAGEREF _Toc486841053 \h </w:instrText>
            </w:r>
            <w:r w:rsidR="0044125E">
              <w:rPr>
                <w:webHidden/>
              </w:rPr>
            </w:r>
            <w:r w:rsidR="0044125E">
              <w:rPr>
                <w:webHidden/>
              </w:rPr>
              <w:fldChar w:fldCharType="separate"/>
            </w:r>
            <w:r>
              <w:rPr>
                <w:webHidden/>
              </w:rPr>
              <w:t>13-5</w:t>
            </w:r>
            <w:r w:rsidR="0044125E">
              <w:rPr>
                <w:webHidden/>
              </w:rPr>
              <w:fldChar w:fldCharType="end"/>
            </w:r>
          </w:hyperlink>
        </w:p>
        <w:p w:rsidR="0044125E" w:rsidRDefault="00093FB9">
          <w:pPr>
            <w:pStyle w:val="TOC2"/>
            <w:tabs>
              <w:tab w:val="left" w:pos="1276"/>
            </w:tabs>
            <w:rPr>
              <w:rFonts w:asciiTheme="minorHAnsi" w:eastAsiaTheme="minorEastAsia" w:hAnsiTheme="minorHAnsi"/>
              <w:b w:val="0"/>
              <w:color w:val="auto"/>
              <w:sz w:val="22"/>
              <w:lang w:eastAsia="en-AU"/>
            </w:rPr>
          </w:pPr>
          <w:hyperlink w:anchor="_Toc486841054" w:history="1">
            <w:r w:rsidR="0044125E" w:rsidRPr="00A4356C">
              <w:rPr>
                <w:rStyle w:val="Hyperlink"/>
              </w:rPr>
              <w:t>13.2</w:t>
            </w:r>
            <w:r w:rsidR="0044125E">
              <w:rPr>
                <w:rFonts w:asciiTheme="minorHAnsi" w:eastAsiaTheme="minorEastAsia" w:hAnsiTheme="minorHAnsi"/>
                <w:b w:val="0"/>
                <w:color w:val="auto"/>
                <w:sz w:val="22"/>
                <w:lang w:eastAsia="en-AU"/>
              </w:rPr>
              <w:tab/>
            </w:r>
            <w:r w:rsidR="0044125E" w:rsidRPr="00A4356C">
              <w:rPr>
                <w:rStyle w:val="Hyperlink"/>
              </w:rPr>
              <w:t>AusNet's proposal</w:t>
            </w:r>
            <w:r w:rsidR="0044125E">
              <w:rPr>
                <w:webHidden/>
              </w:rPr>
              <w:tab/>
            </w:r>
            <w:r w:rsidR="0044125E">
              <w:rPr>
                <w:webHidden/>
              </w:rPr>
              <w:fldChar w:fldCharType="begin"/>
            </w:r>
            <w:r w:rsidR="0044125E">
              <w:rPr>
                <w:webHidden/>
              </w:rPr>
              <w:instrText xml:space="preserve"> PAGEREF _Toc486841054 \h </w:instrText>
            </w:r>
            <w:r w:rsidR="0044125E">
              <w:rPr>
                <w:webHidden/>
              </w:rPr>
            </w:r>
            <w:r w:rsidR="0044125E">
              <w:rPr>
                <w:webHidden/>
              </w:rPr>
              <w:fldChar w:fldCharType="separate"/>
            </w:r>
            <w:r>
              <w:rPr>
                <w:webHidden/>
              </w:rPr>
              <w:t>13-5</w:t>
            </w:r>
            <w:r w:rsidR="0044125E">
              <w:rPr>
                <w:webHidden/>
              </w:rPr>
              <w:fldChar w:fldCharType="end"/>
            </w:r>
          </w:hyperlink>
        </w:p>
        <w:p w:rsidR="0044125E" w:rsidRDefault="00093FB9">
          <w:pPr>
            <w:pStyle w:val="TOC3"/>
            <w:rPr>
              <w:rFonts w:asciiTheme="minorHAnsi" w:eastAsiaTheme="minorEastAsia" w:hAnsiTheme="minorHAnsi"/>
              <w:lang w:eastAsia="en-AU"/>
            </w:rPr>
          </w:pPr>
          <w:hyperlink w:anchor="_Toc486841055" w:history="1">
            <w:r w:rsidR="0044125E" w:rsidRPr="00A4356C">
              <w:rPr>
                <w:rStyle w:val="Hyperlink"/>
              </w:rPr>
              <w:t>13.2.1</w:t>
            </w:r>
            <w:r w:rsidR="0044125E">
              <w:rPr>
                <w:rFonts w:asciiTheme="minorHAnsi" w:eastAsiaTheme="minorEastAsia" w:hAnsiTheme="minorHAnsi"/>
                <w:lang w:eastAsia="en-AU"/>
              </w:rPr>
              <w:tab/>
            </w:r>
            <w:r w:rsidR="0044125E" w:rsidRPr="00A4356C">
              <w:rPr>
                <w:rStyle w:val="Hyperlink"/>
              </w:rPr>
              <w:t>Forecasting methodology</w:t>
            </w:r>
            <w:r w:rsidR="0044125E">
              <w:rPr>
                <w:webHidden/>
              </w:rPr>
              <w:tab/>
            </w:r>
            <w:r w:rsidR="0044125E">
              <w:rPr>
                <w:webHidden/>
              </w:rPr>
              <w:fldChar w:fldCharType="begin"/>
            </w:r>
            <w:r w:rsidR="0044125E">
              <w:rPr>
                <w:webHidden/>
              </w:rPr>
              <w:instrText xml:space="preserve"> PAGEREF _Toc486841055 \h </w:instrText>
            </w:r>
            <w:r w:rsidR="0044125E">
              <w:rPr>
                <w:webHidden/>
              </w:rPr>
            </w:r>
            <w:r w:rsidR="0044125E">
              <w:rPr>
                <w:webHidden/>
              </w:rPr>
              <w:fldChar w:fldCharType="separate"/>
            </w:r>
            <w:r>
              <w:rPr>
                <w:webHidden/>
              </w:rPr>
              <w:t>13-7</w:t>
            </w:r>
            <w:r w:rsidR="0044125E">
              <w:rPr>
                <w:webHidden/>
              </w:rPr>
              <w:fldChar w:fldCharType="end"/>
            </w:r>
          </w:hyperlink>
        </w:p>
        <w:p w:rsidR="0044125E" w:rsidRDefault="00093FB9">
          <w:pPr>
            <w:pStyle w:val="TOC2"/>
            <w:tabs>
              <w:tab w:val="left" w:pos="1276"/>
            </w:tabs>
            <w:rPr>
              <w:rFonts w:asciiTheme="minorHAnsi" w:eastAsiaTheme="minorEastAsia" w:hAnsiTheme="minorHAnsi"/>
              <w:b w:val="0"/>
              <w:color w:val="auto"/>
              <w:sz w:val="22"/>
              <w:lang w:eastAsia="en-AU"/>
            </w:rPr>
          </w:pPr>
          <w:hyperlink w:anchor="_Toc486841056" w:history="1">
            <w:r w:rsidR="0044125E" w:rsidRPr="00A4356C">
              <w:rPr>
                <w:rStyle w:val="Hyperlink"/>
              </w:rPr>
              <w:t>13.3</w:t>
            </w:r>
            <w:r w:rsidR="0044125E">
              <w:rPr>
                <w:rFonts w:asciiTheme="minorHAnsi" w:eastAsiaTheme="minorEastAsia" w:hAnsiTheme="minorHAnsi"/>
                <w:b w:val="0"/>
                <w:color w:val="auto"/>
                <w:sz w:val="22"/>
                <w:lang w:eastAsia="en-AU"/>
              </w:rPr>
              <w:tab/>
            </w:r>
            <w:r w:rsidR="0044125E" w:rsidRPr="00A4356C">
              <w:rPr>
                <w:rStyle w:val="Hyperlink"/>
              </w:rPr>
              <w:t>AER Assessment approach</w:t>
            </w:r>
            <w:r w:rsidR="0044125E">
              <w:rPr>
                <w:webHidden/>
              </w:rPr>
              <w:tab/>
            </w:r>
            <w:r w:rsidR="0044125E">
              <w:rPr>
                <w:webHidden/>
              </w:rPr>
              <w:fldChar w:fldCharType="begin"/>
            </w:r>
            <w:r w:rsidR="0044125E">
              <w:rPr>
                <w:webHidden/>
              </w:rPr>
              <w:instrText xml:space="preserve"> PAGEREF _Toc486841056 \h </w:instrText>
            </w:r>
            <w:r w:rsidR="0044125E">
              <w:rPr>
                <w:webHidden/>
              </w:rPr>
            </w:r>
            <w:r w:rsidR="0044125E">
              <w:rPr>
                <w:webHidden/>
              </w:rPr>
              <w:fldChar w:fldCharType="separate"/>
            </w:r>
            <w:r>
              <w:rPr>
                <w:webHidden/>
              </w:rPr>
              <w:t>13-9</w:t>
            </w:r>
            <w:r w:rsidR="0044125E">
              <w:rPr>
                <w:webHidden/>
              </w:rPr>
              <w:fldChar w:fldCharType="end"/>
            </w:r>
          </w:hyperlink>
        </w:p>
        <w:p w:rsidR="0044125E" w:rsidRDefault="00093FB9">
          <w:pPr>
            <w:pStyle w:val="TOC3"/>
            <w:rPr>
              <w:rFonts w:asciiTheme="minorHAnsi" w:eastAsiaTheme="minorEastAsia" w:hAnsiTheme="minorHAnsi"/>
              <w:lang w:eastAsia="en-AU"/>
            </w:rPr>
          </w:pPr>
          <w:hyperlink w:anchor="_Toc486841057" w:history="1">
            <w:r w:rsidR="0044125E" w:rsidRPr="00A4356C">
              <w:rPr>
                <w:rStyle w:val="Hyperlink"/>
              </w:rPr>
              <w:t>13.3.1</w:t>
            </w:r>
            <w:r w:rsidR="0044125E">
              <w:rPr>
                <w:rFonts w:asciiTheme="minorHAnsi" w:eastAsiaTheme="minorEastAsia" w:hAnsiTheme="minorHAnsi"/>
                <w:lang w:eastAsia="en-AU"/>
              </w:rPr>
              <w:tab/>
            </w:r>
            <w:r w:rsidR="0044125E" w:rsidRPr="00A4356C">
              <w:rPr>
                <w:rStyle w:val="Hyperlink"/>
              </w:rPr>
              <w:t>Interrelationships</w:t>
            </w:r>
            <w:r w:rsidR="0044125E">
              <w:rPr>
                <w:webHidden/>
              </w:rPr>
              <w:tab/>
            </w:r>
            <w:r w:rsidR="0044125E">
              <w:rPr>
                <w:webHidden/>
              </w:rPr>
              <w:fldChar w:fldCharType="begin"/>
            </w:r>
            <w:r w:rsidR="0044125E">
              <w:rPr>
                <w:webHidden/>
              </w:rPr>
              <w:instrText xml:space="preserve"> PAGEREF _Toc486841057 \h </w:instrText>
            </w:r>
            <w:r w:rsidR="0044125E">
              <w:rPr>
                <w:webHidden/>
              </w:rPr>
            </w:r>
            <w:r w:rsidR="0044125E">
              <w:rPr>
                <w:webHidden/>
              </w:rPr>
              <w:fldChar w:fldCharType="separate"/>
            </w:r>
            <w:r>
              <w:rPr>
                <w:webHidden/>
              </w:rPr>
              <w:t>13-11</w:t>
            </w:r>
            <w:r w:rsidR="0044125E">
              <w:rPr>
                <w:webHidden/>
              </w:rPr>
              <w:fldChar w:fldCharType="end"/>
            </w:r>
          </w:hyperlink>
        </w:p>
        <w:p w:rsidR="0044125E" w:rsidRDefault="00093FB9">
          <w:pPr>
            <w:pStyle w:val="TOC2"/>
            <w:tabs>
              <w:tab w:val="left" w:pos="1276"/>
            </w:tabs>
            <w:rPr>
              <w:rFonts w:asciiTheme="minorHAnsi" w:eastAsiaTheme="minorEastAsia" w:hAnsiTheme="minorHAnsi"/>
              <w:b w:val="0"/>
              <w:color w:val="auto"/>
              <w:sz w:val="22"/>
              <w:lang w:eastAsia="en-AU"/>
            </w:rPr>
          </w:pPr>
          <w:hyperlink w:anchor="_Toc486841058" w:history="1">
            <w:r w:rsidR="0044125E" w:rsidRPr="00A4356C">
              <w:rPr>
                <w:rStyle w:val="Hyperlink"/>
              </w:rPr>
              <w:t>13.4</w:t>
            </w:r>
            <w:r w:rsidR="0044125E">
              <w:rPr>
                <w:rFonts w:asciiTheme="minorHAnsi" w:eastAsiaTheme="minorEastAsia" w:hAnsiTheme="minorHAnsi"/>
                <w:b w:val="0"/>
                <w:color w:val="auto"/>
                <w:sz w:val="22"/>
                <w:lang w:eastAsia="en-AU"/>
              </w:rPr>
              <w:tab/>
            </w:r>
            <w:r w:rsidR="0044125E" w:rsidRPr="00A4356C">
              <w:rPr>
                <w:rStyle w:val="Hyperlink"/>
              </w:rPr>
              <w:t>Reasons for draft decision</w:t>
            </w:r>
            <w:r w:rsidR="0044125E">
              <w:rPr>
                <w:webHidden/>
              </w:rPr>
              <w:tab/>
            </w:r>
            <w:r w:rsidR="0044125E">
              <w:rPr>
                <w:webHidden/>
              </w:rPr>
              <w:fldChar w:fldCharType="begin"/>
            </w:r>
            <w:r w:rsidR="0044125E">
              <w:rPr>
                <w:webHidden/>
              </w:rPr>
              <w:instrText xml:space="preserve"> PAGEREF _Toc486841058 \h </w:instrText>
            </w:r>
            <w:r w:rsidR="0044125E">
              <w:rPr>
                <w:webHidden/>
              </w:rPr>
            </w:r>
            <w:r w:rsidR="0044125E">
              <w:rPr>
                <w:webHidden/>
              </w:rPr>
              <w:fldChar w:fldCharType="separate"/>
            </w:r>
            <w:r>
              <w:rPr>
                <w:webHidden/>
              </w:rPr>
              <w:t>13-11</w:t>
            </w:r>
            <w:r w:rsidR="0044125E">
              <w:rPr>
                <w:webHidden/>
              </w:rPr>
              <w:fldChar w:fldCharType="end"/>
            </w:r>
          </w:hyperlink>
        </w:p>
        <w:p w:rsidR="0044125E" w:rsidRDefault="00093FB9">
          <w:pPr>
            <w:pStyle w:val="TOC3"/>
            <w:rPr>
              <w:rFonts w:asciiTheme="minorHAnsi" w:eastAsiaTheme="minorEastAsia" w:hAnsiTheme="minorHAnsi"/>
              <w:lang w:eastAsia="en-AU"/>
            </w:rPr>
          </w:pPr>
          <w:hyperlink w:anchor="_Toc486841059" w:history="1">
            <w:r w:rsidR="0044125E" w:rsidRPr="00A4356C">
              <w:rPr>
                <w:rStyle w:val="Hyperlink"/>
              </w:rPr>
              <w:t>13.4.1</w:t>
            </w:r>
            <w:r w:rsidR="0044125E">
              <w:rPr>
                <w:rFonts w:asciiTheme="minorHAnsi" w:eastAsiaTheme="minorEastAsia" w:hAnsiTheme="minorHAnsi"/>
                <w:lang w:eastAsia="en-AU"/>
              </w:rPr>
              <w:tab/>
            </w:r>
            <w:r w:rsidR="0044125E" w:rsidRPr="00A4356C">
              <w:rPr>
                <w:rStyle w:val="Hyperlink"/>
              </w:rPr>
              <w:t>Minimum, maximum and average demand</w:t>
            </w:r>
            <w:r w:rsidR="0044125E">
              <w:rPr>
                <w:webHidden/>
              </w:rPr>
              <w:tab/>
            </w:r>
            <w:r w:rsidR="0044125E">
              <w:rPr>
                <w:webHidden/>
              </w:rPr>
              <w:fldChar w:fldCharType="begin"/>
            </w:r>
            <w:r w:rsidR="0044125E">
              <w:rPr>
                <w:webHidden/>
              </w:rPr>
              <w:instrText xml:space="preserve"> PAGEREF _Toc486841059 \h </w:instrText>
            </w:r>
            <w:r w:rsidR="0044125E">
              <w:rPr>
                <w:webHidden/>
              </w:rPr>
            </w:r>
            <w:r w:rsidR="0044125E">
              <w:rPr>
                <w:webHidden/>
              </w:rPr>
              <w:fldChar w:fldCharType="separate"/>
            </w:r>
            <w:r>
              <w:rPr>
                <w:webHidden/>
              </w:rPr>
              <w:t>13-12</w:t>
            </w:r>
            <w:r w:rsidR="0044125E">
              <w:rPr>
                <w:webHidden/>
              </w:rPr>
              <w:fldChar w:fldCharType="end"/>
            </w:r>
          </w:hyperlink>
        </w:p>
        <w:p w:rsidR="0044125E" w:rsidRDefault="00093FB9">
          <w:pPr>
            <w:pStyle w:val="TOC3"/>
            <w:rPr>
              <w:rFonts w:asciiTheme="minorHAnsi" w:eastAsiaTheme="minorEastAsia" w:hAnsiTheme="minorHAnsi"/>
              <w:lang w:eastAsia="en-AU"/>
            </w:rPr>
          </w:pPr>
          <w:hyperlink w:anchor="_Toc486841060" w:history="1">
            <w:r w:rsidR="0044125E" w:rsidRPr="00A4356C">
              <w:rPr>
                <w:rStyle w:val="Hyperlink"/>
              </w:rPr>
              <w:t>13.4.2</w:t>
            </w:r>
            <w:r w:rsidR="0044125E">
              <w:rPr>
                <w:rFonts w:asciiTheme="minorHAnsi" w:eastAsiaTheme="minorEastAsia" w:hAnsiTheme="minorHAnsi"/>
                <w:lang w:eastAsia="en-AU"/>
              </w:rPr>
              <w:tab/>
            </w:r>
            <w:r w:rsidR="0044125E" w:rsidRPr="00A4356C">
              <w:rPr>
                <w:rStyle w:val="Hyperlink"/>
              </w:rPr>
              <w:t>Forecast pipeline capacity and utilisation</w:t>
            </w:r>
            <w:r w:rsidR="0044125E">
              <w:rPr>
                <w:webHidden/>
              </w:rPr>
              <w:tab/>
            </w:r>
            <w:r w:rsidR="0044125E">
              <w:rPr>
                <w:webHidden/>
              </w:rPr>
              <w:fldChar w:fldCharType="begin"/>
            </w:r>
            <w:r w:rsidR="0044125E">
              <w:rPr>
                <w:webHidden/>
              </w:rPr>
              <w:instrText xml:space="preserve"> PAGEREF _Toc486841060 \h </w:instrText>
            </w:r>
            <w:r w:rsidR="0044125E">
              <w:rPr>
                <w:webHidden/>
              </w:rPr>
            </w:r>
            <w:r w:rsidR="0044125E">
              <w:rPr>
                <w:webHidden/>
              </w:rPr>
              <w:fldChar w:fldCharType="separate"/>
            </w:r>
            <w:r>
              <w:rPr>
                <w:webHidden/>
              </w:rPr>
              <w:t>13-12</w:t>
            </w:r>
            <w:r w:rsidR="0044125E">
              <w:rPr>
                <w:webHidden/>
              </w:rPr>
              <w:fldChar w:fldCharType="end"/>
            </w:r>
          </w:hyperlink>
        </w:p>
        <w:p w:rsidR="0044125E" w:rsidRDefault="00093FB9">
          <w:pPr>
            <w:pStyle w:val="TOC3"/>
            <w:rPr>
              <w:rFonts w:asciiTheme="minorHAnsi" w:eastAsiaTheme="minorEastAsia" w:hAnsiTheme="minorHAnsi"/>
              <w:lang w:eastAsia="en-AU"/>
            </w:rPr>
          </w:pPr>
          <w:hyperlink w:anchor="_Toc486841061" w:history="1">
            <w:r w:rsidR="0044125E" w:rsidRPr="00A4356C">
              <w:rPr>
                <w:rStyle w:val="Hyperlink"/>
              </w:rPr>
              <w:t>13.4.3</w:t>
            </w:r>
            <w:r w:rsidR="0044125E">
              <w:rPr>
                <w:rFonts w:asciiTheme="minorHAnsi" w:eastAsiaTheme="minorEastAsia" w:hAnsiTheme="minorHAnsi"/>
                <w:lang w:eastAsia="en-AU"/>
              </w:rPr>
              <w:tab/>
            </w:r>
            <w:r w:rsidR="0044125E" w:rsidRPr="00A4356C">
              <w:rPr>
                <w:rStyle w:val="Hyperlink"/>
              </w:rPr>
              <w:t>Demand Forecast of Tariff V</w:t>
            </w:r>
            <w:r w:rsidR="0044125E">
              <w:rPr>
                <w:webHidden/>
              </w:rPr>
              <w:tab/>
            </w:r>
            <w:r w:rsidR="0044125E">
              <w:rPr>
                <w:webHidden/>
              </w:rPr>
              <w:fldChar w:fldCharType="begin"/>
            </w:r>
            <w:r w:rsidR="0044125E">
              <w:rPr>
                <w:webHidden/>
              </w:rPr>
              <w:instrText xml:space="preserve"> PAGEREF _Toc486841061 \h </w:instrText>
            </w:r>
            <w:r w:rsidR="0044125E">
              <w:rPr>
                <w:webHidden/>
              </w:rPr>
            </w:r>
            <w:r w:rsidR="0044125E">
              <w:rPr>
                <w:webHidden/>
              </w:rPr>
              <w:fldChar w:fldCharType="separate"/>
            </w:r>
            <w:r>
              <w:rPr>
                <w:webHidden/>
              </w:rPr>
              <w:t>13-12</w:t>
            </w:r>
            <w:r w:rsidR="0044125E">
              <w:rPr>
                <w:webHidden/>
              </w:rPr>
              <w:fldChar w:fldCharType="end"/>
            </w:r>
          </w:hyperlink>
        </w:p>
        <w:p w:rsidR="0044125E" w:rsidRDefault="00093FB9">
          <w:pPr>
            <w:pStyle w:val="TOC3"/>
            <w:rPr>
              <w:rFonts w:asciiTheme="minorHAnsi" w:eastAsiaTheme="minorEastAsia" w:hAnsiTheme="minorHAnsi"/>
              <w:lang w:eastAsia="en-AU"/>
            </w:rPr>
          </w:pPr>
          <w:hyperlink w:anchor="_Toc486841062" w:history="1">
            <w:r w:rsidR="0044125E" w:rsidRPr="00A4356C">
              <w:rPr>
                <w:rStyle w:val="Hyperlink"/>
              </w:rPr>
              <w:t>13.4.4</w:t>
            </w:r>
            <w:r w:rsidR="0044125E">
              <w:rPr>
                <w:rFonts w:asciiTheme="minorHAnsi" w:eastAsiaTheme="minorEastAsia" w:hAnsiTheme="minorHAnsi"/>
                <w:lang w:eastAsia="en-AU"/>
              </w:rPr>
              <w:tab/>
            </w:r>
            <w:r w:rsidR="0044125E" w:rsidRPr="00A4356C">
              <w:rPr>
                <w:rStyle w:val="Hyperlink"/>
              </w:rPr>
              <w:t>Demand forecasts for Tariff D and Tariff M</w:t>
            </w:r>
            <w:r w:rsidR="0044125E">
              <w:rPr>
                <w:webHidden/>
              </w:rPr>
              <w:tab/>
            </w:r>
            <w:r w:rsidR="0044125E">
              <w:rPr>
                <w:webHidden/>
              </w:rPr>
              <w:fldChar w:fldCharType="begin"/>
            </w:r>
            <w:r w:rsidR="0044125E">
              <w:rPr>
                <w:webHidden/>
              </w:rPr>
              <w:instrText xml:space="preserve"> PAGEREF _Toc486841062 \h </w:instrText>
            </w:r>
            <w:r w:rsidR="0044125E">
              <w:rPr>
                <w:webHidden/>
              </w:rPr>
            </w:r>
            <w:r w:rsidR="0044125E">
              <w:rPr>
                <w:webHidden/>
              </w:rPr>
              <w:fldChar w:fldCharType="separate"/>
            </w:r>
            <w:r>
              <w:rPr>
                <w:webHidden/>
              </w:rPr>
              <w:t>13-15</w:t>
            </w:r>
            <w:r w:rsidR="0044125E">
              <w:rPr>
                <w:webHidden/>
              </w:rPr>
              <w:fldChar w:fldCharType="end"/>
            </w:r>
          </w:hyperlink>
        </w:p>
        <w:p w:rsidR="0044125E" w:rsidRDefault="00093FB9">
          <w:pPr>
            <w:pStyle w:val="TOC2"/>
            <w:tabs>
              <w:tab w:val="left" w:pos="1276"/>
            </w:tabs>
            <w:rPr>
              <w:rFonts w:asciiTheme="minorHAnsi" w:eastAsiaTheme="minorEastAsia" w:hAnsiTheme="minorHAnsi"/>
              <w:b w:val="0"/>
              <w:color w:val="auto"/>
              <w:sz w:val="22"/>
              <w:lang w:eastAsia="en-AU"/>
            </w:rPr>
          </w:pPr>
          <w:hyperlink w:anchor="_Toc486841063" w:history="1">
            <w:r w:rsidR="0044125E" w:rsidRPr="00A4356C">
              <w:rPr>
                <w:rStyle w:val="Hyperlink"/>
              </w:rPr>
              <w:t>13.5</w:t>
            </w:r>
            <w:r w:rsidR="0044125E">
              <w:rPr>
                <w:rFonts w:asciiTheme="minorHAnsi" w:eastAsiaTheme="minorEastAsia" w:hAnsiTheme="minorHAnsi"/>
                <w:b w:val="0"/>
                <w:color w:val="auto"/>
                <w:sz w:val="22"/>
                <w:lang w:eastAsia="en-AU"/>
              </w:rPr>
              <w:tab/>
            </w:r>
            <w:r w:rsidR="0044125E" w:rsidRPr="00A4356C">
              <w:rPr>
                <w:rStyle w:val="Hyperlink"/>
              </w:rPr>
              <w:t>Revisions</w:t>
            </w:r>
            <w:r w:rsidR="0044125E">
              <w:rPr>
                <w:webHidden/>
              </w:rPr>
              <w:tab/>
            </w:r>
            <w:r w:rsidR="0044125E">
              <w:rPr>
                <w:webHidden/>
              </w:rPr>
              <w:fldChar w:fldCharType="begin"/>
            </w:r>
            <w:r w:rsidR="0044125E">
              <w:rPr>
                <w:webHidden/>
              </w:rPr>
              <w:instrText xml:space="preserve"> PAGEREF _Toc486841063 \h </w:instrText>
            </w:r>
            <w:r w:rsidR="0044125E">
              <w:rPr>
                <w:webHidden/>
              </w:rPr>
            </w:r>
            <w:r w:rsidR="0044125E">
              <w:rPr>
                <w:webHidden/>
              </w:rPr>
              <w:fldChar w:fldCharType="separate"/>
            </w:r>
            <w:r>
              <w:rPr>
                <w:webHidden/>
              </w:rPr>
              <w:t>13-15</w:t>
            </w:r>
            <w:r w:rsidR="0044125E">
              <w:rPr>
                <w:webHidden/>
              </w:rPr>
              <w:fldChar w:fldCharType="end"/>
            </w:r>
          </w:hyperlink>
        </w:p>
        <w:p w:rsidR="00CE2A23" w:rsidRDefault="000C6409" w:rsidP="000C6409">
          <w:pPr>
            <w:pStyle w:val="TOC1"/>
          </w:pPr>
          <w:r>
            <w:fldChar w:fldCharType="end"/>
          </w:r>
        </w:p>
      </w:sdtContent>
    </w:sdt>
    <w:p w:rsidR="00B6243F" w:rsidRPr="00271F7C" w:rsidRDefault="00CE2A23" w:rsidP="00B6243F">
      <w:pPr>
        <w:pStyle w:val="UnnumberedHeading"/>
        <w:numPr>
          <w:ilvl w:val="0"/>
          <w:numId w:val="23"/>
        </w:numPr>
      </w:pPr>
      <w:r>
        <w:t xml:space="preserve"> </w:t>
      </w:r>
      <w:bookmarkStart w:id="10" w:name="_Toc404700925"/>
      <w:bookmarkStart w:id="11" w:name="_Toc482365306"/>
      <w:bookmarkStart w:id="12" w:name="_Toc483292632"/>
      <w:bookmarkStart w:id="13" w:name="_Toc486841051"/>
      <w:r w:rsidR="00B6243F">
        <w:t>Shortened forms</w:t>
      </w:r>
      <w:bookmarkEnd w:id="10"/>
      <w:bookmarkEnd w:id="11"/>
      <w:bookmarkEnd w:id="12"/>
      <w:bookmarkEnd w:id="13"/>
    </w:p>
    <w:tbl>
      <w:tblPr>
        <w:tblStyle w:val="AERtable-text0"/>
        <w:tblW w:w="0" w:type="auto"/>
        <w:tblLook w:val="04A0" w:firstRow="1" w:lastRow="0" w:firstColumn="1" w:lastColumn="0" w:noHBand="0" w:noVBand="1"/>
      </w:tblPr>
      <w:tblGrid>
        <w:gridCol w:w="4340"/>
        <w:gridCol w:w="4353"/>
      </w:tblGrid>
      <w:tr w:rsidR="00B6243F" w:rsidRPr="0087648F" w:rsidTr="009B40AC">
        <w:trPr>
          <w:cnfStyle w:val="100000000000" w:firstRow="1" w:lastRow="0" w:firstColumn="0" w:lastColumn="0" w:oddVBand="0" w:evenVBand="0" w:oddHBand="0" w:evenHBand="0" w:firstRowFirstColumn="0" w:firstRowLastColumn="0" w:lastRowFirstColumn="0" w:lastRowLastColumn="0"/>
          <w:tblHeader/>
        </w:trPr>
        <w:tc>
          <w:tcPr>
            <w:tcW w:w="4340" w:type="dxa"/>
          </w:tcPr>
          <w:p w:rsidR="00B6243F" w:rsidRPr="00A33E04" w:rsidRDefault="00B6243F" w:rsidP="00A33E04">
            <w:r>
              <w:t>Shortened form</w:t>
            </w:r>
          </w:p>
        </w:tc>
        <w:tc>
          <w:tcPr>
            <w:tcW w:w="4353" w:type="dxa"/>
          </w:tcPr>
          <w:p w:rsidR="00B6243F" w:rsidRPr="00A33E04" w:rsidRDefault="00B6243F" w:rsidP="00A33E04">
            <w:r>
              <w:t>Extended form</w:t>
            </w:r>
          </w:p>
        </w:tc>
      </w:tr>
      <w:tr w:rsidR="00B6243F" w:rsidTr="009B40AC">
        <w:tc>
          <w:tcPr>
            <w:tcW w:w="4340" w:type="dxa"/>
          </w:tcPr>
          <w:p w:rsidR="00B6243F" w:rsidRDefault="00B6243F" w:rsidP="00B6243F">
            <w:pPr>
              <w:numPr>
                <w:ilvl w:val="0"/>
                <w:numId w:val="24"/>
              </w:numPr>
            </w:pPr>
            <w:r>
              <w:t>AER</w:t>
            </w:r>
          </w:p>
        </w:tc>
        <w:tc>
          <w:tcPr>
            <w:tcW w:w="4353" w:type="dxa"/>
          </w:tcPr>
          <w:p w:rsidR="00B6243F" w:rsidRDefault="00B6243F" w:rsidP="00B6243F">
            <w:pPr>
              <w:numPr>
                <w:ilvl w:val="0"/>
                <w:numId w:val="24"/>
              </w:numPr>
            </w:pPr>
            <w:r>
              <w:t>Australian Energy Regulator</w:t>
            </w:r>
          </w:p>
        </w:tc>
      </w:tr>
      <w:tr w:rsidR="00B6243F" w:rsidTr="009B40AC">
        <w:trPr>
          <w:cnfStyle w:val="000000010000" w:firstRow="0" w:lastRow="0" w:firstColumn="0" w:lastColumn="0" w:oddVBand="0" w:evenVBand="0" w:oddHBand="0" w:evenHBand="1" w:firstRowFirstColumn="0" w:firstRowLastColumn="0" w:lastRowFirstColumn="0" w:lastRowLastColumn="0"/>
        </w:trPr>
        <w:tc>
          <w:tcPr>
            <w:tcW w:w="4340" w:type="dxa"/>
          </w:tcPr>
          <w:p w:rsidR="00B6243F" w:rsidRDefault="00B6243F" w:rsidP="00B6243F">
            <w:pPr>
              <w:numPr>
                <w:ilvl w:val="0"/>
                <w:numId w:val="24"/>
              </w:numPr>
            </w:pPr>
            <w:r>
              <w:t>ATO</w:t>
            </w:r>
          </w:p>
        </w:tc>
        <w:tc>
          <w:tcPr>
            <w:tcW w:w="4353" w:type="dxa"/>
          </w:tcPr>
          <w:p w:rsidR="00B6243F" w:rsidRPr="00A33E04" w:rsidRDefault="00B6243F" w:rsidP="00A33E04">
            <w:r>
              <w:t xml:space="preserve">Australian </w:t>
            </w:r>
            <w:r w:rsidRPr="00A33E04">
              <w:t>Tax Office</w:t>
            </w:r>
          </w:p>
        </w:tc>
      </w:tr>
      <w:tr w:rsidR="00B6243F" w:rsidTr="009B40AC">
        <w:tc>
          <w:tcPr>
            <w:tcW w:w="4340" w:type="dxa"/>
          </w:tcPr>
          <w:p w:rsidR="00B6243F" w:rsidRDefault="00B6243F" w:rsidP="00B6243F">
            <w:pPr>
              <w:numPr>
                <w:ilvl w:val="0"/>
                <w:numId w:val="24"/>
              </w:numPr>
            </w:pPr>
            <w:r>
              <w:t>capex</w:t>
            </w:r>
          </w:p>
        </w:tc>
        <w:tc>
          <w:tcPr>
            <w:tcW w:w="4353" w:type="dxa"/>
          </w:tcPr>
          <w:p w:rsidR="00B6243F" w:rsidRDefault="00B6243F" w:rsidP="00B6243F">
            <w:pPr>
              <w:numPr>
                <w:ilvl w:val="0"/>
                <w:numId w:val="24"/>
              </w:numPr>
            </w:pPr>
            <w:r>
              <w:t>capital expenditure</w:t>
            </w:r>
          </w:p>
        </w:tc>
      </w:tr>
      <w:tr w:rsidR="00B6243F" w:rsidTr="009B40AC">
        <w:trPr>
          <w:cnfStyle w:val="000000010000" w:firstRow="0" w:lastRow="0" w:firstColumn="0" w:lastColumn="0" w:oddVBand="0" w:evenVBand="0" w:oddHBand="0" w:evenHBand="1" w:firstRowFirstColumn="0" w:firstRowLastColumn="0" w:lastRowFirstColumn="0" w:lastRowLastColumn="0"/>
        </w:trPr>
        <w:tc>
          <w:tcPr>
            <w:tcW w:w="4340" w:type="dxa"/>
          </w:tcPr>
          <w:p w:rsidR="00B6243F" w:rsidRDefault="00B6243F" w:rsidP="00B6243F">
            <w:pPr>
              <w:numPr>
                <w:ilvl w:val="0"/>
                <w:numId w:val="24"/>
              </w:numPr>
            </w:pPr>
            <w:r>
              <w:t>CAPM</w:t>
            </w:r>
          </w:p>
        </w:tc>
        <w:tc>
          <w:tcPr>
            <w:tcW w:w="4353" w:type="dxa"/>
          </w:tcPr>
          <w:p w:rsidR="00B6243F" w:rsidRDefault="00B6243F" w:rsidP="00B6243F">
            <w:pPr>
              <w:numPr>
                <w:ilvl w:val="0"/>
                <w:numId w:val="24"/>
              </w:numPr>
            </w:pPr>
            <w:r>
              <w:t>capital asset pricing model</w:t>
            </w:r>
          </w:p>
        </w:tc>
      </w:tr>
      <w:tr w:rsidR="00B6243F" w:rsidTr="009B40AC">
        <w:tc>
          <w:tcPr>
            <w:tcW w:w="4340" w:type="dxa"/>
          </w:tcPr>
          <w:p w:rsidR="00B6243F" w:rsidRDefault="00B6243F" w:rsidP="00B6243F">
            <w:pPr>
              <w:numPr>
                <w:ilvl w:val="0"/>
                <w:numId w:val="24"/>
              </w:numPr>
            </w:pPr>
            <w:r>
              <w:t>CESS</w:t>
            </w:r>
          </w:p>
        </w:tc>
        <w:tc>
          <w:tcPr>
            <w:tcW w:w="4353" w:type="dxa"/>
          </w:tcPr>
          <w:p w:rsidR="00B6243F" w:rsidRDefault="00B6243F" w:rsidP="00B6243F">
            <w:pPr>
              <w:numPr>
                <w:ilvl w:val="0"/>
                <w:numId w:val="24"/>
              </w:numPr>
            </w:pPr>
            <w:r>
              <w:t>Capital Expenditure Sharing Scheme</w:t>
            </w:r>
          </w:p>
        </w:tc>
      </w:tr>
      <w:tr w:rsidR="00B6243F" w:rsidTr="009B40AC">
        <w:trPr>
          <w:cnfStyle w:val="000000010000" w:firstRow="0" w:lastRow="0" w:firstColumn="0" w:lastColumn="0" w:oddVBand="0" w:evenVBand="0" w:oddHBand="0" w:evenHBand="1" w:firstRowFirstColumn="0" w:firstRowLastColumn="0" w:lastRowFirstColumn="0" w:lastRowLastColumn="0"/>
        </w:trPr>
        <w:tc>
          <w:tcPr>
            <w:tcW w:w="4340" w:type="dxa"/>
          </w:tcPr>
          <w:p w:rsidR="00B6243F" w:rsidRDefault="00B6243F" w:rsidP="00B6243F">
            <w:pPr>
              <w:numPr>
                <w:ilvl w:val="0"/>
                <w:numId w:val="24"/>
              </w:numPr>
            </w:pPr>
            <w:r>
              <w:t>CIE</w:t>
            </w:r>
          </w:p>
        </w:tc>
        <w:tc>
          <w:tcPr>
            <w:tcW w:w="4353" w:type="dxa"/>
          </w:tcPr>
          <w:p w:rsidR="00B6243F" w:rsidRDefault="00B6243F" w:rsidP="00B6243F">
            <w:pPr>
              <w:numPr>
                <w:ilvl w:val="0"/>
                <w:numId w:val="24"/>
              </w:numPr>
            </w:pPr>
            <w:r>
              <w:t>Centre for International Economics</w:t>
            </w:r>
          </w:p>
        </w:tc>
      </w:tr>
      <w:tr w:rsidR="00B6243F" w:rsidTr="009B40AC">
        <w:tc>
          <w:tcPr>
            <w:tcW w:w="4340" w:type="dxa"/>
          </w:tcPr>
          <w:p w:rsidR="00B6243F" w:rsidRDefault="00B6243F" w:rsidP="00B6243F">
            <w:pPr>
              <w:numPr>
                <w:ilvl w:val="0"/>
                <w:numId w:val="24"/>
              </w:numPr>
            </w:pPr>
            <w:r>
              <w:t>CPI</w:t>
            </w:r>
          </w:p>
        </w:tc>
        <w:tc>
          <w:tcPr>
            <w:tcW w:w="4353" w:type="dxa"/>
          </w:tcPr>
          <w:p w:rsidR="00B6243F" w:rsidRDefault="00B6243F" w:rsidP="00B6243F">
            <w:pPr>
              <w:numPr>
                <w:ilvl w:val="0"/>
                <w:numId w:val="24"/>
              </w:numPr>
            </w:pPr>
            <w:r>
              <w:t>consumer price index</w:t>
            </w:r>
          </w:p>
        </w:tc>
      </w:tr>
      <w:tr w:rsidR="00B6243F" w:rsidTr="009B40AC">
        <w:trPr>
          <w:cnfStyle w:val="000000010000" w:firstRow="0" w:lastRow="0" w:firstColumn="0" w:lastColumn="0" w:oddVBand="0" w:evenVBand="0" w:oddHBand="0" w:evenHBand="1" w:firstRowFirstColumn="0" w:firstRowLastColumn="0" w:lastRowFirstColumn="0" w:lastRowLastColumn="0"/>
        </w:trPr>
        <w:tc>
          <w:tcPr>
            <w:tcW w:w="4340" w:type="dxa"/>
          </w:tcPr>
          <w:p w:rsidR="00B6243F" w:rsidRDefault="00B6243F" w:rsidP="00B6243F">
            <w:pPr>
              <w:numPr>
                <w:ilvl w:val="0"/>
                <w:numId w:val="24"/>
              </w:numPr>
            </w:pPr>
            <w:r>
              <w:t>CCP</w:t>
            </w:r>
          </w:p>
        </w:tc>
        <w:tc>
          <w:tcPr>
            <w:tcW w:w="4353" w:type="dxa"/>
          </w:tcPr>
          <w:p w:rsidR="00B6243F" w:rsidRDefault="00B6243F" w:rsidP="00B6243F">
            <w:pPr>
              <w:numPr>
                <w:ilvl w:val="0"/>
                <w:numId w:val="24"/>
              </w:numPr>
            </w:pPr>
            <w:r>
              <w:t>Consumer Challenge Panel</w:t>
            </w:r>
          </w:p>
        </w:tc>
      </w:tr>
      <w:tr w:rsidR="00B6243F" w:rsidTr="009B40AC">
        <w:tc>
          <w:tcPr>
            <w:tcW w:w="4340" w:type="dxa"/>
          </w:tcPr>
          <w:p w:rsidR="00B6243F" w:rsidRDefault="00B6243F" w:rsidP="00B6243F">
            <w:pPr>
              <w:numPr>
                <w:ilvl w:val="0"/>
                <w:numId w:val="24"/>
              </w:numPr>
            </w:pPr>
            <w:r>
              <w:t>DRP</w:t>
            </w:r>
          </w:p>
        </w:tc>
        <w:tc>
          <w:tcPr>
            <w:tcW w:w="4353" w:type="dxa"/>
          </w:tcPr>
          <w:p w:rsidR="00B6243F" w:rsidRDefault="00B6243F" w:rsidP="00B6243F">
            <w:pPr>
              <w:numPr>
                <w:ilvl w:val="0"/>
                <w:numId w:val="24"/>
              </w:numPr>
            </w:pPr>
            <w:r>
              <w:t>debt risk premium</w:t>
            </w:r>
          </w:p>
        </w:tc>
      </w:tr>
      <w:tr w:rsidR="00B6243F" w:rsidTr="009B40AC">
        <w:trPr>
          <w:cnfStyle w:val="000000010000" w:firstRow="0" w:lastRow="0" w:firstColumn="0" w:lastColumn="0" w:oddVBand="0" w:evenVBand="0" w:oddHBand="0" w:evenHBand="1" w:firstRowFirstColumn="0" w:firstRowLastColumn="0" w:lastRowFirstColumn="0" w:lastRowLastColumn="0"/>
        </w:trPr>
        <w:tc>
          <w:tcPr>
            <w:tcW w:w="4340" w:type="dxa"/>
          </w:tcPr>
          <w:p w:rsidR="00B6243F" w:rsidRDefault="00B6243F" w:rsidP="00B6243F">
            <w:pPr>
              <w:numPr>
                <w:ilvl w:val="0"/>
                <w:numId w:val="24"/>
              </w:numPr>
            </w:pPr>
            <w:r>
              <w:t>EBSS</w:t>
            </w:r>
          </w:p>
        </w:tc>
        <w:tc>
          <w:tcPr>
            <w:tcW w:w="4353" w:type="dxa"/>
          </w:tcPr>
          <w:p w:rsidR="00B6243F" w:rsidRPr="00A33E04" w:rsidRDefault="00B6243F" w:rsidP="00A33E04">
            <w:r>
              <w:t>Efficiency Benefit Sharing Scheme</w:t>
            </w:r>
          </w:p>
        </w:tc>
      </w:tr>
      <w:tr w:rsidR="00B6243F" w:rsidTr="009B40AC">
        <w:tc>
          <w:tcPr>
            <w:tcW w:w="4340" w:type="dxa"/>
          </w:tcPr>
          <w:p w:rsidR="00B6243F" w:rsidRDefault="00B6243F" w:rsidP="00B6243F">
            <w:pPr>
              <w:numPr>
                <w:ilvl w:val="0"/>
                <w:numId w:val="24"/>
              </w:numPr>
            </w:pPr>
            <w:r>
              <w:t>ERP</w:t>
            </w:r>
          </w:p>
        </w:tc>
        <w:tc>
          <w:tcPr>
            <w:tcW w:w="4353" w:type="dxa"/>
          </w:tcPr>
          <w:p w:rsidR="00B6243F" w:rsidRDefault="00B6243F" w:rsidP="00B6243F">
            <w:pPr>
              <w:numPr>
                <w:ilvl w:val="0"/>
                <w:numId w:val="24"/>
              </w:numPr>
            </w:pPr>
            <w:r>
              <w:t>Energy for Regions Program</w:t>
            </w:r>
          </w:p>
        </w:tc>
      </w:tr>
      <w:tr w:rsidR="00B6243F" w:rsidTr="009B40AC">
        <w:trPr>
          <w:cnfStyle w:val="000000010000" w:firstRow="0" w:lastRow="0" w:firstColumn="0" w:lastColumn="0" w:oddVBand="0" w:evenVBand="0" w:oddHBand="0" w:evenHBand="1" w:firstRowFirstColumn="0" w:firstRowLastColumn="0" w:lastRowFirstColumn="0" w:lastRowLastColumn="0"/>
        </w:trPr>
        <w:tc>
          <w:tcPr>
            <w:tcW w:w="4340" w:type="dxa"/>
          </w:tcPr>
          <w:p w:rsidR="00B6243F" w:rsidRDefault="00B6243F" w:rsidP="00B6243F">
            <w:pPr>
              <w:numPr>
                <w:ilvl w:val="0"/>
                <w:numId w:val="24"/>
              </w:numPr>
            </w:pPr>
            <w:r>
              <w:t>Expenditure Guideline</w:t>
            </w:r>
          </w:p>
        </w:tc>
        <w:tc>
          <w:tcPr>
            <w:tcW w:w="4353" w:type="dxa"/>
          </w:tcPr>
          <w:p w:rsidR="00B6243F" w:rsidRPr="00A33E04" w:rsidRDefault="00B6243F" w:rsidP="00A33E04">
            <w:r>
              <w:t>Expenditure Forecast Assessment Guideline</w:t>
            </w:r>
          </w:p>
        </w:tc>
      </w:tr>
      <w:tr w:rsidR="00B6243F" w:rsidTr="009B40AC">
        <w:tc>
          <w:tcPr>
            <w:tcW w:w="4340" w:type="dxa"/>
          </w:tcPr>
          <w:p w:rsidR="00B6243F" w:rsidRDefault="00B6243F" w:rsidP="00B6243F">
            <w:pPr>
              <w:numPr>
                <w:ilvl w:val="0"/>
                <w:numId w:val="24"/>
              </w:numPr>
            </w:pPr>
            <w:r>
              <w:t>gamma</w:t>
            </w:r>
          </w:p>
        </w:tc>
        <w:tc>
          <w:tcPr>
            <w:tcW w:w="4353" w:type="dxa"/>
          </w:tcPr>
          <w:p w:rsidR="00B6243F" w:rsidRPr="00A33E04" w:rsidRDefault="00B6243F" w:rsidP="00A33E04">
            <w:r>
              <w:t>Value of Imputation Credits</w:t>
            </w:r>
          </w:p>
        </w:tc>
      </w:tr>
      <w:tr w:rsidR="00B6243F" w:rsidTr="009B40AC">
        <w:trPr>
          <w:cnfStyle w:val="000000010000" w:firstRow="0" w:lastRow="0" w:firstColumn="0" w:lastColumn="0" w:oddVBand="0" w:evenVBand="0" w:oddHBand="0" w:evenHBand="1" w:firstRowFirstColumn="0" w:firstRowLastColumn="0" w:lastRowFirstColumn="0" w:lastRowLastColumn="0"/>
        </w:trPr>
        <w:tc>
          <w:tcPr>
            <w:tcW w:w="4340" w:type="dxa"/>
          </w:tcPr>
          <w:p w:rsidR="00B6243F" w:rsidRDefault="00B6243F" w:rsidP="00B6243F">
            <w:pPr>
              <w:numPr>
                <w:ilvl w:val="0"/>
                <w:numId w:val="24"/>
              </w:numPr>
            </w:pPr>
            <w:r>
              <w:t>GSL</w:t>
            </w:r>
          </w:p>
        </w:tc>
        <w:tc>
          <w:tcPr>
            <w:tcW w:w="4353" w:type="dxa"/>
          </w:tcPr>
          <w:p w:rsidR="00B6243F" w:rsidRPr="00A33E04" w:rsidRDefault="00B6243F" w:rsidP="00A33E04">
            <w:r>
              <w:t xml:space="preserve">Guaranteed </w:t>
            </w:r>
            <w:r w:rsidRPr="00A33E04">
              <w:t>Service Level</w:t>
            </w:r>
          </w:p>
        </w:tc>
      </w:tr>
      <w:tr w:rsidR="00B6243F" w:rsidTr="009B40AC">
        <w:tc>
          <w:tcPr>
            <w:tcW w:w="4340" w:type="dxa"/>
          </w:tcPr>
          <w:p w:rsidR="00B6243F" w:rsidRDefault="00B6243F" w:rsidP="00B6243F">
            <w:pPr>
              <w:numPr>
                <w:ilvl w:val="0"/>
                <w:numId w:val="24"/>
              </w:numPr>
            </w:pPr>
            <w:r>
              <w:t>MHQ</w:t>
            </w:r>
          </w:p>
        </w:tc>
        <w:tc>
          <w:tcPr>
            <w:tcW w:w="4353" w:type="dxa"/>
          </w:tcPr>
          <w:p w:rsidR="00B6243F" w:rsidRDefault="00B6243F" w:rsidP="00B6243F">
            <w:pPr>
              <w:numPr>
                <w:ilvl w:val="0"/>
                <w:numId w:val="24"/>
              </w:numPr>
            </w:pPr>
            <w:r>
              <w:t>maximum hourly quantity</w:t>
            </w:r>
          </w:p>
        </w:tc>
      </w:tr>
      <w:tr w:rsidR="00B6243F" w:rsidTr="009B40AC">
        <w:trPr>
          <w:cnfStyle w:val="000000010000" w:firstRow="0" w:lastRow="0" w:firstColumn="0" w:lastColumn="0" w:oddVBand="0" w:evenVBand="0" w:oddHBand="0" w:evenHBand="1" w:firstRowFirstColumn="0" w:firstRowLastColumn="0" w:lastRowFirstColumn="0" w:lastRowLastColumn="0"/>
        </w:trPr>
        <w:tc>
          <w:tcPr>
            <w:tcW w:w="4340" w:type="dxa"/>
          </w:tcPr>
          <w:p w:rsidR="00B6243F" w:rsidRDefault="00B6243F" w:rsidP="00B6243F">
            <w:pPr>
              <w:numPr>
                <w:ilvl w:val="0"/>
                <w:numId w:val="24"/>
              </w:numPr>
            </w:pPr>
            <w:r>
              <w:t>MRP</w:t>
            </w:r>
          </w:p>
        </w:tc>
        <w:tc>
          <w:tcPr>
            <w:tcW w:w="4353" w:type="dxa"/>
          </w:tcPr>
          <w:p w:rsidR="00B6243F" w:rsidRDefault="00B6243F" w:rsidP="00B6243F">
            <w:pPr>
              <w:numPr>
                <w:ilvl w:val="0"/>
                <w:numId w:val="24"/>
              </w:numPr>
            </w:pPr>
            <w:r>
              <w:t>market risk premium</w:t>
            </w:r>
          </w:p>
        </w:tc>
      </w:tr>
      <w:tr w:rsidR="00B6243F" w:rsidTr="009B40AC">
        <w:tc>
          <w:tcPr>
            <w:tcW w:w="4340" w:type="dxa"/>
          </w:tcPr>
          <w:p w:rsidR="00B6243F" w:rsidRDefault="00B6243F" w:rsidP="00B6243F">
            <w:pPr>
              <w:numPr>
                <w:ilvl w:val="0"/>
                <w:numId w:val="24"/>
              </w:numPr>
            </w:pPr>
            <w:r>
              <w:t>NGL</w:t>
            </w:r>
          </w:p>
        </w:tc>
        <w:tc>
          <w:tcPr>
            <w:tcW w:w="4353" w:type="dxa"/>
          </w:tcPr>
          <w:p w:rsidR="00B6243F" w:rsidRDefault="00B6243F" w:rsidP="00B6243F">
            <w:pPr>
              <w:numPr>
                <w:ilvl w:val="0"/>
                <w:numId w:val="24"/>
              </w:numPr>
            </w:pPr>
            <w:r>
              <w:t>national gas law</w:t>
            </w:r>
          </w:p>
        </w:tc>
      </w:tr>
      <w:tr w:rsidR="00B6243F" w:rsidTr="009B40AC">
        <w:trPr>
          <w:cnfStyle w:val="000000010000" w:firstRow="0" w:lastRow="0" w:firstColumn="0" w:lastColumn="0" w:oddVBand="0" w:evenVBand="0" w:oddHBand="0" w:evenHBand="1" w:firstRowFirstColumn="0" w:firstRowLastColumn="0" w:lastRowFirstColumn="0" w:lastRowLastColumn="0"/>
        </w:trPr>
        <w:tc>
          <w:tcPr>
            <w:tcW w:w="4340" w:type="dxa"/>
          </w:tcPr>
          <w:p w:rsidR="00B6243F" w:rsidRDefault="00B6243F" w:rsidP="00B6243F">
            <w:pPr>
              <w:numPr>
                <w:ilvl w:val="0"/>
                <w:numId w:val="24"/>
              </w:numPr>
            </w:pPr>
            <w:r>
              <w:t>NGO</w:t>
            </w:r>
          </w:p>
        </w:tc>
        <w:tc>
          <w:tcPr>
            <w:tcW w:w="4353" w:type="dxa"/>
          </w:tcPr>
          <w:p w:rsidR="00B6243F" w:rsidRDefault="00B6243F" w:rsidP="00B6243F">
            <w:pPr>
              <w:numPr>
                <w:ilvl w:val="0"/>
                <w:numId w:val="24"/>
              </w:numPr>
            </w:pPr>
            <w:r>
              <w:t>national gas objective</w:t>
            </w:r>
          </w:p>
        </w:tc>
      </w:tr>
      <w:tr w:rsidR="00B6243F" w:rsidTr="009B40AC">
        <w:tc>
          <w:tcPr>
            <w:tcW w:w="4340" w:type="dxa"/>
          </w:tcPr>
          <w:p w:rsidR="00B6243F" w:rsidRDefault="00B6243F" w:rsidP="00B6243F">
            <w:pPr>
              <w:numPr>
                <w:ilvl w:val="0"/>
                <w:numId w:val="24"/>
              </w:numPr>
            </w:pPr>
            <w:r>
              <w:t>NGR</w:t>
            </w:r>
          </w:p>
        </w:tc>
        <w:tc>
          <w:tcPr>
            <w:tcW w:w="4353" w:type="dxa"/>
          </w:tcPr>
          <w:p w:rsidR="00B6243F" w:rsidRDefault="00B6243F" w:rsidP="00B6243F">
            <w:pPr>
              <w:numPr>
                <w:ilvl w:val="0"/>
                <w:numId w:val="24"/>
              </w:numPr>
            </w:pPr>
            <w:r>
              <w:t>national gas rules</w:t>
            </w:r>
          </w:p>
        </w:tc>
      </w:tr>
      <w:tr w:rsidR="00B6243F" w:rsidTr="009B40AC">
        <w:trPr>
          <w:cnfStyle w:val="000000010000" w:firstRow="0" w:lastRow="0" w:firstColumn="0" w:lastColumn="0" w:oddVBand="0" w:evenVBand="0" w:oddHBand="0" w:evenHBand="1" w:firstRowFirstColumn="0" w:firstRowLastColumn="0" w:lastRowFirstColumn="0" w:lastRowLastColumn="0"/>
        </w:trPr>
        <w:tc>
          <w:tcPr>
            <w:tcW w:w="4340" w:type="dxa"/>
          </w:tcPr>
          <w:p w:rsidR="00B6243F" w:rsidRDefault="00B6243F" w:rsidP="00B6243F">
            <w:pPr>
              <w:numPr>
                <w:ilvl w:val="0"/>
                <w:numId w:val="24"/>
              </w:numPr>
            </w:pPr>
            <w:r>
              <w:t>NPV</w:t>
            </w:r>
          </w:p>
        </w:tc>
        <w:tc>
          <w:tcPr>
            <w:tcW w:w="4353" w:type="dxa"/>
          </w:tcPr>
          <w:p w:rsidR="00B6243F" w:rsidRPr="00A33E04" w:rsidRDefault="00B6243F" w:rsidP="00A33E04">
            <w:r>
              <w:t xml:space="preserve">net </w:t>
            </w:r>
            <w:r w:rsidRPr="00A33E04">
              <w:t>present value</w:t>
            </w:r>
          </w:p>
        </w:tc>
      </w:tr>
      <w:tr w:rsidR="00B6243F" w:rsidTr="009B40AC">
        <w:tc>
          <w:tcPr>
            <w:tcW w:w="4340" w:type="dxa"/>
          </w:tcPr>
          <w:p w:rsidR="00B6243F" w:rsidRDefault="00B6243F" w:rsidP="00B6243F">
            <w:pPr>
              <w:numPr>
                <w:ilvl w:val="0"/>
                <w:numId w:val="24"/>
              </w:numPr>
            </w:pPr>
            <w:r>
              <w:t>opex</w:t>
            </w:r>
          </w:p>
        </w:tc>
        <w:tc>
          <w:tcPr>
            <w:tcW w:w="4353" w:type="dxa"/>
          </w:tcPr>
          <w:p w:rsidR="00B6243F" w:rsidRDefault="00B6243F" w:rsidP="00B6243F">
            <w:pPr>
              <w:numPr>
                <w:ilvl w:val="0"/>
                <w:numId w:val="24"/>
              </w:numPr>
            </w:pPr>
            <w:r>
              <w:t>operating expenditure</w:t>
            </w:r>
          </w:p>
        </w:tc>
      </w:tr>
      <w:tr w:rsidR="00B6243F" w:rsidTr="009B40AC">
        <w:trPr>
          <w:cnfStyle w:val="000000010000" w:firstRow="0" w:lastRow="0" w:firstColumn="0" w:lastColumn="0" w:oddVBand="0" w:evenVBand="0" w:oddHBand="0" w:evenHBand="1" w:firstRowFirstColumn="0" w:firstRowLastColumn="0" w:lastRowFirstColumn="0" w:lastRowLastColumn="0"/>
        </w:trPr>
        <w:tc>
          <w:tcPr>
            <w:tcW w:w="4340" w:type="dxa"/>
          </w:tcPr>
          <w:p w:rsidR="00B6243F" w:rsidRDefault="00B6243F" w:rsidP="00B6243F">
            <w:pPr>
              <w:numPr>
                <w:ilvl w:val="0"/>
                <w:numId w:val="24"/>
              </w:numPr>
            </w:pPr>
            <w:r>
              <w:t>PTRM</w:t>
            </w:r>
          </w:p>
        </w:tc>
        <w:tc>
          <w:tcPr>
            <w:tcW w:w="4353" w:type="dxa"/>
          </w:tcPr>
          <w:p w:rsidR="00B6243F" w:rsidRDefault="00B6243F" w:rsidP="00B6243F">
            <w:pPr>
              <w:numPr>
                <w:ilvl w:val="0"/>
                <w:numId w:val="24"/>
              </w:numPr>
            </w:pPr>
            <w:r>
              <w:t>post-tax revenue model</w:t>
            </w:r>
          </w:p>
        </w:tc>
      </w:tr>
      <w:tr w:rsidR="00B6243F" w:rsidTr="009B40AC">
        <w:tc>
          <w:tcPr>
            <w:tcW w:w="4340" w:type="dxa"/>
          </w:tcPr>
          <w:p w:rsidR="00B6243F" w:rsidRDefault="00B6243F" w:rsidP="00B6243F">
            <w:pPr>
              <w:numPr>
                <w:ilvl w:val="0"/>
                <w:numId w:val="24"/>
              </w:numPr>
            </w:pPr>
            <w:r>
              <w:t>RAB</w:t>
            </w:r>
          </w:p>
        </w:tc>
        <w:tc>
          <w:tcPr>
            <w:tcW w:w="4353" w:type="dxa"/>
          </w:tcPr>
          <w:p w:rsidR="00B6243F" w:rsidRDefault="00B6243F" w:rsidP="00B6243F">
            <w:pPr>
              <w:numPr>
                <w:ilvl w:val="0"/>
                <w:numId w:val="24"/>
              </w:numPr>
            </w:pPr>
            <w:r>
              <w:t>regulatory asset base</w:t>
            </w:r>
          </w:p>
        </w:tc>
      </w:tr>
      <w:tr w:rsidR="00B6243F" w:rsidTr="009B40AC">
        <w:trPr>
          <w:cnfStyle w:val="000000010000" w:firstRow="0" w:lastRow="0" w:firstColumn="0" w:lastColumn="0" w:oddVBand="0" w:evenVBand="0" w:oddHBand="0" w:evenHBand="1" w:firstRowFirstColumn="0" w:firstRowLastColumn="0" w:lastRowFirstColumn="0" w:lastRowLastColumn="0"/>
        </w:trPr>
        <w:tc>
          <w:tcPr>
            <w:tcW w:w="4340" w:type="dxa"/>
          </w:tcPr>
          <w:p w:rsidR="00B6243F" w:rsidRDefault="00B6243F" w:rsidP="00B6243F">
            <w:pPr>
              <w:numPr>
                <w:ilvl w:val="0"/>
                <w:numId w:val="24"/>
              </w:numPr>
            </w:pPr>
            <w:r>
              <w:t>RBA</w:t>
            </w:r>
          </w:p>
        </w:tc>
        <w:tc>
          <w:tcPr>
            <w:tcW w:w="4353" w:type="dxa"/>
          </w:tcPr>
          <w:p w:rsidR="00B6243F" w:rsidRDefault="00B6243F" w:rsidP="00B6243F">
            <w:pPr>
              <w:numPr>
                <w:ilvl w:val="0"/>
                <w:numId w:val="24"/>
              </w:numPr>
            </w:pPr>
            <w:r>
              <w:t>Reserve Bank of Australia</w:t>
            </w:r>
          </w:p>
        </w:tc>
      </w:tr>
      <w:tr w:rsidR="00B6243F" w:rsidTr="009B40AC">
        <w:tc>
          <w:tcPr>
            <w:tcW w:w="4340" w:type="dxa"/>
          </w:tcPr>
          <w:p w:rsidR="00B6243F" w:rsidRDefault="00B6243F" w:rsidP="00B6243F">
            <w:pPr>
              <w:numPr>
                <w:ilvl w:val="0"/>
                <w:numId w:val="24"/>
              </w:numPr>
            </w:pPr>
            <w:r>
              <w:t>RIN</w:t>
            </w:r>
          </w:p>
        </w:tc>
        <w:tc>
          <w:tcPr>
            <w:tcW w:w="4353" w:type="dxa"/>
          </w:tcPr>
          <w:p w:rsidR="00B6243F" w:rsidRDefault="00B6243F" w:rsidP="00B6243F">
            <w:pPr>
              <w:numPr>
                <w:ilvl w:val="0"/>
                <w:numId w:val="24"/>
              </w:numPr>
            </w:pPr>
            <w:r>
              <w:t>regulatory information notice</w:t>
            </w:r>
          </w:p>
        </w:tc>
      </w:tr>
      <w:tr w:rsidR="00B6243F" w:rsidTr="009B40AC">
        <w:trPr>
          <w:cnfStyle w:val="000000010000" w:firstRow="0" w:lastRow="0" w:firstColumn="0" w:lastColumn="0" w:oddVBand="0" w:evenVBand="0" w:oddHBand="0" w:evenHBand="1" w:firstRowFirstColumn="0" w:firstRowLastColumn="0" w:lastRowFirstColumn="0" w:lastRowLastColumn="0"/>
        </w:trPr>
        <w:tc>
          <w:tcPr>
            <w:tcW w:w="4340" w:type="dxa"/>
          </w:tcPr>
          <w:p w:rsidR="00B6243F" w:rsidRDefault="00B6243F" w:rsidP="00B6243F">
            <w:pPr>
              <w:numPr>
                <w:ilvl w:val="0"/>
                <w:numId w:val="24"/>
              </w:numPr>
            </w:pPr>
            <w:r>
              <w:t>TAB</w:t>
            </w:r>
          </w:p>
        </w:tc>
        <w:tc>
          <w:tcPr>
            <w:tcW w:w="4353" w:type="dxa"/>
          </w:tcPr>
          <w:p w:rsidR="00B6243F" w:rsidRPr="00A33E04" w:rsidRDefault="00B6243F" w:rsidP="00A33E04">
            <w:r>
              <w:t>Tax asset base</w:t>
            </w:r>
          </w:p>
        </w:tc>
      </w:tr>
      <w:tr w:rsidR="00B6243F" w:rsidTr="009B40AC">
        <w:tc>
          <w:tcPr>
            <w:tcW w:w="4340" w:type="dxa"/>
          </w:tcPr>
          <w:p w:rsidR="00B6243F" w:rsidRDefault="00B6243F" w:rsidP="00B6243F">
            <w:pPr>
              <w:numPr>
                <w:ilvl w:val="0"/>
                <w:numId w:val="24"/>
              </w:numPr>
            </w:pPr>
            <w:r>
              <w:t>UAFG</w:t>
            </w:r>
          </w:p>
        </w:tc>
        <w:tc>
          <w:tcPr>
            <w:tcW w:w="4353" w:type="dxa"/>
          </w:tcPr>
          <w:p w:rsidR="00B6243F" w:rsidRPr="00A33E04" w:rsidRDefault="00B6243F" w:rsidP="00A33E04">
            <w:r>
              <w:t>Unaccounted for gas</w:t>
            </w:r>
          </w:p>
        </w:tc>
      </w:tr>
      <w:tr w:rsidR="00B6243F" w:rsidTr="009B40AC">
        <w:trPr>
          <w:cnfStyle w:val="000000010000" w:firstRow="0" w:lastRow="0" w:firstColumn="0" w:lastColumn="0" w:oddVBand="0" w:evenVBand="0" w:oddHBand="0" w:evenHBand="1" w:firstRowFirstColumn="0" w:firstRowLastColumn="0" w:lastRowFirstColumn="0" w:lastRowLastColumn="0"/>
        </w:trPr>
        <w:tc>
          <w:tcPr>
            <w:tcW w:w="4340" w:type="dxa"/>
          </w:tcPr>
          <w:p w:rsidR="00B6243F" w:rsidRDefault="00B6243F" w:rsidP="00B6243F">
            <w:pPr>
              <w:numPr>
                <w:ilvl w:val="0"/>
                <w:numId w:val="24"/>
              </w:numPr>
            </w:pPr>
            <w:r>
              <w:t>WACC</w:t>
            </w:r>
          </w:p>
        </w:tc>
        <w:tc>
          <w:tcPr>
            <w:tcW w:w="4353" w:type="dxa"/>
          </w:tcPr>
          <w:p w:rsidR="00B6243F" w:rsidRDefault="00B6243F" w:rsidP="00B6243F">
            <w:pPr>
              <w:numPr>
                <w:ilvl w:val="0"/>
                <w:numId w:val="24"/>
              </w:numPr>
            </w:pPr>
            <w:r>
              <w:t>weighted average cost of capital</w:t>
            </w:r>
          </w:p>
        </w:tc>
      </w:tr>
      <w:tr w:rsidR="00B6243F" w:rsidTr="009B40AC">
        <w:tc>
          <w:tcPr>
            <w:tcW w:w="4340" w:type="dxa"/>
          </w:tcPr>
          <w:p w:rsidR="00B6243F" w:rsidRDefault="00B6243F" w:rsidP="00B6243F">
            <w:pPr>
              <w:numPr>
                <w:ilvl w:val="0"/>
                <w:numId w:val="24"/>
              </w:numPr>
            </w:pPr>
            <w:r>
              <w:t>WPI</w:t>
            </w:r>
          </w:p>
        </w:tc>
        <w:tc>
          <w:tcPr>
            <w:tcW w:w="4353" w:type="dxa"/>
          </w:tcPr>
          <w:p w:rsidR="00B6243F" w:rsidRPr="00A33E04" w:rsidRDefault="00B6243F" w:rsidP="00A33E04">
            <w:r>
              <w:t>Wage Price Index</w:t>
            </w:r>
          </w:p>
        </w:tc>
      </w:tr>
    </w:tbl>
    <w:p w:rsidR="00B6243F" w:rsidRDefault="00B6243F" w:rsidP="00A33E04">
      <w:pPr>
        <w:pStyle w:val="Heading1"/>
      </w:pPr>
      <w:bookmarkStart w:id="14" w:name="_Toc416278154"/>
      <w:bookmarkStart w:id="15" w:name="_Toc416346517"/>
      <w:bookmarkStart w:id="16" w:name="_Toc416278157"/>
      <w:bookmarkStart w:id="17" w:name="_Toc416346520"/>
      <w:bookmarkStart w:id="18" w:name="_Toc416278160"/>
      <w:bookmarkStart w:id="19" w:name="_Toc416346523"/>
      <w:bookmarkStart w:id="20" w:name="_Toc416278163"/>
      <w:bookmarkStart w:id="21" w:name="_Toc416346526"/>
      <w:bookmarkStart w:id="22" w:name="_Toc416278166"/>
      <w:bookmarkStart w:id="23" w:name="_Toc416346529"/>
      <w:bookmarkStart w:id="24" w:name="_Toc416278169"/>
      <w:bookmarkStart w:id="25" w:name="_Toc416346532"/>
      <w:bookmarkStart w:id="26" w:name="_Toc416278172"/>
      <w:bookmarkStart w:id="27" w:name="_Toc416346535"/>
      <w:bookmarkStart w:id="28" w:name="_Toc416278175"/>
      <w:bookmarkStart w:id="29" w:name="_Toc416346538"/>
      <w:bookmarkStart w:id="30" w:name="_Toc416278178"/>
      <w:bookmarkStart w:id="31" w:name="_Toc416346541"/>
      <w:bookmarkStart w:id="32" w:name="_Toc416278181"/>
      <w:bookmarkStart w:id="33" w:name="_Toc416346544"/>
      <w:bookmarkStart w:id="34" w:name="_Toc416278184"/>
      <w:bookmarkStart w:id="35" w:name="_Toc416346547"/>
      <w:bookmarkStart w:id="36" w:name="_Toc416278187"/>
      <w:bookmarkStart w:id="37" w:name="_Toc416346550"/>
      <w:bookmarkStart w:id="38" w:name="_Toc416278190"/>
      <w:bookmarkStart w:id="39" w:name="_Toc416346553"/>
      <w:bookmarkStart w:id="40" w:name="_Toc416278193"/>
      <w:bookmarkStart w:id="41" w:name="_Toc416346556"/>
      <w:bookmarkStart w:id="42" w:name="_Toc416278196"/>
      <w:bookmarkStart w:id="43" w:name="_Toc416346559"/>
      <w:bookmarkStart w:id="44" w:name="_Toc416278199"/>
      <w:bookmarkStart w:id="45" w:name="_Toc416346562"/>
      <w:bookmarkStart w:id="46" w:name="_Toc416278202"/>
      <w:bookmarkStart w:id="47" w:name="_Toc416346565"/>
      <w:bookmarkStart w:id="48" w:name="_Toc416278205"/>
      <w:bookmarkStart w:id="49" w:name="_Toc416346568"/>
      <w:bookmarkStart w:id="50" w:name="_Toc416278208"/>
      <w:bookmarkStart w:id="51" w:name="_Toc416346571"/>
      <w:bookmarkStart w:id="52" w:name="_Toc416278211"/>
      <w:bookmarkStart w:id="53" w:name="_Toc416346574"/>
      <w:bookmarkStart w:id="54" w:name="_Toc416278214"/>
      <w:bookmarkStart w:id="55" w:name="_Toc416346577"/>
      <w:bookmarkStart w:id="56" w:name="_Toc416278217"/>
      <w:bookmarkStart w:id="57" w:name="_Toc416346580"/>
      <w:bookmarkStart w:id="58" w:name="_Toc416278220"/>
      <w:bookmarkStart w:id="59" w:name="_Toc416346583"/>
      <w:bookmarkStart w:id="60" w:name="_Toc416278223"/>
      <w:bookmarkStart w:id="61" w:name="_Toc416346586"/>
      <w:bookmarkStart w:id="62" w:name="_Toc416278226"/>
      <w:bookmarkStart w:id="63" w:name="_Toc416346589"/>
      <w:bookmarkStart w:id="64" w:name="_Toc416278229"/>
      <w:bookmarkStart w:id="65" w:name="_Toc416346592"/>
      <w:bookmarkStart w:id="66" w:name="_Toc416278232"/>
      <w:bookmarkStart w:id="67" w:name="_Toc416346595"/>
      <w:bookmarkStart w:id="68" w:name="_Toc416278235"/>
      <w:bookmarkStart w:id="69" w:name="_Toc416346598"/>
      <w:bookmarkStart w:id="70" w:name="_Toc416278238"/>
      <w:bookmarkStart w:id="71" w:name="_Toc416346601"/>
      <w:bookmarkStart w:id="72" w:name="_Toc482365307"/>
      <w:bookmarkStart w:id="73" w:name="_Toc483292633"/>
      <w:bookmarkStart w:id="74" w:name="_Toc48684105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t>Demand</w:t>
      </w:r>
      <w:bookmarkEnd w:id="72"/>
      <w:bookmarkEnd w:id="73"/>
      <w:bookmarkEnd w:id="74"/>
    </w:p>
    <w:p w:rsidR="00B6243F" w:rsidRDefault="00B6243F" w:rsidP="00A33E04">
      <w:r>
        <w:t xml:space="preserve">This attachment sets out our assessment of the demand forecasts for AusNet for the 2018–22 access arrangement period. Demand is an important input into the derivation of AusNet's reference tariffs. It also affects operating expenditure (opex) and capital expenditure (capex), which </w:t>
      </w:r>
      <w:r w:rsidR="00003960">
        <w:t xml:space="preserve">are </w:t>
      </w:r>
      <w:r>
        <w:t>linked to network growth (new connections).</w:t>
      </w:r>
      <w:r w:rsidRPr="009A4689">
        <w:rPr>
          <w:rStyle w:val="FootnoteReference"/>
        </w:rPr>
        <w:t xml:space="preserve"> </w:t>
      </w:r>
      <w:r>
        <w:rPr>
          <w:rStyle w:val="FootnoteReference"/>
        </w:rPr>
        <w:footnoteReference w:id="1"/>
      </w:r>
    </w:p>
    <w:p w:rsidR="00B6243F" w:rsidRDefault="00B6243F" w:rsidP="00A33E04">
      <w:pPr>
        <w:pStyle w:val="Heading2"/>
      </w:pPr>
      <w:bookmarkStart w:id="75" w:name="_Toc482365308"/>
      <w:bookmarkStart w:id="76" w:name="_Toc483292634"/>
      <w:bookmarkStart w:id="77" w:name="_Toc486841053"/>
      <w:r>
        <w:t>Draft decision</w:t>
      </w:r>
      <w:bookmarkEnd w:id="75"/>
      <w:bookmarkEnd w:id="76"/>
      <w:bookmarkEnd w:id="77"/>
    </w:p>
    <w:p w:rsidR="00B6243F" w:rsidRDefault="00B6243F" w:rsidP="00A33E04">
      <w:r>
        <w:t xml:space="preserve">Based on all the information before us, we do not accept AusNet's Tariff V demand forecasts for the 2018–22 access arrangement period. </w:t>
      </w:r>
      <w:r w:rsidR="001343C1">
        <w:t>W</w:t>
      </w:r>
      <w:r>
        <w:t>e are satisfied that the overall demand forecasting methodology applied by AusNet's consultant, Centre for International Economics (CIE), is</w:t>
      </w:r>
      <w:r w:rsidR="003D3BAB">
        <w:t xml:space="preserve"> in most aspects</w:t>
      </w:r>
      <w:r>
        <w:t xml:space="preserve"> consistent with rule 74(2) of the </w:t>
      </w:r>
      <w:r w:rsidR="00003960">
        <w:t>National Gas Rules (</w:t>
      </w:r>
      <w:r>
        <w:t>NGR</w:t>
      </w:r>
      <w:r w:rsidR="00003960">
        <w:t>)</w:t>
      </w:r>
      <w:r w:rsidR="001343C1">
        <w:t xml:space="preserve">. However, </w:t>
      </w:r>
      <w:r w:rsidR="00003960">
        <w:t xml:space="preserve">our draft decision </w:t>
      </w:r>
      <w:r w:rsidR="001343C1">
        <w:t>not</w:t>
      </w:r>
      <w:r>
        <w:t xml:space="preserve"> </w:t>
      </w:r>
      <w:r w:rsidR="00003960">
        <w:t xml:space="preserve">to </w:t>
      </w:r>
      <w:r>
        <w:t>accept AusNet's opex step change for a marketing program has a flow-on impact on demand forecasts, in particular forecast residential connection numbers.</w:t>
      </w:r>
      <w:r>
        <w:rPr>
          <w:rStyle w:val="FootnoteReference"/>
        </w:rPr>
        <w:footnoteReference w:id="2"/>
      </w:r>
      <w:r>
        <w:t xml:space="preserve"> Our alternative forecast of </w:t>
      </w:r>
      <w:r w:rsidRPr="006C5BCF">
        <w:t xml:space="preserve">71,783 </w:t>
      </w:r>
      <w:r>
        <w:t xml:space="preserve">net </w:t>
      </w:r>
      <w:r w:rsidRPr="006C5BCF">
        <w:t xml:space="preserve">connections </w:t>
      </w:r>
      <w:r>
        <w:t xml:space="preserve">over the 2018-22 access arrangement period is 1.8 per cent lower than AusNet's forecast of </w:t>
      </w:r>
      <w:r w:rsidRPr="006C5BCF">
        <w:t xml:space="preserve">73,100 </w:t>
      </w:r>
      <w:r>
        <w:t xml:space="preserve">net </w:t>
      </w:r>
      <w:r w:rsidRPr="006C5BCF">
        <w:t>connections</w:t>
      </w:r>
      <w:r>
        <w:t>.</w:t>
      </w:r>
      <w:r>
        <w:rPr>
          <w:rStyle w:val="FootnoteReference"/>
        </w:rPr>
        <w:footnoteReference w:id="3"/>
      </w:r>
      <w:r>
        <w:t xml:space="preserve">  </w:t>
      </w:r>
    </w:p>
    <w:p w:rsidR="00B6243F" w:rsidRDefault="00B6243F" w:rsidP="00603E49">
      <w:r>
        <w:t>We encourage AusNet to update data where revised values are available, such as data sourced from the Victoria in Future</w:t>
      </w:r>
      <w:r w:rsidR="00A312AD">
        <w:rPr>
          <w:rStyle w:val="FootnoteReference"/>
        </w:rPr>
        <w:footnoteReference w:id="4"/>
      </w:r>
      <w:r>
        <w:t xml:space="preserve"> and AEMO's 2016 National Gas Forecasting Report (NGFR), as part of its revised access arrangement proposal.</w:t>
      </w:r>
    </w:p>
    <w:p w:rsidR="00B6243F" w:rsidRDefault="00B6243F" w:rsidP="00A33E04">
      <w:r>
        <w:t>With respect to Tariff D and M, we are satisfied that forecast demand (MHQ) for these tariff classes is consistent with rule 74(2) of the NGR.</w:t>
      </w:r>
    </w:p>
    <w:p w:rsidR="00B6243F" w:rsidRDefault="00B6243F" w:rsidP="00A33E04">
      <w:r>
        <w:t xml:space="preserve">The reasons for our draft decision are discussed in Section </w:t>
      </w:r>
      <w:r>
        <w:fldChar w:fldCharType="begin"/>
      </w:r>
      <w:r>
        <w:instrText xml:space="preserve"> REF _Ref481501253 \r \h </w:instrText>
      </w:r>
      <w:r>
        <w:fldChar w:fldCharType="separate"/>
      </w:r>
      <w:r w:rsidR="00093FB9">
        <w:t>13.4</w:t>
      </w:r>
      <w:r>
        <w:fldChar w:fldCharType="end"/>
      </w:r>
      <w:r>
        <w:t xml:space="preserve"> below.</w:t>
      </w:r>
    </w:p>
    <w:p w:rsidR="00B6243F" w:rsidRDefault="00B6243F" w:rsidP="00A33E04">
      <w:pPr>
        <w:pStyle w:val="Heading2"/>
      </w:pPr>
      <w:bookmarkStart w:id="78" w:name="_Toc482365309"/>
      <w:bookmarkStart w:id="79" w:name="_Toc483292635"/>
      <w:bookmarkStart w:id="80" w:name="_Toc486841054"/>
      <w:r>
        <w:t>AusNet's proposal</w:t>
      </w:r>
      <w:bookmarkEnd w:id="78"/>
      <w:bookmarkEnd w:id="79"/>
      <w:bookmarkEnd w:id="80"/>
    </w:p>
    <w:p w:rsidR="00B6243F" w:rsidRDefault="00B6243F" w:rsidP="00A33E04">
      <w:r>
        <w:t>AusNet engaged CIE to prepare its demand forecasts for its Victorian network for the 2018–22 access arrangement period. A summary of the key aspects of AusNet's demand forecasts are set out in</w:t>
      </w:r>
      <w:r w:rsidR="00F468C7">
        <w:t xml:space="preserve"> </w:t>
      </w:r>
      <w:r w:rsidR="00F468C7">
        <w:fldChar w:fldCharType="begin"/>
      </w:r>
      <w:r w:rsidR="00F468C7">
        <w:instrText xml:space="preserve"> REF _Ref485130665 \h </w:instrText>
      </w:r>
      <w:r w:rsidR="00F468C7">
        <w:fldChar w:fldCharType="separate"/>
      </w:r>
      <w:r w:rsidR="00093FB9">
        <w:t xml:space="preserve">Table </w:t>
      </w:r>
      <w:r w:rsidR="00093FB9">
        <w:rPr>
          <w:noProof/>
        </w:rPr>
        <w:t>13</w:t>
      </w:r>
      <w:r w:rsidR="00093FB9">
        <w:noBreakHyphen/>
      </w:r>
      <w:r w:rsidR="00093FB9">
        <w:rPr>
          <w:noProof/>
        </w:rPr>
        <w:t>1</w:t>
      </w:r>
      <w:r w:rsidR="00F468C7">
        <w:fldChar w:fldCharType="end"/>
      </w:r>
      <w:r>
        <w:t xml:space="preserve"> (Tariff V - residential and commercial) and </w:t>
      </w:r>
      <w:r w:rsidR="00003960">
        <w:fldChar w:fldCharType="begin"/>
      </w:r>
      <w:r w:rsidR="00003960">
        <w:instrText xml:space="preserve"> REF _Ref485816817 \h </w:instrText>
      </w:r>
      <w:r w:rsidR="00003960">
        <w:fldChar w:fldCharType="separate"/>
      </w:r>
      <w:r w:rsidR="00093FB9">
        <w:t xml:space="preserve">Table </w:t>
      </w:r>
      <w:r w:rsidR="00093FB9">
        <w:rPr>
          <w:noProof/>
        </w:rPr>
        <w:t>13</w:t>
      </w:r>
      <w:r w:rsidR="00093FB9">
        <w:noBreakHyphen/>
      </w:r>
      <w:r w:rsidR="00093FB9">
        <w:rPr>
          <w:noProof/>
        </w:rPr>
        <w:t>2</w:t>
      </w:r>
      <w:r w:rsidR="00003960">
        <w:fldChar w:fldCharType="end"/>
      </w:r>
      <w:r w:rsidR="00003960">
        <w:t xml:space="preserve"> </w:t>
      </w:r>
      <w:r>
        <w:t>(Tariff D and Tariff M)</w:t>
      </w:r>
      <w:r>
        <w:rPr>
          <w:rStyle w:val="FootnoteReference"/>
        </w:rPr>
        <w:footnoteReference w:id="5"/>
      </w:r>
      <w:r>
        <w:t>.</w:t>
      </w:r>
    </w:p>
    <w:p w:rsidR="00B6243F" w:rsidRDefault="00B6243F" w:rsidP="00F468C7">
      <w:r>
        <w:t xml:space="preserve">Demand for Industrial customers (Tariff D and Tariff M) is specified in maximum hourly quantities (MHQ) since this is the basis on which those customers are charged. </w:t>
      </w:r>
      <w:r w:rsidRPr="00970646">
        <w:t xml:space="preserve">Tariff D and Tariff M customers are not levied a fixed charge, </w:t>
      </w:r>
      <w:r>
        <w:t xml:space="preserve">therefore, </w:t>
      </w:r>
      <w:r w:rsidRPr="00970646">
        <w:t>forecasting the number of these customers in the forthcoming access arrangement period is not required.</w:t>
      </w:r>
      <w:r>
        <w:rPr>
          <w:rStyle w:val="FootnoteReference"/>
        </w:rPr>
        <w:footnoteReference w:id="6"/>
      </w:r>
      <w:r w:rsidRPr="00970646">
        <w:t xml:space="preserve"> </w:t>
      </w:r>
    </w:p>
    <w:p w:rsidR="00F468C7" w:rsidRDefault="00F468C7" w:rsidP="00F468C7">
      <w:pPr>
        <w:pStyle w:val="Caption"/>
      </w:pPr>
      <w:bookmarkStart w:id="81" w:name="_Ref485130665"/>
      <w:r>
        <w:t xml:space="preserve">Table </w:t>
      </w:r>
      <w:fldSimple w:instr=" STYLEREF 1 \s ">
        <w:r w:rsidR="00093FB9">
          <w:rPr>
            <w:noProof/>
          </w:rPr>
          <w:t>13</w:t>
        </w:r>
      </w:fldSimple>
      <w:r>
        <w:noBreakHyphen/>
      </w:r>
      <w:fldSimple w:instr=" SEQ Table \* ARABIC \s 1 ">
        <w:r w:rsidR="00093FB9">
          <w:rPr>
            <w:noProof/>
          </w:rPr>
          <w:t>1</w:t>
        </w:r>
      </w:fldSimple>
      <w:bookmarkEnd w:id="81"/>
      <w:r>
        <w:t xml:space="preserve">: </w:t>
      </w:r>
      <w:r w:rsidRPr="001D47BA">
        <w:t>AusNet demand forecasts for Tariff V for the 2018–22 access arrangement period</w:t>
      </w:r>
    </w:p>
    <w:tbl>
      <w:tblPr>
        <w:tblStyle w:val="AERtable-numbers"/>
        <w:tblW w:w="0" w:type="auto"/>
        <w:tblLook w:val="04A0" w:firstRow="1" w:lastRow="0" w:firstColumn="1" w:lastColumn="0" w:noHBand="0" w:noVBand="1"/>
      </w:tblPr>
      <w:tblGrid>
        <w:gridCol w:w="1526"/>
        <w:gridCol w:w="1371"/>
        <w:gridCol w:w="1449"/>
        <w:gridCol w:w="1449"/>
        <w:gridCol w:w="1449"/>
        <w:gridCol w:w="1449"/>
      </w:tblGrid>
      <w:tr w:rsidR="00B6243F" w:rsidTr="00C409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B6243F" w:rsidRDefault="00B6243F" w:rsidP="00A33E04"/>
        </w:tc>
        <w:tc>
          <w:tcPr>
            <w:tcW w:w="1371" w:type="dxa"/>
          </w:tcPr>
          <w:p w:rsidR="00B6243F" w:rsidRPr="00A33E04" w:rsidRDefault="00B6243F" w:rsidP="00A33E04">
            <w:pPr>
              <w:cnfStyle w:val="100000000000" w:firstRow="1" w:lastRow="0" w:firstColumn="0" w:lastColumn="0" w:oddVBand="0" w:evenVBand="0" w:oddHBand="0" w:evenHBand="0" w:firstRowFirstColumn="0" w:firstRowLastColumn="0" w:lastRowFirstColumn="0" w:lastRowLastColumn="0"/>
            </w:pPr>
            <w:r>
              <w:t>2018</w:t>
            </w:r>
          </w:p>
        </w:tc>
        <w:tc>
          <w:tcPr>
            <w:tcW w:w="1449" w:type="dxa"/>
          </w:tcPr>
          <w:p w:rsidR="00B6243F" w:rsidRPr="00A33E04" w:rsidRDefault="00B6243F" w:rsidP="00A33E04">
            <w:pPr>
              <w:cnfStyle w:val="100000000000" w:firstRow="1" w:lastRow="0" w:firstColumn="0" w:lastColumn="0" w:oddVBand="0" w:evenVBand="0" w:oddHBand="0" w:evenHBand="0" w:firstRowFirstColumn="0" w:firstRowLastColumn="0" w:lastRowFirstColumn="0" w:lastRowLastColumn="0"/>
            </w:pPr>
            <w:r>
              <w:t>2019</w:t>
            </w:r>
          </w:p>
        </w:tc>
        <w:tc>
          <w:tcPr>
            <w:tcW w:w="1449" w:type="dxa"/>
          </w:tcPr>
          <w:p w:rsidR="00B6243F" w:rsidRPr="00A33E04" w:rsidRDefault="00B6243F" w:rsidP="00A33E04">
            <w:pPr>
              <w:cnfStyle w:val="100000000000" w:firstRow="1" w:lastRow="0" w:firstColumn="0" w:lastColumn="0" w:oddVBand="0" w:evenVBand="0" w:oddHBand="0" w:evenHBand="0" w:firstRowFirstColumn="0" w:firstRowLastColumn="0" w:lastRowFirstColumn="0" w:lastRowLastColumn="0"/>
            </w:pPr>
            <w:r>
              <w:t>2020</w:t>
            </w:r>
          </w:p>
        </w:tc>
        <w:tc>
          <w:tcPr>
            <w:tcW w:w="1449" w:type="dxa"/>
          </w:tcPr>
          <w:p w:rsidR="00B6243F" w:rsidRPr="00A33E04" w:rsidRDefault="00B6243F" w:rsidP="00A33E04">
            <w:pPr>
              <w:cnfStyle w:val="100000000000" w:firstRow="1" w:lastRow="0" w:firstColumn="0" w:lastColumn="0" w:oddVBand="0" w:evenVBand="0" w:oddHBand="0" w:evenHBand="0" w:firstRowFirstColumn="0" w:firstRowLastColumn="0" w:lastRowFirstColumn="0" w:lastRowLastColumn="0"/>
            </w:pPr>
            <w:r>
              <w:t>2021</w:t>
            </w:r>
          </w:p>
        </w:tc>
        <w:tc>
          <w:tcPr>
            <w:tcW w:w="1449" w:type="dxa"/>
          </w:tcPr>
          <w:p w:rsidR="00B6243F" w:rsidRPr="00A33E04" w:rsidRDefault="00B6243F" w:rsidP="00A33E04">
            <w:pPr>
              <w:cnfStyle w:val="100000000000" w:firstRow="1" w:lastRow="0" w:firstColumn="0" w:lastColumn="0" w:oddVBand="0" w:evenVBand="0" w:oddHBand="0" w:evenHBand="0" w:firstRowFirstColumn="0" w:firstRowLastColumn="0" w:lastRowFirstColumn="0" w:lastRowLastColumn="0"/>
            </w:pPr>
            <w:r>
              <w:t>2022</w:t>
            </w:r>
          </w:p>
        </w:tc>
      </w:tr>
      <w:tr w:rsidR="00B6243F" w:rsidTr="00C40934">
        <w:tc>
          <w:tcPr>
            <w:cnfStyle w:val="001000000000" w:firstRow="0" w:lastRow="0" w:firstColumn="1" w:lastColumn="0" w:oddVBand="0" w:evenVBand="0" w:oddHBand="0" w:evenHBand="0" w:firstRowFirstColumn="0" w:firstRowLastColumn="0" w:lastRowFirstColumn="0" w:lastRowLastColumn="0"/>
            <w:tcW w:w="1526" w:type="dxa"/>
          </w:tcPr>
          <w:p w:rsidR="00B6243F" w:rsidRPr="00A33E04" w:rsidRDefault="00B6243F" w:rsidP="00377F3C">
            <w:r>
              <w:t xml:space="preserve">Residential connections </w:t>
            </w:r>
            <w:r>
              <w:rPr>
                <w:rStyle w:val="AERsuperscript"/>
              </w:rPr>
              <w:t>a</w:t>
            </w:r>
          </w:p>
        </w:tc>
        <w:tc>
          <w:tcPr>
            <w:tcW w:w="1371" w:type="dxa"/>
          </w:tcPr>
          <w:p w:rsidR="00B6243F" w:rsidRDefault="00B6243F" w:rsidP="00A33E04">
            <w:pPr>
              <w:cnfStyle w:val="000000000000" w:firstRow="0" w:lastRow="0" w:firstColumn="0" w:lastColumn="0" w:oddVBand="0" w:evenVBand="0" w:oddHBand="0" w:evenHBand="0" w:firstRowFirstColumn="0" w:firstRowLastColumn="0" w:lastRowFirstColumn="0" w:lastRowLastColumn="0"/>
            </w:pPr>
            <w:r>
              <w:t>14,296</w:t>
            </w:r>
          </w:p>
        </w:tc>
        <w:tc>
          <w:tcPr>
            <w:tcW w:w="1449" w:type="dxa"/>
          </w:tcPr>
          <w:p w:rsidR="00B6243F" w:rsidRDefault="00B6243F" w:rsidP="00A33E04">
            <w:pPr>
              <w:cnfStyle w:val="000000000000" w:firstRow="0" w:lastRow="0" w:firstColumn="0" w:lastColumn="0" w:oddVBand="0" w:evenVBand="0" w:oddHBand="0" w:evenHBand="0" w:firstRowFirstColumn="0" w:firstRowLastColumn="0" w:lastRowFirstColumn="0" w:lastRowLastColumn="0"/>
            </w:pPr>
            <w:r>
              <w:t>14,499</w:t>
            </w:r>
          </w:p>
        </w:tc>
        <w:tc>
          <w:tcPr>
            <w:tcW w:w="1449" w:type="dxa"/>
          </w:tcPr>
          <w:p w:rsidR="00B6243F" w:rsidRDefault="00B6243F" w:rsidP="00A33E04">
            <w:pPr>
              <w:cnfStyle w:val="000000000000" w:firstRow="0" w:lastRow="0" w:firstColumn="0" w:lastColumn="0" w:oddVBand="0" w:evenVBand="0" w:oddHBand="0" w:evenHBand="0" w:firstRowFirstColumn="0" w:firstRowLastColumn="0" w:lastRowFirstColumn="0" w:lastRowLastColumn="0"/>
            </w:pPr>
            <w:r>
              <w:t>14,749</w:t>
            </w:r>
          </w:p>
        </w:tc>
        <w:tc>
          <w:tcPr>
            <w:tcW w:w="1449" w:type="dxa"/>
          </w:tcPr>
          <w:p w:rsidR="00B6243F" w:rsidRDefault="00B6243F" w:rsidP="00A33E04">
            <w:pPr>
              <w:cnfStyle w:val="000000000000" w:firstRow="0" w:lastRow="0" w:firstColumn="0" w:lastColumn="0" w:oddVBand="0" w:evenVBand="0" w:oddHBand="0" w:evenHBand="0" w:firstRowFirstColumn="0" w:firstRowLastColumn="0" w:lastRowFirstColumn="0" w:lastRowLastColumn="0"/>
            </w:pPr>
            <w:r>
              <w:t>15,039</w:t>
            </w:r>
          </w:p>
        </w:tc>
        <w:tc>
          <w:tcPr>
            <w:tcW w:w="1449" w:type="dxa"/>
          </w:tcPr>
          <w:p w:rsidR="00B6243F" w:rsidRDefault="00B6243F" w:rsidP="00A33E04">
            <w:pPr>
              <w:cnfStyle w:val="000000000000" w:firstRow="0" w:lastRow="0" w:firstColumn="0" w:lastColumn="0" w:oddVBand="0" w:evenVBand="0" w:oddHBand="0" w:evenHBand="0" w:firstRowFirstColumn="0" w:firstRowLastColumn="0" w:lastRowFirstColumn="0" w:lastRowLastColumn="0"/>
            </w:pPr>
            <w:r>
              <w:t>14,517</w:t>
            </w:r>
          </w:p>
        </w:tc>
      </w:tr>
      <w:tr w:rsidR="00B6243F" w:rsidTr="00C409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B6243F" w:rsidRPr="00A33E04" w:rsidRDefault="00B6243F" w:rsidP="00A33E04">
            <w:r>
              <w:t>Residential Demand (TJ)</w:t>
            </w:r>
            <w:r>
              <w:rPr>
                <w:rStyle w:val="AERsuperscript"/>
              </w:rPr>
              <w:t xml:space="preserve"> a</w:t>
            </w:r>
          </w:p>
        </w:tc>
        <w:tc>
          <w:tcPr>
            <w:tcW w:w="1371" w:type="dxa"/>
          </w:tcPr>
          <w:p w:rsidR="00B6243F" w:rsidRDefault="00B6243F" w:rsidP="00A33E04">
            <w:pPr>
              <w:cnfStyle w:val="000000010000" w:firstRow="0" w:lastRow="0" w:firstColumn="0" w:lastColumn="0" w:oddVBand="0" w:evenVBand="0" w:oddHBand="0" w:evenHBand="1" w:firstRowFirstColumn="0" w:firstRowLastColumn="0" w:lastRowFirstColumn="0" w:lastRowLastColumn="0"/>
            </w:pPr>
            <w:r>
              <w:t>31,710</w:t>
            </w:r>
          </w:p>
        </w:tc>
        <w:tc>
          <w:tcPr>
            <w:tcW w:w="1449" w:type="dxa"/>
          </w:tcPr>
          <w:p w:rsidR="00B6243F" w:rsidRDefault="00B6243F" w:rsidP="00A33E04">
            <w:pPr>
              <w:cnfStyle w:val="000000010000" w:firstRow="0" w:lastRow="0" w:firstColumn="0" w:lastColumn="0" w:oddVBand="0" w:evenVBand="0" w:oddHBand="0" w:evenHBand="1" w:firstRowFirstColumn="0" w:firstRowLastColumn="0" w:lastRowFirstColumn="0" w:lastRowLastColumn="0"/>
            </w:pPr>
            <w:r>
              <w:t>32,002</w:t>
            </w:r>
          </w:p>
        </w:tc>
        <w:tc>
          <w:tcPr>
            <w:tcW w:w="1449" w:type="dxa"/>
          </w:tcPr>
          <w:p w:rsidR="00B6243F" w:rsidRDefault="00B6243F" w:rsidP="00A33E04">
            <w:pPr>
              <w:cnfStyle w:val="000000010000" w:firstRow="0" w:lastRow="0" w:firstColumn="0" w:lastColumn="0" w:oddVBand="0" w:evenVBand="0" w:oddHBand="0" w:evenHBand="1" w:firstRowFirstColumn="0" w:firstRowLastColumn="0" w:lastRowFirstColumn="0" w:lastRowLastColumn="0"/>
            </w:pPr>
            <w:r>
              <w:t>32,281</w:t>
            </w:r>
          </w:p>
        </w:tc>
        <w:tc>
          <w:tcPr>
            <w:tcW w:w="1449" w:type="dxa"/>
          </w:tcPr>
          <w:p w:rsidR="00B6243F" w:rsidRDefault="00B6243F" w:rsidP="00A33E04">
            <w:pPr>
              <w:cnfStyle w:val="000000010000" w:firstRow="0" w:lastRow="0" w:firstColumn="0" w:lastColumn="0" w:oddVBand="0" w:evenVBand="0" w:oddHBand="0" w:evenHBand="1" w:firstRowFirstColumn="0" w:firstRowLastColumn="0" w:lastRowFirstColumn="0" w:lastRowLastColumn="0"/>
            </w:pPr>
            <w:r>
              <w:t>32,512</w:t>
            </w:r>
          </w:p>
        </w:tc>
        <w:tc>
          <w:tcPr>
            <w:tcW w:w="1449" w:type="dxa"/>
          </w:tcPr>
          <w:p w:rsidR="00B6243F" w:rsidRDefault="00B6243F" w:rsidP="00A33E04">
            <w:pPr>
              <w:cnfStyle w:val="000000010000" w:firstRow="0" w:lastRow="0" w:firstColumn="0" w:lastColumn="0" w:oddVBand="0" w:evenVBand="0" w:oddHBand="0" w:evenHBand="1" w:firstRowFirstColumn="0" w:firstRowLastColumn="0" w:lastRowFirstColumn="0" w:lastRowLastColumn="0"/>
            </w:pPr>
            <w:r>
              <w:t>32,501</w:t>
            </w:r>
          </w:p>
        </w:tc>
      </w:tr>
      <w:tr w:rsidR="00B6243F" w:rsidTr="00C40934">
        <w:tc>
          <w:tcPr>
            <w:cnfStyle w:val="001000000000" w:firstRow="0" w:lastRow="0" w:firstColumn="1" w:lastColumn="0" w:oddVBand="0" w:evenVBand="0" w:oddHBand="0" w:evenHBand="0" w:firstRowFirstColumn="0" w:firstRowLastColumn="0" w:lastRowFirstColumn="0" w:lastRowLastColumn="0"/>
            <w:tcW w:w="1526" w:type="dxa"/>
          </w:tcPr>
          <w:p w:rsidR="00B6243F" w:rsidRPr="00A33E04" w:rsidRDefault="00B6243F" w:rsidP="00A33E04">
            <w:r>
              <w:t>Commercial connections</w:t>
            </w:r>
          </w:p>
        </w:tc>
        <w:tc>
          <w:tcPr>
            <w:tcW w:w="1371" w:type="dxa"/>
          </w:tcPr>
          <w:p w:rsidR="00B6243F" w:rsidRDefault="00B6243F" w:rsidP="00A33E04">
            <w:pPr>
              <w:cnfStyle w:val="000000000000" w:firstRow="0" w:lastRow="0" w:firstColumn="0" w:lastColumn="0" w:oddVBand="0" w:evenVBand="0" w:oddHBand="0" w:evenHBand="0" w:firstRowFirstColumn="0" w:firstRowLastColumn="0" w:lastRowFirstColumn="0" w:lastRowLastColumn="0"/>
            </w:pPr>
            <w:r>
              <w:t>162</w:t>
            </w:r>
          </w:p>
        </w:tc>
        <w:tc>
          <w:tcPr>
            <w:tcW w:w="1449" w:type="dxa"/>
          </w:tcPr>
          <w:p w:rsidR="00B6243F" w:rsidRDefault="00B6243F" w:rsidP="00A33E04">
            <w:pPr>
              <w:cnfStyle w:val="000000000000" w:firstRow="0" w:lastRow="0" w:firstColumn="0" w:lastColumn="0" w:oddVBand="0" w:evenVBand="0" w:oddHBand="0" w:evenHBand="0" w:firstRowFirstColumn="0" w:firstRowLastColumn="0" w:lastRowFirstColumn="0" w:lastRowLastColumn="0"/>
            </w:pPr>
            <w:r>
              <w:t>165</w:t>
            </w:r>
          </w:p>
        </w:tc>
        <w:tc>
          <w:tcPr>
            <w:tcW w:w="1449" w:type="dxa"/>
          </w:tcPr>
          <w:p w:rsidR="00B6243F" w:rsidRDefault="00B6243F" w:rsidP="00A33E04">
            <w:pPr>
              <w:cnfStyle w:val="000000000000" w:firstRow="0" w:lastRow="0" w:firstColumn="0" w:lastColumn="0" w:oddVBand="0" w:evenVBand="0" w:oddHBand="0" w:evenHBand="0" w:firstRowFirstColumn="0" w:firstRowLastColumn="0" w:lastRowFirstColumn="0" w:lastRowLastColumn="0"/>
            </w:pPr>
            <w:r>
              <w:t>168</w:t>
            </w:r>
          </w:p>
        </w:tc>
        <w:tc>
          <w:tcPr>
            <w:tcW w:w="1449" w:type="dxa"/>
          </w:tcPr>
          <w:p w:rsidR="00B6243F" w:rsidRDefault="00B6243F" w:rsidP="00A33E04">
            <w:pPr>
              <w:cnfStyle w:val="000000000000" w:firstRow="0" w:lastRow="0" w:firstColumn="0" w:lastColumn="0" w:oddVBand="0" w:evenVBand="0" w:oddHBand="0" w:evenHBand="0" w:firstRowFirstColumn="0" w:firstRowLastColumn="0" w:lastRowFirstColumn="0" w:lastRowLastColumn="0"/>
            </w:pPr>
            <w:r>
              <w:t>171</w:t>
            </w:r>
          </w:p>
        </w:tc>
        <w:tc>
          <w:tcPr>
            <w:tcW w:w="1449" w:type="dxa"/>
          </w:tcPr>
          <w:p w:rsidR="00B6243F" w:rsidRDefault="00B6243F" w:rsidP="00A33E04">
            <w:pPr>
              <w:cnfStyle w:val="000000000000" w:firstRow="0" w:lastRow="0" w:firstColumn="0" w:lastColumn="0" w:oddVBand="0" w:evenVBand="0" w:oddHBand="0" w:evenHBand="0" w:firstRowFirstColumn="0" w:firstRowLastColumn="0" w:lastRowFirstColumn="0" w:lastRowLastColumn="0"/>
            </w:pPr>
            <w:r>
              <w:t>165</w:t>
            </w:r>
          </w:p>
        </w:tc>
      </w:tr>
      <w:tr w:rsidR="00B6243F" w:rsidTr="00C409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B6243F" w:rsidRDefault="00B6243F" w:rsidP="00A33E04">
            <w:r>
              <w:t>Commercial Demand (TJ)</w:t>
            </w:r>
          </w:p>
        </w:tc>
        <w:tc>
          <w:tcPr>
            <w:tcW w:w="1371" w:type="dxa"/>
          </w:tcPr>
          <w:p w:rsidR="00B6243F" w:rsidRDefault="00B6243F" w:rsidP="00A33E04">
            <w:pPr>
              <w:cnfStyle w:val="000000010000" w:firstRow="0" w:lastRow="0" w:firstColumn="0" w:lastColumn="0" w:oddVBand="0" w:evenVBand="0" w:oddHBand="0" w:evenHBand="1" w:firstRowFirstColumn="0" w:firstRowLastColumn="0" w:lastRowFirstColumn="0" w:lastRowLastColumn="0"/>
            </w:pPr>
            <w:r>
              <w:t>6,200</w:t>
            </w:r>
          </w:p>
        </w:tc>
        <w:tc>
          <w:tcPr>
            <w:tcW w:w="1449" w:type="dxa"/>
          </w:tcPr>
          <w:p w:rsidR="00B6243F" w:rsidRDefault="00B6243F" w:rsidP="00A33E04">
            <w:pPr>
              <w:cnfStyle w:val="000000010000" w:firstRow="0" w:lastRow="0" w:firstColumn="0" w:lastColumn="0" w:oddVBand="0" w:evenVBand="0" w:oddHBand="0" w:evenHBand="1" w:firstRowFirstColumn="0" w:firstRowLastColumn="0" w:lastRowFirstColumn="0" w:lastRowLastColumn="0"/>
            </w:pPr>
            <w:r w:rsidRPr="00820F21">
              <w:t>6,283</w:t>
            </w:r>
          </w:p>
        </w:tc>
        <w:tc>
          <w:tcPr>
            <w:tcW w:w="1449" w:type="dxa"/>
          </w:tcPr>
          <w:p w:rsidR="00B6243F" w:rsidRDefault="00B6243F" w:rsidP="00A33E04">
            <w:pPr>
              <w:cnfStyle w:val="000000010000" w:firstRow="0" w:lastRow="0" w:firstColumn="0" w:lastColumn="0" w:oddVBand="0" w:evenVBand="0" w:oddHBand="0" w:evenHBand="1" w:firstRowFirstColumn="0" w:firstRowLastColumn="0" w:lastRowFirstColumn="0" w:lastRowLastColumn="0"/>
            </w:pPr>
            <w:r>
              <w:t>6,356</w:t>
            </w:r>
          </w:p>
        </w:tc>
        <w:tc>
          <w:tcPr>
            <w:tcW w:w="1449" w:type="dxa"/>
          </w:tcPr>
          <w:p w:rsidR="00B6243F" w:rsidRDefault="00B6243F" w:rsidP="00A33E04">
            <w:pPr>
              <w:cnfStyle w:val="000000010000" w:firstRow="0" w:lastRow="0" w:firstColumn="0" w:lastColumn="0" w:oddVBand="0" w:evenVBand="0" w:oddHBand="0" w:evenHBand="1" w:firstRowFirstColumn="0" w:firstRowLastColumn="0" w:lastRowFirstColumn="0" w:lastRowLastColumn="0"/>
            </w:pPr>
            <w:r>
              <w:t>6,402</w:t>
            </w:r>
          </w:p>
        </w:tc>
        <w:tc>
          <w:tcPr>
            <w:tcW w:w="1449" w:type="dxa"/>
          </w:tcPr>
          <w:p w:rsidR="00B6243F" w:rsidRDefault="00B6243F" w:rsidP="00A33E04">
            <w:pPr>
              <w:cnfStyle w:val="000000010000" w:firstRow="0" w:lastRow="0" w:firstColumn="0" w:lastColumn="0" w:oddVBand="0" w:evenVBand="0" w:oddHBand="0" w:evenHBand="1" w:firstRowFirstColumn="0" w:firstRowLastColumn="0" w:lastRowFirstColumn="0" w:lastRowLastColumn="0"/>
            </w:pPr>
            <w:r>
              <w:t>6,464</w:t>
            </w:r>
          </w:p>
        </w:tc>
      </w:tr>
    </w:tbl>
    <w:p w:rsidR="00B6243F" w:rsidRDefault="00B6243F" w:rsidP="00131846">
      <w:pPr>
        <w:pStyle w:val="AERtablesource"/>
      </w:pPr>
      <w:bookmarkStart w:id="82" w:name="_Ref483222681"/>
      <w:r>
        <w:t xml:space="preserve">Source: </w:t>
      </w:r>
      <w:r w:rsidR="00003960">
        <w:t xml:space="preserve">AusNet </w:t>
      </w:r>
      <w:r>
        <w:t>Access Arrangement Information</w:t>
      </w:r>
      <w:r>
        <w:rPr>
          <w:rStyle w:val="FootnoteReference"/>
        </w:rPr>
        <w:footnoteReference w:id="7"/>
      </w:r>
    </w:p>
    <w:p w:rsidR="00B6243F" w:rsidRDefault="00B6243F" w:rsidP="00131846">
      <w:pPr>
        <w:pStyle w:val="AERtablesource"/>
      </w:pPr>
      <w:r w:rsidRPr="00131846">
        <w:t>Notes: a. these values include the impact of AusNet Services' marketing step change</w:t>
      </w:r>
    </w:p>
    <w:p w:rsidR="00B6243F" w:rsidRDefault="00B6243F" w:rsidP="00A33E04">
      <w:pPr>
        <w:pStyle w:val="Caption"/>
      </w:pPr>
      <w:bookmarkStart w:id="83" w:name="_Ref485816817"/>
      <w:r>
        <w:t xml:space="preserve">Table </w:t>
      </w:r>
      <w:fldSimple w:instr=" STYLEREF 1 \s ">
        <w:r w:rsidR="00093FB9">
          <w:rPr>
            <w:noProof/>
          </w:rPr>
          <w:t>13</w:t>
        </w:r>
      </w:fldSimple>
      <w:r w:rsidR="00F468C7">
        <w:noBreakHyphen/>
      </w:r>
      <w:fldSimple w:instr=" SEQ Table \* ARABIC \s 1 ">
        <w:r w:rsidR="00093FB9">
          <w:rPr>
            <w:noProof/>
          </w:rPr>
          <w:t>2</w:t>
        </w:r>
      </w:fldSimple>
      <w:bookmarkEnd w:id="82"/>
      <w:bookmarkEnd w:id="83"/>
      <w:r>
        <w:t xml:space="preserve">: </w:t>
      </w:r>
      <w:r w:rsidRPr="005E289B">
        <w:t>AusNet</w:t>
      </w:r>
      <w:r>
        <w:t>'s</w:t>
      </w:r>
      <w:r w:rsidRPr="005E289B">
        <w:t xml:space="preserve"> demand forecasts for Tariff </w:t>
      </w:r>
      <w:r>
        <w:t>D and Tariff M</w:t>
      </w:r>
      <w:r w:rsidRPr="005E289B">
        <w:t xml:space="preserve"> </w:t>
      </w:r>
      <w:r>
        <w:t xml:space="preserve">MHQ </w:t>
      </w:r>
      <w:r w:rsidRPr="005E289B">
        <w:t>for the 2018–22 access arrangement period</w:t>
      </w:r>
    </w:p>
    <w:tbl>
      <w:tblPr>
        <w:tblStyle w:val="AERtable-numbers"/>
        <w:tblW w:w="0" w:type="auto"/>
        <w:tblLook w:val="04A0" w:firstRow="1" w:lastRow="0" w:firstColumn="1" w:lastColumn="0" w:noHBand="0" w:noVBand="1"/>
      </w:tblPr>
      <w:tblGrid>
        <w:gridCol w:w="1448"/>
        <w:gridCol w:w="1449"/>
        <w:gridCol w:w="1449"/>
        <w:gridCol w:w="1449"/>
        <w:gridCol w:w="1449"/>
        <w:gridCol w:w="1449"/>
      </w:tblGrid>
      <w:tr w:rsidR="00B6243F" w:rsidTr="00C409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B6243F" w:rsidRDefault="00B6243F" w:rsidP="00A33E04"/>
        </w:tc>
        <w:tc>
          <w:tcPr>
            <w:tcW w:w="1449" w:type="dxa"/>
          </w:tcPr>
          <w:p w:rsidR="00B6243F" w:rsidRPr="00A33E04" w:rsidRDefault="00B6243F" w:rsidP="00A33E04">
            <w:pPr>
              <w:cnfStyle w:val="100000000000" w:firstRow="1" w:lastRow="0" w:firstColumn="0" w:lastColumn="0" w:oddVBand="0" w:evenVBand="0" w:oddHBand="0" w:evenHBand="0" w:firstRowFirstColumn="0" w:firstRowLastColumn="0" w:lastRowFirstColumn="0" w:lastRowLastColumn="0"/>
            </w:pPr>
            <w:r>
              <w:t>2018</w:t>
            </w:r>
          </w:p>
        </w:tc>
        <w:tc>
          <w:tcPr>
            <w:tcW w:w="1449" w:type="dxa"/>
          </w:tcPr>
          <w:p w:rsidR="00B6243F" w:rsidRPr="00A33E04" w:rsidRDefault="00B6243F" w:rsidP="00A33E04">
            <w:pPr>
              <w:cnfStyle w:val="100000000000" w:firstRow="1" w:lastRow="0" w:firstColumn="0" w:lastColumn="0" w:oddVBand="0" w:evenVBand="0" w:oddHBand="0" w:evenHBand="0" w:firstRowFirstColumn="0" w:firstRowLastColumn="0" w:lastRowFirstColumn="0" w:lastRowLastColumn="0"/>
            </w:pPr>
            <w:r>
              <w:t>2019</w:t>
            </w:r>
          </w:p>
        </w:tc>
        <w:tc>
          <w:tcPr>
            <w:tcW w:w="1449" w:type="dxa"/>
          </w:tcPr>
          <w:p w:rsidR="00B6243F" w:rsidRPr="00A33E04" w:rsidRDefault="00B6243F" w:rsidP="00A33E04">
            <w:pPr>
              <w:cnfStyle w:val="100000000000" w:firstRow="1" w:lastRow="0" w:firstColumn="0" w:lastColumn="0" w:oddVBand="0" w:evenVBand="0" w:oddHBand="0" w:evenHBand="0" w:firstRowFirstColumn="0" w:firstRowLastColumn="0" w:lastRowFirstColumn="0" w:lastRowLastColumn="0"/>
            </w:pPr>
            <w:r>
              <w:t>2020</w:t>
            </w:r>
          </w:p>
        </w:tc>
        <w:tc>
          <w:tcPr>
            <w:tcW w:w="1449" w:type="dxa"/>
          </w:tcPr>
          <w:p w:rsidR="00B6243F" w:rsidRPr="00A33E04" w:rsidRDefault="00B6243F" w:rsidP="00A33E04">
            <w:pPr>
              <w:cnfStyle w:val="100000000000" w:firstRow="1" w:lastRow="0" w:firstColumn="0" w:lastColumn="0" w:oddVBand="0" w:evenVBand="0" w:oddHBand="0" w:evenHBand="0" w:firstRowFirstColumn="0" w:firstRowLastColumn="0" w:lastRowFirstColumn="0" w:lastRowLastColumn="0"/>
            </w:pPr>
            <w:r>
              <w:t>2021</w:t>
            </w:r>
          </w:p>
        </w:tc>
        <w:tc>
          <w:tcPr>
            <w:tcW w:w="1449" w:type="dxa"/>
          </w:tcPr>
          <w:p w:rsidR="00B6243F" w:rsidRPr="00A33E04" w:rsidRDefault="00B6243F" w:rsidP="00A33E04">
            <w:pPr>
              <w:cnfStyle w:val="100000000000" w:firstRow="1" w:lastRow="0" w:firstColumn="0" w:lastColumn="0" w:oddVBand="0" w:evenVBand="0" w:oddHBand="0" w:evenHBand="0" w:firstRowFirstColumn="0" w:firstRowLastColumn="0" w:lastRowFirstColumn="0" w:lastRowLastColumn="0"/>
            </w:pPr>
            <w:r>
              <w:t>2022</w:t>
            </w:r>
          </w:p>
        </w:tc>
      </w:tr>
      <w:tr w:rsidR="00B6243F" w:rsidTr="00C40934">
        <w:tc>
          <w:tcPr>
            <w:cnfStyle w:val="001000000000" w:firstRow="0" w:lastRow="0" w:firstColumn="1" w:lastColumn="0" w:oddVBand="0" w:evenVBand="0" w:oddHBand="0" w:evenHBand="0" w:firstRowFirstColumn="0" w:firstRowLastColumn="0" w:lastRowFirstColumn="0" w:lastRowLastColumn="0"/>
            <w:tcW w:w="1448" w:type="dxa"/>
          </w:tcPr>
          <w:p w:rsidR="00B6243F" w:rsidRPr="00A33E04" w:rsidRDefault="00B6243F" w:rsidP="00A33E04">
            <w:r>
              <w:t>MHQ (GJ)</w:t>
            </w:r>
          </w:p>
        </w:tc>
        <w:tc>
          <w:tcPr>
            <w:tcW w:w="1449" w:type="dxa"/>
          </w:tcPr>
          <w:p w:rsidR="00B6243F" w:rsidRDefault="00B6243F" w:rsidP="00A33E04">
            <w:pPr>
              <w:cnfStyle w:val="000000000000" w:firstRow="0" w:lastRow="0" w:firstColumn="0" w:lastColumn="0" w:oddVBand="0" w:evenVBand="0" w:oddHBand="0" w:evenHBand="0" w:firstRowFirstColumn="0" w:firstRowLastColumn="0" w:lastRowFirstColumn="0" w:lastRowLastColumn="0"/>
            </w:pPr>
            <w:r>
              <w:t>7,160</w:t>
            </w:r>
          </w:p>
        </w:tc>
        <w:tc>
          <w:tcPr>
            <w:tcW w:w="1449" w:type="dxa"/>
          </w:tcPr>
          <w:p w:rsidR="00B6243F" w:rsidRDefault="00B6243F" w:rsidP="00A33E04">
            <w:pPr>
              <w:cnfStyle w:val="000000000000" w:firstRow="0" w:lastRow="0" w:firstColumn="0" w:lastColumn="0" w:oddVBand="0" w:evenVBand="0" w:oddHBand="0" w:evenHBand="0" w:firstRowFirstColumn="0" w:firstRowLastColumn="0" w:lastRowFirstColumn="0" w:lastRowLastColumn="0"/>
            </w:pPr>
            <w:r>
              <w:t>7,125</w:t>
            </w:r>
          </w:p>
        </w:tc>
        <w:tc>
          <w:tcPr>
            <w:tcW w:w="1449" w:type="dxa"/>
          </w:tcPr>
          <w:p w:rsidR="00B6243F" w:rsidRDefault="00B6243F" w:rsidP="00A33E04">
            <w:pPr>
              <w:cnfStyle w:val="000000000000" w:firstRow="0" w:lastRow="0" w:firstColumn="0" w:lastColumn="0" w:oddVBand="0" w:evenVBand="0" w:oddHBand="0" w:evenHBand="0" w:firstRowFirstColumn="0" w:firstRowLastColumn="0" w:lastRowFirstColumn="0" w:lastRowLastColumn="0"/>
            </w:pPr>
            <w:r>
              <w:t>7,119</w:t>
            </w:r>
          </w:p>
        </w:tc>
        <w:tc>
          <w:tcPr>
            <w:tcW w:w="1449" w:type="dxa"/>
          </w:tcPr>
          <w:p w:rsidR="00B6243F" w:rsidRDefault="00B6243F" w:rsidP="00A33E04">
            <w:pPr>
              <w:cnfStyle w:val="000000000000" w:firstRow="0" w:lastRow="0" w:firstColumn="0" w:lastColumn="0" w:oddVBand="0" w:evenVBand="0" w:oddHBand="0" w:evenHBand="0" w:firstRowFirstColumn="0" w:firstRowLastColumn="0" w:lastRowFirstColumn="0" w:lastRowLastColumn="0"/>
            </w:pPr>
            <w:r>
              <w:t>7,094</w:t>
            </w:r>
          </w:p>
        </w:tc>
        <w:tc>
          <w:tcPr>
            <w:tcW w:w="1449" w:type="dxa"/>
          </w:tcPr>
          <w:p w:rsidR="00B6243F" w:rsidRDefault="00B6243F" w:rsidP="00A33E04">
            <w:pPr>
              <w:cnfStyle w:val="000000000000" w:firstRow="0" w:lastRow="0" w:firstColumn="0" w:lastColumn="0" w:oddVBand="0" w:evenVBand="0" w:oddHBand="0" w:evenHBand="0" w:firstRowFirstColumn="0" w:firstRowLastColumn="0" w:lastRowFirstColumn="0" w:lastRowLastColumn="0"/>
            </w:pPr>
            <w:r>
              <w:t>7,022</w:t>
            </w:r>
          </w:p>
        </w:tc>
      </w:tr>
    </w:tbl>
    <w:p w:rsidR="00B6243F" w:rsidRDefault="00B6243F" w:rsidP="006C5B4E">
      <w:pPr>
        <w:pStyle w:val="AERtablesource"/>
      </w:pPr>
      <w:r>
        <w:t>Source: AusNet Access Arrangement Information</w:t>
      </w:r>
      <w:r>
        <w:rPr>
          <w:rStyle w:val="FootnoteReference"/>
        </w:rPr>
        <w:footnoteReference w:id="8"/>
      </w:r>
    </w:p>
    <w:p w:rsidR="00B6243F" w:rsidRDefault="00B6243F" w:rsidP="005B3330">
      <w:r>
        <w:t>AusNet also made a post-model adjustment to take account of the impact on the demand forecasts from the introduction of a proposed marketing program. The values in Table 1 include this impact which comes about from an estimate that 5 per cent of appliance rebates will result in new connections.</w:t>
      </w:r>
      <w:r>
        <w:rPr>
          <w:rStyle w:val="FootnoteReference"/>
        </w:rPr>
        <w:footnoteReference w:id="9"/>
      </w:r>
      <w:r>
        <w:t xml:space="preserve">  In AusNet's network, this leads to an incremental increase of 1318 new connections, which equates to an increase of 1.6 per cent above CIE's gross connections forecast. This results in an incremental load of 1.33 PJ, which is a 0.84 per cent increase in demand over the 2018-22 access arrangement period.</w:t>
      </w:r>
      <w:r>
        <w:rPr>
          <w:rStyle w:val="FootnoteReference"/>
        </w:rPr>
        <w:footnoteReference w:id="10"/>
      </w:r>
      <w:r>
        <w:t xml:space="preserve"> </w:t>
      </w:r>
    </w:p>
    <w:p w:rsidR="00B6243F" w:rsidRDefault="00B6243F" w:rsidP="00A33E04">
      <w:r>
        <w:t>AusNet forecast</w:t>
      </w:r>
      <w:r w:rsidR="00A312AD">
        <w:t xml:space="preserve"> </w:t>
      </w:r>
      <w:r>
        <w:t xml:space="preserve">total residential demand to increase by around 0.6 per cent per year over 2018–22 access arrangement </w:t>
      </w:r>
      <w:proofErr w:type="gramStart"/>
      <w:r>
        <w:t>period</w:t>
      </w:r>
      <w:proofErr w:type="gramEnd"/>
      <w:r>
        <w:t xml:space="preserve">. This compares to 2.4 per cent per year growth in the current access arrangement period. </w:t>
      </w:r>
    </w:p>
    <w:p w:rsidR="00B6243F" w:rsidRDefault="00B6243F" w:rsidP="00A33E04">
      <w:r>
        <w:t>AusNet</w:t>
      </w:r>
      <w:r w:rsidRPr="00EB468A">
        <w:t xml:space="preserve"> forecast total commercial demand to increase by 1 per cent over the 2018–22 access arrangement </w:t>
      </w:r>
      <w:proofErr w:type="gramStart"/>
      <w:r w:rsidRPr="00EB468A">
        <w:t>period</w:t>
      </w:r>
      <w:proofErr w:type="gramEnd"/>
      <w:r>
        <w:t>. This compares</w:t>
      </w:r>
      <w:r w:rsidRPr="00EB468A">
        <w:t xml:space="preserve"> to 1.9 per cent per year in the current </w:t>
      </w:r>
      <w:r>
        <w:t>access arrangement period.</w:t>
      </w:r>
    </w:p>
    <w:p w:rsidR="00B6243F" w:rsidRDefault="00B6243F" w:rsidP="00A33E04">
      <w:r>
        <w:t>Forecast residential consumption per connection is expected to increase by 0.16 per</w:t>
      </w:r>
      <w:r w:rsidR="006B018A">
        <w:t xml:space="preserve"> cent</w:t>
      </w:r>
      <w:r>
        <w:t xml:space="preserve">. Commercial consumption per connection is expected to increase by 1 per cent over the 2018–22 access arrangement period, which compares to 1.1 per cent and 1.3 per cent respectively in the current access arrangement period. </w:t>
      </w:r>
    </w:p>
    <w:p w:rsidR="00B6243F" w:rsidRDefault="00B6243F" w:rsidP="00A33E04">
      <w:r>
        <w:t>R</w:t>
      </w:r>
      <w:r w:rsidRPr="00DA2424">
        <w:t xml:space="preserve">esidential </w:t>
      </w:r>
      <w:r>
        <w:t xml:space="preserve">connections </w:t>
      </w:r>
      <w:r w:rsidR="00A312AD">
        <w:t xml:space="preserve">are </w:t>
      </w:r>
      <w:r>
        <w:t xml:space="preserve">forecast to increase by 2.12 </w:t>
      </w:r>
      <w:r w:rsidRPr="00DA2424">
        <w:t>per cent</w:t>
      </w:r>
      <w:r>
        <w:t>.</w:t>
      </w:r>
      <w:r>
        <w:rPr>
          <w:rStyle w:val="FootnoteReference"/>
        </w:rPr>
        <w:footnoteReference w:id="11"/>
      </w:r>
      <w:r>
        <w:t xml:space="preserve"> S</w:t>
      </w:r>
      <w:r w:rsidRPr="00DA2424">
        <w:t>imilarly</w:t>
      </w:r>
      <w:r>
        <w:t>,</w:t>
      </w:r>
      <w:r w:rsidRPr="00DA2424">
        <w:t xml:space="preserve"> commercial </w:t>
      </w:r>
      <w:r>
        <w:t>connections</w:t>
      </w:r>
      <w:r w:rsidRPr="00DA2424">
        <w:t xml:space="preserve"> </w:t>
      </w:r>
      <w:r w:rsidR="00A312AD">
        <w:t>are</w:t>
      </w:r>
      <w:r w:rsidR="00A312AD" w:rsidRPr="00DA2424">
        <w:t xml:space="preserve"> </w:t>
      </w:r>
      <w:r w:rsidRPr="00DA2424">
        <w:t xml:space="preserve">also </w:t>
      </w:r>
      <w:r>
        <w:t xml:space="preserve">forecast </w:t>
      </w:r>
      <w:r w:rsidRPr="00DA2424">
        <w:t xml:space="preserve">to </w:t>
      </w:r>
      <w:r>
        <w:t xml:space="preserve">increase </w:t>
      </w:r>
      <w:r w:rsidRPr="00DA2424">
        <w:t xml:space="preserve">by </w:t>
      </w:r>
      <w:r>
        <w:t>approximately 1</w:t>
      </w:r>
      <w:r w:rsidRPr="00DA2424">
        <w:t xml:space="preserve"> per cent over the </w:t>
      </w:r>
      <w:r>
        <w:t xml:space="preserve">2018–22 access arrangement </w:t>
      </w:r>
      <w:proofErr w:type="gramStart"/>
      <w:r w:rsidRPr="00DA2424">
        <w:t>period</w:t>
      </w:r>
      <w:proofErr w:type="gramEnd"/>
      <w:r w:rsidRPr="00DA2424">
        <w:t xml:space="preserve">, which compares to </w:t>
      </w:r>
      <w:r>
        <w:t>2.16</w:t>
      </w:r>
      <w:r w:rsidRPr="00DA2424">
        <w:t xml:space="preserve"> per cent and</w:t>
      </w:r>
      <w:r>
        <w:t>1.4</w:t>
      </w:r>
      <w:r w:rsidRPr="00DA2424">
        <w:t xml:space="preserve"> per cent </w:t>
      </w:r>
      <w:r>
        <w:t xml:space="preserve">respectively </w:t>
      </w:r>
      <w:r w:rsidRPr="00DA2424">
        <w:t xml:space="preserve">in the current </w:t>
      </w:r>
      <w:r>
        <w:t xml:space="preserve">access arrangement </w:t>
      </w:r>
      <w:r w:rsidRPr="00DA2424">
        <w:t xml:space="preserve">period.  </w:t>
      </w:r>
    </w:p>
    <w:p w:rsidR="00B6243F" w:rsidRDefault="00B6243F" w:rsidP="005B3330">
      <w:r>
        <w:t>Industrial demand (Tariff D and M) is forecast to decrease by 0.5 per cent over the 2018–22 access arrangement period.</w:t>
      </w:r>
      <w:r w:rsidRPr="00C20904">
        <w:t xml:space="preserve"> </w:t>
      </w:r>
      <w:r>
        <w:t xml:space="preserve">This compares to 1.0 per cent per year in the current access arrangement period. </w:t>
      </w:r>
    </w:p>
    <w:p w:rsidR="00B6243F" w:rsidRPr="00A33E04" w:rsidRDefault="00B6243F" w:rsidP="007E462B">
      <w:pPr>
        <w:pStyle w:val="Heading3"/>
        <w:ind w:left="720"/>
      </w:pPr>
      <w:bookmarkStart w:id="84" w:name="_Toc483485205"/>
      <w:bookmarkStart w:id="85" w:name="_Toc483292636"/>
      <w:bookmarkStart w:id="86" w:name="_Toc486841055"/>
      <w:bookmarkEnd w:id="84"/>
      <w:r>
        <w:t>Forecasting methodology</w:t>
      </w:r>
      <w:bookmarkEnd w:id="85"/>
      <w:bookmarkEnd w:id="86"/>
    </w:p>
    <w:p w:rsidR="00B6243F" w:rsidRDefault="00B6243F" w:rsidP="00A33E04">
      <w:r>
        <w:t>The forecasts for Tariff V gas demand were derived by multiplying the forecast of net customer numbers by the forecast consumption per connection.</w:t>
      </w:r>
      <w:r>
        <w:rPr>
          <w:rStyle w:val="FootnoteReference"/>
        </w:rPr>
        <w:footnoteReference w:id="12"/>
      </w:r>
      <w:r>
        <w:t xml:space="preserve"> This methodology was applied for both residential and commercial customer groups, albeit with different drivers. </w:t>
      </w:r>
    </w:p>
    <w:p w:rsidR="00B6243F" w:rsidRPr="00A33E04" w:rsidRDefault="00B6243F" w:rsidP="00A33E04">
      <w:pPr>
        <w:pStyle w:val="Heading4"/>
      </w:pPr>
      <w:r>
        <w:t>Forecasting of Tariff V connections numbers</w:t>
      </w:r>
    </w:p>
    <w:p w:rsidR="00B6243F" w:rsidRDefault="00B6243F" w:rsidP="00A33E04">
      <w:r>
        <w:t>CIE undertook a number of steps to forecast residential customer numbers in existing service areas:</w:t>
      </w:r>
    </w:p>
    <w:p w:rsidR="00B6243F" w:rsidRDefault="00B6243F" w:rsidP="006C5B4E">
      <w:pPr>
        <w:pStyle w:val="AERbulletlistfirststyle"/>
      </w:pPr>
      <w:r>
        <w:t>CIE used customer data at the postcode level, and allocated them to Local Government Areas (LGAs);</w:t>
      </w:r>
      <w:r>
        <w:rPr>
          <w:rStyle w:val="FootnoteReference"/>
        </w:rPr>
        <w:footnoteReference w:id="13"/>
      </w:r>
    </w:p>
    <w:p w:rsidR="00B6243F" w:rsidRDefault="00B6243F" w:rsidP="006C5B4E">
      <w:pPr>
        <w:pStyle w:val="AERbulletlistfirststyle"/>
      </w:pPr>
      <w:r>
        <w:t>The 2016 Victoria in Future (</w:t>
      </w:r>
      <w:proofErr w:type="spellStart"/>
      <w:r>
        <w:t>ViF</w:t>
      </w:r>
      <w:proofErr w:type="spellEnd"/>
      <w:r>
        <w:t>)</w:t>
      </w:r>
      <w:r w:rsidRPr="00B105C4">
        <w:rPr>
          <w:rStyle w:val="FootnoteReference"/>
        </w:rPr>
        <w:t xml:space="preserve"> </w:t>
      </w:r>
      <w:r w:rsidRPr="00B105C4">
        <w:rPr>
          <w:rStyle w:val="FootnoteReference"/>
        </w:rPr>
        <w:footnoteReference w:id="14"/>
      </w:r>
      <w:r>
        <w:rPr>
          <w:rStyle w:val="FootnoteReference"/>
        </w:rPr>
        <w:t xml:space="preserve"> </w:t>
      </w:r>
      <w:r>
        <w:t>growth rates for occupied private dwellings in the LGA are then used to grow the number of customers within that postcode; and</w:t>
      </w:r>
    </w:p>
    <w:p w:rsidR="00B6243F" w:rsidRDefault="00B6243F" w:rsidP="006C5B4E">
      <w:pPr>
        <w:pStyle w:val="AERbulletlistfirststyle"/>
      </w:pPr>
      <w:r>
        <w:t>CIE then applied a marginal penetration rate</w:t>
      </w:r>
      <w:r>
        <w:rPr>
          <w:rStyle w:val="FootnoteReference"/>
        </w:rPr>
        <w:footnoteReference w:id="15"/>
      </w:r>
      <w:r>
        <w:t xml:space="preserve"> by LGA to the LGA growth rate to forecast the number of net new gas connections in existing areas. The CIE assumed marginal penetration rates in line with recent values, which have been falling over 2007-2016. </w:t>
      </w:r>
      <w:r>
        <w:rPr>
          <w:rStyle w:val="FootnoteReference"/>
        </w:rPr>
        <w:footnoteReference w:id="16"/>
      </w:r>
      <w:r>
        <w:t xml:space="preserve"> CIE </w:t>
      </w:r>
      <w:r w:rsidRPr="00357BB7">
        <w:t>applied</w:t>
      </w:r>
      <w:r>
        <w:t xml:space="preserve"> the marginal </w:t>
      </w:r>
      <w:r w:rsidRPr="00357BB7">
        <w:t>penetration rate</w:t>
      </w:r>
      <w:r>
        <w:t>s in 2016</w:t>
      </w:r>
      <w:r>
        <w:rPr>
          <w:rStyle w:val="FootnoteReference"/>
        </w:rPr>
        <w:footnoteReference w:id="17"/>
      </w:r>
      <w:r>
        <w:t xml:space="preserve"> on the basis that it would be similar to that experienced in 2016.</w:t>
      </w:r>
      <w:r w:rsidRPr="00357BB7">
        <w:t xml:space="preserve"> </w:t>
      </w:r>
    </w:p>
    <w:p w:rsidR="00B6243F" w:rsidRDefault="00B6243F" w:rsidP="00A33E04">
      <w:r>
        <w:t>A different methodology was used to forecast customer numbers in new areas, referred to as the Energy for Regions Program (ERP) towns.</w:t>
      </w:r>
      <w:r>
        <w:rPr>
          <w:rStyle w:val="FootnoteReference"/>
        </w:rPr>
        <w:footnoteReference w:id="18"/>
      </w:r>
      <w:r>
        <w:t xml:space="preserve"> In the absence of any existing customers in the ERP towns, CIE forecast a target level of customers expected, which was based on ERP plans and </w:t>
      </w:r>
      <w:r w:rsidR="004C30B2">
        <w:t>an</w:t>
      </w:r>
      <w:r>
        <w:t xml:space="preserve"> expected take</w:t>
      </w:r>
      <w:r w:rsidR="006B018A">
        <w:t>-</w:t>
      </w:r>
      <w:r>
        <w:t>up rate.</w:t>
      </w:r>
      <w:r>
        <w:rPr>
          <w:rStyle w:val="FootnoteReference"/>
        </w:rPr>
        <w:footnoteReference w:id="19"/>
      </w:r>
    </w:p>
    <w:p w:rsidR="00B6243F" w:rsidRDefault="00B6243F" w:rsidP="00A33E04">
      <w:r>
        <w:t>Commercial customer numbers in existing and ERP towns are forecast based on the statistical relationship that exists between commercial and residential customer number growth in the LGA. CIE found this relationship to be 11.7 new commercial residential customers for each 1000 new residential customers.</w:t>
      </w:r>
      <w:r>
        <w:rPr>
          <w:rStyle w:val="FootnoteReference"/>
        </w:rPr>
        <w:footnoteReference w:id="20"/>
      </w:r>
    </w:p>
    <w:p w:rsidR="00B6243F" w:rsidRPr="00A33E04" w:rsidRDefault="00B6243F" w:rsidP="00A33E04">
      <w:pPr>
        <w:pStyle w:val="Heading4"/>
      </w:pPr>
      <w:r>
        <w:t>F</w:t>
      </w:r>
      <w:r w:rsidRPr="00A33E04">
        <w:t>orecasting of Tariff V consumption per connection</w:t>
      </w:r>
    </w:p>
    <w:p w:rsidR="00B6243F" w:rsidRDefault="00B6243F" w:rsidP="00A33E04">
      <w:pPr>
        <w:rPr>
          <w:rStyle w:val="AERbody"/>
        </w:rPr>
      </w:pPr>
      <w:r>
        <w:t>CIE used an econometric model using panel historical (2004-2015) data to forecast consumption per connection for residential customers.</w:t>
      </w:r>
      <w:r>
        <w:rPr>
          <w:rStyle w:val="FootnoteReference"/>
        </w:rPr>
        <w:footnoteReference w:id="21"/>
      </w:r>
      <w:r>
        <w:t xml:space="preserve"> Its forecasts of residential consumption per connection </w:t>
      </w:r>
      <w:r w:rsidR="00A312AD">
        <w:t xml:space="preserve">are </w:t>
      </w:r>
      <w:r>
        <w:t>based on the statistical relationship it found between historical residential consumption per connection and a number of explanatory variables, being Effective Degree Day (EDD),</w:t>
      </w:r>
      <w:r>
        <w:rPr>
          <w:rStyle w:val="FootnoteReference"/>
        </w:rPr>
        <w:footnoteReference w:id="22"/>
      </w:r>
      <w:r>
        <w:t xml:space="preserve"> type of dwelling,</w:t>
      </w:r>
      <w:r>
        <w:rPr>
          <w:rStyle w:val="FootnoteReference"/>
        </w:rPr>
        <w:footnoteReference w:id="23"/>
      </w:r>
      <w:r>
        <w:t xml:space="preserve"> retail gas prices and energy efficiency</w:t>
      </w:r>
      <w:r>
        <w:rPr>
          <w:rStyle w:val="CommentReference"/>
        </w:rPr>
        <w:t xml:space="preserve">. </w:t>
      </w:r>
    </w:p>
    <w:p w:rsidR="00B6243F" w:rsidRPr="003A60CD" w:rsidRDefault="00B6243F" w:rsidP="00A33E04">
      <w:pPr>
        <w:rPr>
          <w:rStyle w:val="AERbody"/>
        </w:rPr>
      </w:pPr>
      <w:r>
        <w:rPr>
          <w:rStyle w:val="AERbody"/>
        </w:rPr>
        <w:t>As AusNet's customer data suggest that residential consumption per connection is higher for existing connections than for new connections, it forecast new and existing residential consumption per connection separately.</w:t>
      </w:r>
      <w:r>
        <w:rPr>
          <w:rStyle w:val="FootnoteReference"/>
        </w:rPr>
        <w:footnoteReference w:id="24"/>
      </w:r>
    </w:p>
    <w:p w:rsidR="00B6243F" w:rsidRDefault="00B6243F" w:rsidP="00A33E04">
      <w:r>
        <w:t>CIE investigated the impact of a post-model adjustment to take account for an anticipated increase in the rate of switching from gas to electricity appliances.</w:t>
      </w:r>
      <w:r>
        <w:rPr>
          <w:rStyle w:val="FootnoteReference"/>
        </w:rPr>
        <w:footnoteReference w:id="25"/>
      </w:r>
      <w:r>
        <w:t xml:space="preserve"> However, AusNet did not apply this adjustment (which would reduce residential consumption per connection).</w:t>
      </w:r>
    </w:p>
    <w:p w:rsidR="00B6243F" w:rsidRDefault="00B6243F" w:rsidP="00A33E04">
      <w:r>
        <w:t xml:space="preserve">For commercial consumption per connection, CIE used statistical analysis similar to that which it used to forecast residential consumption per connection. The only difference is the absence of the dwelling type variable because it is not applicable to commercial customers. </w:t>
      </w:r>
    </w:p>
    <w:p w:rsidR="00B6243F" w:rsidRPr="00A33E04" w:rsidRDefault="00B6243F" w:rsidP="00A33E04">
      <w:pPr>
        <w:pStyle w:val="Heading4"/>
      </w:pPr>
      <w:r>
        <w:t>F</w:t>
      </w:r>
      <w:r w:rsidRPr="00A33E04">
        <w:t>orecasting of Tariff D and Tariff M</w:t>
      </w:r>
    </w:p>
    <w:p w:rsidR="00B6243F" w:rsidRDefault="00B6243F" w:rsidP="00A33E04">
      <w:r>
        <w:t>CIE forecast the MHQ for Industrial Customers based on AEMO’s total Tariff D annual gas system demand projections.</w:t>
      </w:r>
      <w:r>
        <w:rPr>
          <w:rStyle w:val="FootnoteReference"/>
        </w:rPr>
        <w:footnoteReference w:id="26"/>
      </w:r>
      <w:r>
        <w:t xml:space="preserve"> The forecast took into account the expected closure of two automobile manufacturing companies in the 2018–22 access arrangement period. Therefore, CIE did not make a post-modelling adjustment to reflect these expected closures. </w:t>
      </w:r>
    </w:p>
    <w:p w:rsidR="00B6243F" w:rsidRDefault="00B6243F" w:rsidP="00A33E04">
      <w:pPr>
        <w:pStyle w:val="Heading2"/>
      </w:pPr>
      <w:bookmarkStart w:id="87" w:name="_Toc482365310"/>
      <w:bookmarkStart w:id="88" w:name="_Toc483292637"/>
      <w:bookmarkStart w:id="89" w:name="_Toc486841056"/>
      <w:r>
        <w:t>AER Assessment approach</w:t>
      </w:r>
      <w:bookmarkEnd w:id="87"/>
      <w:bookmarkEnd w:id="88"/>
      <w:bookmarkEnd w:id="89"/>
    </w:p>
    <w:p w:rsidR="00B6243F" w:rsidRDefault="00B6243F" w:rsidP="00A33E04">
      <w:r w:rsidRPr="00C62F73">
        <w:t xml:space="preserve">The NGR require </w:t>
      </w:r>
      <w:r>
        <w:t xml:space="preserve">that </w:t>
      </w:r>
      <w:r w:rsidR="006B018A">
        <w:t xml:space="preserve">the </w:t>
      </w:r>
      <w:r w:rsidRPr="00C62F73">
        <w:t>access arrangement info</w:t>
      </w:r>
      <w:r>
        <w:t xml:space="preserve">rmation </w:t>
      </w:r>
      <w:r w:rsidR="006B018A">
        <w:t xml:space="preserve">for a full access arrangement proposal </w:t>
      </w:r>
      <w:r w:rsidRPr="00C62F73">
        <w:t xml:space="preserve">for a </w:t>
      </w:r>
      <w:r>
        <w:t xml:space="preserve">distribution pipeline </w:t>
      </w:r>
      <w:r w:rsidR="006B018A">
        <w:t>must</w:t>
      </w:r>
      <w:r>
        <w:t xml:space="preserve"> include </w:t>
      </w:r>
      <w:r w:rsidRPr="00C62F73">
        <w:t xml:space="preserve">usage of the pipeline over the earlier </w:t>
      </w:r>
      <w:r>
        <w:t>access arrangement</w:t>
      </w:r>
      <w:r w:rsidRPr="00C62F73">
        <w:t xml:space="preserve"> period showing</w:t>
      </w:r>
      <w:r>
        <w:t>:</w:t>
      </w:r>
      <w:r w:rsidRPr="00C62F73">
        <w:t xml:space="preserve"> </w:t>
      </w:r>
    </w:p>
    <w:p w:rsidR="00B6243F" w:rsidRPr="005B5EB4" w:rsidRDefault="00B6243F" w:rsidP="00A33E04">
      <w:pPr>
        <w:pStyle w:val="AERbulletlistfirststyle"/>
      </w:pPr>
      <w:r w:rsidRPr="00C62F73">
        <w:t xml:space="preserve">minimum, maximum and average demand for each receipt and delivery point; and </w:t>
      </w:r>
      <w:r w:rsidR="006B018A">
        <w:t>customer numbers in total and by tariff class</w:t>
      </w:r>
      <w:r w:rsidRPr="00C62F73">
        <w:t xml:space="preserve"> for each receipt or delivery point</w:t>
      </w:r>
      <w:r>
        <w:t>.</w:t>
      </w:r>
      <w:r w:rsidRPr="005B5EB4">
        <w:rPr>
          <w:rStyle w:val="FootnoteReference"/>
        </w:rPr>
        <w:footnoteReference w:id="27"/>
      </w:r>
    </w:p>
    <w:p w:rsidR="00B6243F" w:rsidRPr="005B5EB4" w:rsidRDefault="00B6243F" w:rsidP="00A33E04">
      <w:pPr>
        <w:pStyle w:val="AERbulletlistfirststyle"/>
      </w:pPr>
      <w:r w:rsidRPr="00C62F73">
        <w:t xml:space="preserve">to the extent it is practicable to forecast pipeline capacity and utilisation of pipeline capacity over the </w:t>
      </w:r>
      <w:r w:rsidR="006B018A">
        <w:t>access arrangement</w:t>
      </w:r>
      <w:r w:rsidRPr="00C62F73">
        <w:t xml:space="preserve"> period, a forecast of pipeline capacity and utilisation of pipeline capacity over that period and the basis on which the forecast has been derived.</w:t>
      </w:r>
      <w:r w:rsidRPr="005B5EB4">
        <w:rPr>
          <w:rStyle w:val="FootnoteReference"/>
        </w:rPr>
        <w:footnoteReference w:id="28"/>
      </w:r>
    </w:p>
    <w:p w:rsidR="00B6243F" w:rsidRPr="00C62F73" w:rsidRDefault="00B6243F" w:rsidP="00A33E04">
      <w:r w:rsidRPr="00C62F73">
        <w:t>The NGR also require that forecasts and estimates:</w:t>
      </w:r>
      <w:r>
        <w:rPr>
          <w:rStyle w:val="FootnoteReference"/>
        </w:rPr>
        <w:footnoteReference w:id="29"/>
      </w:r>
    </w:p>
    <w:p w:rsidR="00B6243F" w:rsidRPr="005B5EB4" w:rsidRDefault="00B6243F" w:rsidP="00A33E04">
      <w:pPr>
        <w:pStyle w:val="AERbulletlistfirststyle"/>
      </w:pPr>
      <w:r w:rsidRPr="00C62F73">
        <w:t>are arrived at on a reasonable basis; and</w:t>
      </w:r>
    </w:p>
    <w:p w:rsidR="00B6243F" w:rsidRPr="005B5EB4" w:rsidRDefault="00B6243F" w:rsidP="00A33E04">
      <w:pPr>
        <w:pStyle w:val="AERbulletlistfirststyle"/>
      </w:pPr>
      <w:r w:rsidRPr="00C62F73">
        <w:t>represent the best forecast or estimate possible in the circumstances.</w:t>
      </w:r>
    </w:p>
    <w:p w:rsidR="00B6243F" w:rsidRPr="00C62F73" w:rsidRDefault="00B6243F" w:rsidP="00A33E04">
      <w:r w:rsidRPr="00C62F73">
        <w:t>We consider that there are two important considerations in assessing whether demand forecasts are arrived at on a reasonable basis and whether they represent the best forecasts possible in the circumstances.</w:t>
      </w:r>
      <w:r>
        <w:rPr>
          <w:rStyle w:val="FootnoteReference"/>
        </w:rPr>
        <w:footnoteReference w:id="30"/>
      </w:r>
      <w:r w:rsidRPr="00C62F73">
        <w:t xml:space="preserve"> These are:</w:t>
      </w:r>
    </w:p>
    <w:p w:rsidR="00B6243F" w:rsidRPr="005B5EB4" w:rsidRDefault="00B6243F" w:rsidP="00A33E04">
      <w:pPr>
        <w:pStyle w:val="AERbulletlistfirststyle"/>
      </w:pPr>
      <w:r w:rsidRPr="00C62F73">
        <w:t xml:space="preserve">the appropriateness of the forecast methodology – this involves consideration of how the demand forecast has been developed; and </w:t>
      </w:r>
    </w:p>
    <w:p w:rsidR="00B6243F" w:rsidRPr="005B5EB4" w:rsidRDefault="00B6243F" w:rsidP="00A33E04">
      <w:pPr>
        <w:pStyle w:val="AERbulletlistfirststyle"/>
      </w:pPr>
      <w:r w:rsidRPr="00C62F73">
        <w:t xml:space="preserve">whether or not relevant factors have been taken into account in developing demand forecasts. </w:t>
      </w:r>
    </w:p>
    <w:p w:rsidR="00B6243F" w:rsidRPr="00C62F73" w:rsidRDefault="00B6243F" w:rsidP="00A33E04">
      <w:r>
        <w:t xml:space="preserve">To determine whether AusNet </w:t>
      </w:r>
      <w:r w:rsidRPr="00C62F73">
        <w:t xml:space="preserve">proposed demand forecasts are arrived at on a reasonable basis and are the best possible forecasts in the circumstances, we </w:t>
      </w:r>
      <w:r>
        <w:t xml:space="preserve">have </w:t>
      </w:r>
      <w:r w:rsidRPr="00C62F73">
        <w:t>reviewed:</w:t>
      </w:r>
    </w:p>
    <w:p w:rsidR="00B6243F" w:rsidRPr="005B5EB4" w:rsidRDefault="00B6243F" w:rsidP="00A33E04">
      <w:pPr>
        <w:pStyle w:val="AERbulletlistfirststyle"/>
      </w:pPr>
      <w:r w:rsidRPr="00C62F73">
        <w:t xml:space="preserve">information provided by </w:t>
      </w:r>
      <w:r>
        <w:t>AusNet as part of its proposed access arrangement</w:t>
      </w:r>
    </w:p>
    <w:p w:rsidR="00B6243F" w:rsidRDefault="00B6243F" w:rsidP="00A33E04">
      <w:pPr>
        <w:pStyle w:val="AERbulletlistfirststyle"/>
      </w:pPr>
      <w:r w:rsidRPr="00C62F73">
        <w:t>the data inputs used to implem</w:t>
      </w:r>
      <w:r>
        <w:t>ent the forecasting methodology</w:t>
      </w:r>
    </w:p>
    <w:p w:rsidR="00B6243F" w:rsidRDefault="00B6243F" w:rsidP="00A33E04">
      <w:pPr>
        <w:pStyle w:val="AERbulletlistfirststyle"/>
      </w:pPr>
      <w:r>
        <w:t>CIE demand model and its report on AusNet's demand forecasts</w:t>
      </w:r>
    </w:p>
    <w:p w:rsidR="00B6243F" w:rsidRDefault="00A312AD" w:rsidP="00A33E04">
      <w:pPr>
        <w:pStyle w:val="AERbulletlistfirststyle"/>
      </w:pPr>
      <w:r>
        <w:t xml:space="preserve">AusNet’s </w:t>
      </w:r>
      <w:r w:rsidR="00B6243F">
        <w:t>Access Arrangement information and</w:t>
      </w:r>
    </w:p>
    <w:p w:rsidR="00B6243F" w:rsidRPr="005B5EB4" w:rsidRDefault="00B6243F" w:rsidP="00A33E04">
      <w:pPr>
        <w:pStyle w:val="AERbulletlistfirststyle"/>
      </w:pPr>
      <w:r>
        <w:t>AusNet's responses to the regulatory information notice (RIN)</w:t>
      </w:r>
      <w:r w:rsidR="00414EE8">
        <w:rPr>
          <w:rStyle w:val="FootnoteReference"/>
        </w:rPr>
        <w:footnoteReference w:id="31"/>
      </w:r>
      <w:r>
        <w:t>.</w:t>
      </w:r>
    </w:p>
    <w:p w:rsidR="00B6243F" w:rsidRPr="00C62F73" w:rsidRDefault="00B6243F" w:rsidP="00A33E04">
      <w:r w:rsidRPr="00C62F73">
        <w:t xml:space="preserve">In making our draft decision, we </w:t>
      </w:r>
      <w:r>
        <w:t xml:space="preserve">have </w:t>
      </w:r>
      <w:r w:rsidRPr="00C62F73">
        <w:t>had regard to:</w:t>
      </w:r>
    </w:p>
    <w:p w:rsidR="00B6243F" w:rsidRDefault="00B6243F" w:rsidP="00A33E04">
      <w:pPr>
        <w:pStyle w:val="AERbulletlistfirststyle"/>
      </w:pPr>
      <w:r w:rsidRPr="00C62F73">
        <w:t xml:space="preserve">information provided by </w:t>
      </w:r>
      <w:r>
        <w:t>AusNet</w:t>
      </w:r>
      <w:r w:rsidRPr="00C62F73">
        <w:t xml:space="preserve"> as part of its proposed </w:t>
      </w:r>
      <w:r>
        <w:t>access arrangement information</w:t>
      </w:r>
      <w:r w:rsidRPr="00C62F73">
        <w:t xml:space="preserve">  </w:t>
      </w:r>
    </w:p>
    <w:p w:rsidR="00B6243F" w:rsidRPr="00851C09" w:rsidRDefault="00B6243F" w:rsidP="00851C09">
      <w:pPr>
        <w:pStyle w:val="AERbulletlistfirststyle"/>
      </w:pPr>
      <w:r w:rsidRPr="00851C09">
        <w:rPr>
          <w:rStyle w:val="AERtexthighlight"/>
          <w:shd w:val="clear" w:color="auto" w:fill="auto"/>
        </w:rPr>
        <w:t>alternative methodologies for forecasting demand, while being cognisant of the idiosyncratic features of a given methodology when compared to other possible alternatives</w:t>
      </w:r>
      <w:r w:rsidR="00851C09">
        <w:rPr>
          <w:rStyle w:val="FootnoteReference"/>
        </w:rPr>
        <w:footnoteReference w:id="32"/>
      </w:r>
    </w:p>
    <w:p w:rsidR="00B6243F" w:rsidRPr="005B5EB4" w:rsidRDefault="00B6243F" w:rsidP="00A33E04">
      <w:pPr>
        <w:pStyle w:val="AERbulletlistfirststyle"/>
      </w:pPr>
      <w:r w:rsidRPr="00C62F73">
        <w:t>advice</w:t>
      </w:r>
      <w:r>
        <w:t xml:space="preserve"> from ACIL Allen </w:t>
      </w:r>
      <w:r w:rsidRPr="005B5EB4">
        <w:t xml:space="preserve">in its review of </w:t>
      </w:r>
      <w:r>
        <w:t>AusNet</w:t>
      </w:r>
      <w:r w:rsidRPr="005B5EB4">
        <w:t xml:space="preserve">'s demand forecasts. </w:t>
      </w:r>
      <w:r>
        <w:t xml:space="preserve">ACIL Allen </w:t>
      </w:r>
      <w:r w:rsidRPr="005B5EB4">
        <w:t xml:space="preserve">reviewed </w:t>
      </w:r>
      <w:r>
        <w:t>AusNet’s</w:t>
      </w:r>
      <w:r w:rsidRPr="005B5EB4">
        <w:t xml:space="preserve"> demand forecasts</w:t>
      </w:r>
      <w:r>
        <w:t xml:space="preserve"> and provided independent advice on CIE's methodology and assumptions</w:t>
      </w:r>
      <w:r w:rsidRPr="005B5EB4">
        <w:t xml:space="preserve"> </w:t>
      </w:r>
    </w:p>
    <w:p w:rsidR="00B6243F" w:rsidRDefault="00B6243F" w:rsidP="00A33E04">
      <w:pPr>
        <w:pStyle w:val="AERbulletlistfirststyle"/>
      </w:pPr>
      <w:r w:rsidRPr="00C62F73">
        <w:t xml:space="preserve">additional information provided by </w:t>
      </w:r>
      <w:r>
        <w:t>AusNet</w:t>
      </w:r>
      <w:r w:rsidRPr="00C62F73">
        <w:t xml:space="preserve"> in respo</w:t>
      </w:r>
      <w:r>
        <w:t xml:space="preserve">nse to our information requests </w:t>
      </w:r>
      <w:r w:rsidRPr="005B5EB4">
        <w:t>and</w:t>
      </w:r>
    </w:p>
    <w:p w:rsidR="00B6243F" w:rsidRDefault="00B6243F" w:rsidP="00A33E04">
      <w:pPr>
        <w:pStyle w:val="AERbulletlistfirststyle"/>
      </w:pPr>
      <w:r>
        <w:t>public submissions during the consultation process.</w:t>
      </w:r>
    </w:p>
    <w:p w:rsidR="00B6243F" w:rsidRDefault="00B6243F" w:rsidP="007E462B">
      <w:pPr>
        <w:pStyle w:val="Heading3"/>
        <w:ind w:left="720"/>
      </w:pPr>
      <w:bookmarkStart w:id="90" w:name="_Toc482365311"/>
      <w:bookmarkStart w:id="91" w:name="_Toc483292638"/>
      <w:bookmarkStart w:id="92" w:name="_Toc486841057"/>
      <w:r>
        <w:t>Interrelationships</w:t>
      </w:r>
      <w:bookmarkEnd w:id="90"/>
      <w:bookmarkEnd w:id="91"/>
      <w:bookmarkEnd w:id="92"/>
    </w:p>
    <w:p w:rsidR="00B6243F" w:rsidRPr="00A15B61" w:rsidRDefault="00B6243F" w:rsidP="00A33E04">
      <w:r w:rsidRPr="00A15B61">
        <w:t xml:space="preserve">We have considered the relevant interrelationships between different components of </w:t>
      </w:r>
      <w:r>
        <w:t>AusNet's</w:t>
      </w:r>
      <w:r w:rsidRPr="00A15B61">
        <w:t xml:space="preserve"> access arrangement as part of our analysis. </w:t>
      </w:r>
    </w:p>
    <w:p w:rsidR="00B6243F" w:rsidRPr="00A15B61" w:rsidRDefault="00B6243F" w:rsidP="00A33E04">
      <w:r w:rsidRPr="00A15B61">
        <w:t>This includes the effect of forecast demand on the efficient amount of capex and opex and tariffs in the 201</w:t>
      </w:r>
      <w:r>
        <w:t>8–22</w:t>
      </w:r>
      <w:r w:rsidRPr="00A15B61">
        <w:t xml:space="preserve"> access arrangement period. In particular, the demand forecasts: </w:t>
      </w:r>
    </w:p>
    <w:p w:rsidR="00B6243F" w:rsidRPr="00A15B61" w:rsidRDefault="00B6243F" w:rsidP="00A33E04">
      <w:pPr>
        <w:pStyle w:val="AERbulletlistfirststyle"/>
      </w:pPr>
      <w:r w:rsidRPr="00A15B61">
        <w:t xml:space="preserve">impact approved tariff V connections capex, given the number of new connections affects the amount of approved connections capex </w:t>
      </w:r>
    </w:p>
    <w:p w:rsidR="00B6243F" w:rsidRPr="00A15B61" w:rsidRDefault="00B6243F" w:rsidP="00A33E04">
      <w:pPr>
        <w:pStyle w:val="AERbulletlistfirststyle"/>
      </w:pPr>
      <w:r w:rsidRPr="00A15B61">
        <w:t xml:space="preserve">impact approved opex, given the forecast total connections numbers and total consumption (output growth) is used in deriving the additional opex required to service the larger network </w:t>
      </w:r>
    </w:p>
    <w:p w:rsidR="00B6243F" w:rsidRDefault="00B6243F" w:rsidP="00A33E04">
      <w:pPr>
        <w:pStyle w:val="AERbulletlistfirststyle"/>
      </w:pPr>
      <w:proofErr w:type="gramStart"/>
      <w:r w:rsidRPr="00A15B61">
        <w:t>impact</w:t>
      </w:r>
      <w:proofErr w:type="gramEnd"/>
      <w:r w:rsidRPr="00A15B61">
        <w:t xml:space="preserve"> tariffs, given they depend on forecast consumption (demand) per connection. In simple terms, tariffs are determined by cost divided by quantity (where quantity is measured by demand</w:t>
      </w:r>
      <w:r>
        <w:t xml:space="preserve"> </w:t>
      </w:r>
      <w:r w:rsidRPr="00A15B61">
        <w:t xml:space="preserve">per connection). This means that an increase in forecast quantity has the effect of reducing the tariff. </w:t>
      </w:r>
    </w:p>
    <w:p w:rsidR="00B6243F" w:rsidRDefault="006B018A" w:rsidP="00A33E04">
      <w:pPr>
        <w:pStyle w:val="AERbulletlistfirststyle"/>
      </w:pPr>
      <w:r>
        <w:t>a</w:t>
      </w:r>
      <w:r w:rsidR="00B6243F">
        <w:t>re impacted by AusNet’s proposed marketing program.</w:t>
      </w:r>
    </w:p>
    <w:p w:rsidR="00B6243F" w:rsidRDefault="00B6243F" w:rsidP="00A33E04">
      <w:pPr>
        <w:pStyle w:val="Heading2"/>
      </w:pPr>
      <w:bookmarkStart w:id="93" w:name="_Ref481501253"/>
      <w:bookmarkStart w:id="94" w:name="_Toc482365312"/>
      <w:bookmarkStart w:id="95" w:name="_Toc483292639"/>
      <w:bookmarkStart w:id="96" w:name="_Toc486841058"/>
      <w:r>
        <w:t>Reasons for draft decision</w:t>
      </w:r>
      <w:bookmarkEnd w:id="93"/>
      <w:bookmarkEnd w:id="94"/>
      <w:bookmarkEnd w:id="95"/>
      <w:bookmarkEnd w:id="96"/>
    </w:p>
    <w:p w:rsidR="00B6243F" w:rsidRDefault="00B6243F" w:rsidP="00A33E04">
      <w:r>
        <w:t xml:space="preserve">Based on all the information before us, we are not satisfied that AusNet's forecasts for Tariff V demand </w:t>
      </w:r>
      <w:r w:rsidR="000C07E5">
        <w:t xml:space="preserve">are </w:t>
      </w:r>
      <w:r>
        <w:t xml:space="preserve">consistent with rule 74(2) of the NGR. This is </w:t>
      </w:r>
      <w:r w:rsidR="001343C1">
        <w:t xml:space="preserve">because we have not accepted </w:t>
      </w:r>
      <w:r>
        <w:t>AusNet's proposed step change for a marketing program which has a flow-on effect on forecast new residential connection numbers, and therefore, Tariff V demand. Attachment 7 sets out our draft decision on the proposed marketing program.</w:t>
      </w:r>
    </w:p>
    <w:p w:rsidR="00B6243F" w:rsidRDefault="00B6243F" w:rsidP="00A33E04">
      <w:r>
        <w:t xml:space="preserve">AusNet made a post-model adjustment to reflect the effect of the marketing program. Other than this stand-alone adjustment, we consider that all other aspects of AusNet's forecasts have been arrived at on a reasonable basis, and are the best estimate in the circumstances. We were informed by ACIL Allen's review of CIE's methodology in coming to our position. </w:t>
      </w:r>
    </w:p>
    <w:p w:rsidR="00B6243F" w:rsidRDefault="00B6243F" w:rsidP="00A33E04">
      <w:r>
        <w:t>We agree with ACIL Allen’s advice that whilst there are a number of issues in CIE’s methodology, any additional effort spent in addressing these issues will not result in a more reliable forecast.</w:t>
      </w:r>
      <w:r>
        <w:rPr>
          <w:rStyle w:val="FootnoteReference"/>
        </w:rPr>
        <w:footnoteReference w:id="33"/>
      </w:r>
      <w:r>
        <w:t xml:space="preserve"> </w:t>
      </w:r>
    </w:p>
    <w:p w:rsidR="00B6243F" w:rsidRDefault="00B6243F" w:rsidP="00A33E04">
      <w:r>
        <w:t>With respect to Tariff D and M, we are satisfied that the demand forecasts for these tariff classes are consistent with rule 74(2) of the NGR.</w:t>
      </w:r>
    </w:p>
    <w:p w:rsidR="00B6243F" w:rsidRDefault="00B6243F" w:rsidP="00A33E04">
      <w:r>
        <w:t>The reasons for our decision are discussed further below.</w:t>
      </w:r>
    </w:p>
    <w:p w:rsidR="00B6243F" w:rsidRDefault="00B6243F" w:rsidP="007E462B">
      <w:pPr>
        <w:pStyle w:val="Heading3"/>
        <w:ind w:left="720"/>
      </w:pPr>
      <w:bookmarkStart w:id="97" w:name="_Toc482365313"/>
      <w:bookmarkStart w:id="98" w:name="_Toc483292640"/>
      <w:bookmarkStart w:id="99" w:name="_Toc486841059"/>
      <w:r>
        <w:t>Minimum, maximum and average demand</w:t>
      </w:r>
      <w:bookmarkEnd w:id="97"/>
      <w:bookmarkEnd w:id="98"/>
      <w:bookmarkEnd w:id="99"/>
    </w:p>
    <w:p w:rsidR="00B6243F" w:rsidRPr="00E0556A" w:rsidRDefault="00B6243F" w:rsidP="00A33E04">
      <w:r>
        <w:t>Under the NGR, AusNet'</w:t>
      </w:r>
      <w:r w:rsidR="00851C09">
        <w:t>s</w:t>
      </w:r>
      <w:r>
        <w:t xml:space="preserve"> access arrangement must include minimum, maximum and average demand for the earlier access arrangement period.</w:t>
      </w:r>
      <w:r>
        <w:rPr>
          <w:rStyle w:val="FootnoteReference"/>
        </w:rPr>
        <w:footnoteReference w:id="34"/>
      </w:r>
      <w:r>
        <w:t xml:space="preserve"> AusNet's access arrangement information and </w:t>
      </w:r>
      <w:r w:rsidR="001343C1">
        <w:t>its</w:t>
      </w:r>
      <w:r w:rsidR="006B018A">
        <w:t xml:space="preserve"> response to our </w:t>
      </w:r>
      <w:r>
        <w:t>RIN satisf</w:t>
      </w:r>
      <w:r w:rsidR="000C07E5">
        <w:t>y</w:t>
      </w:r>
      <w:r>
        <w:t xml:space="preserve"> these requirements.</w:t>
      </w:r>
      <w:r>
        <w:rPr>
          <w:rStyle w:val="FootnoteReference"/>
        </w:rPr>
        <w:footnoteReference w:id="35"/>
      </w:r>
    </w:p>
    <w:p w:rsidR="00B6243F" w:rsidRPr="00E0556A" w:rsidRDefault="00B6243F" w:rsidP="007E462B">
      <w:pPr>
        <w:pStyle w:val="Heading3"/>
        <w:ind w:left="720"/>
      </w:pPr>
      <w:bookmarkStart w:id="100" w:name="_Toc482365314"/>
      <w:bookmarkStart w:id="101" w:name="_Toc483292641"/>
      <w:bookmarkStart w:id="102" w:name="_Toc486841060"/>
      <w:r w:rsidRPr="00E0556A">
        <w:t>Forecast pipeline capacity and utilisation</w:t>
      </w:r>
      <w:bookmarkEnd w:id="100"/>
      <w:bookmarkEnd w:id="101"/>
      <w:bookmarkEnd w:id="102"/>
    </w:p>
    <w:p w:rsidR="00B6243F" w:rsidRDefault="00B6243F" w:rsidP="00A33E04">
      <w:pPr>
        <w:rPr>
          <w:rStyle w:val="AERbody"/>
        </w:rPr>
      </w:pPr>
      <w:r w:rsidRPr="00285396">
        <w:rPr>
          <w:rStyle w:val="AERbody"/>
        </w:rPr>
        <w:t>The NGR require that to the extent practicable, the access arrangement information should include forecast pi</w:t>
      </w:r>
      <w:r>
        <w:rPr>
          <w:rStyle w:val="AERbody"/>
        </w:rPr>
        <w:t xml:space="preserve">peline capacity and utilisation </w:t>
      </w:r>
      <w:r w:rsidRPr="00285396">
        <w:rPr>
          <w:rStyle w:val="AERbody"/>
        </w:rPr>
        <w:t>of pipeline capacity over</w:t>
      </w:r>
      <w:r w:rsidRPr="00FF7F27">
        <w:rPr>
          <w:rStyle w:val="AERbody"/>
        </w:rPr>
        <w:t xml:space="preserve"> the access arrangement period.</w:t>
      </w:r>
      <w:r w:rsidR="006B018A">
        <w:rPr>
          <w:rStyle w:val="FootnoteReference"/>
        </w:rPr>
        <w:footnoteReference w:id="36"/>
      </w:r>
      <w:r w:rsidRPr="00FF7F27">
        <w:rPr>
          <w:rStyle w:val="AERbody"/>
        </w:rPr>
        <w:t xml:space="preserve"> </w:t>
      </w:r>
    </w:p>
    <w:p w:rsidR="00B6243F" w:rsidRPr="00342AB1" w:rsidRDefault="00B6243F" w:rsidP="00A33E04">
      <w:r>
        <w:rPr>
          <w:rStyle w:val="AERbody"/>
        </w:rPr>
        <w:t xml:space="preserve">AusNet </w:t>
      </w:r>
      <w:r w:rsidRPr="00FF7F27">
        <w:rPr>
          <w:rStyle w:val="AERbody"/>
        </w:rPr>
        <w:t xml:space="preserve">did not provide </w:t>
      </w:r>
      <w:r w:rsidR="003D3BAB">
        <w:rPr>
          <w:rStyle w:val="AERbody"/>
        </w:rPr>
        <w:t xml:space="preserve">this </w:t>
      </w:r>
      <w:r w:rsidRPr="00FF7F27">
        <w:rPr>
          <w:rStyle w:val="AERbody"/>
        </w:rPr>
        <w:t xml:space="preserve">information in </w:t>
      </w:r>
      <w:r w:rsidR="000C07E5">
        <w:rPr>
          <w:rStyle w:val="AERbody"/>
        </w:rPr>
        <w:t>its</w:t>
      </w:r>
      <w:r w:rsidR="000C07E5" w:rsidRPr="00FF7F27">
        <w:rPr>
          <w:rStyle w:val="AERbody"/>
        </w:rPr>
        <w:t xml:space="preserve"> </w:t>
      </w:r>
      <w:r w:rsidRPr="00FF7F27">
        <w:rPr>
          <w:rStyle w:val="AERbody"/>
        </w:rPr>
        <w:t xml:space="preserve">access arrangement information. </w:t>
      </w:r>
      <w:r>
        <w:rPr>
          <w:rStyle w:val="AERbody"/>
        </w:rPr>
        <w:t xml:space="preserve">However, AusNet’s </w:t>
      </w:r>
      <w:r w:rsidRPr="00285396">
        <w:t xml:space="preserve">distribution network is a meshed network made up of interconnected pipes, and there are a number of practical considerations </w:t>
      </w:r>
      <w:r>
        <w:t xml:space="preserve">that mean that calculating forecast capacity and </w:t>
      </w:r>
      <w:r w:rsidRPr="00285396">
        <w:t xml:space="preserve">utilisation is not </w:t>
      </w:r>
      <w:r>
        <w:t>practicable</w:t>
      </w:r>
      <w:r w:rsidRPr="00285396">
        <w:t>.</w:t>
      </w:r>
    </w:p>
    <w:p w:rsidR="00B6243F" w:rsidRDefault="00B6243F" w:rsidP="007E462B">
      <w:pPr>
        <w:pStyle w:val="Heading3"/>
        <w:ind w:left="720"/>
      </w:pPr>
      <w:bookmarkStart w:id="103" w:name="_Toc482365316"/>
      <w:bookmarkStart w:id="104" w:name="_Toc483292642"/>
      <w:bookmarkStart w:id="105" w:name="_Toc486841061"/>
      <w:r w:rsidRPr="001D41A3">
        <w:t xml:space="preserve">Demand Forecast of </w:t>
      </w:r>
      <w:bookmarkEnd w:id="103"/>
      <w:r w:rsidRPr="001D41A3">
        <w:t>Tariff V</w:t>
      </w:r>
      <w:bookmarkEnd w:id="104"/>
      <w:bookmarkEnd w:id="105"/>
      <w:r w:rsidRPr="001D41A3">
        <w:t xml:space="preserve"> </w:t>
      </w:r>
    </w:p>
    <w:p w:rsidR="00B6243F" w:rsidRDefault="00B6243F" w:rsidP="00A33E04">
      <w:r>
        <w:t xml:space="preserve">Our draft decision is to not accept AusNet's forecast of Tariff V </w:t>
      </w:r>
      <w:r w:rsidR="000C07E5">
        <w:t xml:space="preserve">demand </w:t>
      </w:r>
      <w:r>
        <w:t xml:space="preserve">for the 2018-22 access arrangement period. This is because we consider that one input used to forecast Tariff V demand </w:t>
      </w:r>
      <w:r>
        <w:noBreakHyphen/>
        <w:t xml:space="preserve"> forecast net new residential connection numbers </w:t>
      </w:r>
      <w:r>
        <w:noBreakHyphen/>
        <w:t xml:space="preserve"> was not arrived at on a reasonable basis and therefore </w:t>
      </w:r>
      <w:r w:rsidR="001343C1">
        <w:t>does not represent</w:t>
      </w:r>
      <w:r>
        <w:t xml:space="preserve"> the best estimate </w:t>
      </w:r>
      <w:r w:rsidR="001343C1">
        <w:t xml:space="preserve">possible </w:t>
      </w:r>
      <w:r>
        <w:t xml:space="preserve">in circumstances. </w:t>
      </w:r>
    </w:p>
    <w:p w:rsidR="00B6243F" w:rsidRDefault="00B6243F" w:rsidP="00A33E04">
      <w:r>
        <w:t>We accept all other forecasts that have been used to derive the demand forecast for Tariff V, being forecast net new commercial connection numbers and forecast consumption per connection for both residential and commercial customers.</w:t>
      </w:r>
    </w:p>
    <w:p w:rsidR="00B6243F" w:rsidRPr="00A33E04" w:rsidRDefault="00B6243F" w:rsidP="007E462B">
      <w:pPr>
        <w:pStyle w:val="Heading4"/>
        <w:keepNext/>
      </w:pPr>
      <w:r>
        <w:t>Forecast of consumption per connection</w:t>
      </w:r>
    </w:p>
    <w:p w:rsidR="00B6243F" w:rsidRDefault="00B6243F" w:rsidP="007E462B">
      <w:pPr>
        <w:keepNext/>
      </w:pPr>
      <w:r>
        <w:t>We are satisfied with CIE's methodology for estimating residential and commercial consumption per connection, and the resulting forecasts for the 2018-22 access arrangement period.</w:t>
      </w:r>
    </w:p>
    <w:p w:rsidR="00B6243F" w:rsidRPr="00A6185B" w:rsidRDefault="00B6243F" w:rsidP="007E462B">
      <w:pPr>
        <w:pStyle w:val="HeadingBoldItalic"/>
        <w:rPr>
          <w:rStyle w:val="Strong"/>
        </w:rPr>
      </w:pPr>
      <w:r>
        <w:rPr>
          <w:rStyle w:val="Strong"/>
        </w:rPr>
        <w:t>Weather normalisation</w:t>
      </w:r>
    </w:p>
    <w:p w:rsidR="00B6243F" w:rsidRPr="00B7143E" w:rsidRDefault="00B6243F" w:rsidP="00A33E04">
      <w:r w:rsidRPr="00B7143E">
        <w:t>We agree with ACIL Allen's assessment that C</w:t>
      </w:r>
      <w:r>
        <w:t>I</w:t>
      </w:r>
      <w:r w:rsidRPr="00B7143E">
        <w:t>E's weather normalisation methodology is sound. C</w:t>
      </w:r>
      <w:r>
        <w:t>I</w:t>
      </w:r>
      <w:r w:rsidRPr="00B7143E">
        <w:t xml:space="preserve">E </w:t>
      </w:r>
      <w:r>
        <w:t>applied</w:t>
      </w:r>
      <w:r w:rsidRPr="00B7143E">
        <w:t xml:space="preserve"> </w:t>
      </w:r>
      <w:r>
        <w:t>its estimated</w:t>
      </w:r>
      <w:r w:rsidRPr="00B7143E">
        <w:t xml:space="preserve"> </w:t>
      </w:r>
      <w:r>
        <w:t>EDD</w:t>
      </w:r>
      <w:r w:rsidRPr="00B7143E">
        <w:t xml:space="preserve"> index to accou</w:t>
      </w:r>
      <w:r>
        <w:t>nt for the impact of weather and to</w:t>
      </w:r>
      <w:r w:rsidRPr="00B7143E">
        <w:t xml:space="preserve"> establish the 'normal' weather trend. The results were an estimated declining rate of -</w:t>
      </w:r>
      <w:r>
        <w:t>8.5</w:t>
      </w:r>
      <w:r w:rsidRPr="00B7143E">
        <w:t xml:space="preserve"> EDD per year</w:t>
      </w:r>
      <w:r>
        <w:t xml:space="preserve"> based on the work by CSIRO.</w:t>
      </w:r>
      <w:r>
        <w:rPr>
          <w:rStyle w:val="FootnoteReference"/>
        </w:rPr>
        <w:footnoteReference w:id="37"/>
      </w:r>
      <w:r w:rsidRPr="00B7143E">
        <w:t xml:space="preserve"> </w:t>
      </w:r>
      <w:r>
        <w:t>ACIL Allen note</w:t>
      </w:r>
      <w:r w:rsidR="000C07E5">
        <w:t>d</w:t>
      </w:r>
      <w:r>
        <w:t xml:space="preserve"> that the CSIRO forecasts are based on long run climate change patterns and considered reliable.</w:t>
      </w:r>
      <w:r>
        <w:rPr>
          <w:rStyle w:val="FootnoteReference"/>
        </w:rPr>
        <w:footnoteReference w:id="38"/>
      </w:r>
    </w:p>
    <w:p w:rsidR="00B6243F" w:rsidRPr="00B7143E" w:rsidRDefault="00B6243F" w:rsidP="00A33E04">
      <w:r>
        <w:t xml:space="preserve">In </w:t>
      </w:r>
      <w:r w:rsidRPr="00B7143E">
        <w:t>assess</w:t>
      </w:r>
      <w:r>
        <w:t>ing</w:t>
      </w:r>
      <w:r w:rsidRPr="00B7143E">
        <w:t xml:space="preserve"> C</w:t>
      </w:r>
      <w:r>
        <w:t>I</w:t>
      </w:r>
      <w:r w:rsidRPr="00B7143E">
        <w:t xml:space="preserve">E's weather normalisation process, ACIL Allen compared </w:t>
      </w:r>
      <w:r>
        <w:t>it against</w:t>
      </w:r>
      <w:r w:rsidRPr="00B7143E">
        <w:t xml:space="preserve"> the results of other recent studies of weather trends in Victoria</w:t>
      </w:r>
      <w:r>
        <w:t xml:space="preserve">, including AEMO’s </w:t>
      </w:r>
      <w:r w:rsidRPr="00B7143E">
        <w:t xml:space="preserve">weather analysis </w:t>
      </w:r>
      <w:r>
        <w:t>in the 2016 NGFR.</w:t>
      </w:r>
      <w:r w:rsidRPr="00B7143E">
        <w:t xml:space="preserve"> </w:t>
      </w:r>
      <w:r>
        <w:rPr>
          <w:rStyle w:val="FootnoteReference"/>
        </w:rPr>
        <w:footnoteReference w:id="39"/>
      </w:r>
      <w:r w:rsidRPr="00B7143E">
        <w:t xml:space="preserve"> C</w:t>
      </w:r>
      <w:r>
        <w:t>I</w:t>
      </w:r>
      <w:r w:rsidRPr="00B7143E">
        <w:t xml:space="preserve">E's </w:t>
      </w:r>
      <w:r>
        <w:t>results are</w:t>
      </w:r>
      <w:r w:rsidRPr="00B7143E">
        <w:t xml:space="preserve"> broadly consistent with AEMO's forecast of -6.8 decline in EDD per year for Victoria over the next 20 years.</w:t>
      </w:r>
      <w:r>
        <w:t xml:space="preserve"> </w:t>
      </w:r>
    </w:p>
    <w:p w:rsidR="00B6243F" w:rsidRDefault="00B6243F" w:rsidP="00A33E04">
      <w:r w:rsidRPr="00B7143E">
        <w:t xml:space="preserve">We </w:t>
      </w:r>
      <w:r>
        <w:t xml:space="preserve">agree with ACIL Allen's assessment that CIE's weather normalisation methodology </w:t>
      </w:r>
      <w:r w:rsidRPr="00B7143E">
        <w:t>leads to a reasonable estimate of future 'normal' weather.</w:t>
      </w:r>
    </w:p>
    <w:p w:rsidR="00B6243F" w:rsidRPr="00ED6DDC" w:rsidRDefault="00B6243F" w:rsidP="007E462B">
      <w:pPr>
        <w:pStyle w:val="HeadingBoldItalic"/>
        <w:rPr>
          <w:rStyle w:val="Strong"/>
        </w:rPr>
      </w:pPr>
      <w:r w:rsidRPr="00ED6DDC">
        <w:rPr>
          <w:rStyle w:val="Strong"/>
        </w:rPr>
        <w:t>Assessment of the</w:t>
      </w:r>
      <w:r>
        <w:rPr>
          <w:rStyle w:val="Strong"/>
        </w:rPr>
        <w:t xml:space="preserve"> factors influencing the</w:t>
      </w:r>
      <w:r w:rsidRPr="00ED6DDC">
        <w:rPr>
          <w:rStyle w:val="Strong"/>
        </w:rPr>
        <w:t xml:space="preserve"> forecast</w:t>
      </w:r>
      <w:r>
        <w:rPr>
          <w:rStyle w:val="Strong"/>
        </w:rPr>
        <w:t>s</w:t>
      </w:r>
    </w:p>
    <w:p w:rsidR="00B6243F" w:rsidRDefault="00B6243F" w:rsidP="00A33E04">
      <w:pPr>
        <w:rPr>
          <w:rStyle w:val="AERbody"/>
        </w:rPr>
      </w:pPr>
      <w:r>
        <w:rPr>
          <w:rStyle w:val="AERbody"/>
        </w:rPr>
        <w:t xml:space="preserve">Rather than forecast the retail gas price itself, CIE has relied on retail gas price projections used by AEMO in the 2015 NGFR. Based on panel regression results, CIE applied a short run own-price elasticity of </w:t>
      </w:r>
      <w:r>
        <w:t>–</w:t>
      </w:r>
      <w:r>
        <w:rPr>
          <w:rStyle w:val="AERbody"/>
        </w:rPr>
        <w:t>0.053 to forecast residential consumption.</w:t>
      </w:r>
      <w:r>
        <w:rPr>
          <w:rStyle w:val="FootnoteReference"/>
        </w:rPr>
        <w:footnoteReference w:id="40"/>
      </w:r>
      <w:r>
        <w:rPr>
          <w:rStyle w:val="AERbody"/>
        </w:rPr>
        <w:t xml:space="preserve"> Consistent with ACIL Allen's assessment, we consider that the results from CIE's analysis are reasonable.</w:t>
      </w:r>
      <w:r>
        <w:rPr>
          <w:rStyle w:val="FootnoteReference"/>
        </w:rPr>
        <w:footnoteReference w:id="41"/>
      </w:r>
      <w:r>
        <w:rPr>
          <w:rStyle w:val="AERbody"/>
        </w:rPr>
        <w:t xml:space="preserve"> AusNet also notes that it will update the retail gas price forecasts (and therefore demand forecasts) in its revised access arrangement proposal </w:t>
      </w:r>
      <w:r w:rsidR="000C07E5">
        <w:rPr>
          <w:rStyle w:val="AERbody"/>
        </w:rPr>
        <w:t>for the 2016</w:t>
      </w:r>
      <w:r>
        <w:rPr>
          <w:rStyle w:val="AERbody"/>
        </w:rPr>
        <w:t xml:space="preserve"> NGFR. </w:t>
      </w:r>
    </w:p>
    <w:p w:rsidR="00B6243F" w:rsidRDefault="00B6243F" w:rsidP="00A33E04">
      <w:pPr>
        <w:rPr>
          <w:rStyle w:val="AERbody"/>
        </w:rPr>
      </w:pPr>
      <w:r>
        <w:rPr>
          <w:rStyle w:val="AERbody"/>
        </w:rPr>
        <w:t>Based on panel regression results, CIE applied a short run own-price elasticity of</w:t>
      </w:r>
      <w:r w:rsidR="000C07E5">
        <w:rPr>
          <w:rStyle w:val="AERbody"/>
        </w:rPr>
        <w:t xml:space="preserve"> </w:t>
      </w:r>
      <w:r>
        <w:t>–</w:t>
      </w:r>
      <w:r>
        <w:rPr>
          <w:rStyle w:val="AERbody"/>
        </w:rPr>
        <w:t>0.265 to forecast commercial consumption per connection. ACIL Allen advised that a higher short run own-price elasticity for commercial customers than for residential customers is consistent with commercial customers being more likely to respond to price signals quickly.</w:t>
      </w:r>
      <w:r>
        <w:rPr>
          <w:rStyle w:val="FootnoteReference"/>
        </w:rPr>
        <w:footnoteReference w:id="42"/>
      </w:r>
    </w:p>
    <w:p w:rsidR="00B6243F" w:rsidRDefault="00B6243F" w:rsidP="00A33E04">
      <w:pPr>
        <w:rPr>
          <w:rStyle w:val="AERbody"/>
        </w:rPr>
      </w:pPr>
      <w:r>
        <w:rPr>
          <w:rStyle w:val="AERbody"/>
        </w:rPr>
        <w:t>ACIL Allen also assessed the overall reasonableness of CIE's forecast of Tariff V consumption per connection by comparing it to the historical 8 year period (2008–15). ACIL Allen found that the forecasts are consistent with the historical trend. T</w:t>
      </w:r>
      <w:r w:rsidRPr="00B5775D">
        <w:rPr>
          <w:rStyle w:val="AERbody"/>
        </w:rPr>
        <w:t xml:space="preserve">he forecast for residential customers </w:t>
      </w:r>
      <w:r>
        <w:rPr>
          <w:rStyle w:val="AERbody"/>
        </w:rPr>
        <w:t>is</w:t>
      </w:r>
      <w:r w:rsidRPr="00B5775D">
        <w:rPr>
          <w:rStyle w:val="AERbody"/>
        </w:rPr>
        <w:t xml:space="preserve"> a continued decline in average annual consumption at rates similar to the long-run historical downward trend. </w:t>
      </w:r>
    </w:p>
    <w:p w:rsidR="00B6243F" w:rsidRDefault="00B6243F" w:rsidP="00A33E04">
      <w:pPr>
        <w:rPr>
          <w:rStyle w:val="AERbody"/>
        </w:rPr>
      </w:pPr>
      <w:r w:rsidRPr="00B5775D">
        <w:rPr>
          <w:rStyle w:val="AERbody"/>
        </w:rPr>
        <w:t>For commercial customers, average consumption per connection is forecast to remain almost flat at around 360 GJ</w:t>
      </w:r>
      <w:r w:rsidR="00D87DC4">
        <w:rPr>
          <w:rStyle w:val="AERbody"/>
        </w:rPr>
        <w:t xml:space="preserve"> per annum</w:t>
      </w:r>
      <w:r w:rsidRPr="00B5775D">
        <w:rPr>
          <w:rStyle w:val="AERbody"/>
        </w:rPr>
        <w:t xml:space="preserve">, </w:t>
      </w:r>
      <w:r>
        <w:rPr>
          <w:rStyle w:val="AERbody"/>
        </w:rPr>
        <w:t>which is also close to the historical trend</w:t>
      </w:r>
      <w:r w:rsidRPr="00B5775D">
        <w:rPr>
          <w:rStyle w:val="AERbody"/>
        </w:rPr>
        <w:t>.</w:t>
      </w:r>
      <w:r>
        <w:rPr>
          <w:rStyle w:val="FootnoteReference"/>
        </w:rPr>
        <w:footnoteReference w:id="43"/>
      </w:r>
      <w:r w:rsidRPr="00B5775D">
        <w:rPr>
          <w:rStyle w:val="AERbody"/>
        </w:rPr>
        <w:t xml:space="preserve"> </w:t>
      </w:r>
    </w:p>
    <w:p w:rsidR="00B6243F" w:rsidRPr="00A33E04" w:rsidRDefault="00B6243F" w:rsidP="00A33E04">
      <w:pPr>
        <w:pStyle w:val="Heading4"/>
      </w:pPr>
      <w:bookmarkStart w:id="106" w:name="_Ref485383467"/>
      <w:r>
        <w:t>Forecast of new connections numbers</w:t>
      </w:r>
      <w:bookmarkEnd w:id="106"/>
    </w:p>
    <w:p w:rsidR="00B6243F" w:rsidRDefault="00B6243F" w:rsidP="00B94B59">
      <w:r>
        <w:t>AusNet made a stand-alone post-model adjustment to forecast new residential connection numbers to reflect the effect of the marketing program. Consistent with our draft decision to not accept AusNet's proposed opex step change for its proposed marketing program (which impacts forecast new residential connection numbers), we do not accept that AusNet's forecast of new residential connection numbers represent</w:t>
      </w:r>
      <w:r w:rsidR="001343C1">
        <w:t>s</w:t>
      </w:r>
      <w:r>
        <w:t xml:space="preserve"> the best estimate possible in the circumstances.</w:t>
      </w:r>
    </w:p>
    <w:p w:rsidR="00B6243F" w:rsidRDefault="00B6243F" w:rsidP="0027054C">
      <w:r>
        <w:t xml:space="preserve">Our alternative forecast is </w:t>
      </w:r>
      <w:r w:rsidRPr="006C5BCF">
        <w:t xml:space="preserve">71,783 </w:t>
      </w:r>
      <w:r>
        <w:t xml:space="preserve">net new </w:t>
      </w:r>
      <w:r w:rsidRPr="006C5BCF">
        <w:t xml:space="preserve">connections </w:t>
      </w:r>
      <w:r>
        <w:t xml:space="preserve">over the 2018-22 access arrangement period. This is 1.8 per cent lower than AusNet's forecast of </w:t>
      </w:r>
      <w:r w:rsidRPr="006C5BCF">
        <w:t xml:space="preserve">73,100 </w:t>
      </w:r>
      <w:r>
        <w:t xml:space="preserve">net new </w:t>
      </w:r>
      <w:r w:rsidRPr="006C5BCF">
        <w:t>connections</w:t>
      </w:r>
      <w:r>
        <w:t>.</w:t>
      </w:r>
      <w:r>
        <w:rPr>
          <w:rStyle w:val="FootnoteReference"/>
        </w:rPr>
        <w:footnoteReference w:id="44"/>
      </w:r>
      <w:r>
        <w:t xml:space="preserve"> </w:t>
      </w:r>
    </w:p>
    <w:p w:rsidR="00B6243F" w:rsidRDefault="00B6243F" w:rsidP="0027054C">
      <w:r>
        <w:t xml:space="preserve">This is the only aspect of AusNet’s </w:t>
      </w:r>
      <w:r w:rsidR="003D3BAB">
        <w:t xml:space="preserve">demand forecast </w:t>
      </w:r>
      <w:r>
        <w:t xml:space="preserve">methodology </w:t>
      </w:r>
      <w:r w:rsidR="001343C1">
        <w:t>we do not accept</w:t>
      </w:r>
      <w:r>
        <w:t>. We agree with ACIL Allen that, overall, CIE's reliance on the independent Victoria in Future's  occupied private dwellings growth forecast and the derived penetration rate at the 2016 level is reasonable.</w:t>
      </w:r>
      <w:r>
        <w:rPr>
          <w:rStyle w:val="FootnoteReference"/>
        </w:rPr>
        <w:footnoteReference w:id="45"/>
      </w:r>
      <w:r>
        <w:t xml:space="preserve"> We would also encourage AusNet to update its forecasts to incorporate the latest </w:t>
      </w:r>
      <w:r w:rsidR="000C07E5">
        <w:t>Victoria in Future</w:t>
      </w:r>
      <w:r>
        <w:t xml:space="preserve"> forecasts in its revised proposal.</w:t>
      </w:r>
      <w:r w:rsidRPr="0027054C">
        <w:t xml:space="preserve"> </w:t>
      </w:r>
    </w:p>
    <w:p w:rsidR="00B6243F" w:rsidRDefault="00B6243F" w:rsidP="0027054C">
      <w:r>
        <w:t xml:space="preserve">We note that the Consumer Challenge Panel (CCP11) </w:t>
      </w:r>
      <w:r w:rsidRPr="00872BC7">
        <w:t xml:space="preserve">questioned whether </w:t>
      </w:r>
      <w:r>
        <w:t xml:space="preserve">AusNet </w:t>
      </w:r>
      <w:r w:rsidRPr="00872BC7">
        <w:t>has adequately allowed for decreases in penetration rates</w:t>
      </w:r>
      <w:r>
        <w:t xml:space="preserve"> when forecasting residential connection numbers.</w:t>
      </w:r>
      <w:r>
        <w:rPr>
          <w:rStyle w:val="FootnoteReference"/>
        </w:rPr>
        <w:footnoteReference w:id="46"/>
      </w:r>
      <w:r>
        <w:t xml:space="preserve"> We are satisfied that CIE has considered the declining trend in penetration rates by investigating a post-modelling adjustment to incorporate appliance switching. Despite not including the post-modelling adjustment as part of the proposed demand forecast, AusNet expects that the future changes in gas consumption is already being captured in the historical time trend.</w:t>
      </w:r>
      <w:r>
        <w:rPr>
          <w:rStyle w:val="FootnoteReference"/>
        </w:rPr>
        <w:footnoteReference w:id="47"/>
      </w:r>
      <w:r>
        <w:t xml:space="preserve"> </w:t>
      </w:r>
    </w:p>
    <w:p w:rsidR="00B6243F" w:rsidRDefault="00B6243F" w:rsidP="007E462B">
      <w:pPr>
        <w:pStyle w:val="HeadingBoldItalic"/>
        <w:keepNext/>
        <w:rPr>
          <w:rStyle w:val="Strong"/>
          <w:rFonts w:eastAsiaTheme="minorHAnsi" w:cstheme="minorBidi"/>
          <w:b/>
          <w:bCs/>
          <w:i w:val="0"/>
          <w:iCs w:val="0"/>
          <w:color w:val="auto"/>
          <w:sz w:val="22"/>
        </w:rPr>
      </w:pPr>
      <w:r>
        <w:rPr>
          <w:rStyle w:val="Strong"/>
        </w:rPr>
        <w:t>N</w:t>
      </w:r>
      <w:r w:rsidRPr="00A6185B">
        <w:rPr>
          <w:rStyle w:val="Strong"/>
        </w:rPr>
        <w:t xml:space="preserve">et new </w:t>
      </w:r>
      <w:r>
        <w:rPr>
          <w:rStyle w:val="Strong"/>
        </w:rPr>
        <w:t>c</w:t>
      </w:r>
      <w:r w:rsidRPr="00A6185B">
        <w:rPr>
          <w:rStyle w:val="Strong"/>
        </w:rPr>
        <w:t>ommercial connections</w:t>
      </w:r>
    </w:p>
    <w:p w:rsidR="00B6243F" w:rsidRPr="00A33E04" w:rsidRDefault="00B6243F" w:rsidP="007E462B">
      <w:pPr>
        <w:keepNext/>
        <w:rPr>
          <w:rStyle w:val="Strong"/>
        </w:rPr>
      </w:pPr>
      <w:r>
        <w:rPr>
          <w:rStyle w:val="AERbody"/>
        </w:rPr>
        <w:t>Consistent with ACIL Allen's observations, we did not identify any significant issues with CIE's methodology in forecasting net new commercial connections.</w:t>
      </w:r>
      <w:r>
        <w:rPr>
          <w:rStyle w:val="FootnoteReference"/>
        </w:rPr>
        <w:footnoteReference w:id="48"/>
      </w:r>
      <w:r>
        <w:rPr>
          <w:rStyle w:val="AERbody"/>
        </w:rPr>
        <w:t xml:space="preserve"> </w:t>
      </w:r>
      <w:r>
        <w:t xml:space="preserve">Therefore, based on the information before us, we consider that the commercial net new connections forecast </w:t>
      </w:r>
      <w:r w:rsidR="001343C1">
        <w:t>is arrived at on a reasonable  basis</w:t>
      </w:r>
      <w:r>
        <w:t xml:space="preserve"> and represents the best forecast possible in the circumstances. </w:t>
      </w:r>
    </w:p>
    <w:p w:rsidR="00B6243F" w:rsidRDefault="00B6243F" w:rsidP="007E462B">
      <w:pPr>
        <w:pStyle w:val="Heading3"/>
        <w:ind w:left="720"/>
      </w:pPr>
      <w:bookmarkStart w:id="107" w:name="_Toc483292643"/>
      <w:bookmarkStart w:id="108" w:name="_Toc486841062"/>
      <w:r>
        <w:t>Demand forecasts for Tariff D</w:t>
      </w:r>
      <w:bookmarkEnd w:id="107"/>
      <w:r>
        <w:t xml:space="preserve"> and Tariff M</w:t>
      </w:r>
      <w:bookmarkEnd w:id="108"/>
    </w:p>
    <w:p w:rsidR="00B6243F" w:rsidRDefault="00B6243F" w:rsidP="00A33E04">
      <w:r>
        <w:t>We are satisfied that AusNet's forecast for industrial customers, Tariff D and Tariff M</w:t>
      </w:r>
      <w:r w:rsidR="001343C1">
        <w:t xml:space="preserve"> is arrived at on a reasonable basis and</w:t>
      </w:r>
      <w:r>
        <w:t xml:space="preserve"> represents the best forecast possible in the circumstances.</w:t>
      </w:r>
      <w:r>
        <w:rPr>
          <w:rStyle w:val="FootnoteReference"/>
        </w:rPr>
        <w:footnoteReference w:id="49"/>
      </w:r>
    </w:p>
    <w:p w:rsidR="00B6243F" w:rsidRDefault="00B6243F" w:rsidP="008C6DE3">
      <w:r>
        <w:t>ACIL Allen compared the Tariff D and Tariff M MHQ forecast to the historical trend over the 2008–15 period. ACIL Allen noted that whilst the forecast shows a continued decline, this decline falls at an average rate that is less than the projected historical trend.</w:t>
      </w:r>
      <w:r>
        <w:rPr>
          <w:rStyle w:val="FootnoteReference"/>
        </w:rPr>
        <w:footnoteReference w:id="50"/>
      </w:r>
      <w:r>
        <w:t xml:space="preserve"> Nevertheless, given the small number of cohort that make up Tariff D and Tariff M and the significant uncertainty as to the forecast degree of usage, we agree with ACIL Allen's conclusion that AusNet's forecast</w:t>
      </w:r>
      <w:r w:rsidR="00BB6A81">
        <w:t>s</w:t>
      </w:r>
      <w:r>
        <w:t xml:space="preserve"> for these tariff classes are reasonable and thus represent the best forecast possible in the circumstances.</w:t>
      </w:r>
      <w:r>
        <w:rPr>
          <w:rStyle w:val="FootnoteReference"/>
        </w:rPr>
        <w:footnoteReference w:id="51"/>
      </w:r>
      <w:r>
        <w:t xml:space="preserve"> In particular, CIE has examined the effect on forecast MHQ from expected plant closures in 2017-18 and beyond, and whether these are consistent with AEMO's forecasts for large industrial MHQ, which CIE's forecasts are based on.</w:t>
      </w:r>
      <w:r>
        <w:rPr>
          <w:rStyle w:val="FootnoteReference"/>
        </w:rPr>
        <w:footnoteReference w:id="52"/>
      </w:r>
      <w:r>
        <w:t xml:space="preserve"> </w:t>
      </w:r>
    </w:p>
    <w:p w:rsidR="00B6243F" w:rsidRDefault="00B6243F">
      <w:r w:rsidRPr="00664F75">
        <w:t>We</w:t>
      </w:r>
      <w:r>
        <w:t xml:space="preserve"> also</w:t>
      </w:r>
      <w:r w:rsidRPr="00664F75">
        <w:t xml:space="preserve"> </w:t>
      </w:r>
      <w:r>
        <w:t xml:space="preserve">agree </w:t>
      </w:r>
      <w:r w:rsidRPr="00664F75">
        <w:t>with ACIL Allen</w:t>
      </w:r>
      <w:r>
        <w:t xml:space="preserve"> that CIE</w:t>
      </w:r>
      <w:r w:rsidRPr="00664F75">
        <w:t xml:space="preserve"> </w:t>
      </w:r>
      <w:r>
        <w:t>should</w:t>
      </w:r>
      <w:r w:rsidRPr="00664F75">
        <w:t xml:space="preserve"> update its</w:t>
      </w:r>
      <w:r>
        <w:t xml:space="preserve"> MHQ forecasts </w:t>
      </w:r>
      <w:r w:rsidRPr="00664F75">
        <w:t xml:space="preserve">using </w:t>
      </w:r>
      <w:r>
        <w:t xml:space="preserve">AEMO's </w:t>
      </w:r>
      <w:r w:rsidRPr="00664F75">
        <w:t xml:space="preserve">latest </w:t>
      </w:r>
      <w:r>
        <w:t>total Tariff D system usage</w:t>
      </w:r>
      <w:r w:rsidRPr="00664F75">
        <w:t xml:space="preserve"> forecast, for the purposes of the revised </w:t>
      </w:r>
      <w:r>
        <w:t xml:space="preserve">access arrangement </w:t>
      </w:r>
      <w:r w:rsidRPr="00664F75">
        <w:t>proposal.</w:t>
      </w:r>
      <w:r>
        <w:rPr>
          <w:rStyle w:val="FootnoteReference"/>
        </w:rPr>
        <w:footnoteReference w:id="53"/>
      </w:r>
    </w:p>
    <w:p w:rsidR="00CE2A23" w:rsidRDefault="00C1066A" w:rsidP="00C1066A">
      <w:pPr>
        <w:pStyle w:val="Heading2"/>
      </w:pPr>
      <w:bookmarkStart w:id="110" w:name="_Toc486841063"/>
      <w:bookmarkEnd w:id="0"/>
      <w:r>
        <w:t>Revisions</w:t>
      </w:r>
      <w:bookmarkEnd w:id="110"/>
    </w:p>
    <w:p w:rsidR="00E74761" w:rsidRDefault="00E74761" w:rsidP="00E74761">
      <w:r w:rsidRPr="004F345B">
        <w:t>We require the following revisions to make the access arrangement proposal acceptable:</w:t>
      </w:r>
    </w:p>
    <w:tbl>
      <w:tblPr>
        <w:tblStyle w:val="AERtable-text0"/>
        <w:tblW w:w="0" w:type="auto"/>
        <w:tblLook w:val="04A0" w:firstRow="1" w:lastRow="0" w:firstColumn="1" w:lastColumn="0" w:noHBand="0" w:noVBand="1"/>
      </w:tblPr>
      <w:tblGrid>
        <w:gridCol w:w="1809"/>
        <w:gridCol w:w="6884"/>
      </w:tblGrid>
      <w:tr w:rsidR="00BB6A81" w:rsidTr="007E462B">
        <w:trPr>
          <w:cnfStyle w:val="100000000000" w:firstRow="1" w:lastRow="0" w:firstColumn="0" w:lastColumn="0" w:oddVBand="0" w:evenVBand="0" w:oddHBand="0" w:evenHBand="0" w:firstRowFirstColumn="0" w:firstRowLastColumn="0" w:lastRowFirstColumn="0" w:lastRowLastColumn="0"/>
        </w:trPr>
        <w:tc>
          <w:tcPr>
            <w:tcW w:w="1809" w:type="dxa"/>
          </w:tcPr>
          <w:p w:rsidR="00BB6A81" w:rsidRDefault="00BB6A81" w:rsidP="00E74761"/>
        </w:tc>
        <w:tc>
          <w:tcPr>
            <w:tcW w:w="6884" w:type="dxa"/>
          </w:tcPr>
          <w:p w:rsidR="00BB6A81" w:rsidRDefault="00BB6A81" w:rsidP="00E74761"/>
        </w:tc>
      </w:tr>
      <w:tr w:rsidR="00BB6A81" w:rsidTr="007E462B">
        <w:tc>
          <w:tcPr>
            <w:tcW w:w="1809" w:type="dxa"/>
          </w:tcPr>
          <w:p w:rsidR="00BB6A81" w:rsidRDefault="00BB6A81" w:rsidP="007E462B">
            <w:pPr>
              <w:pStyle w:val="HeadingOrange"/>
              <w:rPr>
                <w:rFonts w:eastAsiaTheme="minorHAnsi" w:cstheme="minorBidi"/>
                <w:sz w:val="22"/>
                <w:szCs w:val="22"/>
                <w:lang w:eastAsia="en-US"/>
              </w:rPr>
            </w:pPr>
            <w:r w:rsidRPr="004F345B">
              <w:t>Revision 13.1</w:t>
            </w:r>
          </w:p>
        </w:tc>
        <w:tc>
          <w:tcPr>
            <w:tcW w:w="6884" w:type="dxa"/>
          </w:tcPr>
          <w:p w:rsidR="00BB6A81" w:rsidRDefault="00BB6A81" w:rsidP="00E74761">
            <w:r>
              <w:t xml:space="preserve">Make all necessary revisions to reflect this draft decision, as set out in Section </w:t>
            </w:r>
            <w:r>
              <w:fldChar w:fldCharType="begin"/>
            </w:r>
            <w:r>
              <w:instrText xml:space="preserve"> REF _Ref485383467 \r \h </w:instrText>
            </w:r>
            <w:r>
              <w:fldChar w:fldCharType="separate"/>
            </w:r>
            <w:r w:rsidR="00093FB9">
              <w:t>13.4.3.2</w:t>
            </w:r>
            <w:r>
              <w:fldChar w:fldCharType="end"/>
            </w:r>
            <w:r>
              <w:t>.</w:t>
            </w:r>
          </w:p>
        </w:tc>
      </w:tr>
    </w:tbl>
    <w:p w:rsidR="00BB6A81" w:rsidRDefault="00BB6A81" w:rsidP="00E74761"/>
    <w:p w:rsidR="00C1066A" w:rsidRPr="00CE2A23" w:rsidRDefault="00C1066A" w:rsidP="007E462B">
      <w:pPr>
        <w:tabs>
          <w:tab w:val="left" w:pos="1021"/>
        </w:tabs>
        <w:spacing w:line="240" w:lineRule="atLeast"/>
        <w:outlineLvl w:val="4"/>
      </w:pPr>
    </w:p>
    <w:sectPr w:rsidR="00C1066A" w:rsidRPr="00CE2A23" w:rsidSect="00CF42AA">
      <w:headerReference w:type="default" r:id="rId15"/>
      <w:footerReference w:type="even" r:id="rId16"/>
      <w:footerReference w:type="default" r:id="rId17"/>
      <w:footerReference w:type="first" r:id="rId18"/>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960" w:rsidRPr="00290C63" w:rsidRDefault="00003960" w:rsidP="00290C63">
      <w:r>
        <w:separator/>
      </w:r>
    </w:p>
    <w:p w:rsidR="00003960" w:rsidRDefault="00003960"/>
  </w:endnote>
  <w:endnote w:type="continuationSeparator" w:id="0">
    <w:p w:rsidR="00003960" w:rsidRPr="00290C63" w:rsidRDefault="00003960" w:rsidP="00290C63">
      <w:r>
        <w:continuationSeparator/>
      </w:r>
    </w:p>
    <w:p w:rsidR="00003960" w:rsidRDefault="00003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960" w:rsidRPr="00290C63" w:rsidRDefault="00003960"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03960" w:rsidRDefault="00003960"/>
  <w:p w:rsidR="00003960" w:rsidRDefault="00003960"/>
  <w:p w:rsidR="00003960" w:rsidRDefault="00003960"/>
  <w:p w:rsidR="00003960" w:rsidRDefault="00003960"/>
  <w:p w:rsidR="00003960" w:rsidRDefault="00003960"/>
  <w:p w:rsidR="00003960" w:rsidRDefault="00003960"/>
  <w:p w:rsidR="00003960" w:rsidRDefault="0000396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003960" w:rsidRPr="009B6F84" w:rsidRDefault="00003960">
        <w:pPr>
          <w:pStyle w:val="Footer"/>
          <w:rPr>
            <w:sz w:val="20"/>
          </w:rPr>
        </w:pPr>
        <w:r>
          <w:fldChar w:fldCharType="begin"/>
        </w:r>
        <w:r>
          <w:instrText xml:space="preserve"> PAGE   \* MERGEFORMAT </w:instrText>
        </w:r>
        <w:r>
          <w:fldChar w:fldCharType="separate"/>
        </w:r>
        <w:r w:rsidR="00093FB9">
          <w:rPr>
            <w:noProof/>
          </w:rPr>
          <w:t>13-0</w:t>
        </w:r>
        <w:r>
          <w:rPr>
            <w:noProof/>
          </w:rPr>
          <w:fldChar w:fldCharType="end"/>
        </w:r>
        <w:r>
          <w:rPr>
            <w:noProof/>
          </w:rPr>
          <w:t xml:space="preserve">          </w:t>
        </w:r>
        <w:r>
          <w:t xml:space="preserve">Attachment 13 </w:t>
        </w:r>
        <w:r w:rsidRPr="000474DF">
          <w:t>−</w:t>
        </w:r>
        <w:r>
          <w:t xml:space="preserve"> Demand</w:t>
        </w:r>
        <w:r w:rsidRPr="009B6F84">
          <w:rPr>
            <w:rFonts w:cs="Gautami"/>
            <w:noProof/>
            <w:szCs w:val="16"/>
          </w:rPr>
          <w:t xml:space="preserve"> | </w:t>
        </w:r>
        <w:r>
          <w:t>Draft decision - AusNet Services gas access arrangement</w:t>
        </w:r>
        <w:r w:rsidRPr="00D5015C">
          <w:t xml:space="preserve"> 201</w:t>
        </w:r>
        <w:r>
          <w:t>8</w:t>
        </w:r>
        <w:r w:rsidRPr="00D5015C">
          <w:t>–</w:t>
        </w:r>
        <w:r>
          <w:t>22</w:t>
        </w:r>
      </w:p>
    </w:sdtContent>
  </w:sdt>
  <w:p w:rsidR="00003960" w:rsidRDefault="000039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960" w:rsidRPr="00290C63" w:rsidRDefault="00003960"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03960" w:rsidRDefault="00003960">
    <w:pPr>
      <w:pStyle w:val="Footer"/>
    </w:pPr>
  </w:p>
  <w:p w:rsidR="00003960" w:rsidRDefault="00003960"/>
  <w:p w:rsidR="00003960" w:rsidRDefault="00003960"/>
  <w:p w:rsidR="00003960" w:rsidRDefault="00003960"/>
  <w:p w:rsidR="00003960" w:rsidRDefault="00003960"/>
  <w:p w:rsidR="00003960" w:rsidRDefault="00003960"/>
  <w:p w:rsidR="00003960" w:rsidRDefault="00003960"/>
  <w:p w:rsidR="00003960" w:rsidRDefault="0000396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960" w:rsidRPr="00290C63" w:rsidRDefault="00003960"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03960" w:rsidRDefault="00003960"/>
  <w:p w:rsidR="00003960" w:rsidRDefault="00003960"/>
  <w:p w:rsidR="00003960" w:rsidRDefault="00003960"/>
  <w:p w:rsidR="00003960" w:rsidRDefault="00003960"/>
  <w:p w:rsidR="00003960" w:rsidRDefault="00003960"/>
  <w:p w:rsidR="00003960" w:rsidRDefault="00003960"/>
  <w:p w:rsidR="00003960" w:rsidRDefault="0000396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003960" w:rsidRPr="009B6F84" w:rsidRDefault="00003960">
        <w:pPr>
          <w:pStyle w:val="Footer"/>
          <w:rPr>
            <w:sz w:val="20"/>
          </w:rPr>
        </w:pPr>
        <w:r>
          <w:fldChar w:fldCharType="begin"/>
        </w:r>
        <w:r>
          <w:instrText xml:space="preserve"> PAGE   \* MERGEFORMAT </w:instrText>
        </w:r>
        <w:r>
          <w:fldChar w:fldCharType="separate"/>
        </w:r>
        <w:r w:rsidR="00093FB9">
          <w:rPr>
            <w:noProof/>
          </w:rPr>
          <w:t>13-15</w:t>
        </w:r>
        <w:r>
          <w:rPr>
            <w:noProof/>
          </w:rPr>
          <w:fldChar w:fldCharType="end"/>
        </w:r>
        <w:r>
          <w:rPr>
            <w:noProof/>
          </w:rPr>
          <w:t xml:space="preserve">          </w:t>
        </w:r>
        <w:r>
          <w:t xml:space="preserve">Attachment 13 </w:t>
        </w:r>
        <w:r w:rsidRPr="000474DF">
          <w:t>−</w:t>
        </w:r>
        <w:r>
          <w:t xml:space="preserve"> Demand</w:t>
        </w:r>
        <w:r w:rsidRPr="00D5015C">
          <w:t xml:space="preserve"> | </w:t>
        </w:r>
        <w:r>
          <w:t>Draft decision - AusNet Services gas access arrangement</w:t>
        </w:r>
        <w:r w:rsidRPr="00D5015C">
          <w:t xml:space="preserve"> 201</w:t>
        </w:r>
        <w:r>
          <w:t>8</w:t>
        </w:r>
        <w:r w:rsidRPr="00D5015C">
          <w:t>–</w:t>
        </w:r>
        <w:r>
          <w:t>22</w:t>
        </w:r>
      </w:p>
    </w:sdtContent>
  </w:sdt>
  <w:p w:rsidR="00003960" w:rsidRDefault="0000396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960" w:rsidRPr="00290C63" w:rsidRDefault="00003960"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03960" w:rsidRDefault="00003960">
    <w:pPr>
      <w:pStyle w:val="Footer"/>
    </w:pPr>
  </w:p>
  <w:p w:rsidR="00003960" w:rsidRDefault="00003960"/>
  <w:p w:rsidR="00003960" w:rsidRDefault="00003960"/>
  <w:p w:rsidR="00003960" w:rsidRDefault="00003960"/>
  <w:p w:rsidR="00003960" w:rsidRDefault="00003960"/>
  <w:p w:rsidR="00003960" w:rsidRDefault="00003960"/>
  <w:p w:rsidR="00003960" w:rsidRDefault="00003960"/>
  <w:p w:rsidR="00003960" w:rsidRDefault="000039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960" w:rsidRPr="00290C63" w:rsidRDefault="00003960" w:rsidP="00290C63">
      <w:r>
        <w:separator/>
      </w:r>
    </w:p>
    <w:p w:rsidR="00003960" w:rsidRDefault="00003960"/>
  </w:footnote>
  <w:footnote w:type="continuationSeparator" w:id="0">
    <w:p w:rsidR="00003960" w:rsidRPr="00290C63" w:rsidRDefault="00003960" w:rsidP="00290C63">
      <w:r>
        <w:continuationSeparator/>
      </w:r>
    </w:p>
    <w:p w:rsidR="00003960" w:rsidRDefault="00003960"/>
  </w:footnote>
  <w:footnote w:id="1">
    <w:p w:rsidR="00003960" w:rsidRDefault="00003960" w:rsidP="00A33E04">
      <w:pPr>
        <w:pStyle w:val="FootnoteText"/>
      </w:pPr>
      <w:r>
        <w:rPr>
          <w:rStyle w:val="FootnoteReference"/>
        </w:rPr>
        <w:footnoteRef/>
      </w:r>
      <w:r>
        <w:tab/>
        <w:t>Our draft decisions on  AusNet's</w:t>
      </w:r>
      <w:r w:rsidRPr="006A39A9">
        <w:t xml:space="preserve"> capex and opex are respectively set out in Attachments 6 and 7 of this draft decision</w:t>
      </w:r>
      <w:r w:rsidRPr="006A39A9">
        <w:tab/>
      </w:r>
    </w:p>
  </w:footnote>
  <w:footnote w:id="2">
    <w:p w:rsidR="00003960" w:rsidRDefault="00003960">
      <w:pPr>
        <w:pStyle w:val="FootnoteText"/>
      </w:pPr>
      <w:r>
        <w:rPr>
          <w:rStyle w:val="FootnoteReference"/>
        </w:rPr>
        <w:footnoteRef/>
      </w:r>
      <w:r>
        <w:t xml:space="preserve"> </w:t>
      </w:r>
      <w:r>
        <w:tab/>
        <w:t>Attachment 7 sets out the reasons for our draft decision on the step change.</w:t>
      </w:r>
    </w:p>
  </w:footnote>
  <w:footnote w:id="3">
    <w:p w:rsidR="00003960" w:rsidRDefault="00003960">
      <w:pPr>
        <w:pStyle w:val="FootnoteText"/>
      </w:pPr>
      <w:r>
        <w:rPr>
          <w:rStyle w:val="FootnoteReference"/>
        </w:rPr>
        <w:footnoteRef/>
      </w:r>
      <w:r>
        <w:t xml:space="preserve"> </w:t>
      </w:r>
      <w:r>
        <w:tab/>
      </w:r>
      <w:r w:rsidRPr="00F31930">
        <w:t xml:space="preserve">AusNet Services, </w:t>
      </w:r>
      <w:r w:rsidRPr="007E462B">
        <w:rPr>
          <w:rStyle w:val="AERtextitalic"/>
        </w:rPr>
        <w:t>Access Arrangement Information</w:t>
      </w:r>
      <w:r w:rsidR="0066004B" w:rsidRPr="007E462B">
        <w:rPr>
          <w:rStyle w:val="AERtextitalic"/>
        </w:rPr>
        <w:t xml:space="preserve"> 2018-22</w:t>
      </w:r>
      <w:r>
        <w:t>, 16 December 2016, p. 76</w:t>
      </w:r>
      <w:r w:rsidRPr="00F31930">
        <w:t>.</w:t>
      </w:r>
    </w:p>
  </w:footnote>
  <w:footnote w:id="4">
    <w:p w:rsidR="00A312AD" w:rsidRDefault="00A312AD">
      <w:pPr>
        <w:pStyle w:val="FootnoteText"/>
      </w:pPr>
      <w:r>
        <w:rPr>
          <w:rStyle w:val="FootnoteReference"/>
        </w:rPr>
        <w:footnoteRef/>
      </w:r>
      <w:r>
        <w:t xml:space="preserve"> </w:t>
      </w:r>
      <w:r>
        <w:tab/>
        <w:t xml:space="preserve">The Victoria in Future forecasts are an independent and publicly available data source used by the Victorian Government for projections of population: </w:t>
      </w:r>
      <w:hyperlink r:id="rId1" w:history="1">
        <w:r w:rsidRPr="00387E8B">
          <w:rPr>
            <w:rStyle w:val="Hyperlink"/>
            <w:sz w:val="16"/>
          </w:rPr>
          <w:t>https://www.planning.vic.gov.au/land-use-and-population-research/victoria-in-future-2016/victoria-in-future-data-tables</w:t>
        </w:r>
      </w:hyperlink>
      <w:r>
        <w:t xml:space="preserve">.  </w:t>
      </w:r>
    </w:p>
  </w:footnote>
  <w:footnote w:id="5">
    <w:p w:rsidR="00003960" w:rsidRDefault="00003960" w:rsidP="00A33E04">
      <w:pPr>
        <w:pStyle w:val="FootnoteText"/>
      </w:pPr>
      <w:r>
        <w:rPr>
          <w:rStyle w:val="FootnoteReference"/>
        </w:rPr>
        <w:footnoteRef/>
      </w:r>
      <w:r>
        <w:t xml:space="preserve"> </w:t>
      </w:r>
      <w:r>
        <w:tab/>
        <w:t xml:space="preserve">Tariff D and Tariff M are gas consumers who consume more than 10,000 GJ per annum or more than 10 GJ in one hour.  They are not billed on the basis of their consumption, rather on the peak demand for gas in one hour, maximum hourly quantity. The difference between Tariff M and Tariff D is in the tariffing structure. See </w:t>
      </w:r>
      <w:r w:rsidRPr="00970646">
        <w:t xml:space="preserve">AusNet Services, </w:t>
      </w:r>
      <w:r w:rsidR="0066004B" w:rsidRPr="00A8363E">
        <w:rPr>
          <w:rStyle w:val="AERtextitalic"/>
        </w:rPr>
        <w:t>Access Arrangement Information 2018-22</w:t>
      </w:r>
      <w:r w:rsidRPr="00970646">
        <w:t xml:space="preserve">, 16 December 2016, p. </w:t>
      </w:r>
      <w:r>
        <w:t>72.</w:t>
      </w:r>
    </w:p>
  </w:footnote>
  <w:footnote w:id="6">
    <w:p w:rsidR="00003960" w:rsidRDefault="00003960">
      <w:pPr>
        <w:pStyle w:val="FootnoteText"/>
      </w:pPr>
      <w:r>
        <w:rPr>
          <w:rStyle w:val="FootnoteReference"/>
        </w:rPr>
        <w:footnoteRef/>
      </w:r>
      <w:r>
        <w:t xml:space="preserve"> </w:t>
      </w:r>
      <w:r>
        <w:tab/>
      </w:r>
      <w:r w:rsidRPr="00970646">
        <w:t>Further, there is no expenditure associated with connecting new Tariff D and Tariff M customers that is not funded by the customers themselves.  Any expenditure associated with the provision of assets to enable the connection is borne by the customer, either through a customer contribution, separate charges (Tariff D) or the Haulage Reference Service charge (Tariff M)</w:t>
      </w:r>
      <w:r>
        <w:t xml:space="preserve">. See </w:t>
      </w:r>
      <w:r w:rsidRPr="00970646">
        <w:t xml:space="preserve">ACIL Allen, </w:t>
      </w:r>
      <w:r w:rsidRPr="00970646">
        <w:rPr>
          <w:rStyle w:val="Emphasis"/>
        </w:rPr>
        <w:t>Review of demand forecasts for AusNet Services</w:t>
      </w:r>
      <w:r>
        <w:t>, 14 June</w:t>
      </w:r>
      <w:r w:rsidRPr="007B7A68">
        <w:t xml:space="preserve"> </w:t>
      </w:r>
      <w:r>
        <w:t>2017, p.10</w:t>
      </w:r>
      <w:r w:rsidRPr="00970646">
        <w:t>.</w:t>
      </w:r>
    </w:p>
  </w:footnote>
  <w:footnote w:id="7">
    <w:p w:rsidR="00003960" w:rsidRDefault="00003960">
      <w:pPr>
        <w:pStyle w:val="FootnoteText"/>
      </w:pPr>
      <w:r>
        <w:rPr>
          <w:rStyle w:val="FootnoteReference"/>
        </w:rPr>
        <w:footnoteRef/>
      </w:r>
      <w:r>
        <w:t xml:space="preserve"> </w:t>
      </w:r>
      <w:r>
        <w:tab/>
      </w:r>
      <w:r w:rsidRPr="00820F21">
        <w:t xml:space="preserve">AusNet Services, </w:t>
      </w:r>
      <w:r w:rsidR="0066004B" w:rsidRPr="00A8363E">
        <w:rPr>
          <w:rStyle w:val="AERtextitalic"/>
        </w:rPr>
        <w:t>Access Arrangement Information 2018-22</w:t>
      </w:r>
      <w:r>
        <w:t>, 16 December 2016, p. 71-76</w:t>
      </w:r>
    </w:p>
  </w:footnote>
  <w:footnote w:id="8">
    <w:p w:rsidR="00003960" w:rsidRDefault="00003960">
      <w:pPr>
        <w:pStyle w:val="FootnoteText"/>
      </w:pPr>
      <w:r>
        <w:rPr>
          <w:rStyle w:val="FootnoteReference"/>
        </w:rPr>
        <w:footnoteRef/>
      </w:r>
      <w:r>
        <w:t xml:space="preserve"> </w:t>
      </w:r>
      <w:r>
        <w:tab/>
      </w:r>
      <w:r w:rsidRPr="00BE423D">
        <w:t xml:space="preserve">AusNet Services, </w:t>
      </w:r>
      <w:r w:rsidR="0066004B" w:rsidRPr="00A8363E">
        <w:rPr>
          <w:rStyle w:val="AERtextitalic"/>
        </w:rPr>
        <w:t>Access Arrangement Information 2018-22</w:t>
      </w:r>
      <w:r w:rsidRPr="00BE423D">
        <w:t>, 16 December 2016, p. 75.</w:t>
      </w:r>
    </w:p>
  </w:footnote>
  <w:footnote w:id="9">
    <w:p w:rsidR="00003960" w:rsidRDefault="00003960">
      <w:pPr>
        <w:pStyle w:val="FootnoteText"/>
      </w:pPr>
      <w:r>
        <w:rPr>
          <w:rStyle w:val="FootnoteReference"/>
        </w:rPr>
        <w:footnoteRef/>
      </w:r>
      <w:r>
        <w:t xml:space="preserve"> </w:t>
      </w:r>
      <w:r>
        <w:tab/>
        <w:t xml:space="preserve">AusNet Services, </w:t>
      </w:r>
      <w:r w:rsidR="0066004B" w:rsidRPr="00A8363E">
        <w:rPr>
          <w:rStyle w:val="AERtextitalic"/>
        </w:rPr>
        <w:t>Access Arrangement Information 2018-22</w:t>
      </w:r>
      <w:r>
        <w:t>, 16 December 2016, p. 75.</w:t>
      </w:r>
    </w:p>
  </w:footnote>
  <w:footnote w:id="10">
    <w:p w:rsidR="00003960" w:rsidRDefault="00003960" w:rsidP="005B3330">
      <w:pPr>
        <w:pStyle w:val="FootnoteText"/>
      </w:pPr>
      <w:r>
        <w:rPr>
          <w:rStyle w:val="FootnoteReference"/>
        </w:rPr>
        <w:footnoteRef/>
      </w:r>
      <w:r>
        <w:t xml:space="preserve"> </w:t>
      </w:r>
      <w:r>
        <w:tab/>
      </w:r>
      <w:r w:rsidR="0066004B">
        <w:t xml:space="preserve">AusNet Services, </w:t>
      </w:r>
      <w:r w:rsidR="0066004B" w:rsidRPr="007E462B">
        <w:rPr>
          <w:rStyle w:val="AERtextitalic"/>
        </w:rPr>
        <w:t>Appendix 7D -</w:t>
      </w:r>
      <w:r w:rsidR="0066004B">
        <w:t xml:space="preserve"> </w:t>
      </w:r>
      <w:r>
        <w:t xml:space="preserve">Axiom Economics, </w:t>
      </w:r>
      <w:r w:rsidRPr="00866B6A">
        <w:rPr>
          <w:rStyle w:val="Emphasis"/>
        </w:rPr>
        <w:t>Consistency of Victorian gas distribution businesses joint marketing campaign with rule 91 of the NGR</w:t>
      </w:r>
      <w:r>
        <w:t>, 20 December 2016, p.57.</w:t>
      </w:r>
    </w:p>
  </w:footnote>
  <w:footnote w:id="11">
    <w:p w:rsidR="00003960" w:rsidRDefault="00003960">
      <w:pPr>
        <w:pStyle w:val="FootnoteText"/>
      </w:pPr>
      <w:r>
        <w:rPr>
          <w:rStyle w:val="FootnoteReference"/>
        </w:rPr>
        <w:footnoteRef/>
      </w:r>
      <w:r>
        <w:t xml:space="preserve"> </w:t>
      </w:r>
      <w:r>
        <w:tab/>
        <w:t>Noting this forecast includes the marketing step change. The forecast without the impact of marketing is 2.08 per cent increase per annum.</w:t>
      </w:r>
    </w:p>
  </w:footnote>
  <w:footnote w:id="12">
    <w:p w:rsidR="00003960" w:rsidRDefault="00003960" w:rsidP="00A33E04">
      <w:pPr>
        <w:pStyle w:val="FootnoteText"/>
      </w:pPr>
      <w:r>
        <w:rPr>
          <w:rStyle w:val="FootnoteReference"/>
        </w:rPr>
        <w:footnoteRef/>
      </w:r>
      <w:r>
        <w:t xml:space="preserve"> </w:t>
      </w:r>
      <w:r>
        <w:tab/>
      </w:r>
      <w:r w:rsidR="0066004B">
        <w:t xml:space="preserve">AusNet Services, </w:t>
      </w:r>
      <w:r w:rsidR="0066004B" w:rsidRPr="007E462B">
        <w:rPr>
          <w:rStyle w:val="AERtextitalic"/>
        </w:rPr>
        <w:t>Appendix 4A -</w:t>
      </w:r>
      <w:r w:rsidR="0066004B">
        <w:t xml:space="preserve"> </w:t>
      </w:r>
      <w:r>
        <w:t xml:space="preserve">Centre for International Economics, </w:t>
      </w:r>
      <w:r w:rsidRPr="00371094">
        <w:rPr>
          <w:rStyle w:val="Emphasis"/>
        </w:rPr>
        <w:t>2018-22 GAAR Consumption and Customer Forecasts</w:t>
      </w:r>
      <w:r>
        <w:t>, 16 September 2016, p. 31.</w:t>
      </w:r>
    </w:p>
  </w:footnote>
  <w:footnote w:id="13">
    <w:p w:rsidR="00003960" w:rsidRDefault="00003960">
      <w:pPr>
        <w:pStyle w:val="FootnoteText"/>
      </w:pPr>
      <w:r>
        <w:rPr>
          <w:rStyle w:val="FootnoteReference"/>
        </w:rPr>
        <w:footnoteRef/>
      </w:r>
      <w:r>
        <w:t xml:space="preserve"> </w:t>
      </w:r>
      <w:r>
        <w:tab/>
        <w:t>ABS concordance (Cat 1270.055) was used to allocate customers from the LGA level down to the postcode level.</w:t>
      </w:r>
    </w:p>
  </w:footnote>
  <w:footnote w:id="14">
    <w:p w:rsidR="00003960" w:rsidRDefault="00003960" w:rsidP="00B105C4">
      <w:pPr>
        <w:pStyle w:val="FootnoteText"/>
      </w:pPr>
      <w:r>
        <w:rPr>
          <w:rStyle w:val="FootnoteReference"/>
        </w:rPr>
        <w:footnoteRef/>
      </w:r>
      <w:r>
        <w:t xml:space="preserve"> </w:t>
      </w:r>
      <w:r>
        <w:tab/>
      </w:r>
      <w:r w:rsidR="001E09B4" w:rsidRPr="001E09B4">
        <w:t>https://www.planning.vic.gov.au/land-use-and-population-research/victoria-in-future-2016/victoria-in-future-data-tables</w:t>
      </w:r>
      <w:r>
        <w:t xml:space="preserve">. </w:t>
      </w:r>
    </w:p>
  </w:footnote>
  <w:footnote w:id="15">
    <w:p w:rsidR="00003960" w:rsidRDefault="00003960">
      <w:pPr>
        <w:pStyle w:val="FootnoteText"/>
      </w:pPr>
      <w:r>
        <w:rPr>
          <w:rStyle w:val="FootnoteReference"/>
        </w:rPr>
        <w:footnoteRef/>
      </w:r>
      <w:r>
        <w:t xml:space="preserve"> </w:t>
      </w:r>
      <w:r>
        <w:tab/>
        <w:t xml:space="preserve">Defined as net number of new customer (new connection minus disconnections) divided by the net number of new occupied dwellings (new dwellings minus demolitions). See ACIL Allen, </w:t>
      </w:r>
      <w:r w:rsidRPr="00F20AF1">
        <w:rPr>
          <w:rStyle w:val="Emphasis"/>
        </w:rPr>
        <w:t>Review of demand forecasts for AusNet Services</w:t>
      </w:r>
      <w:r>
        <w:t>, 14 June</w:t>
      </w:r>
      <w:r w:rsidRPr="007B7A68">
        <w:t xml:space="preserve"> </w:t>
      </w:r>
      <w:r>
        <w:t>2017, p.8.</w:t>
      </w:r>
    </w:p>
  </w:footnote>
  <w:footnote w:id="16">
    <w:p w:rsidR="00003960" w:rsidRDefault="00003960" w:rsidP="00357BB7">
      <w:pPr>
        <w:pStyle w:val="FootnoteText"/>
      </w:pPr>
      <w:r>
        <w:rPr>
          <w:rStyle w:val="FootnoteReference"/>
        </w:rPr>
        <w:footnoteRef/>
      </w:r>
      <w:r>
        <w:t xml:space="preserve"> </w:t>
      </w:r>
      <w:r>
        <w:tab/>
      </w:r>
      <w:r w:rsidR="001E09B4">
        <w:t xml:space="preserve">AusNet Services, </w:t>
      </w:r>
      <w:r w:rsidR="001E09B4" w:rsidRPr="007E462B">
        <w:rPr>
          <w:rStyle w:val="AERtextitalic"/>
        </w:rPr>
        <w:t xml:space="preserve">Appendix 4A - </w:t>
      </w:r>
      <w:r w:rsidRPr="007E462B">
        <w:rPr>
          <w:rStyle w:val="AERtextitalic"/>
        </w:rPr>
        <w:t>Centre for International Economics,</w:t>
      </w:r>
      <w:r w:rsidRPr="00D57695">
        <w:t xml:space="preserve"> </w:t>
      </w:r>
      <w:r w:rsidRPr="005A6631">
        <w:rPr>
          <w:rStyle w:val="Emphasis"/>
        </w:rPr>
        <w:t>2018-22 GAAR Consumption and Customer Forecasts</w:t>
      </w:r>
      <w:r w:rsidRPr="00D57695">
        <w:t xml:space="preserve">, 16 September 2016, p. </w:t>
      </w:r>
      <w:r>
        <w:t>3.</w:t>
      </w:r>
    </w:p>
  </w:footnote>
  <w:footnote w:id="17">
    <w:p w:rsidR="00003960" w:rsidRDefault="00003960" w:rsidP="00357BB7">
      <w:pPr>
        <w:pStyle w:val="FootnoteText"/>
      </w:pPr>
      <w:r>
        <w:rPr>
          <w:rStyle w:val="FootnoteReference"/>
        </w:rPr>
        <w:footnoteRef/>
      </w:r>
      <w:r>
        <w:t xml:space="preserve"> </w:t>
      </w:r>
      <w:r>
        <w:tab/>
      </w:r>
      <w:r w:rsidRPr="00B74A5B">
        <w:t>This is was due to the assumption that it captures the most up-to-date consumer preference</w:t>
      </w:r>
      <w:r>
        <w:t xml:space="preserve">. See </w:t>
      </w:r>
      <w:r w:rsidR="001E09B4">
        <w:t xml:space="preserve">AusNet Services, </w:t>
      </w:r>
      <w:r w:rsidR="001E09B4" w:rsidRPr="00A8363E">
        <w:rPr>
          <w:rStyle w:val="AERtextitalic"/>
        </w:rPr>
        <w:t xml:space="preserve">Appendix 4A - </w:t>
      </w:r>
      <w:r w:rsidRPr="007E462B">
        <w:rPr>
          <w:rStyle w:val="AERtextitalic"/>
        </w:rPr>
        <w:t>Centre for International Economics, 2018-22 GAAR Consumption and Customer Forecasts</w:t>
      </w:r>
      <w:r w:rsidRPr="00061336">
        <w:t xml:space="preserve">, 16 September 2016, p. </w:t>
      </w:r>
      <w:r>
        <w:t>41.</w:t>
      </w:r>
    </w:p>
  </w:footnote>
  <w:footnote w:id="18">
    <w:p w:rsidR="00003960" w:rsidRDefault="00003960" w:rsidP="00A33E04">
      <w:pPr>
        <w:pStyle w:val="FootnoteText"/>
      </w:pPr>
      <w:r>
        <w:rPr>
          <w:rStyle w:val="FootnoteReference"/>
        </w:rPr>
        <w:footnoteRef/>
      </w:r>
      <w:r>
        <w:t xml:space="preserve"> </w:t>
      </w:r>
      <w:r>
        <w:tab/>
        <w:t xml:space="preserve">Energy for Regions Program is a Victorian Government program, which is aimed at supplying reticulated natural gas to communities across regional and rural Victoria. AusNet Services is expanding its network to three regional areas that do not currently have gas, being the townships of Winchelsea, Bannockburn and Avoca. See AusNet Services, </w:t>
      </w:r>
      <w:r w:rsidRPr="000A0735">
        <w:rPr>
          <w:rStyle w:val="Emphasis"/>
        </w:rPr>
        <w:t>Access Arrangement Information 2018–22</w:t>
      </w:r>
      <w:r>
        <w:t>, 21 December 2016, p.55.</w:t>
      </w:r>
    </w:p>
  </w:footnote>
  <w:footnote w:id="19">
    <w:p w:rsidR="00003960" w:rsidRDefault="00003960" w:rsidP="00A33E04">
      <w:pPr>
        <w:pStyle w:val="FootnoteText"/>
      </w:pPr>
      <w:r>
        <w:rPr>
          <w:rStyle w:val="FootnoteReference"/>
        </w:rPr>
        <w:footnoteRef/>
      </w:r>
      <w:r>
        <w:t xml:space="preserve"> </w:t>
      </w:r>
      <w:r>
        <w:tab/>
        <w:t>This is due to the fact that there are no historical data (zero customer connections) to predict the penetration rate going forward.</w:t>
      </w:r>
    </w:p>
  </w:footnote>
  <w:footnote w:id="20">
    <w:p w:rsidR="00003960" w:rsidRDefault="00003960" w:rsidP="004934B7">
      <w:pPr>
        <w:pStyle w:val="FootnoteText"/>
      </w:pPr>
      <w:r>
        <w:rPr>
          <w:rStyle w:val="FootnoteReference"/>
        </w:rPr>
        <w:footnoteRef/>
      </w:r>
      <w:r>
        <w:t xml:space="preserve"> </w:t>
      </w:r>
      <w:r>
        <w:tab/>
        <w:t xml:space="preserve">CIE has established a relationship between residential and commercial customers. The coefficient of determination was 0.56, which was deemed higher than other alternative drivers, particularly population growth. </w:t>
      </w:r>
      <w:r w:rsidR="001E09B4">
        <w:t xml:space="preserve">AusNet Services, </w:t>
      </w:r>
      <w:r w:rsidR="001E09B4" w:rsidRPr="00A8363E">
        <w:rPr>
          <w:rStyle w:val="AERtextitalic"/>
        </w:rPr>
        <w:t xml:space="preserve">Appendix 4A - </w:t>
      </w:r>
      <w:r w:rsidRPr="007E462B">
        <w:rPr>
          <w:rStyle w:val="AERtextitalic"/>
        </w:rPr>
        <w:t>Centre for International Economics,</w:t>
      </w:r>
      <w:r>
        <w:t xml:space="preserve"> </w:t>
      </w:r>
      <w:r w:rsidRPr="00371094">
        <w:rPr>
          <w:rStyle w:val="Emphasis"/>
        </w:rPr>
        <w:t>2018-22 GAAR Consumption and Customer Forecasts</w:t>
      </w:r>
      <w:r>
        <w:t>, 16 September 2016, p. 71.</w:t>
      </w:r>
    </w:p>
  </w:footnote>
  <w:footnote w:id="21">
    <w:p w:rsidR="00003960" w:rsidRDefault="00003960" w:rsidP="00A33E04">
      <w:pPr>
        <w:pStyle w:val="FootnoteText"/>
      </w:pPr>
      <w:r>
        <w:rPr>
          <w:rStyle w:val="FootnoteReference"/>
        </w:rPr>
        <w:footnoteRef/>
      </w:r>
      <w:r>
        <w:t xml:space="preserve"> </w:t>
      </w:r>
      <w:r>
        <w:tab/>
      </w:r>
      <w:r w:rsidR="001E09B4">
        <w:t xml:space="preserve">AusNet Services, </w:t>
      </w:r>
      <w:r w:rsidR="001E09B4" w:rsidRPr="00A8363E">
        <w:rPr>
          <w:rStyle w:val="AERtextitalic"/>
        </w:rPr>
        <w:t xml:space="preserve">Appendix 4A - </w:t>
      </w:r>
      <w:r w:rsidRPr="007E462B">
        <w:rPr>
          <w:rStyle w:val="AERtextitalic"/>
        </w:rPr>
        <w:t>Centre for International Economics, 2018-22 GAAR Consumption and Customer Forecasts</w:t>
      </w:r>
      <w:r w:rsidRPr="009E6F51">
        <w:t>, 16 September 2016, p. 3.</w:t>
      </w:r>
    </w:p>
  </w:footnote>
  <w:footnote w:id="22">
    <w:p w:rsidR="00003960" w:rsidRDefault="00003960" w:rsidP="00A33E04">
      <w:pPr>
        <w:pStyle w:val="FootnoteText"/>
      </w:pPr>
      <w:r>
        <w:rPr>
          <w:rStyle w:val="FootnoteReference"/>
        </w:rPr>
        <w:footnoteRef/>
      </w:r>
      <w:r>
        <w:t xml:space="preserve"> </w:t>
      </w:r>
      <w:r>
        <w:tab/>
      </w:r>
      <w:r w:rsidRPr="001E333C">
        <w:t>Effective Degree Day Index is an index previously developed to capture the combined impact of temperature, wind and sunshine on gas consumption. It attempts to take into account the weather-related parameters that may affect consumer behaviour in relation to gas consumption. Higher EDD corresponds to colder temperature and higher demand per connection, as more gas is required for heating.</w:t>
      </w:r>
    </w:p>
  </w:footnote>
  <w:footnote w:id="23">
    <w:p w:rsidR="00003960" w:rsidRDefault="00003960" w:rsidP="00A33E04">
      <w:pPr>
        <w:pStyle w:val="FootnoteText"/>
      </w:pPr>
      <w:r>
        <w:rPr>
          <w:rStyle w:val="FootnoteReference"/>
        </w:rPr>
        <w:footnoteRef/>
      </w:r>
      <w:r>
        <w:t xml:space="preserve"> </w:t>
      </w:r>
      <w:r>
        <w:tab/>
        <w:t xml:space="preserve">Type of dwelling distinguishes between flats and free standing houses. </w:t>
      </w:r>
    </w:p>
  </w:footnote>
  <w:footnote w:id="24">
    <w:p w:rsidR="00003960" w:rsidRDefault="00003960" w:rsidP="004D40D5">
      <w:pPr>
        <w:pStyle w:val="FootnoteText"/>
      </w:pPr>
      <w:r>
        <w:rPr>
          <w:rStyle w:val="FootnoteReference"/>
        </w:rPr>
        <w:footnoteRef/>
      </w:r>
      <w:r>
        <w:t xml:space="preserve"> </w:t>
      </w:r>
      <w:r>
        <w:tab/>
      </w:r>
      <w:r w:rsidR="001E09B4">
        <w:t xml:space="preserve">AusNet Services, </w:t>
      </w:r>
      <w:r w:rsidR="001E09B4" w:rsidRPr="00A8363E">
        <w:rPr>
          <w:rStyle w:val="AERtextitalic"/>
        </w:rPr>
        <w:t xml:space="preserve">Appendix 4A - </w:t>
      </w:r>
      <w:r w:rsidRPr="007E462B">
        <w:rPr>
          <w:rStyle w:val="AERtextitalic"/>
        </w:rPr>
        <w:t>Centre for International Economics, 2018-22 GAAR Consumption and Customer Forecasts</w:t>
      </w:r>
      <w:r w:rsidRPr="00D57CB9">
        <w:t xml:space="preserve">, 16 September 2016, p. </w:t>
      </w:r>
      <w:r>
        <w:t>58</w:t>
      </w:r>
    </w:p>
  </w:footnote>
  <w:footnote w:id="25">
    <w:p w:rsidR="00003960" w:rsidRDefault="00003960">
      <w:pPr>
        <w:pStyle w:val="FootnoteText"/>
      </w:pPr>
      <w:r>
        <w:rPr>
          <w:rStyle w:val="FootnoteReference"/>
        </w:rPr>
        <w:footnoteRef/>
      </w:r>
      <w:r>
        <w:t xml:space="preserve"> </w:t>
      </w:r>
      <w:r>
        <w:tab/>
        <w:t xml:space="preserve">CIE prepared two separate forecasts - one with no post-modelling adjustment and one with a post-modelling adjustment. The post-modelling adjustment forecast was intended to demonstrate the forecast which is in line with the expectation that appliance switching would accelerate in the 2018-22 period, relative to the historic trend. See AusNet Services, </w:t>
      </w:r>
      <w:r w:rsidRPr="002F369A">
        <w:rPr>
          <w:rStyle w:val="Emphasis"/>
        </w:rPr>
        <w:t>Information request response #10</w:t>
      </w:r>
      <w:r>
        <w:t xml:space="preserve">, </w:t>
      </w:r>
      <w:r w:rsidR="001E09B4">
        <w:t>6</w:t>
      </w:r>
      <w:r>
        <w:t xml:space="preserve"> March 2017, p.2-3</w:t>
      </w:r>
      <w:r w:rsidDel="00F41236">
        <w:t xml:space="preserve"> </w:t>
      </w:r>
    </w:p>
  </w:footnote>
  <w:footnote w:id="26">
    <w:p w:rsidR="00003960" w:rsidRDefault="00003960" w:rsidP="00A33E04">
      <w:pPr>
        <w:pStyle w:val="FootnoteText"/>
      </w:pPr>
      <w:r>
        <w:rPr>
          <w:rStyle w:val="FootnoteReference"/>
        </w:rPr>
        <w:footnoteRef/>
      </w:r>
      <w:r>
        <w:t xml:space="preserve"> </w:t>
      </w:r>
      <w:r>
        <w:tab/>
      </w:r>
      <w:r w:rsidR="001E09B4">
        <w:t xml:space="preserve">AusNet Services, </w:t>
      </w:r>
      <w:r w:rsidR="001E09B4" w:rsidRPr="00A8363E">
        <w:rPr>
          <w:rStyle w:val="AERtextitalic"/>
        </w:rPr>
        <w:t xml:space="preserve">Appendix 4A - </w:t>
      </w:r>
      <w:r w:rsidRPr="007E462B">
        <w:rPr>
          <w:rStyle w:val="AERtextitalic"/>
        </w:rPr>
        <w:t>Centre for International Economics, 2018-22 GAAR Consumption and Customer Forecasts</w:t>
      </w:r>
      <w:r w:rsidRPr="005E2874">
        <w:t xml:space="preserve">, 16 September 2016, p. </w:t>
      </w:r>
      <w:r>
        <w:t>92</w:t>
      </w:r>
    </w:p>
  </w:footnote>
  <w:footnote w:id="27">
    <w:p w:rsidR="00003960" w:rsidRDefault="00003960" w:rsidP="00A33E04">
      <w:pPr>
        <w:pStyle w:val="FootnoteText"/>
      </w:pPr>
      <w:r>
        <w:rPr>
          <w:rStyle w:val="FootnoteReference"/>
        </w:rPr>
        <w:footnoteRef/>
      </w:r>
      <w:r>
        <w:t xml:space="preserve"> </w:t>
      </w:r>
      <w:r>
        <w:tab/>
      </w:r>
      <w:r w:rsidRPr="00CF64CC">
        <w:t>NGR, r. 72(1)(a)(iii).</w:t>
      </w:r>
    </w:p>
  </w:footnote>
  <w:footnote w:id="28">
    <w:p w:rsidR="00003960" w:rsidRDefault="00003960" w:rsidP="00A33E04">
      <w:pPr>
        <w:pStyle w:val="FootnoteText"/>
      </w:pPr>
      <w:r>
        <w:rPr>
          <w:rStyle w:val="FootnoteReference"/>
        </w:rPr>
        <w:footnoteRef/>
      </w:r>
      <w:r>
        <w:t xml:space="preserve"> </w:t>
      </w:r>
      <w:r>
        <w:tab/>
      </w:r>
      <w:r w:rsidRPr="00CF64CC">
        <w:t>NGR, r. 72(1)(d).</w:t>
      </w:r>
    </w:p>
  </w:footnote>
  <w:footnote w:id="29">
    <w:p w:rsidR="00003960" w:rsidRDefault="00003960" w:rsidP="00A33E04">
      <w:pPr>
        <w:pStyle w:val="FootnoteText"/>
      </w:pPr>
      <w:r>
        <w:rPr>
          <w:rStyle w:val="FootnoteReference"/>
        </w:rPr>
        <w:footnoteRef/>
      </w:r>
      <w:r>
        <w:t xml:space="preserve"> </w:t>
      </w:r>
      <w:r>
        <w:tab/>
      </w:r>
      <w:r w:rsidRPr="00CF64CC">
        <w:t>NGR, r. 74(2).</w:t>
      </w:r>
    </w:p>
  </w:footnote>
  <w:footnote w:id="30">
    <w:p w:rsidR="00003960" w:rsidRDefault="00003960" w:rsidP="00A33E04">
      <w:pPr>
        <w:pStyle w:val="FootnoteText"/>
      </w:pPr>
      <w:r>
        <w:rPr>
          <w:rStyle w:val="FootnoteReference"/>
        </w:rPr>
        <w:footnoteRef/>
      </w:r>
      <w:r>
        <w:t xml:space="preserve"> </w:t>
      </w:r>
      <w:r>
        <w:tab/>
      </w:r>
      <w:r w:rsidRPr="00CF64CC">
        <w:t>NGR, r. 74(2).</w:t>
      </w:r>
    </w:p>
  </w:footnote>
  <w:footnote w:id="31">
    <w:p w:rsidR="00003960" w:rsidRDefault="00003960">
      <w:pPr>
        <w:pStyle w:val="FootnoteText"/>
      </w:pPr>
      <w:r>
        <w:rPr>
          <w:rStyle w:val="FootnoteReference"/>
        </w:rPr>
        <w:footnoteRef/>
      </w:r>
      <w:r>
        <w:t xml:space="preserve"> </w:t>
      </w:r>
      <w:r>
        <w:tab/>
        <w:t xml:space="preserve">AusNet Services, </w:t>
      </w:r>
      <w:r w:rsidRPr="00414EE8">
        <w:rPr>
          <w:rStyle w:val="Emphasis"/>
        </w:rPr>
        <w:t>GAAR 2018-22 Regulatory templates</w:t>
      </w:r>
      <w:r>
        <w:t xml:space="preserve">, </w:t>
      </w:r>
      <w:r w:rsidR="001E09B4">
        <w:t xml:space="preserve">16 </w:t>
      </w:r>
      <w:r>
        <w:t>December 2016</w:t>
      </w:r>
    </w:p>
  </w:footnote>
  <w:footnote w:id="32">
    <w:p w:rsidR="00003960" w:rsidRDefault="00003960" w:rsidP="009C3810">
      <w:pPr>
        <w:pStyle w:val="FootnoteText"/>
      </w:pPr>
      <w:r>
        <w:rPr>
          <w:rStyle w:val="FootnoteReference"/>
        </w:rPr>
        <w:footnoteRef/>
      </w:r>
      <w:r>
        <w:t xml:space="preserve"> </w:t>
      </w:r>
      <w:r>
        <w:tab/>
      </w:r>
      <w:r w:rsidRPr="00A6185B">
        <w:t xml:space="preserve">ACIL Allen, </w:t>
      </w:r>
      <w:r w:rsidRPr="00937064">
        <w:rPr>
          <w:rStyle w:val="Emphasis"/>
        </w:rPr>
        <w:t>Review of demand forecasts for AusNet Services</w:t>
      </w:r>
      <w:r w:rsidRPr="00A6185B">
        <w:t xml:space="preserve">, </w:t>
      </w:r>
      <w:r>
        <w:t>14 June 2017</w:t>
      </w:r>
      <w:r w:rsidRPr="00A6185B">
        <w:t>, p</w:t>
      </w:r>
      <w:r>
        <w:t>.A-2.</w:t>
      </w:r>
    </w:p>
    <w:p w:rsidR="00003960" w:rsidRDefault="00003960">
      <w:pPr>
        <w:pStyle w:val="FootnoteText"/>
      </w:pPr>
    </w:p>
  </w:footnote>
  <w:footnote w:id="33">
    <w:p w:rsidR="00003960" w:rsidRDefault="00003960" w:rsidP="00A33E04">
      <w:pPr>
        <w:pStyle w:val="FootnoteText"/>
      </w:pPr>
      <w:r>
        <w:rPr>
          <w:rStyle w:val="FootnoteReference"/>
        </w:rPr>
        <w:footnoteRef/>
      </w:r>
      <w:r>
        <w:t xml:space="preserve">  </w:t>
      </w:r>
      <w:r>
        <w:tab/>
        <w:t>ACIL Allen ha</w:t>
      </w:r>
      <w:r w:rsidR="001E09B4">
        <w:t>s</w:t>
      </w:r>
      <w:r>
        <w:t xml:space="preserve"> identified four methodological issues, namely, absence of dynamic in estimation, presence of endogenous variables among explanatory variables, non-</w:t>
      </w:r>
      <w:proofErr w:type="spellStart"/>
      <w:r>
        <w:t>linearities</w:t>
      </w:r>
      <w:proofErr w:type="spellEnd"/>
      <w:r>
        <w:t xml:space="preserve"> in demand and omitted variable bias. See ACIL Allen, </w:t>
      </w:r>
      <w:r w:rsidRPr="00F20AF1">
        <w:rPr>
          <w:rStyle w:val="Emphasis"/>
        </w:rPr>
        <w:t>Review of demand forecasts for AusNet Services</w:t>
      </w:r>
      <w:r>
        <w:t>, 14 June 2017, pp. 14-16.</w:t>
      </w:r>
    </w:p>
  </w:footnote>
  <w:footnote w:id="34">
    <w:p w:rsidR="00003960" w:rsidRDefault="00003960" w:rsidP="00A33E04">
      <w:pPr>
        <w:pStyle w:val="FootnoteText"/>
      </w:pPr>
      <w:r>
        <w:rPr>
          <w:rStyle w:val="FootnoteReference"/>
        </w:rPr>
        <w:footnoteRef/>
      </w:r>
      <w:r>
        <w:t xml:space="preserve"> </w:t>
      </w:r>
      <w:r>
        <w:tab/>
      </w:r>
      <w:r w:rsidRPr="00DA0FA0">
        <w:t>NGR, r. 72(1)(a)(iii)(A).</w:t>
      </w:r>
    </w:p>
  </w:footnote>
  <w:footnote w:id="35">
    <w:p w:rsidR="00003960" w:rsidRPr="000A0735" w:rsidRDefault="00003960" w:rsidP="00A33E04">
      <w:pPr>
        <w:pStyle w:val="FootnoteText"/>
        <w:rPr>
          <w:rStyle w:val="Emphasis"/>
        </w:rPr>
      </w:pPr>
      <w:r>
        <w:rPr>
          <w:rStyle w:val="FootnoteReference"/>
        </w:rPr>
        <w:footnoteRef/>
      </w:r>
      <w:r>
        <w:t xml:space="preserve"> </w:t>
      </w:r>
      <w:r>
        <w:tab/>
        <w:t xml:space="preserve">AusNet Services, </w:t>
      </w:r>
      <w:r w:rsidRPr="000A0735">
        <w:rPr>
          <w:rStyle w:val="Emphasis"/>
        </w:rPr>
        <w:t>Access Arrangement Information 2018–22</w:t>
      </w:r>
      <w:r>
        <w:t xml:space="preserve">, 21 December 2016, pp. 33-36 and AusNet Services, </w:t>
      </w:r>
      <w:r w:rsidRPr="00414EE8">
        <w:rPr>
          <w:rStyle w:val="Emphasis"/>
        </w:rPr>
        <w:t>GAAR 2018-22 Regulatory templates</w:t>
      </w:r>
      <w:r>
        <w:t xml:space="preserve">, </w:t>
      </w:r>
      <w:r w:rsidR="001E09B4">
        <w:t xml:space="preserve">16 </w:t>
      </w:r>
      <w:r>
        <w:t>December 2016.</w:t>
      </w:r>
    </w:p>
  </w:footnote>
  <w:footnote w:id="36">
    <w:p w:rsidR="00003960" w:rsidRDefault="00003960">
      <w:pPr>
        <w:pStyle w:val="FootnoteText"/>
      </w:pPr>
      <w:r>
        <w:rPr>
          <w:rStyle w:val="FootnoteReference"/>
        </w:rPr>
        <w:footnoteRef/>
      </w:r>
      <w:r>
        <w:t xml:space="preserve"> </w:t>
      </w:r>
      <w:r>
        <w:tab/>
        <w:t>NGR, r. 72(1)(d).</w:t>
      </w:r>
    </w:p>
  </w:footnote>
  <w:footnote w:id="37">
    <w:p w:rsidR="00003960" w:rsidRDefault="00003960" w:rsidP="00A33E04">
      <w:pPr>
        <w:pStyle w:val="FootnoteText"/>
      </w:pPr>
      <w:r>
        <w:rPr>
          <w:rStyle w:val="FootnoteReference"/>
        </w:rPr>
        <w:footnoteRef/>
      </w:r>
      <w:r>
        <w:t xml:space="preserve"> </w:t>
      </w:r>
      <w:r>
        <w:tab/>
      </w:r>
      <w:r w:rsidR="001E09B4">
        <w:t xml:space="preserve">AusNet Services, </w:t>
      </w:r>
      <w:r w:rsidR="001E09B4" w:rsidRPr="00A8363E">
        <w:rPr>
          <w:rStyle w:val="AERtextitalic"/>
        </w:rPr>
        <w:t xml:space="preserve">Appendix 4A </w:t>
      </w:r>
      <w:r w:rsidR="001E09B4" w:rsidRPr="001E09B4">
        <w:rPr>
          <w:rStyle w:val="AERtextitalic"/>
        </w:rPr>
        <w:t xml:space="preserve">- </w:t>
      </w:r>
      <w:r w:rsidRPr="007E462B">
        <w:rPr>
          <w:rStyle w:val="AERtextitalic"/>
        </w:rPr>
        <w:t xml:space="preserve">Centre for International Economics, </w:t>
      </w:r>
      <w:r w:rsidRPr="00851C09">
        <w:rPr>
          <w:rStyle w:val="Emphasis"/>
        </w:rPr>
        <w:t>2018-22 GAAR Consumption and Customer Forecasts</w:t>
      </w:r>
      <w:r>
        <w:t>, 16 September 2016, p. 115-117</w:t>
      </w:r>
    </w:p>
  </w:footnote>
  <w:footnote w:id="38">
    <w:p w:rsidR="00003960" w:rsidRDefault="00003960">
      <w:pPr>
        <w:pStyle w:val="FootnoteText"/>
      </w:pPr>
      <w:r>
        <w:rPr>
          <w:rStyle w:val="FootnoteReference"/>
        </w:rPr>
        <w:footnoteRef/>
      </w:r>
      <w:r>
        <w:t xml:space="preserve"> </w:t>
      </w:r>
      <w:r>
        <w:tab/>
      </w:r>
      <w:r w:rsidRPr="00A6185B">
        <w:t xml:space="preserve">ACIL Allen, </w:t>
      </w:r>
      <w:r w:rsidRPr="00937064">
        <w:rPr>
          <w:rStyle w:val="Emphasis"/>
        </w:rPr>
        <w:t>Review of demand forecasts for AusNet Services</w:t>
      </w:r>
      <w:r w:rsidRPr="00A6185B">
        <w:t>, 23 May 2017, p</w:t>
      </w:r>
      <w:r>
        <w:t>.4.</w:t>
      </w:r>
    </w:p>
  </w:footnote>
  <w:footnote w:id="39">
    <w:p w:rsidR="00003960" w:rsidRDefault="00003960" w:rsidP="00A33E04">
      <w:pPr>
        <w:pStyle w:val="FootnoteText"/>
      </w:pPr>
      <w:r>
        <w:rPr>
          <w:rStyle w:val="FootnoteReference"/>
        </w:rPr>
        <w:footnoteRef/>
      </w:r>
      <w:r>
        <w:t xml:space="preserve"> </w:t>
      </w:r>
      <w:r>
        <w:tab/>
        <w:t xml:space="preserve">AEMO, </w:t>
      </w:r>
      <w:r w:rsidRPr="0070707F">
        <w:rPr>
          <w:rStyle w:val="Emphasis"/>
        </w:rPr>
        <w:t>Forecasting Methodology Information Paper</w:t>
      </w:r>
      <w:r>
        <w:t xml:space="preserve"> - </w:t>
      </w:r>
      <w:r w:rsidRPr="0070707F">
        <w:rPr>
          <w:rStyle w:val="Emphasis"/>
        </w:rPr>
        <w:t>National Gas Forecasting Report</w:t>
      </w:r>
      <w:r>
        <w:t>, February 2017, p.53</w:t>
      </w:r>
    </w:p>
  </w:footnote>
  <w:footnote w:id="40">
    <w:p w:rsidR="00003960" w:rsidRDefault="00003960" w:rsidP="00D0712F">
      <w:pPr>
        <w:pStyle w:val="FootnoteText"/>
      </w:pPr>
      <w:r>
        <w:rPr>
          <w:rStyle w:val="FootnoteReference"/>
        </w:rPr>
        <w:footnoteRef/>
      </w:r>
      <w:r>
        <w:t xml:space="preserve"> </w:t>
      </w:r>
      <w:r>
        <w:tab/>
      </w:r>
      <w:r w:rsidR="001E09B4">
        <w:t xml:space="preserve">AusNet Services, </w:t>
      </w:r>
      <w:r w:rsidR="001E09B4" w:rsidRPr="00A8363E">
        <w:rPr>
          <w:rStyle w:val="AERtextitalic"/>
        </w:rPr>
        <w:t xml:space="preserve">Appendix 4A - </w:t>
      </w:r>
      <w:r w:rsidRPr="007E462B">
        <w:rPr>
          <w:rStyle w:val="AERtextitalic"/>
        </w:rPr>
        <w:t>Centre for International Economics,</w:t>
      </w:r>
      <w:r w:rsidRPr="00ED6DDC">
        <w:t xml:space="preserve"> </w:t>
      </w:r>
      <w:r w:rsidRPr="00851C09">
        <w:rPr>
          <w:rStyle w:val="Emphasis"/>
        </w:rPr>
        <w:t>2018-22 GAAR Consumption and Customer Forecasts</w:t>
      </w:r>
      <w:r>
        <w:t xml:space="preserve">, 16 September 2016, p. 55-6; </w:t>
      </w:r>
      <w:r w:rsidRPr="007B7A68">
        <w:t xml:space="preserve">ACIL Allen, </w:t>
      </w:r>
      <w:r w:rsidRPr="00851C09">
        <w:rPr>
          <w:rStyle w:val="Emphasis"/>
        </w:rPr>
        <w:t>Review of demand forecasts for AusNet Services</w:t>
      </w:r>
      <w:r w:rsidRPr="007B7A68">
        <w:t>, 23 May 2017, p</w:t>
      </w:r>
      <w:r>
        <w:t>.13.</w:t>
      </w:r>
    </w:p>
  </w:footnote>
  <w:footnote w:id="41">
    <w:p w:rsidR="00003960" w:rsidRDefault="00003960">
      <w:pPr>
        <w:pStyle w:val="FootnoteText"/>
      </w:pPr>
      <w:r>
        <w:rPr>
          <w:rStyle w:val="FootnoteReference"/>
        </w:rPr>
        <w:footnoteRef/>
      </w:r>
      <w:r>
        <w:t xml:space="preserve"> </w:t>
      </w:r>
      <w:r>
        <w:tab/>
      </w:r>
      <w:r w:rsidRPr="007B7A68">
        <w:t xml:space="preserve">ACIL Allen, </w:t>
      </w:r>
      <w:r w:rsidRPr="00851C09">
        <w:rPr>
          <w:rStyle w:val="Emphasis"/>
        </w:rPr>
        <w:t>Review of demand forecasts for AusNet Services</w:t>
      </w:r>
      <w:r w:rsidRPr="007B7A68">
        <w:t xml:space="preserve">, </w:t>
      </w:r>
      <w:r>
        <w:t>14 June</w:t>
      </w:r>
      <w:r w:rsidRPr="007B7A68">
        <w:t xml:space="preserve"> 2017, p</w:t>
      </w:r>
      <w:r>
        <w:t>.13</w:t>
      </w:r>
    </w:p>
  </w:footnote>
  <w:footnote w:id="42">
    <w:p w:rsidR="00003960" w:rsidRDefault="00003960" w:rsidP="00771128">
      <w:pPr>
        <w:pStyle w:val="FootnoteText"/>
      </w:pPr>
      <w:r>
        <w:rPr>
          <w:rStyle w:val="FootnoteReference"/>
        </w:rPr>
        <w:footnoteRef/>
      </w:r>
      <w:r>
        <w:t xml:space="preserve"> </w:t>
      </w:r>
      <w:r>
        <w:tab/>
      </w:r>
      <w:r w:rsidRPr="007B7A68">
        <w:t xml:space="preserve">ACIL Allen, </w:t>
      </w:r>
      <w:r w:rsidRPr="00851C09">
        <w:rPr>
          <w:rStyle w:val="Emphasis"/>
        </w:rPr>
        <w:t>Review of demand forecasts for AusNet Services</w:t>
      </w:r>
      <w:r w:rsidRPr="007B7A68">
        <w:t xml:space="preserve">, </w:t>
      </w:r>
      <w:r>
        <w:t>14 June</w:t>
      </w:r>
      <w:r w:rsidRPr="007B7A68">
        <w:t xml:space="preserve"> 2017, p</w:t>
      </w:r>
      <w:r>
        <w:t>.14.</w:t>
      </w:r>
    </w:p>
  </w:footnote>
  <w:footnote w:id="43">
    <w:p w:rsidR="00003960" w:rsidRDefault="00003960" w:rsidP="00A33E04">
      <w:pPr>
        <w:pStyle w:val="FootnoteText"/>
      </w:pPr>
      <w:r>
        <w:rPr>
          <w:rStyle w:val="FootnoteReference"/>
        </w:rPr>
        <w:footnoteRef/>
      </w:r>
      <w:r>
        <w:t xml:space="preserve"> </w:t>
      </w:r>
      <w:r>
        <w:tab/>
      </w:r>
      <w:r w:rsidRPr="007B7A68">
        <w:t xml:space="preserve">ACIL Allen, </w:t>
      </w:r>
      <w:r w:rsidRPr="00851C09">
        <w:rPr>
          <w:rStyle w:val="Emphasis"/>
        </w:rPr>
        <w:t>Review of demand forecasts for AusNet Services</w:t>
      </w:r>
      <w:r w:rsidRPr="007B7A68">
        <w:t xml:space="preserve">, </w:t>
      </w:r>
      <w:r>
        <w:t>14 June</w:t>
      </w:r>
      <w:r w:rsidRPr="007B7A68">
        <w:t xml:space="preserve"> 2017, pp. </w:t>
      </w:r>
      <w:r>
        <w:t>4</w:t>
      </w:r>
    </w:p>
  </w:footnote>
  <w:footnote w:id="44">
    <w:p w:rsidR="00003960" w:rsidRDefault="00003960" w:rsidP="001076FF">
      <w:pPr>
        <w:pStyle w:val="FootnoteText"/>
      </w:pPr>
      <w:r>
        <w:rPr>
          <w:rStyle w:val="FootnoteReference"/>
        </w:rPr>
        <w:footnoteRef/>
      </w:r>
      <w:r>
        <w:t xml:space="preserve"> </w:t>
      </w:r>
      <w:r>
        <w:tab/>
      </w:r>
      <w:r w:rsidRPr="00F31930">
        <w:t xml:space="preserve">AusNet Services, </w:t>
      </w:r>
      <w:r w:rsidR="0066004B" w:rsidRPr="00A8363E">
        <w:rPr>
          <w:rStyle w:val="AERtextitalic"/>
        </w:rPr>
        <w:t>Access Arrangement Information 2018-22</w:t>
      </w:r>
      <w:r>
        <w:t>, 16 December 2016, p. 76</w:t>
      </w:r>
      <w:r w:rsidRPr="00F31930">
        <w:t>.</w:t>
      </w:r>
    </w:p>
  </w:footnote>
  <w:footnote w:id="45">
    <w:p w:rsidR="00003960" w:rsidRDefault="00003960" w:rsidP="00A33E04">
      <w:pPr>
        <w:pStyle w:val="FootnoteText"/>
      </w:pPr>
      <w:r>
        <w:rPr>
          <w:rStyle w:val="FootnoteReference"/>
        </w:rPr>
        <w:footnoteRef/>
      </w:r>
      <w:r>
        <w:t xml:space="preserve"> </w:t>
      </w:r>
      <w:r>
        <w:tab/>
        <w:t>Penetration rate were derived using actual customer numbers that occupied new dwellings in AusNet's service region.</w:t>
      </w:r>
    </w:p>
  </w:footnote>
  <w:footnote w:id="46">
    <w:p w:rsidR="00003960" w:rsidRDefault="00003960" w:rsidP="00A33E04">
      <w:pPr>
        <w:pStyle w:val="FootnoteText"/>
      </w:pPr>
      <w:r>
        <w:rPr>
          <w:rStyle w:val="FootnoteReference"/>
        </w:rPr>
        <w:footnoteRef/>
      </w:r>
      <w:r>
        <w:t xml:space="preserve"> </w:t>
      </w:r>
      <w:r>
        <w:tab/>
        <w:t>Consumer Challenge Panel</w:t>
      </w:r>
      <w:r w:rsidR="001E09B4">
        <w:t xml:space="preserve"> (CCP11)</w:t>
      </w:r>
      <w:r>
        <w:t xml:space="preserve">, </w:t>
      </w:r>
      <w:r w:rsidRPr="002F369A">
        <w:rPr>
          <w:rStyle w:val="Emphasis"/>
        </w:rPr>
        <w:t>Response to proposals from AGN, AusNet and Multinet for the 2018-22 access arrangement,</w:t>
      </w:r>
      <w:r>
        <w:t xml:space="preserve"> 3 March 2017, pp.39-40</w:t>
      </w:r>
    </w:p>
  </w:footnote>
  <w:footnote w:id="47">
    <w:p w:rsidR="00003960" w:rsidRDefault="00003960" w:rsidP="00A33E04">
      <w:pPr>
        <w:pStyle w:val="FootnoteText"/>
      </w:pPr>
      <w:r>
        <w:rPr>
          <w:rStyle w:val="FootnoteReference"/>
        </w:rPr>
        <w:footnoteRef/>
      </w:r>
      <w:r>
        <w:t xml:space="preserve"> </w:t>
      </w:r>
      <w:r>
        <w:tab/>
        <w:t xml:space="preserve">AusNet Services, </w:t>
      </w:r>
      <w:r w:rsidRPr="002F369A">
        <w:rPr>
          <w:rStyle w:val="Emphasis"/>
        </w:rPr>
        <w:t>Information request response #10</w:t>
      </w:r>
      <w:r>
        <w:t xml:space="preserve">,  </w:t>
      </w:r>
      <w:r w:rsidR="001E09B4">
        <w:t>6</w:t>
      </w:r>
      <w:r>
        <w:t xml:space="preserve"> March 2017, p.2-3</w:t>
      </w:r>
    </w:p>
  </w:footnote>
  <w:footnote w:id="48">
    <w:p w:rsidR="00003960" w:rsidRDefault="00003960" w:rsidP="00A33E04">
      <w:pPr>
        <w:pStyle w:val="FootnoteText"/>
      </w:pPr>
      <w:r>
        <w:rPr>
          <w:rStyle w:val="FootnoteReference"/>
        </w:rPr>
        <w:footnoteRef/>
      </w:r>
      <w:r>
        <w:t xml:space="preserve"> </w:t>
      </w:r>
      <w:r>
        <w:tab/>
      </w:r>
      <w:r w:rsidRPr="00866B6A">
        <w:t xml:space="preserve">ACIL Allen, </w:t>
      </w:r>
      <w:r w:rsidRPr="00E46A74">
        <w:rPr>
          <w:rStyle w:val="Emphasis"/>
        </w:rPr>
        <w:t>Review of demand forecasts for AusNet Services</w:t>
      </w:r>
      <w:r w:rsidRPr="00866B6A">
        <w:t xml:space="preserve">, </w:t>
      </w:r>
      <w:r>
        <w:t>14 June</w:t>
      </w:r>
      <w:r w:rsidRPr="007B7A68">
        <w:t xml:space="preserve"> </w:t>
      </w:r>
      <w:r w:rsidRPr="00866B6A">
        <w:t xml:space="preserve">2017, pp. </w:t>
      </w:r>
      <w:r>
        <w:t>26.</w:t>
      </w:r>
    </w:p>
  </w:footnote>
  <w:footnote w:id="49">
    <w:p w:rsidR="00003960" w:rsidRDefault="00003960">
      <w:pPr>
        <w:pStyle w:val="FootnoteText"/>
      </w:pPr>
      <w:r>
        <w:rPr>
          <w:rStyle w:val="FootnoteReference"/>
        </w:rPr>
        <w:footnoteRef/>
      </w:r>
      <w:r>
        <w:t xml:space="preserve"> </w:t>
      </w:r>
      <w:r>
        <w:tab/>
        <w:t>NGR, r. 74(2).</w:t>
      </w:r>
    </w:p>
  </w:footnote>
  <w:footnote w:id="50">
    <w:p w:rsidR="00003960" w:rsidRDefault="00003960" w:rsidP="00A33E04">
      <w:pPr>
        <w:pStyle w:val="FootnoteText"/>
      </w:pPr>
      <w:r>
        <w:rPr>
          <w:rStyle w:val="FootnoteReference"/>
        </w:rPr>
        <w:footnoteRef/>
      </w:r>
      <w:r>
        <w:t xml:space="preserve"> </w:t>
      </w:r>
      <w:r>
        <w:tab/>
      </w:r>
      <w:r w:rsidRPr="00866B6A">
        <w:t xml:space="preserve">ACIL Allen, </w:t>
      </w:r>
      <w:r w:rsidRPr="00E46A74">
        <w:rPr>
          <w:rStyle w:val="Emphasis"/>
        </w:rPr>
        <w:t>Review of demand forecasts for AusNet Services</w:t>
      </w:r>
      <w:r w:rsidRPr="00866B6A">
        <w:t xml:space="preserve">, </w:t>
      </w:r>
      <w:r>
        <w:t>14 June</w:t>
      </w:r>
      <w:r w:rsidRPr="007B7A68">
        <w:t xml:space="preserve"> </w:t>
      </w:r>
      <w:r w:rsidRPr="00866B6A">
        <w:t xml:space="preserve">2017, pp. </w:t>
      </w:r>
      <w:r>
        <w:t>25.</w:t>
      </w:r>
    </w:p>
  </w:footnote>
  <w:footnote w:id="51">
    <w:p w:rsidR="00003960" w:rsidRDefault="00003960" w:rsidP="00C40934">
      <w:pPr>
        <w:pStyle w:val="FootnoteText"/>
      </w:pPr>
      <w:r>
        <w:rPr>
          <w:rStyle w:val="FootnoteReference"/>
        </w:rPr>
        <w:footnoteRef/>
      </w:r>
      <w:r>
        <w:t xml:space="preserve"> </w:t>
      </w:r>
      <w:r>
        <w:tab/>
        <w:t xml:space="preserve"> </w:t>
      </w:r>
      <w:r w:rsidRPr="00E46A74">
        <w:t xml:space="preserve">ACIL Allen, </w:t>
      </w:r>
      <w:r w:rsidRPr="00E46A74">
        <w:rPr>
          <w:rStyle w:val="Emphasis"/>
        </w:rPr>
        <w:t>Review of demand forecasts for AusNet Services</w:t>
      </w:r>
      <w:r w:rsidRPr="00E46A74">
        <w:t xml:space="preserve">, </w:t>
      </w:r>
      <w:r>
        <w:t>14 June</w:t>
      </w:r>
      <w:r w:rsidRPr="007B7A68">
        <w:t xml:space="preserve"> </w:t>
      </w:r>
      <w:r w:rsidRPr="00E46A74">
        <w:t xml:space="preserve">2017, pp. </w:t>
      </w:r>
      <w:r>
        <w:t>30.</w:t>
      </w:r>
    </w:p>
  </w:footnote>
  <w:footnote w:id="52">
    <w:p w:rsidR="00003960" w:rsidRDefault="00003960">
      <w:pPr>
        <w:pStyle w:val="FootnoteText"/>
      </w:pPr>
      <w:r>
        <w:rPr>
          <w:rStyle w:val="FootnoteReference"/>
        </w:rPr>
        <w:footnoteRef/>
      </w:r>
      <w:r>
        <w:t xml:space="preserve"> </w:t>
      </w:r>
      <w:r>
        <w:tab/>
      </w:r>
      <w:r w:rsidR="001E09B4">
        <w:t xml:space="preserve">AusNet Services, </w:t>
      </w:r>
      <w:r w:rsidR="001E09B4" w:rsidRPr="00A8363E">
        <w:rPr>
          <w:rStyle w:val="AERtextitalic"/>
        </w:rPr>
        <w:t xml:space="preserve">Appendix 4A - </w:t>
      </w:r>
      <w:r>
        <w:t xml:space="preserve"> </w:t>
      </w:r>
      <w:r w:rsidRPr="007E462B">
        <w:rPr>
          <w:rStyle w:val="AERtextitalic"/>
        </w:rPr>
        <w:t>Centre for International Economics,</w:t>
      </w:r>
      <w:r w:rsidRPr="00F8431B">
        <w:t xml:space="preserve"> </w:t>
      </w:r>
      <w:r w:rsidRPr="00F8431B">
        <w:rPr>
          <w:rStyle w:val="Emphasis"/>
        </w:rPr>
        <w:t>2018-22 GAAR Consumption and Customer Forecasts</w:t>
      </w:r>
      <w:r w:rsidRPr="00F8431B">
        <w:t xml:space="preserve">, 16 September 2016, p. </w:t>
      </w:r>
      <w:r>
        <w:t>92.</w:t>
      </w:r>
    </w:p>
  </w:footnote>
  <w:footnote w:id="53">
    <w:p w:rsidR="00003960" w:rsidRDefault="00003960" w:rsidP="00A33E04">
      <w:pPr>
        <w:pStyle w:val="FootnoteText"/>
      </w:pPr>
      <w:r>
        <w:rPr>
          <w:rStyle w:val="FootnoteReference"/>
        </w:rPr>
        <w:footnoteRef/>
      </w:r>
      <w:r>
        <w:t xml:space="preserve"> </w:t>
      </w:r>
      <w:r>
        <w:tab/>
      </w:r>
      <w:r w:rsidRPr="00E46A74">
        <w:t xml:space="preserve">ACIL Allen, </w:t>
      </w:r>
      <w:r w:rsidRPr="00E46A74">
        <w:rPr>
          <w:rStyle w:val="Emphasis"/>
        </w:rPr>
        <w:t>Review of demand forecasts for AusNet Services</w:t>
      </w:r>
      <w:r w:rsidRPr="00E46A74">
        <w:t xml:space="preserve">, </w:t>
      </w:r>
      <w:r>
        <w:t>14 June</w:t>
      </w:r>
      <w:r w:rsidRPr="00E46A74">
        <w:t xml:space="preserve"> 2017, pp. </w:t>
      </w:r>
      <w:r>
        <w:t>10.</w:t>
      </w:r>
      <w:bookmarkStart w:id="109" w:name="_GoBack"/>
      <w:bookmarkEnd w:id="109"/>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960" w:rsidRDefault="000039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FD46F0E0"/>
    <w:lvl w:ilvl="0">
      <w:start w:val="1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A/ZhrrFcVMaCrVaKz0nO/YCdo98Bp68KTIAvrs3VjNM=" w:saltValue="QWsf/6wXa/HRLA2QshXwzg==" w:algorithmName="SHA-256"/>
  <w:defaultTabStop w:val="340"/>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592\D16 9526  AER - Draft decision ElectraNet transmission determination - Attachment 1 - Maximum allowed revenue.DOCX"/>
  </w:docVars>
  <w:rsids>
    <w:rsidRoot w:val="00961A4A"/>
    <w:rsid w:val="00003960"/>
    <w:rsid w:val="000051DC"/>
    <w:rsid w:val="0000658F"/>
    <w:rsid w:val="0001507B"/>
    <w:rsid w:val="00020016"/>
    <w:rsid w:val="00021202"/>
    <w:rsid w:val="00021C2B"/>
    <w:rsid w:val="0002498B"/>
    <w:rsid w:val="0002517F"/>
    <w:rsid w:val="00026187"/>
    <w:rsid w:val="000266FC"/>
    <w:rsid w:val="000273B3"/>
    <w:rsid w:val="00027E2D"/>
    <w:rsid w:val="0003578C"/>
    <w:rsid w:val="00044DA3"/>
    <w:rsid w:val="000474DF"/>
    <w:rsid w:val="00052487"/>
    <w:rsid w:val="00055A67"/>
    <w:rsid w:val="00063247"/>
    <w:rsid w:val="0006624E"/>
    <w:rsid w:val="00070F9F"/>
    <w:rsid w:val="0007137B"/>
    <w:rsid w:val="00073B74"/>
    <w:rsid w:val="00076416"/>
    <w:rsid w:val="000805A8"/>
    <w:rsid w:val="0008190B"/>
    <w:rsid w:val="000836D9"/>
    <w:rsid w:val="00085663"/>
    <w:rsid w:val="00085EBF"/>
    <w:rsid w:val="00091B15"/>
    <w:rsid w:val="00093FB9"/>
    <w:rsid w:val="00095186"/>
    <w:rsid w:val="000A0E71"/>
    <w:rsid w:val="000A1C0C"/>
    <w:rsid w:val="000A3020"/>
    <w:rsid w:val="000A4840"/>
    <w:rsid w:val="000A62C1"/>
    <w:rsid w:val="000A6A79"/>
    <w:rsid w:val="000A6C7B"/>
    <w:rsid w:val="000B0A7B"/>
    <w:rsid w:val="000B1173"/>
    <w:rsid w:val="000B33D2"/>
    <w:rsid w:val="000B5827"/>
    <w:rsid w:val="000B7037"/>
    <w:rsid w:val="000C02D1"/>
    <w:rsid w:val="000C07E5"/>
    <w:rsid w:val="000C0C63"/>
    <w:rsid w:val="000C2B40"/>
    <w:rsid w:val="000C5255"/>
    <w:rsid w:val="000C6409"/>
    <w:rsid w:val="000D07A7"/>
    <w:rsid w:val="000D122C"/>
    <w:rsid w:val="000D51AE"/>
    <w:rsid w:val="000D75B0"/>
    <w:rsid w:val="000E1819"/>
    <w:rsid w:val="000E4821"/>
    <w:rsid w:val="000E4AA9"/>
    <w:rsid w:val="000E6C72"/>
    <w:rsid w:val="000E7F39"/>
    <w:rsid w:val="000F2671"/>
    <w:rsid w:val="00100EA2"/>
    <w:rsid w:val="00101055"/>
    <w:rsid w:val="00101AA1"/>
    <w:rsid w:val="00102338"/>
    <w:rsid w:val="001043B8"/>
    <w:rsid w:val="00104566"/>
    <w:rsid w:val="00104FF6"/>
    <w:rsid w:val="001076FF"/>
    <w:rsid w:val="001114AA"/>
    <w:rsid w:val="00112684"/>
    <w:rsid w:val="00115743"/>
    <w:rsid w:val="00116EB2"/>
    <w:rsid w:val="00120FAB"/>
    <w:rsid w:val="0012132C"/>
    <w:rsid w:val="001244FC"/>
    <w:rsid w:val="00124609"/>
    <w:rsid w:val="00126A4C"/>
    <w:rsid w:val="001270E3"/>
    <w:rsid w:val="00131846"/>
    <w:rsid w:val="00132D43"/>
    <w:rsid w:val="00133366"/>
    <w:rsid w:val="00133F47"/>
    <w:rsid w:val="00134029"/>
    <w:rsid w:val="001343C1"/>
    <w:rsid w:val="00142C2D"/>
    <w:rsid w:val="00144C96"/>
    <w:rsid w:val="0014573B"/>
    <w:rsid w:val="001463A3"/>
    <w:rsid w:val="0015073A"/>
    <w:rsid w:val="001573E4"/>
    <w:rsid w:val="00160756"/>
    <w:rsid w:val="00161DC8"/>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45A0"/>
    <w:rsid w:val="001B680E"/>
    <w:rsid w:val="001D055E"/>
    <w:rsid w:val="001D2262"/>
    <w:rsid w:val="001D41A3"/>
    <w:rsid w:val="001D5639"/>
    <w:rsid w:val="001E09B4"/>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3051"/>
    <w:rsid w:val="00224DB9"/>
    <w:rsid w:val="0022569A"/>
    <w:rsid w:val="0023005C"/>
    <w:rsid w:val="00231012"/>
    <w:rsid w:val="00233775"/>
    <w:rsid w:val="0023414B"/>
    <w:rsid w:val="00243635"/>
    <w:rsid w:val="00247079"/>
    <w:rsid w:val="00251745"/>
    <w:rsid w:val="002552BA"/>
    <w:rsid w:val="00260016"/>
    <w:rsid w:val="00263AC0"/>
    <w:rsid w:val="00264264"/>
    <w:rsid w:val="0026689B"/>
    <w:rsid w:val="0026772D"/>
    <w:rsid w:val="0027054C"/>
    <w:rsid w:val="002730B2"/>
    <w:rsid w:val="00274C7E"/>
    <w:rsid w:val="002777CF"/>
    <w:rsid w:val="00280333"/>
    <w:rsid w:val="002810F2"/>
    <w:rsid w:val="00286874"/>
    <w:rsid w:val="00286DA7"/>
    <w:rsid w:val="00290C63"/>
    <w:rsid w:val="00291A99"/>
    <w:rsid w:val="00293B6D"/>
    <w:rsid w:val="00294B08"/>
    <w:rsid w:val="0029518C"/>
    <w:rsid w:val="002963DD"/>
    <w:rsid w:val="00296B65"/>
    <w:rsid w:val="002A7DEF"/>
    <w:rsid w:val="002B0696"/>
    <w:rsid w:val="002C0222"/>
    <w:rsid w:val="002C1499"/>
    <w:rsid w:val="002C233C"/>
    <w:rsid w:val="002C517B"/>
    <w:rsid w:val="002D1AB8"/>
    <w:rsid w:val="002D21B0"/>
    <w:rsid w:val="002D3509"/>
    <w:rsid w:val="002D5457"/>
    <w:rsid w:val="002D72E8"/>
    <w:rsid w:val="002D79AD"/>
    <w:rsid w:val="002E268F"/>
    <w:rsid w:val="002E78DD"/>
    <w:rsid w:val="002E7B22"/>
    <w:rsid w:val="002F12EC"/>
    <w:rsid w:val="002F7986"/>
    <w:rsid w:val="00301B40"/>
    <w:rsid w:val="00301C82"/>
    <w:rsid w:val="003029EE"/>
    <w:rsid w:val="00304D38"/>
    <w:rsid w:val="00305CC8"/>
    <w:rsid w:val="00307F6D"/>
    <w:rsid w:val="00314D83"/>
    <w:rsid w:val="0031571F"/>
    <w:rsid w:val="003177A2"/>
    <w:rsid w:val="00317E02"/>
    <w:rsid w:val="00321A9A"/>
    <w:rsid w:val="003271B5"/>
    <w:rsid w:val="00327A1E"/>
    <w:rsid w:val="00327E28"/>
    <w:rsid w:val="00331264"/>
    <w:rsid w:val="00334C8D"/>
    <w:rsid w:val="003378BD"/>
    <w:rsid w:val="003424EA"/>
    <w:rsid w:val="003425C2"/>
    <w:rsid w:val="00342C2F"/>
    <w:rsid w:val="003436EB"/>
    <w:rsid w:val="00343A18"/>
    <w:rsid w:val="00345744"/>
    <w:rsid w:val="003518B3"/>
    <w:rsid w:val="00352752"/>
    <w:rsid w:val="00353E79"/>
    <w:rsid w:val="00357BB7"/>
    <w:rsid w:val="00364EA0"/>
    <w:rsid w:val="00366981"/>
    <w:rsid w:val="00370678"/>
    <w:rsid w:val="0037214E"/>
    <w:rsid w:val="00372C85"/>
    <w:rsid w:val="00373845"/>
    <w:rsid w:val="003744E3"/>
    <w:rsid w:val="00375F71"/>
    <w:rsid w:val="00376219"/>
    <w:rsid w:val="0037663E"/>
    <w:rsid w:val="0037699E"/>
    <w:rsid w:val="00377A29"/>
    <w:rsid w:val="00377C69"/>
    <w:rsid w:val="00377F3C"/>
    <w:rsid w:val="0038415D"/>
    <w:rsid w:val="0038461C"/>
    <w:rsid w:val="003846F1"/>
    <w:rsid w:val="00385BE5"/>
    <w:rsid w:val="00390E6A"/>
    <w:rsid w:val="00393ABE"/>
    <w:rsid w:val="00395DB6"/>
    <w:rsid w:val="00397398"/>
    <w:rsid w:val="003A371A"/>
    <w:rsid w:val="003A59CD"/>
    <w:rsid w:val="003A60CD"/>
    <w:rsid w:val="003A6B00"/>
    <w:rsid w:val="003A6B1D"/>
    <w:rsid w:val="003B0A52"/>
    <w:rsid w:val="003B30B2"/>
    <w:rsid w:val="003B484F"/>
    <w:rsid w:val="003B504B"/>
    <w:rsid w:val="003B5179"/>
    <w:rsid w:val="003B685C"/>
    <w:rsid w:val="003B7FBA"/>
    <w:rsid w:val="003C1CF4"/>
    <w:rsid w:val="003C6537"/>
    <w:rsid w:val="003C6A13"/>
    <w:rsid w:val="003C764A"/>
    <w:rsid w:val="003C78BA"/>
    <w:rsid w:val="003D2D3D"/>
    <w:rsid w:val="003D3BAB"/>
    <w:rsid w:val="003D41F1"/>
    <w:rsid w:val="003D42AB"/>
    <w:rsid w:val="003D5B94"/>
    <w:rsid w:val="003E0D3A"/>
    <w:rsid w:val="003E3AAB"/>
    <w:rsid w:val="003E7FE9"/>
    <w:rsid w:val="003F07D4"/>
    <w:rsid w:val="003F174D"/>
    <w:rsid w:val="003F2329"/>
    <w:rsid w:val="00400FD2"/>
    <w:rsid w:val="00403711"/>
    <w:rsid w:val="00404C52"/>
    <w:rsid w:val="00414EE8"/>
    <w:rsid w:val="004156D5"/>
    <w:rsid w:val="00415BA9"/>
    <w:rsid w:val="00415F31"/>
    <w:rsid w:val="0041691D"/>
    <w:rsid w:val="0042000C"/>
    <w:rsid w:val="0042090E"/>
    <w:rsid w:val="00421F27"/>
    <w:rsid w:val="004238D8"/>
    <w:rsid w:val="00423A77"/>
    <w:rsid w:val="004324F4"/>
    <w:rsid w:val="00434544"/>
    <w:rsid w:val="0044125E"/>
    <w:rsid w:val="00445D43"/>
    <w:rsid w:val="00446CD2"/>
    <w:rsid w:val="0045777E"/>
    <w:rsid w:val="00465258"/>
    <w:rsid w:val="00471BC6"/>
    <w:rsid w:val="00476221"/>
    <w:rsid w:val="004766F5"/>
    <w:rsid w:val="00480B4B"/>
    <w:rsid w:val="00481EEC"/>
    <w:rsid w:val="004838D8"/>
    <w:rsid w:val="00485DC4"/>
    <w:rsid w:val="00486BDD"/>
    <w:rsid w:val="004934B7"/>
    <w:rsid w:val="00494D04"/>
    <w:rsid w:val="004A40BA"/>
    <w:rsid w:val="004A43D1"/>
    <w:rsid w:val="004A492B"/>
    <w:rsid w:val="004B4412"/>
    <w:rsid w:val="004B473E"/>
    <w:rsid w:val="004C30B2"/>
    <w:rsid w:val="004C348C"/>
    <w:rsid w:val="004C462E"/>
    <w:rsid w:val="004C6CA3"/>
    <w:rsid w:val="004C7F5E"/>
    <w:rsid w:val="004D343C"/>
    <w:rsid w:val="004D372A"/>
    <w:rsid w:val="004D40D5"/>
    <w:rsid w:val="004D55BA"/>
    <w:rsid w:val="004D720C"/>
    <w:rsid w:val="004E0FA7"/>
    <w:rsid w:val="004E22EC"/>
    <w:rsid w:val="004F0BFA"/>
    <w:rsid w:val="004F13DA"/>
    <w:rsid w:val="004F4D69"/>
    <w:rsid w:val="004F6883"/>
    <w:rsid w:val="004F6A0E"/>
    <w:rsid w:val="004F6BB3"/>
    <w:rsid w:val="005009CD"/>
    <w:rsid w:val="00504E5F"/>
    <w:rsid w:val="0051337E"/>
    <w:rsid w:val="00513FA7"/>
    <w:rsid w:val="0051768F"/>
    <w:rsid w:val="00522DC2"/>
    <w:rsid w:val="00530128"/>
    <w:rsid w:val="00532467"/>
    <w:rsid w:val="005332A9"/>
    <w:rsid w:val="0053603C"/>
    <w:rsid w:val="00537871"/>
    <w:rsid w:val="00542FE9"/>
    <w:rsid w:val="00544598"/>
    <w:rsid w:val="00544C8D"/>
    <w:rsid w:val="00544DFD"/>
    <w:rsid w:val="005568E2"/>
    <w:rsid w:val="00556B1E"/>
    <w:rsid w:val="005635EF"/>
    <w:rsid w:val="00564A4D"/>
    <w:rsid w:val="0056598C"/>
    <w:rsid w:val="00566E0B"/>
    <w:rsid w:val="00567BA5"/>
    <w:rsid w:val="00571B35"/>
    <w:rsid w:val="00571B43"/>
    <w:rsid w:val="00571D57"/>
    <w:rsid w:val="00572615"/>
    <w:rsid w:val="00573A3B"/>
    <w:rsid w:val="00577716"/>
    <w:rsid w:val="00577A09"/>
    <w:rsid w:val="005829C2"/>
    <w:rsid w:val="00584D8F"/>
    <w:rsid w:val="00587A18"/>
    <w:rsid w:val="00587ADE"/>
    <w:rsid w:val="005A0BEC"/>
    <w:rsid w:val="005A404D"/>
    <w:rsid w:val="005A6631"/>
    <w:rsid w:val="005B1E3C"/>
    <w:rsid w:val="005B3330"/>
    <w:rsid w:val="005B6518"/>
    <w:rsid w:val="005B704A"/>
    <w:rsid w:val="005B72D7"/>
    <w:rsid w:val="005C045F"/>
    <w:rsid w:val="005C16FE"/>
    <w:rsid w:val="005C1FAB"/>
    <w:rsid w:val="005C21A4"/>
    <w:rsid w:val="005C26CC"/>
    <w:rsid w:val="005C4463"/>
    <w:rsid w:val="005D3D88"/>
    <w:rsid w:val="005D48C4"/>
    <w:rsid w:val="005D6208"/>
    <w:rsid w:val="005D6366"/>
    <w:rsid w:val="005D7BA2"/>
    <w:rsid w:val="005E36C2"/>
    <w:rsid w:val="005E4AF4"/>
    <w:rsid w:val="005F387E"/>
    <w:rsid w:val="00601E0B"/>
    <w:rsid w:val="0060258B"/>
    <w:rsid w:val="00603E49"/>
    <w:rsid w:val="00610EF9"/>
    <w:rsid w:val="00612F4F"/>
    <w:rsid w:val="00614EA0"/>
    <w:rsid w:val="00615C6B"/>
    <w:rsid w:val="00617D4C"/>
    <w:rsid w:val="00620833"/>
    <w:rsid w:val="00621DCE"/>
    <w:rsid w:val="00621FC5"/>
    <w:rsid w:val="00624F2C"/>
    <w:rsid w:val="00632D6D"/>
    <w:rsid w:val="00636569"/>
    <w:rsid w:val="00636EF9"/>
    <w:rsid w:val="00642C3E"/>
    <w:rsid w:val="00644A01"/>
    <w:rsid w:val="00651E2D"/>
    <w:rsid w:val="00652324"/>
    <w:rsid w:val="006555E7"/>
    <w:rsid w:val="006577FB"/>
    <w:rsid w:val="0066004B"/>
    <w:rsid w:val="0066104A"/>
    <w:rsid w:val="00663066"/>
    <w:rsid w:val="00663DAD"/>
    <w:rsid w:val="00664206"/>
    <w:rsid w:val="006649E7"/>
    <w:rsid w:val="00666634"/>
    <w:rsid w:val="00671692"/>
    <w:rsid w:val="00675E20"/>
    <w:rsid w:val="00676679"/>
    <w:rsid w:val="00683292"/>
    <w:rsid w:val="00683C89"/>
    <w:rsid w:val="00691B53"/>
    <w:rsid w:val="00694E99"/>
    <w:rsid w:val="00697D0B"/>
    <w:rsid w:val="006A12BA"/>
    <w:rsid w:val="006A4739"/>
    <w:rsid w:val="006A66A1"/>
    <w:rsid w:val="006B018A"/>
    <w:rsid w:val="006B032D"/>
    <w:rsid w:val="006B2395"/>
    <w:rsid w:val="006B40AC"/>
    <w:rsid w:val="006B4195"/>
    <w:rsid w:val="006B4CF9"/>
    <w:rsid w:val="006B797C"/>
    <w:rsid w:val="006B7AC8"/>
    <w:rsid w:val="006C1736"/>
    <w:rsid w:val="006C329B"/>
    <w:rsid w:val="006C5B4E"/>
    <w:rsid w:val="006C5BCF"/>
    <w:rsid w:val="006C6303"/>
    <w:rsid w:val="006D1BB7"/>
    <w:rsid w:val="006D550F"/>
    <w:rsid w:val="006D6146"/>
    <w:rsid w:val="006D7F7E"/>
    <w:rsid w:val="006E0CFF"/>
    <w:rsid w:val="006F0D92"/>
    <w:rsid w:val="006F267D"/>
    <w:rsid w:val="00700079"/>
    <w:rsid w:val="0070011E"/>
    <w:rsid w:val="007004CA"/>
    <w:rsid w:val="00701CAB"/>
    <w:rsid w:val="007023BB"/>
    <w:rsid w:val="00704DD7"/>
    <w:rsid w:val="00707563"/>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022A"/>
    <w:rsid w:val="00751DCD"/>
    <w:rsid w:val="00755084"/>
    <w:rsid w:val="00757364"/>
    <w:rsid w:val="00757BDF"/>
    <w:rsid w:val="007609D0"/>
    <w:rsid w:val="00761454"/>
    <w:rsid w:val="0076193D"/>
    <w:rsid w:val="00763E5D"/>
    <w:rsid w:val="00767740"/>
    <w:rsid w:val="00767B5E"/>
    <w:rsid w:val="00771128"/>
    <w:rsid w:val="00775460"/>
    <w:rsid w:val="00777EE6"/>
    <w:rsid w:val="00782EEA"/>
    <w:rsid w:val="007909B4"/>
    <w:rsid w:val="00790E86"/>
    <w:rsid w:val="007949D7"/>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2EB6"/>
    <w:rsid w:val="007C4B82"/>
    <w:rsid w:val="007C74BB"/>
    <w:rsid w:val="007C7F64"/>
    <w:rsid w:val="007D0A95"/>
    <w:rsid w:val="007D0EB5"/>
    <w:rsid w:val="007D456E"/>
    <w:rsid w:val="007D5837"/>
    <w:rsid w:val="007E462B"/>
    <w:rsid w:val="007E4904"/>
    <w:rsid w:val="007E4CB5"/>
    <w:rsid w:val="007E4DAE"/>
    <w:rsid w:val="007F066B"/>
    <w:rsid w:val="007F4EAB"/>
    <w:rsid w:val="007F5B16"/>
    <w:rsid w:val="007F7C9D"/>
    <w:rsid w:val="008033C4"/>
    <w:rsid w:val="0080392F"/>
    <w:rsid w:val="00806486"/>
    <w:rsid w:val="00806731"/>
    <w:rsid w:val="00806C88"/>
    <w:rsid w:val="0081034E"/>
    <w:rsid w:val="00810806"/>
    <w:rsid w:val="00815882"/>
    <w:rsid w:val="00820454"/>
    <w:rsid w:val="00820F21"/>
    <w:rsid w:val="0082209E"/>
    <w:rsid w:val="00822AC7"/>
    <w:rsid w:val="00822E86"/>
    <w:rsid w:val="00825C0E"/>
    <w:rsid w:val="008344F6"/>
    <w:rsid w:val="0083510F"/>
    <w:rsid w:val="00837BF3"/>
    <w:rsid w:val="008415DE"/>
    <w:rsid w:val="008420DE"/>
    <w:rsid w:val="00845865"/>
    <w:rsid w:val="0084799B"/>
    <w:rsid w:val="00850C90"/>
    <w:rsid w:val="00851209"/>
    <w:rsid w:val="0085171F"/>
    <w:rsid w:val="00851C09"/>
    <w:rsid w:val="008658A1"/>
    <w:rsid w:val="0086716A"/>
    <w:rsid w:val="00870613"/>
    <w:rsid w:val="0087380F"/>
    <w:rsid w:val="0087648F"/>
    <w:rsid w:val="00876612"/>
    <w:rsid w:val="00882972"/>
    <w:rsid w:val="00882BB1"/>
    <w:rsid w:val="008837AC"/>
    <w:rsid w:val="008909DC"/>
    <w:rsid w:val="00894255"/>
    <w:rsid w:val="008945AD"/>
    <w:rsid w:val="008A0645"/>
    <w:rsid w:val="008A1C02"/>
    <w:rsid w:val="008A370D"/>
    <w:rsid w:val="008A587D"/>
    <w:rsid w:val="008B16B0"/>
    <w:rsid w:val="008B1BD5"/>
    <w:rsid w:val="008B35CD"/>
    <w:rsid w:val="008B4093"/>
    <w:rsid w:val="008B5FCC"/>
    <w:rsid w:val="008B7F36"/>
    <w:rsid w:val="008C357F"/>
    <w:rsid w:val="008C5486"/>
    <w:rsid w:val="008C6DE3"/>
    <w:rsid w:val="008D1661"/>
    <w:rsid w:val="008D27E0"/>
    <w:rsid w:val="008D5F90"/>
    <w:rsid w:val="008D6800"/>
    <w:rsid w:val="008D72F1"/>
    <w:rsid w:val="008E4089"/>
    <w:rsid w:val="008E5AFF"/>
    <w:rsid w:val="008E7031"/>
    <w:rsid w:val="008E77DE"/>
    <w:rsid w:val="008F040C"/>
    <w:rsid w:val="008F07A3"/>
    <w:rsid w:val="008F3322"/>
    <w:rsid w:val="008F3519"/>
    <w:rsid w:val="008F3A0D"/>
    <w:rsid w:val="009001B6"/>
    <w:rsid w:val="00900E1B"/>
    <w:rsid w:val="0090131F"/>
    <w:rsid w:val="00907683"/>
    <w:rsid w:val="009132B7"/>
    <w:rsid w:val="00916A2C"/>
    <w:rsid w:val="009233EE"/>
    <w:rsid w:val="00930B1A"/>
    <w:rsid w:val="00932612"/>
    <w:rsid w:val="009327DC"/>
    <w:rsid w:val="009338D9"/>
    <w:rsid w:val="009339BD"/>
    <w:rsid w:val="009356CF"/>
    <w:rsid w:val="00937064"/>
    <w:rsid w:val="00945E53"/>
    <w:rsid w:val="009460AA"/>
    <w:rsid w:val="00951978"/>
    <w:rsid w:val="00952C8B"/>
    <w:rsid w:val="00961A4A"/>
    <w:rsid w:val="009661DE"/>
    <w:rsid w:val="009675F5"/>
    <w:rsid w:val="00970646"/>
    <w:rsid w:val="00972C7C"/>
    <w:rsid w:val="009776F4"/>
    <w:rsid w:val="00982DA2"/>
    <w:rsid w:val="00983C25"/>
    <w:rsid w:val="0098466D"/>
    <w:rsid w:val="009856B7"/>
    <w:rsid w:val="009859D6"/>
    <w:rsid w:val="00985C86"/>
    <w:rsid w:val="00990FA8"/>
    <w:rsid w:val="009A4689"/>
    <w:rsid w:val="009A5FC3"/>
    <w:rsid w:val="009A63AC"/>
    <w:rsid w:val="009B40AC"/>
    <w:rsid w:val="009B6F84"/>
    <w:rsid w:val="009B74B0"/>
    <w:rsid w:val="009C0152"/>
    <w:rsid w:val="009C1A74"/>
    <w:rsid w:val="009C3810"/>
    <w:rsid w:val="009C3D42"/>
    <w:rsid w:val="009C491E"/>
    <w:rsid w:val="009D0DF1"/>
    <w:rsid w:val="009D22D6"/>
    <w:rsid w:val="009D2C84"/>
    <w:rsid w:val="009D3906"/>
    <w:rsid w:val="009D6B46"/>
    <w:rsid w:val="009E35B6"/>
    <w:rsid w:val="009E5ABC"/>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30BF5"/>
    <w:rsid w:val="00A312AD"/>
    <w:rsid w:val="00A31BE6"/>
    <w:rsid w:val="00A32FBB"/>
    <w:rsid w:val="00A33E04"/>
    <w:rsid w:val="00A40068"/>
    <w:rsid w:val="00A40BE9"/>
    <w:rsid w:val="00A428EE"/>
    <w:rsid w:val="00A443C2"/>
    <w:rsid w:val="00A4478A"/>
    <w:rsid w:val="00A44852"/>
    <w:rsid w:val="00A50502"/>
    <w:rsid w:val="00A53409"/>
    <w:rsid w:val="00A53796"/>
    <w:rsid w:val="00A53848"/>
    <w:rsid w:val="00A56945"/>
    <w:rsid w:val="00A56A6E"/>
    <w:rsid w:val="00A57D04"/>
    <w:rsid w:val="00A60A26"/>
    <w:rsid w:val="00A61598"/>
    <w:rsid w:val="00A61777"/>
    <w:rsid w:val="00A63646"/>
    <w:rsid w:val="00A63914"/>
    <w:rsid w:val="00A745C2"/>
    <w:rsid w:val="00A84A99"/>
    <w:rsid w:val="00A84F46"/>
    <w:rsid w:val="00A85E87"/>
    <w:rsid w:val="00A86AEA"/>
    <w:rsid w:val="00A871F4"/>
    <w:rsid w:val="00A920EB"/>
    <w:rsid w:val="00A9431A"/>
    <w:rsid w:val="00A95988"/>
    <w:rsid w:val="00A959DF"/>
    <w:rsid w:val="00A97A1B"/>
    <w:rsid w:val="00AA2927"/>
    <w:rsid w:val="00AB2CB8"/>
    <w:rsid w:val="00AB4617"/>
    <w:rsid w:val="00AC1B2C"/>
    <w:rsid w:val="00AC3264"/>
    <w:rsid w:val="00AC46AD"/>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B004F2"/>
    <w:rsid w:val="00B00B0E"/>
    <w:rsid w:val="00B00B26"/>
    <w:rsid w:val="00B02385"/>
    <w:rsid w:val="00B02F9D"/>
    <w:rsid w:val="00B05766"/>
    <w:rsid w:val="00B105C4"/>
    <w:rsid w:val="00B13048"/>
    <w:rsid w:val="00B13883"/>
    <w:rsid w:val="00B1716D"/>
    <w:rsid w:val="00B17A1D"/>
    <w:rsid w:val="00B207A0"/>
    <w:rsid w:val="00B21C21"/>
    <w:rsid w:val="00B22F54"/>
    <w:rsid w:val="00B24A7E"/>
    <w:rsid w:val="00B25C0C"/>
    <w:rsid w:val="00B25C7A"/>
    <w:rsid w:val="00B304B5"/>
    <w:rsid w:val="00B308A9"/>
    <w:rsid w:val="00B31047"/>
    <w:rsid w:val="00B33148"/>
    <w:rsid w:val="00B35CDF"/>
    <w:rsid w:val="00B403C2"/>
    <w:rsid w:val="00B405A1"/>
    <w:rsid w:val="00B4438A"/>
    <w:rsid w:val="00B45AA2"/>
    <w:rsid w:val="00B479CA"/>
    <w:rsid w:val="00B5084F"/>
    <w:rsid w:val="00B514DD"/>
    <w:rsid w:val="00B52AF0"/>
    <w:rsid w:val="00B53D5F"/>
    <w:rsid w:val="00B54051"/>
    <w:rsid w:val="00B561BD"/>
    <w:rsid w:val="00B56E03"/>
    <w:rsid w:val="00B6243F"/>
    <w:rsid w:val="00B62765"/>
    <w:rsid w:val="00B65DF5"/>
    <w:rsid w:val="00B7679F"/>
    <w:rsid w:val="00B77159"/>
    <w:rsid w:val="00B8080B"/>
    <w:rsid w:val="00B82223"/>
    <w:rsid w:val="00B8260C"/>
    <w:rsid w:val="00B87BA5"/>
    <w:rsid w:val="00B87C39"/>
    <w:rsid w:val="00B93891"/>
    <w:rsid w:val="00B94B59"/>
    <w:rsid w:val="00B9562D"/>
    <w:rsid w:val="00BA21DA"/>
    <w:rsid w:val="00BA2B60"/>
    <w:rsid w:val="00BA3C93"/>
    <w:rsid w:val="00BA4665"/>
    <w:rsid w:val="00BA7FD7"/>
    <w:rsid w:val="00BB1681"/>
    <w:rsid w:val="00BB2FB2"/>
    <w:rsid w:val="00BB3304"/>
    <w:rsid w:val="00BB6551"/>
    <w:rsid w:val="00BB6A81"/>
    <w:rsid w:val="00BC22F0"/>
    <w:rsid w:val="00BC4A10"/>
    <w:rsid w:val="00BD30F4"/>
    <w:rsid w:val="00BD3446"/>
    <w:rsid w:val="00BD59CF"/>
    <w:rsid w:val="00BE1312"/>
    <w:rsid w:val="00BE1F1B"/>
    <w:rsid w:val="00BE3F89"/>
    <w:rsid w:val="00BE423D"/>
    <w:rsid w:val="00BE47B5"/>
    <w:rsid w:val="00BE5FCE"/>
    <w:rsid w:val="00C0079E"/>
    <w:rsid w:val="00C0572A"/>
    <w:rsid w:val="00C1066A"/>
    <w:rsid w:val="00C13EBD"/>
    <w:rsid w:val="00C1631B"/>
    <w:rsid w:val="00C163AB"/>
    <w:rsid w:val="00C170F0"/>
    <w:rsid w:val="00C25962"/>
    <w:rsid w:val="00C25FA6"/>
    <w:rsid w:val="00C3099D"/>
    <w:rsid w:val="00C33011"/>
    <w:rsid w:val="00C362C1"/>
    <w:rsid w:val="00C371FB"/>
    <w:rsid w:val="00C40934"/>
    <w:rsid w:val="00C41950"/>
    <w:rsid w:val="00C42C3B"/>
    <w:rsid w:val="00C51672"/>
    <w:rsid w:val="00C538A9"/>
    <w:rsid w:val="00C53B5A"/>
    <w:rsid w:val="00C53E41"/>
    <w:rsid w:val="00C54909"/>
    <w:rsid w:val="00C54AF3"/>
    <w:rsid w:val="00C54F5A"/>
    <w:rsid w:val="00C569B4"/>
    <w:rsid w:val="00C57DDE"/>
    <w:rsid w:val="00C61468"/>
    <w:rsid w:val="00C61A97"/>
    <w:rsid w:val="00C61E44"/>
    <w:rsid w:val="00C64FF3"/>
    <w:rsid w:val="00C662AD"/>
    <w:rsid w:val="00C674AF"/>
    <w:rsid w:val="00C67A92"/>
    <w:rsid w:val="00C71280"/>
    <w:rsid w:val="00C717BF"/>
    <w:rsid w:val="00C76178"/>
    <w:rsid w:val="00C76C6F"/>
    <w:rsid w:val="00C81AE4"/>
    <w:rsid w:val="00C84560"/>
    <w:rsid w:val="00C86679"/>
    <w:rsid w:val="00C8792F"/>
    <w:rsid w:val="00C90472"/>
    <w:rsid w:val="00C908DE"/>
    <w:rsid w:val="00C91D6E"/>
    <w:rsid w:val="00C9294D"/>
    <w:rsid w:val="00CA3455"/>
    <w:rsid w:val="00CA489E"/>
    <w:rsid w:val="00CB0279"/>
    <w:rsid w:val="00CB666B"/>
    <w:rsid w:val="00CB6A64"/>
    <w:rsid w:val="00CB734B"/>
    <w:rsid w:val="00CB740D"/>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1ED5"/>
    <w:rsid w:val="00CF42AA"/>
    <w:rsid w:val="00CF5EAA"/>
    <w:rsid w:val="00CF6AE3"/>
    <w:rsid w:val="00CF77BB"/>
    <w:rsid w:val="00D006AE"/>
    <w:rsid w:val="00D00905"/>
    <w:rsid w:val="00D010C1"/>
    <w:rsid w:val="00D01CF0"/>
    <w:rsid w:val="00D0442A"/>
    <w:rsid w:val="00D04C5F"/>
    <w:rsid w:val="00D0712F"/>
    <w:rsid w:val="00D12A7B"/>
    <w:rsid w:val="00D12ADB"/>
    <w:rsid w:val="00D13A2A"/>
    <w:rsid w:val="00D15E63"/>
    <w:rsid w:val="00D25A39"/>
    <w:rsid w:val="00D27CFA"/>
    <w:rsid w:val="00D310FA"/>
    <w:rsid w:val="00D325C6"/>
    <w:rsid w:val="00D37213"/>
    <w:rsid w:val="00D4360D"/>
    <w:rsid w:val="00D5015C"/>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51A4"/>
    <w:rsid w:val="00D7786B"/>
    <w:rsid w:val="00D80893"/>
    <w:rsid w:val="00D82519"/>
    <w:rsid w:val="00D84854"/>
    <w:rsid w:val="00D87DC4"/>
    <w:rsid w:val="00D921AD"/>
    <w:rsid w:val="00D924AE"/>
    <w:rsid w:val="00D92CF1"/>
    <w:rsid w:val="00D92D38"/>
    <w:rsid w:val="00D9454B"/>
    <w:rsid w:val="00D950F5"/>
    <w:rsid w:val="00D97379"/>
    <w:rsid w:val="00DA2424"/>
    <w:rsid w:val="00DA4752"/>
    <w:rsid w:val="00DA4C09"/>
    <w:rsid w:val="00DA61F3"/>
    <w:rsid w:val="00DA7CB3"/>
    <w:rsid w:val="00DB0D00"/>
    <w:rsid w:val="00DB0F93"/>
    <w:rsid w:val="00DB1A67"/>
    <w:rsid w:val="00DB3721"/>
    <w:rsid w:val="00DB5074"/>
    <w:rsid w:val="00DC0281"/>
    <w:rsid w:val="00DC1930"/>
    <w:rsid w:val="00DC1C76"/>
    <w:rsid w:val="00DC4A46"/>
    <w:rsid w:val="00DC4DBF"/>
    <w:rsid w:val="00DC4E19"/>
    <w:rsid w:val="00DC65FE"/>
    <w:rsid w:val="00DC7981"/>
    <w:rsid w:val="00DD4C07"/>
    <w:rsid w:val="00DD577D"/>
    <w:rsid w:val="00DD5ADC"/>
    <w:rsid w:val="00DE1093"/>
    <w:rsid w:val="00DE4EFA"/>
    <w:rsid w:val="00DE5520"/>
    <w:rsid w:val="00DE563D"/>
    <w:rsid w:val="00DE7AB5"/>
    <w:rsid w:val="00DF0152"/>
    <w:rsid w:val="00DF1958"/>
    <w:rsid w:val="00E04818"/>
    <w:rsid w:val="00E06442"/>
    <w:rsid w:val="00E06952"/>
    <w:rsid w:val="00E07B96"/>
    <w:rsid w:val="00E11E61"/>
    <w:rsid w:val="00E157B2"/>
    <w:rsid w:val="00E16055"/>
    <w:rsid w:val="00E16BBB"/>
    <w:rsid w:val="00E2332D"/>
    <w:rsid w:val="00E23993"/>
    <w:rsid w:val="00E2574F"/>
    <w:rsid w:val="00E25951"/>
    <w:rsid w:val="00E25B8C"/>
    <w:rsid w:val="00E31CF6"/>
    <w:rsid w:val="00E34A4A"/>
    <w:rsid w:val="00E35AFC"/>
    <w:rsid w:val="00E41D39"/>
    <w:rsid w:val="00E50A02"/>
    <w:rsid w:val="00E54106"/>
    <w:rsid w:val="00E54697"/>
    <w:rsid w:val="00E56EBA"/>
    <w:rsid w:val="00E57A08"/>
    <w:rsid w:val="00E63631"/>
    <w:rsid w:val="00E64C2A"/>
    <w:rsid w:val="00E65C85"/>
    <w:rsid w:val="00E66199"/>
    <w:rsid w:val="00E70526"/>
    <w:rsid w:val="00E74761"/>
    <w:rsid w:val="00E754B4"/>
    <w:rsid w:val="00E755EC"/>
    <w:rsid w:val="00E7624D"/>
    <w:rsid w:val="00E81724"/>
    <w:rsid w:val="00E819A4"/>
    <w:rsid w:val="00E833FA"/>
    <w:rsid w:val="00E845F2"/>
    <w:rsid w:val="00E84B74"/>
    <w:rsid w:val="00E87066"/>
    <w:rsid w:val="00E966BF"/>
    <w:rsid w:val="00EA0C04"/>
    <w:rsid w:val="00EA3D42"/>
    <w:rsid w:val="00EA6B1B"/>
    <w:rsid w:val="00EB1CBD"/>
    <w:rsid w:val="00EB3A34"/>
    <w:rsid w:val="00EB3C3F"/>
    <w:rsid w:val="00EB468A"/>
    <w:rsid w:val="00EC04F1"/>
    <w:rsid w:val="00EC237F"/>
    <w:rsid w:val="00EC573A"/>
    <w:rsid w:val="00ED35C8"/>
    <w:rsid w:val="00ED3968"/>
    <w:rsid w:val="00ED7323"/>
    <w:rsid w:val="00EE28F3"/>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16E1"/>
    <w:rsid w:val="00F22A8C"/>
    <w:rsid w:val="00F317F9"/>
    <w:rsid w:val="00F31930"/>
    <w:rsid w:val="00F322E9"/>
    <w:rsid w:val="00F3231B"/>
    <w:rsid w:val="00F33808"/>
    <w:rsid w:val="00F373A5"/>
    <w:rsid w:val="00F37859"/>
    <w:rsid w:val="00F37864"/>
    <w:rsid w:val="00F404F9"/>
    <w:rsid w:val="00F44B0A"/>
    <w:rsid w:val="00F468C7"/>
    <w:rsid w:val="00F47559"/>
    <w:rsid w:val="00F50B30"/>
    <w:rsid w:val="00F51F5F"/>
    <w:rsid w:val="00F524AC"/>
    <w:rsid w:val="00F52D75"/>
    <w:rsid w:val="00F55582"/>
    <w:rsid w:val="00F57647"/>
    <w:rsid w:val="00F62A14"/>
    <w:rsid w:val="00F6379C"/>
    <w:rsid w:val="00F644AB"/>
    <w:rsid w:val="00F64C7B"/>
    <w:rsid w:val="00F676DD"/>
    <w:rsid w:val="00F67AB6"/>
    <w:rsid w:val="00F70028"/>
    <w:rsid w:val="00F70434"/>
    <w:rsid w:val="00F75A26"/>
    <w:rsid w:val="00F76706"/>
    <w:rsid w:val="00F77D6D"/>
    <w:rsid w:val="00F80206"/>
    <w:rsid w:val="00F83034"/>
    <w:rsid w:val="00F83FAD"/>
    <w:rsid w:val="00F844C6"/>
    <w:rsid w:val="00F92FA6"/>
    <w:rsid w:val="00F9353B"/>
    <w:rsid w:val="00F937F1"/>
    <w:rsid w:val="00F952A0"/>
    <w:rsid w:val="00FA31B1"/>
    <w:rsid w:val="00FA3320"/>
    <w:rsid w:val="00FA3C7F"/>
    <w:rsid w:val="00FA449A"/>
    <w:rsid w:val="00FA6246"/>
    <w:rsid w:val="00FB24ED"/>
    <w:rsid w:val="00FB3304"/>
    <w:rsid w:val="00FB5005"/>
    <w:rsid w:val="00FB60FE"/>
    <w:rsid w:val="00FB61C1"/>
    <w:rsid w:val="00FB74E2"/>
    <w:rsid w:val="00FB778B"/>
    <w:rsid w:val="00FB7804"/>
    <w:rsid w:val="00FC032D"/>
    <w:rsid w:val="00FD4A75"/>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footnote reference"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footnote reference"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planning.vic.gov.au/land-use-and-population-research/victoria-in-future-2016/victoria-in-future-data-tables"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9B0C8F8A</Template>
  <TotalTime>0</TotalTime>
  <Pages>16</Pages>
  <Words>3705</Words>
  <Characters>21122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2016-01-31T23:02:00Z</dcterms:created>
  <dcterms:modified xsi:type="dcterms:W3CDTF">2017-07-03T00:58:00Z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