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281" w:rsidRDefault="007C5AF3" w:rsidP="00290C63">
      <w:pPr>
        <w:rPr>
          <w:rFonts w:eastAsiaTheme="majorEastAsia" w:cstheme="majorBidi"/>
          <w:noProof/>
          <w:sz w:val="36"/>
          <w:szCs w:val="36"/>
          <w:lang w:eastAsia="en-AU"/>
        </w:rPr>
      </w:pPr>
      <w:r w:rsidRPr="00DB723B">
        <w:rPr>
          <w:noProof/>
          <w:lang w:eastAsia="en-AU"/>
        </w:rPr>
        <w:drawing>
          <wp:anchor distT="0" distB="0" distL="114300" distR="114300" simplePos="0" relativeHeight="251661312" behindDoc="1" locked="0" layoutInCell="1" allowOverlap="1" wp14:anchorId="33AD0359" wp14:editId="0F663C16">
            <wp:simplePos x="0" y="0"/>
            <wp:positionH relativeFrom="column">
              <wp:posOffset>-1116965</wp:posOffset>
            </wp:positionH>
            <wp:positionV relativeFrom="paragraph">
              <wp:posOffset>-942340</wp:posOffset>
            </wp:positionV>
            <wp:extent cx="7734300" cy="1118933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734300" cy="11189335"/>
                    </a:xfrm>
                    <a:prstGeom prst="rect">
                      <a:avLst/>
                    </a:prstGeom>
                    <a:noFill/>
                  </pic:spPr>
                </pic:pic>
              </a:graphicData>
            </a:graphic>
            <wp14:sizeRelH relativeFrom="page">
              <wp14:pctWidth>0</wp14:pctWidth>
            </wp14:sizeRelH>
            <wp14:sizeRelV relativeFrom="page">
              <wp14:pctHeight>0</wp14:pctHeight>
            </wp14:sizeRelV>
          </wp:anchor>
        </w:drawing>
      </w:r>
      <w:r w:rsidR="00DE3281">
        <w:t>`</w:t>
      </w:r>
    </w:p>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74D0610F" wp14:editId="79288351">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8A3285" w:rsidRDefault="008A3285" w:rsidP="00D5015C">
          <w:pPr>
            <w:pStyle w:val="ReportSubtitle"/>
          </w:pPr>
          <w:r w:rsidRPr="008A3285">
            <w:t>DRAFT DECISION</w:t>
          </w:r>
        </w:p>
        <w:p w:rsidR="00306F5A" w:rsidRDefault="00306F5A" w:rsidP="00D5015C">
          <w:pPr>
            <w:pStyle w:val="ReportSubtitle"/>
          </w:pPr>
          <w:r>
            <w:t>AusNet Services</w:t>
          </w:r>
          <w:r w:rsidR="00D5015C">
            <w:t xml:space="preserve"> </w:t>
          </w:r>
        </w:p>
        <w:p w:rsidR="00D5015C" w:rsidRDefault="00306F5A" w:rsidP="00D5015C">
          <w:pPr>
            <w:pStyle w:val="ReportSubtitle"/>
          </w:pPr>
          <w:r>
            <w:t>G</w:t>
          </w:r>
          <w:r w:rsidR="00D5015C">
            <w:t>as access arrangement</w:t>
          </w:r>
        </w:p>
        <w:p w:rsidR="00D5015C" w:rsidRDefault="00D5015C" w:rsidP="00D5015C">
          <w:pPr>
            <w:pStyle w:val="ReportSubtitle"/>
          </w:pPr>
          <w:r>
            <w:t xml:space="preserve"> 2018 to 2022</w:t>
          </w:r>
        </w:p>
        <w:p w:rsidR="008F07A3" w:rsidRPr="000A6C7B" w:rsidRDefault="008F07A3" w:rsidP="00D5015C">
          <w:pPr>
            <w:pStyle w:val="ReportSubtitle"/>
            <w:tabs>
              <w:tab w:val="left" w:pos="1122"/>
              <w:tab w:val="center" w:pos="4238"/>
            </w:tabs>
            <w:jc w:val="left"/>
          </w:pPr>
        </w:p>
        <w:p w:rsidR="000A6C7B" w:rsidRDefault="0037699E" w:rsidP="008F07A3">
          <w:pPr>
            <w:pStyle w:val="ReportSubtitle"/>
          </w:pPr>
          <w:r>
            <w:t xml:space="preserve">Attachment </w:t>
          </w:r>
          <w:r w:rsidR="007F665B">
            <w:t>5</w:t>
          </w:r>
          <w:r w:rsidR="000474DF">
            <w:t xml:space="preserve"> </w:t>
          </w:r>
          <w:r w:rsidR="00185BA5">
            <w:t>–</w:t>
          </w:r>
          <w:r w:rsidR="000474DF">
            <w:t xml:space="preserve"> </w:t>
          </w:r>
          <w:r w:rsidR="007F665B">
            <w:t>Regulatory depreciation</w:t>
          </w:r>
        </w:p>
        <w:p w:rsidR="00D5015C" w:rsidRDefault="00D5015C" w:rsidP="00327A1E">
          <w:pPr>
            <w:pStyle w:val="ReportDate"/>
          </w:pPr>
        </w:p>
        <w:p w:rsidR="00D5015C" w:rsidRDefault="00D5015C" w:rsidP="00327A1E">
          <w:pPr>
            <w:pStyle w:val="ReportDate"/>
          </w:pPr>
        </w:p>
        <w:p w:rsidR="000A6C7B" w:rsidRPr="00327A1E" w:rsidRDefault="00593AEA" w:rsidP="00327A1E">
          <w:pPr>
            <w:pStyle w:val="ReportDate"/>
          </w:pPr>
          <w:r>
            <w:t>Ju</w:t>
          </w:r>
          <w:r w:rsidR="007C5AF3">
            <w:t>ly</w:t>
          </w:r>
          <w:r w:rsidR="00D5015C">
            <w:t xml:space="preserve"> </w:t>
          </w:r>
          <w:r w:rsidR="00F22A8C">
            <w:t>2017</w:t>
          </w:r>
        </w:p>
      </w:sdtContent>
    </w:sdt>
    <w:p w:rsidR="00327A1E" w:rsidRPr="00290C63" w:rsidRDefault="00327A1E" w:rsidP="00290C63">
      <w:r>
        <w:br w:type="page"/>
      </w:r>
    </w:p>
    <w:p w:rsidR="00CE2A23" w:rsidRDefault="00CE2A23" w:rsidP="00761454">
      <w:bookmarkStart w:id="0" w:name="_Toc411428008"/>
      <w:r>
        <w:lastRenderedPageBreak/>
        <w:t>© Commonwealth of Australia 201</w:t>
      </w:r>
      <w:r w:rsidR="007F665B">
        <w:t>7</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 xml:space="preserve">Tel: </w:t>
      </w:r>
      <w:r w:rsidR="00593AEA">
        <w:t>1300 585 165</w:t>
      </w:r>
      <w:r>
        <w:br/>
      </w:r>
    </w:p>
    <w:p w:rsidR="00CE2A23" w:rsidRDefault="00CE2A23" w:rsidP="00761454">
      <w:r>
        <w:t xml:space="preserve">Email: </w:t>
      </w:r>
      <w:hyperlink r:id="rId12"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1" w:name="_Toc404153950"/>
      <w:bookmarkStart w:id="2" w:name="_Toc404437593"/>
      <w:bookmarkStart w:id="3" w:name="_Toc486841964"/>
      <w:r>
        <w:lastRenderedPageBreak/>
        <w:t>Note</w:t>
      </w:r>
      <w:bookmarkEnd w:id="1"/>
      <w:bookmarkEnd w:id="2"/>
      <w:bookmarkEnd w:id="3"/>
    </w:p>
    <w:p w:rsidR="00D5015C" w:rsidRDefault="00D5015C" w:rsidP="00D5015C">
      <w:pPr>
        <w:numPr>
          <w:ilvl w:val="0"/>
          <w:numId w:val="23"/>
        </w:numPr>
      </w:pPr>
      <w:r>
        <w:t xml:space="preserve">This attachment forms part of the AER's draft decision on the access arrangement for </w:t>
      </w:r>
      <w:r w:rsidR="00306F5A">
        <w:t>AusNet Services</w:t>
      </w:r>
      <w:r>
        <w:t xml:space="preserve"> for 2018</w:t>
      </w:r>
      <w:r>
        <w:noBreakHyphen/>
        <w:t>22. It should be read with all other parts of the draft decision.</w:t>
      </w:r>
    </w:p>
    <w:p w:rsidR="00D5015C" w:rsidRDefault="00D5015C" w:rsidP="00D5015C">
      <w:pPr>
        <w:numPr>
          <w:ilvl w:val="0"/>
          <w:numId w:val="23"/>
        </w:numPr>
      </w:pPr>
      <w:r>
        <w:t>The draft decision includes the following documents:</w:t>
      </w:r>
    </w:p>
    <w:p w:rsidR="00D5015C" w:rsidRDefault="00D5015C" w:rsidP="00D5015C">
      <w:pPr>
        <w:numPr>
          <w:ilvl w:val="0"/>
          <w:numId w:val="23"/>
        </w:numPr>
      </w:pPr>
      <w:r>
        <w:t>Overview</w:t>
      </w:r>
    </w:p>
    <w:p w:rsidR="00D5015C" w:rsidRDefault="00D5015C" w:rsidP="00D5015C">
      <w:r>
        <w:t>Attachment 1 - Services covered by the access arrangement</w:t>
      </w:r>
    </w:p>
    <w:p w:rsidR="00D5015C" w:rsidRDefault="00D5015C" w:rsidP="00D5015C">
      <w:r>
        <w:t>Attachment 2 - Capital base</w:t>
      </w:r>
    </w:p>
    <w:p w:rsidR="00D5015C" w:rsidRDefault="00D5015C" w:rsidP="00D5015C">
      <w:r>
        <w:t>Attachment 3 - Rate of return</w:t>
      </w:r>
    </w:p>
    <w:p w:rsidR="00D5015C" w:rsidRDefault="00D5015C" w:rsidP="00D5015C">
      <w:r>
        <w:t>Attachment 4 - Value of imputation credits</w:t>
      </w:r>
    </w:p>
    <w:p w:rsidR="00D5015C" w:rsidRDefault="00D5015C" w:rsidP="00D5015C">
      <w:r>
        <w:t>Attachment 5 - Regulatory depreciation</w:t>
      </w:r>
    </w:p>
    <w:p w:rsidR="00D5015C" w:rsidRDefault="00D5015C" w:rsidP="00D5015C">
      <w:r>
        <w:t xml:space="preserve">Attachment 6 - Capital expenditure </w:t>
      </w:r>
    </w:p>
    <w:p w:rsidR="00D5015C" w:rsidRDefault="00D5015C" w:rsidP="00D5015C">
      <w:r>
        <w:t>Attachment 7 - Operating expenditure</w:t>
      </w:r>
    </w:p>
    <w:p w:rsidR="00D5015C" w:rsidRDefault="00D5015C" w:rsidP="00D5015C">
      <w:r>
        <w:t>Attachment 8 - Corporate income tax</w:t>
      </w:r>
    </w:p>
    <w:p w:rsidR="00D5015C" w:rsidRDefault="00D5015C" w:rsidP="00D5015C">
      <w:r>
        <w:t>Attachment 9 - Efficiency carryover mechanism</w:t>
      </w:r>
    </w:p>
    <w:p w:rsidR="00D5015C" w:rsidRDefault="00D5015C" w:rsidP="00D5015C">
      <w:r>
        <w:t>Attachment 10 - Reference tariff setting</w:t>
      </w:r>
    </w:p>
    <w:p w:rsidR="00D5015C" w:rsidRDefault="00D5015C" w:rsidP="00D5015C">
      <w:r>
        <w:t>Attachment 11 - Reference tariff variation mechanism</w:t>
      </w:r>
    </w:p>
    <w:p w:rsidR="00D5015C" w:rsidRDefault="00D5015C" w:rsidP="00D5015C">
      <w:r>
        <w:t>Attachment 12 - Non-tariff components</w:t>
      </w:r>
    </w:p>
    <w:p w:rsidR="00D5015C" w:rsidRDefault="00D5015C" w:rsidP="00D5015C">
      <w:r>
        <w:t>Attachment 13 - Demand</w:t>
      </w:r>
    </w:p>
    <w:p w:rsidR="00D5015C" w:rsidRDefault="00D5015C" w:rsidP="00D5015C">
      <w:r>
        <w:t>Attachment 14 - Other incentive schemes</w:t>
      </w:r>
    </w:p>
    <w:p w:rsidR="00761454" w:rsidRPr="009D3906" w:rsidRDefault="00761454" w:rsidP="00761454"/>
    <w:p w:rsidR="00CE2A23" w:rsidRPr="00CE2A23" w:rsidRDefault="00CE2A23" w:rsidP="00CE2A23">
      <w:bookmarkStart w:id="4" w:name="_Toc404354899"/>
      <w:bookmarkStart w:id="5" w:name="_Toc404353070"/>
      <w:bookmarkStart w:id="6" w:name="_Toc404684201"/>
      <w:bookmarkStart w:id="7" w:name="_Toc404700923"/>
      <w:r>
        <w:br w:type="page"/>
      </w:r>
    </w:p>
    <w:bookmarkEnd w:id="4"/>
    <w:bookmarkEnd w:id="5"/>
    <w:bookmarkEnd w:id="6"/>
    <w:bookmarkEnd w:id="7"/>
    <w:p w:rsidR="00CE2A23" w:rsidRPr="008F07A3" w:rsidRDefault="00CE2A23" w:rsidP="00CE2A23">
      <w:pPr>
        <w:numPr>
          <w:ilvl w:val="0"/>
          <w:numId w:val="24"/>
        </w:numPr>
        <w:sectPr w:rsidR="00CE2A23" w:rsidRPr="008F07A3" w:rsidSect="00317E02">
          <w:footerReference w:type="even" r:id="rId13"/>
          <w:footerReference w:type="default" r:id="rId14"/>
          <w:footerReference w:type="first" r:id="rId15"/>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8" w:name="_Toc403144133"/>
      <w:bookmarkStart w:id="9" w:name="_Toc486841965"/>
      <w:r>
        <w:t>Contents</w:t>
      </w:r>
      <w:bookmarkEnd w:id="8"/>
      <w:bookmarkEnd w:id="9"/>
    </w:p>
    <w:p w:rsidR="00CE2A23" w:rsidRDefault="00CE2A23" w:rsidP="00CE2A23"/>
    <w:sdt>
      <w:sdtPr>
        <w:id w:val="1269200322"/>
        <w:docPartObj>
          <w:docPartGallery w:val="Table of Contents"/>
          <w:docPartUnique/>
        </w:docPartObj>
      </w:sdtPr>
      <w:sdtEndPr/>
      <w:sdtContent>
        <w:p w:rsidR="00017285" w:rsidRDefault="009217B9">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 </w:instrText>
          </w:r>
          <w:r>
            <w:fldChar w:fldCharType="separate"/>
          </w:r>
          <w:hyperlink w:anchor="_Toc486841964" w:history="1">
            <w:r w:rsidR="00017285" w:rsidRPr="00F0330B">
              <w:rPr>
                <w:rStyle w:val="Hyperlink"/>
              </w:rPr>
              <w:t>Note</w:t>
            </w:r>
            <w:r w:rsidR="00017285">
              <w:rPr>
                <w:webHidden/>
              </w:rPr>
              <w:tab/>
            </w:r>
            <w:r w:rsidR="00017285">
              <w:rPr>
                <w:webHidden/>
              </w:rPr>
              <w:fldChar w:fldCharType="begin"/>
            </w:r>
            <w:r w:rsidR="00017285">
              <w:rPr>
                <w:webHidden/>
              </w:rPr>
              <w:instrText xml:space="preserve"> PAGEREF _Toc486841964 \h </w:instrText>
            </w:r>
            <w:r w:rsidR="00017285">
              <w:rPr>
                <w:webHidden/>
              </w:rPr>
            </w:r>
            <w:r w:rsidR="00017285">
              <w:rPr>
                <w:webHidden/>
              </w:rPr>
              <w:fldChar w:fldCharType="separate"/>
            </w:r>
            <w:r w:rsidR="00621ED7">
              <w:rPr>
                <w:webHidden/>
              </w:rPr>
              <w:t>5-2</w:t>
            </w:r>
            <w:r w:rsidR="00017285">
              <w:rPr>
                <w:webHidden/>
              </w:rPr>
              <w:fldChar w:fldCharType="end"/>
            </w:r>
          </w:hyperlink>
        </w:p>
        <w:p w:rsidR="00017285" w:rsidRDefault="00017285">
          <w:pPr>
            <w:pStyle w:val="TOC1"/>
            <w:rPr>
              <w:rFonts w:asciiTheme="minorHAnsi" w:eastAsiaTheme="minorEastAsia" w:hAnsiTheme="minorHAnsi"/>
              <w:b w:val="0"/>
              <w:color w:val="auto"/>
              <w:sz w:val="22"/>
              <w:lang w:val="en-AU" w:eastAsia="en-AU"/>
            </w:rPr>
          </w:pPr>
          <w:hyperlink w:anchor="_Toc486841965" w:history="1">
            <w:r w:rsidRPr="00F0330B">
              <w:rPr>
                <w:rStyle w:val="Hyperlink"/>
              </w:rPr>
              <w:t>Contents</w:t>
            </w:r>
            <w:r>
              <w:rPr>
                <w:webHidden/>
              </w:rPr>
              <w:tab/>
            </w:r>
            <w:r>
              <w:rPr>
                <w:webHidden/>
              </w:rPr>
              <w:fldChar w:fldCharType="begin"/>
            </w:r>
            <w:r>
              <w:rPr>
                <w:webHidden/>
              </w:rPr>
              <w:instrText xml:space="preserve"> PAGEREF _Toc486841965 \h </w:instrText>
            </w:r>
            <w:r>
              <w:rPr>
                <w:webHidden/>
              </w:rPr>
            </w:r>
            <w:r>
              <w:rPr>
                <w:webHidden/>
              </w:rPr>
              <w:fldChar w:fldCharType="separate"/>
            </w:r>
            <w:r w:rsidR="00621ED7">
              <w:rPr>
                <w:webHidden/>
              </w:rPr>
              <w:t>5-3</w:t>
            </w:r>
            <w:r>
              <w:rPr>
                <w:webHidden/>
              </w:rPr>
              <w:fldChar w:fldCharType="end"/>
            </w:r>
          </w:hyperlink>
        </w:p>
        <w:p w:rsidR="00017285" w:rsidRDefault="00017285">
          <w:pPr>
            <w:pStyle w:val="TOC1"/>
            <w:rPr>
              <w:rFonts w:asciiTheme="minorHAnsi" w:eastAsiaTheme="minorEastAsia" w:hAnsiTheme="minorHAnsi"/>
              <w:b w:val="0"/>
              <w:color w:val="auto"/>
              <w:sz w:val="22"/>
              <w:lang w:val="en-AU" w:eastAsia="en-AU"/>
            </w:rPr>
          </w:pPr>
          <w:hyperlink w:anchor="_Toc486841966" w:history="1">
            <w:r w:rsidRPr="00F0330B">
              <w:rPr>
                <w:rStyle w:val="Hyperlink"/>
              </w:rPr>
              <w:t>Shortened forms</w:t>
            </w:r>
            <w:r>
              <w:rPr>
                <w:webHidden/>
              </w:rPr>
              <w:tab/>
            </w:r>
            <w:r>
              <w:rPr>
                <w:webHidden/>
              </w:rPr>
              <w:fldChar w:fldCharType="begin"/>
            </w:r>
            <w:r>
              <w:rPr>
                <w:webHidden/>
              </w:rPr>
              <w:instrText xml:space="preserve"> PAGEREF _Toc486841966 \h </w:instrText>
            </w:r>
            <w:r>
              <w:rPr>
                <w:webHidden/>
              </w:rPr>
            </w:r>
            <w:r>
              <w:rPr>
                <w:webHidden/>
              </w:rPr>
              <w:fldChar w:fldCharType="separate"/>
            </w:r>
            <w:r w:rsidR="00621ED7">
              <w:rPr>
                <w:webHidden/>
              </w:rPr>
              <w:t>5-4</w:t>
            </w:r>
            <w:r>
              <w:rPr>
                <w:webHidden/>
              </w:rPr>
              <w:fldChar w:fldCharType="end"/>
            </w:r>
          </w:hyperlink>
        </w:p>
        <w:p w:rsidR="00017285" w:rsidRDefault="00017285">
          <w:pPr>
            <w:pStyle w:val="TOC1"/>
            <w:rPr>
              <w:rFonts w:asciiTheme="minorHAnsi" w:eastAsiaTheme="minorEastAsia" w:hAnsiTheme="minorHAnsi"/>
              <w:b w:val="0"/>
              <w:color w:val="auto"/>
              <w:sz w:val="22"/>
              <w:lang w:val="en-AU" w:eastAsia="en-AU"/>
            </w:rPr>
          </w:pPr>
          <w:hyperlink w:anchor="_Toc486841967" w:history="1">
            <w:r w:rsidRPr="00F0330B">
              <w:rPr>
                <w:rStyle w:val="Hyperlink"/>
              </w:rPr>
              <w:t>5</w:t>
            </w:r>
            <w:r>
              <w:rPr>
                <w:rFonts w:asciiTheme="minorHAnsi" w:eastAsiaTheme="minorEastAsia" w:hAnsiTheme="minorHAnsi"/>
                <w:b w:val="0"/>
                <w:color w:val="auto"/>
                <w:sz w:val="22"/>
                <w:lang w:val="en-AU" w:eastAsia="en-AU"/>
              </w:rPr>
              <w:tab/>
            </w:r>
            <w:r w:rsidRPr="00F0330B">
              <w:rPr>
                <w:rStyle w:val="Hyperlink"/>
              </w:rPr>
              <w:t>Regulatory depreciation</w:t>
            </w:r>
            <w:r>
              <w:rPr>
                <w:webHidden/>
              </w:rPr>
              <w:tab/>
            </w:r>
            <w:r>
              <w:rPr>
                <w:webHidden/>
              </w:rPr>
              <w:fldChar w:fldCharType="begin"/>
            </w:r>
            <w:r>
              <w:rPr>
                <w:webHidden/>
              </w:rPr>
              <w:instrText xml:space="preserve"> PAGEREF _Toc486841967 \h </w:instrText>
            </w:r>
            <w:r>
              <w:rPr>
                <w:webHidden/>
              </w:rPr>
            </w:r>
            <w:r>
              <w:rPr>
                <w:webHidden/>
              </w:rPr>
              <w:fldChar w:fldCharType="separate"/>
            </w:r>
            <w:r w:rsidR="00621ED7">
              <w:rPr>
                <w:webHidden/>
              </w:rPr>
              <w:t>5-5</w:t>
            </w:r>
            <w:r>
              <w:rPr>
                <w:webHidden/>
              </w:rPr>
              <w:fldChar w:fldCharType="end"/>
            </w:r>
          </w:hyperlink>
        </w:p>
        <w:p w:rsidR="00017285" w:rsidRDefault="00017285">
          <w:pPr>
            <w:pStyle w:val="TOC2"/>
            <w:rPr>
              <w:rFonts w:asciiTheme="minorHAnsi" w:eastAsiaTheme="minorEastAsia" w:hAnsiTheme="minorHAnsi"/>
              <w:b w:val="0"/>
              <w:color w:val="auto"/>
              <w:sz w:val="22"/>
              <w:lang w:eastAsia="en-AU"/>
            </w:rPr>
          </w:pPr>
          <w:hyperlink w:anchor="_Toc486841968" w:history="1">
            <w:r w:rsidRPr="00F0330B">
              <w:rPr>
                <w:rStyle w:val="Hyperlink"/>
              </w:rPr>
              <w:t>5.1</w:t>
            </w:r>
            <w:r>
              <w:rPr>
                <w:rFonts w:asciiTheme="minorHAnsi" w:eastAsiaTheme="minorEastAsia" w:hAnsiTheme="minorHAnsi"/>
                <w:b w:val="0"/>
                <w:color w:val="auto"/>
                <w:sz w:val="22"/>
                <w:lang w:eastAsia="en-AU"/>
              </w:rPr>
              <w:tab/>
            </w:r>
            <w:r w:rsidRPr="00F0330B">
              <w:rPr>
                <w:rStyle w:val="Hyperlink"/>
              </w:rPr>
              <w:t>Draft decision</w:t>
            </w:r>
            <w:r>
              <w:rPr>
                <w:webHidden/>
              </w:rPr>
              <w:tab/>
            </w:r>
            <w:r>
              <w:rPr>
                <w:webHidden/>
              </w:rPr>
              <w:fldChar w:fldCharType="begin"/>
            </w:r>
            <w:r>
              <w:rPr>
                <w:webHidden/>
              </w:rPr>
              <w:instrText xml:space="preserve"> PAGEREF _Toc486841968 \h </w:instrText>
            </w:r>
            <w:r>
              <w:rPr>
                <w:webHidden/>
              </w:rPr>
            </w:r>
            <w:r>
              <w:rPr>
                <w:webHidden/>
              </w:rPr>
              <w:fldChar w:fldCharType="separate"/>
            </w:r>
            <w:r w:rsidR="00621ED7">
              <w:rPr>
                <w:webHidden/>
              </w:rPr>
              <w:t>5-5</w:t>
            </w:r>
            <w:r>
              <w:rPr>
                <w:webHidden/>
              </w:rPr>
              <w:fldChar w:fldCharType="end"/>
            </w:r>
          </w:hyperlink>
        </w:p>
        <w:p w:rsidR="00017285" w:rsidRDefault="00017285">
          <w:pPr>
            <w:pStyle w:val="TOC2"/>
            <w:rPr>
              <w:rFonts w:asciiTheme="minorHAnsi" w:eastAsiaTheme="minorEastAsia" w:hAnsiTheme="minorHAnsi"/>
              <w:b w:val="0"/>
              <w:color w:val="auto"/>
              <w:sz w:val="22"/>
              <w:lang w:eastAsia="en-AU"/>
            </w:rPr>
          </w:pPr>
          <w:hyperlink w:anchor="_Toc486841969" w:history="1">
            <w:r w:rsidRPr="00F0330B">
              <w:rPr>
                <w:rStyle w:val="Hyperlink"/>
              </w:rPr>
              <w:t>5.2</w:t>
            </w:r>
            <w:r>
              <w:rPr>
                <w:rFonts w:asciiTheme="minorHAnsi" w:eastAsiaTheme="minorEastAsia" w:hAnsiTheme="minorHAnsi"/>
                <w:b w:val="0"/>
                <w:color w:val="auto"/>
                <w:sz w:val="22"/>
                <w:lang w:eastAsia="en-AU"/>
              </w:rPr>
              <w:tab/>
            </w:r>
            <w:r w:rsidRPr="00F0330B">
              <w:rPr>
                <w:rStyle w:val="Hyperlink"/>
              </w:rPr>
              <w:t>AusNet’s proposal</w:t>
            </w:r>
            <w:r>
              <w:rPr>
                <w:webHidden/>
              </w:rPr>
              <w:tab/>
            </w:r>
            <w:r>
              <w:rPr>
                <w:webHidden/>
              </w:rPr>
              <w:fldChar w:fldCharType="begin"/>
            </w:r>
            <w:r>
              <w:rPr>
                <w:webHidden/>
              </w:rPr>
              <w:instrText xml:space="preserve"> PAGEREF _Toc486841969 \h </w:instrText>
            </w:r>
            <w:r>
              <w:rPr>
                <w:webHidden/>
              </w:rPr>
            </w:r>
            <w:r>
              <w:rPr>
                <w:webHidden/>
              </w:rPr>
              <w:fldChar w:fldCharType="separate"/>
            </w:r>
            <w:r w:rsidR="00621ED7">
              <w:rPr>
                <w:webHidden/>
              </w:rPr>
              <w:t>5-6</w:t>
            </w:r>
            <w:r>
              <w:rPr>
                <w:webHidden/>
              </w:rPr>
              <w:fldChar w:fldCharType="end"/>
            </w:r>
          </w:hyperlink>
        </w:p>
        <w:p w:rsidR="00017285" w:rsidRDefault="00017285">
          <w:pPr>
            <w:pStyle w:val="TOC2"/>
            <w:rPr>
              <w:rFonts w:asciiTheme="minorHAnsi" w:eastAsiaTheme="minorEastAsia" w:hAnsiTheme="minorHAnsi"/>
              <w:b w:val="0"/>
              <w:color w:val="auto"/>
              <w:sz w:val="22"/>
              <w:lang w:eastAsia="en-AU"/>
            </w:rPr>
          </w:pPr>
          <w:hyperlink w:anchor="_Toc486841970" w:history="1">
            <w:r w:rsidRPr="00F0330B">
              <w:rPr>
                <w:rStyle w:val="Hyperlink"/>
              </w:rPr>
              <w:t>5.3</w:t>
            </w:r>
            <w:r>
              <w:rPr>
                <w:rFonts w:asciiTheme="minorHAnsi" w:eastAsiaTheme="minorEastAsia" w:hAnsiTheme="minorHAnsi"/>
                <w:b w:val="0"/>
                <w:color w:val="auto"/>
                <w:sz w:val="22"/>
                <w:lang w:eastAsia="en-AU"/>
              </w:rPr>
              <w:tab/>
            </w:r>
            <w:r w:rsidRPr="00F0330B">
              <w:rPr>
                <w:rStyle w:val="Hyperlink"/>
              </w:rPr>
              <w:t>Assessment approach</w:t>
            </w:r>
            <w:r>
              <w:rPr>
                <w:webHidden/>
              </w:rPr>
              <w:tab/>
            </w:r>
            <w:r>
              <w:rPr>
                <w:webHidden/>
              </w:rPr>
              <w:fldChar w:fldCharType="begin"/>
            </w:r>
            <w:r>
              <w:rPr>
                <w:webHidden/>
              </w:rPr>
              <w:instrText xml:space="preserve"> PAGEREF _Toc486841970 \h </w:instrText>
            </w:r>
            <w:r>
              <w:rPr>
                <w:webHidden/>
              </w:rPr>
            </w:r>
            <w:r>
              <w:rPr>
                <w:webHidden/>
              </w:rPr>
              <w:fldChar w:fldCharType="separate"/>
            </w:r>
            <w:r w:rsidR="00621ED7">
              <w:rPr>
                <w:webHidden/>
              </w:rPr>
              <w:t>5-7</w:t>
            </w:r>
            <w:r>
              <w:rPr>
                <w:webHidden/>
              </w:rPr>
              <w:fldChar w:fldCharType="end"/>
            </w:r>
          </w:hyperlink>
        </w:p>
        <w:p w:rsidR="00017285" w:rsidRDefault="00017285">
          <w:pPr>
            <w:pStyle w:val="TOC3"/>
            <w:rPr>
              <w:rFonts w:asciiTheme="minorHAnsi" w:eastAsiaTheme="minorEastAsia" w:hAnsiTheme="minorHAnsi"/>
              <w:lang w:eastAsia="en-AU"/>
            </w:rPr>
          </w:pPr>
          <w:hyperlink w:anchor="_Toc486841971" w:history="1">
            <w:r w:rsidRPr="00F0330B">
              <w:rPr>
                <w:rStyle w:val="Hyperlink"/>
              </w:rPr>
              <w:t>5.3.1</w:t>
            </w:r>
            <w:r>
              <w:rPr>
                <w:rFonts w:asciiTheme="minorHAnsi" w:eastAsiaTheme="minorEastAsia" w:hAnsiTheme="minorHAnsi"/>
                <w:lang w:eastAsia="en-AU"/>
              </w:rPr>
              <w:tab/>
            </w:r>
            <w:r w:rsidRPr="00F0330B">
              <w:rPr>
                <w:rStyle w:val="Hyperlink"/>
              </w:rPr>
              <w:t>Interrelationships</w:t>
            </w:r>
            <w:r>
              <w:rPr>
                <w:webHidden/>
              </w:rPr>
              <w:tab/>
            </w:r>
            <w:r>
              <w:rPr>
                <w:webHidden/>
              </w:rPr>
              <w:fldChar w:fldCharType="begin"/>
            </w:r>
            <w:r>
              <w:rPr>
                <w:webHidden/>
              </w:rPr>
              <w:instrText xml:space="preserve"> PAGEREF _Toc486841971 \h </w:instrText>
            </w:r>
            <w:r>
              <w:rPr>
                <w:webHidden/>
              </w:rPr>
            </w:r>
            <w:r>
              <w:rPr>
                <w:webHidden/>
              </w:rPr>
              <w:fldChar w:fldCharType="separate"/>
            </w:r>
            <w:r w:rsidR="00621ED7">
              <w:rPr>
                <w:webHidden/>
              </w:rPr>
              <w:t>5-9</w:t>
            </w:r>
            <w:r>
              <w:rPr>
                <w:webHidden/>
              </w:rPr>
              <w:fldChar w:fldCharType="end"/>
            </w:r>
          </w:hyperlink>
        </w:p>
        <w:p w:rsidR="00017285" w:rsidRDefault="00017285">
          <w:pPr>
            <w:pStyle w:val="TOC2"/>
            <w:rPr>
              <w:rFonts w:asciiTheme="minorHAnsi" w:eastAsiaTheme="minorEastAsia" w:hAnsiTheme="minorHAnsi"/>
              <w:b w:val="0"/>
              <w:color w:val="auto"/>
              <w:sz w:val="22"/>
              <w:lang w:eastAsia="en-AU"/>
            </w:rPr>
          </w:pPr>
          <w:hyperlink w:anchor="_Toc486841972" w:history="1">
            <w:r w:rsidRPr="00F0330B">
              <w:rPr>
                <w:rStyle w:val="Hyperlink"/>
              </w:rPr>
              <w:t>5.4</w:t>
            </w:r>
            <w:r>
              <w:rPr>
                <w:rFonts w:asciiTheme="minorHAnsi" w:eastAsiaTheme="minorEastAsia" w:hAnsiTheme="minorHAnsi"/>
                <w:b w:val="0"/>
                <w:color w:val="auto"/>
                <w:sz w:val="22"/>
                <w:lang w:eastAsia="en-AU"/>
              </w:rPr>
              <w:tab/>
            </w:r>
            <w:r w:rsidRPr="00F0330B">
              <w:rPr>
                <w:rStyle w:val="Hyperlink"/>
              </w:rPr>
              <w:t>Reasons for draft decision</w:t>
            </w:r>
            <w:r>
              <w:rPr>
                <w:webHidden/>
              </w:rPr>
              <w:tab/>
            </w:r>
            <w:r>
              <w:rPr>
                <w:webHidden/>
              </w:rPr>
              <w:fldChar w:fldCharType="begin"/>
            </w:r>
            <w:r>
              <w:rPr>
                <w:webHidden/>
              </w:rPr>
              <w:instrText xml:space="preserve"> PAGEREF _Toc486841972 \h </w:instrText>
            </w:r>
            <w:r>
              <w:rPr>
                <w:webHidden/>
              </w:rPr>
            </w:r>
            <w:r>
              <w:rPr>
                <w:webHidden/>
              </w:rPr>
              <w:fldChar w:fldCharType="separate"/>
            </w:r>
            <w:r w:rsidR="00621ED7">
              <w:rPr>
                <w:webHidden/>
              </w:rPr>
              <w:t>5-11</w:t>
            </w:r>
            <w:r>
              <w:rPr>
                <w:webHidden/>
              </w:rPr>
              <w:fldChar w:fldCharType="end"/>
            </w:r>
          </w:hyperlink>
        </w:p>
        <w:p w:rsidR="00017285" w:rsidRDefault="00017285">
          <w:pPr>
            <w:pStyle w:val="TOC3"/>
            <w:rPr>
              <w:rFonts w:asciiTheme="minorHAnsi" w:eastAsiaTheme="minorEastAsia" w:hAnsiTheme="minorHAnsi"/>
              <w:lang w:eastAsia="en-AU"/>
            </w:rPr>
          </w:pPr>
          <w:hyperlink w:anchor="_Toc486841973" w:history="1">
            <w:r w:rsidRPr="00F0330B">
              <w:rPr>
                <w:rStyle w:val="Hyperlink"/>
              </w:rPr>
              <w:t>5.4.1</w:t>
            </w:r>
            <w:r>
              <w:rPr>
                <w:rFonts w:asciiTheme="minorHAnsi" w:eastAsiaTheme="minorEastAsia" w:hAnsiTheme="minorHAnsi"/>
                <w:lang w:eastAsia="en-AU"/>
              </w:rPr>
              <w:tab/>
            </w:r>
            <w:r w:rsidRPr="00F0330B">
              <w:rPr>
                <w:rStyle w:val="Hyperlink"/>
              </w:rPr>
              <w:t>Year-by-year tracking</w:t>
            </w:r>
            <w:r>
              <w:rPr>
                <w:webHidden/>
              </w:rPr>
              <w:tab/>
            </w:r>
            <w:r>
              <w:rPr>
                <w:webHidden/>
              </w:rPr>
              <w:fldChar w:fldCharType="begin"/>
            </w:r>
            <w:r>
              <w:rPr>
                <w:webHidden/>
              </w:rPr>
              <w:instrText xml:space="preserve"> PAGEREF _Toc486841973 \h </w:instrText>
            </w:r>
            <w:r>
              <w:rPr>
                <w:webHidden/>
              </w:rPr>
            </w:r>
            <w:r>
              <w:rPr>
                <w:webHidden/>
              </w:rPr>
              <w:fldChar w:fldCharType="separate"/>
            </w:r>
            <w:r w:rsidR="00621ED7">
              <w:rPr>
                <w:webHidden/>
              </w:rPr>
              <w:t>5-11</w:t>
            </w:r>
            <w:r>
              <w:rPr>
                <w:webHidden/>
              </w:rPr>
              <w:fldChar w:fldCharType="end"/>
            </w:r>
          </w:hyperlink>
        </w:p>
        <w:p w:rsidR="00017285" w:rsidRDefault="00017285">
          <w:pPr>
            <w:pStyle w:val="TOC3"/>
            <w:rPr>
              <w:rFonts w:asciiTheme="minorHAnsi" w:eastAsiaTheme="minorEastAsia" w:hAnsiTheme="minorHAnsi"/>
              <w:lang w:eastAsia="en-AU"/>
            </w:rPr>
          </w:pPr>
          <w:hyperlink w:anchor="_Toc486841974" w:history="1">
            <w:r w:rsidRPr="00F0330B">
              <w:rPr>
                <w:rStyle w:val="Hyperlink"/>
              </w:rPr>
              <w:t>5.4.2</w:t>
            </w:r>
            <w:r>
              <w:rPr>
                <w:rFonts w:asciiTheme="minorHAnsi" w:eastAsiaTheme="minorEastAsia" w:hAnsiTheme="minorHAnsi"/>
                <w:lang w:eastAsia="en-AU"/>
              </w:rPr>
              <w:tab/>
            </w:r>
            <w:r w:rsidRPr="00F0330B">
              <w:rPr>
                <w:rStyle w:val="Hyperlink"/>
              </w:rPr>
              <w:t>Standard asset lives</w:t>
            </w:r>
            <w:r>
              <w:rPr>
                <w:webHidden/>
              </w:rPr>
              <w:tab/>
            </w:r>
            <w:r>
              <w:rPr>
                <w:webHidden/>
              </w:rPr>
              <w:fldChar w:fldCharType="begin"/>
            </w:r>
            <w:r>
              <w:rPr>
                <w:webHidden/>
              </w:rPr>
              <w:instrText xml:space="preserve"> PAGEREF _Toc486841974 \h </w:instrText>
            </w:r>
            <w:r>
              <w:rPr>
                <w:webHidden/>
              </w:rPr>
            </w:r>
            <w:r>
              <w:rPr>
                <w:webHidden/>
              </w:rPr>
              <w:fldChar w:fldCharType="separate"/>
            </w:r>
            <w:r w:rsidR="00621ED7">
              <w:rPr>
                <w:webHidden/>
              </w:rPr>
              <w:t>5-12</w:t>
            </w:r>
            <w:r>
              <w:rPr>
                <w:webHidden/>
              </w:rPr>
              <w:fldChar w:fldCharType="end"/>
            </w:r>
          </w:hyperlink>
        </w:p>
        <w:p w:rsidR="00017285" w:rsidRDefault="00017285">
          <w:pPr>
            <w:pStyle w:val="TOC2"/>
            <w:rPr>
              <w:rFonts w:asciiTheme="minorHAnsi" w:eastAsiaTheme="minorEastAsia" w:hAnsiTheme="minorHAnsi"/>
              <w:b w:val="0"/>
              <w:color w:val="auto"/>
              <w:sz w:val="22"/>
              <w:lang w:eastAsia="en-AU"/>
            </w:rPr>
          </w:pPr>
          <w:hyperlink w:anchor="_Toc486841975" w:history="1">
            <w:r w:rsidRPr="00F0330B">
              <w:rPr>
                <w:rStyle w:val="Hyperlink"/>
              </w:rPr>
              <w:t>5.5</w:t>
            </w:r>
            <w:r>
              <w:rPr>
                <w:rFonts w:asciiTheme="minorHAnsi" w:eastAsiaTheme="minorEastAsia" w:hAnsiTheme="minorHAnsi"/>
                <w:b w:val="0"/>
                <w:color w:val="auto"/>
                <w:sz w:val="22"/>
                <w:lang w:eastAsia="en-AU"/>
              </w:rPr>
              <w:tab/>
            </w:r>
            <w:r w:rsidRPr="00F0330B">
              <w:rPr>
                <w:rStyle w:val="Hyperlink"/>
              </w:rPr>
              <w:t>Revisions</w:t>
            </w:r>
            <w:r>
              <w:rPr>
                <w:webHidden/>
              </w:rPr>
              <w:tab/>
            </w:r>
            <w:r>
              <w:rPr>
                <w:webHidden/>
              </w:rPr>
              <w:fldChar w:fldCharType="begin"/>
            </w:r>
            <w:r>
              <w:rPr>
                <w:webHidden/>
              </w:rPr>
              <w:instrText xml:space="preserve"> PAGEREF _Toc486841975 \h </w:instrText>
            </w:r>
            <w:r>
              <w:rPr>
                <w:webHidden/>
              </w:rPr>
            </w:r>
            <w:r>
              <w:rPr>
                <w:webHidden/>
              </w:rPr>
              <w:fldChar w:fldCharType="separate"/>
            </w:r>
            <w:r w:rsidR="00621ED7">
              <w:rPr>
                <w:webHidden/>
              </w:rPr>
              <w:t>5-13</w:t>
            </w:r>
            <w:r>
              <w:rPr>
                <w:webHidden/>
              </w:rPr>
              <w:fldChar w:fldCharType="end"/>
            </w:r>
          </w:hyperlink>
        </w:p>
        <w:p w:rsidR="00CE2A23" w:rsidRDefault="009217B9" w:rsidP="009217B9">
          <w:pPr>
            <w:pStyle w:val="TOC1"/>
          </w:pPr>
          <w:r>
            <w:fldChar w:fldCharType="end"/>
          </w:r>
        </w:p>
      </w:sdtContent>
    </w:sdt>
    <w:p w:rsidR="00CE2A23" w:rsidRPr="00CE2A23" w:rsidRDefault="00CE2A23" w:rsidP="00CE2A23">
      <w:r>
        <w:t xml:space="preserve"> </w:t>
      </w:r>
    </w:p>
    <w:p w:rsidR="00CE2A23" w:rsidRDefault="00CE2A23" w:rsidP="00CE2A23">
      <w:pPr>
        <w:pStyle w:val="UnnumberedHeading"/>
        <w:numPr>
          <w:ilvl w:val="0"/>
          <w:numId w:val="23"/>
        </w:numPr>
      </w:pPr>
      <w:bookmarkStart w:id="10" w:name="_Toc404700925"/>
      <w:bookmarkStart w:id="11" w:name="_Toc486841966"/>
      <w:r>
        <w:t>Shortened forms</w:t>
      </w:r>
      <w:bookmarkEnd w:id="10"/>
      <w:bookmarkEnd w:id="11"/>
    </w:p>
    <w:tbl>
      <w:tblPr>
        <w:tblStyle w:val="AERtable-text0"/>
        <w:tblW w:w="0" w:type="auto"/>
        <w:tblLook w:val="04A0" w:firstRow="1" w:lastRow="0" w:firstColumn="1" w:lastColumn="0" w:noHBand="0" w:noVBand="1"/>
      </w:tblPr>
      <w:tblGrid>
        <w:gridCol w:w="4340"/>
        <w:gridCol w:w="4353"/>
      </w:tblGrid>
      <w:tr w:rsidR="00593AEA" w:rsidTr="00593AEA">
        <w:trPr>
          <w:cnfStyle w:val="100000000000" w:firstRow="1" w:lastRow="0" w:firstColumn="0" w:lastColumn="0" w:oddVBand="0" w:evenVBand="0" w:oddHBand="0" w:evenHBand="0" w:firstRowFirstColumn="0" w:firstRowLastColumn="0" w:lastRowFirstColumn="0" w:lastRowLastColumn="0"/>
        </w:trPr>
        <w:tc>
          <w:tcPr>
            <w:tcW w:w="4340" w:type="dxa"/>
          </w:tcPr>
          <w:p w:rsidR="00593AEA" w:rsidRDefault="00593AEA" w:rsidP="00593AEA">
            <w:pPr>
              <w:numPr>
                <w:ilvl w:val="0"/>
                <w:numId w:val="24"/>
              </w:numPr>
            </w:pPr>
            <w:r>
              <w:t>Shortened form</w:t>
            </w:r>
          </w:p>
        </w:tc>
        <w:tc>
          <w:tcPr>
            <w:tcW w:w="4353" w:type="dxa"/>
          </w:tcPr>
          <w:p w:rsidR="00593AEA" w:rsidRDefault="00593AEA" w:rsidP="00593AEA">
            <w:pPr>
              <w:numPr>
                <w:ilvl w:val="0"/>
                <w:numId w:val="24"/>
              </w:numPr>
            </w:pPr>
            <w:r>
              <w:t>Extended form</w:t>
            </w:r>
          </w:p>
        </w:tc>
      </w:tr>
      <w:tr w:rsidR="00593AEA" w:rsidTr="00593AEA">
        <w:tc>
          <w:tcPr>
            <w:tcW w:w="4340" w:type="dxa"/>
          </w:tcPr>
          <w:p w:rsidR="00593AEA" w:rsidRDefault="00593AEA" w:rsidP="00593AEA">
            <w:pPr>
              <w:numPr>
                <w:ilvl w:val="0"/>
                <w:numId w:val="24"/>
              </w:numPr>
            </w:pPr>
            <w:r>
              <w:t>AER</w:t>
            </w:r>
          </w:p>
        </w:tc>
        <w:tc>
          <w:tcPr>
            <w:tcW w:w="4353" w:type="dxa"/>
          </w:tcPr>
          <w:p w:rsidR="00593AEA" w:rsidRDefault="00593AEA" w:rsidP="00593AEA">
            <w:pPr>
              <w:numPr>
                <w:ilvl w:val="0"/>
                <w:numId w:val="24"/>
              </w:numPr>
            </w:pPr>
            <w:r>
              <w:t>Australian Energy Regulator</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ATO</w:t>
            </w:r>
          </w:p>
        </w:tc>
        <w:tc>
          <w:tcPr>
            <w:tcW w:w="4353" w:type="dxa"/>
          </w:tcPr>
          <w:p w:rsidR="00593AEA" w:rsidRPr="00650EFA" w:rsidRDefault="00593AEA" w:rsidP="00593AEA">
            <w:r>
              <w:t>Australian Tax Office</w:t>
            </w:r>
          </w:p>
        </w:tc>
      </w:tr>
      <w:tr w:rsidR="00593AEA" w:rsidTr="00593AEA">
        <w:tc>
          <w:tcPr>
            <w:tcW w:w="4340" w:type="dxa"/>
          </w:tcPr>
          <w:p w:rsidR="00593AEA" w:rsidRDefault="00593AEA" w:rsidP="00593AEA">
            <w:pPr>
              <w:numPr>
                <w:ilvl w:val="0"/>
                <w:numId w:val="24"/>
              </w:numPr>
            </w:pPr>
            <w:r>
              <w:t>capex</w:t>
            </w:r>
          </w:p>
        </w:tc>
        <w:tc>
          <w:tcPr>
            <w:tcW w:w="4353" w:type="dxa"/>
          </w:tcPr>
          <w:p w:rsidR="00593AEA" w:rsidRDefault="00593AEA" w:rsidP="00593AEA">
            <w:pPr>
              <w:numPr>
                <w:ilvl w:val="0"/>
                <w:numId w:val="24"/>
              </w:numPr>
            </w:pPr>
            <w:r>
              <w:t>capital expenditure</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CAPM</w:t>
            </w:r>
          </w:p>
        </w:tc>
        <w:tc>
          <w:tcPr>
            <w:tcW w:w="4353" w:type="dxa"/>
          </w:tcPr>
          <w:p w:rsidR="00593AEA" w:rsidRDefault="00593AEA" w:rsidP="00593AEA">
            <w:pPr>
              <w:numPr>
                <w:ilvl w:val="0"/>
                <w:numId w:val="24"/>
              </w:numPr>
            </w:pPr>
            <w:r>
              <w:t>capital asset pricing model</w:t>
            </w:r>
          </w:p>
        </w:tc>
      </w:tr>
      <w:tr w:rsidR="00593AEA" w:rsidTr="00593AEA">
        <w:tc>
          <w:tcPr>
            <w:tcW w:w="4340" w:type="dxa"/>
          </w:tcPr>
          <w:p w:rsidR="00593AEA" w:rsidRDefault="00593AEA" w:rsidP="00593AEA">
            <w:pPr>
              <w:numPr>
                <w:ilvl w:val="0"/>
                <w:numId w:val="24"/>
              </w:numPr>
            </w:pPr>
            <w:r>
              <w:t>CESS</w:t>
            </w:r>
          </w:p>
        </w:tc>
        <w:tc>
          <w:tcPr>
            <w:tcW w:w="4353" w:type="dxa"/>
          </w:tcPr>
          <w:p w:rsidR="00593AEA" w:rsidRDefault="00593AEA" w:rsidP="00593AEA">
            <w:pPr>
              <w:numPr>
                <w:ilvl w:val="0"/>
                <w:numId w:val="24"/>
              </w:numPr>
            </w:pPr>
            <w:r>
              <w:t>Capital Expenditure Sharing Scheme</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CPI</w:t>
            </w:r>
          </w:p>
        </w:tc>
        <w:tc>
          <w:tcPr>
            <w:tcW w:w="4353" w:type="dxa"/>
          </w:tcPr>
          <w:p w:rsidR="00593AEA" w:rsidRDefault="00593AEA" w:rsidP="00593AEA">
            <w:pPr>
              <w:numPr>
                <w:ilvl w:val="0"/>
                <w:numId w:val="24"/>
              </w:numPr>
            </w:pPr>
            <w:r>
              <w:t>consumer price index</w:t>
            </w:r>
          </w:p>
        </w:tc>
      </w:tr>
      <w:tr w:rsidR="00593AEA" w:rsidTr="00593AEA">
        <w:tc>
          <w:tcPr>
            <w:tcW w:w="4340" w:type="dxa"/>
          </w:tcPr>
          <w:p w:rsidR="00593AEA" w:rsidRDefault="00593AEA" w:rsidP="00593AEA">
            <w:pPr>
              <w:numPr>
                <w:ilvl w:val="0"/>
                <w:numId w:val="24"/>
              </w:numPr>
            </w:pPr>
            <w:r>
              <w:t>DRP</w:t>
            </w:r>
          </w:p>
        </w:tc>
        <w:tc>
          <w:tcPr>
            <w:tcW w:w="4353" w:type="dxa"/>
          </w:tcPr>
          <w:p w:rsidR="00593AEA" w:rsidRDefault="00593AEA" w:rsidP="00593AEA">
            <w:pPr>
              <w:numPr>
                <w:ilvl w:val="0"/>
                <w:numId w:val="24"/>
              </w:numPr>
            </w:pPr>
            <w:r>
              <w:t>debt risk premium</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ECM</w:t>
            </w:r>
          </w:p>
        </w:tc>
        <w:tc>
          <w:tcPr>
            <w:tcW w:w="4353" w:type="dxa"/>
          </w:tcPr>
          <w:p w:rsidR="00593AEA" w:rsidRPr="00650EFA" w:rsidRDefault="00593AEA" w:rsidP="00593AEA">
            <w:r>
              <w:t>(Opex) Efficiency Carryover Mechanism</w:t>
            </w:r>
          </w:p>
        </w:tc>
      </w:tr>
      <w:tr w:rsidR="00593AEA" w:rsidTr="00593AEA">
        <w:tc>
          <w:tcPr>
            <w:tcW w:w="4340" w:type="dxa"/>
          </w:tcPr>
          <w:p w:rsidR="00593AEA" w:rsidRDefault="00593AEA" w:rsidP="00593AEA">
            <w:pPr>
              <w:numPr>
                <w:ilvl w:val="0"/>
                <w:numId w:val="24"/>
              </w:numPr>
            </w:pPr>
            <w:r>
              <w:t>ERP</w:t>
            </w:r>
          </w:p>
        </w:tc>
        <w:tc>
          <w:tcPr>
            <w:tcW w:w="4353" w:type="dxa"/>
          </w:tcPr>
          <w:p w:rsidR="00593AEA" w:rsidRDefault="00593AEA" w:rsidP="00593AEA">
            <w:pPr>
              <w:numPr>
                <w:ilvl w:val="0"/>
                <w:numId w:val="24"/>
              </w:numPr>
            </w:pPr>
            <w:r>
              <w:t>equity risk premium</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Expenditure Guideline</w:t>
            </w:r>
          </w:p>
        </w:tc>
        <w:tc>
          <w:tcPr>
            <w:tcW w:w="4353" w:type="dxa"/>
          </w:tcPr>
          <w:p w:rsidR="00593AEA" w:rsidRPr="00650EFA" w:rsidRDefault="00593AEA" w:rsidP="00593AEA">
            <w:r>
              <w:t>Expenditure Forecast Assessment Guideline</w:t>
            </w:r>
          </w:p>
        </w:tc>
      </w:tr>
      <w:tr w:rsidR="00593AEA" w:rsidTr="00593AEA">
        <w:tc>
          <w:tcPr>
            <w:tcW w:w="4340" w:type="dxa"/>
          </w:tcPr>
          <w:p w:rsidR="00593AEA" w:rsidRDefault="00593AEA" w:rsidP="00593AEA">
            <w:pPr>
              <w:numPr>
                <w:ilvl w:val="0"/>
                <w:numId w:val="24"/>
              </w:numPr>
            </w:pPr>
            <w:r>
              <w:t>gamma</w:t>
            </w:r>
          </w:p>
        </w:tc>
        <w:tc>
          <w:tcPr>
            <w:tcW w:w="4353" w:type="dxa"/>
          </w:tcPr>
          <w:p w:rsidR="00593AEA" w:rsidRPr="00650EFA" w:rsidRDefault="00593AEA" w:rsidP="00593AEA">
            <w:r>
              <w:t>Value of Imputation Credits</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MRP</w:t>
            </w:r>
          </w:p>
        </w:tc>
        <w:tc>
          <w:tcPr>
            <w:tcW w:w="4353" w:type="dxa"/>
          </w:tcPr>
          <w:p w:rsidR="00593AEA" w:rsidRDefault="00593AEA" w:rsidP="00593AEA">
            <w:pPr>
              <w:numPr>
                <w:ilvl w:val="0"/>
                <w:numId w:val="24"/>
              </w:numPr>
            </w:pPr>
            <w:r>
              <w:t>market risk premium</w:t>
            </w:r>
          </w:p>
        </w:tc>
      </w:tr>
      <w:tr w:rsidR="00593AEA" w:rsidTr="00593AEA">
        <w:tc>
          <w:tcPr>
            <w:tcW w:w="4340" w:type="dxa"/>
          </w:tcPr>
          <w:p w:rsidR="00593AEA" w:rsidRDefault="00593AEA" w:rsidP="00593AEA">
            <w:pPr>
              <w:numPr>
                <w:ilvl w:val="0"/>
                <w:numId w:val="24"/>
              </w:numPr>
            </w:pPr>
            <w:r>
              <w:t>NGL</w:t>
            </w:r>
          </w:p>
        </w:tc>
        <w:tc>
          <w:tcPr>
            <w:tcW w:w="4353" w:type="dxa"/>
          </w:tcPr>
          <w:p w:rsidR="00593AEA" w:rsidRDefault="00593AEA" w:rsidP="00593AEA">
            <w:pPr>
              <w:numPr>
                <w:ilvl w:val="0"/>
                <w:numId w:val="24"/>
              </w:numPr>
            </w:pPr>
            <w:r>
              <w:t>National Gas Law</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NGO</w:t>
            </w:r>
          </w:p>
        </w:tc>
        <w:tc>
          <w:tcPr>
            <w:tcW w:w="4353" w:type="dxa"/>
          </w:tcPr>
          <w:p w:rsidR="00593AEA" w:rsidRDefault="00593AEA" w:rsidP="00593AEA">
            <w:pPr>
              <w:numPr>
                <w:ilvl w:val="0"/>
                <w:numId w:val="24"/>
              </w:numPr>
            </w:pPr>
            <w:r>
              <w:t>national gas objective</w:t>
            </w:r>
          </w:p>
        </w:tc>
      </w:tr>
      <w:tr w:rsidR="00593AEA" w:rsidTr="00593AEA">
        <w:tc>
          <w:tcPr>
            <w:tcW w:w="4340" w:type="dxa"/>
          </w:tcPr>
          <w:p w:rsidR="00593AEA" w:rsidRDefault="00593AEA" w:rsidP="00593AEA">
            <w:pPr>
              <w:numPr>
                <w:ilvl w:val="0"/>
                <w:numId w:val="24"/>
              </w:numPr>
            </w:pPr>
            <w:r>
              <w:t>NGR</w:t>
            </w:r>
          </w:p>
        </w:tc>
        <w:tc>
          <w:tcPr>
            <w:tcW w:w="4353" w:type="dxa"/>
          </w:tcPr>
          <w:p w:rsidR="00593AEA" w:rsidRDefault="00593AEA" w:rsidP="00593AEA">
            <w:pPr>
              <w:numPr>
                <w:ilvl w:val="0"/>
                <w:numId w:val="24"/>
              </w:numPr>
            </w:pPr>
            <w:r>
              <w:t>National Gas Rules</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NPV</w:t>
            </w:r>
          </w:p>
        </w:tc>
        <w:tc>
          <w:tcPr>
            <w:tcW w:w="4353" w:type="dxa"/>
          </w:tcPr>
          <w:p w:rsidR="00593AEA" w:rsidRPr="00650EFA" w:rsidRDefault="00593AEA" w:rsidP="00593AEA">
            <w:r>
              <w:t>net present value</w:t>
            </w:r>
          </w:p>
        </w:tc>
      </w:tr>
      <w:tr w:rsidR="00593AEA" w:rsidTr="00593AEA">
        <w:tc>
          <w:tcPr>
            <w:tcW w:w="4340" w:type="dxa"/>
          </w:tcPr>
          <w:p w:rsidR="00593AEA" w:rsidRDefault="00593AEA" w:rsidP="00593AEA">
            <w:pPr>
              <w:numPr>
                <w:ilvl w:val="0"/>
                <w:numId w:val="24"/>
              </w:numPr>
            </w:pPr>
            <w:r>
              <w:t>opex</w:t>
            </w:r>
          </w:p>
        </w:tc>
        <w:tc>
          <w:tcPr>
            <w:tcW w:w="4353" w:type="dxa"/>
          </w:tcPr>
          <w:p w:rsidR="00593AEA" w:rsidRDefault="00593AEA" w:rsidP="00593AEA">
            <w:pPr>
              <w:numPr>
                <w:ilvl w:val="0"/>
                <w:numId w:val="24"/>
              </w:numPr>
            </w:pPr>
            <w:r>
              <w:t>operating expenditure</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PTRM</w:t>
            </w:r>
          </w:p>
        </w:tc>
        <w:tc>
          <w:tcPr>
            <w:tcW w:w="4353" w:type="dxa"/>
          </w:tcPr>
          <w:p w:rsidR="00593AEA" w:rsidRDefault="00593AEA" w:rsidP="00593AEA">
            <w:pPr>
              <w:numPr>
                <w:ilvl w:val="0"/>
                <w:numId w:val="24"/>
              </w:numPr>
            </w:pPr>
            <w:r>
              <w:t>post-tax revenue model</w:t>
            </w:r>
          </w:p>
        </w:tc>
      </w:tr>
      <w:tr w:rsidR="00593AEA" w:rsidTr="00593AEA">
        <w:tc>
          <w:tcPr>
            <w:tcW w:w="4340" w:type="dxa"/>
          </w:tcPr>
          <w:p w:rsidR="00593AEA" w:rsidRDefault="00593AEA" w:rsidP="00593AEA">
            <w:pPr>
              <w:numPr>
                <w:ilvl w:val="0"/>
                <w:numId w:val="24"/>
              </w:numPr>
            </w:pPr>
            <w:r>
              <w:t>RBA</w:t>
            </w:r>
          </w:p>
        </w:tc>
        <w:tc>
          <w:tcPr>
            <w:tcW w:w="4353" w:type="dxa"/>
          </w:tcPr>
          <w:p w:rsidR="00593AEA" w:rsidRDefault="00593AEA" w:rsidP="00593AEA">
            <w:pPr>
              <w:numPr>
                <w:ilvl w:val="0"/>
                <w:numId w:val="24"/>
              </w:numPr>
            </w:pPr>
            <w:r>
              <w:t>Reserve Bank of Australia</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RFM</w:t>
            </w:r>
          </w:p>
        </w:tc>
        <w:tc>
          <w:tcPr>
            <w:tcW w:w="4353" w:type="dxa"/>
          </w:tcPr>
          <w:p w:rsidR="00593AEA" w:rsidRDefault="00593AEA" w:rsidP="00593AEA">
            <w:pPr>
              <w:numPr>
                <w:ilvl w:val="0"/>
                <w:numId w:val="24"/>
              </w:numPr>
            </w:pPr>
            <w:r>
              <w:t>roll forward model</w:t>
            </w:r>
          </w:p>
        </w:tc>
      </w:tr>
      <w:tr w:rsidR="00593AEA" w:rsidTr="00593AEA">
        <w:tc>
          <w:tcPr>
            <w:tcW w:w="4340" w:type="dxa"/>
          </w:tcPr>
          <w:p w:rsidR="00593AEA" w:rsidRDefault="00593AEA" w:rsidP="00593AEA">
            <w:pPr>
              <w:numPr>
                <w:ilvl w:val="0"/>
                <w:numId w:val="24"/>
              </w:numPr>
            </w:pPr>
            <w:r>
              <w:t>RIN</w:t>
            </w:r>
          </w:p>
        </w:tc>
        <w:tc>
          <w:tcPr>
            <w:tcW w:w="4353" w:type="dxa"/>
          </w:tcPr>
          <w:p w:rsidR="00593AEA" w:rsidRDefault="00593AEA" w:rsidP="00593AEA">
            <w:pPr>
              <w:numPr>
                <w:ilvl w:val="0"/>
                <w:numId w:val="24"/>
              </w:numPr>
            </w:pPr>
            <w:r>
              <w:t>regulatory information notice</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RPP</w:t>
            </w:r>
          </w:p>
        </w:tc>
        <w:tc>
          <w:tcPr>
            <w:tcW w:w="4353" w:type="dxa"/>
          </w:tcPr>
          <w:p w:rsidR="00593AEA" w:rsidRDefault="00593AEA" w:rsidP="00593AEA">
            <w:pPr>
              <w:numPr>
                <w:ilvl w:val="0"/>
                <w:numId w:val="24"/>
              </w:numPr>
            </w:pPr>
            <w:r>
              <w:t>revenue and pricing principles</w:t>
            </w:r>
          </w:p>
        </w:tc>
      </w:tr>
      <w:tr w:rsidR="00593AEA" w:rsidTr="00593AEA">
        <w:tc>
          <w:tcPr>
            <w:tcW w:w="4340" w:type="dxa"/>
          </w:tcPr>
          <w:p w:rsidR="00593AEA" w:rsidRDefault="00593AEA" w:rsidP="00593AEA">
            <w:pPr>
              <w:numPr>
                <w:ilvl w:val="0"/>
                <w:numId w:val="24"/>
              </w:numPr>
            </w:pPr>
            <w:r>
              <w:t>SLCAPM</w:t>
            </w:r>
          </w:p>
        </w:tc>
        <w:tc>
          <w:tcPr>
            <w:tcW w:w="4353" w:type="dxa"/>
          </w:tcPr>
          <w:p w:rsidR="00593AEA" w:rsidRDefault="00593AEA" w:rsidP="00593AEA">
            <w:pPr>
              <w:numPr>
                <w:ilvl w:val="0"/>
                <w:numId w:val="24"/>
              </w:numPr>
            </w:pPr>
            <w:r>
              <w:t>Sharpe-Lintner capital asset pricing model</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STTM</w:t>
            </w:r>
          </w:p>
        </w:tc>
        <w:tc>
          <w:tcPr>
            <w:tcW w:w="4353" w:type="dxa"/>
          </w:tcPr>
          <w:p w:rsidR="00593AEA" w:rsidRPr="00650EFA" w:rsidRDefault="00593AEA" w:rsidP="00593AEA">
            <w:r>
              <w:t>Short Term Trading Market</w:t>
            </w:r>
          </w:p>
        </w:tc>
      </w:tr>
      <w:tr w:rsidR="00593AEA" w:rsidTr="00593AEA">
        <w:tc>
          <w:tcPr>
            <w:tcW w:w="4340" w:type="dxa"/>
          </w:tcPr>
          <w:p w:rsidR="00593AEA" w:rsidRDefault="00593AEA" w:rsidP="00593AEA">
            <w:pPr>
              <w:numPr>
                <w:ilvl w:val="0"/>
                <w:numId w:val="24"/>
              </w:numPr>
            </w:pPr>
            <w:r>
              <w:t>TAB</w:t>
            </w:r>
          </w:p>
        </w:tc>
        <w:tc>
          <w:tcPr>
            <w:tcW w:w="4353" w:type="dxa"/>
          </w:tcPr>
          <w:p w:rsidR="00593AEA" w:rsidRPr="00650EFA" w:rsidRDefault="00593AEA" w:rsidP="00593AEA">
            <w:r>
              <w:t>Tax asset base</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UAFG</w:t>
            </w:r>
          </w:p>
        </w:tc>
        <w:tc>
          <w:tcPr>
            <w:tcW w:w="4353" w:type="dxa"/>
          </w:tcPr>
          <w:p w:rsidR="00593AEA" w:rsidRPr="00650EFA" w:rsidRDefault="00593AEA" w:rsidP="00593AEA">
            <w:r>
              <w:t>Unaccounted for gas</w:t>
            </w:r>
          </w:p>
        </w:tc>
      </w:tr>
      <w:tr w:rsidR="00593AEA" w:rsidTr="00593AEA">
        <w:tc>
          <w:tcPr>
            <w:tcW w:w="4340" w:type="dxa"/>
          </w:tcPr>
          <w:p w:rsidR="00593AEA" w:rsidRDefault="00593AEA" w:rsidP="00593AEA">
            <w:pPr>
              <w:numPr>
                <w:ilvl w:val="0"/>
                <w:numId w:val="24"/>
              </w:numPr>
            </w:pPr>
            <w:r>
              <w:t>WACC</w:t>
            </w:r>
          </w:p>
        </w:tc>
        <w:tc>
          <w:tcPr>
            <w:tcW w:w="4353" w:type="dxa"/>
          </w:tcPr>
          <w:p w:rsidR="00593AEA" w:rsidRDefault="00593AEA" w:rsidP="00593AEA">
            <w:pPr>
              <w:numPr>
                <w:ilvl w:val="0"/>
                <w:numId w:val="24"/>
              </w:numPr>
            </w:pPr>
            <w:r>
              <w:t>weighted average cost of capital</w:t>
            </w:r>
          </w:p>
        </w:tc>
      </w:tr>
      <w:tr w:rsidR="00593AEA" w:rsidTr="00593AEA">
        <w:trPr>
          <w:cnfStyle w:val="000000010000" w:firstRow="0" w:lastRow="0" w:firstColumn="0" w:lastColumn="0" w:oddVBand="0" w:evenVBand="0" w:oddHBand="0" w:evenHBand="1" w:firstRowFirstColumn="0" w:firstRowLastColumn="0" w:lastRowFirstColumn="0" w:lastRowLastColumn="0"/>
        </w:trPr>
        <w:tc>
          <w:tcPr>
            <w:tcW w:w="4340" w:type="dxa"/>
          </w:tcPr>
          <w:p w:rsidR="00593AEA" w:rsidRDefault="00593AEA" w:rsidP="00593AEA">
            <w:pPr>
              <w:numPr>
                <w:ilvl w:val="0"/>
                <w:numId w:val="24"/>
              </w:numPr>
            </w:pPr>
            <w:r>
              <w:t>WPI</w:t>
            </w:r>
          </w:p>
        </w:tc>
        <w:tc>
          <w:tcPr>
            <w:tcW w:w="4353" w:type="dxa"/>
          </w:tcPr>
          <w:p w:rsidR="00593AEA" w:rsidRPr="00650EFA" w:rsidRDefault="00593AEA" w:rsidP="00593AEA">
            <w:r>
              <w:t>Wage Price Index</w:t>
            </w:r>
          </w:p>
        </w:tc>
      </w:tr>
    </w:tbl>
    <w:p w:rsidR="00DE563D" w:rsidRDefault="007F665B" w:rsidP="007F665B">
      <w:pPr>
        <w:pStyle w:val="Heading1"/>
      </w:pPr>
      <w:bookmarkStart w:id="12" w:name="_Toc485215610"/>
      <w:bookmarkStart w:id="13" w:name="_Toc485215613"/>
      <w:bookmarkStart w:id="14" w:name="_Toc485215616"/>
      <w:bookmarkStart w:id="15" w:name="_Toc485215619"/>
      <w:bookmarkStart w:id="16" w:name="_Toc485215622"/>
      <w:bookmarkStart w:id="17" w:name="_Toc485215625"/>
      <w:bookmarkStart w:id="18" w:name="_Toc485215628"/>
      <w:bookmarkStart w:id="19" w:name="_Toc485215631"/>
      <w:bookmarkStart w:id="20" w:name="_Toc485215634"/>
      <w:bookmarkStart w:id="21" w:name="_Toc485215637"/>
      <w:bookmarkStart w:id="22" w:name="_Toc485215640"/>
      <w:bookmarkStart w:id="23" w:name="_Toc485215643"/>
      <w:bookmarkStart w:id="24" w:name="_Toc485215646"/>
      <w:bookmarkStart w:id="25" w:name="_Toc485215649"/>
      <w:bookmarkStart w:id="26" w:name="_Toc485215652"/>
      <w:bookmarkStart w:id="27" w:name="_Toc485215655"/>
      <w:bookmarkStart w:id="28" w:name="_Toc485215658"/>
      <w:bookmarkStart w:id="29" w:name="_Toc485215661"/>
      <w:bookmarkStart w:id="30" w:name="_Toc485215664"/>
      <w:bookmarkStart w:id="31" w:name="_Toc485215667"/>
      <w:bookmarkStart w:id="32" w:name="_Toc485215670"/>
      <w:bookmarkStart w:id="33" w:name="_Toc485215673"/>
      <w:bookmarkStart w:id="34" w:name="_Toc485215676"/>
      <w:bookmarkStart w:id="35" w:name="_Toc485215679"/>
      <w:bookmarkStart w:id="36" w:name="_Toc485215682"/>
      <w:bookmarkStart w:id="37" w:name="_Toc485215685"/>
      <w:bookmarkStart w:id="38" w:name="_Toc485215688"/>
      <w:bookmarkStart w:id="39" w:name="_Toc485215691"/>
      <w:bookmarkStart w:id="40" w:name="_Toc416278154"/>
      <w:bookmarkStart w:id="41" w:name="_Toc416346517"/>
      <w:bookmarkStart w:id="42" w:name="_Toc416278157"/>
      <w:bookmarkStart w:id="43" w:name="_Toc416346520"/>
      <w:bookmarkStart w:id="44" w:name="_Toc416278160"/>
      <w:bookmarkStart w:id="45" w:name="_Toc416346523"/>
      <w:bookmarkStart w:id="46" w:name="_Toc416278163"/>
      <w:bookmarkStart w:id="47" w:name="_Toc416346526"/>
      <w:bookmarkStart w:id="48" w:name="_Toc416278166"/>
      <w:bookmarkStart w:id="49" w:name="_Toc416346529"/>
      <w:bookmarkStart w:id="50" w:name="_Toc416278169"/>
      <w:bookmarkStart w:id="51" w:name="_Toc416346532"/>
      <w:bookmarkStart w:id="52" w:name="_Toc416278172"/>
      <w:bookmarkStart w:id="53" w:name="_Toc416346535"/>
      <w:bookmarkStart w:id="54" w:name="_Toc416278175"/>
      <w:bookmarkStart w:id="55" w:name="_Toc416346538"/>
      <w:bookmarkStart w:id="56" w:name="_Toc416278178"/>
      <w:bookmarkStart w:id="57" w:name="_Toc416346541"/>
      <w:bookmarkStart w:id="58" w:name="_Toc416278181"/>
      <w:bookmarkStart w:id="59" w:name="_Toc416346544"/>
      <w:bookmarkStart w:id="60" w:name="_Toc416278184"/>
      <w:bookmarkStart w:id="61" w:name="_Toc416346547"/>
      <w:bookmarkStart w:id="62" w:name="_Toc416278187"/>
      <w:bookmarkStart w:id="63" w:name="_Toc416346550"/>
      <w:bookmarkStart w:id="64" w:name="_Toc416278190"/>
      <w:bookmarkStart w:id="65" w:name="_Toc416346553"/>
      <w:bookmarkStart w:id="66" w:name="_Toc416278193"/>
      <w:bookmarkStart w:id="67" w:name="_Toc416346556"/>
      <w:bookmarkStart w:id="68" w:name="_Toc416278196"/>
      <w:bookmarkStart w:id="69" w:name="_Toc416346559"/>
      <w:bookmarkStart w:id="70" w:name="_Toc416278199"/>
      <w:bookmarkStart w:id="71" w:name="_Toc416346562"/>
      <w:bookmarkStart w:id="72" w:name="_Toc416278202"/>
      <w:bookmarkStart w:id="73" w:name="_Toc416346565"/>
      <w:bookmarkStart w:id="74" w:name="_Toc416278205"/>
      <w:bookmarkStart w:id="75" w:name="_Toc416346568"/>
      <w:bookmarkStart w:id="76" w:name="_Toc416278208"/>
      <w:bookmarkStart w:id="77" w:name="_Toc416346571"/>
      <w:bookmarkStart w:id="78" w:name="_Toc416278211"/>
      <w:bookmarkStart w:id="79" w:name="_Toc416346574"/>
      <w:bookmarkStart w:id="80" w:name="_Toc416278214"/>
      <w:bookmarkStart w:id="81" w:name="_Toc416346577"/>
      <w:bookmarkStart w:id="82" w:name="_Toc416278217"/>
      <w:bookmarkStart w:id="83" w:name="_Toc416346580"/>
      <w:bookmarkStart w:id="84" w:name="_Toc416278220"/>
      <w:bookmarkStart w:id="85" w:name="_Toc416346583"/>
      <w:bookmarkStart w:id="86" w:name="_Toc416278223"/>
      <w:bookmarkStart w:id="87" w:name="_Toc416346586"/>
      <w:bookmarkStart w:id="88" w:name="_Toc416278226"/>
      <w:bookmarkStart w:id="89" w:name="_Toc416346589"/>
      <w:bookmarkStart w:id="90" w:name="_Toc416278229"/>
      <w:bookmarkStart w:id="91" w:name="_Toc416346592"/>
      <w:bookmarkStart w:id="92" w:name="_Toc416278232"/>
      <w:bookmarkStart w:id="93" w:name="_Toc416346595"/>
      <w:bookmarkStart w:id="94" w:name="_Toc416278235"/>
      <w:bookmarkStart w:id="95" w:name="_Toc416346598"/>
      <w:bookmarkStart w:id="96" w:name="_Toc416278238"/>
      <w:bookmarkStart w:id="97" w:name="_Toc416346601"/>
      <w:bookmarkStart w:id="98" w:name="_Toc486841967"/>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0"/>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t>Regulatory depreciation</w:t>
      </w:r>
      <w:bookmarkEnd w:id="98"/>
    </w:p>
    <w:p w:rsidR="002341E6" w:rsidRPr="00A575B0" w:rsidRDefault="002341E6" w:rsidP="002341E6">
      <w:r w:rsidRPr="00CA36EA">
        <w:t xml:space="preserve">When determining the total revenue for </w:t>
      </w:r>
      <w:r w:rsidR="00F12747">
        <w:t>AusNet</w:t>
      </w:r>
      <w:r w:rsidRPr="00CA36EA">
        <w:t xml:space="preserve">, </w:t>
      </w:r>
      <w:r>
        <w:t>we</w:t>
      </w:r>
      <w:r w:rsidRPr="00CA36EA">
        <w:t xml:space="preserve"> </w:t>
      </w:r>
      <w:r>
        <w:t>include an allowance for</w:t>
      </w:r>
      <w:r w:rsidRPr="00CA36EA">
        <w:t xml:space="preserve"> the depreciation </w:t>
      </w:r>
      <w:r>
        <w:t>of</w:t>
      </w:r>
      <w:r w:rsidRPr="00CA36EA">
        <w:t xml:space="preserve"> the projected capital base (</w:t>
      </w:r>
      <w:r>
        <w:t>otherwise referred to as</w:t>
      </w:r>
      <w:r w:rsidRPr="00CA36EA">
        <w:t xml:space="preserve"> </w:t>
      </w:r>
      <w:r>
        <w:t>‘</w:t>
      </w:r>
      <w:r w:rsidRPr="00CA36EA">
        <w:t>return of capital</w:t>
      </w:r>
      <w:r>
        <w:t>’</w:t>
      </w:r>
      <w:r w:rsidRPr="00CA36EA">
        <w:t>).</w:t>
      </w:r>
      <w:r>
        <w:rPr>
          <w:rStyle w:val="FootnoteReference"/>
        </w:rPr>
        <w:footnoteReference w:id="1"/>
      </w:r>
      <w:r w:rsidRPr="00CA36EA">
        <w:t xml:space="preserve"> Regulatory depreciation is used to model the nominal asset values over the </w:t>
      </w:r>
      <w:r>
        <w:t>2018–22</w:t>
      </w:r>
      <w:r w:rsidRPr="00CA36EA">
        <w:t xml:space="preserve"> access arrangement period and the depreciation allowance in the total revenue requirement.</w:t>
      </w:r>
      <w:r>
        <w:rPr>
          <w:rStyle w:val="FootnoteReference"/>
        </w:rPr>
        <w:footnoteReference w:id="2"/>
      </w:r>
      <w:r>
        <w:t xml:space="preserve"> </w:t>
      </w:r>
    </w:p>
    <w:p w:rsidR="002341E6" w:rsidRPr="00CA36EA" w:rsidRDefault="002341E6" w:rsidP="002341E6">
      <w:r>
        <w:t>This attachment outlines our</w:t>
      </w:r>
      <w:r w:rsidRPr="00CA36EA">
        <w:t xml:space="preserve"> draft decision on </w:t>
      </w:r>
      <w:r w:rsidR="00F12747">
        <w:t>AusNet</w:t>
      </w:r>
      <w:r>
        <w:t xml:space="preserve">’s </w:t>
      </w:r>
      <w:r w:rsidRPr="00CA36EA">
        <w:t xml:space="preserve">annual regulatory depreciation allowance </w:t>
      </w:r>
      <w:r>
        <w:t>for the</w:t>
      </w:r>
      <w:r w:rsidRPr="00B41164">
        <w:t xml:space="preserve"> </w:t>
      </w:r>
      <w:r w:rsidR="0064086C">
        <w:t>2018</w:t>
      </w:r>
      <w:r>
        <w:t>–22</w:t>
      </w:r>
      <w:r w:rsidRPr="00CA36EA">
        <w:t xml:space="preserve"> access arrangement period. </w:t>
      </w:r>
      <w:r>
        <w:t>Our</w:t>
      </w:r>
      <w:r w:rsidRPr="00CA36EA">
        <w:t xml:space="preserve"> consideration of specific matters that affect the estimate of regulatory depreciation is also outlined in this attachment. These include:</w:t>
      </w:r>
    </w:p>
    <w:p w:rsidR="002341E6" w:rsidRPr="006273B7" w:rsidRDefault="002341E6" w:rsidP="002341E6">
      <w:pPr>
        <w:pStyle w:val="AERbulletlistfirststyle"/>
      </w:pPr>
      <w:r w:rsidRPr="00A575B0">
        <w:t>the standard asset lives for depreciating new assets associated with forecast capex</w:t>
      </w:r>
      <w:r w:rsidRPr="006273B7">
        <w:rPr>
          <w:rStyle w:val="FootnoteReference"/>
        </w:rPr>
        <w:footnoteReference w:id="3"/>
      </w:r>
    </w:p>
    <w:p w:rsidR="00132D43" w:rsidRPr="00132D43" w:rsidRDefault="002341E6" w:rsidP="00132D43">
      <w:pPr>
        <w:pStyle w:val="AERbulletlistfirststyle"/>
      </w:pPr>
      <w:proofErr w:type="gramStart"/>
      <w:r w:rsidRPr="00A575B0">
        <w:t>the</w:t>
      </w:r>
      <w:proofErr w:type="gramEnd"/>
      <w:r w:rsidRPr="00A575B0">
        <w:t xml:space="preserve"> </w:t>
      </w:r>
      <w:r w:rsidR="00ED19CB">
        <w:t>year-by-year</w:t>
      </w:r>
      <w:r>
        <w:t xml:space="preserve"> tracking approach to depreciating </w:t>
      </w:r>
      <w:r w:rsidRPr="00A575B0">
        <w:t>assets in the capital base.</w:t>
      </w:r>
    </w:p>
    <w:p w:rsidR="00132D43" w:rsidRDefault="00132D43" w:rsidP="00132D43">
      <w:pPr>
        <w:pStyle w:val="Heading2"/>
      </w:pPr>
      <w:bookmarkStart w:id="99" w:name="_Toc486841968"/>
      <w:r>
        <w:t>Draft decision</w:t>
      </w:r>
      <w:bookmarkEnd w:id="99"/>
    </w:p>
    <w:p w:rsidR="002341E6" w:rsidRDefault="002341E6" w:rsidP="002341E6">
      <w:r>
        <w:t>We</w:t>
      </w:r>
      <w:r w:rsidRPr="00CA36EA">
        <w:t xml:space="preserve"> approve</w:t>
      </w:r>
      <w:r>
        <w:t xml:space="preserve"> </w:t>
      </w:r>
      <w:r w:rsidR="00F12747">
        <w:t>AusNet</w:t>
      </w:r>
      <w:r>
        <w:t>’s</w:t>
      </w:r>
      <w:r w:rsidRPr="00CA36EA">
        <w:t xml:space="preserve"> proposal to use the </w:t>
      </w:r>
      <w:r>
        <w:t xml:space="preserve">real </w:t>
      </w:r>
      <w:r w:rsidRPr="00CA36EA">
        <w:t>straight-line</w:t>
      </w:r>
      <w:r>
        <w:t xml:space="preserve"> </w:t>
      </w:r>
      <w:r w:rsidRPr="00CA36EA">
        <w:t>method to calculate the re</w:t>
      </w:r>
      <w:r>
        <w:t xml:space="preserve">gulatory depreciation allowance. However, we do not approve </w:t>
      </w:r>
      <w:r w:rsidR="00F12747">
        <w:t>AusNet</w:t>
      </w:r>
      <w:r>
        <w:t>’s proposed regulatory depreciation allowance of $</w:t>
      </w:r>
      <w:r w:rsidR="00545353">
        <w:t xml:space="preserve">259.1 </w:t>
      </w:r>
      <w:r>
        <w:t xml:space="preserve">million ($nominal) for the 2018–22 access arrangement period. This is mainly because of our </w:t>
      </w:r>
      <w:r w:rsidR="00ED19CB">
        <w:t xml:space="preserve">draft </w:t>
      </w:r>
      <w:r>
        <w:t>decision</w:t>
      </w:r>
      <w:r w:rsidR="00884B43">
        <w:t xml:space="preserve">s </w:t>
      </w:r>
      <w:r w:rsidR="00ED19CB">
        <w:t xml:space="preserve">on other components of AusNet Services' proposal discussed </w:t>
      </w:r>
      <w:r>
        <w:t xml:space="preserve">in other attachments, </w:t>
      </w:r>
      <w:r w:rsidR="00ED19CB">
        <w:t xml:space="preserve">which </w:t>
      </w:r>
      <w:r>
        <w:t>include the</w:t>
      </w:r>
      <w:r w:rsidRPr="001C0783">
        <w:t xml:space="preserve"> opening </w:t>
      </w:r>
      <w:r>
        <w:t>capital base (attachment 2)</w:t>
      </w:r>
      <w:r w:rsidR="00ED19CB">
        <w:t>, expected inflation (attachment 3)</w:t>
      </w:r>
      <w:r>
        <w:t xml:space="preserve"> and the </w:t>
      </w:r>
      <w:r w:rsidRPr="001C0783">
        <w:t xml:space="preserve">forecast </w:t>
      </w:r>
      <w:r>
        <w:t>cap</w:t>
      </w:r>
      <w:r w:rsidRPr="001C0783">
        <w:t>ex</w:t>
      </w:r>
      <w:r>
        <w:t xml:space="preserve"> (attachment 6).</w:t>
      </w:r>
    </w:p>
    <w:p w:rsidR="002341E6" w:rsidRDefault="002341E6" w:rsidP="002341E6">
      <w:r w:rsidRPr="00A27483">
        <w:t xml:space="preserve">We </w:t>
      </w:r>
      <w:r>
        <w:t xml:space="preserve">accept the </w:t>
      </w:r>
      <w:r w:rsidRPr="00A27483">
        <w:t xml:space="preserve">standard asset lives </w:t>
      </w:r>
      <w:r>
        <w:t xml:space="preserve">proposed by </w:t>
      </w:r>
      <w:r w:rsidR="00F12747">
        <w:t>AusNet</w:t>
      </w:r>
      <w:r w:rsidRPr="00A27483">
        <w:t xml:space="preserve">. </w:t>
      </w:r>
      <w:r w:rsidR="002A5957">
        <w:t>Apart from the '</w:t>
      </w:r>
      <w:r w:rsidR="00E14325">
        <w:t>M</w:t>
      </w:r>
      <w:r w:rsidR="002A5957">
        <w:t>eters' asset class, t</w:t>
      </w:r>
      <w:r w:rsidR="00C7632C">
        <w:t>hese</w:t>
      </w:r>
      <w:r>
        <w:t xml:space="preserve"> </w:t>
      </w:r>
      <w:r w:rsidRPr="00A27483">
        <w:t xml:space="preserve">are consistent with the approved standard </w:t>
      </w:r>
      <w:r>
        <w:t>asset</w:t>
      </w:r>
      <w:r w:rsidRPr="00A27483">
        <w:t xml:space="preserve"> lives for the 201</w:t>
      </w:r>
      <w:r>
        <w:t>3</w:t>
      </w:r>
      <w:r w:rsidRPr="00A27483">
        <w:t>–</w:t>
      </w:r>
      <w:r w:rsidR="002A5957" w:rsidRPr="00A27483">
        <w:t>1</w:t>
      </w:r>
      <w:r w:rsidR="002A5957">
        <w:t>7</w:t>
      </w:r>
      <w:r w:rsidR="002A5957" w:rsidRPr="00A27483">
        <w:t xml:space="preserve"> </w:t>
      </w:r>
      <w:r w:rsidRPr="00A27483">
        <w:t xml:space="preserve">access arrangement </w:t>
      </w:r>
      <w:proofErr w:type="gramStart"/>
      <w:r w:rsidRPr="00A27483">
        <w:t>period</w:t>
      </w:r>
      <w:proofErr w:type="gramEnd"/>
      <w:r w:rsidRPr="00A27483">
        <w:t>.</w:t>
      </w:r>
      <w:r w:rsidR="00C7632C">
        <w:t xml:space="preserve"> The standard asset lives</w:t>
      </w:r>
      <w:r w:rsidRPr="00A27483">
        <w:t xml:space="preserve"> </w:t>
      </w:r>
      <w:r w:rsidR="00C7632C">
        <w:t xml:space="preserve">across all asset classes </w:t>
      </w:r>
      <w:r w:rsidRPr="00A27483">
        <w:t xml:space="preserve">are </w:t>
      </w:r>
      <w:r>
        <w:t xml:space="preserve">broadly </w:t>
      </w:r>
      <w:r w:rsidRPr="00A27483">
        <w:t>comparable with the standard asset lives approved in our recent de</w:t>
      </w:r>
      <w:r w:rsidR="00422057">
        <w:t>cision</w:t>
      </w:r>
      <w:r w:rsidRPr="00A27483">
        <w:t>s for other gas service providers.</w:t>
      </w:r>
      <w:r w:rsidRPr="00B07FFE">
        <w:rPr>
          <w:rStyle w:val="FootnoteReference"/>
        </w:rPr>
        <w:footnoteReference w:id="4"/>
      </w:r>
      <w:r w:rsidRPr="00B07FFE">
        <w:rPr>
          <w:rStyle w:val="FootnoteReference"/>
        </w:rPr>
        <w:t xml:space="preserve"> </w:t>
      </w:r>
    </w:p>
    <w:p w:rsidR="002341E6" w:rsidRDefault="002341E6" w:rsidP="002341E6">
      <w:r>
        <w:t xml:space="preserve">We </w:t>
      </w:r>
      <w:r w:rsidR="00ED19CB">
        <w:t xml:space="preserve">also </w:t>
      </w:r>
      <w:r>
        <w:t xml:space="preserve">accept </w:t>
      </w:r>
      <w:r w:rsidR="00F12747">
        <w:t>AusNet</w:t>
      </w:r>
      <w:r w:rsidR="008B322E">
        <w:t>’s proposed year</w:t>
      </w:r>
      <w:r w:rsidR="00ED19CB">
        <w:t>-</w:t>
      </w:r>
      <w:r w:rsidR="008B322E">
        <w:t>by</w:t>
      </w:r>
      <w:r w:rsidR="00ED19CB">
        <w:t>-</w:t>
      </w:r>
      <w:r w:rsidR="008B322E">
        <w:t>year</w:t>
      </w:r>
      <w:r>
        <w:t xml:space="preserve"> tracking approach</w:t>
      </w:r>
      <w:r w:rsidR="00C7632C">
        <w:t xml:space="preserve"> </w:t>
      </w:r>
      <w:r w:rsidR="00ED19CB">
        <w:t>for</w:t>
      </w:r>
      <w:r w:rsidR="00C7632C">
        <w:t xml:space="preserve"> depreciati</w:t>
      </w:r>
      <w:r w:rsidR="00ED19CB">
        <w:t>ng its capital base</w:t>
      </w:r>
      <w:r>
        <w:t xml:space="preserve">. </w:t>
      </w:r>
      <w:r w:rsidR="000C7977">
        <w:t xml:space="preserve">Our assessment is presented </w:t>
      </w:r>
      <w:r>
        <w:t xml:space="preserve">in section </w:t>
      </w:r>
      <w:r w:rsidR="0045066B">
        <w:t>5.4.1.</w:t>
      </w:r>
    </w:p>
    <w:p w:rsidR="002341E6" w:rsidRPr="00A27483" w:rsidRDefault="002341E6" w:rsidP="002341E6">
      <w:r w:rsidRPr="00A27483">
        <w:t xml:space="preserve">Our draft decision on </w:t>
      </w:r>
      <w:r w:rsidR="00F12747">
        <w:t>AusNet</w:t>
      </w:r>
      <w:r>
        <w:t>’</w:t>
      </w:r>
      <w:r w:rsidRPr="00A27483">
        <w:t>s regulatory depreciation allowance is $</w:t>
      </w:r>
      <w:r w:rsidR="00AE2E88">
        <w:t>195.0</w:t>
      </w:r>
      <w:r w:rsidRPr="00A27483">
        <w:t xml:space="preserve"> million ($nominal) </w:t>
      </w:r>
      <w:r>
        <w:t xml:space="preserve">in total for </w:t>
      </w:r>
      <w:r w:rsidRPr="00A27483">
        <w:t>the 201</w:t>
      </w:r>
      <w:r>
        <w:t>8</w:t>
      </w:r>
      <w:r w:rsidRPr="00A27483">
        <w:t>–2</w:t>
      </w:r>
      <w:r>
        <w:t>2</w:t>
      </w:r>
      <w:r w:rsidRPr="00A27483">
        <w:t xml:space="preserve"> access arrangement period as set out in </w:t>
      </w:r>
      <w:r w:rsidRPr="00A27483">
        <w:fldChar w:fldCharType="begin"/>
      </w:r>
      <w:r w:rsidRPr="00A27483">
        <w:instrText xml:space="preserve"> REF  _Ref398282397 \* Lower \h  \* MERGEFORMAT </w:instrText>
      </w:r>
      <w:r w:rsidRPr="00A27483">
        <w:fldChar w:fldCharType="separate"/>
      </w:r>
      <w:r w:rsidR="00621ED7" w:rsidRPr="001D3081">
        <w:t xml:space="preserve">table </w:t>
      </w:r>
      <w:r w:rsidR="00621ED7">
        <w:t>5.1</w:t>
      </w:r>
      <w:r w:rsidRPr="00A27483">
        <w:fldChar w:fldCharType="end"/>
      </w:r>
      <w:r w:rsidRPr="00A27483">
        <w:t>.</w:t>
      </w:r>
    </w:p>
    <w:p w:rsidR="002341E6" w:rsidRPr="001D3081" w:rsidRDefault="002341E6" w:rsidP="002341E6">
      <w:pPr>
        <w:pStyle w:val="Caption"/>
      </w:pPr>
      <w:bookmarkStart w:id="100" w:name="_Ref398282397"/>
      <w:r w:rsidRPr="001D3081">
        <w:t xml:space="preserve">Table </w:t>
      </w:r>
      <w:r w:rsidRPr="006273B7">
        <w:fldChar w:fldCharType="begin"/>
      </w:r>
      <w:r>
        <w:instrText xml:space="preserve"> STYLEREF 1 \s </w:instrText>
      </w:r>
      <w:r w:rsidRPr="006273B7">
        <w:fldChar w:fldCharType="separate"/>
      </w:r>
      <w:r w:rsidR="00621ED7">
        <w:rPr>
          <w:noProof/>
        </w:rPr>
        <w:t>5</w:t>
      </w:r>
      <w:r w:rsidRPr="006273B7">
        <w:fldChar w:fldCharType="end"/>
      </w:r>
      <w:r>
        <w:t>.</w:t>
      </w:r>
      <w:r w:rsidRPr="006273B7">
        <w:fldChar w:fldCharType="begin"/>
      </w:r>
      <w:r>
        <w:instrText xml:space="preserve"> SEQ Table \* ARABIC \s 1 </w:instrText>
      </w:r>
      <w:r w:rsidRPr="006273B7">
        <w:fldChar w:fldCharType="separate"/>
      </w:r>
      <w:r w:rsidR="00621ED7">
        <w:rPr>
          <w:noProof/>
        </w:rPr>
        <w:t>1</w:t>
      </w:r>
      <w:r w:rsidRPr="006273B7">
        <w:fldChar w:fldCharType="end"/>
      </w:r>
      <w:bookmarkEnd w:id="100"/>
      <w:r w:rsidRPr="001D3081">
        <w:tab/>
        <w:t xml:space="preserve">AER’s draft decision on </w:t>
      </w:r>
      <w:r w:rsidR="00F12747">
        <w:t>AusNet</w:t>
      </w:r>
      <w:r w:rsidRPr="001D3081">
        <w:t xml:space="preserve">’s regulatory depreciation allowance for the </w:t>
      </w:r>
      <w:r>
        <w:t>2018–22</w:t>
      </w:r>
      <w:r w:rsidRPr="001D3081">
        <w:t xml:space="preserve"> access arrangement period ($million, nominal)</w:t>
      </w:r>
    </w:p>
    <w:tbl>
      <w:tblPr>
        <w:tblStyle w:val="AERtable-numbers"/>
        <w:tblW w:w="8755" w:type="dxa"/>
        <w:tblLayout w:type="fixed"/>
        <w:tblLook w:val="04A0" w:firstRow="1" w:lastRow="0" w:firstColumn="1" w:lastColumn="0" w:noHBand="0" w:noVBand="1"/>
      </w:tblPr>
      <w:tblGrid>
        <w:gridCol w:w="2569"/>
        <w:gridCol w:w="1031"/>
        <w:gridCol w:w="1031"/>
        <w:gridCol w:w="1031"/>
        <w:gridCol w:w="1031"/>
        <w:gridCol w:w="1031"/>
        <w:gridCol w:w="1031"/>
      </w:tblGrid>
      <w:tr w:rsidR="002341E6" w:rsidRPr="00A575B0" w:rsidTr="004F25A9">
        <w:trPr>
          <w:cnfStyle w:val="100000000000" w:firstRow="1" w:lastRow="0" w:firstColumn="0" w:lastColumn="0" w:oddVBand="0" w:evenVBand="0" w:oddHBand="0"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569" w:type="dxa"/>
            <w:noWrap/>
            <w:hideMark/>
          </w:tcPr>
          <w:p w:rsidR="002341E6" w:rsidRPr="00A575B0" w:rsidRDefault="002341E6" w:rsidP="002341E6"/>
        </w:tc>
        <w:tc>
          <w:tcPr>
            <w:tcW w:w="1031" w:type="dxa"/>
            <w:noWrap/>
          </w:tcPr>
          <w:p w:rsidR="002341E6" w:rsidRPr="002341E6" w:rsidRDefault="002341E6" w:rsidP="002341E6">
            <w:pPr>
              <w:cnfStyle w:val="100000000000" w:firstRow="1" w:lastRow="0" w:firstColumn="0" w:lastColumn="0" w:oddVBand="0" w:evenVBand="0" w:oddHBand="0" w:evenHBand="0" w:firstRowFirstColumn="0" w:firstRowLastColumn="0" w:lastRowFirstColumn="0" w:lastRowLastColumn="0"/>
            </w:pPr>
            <w:r>
              <w:t>20</w:t>
            </w:r>
            <w:r w:rsidRPr="00A575B0">
              <w:t>18</w:t>
            </w:r>
          </w:p>
        </w:tc>
        <w:tc>
          <w:tcPr>
            <w:tcW w:w="1031" w:type="dxa"/>
            <w:noWrap/>
          </w:tcPr>
          <w:p w:rsidR="002341E6" w:rsidRPr="002341E6" w:rsidRDefault="002341E6" w:rsidP="002341E6">
            <w:pPr>
              <w:cnfStyle w:val="100000000000" w:firstRow="1" w:lastRow="0" w:firstColumn="0" w:lastColumn="0" w:oddVBand="0" w:evenVBand="0" w:oddHBand="0" w:evenHBand="0" w:firstRowFirstColumn="0" w:firstRowLastColumn="0" w:lastRowFirstColumn="0" w:lastRowLastColumn="0"/>
            </w:pPr>
            <w:r>
              <w:t>20</w:t>
            </w:r>
            <w:r w:rsidRPr="005B4094">
              <w:t>19</w:t>
            </w:r>
          </w:p>
        </w:tc>
        <w:tc>
          <w:tcPr>
            <w:tcW w:w="1031" w:type="dxa"/>
            <w:noWrap/>
          </w:tcPr>
          <w:p w:rsidR="002341E6" w:rsidRPr="002341E6" w:rsidRDefault="002341E6" w:rsidP="002341E6">
            <w:pPr>
              <w:cnfStyle w:val="100000000000" w:firstRow="1" w:lastRow="0" w:firstColumn="0" w:lastColumn="0" w:oddVBand="0" w:evenVBand="0" w:oddHBand="0" w:evenHBand="0" w:firstRowFirstColumn="0" w:firstRowLastColumn="0" w:lastRowFirstColumn="0" w:lastRowLastColumn="0"/>
            </w:pPr>
            <w:r>
              <w:t>20</w:t>
            </w:r>
            <w:r w:rsidRPr="005B4094">
              <w:t>20</w:t>
            </w:r>
          </w:p>
        </w:tc>
        <w:tc>
          <w:tcPr>
            <w:tcW w:w="1031" w:type="dxa"/>
            <w:noWrap/>
          </w:tcPr>
          <w:p w:rsidR="002341E6" w:rsidRPr="002341E6" w:rsidRDefault="002341E6" w:rsidP="002341E6">
            <w:pPr>
              <w:cnfStyle w:val="100000000000" w:firstRow="1" w:lastRow="0" w:firstColumn="0" w:lastColumn="0" w:oddVBand="0" w:evenVBand="0" w:oddHBand="0" w:evenHBand="0" w:firstRowFirstColumn="0" w:firstRowLastColumn="0" w:lastRowFirstColumn="0" w:lastRowLastColumn="0"/>
            </w:pPr>
            <w:r>
              <w:t>20</w:t>
            </w:r>
            <w:r w:rsidRPr="00F77C82">
              <w:t>21</w:t>
            </w:r>
          </w:p>
        </w:tc>
        <w:tc>
          <w:tcPr>
            <w:tcW w:w="1031" w:type="dxa"/>
            <w:noWrap/>
          </w:tcPr>
          <w:p w:rsidR="002341E6" w:rsidRPr="002341E6" w:rsidRDefault="002341E6" w:rsidP="002341E6">
            <w:pPr>
              <w:cnfStyle w:val="100000000000" w:firstRow="1" w:lastRow="0" w:firstColumn="0" w:lastColumn="0" w:oddVBand="0" w:evenVBand="0" w:oddHBand="0" w:evenHBand="0" w:firstRowFirstColumn="0" w:firstRowLastColumn="0" w:lastRowFirstColumn="0" w:lastRowLastColumn="0"/>
            </w:pPr>
            <w:r>
              <w:t>20</w:t>
            </w:r>
            <w:r w:rsidRPr="002341E6">
              <w:t>22</w:t>
            </w:r>
          </w:p>
        </w:tc>
        <w:tc>
          <w:tcPr>
            <w:tcW w:w="1031" w:type="dxa"/>
          </w:tcPr>
          <w:p w:rsidR="002341E6" w:rsidRPr="002341E6" w:rsidRDefault="002341E6" w:rsidP="002341E6">
            <w:pPr>
              <w:cnfStyle w:val="100000000000" w:firstRow="1" w:lastRow="0" w:firstColumn="0" w:lastColumn="0" w:oddVBand="0" w:evenVBand="0" w:oddHBand="0" w:evenHBand="0" w:firstRowFirstColumn="0" w:firstRowLastColumn="0" w:lastRowFirstColumn="0" w:lastRowLastColumn="0"/>
            </w:pPr>
            <w:r w:rsidRPr="00F77C82">
              <w:t>Total</w:t>
            </w:r>
          </w:p>
        </w:tc>
      </w:tr>
      <w:tr w:rsidR="00DE3281" w:rsidRPr="009603F9" w:rsidTr="002E37EC">
        <w:trPr>
          <w:trHeight w:val="293"/>
        </w:trPr>
        <w:tc>
          <w:tcPr>
            <w:cnfStyle w:val="001000000000" w:firstRow="0" w:lastRow="0" w:firstColumn="1" w:lastColumn="0" w:oddVBand="0" w:evenVBand="0" w:oddHBand="0" w:evenHBand="0" w:firstRowFirstColumn="0" w:firstRowLastColumn="0" w:lastRowFirstColumn="0" w:lastRowLastColumn="0"/>
            <w:tcW w:w="2569" w:type="dxa"/>
            <w:noWrap/>
            <w:hideMark/>
          </w:tcPr>
          <w:p w:rsidR="00DE3281" w:rsidRPr="00DE3281" w:rsidRDefault="00DE3281" w:rsidP="00DE3281">
            <w:r w:rsidRPr="00DE3281">
              <w:t>Straight-line depreciation</w:t>
            </w:r>
          </w:p>
        </w:tc>
        <w:tc>
          <w:tcPr>
            <w:tcW w:w="1031" w:type="dxa"/>
            <w:noWrap/>
            <w:vAlign w:val="bottom"/>
          </w:tcPr>
          <w:p w:rsidR="00DE3281" w:rsidRPr="00DE3281" w:rsidRDefault="00DE3281" w:rsidP="00DE3281">
            <w:pPr>
              <w:cnfStyle w:val="000000000000" w:firstRow="0" w:lastRow="0" w:firstColumn="0" w:lastColumn="0" w:oddVBand="0" w:evenVBand="0" w:oddHBand="0" w:evenHBand="0" w:firstRowFirstColumn="0" w:firstRowLastColumn="0" w:lastRowFirstColumn="0" w:lastRowLastColumn="0"/>
            </w:pPr>
            <w:r w:rsidRPr="00DE3281">
              <w:t>82.5</w:t>
            </w:r>
          </w:p>
        </w:tc>
        <w:tc>
          <w:tcPr>
            <w:tcW w:w="1031" w:type="dxa"/>
            <w:noWrap/>
            <w:vAlign w:val="bottom"/>
          </w:tcPr>
          <w:p w:rsidR="00DE3281" w:rsidRPr="00DE3281" w:rsidRDefault="00DE3281" w:rsidP="00DE3281">
            <w:pPr>
              <w:cnfStyle w:val="000000000000" w:firstRow="0" w:lastRow="0" w:firstColumn="0" w:lastColumn="0" w:oddVBand="0" w:evenVBand="0" w:oddHBand="0" w:evenHBand="0" w:firstRowFirstColumn="0" w:firstRowLastColumn="0" w:lastRowFirstColumn="0" w:lastRowLastColumn="0"/>
            </w:pPr>
            <w:r w:rsidRPr="00DE3281">
              <w:t>73.1</w:t>
            </w:r>
          </w:p>
        </w:tc>
        <w:tc>
          <w:tcPr>
            <w:tcW w:w="1031" w:type="dxa"/>
            <w:noWrap/>
            <w:vAlign w:val="bottom"/>
          </w:tcPr>
          <w:p w:rsidR="00DE3281" w:rsidRPr="00DE3281" w:rsidRDefault="00DE3281" w:rsidP="00DE3281">
            <w:pPr>
              <w:cnfStyle w:val="000000000000" w:firstRow="0" w:lastRow="0" w:firstColumn="0" w:lastColumn="0" w:oddVBand="0" w:evenVBand="0" w:oddHBand="0" w:evenHBand="0" w:firstRowFirstColumn="0" w:firstRowLastColumn="0" w:lastRowFirstColumn="0" w:lastRowLastColumn="0"/>
            </w:pPr>
            <w:r w:rsidRPr="00DE3281">
              <w:t>77.6</w:t>
            </w:r>
          </w:p>
        </w:tc>
        <w:tc>
          <w:tcPr>
            <w:tcW w:w="1031" w:type="dxa"/>
            <w:noWrap/>
            <w:vAlign w:val="bottom"/>
          </w:tcPr>
          <w:p w:rsidR="00DE3281" w:rsidRPr="00DE3281" w:rsidRDefault="00DE3281" w:rsidP="00DE3281">
            <w:pPr>
              <w:cnfStyle w:val="000000000000" w:firstRow="0" w:lastRow="0" w:firstColumn="0" w:lastColumn="0" w:oddVBand="0" w:evenVBand="0" w:oddHBand="0" w:evenHBand="0" w:firstRowFirstColumn="0" w:firstRowLastColumn="0" w:lastRowFirstColumn="0" w:lastRowLastColumn="0"/>
            </w:pPr>
            <w:r w:rsidRPr="00DE3281">
              <w:t>82.7</w:t>
            </w:r>
          </w:p>
        </w:tc>
        <w:tc>
          <w:tcPr>
            <w:tcW w:w="1031" w:type="dxa"/>
            <w:noWrap/>
            <w:vAlign w:val="bottom"/>
          </w:tcPr>
          <w:p w:rsidR="00DE3281" w:rsidRPr="00DE3281" w:rsidRDefault="00DE3281" w:rsidP="00DE3281">
            <w:pPr>
              <w:cnfStyle w:val="000000000000" w:firstRow="0" w:lastRow="0" w:firstColumn="0" w:lastColumn="0" w:oddVBand="0" w:evenVBand="0" w:oddHBand="0" w:evenHBand="0" w:firstRowFirstColumn="0" w:firstRowLastColumn="0" w:lastRowFirstColumn="0" w:lastRowLastColumn="0"/>
            </w:pPr>
            <w:r w:rsidRPr="00DE3281">
              <w:t>87.9</w:t>
            </w:r>
          </w:p>
        </w:tc>
        <w:tc>
          <w:tcPr>
            <w:tcW w:w="1031" w:type="dxa"/>
            <w:vAlign w:val="bottom"/>
          </w:tcPr>
          <w:p w:rsidR="00DE3281" w:rsidRPr="00DE3281" w:rsidRDefault="00DE3281" w:rsidP="00DE3281">
            <w:pPr>
              <w:cnfStyle w:val="000000000000" w:firstRow="0" w:lastRow="0" w:firstColumn="0" w:lastColumn="0" w:oddVBand="0" w:evenVBand="0" w:oddHBand="0" w:evenHBand="0" w:firstRowFirstColumn="0" w:firstRowLastColumn="0" w:lastRowFirstColumn="0" w:lastRowLastColumn="0"/>
            </w:pPr>
            <w:r w:rsidRPr="00DE3281">
              <w:t>403.8</w:t>
            </w:r>
          </w:p>
        </w:tc>
      </w:tr>
      <w:tr w:rsidR="00DE3281" w:rsidRPr="009603F9" w:rsidTr="002E37EC">
        <w:trPr>
          <w:cnfStyle w:val="000000010000" w:firstRow="0" w:lastRow="0" w:firstColumn="0" w:lastColumn="0" w:oddVBand="0" w:evenVBand="0" w:oddHBand="0" w:evenHBand="1"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569" w:type="dxa"/>
            <w:noWrap/>
          </w:tcPr>
          <w:p w:rsidR="00DE3281" w:rsidRPr="00DE3281" w:rsidRDefault="00DE3281" w:rsidP="00DE3281">
            <w:r w:rsidRPr="00DE3281">
              <w:rPr>
                <w:rStyle w:val="AERtextitalic"/>
              </w:rPr>
              <w:t>Less:</w:t>
            </w:r>
            <w:r w:rsidRPr="00DE3281">
              <w:t xml:space="preserve"> indexation on capital base </w:t>
            </w:r>
          </w:p>
        </w:tc>
        <w:tc>
          <w:tcPr>
            <w:tcW w:w="1031" w:type="dxa"/>
            <w:noWrap/>
            <w:vAlign w:val="bottom"/>
          </w:tcPr>
          <w:p w:rsidR="00DE3281" w:rsidRPr="00DE3281" w:rsidRDefault="00DE3281" w:rsidP="00DE3281">
            <w:pPr>
              <w:cnfStyle w:val="000000010000" w:firstRow="0" w:lastRow="0" w:firstColumn="0" w:lastColumn="0" w:oddVBand="0" w:evenVBand="0" w:oddHBand="0" w:evenHBand="1" w:firstRowFirstColumn="0" w:firstRowLastColumn="0" w:lastRowFirstColumn="0" w:lastRowLastColumn="0"/>
            </w:pPr>
            <w:r w:rsidRPr="00DE3281">
              <w:t>38.6</w:t>
            </w:r>
          </w:p>
        </w:tc>
        <w:tc>
          <w:tcPr>
            <w:tcW w:w="1031" w:type="dxa"/>
            <w:noWrap/>
            <w:vAlign w:val="bottom"/>
          </w:tcPr>
          <w:p w:rsidR="00DE3281" w:rsidRPr="00DE3281" w:rsidRDefault="00DE3281" w:rsidP="00DE3281">
            <w:pPr>
              <w:cnfStyle w:val="000000010000" w:firstRow="0" w:lastRow="0" w:firstColumn="0" w:lastColumn="0" w:oddVBand="0" w:evenVBand="0" w:oddHBand="0" w:evenHBand="1" w:firstRowFirstColumn="0" w:firstRowLastColumn="0" w:lastRowFirstColumn="0" w:lastRowLastColumn="0"/>
            </w:pPr>
            <w:r w:rsidRPr="00DE3281">
              <w:t>40.1</w:t>
            </w:r>
          </w:p>
        </w:tc>
        <w:tc>
          <w:tcPr>
            <w:tcW w:w="1031" w:type="dxa"/>
            <w:noWrap/>
            <w:vAlign w:val="bottom"/>
          </w:tcPr>
          <w:p w:rsidR="00DE3281" w:rsidRPr="00DE3281" w:rsidRDefault="00DE3281" w:rsidP="00DE3281">
            <w:pPr>
              <w:cnfStyle w:val="000000010000" w:firstRow="0" w:lastRow="0" w:firstColumn="0" w:lastColumn="0" w:oddVBand="0" w:evenVBand="0" w:oddHBand="0" w:evenHBand="1" w:firstRowFirstColumn="0" w:firstRowLastColumn="0" w:lastRowFirstColumn="0" w:lastRowLastColumn="0"/>
            </w:pPr>
            <w:r w:rsidRPr="00DE3281">
              <w:t>41.8</w:t>
            </w:r>
          </w:p>
        </w:tc>
        <w:tc>
          <w:tcPr>
            <w:tcW w:w="1031" w:type="dxa"/>
            <w:noWrap/>
            <w:vAlign w:val="bottom"/>
          </w:tcPr>
          <w:p w:rsidR="00DE3281" w:rsidRPr="00DE3281" w:rsidRDefault="00DE3281" w:rsidP="00DE3281">
            <w:pPr>
              <w:cnfStyle w:val="000000010000" w:firstRow="0" w:lastRow="0" w:firstColumn="0" w:lastColumn="0" w:oddVBand="0" w:evenVBand="0" w:oddHBand="0" w:evenHBand="1" w:firstRowFirstColumn="0" w:firstRowLastColumn="0" w:lastRowFirstColumn="0" w:lastRowLastColumn="0"/>
            </w:pPr>
            <w:r w:rsidRPr="00DE3281">
              <w:t>43.4</w:t>
            </w:r>
          </w:p>
        </w:tc>
        <w:tc>
          <w:tcPr>
            <w:tcW w:w="1031" w:type="dxa"/>
            <w:noWrap/>
            <w:vAlign w:val="bottom"/>
          </w:tcPr>
          <w:p w:rsidR="00DE3281" w:rsidRPr="00DE3281" w:rsidRDefault="00DE3281" w:rsidP="00DE3281">
            <w:pPr>
              <w:cnfStyle w:val="000000010000" w:firstRow="0" w:lastRow="0" w:firstColumn="0" w:lastColumn="0" w:oddVBand="0" w:evenVBand="0" w:oddHBand="0" w:evenHBand="1" w:firstRowFirstColumn="0" w:firstRowLastColumn="0" w:lastRowFirstColumn="0" w:lastRowLastColumn="0"/>
            </w:pPr>
            <w:r w:rsidRPr="00DE3281">
              <w:t>44.8</w:t>
            </w:r>
          </w:p>
        </w:tc>
        <w:tc>
          <w:tcPr>
            <w:tcW w:w="1031" w:type="dxa"/>
            <w:vAlign w:val="bottom"/>
          </w:tcPr>
          <w:p w:rsidR="00DE3281" w:rsidRPr="00DE3281" w:rsidRDefault="00DE3281" w:rsidP="00DE3281">
            <w:pPr>
              <w:cnfStyle w:val="000000010000" w:firstRow="0" w:lastRow="0" w:firstColumn="0" w:lastColumn="0" w:oddVBand="0" w:evenVBand="0" w:oddHBand="0" w:evenHBand="1" w:firstRowFirstColumn="0" w:firstRowLastColumn="0" w:lastRowFirstColumn="0" w:lastRowLastColumn="0"/>
            </w:pPr>
            <w:r w:rsidRPr="00DE3281">
              <w:t>208.8</w:t>
            </w:r>
          </w:p>
        </w:tc>
      </w:tr>
      <w:tr w:rsidR="00DE3281" w:rsidRPr="00AE2E88" w:rsidTr="002E37EC">
        <w:trPr>
          <w:trHeight w:val="293"/>
        </w:trPr>
        <w:tc>
          <w:tcPr>
            <w:cnfStyle w:val="001000000000" w:firstRow="0" w:lastRow="0" w:firstColumn="1" w:lastColumn="0" w:oddVBand="0" w:evenVBand="0" w:oddHBand="0" w:evenHBand="0" w:firstRowFirstColumn="0" w:firstRowLastColumn="0" w:lastRowFirstColumn="0" w:lastRowLastColumn="0"/>
            <w:tcW w:w="2569" w:type="dxa"/>
            <w:noWrap/>
          </w:tcPr>
          <w:p w:rsidR="00DE3281" w:rsidRPr="00DE3281" w:rsidRDefault="00DE3281" w:rsidP="00DE3281">
            <w:pPr>
              <w:rPr>
                <w:rStyle w:val="Strong"/>
              </w:rPr>
            </w:pPr>
            <w:r w:rsidRPr="00DE3281">
              <w:rPr>
                <w:rStyle w:val="Strong"/>
              </w:rPr>
              <w:t>Regulatory depreciation</w:t>
            </w:r>
          </w:p>
        </w:tc>
        <w:tc>
          <w:tcPr>
            <w:tcW w:w="1031" w:type="dxa"/>
            <w:noWrap/>
            <w:vAlign w:val="bottom"/>
          </w:tcPr>
          <w:p w:rsidR="00DE3281" w:rsidRPr="00DE3281" w:rsidRDefault="00DE3281" w:rsidP="00525B99">
            <w:pPr>
              <w:pStyle w:val="HeadingOrange"/>
              <w:cnfStyle w:val="000000000000" w:firstRow="0" w:lastRow="0" w:firstColumn="0" w:lastColumn="0" w:oddVBand="0" w:evenVBand="0" w:oddHBand="0" w:evenHBand="0" w:firstRowFirstColumn="0" w:firstRowLastColumn="0" w:lastRowFirstColumn="0" w:lastRowLastColumn="0"/>
              <w:rPr>
                <w:rStyle w:val="Strong"/>
              </w:rPr>
            </w:pPr>
            <w:r w:rsidRPr="00DE3281">
              <w:t>43.9</w:t>
            </w:r>
          </w:p>
        </w:tc>
        <w:tc>
          <w:tcPr>
            <w:tcW w:w="1031" w:type="dxa"/>
            <w:noWrap/>
            <w:vAlign w:val="bottom"/>
          </w:tcPr>
          <w:p w:rsidR="00DE3281" w:rsidRPr="00DE3281" w:rsidRDefault="00DE3281" w:rsidP="00525B99">
            <w:pPr>
              <w:pStyle w:val="HeadingOrange"/>
              <w:cnfStyle w:val="000000000000" w:firstRow="0" w:lastRow="0" w:firstColumn="0" w:lastColumn="0" w:oddVBand="0" w:evenVBand="0" w:oddHBand="0" w:evenHBand="0" w:firstRowFirstColumn="0" w:firstRowLastColumn="0" w:lastRowFirstColumn="0" w:lastRowLastColumn="0"/>
              <w:rPr>
                <w:rStyle w:val="Strong"/>
              </w:rPr>
            </w:pPr>
            <w:r w:rsidRPr="00DE3281">
              <w:t>33.0</w:t>
            </w:r>
          </w:p>
        </w:tc>
        <w:tc>
          <w:tcPr>
            <w:tcW w:w="1031" w:type="dxa"/>
            <w:noWrap/>
            <w:vAlign w:val="bottom"/>
          </w:tcPr>
          <w:p w:rsidR="00DE3281" w:rsidRPr="00DE3281" w:rsidRDefault="00DE3281" w:rsidP="00525B99">
            <w:pPr>
              <w:pStyle w:val="HeadingOrange"/>
              <w:cnfStyle w:val="000000000000" w:firstRow="0" w:lastRow="0" w:firstColumn="0" w:lastColumn="0" w:oddVBand="0" w:evenVBand="0" w:oddHBand="0" w:evenHBand="0" w:firstRowFirstColumn="0" w:firstRowLastColumn="0" w:lastRowFirstColumn="0" w:lastRowLastColumn="0"/>
              <w:rPr>
                <w:rStyle w:val="Strong"/>
              </w:rPr>
            </w:pPr>
            <w:r w:rsidRPr="00DE3281">
              <w:t>35.8</w:t>
            </w:r>
          </w:p>
        </w:tc>
        <w:tc>
          <w:tcPr>
            <w:tcW w:w="1031" w:type="dxa"/>
            <w:noWrap/>
            <w:vAlign w:val="bottom"/>
          </w:tcPr>
          <w:p w:rsidR="00DE3281" w:rsidRPr="00DE3281" w:rsidRDefault="00DE3281" w:rsidP="00525B99">
            <w:pPr>
              <w:pStyle w:val="HeadingOrange"/>
              <w:cnfStyle w:val="000000000000" w:firstRow="0" w:lastRow="0" w:firstColumn="0" w:lastColumn="0" w:oddVBand="0" w:evenVBand="0" w:oddHBand="0" w:evenHBand="0" w:firstRowFirstColumn="0" w:firstRowLastColumn="0" w:lastRowFirstColumn="0" w:lastRowLastColumn="0"/>
              <w:rPr>
                <w:rStyle w:val="Strong"/>
              </w:rPr>
            </w:pPr>
            <w:r w:rsidRPr="00DE3281">
              <w:t>39.3</w:t>
            </w:r>
          </w:p>
        </w:tc>
        <w:tc>
          <w:tcPr>
            <w:tcW w:w="1031" w:type="dxa"/>
            <w:noWrap/>
            <w:vAlign w:val="bottom"/>
          </w:tcPr>
          <w:p w:rsidR="00DE3281" w:rsidRPr="00DE3281" w:rsidRDefault="00DE3281" w:rsidP="00525B99">
            <w:pPr>
              <w:pStyle w:val="HeadingOrange"/>
              <w:cnfStyle w:val="000000000000" w:firstRow="0" w:lastRow="0" w:firstColumn="0" w:lastColumn="0" w:oddVBand="0" w:evenVBand="0" w:oddHBand="0" w:evenHBand="0" w:firstRowFirstColumn="0" w:firstRowLastColumn="0" w:lastRowFirstColumn="0" w:lastRowLastColumn="0"/>
              <w:rPr>
                <w:rStyle w:val="Strong"/>
              </w:rPr>
            </w:pPr>
            <w:r w:rsidRPr="00DE3281">
              <w:t>43.1</w:t>
            </w:r>
          </w:p>
        </w:tc>
        <w:tc>
          <w:tcPr>
            <w:tcW w:w="1031" w:type="dxa"/>
            <w:vAlign w:val="bottom"/>
          </w:tcPr>
          <w:p w:rsidR="00DE3281" w:rsidRPr="00DE3281" w:rsidRDefault="00DE3281" w:rsidP="00525B99">
            <w:pPr>
              <w:pStyle w:val="HeadingOrange"/>
              <w:cnfStyle w:val="000000000000" w:firstRow="0" w:lastRow="0" w:firstColumn="0" w:lastColumn="0" w:oddVBand="0" w:evenVBand="0" w:oddHBand="0" w:evenHBand="0" w:firstRowFirstColumn="0" w:firstRowLastColumn="0" w:lastRowFirstColumn="0" w:lastRowLastColumn="0"/>
              <w:rPr>
                <w:rStyle w:val="Strong"/>
              </w:rPr>
            </w:pPr>
            <w:r w:rsidRPr="00DE3281">
              <w:t>195.0</w:t>
            </w:r>
          </w:p>
        </w:tc>
      </w:tr>
    </w:tbl>
    <w:p w:rsidR="00132D43" w:rsidRDefault="002341E6" w:rsidP="002341E6">
      <w:pPr>
        <w:pStyle w:val="AERtablesource"/>
      </w:pPr>
      <w:r>
        <w:t xml:space="preserve">Source: </w:t>
      </w:r>
      <w:r>
        <w:tab/>
        <w:t xml:space="preserve">AER analysis. </w:t>
      </w:r>
    </w:p>
    <w:p w:rsidR="00132D43" w:rsidRDefault="00306F5A" w:rsidP="00132D43">
      <w:pPr>
        <w:pStyle w:val="Heading2"/>
      </w:pPr>
      <w:bookmarkStart w:id="101" w:name="_Toc486841969"/>
      <w:r>
        <w:t>AusNet</w:t>
      </w:r>
      <w:r w:rsidR="00132D43">
        <w:t>’s proposal</w:t>
      </w:r>
      <w:bookmarkEnd w:id="101"/>
    </w:p>
    <w:p w:rsidR="008B322E" w:rsidRDefault="00F12747" w:rsidP="00C118AE">
      <w:r>
        <w:t>AusNet</w:t>
      </w:r>
      <w:r w:rsidR="00C118AE">
        <w:t xml:space="preserve"> used the AER's post-tax revenue model (PTRM) to calculate the forecast depreciation for the 2018–22 access arrangement period. Its </w:t>
      </w:r>
      <w:r w:rsidR="00C118AE" w:rsidRPr="00CA36EA">
        <w:t xml:space="preserve">proposed </w:t>
      </w:r>
      <w:r w:rsidR="00C118AE">
        <w:t xml:space="preserve">regulatory </w:t>
      </w:r>
      <w:r w:rsidR="00C118AE" w:rsidRPr="00CA36EA">
        <w:t xml:space="preserve">depreciation for </w:t>
      </w:r>
      <w:r w:rsidR="00C118AE">
        <w:t>the</w:t>
      </w:r>
      <w:r w:rsidR="00C118AE" w:rsidRPr="00CA36EA">
        <w:t xml:space="preserve"> </w:t>
      </w:r>
      <w:r w:rsidR="00C118AE">
        <w:t>2018–22</w:t>
      </w:r>
      <w:r w:rsidR="00C118AE" w:rsidRPr="00CA36EA">
        <w:t xml:space="preserve"> access arrangement </w:t>
      </w:r>
      <w:proofErr w:type="gramStart"/>
      <w:r w:rsidR="00C118AE" w:rsidRPr="00CA36EA">
        <w:t>period</w:t>
      </w:r>
      <w:proofErr w:type="gramEnd"/>
      <w:r w:rsidR="00C118AE" w:rsidRPr="00CA36EA">
        <w:t xml:space="preserve"> is set out in</w:t>
      </w:r>
      <w:r w:rsidR="00C118AE">
        <w:t xml:space="preserve"> </w:t>
      </w:r>
      <w:r w:rsidR="00C118AE">
        <w:fldChar w:fldCharType="begin"/>
      </w:r>
      <w:r w:rsidR="00C118AE">
        <w:instrText xml:space="preserve"> REF  _Ref398892142 \* Lower \h  \* MERGEFORMAT </w:instrText>
      </w:r>
      <w:r w:rsidR="00C118AE">
        <w:fldChar w:fldCharType="separate"/>
      </w:r>
      <w:r w:rsidR="00621ED7">
        <w:t>table 5.2</w:t>
      </w:r>
      <w:r w:rsidR="00C118AE">
        <w:fldChar w:fldCharType="end"/>
      </w:r>
      <w:r w:rsidR="00C118AE">
        <w:t>.</w:t>
      </w:r>
      <w:r w:rsidR="008B322E">
        <w:t xml:space="preserve"> </w:t>
      </w:r>
    </w:p>
    <w:p w:rsidR="00C118AE" w:rsidRDefault="00F12747" w:rsidP="00C118AE">
      <w:r>
        <w:t>AusNet</w:t>
      </w:r>
      <w:r w:rsidR="008B322E">
        <w:t xml:space="preserve"> proposed </w:t>
      </w:r>
      <w:r w:rsidR="00ED19CB">
        <w:t>the</w:t>
      </w:r>
      <w:r w:rsidR="008B322E">
        <w:t xml:space="preserve"> year</w:t>
      </w:r>
      <w:r w:rsidR="00ED19CB">
        <w:t>-</w:t>
      </w:r>
      <w:r w:rsidR="008B322E">
        <w:t>by</w:t>
      </w:r>
      <w:r w:rsidR="00ED19CB">
        <w:t>-</w:t>
      </w:r>
      <w:r w:rsidR="008B322E">
        <w:t>year tracking approach to depreciation</w:t>
      </w:r>
      <w:r w:rsidR="00ED19CB">
        <w:t>, which implements the straight-line method</w:t>
      </w:r>
      <w:r w:rsidR="008B322E">
        <w:t>.</w:t>
      </w:r>
      <w:r w:rsidR="008B322E">
        <w:rPr>
          <w:rStyle w:val="FootnoteReference"/>
        </w:rPr>
        <w:footnoteReference w:id="5"/>
      </w:r>
      <w:r w:rsidR="008B322E">
        <w:t xml:space="preserve"> It also proposed reducing the standard </w:t>
      </w:r>
      <w:r w:rsidR="00ED19CB">
        <w:t xml:space="preserve">asset </w:t>
      </w:r>
      <w:r w:rsidR="008B322E">
        <w:t xml:space="preserve">life of </w:t>
      </w:r>
      <w:r w:rsidR="00ED19CB">
        <w:t>the 'M</w:t>
      </w:r>
      <w:r w:rsidR="008B322E">
        <w:t>eters</w:t>
      </w:r>
      <w:r w:rsidR="00ED19CB">
        <w:t>' asset class</w:t>
      </w:r>
      <w:r w:rsidR="008B322E">
        <w:t xml:space="preserve"> to 15 years</w:t>
      </w:r>
      <w:r w:rsidR="00ED19CB" w:rsidRPr="00ED19CB">
        <w:t xml:space="preserve"> </w:t>
      </w:r>
      <w:r w:rsidR="00ED19CB">
        <w:t>from 20 years</w:t>
      </w:r>
      <w:r w:rsidR="008B322E">
        <w:t>.</w:t>
      </w:r>
      <w:r w:rsidR="008B322E">
        <w:rPr>
          <w:rStyle w:val="FootnoteReference"/>
        </w:rPr>
        <w:footnoteReference w:id="6"/>
      </w:r>
      <w:r w:rsidR="008B322E">
        <w:t xml:space="preserve"> Besides these changes, its </w:t>
      </w:r>
      <w:r w:rsidR="000A3871">
        <w:t xml:space="preserve">proposed </w:t>
      </w:r>
      <w:r w:rsidR="008B322E">
        <w:t>approach to depreciation is the same as the current access arrangement.</w:t>
      </w:r>
    </w:p>
    <w:p w:rsidR="003C4735" w:rsidRDefault="003C4735" w:rsidP="00C118AE">
      <w:r w:rsidRPr="003C4735">
        <w:t>The proposed regulatory depreciation</w:t>
      </w:r>
      <w:r w:rsidR="00ED19CB">
        <w:t xml:space="preserve"> allowance</w:t>
      </w:r>
      <w:r w:rsidRPr="003C4735">
        <w:t xml:space="preserve"> is also significantly affected by the </w:t>
      </w:r>
      <w:r w:rsidR="0018468E">
        <w:t>expected inflation</w:t>
      </w:r>
      <w:r w:rsidRPr="003C4735">
        <w:t xml:space="preserve"> rate. </w:t>
      </w:r>
      <w:r w:rsidR="00F12747">
        <w:t>AusNet</w:t>
      </w:r>
      <w:r w:rsidRPr="003C4735">
        <w:t xml:space="preserve"> has proposed a change to th</w:t>
      </w:r>
      <w:r w:rsidR="000C7977">
        <w:t xml:space="preserve">e way this is </w:t>
      </w:r>
      <w:r w:rsidR="00ED19CB">
        <w:t>estimated</w:t>
      </w:r>
      <w:r w:rsidR="000C7977">
        <w:t xml:space="preserve">. This </w:t>
      </w:r>
      <w:r w:rsidR="00ED19CB">
        <w:t>is</w:t>
      </w:r>
      <w:r w:rsidRPr="003C4735">
        <w:t xml:space="preserve"> discussed in attachment </w:t>
      </w:r>
      <w:r w:rsidR="000C7977">
        <w:t>3</w:t>
      </w:r>
      <w:r w:rsidRPr="003C4735">
        <w:t>.</w:t>
      </w:r>
    </w:p>
    <w:p w:rsidR="00C118AE" w:rsidRPr="005B5FC5" w:rsidRDefault="00C118AE" w:rsidP="00C118AE">
      <w:pPr>
        <w:pStyle w:val="Caption"/>
      </w:pPr>
      <w:bookmarkStart w:id="102" w:name="_Ref398892142"/>
      <w:proofErr w:type="gramStart"/>
      <w:r>
        <w:t xml:space="preserve">Table </w:t>
      </w:r>
      <w:proofErr w:type="gramEnd"/>
      <w:r w:rsidRPr="00A226D5">
        <w:fldChar w:fldCharType="begin"/>
      </w:r>
      <w:r>
        <w:instrText xml:space="preserve"> STYLEREF 1 \s </w:instrText>
      </w:r>
      <w:r w:rsidRPr="00A226D5">
        <w:fldChar w:fldCharType="separate"/>
      </w:r>
      <w:r w:rsidR="00621ED7">
        <w:rPr>
          <w:noProof/>
        </w:rPr>
        <w:t>5</w:t>
      </w:r>
      <w:r w:rsidRPr="00A226D5">
        <w:fldChar w:fldCharType="end"/>
      </w:r>
      <w:proofErr w:type="gramStart"/>
      <w:r>
        <w:t>.</w:t>
      </w:r>
      <w:proofErr w:type="gramEnd"/>
      <w:r w:rsidRPr="00A226D5">
        <w:fldChar w:fldCharType="begin"/>
      </w:r>
      <w:r>
        <w:instrText xml:space="preserve"> SEQ Table \* ARABIC \s 1 </w:instrText>
      </w:r>
      <w:r w:rsidRPr="00A226D5">
        <w:fldChar w:fldCharType="separate"/>
      </w:r>
      <w:r w:rsidR="00621ED7">
        <w:rPr>
          <w:noProof/>
        </w:rPr>
        <w:t>2</w:t>
      </w:r>
      <w:r w:rsidRPr="00A226D5">
        <w:fldChar w:fldCharType="end"/>
      </w:r>
      <w:bookmarkEnd w:id="102"/>
      <w:r w:rsidRPr="005B5FC5">
        <w:tab/>
      </w:r>
      <w:r>
        <w:t>AusNet</w:t>
      </w:r>
      <w:r w:rsidRPr="005B5FC5">
        <w:t>’s proposed regulatory depreciation for the 201</w:t>
      </w:r>
      <w:r>
        <w:t>8</w:t>
      </w:r>
      <w:r w:rsidRPr="005B5FC5">
        <w:t>–2</w:t>
      </w:r>
      <w:r>
        <w:t>2</w:t>
      </w:r>
      <w:r w:rsidRPr="005B5FC5">
        <w:t xml:space="preserve"> access arrangement period ($million, nominal)</w:t>
      </w:r>
    </w:p>
    <w:tbl>
      <w:tblPr>
        <w:tblStyle w:val="AERtable-numbers"/>
        <w:tblW w:w="8755" w:type="dxa"/>
        <w:tblLayout w:type="fixed"/>
        <w:tblLook w:val="04A0" w:firstRow="1" w:lastRow="0" w:firstColumn="1" w:lastColumn="0" w:noHBand="0" w:noVBand="1"/>
      </w:tblPr>
      <w:tblGrid>
        <w:gridCol w:w="2563"/>
        <w:gridCol w:w="1032"/>
        <w:gridCol w:w="1032"/>
        <w:gridCol w:w="1032"/>
        <w:gridCol w:w="1032"/>
        <w:gridCol w:w="1032"/>
        <w:gridCol w:w="1032"/>
      </w:tblGrid>
      <w:tr w:rsidR="00C118AE" w:rsidRPr="00A575B0" w:rsidTr="004F25A9">
        <w:trPr>
          <w:cnfStyle w:val="100000000000" w:firstRow="1" w:lastRow="0" w:firstColumn="0" w:lastColumn="0" w:oddVBand="0" w:evenVBand="0" w:oddHBand="0"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2563" w:type="dxa"/>
            <w:noWrap/>
            <w:hideMark/>
          </w:tcPr>
          <w:p w:rsidR="00C118AE" w:rsidRPr="00A575B0" w:rsidRDefault="00C118AE" w:rsidP="00C118AE"/>
        </w:tc>
        <w:tc>
          <w:tcPr>
            <w:tcW w:w="1032" w:type="dxa"/>
            <w:noWrap/>
          </w:tcPr>
          <w:p w:rsidR="00C118AE" w:rsidRPr="00C118AE" w:rsidRDefault="00C118AE" w:rsidP="00C118AE">
            <w:pPr>
              <w:cnfStyle w:val="100000000000" w:firstRow="1" w:lastRow="0" w:firstColumn="0" w:lastColumn="0" w:oddVBand="0" w:evenVBand="0" w:oddHBand="0" w:evenHBand="0" w:firstRowFirstColumn="0" w:firstRowLastColumn="0" w:lastRowFirstColumn="0" w:lastRowLastColumn="0"/>
            </w:pPr>
            <w:r>
              <w:t>20</w:t>
            </w:r>
            <w:r w:rsidRPr="00C118AE">
              <w:t>18</w:t>
            </w:r>
          </w:p>
        </w:tc>
        <w:tc>
          <w:tcPr>
            <w:tcW w:w="1032" w:type="dxa"/>
            <w:noWrap/>
          </w:tcPr>
          <w:p w:rsidR="00C118AE" w:rsidRPr="00C118AE" w:rsidRDefault="00C118AE" w:rsidP="00C118AE">
            <w:pPr>
              <w:cnfStyle w:val="100000000000" w:firstRow="1" w:lastRow="0" w:firstColumn="0" w:lastColumn="0" w:oddVBand="0" w:evenVBand="0" w:oddHBand="0" w:evenHBand="0" w:firstRowFirstColumn="0" w:firstRowLastColumn="0" w:lastRowFirstColumn="0" w:lastRowLastColumn="0"/>
            </w:pPr>
            <w:r>
              <w:t>20</w:t>
            </w:r>
            <w:r w:rsidRPr="00C118AE">
              <w:t>19</w:t>
            </w:r>
          </w:p>
        </w:tc>
        <w:tc>
          <w:tcPr>
            <w:tcW w:w="1032" w:type="dxa"/>
            <w:noWrap/>
          </w:tcPr>
          <w:p w:rsidR="00C118AE" w:rsidRPr="00C118AE" w:rsidRDefault="00C118AE" w:rsidP="00C118AE">
            <w:pPr>
              <w:cnfStyle w:val="100000000000" w:firstRow="1" w:lastRow="0" w:firstColumn="0" w:lastColumn="0" w:oddVBand="0" w:evenVBand="0" w:oddHBand="0" w:evenHBand="0" w:firstRowFirstColumn="0" w:firstRowLastColumn="0" w:lastRowFirstColumn="0" w:lastRowLastColumn="0"/>
            </w:pPr>
            <w:r>
              <w:t>20</w:t>
            </w:r>
            <w:r w:rsidRPr="00C118AE">
              <w:t>20</w:t>
            </w:r>
          </w:p>
        </w:tc>
        <w:tc>
          <w:tcPr>
            <w:tcW w:w="1032" w:type="dxa"/>
            <w:noWrap/>
          </w:tcPr>
          <w:p w:rsidR="00C118AE" w:rsidRPr="00C118AE" w:rsidRDefault="00C118AE" w:rsidP="00C118AE">
            <w:pPr>
              <w:cnfStyle w:val="100000000000" w:firstRow="1" w:lastRow="0" w:firstColumn="0" w:lastColumn="0" w:oddVBand="0" w:evenVBand="0" w:oddHBand="0" w:evenHBand="0" w:firstRowFirstColumn="0" w:firstRowLastColumn="0" w:lastRowFirstColumn="0" w:lastRowLastColumn="0"/>
            </w:pPr>
            <w:r>
              <w:t>20</w:t>
            </w:r>
            <w:r w:rsidRPr="00C118AE">
              <w:t>21</w:t>
            </w:r>
          </w:p>
        </w:tc>
        <w:tc>
          <w:tcPr>
            <w:tcW w:w="1032" w:type="dxa"/>
            <w:noWrap/>
          </w:tcPr>
          <w:p w:rsidR="00C118AE" w:rsidRPr="00C118AE" w:rsidRDefault="00C118AE" w:rsidP="00C118AE">
            <w:pPr>
              <w:cnfStyle w:val="100000000000" w:firstRow="1" w:lastRow="0" w:firstColumn="0" w:lastColumn="0" w:oddVBand="0" w:evenVBand="0" w:oddHBand="0" w:evenHBand="0" w:firstRowFirstColumn="0" w:firstRowLastColumn="0" w:lastRowFirstColumn="0" w:lastRowLastColumn="0"/>
            </w:pPr>
            <w:r>
              <w:t>20</w:t>
            </w:r>
            <w:r w:rsidRPr="00C118AE">
              <w:t>22</w:t>
            </w:r>
          </w:p>
        </w:tc>
        <w:tc>
          <w:tcPr>
            <w:tcW w:w="1032" w:type="dxa"/>
          </w:tcPr>
          <w:p w:rsidR="00C118AE" w:rsidRPr="00C118AE" w:rsidRDefault="00C118AE" w:rsidP="00C118AE">
            <w:pPr>
              <w:cnfStyle w:val="100000000000" w:firstRow="1" w:lastRow="0" w:firstColumn="0" w:lastColumn="0" w:oddVBand="0" w:evenVBand="0" w:oddHBand="0" w:evenHBand="0" w:firstRowFirstColumn="0" w:firstRowLastColumn="0" w:lastRowFirstColumn="0" w:lastRowLastColumn="0"/>
            </w:pPr>
            <w:r w:rsidRPr="00964F02">
              <w:t>Total</w:t>
            </w:r>
          </w:p>
        </w:tc>
      </w:tr>
      <w:tr w:rsidR="00941AFA" w:rsidRPr="009603F9" w:rsidTr="004F25A9">
        <w:trPr>
          <w:trHeight w:val="308"/>
        </w:trPr>
        <w:tc>
          <w:tcPr>
            <w:cnfStyle w:val="001000000000" w:firstRow="0" w:lastRow="0" w:firstColumn="1" w:lastColumn="0" w:oddVBand="0" w:evenVBand="0" w:oddHBand="0" w:evenHBand="0" w:firstRowFirstColumn="0" w:firstRowLastColumn="0" w:lastRowFirstColumn="0" w:lastRowLastColumn="0"/>
            <w:tcW w:w="2563" w:type="dxa"/>
            <w:noWrap/>
          </w:tcPr>
          <w:p w:rsidR="00941AFA" w:rsidRPr="00941AFA" w:rsidRDefault="00941AFA" w:rsidP="00941AFA">
            <w:r w:rsidRPr="00941AFA">
              <w:t>Straight-line depreciation</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pPr>
            <w:r w:rsidRPr="00941AFA">
              <w:t>82.7</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pPr>
            <w:r w:rsidRPr="00941AFA">
              <w:t>72.5</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pPr>
            <w:r w:rsidRPr="00941AFA">
              <w:t>76.4</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pPr>
            <w:r w:rsidRPr="00941AFA">
              <w:t>81.0</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pPr>
            <w:r w:rsidRPr="00941AFA">
              <w:t>85.8</w:t>
            </w:r>
          </w:p>
        </w:tc>
        <w:tc>
          <w:tcPr>
            <w:tcW w:w="1032" w:type="dxa"/>
            <w:vAlign w:val="bottom"/>
          </w:tcPr>
          <w:p w:rsidR="00941AFA" w:rsidRPr="00941AFA" w:rsidRDefault="00545353" w:rsidP="00941AFA">
            <w:pPr>
              <w:cnfStyle w:val="000000000000" w:firstRow="0" w:lastRow="0" w:firstColumn="0" w:lastColumn="0" w:oddVBand="0" w:evenVBand="0" w:oddHBand="0" w:evenHBand="0" w:firstRowFirstColumn="0" w:firstRowLastColumn="0" w:lastRowFirstColumn="0" w:lastRowLastColumn="0"/>
            </w:pPr>
            <w:r>
              <w:t>398.3</w:t>
            </w:r>
          </w:p>
        </w:tc>
      </w:tr>
      <w:tr w:rsidR="00941AFA" w:rsidRPr="009603F9" w:rsidTr="004F25A9">
        <w:trPr>
          <w:cnfStyle w:val="000000010000" w:firstRow="0" w:lastRow="0" w:firstColumn="0" w:lastColumn="0" w:oddVBand="0" w:evenVBand="0" w:oddHBand="0" w:evenHBand="1"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2563" w:type="dxa"/>
            <w:noWrap/>
          </w:tcPr>
          <w:p w:rsidR="00941AFA" w:rsidRPr="00941AFA" w:rsidRDefault="00941AFA" w:rsidP="00941AFA">
            <w:r w:rsidRPr="00941AFA">
              <w:rPr>
                <w:rStyle w:val="AERtextitalic"/>
              </w:rPr>
              <w:t xml:space="preserve">Less: </w:t>
            </w:r>
            <w:r w:rsidRPr="00941AFA">
              <w:t xml:space="preserve">indexation on capital base </w:t>
            </w:r>
          </w:p>
        </w:tc>
        <w:tc>
          <w:tcPr>
            <w:tcW w:w="1032" w:type="dxa"/>
            <w:noWrap/>
            <w:vAlign w:val="bottom"/>
          </w:tcPr>
          <w:p w:rsidR="00941AFA" w:rsidRPr="00941AFA" w:rsidRDefault="00941AFA" w:rsidP="00941AFA">
            <w:pPr>
              <w:cnfStyle w:val="000000010000" w:firstRow="0" w:lastRow="0" w:firstColumn="0" w:lastColumn="0" w:oddVBand="0" w:evenVBand="0" w:oddHBand="0" w:evenHBand="1" w:firstRowFirstColumn="0" w:firstRowLastColumn="0" w:lastRowFirstColumn="0" w:lastRowLastColumn="0"/>
            </w:pPr>
            <w:r w:rsidRPr="00941AFA">
              <w:t>26.0</w:t>
            </w:r>
          </w:p>
        </w:tc>
        <w:tc>
          <w:tcPr>
            <w:tcW w:w="1032" w:type="dxa"/>
            <w:noWrap/>
            <w:vAlign w:val="bottom"/>
          </w:tcPr>
          <w:p w:rsidR="00941AFA" w:rsidRPr="00941AFA" w:rsidRDefault="00941AFA" w:rsidP="00941AFA">
            <w:pPr>
              <w:cnfStyle w:val="000000010000" w:firstRow="0" w:lastRow="0" w:firstColumn="0" w:lastColumn="0" w:oddVBand="0" w:evenVBand="0" w:oddHBand="0" w:evenHBand="1" w:firstRowFirstColumn="0" w:firstRowLastColumn="0" w:lastRowFirstColumn="0" w:lastRowLastColumn="0"/>
            </w:pPr>
            <w:r w:rsidRPr="00941AFA">
              <w:t>26.9</w:t>
            </w:r>
          </w:p>
        </w:tc>
        <w:tc>
          <w:tcPr>
            <w:tcW w:w="1032" w:type="dxa"/>
            <w:noWrap/>
            <w:vAlign w:val="bottom"/>
          </w:tcPr>
          <w:p w:rsidR="00941AFA" w:rsidRPr="00941AFA" w:rsidRDefault="00941AFA" w:rsidP="00941AFA">
            <w:pPr>
              <w:cnfStyle w:val="000000010000" w:firstRow="0" w:lastRow="0" w:firstColumn="0" w:lastColumn="0" w:oddVBand="0" w:evenVBand="0" w:oddHBand="0" w:evenHBand="1" w:firstRowFirstColumn="0" w:firstRowLastColumn="0" w:lastRowFirstColumn="0" w:lastRowLastColumn="0"/>
            </w:pPr>
            <w:r w:rsidRPr="00941AFA">
              <w:t>27.9</w:t>
            </w:r>
          </w:p>
        </w:tc>
        <w:tc>
          <w:tcPr>
            <w:tcW w:w="1032" w:type="dxa"/>
            <w:noWrap/>
            <w:vAlign w:val="bottom"/>
          </w:tcPr>
          <w:p w:rsidR="00941AFA" w:rsidRPr="00941AFA" w:rsidRDefault="00941AFA" w:rsidP="00941AFA">
            <w:pPr>
              <w:cnfStyle w:val="000000010000" w:firstRow="0" w:lastRow="0" w:firstColumn="0" w:lastColumn="0" w:oddVBand="0" w:evenVBand="0" w:oddHBand="0" w:evenHBand="1" w:firstRowFirstColumn="0" w:firstRowLastColumn="0" w:lastRowFirstColumn="0" w:lastRowLastColumn="0"/>
            </w:pPr>
            <w:r w:rsidRPr="00941AFA">
              <w:t>28.8</w:t>
            </w:r>
          </w:p>
        </w:tc>
        <w:tc>
          <w:tcPr>
            <w:tcW w:w="1032" w:type="dxa"/>
            <w:noWrap/>
            <w:vAlign w:val="bottom"/>
          </w:tcPr>
          <w:p w:rsidR="00941AFA" w:rsidRPr="00941AFA" w:rsidRDefault="00941AFA" w:rsidP="00941AFA">
            <w:pPr>
              <w:cnfStyle w:val="000000010000" w:firstRow="0" w:lastRow="0" w:firstColumn="0" w:lastColumn="0" w:oddVBand="0" w:evenVBand="0" w:oddHBand="0" w:evenHBand="1" w:firstRowFirstColumn="0" w:firstRowLastColumn="0" w:lastRowFirstColumn="0" w:lastRowLastColumn="0"/>
            </w:pPr>
            <w:r w:rsidRPr="00941AFA">
              <w:t>29.6</w:t>
            </w:r>
          </w:p>
        </w:tc>
        <w:tc>
          <w:tcPr>
            <w:tcW w:w="1032" w:type="dxa"/>
            <w:vAlign w:val="bottom"/>
          </w:tcPr>
          <w:p w:rsidR="00941AFA" w:rsidRPr="00941AFA" w:rsidRDefault="00545353" w:rsidP="00941AFA">
            <w:pPr>
              <w:cnfStyle w:val="000000010000" w:firstRow="0" w:lastRow="0" w:firstColumn="0" w:lastColumn="0" w:oddVBand="0" w:evenVBand="0" w:oddHBand="0" w:evenHBand="1" w:firstRowFirstColumn="0" w:firstRowLastColumn="0" w:lastRowFirstColumn="0" w:lastRowLastColumn="0"/>
            </w:pPr>
            <w:r>
              <w:t>139.2</w:t>
            </w:r>
          </w:p>
        </w:tc>
      </w:tr>
      <w:tr w:rsidR="00941AFA" w:rsidRPr="00A575B0" w:rsidTr="004F25A9">
        <w:trPr>
          <w:trHeight w:val="308"/>
        </w:trPr>
        <w:tc>
          <w:tcPr>
            <w:cnfStyle w:val="001000000000" w:firstRow="0" w:lastRow="0" w:firstColumn="1" w:lastColumn="0" w:oddVBand="0" w:evenVBand="0" w:oddHBand="0" w:evenHBand="0" w:firstRowFirstColumn="0" w:firstRowLastColumn="0" w:lastRowFirstColumn="0" w:lastRowLastColumn="0"/>
            <w:tcW w:w="2563" w:type="dxa"/>
            <w:noWrap/>
          </w:tcPr>
          <w:p w:rsidR="00941AFA" w:rsidRPr="00941AFA" w:rsidRDefault="00941AFA" w:rsidP="00941AFA">
            <w:pPr>
              <w:rPr>
                <w:rStyle w:val="Strong"/>
              </w:rPr>
            </w:pPr>
            <w:r w:rsidRPr="00941AFA">
              <w:rPr>
                <w:rStyle w:val="Strong"/>
              </w:rPr>
              <w:t>Regulatory depreciation</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rPr>
                <w:rStyle w:val="Strong"/>
              </w:rPr>
            </w:pPr>
            <w:r w:rsidRPr="00941AFA">
              <w:rPr>
                <w:rStyle w:val="Strong"/>
              </w:rPr>
              <w:t>56.7</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rPr>
                <w:rStyle w:val="Strong"/>
              </w:rPr>
            </w:pPr>
            <w:r w:rsidRPr="00941AFA">
              <w:rPr>
                <w:rStyle w:val="Strong"/>
              </w:rPr>
              <w:t>45.6</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rPr>
                <w:rStyle w:val="Strong"/>
              </w:rPr>
            </w:pPr>
            <w:r w:rsidRPr="00941AFA">
              <w:rPr>
                <w:rStyle w:val="Strong"/>
              </w:rPr>
              <w:t>48.5</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rPr>
                <w:rStyle w:val="Strong"/>
              </w:rPr>
            </w:pPr>
            <w:r w:rsidRPr="00941AFA">
              <w:rPr>
                <w:rStyle w:val="Strong"/>
              </w:rPr>
              <w:t>52.1</w:t>
            </w:r>
          </w:p>
        </w:tc>
        <w:tc>
          <w:tcPr>
            <w:tcW w:w="1032" w:type="dxa"/>
            <w:noWrap/>
            <w:vAlign w:val="bottom"/>
          </w:tcPr>
          <w:p w:rsidR="00941AFA" w:rsidRPr="00941AFA" w:rsidRDefault="00941AFA" w:rsidP="00941AFA">
            <w:pPr>
              <w:cnfStyle w:val="000000000000" w:firstRow="0" w:lastRow="0" w:firstColumn="0" w:lastColumn="0" w:oddVBand="0" w:evenVBand="0" w:oddHBand="0" w:evenHBand="0" w:firstRowFirstColumn="0" w:firstRowLastColumn="0" w:lastRowFirstColumn="0" w:lastRowLastColumn="0"/>
              <w:rPr>
                <w:rStyle w:val="Strong"/>
              </w:rPr>
            </w:pPr>
            <w:r w:rsidRPr="00941AFA">
              <w:rPr>
                <w:rStyle w:val="Strong"/>
              </w:rPr>
              <w:t>56.2</w:t>
            </w:r>
          </w:p>
        </w:tc>
        <w:tc>
          <w:tcPr>
            <w:tcW w:w="1032" w:type="dxa"/>
            <w:vAlign w:val="bottom"/>
          </w:tcPr>
          <w:p w:rsidR="00941AFA" w:rsidRPr="00941AFA" w:rsidRDefault="00545353" w:rsidP="00941AFA">
            <w:pPr>
              <w:cnfStyle w:val="000000000000" w:firstRow="0" w:lastRow="0" w:firstColumn="0" w:lastColumn="0" w:oddVBand="0" w:evenVBand="0" w:oddHBand="0" w:evenHBand="0" w:firstRowFirstColumn="0" w:firstRowLastColumn="0" w:lastRowFirstColumn="0" w:lastRowLastColumn="0"/>
              <w:rPr>
                <w:rStyle w:val="Strong"/>
              </w:rPr>
            </w:pPr>
            <w:r>
              <w:rPr>
                <w:rStyle w:val="Strong"/>
              </w:rPr>
              <w:t>259.1</w:t>
            </w:r>
          </w:p>
        </w:tc>
      </w:tr>
    </w:tbl>
    <w:p w:rsidR="008B322E" w:rsidRPr="00970327" w:rsidRDefault="00C118AE" w:rsidP="00970327">
      <w:pPr>
        <w:pStyle w:val="AERtablesource"/>
        <w:rPr>
          <w:i/>
        </w:rPr>
      </w:pPr>
      <w:r w:rsidRPr="00C118AE">
        <w:rPr>
          <w:rFonts w:eastAsia="Calibri"/>
        </w:rPr>
        <w:t xml:space="preserve">Source: </w:t>
      </w:r>
      <w:r w:rsidRPr="00C118AE">
        <w:rPr>
          <w:rFonts w:eastAsia="Calibri"/>
        </w:rPr>
        <w:tab/>
      </w:r>
      <w:r w:rsidR="00593AEA" w:rsidRPr="00B75F99">
        <w:rPr>
          <w:rFonts w:eastAsia="Calibri"/>
        </w:rPr>
        <w:t xml:space="preserve">AusNet Services - </w:t>
      </w:r>
      <w:r w:rsidR="00593AEA" w:rsidRPr="00593AEA">
        <w:rPr>
          <w:rStyle w:val="AERtextitalic"/>
          <w:rFonts w:eastAsia="Calibri"/>
        </w:rPr>
        <w:t>Access Arrangement Information 2018-2022</w:t>
      </w:r>
      <w:r w:rsidR="00593AEA" w:rsidRPr="00B75F99">
        <w:rPr>
          <w:rFonts w:eastAsia="Calibri"/>
        </w:rPr>
        <w:t xml:space="preserve"> - 20161221</w:t>
      </w:r>
      <w:r w:rsidR="00FE4A3D" w:rsidRPr="00B75F99">
        <w:t>, p.</w:t>
      </w:r>
      <w:r w:rsidR="00ED19CB" w:rsidRPr="00B75F99">
        <w:t xml:space="preserve"> </w:t>
      </w:r>
      <w:r w:rsidR="00FE4A3D" w:rsidRPr="00B75F99">
        <w:t>185</w:t>
      </w:r>
      <w:r w:rsidRPr="00B75F99">
        <w:t>.</w:t>
      </w:r>
    </w:p>
    <w:p w:rsidR="00132D43" w:rsidRDefault="00132D43" w:rsidP="00B75F99">
      <w:pPr>
        <w:pStyle w:val="Heading2"/>
        <w:keepNext/>
      </w:pPr>
      <w:bookmarkStart w:id="103" w:name="_Toc486841970"/>
      <w:r>
        <w:t>Assessment approach</w:t>
      </w:r>
      <w:bookmarkEnd w:id="103"/>
    </w:p>
    <w:p w:rsidR="00B96FFB" w:rsidRDefault="00B96FFB" w:rsidP="00B75F99">
      <w:pPr>
        <w:keepNext/>
      </w:pPr>
      <w:r w:rsidRPr="00471C48">
        <w:t xml:space="preserve">In its access arrangement proposal, </w:t>
      </w:r>
      <w:r w:rsidR="00F12747">
        <w:t>AusNet</w:t>
      </w:r>
      <w:r w:rsidRPr="00471C48">
        <w:t xml:space="preserve"> must provide a forecast of depreciation for the </w:t>
      </w:r>
      <w:r>
        <w:t>2018–22</w:t>
      </w:r>
      <w:r w:rsidRPr="00471C48">
        <w:t xml:space="preserve"> access arrangement period, including a demonstration of how the forecast is derived on the basis of the proposed depreciation method.</w:t>
      </w:r>
      <w:r w:rsidRPr="00471C48">
        <w:rPr>
          <w:rStyle w:val="FootnoteReference"/>
        </w:rPr>
        <w:footnoteReference w:id="7"/>
      </w:r>
      <w:r w:rsidRPr="00471C48">
        <w:t xml:space="preserve"> </w:t>
      </w:r>
    </w:p>
    <w:p w:rsidR="00B96FFB" w:rsidRPr="006E4103" w:rsidRDefault="00B96FFB" w:rsidP="00B96FFB">
      <w:r w:rsidRPr="006E4103">
        <w:t>The depreciation schedule sets out the basis on which the pipeline assets constituting the capital base are to be depreciated for the purpose of determining a reference tariff. The depreciation schedule may consist of a number of separate schedules, each relating to a particular asset or class of asset.</w:t>
      </w:r>
      <w:r w:rsidRPr="006E4103">
        <w:rPr>
          <w:rStyle w:val="FootnoteReference"/>
        </w:rPr>
        <w:footnoteReference w:id="8"/>
      </w:r>
      <w:r w:rsidRPr="006E4103">
        <w:t xml:space="preserve"> In making a decision on the proposed depreciation schedule, we assess the compliance of the proposed depreciation schedule with the depreciation criteria set out in the NG</w:t>
      </w:r>
      <w:r w:rsidRPr="006E4103">
        <w:rPr>
          <w:rStyle w:val="AERbody"/>
        </w:rPr>
        <w:t>R.</w:t>
      </w:r>
      <w:r w:rsidRPr="006E4103">
        <w:rPr>
          <w:rStyle w:val="FootnoteReference"/>
        </w:rPr>
        <w:footnoteReference w:id="9"/>
      </w:r>
      <w:r w:rsidRPr="006E4103">
        <w:rPr>
          <w:rStyle w:val="AERbody"/>
        </w:rPr>
        <w:t xml:space="preserve"> </w:t>
      </w:r>
      <w:r>
        <w:t>We</w:t>
      </w:r>
      <w:r w:rsidRPr="00471C48">
        <w:t xml:space="preserve"> must also take into account the NGO and the revenue and pricing principles.</w:t>
      </w:r>
      <w:r w:rsidRPr="00471C48">
        <w:rPr>
          <w:rStyle w:val="FootnoteReference"/>
        </w:rPr>
        <w:footnoteReference w:id="10"/>
      </w:r>
    </w:p>
    <w:p w:rsidR="00B96FFB" w:rsidRPr="00471C48" w:rsidRDefault="00B96FFB" w:rsidP="00B96FFB">
      <w:pPr>
        <w:rPr>
          <w:rStyle w:val="AERbody"/>
        </w:rPr>
      </w:pPr>
      <w:r>
        <w:rPr>
          <w:rStyle w:val="AERbody"/>
        </w:rPr>
        <w:t xml:space="preserve">Our </w:t>
      </w:r>
      <w:r w:rsidRPr="00471C48">
        <w:rPr>
          <w:rStyle w:val="AERbody"/>
        </w:rPr>
        <w:t>discretion under the depreciation criteria is limited.</w:t>
      </w:r>
      <w:r w:rsidRPr="00471C48">
        <w:rPr>
          <w:rStyle w:val="FootnoteReference"/>
        </w:rPr>
        <w:footnoteReference w:id="11"/>
      </w:r>
      <w:r w:rsidRPr="00471C48">
        <w:rPr>
          <w:rStyle w:val="AERbody"/>
        </w:rPr>
        <w:t xml:space="preserve"> The depreciation criteria state that </w:t>
      </w:r>
      <w:r w:rsidRPr="00471C48">
        <w:t>the depreciation schedule should be designed:</w:t>
      </w:r>
    </w:p>
    <w:p w:rsidR="00B96FFB" w:rsidRPr="00A226D5" w:rsidRDefault="00B96FFB" w:rsidP="00B96FFB">
      <w:pPr>
        <w:pStyle w:val="AERbulletlistfirststyle"/>
      </w:pPr>
      <w:r w:rsidRPr="00B9583E">
        <w:t>so that reference tariffs will vary, over time, in a way that promotes efficient growth in the market for reference services</w:t>
      </w:r>
      <w:r w:rsidRPr="00A226D5">
        <w:rPr>
          <w:rStyle w:val="FootnoteReference"/>
        </w:rPr>
        <w:footnoteReference w:id="12"/>
      </w:r>
    </w:p>
    <w:p w:rsidR="00B96FFB" w:rsidRPr="00A226D5" w:rsidRDefault="00B96FFB" w:rsidP="00B96FFB">
      <w:pPr>
        <w:pStyle w:val="AERbulletlistfirststyle"/>
      </w:pPr>
      <w:r w:rsidRPr="00B9583E">
        <w:t>so that each asset or group of assets is depreciated over the economic life of that asset or group of assets</w:t>
      </w:r>
      <w:r w:rsidRPr="00A226D5">
        <w:rPr>
          <w:rStyle w:val="FootnoteReference"/>
        </w:rPr>
        <w:footnoteReference w:id="13"/>
      </w:r>
    </w:p>
    <w:p w:rsidR="00B96FFB" w:rsidRPr="00A226D5" w:rsidRDefault="00B96FFB" w:rsidP="00B96FFB">
      <w:pPr>
        <w:pStyle w:val="AERbulletlistfirststyle"/>
      </w:pPr>
      <w:r w:rsidRPr="00B9583E">
        <w:t>so as to allow, as far as reasonably practicable, for adjustment reflecting changes in the expected economic life of a particular asset, or a particular group of assets</w:t>
      </w:r>
      <w:r w:rsidRPr="00A226D5">
        <w:rPr>
          <w:rStyle w:val="FootnoteReference"/>
        </w:rPr>
        <w:footnoteReference w:id="14"/>
      </w:r>
    </w:p>
    <w:p w:rsidR="00B96FFB" w:rsidRPr="00A226D5" w:rsidRDefault="00B96FFB" w:rsidP="00B96FFB">
      <w:pPr>
        <w:pStyle w:val="AERbulletlistfirststyle"/>
      </w:pPr>
      <w:r w:rsidRPr="00B9583E">
        <w:t xml:space="preserve">so that (subject to the rules about capital redundancy), an </w:t>
      </w:r>
      <w:r w:rsidRPr="00A226D5">
        <w:t>asset is depreciated only once</w:t>
      </w:r>
      <w:r w:rsidRPr="00A226D5">
        <w:rPr>
          <w:rStyle w:val="FootnoteReference"/>
        </w:rPr>
        <w:footnoteReference w:id="15"/>
      </w:r>
      <w:r w:rsidRPr="00A226D5">
        <w:t xml:space="preserve"> </w:t>
      </w:r>
    </w:p>
    <w:p w:rsidR="00B96FFB" w:rsidRPr="00A226D5" w:rsidRDefault="00B96FFB" w:rsidP="00B96FFB">
      <w:pPr>
        <w:pStyle w:val="AERbulletlistfirststyle"/>
      </w:pPr>
      <w:r w:rsidRPr="00B9583E">
        <w:t>so as to allow for the service provider's reasonable needs for cash flow to meet financing, non-capital and other costs.</w:t>
      </w:r>
      <w:r w:rsidRPr="00A226D5">
        <w:rPr>
          <w:rStyle w:val="FootnoteReference"/>
        </w:rPr>
        <w:footnoteReference w:id="16"/>
      </w:r>
    </w:p>
    <w:p w:rsidR="00B96FFB" w:rsidRDefault="00B96FFB" w:rsidP="00B96FFB">
      <w:r w:rsidRPr="00471C48">
        <w:t xml:space="preserve">The depreciation criteria also </w:t>
      </w:r>
      <w:r w:rsidR="000A3871">
        <w:t>provide that</w:t>
      </w:r>
      <w:r>
        <w:t xml:space="preserve"> </w:t>
      </w:r>
      <w:r w:rsidRPr="00471C48">
        <w:t>a substantial amount of depreciation may be deferred.</w:t>
      </w:r>
      <w:r w:rsidRPr="006E4103">
        <w:rPr>
          <w:rStyle w:val="FootnoteReference"/>
        </w:rPr>
        <w:footnoteReference w:id="17"/>
      </w:r>
    </w:p>
    <w:p w:rsidR="00FA2ED1" w:rsidRPr="00471C48" w:rsidRDefault="00FA2ED1" w:rsidP="00B96FFB">
      <w:pPr>
        <w:rPr>
          <w:rStyle w:val="AERbody"/>
        </w:rPr>
      </w:pPr>
      <w:r w:rsidRPr="00FA2ED1">
        <w:t>The rules also require that any forecast must be arrived at on a reasonable basis and must represent the best forecast or estimate possible in the circumstances.</w:t>
      </w:r>
      <w:r w:rsidRPr="00B75F99">
        <w:rPr>
          <w:rStyle w:val="FootnoteReference"/>
        </w:rPr>
        <w:footnoteReference w:id="18"/>
      </w:r>
    </w:p>
    <w:p w:rsidR="00B96FFB" w:rsidRPr="00471C48" w:rsidRDefault="00B96FFB" w:rsidP="00B96FFB">
      <w:r>
        <w:t>The r</w:t>
      </w:r>
      <w:r w:rsidRPr="00471C48">
        <w:t xml:space="preserve">egulatory depreciation allowance is the net total of the </w:t>
      </w:r>
      <w:r>
        <w:t xml:space="preserve">real </w:t>
      </w:r>
      <w:r w:rsidRPr="00471C48">
        <w:t>straight-line depreciation</w:t>
      </w:r>
      <w:r w:rsidR="00ED19CB">
        <w:t xml:space="preserve"> </w:t>
      </w:r>
      <w:r w:rsidR="00536B4C">
        <w:t>less</w:t>
      </w:r>
      <w:r w:rsidRPr="00471C48">
        <w:t xml:space="preserve"> t</w:t>
      </w:r>
      <w:r>
        <w:t xml:space="preserve">he annual inflation indexation </w:t>
      </w:r>
      <w:r w:rsidRPr="00471C48">
        <w:t xml:space="preserve">on the projected capital base. </w:t>
      </w:r>
      <w:r>
        <w:t>Our</w:t>
      </w:r>
      <w:r w:rsidRPr="00471C48">
        <w:t xml:space="preserve"> </w:t>
      </w:r>
      <w:r>
        <w:t>standard approach is to employ a</w:t>
      </w:r>
      <w:r w:rsidRPr="00471C48">
        <w:t xml:space="preserve"> straight-line method </w:t>
      </w:r>
      <w:r>
        <w:t>for calculating depreciation. We</w:t>
      </w:r>
      <w:r w:rsidRPr="00471C48">
        <w:t xml:space="preserve"> consider that the straight-line method satisfies the </w:t>
      </w:r>
      <w:r>
        <w:t xml:space="preserve">NGR’s </w:t>
      </w:r>
      <w:r w:rsidRPr="00471C48">
        <w:t>depreciation criteria.</w:t>
      </w:r>
      <w:r w:rsidRPr="00471C48">
        <w:rPr>
          <w:rStyle w:val="FootnoteReference"/>
        </w:rPr>
        <w:footnoteReference w:id="19"/>
      </w:r>
      <w:r w:rsidRPr="00471C48">
        <w:t xml:space="preserve"> This is because the straight-line method smooth</w:t>
      </w:r>
      <w:r>
        <w:t>s</w:t>
      </w:r>
      <w:r w:rsidRPr="00471C48">
        <w:t xml:space="preserve"> changes in the reference tariffs, promotes efficient growth of the market, allows assets to be depreciated only once and over its economic life, and allows for a service provider's reasonable needs for cash flow. </w:t>
      </w:r>
    </w:p>
    <w:p w:rsidR="00B96FFB" w:rsidRPr="00471C48" w:rsidRDefault="00B96FFB" w:rsidP="00B96FFB">
      <w:r w:rsidRPr="00471C48">
        <w:t xml:space="preserve">In assessing </w:t>
      </w:r>
      <w:r w:rsidR="00F12747">
        <w:t>AusNet</w:t>
      </w:r>
      <w:r>
        <w:t>’s</w:t>
      </w:r>
      <w:r w:rsidRPr="00471C48">
        <w:t xml:space="preserve"> proposed regulatory depreciation allowance, </w:t>
      </w:r>
      <w:r>
        <w:t>we</w:t>
      </w:r>
      <w:r w:rsidRPr="00471C48">
        <w:t xml:space="preserve"> ha</w:t>
      </w:r>
      <w:r>
        <w:t>ve</w:t>
      </w:r>
      <w:r w:rsidRPr="00471C48">
        <w:t xml:space="preserve"> analysed </w:t>
      </w:r>
      <w:r w:rsidR="005A3D9F">
        <w:rPr>
          <w:rStyle w:val="AERbody"/>
        </w:rPr>
        <w:t>AusNet</w:t>
      </w:r>
      <w:r w:rsidR="005A3D9F">
        <w:t>’s</w:t>
      </w:r>
      <w:r w:rsidR="005A3D9F" w:rsidRPr="00471C48">
        <w:t xml:space="preserve"> </w:t>
      </w:r>
      <w:r w:rsidRPr="00471C48">
        <w:t xml:space="preserve">proposed </w:t>
      </w:r>
      <w:r>
        <w:t xml:space="preserve">inputs to the PTRM </w:t>
      </w:r>
      <w:r w:rsidRPr="00471C48">
        <w:t>for calculating depreciation</w:t>
      </w:r>
      <w:r>
        <w:t xml:space="preserve"> for the 2018–22 access arrangement period. </w:t>
      </w:r>
      <w:r w:rsidRPr="00471C48">
        <w:t>These inputs include:</w:t>
      </w:r>
      <w:r>
        <w:t xml:space="preserve"> </w:t>
      </w:r>
    </w:p>
    <w:p w:rsidR="00B96FFB" w:rsidRPr="00A226D5" w:rsidRDefault="00C52AAE" w:rsidP="00C52AAE">
      <w:pPr>
        <w:pStyle w:val="AERbulletlistfirststyle"/>
      </w:pPr>
      <w:r w:rsidRPr="00C52AAE">
        <w:t>the depreciation associated with</w:t>
      </w:r>
      <w:r>
        <w:t xml:space="preserve"> the</w:t>
      </w:r>
      <w:r w:rsidRPr="00C52AAE">
        <w:t xml:space="preserve"> opening capital base as at 1 January 2018—calculated in a separate year-by-y</w:t>
      </w:r>
      <w:r>
        <w:t>ear tracking depreciation model</w:t>
      </w:r>
    </w:p>
    <w:p w:rsidR="00B96FFB" w:rsidRPr="00A226D5" w:rsidRDefault="00B96FFB" w:rsidP="00B96FFB">
      <w:pPr>
        <w:pStyle w:val="AERbulletlistfirststyle"/>
      </w:pPr>
      <w:r w:rsidRPr="00B9583E">
        <w:t>the forecast net capex in</w:t>
      </w:r>
      <w:r w:rsidR="0066082A">
        <w:t xml:space="preserve"> the 2018</w:t>
      </w:r>
      <w:r w:rsidRPr="00A226D5">
        <w:t>–22 access arrangement period</w:t>
      </w:r>
    </w:p>
    <w:p w:rsidR="00B96FFB" w:rsidRDefault="00B96FFB" w:rsidP="00B96FFB">
      <w:pPr>
        <w:pStyle w:val="AERbulletlistfirststyle"/>
      </w:pPr>
      <w:r w:rsidRPr="00B9583E">
        <w:t>the standard asset life for each asset class—used for calculating the depreciation of new assets associated with forecast net capex in the 201</w:t>
      </w:r>
      <w:r w:rsidR="0066082A">
        <w:t>8</w:t>
      </w:r>
      <w:r w:rsidRPr="00A226D5">
        <w:t>–22 access arrangement period</w:t>
      </w:r>
      <w:r w:rsidR="005D757D">
        <w:t>.</w:t>
      </w:r>
    </w:p>
    <w:p w:rsidR="00C52AAE" w:rsidRPr="00C52AAE" w:rsidRDefault="00C52AAE" w:rsidP="00C52AAE">
      <w:pPr>
        <w:pStyle w:val="AERbulletlistfirststyle"/>
      </w:pPr>
      <w:r w:rsidRPr="00C52AAE">
        <w:t>the indexation adjustment—based on the forecast capital base and expected inflation rate for the 2018–22 access arrangement period.</w:t>
      </w:r>
    </w:p>
    <w:p w:rsidR="00B96FFB" w:rsidRPr="00471C48" w:rsidRDefault="00B96FFB" w:rsidP="00B96FFB">
      <w:r>
        <w:t xml:space="preserve">Our </w:t>
      </w:r>
      <w:r w:rsidRPr="00471C48">
        <w:t>de</w:t>
      </w:r>
      <w:r w:rsidR="00731C60">
        <w:t>cisions</w:t>
      </w:r>
      <w:r w:rsidRPr="00471C48">
        <w:t xml:space="preserve"> </w:t>
      </w:r>
      <w:r w:rsidR="00C52AAE">
        <w:t>on the</w:t>
      </w:r>
      <w:r w:rsidRPr="00471C48">
        <w:t xml:space="preserve"> opening </w:t>
      </w:r>
      <w:r w:rsidR="00C52AAE">
        <w:t xml:space="preserve">and forecast </w:t>
      </w:r>
      <w:r w:rsidRPr="005E445B">
        <w:t xml:space="preserve">capital base (attachment 2), </w:t>
      </w:r>
      <w:r w:rsidR="005A3D9F">
        <w:t xml:space="preserve">expected </w:t>
      </w:r>
      <w:r w:rsidRPr="005E445B">
        <w:t>inflation (attachment 3)</w:t>
      </w:r>
      <w:r>
        <w:t xml:space="preserve"> and </w:t>
      </w:r>
      <w:r w:rsidRPr="005E445B">
        <w:t>forecast net capex (attachment 6)</w:t>
      </w:r>
      <w:r w:rsidR="00C52AAE">
        <w:t xml:space="preserve"> are set out elsewhere</w:t>
      </w:r>
      <w:r w:rsidRPr="005E445B">
        <w:t>.</w:t>
      </w:r>
      <w:r w:rsidRPr="00471C48">
        <w:t xml:space="preserve"> </w:t>
      </w:r>
      <w:r>
        <w:t xml:space="preserve">Our </w:t>
      </w:r>
      <w:r w:rsidRPr="00471C48">
        <w:t>decision on the required amendments to</w:t>
      </w:r>
      <w:r w:rsidRPr="00B96FFB">
        <w:t xml:space="preserve"> </w:t>
      </w:r>
      <w:r w:rsidR="00F12747">
        <w:t>AusNet</w:t>
      </w:r>
      <w:r>
        <w:rPr>
          <w:rStyle w:val="AERbody"/>
        </w:rPr>
        <w:t>’</w:t>
      </w:r>
      <w:r>
        <w:t>s</w:t>
      </w:r>
      <w:r w:rsidRPr="00471C48">
        <w:t xml:space="preserve"> proposed regulatory depreciation allowance reflects </w:t>
      </w:r>
      <w:r>
        <w:t>our</w:t>
      </w:r>
      <w:r w:rsidRPr="00471C48">
        <w:t xml:space="preserve"> determinations on these building block components. </w:t>
      </w:r>
      <w:r w:rsidR="005D757D">
        <w:t xml:space="preserve">Our </w:t>
      </w:r>
      <w:r w:rsidR="005D757D" w:rsidRPr="00471C48">
        <w:t>assessment approach on the remaining input</w:t>
      </w:r>
      <w:r w:rsidR="005A3D9F">
        <w:t>s</w:t>
      </w:r>
      <w:r w:rsidR="005D757D" w:rsidRPr="00471C48">
        <w:t xml:space="preserve"> in the above list </w:t>
      </w:r>
      <w:r w:rsidR="0059150E">
        <w:t>is</w:t>
      </w:r>
      <w:r w:rsidR="005D757D" w:rsidRPr="00471C48">
        <w:t xml:space="preserve"> set out below.</w:t>
      </w:r>
    </w:p>
    <w:p w:rsidR="00B96FFB" w:rsidRPr="002D7525" w:rsidRDefault="00B96FFB" w:rsidP="00B96FFB">
      <w:r w:rsidRPr="00471C48">
        <w:t xml:space="preserve">In general, </w:t>
      </w:r>
      <w:r>
        <w:t>we</w:t>
      </w:r>
      <w:r w:rsidRPr="00471C48">
        <w:t xml:space="preserve"> consider that consistency in the standard </w:t>
      </w:r>
      <w:r>
        <w:t>asset</w:t>
      </w:r>
      <w:r w:rsidRPr="00471C48">
        <w:t xml:space="preserve"> life for each asset class across access arrangement periods will allow reference tariffs to vary smoothly over time. This will promote efficient growth in the market for reference services.</w:t>
      </w:r>
      <w:r w:rsidRPr="00471C48">
        <w:rPr>
          <w:rStyle w:val="FootnoteReference"/>
        </w:rPr>
        <w:footnoteReference w:id="20"/>
      </w:r>
      <w:r w:rsidRPr="00471C48">
        <w:t xml:space="preserve"> </w:t>
      </w:r>
      <w:r w:rsidR="005D757D">
        <w:rPr>
          <w:rStyle w:val="AERbody"/>
        </w:rPr>
        <w:t xml:space="preserve">We usually depreciate a service provider's existing assets in the PTRM by using remaining asset lives at the start of an access arrangement period. </w:t>
      </w:r>
      <w:r>
        <w:t>Our</w:t>
      </w:r>
      <w:r w:rsidRPr="00471C48">
        <w:t xml:space="preserve"> standard method for determining the remaining </w:t>
      </w:r>
      <w:r>
        <w:t>asset</w:t>
      </w:r>
      <w:r w:rsidRPr="00471C48">
        <w:t xml:space="preserve"> lives is the weighted average method.</w:t>
      </w:r>
      <w:r>
        <w:rPr>
          <w:rStyle w:val="FootnoteReference"/>
        </w:rPr>
        <w:footnoteReference w:id="21"/>
      </w:r>
      <w:r w:rsidRPr="00471C48">
        <w:t xml:space="preserve"> The weighted average method rolls forward the remaining </w:t>
      </w:r>
      <w:r>
        <w:t>asset</w:t>
      </w:r>
      <w:r w:rsidRPr="00471C48">
        <w:t xml:space="preserve"> life for an asset class from the beginning of the earlier access arrangement period. This </w:t>
      </w:r>
      <w:r>
        <w:t>method</w:t>
      </w:r>
      <w:r w:rsidRPr="00471C48">
        <w:t xml:space="preserve"> reflects the mix of assets within that asset class</w:t>
      </w:r>
      <w:r>
        <w:t>. It also reflects</w:t>
      </w:r>
      <w:r w:rsidRPr="00471C48">
        <w:t xml:space="preserve"> when the</w:t>
      </w:r>
      <w:r>
        <w:t xml:space="preserve"> assets were acquired over that period</w:t>
      </w:r>
      <w:r w:rsidRPr="00471C48">
        <w:t xml:space="preserve"> and the remaining </w:t>
      </w:r>
      <w:r>
        <w:t xml:space="preserve">asset lives of existing assets at the end of that period. The remaining </w:t>
      </w:r>
      <w:r w:rsidRPr="00471C48">
        <w:t>value</w:t>
      </w:r>
      <w:r>
        <w:t>s</w:t>
      </w:r>
      <w:r w:rsidRPr="00471C48">
        <w:t xml:space="preserve"> of </w:t>
      </w:r>
      <w:r>
        <w:t>all</w:t>
      </w:r>
      <w:r w:rsidRPr="00471C48">
        <w:t xml:space="preserve"> assets </w:t>
      </w:r>
      <w:r>
        <w:t xml:space="preserve">are </w:t>
      </w:r>
      <w:r w:rsidRPr="00471C48">
        <w:t>used as weight</w:t>
      </w:r>
      <w:r>
        <w:t>s</w:t>
      </w:r>
      <w:r w:rsidRPr="00471C48">
        <w:t xml:space="preserve"> at the end of the period.</w:t>
      </w:r>
      <w:r>
        <w:rPr>
          <w:rStyle w:val="FootnoteReference"/>
        </w:rPr>
        <w:footnoteReference w:id="22"/>
      </w:r>
      <w:r w:rsidRPr="00471C48">
        <w:t xml:space="preserve"> </w:t>
      </w:r>
      <w:r w:rsidR="00F12747">
        <w:t>AusNet</w:t>
      </w:r>
      <w:r>
        <w:t xml:space="preserve">'s proposal, however, has adopted </w:t>
      </w:r>
      <w:r w:rsidR="005D757D">
        <w:t>the</w:t>
      </w:r>
      <w:r>
        <w:t xml:space="preserve"> year</w:t>
      </w:r>
      <w:r w:rsidR="005D757D">
        <w:t>-</w:t>
      </w:r>
      <w:r>
        <w:t>by</w:t>
      </w:r>
      <w:r w:rsidR="005D757D">
        <w:t>-</w:t>
      </w:r>
      <w:r>
        <w:t xml:space="preserve">year tracking method to calculate depreciation. We have assessed whether this change </w:t>
      </w:r>
      <w:r w:rsidR="005D757D">
        <w:t xml:space="preserve">of approach </w:t>
      </w:r>
      <w:r>
        <w:t xml:space="preserve">would </w:t>
      </w:r>
      <w:r w:rsidR="00F84DE9" w:rsidRPr="00F84DE9">
        <w:t>meet the depreciation criteria of the NGR</w:t>
      </w:r>
      <w:r>
        <w:t>, as discussed in section 5.4.</w:t>
      </w:r>
    </w:p>
    <w:p w:rsidR="00B96FFB" w:rsidRPr="00A226D5" w:rsidRDefault="00B96FFB" w:rsidP="00B75F99">
      <w:pPr>
        <w:pStyle w:val="Heading3"/>
        <w:ind w:left="720"/>
      </w:pPr>
      <w:bookmarkStart w:id="104" w:name="_Toc429575820"/>
      <w:bookmarkStart w:id="105" w:name="_Toc436042531"/>
      <w:bookmarkStart w:id="106" w:name="_Toc486841971"/>
      <w:r>
        <w:t>Interrelationships</w:t>
      </w:r>
      <w:bookmarkEnd w:id="104"/>
      <w:bookmarkEnd w:id="105"/>
      <w:bookmarkEnd w:id="106"/>
    </w:p>
    <w:p w:rsidR="00B96FFB" w:rsidRPr="00D57689" w:rsidRDefault="00B96FFB" w:rsidP="00B96FFB">
      <w:r w:rsidRPr="00D57689">
        <w:t>The regulatory depreciation allowance is a building block component of the annual building block revenue requirement.</w:t>
      </w:r>
      <w:r w:rsidRPr="00D57689">
        <w:rPr>
          <w:rStyle w:val="FootnoteReference"/>
        </w:rPr>
        <w:footnoteReference w:id="23"/>
      </w:r>
      <w:r w:rsidRPr="00D57689">
        <w:t xml:space="preserve"> Higher (or quicker) depreciation leads to higher revenues over the </w:t>
      </w:r>
      <w:r>
        <w:t>access arrangement</w:t>
      </w:r>
      <w:r w:rsidRPr="00D57689">
        <w:t xml:space="preserve"> period. It also causes the </w:t>
      </w:r>
      <w:r>
        <w:t xml:space="preserve">capital base </w:t>
      </w:r>
      <w:r w:rsidRPr="00D57689">
        <w:t>to reduce more quickly (assuming no further capex). This reduces the return on capital allowance, although this impact is usually s</w:t>
      </w:r>
      <w:r>
        <w:t>maller that</w:t>
      </w:r>
      <w:r w:rsidRPr="00D57689">
        <w:t xml:space="preserve"> the increased depreciation allowance</w:t>
      </w:r>
      <w:r>
        <w:t xml:space="preserve"> in the short to medium term</w:t>
      </w:r>
      <w:r w:rsidRPr="00D57689">
        <w:t>.</w:t>
      </w:r>
      <w:r>
        <w:rPr>
          <w:rStyle w:val="FootnoteReference"/>
        </w:rPr>
        <w:footnoteReference w:id="24"/>
      </w:r>
      <w:r w:rsidRPr="00D57689">
        <w:t xml:space="preserve"> </w:t>
      </w:r>
    </w:p>
    <w:p w:rsidR="00B96FFB" w:rsidRPr="00D57689" w:rsidRDefault="00B96FFB" w:rsidP="00B96FFB">
      <w:r w:rsidRPr="00D57689">
        <w:t xml:space="preserve">Ultimately, however, a </w:t>
      </w:r>
      <w:r>
        <w:t>service provider</w:t>
      </w:r>
      <w:r w:rsidRPr="00D57689">
        <w:t xml:space="preserve"> can only recover the capex it has incurred on assets once. The depreciation allowance reflects how quickly the </w:t>
      </w:r>
      <w:r>
        <w:t>capital base</w:t>
      </w:r>
      <w:r w:rsidRPr="00D57689">
        <w:t xml:space="preserve"> is being recovered and is based on the remaining and standard </w:t>
      </w:r>
      <w:r>
        <w:t>asset</w:t>
      </w:r>
      <w:r w:rsidRPr="00D57689">
        <w:t xml:space="preserve"> lives used in the depreciation calculation. </w:t>
      </w:r>
      <w:r>
        <w:t xml:space="preserve">It </w:t>
      </w:r>
      <w:r w:rsidRPr="00D57689">
        <w:t xml:space="preserve">also depends on the level of the opening </w:t>
      </w:r>
      <w:r>
        <w:t>capital base</w:t>
      </w:r>
      <w:r w:rsidRPr="00D57689">
        <w:t xml:space="preserve"> and the forecast capex. Any increase in these factors also increases the depreciation allowance. </w:t>
      </w:r>
    </w:p>
    <w:p w:rsidR="00B96FFB" w:rsidRDefault="00B96FFB" w:rsidP="00B96FFB">
      <w:r>
        <w:t>Our standard approach is to maintain the capital base in real terms, meaning the capital base is indexed for expected inflation. The return on capital building block has</w:t>
      </w:r>
      <w:r w:rsidDel="007158C3">
        <w:t xml:space="preserve"> </w:t>
      </w:r>
      <w:r>
        <w:t>to be calculated using a nominal rate of return (WACC) applied to the opening capital base.</w:t>
      </w:r>
      <w:r>
        <w:rPr>
          <w:rStyle w:val="FootnoteReference"/>
        </w:rPr>
        <w:footnoteReference w:id="25"/>
      </w:r>
      <w:r>
        <w:t xml:space="preserve"> The total </w:t>
      </w:r>
      <w:r w:rsidRPr="007158C3">
        <w:t xml:space="preserve">revenue requirement </w:t>
      </w:r>
      <w:r>
        <w:t xml:space="preserve">is calculated </w:t>
      </w:r>
      <w:r w:rsidRPr="007158C3">
        <w:t xml:space="preserve">by adding </w:t>
      </w:r>
      <w:r>
        <w:t xml:space="preserve">up the </w:t>
      </w:r>
      <w:r w:rsidRPr="007158C3">
        <w:t>return on capital</w:t>
      </w:r>
      <w:r>
        <w:t>,</w:t>
      </w:r>
      <w:r w:rsidRPr="007158C3">
        <w:t xml:space="preserve"> </w:t>
      </w:r>
      <w:r>
        <w:t>depreciation, opex, and tax building blocks</w:t>
      </w:r>
      <w:r w:rsidRPr="007158C3">
        <w:t>.</w:t>
      </w:r>
      <w:r>
        <w:t xml:space="preserve"> Because inflation on the capital base is accounted for in both the return on capital—based on a nominal rate—and the depreciation</w:t>
      </w:r>
      <w:r w:rsidRPr="007158C3">
        <w:t xml:space="preserve"> </w:t>
      </w:r>
      <w:r>
        <w:t>calculations—based on an indexed capital base—</w:t>
      </w:r>
      <w:r w:rsidRPr="007158C3">
        <w:t xml:space="preserve">an adjustment </w:t>
      </w:r>
      <w:r>
        <w:t xml:space="preserve">must be </w:t>
      </w:r>
      <w:r w:rsidRPr="007158C3">
        <w:t xml:space="preserve">made </w:t>
      </w:r>
      <w:r>
        <w:t xml:space="preserve">to </w:t>
      </w:r>
      <w:r w:rsidRPr="007158C3">
        <w:t xml:space="preserve">the revenue requirement </w:t>
      </w:r>
      <w:r>
        <w:t>to prevent compensating twice for inflation</w:t>
      </w:r>
      <w:r w:rsidRPr="007158C3">
        <w:t>.</w:t>
      </w:r>
    </w:p>
    <w:p w:rsidR="00B96FFB" w:rsidRDefault="00B96FFB" w:rsidP="00B96FFB">
      <w:r w:rsidRPr="00C9216A">
        <w:t xml:space="preserve">To avoid this double compensation, we make an adjustment by subtracting the annual indexation gain </w:t>
      </w:r>
      <w:r>
        <w:t xml:space="preserve">on the capital base </w:t>
      </w:r>
      <w:r w:rsidRPr="00C9216A">
        <w:t>from the calculation of total revenue</w:t>
      </w:r>
      <w:r>
        <w:t>. Our approach is to subtract the indexation of the opening capital base—</w:t>
      </w:r>
      <w:r w:rsidRPr="00C9216A">
        <w:t xml:space="preserve">the opening </w:t>
      </w:r>
      <w:r>
        <w:t>capital base</w:t>
      </w:r>
      <w:r w:rsidRPr="00C9216A">
        <w:t xml:space="preserve"> </w:t>
      </w:r>
      <w:r>
        <w:t xml:space="preserve">multiplied </w:t>
      </w:r>
      <w:r w:rsidRPr="00C9216A">
        <w:t xml:space="preserve">by the </w:t>
      </w:r>
      <w:r>
        <w:t>expected inflation</w:t>
      </w:r>
      <w:r w:rsidRPr="00C9216A">
        <w:t xml:space="preserve"> </w:t>
      </w:r>
      <w:r>
        <w:t>for</w:t>
      </w:r>
      <w:r w:rsidRPr="00C9216A">
        <w:t xml:space="preserve"> the year</w:t>
      </w:r>
      <w:r>
        <w:t>—from the capital base</w:t>
      </w:r>
      <w:r w:rsidRPr="00C9216A">
        <w:t xml:space="preserve"> depreciation. The</w:t>
      </w:r>
      <w:r>
        <w:t xml:space="preserve"> net</w:t>
      </w:r>
      <w:r w:rsidRPr="00C9216A">
        <w:t xml:space="preserve"> result of this calculation is </w:t>
      </w:r>
      <w:r>
        <w:t>referred to as</w:t>
      </w:r>
      <w:r w:rsidRPr="00C9216A">
        <w:t xml:space="preserve"> regulatory depreciation.</w:t>
      </w:r>
      <w:r>
        <w:rPr>
          <w:rStyle w:val="FootnoteReference"/>
        </w:rPr>
        <w:footnoteReference w:id="26"/>
      </w:r>
      <w:r>
        <w:t xml:space="preserve"> Regulatory depreciation </w:t>
      </w:r>
      <w:r w:rsidRPr="00C9216A">
        <w:t xml:space="preserve">is </w:t>
      </w:r>
      <w:r>
        <w:t xml:space="preserve">the amount </w:t>
      </w:r>
      <w:r w:rsidRPr="00C9216A">
        <w:t>used in the building block calculation of total revenue</w:t>
      </w:r>
      <w:r>
        <w:t xml:space="preserve"> to ensure</w:t>
      </w:r>
      <w:r w:rsidRPr="00C9216A">
        <w:t xml:space="preserve"> that the revenue equation is consistent with</w:t>
      </w:r>
      <w:r>
        <w:t xml:space="preserve"> the</w:t>
      </w:r>
      <w:r w:rsidRPr="00C9216A">
        <w:t xml:space="preserve"> use of a </w:t>
      </w:r>
      <w:r>
        <w:t>capital base,</w:t>
      </w:r>
      <w:r w:rsidRPr="00C9216A">
        <w:t xml:space="preserve"> which is </w:t>
      </w:r>
      <w:r>
        <w:t>indexed for inflation annually</w:t>
      </w:r>
      <w:r w:rsidRPr="00C9216A">
        <w:t>.</w:t>
      </w:r>
    </w:p>
    <w:p w:rsidR="00B96FFB" w:rsidRDefault="00B96FFB" w:rsidP="00B96FFB">
      <w:pPr>
        <w:rPr>
          <w:rStyle w:val="AERbody"/>
        </w:rPr>
      </w:pPr>
      <w:r>
        <w:rPr>
          <w:rStyle w:val="AERbody"/>
        </w:rPr>
        <w:t>T</w:t>
      </w:r>
      <w:r w:rsidRPr="00B85B6D">
        <w:rPr>
          <w:rStyle w:val="AERbody"/>
        </w:rPr>
        <w:t>h</w:t>
      </w:r>
      <w:r>
        <w:rPr>
          <w:rStyle w:val="AERbody"/>
        </w:rPr>
        <w:t>is approach</w:t>
      </w:r>
      <w:r w:rsidRPr="00B85B6D">
        <w:rPr>
          <w:rStyle w:val="AERbody"/>
        </w:rPr>
        <w:t xml:space="preserve"> produces the same </w:t>
      </w:r>
      <w:r>
        <w:rPr>
          <w:rStyle w:val="AERbody"/>
        </w:rPr>
        <w:t xml:space="preserve">total </w:t>
      </w:r>
      <w:r w:rsidRPr="00B85B6D">
        <w:rPr>
          <w:rStyle w:val="AERbody"/>
        </w:rPr>
        <w:t xml:space="preserve">revenue requirement and </w:t>
      </w:r>
      <w:r>
        <w:rPr>
          <w:rStyle w:val="AERbody"/>
        </w:rPr>
        <w:t>capital base</w:t>
      </w:r>
      <w:r w:rsidRPr="00B85B6D">
        <w:rPr>
          <w:rStyle w:val="AERbody"/>
        </w:rPr>
        <w:t xml:space="preserve"> as if a real rate of return had been used in combination with a</w:t>
      </w:r>
      <w:r>
        <w:rPr>
          <w:rStyle w:val="AERbody"/>
        </w:rPr>
        <w:t>n indexed</w:t>
      </w:r>
      <w:r w:rsidRPr="00B85B6D">
        <w:rPr>
          <w:rStyle w:val="AERbody"/>
        </w:rPr>
        <w:t xml:space="preserve"> </w:t>
      </w:r>
      <w:r>
        <w:rPr>
          <w:rStyle w:val="AERbody"/>
        </w:rPr>
        <w:t>capital base</w:t>
      </w:r>
      <w:r w:rsidRPr="00B85B6D">
        <w:rPr>
          <w:rStyle w:val="AERbody"/>
        </w:rPr>
        <w:t>.</w:t>
      </w:r>
      <w:r>
        <w:rPr>
          <w:rStyle w:val="AERbody"/>
        </w:rPr>
        <w:t xml:space="preserve"> Under an alternative approach where</w:t>
      </w:r>
      <w:r w:rsidRPr="00B85B6D">
        <w:rPr>
          <w:rStyle w:val="AERbody"/>
        </w:rPr>
        <w:t xml:space="preserve"> a nominal rate of return </w:t>
      </w:r>
      <w:r>
        <w:rPr>
          <w:rStyle w:val="AERbody"/>
        </w:rPr>
        <w:t xml:space="preserve">was </w:t>
      </w:r>
      <w:r w:rsidRPr="00B85B6D">
        <w:rPr>
          <w:rStyle w:val="AERbody"/>
        </w:rPr>
        <w:t>used in combination with a</w:t>
      </w:r>
      <w:r>
        <w:rPr>
          <w:rStyle w:val="AERbody"/>
        </w:rPr>
        <w:t>n</w:t>
      </w:r>
      <w:r w:rsidRPr="00B85B6D">
        <w:rPr>
          <w:rStyle w:val="AERbody"/>
        </w:rPr>
        <w:t xml:space="preserve"> </w:t>
      </w:r>
      <w:r>
        <w:rPr>
          <w:rStyle w:val="AERbody"/>
        </w:rPr>
        <w:t>un-indexed (historical cost) capital base, no adjustment to the depreciation calculation of total revenue would be required. T</w:t>
      </w:r>
      <w:r w:rsidRPr="00B85B6D">
        <w:rPr>
          <w:rStyle w:val="AERbody"/>
        </w:rPr>
        <w:t xml:space="preserve">his </w:t>
      </w:r>
      <w:r>
        <w:rPr>
          <w:rStyle w:val="AERbody"/>
        </w:rPr>
        <w:t xml:space="preserve">alternative approach </w:t>
      </w:r>
      <w:r w:rsidRPr="00B85B6D">
        <w:rPr>
          <w:rStyle w:val="AERbody"/>
        </w:rPr>
        <w:t>produces a different time path of</w:t>
      </w:r>
      <w:r>
        <w:rPr>
          <w:rStyle w:val="AERbody"/>
        </w:rPr>
        <w:t xml:space="preserve"> total</w:t>
      </w:r>
      <w:r w:rsidRPr="00B85B6D">
        <w:rPr>
          <w:rStyle w:val="AERbody"/>
        </w:rPr>
        <w:t xml:space="preserve"> revenue compared to </w:t>
      </w:r>
      <w:r>
        <w:rPr>
          <w:rStyle w:val="AERbody"/>
        </w:rPr>
        <w:t xml:space="preserve">our standard </w:t>
      </w:r>
      <w:r w:rsidRPr="00B85B6D">
        <w:rPr>
          <w:rStyle w:val="AERbody"/>
        </w:rPr>
        <w:t xml:space="preserve">approach. </w:t>
      </w:r>
      <w:r w:rsidRPr="003667D4">
        <w:rPr>
          <w:rStyle w:val="AERbody"/>
        </w:rPr>
        <w:t xml:space="preserve">In particular, </w:t>
      </w:r>
      <w:r>
        <w:rPr>
          <w:rStyle w:val="AERbody"/>
        </w:rPr>
        <w:t>overall revenues would be higher early in the asset's life (as a result of more depreciation being returned to the service provider) and lower in the future—producing a steeper downward sloping profile of total revenue.</w:t>
      </w:r>
      <w:r>
        <w:rPr>
          <w:rStyle w:val="FootnoteReference"/>
        </w:rPr>
        <w:footnoteReference w:id="27"/>
      </w:r>
      <w:r>
        <w:rPr>
          <w:rStyle w:val="AERbody"/>
        </w:rPr>
        <w:t xml:space="preserve"> Under both approaches, the total revenues being recovered are in present value neutral terms—that is, returning the initial cost of the capital base. </w:t>
      </w:r>
    </w:p>
    <w:p w:rsidR="00B96FFB" w:rsidRDefault="00B96FFB" w:rsidP="00B96FFB">
      <w:pPr>
        <w:rPr>
          <w:rStyle w:val="AERbody"/>
        </w:rPr>
      </w:pPr>
      <w:r>
        <w:rPr>
          <w:rStyle w:val="AERbody"/>
        </w:rPr>
        <w:fldChar w:fldCharType="begin"/>
      </w:r>
      <w:r>
        <w:rPr>
          <w:rStyle w:val="AERbody"/>
        </w:rPr>
        <w:instrText xml:space="preserve"> REF _Ref454186887 \h </w:instrText>
      </w:r>
      <w:r>
        <w:rPr>
          <w:rStyle w:val="AERbody"/>
        </w:rPr>
      </w:r>
      <w:r>
        <w:rPr>
          <w:rStyle w:val="AERbody"/>
        </w:rPr>
        <w:fldChar w:fldCharType="separate"/>
      </w:r>
      <w:r w:rsidR="00621ED7">
        <w:t xml:space="preserve">Figure </w:t>
      </w:r>
      <w:r w:rsidR="00621ED7">
        <w:rPr>
          <w:noProof/>
        </w:rPr>
        <w:t>5</w:t>
      </w:r>
      <w:r w:rsidR="00621ED7">
        <w:t>.</w:t>
      </w:r>
      <w:r w:rsidR="00621ED7">
        <w:rPr>
          <w:noProof/>
        </w:rPr>
        <w:t>1</w:t>
      </w:r>
      <w:r>
        <w:rPr>
          <w:rStyle w:val="AERbody"/>
        </w:rPr>
        <w:fldChar w:fldCharType="end"/>
      </w:r>
      <w:r>
        <w:rPr>
          <w:rStyle w:val="AERbody"/>
        </w:rPr>
        <w:t xml:space="preserve"> shows the recovery of revenue under both approaches using a simplified example.</w:t>
      </w:r>
      <w:r>
        <w:rPr>
          <w:rStyle w:val="FootnoteReference"/>
        </w:rPr>
        <w:footnoteReference w:id="28"/>
      </w:r>
      <w:r>
        <w:rPr>
          <w:rStyle w:val="AERbody"/>
        </w:rPr>
        <w:t xml:space="preserve"> Indexation of the capital base and the offsetting adjustment made to depreciation results in smoother revenue recovery profile over the life of an asset than if the capital base was un-indexed. </w:t>
      </w:r>
    </w:p>
    <w:p w:rsidR="00B96FFB" w:rsidRPr="00D639D1" w:rsidRDefault="00B96FFB" w:rsidP="00B96FFB">
      <w:pPr>
        <w:rPr>
          <w:rStyle w:val="AERbody"/>
        </w:rPr>
      </w:pPr>
      <w:r w:rsidRPr="006A34AC">
        <w:rPr>
          <w:rStyle w:val="AERbody"/>
        </w:rPr>
        <w:t xml:space="preserve">The relative size of the inflation </w:t>
      </w:r>
      <w:r>
        <w:rPr>
          <w:rStyle w:val="AERbody"/>
        </w:rPr>
        <w:t xml:space="preserve">indexation </w:t>
      </w:r>
      <w:r w:rsidRPr="006A34AC">
        <w:rPr>
          <w:rStyle w:val="AERbody"/>
        </w:rPr>
        <w:t>and straight-line depreciation</w:t>
      </w:r>
      <w:r>
        <w:rPr>
          <w:rStyle w:val="AERbody"/>
        </w:rPr>
        <w:t>,</w:t>
      </w:r>
      <w:r w:rsidRPr="006A34AC">
        <w:rPr>
          <w:rStyle w:val="AERbody"/>
        </w:rPr>
        <w:t xml:space="preserve"> and their impact on the capital base using </w:t>
      </w:r>
      <w:r w:rsidR="00F12747">
        <w:t>AusNet</w:t>
      </w:r>
      <w:r>
        <w:rPr>
          <w:rStyle w:val="AERbody"/>
        </w:rPr>
        <w:t>’</w:t>
      </w:r>
      <w:r w:rsidRPr="006A34AC">
        <w:rPr>
          <w:rStyle w:val="AERbody"/>
        </w:rPr>
        <w:t>s proposal is shown in</w:t>
      </w:r>
      <w:r w:rsidRPr="00D639D1">
        <w:rPr>
          <w:rStyle w:val="AERbody"/>
        </w:rPr>
        <w:t xml:space="preserve"> </w:t>
      </w:r>
      <w:r>
        <w:rPr>
          <w:rStyle w:val="AERbody"/>
        </w:rPr>
        <w:t xml:space="preserve">the capital base </w:t>
      </w:r>
      <w:r w:rsidRPr="00D639D1">
        <w:rPr>
          <w:rStyle w:val="AERbody"/>
        </w:rPr>
        <w:t xml:space="preserve">attachment 2. A ten per cent increase in the straight-line depreciation causes revenues to increase by about </w:t>
      </w:r>
      <w:r w:rsidR="000C7977">
        <w:rPr>
          <w:rStyle w:val="AERbody"/>
        </w:rPr>
        <w:t>3.5</w:t>
      </w:r>
      <w:r>
        <w:rPr>
          <w:rStyle w:val="AERbody"/>
        </w:rPr>
        <w:t> </w:t>
      </w:r>
      <w:r w:rsidRPr="00D639D1">
        <w:rPr>
          <w:rStyle w:val="AERbody"/>
        </w:rPr>
        <w:t>per cent.</w:t>
      </w:r>
    </w:p>
    <w:p w:rsidR="00B96FFB" w:rsidRDefault="00B96FFB" w:rsidP="00B96FFB">
      <w:pPr>
        <w:rPr>
          <w:rStyle w:val="AERbody"/>
        </w:rPr>
      </w:pPr>
    </w:p>
    <w:p w:rsidR="00B96FFB" w:rsidRDefault="00B96FFB" w:rsidP="00B96FFB">
      <w:pPr>
        <w:pStyle w:val="Caption"/>
      </w:pPr>
      <w:bookmarkStart w:id="107" w:name="_Ref454186887"/>
      <w:r>
        <w:t xml:space="preserve">Figure </w:t>
      </w:r>
      <w:r w:rsidRPr="00005FFA">
        <w:fldChar w:fldCharType="begin"/>
      </w:r>
      <w:r>
        <w:instrText xml:space="preserve"> STYLEREF 1 \s </w:instrText>
      </w:r>
      <w:r w:rsidRPr="00005FFA">
        <w:fldChar w:fldCharType="separate"/>
      </w:r>
      <w:r w:rsidR="00621ED7">
        <w:rPr>
          <w:noProof/>
        </w:rPr>
        <w:t>5</w:t>
      </w:r>
      <w:r w:rsidRPr="00005FFA">
        <w:fldChar w:fldCharType="end"/>
      </w:r>
      <w:r>
        <w:t>.</w:t>
      </w:r>
      <w:r w:rsidRPr="00005FFA">
        <w:fldChar w:fldCharType="begin"/>
      </w:r>
      <w:r>
        <w:instrText xml:space="preserve"> SEQ Figure \* ARABIC \s 1 </w:instrText>
      </w:r>
      <w:r w:rsidRPr="00005FFA">
        <w:fldChar w:fldCharType="separate"/>
      </w:r>
      <w:r w:rsidR="00621ED7">
        <w:rPr>
          <w:noProof/>
        </w:rPr>
        <w:t>1</w:t>
      </w:r>
      <w:r w:rsidRPr="00005FFA">
        <w:fldChar w:fldCharType="end"/>
      </w:r>
      <w:bookmarkEnd w:id="107"/>
      <w:r>
        <w:tab/>
        <w:t xml:space="preserve">Revenue path example – indexed </w:t>
      </w:r>
      <w:proofErr w:type="spellStart"/>
      <w:r>
        <w:t>vs</w:t>
      </w:r>
      <w:proofErr w:type="spellEnd"/>
      <w:r>
        <w:t xml:space="preserve"> un-indexed capital base ($ nominal)</w:t>
      </w:r>
    </w:p>
    <w:p w:rsidR="00B96FFB" w:rsidRPr="00450B2E" w:rsidRDefault="00B96FFB" w:rsidP="00B96FFB">
      <w:bookmarkStart w:id="108" w:name="_GoBack"/>
      <w:bookmarkEnd w:id="108"/>
      <w:r w:rsidRPr="00B96FFB">
        <w:rPr>
          <w:noProof/>
          <w:lang w:eastAsia="en-AU"/>
        </w:rPr>
        <w:drawing>
          <wp:inline distT="0" distB="0" distL="0" distR="0" wp14:anchorId="7B58BEED" wp14:editId="16A18176">
            <wp:extent cx="5278581" cy="3561637"/>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81435" cy="3563563"/>
                    </a:xfrm>
                    <a:prstGeom prst="rect">
                      <a:avLst/>
                    </a:prstGeom>
                    <a:noFill/>
                  </pic:spPr>
                </pic:pic>
              </a:graphicData>
            </a:graphic>
          </wp:inline>
        </w:drawing>
      </w:r>
    </w:p>
    <w:p w:rsidR="00132D43" w:rsidRDefault="00B96FFB" w:rsidP="00B96FFB">
      <w:pPr>
        <w:pStyle w:val="AERtablesource"/>
      </w:pPr>
      <w:r>
        <w:t>Source:</w:t>
      </w:r>
      <w:r>
        <w:tab/>
        <w:t>AER analysis.</w:t>
      </w:r>
    </w:p>
    <w:p w:rsidR="00132D43" w:rsidRDefault="00132D43" w:rsidP="00132D43">
      <w:pPr>
        <w:pStyle w:val="Heading2"/>
      </w:pPr>
      <w:bookmarkStart w:id="109" w:name="_Toc486841972"/>
      <w:r>
        <w:t>Reasons for draft decision</w:t>
      </w:r>
      <w:bookmarkEnd w:id="109"/>
    </w:p>
    <w:p w:rsidR="00602515" w:rsidRDefault="00830346" w:rsidP="00602515">
      <w:r>
        <w:t xml:space="preserve">In </w:t>
      </w:r>
      <w:r w:rsidR="00E14325">
        <w:t xml:space="preserve">our </w:t>
      </w:r>
      <w:r>
        <w:t>assess</w:t>
      </w:r>
      <w:r w:rsidR="00E14325">
        <w:t>ment of</w:t>
      </w:r>
      <w:r w:rsidR="005D757D">
        <w:t xml:space="preserve"> AusNet</w:t>
      </w:r>
      <w:r w:rsidR="00593AEA">
        <w:t>’s</w:t>
      </w:r>
      <w:r w:rsidR="005D757D">
        <w:t xml:space="preserve"> proposal</w:t>
      </w:r>
      <w:r>
        <w:t>, we focused on the following aspects</w:t>
      </w:r>
      <w:r w:rsidR="00602515">
        <w:t>:</w:t>
      </w:r>
    </w:p>
    <w:p w:rsidR="00602515" w:rsidRPr="00644DE7" w:rsidRDefault="00A43F07" w:rsidP="00602515">
      <w:pPr>
        <w:pStyle w:val="AERbulletlistfirststyle"/>
      </w:pPr>
      <w:r>
        <w:t>y</w:t>
      </w:r>
      <w:r w:rsidR="00602515" w:rsidRPr="00644DE7">
        <w:t>ear</w:t>
      </w:r>
      <w:r w:rsidR="005D757D">
        <w:t>-</w:t>
      </w:r>
      <w:r w:rsidR="00602515" w:rsidRPr="00644DE7">
        <w:t>by</w:t>
      </w:r>
      <w:r w:rsidR="005D757D">
        <w:t>-</w:t>
      </w:r>
      <w:r w:rsidR="00602515" w:rsidRPr="00644DE7">
        <w:t>year tracking of depreciation</w:t>
      </w:r>
    </w:p>
    <w:p w:rsidR="00602515" w:rsidRDefault="004A2AE5" w:rsidP="00602515">
      <w:pPr>
        <w:pStyle w:val="AERbulletlistfirststyle"/>
      </w:pPr>
      <w:r>
        <w:t xml:space="preserve">a </w:t>
      </w:r>
      <w:r w:rsidR="00A43F07">
        <w:t>c</w:t>
      </w:r>
      <w:r w:rsidR="00602515" w:rsidRPr="00644DE7">
        <w:t xml:space="preserve">hange to </w:t>
      </w:r>
      <w:r>
        <w:t xml:space="preserve">a </w:t>
      </w:r>
      <w:r w:rsidR="00602515" w:rsidRPr="00644DE7">
        <w:t>standard asset li</w:t>
      </w:r>
      <w:r>
        <w:t>fe</w:t>
      </w:r>
      <w:r w:rsidR="005D757D">
        <w:t>.</w:t>
      </w:r>
    </w:p>
    <w:p w:rsidR="00132D43" w:rsidRDefault="00602515" w:rsidP="00602515">
      <w:r w:rsidRPr="00644DE7">
        <w:t>Each of these is discussed in turn in the following subsections.</w:t>
      </w:r>
    </w:p>
    <w:p w:rsidR="008B322E" w:rsidRDefault="00F84DE9" w:rsidP="00B75F99">
      <w:pPr>
        <w:pStyle w:val="Heading3"/>
        <w:ind w:left="720"/>
      </w:pPr>
      <w:bookmarkStart w:id="110" w:name="_Toc486841973"/>
      <w:r>
        <w:t>Year</w:t>
      </w:r>
      <w:r w:rsidR="005D757D">
        <w:t>-</w:t>
      </w:r>
      <w:r>
        <w:t>by</w:t>
      </w:r>
      <w:r w:rsidR="005D757D">
        <w:t>-</w:t>
      </w:r>
      <w:r>
        <w:t>year tracking</w:t>
      </w:r>
      <w:bookmarkEnd w:id="110"/>
    </w:p>
    <w:p w:rsidR="00B1360F" w:rsidRPr="00030783" w:rsidRDefault="00F12747" w:rsidP="00B1360F">
      <w:r>
        <w:t>AusNet</w:t>
      </w:r>
      <w:r w:rsidR="00B1360F" w:rsidRPr="00030783">
        <w:t xml:space="preserve"> proposed </w:t>
      </w:r>
      <w:r w:rsidR="005D757D">
        <w:t>the</w:t>
      </w:r>
      <w:r w:rsidR="00B1360F" w:rsidRPr="00030783">
        <w:t xml:space="preserve"> year</w:t>
      </w:r>
      <w:r w:rsidR="005D757D">
        <w:t>-</w:t>
      </w:r>
      <w:r w:rsidR="00B1360F" w:rsidRPr="00030783">
        <w:t>by</w:t>
      </w:r>
      <w:r w:rsidR="005D757D">
        <w:t>-</w:t>
      </w:r>
      <w:r w:rsidR="00B1360F" w:rsidRPr="00030783">
        <w:t>year tracking approach</w:t>
      </w:r>
      <w:r w:rsidR="005D757D">
        <w:t xml:space="preserve"> to implement straight-line depreciation</w:t>
      </w:r>
      <w:r w:rsidR="00B1360F" w:rsidRPr="00030783">
        <w:t xml:space="preserve">. This represents a change from the current </w:t>
      </w:r>
      <w:r w:rsidR="00B1360F">
        <w:t xml:space="preserve">depreciation </w:t>
      </w:r>
      <w:r w:rsidR="00B1360F" w:rsidRPr="00030783">
        <w:t>approach to determining remaining asset lives</w:t>
      </w:r>
      <w:r w:rsidR="005D757D">
        <w:t xml:space="preserve"> at the end of each access arrangement period</w:t>
      </w:r>
      <w:r w:rsidR="00B1360F" w:rsidRPr="00030783">
        <w:t>. Our preferred option (as noted above) is a weighted average remaining life (WARL) approach. We consider that year</w:t>
      </w:r>
      <w:r w:rsidR="005D757D">
        <w:t>-</w:t>
      </w:r>
      <w:r w:rsidR="00B1360F" w:rsidRPr="00030783">
        <w:t>by</w:t>
      </w:r>
      <w:r w:rsidR="005D757D">
        <w:t>-</w:t>
      </w:r>
      <w:r w:rsidR="00B1360F" w:rsidRPr="00030783">
        <w:t xml:space="preserve">year tracking is administratively more complex and costly than a WARL approach and can increase revenue fluctuations as depreciation depends more on when individual assets expire. </w:t>
      </w:r>
      <w:r w:rsidR="00B1360F">
        <w:t>A</w:t>
      </w:r>
      <w:r w:rsidR="00B1360F" w:rsidRPr="00030783">
        <w:t xml:space="preserve"> change of approach can also cause revenue (and price spikes) which may not be helpful to efficient development in the market for reference services. </w:t>
      </w:r>
    </w:p>
    <w:p w:rsidR="008B322E" w:rsidRDefault="00B1360F" w:rsidP="00132D43">
      <w:r w:rsidRPr="00030783">
        <w:t xml:space="preserve">We accept that </w:t>
      </w:r>
      <w:r w:rsidR="005D757D">
        <w:t>the</w:t>
      </w:r>
      <w:r w:rsidRPr="00030783">
        <w:t xml:space="preserve"> year</w:t>
      </w:r>
      <w:r w:rsidR="005D757D">
        <w:t>-</w:t>
      </w:r>
      <w:r w:rsidRPr="00030783">
        <w:t>by</w:t>
      </w:r>
      <w:r w:rsidR="005D757D">
        <w:t>-</w:t>
      </w:r>
      <w:r w:rsidRPr="00030783">
        <w:t>year</w:t>
      </w:r>
      <w:r w:rsidR="005D757D">
        <w:t xml:space="preserve"> tracking</w:t>
      </w:r>
      <w:r w:rsidRPr="00030783">
        <w:t xml:space="preserve"> approach can meet the criteri</w:t>
      </w:r>
      <w:r w:rsidR="005D757D">
        <w:t>on</w:t>
      </w:r>
      <w:r w:rsidRPr="00030783">
        <w:t xml:space="preserve"> of having the depreciation schedule reflect the asset's economic life, where it tracks the asset's technical life. However, we must also assess the approach against the other criteria in the NGR, in particular, whether the approach leads to efficient development in the market for reference services. Under this criterion we also need to consider the impact of the change in the long run and any significant disruption in the short to medium term from a change in previous practice. The proposed change to year</w:t>
      </w:r>
      <w:r w:rsidR="005D757D">
        <w:t>-</w:t>
      </w:r>
      <w:r w:rsidRPr="00030783">
        <w:t>by</w:t>
      </w:r>
      <w:r w:rsidR="005D757D">
        <w:t>-</w:t>
      </w:r>
      <w:r w:rsidRPr="00030783">
        <w:t xml:space="preserve">year tracking does increase depreciation (and prices) over short to medium term, other things being equal. </w:t>
      </w:r>
      <w:r w:rsidR="00A75221" w:rsidRPr="00A75221">
        <w:t xml:space="preserve">The </w:t>
      </w:r>
      <w:r w:rsidR="00593AEA">
        <w:t>Consumer Challenge Panel (</w:t>
      </w:r>
      <w:r w:rsidR="00A75221" w:rsidRPr="00A75221">
        <w:t>CCP</w:t>
      </w:r>
      <w:r w:rsidR="00593AEA">
        <w:t>11)</w:t>
      </w:r>
      <w:r w:rsidR="00A75221" w:rsidRPr="00A75221">
        <w:t xml:space="preserve"> also raised this potential impact as a concern in its submission.</w:t>
      </w:r>
      <w:r w:rsidR="00E10141">
        <w:rPr>
          <w:rStyle w:val="FootnoteReference"/>
        </w:rPr>
        <w:footnoteReference w:id="29"/>
      </w:r>
      <w:r w:rsidR="00E10141">
        <w:t xml:space="preserve"> </w:t>
      </w:r>
      <w:r w:rsidR="00A75221" w:rsidRPr="00A75221">
        <w:t xml:space="preserve"> </w:t>
      </w:r>
      <w:r w:rsidRPr="00030783">
        <w:t xml:space="preserve">However, our analysis suggests the impact in this case to be modest and therefore unlikely to have a significant </w:t>
      </w:r>
      <w:r w:rsidR="00DD3588">
        <w:t xml:space="preserve">negative </w:t>
      </w:r>
      <w:r w:rsidRPr="00030783">
        <w:t xml:space="preserve">impact on the efficient growth in the market for reference services. </w:t>
      </w:r>
      <w:r>
        <w:t>Accordingly</w:t>
      </w:r>
      <w:r w:rsidR="005D757D">
        <w:t>,</w:t>
      </w:r>
      <w:r>
        <w:t xml:space="preserve"> we accept </w:t>
      </w:r>
      <w:r w:rsidR="00F12747">
        <w:t>AusNet</w:t>
      </w:r>
      <w:r>
        <w:t>'s proposal in this regard.</w:t>
      </w:r>
    </w:p>
    <w:p w:rsidR="00AA30F0" w:rsidRDefault="00BF0FA2" w:rsidP="00132D43">
      <w:r>
        <w:t xml:space="preserve">We consider that </w:t>
      </w:r>
      <w:r w:rsidR="00F41D7D">
        <w:t xml:space="preserve">an adjustment is required to AusNet's proposed tracking </w:t>
      </w:r>
      <w:r w:rsidR="0059150E">
        <w:t xml:space="preserve">depreciation </w:t>
      </w:r>
      <w:r w:rsidR="00F41D7D">
        <w:t xml:space="preserve">model to ensure compliance with the NGR. </w:t>
      </w:r>
      <w:r>
        <w:t>AusNet's proposed tracking model does not</w:t>
      </w:r>
      <w:r w:rsidR="00F41D7D">
        <w:t xml:space="preserve"> correctly</w:t>
      </w:r>
      <w:r>
        <w:t xml:space="preserve"> account for the forecast depreciation approach applied to rolling forward the capital base</w:t>
      </w:r>
      <w:r w:rsidR="00F41D7D">
        <w:t xml:space="preserve"> over the 2013–17 access arrangement</w:t>
      </w:r>
      <w:r w:rsidR="0059150E">
        <w:t xml:space="preserve"> period</w:t>
      </w:r>
      <w:r>
        <w:t xml:space="preserve">. The NGR requires </w:t>
      </w:r>
      <w:r w:rsidRPr="00BF0FA2">
        <w:t>that the depreciat</w:t>
      </w:r>
      <w:r>
        <w:t>ion</w:t>
      </w:r>
      <w:r w:rsidRPr="00BF0FA2">
        <w:t xml:space="preserve"> </w:t>
      </w:r>
      <w:r>
        <w:t xml:space="preserve">of an asset </w:t>
      </w:r>
      <w:r w:rsidRPr="00BF0FA2">
        <w:t xml:space="preserve">over its economic life </w:t>
      </w:r>
      <w:r>
        <w:t xml:space="preserve">must </w:t>
      </w:r>
      <w:r w:rsidRPr="00BF0FA2">
        <w:t>not exceed the value of the asset at the time of its inclusion in the capital base</w:t>
      </w:r>
      <w:r>
        <w:t>.</w:t>
      </w:r>
      <w:r w:rsidR="00F41D7D">
        <w:rPr>
          <w:rStyle w:val="FootnoteReference"/>
        </w:rPr>
        <w:footnoteReference w:id="30"/>
      </w:r>
      <w:r>
        <w:t xml:space="preserve"> </w:t>
      </w:r>
      <w:r w:rsidR="00F41D7D">
        <w:t xml:space="preserve">Our draft decision applies an </w:t>
      </w:r>
      <w:r>
        <w:t xml:space="preserve">adjustment to the </w:t>
      </w:r>
      <w:r w:rsidR="00F41D7D">
        <w:t xml:space="preserve">calculated </w:t>
      </w:r>
      <w:r>
        <w:t xml:space="preserve">depreciation profiles to ensure the value of depreciation </w:t>
      </w:r>
      <w:r w:rsidR="00F41D7D">
        <w:t>over the asset</w:t>
      </w:r>
      <w:r w:rsidR="0059150E">
        <w:t>'</w:t>
      </w:r>
      <w:r w:rsidR="00F41D7D">
        <w:t xml:space="preserve">s </w:t>
      </w:r>
      <w:r>
        <w:t>life equals the value of the capital base</w:t>
      </w:r>
      <w:r w:rsidR="00F41D7D">
        <w:t xml:space="preserve">, </w:t>
      </w:r>
      <w:r>
        <w:t>account</w:t>
      </w:r>
      <w:r w:rsidR="00F41D7D">
        <w:t>ing for</w:t>
      </w:r>
      <w:r>
        <w:t xml:space="preserve"> the depreciation </w:t>
      </w:r>
      <w:r w:rsidR="00F41D7D">
        <w:t xml:space="preserve">forecast </w:t>
      </w:r>
      <w:r>
        <w:t>over the 2013–1</w:t>
      </w:r>
      <w:r w:rsidR="00283941">
        <w:t>7</w:t>
      </w:r>
      <w:r>
        <w:t xml:space="preserve"> access arrangement</w:t>
      </w:r>
      <w:r w:rsidR="0059150E">
        <w:t xml:space="preserve"> period</w:t>
      </w:r>
      <w:r w:rsidR="003D27FE">
        <w:t xml:space="preserve">. </w:t>
      </w:r>
    </w:p>
    <w:p w:rsidR="0066082A" w:rsidRDefault="0066082A" w:rsidP="00B75F99">
      <w:pPr>
        <w:pStyle w:val="Heading3"/>
        <w:ind w:left="720"/>
      </w:pPr>
      <w:bookmarkStart w:id="111" w:name="_Toc486841974"/>
      <w:r>
        <w:t>Standard asset lives</w:t>
      </w:r>
      <w:bookmarkEnd w:id="111"/>
    </w:p>
    <w:p w:rsidR="0066082A" w:rsidRPr="0066082A" w:rsidRDefault="004F7869" w:rsidP="0066082A">
      <w:r w:rsidRPr="00A27483">
        <w:t xml:space="preserve">We </w:t>
      </w:r>
      <w:r>
        <w:t xml:space="preserve">accept the </w:t>
      </w:r>
      <w:r w:rsidRPr="00A27483">
        <w:t xml:space="preserve">standard asset lives </w:t>
      </w:r>
      <w:r>
        <w:t xml:space="preserve">proposed by </w:t>
      </w:r>
      <w:r w:rsidR="00F12747">
        <w:t>AusNet</w:t>
      </w:r>
      <w:r w:rsidRPr="00A27483">
        <w:t xml:space="preserve">. </w:t>
      </w:r>
      <w:r>
        <w:t>It</w:t>
      </w:r>
      <w:r w:rsidR="004F1987">
        <w:t xml:space="preserve"> proposed the same standard asset lives for the 2018–22 access arrangement period as those used for the 2013–17 access arrangement period. The sole except</w:t>
      </w:r>
      <w:r w:rsidR="005D757D">
        <w:t>ion</w:t>
      </w:r>
      <w:r w:rsidR="004F1987">
        <w:t xml:space="preserve"> was </w:t>
      </w:r>
      <w:r w:rsidR="005D757D">
        <w:t>for the 'M</w:t>
      </w:r>
      <w:r w:rsidR="004F1987">
        <w:t>eters</w:t>
      </w:r>
      <w:r w:rsidR="005D757D">
        <w:t>' asset class</w:t>
      </w:r>
      <w:r w:rsidR="004F1987">
        <w:t>.</w:t>
      </w:r>
      <w:r>
        <w:t xml:space="preserve"> We are satisfied the proposed standard asset lives</w:t>
      </w:r>
      <w:r w:rsidR="000A3871">
        <w:t>, including for the 'Meters' asset class,</w:t>
      </w:r>
      <w:r>
        <w:t xml:space="preserve"> reflect the requirements of r. 89(1) of the NGR.</w:t>
      </w:r>
    </w:p>
    <w:p w:rsidR="000A3871" w:rsidRDefault="00F12747" w:rsidP="000A3871">
      <w:r>
        <w:t>AusNet</w:t>
      </w:r>
      <w:r w:rsidR="004F1987">
        <w:t xml:space="preserve"> </w:t>
      </w:r>
      <w:r w:rsidR="0025142C">
        <w:t xml:space="preserve">proposed to reduce the standard asset lives of </w:t>
      </w:r>
      <w:r w:rsidR="004F7869">
        <w:t>the 'M</w:t>
      </w:r>
      <w:r w:rsidR="0025142C">
        <w:t>eters</w:t>
      </w:r>
      <w:r w:rsidR="004F7869">
        <w:t>' asset class</w:t>
      </w:r>
      <w:r w:rsidR="0025142C">
        <w:t xml:space="preserve"> to 15 years</w:t>
      </w:r>
      <w:r w:rsidR="004F7869" w:rsidRPr="004F7869">
        <w:t xml:space="preserve"> </w:t>
      </w:r>
      <w:r w:rsidR="004F7869">
        <w:t>from 20 years</w:t>
      </w:r>
      <w:r w:rsidR="0025142C">
        <w:t xml:space="preserve">. </w:t>
      </w:r>
      <w:r w:rsidR="004F7869">
        <w:t>It</w:t>
      </w:r>
      <w:r w:rsidR="0025142C">
        <w:t xml:space="preserve"> stated that a standard asset life </w:t>
      </w:r>
      <w:r w:rsidR="00A85A63">
        <w:t xml:space="preserve">of 15 years </w:t>
      </w:r>
      <w:r w:rsidR="0025142C">
        <w:t>would</w:t>
      </w:r>
      <w:r w:rsidR="0025142C" w:rsidRPr="0025142C">
        <w:t xml:space="preserve"> reflect the current estimated technical life of these assets. </w:t>
      </w:r>
      <w:r w:rsidR="0025142C">
        <w:t xml:space="preserve">It also </w:t>
      </w:r>
      <w:r w:rsidR="00A85A63">
        <w:t>submitted</w:t>
      </w:r>
      <w:r w:rsidR="0025142C">
        <w:t xml:space="preserve"> that </w:t>
      </w:r>
      <w:r w:rsidR="0007465A">
        <w:t xml:space="preserve">the use of </w:t>
      </w:r>
      <w:r w:rsidR="0025142C">
        <w:t>t</w:t>
      </w:r>
      <w:r w:rsidR="0025142C" w:rsidRPr="0025142C">
        <w:t>his</w:t>
      </w:r>
      <w:r w:rsidR="0025142C">
        <w:t xml:space="preserve"> standard asset </w:t>
      </w:r>
      <w:r w:rsidR="003F1A58">
        <w:t>life</w:t>
      </w:r>
      <w:r w:rsidR="0025142C" w:rsidRPr="0025142C">
        <w:t xml:space="preserve"> is now standard practice and consistent with the AER’s approach for South Australian and other Victorian gas networks.</w:t>
      </w:r>
      <w:r w:rsidR="0007465A">
        <w:rPr>
          <w:rStyle w:val="FootnoteReference"/>
        </w:rPr>
        <w:footnoteReference w:id="31"/>
      </w:r>
      <w:r w:rsidR="0007465A">
        <w:t xml:space="preserve"> </w:t>
      </w:r>
    </w:p>
    <w:p w:rsidR="0025142C" w:rsidRDefault="00272051" w:rsidP="00272051">
      <w:r>
        <w:t>In response to CCP</w:t>
      </w:r>
      <w:r w:rsidR="00593AEA">
        <w:t>11</w:t>
      </w:r>
      <w:r>
        <w:t>'s concerns as to t</w:t>
      </w:r>
      <w:r w:rsidR="000A3871" w:rsidRPr="00B20F4F">
        <w:t>he revenue impact of this</w:t>
      </w:r>
      <w:r w:rsidR="000A3871">
        <w:t xml:space="preserve"> proposed</w:t>
      </w:r>
      <w:r w:rsidR="000A3871" w:rsidRPr="00B20F4F">
        <w:t xml:space="preserve"> change</w:t>
      </w:r>
      <w:r>
        <w:t>,</w:t>
      </w:r>
      <w:r w:rsidR="000A3871" w:rsidRPr="00B75F99">
        <w:rPr>
          <w:rStyle w:val="FootnoteReference"/>
        </w:rPr>
        <w:footnoteReference w:id="32"/>
      </w:r>
      <w:r>
        <w:t xml:space="preserve"> </w:t>
      </w:r>
      <w:r w:rsidR="00593AEA">
        <w:t>w</w:t>
      </w:r>
      <w:r>
        <w:t xml:space="preserve">e assessed it and found it to be immaterial. We accept AusNet's reasons for the change to 15 years. </w:t>
      </w:r>
      <w:r w:rsidR="0007465A">
        <w:t xml:space="preserve">However, </w:t>
      </w:r>
      <w:r>
        <w:t>we will review this in future access arrangement de</w:t>
      </w:r>
      <w:r w:rsidR="00422057">
        <w:t>cision</w:t>
      </w:r>
      <w:r>
        <w:t>s</w:t>
      </w:r>
      <w:r w:rsidR="0007465A">
        <w:t xml:space="preserve"> as technology evolves.</w:t>
      </w:r>
      <w:r w:rsidR="00B20F4F">
        <w:t xml:space="preserve"> </w:t>
      </w:r>
    </w:p>
    <w:p w:rsidR="00F03D3D" w:rsidRDefault="00046C53" w:rsidP="00F03D3D">
      <w:r>
        <w:t>Table 5.3</w:t>
      </w:r>
      <w:r w:rsidR="00F03D3D" w:rsidRPr="00F03D3D">
        <w:t xml:space="preserve"> sets out our draft decision on the standard asset lives for the </w:t>
      </w:r>
      <w:r w:rsidR="00F12747">
        <w:t>AusNet</w:t>
      </w:r>
      <w:r w:rsidR="004F25A9">
        <w:t xml:space="preserve"> over the 2018–</w:t>
      </w:r>
      <w:r w:rsidR="00272051">
        <w:t xml:space="preserve">22 </w:t>
      </w:r>
      <w:r w:rsidR="004F25A9">
        <w:t xml:space="preserve">access arrangement </w:t>
      </w:r>
      <w:proofErr w:type="gramStart"/>
      <w:r w:rsidR="004F25A9">
        <w:t>period</w:t>
      </w:r>
      <w:proofErr w:type="gramEnd"/>
      <w:r w:rsidR="00F03D3D" w:rsidRPr="00F03D3D">
        <w:t>.</w:t>
      </w:r>
    </w:p>
    <w:p w:rsidR="00F03D3D" w:rsidRPr="00D74F0E" w:rsidRDefault="00046C53" w:rsidP="002E37EC">
      <w:pPr>
        <w:pStyle w:val="Caption"/>
      </w:pPr>
      <w:r w:rsidRPr="00D74F0E">
        <w:t>Table 5.3</w:t>
      </w:r>
      <w:r w:rsidR="00F03D3D" w:rsidRPr="00FB3EA2">
        <w:tab/>
        <w:t xml:space="preserve">AER's draft decision on </w:t>
      </w:r>
      <w:r w:rsidR="00F12747" w:rsidRPr="00FB3EA2">
        <w:t>AusNet</w:t>
      </w:r>
      <w:r w:rsidR="00F03D3D" w:rsidRPr="00FB3EA2">
        <w:t>’s standard asset lives (years)</w:t>
      </w:r>
    </w:p>
    <w:tbl>
      <w:tblPr>
        <w:tblStyle w:val="AERtable-numbers"/>
        <w:tblW w:w="8330" w:type="dxa"/>
        <w:tblLayout w:type="fixed"/>
        <w:tblLook w:val="04A0" w:firstRow="1" w:lastRow="0" w:firstColumn="1" w:lastColumn="0" w:noHBand="0" w:noVBand="1"/>
      </w:tblPr>
      <w:tblGrid>
        <w:gridCol w:w="5211"/>
        <w:gridCol w:w="3119"/>
      </w:tblGrid>
      <w:tr w:rsidR="00F03D3D" w:rsidRPr="00F03D3D" w:rsidTr="00F03D3D">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5211" w:type="dxa"/>
            <w:noWrap/>
            <w:hideMark/>
          </w:tcPr>
          <w:p w:rsidR="00F03D3D" w:rsidRPr="00F03D3D" w:rsidRDefault="00F03D3D" w:rsidP="00F03D3D">
            <w:pPr>
              <w:rPr>
                <w:lang w:eastAsia="en-US"/>
              </w:rPr>
            </w:pPr>
          </w:p>
        </w:tc>
        <w:tc>
          <w:tcPr>
            <w:tcW w:w="3119" w:type="dxa"/>
          </w:tcPr>
          <w:p w:rsidR="00F03D3D" w:rsidRPr="00F03D3D" w:rsidRDefault="00F03D3D" w:rsidP="00F03D3D">
            <w:pPr>
              <w:cnfStyle w:val="100000000000" w:firstRow="1" w:lastRow="0" w:firstColumn="0" w:lastColumn="0" w:oddVBand="0" w:evenVBand="0" w:oddHBand="0" w:evenHBand="0" w:firstRowFirstColumn="0" w:firstRowLastColumn="0" w:lastRowFirstColumn="0" w:lastRowLastColumn="0"/>
              <w:rPr>
                <w:lang w:eastAsia="en-US"/>
              </w:rPr>
            </w:pPr>
            <w:r w:rsidRPr="00F03D3D">
              <w:rPr>
                <w:lang w:eastAsia="en-US"/>
              </w:rPr>
              <w:t xml:space="preserve">Standard asset life </w:t>
            </w:r>
          </w:p>
        </w:tc>
      </w:tr>
      <w:tr w:rsidR="00F03D3D" w:rsidRPr="00F03D3D" w:rsidTr="00F03D3D">
        <w:trPr>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4F25A9">
            <w:r w:rsidRPr="00F03D3D">
              <w:t xml:space="preserve">Transmission </w:t>
            </w:r>
            <w:r w:rsidR="004F25A9">
              <w:t>p</w:t>
            </w:r>
            <w:r w:rsidRPr="00F03D3D">
              <w:t>ipelines</w:t>
            </w:r>
          </w:p>
        </w:tc>
        <w:tc>
          <w:tcPr>
            <w:tcW w:w="3119" w:type="dxa"/>
            <w:vAlign w:val="top"/>
          </w:tcPr>
          <w:p w:rsidR="00F03D3D" w:rsidRPr="00F03D3D" w:rsidRDefault="00F03D3D" w:rsidP="004F7869">
            <w:pPr>
              <w:cnfStyle w:val="000000000000" w:firstRow="0" w:lastRow="0" w:firstColumn="0" w:lastColumn="0" w:oddVBand="0" w:evenVBand="0" w:oddHBand="0" w:evenHBand="0" w:firstRowFirstColumn="0" w:firstRowLastColumn="0" w:lastRowFirstColumn="0" w:lastRowLastColumn="0"/>
            </w:pPr>
            <w:r w:rsidRPr="00F03D3D">
              <w:t>60</w:t>
            </w:r>
          </w:p>
        </w:tc>
      </w:tr>
      <w:tr w:rsidR="00F03D3D" w:rsidRPr="00F03D3D" w:rsidTr="00F03D3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4F25A9">
            <w:r w:rsidRPr="00F03D3D">
              <w:t xml:space="preserve">Distribution </w:t>
            </w:r>
            <w:r w:rsidR="004F25A9">
              <w:t>p</w:t>
            </w:r>
            <w:r w:rsidRPr="00F03D3D">
              <w:t>ipelines</w:t>
            </w:r>
          </w:p>
        </w:tc>
        <w:tc>
          <w:tcPr>
            <w:tcW w:w="3119" w:type="dxa"/>
            <w:vAlign w:val="top"/>
          </w:tcPr>
          <w:p w:rsidR="00F03D3D" w:rsidRPr="00F03D3D" w:rsidRDefault="00F03D3D" w:rsidP="004F25A9">
            <w:pPr>
              <w:cnfStyle w:val="000000010000" w:firstRow="0" w:lastRow="0" w:firstColumn="0" w:lastColumn="0" w:oddVBand="0" w:evenVBand="0" w:oddHBand="0" w:evenHBand="1" w:firstRowFirstColumn="0" w:firstRowLastColumn="0" w:lastRowFirstColumn="0" w:lastRowLastColumn="0"/>
            </w:pPr>
            <w:r w:rsidRPr="00F03D3D">
              <w:t>60</w:t>
            </w:r>
          </w:p>
        </w:tc>
      </w:tr>
      <w:tr w:rsidR="00F03D3D" w:rsidRPr="00F03D3D" w:rsidTr="00F03D3D">
        <w:trPr>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4F25A9">
            <w:r w:rsidRPr="00F03D3D">
              <w:t xml:space="preserve">Service </w:t>
            </w:r>
            <w:r w:rsidR="004F25A9">
              <w:t>p</w:t>
            </w:r>
            <w:r w:rsidRPr="00F03D3D">
              <w:t>ipes</w:t>
            </w:r>
          </w:p>
        </w:tc>
        <w:tc>
          <w:tcPr>
            <w:tcW w:w="3119" w:type="dxa"/>
            <w:vAlign w:val="top"/>
          </w:tcPr>
          <w:p w:rsidR="00F03D3D" w:rsidRPr="00F03D3D" w:rsidRDefault="00F03D3D" w:rsidP="004F7869">
            <w:pPr>
              <w:cnfStyle w:val="000000000000" w:firstRow="0" w:lastRow="0" w:firstColumn="0" w:lastColumn="0" w:oddVBand="0" w:evenVBand="0" w:oddHBand="0" w:evenHBand="0" w:firstRowFirstColumn="0" w:firstRowLastColumn="0" w:lastRowFirstColumn="0" w:lastRowLastColumn="0"/>
            </w:pPr>
            <w:r w:rsidRPr="00F03D3D">
              <w:t>60</w:t>
            </w:r>
          </w:p>
        </w:tc>
      </w:tr>
      <w:tr w:rsidR="00F03D3D" w:rsidRPr="00F03D3D" w:rsidTr="00F03D3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4F25A9">
            <w:proofErr w:type="spellStart"/>
            <w:r w:rsidRPr="00F03D3D">
              <w:t>Cathodic</w:t>
            </w:r>
            <w:proofErr w:type="spellEnd"/>
            <w:r w:rsidRPr="00F03D3D">
              <w:t xml:space="preserve"> </w:t>
            </w:r>
            <w:r w:rsidR="004F25A9">
              <w:t>p</w:t>
            </w:r>
            <w:r w:rsidRPr="00F03D3D">
              <w:t>rotection</w:t>
            </w:r>
          </w:p>
        </w:tc>
        <w:tc>
          <w:tcPr>
            <w:tcW w:w="3119" w:type="dxa"/>
            <w:vAlign w:val="top"/>
          </w:tcPr>
          <w:p w:rsidR="00F03D3D" w:rsidRPr="00F03D3D" w:rsidRDefault="00F03D3D" w:rsidP="004F25A9">
            <w:pPr>
              <w:cnfStyle w:val="000000010000" w:firstRow="0" w:lastRow="0" w:firstColumn="0" w:lastColumn="0" w:oddVBand="0" w:evenVBand="0" w:oddHBand="0" w:evenHBand="1" w:firstRowFirstColumn="0" w:firstRowLastColumn="0" w:lastRowFirstColumn="0" w:lastRowLastColumn="0"/>
            </w:pPr>
            <w:r w:rsidRPr="00F03D3D">
              <w:t>60</w:t>
            </w:r>
          </w:p>
        </w:tc>
      </w:tr>
      <w:tr w:rsidR="00F03D3D" w:rsidRPr="00F03D3D" w:rsidTr="00F03D3D">
        <w:trPr>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4F25A9">
            <w:r w:rsidRPr="00F03D3D">
              <w:t xml:space="preserve">Supply </w:t>
            </w:r>
            <w:r w:rsidR="004F25A9">
              <w:t>r</w:t>
            </w:r>
            <w:r w:rsidRPr="00F03D3D">
              <w:t>egulators/</w:t>
            </w:r>
            <w:r w:rsidR="004F25A9">
              <w:t>v</w:t>
            </w:r>
            <w:r w:rsidRPr="00F03D3D">
              <w:t xml:space="preserve">alve </w:t>
            </w:r>
            <w:r w:rsidR="004F25A9">
              <w:t>s</w:t>
            </w:r>
            <w:r w:rsidRPr="00F03D3D">
              <w:t>tations</w:t>
            </w:r>
          </w:p>
        </w:tc>
        <w:tc>
          <w:tcPr>
            <w:tcW w:w="3119" w:type="dxa"/>
            <w:vAlign w:val="top"/>
          </w:tcPr>
          <w:p w:rsidR="00F03D3D" w:rsidRPr="00F03D3D" w:rsidRDefault="00F03D3D" w:rsidP="004F7869">
            <w:pPr>
              <w:cnfStyle w:val="000000000000" w:firstRow="0" w:lastRow="0" w:firstColumn="0" w:lastColumn="0" w:oddVBand="0" w:evenVBand="0" w:oddHBand="0" w:evenHBand="0" w:firstRowFirstColumn="0" w:firstRowLastColumn="0" w:lastRowFirstColumn="0" w:lastRowLastColumn="0"/>
            </w:pPr>
            <w:r w:rsidRPr="00F03D3D">
              <w:t>50</w:t>
            </w:r>
          </w:p>
        </w:tc>
      </w:tr>
      <w:tr w:rsidR="00F03D3D" w:rsidRPr="00F03D3D" w:rsidTr="00F03D3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F03D3D">
            <w:r w:rsidRPr="00F03D3D">
              <w:t>Meters</w:t>
            </w:r>
          </w:p>
        </w:tc>
        <w:tc>
          <w:tcPr>
            <w:tcW w:w="3119" w:type="dxa"/>
            <w:vAlign w:val="top"/>
          </w:tcPr>
          <w:p w:rsidR="00F03D3D" w:rsidRPr="00F03D3D" w:rsidRDefault="00F03D3D" w:rsidP="004F25A9">
            <w:pPr>
              <w:cnfStyle w:val="000000010000" w:firstRow="0" w:lastRow="0" w:firstColumn="0" w:lastColumn="0" w:oddVBand="0" w:evenVBand="0" w:oddHBand="0" w:evenHBand="1" w:firstRowFirstColumn="0" w:firstRowLastColumn="0" w:lastRowFirstColumn="0" w:lastRowLastColumn="0"/>
            </w:pPr>
            <w:r w:rsidRPr="00F03D3D">
              <w:t>15</w:t>
            </w:r>
          </w:p>
        </w:tc>
      </w:tr>
      <w:tr w:rsidR="00F03D3D" w:rsidRPr="00F03D3D" w:rsidTr="00F03D3D">
        <w:trPr>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F03D3D">
            <w:r w:rsidRPr="00F03D3D">
              <w:t>SCADA and remote control</w:t>
            </w:r>
          </w:p>
        </w:tc>
        <w:tc>
          <w:tcPr>
            <w:tcW w:w="3119" w:type="dxa"/>
            <w:vAlign w:val="top"/>
          </w:tcPr>
          <w:p w:rsidR="00F03D3D" w:rsidRPr="00F03D3D" w:rsidRDefault="00F03D3D" w:rsidP="004F7869">
            <w:pPr>
              <w:cnfStyle w:val="000000000000" w:firstRow="0" w:lastRow="0" w:firstColumn="0" w:lastColumn="0" w:oddVBand="0" w:evenVBand="0" w:oddHBand="0" w:evenHBand="0" w:firstRowFirstColumn="0" w:firstRowLastColumn="0" w:lastRowFirstColumn="0" w:lastRowLastColumn="0"/>
            </w:pPr>
            <w:r w:rsidRPr="00F03D3D">
              <w:t>15</w:t>
            </w:r>
          </w:p>
        </w:tc>
      </w:tr>
      <w:tr w:rsidR="00F03D3D" w:rsidRPr="00F03D3D" w:rsidTr="00F03D3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F03D3D">
            <w:r w:rsidRPr="00F03D3D">
              <w:t>Buildings</w:t>
            </w:r>
          </w:p>
        </w:tc>
        <w:tc>
          <w:tcPr>
            <w:tcW w:w="3119" w:type="dxa"/>
            <w:vAlign w:val="top"/>
          </w:tcPr>
          <w:p w:rsidR="00F03D3D" w:rsidRPr="00F03D3D" w:rsidRDefault="00F03D3D" w:rsidP="004F25A9">
            <w:pPr>
              <w:cnfStyle w:val="000000010000" w:firstRow="0" w:lastRow="0" w:firstColumn="0" w:lastColumn="0" w:oddVBand="0" w:evenVBand="0" w:oddHBand="0" w:evenHBand="1" w:firstRowFirstColumn="0" w:firstRowLastColumn="0" w:lastRowFirstColumn="0" w:lastRowLastColumn="0"/>
            </w:pPr>
            <w:r w:rsidRPr="00F03D3D">
              <w:t>40</w:t>
            </w:r>
          </w:p>
        </w:tc>
      </w:tr>
      <w:tr w:rsidR="00F03D3D" w:rsidRPr="00F03D3D" w:rsidTr="00F03D3D">
        <w:trPr>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F03D3D">
            <w:r w:rsidRPr="00F03D3D">
              <w:t>Other - IT</w:t>
            </w:r>
          </w:p>
        </w:tc>
        <w:tc>
          <w:tcPr>
            <w:tcW w:w="3119" w:type="dxa"/>
            <w:vAlign w:val="top"/>
          </w:tcPr>
          <w:p w:rsidR="00F03D3D" w:rsidRPr="00F03D3D" w:rsidRDefault="00F03D3D" w:rsidP="004F7869">
            <w:pPr>
              <w:cnfStyle w:val="000000000000" w:firstRow="0" w:lastRow="0" w:firstColumn="0" w:lastColumn="0" w:oddVBand="0" w:evenVBand="0" w:oddHBand="0" w:evenHBand="0" w:firstRowFirstColumn="0" w:firstRowLastColumn="0" w:lastRowFirstColumn="0" w:lastRowLastColumn="0"/>
            </w:pPr>
            <w:r w:rsidRPr="00F03D3D">
              <w:t>5</w:t>
            </w:r>
          </w:p>
        </w:tc>
      </w:tr>
      <w:tr w:rsidR="00F03D3D" w:rsidRPr="00F03D3D" w:rsidTr="00F03D3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F03D3D">
            <w:r w:rsidRPr="00F03D3D">
              <w:t>Other - non IT</w:t>
            </w:r>
          </w:p>
        </w:tc>
        <w:tc>
          <w:tcPr>
            <w:tcW w:w="3119" w:type="dxa"/>
            <w:vAlign w:val="top"/>
          </w:tcPr>
          <w:p w:rsidR="00F03D3D" w:rsidRPr="00F03D3D" w:rsidRDefault="00F03D3D" w:rsidP="004F25A9">
            <w:pPr>
              <w:cnfStyle w:val="000000010000" w:firstRow="0" w:lastRow="0" w:firstColumn="0" w:lastColumn="0" w:oddVBand="0" w:evenVBand="0" w:oddHBand="0" w:evenHBand="1" w:firstRowFirstColumn="0" w:firstRowLastColumn="0" w:lastRowFirstColumn="0" w:lastRowLastColumn="0"/>
            </w:pPr>
            <w:r w:rsidRPr="00F03D3D">
              <w:t>5</w:t>
            </w:r>
          </w:p>
        </w:tc>
      </w:tr>
      <w:tr w:rsidR="00F03D3D" w:rsidRPr="00F03D3D" w:rsidTr="00F03D3D">
        <w:trPr>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F03D3D" w:rsidRPr="00F03D3D" w:rsidRDefault="00F03D3D" w:rsidP="004F25A9">
            <w:r w:rsidRPr="00F03D3D">
              <w:t>Land</w:t>
            </w:r>
          </w:p>
        </w:tc>
        <w:tc>
          <w:tcPr>
            <w:tcW w:w="3119" w:type="dxa"/>
          </w:tcPr>
          <w:p w:rsidR="00F03D3D" w:rsidRPr="00F03D3D" w:rsidRDefault="00F03D3D" w:rsidP="00F03D3D">
            <w:pPr>
              <w:cnfStyle w:val="000000000000" w:firstRow="0" w:lastRow="0" w:firstColumn="0" w:lastColumn="0" w:oddVBand="0" w:evenVBand="0" w:oddHBand="0" w:evenHBand="0" w:firstRowFirstColumn="0" w:firstRowLastColumn="0" w:lastRowFirstColumn="0" w:lastRowLastColumn="0"/>
              <w:rPr>
                <w:lang w:eastAsia="en-US"/>
              </w:rPr>
            </w:pPr>
            <w:r w:rsidRPr="00F03D3D">
              <w:rPr>
                <w:lang w:eastAsia="en-US"/>
              </w:rPr>
              <w:t>n/a</w:t>
            </w:r>
          </w:p>
        </w:tc>
      </w:tr>
      <w:tr w:rsidR="00B13464" w:rsidRPr="00F03D3D" w:rsidTr="00F03D3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1" w:type="dxa"/>
            <w:noWrap/>
            <w:vAlign w:val="top"/>
          </w:tcPr>
          <w:p w:rsidR="00B13464" w:rsidRPr="00F03D3D" w:rsidRDefault="00B13464" w:rsidP="004F25A9">
            <w:r>
              <w:t>Equity raising costs</w:t>
            </w:r>
          </w:p>
        </w:tc>
        <w:tc>
          <w:tcPr>
            <w:tcW w:w="3119" w:type="dxa"/>
          </w:tcPr>
          <w:p w:rsidR="00B13464" w:rsidRPr="00F03D3D" w:rsidRDefault="00B13464" w:rsidP="00F03D3D">
            <w:pPr>
              <w:cnfStyle w:val="000000010000" w:firstRow="0" w:lastRow="0" w:firstColumn="0" w:lastColumn="0" w:oddVBand="0" w:evenVBand="0" w:oddHBand="0" w:evenHBand="1" w:firstRowFirstColumn="0" w:firstRowLastColumn="0" w:lastRowFirstColumn="0" w:lastRowLastColumn="0"/>
            </w:pPr>
            <w:r>
              <w:t>54.9</w:t>
            </w:r>
          </w:p>
        </w:tc>
      </w:tr>
    </w:tbl>
    <w:p w:rsidR="00F03D3D" w:rsidRPr="00F03D3D" w:rsidRDefault="00F03D3D" w:rsidP="00315AAC">
      <w:pPr>
        <w:pStyle w:val="AERtablesource"/>
        <w:tabs>
          <w:tab w:val="left" w:pos="2880"/>
        </w:tabs>
      </w:pPr>
      <w:r w:rsidRPr="00F03D3D">
        <w:t>Source:</w:t>
      </w:r>
      <w:r w:rsidRPr="00F03D3D">
        <w:tab/>
        <w:t xml:space="preserve">AER analysis. </w:t>
      </w:r>
      <w:r w:rsidR="00315AAC">
        <w:tab/>
      </w:r>
    </w:p>
    <w:p w:rsidR="00F03D3D" w:rsidRDefault="00F03D3D" w:rsidP="00F03D3D">
      <w:pPr>
        <w:pStyle w:val="AERtablesource"/>
      </w:pPr>
      <w:r w:rsidRPr="00F03D3D">
        <w:t>n/a</w:t>
      </w:r>
      <w:r w:rsidRPr="00F03D3D">
        <w:tab/>
        <w:t>Not applicable.</w:t>
      </w:r>
    </w:p>
    <w:p w:rsidR="00D5015C" w:rsidRDefault="00D5015C" w:rsidP="00D5015C">
      <w:pPr>
        <w:pStyle w:val="Heading2"/>
      </w:pPr>
      <w:bookmarkStart w:id="112" w:name="_Toc486841975"/>
      <w:r>
        <w:t>Revisions</w:t>
      </w:r>
      <w:bookmarkEnd w:id="112"/>
    </w:p>
    <w:p w:rsidR="00884B43" w:rsidRDefault="00884B43" w:rsidP="00884B43">
      <w:r w:rsidRPr="00884B43">
        <w:t>We require the following revision to make the access arrangement proposal acceptable:</w:t>
      </w:r>
    </w:p>
    <w:tbl>
      <w:tblPr>
        <w:tblStyle w:val="AERtable-text0"/>
        <w:tblW w:w="0" w:type="auto"/>
        <w:tblLook w:val="04A0" w:firstRow="1" w:lastRow="0" w:firstColumn="1" w:lastColumn="0" w:noHBand="0" w:noVBand="1"/>
      </w:tblPr>
      <w:tblGrid>
        <w:gridCol w:w="1809"/>
        <w:gridCol w:w="6884"/>
      </w:tblGrid>
      <w:tr w:rsidR="00593AEA" w:rsidTr="00B75F99">
        <w:trPr>
          <w:cnfStyle w:val="100000000000" w:firstRow="1" w:lastRow="0" w:firstColumn="0" w:lastColumn="0" w:oddVBand="0" w:evenVBand="0" w:oddHBand="0" w:evenHBand="0" w:firstRowFirstColumn="0" w:firstRowLastColumn="0" w:lastRowFirstColumn="0" w:lastRowLastColumn="0"/>
        </w:trPr>
        <w:tc>
          <w:tcPr>
            <w:tcW w:w="1809" w:type="dxa"/>
          </w:tcPr>
          <w:p w:rsidR="00593AEA" w:rsidRDefault="00593AEA" w:rsidP="00884B43"/>
        </w:tc>
        <w:tc>
          <w:tcPr>
            <w:tcW w:w="6884" w:type="dxa"/>
          </w:tcPr>
          <w:p w:rsidR="00593AEA" w:rsidRDefault="00593AEA" w:rsidP="00884B43"/>
        </w:tc>
      </w:tr>
      <w:tr w:rsidR="00593AEA" w:rsidTr="00B75F99">
        <w:tc>
          <w:tcPr>
            <w:tcW w:w="1809" w:type="dxa"/>
          </w:tcPr>
          <w:p w:rsidR="00593AEA" w:rsidRDefault="00593AEA" w:rsidP="00884B43">
            <w:r>
              <w:t>Revision 5</w:t>
            </w:r>
            <w:r w:rsidRPr="00884B43">
              <w:t>.1:</w:t>
            </w:r>
          </w:p>
        </w:tc>
        <w:tc>
          <w:tcPr>
            <w:tcW w:w="6884" w:type="dxa"/>
          </w:tcPr>
          <w:p w:rsidR="00593AEA" w:rsidRDefault="00593AEA" w:rsidP="00884B43">
            <w:r w:rsidRPr="00884B43">
              <w:t xml:space="preserve">Make all necessary amendments to reflect this draft decision on the </w:t>
            </w:r>
            <w:r>
              <w:t>regulatory depreciation allowance for</w:t>
            </w:r>
            <w:r w:rsidRPr="00884B43">
              <w:t xml:space="preserve"> the 201</w:t>
            </w:r>
            <w:r>
              <w:t>8–22</w:t>
            </w:r>
            <w:r w:rsidRPr="00884B43">
              <w:t xml:space="preserve"> access arrangement </w:t>
            </w:r>
            <w:proofErr w:type="gramStart"/>
            <w:r w:rsidRPr="00884B43">
              <w:t>period</w:t>
            </w:r>
            <w:proofErr w:type="gramEnd"/>
            <w:r w:rsidRPr="00884B43">
              <w:t xml:space="preserve">, as set out in </w:t>
            </w:r>
            <w:r w:rsidRPr="00884B43">
              <w:fldChar w:fldCharType="begin"/>
            </w:r>
            <w:r w:rsidRPr="00884B43">
              <w:instrText xml:space="preserve"> REF _Ref476129369 \h </w:instrText>
            </w:r>
            <w:r>
              <w:instrText xml:space="preserve"> \* MERGEFORMAT </w:instrText>
            </w:r>
            <w:r w:rsidRPr="00884B43">
              <w:fldChar w:fldCharType="separate"/>
            </w:r>
            <w:r w:rsidR="00621ED7">
              <w:rPr>
                <w:b/>
                <w:bCs/>
                <w:lang w:val="en-US"/>
              </w:rPr>
              <w:t>Error! Reference source not found.</w:t>
            </w:r>
            <w:r w:rsidRPr="00884B43">
              <w:fldChar w:fldCharType="end"/>
            </w:r>
            <w:r w:rsidRPr="00884B43">
              <w:t>.</w:t>
            </w:r>
          </w:p>
        </w:tc>
      </w:tr>
    </w:tbl>
    <w:p w:rsidR="00593AEA" w:rsidRPr="00884B43" w:rsidRDefault="00593AEA" w:rsidP="00884B43"/>
    <w:p w:rsidR="00884B43" w:rsidRDefault="00884B43" w:rsidP="00884B43"/>
    <w:p w:rsidR="00884B43" w:rsidRPr="00884B43" w:rsidRDefault="00884B43" w:rsidP="00884B43"/>
    <w:p w:rsidR="00D5015C" w:rsidRDefault="00D5015C" w:rsidP="00132D43"/>
    <w:sectPr w:rsidR="00D5015C" w:rsidSect="00CF42AA">
      <w:headerReference w:type="default" r:id="rId17"/>
      <w:footerReference w:type="even" r:id="rId18"/>
      <w:footerReference w:type="default" r:id="rId19"/>
      <w:footerReference w:type="first" r:id="rId20"/>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325" w:rsidRPr="00290C63" w:rsidRDefault="00E14325" w:rsidP="00290C63">
      <w:r>
        <w:separator/>
      </w:r>
    </w:p>
    <w:p w:rsidR="00E14325" w:rsidRDefault="00E14325"/>
  </w:endnote>
  <w:endnote w:type="continuationSeparator" w:id="0">
    <w:p w:rsidR="00E14325" w:rsidRPr="00290C63" w:rsidRDefault="00E14325" w:rsidP="00290C63">
      <w:r>
        <w:continuationSeparator/>
      </w:r>
    </w:p>
    <w:p w:rsidR="00E14325" w:rsidRDefault="00E143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25" w:rsidRPr="00290C63" w:rsidRDefault="00E1432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E14325" w:rsidRDefault="00E14325"/>
  <w:p w:rsidR="00E14325" w:rsidRDefault="00E14325"/>
  <w:p w:rsidR="00E14325" w:rsidRDefault="00E14325"/>
  <w:p w:rsidR="00E14325" w:rsidRDefault="00E14325"/>
  <w:p w:rsidR="00E14325" w:rsidRDefault="00E14325"/>
  <w:p w:rsidR="00E14325" w:rsidRDefault="00E14325"/>
  <w:p w:rsidR="00E14325" w:rsidRDefault="00E1432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E14325" w:rsidRPr="009B6F84" w:rsidRDefault="00E14325">
        <w:pPr>
          <w:pStyle w:val="Footer"/>
          <w:rPr>
            <w:sz w:val="20"/>
          </w:rPr>
        </w:pPr>
        <w:r>
          <w:fldChar w:fldCharType="begin"/>
        </w:r>
        <w:r>
          <w:instrText xml:space="preserve"> PAGE   \* MERGEFORMAT </w:instrText>
        </w:r>
        <w:r>
          <w:fldChar w:fldCharType="separate"/>
        </w:r>
        <w:r w:rsidR="00621ED7">
          <w:rPr>
            <w:noProof/>
          </w:rPr>
          <w:t>5-0</w:t>
        </w:r>
        <w:r>
          <w:rPr>
            <w:noProof/>
          </w:rPr>
          <w:fldChar w:fldCharType="end"/>
        </w:r>
        <w:r>
          <w:rPr>
            <w:noProof/>
          </w:rPr>
          <w:t xml:space="preserve">          </w:t>
        </w:r>
        <w:r>
          <w:t xml:space="preserve">Attachment 5 </w:t>
        </w:r>
        <w:r w:rsidRPr="000474DF">
          <w:t>−</w:t>
        </w:r>
        <w:r>
          <w:t xml:space="preserve"> Regulatory depreciation</w:t>
        </w:r>
        <w:r w:rsidRPr="009B6F84">
          <w:rPr>
            <w:rFonts w:cs="Gautami"/>
            <w:noProof/>
            <w:szCs w:val="16"/>
          </w:rPr>
          <w:t xml:space="preserve"> | </w:t>
        </w:r>
        <w:r>
          <w:t>Draft decision - AusNet Services gas access arrangement</w:t>
        </w:r>
        <w:r w:rsidRPr="00D5015C">
          <w:t xml:space="preserve"> 201</w:t>
        </w:r>
        <w:r>
          <w:t>8</w:t>
        </w:r>
        <w:r w:rsidRPr="00D5015C">
          <w:t>–</w:t>
        </w:r>
        <w:r>
          <w:t>22</w:t>
        </w:r>
      </w:p>
    </w:sdtContent>
  </w:sdt>
  <w:p w:rsidR="00E14325" w:rsidRDefault="00E1432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25" w:rsidRPr="00290C63" w:rsidRDefault="00E1432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E14325" w:rsidRDefault="00E14325">
    <w:pPr>
      <w:pStyle w:val="Footer"/>
    </w:pPr>
  </w:p>
  <w:p w:rsidR="00E14325" w:rsidRDefault="00E14325"/>
  <w:p w:rsidR="00E14325" w:rsidRDefault="00E14325"/>
  <w:p w:rsidR="00E14325" w:rsidRDefault="00E14325"/>
  <w:p w:rsidR="00E14325" w:rsidRDefault="00E14325"/>
  <w:p w:rsidR="00E14325" w:rsidRDefault="00E14325"/>
  <w:p w:rsidR="00E14325" w:rsidRDefault="00E14325"/>
  <w:p w:rsidR="00E14325" w:rsidRDefault="00E14325"/>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25" w:rsidRPr="00290C63" w:rsidRDefault="00E1432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E14325" w:rsidRDefault="00E14325"/>
  <w:p w:rsidR="00E14325" w:rsidRDefault="00E14325"/>
  <w:p w:rsidR="00E14325" w:rsidRDefault="00E14325"/>
  <w:p w:rsidR="00E14325" w:rsidRDefault="00E14325"/>
  <w:p w:rsidR="00E14325" w:rsidRDefault="00E14325"/>
  <w:p w:rsidR="00E14325" w:rsidRDefault="00E14325"/>
  <w:p w:rsidR="00E14325" w:rsidRDefault="00E1432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901426"/>
      <w:docPartObj>
        <w:docPartGallery w:val="Page Numbers (Bottom of Page)"/>
        <w:docPartUnique/>
      </w:docPartObj>
    </w:sdtPr>
    <w:sdtEndPr>
      <w:rPr>
        <w:noProof/>
        <w:szCs w:val="16"/>
      </w:rPr>
    </w:sdtEndPr>
    <w:sdtContent>
      <w:p w:rsidR="00E14325" w:rsidRPr="009B6F84" w:rsidRDefault="00E14325">
        <w:pPr>
          <w:pStyle w:val="Footer"/>
          <w:rPr>
            <w:sz w:val="20"/>
          </w:rPr>
        </w:pPr>
        <w:r>
          <w:fldChar w:fldCharType="begin"/>
        </w:r>
        <w:r>
          <w:instrText xml:space="preserve"> PAGE   \* MERGEFORMAT </w:instrText>
        </w:r>
        <w:r>
          <w:fldChar w:fldCharType="separate"/>
        </w:r>
        <w:r w:rsidR="00621ED7">
          <w:rPr>
            <w:noProof/>
          </w:rPr>
          <w:t>5-13</w:t>
        </w:r>
        <w:r>
          <w:rPr>
            <w:noProof/>
          </w:rPr>
          <w:fldChar w:fldCharType="end"/>
        </w:r>
        <w:r>
          <w:rPr>
            <w:noProof/>
          </w:rPr>
          <w:t xml:space="preserve">          </w:t>
        </w:r>
        <w:r>
          <w:t xml:space="preserve">Attachment 5 </w:t>
        </w:r>
        <w:r w:rsidRPr="000474DF">
          <w:t>−</w:t>
        </w:r>
        <w:r>
          <w:t xml:space="preserve"> Regulatory depreciation</w:t>
        </w:r>
        <w:r w:rsidRPr="00D5015C">
          <w:t xml:space="preserve"> | </w:t>
        </w:r>
        <w:r>
          <w:t>Draft decision - AusNet Services gas access arrangement</w:t>
        </w:r>
        <w:r w:rsidRPr="00D5015C">
          <w:t xml:space="preserve"> 201</w:t>
        </w:r>
        <w:r>
          <w:t>8</w:t>
        </w:r>
        <w:r w:rsidRPr="00D5015C">
          <w:t>–</w:t>
        </w:r>
        <w:r>
          <w:t>22</w:t>
        </w:r>
      </w:p>
    </w:sdtContent>
  </w:sdt>
  <w:p w:rsidR="00E14325" w:rsidRDefault="00E14325">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25" w:rsidRPr="00290C63" w:rsidRDefault="00E1432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E14325" w:rsidRDefault="00E14325">
    <w:pPr>
      <w:pStyle w:val="Footer"/>
    </w:pPr>
  </w:p>
  <w:p w:rsidR="00E14325" w:rsidRDefault="00E14325"/>
  <w:p w:rsidR="00E14325" w:rsidRDefault="00E14325"/>
  <w:p w:rsidR="00E14325" w:rsidRDefault="00E14325"/>
  <w:p w:rsidR="00E14325" w:rsidRDefault="00E14325"/>
  <w:p w:rsidR="00E14325" w:rsidRDefault="00E14325"/>
  <w:p w:rsidR="00E14325" w:rsidRDefault="00E14325"/>
  <w:p w:rsidR="00E14325" w:rsidRDefault="00E1432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325" w:rsidRPr="00290C63" w:rsidRDefault="00E14325" w:rsidP="00290C63">
      <w:r>
        <w:separator/>
      </w:r>
    </w:p>
    <w:p w:rsidR="00E14325" w:rsidRDefault="00E14325"/>
  </w:footnote>
  <w:footnote w:type="continuationSeparator" w:id="0">
    <w:p w:rsidR="00E14325" w:rsidRPr="00290C63" w:rsidRDefault="00E14325" w:rsidP="00290C63">
      <w:r>
        <w:continuationSeparator/>
      </w:r>
    </w:p>
    <w:p w:rsidR="00E14325" w:rsidRDefault="00E14325"/>
  </w:footnote>
  <w:footnote w:id="1">
    <w:p w:rsidR="00E14325" w:rsidRDefault="00E14325" w:rsidP="002341E6">
      <w:pPr>
        <w:pStyle w:val="FootnoteText"/>
      </w:pPr>
      <w:r>
        <w:rPr>
          <w:rStyle w:val="FootnoteReference"/>
        </w:rPr>
        <w:footnoteRef/>
      </w:r>
      <w:r>
        <w:t xml:space="preserve"> </w:t>
      </w:r>
      <w:r>
        <w:tab/>
        <w:t>NGR, r. 76(b).</w:t>
      </w:r>
    </w:p>
  </w:footnote>
  <w:footnote w:id="2">
    <w:p w:rsidR="00E14325" w:rsidRDefault="00E14325" w:rsidP="002341E6">
      <w:pPr>
        <w:pStyle w:val="FootnoteText"/>
      </w:pPr>
      <w:r>
        <w:rPr>
          <w:rStyle w:val="FootnoteReference"/>
        </w:rPr>
        <w:footnoteRef/>
      </w:r>
      <w:r>
        <w:t xml:space="preserve"> </w:t>
      </w:r>
      <w:r>
        <w:tab/>
        <w:t>Regulatory depreciation allowance is the net total</w:t>
      </w:r>
      <w:r w:rsidRPr="003A447F">
        <w:t xml:space="preserve"> of the straight-line depreciation (negative) and the annual inflation indexation (positive) on the projected capital base</w:t>
      </w:r>
      <w:r>
        <w:t>.</w:t>
      </w:r>
    </w:p>
  </w:footnote>
  <w:footnote w:id="3">
    <w:p w:rsidR="00E14325" w:rsidRDefault="00E14325" w:rsidP="002341E6">
      <w:pPr>
        <w:pStyle w:val="FootnoteText"/>
      </w:pPr>
      <w:r>
        <w:rPr>
          <w:rStyle w:val="FootnoteReference"/>
        </w:rPr>
        <w:footnoteRef/>
      </w:r>
      <w:r>
        <w:t xml:space="preserve"> </w:t>
      </w:r>
      <w:r>
        <w:tab/>
        <w:t>The term ‘standard asset life’ may also be referred to as ‘</w:t>
      </w:r>
      <w:r w:rsidRPr="003B3083">
        <w:t xml:space="preserve">standard </w:t>
      </w:r>
      <w:r>
        <w:t xml:space="preserve">economic </w:t>
      </w:r>
      <w:r w:rsidRPr="003B3083">
        <w:t>life</w:t>
      </w:r>
      <w:r>
        <w:t>’, ‘asset life’, ‘economic asset life’ or ‘economic life’.</w:t>
      </w:r>
    </w:p>
  </w:footnote>
  <w:footnote w:id="4">
    <w:p w:rsidR="00E14325" w:rsidRPr="002E37EC" w:rsidRDefault="00E14325" w:rsidP="007959C5">
      <w:pPr>
        <w:pStyle w:val="FootnoteText"/>
        <w:rPr>
          <w:i/>
        </w:rPr>
      </w:pPr>
      <w:r>
        <w:rPr>
          <w:rStyle w:val="FootnoteReference"/>
        </w:rPr>
        <w:footnoteRef/>
      </w:r>
      <w:r>
        <w:t xml:space="preserve"> </w:t>
      </w:r>
      <w:r>
        <w:tab/>
        <w:t>For example,</w:t>
      </w:r>
      <w:r>
        <w:rPr>
          <w:rStyle w:val="AERtextitalic"/>
          <w:rFonts w:eastAsia="Calibri"/>
        </w:rPr>
        <w:t xml:space="preserve"> AER: Access arrangement final decision APA GasNet Australia (Operations) Pty Ltd 2013–17 Part 2: Attachments, </w:t>
      </w:r>
      <w:r w:rsidRPr="003926B2">
        <w:rPr>
          <w:rStyle w:val="AERtextitalic"/>
          <w:rFonts w:eastAsia="Calibri"/>
          <w:i w:val="0"/>
        </w:rPr>
        <w:t>March 2013</w:t>
      </w:r>
      <w:r>
        <w:rPr>
          <w:rStyle w:val="AERtextitalic"/>
          <w:rFonts w:eastAsia="Calibri"/>
          <w:i w:val="0"/>
        </w:rPr>
        <w:t>, p. 149</w:t>
      </w:r>
      <w:r>
        <w:rPr>
          <w:rStyle w:val="AERtextitalic"/>
        </w:rPr>
        <w:t xml:space="preserve">; </w:t>
      </w:r>
      <w:r w:rsidRPr="0019286D">
        <w:rPr>
          <w:rStyle w:val="AERtextitalic"/>
          <w:i w:val="0"/>
        </w:rPr>
        <w:t>AER:</w:t>
      </w:r>
      <w:r w:rsidRPr="0094226D">
        <w:rPr>
          <w:rStyle w:val="AERtextitalic"/>
        </w:rPr>
        <w:t xml:space="preserve"> Final decision Amadeus Gas Pipeline access arrangement attachment 5 — Regulatory depreciation, </w:t>
      </w:r>
      <w:r w:rsidRPr="0094226D">
        <w:rPr>
          <w:rStyle w:val="AERtextitalic"/>
          <w:i w:val="0"/>
        </w:rPr>
        <w:t>May 2016, p. 9.</w:t>
      </w:r>
      <w:r w:rsidRPr="007959C5">
        <w:t xml:space="preserve"> </w:t>
      </w:r>
      <w:r>
        <w:rPr>
          <w:rStyle w:val="AERtextitalic"/>
        </w:rPr>
        <w:t xml:space="preserve">Final Decision </w:t>
      </w:r>
      <w:r w:rsidRPr="007959C5">
        <w:rPr>
          <w:rStyle w:val="AERtextitalic"/>
        </w:rPr>
        <w:t>Australian Gas Networks</w:t>
      </w:r>
      <w:r>
        <w:rPr>
          <w:rStyle w:val="AERtextitalic"/>
        </w:rPr>
        <w:t xml:space="preserve"> </w:t>
      </w:r>
      <w:r w:rsidRPr="007959C5">
        <w:rPr>
          <w:rStyle w:val="AERtextitalic"/>
        </w:rPr>
        <w:t>Access Arrangement</w:t>
      </w:r>
      <w:r>
        <w:rPr>
          <w:rStyle w:val="AERtextitalic"/>
        </w:rPr>
        <w:t xml:space="preserve"> </w:t>
      </w:r>
      <w:r w:rsidRPr="007959C5">
        <w:rPr>
          <w:rStyle w:val="AERtextitalic"/>
        </w:rPr>
        <w:t>2016 to 2021</w:t>
      </w:r>
      <w:r>
        <w:rPr>
          <w:rStyle w:val="AERtextitalic"/>
        </w:rPr>
        <w:t xml:space="preserve"> </w:t>
      </w:r>
      <w:r w:rsidRPr="007959C5">
        <w:rPr>
          <w:rStyle w:val="AERtextitalic"/>
        </w:rPr>
        <w:t>Attachment 5 – Regulatory depreciation</w:t>
      </w:r>
      <w:r>
        <w:rPr>
          <w:rStyle w:val="AERtextitalic"/>
        </w:rPr>
        <w:t xml:space="preserve">, </w:t>
      </w:r>
      <w:r w:rsidRPr="007959C5">
        <w:rPr>
          <w:rStyle w:val="AERtextitalic"/>
        </w:rPr>
        <w:t>May 2016</w:t>
      </w:r>
      <w:r>
        <w:rPr>
          <w:rStyle w:val="AERtextitalic"/>
        </w:rPr>
        <w:t xml:space="preserve">, p.28. Final decision, </w:t>
      </w:r>
      <w:r w:rsidRPr="007959C5">
        <w:rPr>
          <w:rStyle w:val="AERtextitalic"/>
        </w:rPr>
        <w:t>Jemena Gas Networks (NSW) Ltd</w:t>
      </w:r>
      <w:r>
        <w:rPr>
          <w:rStyle w:val="AERtextitalic"/>
        </w:rPr>
        <w:t xml:space="preserve"> </w:t>
      </w:r>
      <w:r w:rsidRPr="007959C5">
        <w:rPr>
          <w:rStyle w:val="AERtextitalic"/>
        </w:rPr>
        <w:t>Access Arrangement 2015-20</w:t>
      </w:r>
      <w:r>
        <w:rPr>
          <w:rStyle w:val="AERtextitalic"/>
        </w:rPr>
        <w:t xml:space="preserve"> </w:t>
      </w:r>
      <w:r w:rsidRPr="007959C5">
        <w:rPr>
          <w:rStyle w:val="AERtextitalic"/>
        </w:rPr>
        <w:t>Attachm</w:t>
      </w:r>
      <w:r>
        <w:rPr>
          <w:rStyle w:val="AERtextitalic"/>
        </w:rPr>
        <w:t xml:space="preserve">ent 5 − Regulatory depreciation, </w:t>
      </w:r>
      <w:r w:rsidRPr="007959C5">
        <w:rPr>
          <w:rStyle w:val="AERtextitalic"/>
        </w:rPr>
        <w:t>June 2015</w:t>
      </w:r>
      <w:r>
        <w:rPr>
          <w:rStyle w:val="AERtextitalic"/>
        </w:rPr>
        <w:t>, p10.</w:t>
      </w:r>
    </w:p>
  </w:footnote>
  <w:footnote w:id="5">
    <w:p w:rsidR="00E14325" w:rsidRPr="00593AEA" w:rsidRDefault="00E14325">
      <w:pPr>
        <w:pStyle w:val="FootnoteText"/>
      </w:pPr>
      <w:r>
        <w:rPr>
          <w:rStyle w:val="FootnoteReference"/>
        </w:rPr>
        <w:footnoteRef/>
      </w:r>
      <w:r>
        <w:t xml:space="preserve"> </w:t>
      </w:r>
      <w:r>
        <w:tab/>
      </w:r>
      <w:r w:rsidRPr="00B75F99">
        <w:t xml:space="preserve">AusNet Services - </w:t>
      </w:r>
      <w:r w:rsidRPr="00593AEA">
        <w:rPr>
          <w:rStyle w:val="AERtextitalic"/>
        </w:rPr>
        <w:t>Access Arrangement Information 2018-2022</w:t>
      </w:r>
      <w:r w:rsidRPr="00B75F99">
        <w:t xml:space="preserve"> - 20161221, pp.184-185.</w:t>
      </w:r>
    </w:p>
  </w:footnote>
  <w:footnote w:id="6">
    <w:p w:rsidR="00E14325" w:rsidRDefault="00E14325">
      <w:pPr>
        <w:pStyle w:val="FootnoteText"/>
      </w:pPr>
      <w:r>
        <w:rPr>
          <w:rStyle w:val="FootnoteReference"/>
        </w:rPr>
        <w:footnoteRef/>
      </w:r>
      <w:r>
        <w:t xml:space="preserve"> </w:t>
      </w:r>
      <w:r>
        <w:tab/>
      </w:r>
      <w:r w:rsidRPr="00B75F99">
        <w:t xml:space="preserve">AusNet Services - </w:t>
      </w:r>
      <w:r w:rsidRPr="00593AEA">
        <w:rPr>
          <w:rStyle w:val="AERtextitalic"/>
        </w:rPr>
        <w:t>Access Arrangement Information 2018-2022</w:t>
      </w:r>
      <w:r w:rsidRPr="00B75F99">
        <w:t xml:space="preserve"> - 20161221, p.183</w:t>
      </w:r>
      <w:r w:rsidRPr="00FE4A3D">
        <w:rPr>
          <w:rStyle w:val="AERtextitalic"/>
        </w:rPr>
        <w:t>.</w:t>
      </w:r>
    </w:p>
  </w:footnote>
  <w:footnote w:id="7">
    <w:p w:rsidR="00E14325" w:rsidRDefault="00E14325" w:rsidP="00B96FFB">
      <w:pPr>
        <w:pStyle w:val="FootnoteText"/>
      </w:pPr>
      <w:r>
        <w:rPr>
          <w:rStyle w:val="FootnoteReference"/>
        </w:rPr>
        <w:footnoteRef/>
      </w:r>
      <w:r>
        <w:t xml:space="preserve"> </w:t>
      </w:r>
      <w:r>
        <w:tab/>
        <w:t xml:space="preserve">NGR, r. 72(1)(c)(ii). </w:t>
      </w:r>
    </w:p>
  </w:footnote>
  <w:footnote w:id="8">
    <w:p w:rsidR="00E14325" w:rsidRDefault="00E14325" w:rsidP="00B96FFB">
      <w:pPr>
        <w:pStyle w:val="FootnoteText"/>
      </w:pPr>
      <w:r>
        <w:rPr>
          <w:rStyle w:val="FootnoteReference"/>
        </w:rPr>
        <w:footnoteRef/>
      </w:r>
      <w:r>
        <w:t xml:space="preserve"> </w:t>
      </w:r>
      <w:r>
        <w:tab/>
      </w:r>
      <w:r w:rsidRPr="00CE74A3">
        <w:rPr>
          <w:rFonts w:eastAsia="Calibri"/>
        </w:rPr>
        <w:t>NGR, rr. 88(1)</w:t>
      </w:r>
      <w:r>
        <w:rPr>
          <w:rFonts w:eastAsia="Calibri"/>
        </w:rPr>
        <w:t>,</w:t>
      </w:r>
      <w:r w:rsidRPr="00CE74A3">
        <w:rPr>
          <w:rFonts w:eastAsia="Calibri"/>
        </w:rPr>
        <w:t xml:space="preserve"> 88(2).</w:t>
      </w:r>
    </w:p>
  </w:footnote>
  <w:footnote w:id="9">
    <w:p w:rsidR="00E14325" w:rsidRDefault="00E14325" w:rsidP="00B96FFB">
      <w:pPr>
        <w:pStyle w:val="FootnoteText"/>
      </w:pPr>
      <w:r>
        <w:rPr>
          <w:rStyle w:val="FootnoteReference"/>
        </w:rPr>
        <w:footnoteRef/>
      </w:r>
      <w:r>
        <w:t xml:space="preserve"> </w:t>
      </w:r>
      <w:r>
        <w:tab/>
        <w:t>NGR, r. 89.</w:t>
      </w:r>
    </w:p>
  </w:footnote>
  <w:footnote w:id="10">
    <w:p w:rsidR="00E14325" w:rsidRDefault="00E14325" w:rsidP="00B96FFB">
      <w:pPr>
        <w:pStyle w:val="FootnoteText"/>
      </w:pPr>
      <w:r>
        <w:rPr>
          <w:rStyle w:val="FootnoteReference"/>
        </w:rPr>
        <w:footnoteRef/>
      </w:r>
      <w:r>
        <w:t xml:space="preserve"> </w:t>
      </w:r>
      <w:r>
        <w:tab/>
        <w:t>NGL, s</w:t>
      </w:r>
      <w:r w:rsidRPr="006127F2">
        <w:rPr>
          <w:rFonts w:eastAsia="Calibri"/>
        </w:rPr>
        <w:t xml:space="preserve"> 28; NGR r. 100(1). The NGO is set out in NGL, s. 23. The revenue and pricing principles are set out in NGL, s.</w:t>
      </w:r>
      <w:r>
        <w:rPr>
          <w:rFonts w:eastAsia="Calibri"/>
        </w:rPr>
        <w:t> </w:t>
      </w:r>
      <w:r w:rsidRPr="006127F2">
        <w:rPr>
          <w:rFonts w:eastAsia="Calibri"/>
        </w:rPr>
        <w:t>24.</w:t>
      </w:r>
    </w:p>
  </w:footnote>
  <w:footnote w:id="11">
    <w:p w:rsidR="00E14325" w:rsidRDefault="00E14325" w:rsidP="00B96FFB">
      <w:pPr>
        <w:pStyle w:val="FootnoteText"/>
      </w:pPr>
      <w:r>
        <w:rPr>
          <w:rStyle w:val="FootnoteReference"/>
        </w:rPr>
        <w:footnoteRef/>
      </w:r>
      <w:r>
        <w:t xml:space="preserve"> </w:t>
      </w:r>
      <w:r>
        <w:tab/>
      </w:r>
      <w:r w:rsidRPr="001E0177">
        <w:t xml:space="preserve">NGR, </w:t>
      </w:r>
      <w:r>
        <w:t>rr.</w:t>
      </w:r>
      <w:r w:rsidRPr="001E0177">
        <w:t xml:space="preserve"> 89(3) and 40(2). </w:t>
      </w:r>
      <w:r>
        <w:t xml:space="preserve">The example provided in r. 40(2) states: </w:t>
      </w:r>
      <w:r w:rsidRPr="001E0177">
        <w:t>The AER has limited discretion under r</w:t>
      </w:r>
      <w:r>
        <w:t>.</w:t>
      </w:r>
      <w:r w:rsidRPr="001E0177">
        <w:t xml:space="preserve"> 89. </w:t>
      </w:r>
      <w:r>
        <w:t>R</w:t>
      </w:r>
      <w:r w:rsidRPr="001E0177">
        <w:t>ule</w:t>
      </w:r>
      <w:r>
        <w:t xml:space="preserve"> 89</w:t>
      </w:r>
      <w:r w:rsidRPr="001E0177">
        <w:t xml:space="preserve"> governs the design of a depreciation schedule. In dealing with a full access arrangement submitted for its approval, the AER cannot, in its draft decision, insist on change to an aspect of a depreciation schedule governed by r</w:t>
      </w:r>
      <w:r>
        <w:t>.</w:t>
      </w:r>
      <w:r w:rsidRPr="001E0177">
        <w:t xml:space="preserve"> 89 unless the AER considers </w:t>
      </w:r>
      <w:r>
        <w:t xml:space="preserve">the </w:t>
      </w:r>
      <w:r w:rsidRPr="001E0177">
        <w:t>change</w:t>
      </w:r>
      <w:r>
        <w:t xml:space="preserve"> is</w:t>
      </w:r>
      <w:r w:rsidRPr="001E0177">
        <w:t xml:space="preserve"> necessary to correct non-compliance with a provision of the Law or an inconsistency between the </w:t>
      </w:r>
      <w:r>
        <w:t xml:space="preserve">depreciation </w:t>
      </w:r>
      <w:r w:rsidRPr="001E0177">
        <w:t>schedule and the applicable criteria. Even though the AER might consider change desirable to achieve more complete conformity between the</w:t>
      </w:r>
      <w:r>
        <w:t xml:space="preserve"> depreciation</w:t>
      </w:r>
      <w:r w:rsidRPr="001E0177">
        <w:t xml:space="preserve"> schedule and the principles and objectives of the Law, it would not be entitled to give effect to that view in the decision making process</w:t>
      </w:r>
      <w:r>
        <w:t xml:space="preserve">. </w:t>
      </w:r>
    </w:p>
  </w:footnote>
  <w:footnote w:id="12">
    <w:p w:rsidR="00E14325" w:rsidRDefault="00E14325" w:rsidP="00B96FFB">
      <w:pPr>
        <w:pStyle w:val="FootnoteText"/>
      </w:pPr>
      <w:r>
        <w:rPr>
          <w:rStyle w:val="FootnoteReference"/>
        </w:rPr>
        <w:footnoteRef/>
      </w:r>
      <w:r>
        <w:t xml:space="preserve"> </w:t>
      </w:r>
      <w:r>
        <w:tab/>
        <w:t>NGR, r. 89(1)(a).</w:t>
      </w:r>
    </w:p>
  </w:footnote>
  <w:footnote w:id="13">
    <w:p w:rsidR="00E14325" w:rsidRDefault="00E14325" w:rsidP="00B96FFB">
      <w:pPr>
        <w:pStyle w:val="FootnoteText"/>
      </w:pPr>
      <w:r>
        <w:rPr>
          <w:rStyle w:val="FootnoteReference"/>
        </w:rPr>
        <w:footnoteRef/>
      </w:r>
      <w:r>
        <w:t xml:space="preserve"> </w:t>
      </w:r>
      <w:r>
        <w:tab/>
        <w:t>NGR, r. 89(1)(b).</w:t>
      </w:r>
    </w:p>
  </w:footnote>
  <w:footnote w:id="14">
    <w:p w:rsidR="00E14325" w:rsidRDefault="00E14325" w:rsidP="00B96FFB">
      <w:pPr>
        <w:pStyle w:val="FootnoteText"/>
      </w:pPr>
      <w:r>
        <w:rPr>
          <w:rStyle w:val="FootnoteReference"/>
        </w:rPr>
        <w:footnoteRef/>
      </w:r>
      <w:r>
        <w:t xml:space="preserve"> </w:t>
      </w:r>
      <w:r>
        <w:tab/>
        <w:t>NGR, r. 89(1)(c).</w:t>
      </w:r>
    </w:p>
  </w:footnote>
  <w:footnote w:id="15">
    <w:p w:rsidR="00E14325" w:rsidRDefault="00E14325" w:rsidP="00B96FFB">
      <w:pPr>
        <w:pStyle w:val="FootnoteText"/>
      </w:pPr>
      <w:r>
        <w:rPr>
          <w:rStyle w:val="FootnoteReference"/>
        </w:rPr>
        <w:footnoteRef/>
      </w:r>
      <w:r>
        <w:t xml:space="preserve"> </w:t>
      </w:r>
      <w:r>
        <w:tab/>
        <w:t>NGR, r. 89(1)(d).</w:t>
      </w:r>
    </w:p>
  </w:footnote>
  <w:footnote w:id="16">
    <w:p w:rsidR="00E14325" w:rsidRDefault="00E14325" w:rsidP="00B96FFB">
      <w:pPr>
        <w:pStyle w:val="FootnoteText"/>
      </w:pPr>
      <w:r>
        <w:rPr>
          <w:rStyle w:val="FootnoteReference"/>
        </w:rPr>
        <w:footnoteRef/>
      </w:r>
      <w:r>
        <w:t xml:space="preserve"> </w:t>
      </w:r>
      <w:r>
        <w:tab/>
        <w:t>NGR, r. 89(1)(e).</w:t>
      </w:r>
    </w:p>
  </w:footnote>
  <w:footnote w:id="17">
    <w:p w:rsidR="00E14325" w:rsidRDefault="00E14325" w:rsidP="00B96FFB">
      <w:pPr>
        <w:pStyle w:val="FootnoteText"/>
      </w:pPr>
      <w:r>
        <w:rPr>
          <w:rStyle w:val="FootnoteReference"/>
        </w:rPr>
        <w:footnoteRef/>
      </w:r>
      <w:r>
        <w:t xml:space="preserve"> </w:t>
      </w:r>
      <w:r>
        <w:tab/>
        <w:t xml:space="preserve">NGR, r. 89(2). </w:t>
      </w:r>
    </w:p>
  </w:footnote>
  <w:footnote w:id="18">
    <w:p w:rsidR="00E14325" w:rsidRDefault="00E14325" w:rsidP="00FA2ED1">
      <w:pPr>
        <w:pStyle w:val="FootnoteText"/>
      </w:pPr>
      <w:r>
        <w:rPr>
          <w:rStyle w:val="FootnoteReference"/>
        </w:rPr>
        <w:footnoteRef/>
      </w:r>
      <w:r>
        <w:t xml:space="preserve"> </w:t>
      </w:r>
      <w:r>
        <w:tab/>
      </w:r>
      <w:proofErr w:type="gramStart"/>
      <w:r>
        <w:t>NGR, r. 74(2).</w:t>
      </w:r>
      <w:proofErr w:type="gramEnd"/>
    </w:p>
  </w:footnote>
  <w:footnote w:id="19">
    <w:p w:rsidR="00E14325" w:rsidRDefault="00E14325" w:rsidP="00B96FFB">
      <w:pPr>
        <w:pStyle w:val="FootnoteText"/>
      </w:pPr>
      <w:r>
        <w:rPr>
          <w:rStyle w:val="FootnoteReference"/>
        </w:rPr>
        <w:footnoteRef/>
      </w:r>
      <w:r>
        <w:t xml:space="preserve"> </w:t>
      </w:r>
      <w:r>
        <w:tab/>
        <w:t>NGR, r. 89.</w:t>
      </w:r>
    </w:p>
  </w:footnote>
  <w:footnote w:id="20">
    <w:p w:rsidR="00E14325" w:rsidRDefault="00E14325" w:rsidP="00B96FFB">
      <w:pPr>
        <w:pStyle w:val="FootnoteText"/>
      </w:pPr>
      <w:r>
        <w:rPr>
          <w:rStyle w:val="FootnoteReference"/>
        </w:rPr>
        <w:footnoteRef/>
      </w:r>
      <w:r>
        <w:t xml:space="preserve"> </w:t>
      </w:r>
      <w:r>
        <w:tab/>
        <w:t>NGR, r. 89(1)(a).</w:t>
      </w:r>
    </w:p>
  </w:footnote>
  <w:footnote w:id="21">
    <w:p w:rsidR="00E14325" w:rsidRDefault="00E14325" w:rsidP="00B96FFB">
      <w:pPr>
        <w:pStyle w:val="FootnoteText"/>
      </w:pPr>
      <w:r>
        <w:rPr>
          <w:rStyle w:val="FootnoteReference"/>
        </w:rPr>
        <w:footnoteRef/>
      </w:r>
      <w:r>
        <w:t xml:space="preserve"> </w:t>
      </w:r>
      <w:r>
        <w:tab/>
      </w:r>
      <w:r w:rsidRPr="00B406D4">
        <w:t xml:space="preserve">We consider this depreciation method to be a generally superior approach. The reasons are outlined in our decision on the roll forward model for electricity transmission network service providers. See AER, </w:t>
      </w:r>
      <w:r w:rsidRPr="008948ED">
        <w:rPr>
          <w:rStyle w:val="AERtextitalic"/>
        </w:rPr>
        <w:t xml:space="preserve">Explanatory statement, </w:t>
      </w:r>
      <w:r>
        <w:rPr>
          <w:rStyle w:val="AERtextitalic"/>
        </w:rPr>
        <w:t>P</w:t>
      </w:r>
      <w:r w:rsidRPr="008948ED">
        <w:rPr>
          <w:rStyle w:val="AERtextitalic"/>
        </w:rPr>
        <w:t>roposed amendment, Electricity transmission network service providers, Roll forward model</w:t>
      </w:r>
      <w:r w:rsidRPr="00B406D4">
        <w:t>, August 2010, pp. 5–6.</w:t>
      </w:r>
    </w:p>
  </w:footnote>
  <w:footnote w:id="22">
    <w:p w:rsidR="00E14325" w:rsidRDefault="00E14325" w:rsidP="00B96FFB">
      <w:pPr>
        <w:pStyle w:val="FootnoteText"/>
      </w:pPr>
      <w:r>
        <w:rPr>
          <w:rStyle w:val="FootnoteReference"/>
        </w:rPr>
        <w:footnoteRef/>
      </w:r>
      <w:r>
        <w:t xml:space="preserve"> </w:t>
      </w:r>
      <w:r>
        <w:tab/>
      </w:r>
      <w:r w:rsidRPr="00C06BD9">
        <w:t xml:space="preserve">See AER, </w:t>
      </w:r>
      <w:r w:rsidRPr="006F329C">
        <w:rPr>
          <w:rStyle w:val="AERtextitalic"/>
        </w:rPr>
        <w:t>Final decision - amended transmission roll forward model</w:t>
      </w:r>
      <w:r w:rsidRPr="00C06BD9">
        <w:t>, December 2010, pp. 5–6 for further explanation.</w:t>
      </w:r>
    </w:p>
  </w:footnote>
  <w:footnote w:id="23">
    <w:p w:rsidR="00E14325" w:rsidRDefault="00E14325" w:rsidP="00B96FFB">
      <w:pPr>
        <w:pStyle w:val="FootnoteText"/>
      </w:pPr>
      <w:r>
        <w:rPr>
          <w:rStyle w:val="FootnoteReference"/>
        </w:rPr>
        <w:footnoteRef/>
      </w:r>
      <w:r>
        <w:t xml:space="preserve"> </w:t>
      </w:r>
      <w:r>
        <w:tab/>
        <w:t>Under our standard approach,</w:t>
      </w:r>
      <w:r w:rsidRPr="00847540">
        <w:t xml:space="preserve"> the distinction is made between straight-line depreciation and regulatory depreciation. The difference being that regulatory depreciation is the straight-line depreciation minus the indexation adjustment.</w:t>
      </w:r>
    </w:p>
  </w:footnote>
  <w:footnote w:id="24">
    <w:p w:rsidR="00E14325" w:rsidRDefault="00E14325" w:rsidP="00B96FFB">
      <w:pPr>
        <w:pStyle w:val="FootnoteText"/>
      </w:pPr>
      <w:r>
        <w:rPr>
          <w:rStyle w:val="FootnoteReference"/>
        </w:rPr>
        <w:footnoteRef/>
      </w:r>
      <w:r>
        <w:t xml:space="preserve"> </w:t>
      </w:r>
      <w:r>
        <w:tab/>
        <w:t>This is generally the case because the reduction in the capital base amount feeds into the higher depreciation building block, whereas the reduced return on capital building block is proportionate to the lower capital base multiplied by the WACC.</w:t>
      </w:r>
    </w:p>
  </w:footnote>
  <w:footnote w:id="25">
    <w:p w:rsidR="00E14325" w:rsidRDefault="00E14325" w:rsidP="00B96FFB">
      <w:pPr>
        <w:pStyle w:val="FootnoteText"/>
      </w:pPr>
      <w:r>
        <w:rPr>
          <w:rStyle w:val="FootnoteReference"/>
        </w:rPr>
        <w:footnoteRef/>
      </w:r>
      <w:r>
        <w:t xml:space="preserve"> </w:t>
      </w:r>
      <w:r>
        <w:tab/>
        <w:t>NGR, cl. 87(4)(b).</w:t>
      </w:r>
    </w:p>
  </w:footnote>
  <w:footnote w:id="26">
    <w:p w:rsidR="00E14325" w:rsidRDefault="00E14325" w:rsidP="00B96FFB">
      <w:pPr>
        <w:pStyle w:val="FootnoteText"/>
      </w:pPr>
      <w:r>
        <w:rPr>
          <w:rStyle w:val="FootnoteReference"/>
        </w:rPr>
        <w:footnoteRef/>
      </w:r>
      <w:r>
        <w:t xml:space="preserve"> </w:t>
      </w:r>
      <w:r>
        <w:tab/>
      </w:r>
      <w:r w:rsidRPr="00B06CAD">
        <w:t xml:space="preserve">If the asset lives are extremely long, such that the </w:t>
      </w:r>
      <w:r>
        <w:t>capital base</w:t>
      </w:r>
      <w:r w:rsidRPr="00B06CAD">
        <w:t xml:space="preserve"> depreciation rate is lower than the inflation rate, then</w:t>
      </w:r>
      <w:r>
        <w:t xml:space="preserve"> </w:t>
      </w:r>
      <w:r w:rsidRPr="00B06CAD">
        <w:t xml:space="preserve">negative regulatory depreciation can emerge. The indexation adjustment is greater than the </w:t>
      </w:r>
      <w:r>
        <w:t>capital base</w:t>
      </w:r>
      <w:r w:rsidRPr="00B06CAD">
        <w:t xml:space="preserve"> depreciation in</w:t>
      </w:r>
      <w:r>
        <w:t xml:space="preserve"> </w:t>
      </w:r>
      <w:r w:rsidRPr="00B06CAD">
        <w:t>such circumstances</w:t>
      </w:r>
    </w:p>
  </w:footnote>
  <w:footnote w:id="27">
    <w:p w:rsidR="00E14325" w:rsidRDefault="00E14325" w:rsidP="00B96FFB">
      <w:pPr>
        <w:pStyle w:val="FootnoteText"/>
      </w:pPr>
      <w:r>
        <w:rPr>
          <w:rStyle w:val="FootnoteReference"/>
        </w:rPr>
        <w:footnoteRef/>
      </w:r>
      <w:r>
        <w:t xml:space="preserve"> </w:t>
      </w:r>
      <w:r>
        <w:tab/>
        <w:t>A change of approach from an indexed capital base to an un-indexed capital base would result in an initial step change increase in revenues to preserve NPV neutrality.</w:t>
      </w:r>
    </w:p>
  </w:footnote>
  <w:footnote w:id="28">
    <w:p w:rsidR="00E14325" w:rsidRDefault="00E14325" w:rsidP="00B96FFB">
      <w:pPr>
        <w:pStyle w:val="FootnoteText"/>
      </w:pPr>
      <w:r>
        <w:rPr>
          <w:rStyle w:val="FootnoteReference"/>
        </w:rPr>
        <w:footnoteRef/>
      </w:r>
      <w:r>
        <w:t xml:space="preserve"> </w:t>
      </w:r>
      <w:r>
        <w:tab/>
        <w:t>The example is based on the initial cost of an asset of $100, a standard economic life of 25 years, a real WACC of 7.32%, expected inflation of 2.5% and nominal WACC of 10%. Other building block components such as opex, tax and capex are ignored for simplicity as they would affect both approaches equally.</w:t>
      </w:r>
    </w:p>
  </w:footnote>
  <w:footnote w:id="29">
    <w:p w:rsidR="00E14325" w:rsidRDefault="00E14325" w:rsidP="00E10141">
      <w:pPr>
        <w:pStyle w:val="FootnoteText"/>
      </w:pPr>
      <w:r>
        <w:rPr>
          <w:rStyle w:val="FootnoteReference"/>
        </w:rPr>
        <w:footnoteRef/>
      </w:r>
      <w:r>
        <w:t xml:space="preserve"> </w:t>
      </w:r>
      <w:r>
        <w:tab/>
      </w:r>
      <w:r w:rsidRPr="00593AEA">
        <w:t xml:space="preserve">Consumer Challenge Panel (CCP 11) </w:t>
      </w:r>
      <w:r w:rsidRPr="00B75F99">
        <w:rPr>
          <w:rStyle w:val="AERtextitalic"/>
        </w:rPr>
        <w:t>- Response to proposals from AGN, AusNet and Multinet for the 2018-2022 Access Arrangements</w:t>
      </w:r>
      <w:r w:rsidRPr="00593AEA">
        <w:t xml:space="preserve"> - 3 March 2017</w:t>
      </w:r>
      <w:r>
        <w:t>, p. 53.</w:t>
      </w:r>
    </w:p>
  </w:footnote>
  <w:footnote w:id="30">
    <w:p w:rsidR="00E14325" w:rsidRDefault="00E14325">
      <w:pPr>
        <w:pStyle w:val="FootnoteText"/>
      </w:pPr>
      <w:r>
        <w:rPr>
          <w:rStyle w:val="FootnoteReference"/>
        </w:rPr>
        <w:footnoteRef/>
      </w:r>
      <w:r>
        <w:t xml:space="preserve"> </w:t>
      </w:r>
      <w:r>
        <w:tab/>
        <w:t>NGR, cl. 89(1)(d).</w:t>
      </w:r>
    </w:p>
  </w:footnote>
  <w:footnote w:id="31">
    <w:p w:rsidR="00E14325" w:rsidRDefault="00E14325">
      <w:pPr>
        <w:pStyle w:val="FootnoteText"/>
      </w:pPr>
      <w:r>
        <w:rPr>
          <w:rStyle w:val="FootnoteReference"/>
        </w:rPr>
        <w:footnoteRef/>
      </w:r>
      <w:r>
        <w:t xml:space="preserve"> </w:t>
      </w:r>
      <w:r>
        <w:tab/>
      </w:r>
      <w:r w:rsidRPr="00593AEA">
        <w:t>AusNet Services - Access Arrangement Information 2018-2022 - 20161221</w:t>
      </w:r>
      <w:r w:rsidRPr="0007465A">
        <w:t xml:space="preserve">, </w:t>
      </w:r>
      <w:r>
        <w:t>p. 183</w:t>
      </w:r>
    </w:p>
  </w:footnote>
  <w:footnote w:id="32">
    <w:p w:rsidR="00E14325" w:rsidRDefault="00E14325" w:rsidP="000A3871">
      <w:pPr>
        <w:pStyle w:val="FootnoteText"/>
      </w:pPr>
      <w:r>
        <w:rPr>
          <w:rStyle w:val="FootnoteReference"/>
        </w:rPr>
        <w:footnoteRef/>
      </w:r>
      <w:r>
        <w:t xml:space="preserve"> </w:t>
      </w:r>
      <w:r>
        <w:tab/>
      </w:r>
      <w:r w:rsidRPr="00593AEA">
        <w:t xml:space="preserve">Consumer Challenge Panel (CCP 11) </w:t>
      </w:r>
      <w:r w:rsidRPr="00B75F99">
        <w:rPr>
          <w:u w:val="single"/>
        </w:rPr>
        <w:t xml:space="preserve">- </w:t>
      </w:r>
      <w:r w:rsidRPr="00B75F99">
        <w:rPr>
          <w:rStyle w:val="AERtextitalic"/>
        </w:rPr>
        <w:t>Response to proposals from AGN, AusNet and Multinet for the 2018-2022 Access Arrangements</w:t>
      </w:r>
      <w:r w:rsidRPr="00B75F99">
        <w:rPr>
          <w:u w:val="single"/>
        </w:rPr>
        <w:t xml:space="preserve"> - 3 M</w:t>
      </w:r>
      <w:r w:rsidRPr="00593AEA">
        <w:t>arch 2017</w:t>
      </w:r>
      <w:r>
        <w:t>, p. 54.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25" w:rsidRDefault="00E1432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7CCAD93C"/>
    <w:lvl w:ilvl="0">
      <w:start w:val="5"/>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5tC63oY9np8vxVxvlHXCwjCSqbXutrjEtTz8IzbuP3Q=" w:saltValue="MuEfJaHvQXr18dTcgJ8mmQ==" w:algorithmName="SHA-256"/>
  <w:defaultTabStop w:val="340"/>
  <w:characterSpacingControl w:val="doNotCompress"/>
  <w:hdrShapeDefaults>
    <o:shapedefaults v:ext="edit" spidmax="278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8592\D16 9526  AER - Draft decision ElectraNet transmission determination - Attachment 1 - Maximum allowed revenue.DOCX"/>
  </w:docVars>
  <w:rsids>
    <w:rsidRoot w:val="00961A4A"/>
    <w:rsid w:val="000051DC"/>
    <w:rsid w:val="0000658F"/>
    <w:rsid w:val="0001507B"/>
    <w:rsid w:val="00017285"/>
    <w:rsid w:val="00020016"/>
    <w:rsid w:val="00021202"/>
    <w:rsid w:val="00021C2B"/>
    <w:rsid w:val="0002498B"/>
    <w:rsid w:val="0002517F"/>
    <w:rsid w:val="00026187"/>
    <w:rsid w:val="000266FC"/>
    <w:rsid w:val="000273B3"/>
    <w:rsid w:val="00027E2D"/>
    <w:rsid w:val="0003578C"/>
    <w:rsid w:val="00044DA3"/>
    <w:rsid w:val="00046C53"/>
    <w:rsid w:val="000474DF"/>
    <w:rsid w:val="00055A67"/>
    <w:rsid w:val="00063247"/>
    <w:rsid w:val="0006624E"/>
    <w:rsid w:val="0006625A"/>
    <w:rsid w:val="00070F9F"/>
    <w:rsid w:val="0007137B"/>
    <w:rsid w:val="00073B74"/>
    <w:rsid w:val="0007465A"/>
    <w:rsid w:val="00076416"/>
    <w:rsid w:val="000805A8"/>
    <w:rsid w:val="0008190B"/>
    <w:rsid w:val="000836D9"/>
    <w:rsid w:val="00085663"/>
    <w:rsid w:val="00085EBF"/>
    <w:rsid w:val="00091B15"/>
    <w:rsid w:val="00095186"/>
    <w:rsid w:val="000A0E71"/>
    <w:rsid w:val="000A1C0C"/>
    <w:rsid w:val="000A3020"/>
    <w:rsid w:val="000A3871"/>
    <w:rsid w:val="000A4840"/>
    <w:rsid w:val="000A62C1"/>
    <w:rsid w:val="000A6A79"/>
    <w:rsid w:val="000A6C7B"/>
    <w:rsid w:val="000B0A7B"/>
    <w:rsid w:val="000B1173"/>
    <w:rsid w:val="000B5827"/>
    <w:rsid w:val="000B7037"/>
    <w:rsid w:val="000C02D1"/>
    <w:rsid w:val="000C0C63"/>
    <w:rsid w:val="000C2B40"/>
    <w:rsid w:val="000C5255"/>
    <w:rsid w:val="000C7977"/>
    <w:rsid w:val="000D07A7"/>
    <w:rsid w:val="000D122C"/>
    <w:rsid w:val="000D1867"/>
    <w:rsid w:val="000D75B0"/>
    <w:rsid w:val="000E1819"/>
    <w:rsid w:val="000E4821"/>
    <w:rsid w:val="000E4AA9"/>
    <w:rsid w:val="000E6C72"/>
    <w:rsid w:val="000E7F39"/>
    <w:rsid w:val="00100EA2"/>
    <w:rsid w:val="00101AA1"/>
    <w:rsid w:val="00102338"/>
    <w:rsid w:val="00104566"/>
    <w:rsid w:val="00104FF6"/>
    <w:rsid w:val="001063FE"/>
    <w:rsid w:val="001114AA"/>
    <w:rsid w:val="00112684"/>
    <w:rsid w:val="00115743"/>
    <w:rsid w:val="00116EB2"/>
    <w:rsid w:val="0012132C"/>
    <w:rsid w:val="00124609"/>
    <w:rsid w:val="00126A4C"/>
    <w:rsid w:val="001270E3"/>
    <w:rsid w:val="00132D43"/>
    <w:rsid w:val="00133366"/>
    <w:rsid w:val="00133F47"/>
    <w:rsid w:val="00134029"/>
    <w:rsid w:val="00142C2D"/>
    <w:rsid w:val="00144C96"/>
    <w:rsid w:val="0014573B"/>
    <w:rsid w:val="001463A3"/>
    <w:rsid w:val="0015073A"/>
    <w:rsid w:val="001573E4"/>
    <w:rsid w:val="00160756"/>
    <w:rsid w:val="00161DC8"/>
    <w:rsid w:val="00165B13"/>
    <w:rsid w:val="00166760"/>
    <w:rsid w:val="0017232E"/>
    <w:rsid w:val="00174102"/>
    <w:rsid w:val="001754EE"/>
    <w:rsid w:val="00180157"/>
    <w:rsid w:val="001809BC"/>
    <w:rsid w:val="00180E97"/>
    <w:rsid w:val="001820B4"/>
    <w:rsid w:val="00184351"/>
    <w:rsid w:val="0018468E"/>
    <w:rsid w:val="00184AC8"/>
    <w:rsid w:val="00185BA5"/>
    <w:rsid w:val="00185CB9"/>
    <w:rsid w:val="00185DBE"/>
    <w:rsid w:val="00186ADC"/>
    <w:rsid w:val="00186F77"/>
    <w:rsid w:val="001877A4"/>
    <w:rsid w:val="001926A4"/>
    <w:rsid w:val="00192AD5"/>
    <w:rsid w:val="00193A9C"/>
    <w:rsid w:val="00194597"/>
    <w:rsid w:val="00194E00"/>
    <w:rsid w:val="0019745E"/>
    <w:rsid w:val="00197B16"/>
    <w:rsid w:val="001A530D"/>
    <w:rsid w:val="001A5FB3"/>
    <w:rsid w:val="001A7155"/>
    <w:rsid w:val="001B45A0"/>
    <w:rsid w:val="001B680E"/>
    <w:rsid w:val="001D055E"/>
    <w:rsid w:val="001E1B3F"/>
    <w:rsid w:val="001E7161"/>
    <w:rsid w:val="001F05A4"/>
    <w:rsid w:val="001F3D4A"/>
    <w:rsid w:val="001F492E"/>
    <w:rsid w:val="001F64EF"/>
    <w:rsid w:val="001F6DA3"/>
    <w:rsid w:val="002002BB"/>
    <w:rsid w:val="002010BC"/>
    <w:rsid w:val="002016E7"/>
    <w:rsid w:val="00202E03"/>
    <w:rsid w:val="002033B9"/>
    <w:rsid w:val="002043D0"/>
    <w:rsid w:val="0020492C"/>
    <w:rsid w:val="00204EC9"/>
    <w:rsid w:val="00206505"/>
    <w:rsid w:val="0020743F"/>
    <w:rsid w:val="00216C93"/>
    <w:rsid w:val="00217D3A"/>
    <w:rsid w:val="00223051"/>
    <w:rsid w:val="00224DB9"/>
    <w:rsid w:val="0022569A"/>
    <w:rsid w:val="0023005C"/>
    <w:rsid w:val="002306FB"/>
    <w:rsid w:val="00231012"/>
    <w:rsid w:val="00233775"/>
    <w:rsid w:val="0023414B"/>
    <w:rsid w:val="002341E6"/>
    <w:rsid w:val="00243635"/>
    <w:rsid w:val="00247079"/>
    <w:rsid w:val="0025142C"/>
    <w:rsid w:val="00251745"/>
    <w:rsid w:val="002552BA"/>
    <w:rsid w:val="00260016"/>
    <w:rsid w:val="00263AC0"/>
    <w:rsid w:val="00264264"/>
    <w:rsid w:val="0026689B"/>
    <w:rsid w:val="0026772D"/>
    <w:rsid w:val="00272051"/>
    <w:rsid w:val="002730B2"/>
    <w:rsid w:val="00274C7E"/>
    <w:rsid w:val="00277778"/>
    <w:rsid w:val="002777CF"/>
    <w:rsid w:val="002810F2"/>
    <w:rsid w:val="00283941"/>
    <w:rsid w:val="00286874"/>
    <w:rsid w:val="00290C63"/>
    <w:rsid w:val="00291A99"/>
    <w:rsid w:val="00293B6D"/>
    <w:rsid w:val="00294B08"/>
    <w:rsid w:val="0029518C"/>
    <w:rsid w:val="00295FBD"/>
    <w:rsid w:val="002963DD"/>
    <w:rsid w:val="00296B65"/>
    <w:rsid w:val="002A5957"/>
    <w:rsid w:val="002A7DEF"/>
    <w:rsid w:val="002B0696"/>
    <w:rsid w:val="002C0222"/>
    <w:rsid w:val="002C1499"/>
    <w:rsid w:val="002C233C"/>
    <w:rsid w:val="002C517B"/>
    <w:rsid w:val="002D3509"/>
    <w:rsid w:val="002D5457"/>
    <w:rsid w:val="002D72E8"/>
    <w:rsid w:val="002D79AD"/>
    <w:rsid w:val="002E268F"/>
    <w:rsid w:val="002E37EC"/>
    <w:rsid w:val="002E423E"/>
    <w:rsid w:val="002E78DD"/>
    <w:rsid w:val="002E7B22"/>
    <w:rsid w:val="002F12EC"/>
    <w:rsid w:val="002F3B3F"/>
    <w:rsid w:val="002F7986"/>
    <w:rsid w:val="00301B40"/>
    <w:rsid w:val="00301C82"/>
    <w:rsid w:val="003029EE"/>
    <w:rsid w:val="00302FD8"/>
    <w:rsid w:val="00304D38"/>
    <w:rsid w:val="00305CC8"/>
    <w:rsid w:val="00306F5A"/>
    <w:rsid w:val="00307F6D"/>
    <w:rsid w:val="00314D83"/>
    <w:rsid w:val="0031571F"/>
    <w:rsid w:val="00315AAC"/>
    <w:rsid w:val="003177A2"/>
    <w:rsid w:val="00317E02"/>
    <w:rsid w:val="003224F1"/>
    <w:rsid w:val="003271B5"/>
    <w:rsid w:val="00327A1E"/>
    <w:rsid w:val="00327E28"/>
    <w:rsid w:val="00331264"/>
    <w:rsid w:val="00333907"/>
    <w:rsid w:val="00334C8D"/>
    <w:rsid w:val="003378BD"/>
    <w:rsid w:val="003424EA"/>
    <w:rsid w:val="00342C2F"/>
    <w:rsid w:val="003436EB"/>
    <w:rsid w:val="00343A18"/>
    <w:rsid w:val="0034403E"/>
    <w:rsid w:val="00345744"/>
    <w:rsid w:val="003518B3"/>
    <w:rsid w:val="00353E79"/>
    <w:rsid w:val="00354448"/>
    <w:rsid w:val="00364EA0"/>
    <w:rsid w:val="00366981"/>
    <w:rsid w:val="00370678"/>
    <w:rsid w:val="0037214E"/>
    <w:rsid w:val="00372C85"/>
    <w:rsid w:val="00373845"/>
    <w:rsid w:val="003744E3"/>
    <w:rsid w:val="00375F71"/>
    <w:rsid w:val="00376219"/>
    <w:rsid w:val="0037663E"/>
    <w:rsid w:val="0037699E"/>
    <w:rsid w:val="00377A29"/>
    <w:rsid w:val="00377C69"/>
    <w:rsid w:val="0038415D"/>
    <w:rsid w:val="0038461C"/>
    <w:rsid w:val="003846F1"/>
    <w:rsid w:val="00390E6A"/>
    <w:rsid w:val="00393ABE"/>
    <w:rsid w:val="00395DB6"/>
    <w:rsid w:val="00397398"/>
    <w:rsid w:val="003A371A"/>
    <w:rsid w:val="003A59CD"/>
    <w:rsid w:val="003A6B00"/>
    <w:rsid w:val="003B30B2"/>
    <w:rsid w:val="003B484F"/>
    <w:rsid w:val="003B504B"/>
    <w:rsid w:val="003B5179"/>
    <w:rsid w:val="003B685C"/>
    <w:rsid w:val="003B7FBA"/>
    <w:rsid w:val="003C4735"/>
    <w:rsid w:val="003C6537"/>
    <w:rsid w:val="003C6A13"/>
    <w:rsid w:val="003C764A"/>
    <w:rsid w:val="003C78BA"/>
    <w:rsid w:val="003D27FE"/>
    <w:rsid w:val="003D41F1"/>
    <w:rsid w:val="003D42AB"/>
    <w:rsid w:val="003D5B94"/>
    <w:rsid w:val="003E0D3A"/>
    <w:rsid w:val="003E3AAB"/>
    <w:rsid w:val="003E7FE9"/>
    <w:rsid w:val="003F07D4"/>
    <w:rsid w:val="003F174D"/>
    <w:rsid w:val="003F1A58"/>
    <w:rsid w:val="003F2329"/>
    <w:rsid w:val="00400FD2"/>
    <w:rsid w:val="00403711"/>
    <w:rsid w:val="00404C52"/>
    <w:rsid w:val="004156D5"/>
    <w:rsid w:val="00415BA9"/>
    <w:rsid w:val="00415F31"/>
    <w:rsid w:val="0041691D"/>
    <w:rsid w:val="0042000C"/>
    <w:rsid w:val="0042090E"/>
    <w:rsid w:val="00421F27"/>
    <w:rsid w:val="00422057"/>
    <w:rsid w:val="004238D8"/>
    <w:rsid w:val="00423A77"/>
    <w:rsid w:val="004324F4"/>
    <w:rsid w:val="00434544"/>
    <w:rsid w:val="00445D43"/>
    <w:rsid w:val="00446CD2"/>
    <w:rsid w:val="0045066B"/>
    <w:rsid w:val="0045777E"/>
    <w:rsid w:val="00465258"/>
    <w:rsid w:val="00471BC6"/>
    <w:rsid w:val="00476221"/>
    <w:rsid w:val="004766F5"/>
    <w:rsid w:val="00480B4B"/>
    <w:rsid w:val="004838D8"/>
    <w:rsid w:val="00485DC4"/>
    <w:rsid w:val="00490C9D"/>
    <w:rsid w:val="00494D04"/>
    <w:rsid w:val="004A2AE5"/>
    <w:rsid w:val="004A40BA"/>
    <w:rsid w:val="004A43D1"/>
    <w:rsid w:val="004A492B"/>
    <w:rsid w:val="004B4412"/>
    <w:rsid w:val="004C348C"/>
    <w:rsid w:val="004C462E"/>
    <w:rsid w:val="004C6CA3"/>
    <w:rsid w:val="004C7F5E"/>
    <w:rsid w:val="004D343C"/>
    <w:rsid w:val="004D372A"/>
    <w:rsid w:val="004D55BA"/>
    <w:rsid w:val="004D720C"/>
    <w:rsid w:val="004E0FA7"/>
    <w:rsid w:val="004E22EC"/>
    <w:rsid w:val="004F0BFA"/>
    <w:rsid w:val="004F13DA"/>
    <w:rsid w:val="004F1987"/>
    <w:rsid w:val="004F25A9"/>
    <w:rsid w:val="004F4D69"/>
    <w:rsid w:val="004F6883"/>
    <w:rsid w:val="004F6A0E"/>
    <w:rsid w:val="004F6BB3"/>
    <w:rsid w:val="004F7869"/>
    <w:rsid w:val="005009CD"/>
    <w:rsid w:val="00504E5F"/>
    <w:rsid w:val="0051337E"/>
    <w:rsid w:val="00513FA7"/>
    <w:rsid w:val="0051768F"/>
    <w:rsid w:val="00522DC2"/>
    <w:rsid w:val="00525B99"/>
    <w:rsid w:val="00530128"/>
    <w:rsid w:val="00532467"/>
    <w:rsid w:val="005332A9"/>
    <w:rsid w:val="0053603C"/>
    <w:rsid w:val="00536B4C"/>
    <w:rsid w:val="00537871"/>
    <w:rsid w:val="00542FE9"/>
    <w:rsid w:val="00544598"/>
    <w:rsid w:val="00544C8D"/>
    <w:rsid w:val="00544DFD"/>
    <w:rsid w:val="00545353"/>
    <w:rsid w:val="00556B1E"/>
    <w:rsid w:val="00564A4D"/>
    <w:rsid w:val="0056598C"/>
    <w:rsid w:val="00566E0B"/>
    <w:rsid w:val="00567BA5"/>
    <w:rsid w:val="00571B35"/>
    <w:rsid w:val="00571B43"/>
    <w:rsid w:val="00571D57"/>
    <w:rsid w:val="00573A3B"/>
    <w:rsid w:val="00577716"/>
    <w:rsid w:val="00577A09"/>
    <w:rsid w:val="005829C2"/>
    <w:rsid w:val="00584D8F"/>
    <w:rsid w:val="00587A18"/>
    <w:rsid w:val="00587ADE"/>
    <w:rsid w:val="00590548"/>
    <w:rsid w:val="0059150E"/>
    <w:rsid w:val="00593AEA"/>
    <w:rsid w:val="005A0BEC"/>
    <w:rsid w:val="005A3D9F"/>
    <w:rsid w:val="005A404D"/>
    <w:rsid w:val="005B1E3C"/>
    <w:rsid w:val="005B6518"/>
    <w:rsid w:val="005B704A"/>
    <w:rsid w:val="005B72D7"/>
    <w:rsid w:val="005C045F"/>
    <w:rsid w:val="005C16FE"/>
    <w:rsid w:val="005C1FAB"/>
    <w:rsid w:val="005C21A4"/>
    <w:rsid w:val="005C26CC"/>
    <w:rsid w:val="005C4463"/>
    <w:rsid w:val="005D3D88"/>
    <w:rsid w:val="005D48C4"/>
    <w:rsid w:val="005D6208"/>
    <w:rsid w:val="005D6366"/>
    <w:rsid w:val="005D757D"/>
    <w:rsid w:val="005D7BA2"/>
    <w:rsid w:val="005E36C2"/>
    <w:rsid w:val="005E4AF4"/>
    <w:rsid w:val="005F387E"/>
    <w:rsid w:val="00601E0B"/>
    <w:rsid w:val="00602515"/>
    <w:rsid w:val="0060258B"/>
    <w:rsid w:val="00610EF9"/>
    <w:rsid w:val="00612F4F"/>
    <w:rsid w:val="00614EA0"/>
    <w:rsid w:val="00615C6B"/>
    <w:rsid w:val="00617D4C"/>
    <w:rsid w:val="00621DCE"/>
    <w:rsid w:val="00621ED7"/>
    <w:rsid w:val="00621FC5"/>
    <w:rsid w:val="00624F2C"/>
    <w:rsid w:val="00632D6D"/>
    <w:rsid w:val="00636569"/>
    <w:rsid w:val="00636EF9"/>
    <w:rsid w:val="0064086C"/>
    <w:rsid w:val="00642C3E"/>
    <w:rsid w:val="00644A01"/>
    <w:rsid w:val="00651E2D"/>
    <w:rsid w:val="00652324"/>
    <w:rsid w:val="006577FB"/>
    <w:rsid w:val="0066082A"/>
    <w:rsid w:val="0066104A"/>
    <w:rsid w:val="00663066"/>
    <w:rsid w:val="00663DAD"/>
    <w:rsid w:val="00664206"/>
    <w:rsid w:val="006649E7"/>
    <w:rsid w:val="00666634"/>
    <w:rsid w:val="00671692"/>
    <w:rsid w:val="00675E20"/>
    <w:rsid w:val="00676679"/>
    <w:rsid w:val="00683C89"/>
    <w:rsid w:val="00691B53"/>
    <w:rsid w:val="00697D0B"/>
    <w:rsid w:val="006A12BA"/>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F0D92"/>
    <w:rsid w:val="006F267D"/>
    <w:rsid w:val="0070011E"/>
    <w:rsid w:val="00701CAB"/>
    <w:rsid w:val="007023BB"/>
    <w:rsid w:val="00704DD7"/>
    <w:rsid w:val="00707563"/>
    <w:rsid w:val="007102BF"/>
    <w:rsid w:val="00715F61"/>
    <w:rsid w:val="00722132"/>
    <w:rsid w:val="007228F7"/>
    <w:rsid w:val="0072348C"/>
    <w:rsid w:val="00724A37"/>
    <w:rsid w:val="007303C3"/>
    <w:rsid w:val="00731188"/>
    <w:rsid w:val="00731C60"/>
    <w:rsid w:val="007356CC"/>
    <w:rsid w:val="007368E6"/>
    <w:rsid w:val="007375DF"/>
    <w:rsid w:val="007429BE"/>
    <w:rsid w:val="00743223"/>
    <w:rsid w:val="00743349"/>
    <w:rsid w:val="0074403A"/>
    <w:rsid w:val="00744B3A"/>
    <w:rsid w:val="00746E01"/>
    <w:rsid w:val="00747209"/>
    <w:rsid w:val="00751DCD"/>
    <w:rsid w:val="00755084"/>
    <w:rsid w:val="00757364"/>
    <w:rsid w:val="00757BDF"/>
    <w:rsid w:val="007609D0"/>
    <w:rsid w:val="00761454"/>
    <w:rsid w:val="0076193D"/>
    <w:rsid w:val="00763E5D"/>
    <w:rsid w:val="00767740"/>
    <w:rsid w:val="00767B5E"/>
    <w:rsid w:val="00775460"/>
    <w:rsid w:val="00777EE6"/>
    <w:rsid w:val="00782EEA"/>
    <w:rsid w:val="007909B4"/>
    <w:rsid w:val="00790E86"/>
    <w:rsid w:val="007949D7"/>
    <w:rsid w:val="007959C5"/>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5AF3"/>
    <w:rsid w:val="007C74BB"/>
    <w:rsid w:val="007C7F64"/>
    <w:rsid w:val="007D0A95"/>
    <w:rsid w:val="007D0EB5"/>
    <w:rsid w:val="007D456E"/>
    <w:rsid w:val="007D5837"/>
    <w:rsid w:val="007E4904"/>
    <w:rsid w:val="007E4CB5"/>
    <w:rsid w:val="007E4DAE"/>
    <w:rsid w:val="007F066B"/>
    <w:rsid w:val="007F4EAB"/>
    <w:rsid w:val="007F5B16"/>
    <w:rsid w:val="007F665B"/>
    <w:rsid w:val="007F7C9D"/>
    <w:rsid w:val="008033C4"/>
    <w:rsid w:val="00806731"/>
    <w:rsid w:val="00806C88"/>
    <w:rsid w:val="0081034E"/>
    <w:rsid w:val="00810806"/>
    <w:rsid w:val="00815882"/>
    <w:rsid w:val="00820454"/>
    <w:rsid w:val="00822AC7"/>
    <w:rsid w:val="00822E86"/>
    <w:rsid w:val="00830346"/>
    <w:rsid w:val="008344F6"/>
    <w:rsid w:val="0083510F"/>
    <w:rsid w:val="00837BF3"/>
    <w:rsid w:val="008415DE"/>
    <w:rsid w:val="008420DE"/>
    <w:rsid w:val="00845865"/>
    <w:rsid w:val="0084799B"/>
    <w:rsid w:val="00850C90"/>
    <w:rsid w:val="00851209"/>
    <w:rsid w:val="0085171F"/>
    <w:rsid w:val="008658A1"/>
    <w:rsid w:val="0086716A"/>
    <w:rsid w:val="00870613"/>
    <w:rsid w:val="0087380F"/>
    <w:rsid w:val="00874432"/>
    <w:rsid w:val="0087648F"/>
    <w:rsid w:val="00876612"/>
    <w:rsid w:val="00882BB1"/>
    <w:rsid w:val="008837AC"/>
    <w:rsid w:val="00884B43"/>
    <w:rsid w:val="008909DC"/>
    <w:rsid w:val="00894255"/>
    <w:rsid w:val="008945AD"/>
    <w:rsid w:val="008A0645"/>
    <w:rsid w:val="008A1C02"/>
    <w:rsid w:val="008A3285"/>
    <w:rsid w:val="008A370D"/>
    <w:rsid w:val="008A587D"/>
    <w:rsid w:val="008B16B0"/>
    <w:rsid w:val="008B1BD5"/>
    <w:rsid w:val="008B246A"/>
    <w:rsid w:val="008B322E"/>
    <w:rsid w:val="008B35CD"/>
    <w:rsid w:val="008B4093"/>
    <w:rsid w:val="008B5FCC"/>
    <w:rsid w:val="008B7F36"/>
    <w:rsid w:val="008C357F"/>
    <w:rsid w:val="008C5486"/>
    <w:rsid w:val="008D1661"/>
    <w:rsid w:val="008D27E0"/>
    <w:rsid w:val="008D5F90"/>
    <w:rsid w:val="008D6800"/>
    <w:rsid w:val="008D72F1"/>
    <w:rsid w:val="008E4089"/>
    <w:rsid w:val="008E5AFF"/>
    <w:rsid w:val="008E7031"/>
    <w:rsid w:val="008E77DE"/>
    <w:rsid w:val="008F040C"/>
    <w:rsid w:val="008F07A3"/>
    <w:rsid w:val="008F3322"/>
    <w:rsid w:val="008F3519"/>
    <w:rsid w:val="008F3A0D"/>
    <w:rsid w:val="009001B6"/>
    <w:rsid w:val="00900E1B"/>
    <w:rsid w:val="0090131F"/>
    <w:rsid w:val="00907683"/>
    <w:rsid w:val="009132B7"/>
    <w:rsid w:val="00916A2C"/>
    <w:rsid w:val="009217B9"/>
    <w:rsid w:val="009233EE"/>
    <w:rsid w:val="00930B1A"/>
    <w:rsid w:val="00932612"/>
    <w:rsid w:val="009327DC"/>
    <w:rsid w:val="009338D9"/>
    <w:rsid w:val="009339BD"/>
    <w:rsid w:val="009356CF"/>
    <w:rsid w:val="00941AFA"/>
    <w:rsid w:val="00945E53"/>
    <w:rsid w:val="009460AA"/>
    <w:rsid w:val="00951978"/>
    <w:rsid w:val="00952C8B"/>
    <w:rsid w:val="00961A4A"/>
    <w:rsid w:val="009661DE"/>
    <w:rsid w:val="00970327"/>
    <w:rsid w:val="00972C7C"/>
    <w:rsid w:val="009776F4"/>
    <w:rsid w:val="00982DA2"/>
    <w:rsid w:val="00983C25"/>
    <w:rsid w:val="0098466D"/>
    <w:rsid w:val="009856B7"/>
    <w:rsid w:val="009859D6"/>
    <w:rsid w:val="00985C86"/>
    <w:rsid w:val="009A5FC3"/>
    <w:rsid w:val="009B6F84"/>
    <w:rsid w:val="009B74B0"/>
    <w:rsid w:val="009C0152"/>
    <w:rsid w:val="009C1A74"/>
    <w:rsid w:val="009C3D42"/>
    <w:rsid w:val="009C491E"/>
    <w:rsid w:val="009D0DF1"/>
    <w:rsid w:val="009D22D6"/>
    <w:rsid w:val="009D2C84"/>
    <w:rsid w:val="009D3906"/>
    <w:rsid w:val="009D6B46"/>
    <w:rsid w:val="009E35B6"/>
    <w:rsid w:val="009E5ABC"/>
    <w:rsid w:val="009F3BBA"/>
    <w:rsid w:val="009F43B4"/>
    <w:rsid w:val="009F4940"/>
    <w:rsid w:val="009F5BA1"/>
    <w:rsid w:val="00A02A88"/>
    <w:rsid w:val="00A04012"/>
    <w:rsid w:val="00A046FA"/>
    <w:rsid w:val="00A0562E"/>
    <w:rsid w:val="00A0726D"/>
    <w:rsid w:val="00A073AE"/>
    <w:rsid w:val="00A12204"/>
    <w:rsid w:val="00A12750"/>
    <w:rsid w:val="00A13CB0"/>
    <w:rsid w:val="00A1561F"/>
    <w:rsid w:val="00A16544"/>
    <w:rsid w:val="00A30BF5"/>
    <w:rsid w:val="00A31BE6"/>
    <w:rsid w:val="00A32FBB"/>
    <w:rsid w:val="00A40068"/>
    <w:rsid w:val="00A40BE9"/>
    <w:rsid w:val="00A428EE"/>
    <w:rsid w:val="00A43F07"/>
    <w:rsid w:val="00A443C2"/>
    <w:rsid w:val="00A4478A"/>
    <w:rsid w:val="00A44852"/>
    <w:rsid w:val="00A50502"/>
    <w:rsid w:val="00A53409"/>
    <w:rsid w:val="00A53796"/>
    <w:rsid w:val="00A53848"/>
    <w:rsid w:val="00A56945"/>
    <w:rsid w:val="00A56A6E"/>
    <w:rsid w:val="00A57D04"/>
    <w:rsid w:val="00A60A26"/>
    <w:rsid w:val="00A61598"/>
    <w:rsid w:val="00A61777"/>
    <w:rsid w:val="00A63646"/>
    <w:rsid w:val="00A63914"/>
    <w:rsid w:val="00A75221"/>
    <w:rsid w:val="00A84A99"/>
    <w:rsid w:val="00A84F46"/>
    <w:rsid w:val="00A85A63"/>
    <w:rsid w:val="00A85E87"/>
    <w:rsid w:val="00A86AEA"/>
    <w:rsid w:val="00A871F4"/>
    <w:rsid w:val="00A9431A"/>
    <w:rsid w:val="00A95988"/>
    <w:rsid w:val="00A959DF"/>
    <w:rsid w:val="00A97A1B"/>
    <w:rsid w:val="00AA2927"/>
    <w:rsid w:val="00AA30F0"/>
    <w:rsid w:val="00AB004B"/>
    <w:rsid w:val="00AB2CB8"/>
    <w:rsid w:val="00AB4617"/>
    <w:rsid w:val="00AC1B2C"/>
    <w:rsid w:val="00AC3264"/>
    <w:rsid w:val="00AC46AD"/>
    <w:rsid w:val="00AC4D2D"/>
    <w:rsid w:val="00AC58EC"/>
    <w:rsid w:val="00AC7282"/>
    <w:rsid w:val="00AC7961"/>
    <w:rsid w:val="00AD314E"/>
    <w:rsid w:val="00AD5613"/>
    <w:rsid w:val="00AD5FCD"/>
    <w:rsid w:val="00AD6B48"/>
    <w:rsid w:val="00AD7A3A"/>
    <w:rsid w:val="00AE12EA"/>
    <w:rsid w:val="00AE1BF1"/>
    <w:rsid w:val="00AE23AB"/>
    <w:rsid w:val="00AE2E88"/>
    <w:rsid w:val="00AE58FB"/>
    <w:rsid w:val="00AE5AF0"/>
    <w:rsid w:val="00AE604D"/>
    <w:rsid w:val="00AE663D"/>
    <w:rsid w:val="00AE73B3"/>
    <w:rsid w:val="00AF07E7"/>
    <w:rsid w:val="00AF0DD2"/>
    <w:rsid w:val="00AF31E1"/>
    <w:rsid w:val="00AF3BBA"/>
    <w:rsid w:val="00AF4231"/>
    <w:rsid w:val="00B00B0E"/>
    <w:rsid w:val="00B00B26"/>
    <w:rsid w:val="00B02385"/>
    <w:rsid w:val="00B02F9D"/>
    <w:rsid w:val="00B05766"/>
    <w:rsid w:val="00B13048"/>
    <w:rsid w:val="00B13464"/>
    <w:rsid w:val="00B1360F"/>
    <w:rsid w:val="00B13883"/>
    <w:rsid w:val="00B1716D"/>
    <w:rsid w:val="00B17A1D"/>
    <w:rsid w:val="00B207A0"/>
    <w:rsid w:val="00B20F4F"/>
    <w:rsid w:val="00B21C21"/>
    <w:rsid w:val="00B22F54"/>
    <w:rsid w:val="00B24A7E"/>
    <w:rsid w:val="00B25C0C"/>
    <w:rsid w:val="00B304B5"/>
    <w:rsid w:val="00B308A9"/>
    <w:rsid w:val="00B31047"/>
    <w:rsid w:val="00B33148"/>
    <w:rsid w:val="00B35CDF"/>
    <w:rsid w:val="00B403C2"/>
    <w:rsid w:val="00B405A1"/>
    <w:rsid w:val="00B4438A"/>
    <w:rsid w:val="00B45AA2"/>
    <w:rsid w:val="00B479CA"/>
    <w:rsid w:val="00B5084F"/>
    <w:rsid w:val="00B514DD"/>
    <w:rsid w:val="00B52AF0"/>
    <w:rsid w:val="00B53D5F"/>
    <w:rsid w:val="00B54051"/>
    <w:rsid w:val="00B561BD"/>
    <w:rsid w:val="00B56E03"/>
    <w:rsid w:val="00B62765"/>
    <w:rsid w:val="00B65DF5"/>
    <w:rsid w:val="00B75F99"/>
    <w:rsid w:val="00B7679F"/>
    <w:rsid w:val="00B77159"/>
    <w:rsid w:val="00B8080B"/>
    <w:rsid w:val="00B82223"/>
    <w:rsid w:val="00B87BA5"/>
    <w:rsid w:val="00B87C39"/>
    <w:rsid w:val="00B93891"/>
    <w:rsid w:val="00B9562D"/>
    <w:rsid w:val="00B96FFB"/>
    <w:rsid w:val="00BA21DA"/>
    <w:rsid w:val="00BA2B60"/>
    <w:rsid w:val="00BA3C93"/>
    <w:rsid w:val="00BA4665"/>
    <w:rsid w:val="00BA7FD7"/>
    <w:rsid w:val="00BB1681"/>
    <w:rsid w:val="00BB2FB2"/>
    <w:rsid w:val="00BB3304"/>
    <w:rsid w:val="00BB6551"/>
    <w:rsid w:val="00BC4A10"/>
    <w:rsid w:val="00BD30F4"/>
    <w:rsid w:val="00BD3446"/>
    <w:rsid w:val="00BD59CF"/>
    <w:rsid w:val="00BE1312"/>
    <w:rsid w:val="00BE1F1B"/>
    <w:rsid w:val="00BE3F89"/>
    <w:rsid w:val="00BE47B5"/>
    <w:rsid w:val="00BE5FCE"/>
    <w:rsid w:val="00BF0FA2"/>
    <w:rsid w:val="00C0079E"/>
    <w:rsid w:val="00C0572A"/>
    <w:rsid w:val="00C118AE"/>
    <w:rsid w:val="00C13EBD"/>
    <w:rsid w:val="00C1631B"/>
    <w:rsid w:val="00C163AB"/>
    <w:rsid w:val="00C170F0"/>
    <w:rsid w:val="00C25962"/>
    <w:rsid w:val="00C25FA6"/>
    <w:rsid w:val="00C3099D"/>
    <w:rsid w:val="00C33011"/>
    <w:rsid w:val="00C362C1"/>
    <w:rsid w:val="00C41950"/>
    <w:rsid w:val="00C42C3B"/>
    <w:rsid w:val="00C50D2E"/>
    <w:rsid w:val="00C51672"/>
    <w:rsid w:val="00C51A32"/>
    <w:rsid w:val="00C52AAE"/>
    <w:rsid w:val="00C538A9"/>
    <w:rsid w:val="00C53B5A"/>
    <w:rsid w:val="00C53E41"/>
    <w:rsid w:val="00C54909"/>
    <w:rsid w:val="00C54AF3"/>
    <w:rsid w:val="00C54F5A"/>
    <w:rsid w:val="00C569B4"/>
    <w:rsid w:val="00C57DDE"/>
    <w:rsid w:val="00C61468"/>
    <w:rsid w:val="00C61A97"/>
    <w:rsid w:val="00C61E44"/>
    <w:rsid w:val="00C64FF3"/>
    <w:rsid w:val="00C662AD"/>
    <w:rsid w:val="00C67A92"/>
    <w:rsid w:val="00C67D13"/>
    <w:rsid w:val="00C71280"/>
    <w:rsid w:val="00C717BF"/>
    <w:rsid w:val="00C76178"/>
    <w:rsid w:val="00C7632C"/>
    <w:rsid w:val="00C84560"/>
    <w:rsid w:val="00C86679"/>
    <w:rsid w:val="00C8792F"/>
    <w:rsid w:val="00C90472"/>
    <w:rsid w:val="00C91D6E"/>
    <w:rsid w:val="00CA489E"/>
    <w:rsid w:val="00CB0279"/>
    <w:rsid w:val="00CB666B"/>
    <w:rsid w:val="00CB734B"/>
    <w:rsid w:val="00CC41B6"/>
    <w:rsid w:val="00CC7ADA"/>
    <w:rsid w:val="00CC7F1D"/>
    <w:rsid w:val="00CD0A88"/>
    <w:rsid w:val="00CD125D"/>
    <w:rsid w:val="00CD283C"/>
    <w:rsid w:val="00CD3641"/>
    <w:rsid w:val="00CD66EA"/>
    <w:rsid w:val="00CD7432"/>
    <w:rsid w:val="00CE0FA5"/>
    <w:rsid w:val="00CE2A23"/>
    <w:rsid w:val="00CE31C8"/>
    <w:rsid w:val="00CE484B"/>
    <w:rsid w:val="00CE7CBA"/>
    <w:rsid w:val="00CF0DEE"/>
    <w:rsid w:val="00CF42AA"/>
    <w:rsid w:val="00CF5EAA"/>
    <w:rsid w:val="00CF6AE3"/>
    <w:rsid w:val="00CF77BB"/>
    <w:rsid w:val="00D006AE"/>
    <w:rsid w:val="00D00905"/>
    <w:rsid w:val="00D010C1"/>
    <w:rsid w:val="00D01CF0"/>
    <w:rsid w:val="00D0442A"/>
    <w:rsid w:val="00D12A7B"/>
    <w:rsid w:val="00D12ADB"/>
    <w:rsid w:val="00D15E63"/>
    <w:rsid w:val="00D25A39"/>
    <w:rsid w:val="00D27CFA"/>
    <w:rsid w:val="00D310FA"/>
    <w:rsid w:val="00D325C6"/>
    <w:rsid w:val="00D37213"/>
    <w:rsid w:val="00D4360D"/>
    <w:rsid w:val="00D5015C"/>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4F0E"/>
    <w:rsid w:val="00D7786B"/>
    <w:rsid w:val="00D80893"/>
    <w:rsid w:val="00D81D75"/>
    <w:rsid w:val="00D82519"/>
    <w:rsid w:val="00D84854"/>
    <w:rsid w:val="00D924AE"/>
    <w:rsid w:val="00D92CF1"/>
    <w:rsid w:val="00D92D38"/>
    <w:rsid w:val="00D950F5"/>
    <w:rsid w:val="00D97379"/>
    <w:rsid w:val="00DA2995"/>
    <w:rsid w:val="00DA4752"/>
    <w:rsid w:val="00DA4C09"/>
    <w:rsid w:val="00DA61F3"/>
    <w:rsid w:val="00DA7CB3"/>
    <w:rsid w:val="00DB0D00"/>
    <w:rsid w:val="00DB0F93"/>
    <w:rsid w:val="00DB1A67"/>
    <w:rsid w:val="00DB3721"/>
    <w:rsid w:val="00DB5074"/>
    <w:rsid w:val="00DC0281"/>
    <w:rsid w:val="00DC1930"/>
    <w:rsid w:val="00DC1C76"/>
    <w:rsid w:val="00DC4DBF"/>
    <w:rsid w:val="00DC4E19"/>
    <w:rsid w:val="00DC65FE"/>
    <w:rsid w:val="00DC7981"/>
    <w:rsid w:val="00DD3588"/>
    <w:rsid w:val="00DD4C07"/>
    <w:rsid w:val="00DD577D"/>
    <w:rsid w:val="00DD5ADC"/>
    <w:rsid w:val="00DE1093"/>
    <w:rsid w:val="00DE3281"/>
    <w:rsid w:val="00DE4EFA"/>
    <w:rsid w:val="00DE5520"/>
    <w:rsid w:val="00DE563D"/>
    <w:rsid w:val="00DE7AB5"/>
    <w:rsid w:val="00DF0152"/>
    <w:rsid w:val="00DF1958"/>
    <w:rsid w:val="00E04818"/>
    <w:rsid w:val="00E06442"/>
    <w:rsid w:val="00E06952"/>
    <w:rsid w:val="00E10141"/>
    <w:rsid w:val="00E11E61"/>
    <w:rsid w:val="00E14325"/>
    <w:rsid w:val="00E157B2"/>
    <w:rsid w:val="00E16055"/>
    <w:rsid w:val="00E17F7F"/>
    <w:rsid w:val="00E2332D"/>
    <w:rsid w:val="00E23993"/>
    <w:rsid w:val="00E2574F"/>
    <w:rsid w:val="00E25951"/>
    <w:rsid w:val="00E25B8C"/>
    <w:rsid w:val="00E31CF6"/>
    <w:rsid w:val="00E34A4A"/>
    <w:rsid w:val="00E35AFC"/>
    <w:rsid w:val="00E41D39"/>
    <w:rsid w:val="00E50A02"/>
    <w:rsid w:val="00E54106"/>
    <w:rsid w:val="00E54697"/>
    <w:rsid w:val="00E57A08"/>
    <w:rsid w:val="00E63631"/>
    <w:rsid w:val="00E64C2A"/>
    <w:rsid w:val="00E65C85"/>
    <w:rsid w:val="00E66199"/>
    <w:rsid w:val="00E70526"/>
    <w:rsid w:val="00E754B4"/>
    <w:rsid w:val="00E755EC"/>
    <w:rsid w:val="00E7624D"/>
    <w:rsid w:val="00E81724"/>
    <w:rsid w:val="00E819A4"/>
    <w:rsid w:val="00E833FA"/>
    <w:rsid w:val="00E84B74"/>
    <w:rsid w:val="00E87066"/>
    <w:rsid w:val="00E966BF"/>
    <w:rsid w:val="00EA0C04"/>
    <w:rsid w:val="00EA3D42"/>
    <w:rsid w:val="00EA6B1B"/>
    <w:rsid w:val="00EB1CBD"/>
    <w:rsid w:val="00EB3A34"/>
    <w:rsid w:val="00EB3C3F"/>
    <w:rsid w:val="00EC04F1"/>
    <w:rsid w:val="00EC237F"/>
    <w:rsid w:val="00EC573A"/>
    <w:rsid w:val="00ED19CB"/>
    <w:rsid w:val="00ED35C8"/>
    <w:rsid w:val="00ED3968"/>
    <w:rsid w:val="00ED7323"/>
    <w:rsid w:val="00EE28F3"/>
    <w:rsid w:val="00EE50D1"/>
    <w:rsid w:val="00EE7614"/>
    <w:rsid w:val="00EF5110"/>
    <w:rsid w:val="00EF5890"/>
    <w:rsid w:val="00EF76BA"/>
    <w:rsid w:val="00F0231A"/>
    <w:rsid w:val="00F03463"/>
    <w:rsid w:val="00F036B7"/>
    <w:rsid w:val="00F03D3D"/>
    <w:rsid w:val="00F0700F"/>
    <w:rsid w:val="00F07F1F"/>
    <w:rsid w:val="00F10411"/>
    <w:rsid w:val="00F10A9A"/>
    <w:rsid w:val="00F11B2D"/>
    <w:rsid w:val="00F121C2"/>
    <w:rsid w:val="00F12747"/>
    <w:rsid w:val="00F1485B"/>
    <w:rsid w:val="00F15882"/>
    <w:rsid w:val="00F170C7"/>
    <w:rsid w:val="00F171E0"/>
    <w:rsid w:val="00F20BD3"/>
    <w:rsid w:val="00F22A8C"/>
    <w:rsid w:val="00F322E9"/>
    <w:rsid w:val="00F3231B"/>
    <w:rsid w:val="00F33808"/>
    <w:rsid w:val="00F373A5"/>
    <w:rsid w:val="00F37864"/>
    <w:rsid w:val="00F404F9"/>
    <w:rsid w:val="00F41D7D"/>
    <w:rsid w:val="00F44B0A"/>
    <w:rsid w:val="00F47559"/>
    <w:rsid w:val="00F50B30"/>
    <w:rsid w:val="00F51F5F"/>
    <w:rsid w:val="00F52D75"/>
    <w:rsid w:val="00F55582"/>
    <w:rsid w:val="00F57647"/>
    <w:rsid w:val="00F62A14"/>
    <w:rsid w:val="00F644AB"/>
    <w:rsid w:val="00F64C7B"/>
    <w:rsid w:val="00F64E24"/>
    <w:rsid w:val="00F676DD"/>
    <w:rsid w:val="00F67AB6"/>
    <w:rsid w:val="00F70028"/>
    <w:rsid w:val="00F70434"/>
    <w:rsid w:val="00F75A26"/>
    <w:rsid w:val="00F76706"/>
    <w:rsid w:val="00F77D6D"/>
    <w:rsid w:val="00F80206"/>
    <w:rsid w:val="00F83034"/>
    <w:rsid w:val="00F83FAD"/>
    <w:rsid w:val="00F844C6"/>
    <w:rsid w:val="00F84DE9"/>
    <w:rsid w:val="00F92FA6"/>
    <w:rsid w:val="00F9353B"/>
    <w:rsid w:val="00F937F1"/>
    <w:rsid w:val="00F952A0"/>
    <w:rsid w:val="00FA2ED1"/>
    <w:rsid w:val="00FA31B1"/>
    <w:rsid w:val="00FA3320"/>
    <w:rsid w:val="00FA3C7F"/>
    <w:rsid w:val="00FA6246"/>
    <w:rsid w:val="00FB24ED"/>
    <w:rsid w:val="00FB3304"/>
    <w:rsid w:val="00FB3EA2"/>
    <w:rsid w:val="00FB5005"/>
    <w:rsid w:val="00FB60FE"/>
    <w:rsid w:val="00FB74E2"/>
    <w:rsid w:val="00FB778B"/>
    <w:rsid w:val="00FC013A"/>
    <w:rsid w:val="00FD5614"/>
    <w:rsid w:val="00FD5E78"/>
    <w:rsid w:val="00FD70B3"/>
    <w:rsid w:val="00FE0BE1"/>
    <w:rsid w:val="00FE11BB"/>
    <w:rsid w:val="00FE1C08"/>
    <w:rsid w:val="00FE1DE9"/>
    <w:rsid w:val="00FE36AF"/>
    <w:rsid w:val="00FE39C2"/>
    <w:rsid w:val="00FE3C32"/>
    <w:rsid w:val="00FE4A3D"/>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78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AERInquiry@aer.gov.au"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microsoft.com/office/2007/relationships/stylesWithEffects" Target="stylesWithEffects.xml"/><Relationship Id="rId15"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D981BC5-0508-4F25-A47E-8EF382E02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FD0CB0BE</Template>
  <TotalTime>0</TotalTime>
  <Pages>14</Pages>
  <Words>3161</Words>
  <Characters>18022</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21141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2016-01-31T23:02:00Z</dcterms:created>
  <dcterms:modified xsi:type="dcterms:W3CDTF">2017-07-03T00:44:00Z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