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14:paraId="6FDAE9F0" w14:textId="77777777"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1A9C116" wp14:editId="386125E9">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1F828FA" wp14:editId="28489D51">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14:paraId="3C4D94BF" w14:textId="77777777" w:rsidR="00F171E0" w:rsidRDefault="00F171E0" w:rsidP="00F171E0"/>
        <w:p w14:paraId="07504745" w14:textId="77777777" w:rsidR="00F171E0" w:rsidRDefault="00F171E0" w:rsidP="00F171E0"/>
        <w:p w14:paraId="2DCADA6A" w14:textId="77777777" w:rsidR="00F171E0" w:rsidRDefault="00F171E0" w:rsidP="00F171E0"/>
        <w:p w14:paraId="5A29DEC3" w14:textId="77777777" w:rsidR="00F171E0" w:rsidRDefault="00F171E0" w:rsidP="00F171E0"/>
        <w:p w14:paraId="1353B8E8" w14:textId="77777777" w:rsidR="00F171E0" w:rsidRDefault="00F171E0" w:rsidP="00F171E0"/>
        <w:p w14:paraId="0DE95C80" w14:textId="77777777" w:rsidR="005C16FE" w:rsidRDefault="005C16FE" w:rsidP="00F171E0"/>
        <w:p w14:paraId="4C8E412A" w14:textId="77777777" w:rsidR="002725AD" w:rsidRDefault="002725AD" w:rsidP="00D5015C">
          <w:pPr>
            <w:pStyle w:val="ReportSubtitle"/>
          </w:pPr>
          <w:r w:rsidRPr="002725AD">
            <w:t>DRAFT DECISION</w:t>
          </w:r>
        </w:p>
        <w:p w14:paraId="0866B79C" w14:textId="77777777" w:rsidR="00E211DA" w:rsidRDefault="00E211DA" w:rsidP="00D5015C">
          <w:pPr>
            <w:pStyle w:val="ReportSubtitle"/>
          </w:pPr>
          <w:r>
            <w:t>AusNet Services</w:t>
          </w:r>
          <w:r w:rsidR="00D5015C">
            <w:t xml:space="preserve"> </w:t>
          </w:r>
        </w:p>
        <w:p w14:paraId="679E9CDB" w14:textId="77777777" w:rsidR="00D5015C" w:rsidRDefault="00E211DA" w:rsidP="00D5015C">
          <w:pPr>
            <w:pStyle w:val="ReportSubtitle"/>
          </w:pPr>
          <w:r>
            <w:t>G</w:t>
          </w:r>
          <w:r w:rsidR="00D5015C">
            <w:t>as access arrangement</w:t>
          </w:r>
        </w:p>
        <w:p w14:paraId="4AF47ECF" w14:textId="77777777" w:rsidR="00D5015C" w:rsidRDefault="00D5015C" w:rsidP="00D5015C">
          <w:pPr>
            <w:pStyle w:val="ReportSubtitle"/>
          </w:pPr>
          <w:r>
            <w:t xml:space="preserve"> 2018 to 2022</w:t>
          </w:r>
        </w:p>
        <w:p w14:paraId="20B1B1B4" w14:textId="77777777" w:rsidR="008F07A3" w:rsidRPr="000A6C7B" w:rsidRDefault="008F07A3" w:rsidP="00D5015C">
          <w:pPr>
            <w:pStyle w:val="ReportSubtitle"/>
            <w:tabs>
              <w:tab w:val="left" w:pos="1122"/>
              <w:tab w:val="center" w:pos="4238"/>
            </w:tabs>
            <w:jc w:val="left"/>
          </w:pPr>
        </w:p>
        <w:p w14:paraId="5BFB0C72" w14:textId="77777777" w:rsidR="000A6C7B" w:rsidRDefault="0037699E" w:rsidP="008F07A3">
          <w:pPr>
            <w:pStyle w:val="ReportSubtitle"/>
          </w:pPr>
          <w:r>
            <w:t xml:space="preserve">Attachment </w:t>
          </w:r>
          <w:r w:rsidR="00D4375F">
            <w:t>6</w:t>
          </w:r>
          <w:r w:rsidR="000474DF">
            <w:t xml:space="preserve"> </w:t>
          </w:r>
          <w:r w:rsidR="00185BA5">
            <w:t>–</w:t>
          </w:r>
          <w:r w:rsidR="000474DF">
            <w:t xml:space="preserve"> </w:t>
          </w:r>
          <w:r w:rsidR="00D4375F">
            <w:t>Capital expenditure</w:t>
          </w:r>
        </w:p>
        <w:p w14:paraId="49196B3F" w14:textId="77777777" w:rsidR="00D5015C" w:rsidRDefault="00D5015C" w:rsidP="00327A1E">
          <w:pPr>
            <w:pStyle w:val="ReportDate"/>
          </w:pPr>
        </w:p>
        <w:p w14:paraId="6F34370F" w14:textId="77777777" w:rsidR="00D5015C" w:rsidRDefault="00D5015C" w:rsidP="00327A1E">
          <w:pPr>
            <w:pStyle w:val="ReportDate"/>
          </w:pPr>
        </w:p>
        <w:p w14:paraId="41313F39" w14:textId="31D40FE4" w:rsidR="000A6C7B" w:rsidRPr="00327A1E" w:rsidRDefault="006E17A5" w:rsidP="00327A1E">
          <w:pPr>
            <w:pStyle w:val="ReportDate"/>
          </w:pPr>
          <w:r>
            <w:t xml:space="preserve">July </w:t>
          </w:r>
          <w:r w:rsidR="00F22A8C">
            <w:t>2017</w:t>
          </w:r>
        </w:p>
      </w:sdtContent>
    </w:sdt>
    <w:p w14:paraId="19534274" w14:textId="77777777" w:rsidR="00327A1E" w:rsidRPr="00290C63" w:rsidRDefault="00327A1E" w:rsidP="00290C63">
      <w:r>
        <w:br w:type="page"/>
      </w:r>
    </w:p>
    <w:p w14:paraId="2A292054" w14:textId="77777777" w:rsidR="00CE2A23" w:rsidRDefault="00CE2A23" w:rsidP="00761454">
      <w:bookmarkStart w:id="0" w:name="_Toc411428008"/>
      <w:r>
        <w:lastRenderedPageBreak/>
        <w:t>© Commonwealth of Australia 201</w:t>
      </w:r>
      <w:r w:rsidR="00D4375F">
        <w:t>7</w:t>
      </w:r>
    </w:p>
    <w:p w14:paraId="06C9F53C" w14:textId="77777777"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14:paraId="0CD1B38D" w14:textId="77777777" w:rsidR="00CE2A23" w:rsidRPr="00CE2A23" w:rsidRDefault="00CE2A23" w:rsidP="00CE2A23">
      <w:pPr>
        <w:pStyle w:val="AERbulletlistfirststyle"/>
      </w:pPr>
      <w:r w:rsidRPr="00CE2A23">
        <w:t>the Commonwealth Coat of Arms</w:t>
      </w:r>
    </w:p>
    <w:p w14:paraId="63E1D6E7" w14:textId="77777777" w:rsidR="00CE2A23" w:rsidRPr="00CB734B" w:rsidRDefault="00CE2A23" w:rsidP="00CE2A23">
      <w:pPr>
        <w:pStyle w:val="AERbulletlistfirststyle"/>
      </w:pPr>
      <w:r w:rsidRPr="00CE2A23">
        <w:t>the ACCC and AER logos</w:t>
      </w:r>
    </w:p>
    <w:p w14:paraId="69FE3BF9" w14:textId="77777777"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594FBA6A" w14:textId="77777777" w:rsidR="00CE2A23" w:rsidRDefault="00CE2A23" w:rsidP="00761454">
      <w:r>
        <w:t>Requests and inquiries concerning reproduction and rights should be addressed to the:</w:t>
      </w:r>
    </w:p>
    <w:p w14:paraId="62AF511E" w14:textId="77777777" w:rsidR="00CE2A23" w:rsidRDefault="00CE2A23" w:rsidP="00761454">
      <w:r>
        <w:t>Director, Corporate Communications</w:t>
      </w:r>
      <w:r>
        <w:br/>
        <w:t xml:space="preserve">Australian Competition and Consumer Commission </w:t>
      </w:r>
      <w:r>
        <w:br/>
        <w:t>GPO Box 4141, Canberra ACT 2601</w:t>
      </w:r>
    </w:p>
    <w:p w14:paraId="7AC7D937" w14:textId="77777777" w:rsidR="00CE2A23" w:rsidRDefault="00CE2A23" w:rsidP="00761454">
      <w:r>
        <w:t>or publishing.unit@accc.gov.au.</w:t>
      </w:r>
    </w:p>
    <w:p w14:paraId="5FE513B5" w14:textId="77777777" w:rsidR="00CE2A23" w:rsidRDefault="00CE2A23" w:rsidP="00761454">
      <w:r>
        <w:t>Inquiries about this publication should be addressed to:</w:t>
      </w:r>
    </w:p>
    <w:p w14:paraId="7231E2FD" w14:textId="77777777" w:rsidR="00CE2A23" w:rsidRDefault="00CE2A23" w:rsidP="00761454">
      <w:r>
        <w:t xml:space="preserve">Australian Energy </w:t>
      </w:r>
      <w:r w:rsidRPr="00F171E0">
        <w:t>Regulator</w:t>
      </w:r>
      <w:r>
        <w:br/>
        <w:t>GPO Box 520</w:t>
      </w:r>
      <w:r>
        <w:br/>
      </w:r>
      <w:r w:rsidR="008658A1">
        <w:t>Melbourne Vic 3001</w:t>
      </w:r>
    </w:p>
    <w:p w14:paraId="7EDDF4C0" w14:textId="2F726D1B" w:rsidR="00CE2A23" w:rsidRDefault="00CE2A23" w:rsidP="00761454">
      <w:r>
        <w:t xml:space="preserve">Tel: </w:t>
      </w:r>
      <w:r w:rsidR="006E17A5" w:rsidRPr="006E17A5">
        <w:t>1300 585 165</w:t>
      </w:r>
    </w:p>
    <w:p w14:paraId="240358DF" w14:textId="77777777" w:rsidR="00CE2A23" w:rsidRDefault="00CE2A23" w:rsidP="00761454">
      <w:r>
        <w:t xml:space="preserve">Email: </w:t>
      </w:r>
      <w:hyperlink r:id="rId12" w:history="1">
        <w:r w:rsidRPr="00D64888">
          <w:rPr>
            <w:rStyle w:val="Hyperlink"/>
          </w:rPr>
          <w:t>AERInquiry@aer.gov.au</w:t>
        </w:r>
      </w:hyperlink>
      <w:r>
        <w:rPr>
          <w:rStyle w:val="Hyperlink"/>
        </w:rPr>
        <w:br/>
      </w:r>
    </w:p>
    <w:p w14:paraId="2F7524E0" w14:textId="77777777" w:rsidR="00291A99" w:rsidRDefault="00291A99" w:rsidP="00761454"/>
    <w:p w14:paraId="3C147241" w14:textId="77777777" w:rsidR="00761454" w:rsidRDefault="00761454">
      <w:pPr>
        <w:spacing w:line="240" w:lineRule="auto"/>
      </w:pPr>
      <w:r>
        <w:br w:type="page"/>
      </w:r>
    </w:p>
    <w:p w14:paraId="776FE906" w14:textId="77777777" w:rsidR="00761454" w:rsidRDefault="00761454" w:rsidP="00761454">
      <w:pPr>
        <w:pStyle w:val="UnnumberedHeading"/>
        <w:numPr>
          <w:ilvl w:val="0"/>
          <w:numId w:val="23"/>
        </w:numPr>
      </w:pPr>
      <w:bookmarkStart w:id="1" w:name="_Toc404153950"/>
      <w:bookmarkStart w:id="2" w:name="_Toc404437593"/>
      <w:bookmarkStart w:id="3" w:name="_Toc486842024"/>
      <w:r>
        <w:t>Note</w:t>
      </w:r>
      <w:bookmarkEnd w:id="1"/>
      <w:bookmarkEnd w:id="2"/>
      <w:bookmarkEnd w:id="3"/>
    </w:p>
    <w:p w14:paraId="1B4B7AFA" w14:textId="77777777" w:rsidR="00D5015C" w:rsidRDefault="00D5015C" w:rsidP="00D5015C">
      <w:pPr>
        <w:numPr>
          <w:ilvl w:val="0"/>
          <w:numId w:val="23"/>
        </w:numPr>
      </w:pPr>
      <w:r>
        <w:t xml:space="preserve">This attachment forms part of the AER's draft decision on the access arrangement for </w:t>
      </w:r>
      <w:r w:rsidR="00E211DA">
        <w:t>AusNet Services</w:t>
      </w:r>
      <w:r>
        <w:t xml:space="preserve"> for 2018</w:t>
      </w:r>
      <w:r>
        <w:noBreakHyphen/>
        <w:t>22. It should be read with all other parts of the draft decision.</w:t>
      </w:r>
    </w:p>
    <w:p w14:paraId="39B97C99" w14:textId="77777777" w:rsidR="00D5015C" w:rsidRDefault="00D5015C" w:rsidP="00D5015C">
      <w:pPr>
        <w:numPr>
          <w:ilvl w:val="0"/>
          <w:numId w:val="23"/>
        </w:numPr>
      </w:pPr>
      <w:r>
        <w:t>The draft decision includes the following documents:</w:t>
      </w:r>
    </w:p>
    <w:p w14:paraId="1BEDC0C4" w14:textId="77777777" w:rsidR="00D5015C" w:rsidRDefault="00D5015C" w:rsidP="00D5015C">
      <w:pPr>
        <w:numPr>
          <w:ilvl w:val="0"/>
          <w:numId w:val="23"/>
        </w:numPr>
      </w:pPr>
      <w:r>
        <w:t>Overview</w:t>
      </w:r>
    </w:p>
    <w:p w14:paraId="0B08E81D" w14:textId="77777777" w:rsidR="00D5015C" w:rsidRDefault="00D5015C" w:rsidP="00D5015C">
      <w:r>
        <w:t>Attachment 1 - Services covered by the access arrangement</w:t>
      </w:r>
    </w:p>
    <w:p w14:paraId="6FBD49E5" w14:textId="77777777" w:rsidR="00D5015C" w:rsidRDefault="00D5015C" w:rsidP="00D5015C">
      <w:r>
        <w:t>Attachment 2 - Capital base</w:t>
      </w:r>
    </w:p>
    <w:p w14:paraId="4BC8BA38" w14:textId="77777777" w:rsidR="00D5015C" w:rsidRDefault="00D5015C" w:rsidP="00D5015C">
      <w:r>
        <w:t>Attachment 3 - Rate of return</w:t>
      </w:r>
    </w:p>
    <w:p w14:paraId="6E9CE310" w14:textId="77777777" w:rsidR="00D5015C" w:rsidRDefault="00D5015C" w:rsidP="00D5015C">
      <w:r>
        <w:t>Attachment 4 - Value of imputation credits</w:t>
      </w:r>
    </w:p>
    <w:p w14:paraId="13BFCC29" w14:textId="77777777" w:rsidR="00D5015C" w:rsidRDefault="00D5015C" w:rsidP="00D5015C">
      <w:r>
        <w:t>Attachment 5 - Regulatory depreciation</w:t>
      </w:r>
    </w:p>
    <w:p w14:paraId="4007F160" w14:textId="77777777" w:rsidR="00D5015C" w:rsidRDefault="00D5015C" w:rsidP="00D5015C">
      <w:r>
        <w:t xml:space="preserve">Attachment 6 - Capital expenditure </w:t>
      </w:r>
    </w:p>
    <w:p w14:paraId="0BC3B75C" w14:textId="77777777" w:rsidR="00D5015C" w:rsidRDefault="00D5015C" w:rsidP="00D5015C">
      <w:r>
        <w:t>Attachment 7 - Operating expenditure</w:t>
      </w:r>
    </w:p>
    <w:p w14:paraId="6E5E02D6" w14:textId="77777777" w:rsidR="00D5015C" w:rsidRDefault="00D5015C" w:rsidP="00D5015C">
      <w:r>
        <w:t>Attachment 8 - Corporate income tax</w:t>
      </w:r>
    </w:p>
    <w:p w14:paraId="279FB159" w14:textId="77777777" w:rsidR="00D5015C" w:rsidRDefault="00D5015C" w:rsidP="00D5015C">
      <w:r>
        <w:t>Attachment 9 - Efficiency carryover mechanism</w:t>
      </w:r>
    </w:p>
    <w:p w14:paraId="3463627F" w14:textId="77777777" w:rsidR="00D5015C" w:rsidRDefault="00D5015C" w:rsidP="00D5015C">
      <w:r>
        <w:t>Attachment 10 - Reference tariff setting</w:t>
      </w:r>
    </w:p>
    <w:p w14:paraId="63C680B2" w14:textId="77777777" w:rsidR="00D5015C" w:rsidRDefault="00D5015C" w:rsidP="00D5015C">
      <w:r>
        <w:t>Attachment 11 - Reference tariff variation mechanism</w:t>
      </w:r>
    </w:p>
    <w:p w14:paraId="51440F58" w14:textId="77777777" w:rsidR="00D5015C" w:rsidRDefault="00D5015C" w:rsidP="00D5015C">
      <w:r>
        <w:t>Attachment 12 - Non-tariff components</w:t>
      </w:r>
    </w:p>
    <w:p w14:paraId="3B0D8546" w14:textId="77777777" w:rsidR="00D5015C" w:rsidRDefault="00D5015C" w:rsidP="00D5015C">
      <w:r>
        <w:t>Attachment 13 - Demand</w:t>
      </w:r>
    </w:p>
    <w:p w14:paraId="10BEB443" w14:textId="77777777" w:rsidR="00D5015C" w:rsidRDefault="00D5015C" w:rsidP="00D5015C">
      <w:r>
        <w:t>Attachment 14 - Other incentive schemes</w:t>
      </w:r>
    </w:p>
    <w:p w14:paraId="0E3ECA8F" w14:textId="53D05F07"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14:paraId="19ED8D78" w14:textId="77777777"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14:paraId="4958ECF1" w14:textId="77777777" w:rsidR="00CE2A23" w:rsidRPr="00A72B34" w:rsidRDefault="00CE2A23" w:rsidP="00CE2A23">
      <w:pPr>
        <w:pStyle w:val="UnnumberedHeading"/>
        <w:numPr>
          <w:ilvl w:val="0"/>
          <w:numId w:val="23"/>
        </w:numPr>
      </w:pPr>
      <w:bookmarkStart w:id="8" w:name="_Toc403144133"/>
      <w:bookmarkStart w:id="9" w:name="_Toc486842025"/>
      <w:bookmarkStart w:id="10" w:name="_GoBack"/>
      <w:bookmarkEnd w:id="10"/>
      <w:r>
        <w:t>Contents</w:t>
      </w:r>
      <w:bookmarkEnd w:id="8"/>
      <w:bookmarkEnd w:id="9"/>
    </w:p>
    <w:p w14:paraId="7386A3CD" w14:textId="77777777" w:rsidR="00CE2A23" w:rsidRDefault="00CE2A23" w:rsidP="00CE2A23"/>
    <w:sdt>
      <w:sdtPr>
        <w:id w:val="1269200322"/>
        <w:docPartObj>
          <w:docPartGallery w:val="Table of Contents"/>
          <w:docPartUnique/>
        </w:docPartObj>
      </w:sdtPr>
      <w:sdtEndPr/>
      <w:sdtContent>
        <w:p w14:paraId="0EB39143" w14:textId="77777777" w:rsidR="007B3A63" w:rsidRDefault="00DD61C0">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42024" w:history="1">
            <w:r w:rsidR="007B3A63" w:rsidRPr="00ED1A63">
              <w:rPr>
                <w:rStyle w:val="Hyperlink"/>
              </w:rPr>
              <w:t>Note</w:t>
            </w:r>
            <w:r w:rsidR="007B3A63">
              <w:rPr>
                <w:webHidden/>
              </w:rPr>
              <w:tab/>
            </w:r>
            <w:r w:rsidR="007B3A63">
              <w:rPr>
                <w:webHidden/>
              </w:rPr>
              <w:fldChar w:fldCharType="begin"/>
            </w:r>
            <w:r w:rsidR="007B3A63">
              <w:rPr>
                <w:webHidden/>
              </w:rPr>
              <w:instrText xml:space="preserve"> PAGEREF _Toc486842024 \h </w:instrText>
            </w:r>
            <w:r w:rsidR="007B3A63">
              <w:rPr>
                <w:webHidden/>
              </w:rPr>
            </w:r>
            <w:r w:rsidR="007B3A63">
              <w:rPr>
                <w:webHidden/>
              </w:rPr>
              <w:fldChar w:fldCharType="separate"/>
            </w:r>
            <w:r w:rsidR="00745B71">
              <w:rPr>
                <w:webHidden/>
              </w:rPr>
              <w:t>6-2</w:t>
            </w:r>
            <w:r w:rsidR="007B3A63">
              <w:rPr>
                <w:webHidden/>
              </w:rPr>
              <w:fldChar w:fldCharType="end"/>
            </w:r>
          </w:hyperlink>
        </w:p>
        <w:p w14:paraId="19D86B6B" w14:textId="77777777" w:rsidR="007B3A63" w:rsidRDefault="007B3A63">
          <w:pPr>
            <w:pStyle w:val="TOC1"/>
            <w:rPr>
              <w:rFonts w:asciiTheme="minorHAnsi" w:eastAsiaTheme="minorEastAsia" w:hAnsiTheme="minorHAnsi"/>
              <w:b w:val="0"/>
              <w:color w:val="auto"/>
              <w:sz w:val="22"/>
              <w:lang w:val="en-AU" w:eastAsia="en-AU"/>
            </w:rPr>
          </w:pPr>
          <w:hyperlink w:anchor="_Toc486842025" w:history="1">
            <w:r w:rsidRPr="00ED1A63">
              <w:rPr>
                <w:rStyle w:val="Hyperlink"/>
              </w:rPr>
              <w:t>Contents</w:t>
            </w:r>
            <w:r>
              <w:rPr>
                <w:webHidden/>
              </w:rPr>
              <w:tab/>
            </w:r>
            <w:r>
              <w:rPr>
                <w:webHidden/>
              </w:rPr>
              <w:fldChar w:fldCharType="begin"/>
            </w:r>
            <w:r>
              <w:rPr>
                <w:webHidden/>
              </w:rPr>
              <w:instrText xml:space="preserve"> PAGEREF _Toc486842025 \h </w:instrText>
            </w:r>
            <w:r>
              <w:rPr>
                <w:webHidden/>
              </w:rPr>
            </w:r>
            <w:r>
              <w:rPr>
                <w:webHidden/>
              </w:rPr>
              <w:fldChar w:fldCharType="separate"/>
            </w:r>
            <w:r w:rsidR="00745B71">
              <w:rPr>
                <w:webHidden/>
              </w:rPr>
              <w:t>6-3</w:t>
            </w:r>
            <w:r>
              <w:rPr>
                <w:webHidden/>
              </w:rPr>
              <w:fldChar w:fldCharType="end"/>
            </w:r>
          </w:hyperlink>
        </w:p>
        <w:p w14:paraId="1E9DA491" w14:textId="77777777" w:rsidR="007B3A63" w:rsidRDefault="007B3A63">
          <w:pPr>
            <w:pStyle w:val="TOC1"/>
            <w:rPr>
              <w:rFonts w:asciiTheme="minorHAnsi" w:eastAsiaTheme="minorEastAsia" w:hAnsiTheme="minorHAnsi"/>
              <w:b w:val="0"/>
              <w:color w:val="auto"/>
              <w:sz w:val="22"/>
              <w:lang w:val="en-AU" w:eastAsia="en-AU"/>
            </w:rPr>
          </w:pPr>
          <w:hyperlink w:anchor="_Toc486842026" w:history="1">
            <w:r w:rsidRPr="00ED1A63">
              <w:rPr>
                <w:rStyle w:val="Hyperlink"/>
              </w:rPr>
              <w:t>Shortened forms</w:t>
            </w:r>
            <w:r>
              <w:rPr>
                <w:webHidden/>
              </w:rPr>
              <w:tab/>
            </w:r>
            <w:r>
              <w:rPr>
                <w:webHidden/>
              </w:rPr>
              <w:fldChar w:fldCharType="begin"/>
            </w:r>
            <w:r>
              <w:rPr>
                <w:webHidden/>
              </w:rPr>
              <w:instrText xml:space="preserve"> PAGEREF _Toc486842026 \h </w:instrText>
            </w:r>
            <w:r>
              <w:rPr>
                <w:webHidden/>
              </w:rPr>
            </w:r>
            <w:r>
              <w:rPr>
                <w:webHidden/>
              </w:rPr>
              <w:fldChar w:fldCharType="separate"/>
            </w:r>
            <w:r w:rsidR="00745B71">
              <w:rPr>
                <w:webHidden/>
              </w:rPr>
              <w:t>6-4</w:t>
            </w:r>
            <w:r>
              <w:rPr>
                <w:webHidden/>
              </w:rPr>
              <w:fldChar w:fldCharType="end"/>
            </w:r>
          </w:hyperlink>
        </w:p>
        <w:p w14:paraId="20BF0719" w14:textId="77777777" w:rsidR="007B3A63" w:rsidRDefault="007B3A63">
          <w:pPr>
            <w:pStyle w:val="TOC1"/>
            <w:rPr>
              <w:rFonts w:asciiTheme="minorHAnsi" w:eastAsiaTheme="minorEastAsia" w:hAnsiTheme="minorHAnsi"/>
              <w:b w:val="0"/>
              <w:color w:val="auto"/>
              <w:sz w:val="22"/>
              <w:lang w:val="en-AU" w:eastAsia="en-AU"/>
            </w:rPr>
          </w:pPr>
          <w:hyperlink w:anchor="_Toc486842027" w:history="1">
            <w:r w:rsidRPr="00ED1A63">
              <w:rPr>
                <w:rStyle w:val="Hyperlink"/>
              </w:rPr>
              <w:t>6</w:t>
            </w:r>
            <w:r>
              <w:rPr>
                <w:rFonts w:asciiTheme="minorHAnsi" w:eastAsiaTheme="minorEastAsia" w:hAnsiTheme="minorHAnsi"/>
                <w:b w:val="0"/>
                <w:color w:val="auto"/>
                <w:sz w:val="22"/>
                <w:lang w:val="en-AU" w:eastAsia="en-AU"/>
              </w:rPr>
              <w:tab/>
            </w:r>
            <w:r w:rsidRPr="00ED1A63">
              <w:rPr>
                <w:rStyle w:val="Hyperlink"/>
              </w:rPr>
              <w:t>Capital expenditure</w:t>
            </w:r>
            <w:r>
              <w:rPr>
                <w:webHidden/>
              </w:rPr>
              <w:tab/>
            </w:r>
            <w:r>
              <w:rPr>
                <w:webHidden/>
              </w:rPr>
              <w:fldChar w:fldCharType="begin"/>
            </w:r>
            <w:r>
              <w:rPr>
                <w:webHidden/>
              </w:rPr>
              <w:instrText xml:space="preserve"> PAGEREF _Toc486842027 \h </w:instrText>
            </w:r>
            <w:r>
              <w:rPr>
                <w:webHidden/>
              </w:rPr>
            </w:r>
            <w:r>
              <w:rPr>
                <w:webHidden/>
              </w:rPr>
              <w:fldChar w:fldCharType="separate"/>
            </w:r>
            <w:r w:rsidR="00745B71">
              <w:rPr>
                <w:webHidden/>
              </w:rPr>
              <w:t>6-5</w:t>
            </w:r>
            <w:r>
              <w:rPr>
                <w:webHidden/>
              </w:rPr>
              <w:fldChar w:fldCharType="end"/>
            </w:r>
          </w:hyperlink>
        </w:p>
        <w:p w14:paraId="5B801B4E" w14:textId="77777777" w:rsidR="007B3A63" w:rsidRDefault="007B3A63">
          <w:pPr>
            <w:pStyle w:val="TOC2"/>
            <w:rPr>
              <w:rFonts w:asciiTheme="minorHAnsi" w:eastAsiaTheme="minorEastAsia" w:hAnsiTheme="minorHAnsi"/>
              <w:b w:val="0"/>
              <w:color w:val="auto"/>
              <w:sz w:val="22"/>
              <w:lang w:eastAsia="en-AU"/>
            </w:rPr>
          </w:pPr>
          <w:hyperlink w:anchor="_Toc486842028" w:history="1">
            <w:r w:rsidRPr="00ED1A63">
              <w:rPr>
                <w:rStyle w:val="Hyperlink"/>
              </w:rPr>
              <w:t>6.1</w:t>
            </w:r>
            <w:r>
              <w:rPr>
                <w:rFonts w:asciiTheme="minorHAnsi" w:eastAsiaTheme="minorEastAsia" w:hAnsiTheme="minorHAnsi"/>
                <w:b w:val="0"/>
                <w:color w:val="auto"/>
                <w:sz w:val="22"/>
                <w:lang w:eastAsia="en-AU"/>
              </w:rPr>
              <w:tab/>
            </w:r>
            <w:r w:rsidRPr="00ED1A63">
              <w:rPr>
                <w:rStyle w:val="Hyperlink"/>
              </w:rPr>
              <w:t>Draft decision</w:t>
            </w:r>
            <w:r>
              <w:rPr>
                <w:webHidden/>
              </w:rPr>
              <w:tab/>
            </w:r>
            <w:r>
              <w:rPr>
                <w:webHidden/>
              </w:rPr>
              <w:fldChar w:fldCharType="begin"/>
            </w:r>
            <w:r>
              <w:rPr>
                <w:webHidden/>
              </w:rPr>
              <w:instrText xml:space="preserve"> PAGEREF _Toc486842028 \h </w:instrText>
            </w:r>
            <w:r>
              <w:rPr>
                <w:webHidden/>
              </w:rPr>
            </w:r>
            <w:r>
              <w:rPr>
                <w:webHidden/>
              </w:rPr>
              <w:fldChar w:fldCharType="separate"/>
            </w:r>
            <w:r w:rsidR="00745B71">
              <w:rPr>
                <w:webHidden/>
              </w:rPr>
              <w:t>6-5</w:t>
            </w:r>
            <w:r>
              <w:rPr>
                <w:webHidden/>
              </w:rPr>
              <w:fldChar w:fldCharType="end"/>
            </w:r>
          </w:hyperlink>
        </w:p>
        <w:p w14:paraId="5CA45547" w14:textId="77777777" w:rsidR="007B3A63" w:rsidRDefault="007B3A63">
          <w:pPr>
            <w:pStyle w:val="TOC3"/>
            <w:rPr>
              <w:rFonts w:asciiTheme="minorHAnsi" w:eastAsiaTheme="minorEastAsia" w:hAnsiTheme="minorHAnsi"/>
              <w:lang w:eastAsia="en-AU"/>
            </w:rPr>
          </w:pPr>
          <w:hyperlink w:anchor="_Toc486842029" w:history="1">
            <w:r w:rsidRPr="00ED1A63">
              <w:rPr>
                <w:rStyle w:val="Hyperlink"/>
              </w:rPr>
              <w:t>6.1.1</w:t>
            </w:r>
            <w:r>
              <w:rPr>
                <w:rFonts w:asciiTheme="minorHAnsi" w:eastAsiaTheme="minorEastAsia" w:hAnsiTheme="minorHAnsi"/>
                <w:lang w:eastAsia="en-AU"/>
              </w:rPr>
              <w:tab/>
            </w:r>
            <w:r w:rsidRPr="00ED1A63">
              <w:rPr>
                <w:rStyle w:val="Hyperlink"/>
              </w:rPr>
              <w:t>Conforming capital expenditure for 2012–16</w:t>
            </w:r>
            <w:r>
              <w:rPr>
                <w:webHidden/>
              </w:rPr>
              <w:tab/>
            </w:r>
            <w:r>
              <w:rPr>
                <w:webHidden/>
              </w:rPr>
              <w:fldChar w:fldCharType="begin"/>
            </w:r>
            <w:r>
              <w:rPr>
                <w:webHidden/>
              </w:rPr>
              <w:instrText xml:space="preserve"> PAGEREF _Toc486842029 \h </w:instrText>
            </w:r>
            <w:r>
              <w:rPr>
                <w:webHidden/>
              </w:rPr>
            </w:r>
            <w:r>
              <w:rPr>
                <w:webHidden/>
              </w:rPr>
              <w:fldChar w:fldCharType="separate"/>
            </w:r>
            <w:r w:rsidR="00745B71">
              <w:rPr>
                <w:webHidden/>
              </w:rPr>
              <w:t>6-5</w:t>
            </w:r>
            <w:r>
              <w:rPr>
                <w:webHidden/>
              </w:rPr>
              <w:fldChar w:fldCharType="end"/>
            </w:r>
          </w:hyperlink>
        </w:p>
        <w:p w14:paraId="27686BBF" w14:textId="260ABC7F" w:rsidR="007B3A63" w:rsidRDefault="007B3A63">
          <w:pPr>
            <w:pStyle w:val="TOC3"/>
            <w:rPr>
              <w:rFonts w:asciiTheme="minorHAnsi" w:eastAsiaTheme="minorEastAsia" w:hAnsiTheme="minorHAnsi"/>
              <w:lang w:eastAsia="en-AU"/>
            </w:rPr>
          </w:pPr>
          <w:hyperlink w:anchor="_Toc486842030" w:history="1">
            <w:r w:rsidRPr="00ED1A63">
              <w:rPr>
                <w:rStyle w:val="Hyperlink"/>
              </w:rPr>
              <w:t>6.1.2</w:t>
            </w:r>
            <w:r>
              <w:rPr>
                <w:rFonts w:asciiTheme="minorHAnsi" w:eastAsiaTheme="minorEastAsia" w:hAnsiTheme="minorHAnsi"/>
                <w:lang w:eastAsia="en-AU"/>
              </w:rPr>
              <w:tab/>
            </w:r>
            <w:r w:rsidRPr="00ED1A63">
              <w:rPr>
                <w:rStyle w:val="Hyperlink"/>
              </w:rPr>
              <w:t>Conforming capital expenditure for the 2018–22 access arrangement period</w:t>
            </w:r>
            <w:r>
              <w:rPr>
                <w:webHidden/>
              </w:rPr>
              <w:tab/>
            </w:r>
            <w:r>
              <w:rPr>
                <w:webHidden/>
              </w:rPr>
              <w:tab/>
            </w:r>
            <w:r>
              <w:rPr>
                <w:webHidden/>
              </w:rPr>
              <w:fldChar w:fldCharType="begin"/>
            </w:r>
            <w:r>
              <w:rPr>
                <w:webHidden/>
              </w:rPr>
              <w:instrText xml:space="preserve"> PAGEREF _Toc486842030 \h </w:instrText>
            </w:r>
            <w:r>
              <w:rPr>
                <w:webHidden/>
              </w:rPr>
            </w:r>
            <w:r>
              <w:rPr>
                <w:webHidden/>
              </w:rPr>
              <w:fldChar w:fldCharType="separate"/>
            </w:r>
            <w:r w:rsidR="00745B71">
              <w:rPr>
                <w:webHidden/>
              </w:rPr>
              <w:t>6-6</w:t>
            </w:r>
            <w:r>
              <w:rPr>
                <w:webHidden/>
              </w:rPr>
              <w:fldChar w:fldCharType="end"/>
            </w:r>
          </w:hyperlink>
        </w:p>
        <w:p w14:paraId="6BFA47E4" w14:textId="77777777" w:rsidR="007B3A63" w:rsidRDefault="007B3A63">
          <w:pPr>
            <w:pStyle w:val="TOC2"/>
            <w:rPr>
              <w:rFonts w:asciiTheme="minorHAnsi" w:eastAsiaTheme="minorEastAsia" w:hAnsiTheme="minorHAnsi"/>
              <w:b w:val="0"/>
              <w:color w:val="auto"/>
              <w:sz w:val="22"/>
              <w:lang w:eastAsia="en-AU"/>
            </w:rPr>
          </w:pPr>
          <w:hyperlink w:anchor="_Toc486842031" w:history="1">
            <w:r w:rsidRPr="00ED1A63">
              <w:rPr>
                <w:rStyle w:val="Hyperlink"/>
              </w:rPr>
              <w:t>6.2</w:t>
            </w:r>
            <w:r>
              <w:rPr>
                <w:rFonts w:asciiTheme="minorHAnsi" w:eastAsiaTheme="minorEastAsia" w:hAnsiTheme="minorHAnsi"/>
                <w:b w:val="0"/>
                <w:color w:val="auto"/>
                <w:sz w:val="22"/>
                <w:lang w:eastAsia="en-AU"/>
              </w:rPr>
              <w:tab/>
            </w:r>
            <w:r w:rsidRPr="00ED1A63">
              <w:rPr>
                <w:rStyle w:val="Hyperlink"/>
              </w:rPr>
              <w:t>AusNet’s proposal</w:t>
            </w:r>
            <w:r>
              <w:rPr>
                <w:webHidden/>
              </w:rPr>
              <w:tab/>
            </w:r>
            <w:r>
              <w:rPr>
                <w:webHidden/>
              </w:rPr>
              <w:fldChar w:fldCharType="begin"/>
            </w:r>
            <w:r>
              <w:rPr>
                <w:webHidden/>
              </w:rPr>
              <w:instrText xml:space="preserve"> PAGEREF _Toc486842031 \h </w:instrText>
            </w:r>
            <w:r>
              <w:rPr>
                <w:webHidden/>
              </w:rPr>
            </w:r>
            <w:r>
              <w:rPr>
                <w:webHidden/>
              </w:rPr>
              <w:fldChar w:fldCharType="separate"/>
            </w:r>
            <w:r w:rsidR="00745B71">
              <w:rPr>
                <w:webHidden/>
              </w:rPr>
              <w:t>6-9</w:t>
            </w:r>
            <w:r>
              <w:rPr>
                <w:webHidden/>
              </w:rPr>
              <w:fldChar w:fldCharType="end"/>
            </w:r>
          </w:hyperlink>
        </w:p>
        <w:p w14:paraId="7BA4D6EF" w14:textId="77777777" w:rsidR="007B3A63" w:rsidRDefault="007B3A63">
          <w:pPr>
            <w:pStyle w:val="TOC2"/>
            <w:rPr>
              <w:rFonts w:asciiTheme="minorHAnsi" w:eastAsiaTheme="minorEastAsia" w:hAnsiTheme="minorHAnsi"/>
              <w:b w:val="0"/>
              <w:color w:val="auto"/>
              <w:sz w:val="22"/>
              <w:lang w:eastAsia="en-AU"/>
            </w:rPr>
          </w:pPr>
          <w:hyperlink w:anchor="_Toc486842032" w:history="1">
            <w:r w:rsidRPr="00ED1A63">
              <w:rPr>
                <w:rStyle w:val="Hyperlink"/>
              </w:rPr>
              <w:t>6.3</w:t>
            </w:r>
            <w:r>
              <w:rPr>
                <w:rFonts w:asciiTheme="minorHAnsi" w:eastAsiaTheme="minorEastAsia" w:hAnsiTheme="minorHAnsi"/>
                <w:b w:val="0"/>
                <w:color w:val="auto"/>
                <w:sz w:val="22"/>
                <w:lang w:eastAsia="en-AU"/>
              </w:rPr>
              <w:tab/>
            </w:r>
            <w:r w:rsidRPr="00ED1A63">
              <w:rPr>
                <w:rStyle w:val="Hyperlink"/>
              </w:rPr>
              <w:t>Assessment approach</w:t>
            </w:r>
            <w:r>
              <w:rPr>
                <w:webHidden/>
              </w:rPr>
              <w:tab/>
            </w:r>
            <w:r>
              <w:rPr>
                <w:webHidden/>
              </w:rPr>
              <w:fldChar w:fldCharType="begin"/>
            </w:r>
            <w:r>
              <w:rPr>
                <w:webHidden/>
              </w:rPr>
              <w:instrText xml:space="preserve"> PAGEREF _Toc486842032 \h </w:instrText>
            </w:r>
            <w:r>
              <w:rPr>
                <w:webHidden/>
              </w:rPr>
            </w:r>
            <w:r>
              <w:rPr>
                <w:webHidden/>
              </w:rPr>
              <w:fldChar w:fldCharType="separate"/>
            </w:r>
            <w:r w:rsidR="00745B71">
              <w:rPr>
                <w:webHidden/>
              </w:rPr>
              <w:t>6-10</w:t>
            </w:r>
            <w:r>
              <w:rPr>
                <w:webHidden/>
              </w:rPr>
              <w:fldChar w:fldCharType="end"/>
            </w:r>
          </w:hyperlink>
        </w:p>
        <w:p w14:paraId="7DD6783F" w14:textId="77777777" w:rsidR="007B3A63" w:rsidRDefault="007B3A63">
          <w:pPr>
            <w:pStyle w:val="TOC3"/>
            <w:rPr>
              <w:rFonts w:asciiTheme="minorHAnsi" w:eastAsiaTheme="minorEastAsia" w:hAnsiTheme="minorHAnsi"/>
              <w:lang w:eastAsia="en-AU"/>
            </w:rPr>
          </w:pPr>
          <w:hyperlink w:anchor="_Toc486842033" w:history="1">
            <w:r w:rsidRPr="00ED1A63">
              <w:rPr>
                <w:rStyle w:val="Hyperlink"/>
              </w:rPr>
              <w:t>6.3.1</w:t>
            </w:r>
            <w:r>
              <w:rPr>
                <w:rFonts w:asciiTheme="minorHAnsi" w:eastAsiaTheme="minorEastAsia" w:hAnsiTheme="minorHAnsi"/>
                <w:lang w:eastAsia="en-AU"/>
              </w:rPr>
              <w:tab/>
            </w:r>
            <w:r w:rsidRPr="00ED1A63">
              <w:rPr>
                <w:rStyle w:val="Hyperlink"/>
              </w:rPr>
              <w:t>Capex in the 2013–17 access arrangement period</w:t>
            </w:r>
            <w:r>
              <w:rPr>
                <w:webHidden/>
              </w:rPr>
              <w:tab/>
            </w:r>
            <w:r>
              <w:rPr>
                <w:webHidden/>
              </w:rPr>
              <w:fldChar w:fldCharType="begin"/>
            </w:r>
            <w:r>
              <w:rPr>
                <w:webHidden/>
              </w:rPr>
              <w:instrText xml:space="preserve"> PAGEREF _Toc486842033 \h </w:instrText>
            </w:r>
            <w:r>
              <w:rPr>
                <w:webHidden/>
              </w:rPr>
            </w:r>
            <w:r>
              <w:rPr>
                <w:webHidden/>
              </w:rPr>
              <w:fldChar w:fldCharType="separate"/>
            </w:r>
            <w:r w:rsidR="00745B71">
              <w:rPr>
                <w:webHidden/>
              </w:rPr>
              <w:t>6-11</w:t>
            </w:r>
            <w:r>
              <w:rPr>
                <w:webHidden/>
              </w:rPr>
              <w:fldChar w:fldCharType="end"/>
            </w:r>
          </w:hyperlink>
        </w:p>
        <w:p w14:paraId="27CFF89B" w14:textId="77777777" w:rsidR="007B3A63" w:rsidRDefault="007B3A63">
          <w:pPr>
            <w:pStyle w:val="TOC3"/>
            <w:rPr>
              <w:rFonts w:asciiTheme="minorHAnsi" w:eastAsiaTheme="minorEastAsia" w:hAnsiTheme="minorHAnsi"/>
              <w:lang w:eastAsia="en-AU"/>
            </w:rPr>
          </w:pPr>
          <w:hyperlink w:anchor="_Toc486842034" w:history="1">
            <w:r w:rsidRPr="00ED1A63">
              <w:rPr>
                <w:rStyle w:val="Hyperlink"/>
              </w:rPr>
              <w:t>6.3.2</w:t>
            </w:r>
            <w:r>
              <w:rPr>
                <w:rFonts w:asciiTheme="minorHAnsi" w:eastAsiaTheme="minorEastAsia" w:hAnsiTheme="minorHAnsi"/>
                <w:lang w:eastAsia="en-AU"/>
              </w:rPr>
              <w:tab/>
            </w:r>
            <w:r w:rsidRPr="00ED1A63">
              <w:rPr>
                <w:rStyle w:val="Hyperlink"/>
              </w:rPr>
              <w:t>Conforming capital expenditure for 2018–22</w:t>
            </w:r>
            <w:r>
              <w:rPr>
                <w:webHidden/>
              </w:rPr>
              <w:tab/>
            </w:r>
            <w:r>
              <w:rPr>
                <w:webHidden/>
              </w:rPr>
              <w:fldChar w:fldCharType="begin"/>
            </w:r>
            <w:r>
              <w:rPr>
                <w:webHidden/>
              </w:rPr>
              <w:instrText xml:space="preserve"> PAGEREF _Toc486842034 \h </w:instrText>
            </w:r>
            <w:r>
              <w:rPr>
                <w:webHidden/>
              </w:rPr>
            </w:r>
            <w:r>
              <w:rPr>
                <w:webHidden/>
              </w:rPr>
              <w:fldChar w:fldCharType="separate"/>
            </w:r>
            <w:r w:rsidR="00745B71">
              <w:rPr>
                <w:webHidden/>
              </w:rPr>
              <w:t>6-12</w:t>
            </w:r>
            <w:r>
              <w:rPr>
                <w:webHidden/>
              </w:rPr>
              <w:fldChar w:fldCharType="end"/>
            </w:r>
          </w:hyperlink>
        </w:p>
        <w:p w14:paraId="7081258D" w14:textId="77777777" w:rsidR="007B3A63" w:rsidRDefault="007B3A63">
          <w:pPr>
            <w:pStyle w:val="TOC3"/>
            <w:rPr>
              <w:rFonts w:asciiTheme="minorHAnsi" w:eastAsiaTheme="minorEastAsia" w:hAnsiTheme="minorHAnsi"/>
              <w:lang w:eastAsia="en-AU"/>
            </w:rPr>
          </w:pPr>
          <w:hyperlink w:anchor="_Toc486842035" w:history="1">
            <w:r w:rsidRPr="00ED1A63">
              <w:rPr>
                <w:rStyle w:val="Hyperlink"/>
              </w:rPr>
              <w:t>6.3.3</w:t>
            </w:r>
            <w:r>
              <w:rPr>
                <w:rFonts w:asciiTheme="minorHAnsi" w:eastAsiaTheme="minorEastAsia" w:hAnsiTheme="minorHAnsi"/>
                <w:lang w:eastAsia="en-AU"/>
              </w:rPr>
              <w:tab/>
            </w:r>
            <w:r w:rsidRPr="00ED1A63">
              <w:rPr>
                <w:rStyle w:val="Hyperlink"/>
              </w:rPr>
              <w:t>Interrelationships</w:t>
            </w:r>
            <w:r>
              <w:rPr>
                <w:webHidden/>
              </w:rPr>
              <w:tab/>
            </w:r>
            <w:r>
              <w:rPr>
                <w:webHidden/>
              </w:rPr>
              <w:fldChar w:fldCharType="begin"/>
            </w:r>
            <w:r>
              <w:rPr>
                <w:webHidden/>
              </w:rPr>
              <w:instrText xml:space="preserve"> PAGEREF _Toc486842035 \h </w:instrText>
            </w:r>
            <w:r>
              <w:rPr>
                <w:webHidden/>
              </w:rPr>
            </w:r>
            <w:r>
              <w:rPr>
                <w:webHidden/>
              </w:rPr>
              <w:fldChar w:fldCharType="separate"/>
            </w:r>
            <w:r w:rsidR="00745B71">
              <w:rPr>
                <w:webHidden/>
              </w:rPr>
              <w:t>6-13</w:t>
            </w:r>
            <w:r>
              <w:rPr>
                <w:webHidden/>
              </w:rPr>
              <w:fldChar w:fldCharType="end"/>
            </w:r>
          </w:hyperlink>
        </w:p>
        <w:p w14:paraId="258A8ADC" w14:textId="77777777" w:rsidR="007B3A63" w:rsidRDefault="007B3A63">
          <w:pPr>
            <w:pStyle w:val="TOC2"/>
            <w:rPr>
              <w:rFonts w:asciiTheme="minorHAnsi" w:eastAsiaTheme="minorEastAsia" w:hAnsiTheme="minorHAnsi"/>
              <w:b w:val="0"/>
              <w:color w:val="auto"/>
              <w:sz w:val="22"/>
              <w:lang w:eastAsia="en-AU"/>
            </w:rPr>
          </w:pPr>
          <w:hyperlink w:anchor="_Toc486842036" w:history="1">
            <w:r w:rsidRPr="00ED1A63">
              <w:rPr>
                <w:rStyle w:val="Hyperlink"/>
              </w:rPr>
              <w:t>6.4</w:t>
            </w:r>
            <w:r>
              <w:rPr>
                <w:rFonts w:asciiTheme="minorHAnsi" w:eastAsiaTheme="minorEastAsia" w:hAnsiTheme="minorHAnsi"/>
                <w:b w:val="0"/>
                <w:color w:val="auto"/>
                <w:sz w:val="22"/>
                <w:lang w:eastAsia="en-AU"/>
              </w:rPr>
              <w:tab/>
            </w:r>
            <w:r w:rsidRPr="00ED1A63">
              <w:rPr>
                <w:rStyle w:val="Hyperlink"/>
              </w:rPr>
              <w:t>Reasons for draft decision</w:t>
            </w:r>
            <w:r>
              <w:rPr>
                <w:webHidden/>
              </w:rPr>
              <w:tab/>
            </w:r>
            <w:r>
              <w:rPr>
                <w:webHidden/>
              </w:rPr>
              <w:fldChar w:fldCharType="begin"/>
            </w:r>
            <w:r>
              <w:rPr>
                <w:webHidden/>
              </w:rPr>
              <w:instrText xml:space="preserve"> PAGEREF _Toc486842036 \h </w:instrText>
            </w:r>
            <w:r>
              <w:rPr>
                <w:webHidden/>
              </w:rPr>
            </w:r>
            <w:r>
              <w:rPr>
                <w:webHidden/>
              </w:rPr>
              <w:fldChar w:fldCharType="separate"/>
            </w:r>
            <w:r w:rsidR="00745B71">
              <w:rPr>
                <w:webHidden/>
              </w:rPr>
              <w:t>6-13</w:t>
            </w:r>
            <w:r>
              <w:rPr>
                <w:webHidden/>
              </w:rPr>
              <w:fldChar w:fldCharType="end"/>
            </w:r>
          </w:hyperlink>
        </w:p>
        <w:p w14:paraId="4EFDDE55" w14:textId="77777777" w:rsidR="007B3A63" w:rsidRDefault="007B3A63">
          <w:pPr>
            <w:pStyle w:val="TOC3"/>
            <w:rPr>
              <w:rFonts w:asciiTheme="minorHAnsi" w:eastAsiaTheme="minorEastAsia" w:hAnsiTheme="minorHAnsi"/>
              <w:lang w:eastAsia="en-AU"/>
            </w:rPr>
          </w:pPr>
          <w:hyperlink w:anchor="_Toc486842037" w:history="1">
            <w:r w:rsidRPr="00ED1A63">
              <w:rPr>
                <w:rStyle w:val="Hyperlink"/>
              </w:rPr>
              <w:t>6.4.1</w:t>
            </w:r>
            <w:r>
              <w:rPr>
                <w:rFonts w:asciiTheme="minorHAnsi" w:eastAsiaTheme="minorEastAsia" w:hAnsiTheme="minorHAnsi"/>
                <w:lang w:eastAsia="en-AU"/>
              </w:rPr>
              <w:tab/>
            </w:r>
            <w:r w:rsidRPr="00ED1A63">
              <w:rPr>
                <w:rStyle w:val="Hyperlink"/>
              </w:rPr>
              <w:t>Conforming capital expenditure for 2012–16</w:t>
            </w:r>
            <w:r>
              <w:rPr>
                <w:webHidden/>
              </w:rPr>
              <w:tab/>
            </w:r>
            <w:r>
              <w:rPr>
                <w:webHidden/>
              </w:rPr>
              <w:fldChar w:fldCharType="begin"/>
            </w:r>
            <w:r>
              <w:rPr>
                <w:webHidden/>
              </w:rPr>
              <w:instrText xml:space="preserve"> PAGEREF _Toc486842037 \h </w:instrText>
            </w:r>
            <w:r>
              <w:rPr>
                <w:webHidden/>
              </w:rPr>
            </w:r>
            <w:r>
              <w:rPr>
                <w:webHidden/>
              </w:rPr>
              <w:fldChar w:fldCharType="separate"/>
            </w:r>
            <w:r w:rsidR="00745B71">
              <w:rPr>
                <w:webHidden/>
              </w:rPr>
              <w:t>6-13</w:t>
            </w:r>
            <w:r>
              <w:rPr>
                <w:webHidden/>
              </w:rPr>
              <w:fldChar w:fldCharType="end"/>
            </w:r>
          </w:hyperlink>
        </w:p>
        <w:p w14:paraId="7C47367F" w14:textId="04EE0A3D" w:rsidR="007B3A63" w:rsidRDefault="007B3A63">
          <w:pPr>
            <w:pStyle w:val="TOC3"/>
            <w:rPr>
              <w:rFonts w:asciiTheme="minorHAnsi" w:eastAsiaTheme="minorEastAsia" w:hAnsiTheme="minorHAnsi"/>
              <w:lang w:eastAsia="en-AU"/>
            </w:rPr>
          </w:pPr>
          <w:hyperlink w:anchor="_Toc486842038" w:history="1">
            <w:r w:rsidRPr="00ED1A63">
              <w:rPr>
                <w:rStyle w:val="Hyperlink"/>
              </w:rPr>
              <w:t>6.4.2</w:t>
            </w:r>
            <w:r>
              <w:rPr>
                <w:rFonts w:asciiTheme="minorHAnsi" w:eastAsiaTheme="minorEastAsia" w:hAnsiTheme="minorHAnsi"/>
                <w:lang w:eastAsia="en-AU"/>
              </w:rPr>
              <w:tab/>
            </w:r>
            <w:r w:rsidRPr="00ED1A63">
              <w:rPr>
                <w:rStyle w:val="Hyperlink"/>
              </w:rPr>
              <w:t>Conforming capital expenditure for the 2018–22 access arrangement period</w:t>
            </w:r>
            <w:r>
              <w:rPr>
                <w:webHidden/>
              </w:rPr>
              <w:tab/>
            </w:r>
            <w:r>
              <w:rPr>
                <w:webHidden/>
              </w:rPr>
              <w:tab/>
            </w:r>
            <w:r>
              <w:rPr>
                <w:webHidden/>
              </w:rPr>
              <w:fldChar w:fldCharType="begin"/>
            </w:r>
            <w:r>
              <w:rPr>
                <w:webHidden/>
              </w:rPr>
              <w:instrText xml:space="preserve"> PAGEREF _Toc486842038 \h </w:instrText>
            </w:r>
            <w:r>
              <w:rPr>
                <w:webHidden/>
              </w:rPr>
            </w:r>
            <w:r>
              <w:rPr>
                <w:webHidden/>
              </w:rPr>
              <w:fldChar w:fldCharType="separate"/>
            </w:r>
            <w:r w:rsidR="00745B71">
              <w:rPr>
                <w:webHidden/>
              </w:rPr>
              <w:t>6-13</w:t>
            </w:r>
            <w:r>
              <w:rPr>
                <w:webHidden/>
              </w:rPr>
              <w:fldChar w:fldCharType="end"/>
            </w:r>
          </w:hyperlink>
        </w:p>
        <w:p w14:paraId="53029B40" w14:textId="77777777" w:rsidR="007B3A63" w:rsidRDefault="007B3A63">
          <w:pPr>
            <w:pStyle w:val="TOC2"/>
            <w:rPr>
              <w:rFonts w:asciiTheme="minorHAnsi" w:eastAsiaTheme="minorEastAsia" w:hAnsiTheme="minorHAnsi"/>
              <w:b w:val="0"/>
              <w:color w:val="auto"/>
              <w:sz w:val="22"/>
              <w:lang w:eastAsia="en-AU"/>
            </w:rPr>
          </w:pPr>
          <w:hyperlink w:anchor="_Toc486842039" w:history="1">
            <w:r w:rsidRPr="00ED1A63">
              <w:rPr>
                <w:rStyle w:val="Hyperlink"/>
              </w:rPr>
              <w:t>6.5</w:t>
            </w:r>
            <w:r>
              <w:rPr>
                <w:rFonts w:asciiTheme="minorHAnsi" w:eastAsiaTheme="minorEastAsia" w:hAnsiTheme="minorHAnsi"/>
                <w:b w:val="0"/>
                <w:color w:val="auto"/>
                <w:sz w:val="22"/>
                <w:lang w:eastAsia="en-AU"/>
              </w:rPr>
              <w:tab/>
            </w:r>
            <w:r w:rsidRPr="00ED1A63">
              <w:rPr>
                <w:rStyle w:val="Hyperlink"/>
              </w:rPr>
              <w:t>Revisions</w:t>
            </w:r>
            <w:r>
              <w:rPr>
                <w:webHidden/>
              </w:rPr>
              <w:tab/>
            </w:r>
            <w:r>
              <w:rPr>
                <w:webHidden/>
              </w:rPr>
              <w:fldChar w:fldCharType="begin"/>
            </w:r>
            <w:r>
              <w:rPr>
                <w:webHidden/>
              </w:rPr>
              <w:instrText xml:space="preserve"> PAGEREF _Toc486842039 \h </w:instrText>
            </w:r>
            <w:r>
              <w:rPr>
                <w:webHidden/>
              </w:rPr>
            </w:r>
            <w:r>
              <w:rPr>
                <w:webHidden/>
              </w:rPr>
              <w:fldChar w:fldCharType="separate"/>
            </w:r>
            <w:r w:rsidR="00745B71">
              <w:rPr>
                <w:webHidden/>
              </w:rPr>
              <w:t>6-36</w:t>
            </w:r>
            <w:r>
              <w:rPr>
                <w:webHidden/>
              </w:rPr>
              <w:fldChar w:fldCharType="end"/>
            </w:r>
          </w:hyperlink>
        </w:p>
        <w:p w14:paraId="02D3E479" w14:textId="77777777" w:rsidR="00CE2A23" w:rsidRDefault="00DD61C0" w:rsidP="00DD61C0">
          <w:pPr>
            <w:pStyle w:val="TOC1"/>
          </w:pPr>
          <w:r>
            <w:fldChar w:fldCharType="end"/>
          </w:r>
        </w:p>
      </w:sdtContent>
    </w:sdt>
    <w:p w14:paraId="15F0A743" w14:textId="77777777" w:rsidR="00CE2A23" w:rsidRPr="00CE2A23" w:rsidRDefault="00CE2A23" w:rsidP="00CE2A23">
      <w:r>
        <w:t xml:space="preserve"> </w:t>
      </w:r>
    </w:p>
    <w:p w14:paraId="5303ABE3" w14:textId="77777777" w:rsidR="006E17A5" w:rsidRDefault="00CE2A23" w:rsidP="00CE2A23">
      <w:pPr>
        <w:pStyle w:val="UnnumberedHeading"/>
        <w:numPr>
          <w:ilvl w:val="0"/>
          <w:numId w:val="23"/>
        </w:numPr>
      </w:pPr>
      <w:bookmarkStart w:id="11" w:name="_Toc404700925"/>
      <w:bookmarkStart w:id="12" w:name="_Toc486842026"/>
      <w:r>
        <w:t>Shortened forms</w:t>
      </w:r>
      <w:bookmarkEnd w:id="11"/>
      <w:bookmarkEnd w:id="12"/>
    </w:p>
    <w:tbl>
      <w:tblPr>
        <w:tblStyle w:val="AERtable-numbers"/>
        <w:tblW w:w="0" w:type="auto"/>
        <w:tblLook w:val="04A0" w:firstRow="1" w:lastRow="0" w:firstColumn="1" w:lastColumn="0" w:noHBand="0" w:noVBand="1"/>
      </w:tblPr>
      <w:tblGrid>
        <w:gridCol w:w="3652"/>
        <w:gridCol w:w="5041"/>
      </w:tblGrid>
      <w:tr w:rsidR="006E17A5" w14:paraId="3699357F" w14:textId="77777777" w:rsidTr="006E17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14:paraId="34702D94" w14:textId="77777777" w:rsidR="006E17A5" w:rsidRPr="006E17A5" w:rsidRDefault="006E17A5" w:rsidP="006E17A5">
            <w:pPr>
              <w:numPr>
                <w:ilvl w:val="0"/>
                <w:numId w:val="24"/>
              </w:numPr>
            </w:pPr>
            <w:r w:rsidRPr="006E17A5">
              <w:t>Shortened form</w:t>
            </w:r>
          </w:p>
        </w:tc>
        <w:tc>
          <w:tcPr>
            <w:tcW w:w="5041" w:type="dxa"/>
          </w:tcPr>
          <w:p w14:paraId="4E91488D" w14:textId="77777777" w:rsidR="006E17A5" w:rsidRPr="006E17A5" w:rsidRDefault="006E17A5" w:rsidP="006E17A5">
            <w:pPr>
              <w:numPr>
                <w:ilvl w:val="0"/>
                <w:numId w:val="24"/>
              </w:numPr>
              <w:cnfStyle w:val="100000000000" w:firstRow="1" w:lastRow="0" w:firstColumn="0" w:lastColumn="0" w:oddVBand="0" w:evenVBand="0" w:oddHBand="0" w:evenHBand="0" w:firstRowFirstColumn="0" w:firstRowLastColumn="0" w:lastRowFirstColumn="0" w:lastRowLastColumn="0"/>
            </w:pPr>
            <w:r w:rsidRPr="006E17A5">
              <w:t>Extended form</w:t>
            </w:r>
          </w:p>
        </w:tc>
      </w:tr>
      <w:tr w:rsidR="006E17A5" w14:paraId="5C147CCB"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2EA60EAC" w14:textId="77777777" w:rsidR="006E17A5" w:rsidRPr="006E17A5" w:rsidRDefault="006E17A5" w:rsidP="006E17A5">
            <w:pPr>
              <w:numPr>
                <w:ilvl w:val="0"/>
                <w:numId w:val="24"/>
              </w:numPr>
            </w:pPr>
            <w:r w:rsidRPr="006E17A5">
              <w:t>AER</w:t>
            </w:r>
          </w:p>
        </w:tc>
        <w:tc>
          <w:tcPr>
            <w:tcW w:w="5041" w:type="dxa"/>
          </w:tcPr>
          <w:p w14:paraId="338DA58A"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Australian Energy Regulator</w:t>
            </w:r>
          </w:p>
        </w:tc>
      </w:tr>
      <w:tr w:rsidR="006E17A5" w14:paraId="2A851ACE"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9045389" w14:textId="77777777" w:rsidR="006E17A5" w:rsidRPr="006E17A5" w:rsidRDefault="006E17A5" w:rsidP="006E17A5">
            <w:pPr>
              <w:numPr>
                <w:ilvl w:val="0"/>
                <w:numId w:val="24"/>
              </w:numPr>
            </w:pPr>
            <w:r w:rsidRPr="006E17A5">
              <w:t>ATO</w:t>
            </w:r>
          </w:p>
        </w:tc>
        <w:tc>
          <w:tcPr>
            <w:tcW w:w="5041" w:type="dxa"/>
          </w:tcPr>
          <w:p w14:paraId="560575CD" w14:textId="77777777" w:rsidR="006E17A5" w:rsidRPr="006E17A5" w:rsidRDefault="006E17A5" w:rsidP="006E17A5">
            <w:pPr>
              <w:cnfStyle w:val="000000010000" w:firstRow="0" w:lastRow="0" w:firstColumn="0" w:lastColumn="0" w:oddVBand="0" w:evenVBand="0" w:oddHBand="0" w:evenHBand="1" w:firstRowFirstColumn="0" w:firstRowLastColumn="0" w:lastRowFirstColumn="0" w:lastRowLastColumn="0"/>
            </w:pPr>
            <w:r w:rsidRPr="006E17A5">
              <w:t>Australian Tax Office</w:t>
            </w:r>
          </w:p>
        </w:tc>
      </w:tr>
      <w:tr w:rsidR="006E17A5" w14:paraId="169C7071"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4F6228CD" w14:textId="77777777" w:rsidR="006E17A5" w:rsidRPr="006E17A5" w:rsidRDefault="006E17A5" w:rsidP="006E17A5">
            <w:pPr>
              <w:numPr>
                <w:ilvl w:val="0"/>
                <w:numId w:val="24"/>
              </w:numPr>
            </w:pPr>
            <w:r w:rsidRPr="006E17A5">
              <w:t>capex</w:t>
            </w:r>
          </w:p>
        </w:tc>
        <w:tc>
          <w:tcPr>
            <w:tcW w:w="5041" w:type="dxa"/>
          </w:tcPr>
          <w:p w14:paraId="03C423C2"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capital expenditure</w:t>
            </w:r>
          </w:p>
        </w:tc>
      </w:tr>
      <w:tr w:rsidR="006E17A5" w14:paraId="4F2DFA81"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A9263EA" w14:textId="77777777" w:rsidR="006E17A5" w:rsidRPr="006E17A5" w:rsidRDefault="006E17A5" w:rsidP="006E17A5">
            <w:pPr>
              <w:numPr>
                <w:ilvl w:val="0"/>
                <w:numId w:val="24"/>
              </w:numPr>
            </w:pPr>
            <w:r w:rsidRPr="006E17A5">
              <w:t>CAPM</w:t>
            </w:r>
          </w:p>
        </w:tc>
        <w:tc>
          <w:tcPr>
            <w:tcW w:w="5041" w:type="dxa"/>
          </w:tcPr>
          <w:p w14:paraId="2D0FB8B6" w14:textId="77777777" w:rsidR="006E17A5" w:rsidRPr="006E17A5" w:rsidRDefault="006E17A5" w:rsidP="006E17A5">
            <w:pPr>
              <w:numPr>
                <w:ilvl w:val="0"/>
                <w:numId w:val="24"/>
              </w:numPr>
              <w:cnfStyle w:val="000000010000" w:firstRow="0" w:lastRow="0" w:firstColumn="0" w:lastColumn="0" w:oddVBand="0" w:evenVBand="0" w:oddHBand="0" w:evenHBand="1" w:firstRowFirstColumn="0" w:firstRowLastColumn="0" w:lastRowFirstColumn="0" w:lastRowLastColumn="0"/>
            </w:pPr>
            <w:r w:rsidRPr="006E17A5">
              <w:t>capital asset pricing model</w:t>
            </w:r>
          </w:p>
        </w:tc>
      </w:tr>
      <w:tr w:rsidR="006E17A5" w14:paraId="16DC2248"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31EFFF48" w14:textId="77777777" w:rsidR="006E17A5" w:rsidRPr="006E17A5" w:rsidRDefault="006E17A5" w:rsidP="006E17A5">
            <w:pPr>
              <w:numPr>
                <w:ilvl w:val="0"/>
                <w:numId w:val="24"/>
              </w:numPr>
            </w:pPr>
            <w:r w:rsidRPr="006E17A5">
              <w:t>CESS</w:t>
            </w:r>
          </w:p>
        </w:tc>
        <w:tc>
          <w:tcPr>
            <w:tcW w:w="5041" w:type="dxa"/>
          </w:tcPr>
          <w:p w14:paraId="5F212D85"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Capital Expenditure Sharing Scheme</w:t>
            </w:r>
          </w:p>
        </w:tc>
      </w:tr>
      <w:tr w:rsidR="006E17A5" w14:paraId="27D1D46D"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61BEB44" w14:textId="77777777" w:rsidR="006E17A5" w:rsidRPr="006E17A5" w:rsidRDefault="006E17A5" w:rsidP="006E17A5">
            <w:pPr>
              <w:numPr>
                <w:ilvl w:val="0"/>
                <w:numId w:val="24"/>
              </w:numPr>
            </w:pPr>
            <w:r w:rsidRPr="006E17A5">
              <w:t>CPI</w:t>
            </w:r>
          </w:p>
        </w:tc>
        <w:tc>
          <w:tcPr>
            <w:tcW w:w="5041" w:type="dxa"/>
          </w:tcPr>
          <w:p w14:paraId="481D51A4" w14:textId="77777777" w:rsidR="006E17A5" w:rsidRPr="006E17A5" w:rsidRDefault="006E17A5" w:rsidP="006E17A5">
            <w:pPr>
              <w:numPr>
                <w:ilvl w:val="0"/>
                <w:numId w:val="24"/>
              </w:numPr>
              <w:cnfStyle w:val="000000010000" w:firstRow="0" w:lastRow="0" w:firstColumn="0" w:lastColumn="0" w:oddVBand="0" w:evenVBand="0" w:oddHBand="0" w:evenHBand="1" w:firstRowFirstColumn="0" w:firstRowLastColumn="0" w:lastRowFirstColumn="0" w:lastRowLastColumn="0"/>
            </w:pPr>
            <w:r w:rsidRPr="006E17A5">
              <w:t>consumer price index</w:t>
            </w:r>
          </w:p>
        </w:tc>
      </w:tr>
      <w:tr w:rsidR="006E17A5" w14:paraId="12420779"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37CF16E4" w14:textId="77777777" w:rsidR="006E17A5" w:rsidRPr="006E17A5" w:rsidRDefault="006E17A5" w:rsidP="006E17A5">
            <w:pPr>
              <w:numPr>
                <w:ilvl w:val="0"/>
                <w:numId w:val="24"/>
              </w:numPr>
            </w:pPr>
            <w:r w:rsidRPr="006E17A5">
              <w:t>DRP</w:t>
            </w:r>
          </w:p>
        </w:tc>
        <w:tc>
          <w:tcPr>
            <w:tcW w:w="5041" w:type="dxa"/>
          </w:tcPr>
          <w:p w14:paraId="1EADF2A3"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debt risk premium</w:t>
            </w:r>
          </w:p>
        </w:tc>
      </w:tr>
      <w:tr w:rsidR="006E17A5" w14:paraId="57E34056"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A255F8A" w14:textId="77777777" w:rsidR="006E17A5" w:rsidRPr="006E17A5" w:rsidRDefault="006E17A5" w:rsidP="006E17A5">
            <w:pPr>
              <w:numPr>
                <w:ilvl w:val="0"/>
                <w:numId w:val="24"/>
              </w:numPr>
            </w:pPr>
            <w:r w:rsidRPr="006E17A5">
              <w:t>ECM</w:t>
            </w:r>
          </w:p>
        </w:tc>
        <w:tc>
          <w:tcPr>
            <w:tcW w:w="5041" w:type="dxa"/>
          </w:tcPr>
          <w:p w14:paraId="56CED58C" w14:textId="77777777" w:rsidR="006E17A5" w:rsidRPr="006E17A5" w:rsidRDefault="006E17A5" w:rsidP="006E17A5">
            <w:pPr>
              <w:cnfStyle w:val="000000010000" w:firstRow="0" w:lastRow="0" w:firstColumn="0" w:lastColumn="0" w:oddVBand="0" w:evenVBand="0" w:oddHBand="0" w:evenHBand="1" w:firstRowFirstColumn="0" w:firstRowLastColumn="0" w:lastRowFirstColumn="0" w:lastRowLastColumn="0"/>
            </w:pPr>
            <w:r w:rsidRPr="006E17A5">
              <w:t>(Opex) Efficiency Carryover Mechanism</w:t>
            </w:r>
          </w:p>
        </w:tc>
      </w:tr>
      <w:tr w:rsidR="006E17A5" w14:paraId="0A6E9CE5"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44281356" w14:textId="77777777" w:rsidR="006E17A5" w:rsidRPr="006E17A5" w:rsidRDefault="006E17A5" w:rsidP="006E17A5">
            <w:pPr>
              <w:numPr>
                <w:ilvl w:val="0"/>
                <w:numId w:val="24"/>
              </w:numPr>
            </w:pPr>
            <w:r w:rsidRPr="006E17A5">
              <w:t>ERP</w:t>
            </w:r>
          </w:p>
        </w:tc>
        <w:tc>
          <w:tcPr>
            <w:tcW w:w="5041" w:type="dxa"/>
          </w:tcPr>
          <w:p w14:paraId="507A99E4"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equity risk premium</w:t>
            </w:r>
          </w:p>
        </w:tc>
      </w:tr>
      <w:tr w:rsidR="006E17A5" w14:paraId="2C264CA9"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085A13B" w14:textId="77777777" w:rsidR="006E17A5" w:rsidRPr="006E17A5" w:rsidRDefault="006E17A5" w:rsidP="006E17A5">
            <w:pPr>
              <w:numPr>
                <w:ilvl w:val="0"/>
                <w:numId w:val="24"/>
              </w:numPr>
            </w:pPr>
            <w:r w:rsidRPr="006E17A5">
              <w:t>Expenditure Guideline</w:t>
            </w:r>
          </w:p>
        </w:tc>
        <w:tc>
          <w:tcPr>
            <w:tcW w:w="5041" w:type="dxa"/>
          </w:tcPr>
          <w:p w14:paraId="31873C6F" w14:textId="77777777" w:rsidR="006E17A5" w:rsidRPr="006E17A5" w:rsidRDefault="006E17A5" w:rsidP="006E17A5">
            <w:pPr>
              <w:cnfStyle w:val="000000010000" w:firstRow="0" w:lastRow="0" w:firstColumn="0" w:lastColumn="0" w:oddVBand="0" w:evenVBand="0" w:oddHBand="0" w:evenHBand="1" w:firstRowFirstColumn="0" w:firstRowLastColumn="0" w:lastRowFirstColumn="0" w:lastRowLastColumn="0"/>
            </w:pPr>
            <w:r w:rsidRPr="006E17A5">
              <w:t>Expenditure Forecast Assessment Guideline</w:t>
            </w:r>
          </w:p>
        </w:tc>
      </w:tr>
      <w:tr w:rsidR="006E17A5" w14:paraId="53CE4096"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5457BD2B" w14:textId="77777777" w:rsidR="006E17A5" w:rsidRPr="006E17A5" w:rsidRDefault="006E17A5" w:rsidP="006E17A5">
            <w:pPr>
              <w:numPr>
                <w:ilvl w:val="0"/>
                <w:numId w:val="24"/>
              </w:numPr>
            </w:pPr>
            <w:r w:rsidRPr="006E17A5">
              <w:t>gamma</w:t>
            </w:r>
          </w:p>
        </w:tc>
        <w:tc>
          <w:tcPr>
            <w:tcW w:w="5041" w:type="dxa"/>
          </w:tcPr>
          <w:p w14:paraId="4501094A" w14:textId="77777777" w:rsidR="006E17A5" w:rsidRPr="006E17A5" w:rsidRDefault="006E17A5" w:rsidP="006E17A5">
            <w:pPr>
              <w:cnfStyle w:val="000000000000" w:firstRow="0" w:lastRow="0" w:firstColumn="0" w:lastColumn="0" w:oddVBand="0" w:evenVBand="0" w:oddHBand="0" w:evenHBand="0" w:firstRowFirstColumn="0" w:firstRowLastColumn="0" w:lastRowFirstColumn="0" w:lastRowLastColumn="0"/>
            </w:pPr>
            <w:r w:rsidRPr="006E17A5">
              <w:t>Value of Imputation Credits</w:t>
            </w:r>
          </w:p>
        </w:tc>
      </w:tr>
      <w:tr w:rsidR="006E17A5" w14:paraId="64E13D9D"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A909921" w14:textId="77777777" w:rsidR="006E17A5" w:rsidRPr="006E17A5" w:rsidRDefault="006E17A5" w:rsidP="006E17A5">
            <w:pPr>
              <w:numPr>
                <w:ilvl w:val="0"/>
                <w:numId w:val="24"/>
              </w:numPr>
            </w:pPr>
            <w:r w:rsidRPr="006E17A5">
              <w:t>MRP</w:t>
            </w:r>
          </w:p>
        </w:tc>
        <w:tc>
          <w:tcPr>
            <w:tcW w:w="5041" w:type="dxa"/>
          </w:tcPr>
          <w:p w14:paraId="084F4A47" w14:textId="77777777" w:rsidR="006E17A5" w:rsidRPr="006E17A5" w:rsidRDefault="006E17A5" w:rsidP="006E17A5">
            <w:pPr>
              <w:numPr>
                <w:ilvl w:val="0"/>
                <w:numId w:val="24"/>
              </w:numPr>
              <w:cnfStyle w:val="000000010000" w:firstRow="0" w:lastRow="0" w:firstColumn="0" w:lastColumn="0" w:oddVBand="0" w:evenVBand="0" w:oddHBand="0" w:evenHBand="1" w:firstRowFirstColumn="0" w:firstRowLastColumn="0" w:lastRowFirstColumn="0" w:lastRowLastColumn="0"/>
            </w:pPr>
            <w:r w:rsidRPr="006E17A5">
              <w:t>market risk premium</w:t>
            </w:r>
          </w:p>
        </w:tc>
      </w:tr>
      <w:tr w:rsidR="006E17A5" w14:paraId="727A6DB5"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3005963D" w14:textId="77777777" w:rsidR="006E17A5" w:rsidRPr="006E17A5" w:rsidRDefault="006E17A5" w:rsidP="006E17A5">
            <w:pPr>
              <w:numPr>
                <w:ilvl w:val="0"/>
                <w:numId w:val="24"/>
              </w:numPr>
            </w:pPr>
            <w:r w:rsidRPr="006E17A5">
              <w:t>NGL</w:t>
            </w:r>
          </w:p>
        </w:tc>
        <w:tc>
          <w:tcPr>
            <w:tcW w:w="5041" w:type="dxa"/>
          </w:tcPr>
          <w:p w14:paraId="616172B5"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National Gas Law</w:t>
            </w:r>
          </w:p>
        </w:tc>
      </w:tr>
      <w:tr w:rsidR="006E17A5" w14:paraId="23E918D1"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DCF9E6E" w14:textId="77777777" w:rsidR="006E17A5" w:rsidRPr="006E17A5" w:rsidRDefault="006E17A5" w:rsidP="006E17A5">
            <w:pPr>
              <w:numPr>
                <w:ilvl w:val="0"/>
                <w:numId w:val="24"/>
              </w:numPr>
            </w:pPr>
            <w:r w:rsidRPr="006E17A5">
              <w:t>NGO</w:t>
            </w:r>
          </w:p>
        </w:tc>
        <w:tc>
          <w:tcPr>
            <w:tcW w:w="5041" w:type="dxa"/>
          </w:tcPr>
          <w:p w14:paraId="00FDCE89" w14:textId="77777777" w:rsidR="006E17A5" w:rsidRPr="006E17A5" w:rsidRDefault="006E17A5" w:rsidP="006E17A5">
            <w:pPr>
              <w:numPr>
                <w:ilvl w:val="0"/>
                <w:numId w:val="24"/>
              </w:numPr>
              <w:cnfStyle w:val="000000010000" w:firstRow="0" w:lastRow="0" w:firstColumn="0" w:lastColumn="0" w:oddVBand="0" w:evenVBand="0" w:oddHBand="0" w:evenHBand="1" w:firstRowFirstColumn="0" w:firstRowLastColumn="0" w:lastRowFirstColumn="0" w:lastRowLastColumn="0"/>
            </w:pPr>
            <w:r w:rsidRPr="006E17A5">
              <w:t>national gas objective</w:t>
            </w:r>
          </w:p>
        </w:tc>
      </w:tr>
      <w:tr w:rsidR="006E17A5" w14:paraId="18F5AA80"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4069C280" w14:textId="77777777" w:rsidR="006E17A5" w:rsidRPr="006E17A5" w:rsidRDefault="006E17A5" w:rsidP="006E17A5">
            <w:pPr>
              <w:numPr>
                <w:ilvl w:val="0"/>
                <w:numId w:val="24"/>
              </w:numPr>
            </w:pPr>
            <w:r w:rsidRPr="006E17A5">
              <w:t>NGR</w:t>
            </w:r>
          </w:p>
        </w:tc>
        <w:tc>
          <w:tcPr>
            <w:tcW w:w="5041" w:type="dxa"/>
          </w:tcPr>
          <w:p w14:paraId="34576CCC"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National Gas Rules</w:t>
            </w:r>
          </w:p>
        </w:tc>
      </w:tr>
      <w:tr w:rsidR="006E17A5" w14:paraId="7F9B023D"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39AA28E" w14:textId="77777777" w:rsidR="006E17A5" w:rsidRPr="006E17A5" w:rsidRDefault="006E17A5" w:rsidP="006E17A5">
            <w:pPr>
              <w:numPr>
                <w:ilvl w:val="0"/>
                <w:numId w:val="24"/>
              </w:numPr>
            </w:pPr>
            <w:r w:rsidRPr="006E17A5">
              <w:t>NPV</w:t>
            </w:r>
          </w:p>
        </w:tc>
        <w:tc>
          <w:tcPr>
            <w:tcW w:w="5041" w:type="dxa"/>
          </w:tcPr>
          <w:p w14:paraId="7E5AE1F2" w14:textId="77777777" w:rsidR="006E17A5" w:rsidRPr="006E17A5" w:rsidRDefault="006E17A5" w:rsidP="006E17A5">
            <w:pPr>
              <w:cnfStyle w:val="000000010000" w:firstRow="0" w:lastRow="0" w:firstColumn="0" w:lastColumn="0" w:oddVBand="0" w:evenVBand="0" w:oddHBand="0" w:evenHBand="1" w:firstRowFirstColumn="0" w:firstRowLastColumn="0" w:lastRowFirstColumn="0" w:lastRowLastColumn="0"/>
            </w:pPr>
            <w:r w:rsidRPr="006E17A5">
              <w:t>net present value</w:t>
            </w:r>
          </w:p>
        </w:tc>
      </w:tr>
      <w:tr w:rsidR="006E17A5" w14:paraId="7249442C"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78B1CBA1" w14:textId="77777777" w:rsidR="006E17A5" w:rsidRPr="006E17A5" w:rsidRDefault="006E17A5" w:rsidP="006E17A5">
            <w:pPr>
              <w:numPr>
                <w:ilvl w:val="0"/>
                <w:numId w:val="24"/>
              </w:numPr>
            </w:pPr>
            <w:r w:rsidRPr="006E17A5">
              <w:t>opex</w:t>
            </w:r>
          </w:p>
        </w:tc>
        <w:tc>
          <w:tcPr>
            <w:tcW w:w="5041" w:type="dxa"/>
          </w:tcPr>
          <w:p w14:paraId="57DDC7DD"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operating expenditure</w:t>
            </w:r>
          </w:p>
        </w:tc>
      </w:tr>
      <w:tr w:rsidR="006E17A5" w14:paraId="4F98EE23"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FC9327C" w14:textId="77777777" w:rsidR="006E17A5" w:rsidRPr="006E17A5" w:rsidRDefault="006E17A5" w:rsidP="006E17A5">
            <w:pPr>
              <w:numPr>
                <w:ilvl w:val="0"/>
                <w:numId w:val="24"/>
              </w:numPr>
            </w:pPr>
            <w:r w:rsidRPr="006E17A5">
              <w:t>PTRM</w:t>
            </w:r>
          </w:p>
        </w:tc>
        <w:tc>
          <w:tcPr>
            <w:tcW w:w="5041" w:type="dxa"/>
          </w:tcPr>
          <w:p w14:paraId="64A2AB77" w14:textId="77777777" w:rsidR="006E17A5" w:rsidRPr="006E17A5" w:rsidRDefault="006E17A5" w:rsidP="006E17A5">
            <w:pPr>
              <w:numPr>
                <w:ilvl w:val="0"/>
                <w:numId w:val="24"/>
              </w:numPr>
              <w:cnfStyle w:val="000000010000" w:firstRow="0" w:lastRow="0" w:firstColumn="0" w:lastColumn="0" w:oddVBand="0" w:evenVBand="0" w:oddHBand="0" w:evenHBand="1" w:firstRowFirstColumn="0" w:firstRowLastColumn="0" w:lastRowFirstColumn="0" w:lastRowLastColumn="0"/>
            </w:pPr>
            <w:r w:rsidRPr="006E17A5">
              <w:t>post-tax revenue model</w:t>
            </w:r>
          </w:p>
        </w:tc>
      </w:tr>
      <w:tr w:rsidR="006E17A5" w14:paraId="799368BC"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38F4A2DC" w14:textId="77777777" w:rsidR="006E17A5" w:rsidRPr="006E17A5" w:rsidRDefault="006E17A5" w:rsidP="006E17A5">
            <w:pPr>
              <w:numPr>
                <w:ilvl w:val="0"/>
                <w:numId w:val="24"/>
              </w:numPr>
            </w:pPr>
            <w:r w:rsidRPr="006E17A5">
              <w:t>RBA</w:t>
            </w:r>
          </w:p>
        </w:tc>
        <w:tc>
          <w:tcPr>
            <w:tcW w:w="5041" w:type="dxa"/>
          </w:tcPr>
          <w:p w14:paraId="1C18AC37"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Reserve Bank of Australia</w:t>
            </w:r>
          </w:p>
        </w:tc>
      </w:tr>
      <w:tr w:rsidR="006E17A5" w14:paraId="473BE9FB"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725DB53" w14:textId="77777777" w:rsidR="006E17A5" w:rsidRPr="006E17A5" w:rsidRDefault="006E17A5" w:rsidP="006E17A5">
            <w:pPr>
              <w:numPr>
                <w:ilvl w:val="0"/>
                <w:numId w:val="24"/>
              </w:numPr>
            </w:pPr>
            <w:r w:rsidRPr="006E17A5">
              <w:t>RFM</w:t>
            </w:r>
          </w:p>
        </w:tc>
        <w:tc>
          <w:tcPr>
            <w:tcW w:w="5041" w:type="dxa"/>
          </w:tcPr>
          <w:p w14:paraId="725BCFB3" w14:textId="77777777" w:rsidR="006E17A5" w:rsidRPr="006E17A5" w:rsidRDefault="006E17A5" w:rsidP="006E17A5">
            <w:pPr>
              <w:numPr>
                <w:ilvl w:val="0"/>
                <w:numId w:val="24"/>
              </w:numPr>
              <w:cnfStyle w:val="000000010000" w:firstRow="0" w:lastRow="0" w:firstColumn="0" w:lastColumn="0" w:oddVBand="0" w:evenVBand="0" w:oddHBand="0" w:evenHBand="1" w:firstRowFirstColumn="0" w:firstRowLastColumn="0" w:lastRowFirstColumn="0" w:lastRowLastColumn="0"/>
            </w:pPr>
            <w:r w:rsidRPr="006E17A5">
              <w:t>roll forward model</w:t>
            </w:r>
          </w:p>
        </w:tc>
      </w:tr>
      <w:tr w:rsidR="006E17A5" w14:paraId="2A765650"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608C27DC" w14:textId="77777777" w:rsidR="006E17A5" w:rsidRPr="006E17A5" w:rsidRDefault="006E17A5" w:rsidP="006E17A5">
            <w:pPr>
              <w:numPr>
                <w:ilvl w:val="0"/>
                <w:numId w:val="24"/>
              </w:numPr>
            </w:pPr>
            <w:r w:rsidRPr="006E17A5">
              <w:t>RIN</w:t>
            </w:r>
          </w:p>
        </w:tc>
        <w:tc>
          <w:tcPr>
            <w:tcW w:w="5041" w:type="dxa"/>
          </w:tcPr>
          <w:p w14:paraId="7BE20F6A"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regulatory information notice</w:t>
            </w:r>
          </w:p>
        </w:tc>
      </w:tr>
      <w:tr w:rsidR="006E17A5" w14:paraId="531E03AB"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8D9F7D5" w14:textId="77777777" w:rsidR="006E17A5" w:rsidRPr="006E17A5" w:rsidRDefault="006E17A5" w:rsidP="006E17A5">
            <w:pPr>
              <w:numPr>
                <w:ilvl w:val="0"/>
                <w:numId w:val="24"/>
              </w:numPr>
            </w:pPr>
            <w:r w:rsidRPr="006E17A5">
              <w:t>RPP</w:t>
            </w:r>
          </w:p>
        </w:tc>
        <w:tc>
          <w:tcPr>
            <w:tcW w:w="5041" w:type="dxa"/>
          </w:tcPr>
          <w:p w14:paraId="7D0565C4" w14:textId="77777777" w:rsidR="006E17A5" w:rsidRPr="006E17A5" w:rsidRDefault="006E17A5" w:rsidP="006E17A5">
            <w:pPr>
              <w:numPr>
                <w:ilvl w:val="0"/>
                <w:numId w:val="24"/>
              </w:numPr>
              <w:cnfStyle w:val="000000010000" w:firstRow="0" w:lastRow="0" w:firstColumn="0" w:lastColumn="0" w:oddVBand="0" w:evenVBand="0" w:oddHBand="0" w:evenHBand="1" w:firstRowFirstColumn="0" w:firstRowLastColumn="0" w:lastRowFirstColumn="0" w:lastRowLastColumn="0"/>
            </w:pPr>
            <w:r w:rsidRPr="006E17A5">
              <w:t>revenue and pricing principles</w:t>
            </w:r>
          </w:p>
        </w:tc>
      </w:tr>
      <w:tr w:rsidR="006E17A5" w14:paraId="15E5F50E"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417F8D83" w14:textId="77777777" w:rsidR="006E17A5" w:rsidRPr="006E17A5" w:rsidRDefault="006E17A5" w:rsidP="006E17A5">
            <w:pPr>
              <w:numPr>
                <w:ilvl w:val="0"/>
                <w:numId w:val="24"/>
              </w:numPr>
            </w:pPr>
            <w:r w:rsidRPr="006E17A5">
              <w:t>SLCAPM</w:t>
            </w:r>
          </w:p>
        </w:tc>
        <w:tc>
          <w:tcPr>
            <w:tcW w:w="5041" w:type="dxa"/>
          </w:tcPr>
          <w:p w14:paraId="5564C4FD"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Sharpe-Lintner capital asset pricing model</w:t>
            </w:r>
          </w:p>
        </w:tc>
      </w:tr>
      <w:tr w:rsidR="006E17A5" w14:paraId="29BDCB0D"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1F6D714" w14:textId="77777777" w:rsidR="006E17A5" w:rsidRPr="006E17A5" w:rsidRDefault="006E17A5" w:rsidP="006E17A5">
            <w:pPr>
              <w:numPr>
                <w:ilvl w:val="0"/>
                <w:numId w:val="24"/>
              </w:numPr>
            </w:pPr>
            <w:r w:rsidRPr="006E17A5">
              <w:t>STTM</w:t>
            </w:r>
          </w:p>
        </w:tc>
        <w:tc>
          <w:tcPr>
            <w:tcW w:w="5041" w:type="dxa"/>
          </w:tcPr>
          <w:p w14:paraId="65A5EE8F" w14:textId="77777777" w:rsidR="006E17A5" w:rsidRPr="006E17A5" w:rsidRDefault="006E17A5" w:rsidP="006E17A5">
            <w:pPr>
              <w:cnfStyle w:val="000000010000" w:firstRow="0" w:lastRow="0" w:firstColumn="0" w:lastColumn="0" w:oddVBand="0" w:evenVBand="0" w:oddHBand="0" w:evenHBand="1" w:firstRowFirstColumn="0" w:firstRowLastColumn="0" w:lastRowFirstColumn="0" w:lastRowLastColumn="0"/>
            </w:pPr>
            <w:r w:rsidRPr="006E17A5">
              <w:t>Short Term Trading Market</w:t>
            </w:r>
          </w:p>
        </w:tc>
      </w:tr>
      <w:tr w:rsidR="006E17A5" w14:paraId="10693470"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71238929" w14:textId="77777777" w:rsidR="006E17A5" w:rsidRPr="006E17A5" w:rsidRDefault="006E17A5" w:rsidP="006E17A5">
            <w:pPr>
              <w:numPr>
                <w:ilvl w:val="0"/>
                <w:numId w:val="24"/>
              </w:numPr>
            </w:pPr>
            <w:r w:rsidRPr="006E17A5">
              <w:t>TAB</w:t>
            </w:r>
          </w:p>
        </w:tc>
        <w:tc>
          <w:tcPr>
            <w:tcW w:w="5041" w:type="dxa"/>
          </w:tcPr>
          <w:p w14:paraId="7B51E91F" w14:textId="77777777" w:rsidR="006E17A5" w:rsidRPr="006E17A5" w:rsidRDefault="006E17A5" w:rsidP="006E17A5">
            <w:pPr>
              <w:cnfStyle w:val="000000000000" w:firstRow="0" w:lastRow="0" w:firstColumn="0" w:lastColumn="0" w:oddVBand="0" w:evenVBand="0" w:oddHBand="0" w:evenHBand="0" w:firstRowFirstColumn="0" w:firstRowLastColumn="0" w:lastRowFirstColumn="0" w:lastRowLastColumn="0"/>
            </w:pPr>
            <w:r w:rsidRPr="006E17A5">
              <w:t>Tax asset base</w:t>
            </w:r>
          </w:p>
        </w:tc>
      </w:tr>
      <w:tr w:rsidR="006E17A5" w14:paraId="031FF635"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F0D6F00" w14:textId="77777777" w:rsidR="006E17A5" w:rsidRPr="006E17A5" w:rsidRDefault="006E17A5" w:rsidP="006E17A5">
            <w:pPr>
              <w:numPr>
                <w:ilvl w:val="0"/>
                <w:numId w:val="24"/>
              </w:numPr>
            </w:pPr>
            <w:r w:rsidRPr="006E17A5">
              <w:t>UAFG</w:t>
            </w:r>
          </w:p>
        </w:tc>
        <w:tc>
          <w:tcPr>
            <w:tcW w:w="5041" w:type="dxa"/>
          </w:tcPr>
          <w:p w14:paraId="31682353" w14:textId="77777777" w:rsidR="006E17A5" w:rsidRPr="006E17A5" w:rsidRDefault="006E17A5" w:rsidP="006E17A5">
            <w:pPr>
              <w:cnfStyle w:val="000000010000" w:firstRow="0" w:lastRow="0" w:firstColumn="0" w:lastColumn="0" w:oddVBand="0" w:evenVBand="0" w:oddHBand="0" w:evenHBand="1" w:firstRowFirstColumn="0" w:firstRowLastColumn="0" w:lastRowFirstColumn="0" w:lastRowLastColumn="0"/>
            </w:pPr>
            <w:r w:rsidRPr="006E17A5">
              <w:t>Unaccounted for gas</w:t>
            </w:r>
          </w:p>
        </w:tc>
      </w:tr>
      <w:tr w:rsidR="006E17A5" w14:paraId="4500AA5E" w14:textId="77777777" w:rsidTr="006E17A5">
        <w:tc>
          <w:tcPr>
            <w:cnfStyle w:val="001000000000" w:firstRow="0" w:lastRow="0" w:firstColumn="1" w:lastColumn="0" w:oddVBand="0" w:evenVBand="0" w:oddHBand="0" w:evenHBand="0" w:firstRowFirstColumn="0" w:firstRowLastColumn="0" w:lastRowFirstColumn="0" w:lastRowLastColumn="0"/>
            <w:tcW w:w="3652" w:type="dxa"/>
          </w:tcPr>
          <w:p w14:paraId="7C34F491" w14:textId="77777777" w:rsidR="006E17A5" w:rsidRPr="006E17A5" w:rsidRDefault="006E17A5" w:rsidP="006E17A5">
            <w:pPr>
              <w:numPr>
                <w:ilvl w:val="0"/>
                <w:numId w:val="24"/>
              </w:numPr>
            </w:pPr>
            <w:r w:rsidRPr="006E17A5">
              <w:t>WACC</w:t>
            </w:r>
          </w:p>
        </w:tc>
        <w:tc>
          <w:tcPr>
            <w:tcW w:w="5041" w:type="dxa"/>
          </w:tcPr>
          <w:p w14:paraId="16974A0E" w14:textId="77777777" w:rsidR="006E17A5" w:rsidRPr="006E17A5" w:rsidRDefault="006E17A5" w:rsidP="006E17A5">
            <w:pPr>
              <w:numPr>
                <w:ilvl w:val="0"/>
                <w:numId w:val="24"/>
              </w:numPr>
              <w:cnfStyle w:val="000000000000" w:firstRow="0" w:lastRow="0" w:firstColumn="0" w:lastColumn="0" w:oddVBand="0" w:evenVBand="0" w:oddHBand="0" w:evenHBand="0" w:firstRowFirstColumn="0" w:firstRowLastColumn="0" w:lastRowFirstColumn="0" w:lastRowLastColumn="0"/>
            </w:pPr>
            <w:r w:rsidRPr="006E17A5">
              <w:t>weighted average cost of capital</w:t>
            </w:r>
          </w:p>
        </w:tc>
      </w:tr>
      <w:tr w:rsidR="006E17A5" w14:paraId="1F8F990F" w14:textId="77777777" w:rsidTr="006E17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594A33A" w14:textId="77777777" w:rsidR="006E17A5" w:rsidRPr="006E17A5" w:rsidRDefault="006E17A5" w:rsidP="006E17A5">
            <w:pPr>
              <w:numPr>
                <w:ilvl w:val="0"/>
                <w:numId w:val="24"/>
              </w:numPr>
            </w:pPr>
            <w:r w:rsidRPr="006E17A5">
              <w:t>WPI</w:t>
            </w:r>
          </w:p>
        </w:tc>
        <w:tc>
          <w:tcPr>
            <w:tcW w:w="5041" w:type="dxa"/>
          </w:tcPr>
          <w:p w14:paraId="7246C20E" w14:textId="77777777" w:rsidR="006E17A5" w:rsidRPr="006E17A5" w:rsidRDefault="006E17A5" w:rsidP="006E17A5">
            <w:pPr>
              <w:cnfStyle w:val="000000010000" w:firstRow="0" w:lastRow="0" w:firstColumn="0" w:lastColumn="0" w:oddVBand="0" w:evenVBand="0" w:oddHBand="0" w:evenHBand="1" w:firstRowFirstColumn="0" w:firstRowLastColumn="0" w:lastRowFirstColumn="0" w:lastRowLastColumn="0"/>
            </w:pPr>
            <w:r w:rsidRPr="006E17A5">
              <w:t>Wage Price Index</w:t>
            </w:r>
          </w:p>
        </w:tc>
      </w:tr>
    </w:tbl>
    <w:p w14:paraId="4C4D7CC0" w14:textId="10461A82" w:rsidR="00CE2A23" w:rsidRPr="006E17A5" w:rsidRDefault="00CE2A23" w:rsidP="004131F9"/>
    <w:p w14:paraId="749ADEE2" w14:textId="77777777" w:rsidR="00DE563D" w:rsidRDefault="00D4375F" w:rsidP="00D4375F">
      <w:pPr>
        <w:pStyle w:val="Heading1"/>
      </w:pPr>
      <w:bookmarkStart w:id="13" w:name="_Toc485903205"/>
      <w:bookmarkStart w:id="14" w:name="_Toc486327778"/>
      <w:bookmarkStart w:id="15" w:name="_Toc486840354"/>
      <w:bookmarkStart w:id="16" w:name="_Toc485903208"/>
      <w:bookmarkStart w:id="17" w:name="_Toc486327781"/>
      <w:bookmarkStart w:id="18" w:name="_Toc486840357"/>
      <w:bookmarkStart w:id="19" w:name="_Toc485903211"/>
      <w:bookmarkStart w:id="20" w:name="_Toc486327784"/>
      <w:bookmarkStart w:id="21" w:name="_Toc486840360"/>
      <w:bookmarkStart w:id="22" w:name="_Toc485903214"/>
      <w:bookmarkStart w:id="23" w:name="_Toc486327787"/>
      <w:bookmarkStart w:id="24" w:name="_Toc486840363"/>
      <w:bookmarkStart w:id="25" w:name="_Toc485903217"/>
      <w:bookmarkStart w:id="26" w:name="_Toc486327790"/>
      <w:bookmarkStart w:id="27" w:name="_Toc486840366"/>
      <w:bookmarkStart w:id="28" w:name="_Toc485903220"/>
      <w:bookmarkStart w:id="29" w:name="_Toc486327793"/>
      <w:bookmarkStart w:id="30" w:name="_Toc486840369"/>
      <w:bookmarkStart w:id="31" w:name="_Toc485903223"/>
      <w:bookmarkStart w:id="32" w:name="_Toc486327796"/>
      <w:bookmarkStart w:id="33" w:name="_Toc486840372"/>
      <w:bookmarkStart w:id="34" w:name="_Toc485903226"/>
      <w:bookmarkStart w:id="35" w:name="_Toc486327799"/>
      <w:bookmarkStart w:id="36" w:name="_Toc486840375"/>
      <w:bookmarkStart w:id="37" w:name="_Toc485903229"/>
      <w:bookmarkStart w:id="38" w:name="_Toc486327802"/>
      <w:bookmarkStart w:id="39" w:name="_Toc486840378"/>
      <w:bookmarkStart w:id="40" w:name="_Toc485903232"/>
      <w:bookmarkStart w:id="41" w:name="_Toc486327805"/>
      <w:bookmarkStart w:id="42" w:name="_Toc486840381"/>
      <w:bookmarkStart w:id="43" w:name="_Toc485903235"/>
      <w:bookmarkStart w:id="44" w:name="_Toc486327808"/>
      <w:bookmarkStart w:id="45" w:name="_Toc486840384"/>
      <w:bookmarkStart w:id="46" w:name="_Toc485903238"/>
      <w:bookmarkStart w:id="47" w:name="_Toc486327811"/>
      <w:bookmarkStart w:id="48" w:name="_Toc486840387"/>
      <w:bookmarkStart w:id="49" w:name="_Toc485903241"/>
      <w:bookmarkStart w:id="50" w:name="_Toc486327814"/>
      <w:bookmarkStart w:id="51" w:name="_Toc486840390"/>
      <w:bookmarkStart w:id="52" w:name="_Toc485903244"/>
      <w:bookmarkStart w:id="53" w:name="_Toc486327817"/>
      <w:bookmarkStart w:id="54" w:name="_Toc486840393"/>
      <w:bookmarkStart w:id="55" w:name="_Toc485903247"/>
      <w:bookmarkStart w:id="56" w:name="_Toc486327820"/>
      <w:bookmarkStart w:id="57" w:name="_Toc486840396"/>
      <w:bookmarkStart w:id="58" w:name="_Toc485903250"/>
      <w:bookmarkStart w:id="59" w:name="_Toc486327823"/>
      <w:bookmarkStart w:id="60" w:name="_Toc486840399"/>
      <w:bookmarkStart w:id="61" w:name="_Toc485903253"/>
      <w:bookmarkStart w:id="62" w:name="_Toc486327826"/>
      <w:bookmarkStart w:id="63" w:name="_Toc486840402"/>
      <w:bookmarkStart w:id="64" w:name="_Toc485903256"/>
      <w:bookmarkStart w:id="65" w:name="_Toc486327829"/>
      <w:bookmarkStart w:id="66" w:name="_Toc486840405"/>
      <w:bookmarkStart w:id="67" w:name="_Toc485903259"/>
      <w:bookmarkStart w:id="68" w:name="_Toc486327832"/>
      <w:bookmarkStart w:id="69" w:name="_Toc486840408"/>
      <w:bookmarkStart w:id="70" w:name="_Toc485903262"/>
      <w:bookmarkStart w:id="71" w:name="_Toc486327835"/>
      <w:bookmarkStart w:id="72" w:name="_Toc486840411"/>
      <w:bookmarkStart w:id="73" w:name="_Toc485903265"/>
      <w:bookmarkStart w:id="74" w:name="_Toc486327838"/>
      <w:bookmarkStart w:id="75" w:name="_Toc486840414"/>
      <w:bookmarkStart w:id="76" w:name="_Toc485903268"/>
      <w:bookmarkStart w:id="77" w:name="_Toc486327841"/>
      <w:bookmarkStart w:id="78" w:name="_Toc486840417"/>
      <w:bookmarkStart w:id="79" w:name="_Toc485903271"/>
      <w:bookmarkStart w:id="80" w:name="_Toc486327844"/>
      <w:bookmarkStart w:id="81" w:name="_Toc486840420"/>
      <w:bookmarkStart w:id="82" w:name="_Toc485903274"/>
      <w:bookmarkStart w:id="83" w:name="_Toc486327847"/>
      <w:bookmarkStart w:id="84" w:name="_Toc486840423"/>
      <w:bookmarkStart w:id="85" w:name="_Toc485903277"/>
      <w:bookmarkStart w:id="86" w:name="_Toc486327850"/>
      <w:bookmarkStart w:id="87" w:name="_Toc486840426"/>
      <w:bookmarkStart w:id="88" w:name="_Toc485903280"/>
      <w:bookmarkStart w:id="89" w:name="_Toc486327853"/>
      <w:bookmarkStart w:id="90" w:name="_Toc486840429"/>
      <w:bookmarkStart w:id="91" w:name="_Toc485903283"/>
      <w:bookmarkStart w:id="92" w:name="_Toc486327856"/>
      <w:bookmarkStart w:id="93" w:name="_Toc486840432"/>
      <w:bookmarkStart w:id="94" w:name="_Toc485903286"/>
      <w:bookmarkStart w:id="95" w:name="_Toc486327859"/>
      <w:bookmarkStart w:id="96" w:name="_Toc486840435"/>
      <w:bookmarkStart w:id="97" w:name="_Toc416278154"/>
      <w:bookmarkStart w:id="98" w:name="_Toc416346517"/>
      <w:bookmarkStart w:id="99" w:name="_Toc416278157"/>
      <w:bookmarkStart w:id="100" w:name="_Toc416346520"/>
      <w:bookmarkStart w:id="101" w:name="_Toc416278160"/>
      <w:bookmarkStart w:id="102" w:name="_Toc416346523"/>
      <w:bookmarkStart w:id="103" w:name="_Toc416278163"/>
      <w:bookmarkStart w:id="104" w:name="_Toc416346526"/>
      <w:bookmarkStart w:id="105" w:name="_Toc416278166"/>
      <w:bookmarkStart w:id="106" w:name="_Toc416346529"/>
      <w:bookmarkStart w:id="107" w:name="_Toc416278169"/>
      <w:bookmarkStart w:id="108" w:name="_Toc416346532"/>
      <w:bookmarkStart w:id="109" w:name="_Toc416278172"/>
      <w:bookmarkStart w:id="110" w:name="_Toc416346535"/>
      <w:bookmarkStart w:id="111" w:name="_Toc416278175"/>
      <w:bookmarkStart w:id="112" w:name="_Toc416346538"/>
      <w:bookmarkStart w:id="113" w:name="_Toc416278178"/>
      <w:bookmarkStart w:id="114" w:name="_Toc416346541"/>
      <w:bookmarkStart w:id="115" w:name="_Toc416278181"/>
      <w:bookmarkStart w:id="116" w:name="_Toc416346544"/>
      <w:bookmarkStart w:id="117" w:name="_Toc416278184"/>
      <w:bookmarkStart w:id="118" w:name="_Toc416346547"/>
      <w:bookmarkStart w:id="119" w:name="_Toc416278187"/>
      <w:bookmarkStart w:id="120" w:name="_Toc416346550"/>
      <w:bookmarkStart w:id="121" w:name="_Toc416278190"/>
      <w:bookmarkStart w:id="122" w:name="_Toc416346553"/>
      <w:bookmarkStart w:id="123" w:name="_Toc416278193"/>
      <w:bookmarkStart w:id="124" w:name="_Toc416346556"/>
      <w:bookmarkStart w:id="125" w:name="_Toc416278196"/>
      <w:bookmarkStart w:id="126" w:name="_Toc416346559"/>
      <w:bookmarkStart w:id="127" w:name="_Toc416278199"/>
      <w:bookmarkStart w:id="128" w:name="_Toc416346562"/>
      <w:bookmarkStart w:id="129" w:name="_Toc416278202"/>
      <w:bookmarkStart w:id="130" w:name="_Toc416346565"/>
      <w:bookmarkStart w:id="131" w:name="_Toc416278205"/>
      <w:bookmarkStart w:id="132" w:name="_Toc416346568"/>
      <w:bookmarkStart w:id="133" w:name="_Toc416278208"/>
      <w:bookmarkStart w:id="134" w:name="_Toc416346571"/>
      <w:bookmarkStart w:id="135" w:name="_Toc416278211"/>
      <w:bookmarkStart w:id="136" w:name="_Toc416346574"/>
      <w:bookmarkStart w:id="137" w:name="_Toc416278214"/>
      <w:bookmarkStart w:id="138" w:name="_Toc416346577"/>
      <w:bookmarkStart w:id="139" w:name="_Toc416278217"/>
      <w:bookmarkStart w:id="140" w:name="_Toc416346580"/>
      <w:bookmarkStart w:id="141" w:name="_Toc416278220"/>
      <w:bookmarkStart w:id="142" w:name="_Toc416346583"/>
      <w:bookmarkStart w:id="143" w:name="_Toc416278223"/>
      <w:bookmarkStart w:id="144" w:name="_Toc416346586"/>
      <w:bookmarkStart w:id="145" w:name="_Toc416278226"/>
      <w:bookmarkStart w:id="146" w:name="_Toc416346589"/>
      <w:bookmarkStart w:id="147" w:name="_Toc416278229"/>
      <w:bookmarkStart w:id="148" w:name="_Toc416346592"/>
      <w:bookmarkStart w:id="149" w:name="_Toc416278232"/>
      <w:bookmarkStart w:id="150" w:name="_Toc416346595"/>
      <w:bookmarkStart w:id="151" w:name="_Toc416278235"/>
      <w:bookmarkStart w:id="152" w:name="_Toc416346598"/>
      <w:bookmarkStart w:id="153" w:name="_Toc416278238"/>
      <w:bookmarkStart w:id="154" w:name="_Toc416346601"/>
      <w:bookmarkStart w:id="155" w:name="_Toc48684202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Capital expenditure</w:t>
      </w:r>
      <w:bookmarkEnd w:id="155"/>
    </w:p>
    <w:p w14:paraId="68717562" w14:textId="06771617" w:rsidR="00197304" w:rsidRDefault="00197304" w:rsidP="00132D43">
      <w:r>
        <w:t>Capital expenditure (capex) refers to the capital costs and expenditure incurred in the provision of pipeline services.</w:t>
      </w:r>
      <w:r>
        <w:rPr>
          <w:rStyle w:val="FootnoteReference"/>
        </w:rPr>
        <w:footnoteReference w:id="1"/>
      </w:r>
      <w:r>
        <w:t xml:space="preserve"> This investment mostly relates to assets with long lives and these costs are recovered over several regulatory periods.</w:t>
      </w:r>
    </w:p>
    <w:p w14:paraId="74657551" w14:textId="270E5864" w:rsidR="00132D43" w:rsidRPr="00132D43" w:rsidRDefault="00A85A31" w:rsidP="00132D43">
      <w:r>
        <w:t>This attachment outlines our assessment of AusNet's proposed confor</w:t>
      </w:r>
      <w:r w:rsidR="00197304">
        <w:t>ming capex</w:t>
      </w:r>
      <w:r>
        <w:t xml:space="preserve"> for 2012–</w:t>
      </w:r>
      <w:r w:rsidR="00E319AD">
        <w:t>16</w:t>
      </w:r>
      <w:r w:rsidR="00197304">
        <w:t>, which forms part of its opening capital base.</w:t>
      </w:r>
      <w:r w:rsidR="00197304">
        <w:rPr>
          <w:rStyle w:val="FootnoteReference"/>
        </w:rPr>
        <w:footnoteReference w:id="2"/>
      </w:r>
      <w:r>
        <w:t xml:space="preserve"> </w:t>
      </w:r>
      <w:r w:rsidR="00197304">
        <w:t xml:space="preserve">It also outlines our assessment of forecast capex for the </w:t>
      </w:r>
      <w:r>
        <w:t>2018–22 access arrangement period</w:t>
      </w:r>
      <w:r w:rsidR="00197304">
        <w:t>, which forms part of its projected capital base</w:t>
      </w:r>
      <w:r>
        <w:t>.</w:t>
      </w:r>
      <w:r w:rsidR="00197304">
        <w:rPr>
          <w:rStyle w:val="FootnoteReference"/>
        </w:rPr>
        <w:footnoteReference w:id="3"/>
      </w:r>
    </w:p>
    <w:p w14:paraId="73528FF2" w14:textId="77777777" w:rsidR="00132D43" w:rsidRDefault="00132D43" w:rsidP="00132D43">
      <w:pPr>
        <w:pStyle w:val="Heading2"/>
      </w:pPr>
      <w:bookmarkStart w:id="156" w:name="_Toc486842028"/>
      <w:r>
        <w:t>Draft decision</w:t>
      </w:r>
      <w:bookmarkEnd w:id="156"/>
    </w:p>
    <w:p w14:paraId="416929EE" w14:textId="2BC0BD86" w:rsidR="00132D43" w:rsidRDefault="00A85A31" w:rsidP="004131F9">
      <w:pPr>
        <w:pStyle w:val="Heading3"/>
        <w:ind w:left="720"/>
      </w:pPr>
      <w:bookmarkStart w:id="157" w:name="_Toc486842029"/>
      <w:r>
        <w:t>Conforming capital expenditure for 2012–1</w:t>
      </w:r>
      <w:r w:rsidR="009D566C">
        <w:t>6</w:t>
      </w:r>
      <w:bookmarkEnd w:id="157"/>
    </w:p>
    <w:p w14:paraId="7A7A6267" w14:textId="77777777" w:rsidR="00A85A31" w:rsidRDefault="00A85A31" w:rsidP="00A85A31">
      <w:r>
        <w:t>We approve $</w:t>
      </w:r>
      <w:r w:rsidR="0010298E">
        <w:t>463.4</w:t>
      </w:r>
      <w:r>
        <w:t xml:space="preserve"> million ($2017) of total net capex for AusNet during the 2012–16 </w:t>
      </w:r>
      <w:proofErr w:type="gramStart"/>
      <w:r>
        <w:t>period</w:t>
      </w:r>
      <w:proofErr w:type="gramEnd"/>
      <w:r>
        <w:t xml:space="preserve"> as conforming capex under the NGR.</w:t>
      </w:r>
      <w:r>
        <w:rPr>
          <w:rStyle w:val="FootnoteReference"/>
        </w:rPr>
        <w:footnoteReference w:id="4"/>
      </w:r>
    </w:p>
    <w:p w14:paraId="441E0C8B" w14:textId="20210EA4" w:rsidR="00A85A31" w:rsidRDefault="009D7A67" w:rsidP="00A85A31">
      <w:r>
        <w:fldChar w:fldCharType="begin"/>
      </w:r>
      <w:r>
        <w:instrText xml:space="preserve"> REF _Ref485370464 </w:instrText>
      </w:r>
      <w:r>
        <w:fldChar w:fldCharType="separate"/>
      </w:r>
      <w:r w:rsidR="00745B71">
        <w:rPr>
          <w:b/>
          <w:bCs/>
          <w:lang w:val="en-US"/>
        </w:rPr>
        <w:t>Error! Reference source not found.</w:t>
      </w:r>
      <w:r>
        <w:rPr>
          <w:b/>
          <w:bCs/>
          <w:lang w:val="en-US"/>
        </w:rPr>
        <w:fldChar w:fldCharType="end"/>
      </w:r>
      <w:r w:rsidR="005F4F11">
        <w:t xml:space="preserve"> </w:t>
      </w:r>
      <w:proofErr w:type="gramStart"/>
      <w:r w:rsidR="00A85A31">
        <w:t>shows</w:t>
      </w:r>
      <w:proofErr w:type="gramEnd"/>
      <w:r w:rsidR="00A85A31">
        <w:t xml:space="preserve"> our approved capex for 2012–16 by category.</w:t>
      </w:r>
    </w:p>
    <w:p w14:paraId="4FD4058A" w14:textId="66CC68CF" w:rsidR="00A85A31" w:rsidRPr="00A85A31" w:rsidRDefault="005F4F11" w:rsidP="006E17A5">
      <w:pPr>
        <w:pStyle w:val="Caption"/>
      </w:pPr>
      <w:bookmarkStart w:id="158" w:name="_Ref485894742"/>
      <w:r>
        <w:t xml:space="preserve">Table </w:t>
      </w:r>
      <w:fldSimple w:instr=" STYLEREF 1 \s ">
        <w:r w:rsidR="00745B71">
          <w:rPr>
            <w:noProof/>
          </w:rPr>
          <w:t>6</w:t>
        </w:r>
      </w:fldSimple>
      <w:r w:rsidR="00147A09">
        <w:t>.</w:t>
      </w:r>
      <w:fldSimple w:instr=" SEQ Table \* ARABIC \s 1 ">
        <w:r w:rsidR="00745B71">
          <w:rPr>
            <w:noProof/>
          </w:rPr>
          <w:t>1</w:t>
        </w:r>
      </w:fldSimple>
      <w:bookmarkEnd w:id="158"/>
      <w:r w:rsidR="00511B8B">
        <w:tab/>
      </w:r>
      <w:r w:rsidR="00A85A31" w:rsidRPr="00A85A31">
        <w:t>AER approved capital expenditure by category over 2012–17 ($million, 2017)</w:t>
      </w:r>
    </w:p>
    <w:tbl>
      <w:tblPr>
        <w:tblStyle w:val="AERtable-numbers"/>
        <w:tblW w:w="0" w:type="auto"/>
        <w:tblLayout w:type="fixed"/>
        <w:tblLook w:val="04A0" w:firstRow="1" w:lastRow="0" w:firstColumn="1" w:lastColumn="0" w:noHBand="0" w:noVBand="1"/>
      </w:tblPr>
      <w:tblGrid>
        <w:gridCol w:w="2093"/>
        <w:gridCol w:w="850"/>
        <w:gridCol w:w="1036"/>
        <w:gridCol w:w="1171"/>
        <w:gridCol w:w="1171"/>
        <w:gridCol w:w="1171"/>
        <w:gridCol w:w="1201"/>
      </w:tblGrid>
      <w:tr w:rsidR="00A85A31" w14:paraId="5257353B" w14:textId="77777777" w:rsidTr="0010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3E55F32" w14:textId="77777777" w:rsidR="00A85A31" w:rsidRPr="00A85A31" w:rsidRDefault="00A85A31" w:rsidP="004131F9">
            <w:pPr>
              <w:pStyle w:val="AERtabletextleft"/>
              <w:keepNext/>
              <w:rPr>
                <w:b w:val="0"/>
                <w:color w:val="auto"/>
                <w:lang w:eastAsia="en-US"/>
              </w:rPr>
            </w:pPr>
            <w:r>
              <w:t>Category</w:t>
            </w:r>
          </w:p>
        </w:tc>
        <w:tc>
          <w:tcPr>
            <w:tcW w:w="850" w:type="dxa"/>
          </w:tcPr>
          <w:p w14:paraId="6181AF65" w14:textId="77777777" w:rsidR="00A85A31" w:rsidRPr="00A85A31" w:rsidRDefault="00A85A31" w:rsidP="004131F9">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2012</w:t>
            </w:r>
          </w:p>
        </w:tc>
        <w:tc>
          <w:tcPr>
            <w:tcW w:w="1036" w:type="dxa"/>
          </w:tcPr>
          <w:p w14:paraId="4732924D" w14:textId="77777777" w:rsidR="00A85A31" w:rsidRPr="00A85A31" w:rsidRDefault="00A85A31" w:rsidP="004131F9">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2013</w:t>
            </w:r>
          </w:p>
        </w:tc>
        <w:tc>
          <w:tcPr>
            <w:tcW w:w="1171" w:type="dxa"/>
          </w:tcPr>
          <w:p w14:paraId="7A23814A" w14:textId="77777777" w:rsidR="00A85A31" w:rsidRPr="00A85A31" w:rsidRDefault="00A85A31" w:rsidP="004131F9">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2014</w:t>
            </w:r>
          </w:p>
        </w:tc>
        <w:tc>
          <w:tcPr>
            <w:tcW w:w="1171" w:type="dxa"/>
          </w:tcPr>
          <w:p w14:paraId="3F23F49C" w14:textId="77777777" w:rsidR="00A85A31" w:rsidRPr="00A85A31" w:rsidRDefault="00A85A31" w:rsidP="004131F9">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2015</w:t>
            </w:r>
          </w:p>
        </w:tc>
        <w:tc>
          <w:tcPr>
            <w:tcW w:w="1171" w:type="dxa"/>
          </w:tcPr>
          <w:p w14:paraId="616BE0E8" w14:textId="77777777" w:rsidR="00A85A31" w:rsidRPr="00A85A31" w:rsidRDefault="00A85A31" w:rsidP="004131F9">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2016</w:t>
            </w:r>
          </w:p>
        </w:tc>
        <w:tc>
          <w:tcPr>
            <w:tcW w:w="1201" w:type="dxa"/>
          </w:tcPr>
          <w:p w14:paraId="02A01521" w14:textId="77777777" w:rsidR="00A85A31" w:rsidRPr="00A85A31" w:rsidRDefault="00A85A31" w:rsidP="004131F9">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2017(a)</w:t>
            </w:r>
          </w:p>
        </w:tc>
      </w:tr>
      <w:tr w:rsidR="0005115F" w14:paraId="784066E2" w14:textId="77777777" w:rsidTr="0010298E">
        <w:tc>
          <w:tcPr>
            <w:cnfStyle w:val="001000000000" w:firstRow="0" w:lastRow="0" w:firstColumn="1" w:lastColumn="0" w:oddVBand="0" w:evenVBand="0" w:oddHBand="0" w:evenHBand="0" w:firstRowFirstColumn="0" w:firstRowLastColumn="0" w:lastRowFirstColumn="0" w:lastRowLastColumn="0"/>
            <w:tcW w:w="2093" w:type="dxa"/>
          </w:tcPr>
          <w:p w14:paraId="76A1F2A6" w14:textId="77777777" w:rsidR="0005115F" w:rsidRPr="0005115F" w:rsidRDefault="0005115F" w:rsidP="004131F9">
            <w:pPr>
              <w:pStyle w:val="AERtabletextleft"/>
              <w:keepNext/>
              <w:rPr>
                <w:lang w:eastAsia="en-US"/>
              </w:rPr>
            </w:pPr>
            <w:r w:rsidRPr="0005115F">
              <w:t>Connections</w:t>
            </w:r>
          </w:p>
        </w:tc>
        <w:tc>
          <w:tcPr>
            <w:tcW w:w="850" w:type="dxa"/>
            <w:vAlign w:val="top"/>
          </w:tcPr>
          <w:p w14:paraId="3DE6AF75"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40.6</w:t>
            </w:r>
          </w:p>
        </w:tc>
        <w:tc>
          <w:tcPr>
            <w:tcW w:w="1036" w:type="dxa"/>
            <w:vAlign w:val="top"/>
          </w:tcPr>
          <w:p w14:paraId="55E5FDBC"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33.4</w:t>
            </w:r>
          </w:p>
        </w:tc>
        <w:tc>
          <w:tcPr>
            <w:tcW w:w="1171" w:type="dxa"/>
            <w:vAlign w:val="top"/>
          </w:tcPr>
          <w:p w14:paraId="7343F427"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30.8</w:t>
            </w:r>
          </w:p>
        </w:tc>
        <w:tc>
          <w:tcPr>
            <w:tcW w:w="1171" w:type="dxa"/>
            <w:vAlign w:val="top"/>
          </w:tcPr>
          <w:p w14:paraId="10FA7ABA"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33.8</w:t>
            </w:r>
          </w:p>
        </w:tc>
        <w:tc>
          <w:tcPr>
            <w:tcW w:w="1171" w:type="dxa"/>
            <w:vAlign w:val="top"/>
          </w:tcPr>
          <w:p w14:paraId="7442DD1A"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45.7</w:t>
            </w:r>
          </w:p>
        </w:tc>
        <w:tc>
          <w:tcPr>
            <w:tcW w:w="1201" w:type="dxa"/>
            <w:vAlign w:val="top"/>
          </w:tcPr>
          <w:p w14:paraId="44291CBD"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36.1</w:t>
            </w:r>
          </w:p>
        </w:tc>
      </w:tr>
      <w:tr w:rsidR="0005115F" w14:paraId="66C8D506" w14:textId="77777777" w:rsidTr="00102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9B7DF57" w14:textId="77777777" w:rsidR="0005115F" w:rsidRPr="0005115F" w:rsidRDefault="0005115F" w:rsidP="004131F9">
            <w:pPr>
              <w:pStyle w:val="AERtabletextleft"/>
              <w:keepNext/>
              <w:rPr>
                <w:b/>
                <w:bCs/>
                <w:lang w:eastAsia="en-US"/>
              </w:rPr>
            </w:pPr>
            <w:r w:rsidRPr="0005115F">
              <w:t>Mains replacement</w:t>
            </w:r>
          </w:p>
        </w:tc>
        <w:tc>
          <w:tcPr>
            <w:tcW w:w="850" w:type="dxa"/>
            <w:vAlign w:val="top"/>
          </w:tcPr>
          <w:p w14:paraId="7DFFF487"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20.7</w:t>
            </w:r>
          </w:p>
        </w:tc>
        <w:tc>
          <w:tcPr>
            <w:tcW w:w="1036" w:type="dxa"/>
            <w:vAlign w:val="top"/>
          </w:tcPr>
          <w:p w14:paraId="5F54DCC5"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18.6</w:t>
            </w:r>
          </w:p>
        </w:tc>
        <w:tc>
          <w:tcPr>
            <w:tcW w:w="1171" w:type="dxa"/>
            <w:vAlign w:val="top"/>
          </w:tcPr>
          <w:p w14:paraId="55A669FA"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25.8</w:t>
            </w:r>
          </w:p>
        </w:tc>
        <w:tc>
          <w:tcPr>
            <w:tcW w:w="1171" w:type="dxa"/>
            <w:vAlign w:val="top"/>
          </w:tcPr>
          <w:p w14:paraId="6C3C71B0"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22.0</w:t>
            </w:r>
          </w:p>
        </w:tc>
        <w:tc>
          <w:tcPr>
            <w:tcW w:w="1171" w:type="dxa"/>
            <w:vAlign w:val="top"/>
          </w:tcPr>
          <w:p w14:paraId="65E24CEB"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14.8</w:t>
            </w:r>
          </w:p>
        </w:tc>
        <w:tc>
          <w:tcPr>
            <w:tcW w:w="1201" w:type="dxa"/>
            <w:vAlign w:val="top"/>
          </w:tcPr>
          <w:p w14:paraId="35ADC770"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27.1</w:t>
            </w:r>
          </w:p>
        </w:tc>
      </w:tr>
      <w:tr w:rsidR="0005115F" w14:paraId="6917866F" w14:textId="77777777" w:rsidTr="0010298E">
        <w:tc>
          <w:tcPr>
            <w:cnfStyle w:val="001000000000" w:firstRow="0" w:lastRow="0" w:firstColumn="1" w:lastColumn="0" w:oddVBand="0" w:evenVBand="0" w:oddHBand="0" w:evenHBand="0" w:firstRowFirstColumn="0" w:firstRowLastColumn="0" w:lastRowFirstColumn="0" w:lastRowLastColumn="0"/>
            <w:tcW w:w="2093" w:type="dxa"/>
          </w:tcPr>
          <w:p w14:paraId="41A13001" w14:textId="77777777" w:rsidR="0005115F" w:rsidRPr="0005115F" w:rsidRDefault="0005115F" w:rsidP="004131F9">
            <w:pPr>
              <w:pStyle w:val="AERtabletextleft"/>
              <w:keepNext/>
              <w:rPr>
                <w:b/>
                <w:bCs/>
                <w:lang w:eastAsia="en-US"/>
              </w:rPr>
            </w:pPr>
            <w:r w:rsidRPr="0005115F">
              <w:t>Meter replacement</w:t>
            </w:r>
          </w:p>
        </w:tc>
        <w:tc>
          <w:tcPr>
            <w:tcW w:w="850" w:type="dxa"/>
            <w:vAlign w:val="top"/>
          </w:tcPr>
          <w:p w14:paraId="5FBB749F"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4.0</w:t>
            </w:r>
          </w:p>
        </w:tc>
        <w:tc>
          <w:tcPr>
            <w:tcW w:w="1036" w:type="dxa"/>
            <w:vAlign w:val="top"/>
          </w:tcPr>
          <w:p w14:paraId="3575E4EF"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4.7</w:t>
            </w:r>
          </w:p>
        </w:tc>
        <w:tc>
          <w:tcPr>
            <w:tcW w:w="1171" w:type="dxa"/>
            <w:vAlign w:val="top"/>
          </w:tcPr>
          <w:p w14:paraId="06DC7141"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3.7</w:t>
            </w:r>
          </w:p>
        </w:tc>
        <w:tc>
          <w:tcPr>
            <w:tcW w:w="1171" w:type="dxa"/>
            <w:vAlign w:val="top"/>
          </w:tcPr>
          <w:p w14:paraId="51F18894"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5.2</w:t>
            </w:r>
          </w:p>
        </w:tc>
        <w:tc>
          <w:tcPr>
            <w:tcW w:w="1171" w:type="dxa"/>
            <w:vAlign w:val="top"/>
          </w:tcPr>
          <w:p w14:paraId="3A1177EC"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5.4</w:t>
            </w:r>
          </w:p>
        </w:tc>
        <w:tc>
          <w:tcPr>
            <w:tcW w:w="1201" w:type="dxa"/>
            <w:vAlign w:val="top"/>
          </w:tcPr>
          <w:p w14:paraId="4B3270A0"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5.7</w:t>
            </w:r>
          </w:p>
        </w:tc>
      </w:tr>
      <w:tr w:rsidR="0005115F" w14:paraId="4B05CA18" w14:textId="77777777" w:rsidTr="00102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68D4822" w14:textId="77777777" w:rsidR="0005115F" w:rsidRPr="0005115F" w:rsidRDefault="0005115F" w:rsidP="004131F9">
            <w:pPr>
              <w:pStyle w:val="AERtabletextleft"/>
              <w:keepNext/>
              <w:rPr>
                <w:b/>
                <w:bCs/>
                <w:lang w:eastAsia="en-US"/>
              </w:rPr>
            </w:pPr>
            <w:r w:rsidRPr="0005115F">
              <w:t>Augmentation</w:t>
            </w:r>
          </w:p>
        </w:tc>
        <w:tc>
          <w:tcPr>
            <w:tcW w:w="850" w:type="dxa"/>
            <w:vAlign w:val="top"/>
          </w:tcPr>
          <w:p w14:paraId="35152B33"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2.5</w:t>
            </w:r>
          </w:p>
        </w:tc>
        <w:tc>
          <w:tcPr>
            <w:tcW w:w="1036" w:type="dxa"/>
            <w:vAlign w:val="top"/>
          </w:tcPr>
          <w:p w14:paraId="08271E1F"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1.3</w:t>
            </w:r>
          </w:p>
        </w:tc>
        <w:tc>
          <w:tcPr>
            <w:tcW w:w="1171" w:type="dxa"/>
            <w:vAlign w:val="top"/>
          </w:tcPr>
          <w:p w14:paraId="5FBB2F87"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3.7</w:t>
            </w:r>
          </w:p>
        </w:tc>
        <w:tc>
          <w:tcPr>
            <w:tcW w:w="1171" w:type="dxa"/>
            <w:vAlign w:val="top"/>
          </w:tcPr>
          <w:p w14:paraId="2B1B2496"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7.6</w:t>
            </w:r>
          </w:p>
        </w:tc>
        <w:tc>
          <w:tcPr>
            <w:tcW w:w="1171" w:type="dxa"/>
            <w:vAlign w:val="top"/>
          </w:tcPr>
          <w:p w14:paraId="4B576077"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0.5</w:t>
            </w:r>
          </w:p>
        </w:tc>
        <w:tc>
          <w:tcPr>
            <w:tcW w:w="1201" w:type="dxa"/>
            <w:vAlign w:val="top"/>
          </w:tcPr>
          <w:p w14:paraId="721C8421"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4.2</w:t>
            </w:r>
          </w:p>
        </w:tc>
      </w:tr>
      <w:tr w:rsidR="0005115F" w14:paraId="5EA8EF23" w14:textId="77777777" w:rsidTr="0010298E">
        <w:tc>
          <w:tcPr>
            <w:cnfStyle w:val="001000000000" w:firstRow="0" w:lastRow="0" w:firstColumn="1" w:lastColumn="0" w:oddVBand="0" w:evenVBand="0" w:oddHBand="0" w:evenHBand="0" w:firstRowFirstColumn="0" w:firstRowLastColumn="0" w:lastRowFirstColumn="0" w:lastRowLastColumn="0"/>
            <w:tcW w:w="2093" w:type="dxa"/>
          </w:tcPr>
          <w:p w14:paraId="3826C7F8" w14:textId="77777777" w:rsidR="0005115F" w:rsidRPr="0005115F" w:rsidRDefault="0005115F" w:rsidP="004131F9">
            <w:pPr>
              <w:pStyle w:val="AERtabletextleft"/>
              <w:keepNext/>
              <w:rPr>
                <w:b/>
                <w:bCs/>
                <w:lang w:eastAsia="en-US"/>
              </w:rPr>
            </w:pPr>
            <w:r w:rsidRPr="0005115F">
              <w:t>Other capex</w:t>
            </w:r>
            <w:r>
              <w:t xml:space="preserve"> </w:t>
            </w:r>
            <w:r>
              <w:br/>
              <w:t>(inc. SCADA)</w:t>
            </w:r>
          </w:p>
        </w:tc>
        <w:tc>
          <w:tcPr>
            <w:tcW w:w="850" w:type="dxa"/>
            <w:vAlign w:val="top"/>
          </w:tcPr>
          <w:p w14:paraId="42D25959"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3.5</w:t>
            </w:r>
          </w:p>
        </w:tc>
        <w:tc>
          <w:tcPr>
            <w:tcW w:w="1036" w:type="dxa"/>
            <w:vAlign w:val="top"/>
          </w:tcPr>
          <w:p w14:paraId="1ABA8686"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11.3</w:t>
            </w:r>
          </w:p>
        </w:tc>
        <w:tc>
          <w:tcPr>
            <w:tcW w:w="1171" w:type="dxa"/>
            <w:vAlign w:val="top"/>
          </w:tcPr>
          <w:p w14:paraId="00C77855"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34.7</w:t>
            </w:r>
          </w:p>
        </w:tc>
        <w:tc>
          <w:tcPr>
            <w:tcW w:w="1171" w:type="dxa"/>
            <w:vAlign w:val="top"/>
          </w:tcPr>
          <w:p w14:paraId="7F600A73"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12.5</w:t>
            </w:r>
          </w:p>
        </w:tc>
        <w:tc>
          <w:tcPr>
            <w:tcW w:w="1171" w:type="dxa"/>
            <w:vAlign w:val="top"/>
          </w:tcPr>
          <w:p w14:paraId="227DD91D"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5.4</w:t>
            </w:r>
          </w:p>
        </w:tc>
        <w:tc>
          <w:tcPr>
            <w:tcW w:w="1201" w:type="dxa"/>
            <w:vAlign w:val="top"/>
          </w:tcPr>
          <w:p w14:paraId="50FEEBCD"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10.0</w:t>
            </w:r>
          </w:p>
        </w:tc>
      </w:tr>
      <w:tr w:rsidR="0005115F" w14:paraId="4C639110" w14:textId="77777777" w:rsidTr="00102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1EAFF7D" w14:textId="77777777" w:rsidR="0005115F" w:rsidRPr="0005115F" w:rsidRDefault="0005115F" w:rsidP="004131F9">
            <w:pPr>
              <w:pStyle w:val="AERtabletextleft"/>
              <w:keepNext/>
              <w:rPr>
                <w:b/>
                <w:bCs/>
                <w:lang w:eastAsia="en-US"/>
              </w:rPr>
            </w:pPr>
            <w:r w:rsidRPr="0005115F">
              <w:t>IT</w:t>
            </w:r>
          </w:p>
        </w:tc>
        <w:tc>
          <w:tcPr>
            <w:tcW w:w="850" w:type="dxa"/>
            <w:vAlign w:val="top"/>
          </w:tcPr>
          <w:p w14:paraId="7F5815DB"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15.5</w:t>
            </w:r>
          </w:p>
        </w:tc>
        <w:tc>
          <w:tcPr>
            <w:tcW w:w="1036" w:type="dxa"/>
            <w:vAlign w:val="top"/>
          </w:tcPr>
          <w:p w14:paraId="714B5C48"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16.5</w:t>
            </w:r>
          </w:p>
        </w:tc>
        <w:tc>
          <w:tcPr>
            <w:tcW w:w="1171" w:type="dxa"/>
            <w:vAlign w:val="top"/>
          </w:tcPr>
          <w:p w14:paraId="73201B62"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13.1</w:t>
            </w:r>
          </w:p>
        </w:tc>
        <w:tc>
          <w:tcPr>
            <w:tcW w:w="1171" w:type="dxa"/>
            <w:vAlign w:val="top"/>
          </w:tcPr>
          <w:p w14:paraId="31C767BA"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8.5</w:t>
            </w:r>
          </w:p>
        </w:tc>
        <w:tc>
          <w:tcPr>
            <w:tcW w:w="1171" w:type="dxa"/>
            <w:vAlign w:val="top"/>
          </w:tcPr>
          <w:p w14:paraId="49E31E6A"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6.3</w:t>
            </w:r>
          </w:p>
        </w:tc>
        <w:tc>
          <w:tcPr>
            <w:tcW w:w="1201" w:type="dxa"/>
            <w:vAlign w:val="top"/>
          </w:tcPr>
          <w:p w14:paraId="2912AC2A" w14:textId="77777777" w:rsidR="0005115F" w:rsidRPr="0005115F"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05115F">
              <w:t>12.6</w:t>
            </w:r>
          </w:p>
        </w:tc>
      </w:tr>
      <w:tr w:rsidR="0005115F" w14:paraId="33A9146A" w14:textId="77777777" w:rsidTr="0010298E">
        <w:tc>
          <w:tcPr>
            <w:cnfStyle w:val="001000000000" w:firstRow="0" w:lastRow="0" w:firstColumn="1" w:lastColumn="0" w:oddVBand="0" w:evenVBand="0" w:oddHBand="0" w:evenHBand="0" w:firstRowFirstColumn="0" w:firstRowLastColumn="0" w:lastRowFirstColumn="0" w:lastRowLastColumn="0"/>
            <w:tcW w:w="2093" w:type="dxa"/>
          </w:tcPr>
          <w:p w14:paraId="22C0E96F" w14:textId="77777777" w:rsidR="0005115F" w:rsidRPr="0005115F" w:rsidRDefault="0005115F" w:rsidP="004131F9">
            <w:pPr>
              <w:pStyle w:val="AERtabletextleft"/>
              <w:keepNext/>
              <w:rPr>
                <w:b/>
                <w:bCs/>
                <w:lang w:eastAsia="en-US"/>
              </w:rPr>
            </w:pPr>
            <w:r w:rsidRPr="0005115F">
              <w:t>Overheads</w:t>
            </w:r>
          </w:p>
        </w:tc>
        <w:tc>
          <w:tcPr>
            <w:tcW w:w="850" w:type="dxa"/>
            <w:vAlign w:val="top"/>
          </w:tcPr>
          <w:p w14:paraId="5DC7F9E6"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15.8</w:t>
            </w:r>
          </w:p>
        </w:tc>
        <w:tc>
          <w:tcPr>
            <w:tcW w:w="1036" w:type="dxa"/>
            <w:vAlign w:val="top"/>
          </w:tcPr>
          <w:p w14:paraId="5BCADDB2"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15.9</w:t>
            </w:r>
          </w:p>
        </w:tc>
        <w:tc>
          <w:tcPr>
            <w:tcW w:w="1171" w:type="dxa"/>
            <w:vAlign w:val="top"/>
          </w:tcPr>
          <w:p w14:paraId="10A7DA25"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14.6</w:t>
            </w:r>
          </w:p>
        </w:tc>
        <w:tc>
          <w:tcPr>
            <w:tcW w:w="1171" w:type="dxa"/>
            <w:vAlign w:val="top"/>
          </w:tcPr>
          <w:p w14:paraId="1268872D"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9.6</w:t>
            </w:r>
          </w:p>
        </w:tc>
        <w:tc>
          <w:tcPr>
            <w:tcW w:w="1171" w:type="dxa"/>
            <w:vAlign w:val="top"/>
          </w:tcPr>
          <w:p w14:paraId="4F1672A2"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7.0</w:t>
            </w:r>
          </w:p>
        </w:tc>
        <w:tc>
          <w:tcPr>
            <w:tcW w:w="1201" w:type="dxa"/>
            <w:vAlign w:val="top"/>
          </w:tcPr>
          <w:p w14:paraId="2B388DEA"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6.9</w:t>
            </w:r>
          </w:p>
        </w:tc>
      </w:tr>
      <w:tr w:rsidR="0005115F" w14:paraId="0CBFC074" w14:textId="77777777" w:rsidTr="00102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880E824" w14:textId="77777777" w:rsidR="0005115F" w:rsidRPr="0005115F" w:rsidRDefault="0005115F" w:rsidP="004131F9">
            <w:pPr>
              <w:pStyle w:val="AERtabletextleft"/>
              <w:keepNext/>
              <w:rPr>
                <w:rStyle w:val="Strong"/>
                <w:rFonts w:eastAsiaTheme="minorHAnsi" w:cstheme="minorBidi"/>
                <w:sz w:val="22"/>
                <w:szCs w:val="22"/>
                <w:lang w:eastAsia="en-US"/>
              </w:rPr>
            </w:pPr>
            <w:r w:rsidRPr="0005115F">
              <w:rPr>
                <w:rStyle w:val="Strong"/>
              </w:rPr>
              <w:t>GROSS TOTAL CAPITAL EXPENDITURE</w:t>
            </w:r>
          </w:p>
        </w:tc>
        <w:tc>
          <w:tcPr>
            <w:tcW w:w="850" w:type="dxa"/>
            <w:vAlign w:val="top"/>
          </w:tcPr>
          <w:p w14:paraId="0456B1C8"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102.8</w:t>
            </w:r>
          </w:p>
        </w:tc>
        <w:tc>
          <w:tcPr>
            <w:tcW w:w="1036" w:type="dxa"/>
            <w:vAlign w:val="top"/>
          </w:tcPr>
          <w:p w14:paraId="0CEEED26"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101.7</w:t>
            </w:r>
          </w:p>
        </w:tc>
        <w:tc>
          <w:tcPr>
            <w:tcW w:w="1171" w:type="dxa"/>
            <w:vAlign w:val="top"/>
          </w:tcPr>
          <w:p w14:paraId="450C73B7"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126.4</w:t>
            </w:r>
          </w:p>
        </w:tc>
        <w:tc>
          <w:tcPr>
            <w:tcW w:w="1171" w:type="dxa"/>
            <w:vAlign w:val="top"/>
          </w:tcPr>
          <w:p w14:paraId="09C01411"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99.2</w:t>
            </w:r>
          </w:p>
        </w:tc>
        <w:tc>
          <w:tcPr>
            <w:tcW w:w="1171" w:type="dxa"/>
            <w:vAlign w:val="top"/>
          </w:tcPr>
          <w:p w14:paraId="28CE88D3"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85.2</w:t>
            </w:r>
          </w:p>
        </w:tc>
        <w:tc>
          <w:tcPr>
            <w:tcW w:w="1201" w:type="dxa"/>
            <w:vAlign w:val="top"/>
          </w:tcPr>
          <w:p w14:paraId="1663C66B"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102.6</w:t>
            </w:r>
          </w:p>
        </w:tc>
      </w:tr>
      <w:tr w:rsidR="0005115F" w14:paraId="3D4DCCC2" w14:textId="77777777" w:rsidTr="0010298E">
        <w:tc>
          <w:tcPr>
            <w:cnfStyle w:val="001000000000" w:firstRow="0" w:lastRow="0" w:firstColumn="1" w:lastColumn="0" w:oddVBand="0" w:evenVBand="0" w:oddHBand="0" w:evenHBand="0" w:firstRowFirstColumn="0" w:firstRowLastColumn="0" w:lastRowFirstColumn="0" w:lastRowLastColumn="0"/>
            <w:tcW w:w="2093" w:type="dxa"/>
          </w:tcPr>
          <w:p w14:paraId="3346E3DB" w14:textId="77777777" w:rsidR="0005115F" w:rsidRPr="0005115F" w:rsidRDefault="0005115F" w:rsidP="004131F9">
            <w:pPr>
              <w:pStyle w:val="AERtabletextleft"/>
              <w:keepNext/>
              <w:rPr>
                <w:b/>
                <w:bCs/>
                <w:lang w:eastAsia="en-US"/>
              </w:rPr>
            </w:pPr>
            <w:r w:rsidRPr="0005115F">
              <w:t>Contributions</w:t>
            </w:r>
          </w:p>
        </w:tc>
        <w:tc>
          <w:tcPr>
            <w:tcW w:w="850" w:type="dxa"/>
            <w:vAlign w:val="top"/>
          </w:tcPr>
          <w:p w14:paraId="41A00780"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3.0</w:t>
            </w:r>
          </w:p>
        </w:tc>
        <w:tc>
          <w:tcPr>
            <w:tcW w:w="1036" w:type="dxa"/>
            <w:vAlign w:val="top"/>
          </w:tcPr>
          <w:p w14:paraId="334C8328"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10.6</w:t>
            </w:r>
          </w:p>
        </w:tc>
        <w:tc>
          <w:tcPr>
            <w:tcW w:w="1171" w:type="dxa"/>
            <w:vAlign w:val="top"/>
          </w:tcPr>
          <w:p w14:paraId="19505E37"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29.8</w:t>
            </w:r>
          </w:p>
        </w:tc>
        <w:tc>
          <w:tcPr>
            <w:tcW w:w="1171" w:type="dxa"/>
            <w:vAlign w:val="top"/>
          </w:tcPr>
          <w:p w14:paraId="3B3B1ECD"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6.4</w:t>
            </w:r>
          </w:p>
        </w:tc>
        <w:tc>
          <w:tcPr>
            <w:tcW w:w="1171" w:type="dxa"/>
            <w:vAlign w:val="top"/>
          </w:tcPr>
          <w:p w14:paraId="66196880"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2.2</w:t>
            </w:r>
          </w:p>
        </w:tc>
        <w:tc>
          <w:tcPr>
            <w:tcW w:w="1201" w:type="dxa"/>
            <w:vAlign w:val="top"/>
          </w:tcPr>
          <w:p w14:paraId="77CAE205" w14:textId="77777777" w:rsidR="0005115F" w:rsidRPr="0005115F" w:rsidRDefault="0005115F" w:rsidP="004131F9">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05115F">
              <w:t>5.0</w:t>
            </w:r>
          </w:p>
        </w:tc>
      </w:tr>
      <w:tr w:rsidR="0005115F" w14:paraId="6803EE61" w14:textId="77777777" w:rsidTr="00102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CB4FA87" w14:textId="77777777" w:rsidR="0005115F" w:rsidRPr="0005115F" w:rsidRDefault="0005115F" w:rsidP="004131F9">
            <w:pPr>
              <w:pStyle w:val="AERtabletextleft"/>
              <w:keepNext/>
              <w:rPr>
                <w:rStyle w:val="Strong"/>
                <w:rFonts w:eastAsiaTheme="minorHAnsi" w:cstheme="minorBidi"/>
                <w:sz w:val="22"/>
                <w:szCs w:val="22"/>
                <w:lang w:eastAsia="en-US"/>
              </w:rPr>
            </w:pPr>
            <w:r w:rsidRPr="0005115F">
              <w:rPr>
                <w:rStyle w:val="Strong"/>
              </w:rPr>
              <w:t>NET TOTAL CAPITAL EXPENDITURE</w:t>
            </w:r>
          </w:p>
        </w:tc>
        <w:tc>
          <w:tcPr>
            <w:tcW w:w="850" w:type="dxa"/>
            <w:vAlign w:val="top"/>
          </w:tcPr>
          <w:p w14:paraId="75FBF4E4"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99.8</w:t>
            </w:r>
          </w:p>
        </w:tc>
        <w:tc>
          <w:tcPr>
            <w:tcW w:w="1036" w:type="dxa"/>
            <w:vAlign w:val="top"/>
          </w:tcPr>
          <w:p w14:paraId="5DEEC5BD"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91.1</w:t>
            </w:r>
          </w:p>
        </w:tc>
        <w:tc>
          <w:tcPr>
            <w:tcW w:w="1171" w:type="dxa"/>
            <w:vAlign w:val="top"/>
          </w:tcPr>
          <w:p w14:paraId="2C24C7B1"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96.6</w:t>
            </w:r>
          </w:p>
        </w:tc>
        <w:tc>
          <w:tcPr>
            <w:tcW w:w="1171" w:type="dxa"/>
            <w:vAlign w:val="top"/>
          </w:tcPr>
          <w:p w14:paraId="1A0D9796"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92.9</w:t>
            </w:r>
          </w:p>
        </w:tc>
        <w:tc>
          <w:tcPr>
            <w:tcW w:w="1171" w:type="dxa"/>
            <w:vAlign w:val="top"/>
          </w:tcPr>
          <w:p w14:paraId="167D1782"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83.0</w:t>
            </w:r>
          </w:p>
        </w:tc>
        <w:tc>
          <w:tcPr>
            <w:tcW w:w="1201" w:type="dxa"/>
            <w:vAlign w:val="top"/>
          </w:tcPr>
          <w:p w14:paraId="57FB8AAD" w14:textId="77777777" w:rsidR="0005115F" w:rsidRPr="0010298E" w:rsidRDefault="0005115F" w:rsidP="004131F9">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10298E">
              <w:rPr>
                <w:rStyle w:val="Strong"/>
              </w:rPr>
              <w:t>97.6</w:t>
            </w:r>
          </w:p>
        </w:tc>
      </w:tr>
    </w:tbl>
    <w:p w14:paraId="79DCEFC7" w14:textId="77777777" w:rsidR="00A85A31" w:rsidRDefault="00A85A31" w:rsidP="004131F9">
      <w:pPr>
        <w:pStyle w:val="AERtablesource"/>
        <w:keepNext/>
      </w:pPr>
      <w:r>
        <w:t xml:space="preserve">Source: </w:t>
      </w:r>
      <w:r>
        <w:tab/>
        <w:t>AER analysis. Totals may not sum due to rounding.</w:t>
      </w:r>
    </w:p>
    <w:p w14:paraId="2BE79EC1" w14:textId="77777777" w:rsidR="00A85A31" w:rsidRDefault="00A85A31" w:rsidP="004131F9">
      <w:pPr>
        <w:pStyle w:val="AERtablesource"/>
        <w:keepNext/>
      </w:pPr>
      <w:r>
        <w:t xml:space="preserve">Note: </w:t>
      </w:r>
      <w:r>
        <w:tab/>
        <w:t>(a) As set out in attachment 2, we have not assessed the 2017 amounts as approved capex under this decision. This is because these values are estimates. We will undertake the assessment of whether the 2017 amounts are conforming capex as part of the next access arrangement determination.</w:t>
      </w:r>
    </w:p>
    <w:p w14:paraId="6FC21685" w14:textId="77777777" w:rsidR="00A85A31" w:rsidRDefault="00A85A31" w:rsidP="004131F9">
      <w:pPr>
        <w:pStyle w:val="Heading3"/>
        <w:ind w:left="720"/>
      </w:pPr>
      <w:bookmarkStart w:id="159" w:name="_Toc486842030"/>
      <w:r>
        <w:t>Conforming capital expenditure for the 2018–22 access arrangement period</w:t>
      </w:r>
      <w:bookmarkEnd w:id="159"/>
    </w:p>
    <w:p w14:paraId="03E6E64E" w14:textId="7888D945" w:rsidR="00E46AAB" w:rsidRDefault="00E46AAB" w:rsidP="0010298E">
      <w:r>
        <w:t>We approve $</w:t>
      </w:r>
      <w:r w:rsidR="00612E78">
        <w:t>4</w:t>
      </w:r>
      <w:r w:rsidR="002945DF">
        <w:t>60.0</w:t>
      </w:r>
      <w:r>
        <w:t xml:space="preserve"> million ($2017) of AusNet's proposed $</w:t>
      </w:r>
      <w:r w:rsidR="00612E78">
        <w:t>487.</w:t>
      </w:r>
      <w:r w:rsidR="002945DF">
        <w:t xml:space="preserve">7 </w:t>
      </w:r>
      <w:r>
        <w:t xml:space="preserve">million ($2017) total net capex for the 2018–22 access arrangement </w:t>
      </w:r>
      <w:proofErr w:type="gramStart"/>
      <w:r>
        <w:t>period</w:t>
      </w:r>
      <w:proofErr w:type="gramEnd"/>
      <w:r>
        <w:t xml:space="preserve"> as conforming capex under the NGR.</w:t>
      </w:r>
      <w:r>
        <w:rPr>
          <w:rStyle w:val="FootnoteReference"/>
        </w:rPr>
        <w:footnoteReference w:id="5"/>
      </w:r>
      <w:r>
        <w:t xml:space="preserve"> This is </w:t>
      </w:r>
      <w:r w:rsidR="00527ED7">
        <w:t>5.7</w:t>
      </w:r>
      <w:r>
        <w:t xml:space="preserve"> per cent less than AusNet's proposed capex.</w:t>
      </w:r>
      <w:r w:rsidR="0010298E">
        <w:t xml:space="preserve"> Most of this </w:t>
      </w:r>
      <w:r w:rsidR="00527ED7">
        <w:t>reduction</w:t>
      </w:r>
      <w:r w:rsidR="0010298E">
        <w:t xml:space="preserve"> is because we consider that </w:t>
      </w:r>
      <w:r w:rsidR="00B92079">
        <w:t xml:space="preserve">AusNet has not justified the level of expenditure it proposed for its </w:t>
      </w:r>
      <w:r w:rsidR="0010298E">
        <w:t>proposed mains replacement and meter replacement programs.</w:t>
      </w:r>
    </w:p>
    <w:p w14:paraId="4C1DE6B9" w14:textId="298E8FBD" w:rsidR="00E46AAB" w:rsidRDefault="009D7A67" w:rsidP="00E46AAB">
      <w:r>
        <w:fldChar w:fldCharType="begin"/>
      </w:r>
      <w:r>
        <w:instrText xml:space="preserve"> REF _Ref485371047 </w:instrText>
      </w:r>
      <w:r>
        <w:fldChar w:fldCharType="separate"/>
      </w:r>
      <w:r w:rsidR="00745B71">
        <w:t xml:space="preserve">Table </w:t>
      </w:r>
      <w:r w:rsidR="00745B71">
        <w:rPr>
          <w:noProof/>
        </w:rPr>
        <w:t>6</w:t>
      </w:r>
      <w:r w:rsidR="00745B71">
        <w:t>.</w:t>
      </w:r>
      <w:r w:rsidR="00745B71">
        <w:rPr>
          <w:noProof/>
        </w:rPr>
        <w:t>2</w:t>
      </w:r>
      <w:r>
        <w:rPr>
          <w:noProof/>
        </w:rPr>
        <w:fldChar w:fldCharType="end"/>
      </w:r>
      <w:r w:rsidR="00147A09">
        <w:t xml:space="preserve"> </w:t>
      </w:r>
      <w:r w:rsidR="00E46AAB">
        <w:t xml:space="preserve">shows our approved capex for the 2018–22 access arrangement </w:t>
      </w:r>
      <w:proofErr w:type="gramStart"/>
      <w:r w:rsidR="00E46AAB">
        <w:t>period</w:t>
      </w:r>
      <w:proofErr w:type="gramEnd"/>
      <w:r w:rsidR="00E46AAB">
        <w:t xml:space="preserve"> by category.</w:t>
      </w:r>
    </w:p>
    <w:p w14:paraId="32291D60" w14:textId="5CB1AF18" w:rsidR="00E46AAB" w:rsidRPr="00E46AAB" w:rsidRDefault="00147A09" w:rsidP="00147A09">
      <w:pPr>
        <w:pStyle w:val="Caption"/>
      </w:pPr>
      <w:bookmarkStart w:id="160" w:name="_Ref485371047"/>
      <w:r>
        <w:t xml:space="preserve">Table </w:t>
      </w:r>
      <w:fldSimple w:instr=" STYLEREF 1 \s ">
        <w:r w:rsidR="00745B71">
          <w:rPr>
            <w:noProof/>
          </w:rPr>
          <w:t>6</w:t>
        </w:r>
      </w:fldSimple>
      <w:r>
        <w:t>.</w:t>
      </w:r>
      <w:fldSimple w:instr=" SEQ Table \* ARABIC \s 1 ">
        <w:r w:rsidR="00745B71">
          <w:rPr>
            <w:noProof/>
          </w:rPr>
          <w:t>2</w:t>
        </w:r>
      </w:fldSimple>
      <w:bookmarkEnd w:id="160"/>
      <w:r>
        <w:tab/>
      </w:r>
      <w:r w:rsidR="00E46AAB" w:rsidRPr="00E46AAB">
        <w:t>AER approved capital expenditure by category over the 2018–22 access arrangement period ($million, 2017)</w:t>
      </w:r>
    </w:p>
    <w:tbl>
      <w:tblPr>
        <w:tblStyle w:val="AERtable-numbers"/>
        <w:tblW w:w="0" w:type="auto"/>
        <w:tblLayout w:type="fixed"/>
        <w:tblLook w:val="04A0" w:firstRow="1" w:lastRow="0" w:firstColumn="1" w:lastColumn="0" w:noHBand="0" w:noVBand="1"/>
      </w:tblPr>
      <w:tblGrid>
        <w:gridCol w:w="2093"/>
        <w:gridCol w:w="850"/>
        <w:gridCol w:w="1036"/>
        <w:gridCol w:w="1171"/>
        <w:gridCol w:w="1171"/>
        <w:gridCol w:w="1171"/>
        <w:gridCol w:w="1201"/>
      </w:tblGrid>
      <w:tr w:rsidR="00384E26" w14:paraId="752EB0E0" w14:textId="77777777" w:rsidTr="00AD0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E58C15E" w14:textId="77777777" w:rsidR="00384E26" w:rsidRPr="00384E26" w:rsidRDefault="00384E26" w:rsidP="00384E26">
            <w:pPr>
              <w:pStyle w:val="AERtabletextleft"/>
            </w:pPr>
            <w:r w:rsidRPr="00F23E92">
              <w:t>Category</w:t>
            </w:r>
          </w:p>
        </w:tc>
        <w:tc>
          <w:tcPr>
            <w:tcW w:w="850" w:type="dxa"/>
          </w:tcPr>
          <w:p w14:paraId="5DFF16A7" w14:textId="77777777" w:rsidR="00384E26" w:rsidRPr="00384E26" w:rsidRDefault="00384E26" w:rsidP="00384E26">
            <w:pPr>
              <w:pStyle w:val="AERtabletextright"/>
              <w:cnfStyle w:val="100000000000" w:firstRow="1" w:lastRow="0" w:firstColumn="0" w:lastColumn="0" w:oddVBand="0" w:evenVBand="0" w:oddHBand="0" w:evenHBand="0" w:firstRowFirstColumn="0" w:firstRowLastColumn="0" w:lastRowFirstColumn="0" w:lastRowLastColumn="0"/>
            </w:pPr>
            <w:r w:rsidRPr="00F23E92">
              <w:t>201</w:t>
            </w:r>
            <w:r w:rsidRPr="00384E26">
              <w:t>8</w:t>
            </w:r>
          </w:p>
        </w:tc>
        <w:tc>
          <w:tcPr>
            <w:tcW w:w="1036" w:type="dxa"/>
          </w:tcPr>
          <w:p w14:paraId="1E14E6E7" w14:textId="77777777" w:rsidR="00384E26" w:rsidRPr="00384E26" w:rsidRDefault="00384E26" w:rsidP="00384E26">
            <w:pPr>
              <w:pStyle w:val="AERtabletextright"/>
              <w:cnfStyle w:val="100000000000" w:firstRow="1" w:lastRow="0" w:firstColumn="0" w:lastColumn="0" w:oddVBand="0" w:evenVBand="0" w:oddHBand="0" w:evenHBand="0" w:firstRowFirstColumn="0" w:firstRowLastColumn="0" w:lastRowFirstColumn="0" w:lastRowLastColumn="0"/>
            </w:pPr>
            <w:r w:rsidRPr="00F23E92">
              <w:t>201</w:t>
            </w:r>
            <w:r w:rsidRPr="00384E26">
              <w:t>9</w:t>
            </w:r>
          </w:p>
        </w:tc>
        <w:tc>
          <w:tcPr>
            <w:tcW w:w="1171" w:type="dxa"/>
          </w:tcPr>
          <w:p w14:paraId="22EAE46A" w14:textId="77777777" w:rsidR="00384E26" w:rsidRPr="00384E26" w:rsidRDefault="00384E26" w:rsidP="00384E26">
            <w:pPr>
              <w:pStyle w:val="AERtabletextright"/>
              <w:cnfStyle w:val="100000000000" w:firstRow="1" w:lastRow="0" w:firstColumn="0" w:lastColumn="0" w:oddVBand="0" w:evenVBand="0" w:oddHBand="0" w:evenHBand="0" w:firstRowFirstColumn="0" w:firstRowLastColumn="0" w:lastRowFirstColumn="0" w:lastRowLastColumn="0"/>
            </w:pPr>
            <w:r w:rsidRPr="00F23E92">
              <w:t>20</w:t>
            </w:r>
            <w:r w:rsidRPr="00384E26">
              <w:t>20</w:t>
            </w:r>
          </w:p>
        </w:tc>
        <w:tc>
          <w:tcPr>
            <w:tcW w:w="1171" w:type="dxa"/>
          </w:tcPr>
          <w:p w14:paraId="28498EB3" w14:textId="77777777" w:rsidR="00384E26" w:rsidRPr="00384E26" w:rsidRDefault="00384E26" w:rsidP="00384E26">
            <w:pPr>
              <w:pStyle w:val="AERtabletextright"/>
              <w:cnfStyle w:val="100000000000" w:firstRow="1" w:lastRow="0" w:firstColumn="0" w:lastColumn="0" w:oddVBand="0" w:evenVBand="0" w:oddHBand="0" w:evenHBand="0" w:firstRowFirstColumn="0" w:firstRowLastColumn="0" w:lastRowFirstColumn="0" w:lastRowLastColumn="0"/>
            </w:pPr>
            <w:r w:rsidRPr="00F23E92">
              <w:t>20</w:t>
            </w:r>
            <w:r w:rsidRPr="00384E26">
              <w:t>21</w:t>
            </w:r>
          </w:p>
        </w:tc>
        <w:tc>
          <w:tcPr>
            <w:tcW w:w="1171" w:type="dxa"/>
          </w:tcPr>
          <w:p w14:paraId="28F43ADA" w14:textId="77777777" w:rsidR="00384E26" w:rsidRPr="00384E26" w:rsidRDefault="00384E26" w:rsidP="00384E26">
            <w:pPr>
              <w:pStyle w:val="AERtabletextright"/>
              <w:cnfStyle w:val="100000000000" w:firstRow="1" w:lastRow="0" w:firstColumn="0" w:lastColumn="0" w:oddVBand="0" w:evenVBand="0" w:oddHBand="0" w:evenHBand="0" w:firstRowFirstColumn="0" w:firstRowLastColumn="0" w:lastRowFirstColumn="0" w:lastRowLastColumn="0"/>
            </w:pPr>
            <w:r>
              <w:t>2022</w:t>
            </w:r>
          </w:p>
        </w:tc>
        <w:tc>
          <w:tcPr>
            <w:tcW w:w="1201" w:type="dxa"/>
          </w:tcPr>
          <w:p w14:paraId="3C827E29" w14:textId="77777777" w:rsidR="00384E26" w:rsidRPr="00384E26" w:rsidRDefault="00384E26" w:rsidP="00384E26">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612E78" w14:paraId="02B9FE65" w14:textId="77777777" w:rsidTr="00AD0AE7">
        <w:tc>
          <w:tcPr>
            <w:cnfStyle w:val="001000000000" w:firstRow="0" w:lastRow="0" w:firstColumn="1" w:lastColumn="0" w:oddVBand="0" w:evenVBand="0" w:oddHBand="0" w:evenHBand="0" w:firstRowFirstColumn="0" w:firstRowLastColumn="0" w:lastRowFirstColumn="0" w:lastRowLastColumn="0"/>
            <w:tcW w:w="2093" w:type="dxa"/>
          </w:tcPr>
          <w:p w14:paraId="1B44743E" w14:textId="77777777" w:rsidR="00612E78" w:rsidRPr="00612E78" w:rsidRDefault="00612E78" w:rsidP="00612E78">
            <w:pPr>
              <w:pStyle w:val="AERtabletextleft"/>
            </w:pPr>
            <w:r w:rsidRPr="00612E78">
              <w:t>Connections</w:t>
            </w:r>
          </w:p>
        </w:tc>
        <w:tc>
          <w:tcPr>
            <w:tcW w:w="850" w:type="dxa"/>
            <w:vAlign w:val="top"/>
          </w:tcPr>
          <w:p w14:paraId="2C2C3389"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37.4</w:t>
            </w:r>
          </w:p>
        </w:tc>
        <w:tc>
          <w:tcPr>
            <w:tcW w:w="1036" w:type="dxa"/>
            <w:vAlign w:val="top"/>
          </w:tcPr>
          <w:p w14:paraId="36C1CD69"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37.9</w:t>
            </w:r>
          </w:p>
        </w:tc>
        <w:tc>
          <w:tcPr>
            <w:tcW w:w="1171" w:type="dxa"/>
            <w:vAlign w:val="top"/>
          </w:tcPr>
          <w:p w14:paraId="43F2094A"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38.5</w:t>
            </w:r>
          </w:p>
        </w:tc>
        <w:tc>
          <w:tcPr>
            <w:tcW w:w="1171" w:type="dxa"/>
            <w:vAlign w:val="top"/>
          </w:tcPr>
          <w:p w14:paraId="375B350C"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39.2</w:t>
            </w:r>
          </w:p>
        </w:tc>
        <w:tc>
          <w:tcPr>
            <w:tcW w:w="1171" w:type="dxa"/>
            <w:vAlign w:val="top"/>
          </w:tcPr>
          <w:p w14:paraId="410EED0B"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38.2</w:t>
            </w:r>
          </w:p>
        </w:tc>
        <w:tc>
          <w:tcPr>
            <w:tcW w:w="1201" w:type="dxa"/>
            <w:vAlign w:val="top"/>
          </w:tcPr>
          <w:p w14:paraId="74A8971C"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191.2</w:t>
            </w:r>
          </w:p>
        </w:tc>
      </w:tr>
      <w:tr w:rsidR="00612E78" w14:paraId="7BD48F6E" w14:textId="77777777" w:rsidTr="00AD0A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461077D" w14:textId="77777777" w:rsidR="00612E78" w:rsidRPr="00612E78" w:rsidRDefault="00612E78" w:rsidP="00612E78">
            <w:pPr>
              <w:pStyle w:val="AERtabletextleft"/>
            </w:pPr>
            <w:r w:rsidRPr="00612E78">
              <w:t>Mains replacement</w:t>
            </w:r>
          </w:p>
        </w:tc>
        <w:tc>
          <w:tcPr>
            <w:tcW w:w="850" w:type="dxa"/>
            <w:vAlign w:val="top"/>
          </w:tcPr>
          <w:p w14:paraId="096912FE"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26.5</w:t>
            </w:r>
          </w:p>
        </w:tc>
        <w:tc>
          <w:tcPr>
            <w:tcW w:w="1036" w:type="dxa"/>
            <w:vAlign w:val="top"/>
          </w:tcPr>
          <w:p w14:paraId="1F0A56D1"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24.3</w:t>
            </w:r>
          </w:p>
        </w:tc>
        <w:tc>
          <w:tcPr>
            <w:tcW w:w="1171" w:type="dxa"/>
            <w:vAlign w:val="top"/>
          </w:tcPr>
          <w:p w14:paraId="6AB160C5"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25.8</w:t>
            </w:r>
          </w:p>
        </w:tc>
        <w:tc>
          <w:tcPr>
            <w:tcW w:w="1171" w:type="dxa"/>
            <w:vAlign w:val="top"/>
          </w:tcPr>
          <w:p w14:paraId="31DA6565"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19.1</w:t>
            </w:r>
          </w:p>
        </w:tc>
        <w:tc>
          <w:tcPr>
            <w:tcW w:w="1171" w:type="dxa"/>
            <w:vAlign w:val="top"/>
          </w:tcPr>
          <w:p w14:paraId="2270A8E3" w14:textId="3504186A" w:rsidR="00612E78" w:rsidRPr="00612E78" w:rsidRDefault="00612E78" w:rsidP="002945DF">
            <w:pPr>
              <w:pStyle w:val="AERtabletextleft"/>
              <w:cnfStyle w:val="000000010000" w:firstRow="0" w:lastRow="0" w:firstColumn="0" w:lastColumn="0" w:oddVBand="0" w:evenVBand="0" w:oddHBand="0" w:evenHBand="1" w:firstRowFirstColumn="0" w:firstRowLastColumn="0" w:lastRowFirstColumn="0" w:lastRowLastColumn="0"/>
            </w:pPr>
            <w:r w:rsidRPr="00612E78">
              <w:t>18.</w:t>
            </w:r>
            <w:r w:rsidR="002945DF">
              <w:t>8</w:t>
            </w:r>
          </w:p>
        </w:tc>
        <w:tc>
          <w:tcPr>
            <w:tcW w:w="1201" w:type="dxa"/>
            <w:vAlign w:val="top"/>
          </w:tcPr>
          <w:p w14:paraId="570BD418" w14:textId="79296702" w:rsidR="00612E78" w:rsidRPr="00612E78" w:rsidRDefault="00612E78" w:rsidP="002945DF">
            <w:pPr>
              <w:pStyle w:val="AERtabletextleft"/>
              <w:cnfStyle w:val="000000010000" w:firstRow="0" w:lastRow="0" w:firstColumn="0" w:lastColumn="0" w:oddVBand="0" w:evenVBand="0" w:oddHBand="0" w:evenHBand="1" w:firstRowFirstColumn="0" w:firstRowLastColumn="0" w:lastRowFirstColumn="0" w:lastRowLastColumn="0"/>
            </w:pPr>
            <w:r w:rsidRPr="00612E78">
              <w:t>114.</w:t>
            </w:r>
            <w:r w:rsidR="002945DF">
              <w:t>5</w:t>
            </w:r>
          </w:p>
        </w:tc>
      </w:tr>
      <w:tr w:rsidR="00612E78" w14:paraId="2D58D1C0" w14:textId="77777777" w:rsidTr="00AD0AE7">
        <w:tc>
          <w:tcPr>
            <w:cnfStyle w:val="001000000000" w:firstRow="0" w:lastRow="0" w:firstColumn="1" w:lastColumn="0" w:oddVBand="0" w:evenVBand="0" w:oddHBand="0" w:evenHBand="0" w:firstRowFirstColumn="0" w:firstRowLastColumn="0" w:lastRowFirstColumn="0" w:lastRowLastColumn="0"/>
            <w:tcW w:w="2093" w:type="dxa"/>
          </w:tcPr>
          <w:p w14:paraId="248F72B0" w14:textId="77777777" w:rsidR="00612E78" w:rsidRPr="00612E78" w:rsidRDefault="00612E78" w:rsidP="00612E78">
            <w:pPr>
              <w:pStyle w:val="AERtabletextleft"/>
            </w:pPr>
            <w:r w:rsidRPr="00612E78">
              <w:t>Meter replacement</w:t>
            </w:r>
          </w:p>
        </w:tc>
        <w:tc>
          <w:tcPr>
            <w:tcW w:w="850" w:type="dxa"/>
            <w:vAlign w:val="top"/>
          </w:tcPr>
          <w:p w14:paraId="2E2F8A01"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5.7</w:t>
            </w:r>
          </w:p>
        </w:tc>
        <w:tc>
          <w:tcPr>
            <w:tcW w:w="1036" w:type="dxa"/>
            <w:vAlign w:val="top"/>
          </w:tcPr>
          <w:p w14:paraId="70CE0773"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6.2</w:t>
            </w:r>
          </w:p>
        </w:tc>
        <w:tc>
          <w:tcPr>
            <w:tcW w:w="1171" w:type="dxa"/>
            <w:vAlign w:val="top"/>
          </w:tcPr>
          <w:p w14:paraId="2B00C4BC"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5.5</w:t>
            </w:r>
          </w:p>
        </w:tc>
        <w:tc>
          <w:tcPr>
            <w:tcW w:w="1171" w:type="dxa"/>
            <w:vAlign w:val="top"/>
          </w:tcPr>
          <w:p w14:paraId="578820CF"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5.1</w:t>
            </w:r>
          </w:p>
        </w:tc>
        <w:tc>
          <w:tcPr>
            <w:tcW w:w="1171" w:type="dxa"/>
            <w:vAlign w:val="top"/>
          </w:tcPr>
          <w:p w14:paraId="1C5F8E1A"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5.7</w:t>
            </w:r>
          </w:p>
        </w:tc>
        <w:tc>
          <w:tcPr>
            <w:tcW w:w="1201" w:type="dxa"/>
            <w:vAlign w:val="top"/>
          </w:tcPr>
          <w:p w14:paraId="18DB3A50" w14:textId="77777777" w:rsidR="00612E78" w:rsidRPr="00612E78" w:rsidRDefault="00612E78" w:rsidP="00AD0AE7">
            <w:pPr>
              <w:pStyle w:val="AERtabletextleft"/>
              <w:cnfStyle w:val="000000000000" w:firstRow="0" w:lastRow="0" w:firstColumn="0" w:lastColumn="0" w:oddVBand="0" w:evenVBand="0" w:oddHBand="0" w:evenHBand="0" w:firstRowFirstColumn="0" w:firstRowLastColumn="0" w:lastRowFirstColumn="0" w:lastRowLastColumn="0"/>
            </w:pPr>
            <w:r w:rsidRPr="00612E78">
              <w:t>28.3</w:t>
            </w:r>
          </w:p>
        </w:tc>
      </w:tr>
      <w:tr w:rsidR="00612E78" w14:paraId="073E6695" w14:textId="77777777" w:rsidTr="00AD0A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3737F8D" w14:textId="77777777" w:rsidR="00612E78" w:rsidRPr="00612E78" w:rsidRDefault="00612E78" w:rsidP="00612E78">
            <w:pPr>
              <w:pStyle w:val="AERtabletextleft"/>
            </w:pPr>
            <w:r w:rsidRPr="00612E78">
              <w:t>Augmentation</w:t>
            </w:r>
          </w:p>
        </w:tc>
        <w:tc>
          <w:tcPr>
            <w:tcW w:w="850" w:type="dxa"/>
            <w:vAlign w:val="top"/>
          </w:tcPr>
          <w:p w14:paraId="40F12508"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6.7</w:t>
            </w:r>
          </w:p>
        </w:tc>
        <w:tc>
          <w:tcPr>
            <w:tcW w:w="1036" w:type="dxa"/>
            <w:vAlign w:val="top"/>
          </w:tcPr>
          <w:p w14:paraId="7E267174"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2.9</w:t>
            </w:r>
          </w:p>
        </w:tc>
        <w:tc>
          <w:tcPr>
            <w:tcW w:w="1171" w:type="dxa"/>
            <w:vAlign w:val="top"/>
          </w:tcPr>
          <w:p w14:paraId="23DB6F45"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0.6</w:t>
            </w:r>
          </w:p>
        </w:tc>
        <w:tc>
          <w:tcPr>
            <w:tcW w:w="1171" w:type="dxa"/>
            <w:vAlign w:val="top"/>
          </w:tcPr>
          <w:p w14:paraId="344874EC"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2.0</w:t>
            </w:r>
          </w:p>
        </w:tc>
        <w:tc>
          <w:tcPr>
            <w:tcW w:w="1171" w:type="dxa"/>
            <w:vAlign w:val="top"/>
          </w:tcPr>
          <w:p w14:paraId="5ABA46D1"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1.0</w:t>
            </w:r>
          </w:p>
        </w:tc>
        <w:tc>
          <w:tcPr>
            <w:tcW w:w="1201" w:type="dxa"/>
            <w:vAlign w:val="top"/>
          </w:tcPr>
          <w:p w14:paraId="373BABE6"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13.1</w:t>
            </w:r>
          </w:p>
        </w:tc>
      </w:tr>
      <w:tr w:rsidR="00612E78" w14:paraId="0763A48B" w14:textId="77777777" w:rsidTr="00AD0AE7">
        <w:tc>
          <w:tcPr>
            <w:cnfStyle w:val="001000000000" w:firstRow="0" w:lastRow="0" w:firstColumn="1" w:lastColumn="0" w:oddVBand="0" w:evenVBand="0" w:oddHBand="0" w:evenHBand="0" w:firstRowFirstColumn="0" w:firstRowLastColumn="0" w:lastRowFirstColumn="0" w:lastRowLastColumn="0"/>
            <w:tcW w:w="2093" w:type="dxa"/>
          </w:tcPr>
          <w:p w14:paraId="7FF2154D" w14:textId="77777777" w:rsidR="00612E78" w:rsidRPr="00612E78" w:rsidRDefault="00612E78" w:rsidP="00612E78">
            <w:pPr>
              <w:pStyle w:val="AERtabletextleft"/>
            </w:pPr>
            <w:r w:rsidRPr="00612E78">
              <w:t>Other capex</w:t>
            </w:r>
            <w:r w:rsidR="0005115F">
              <w:t xml:space="preserve"> </w:t>
            </w:r>
            <w:r w:rsidR="0005115F">
              <w:br/>
              <w:t>(inc. SCADA)</w:t>
            </w:r>
          </w:p>
        </w:tc>
        <w:tc>
          <w:tcPr>
            <w:tcW w:w="850" w:type="dxa"/>
            <w:vAlign w:val="top"/>
          </w:tcPr>
          <w:p w14:paraId="05282D80" w14:textId="77777777" w:rsidR="00612E78" w:rsidRPr="00612E78" w:rsidRDefault="00527ED7" w:rsidP="00AD0AE7">
            <w:pPr>
              <w:pStyle w:val="AERtabletextleft"/>
              <w:cnfStyle w:val="000000000000" w:firstRow="0" w:lastRow="0" w:firstColumn="0" w:lastColumn="0" w:oddVBand="0" w:evenVBand="0" w:oddHBand="0" w:evenHBand="0" w:firstRowFirstColumn="0" w:firstRowLastColumn="0" w:lastRowFirstColumn="0" w:lastRowLastColumn="0"/>
            </w:pPr>
            <w:r>
              <w:t>6</w:t>
            </w:r>
            <w:r w:rsidR="0005115F">
              <w:t>.8</w:t>
            </w:r>
          </w:p>
        </w:tc>
        <w:tc>
          <w:tcPr>
            <w:tcW w:w="1036" w:type="dxa"/>
            <w:vAlign w:val="top"/>
          </w:tcPr>
          <w:p w14:paraId="71664B28" w14:textId="77777777" w:rsidR="00612E78" w:rsidRPr="00612E78" w:rsidRDefault="00527ED7" w:rsidP="00AD0AE7">
            <w:pPr>
              <w:pStyle w:val="AERtabletextleft"/>
              <w:cnfStyle w:val="000000000000" w:firstRow="0" w:lastRow="0" w:firstColumn="0" w:lastColumn="0" w:oddVBand="0" w:evenVBand="0" w:oddHBand="0" w:evenHBand="0" w:firstRowFirstColumn="0" w:firstRowLastColumn="0" w:lastRowFirstColumn="0" w:lastRowLastColumn="0"/>
            </w:pPr>
            <w:r>
              <w:t>7</w:t>
            </w:r>
            <w:r w:rsidR="0005115F">
              <w:t>.0</w:t>
            </w:r>
          </w:p>
        </w:tc>
        <w:tc>
          <w:tcPr>
            <w:tcW w:w="1171" w:type="dxa"/>
            <w:vAlign w:val="top"/>
          </w:tcPr>
          <w:p w14:paraId="7C5E3E8E" w14:textId="77777777" w:rsidR="00612E78" w:rsidRPr="00612E78" w:rsidRDefault="00527ED7" w:rsidP="00AD0AE7">
            <w:pPr>
              <w:pStyle w:val="AERtabletextleft"/>
              <w:cnfStyle w:val="000000000000" w:firstRow="0" w:lastRow="0" w:firstColumn="0" w:lastColumn="0" w:oddVBand="0" w:evenVBand="0" w:oddHBand="0" w:evenHBand="0" w:firstRowFirstColumn="0" w:firstRowLastColumn="0" w:lastRowFirstColumn="0" w:lastRowLastColumn="0"/>
            </w:pPr>
            <w:r>
              <w:t>6</w:t>
            </w:r>
            <w:r w:rsidR="0005115F">
              <w:t>.4</w:t>
            </w:r>
          </w:p>
        </w:tc>
        <w:tc>
          <w:tcPr>
            <w:tcW w:w="1171" w:type="dxa"/>
            <w:vAlign w:val="top"/>
          </w:tcPr>
          <w:p w14:paraId="4692C5B2" w14:textId="77777777" w:rsidR="00612E78" w:rsidRPr="00612E78" w:rsidRDefault="00527ED7" w:rsidP="00527ED7">
            <w:pPr>
              <w:pStyle w:val="AERtabletextleft"/>
              <w:cnfStyle w:val="000000000000" w:firstRow="0" w:lastRow="0" w:firstColumn="0" w:lastColumn="0" w:oddVBand="0" w:evenVBand="0" w:oddHBand="0" w:evenHBand="0" w:firstRowFirstColumn="0" w:firstRowLastColumn="0" w:lastRowFirstColumn="0" w:lastRowLastColumn="0"/>
            </w:pPr>
            <w:r>
              <w:t>6</w:t>
            </w:r>
            <w:r w:rsidR="0005115F">
              <w:t>.</w:t>
            </w:r>
            <w:r>
              <w:t>9</w:t>
            </w:r>
          </w:p>
        </w:tc>
        <w:tc>
          <w:tcPr>
            <w:tcW w:w="1171" w:type="dxa"/>
            <w:vAlign w:val="top"/>
          </w:tcPr>
          <w:p w14:paraId="07B71E1A" w14:textId="77777777" w:rsidR="00612E78" w:rsidRPr="00612E78" w:rsidRDefault="00527ED7" w:rsidP="00AD0AE7">
            <w:pPr>
              <w:pStyle w:val="AERtabletextleft"/>
              <w:cnfStyle w:val="000000000000" w:firstRow="0" w:lastRow="0" w:firstColumn="0" w:lastColumn="0" w:oddVBand="0" w:evenVBand="0" w:oddHBand="0" w:evenHBand="0" w:firstRowFirstColumn="0" w:firstRowLastColumn="0" w:lastRowFirstColumn="0" w:lastRowLastColumn="0"/>
            </w:pPr>
            <w:r>
              <w:t>7.0</w:t>
            </w:r>
          </w:p>
        </w:tc>
        <w:tc>
          <w:tcPr>
            <w:tcW w:w="1201" w:type="dxa"/>
            <w:vAlign w:val="top"/>
          </w:tcPr>
          <w:p w14:paraId="170A7628" w14:textId="77777777" w:rsidR="00612E78" w:rsidRPr="00612E78" w:rsidRDefault="00612E78" w:rsidP="00527ED7">
            <w:pPr>
              <w:pStyle w:val="AERtabletextleft"/>
              <w:cnfStyle w:val="000000000000" w:firstRow="0" w:lastRow="0" w:firstColumn="0" w:lastColumn="0" w:oddVBand="0" w:evenVBand="0" w:oddHBand="0" w:evenHBand="0" w:firstRowFirstColumn="0" w:firstRowLastColumn="0" w:lastRowFirstColumn="0" w:lastRowLastColumn="0"/>
            </w:pPr>
            <w:r w:rsidRPr="00612E78">
              <w:t>3</w:t>
            </w:r>
            <w:r w:rsidR="00527ED7">
              <w:t>4.0</w:t>
            </w:r>
          </w:p>
        </w:tc>
      </w:tr>
      <w:tr w:rsidR="00612E78" w14:paraId="79033678" w14:textId="77777777" w:rsidTr="00AD0A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4AC0AF7" w14:textId="77777777" w:rsidR="00612E78" w:rsidRPr="00612E78" w:rsidRDefault="00612E78" w:rsidP="00612E78">
            <w:pPr>
              <w:pStyle w:val="AERtabletextleft"/>
            </w:pPr>
            <w:r w:rsidRPr="00612E78">
              <w:t>IT</w:t>
            </w:r>
          </w:p>
        </w:tc>
        <w:tc>
          <w:tcPr>
            <w:tcW w:w="850" w:type="dxa"/>
            <w:vAlign w:val="top"/>
          </w:tcPr>
          <w:p w14:paraId="272D6E7D"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13.3</w:t>
            </w:r>
          </w:p>
        </w:tc>
        <w:tc>
          <w:tcPr>
            <w:tcW w:w="1036" w:type="dxa"/>
            <w:vAlign w:val="top"/>
          </w:tcPr>
          <w:p w14:paraId="14F47333"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14.5</w:t>
            </w:r>
          </w:p>
        </w:tc>
        <w:tc>
          <w:tcPr>
            <w:tcW w:w="1171" w:type="dxa"/>
            <w:vAlign w:val="top"/>
          </w:tcPr>
          <w:p w14:paraId="00F43171"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11.8</w:t>
            </w:r>
          </w:p>
        </w:tc>
        <w:tc>
          <w:tcPr>
            <w:tcW w:w="1171" w:type="dxa"/>
            <w:vAlign w:val="top"/>
          </w:tcPr>
          <w:p w14:paraId="33195B39"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9.2</w:t>
            </w:r>
          </w:p>
        </w:tc>
        <w:tc>
          <w:tcPr>
            <w:tcW w:w="1171" w:type="dxa"/>
            <w:vAlign w:val="top"/>
          </w:tcPr>
          <w:p w14:paraId="6ECD62C3"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6.2</w:t>
            </w:r>
          </w:p>
        </w:tc>
        <w:tc>
          <w:tcPr>
            <w:tcW w:w="1201" w:type="dxa"/>
            <w:vAlign w:val="top"/>
          </w:tcPr>
          <w:p w14:paraId="5852BC00" w14:textId="77777777" w:rsidR="00612E78" w:rsidRPr="00612E78" w:rsidRDefault="00612E78" w:rsidP="00AD0AE7">
            <w:pPr>
              <w:pStyle w:val="AERtabletextleft"/>
              <w:cnfStyle w:val="000000010000" w:firstRow="0" w:lastRow="0" w:firstColumn="0" w:lastColumn="0" w:oddVBand="0" w:evenVBand="0" w:oddHBand="0" w:evenHBand="1" w:firstRowFirstColumn="0" w:firstRowLastColumn="0" w:lastRowFirstColumn="0" w:lastRowLastColumn="0"/>
            </w:pPr>
            <w:r w:rsidRPr="00612E78">
              <w:t>54.9</w:t>
            </w:r>
          </w:p>
        </w:tc>
      </w:tr>
      <w:tr w:rsidR="00AD0AE7" w14:paraId="02413FC3" w14:textId="77777777" w:rsidTr="00AD0AE7">
        <w:tc>
          <w:tcPr>
            <w:cnfStyle w:val="001000000000" w:firstRow="0" w:lastRow="0" w:firstColumn="1" w:lastColumn="0" w:oddVBand="0" w:evenVBand="0" w:oddHBand="0" w:evenHBand="0" w:firstRowFirstColumn="0" w:firstRowLastColumn="0" w:lastRowFirstColumn="0" w:lastRowLastColumn="0"/>
            <w:tcW w:w="2093" w:type="dxa"/>
          </w:tcPr>
          <w:p w14:paraId="0B4D9E12" w14:textId="77777777" w:rsidR="00AD0AE7" w:rsidRPr="00AD0AE7" w:rsidRDefault="00AD0AE7" w:rsidP="00AD0AE7">
            <w:pPr>
              <w:pStyle w:val="AERtabletextleft"/>
            </w:pPr>
            <w:r w:rsidRPr="00AD0AE7">
              <w:t>Escalation</w:t>
            </w:r>
          </w:p>
        </w:tc>
        <w:tc>
          <w:tcPr>
            <w:tcW w:w="850" w:type="dxa"/>
            <w:vAlign w:val="top"/>
          </w:tcPr>
          <w:p w14:paraId="3BB5D169" w14:textId="77777777" w:rsidR="00AD0AE7" w:rsidRPr="00AD0AE7" w:rsidRDefault="00AD0AE7" w:rsidP="00AD0AE7">
            <w:pPr>
              <w:pStyle w:val="AERtabletextleft"/>
              <w:cnfStyle w:val="000000000000" w:firstRow="0" w:lastRow="0" w:firstColumn="0" w:lastColumn="0" w:oddVBand="0" w:evenVBand="0" w:oddHBand="0" w:evenHBand="0" w:firstRowFirstColumn="0" w:firstRowLastColumn="0" w:lastRowFirstColumn="0" w:lastRowLastColumn="0"/>
            </w:pPr>
            <w:r w:rsidRPr="00AD0AE7">
              <w:t>0.5</w:t>
            </w:r>
          </w:p>
        </w:tc>
        <w:tc>
          <w:tcPr>
            <w:tcW w:w="1036" w:type="dxa"/>
            <w:vAlign w:val="top"/>
          </w:tcPr>
          <w:p w14:paraId="492F7DD0" w14:textId="77777777" w:rsidR="00AD0AE7" w:rsidRPr="00AD0AE7" w:rsidRDefault="00AD0AE7" w:rsidP="00AD0AE7">
            <w:pPr>
              <w:pStyle w:val="AERtabletextleft"/>
              <w:cnfStyle w:val="000000000000" w:firstRow="0" w:lastRow="0" w:firstColumn="0" w:lastColumn="0" w:oddVBand="0" w:evenVBand="0" w:oddHBand="0" w:evenHBand="0" w:firstRowFirstColumn="0" w:firstRowLastColumn="0" w:lastRowFirstColumn="0" w:lastRowLastColumn="0"/>
            </w:pPr>
            <w:r w:rsidRPr="00AD0AE7">
              <w:t>1.2</w:t>
            </w:r>
          </w:p>
        </w:tc>
        <w:tc>
          <w:tcPr>
            <w:tcW w:w="1171" w:type="dxa"/>
            <w:vAlign w:val="top"/>
          </w:tcPr>
          <w:p w14:paraId="3DFA7825" w14:textId="77777777" w:rsidR="00AD0AE7" w:rsidRPr="00AD0AE7" w:rsidRDefault="00527ED7" w:rsidP="00527ED7">
            <w:pPr>
              <w:pStyle w:val="AERtabletextleft"/>
              <w:cnfStyle w:val="000000000000" w:firstRow="0" w:lastRow="0" w:firstColumn="0" w:lastColumn="0" w:oddVBand="0" w:evenVBand="0" w:oddHBand="0" w:evenHBand="0" w:firstRowFirstColumn="0" w:firstRowLastColumn="0" w:lastRowFirstColumn="0" w:lastRowLastColumn="0"/>
            </w:pPr>
            <w:r>
              <w:t>1</w:t>
            </w:r>
            <w:r w:rsidR="00AD0AE7" w:rsidRPr="00AD0AE7">
              <w:t>.</w:t>
            </w:r>
            <w:r>
              <w:t>9</w:t>
            </w:r>
          </w:p>
        </w:tc>
        <w:tc>
          <w:tcPr>
            <w:tcW w:w="1171" w:type="dxa"/>
            <w:vAlign w:val="top"/>
          </w:tcPr>
          <w:p w14:paraId="4CDFE647" w14:textId="77777777" w:rsidR="00AD0AE7" w:rsidRPr="00AD0AE7" w:rsidRDefault="00AD0AE7" w:rsidP="00527ED7">
            <w:pPr>
              <w:pStyle w:val="AERtabletextleft"/>
              <w:cnfStyle w:val="000000000000" w:firstRow="0" w:lastRow="0" w:firstColumn="0" w:lastColumn="0" w:oddVBand="0" w:evenVBand="0" w:oddHBand="0" w:evenHBand="0" w:firstRowFirstColumn="0" w:firstRowLastColumn="0" w:lastRowFirstColumn="0" w:lastRowLastColumn="0"/>
            </w:pPr>
            <w:r w:rsidRPr="00AD0AE7">
              <w:t>2.</w:t>
            </w:r>
            <w:r w:rsidR="00527ED7">
              <w:t>7</w:t>
            </w:r>
          </w:p>
        </w:tc>
        <w:tc>
          <w:tcPr>
            <w:tcW w:w="1171" w:type="dxa"/>
            <w:vAlign w:val="top"/>
          </w:tcPr>
          <w:p w14:paraId="44920C88" w14:textId="77777777" w:rsidR="00AD0AE7" w:rsidRPr="00AD0AE7" w:rsidRDefault="00AD0AE7" w:rsidP="00AD0AE7">
            <w:pPr>
              <w:pStyle w:val="AERtabletextleft"/>
              <w:cnfStyle w:val="000000000000" w:firstRow="0" w:lastRow="0" w:firstColumn="0" w:lastColumn="0" w:oddVBand="0" w:evenVBand="0" w:oddHBand="0" w:evenHBand="0" w:firstRowFirstColumn="0" w:firstRowLastColumn="0" w:lastRowFirstColumn="0" w:lastRowLastColumn="0"/>
            </w:pPr>
            <w:r w:rsidRPr="00AD0AE7">
              <w:t>3.7</w:t>
            </w:r>
          </w:p>
        </w:tc>
        <w:tc>
          <w:tcPr>
            <w:tcW w:w="1201" w:type="dxa"/>
            <w:vAlign w:val="top"/>
          </w:tcPr>
          <w:p w14:paraId="31F795F9" w14:textId="77777777" w:rsidR="00AD0AE7" w:rsidRPr="00AD0AE7" w:rsidRDefault="00AD0AE7" w:rsidP="00527ED7">
            <w:pPr>
              <w:pStyle w:val="AERtabletextleft"/>
              <w:cnfStyle w:val="000000000000" w:firstRow="0" w:lastRow="0" w:firstColumn="0" w:lastColumn="0" w:oddVBand="0" w:evenVBand="0" w:oddHBand="0" w:evenHBand="0" w:firstRowFirstColumn="0" w:firstRowLastColumn="0" w:lastRowFirstColumn="0" w:lastRowLastColumn="0"/>
            </w:pPr>
            <w:r w:rsidRPr="00AD0AE7">
              <w:t>10.</w:t>
            </w:r>
            <w:r w:rsidR="00527ED7">
              <w:t>0</w:t>
            </w:r>
          </w:p>
        </w:tc>
      </w:tr>
      <w:tr w:rsidR="00AD0AE7" w14:paraId="6B15A885" w14:textId="77777777" w:rsidTr="00AD0A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C37C833" w14:textId="77777777" w:rsidR="00AD0AE7" w:rsidRPr="00AD0AE7" w:rsidRDefault="00AD0AE7" w:rsidP="00AD0AE7">
            <w:pPr>
              <w:pStyle w:val="AERtabletextleft"/>
            </w:pPr>
            <w:r w:rsidRPr="00AD0AE7">
              <w:t>Overheads</w:t>
            </w:r>
          </w:p>
        </w:tc>
        <w:tc>
          <w:tcPr>
            <w:tcW w:w="850" w:type="dxa"/>
            <w:vAlign w:val="top"/>
          </w:tcPr>
          <w:p w14:paraId="23081463" w14:textId="77777777" w:rsidR="00AD0AE7" w:rsidRPr="00AD0AE7" w:rsidRDefault="00AD0AE7" w:rsidP="00AD0AE7">
            <w:pPr>
              <w:pStyle w:val="AERtabletextleft"/>
              <w:cnfStyle w:val="000000010000" w:firstRow="0" w:lastRow="0" w:firstColumn="0" w:lastColumn="0" w:oddVBand="0" w:evenVBand="0" w:oddHBand="0" w:evenHBand="1" w:firstRowFirstColumn="0" w:firstRowLastColumn="0" w:lastRowFirstColumn="0" w:lastRowLastColumn="0"/>
            </w:pPr>
            <w:r w:rsidRPr="00AD0AE7">
              <w:t>6.9</w:t>
            </w:r>
          </w:p>
        </w:tc>
        <w:tc>
          <w:tcPr>
            <w:tcW w:w="1036" w:type="dxa"/>
            <w:vAlign w:val="top"/>
          </w:tcPr>
          <w:p w14:paraId="0802EBDD" w14:textId="77777777" w:rsidR="00AD0AE7" w:rsidRPr="00AD0AE7" w:rsidRDefault="00AD0AE7" w:rsidP="00AD0AE7">
            <w:pPr>
              <w:pStyle w:val="AERtabletextleft"/>
              <w:cnfStyle w:val="000000010000" w:firstRow="0" w:lastRow="0" w:firstColumn="0" w:lastColumn="0" w:oddVBand="0" w:evenVBand="0" w:oddHBand="0" w:evenHBand="1" w:firstRowFirstColumn="0" w:firstRowLastColumn="0" w:lastRowFirstColumn="0" w:lastRowLastColumn="0"/>
            </w:pPr>
            <w:r w:rsidRPr="00AD0AE7">
              <w:t>6.9</w:t>
            </w:r>
          </w:p>
        </w:tc>
        <w:tc>
          <w:tcPr>
            <w:tcW w:w="1171" w:type="dxa"/>
            <w:vAlign w:val="top"/>
          </w:tcPr>
          <w:p w14:paraId="731F4537" w14:textId="77777777" w:rsidR="00AD0AE7" w:rsidRPr="00AD0AE7" w:rsidRDefault="00AD0AE7" w:rsidP="00AD0AE7">
            <w:pPr>
              <w:pStyle w:val="AERtabletextleft"/>
              <w:cnfStyle w:val="000000010000" w:firstRow="0" w:lastRow="0" w:firstColumn="0" w:lastColumn="0" w:oddVBand="0" w:evenVBand="0" w:oddHBand="0" w:evenHBand="1" w:firstRowFirstColumn="0" w:firstRowLastColumn="0" w:lastRowFirstColumn="0" w:lastRowLastColumn="0"/>
            </w:pPr>
            <w:r w:rsidRPr="00AD0AE7">
              <w:t>6.9</w:t>
            </w:r>
          </w:p>
        </w:tc>
        <w:tc>
          <w:tcPr>
            <w:tcW w:w="1171" w:type="dxa"/>
            <w:vAlign w:val="top"/>
          </w:tcPr>
          <w:p w14:paraId="11AF3735" w14:textId="77777777" w:rsidR="00AD0AE7" w:rsidRPr="00AD0AE7" w:rsidRDefault="00AD0AE7" w:rsidP="00AD0AE7">
            <w:pPr>
              <w:pStyle w:val="AERtabletextleft"/>
              <w:cnfStyle w:val="000000010000" w:firstRow="0" w:lastRow="0" w:firstColumn="0" w:lastColumn="0" w:oddVBand="0" w:evenVBand="0" w:oddHBand="0" w:evenHBand="1" w:firstRowFirstColumn="0" w:firstRowLastColumn="0" w:lastRowFirstColumn="0" w:lastRowLastColumn="0"/>
            </w:pPr>
            <w:r w:rsidRPr="00AD0AE7">
              <w:t>6.9</w:t>
            </w:r>
          </w:p>
        </w:tc>
        <w:tc>
          <w:tcPr>
            <w:tcW w:w="1171" w:type="dxa"/>
            <w:vAlign w:val="top"/>
          </w:tcPr>
          <w:p w14:paraId="09E5B935" w14:textId="4461A306" w:rsidR="00AD0AE7" w:rsidRPr="00AD0AE7" w:rsidRDefault="00AD0AE7" w:rsidP="002945DF">
            <w:pPr>
              <w:pStyle w:val="AERtabletextleft"/>
              <w:cnfStyle w:val="000000010000" w:firstRow="0" w:lastRow="0" w:firstColumn="0" w:lastColumn="0" w:oddVBand="0" w:evenVBand="0" w:oddHBand="0" w:evenHBand="1" w:firstRowFirstColumn="0" w:firstRowLastColumn="0" w:lastRowFirstColumn="0" w:lastRowLastColumn="0"/>
            </w:pPr>
            <w:r w:rsidRPr="00AD0AE7">
              <w:t>6.</w:t>
            </w:r>
            <w:r w:rsidR="002945DF">
              <w:t>9</w:t>
            </w:r>
          </w:p>
        </w:tc>
        <w:tc>
          <w:tcPr>
            <w:tcW w:w="1201" w:type="dxa"/>
            <w:vAlign w:val="top"/>
          </w:tcPr>
          <w:p w14:paraId="4CFEEEA2" w14:textId="70B7FB36" w:rsidR="00AD0AE7" w:rsidRPr="00AD0AE7" w:rsidRDefault="00AD0AE7" w:rsidP="002945DF">
            <w:pPr>
              <w:pStyle w:val="AERtabletextleft"/>
              <w:cnfStyle w:val="000000010000" w:firstRow="0" w:lastRow="0" w:firstColumn="0" w:lastColumn="0" w:oddVBand="0" w:evenVBand="0" w:oddHBand="0" w:evenHBand="1" w:firstRowFirstColumn="0" w:firstRowLastColumn="0" w:lastRowFirstColumn="0" w:lastRowLastColumn="0"/>
            </w:pPr>
            <w:r w:rsidRPr="00AD0AE7">
              <w:t>34.</w:t>
            </w:r>
            <w:r w:rsidR="002945DF">
              <w:t>6</w:t>
            </w:r>
          </w:p>
        </w:tc>
      </w:tr>
      <w:tr w:rsidR="00AD0AE7" w14:paraId="76AA85C5" w14:textId="77777777" w:rsidTr="00AD0AE7">
        <w:tc>
          <w:tcPr>
            <w:cnfStyle w:val="001000000000" w:firstRow="0" w:lastRow="0" w:firstColumn="1" w:lastColumn="0" w:oddVBand="0" w:evenVBand="0" w:oddHBand="0" w:evenHBand="0" w:firstRowFirstColumn="0" w:firstRowLastColumn="0" w:lastRowFirstColumn="0" w:lastRowLastColumn="0"/>
            <w:tcW w:w="2093" w:type="dxa"/>
          </w:tcPr>
          <w:p w14:paraId="38EEF732" w14:textId="77777777" w:rsidR="00AD0AE7" w:rsidRPr="00AD0AE7" w:rsidRDefault="00AD0AE7" w:rsidP="00AD0AE7">
            <w:pPr>
              <w:pStyle w:val="AERtabletextleft"/>
              <w:rPr>
                <w:rStyle w:val="Strong"/>
              </w:rPr>
            </w:pPr>
            <w:r w:rsidRPr="00AD0AE7">
              <w:rPr>
                <w:rStyle w:val="Strong"/>
              </w:rPr>
              <w:t>GROSS TOTAL CAPITAL EXPENDITURE</w:t>
            </w:r>
          </w:p>
        </w:tc>
        <w:tc>
          <w:tcPr>
            <w:tcW w:w="850" w:type="dxa"/>
            <w:vAlign w:val="top"/>
          </w:tcPr>
          <w:p w14:paraId="428DFCD3" w14:textId="5D2D453F"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10</w:t>
            </w:r>
            <w:r w:rsidR="00527ED7">
              <w:rPr>
                <w:rStyle w:val="Strong"/>
              </w:rPr>
              <w:t>3.</w:t>
            </w:r>
            <w:r w:rsidR="002945DF">
              <w:rPr>
                <w:rStyle w:val="Strong"/>
              </w:rPr>
              <w:t>8</w:t>
            </w:r>
          </w:p>
        </w:tc>
        <w:tc>
          <w:tcPr>
            <w:tcW w:w="1036" w:type="dxa"/>
            <w:vAlign w:val="top"/>
          </w:tcPr>
          <w:p w14:paraId="5C290550" w14:textId="2CC65AAE"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10</w:t>
            </w:r>
            <w:r w:rsidR="00527ED7">
              <w:rPr>
                <w:rStyle w:val="Strong"/>
              </w:rPr>
              <w:t>0</w:t>
            </w:r>
            <w:r w:rsidRPr="00AD0AE7">
              <w:rPr>
                <w:rStyle w:val="Strong"/>
              </w:rPr>
              <w:t>.</w:t>
            </w:r>
            <w:r w:rsidR="002945DF">
              <w:rPr>
                <w:rStyle w:val="Strong"/>
              </w:rPr>
              <w:t>8</w:t>
            </w:r>
          </w:p>
        </w:tc>
        <w:tc>
          <w:tcPr>
            <w:tcW w:w="1171" w:type="dxa"/>
            <w:vAlign w:val="top"/>
          </w:tcPr>
          <w:p w14:paraId="2CBDC606" w14:textId="5091820D"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9</w:t>
            </w:r>
            <w:r w:rsidR="00527ED7">
              <w:rPr>
                <w:rStyle w:val="Strong"/>
              </w:rPr>
              <w:t>7</w:t>
            </w:r>
            <w:r w:rsidRPr="00AD0AE7">
              <w:rPr>
                <w:rStyle w:val="Strong"/>
              </w:rPr>
              <w:t>.</w:t>
            </w:r>
            <w:r w:rsidR="002945DF">
              <w:rPr>
                <w:rStyle w:val="Strong"/>
              </w:rPr>
              <w:t>5</w:t>
            </w:r>
          </w:p>
        </w:tc>
        <w:tc>
          <w:tcPr>
            <w:tcW w:w="1171" w:type="dxa"/>
            <w:vAlign w:val="top"/>
          </w:tcPr>
          <w:p w14:paraId="0762A69B" w14:textId="79371971"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9</w:t>
            </w:r>
            <w:r w:rsidR="00527ED7">
              <w:rPr>
                <w:rStyle w:val="Strong"/>
              </w:rPr>
              <w:t>1.</w:t>
            </w:r>
            <w:r w:rsidR="002945DF">
              <w:rPr>
                <w:rStyle w:val="Strong"/>
              </w:rPr>
              <w:t>2</w:t>
            </w:r>
          </w:p>
        </w:tc>
        <w:tc>
          <w:tcPr>
            <w:tcW w:w="1171" w:type="dxa"/>
            <w:vAlign w:val="top"/>
          </w:tcPr>
          <w:p w14:paraId="6E9E344A" w14:textId="51D7F365"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8</w:t>
            </w:r>
            <w:r w:rsidR="00527ED7">
              <w:rPr>
                <w:rStyle w:val="Strong"/>
              </w:rPr>
              <w:t>7.</w:t>
            </w:r>
            <w:r w:rsidR="002945DF">
              <w:rPr>
                <w:rStyle w:val="Strong"/>
              </w:rPr>
              <w:t>5</w:t>
            </w:r>
          </w:p>
        </w:tc>
        <w:tc>
          <w:tcPr>
            <w:tcW w:w="1201" w:type="dxa"/>
            <w:vAlign w:val="top"/>
          </w:tcPr>
          <w:p w14:paraId="4648ECA0" w14:textId="64A14062"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48</w:t>
            </w:r>
            <w:r w:rsidR="00527ED7">
              <w:rPr>
                <w:rStyle w:val="Strong"/>
              </w:rPr>
              <w:t>0.</w:t>
            </w:r>
            <w:r w:rsidR="002945DF">
              <w:rPr>
                <w:rStyle w:val="Strong"/>
              </w:rPr>
              <w:t>8</w:t>
            </w:r>
          </w:p>
        </w:tc>
      </w:tr>
      <w:tr w:rsidR="00AD0AE7" w14:paraId="73762291" w14:textId="77777777" w:rsidTr="00AD0A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6DAD9FF" w14:textId="77777777" w:rsidR="00AD0AE7" w:rsidRPr="00AD0AE7" w:rsidRDefault="00AD0AE7" w:rsidP="00AD0AE7">
            <w:pPr>
              <w:pStyle w:val="AERtabletextleft"/>
            </w:pPr>
            <w:r w:rsidRPr="00AD0AE7">
              <w:t>Contributions</w:t>
            </w:r>
          </w:p>
        </w:tc>
        <w:tc>
          <w:tcPr>
            <w:tcW w:w="850" w:type="dxa"/>
            <w:vAlign w:val="top"/>
          </w:tcPr>
          <w:p w14:paraId="14E9AFD4" w14:textId="77777777" w:rsidR="00AD0AE7" w:rsidRPr="00AD0AE7" w:rsidRDefault="00527ED7" w:rsidP="00AD0AE7">
            <w:pPr>
              <w:pStyle w:val="AERtabletextleft"/>
              <w:cnfStyle w:val="000000010000" w:firstRow="0" w:lastRow="0" w:firstColumn="0" w:lastColumn="0" w:oddVBand="0" w:evenVBand="0" w:oddHBand="0" w:evenHBand="1" w:firstRowFirstColumn="0" w:firstRowLastColumn="0" w:lastRowFirstColumn="0" w:lastRowLastColumn="0"/>
            </w:pPr>
            <w:r>
              <w:t>4.0</w:t>
            </w:r>
          </w:p>
        </w:tc>
        <w:tc>
          <w:tcPr>
            <w:tcW w:w="1036" w:type="dxa"/>
            <w:vAlign w:val="top"/>
          </w:tcPr>
          <w:p w14:paraId="640B2796" w14:textId="77777777" w:rsidR="00AD0AE7" w:rsidRPr="00AD0AE7" w:rsidRDefault="00527ED7" w:rsidP="00AD0AE7">
            <w:pPr>
              <w:pStyle w:val="AERtabletextleft"/>
              <w:cnfStyle w:val="000000010000" w:firstRow="0" w:lastRow="0" w:firstColumn="0" w:lastColumn="0" w:oddVBand="0" w:evenVBand="0" w:oddHBand="0" w:evenHBand="1" w:firstRowFirstColumn="0" w:firstRowLastColumn="0" w:lastRowFirstColumn="0" w:lastRowLastColumn="0"/>
            </w:pPr>
            <w:r>
              <w:t>4.1</w:t>
            </w:r>
          </w:p>
        </w:tc>
        <w:tc>
          <w:tcPr>
            <w:tcW w:w="1171" w:type="dxa"/>
            <w:vAlign w:val="top"/>
          </w:tcPr>
          <w:p w14:paraId="1AFAA1F3" w14:textId="77777777" w:rsidR="00AD0AE7" w:rsidRPr="00AD0AE7" w:rsidRDefault="00527ED7" w:rsidP="00AD0AE7">
            <w:pPr>
              <w:pStyle w:val="AERtabletextleft"/>
              <w:cnfStyle w:val="000000010000" w:firstRow="0" w:lastRow="0" w:firstColumn="0" w:lastColumn="0" w:oddVBand="0" w:evenVBand="0" w:oddHBand="0" w:evenHBand="1" w:firstRowFirstColumn="0" w:firstRowLastColumn="0" w:lastRowFirstColumn="0" w:lastRowLastColumn="0"/>
            </w:pPr>
            <w:r>
              <w:t>4.1</w:t>
            </w:r>
          </w:p>
        </w:tc>
        <w:tc>
          <w:tcPr>
            <w:tcW w:w="1171" w:type="dxa"/>
            <w:vAlign w:val="top"/>
          </w:tcPr>
          <w:p w14:paraId="1C23B5CE" w14:textId="77777777" w:rsidR="00AD0AE7" w:rsidRPr="00AD0AE7" w:rsidRDefault="00527ED7" w:rsidP="00AD0AE7">
            <w:pPr>
              <w:pStyle w:val="AERtabletextleft"/>
              <w:cnfStyle w:val="000000010000" w:firstRow="0" w:lastRow="0" w:firstColumn="0" w:lastColumn="0" w:oddVBand="0" w:evenVBand="0" w:oddHBand="0" w:evenHBand="1" w:firstRowFirstColumn="0" w:firstRowLastColumn="0" w:lastRowFirstColumn="0" w:lastRowLastColumn="0"/>
            </w:pPr>
            <w:r>
              <w:t>4.2</w:t>
            </w:r>
          </w:p>
        </w:tc>
        <w:tc>
          <w:tcPr>
            <w:tcW w:w="1171" w:type="dxa"/>
            <w:vAlign w:val="top"/>
          </w:tcPr>
          <w:p w14:paraId="2102611A" w14:textId="77777777" w:rsidR="00AD0AE7" w:rsidRPr="00AD0AE7" w:rsidRDefault="00527ED7" w:rsidP="00AD0AE7">
            <w:pPr>
              <w:pStyle w:val="AERtabletextleft"/>
              <w:cnfStyle w:val="000000010000" w:firstRow="0" w:lastRow="0" w:firstColumn="0" w:lastColumn="0" w:oddVBand="0" w:evenVBand="0" w:oddHBand="0" w:evenHBand="1" w:firstRowFirstColumn="0" w:firstRowLastColumn="0" w:lastRowFirstColumn="0" w:lastRowLastColumn="0"/>
            </w:pPr>
            <w:r>
              <w:t>4.3</w:t>
            </w:r>
          </w:p>
        </w:tc>
        <w:tc>
          <w:tcPr>
            <w:tcW w:w="1201" w:type="dxa"/>
            <w:vAlign w:val="top"/>
          </w:tcPr>
          <w:p w14:paraId="7353DDF0" w14:textId="77777777" w:rsidR="00AD0AE7" w:rsidRPr="00AD0AE7" w:rsidRDefault="00527ED7" w:rsidP="00AD0AE7">
            <w:pPr>
              <w:pStyle w:val="AERtabletextleft"/>
              <w:cnfStyle w:val="000000010000" w:firstRow="0" w:lastRow="0" w:firstColumn="0" w:lastColumn="0" w:oddVBand="0" w:evenVBand="0" w:oddHBand="0" w:evenHBand="1" w:firstRowFirstColumn="0" w:firstRowLastColumn="0" w:lastRowFirstColumn="0" w:lastRowLastColumn="0"/>
            </w:pPr>
            <w:r>
              <w:t>20.8</w:t>
            </w:r>
          </w:p>
        </w:tc>
      </w:tr>
      <w:tr w:rsidR="00AD0AE7" w14:paraId="3638CCDC" w14:textId="77777777" w:rsidTr="00AD0AE7">
        <w:tc>
          <w:tcPr>
            <w:cnfStyle w:val="001000000000" w:firstRow="0" w:lastRow="0" w:firstColumn="1" w:lastColumn="0" w:oddVBand="0" w:evenVBand="0" w:oddHBand="0" w:evenHBand="0" w:firstRowFirstColumn="0" w:firstRowLastColumn="0" w:lastRowFirstColumn="0" w:lastRowLastColumn="0"/>
            <w:tcW w:w="2093" w:type="dxa"/>
          </w:tcPr>
          <w:p w14:paraId="1619018D" w14:textId="77777777" w:rsidR="00AD0AE7" w:rsidRPr="00AD0AE7" w:rsidRDefault="00AD0AE7" w:rsidP="00AD0AE7">
            <w:pPr>
              <w:pStyle w:val="AERtabletextleft"/>
              <w:rPr>
                <w:rStyle w:val="Strong"/>
              </w:rPr>
            </w:pPr>
            <w:r w:rsidRPr="00AD0AE7">
              <w:rPr>
                <w:rStyle w:val="Strong"/>
              </w:rPr>
              <w:t>NET TOTAL CAPITAL EXPENDITURE</w:t>
            </w:r>
          </w:p>
        </w:tc>
        <w:tc>
          <w:tcPr>
            <w:tcW w:w="850" w:type="dxa"/>
            <w:vAlign w:val="top"/>
          </w:tcPr>
          <w:p w14:paraId="585D2EDA" w14:textId="192FCF83"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99.</w:t>
            </w:r>
            <w:r w:rsidR="002945DF">
              <w:rPr>
                <w:rStyle w:val="Strong"/>
              </w:rPr>
              <w:t>8</w:t>
            </w:r>
          </w:p>
        </w:tc>
        <w:tc>
          <w:tcPr>
            <w:tcW w:w="1036" w:type="dxa"/>
            <w:vAlign w:val="top"/>
          </w:tcPr>
          <w:p w14:paraId="09DB369E" w14:textId="5A389B3F"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96.</w:t>
            </w:r>
            <w:r w:rsidR="002945DF">
              <w:rPr>
                <w:rStyle w:val="Strong"/>
              </w:rPr>
              <w:t>7</w:t>
            </w:r>
          </w:p>
        </w:tc>
        <w:tc>
          <w:tcPr>
            <w:tcW w:w="1171" w:type="dxa"/>
            <w:vAlign w:val="top"/>
          </w:tcPr>
          <w:p w14:paraId="39CB0193" w14:textId="48A8A4BD"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93.</w:t>
            </w:r>
            <w:r w:rsidR="002945DF">
              <w:rPr>
                <w:rStyle w:val="Strong"/>
              </w:rPr>
              <w:t>3</w:t>
            </w:r>
          </w:p>
        </w:tc>
        <w:tc>
          <w:tcPr>
            <w:tcW w:w="1171" w:type="dxa"/>
            <w:vAlign w:val="top"/>
          </w:tcPr>
          <w:p w14:paraId="3C082464" w14:textId="08C4D33C"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8</w:t>
            </w:r>
            <w:r w:rsidR="002945DF">
              <w:rPr>
                <w:rStyle w:val="Strong"/>
              </w:rPr>
              <w:t>7.0</w:t>
            </w:r>
          </w:p>
        </w:tc>
        <w:tc>
          <w:tcPr>
            <w:tcW w:w="1171" w:type="dxa"/>
            <w:vAlign w:val="top"/>
          </w:tcPr>
          <w:p w14:paraId="1F68EED1" w14:textId="01E85FD8"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83.</w:t>
            </w:r>
            <w:r w:rsidR="002945DF">
              <w:rPr>
                <w:rStyle w:val="Strong"/>
              </w:rPr>
              <w:t>3</w:t>
            </w:r>
          </w:p>
        </w:tc>
        <w:tc>
          <w:tcPr>
            <w:tcW w:w="1201" w:type="dxa"/>
            <w:vAlign w:val="top"/>
          </w:tcPr>
          <w:p w14:paraId="179E7D47" w14:textId="4AB19A0A" w:rsidR="00AD0AE7" w:rsidRPr="00AD0AE7" w:rsidRDefault="00AD0AE7"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AD0AE7">
              <w:rPr>
                <w:rStyle w:val="Strong"/>
              </w:rPr>
              <w:t>4</w:t>
            </w:r>
            <w:r w:rsidR="002945DF">
              <w:rPr>
                <w:rStyle w:val="Strong"/>
              </w:rPr>
              <w:t>60.0</w:t>
            </w:r>
          </w:p>
        </w:tc>
      </w:tr>
    </w:tbl>
    <w:p w14:paraId="3C17D303" w14:textId="77777777" w:rsidR="00384E26" w:rsidRPr="00A33E56" w:rsidRDefault="00384E26" w:rsidP="00384E26">
      <w:pPr>
        <w:pStyle w:val="AERtablesource"/>
      </w:pPr>
      <w:r>
        <w:t xml:space="preserve">Source: </w:t>
      </w:r>
      <w:r>
        <w:tab/>
        <w:t xml:space="preserve">AER analysis. Totals may not sum due to rounding. </w:t>
      </w:r>
    </w:p>
    <w:p w14:paraId="7906F1AE" w14:textId="060AD408" w:rsidR="00E46AAB" w:rsidRDefault="009D7A67" w:rsidP="00E46AAB">
      <w:fldSimple w:instr=" REF _Ref485371137 ">
        <w:r w:rsidR="00745B71">
          <w:t xml:space="preserve">Table </w:t>
        </w:r>
        <w:r w:rsidR="00745B71">
          <w:rPr>
            <w:noProof/>
          </w:rPr>
          <w:t>6</w:t>
        </w:r>
        <w:r w:rsidR="00745B71">
          <w:t>.</w:t>
        </w:r>
        <w:r w:rsidR="00745B71">
          <w:rPr>
            <w:noProof/>
          </w:rPr>
          <w:t>3</w:t>
        </w:r>
      </w:fldSimple>
      <w:r w:rsidR="00147A09">
        <w:t xml:space="preserve"> </w:t>
      </w:r>
      <w:r w:rsidR="00384E26">
        <w:t xml:space="preserve">shows AusNet's proposed capex compared with our alternative capex estimate for each category. In coming to our draft decision, we assessed AusNet's forecast capex </w:t>
      </w:r>
      <w:r w:rsidR="00B92079">
        <w:t xml:space="preserve">compared with our alternative capex estimate </w:t>
      </w:r>
      <w:r w:rsidR="00384E26">
        <w:t>taking into account the available evidence and submissions from stakeholders.</w:t>
      </w:r>
    </w:p>
    <w:p w14:paraId="1A728704" w14:textId="3A93C81A" w:rsidR="00384E26" w:rsidRDefault="00384E26" w:rsidP="00E46AAB">
      <w:r>
        <w:t>Our assessment revealed that most aspects of AusNet's proposal are consistent with the NGR requirements</w:t>
      </w:r>
      <w:r w:rsidR="00B92079">
        <w:t xml:space="preserve"> and this forecast expenditure we included in our alternative estimate</w:t>
      </w:r>
      <w:r>
        <w:t>. That is, the proposed expenditures are justified and would be incurred by a prudent service provider acting efficiently, in accordance with accepted good industry practice, to achieve the lowest sustainable cost of providing services.</w:t>
      </w:r>
    </w:p>
    <w:p w14:paraId="36B26006" w14:textId="42DA5614" w:rsidR="00384E26" w:rsidRDefault="00384E26" w:rsidP="00E46AAB">
      <w:r>
        <w:t xml:space="preserve">We found that other aspects of AusNet's proposal, in particular its proposed </w:t>
      </w:r>
      <w:r w:rsidR="00B92079">
        <w:t xml:space="preserve">forecast </w:t>
      </w:r>
      <w:r>
        <w:t xml:space="preserve">capex for mains replacement, did not meet the NGR requirements. As such we </w:t>
      </w:r>
      <w:r w:rsidR="00B92079">
        <w:t>did not include this forecast expenditure in our alternative estimate</w:t>
      </w:r>
      <w:r>
        <w:t>.</w:t>
      </w:r>
    </w:p>
    <w:p w14:paraId="741A892A" w14:textId="14F19E26" w:rsidR="00384E26" w:rsidRPr="00384E26" w:rsidRDefault="00147A09" w:rsidP="00147A09">
      <w:pPr>
        <w:pStyle w:val="Caption"/>
      </w:pPr>
      <w:bookmarkStart w:id="161" w:name="_Ref485371137"/>
      <w:r>
        <w:t xml:space="preserve">Table </w:t>
      </w:r>
      <w:fldSimple w:instr=" STYLEREF 1 \s ">
        <w:r w:rsidR="00745B71">
          <w:rPr>
            <w:noProof/>
          </w:rPr>
          <w:t>6</w:t>
        </w:r>
      </w:fldSimple>
      <w:r>
        <w:t>.</w:t>
      </w:r>
      <w:fldSimple w:instr=" SEQ Table \* ARABIC \s 1 ">
        <w:r w:rsidR="00745B71">
          <w:rPr>
            <w:noProof/>
          </w:rPr>
          <w:t>3</w:t>
        </w:r>
      </w:fldSimple>
      <w:bookmarkEnd w:id="161"/>
      <w:r>
        <w:tab/>
      </w:r>
      <w:r w:rsidR="00384E26" w:rsidRPr="00384E26">
        <w:t xml:space="preserve">Comparison of AER approved and </w:t>
      </w:r>
      <w:r w:rsidR="00384E26">
        <w:t>AusN</w:t>
      </w:r>
      <w:r w:rsidR="00384E26" w:rsidRPr="00384E26">
        <w:t xml:space="preserve">et's proposed capital expenditure over the 2018–22 access arrangement period ($million, 2017) </w:t>
      </w:r>
    </w:p>
    <w:tbl>
      <w:tblPr>
        <w:tblStyle w:val="AERtable-numbers"/>
        <w:tblW w:w="0" w:type="auto"/>
        <w:tblLook w:val="04A0" w:firstRow="1" w:lastRow="0" w:firstColumn="1" w:lastColumn="0" w:noHBand="0" w:noVBand="1"/>
      </w:tblPr>
      <w:tblGrid>
        <w:gridCol w:w="2943"/>
        <w:gridCol w:w="1403"/>
        <w:gridCol w:w="2173"/>
        <w:gridCol w:w="2174"/>
      </w:tblGrid>
      <w:tr w:rsidR="00C85571" w14:paraId="31625F60" w14:textId="77777777" w:rsidTr="00C85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90CF8EF" w14:textId="77777777" w:rsidR="00C85571" w:rsidRPr="00C85571" w:rsidRDefault="00C85571" w:rsidP="00C85571">
            <w:pPr>
              <w:pStyle w:val="AERtabletextleft"/>
            </w:pPr>
            <w:r w:rsidRPr="00F23E92">
              <w:t>Categ</w:t>
            </w:r>
            <w:r w:rsidRPr="00C85571">
              <w:t>ory</w:t>
            </w:r>
          </w:p>
        </w:tc>
        <w:tc>
          <w:tcPr>
            <w:tcW w:w="1403" w:type="dxa"/>
          </w:tcPr>
          <w:p w14:paraId="41B6B939" w14:textId="77777777" w:rsidR="00C85571" w:rsidRPr="00C85571" w:rsidRDefault="00C85571" w:rsidP="00C85571">
            <w:pPr>
              <w:pStyle w:val="AERtabletextright"/>
              <w:cnfStyle w:val="100000000000" w:firstRow="1" w:lastRow="0" w:firstColumn="0" w:lastColumn="0" w:oddVBand="0" w:evenVBand="0" w:oddHBand="0" w:evenHBand="0" w:firstRowFirstColumn="0" w:firstRowLastColumn="0" w:lastRowFirstColumn="0" w:lastRowLastColumn="0"/>
            </w:pPr>
            <w:r>
              <w:t>Proposed</w:t>
            </w:r>
          </w:p>
        </w:tc>
        <w:tc>
          <w:tcPr>
            <w:tcW w:w="2173" w:type="dxa"/>
          </w:tcPr>
          <w:p w14:paraId="19EC95BA" w14:textId="77777777" w:rsidR="00C85571" w:rsidRPr="00C85571" w:rsidRDefault="00C85571" w:rsidP="00C85571">
            <w:pPr>
              <w:pStyle w:val="AERtabletextright"/>
              <w:cnfStyle w:val="100000000000" w:firstRow="1" w:lastRow="0" w:firstColumn="0" w:lastColumn="0" w:oddVBand="0" w:evenVBand="0" w:oddHBand="0" w:evenHBand="0" w:firstRowFirstColumn="0" w:firstRowLastColumn="0" w:lastRowFirstColumn="0" w:lastRowLastColumn="0"/>
            </w:pPr>
            <w:r>
              <w:t>Approved</w:t>
            </w:r>
          </w:p>
        </w:tc>
        <w:tc>
          <w:tcPr>
            <w:tcW w:w="2174" w:type="dxa"/>
          </w:tcPr>
          <w:p w14:paraId="2438C821" w14:textId="77777777" w:rsidR="00C85571" w:rsidRPr="00C85571" w:rsidRDefault="00C85571" w:rsidP="00C85571">
            <w:pPr>
              <w:pStyle w:val="AERtabletextright"/>
              <w:cnfStyle w:val="100000000000" w:firstRow="1" w:lastRow="0" w:firstColumn="0" w:lastColumn="0" w:oddVBand="0" w:evenVBand="0" w:oddHBand="0" w:evenHBand="0" w:firstRowFirstColumn="0" w:firstRowLastColumn="0" w:lastRowFirstColumn="0" w:lastRowLastColumn="0"/>
            </w:pPr>
            <w:r>
              <w:t>Difference ($millions)</w:t>
            </w:r>
          </w:p>
        </w:tc>
      </w:tr>
      <w:tr w:rsidR="00C85571" w14:paraId="3B9B86D0" w14:textId="77777777" w:rsidTr="00C85571">
        <w:tc>
          <w:tcPr>
            <w:cnfStyle w:val="001000000000" w:firstRow="0" w:lastRow="0" w:firstColumn="1" w:lastColumn="0" w:oddVBand="0" w:evenVBand="0" w:oddHBand="0" w:evenHBand="0" w:firstRowFirstColumn="0" w:firstRowLastColumn="0" w:lastRowFirstColumn="0" w:lastRowLastColumn="0"/>
            <w:tcW w:w="2943" w:type="dxa"/>
            <w:vAlign w:val="top"/>
          </w:tcPr>
          <w:p w14:paraId="25F1A0FF" w14:textId="77777777" w:rsidR="00C85571" w:rsidRPr="00C85571" w:rsidRDefault="00C85571" w:rsidP="00C85571">
            <w:pPr>
              <w:pStyle w:val="AERtabletextleft"/>
            </w:pPr>
            <w:r w:rsidRPr="00597F0D">
              <w:t>Connections</w:t>
            </w:r>
          </w:p>
        </w:tc>
        <w:tc>
          <w:tcPr>
            <w:tcW w:w="1403" w:type="dxa"/>
            <w:vAlign w:val="top"/>
          </w:tcPr>
          <w:p w14:paraId="41BA162D" w14:textId="77777777" w:rsidR="00C85571" w:rsidRPr="00C85571" w:rsidRDefault="00A77ADB" w:rsidP="00C85571">
            <w:pPr>
              <w:pStyle w:val="AERtabletextleft"/>
              <w:cnfStyle w:val="000000000000" w:firstRow="0" w:lastRow="0" w:firstColumn="0" w:lastColumn="0" w:oddVBand="0" w:evenVBand="0" w:oddHBand="0" w:evenHBand="0" w:firstRowFirstColumn="0" w:firstRowLastColumn="0" w:lastRowFirstColumn="0" w:lastRowLastColumn="0"/>
            </w:pPr>
            <w:r>
              <w:t>193.8</w:t>
            </w:r>
          </w:p>
        </w:tc>
        <w:tc>
          <w:tcPr>
            <w:tcW w:w="2173" w:type="dxa"/>
            <w:vAlign w:val="top"/>
          </w:tcPr>
          <w:p w14:paraId="1AF19763" w14:textId="77777777" w:rsidR="00C85571" w:rsidRPr="00C85571" w:rsidRDefault="00A77ADB" w:rsidP="00C85571">
            <w:pPr>
              <w:pStyle w:val="AERtabletextleft"/>
              <w:cnfStyle w:val="000000000000" w:firstRow="0" w:lastRow="0" w:firstColumn="0" w:lastColumn="0" w:oddVBand="0" w:evenVBand="0" w:oddHBand="0" w:evenHBand="0" w:firstRowFirstColumn="0" w:firstRowLastColumn="0" w:lastRowFirstColumn="0" w:lastRowLastColumn="0"/>
            </w:pPr>
            <w:r>
              <w:t>191.2</w:t>
            </w:r>
          </w:p>
        </w:tc>
        <w:tc>
          <w:tcPr>
            <w:tcW w:w="2174" w:type="dxa"/>
            <w:vAlign w:val="top"/>
          </w:tcPr>
          <w:p w14:paraId="41497F0A" w14:textId="77777777" w:rsidR="00C85571" w:rsidRPr="00C85571" w:rsidRDefault="00A77ADB" w:rsidP="00C85571">
            <w:pPr>
              <w:pStyle w:val="AERtabletextleft"/>
              <w:cnfStyle w:val="000000000000" w:firstRow="0" w:lastRow="0" w:firstColumn="0" w:lastColumn="0" w:oddVBand="0" w:evenVBand="0" w:oddHBand="0" w:evenHBand="0" w:firstRowFirstColumn="0" w:firstRowLastColumn="0" w:lastRowFirstColumn="0" w:lastRowLastColumn="0"/>
            </w:pPr>
            <w:r>
              <w:t>-2.6</w:t>
            </w:r>
          </w:p>
        </w:tc>
      </w:tr>
      <w:tr w:rsidR="00C85571" w14:paraId="16151E1E" w14:textId="77777777" w:rsidTr="00C855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14:paraId="588FADC8" w14:textId="77777777" w:rsidR="00C85571" w:rsidRPr="00C85571" w:rsidRDefault="00C85571" w:rsidP="00C85571">
            <w:pPr>
              <w:pStyle w:val="AERtabletextleft"/>
            </w:pPr>
            <w:r w:rsidRPr="00597F0D">
              <w:t>Mains replacement</w:t>
            </w:r>
          </w:p>
        </w:tc>
        <w:tc>
          <w:tcPr>
            <w:tcW w:w="1403" w:type="dxa"/>
            <w:vAlign w:val="top"/>
          </w:tcPr>
          <w:p w14:paraId="1B0AB1CB" w14:textId="1A6F50CC"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130.</w:t>
            </w:r>
            <w:r w:rsidR="002945DF">
              <w:t>6</w:t>
            </w:r>
          </w:p>
        </w:tc>
        <w:tc>
          <w:tcPr>
            <w:tcW w:w="2173" w:type="dxa"/>
            <w:vAlign w:val="top"/>
          </w:tcPr>
          <w:p w14:paraId="04536DF3" w14:textId="3B7B6073"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114.</w:t>
            </w:r>
            <w:r w:rsidR="002945DF">
              <w:t>5</w:t>
            </w:r>
          </w:p>
        </w:tc>
        <w:tc>
          <w:tcPr>
            <w:tcW w:w="2174" w:type="dxa"/>
            <w:vAlign w:val="top"/>
          </w:tcPr>
          <w:p w14:paraId="0FADB568" w14:textId="77777777"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-16.1</w:t>
            </w:r>
          </w:p>
        </w:tc>
      </w:tr>
      <w:tr w:rsidR="00C85571" w14:paraId="6F162E4F" w14:textId="77777777" w:rsidTr="00C85571">
        <w:tc>
          <w:tcPr>
            <w:cnfStyle w:val="001000000000" w:firstRow="0" w:lastRow="0" w:firstColumn="1" w:lastColumn="0" w:oddVBand="0" w:evenVBand="0" w:oddHBand="0" w:evenHBand="0" w:firstRowFirstColumn="0" w:firstRowLastColumn="0" w:lastRowFirstColumn="0" w:lastRowLastColumn="0"/>
            <w:tcW w:w="2943" w:type="dxa"/>
            <w:vAlign w:val="top"/>
          </w:tcPr>
          <w:p w14:paraId="43311561" w14:textId="77777777" w:rsidR="00C85571" w:rsidRPr="00C85571" w:rsidRDefault="00C85571" w:rsidP="00C85571">
            <w:pPr>
              <w:pStyle w:val="AERtabletextleft"/>
            </w:pPr>
            <w:r w:rsidRPr="00597F0D">
              <w:t>Meter replacement</w:t>
            </w:r>
          </w:p>
        </w:tc>
        <w:tc>
          <w:tcPr>
            <w:tcW w:w="1403" w:type="dxa"/>
            <w:vAlign w:val="top"/>
          </w:tcPr>
          <w:p w14:paraId="4D0DF1B8" w14:textId="77777777" w:rsidR="00C85571" w:rsidRPr="00C85571" w:rsidRDefault="00A77ADB" w:rsidP="00C85571">
            <w:pPr>
              <w:pStyle w:val="AERtabletextleft"/>
              <w:cnfStyle w:val="000000000000" w:firstRow="0" w:lastRow="0" w:firstColumn="0" w:lastColumn="0" w:oddVBand="0" w:evenVBand="0" w:oddHBand="0" w:evenHBand="0" w:firstRowFirstColumn="0" w:firstRowLastColumn="0" w:lastRowFirstColumn="0" w:lastRowLastColumn="0"/>
            </w:pPr>
            <w:r>
              <w:t>32.4</w:t>
            </w:r>
          </w:p>
        </w:tc>
        <w:tc>
          <w:tcPr>
            <w:tcW w:w="2173" w:type="dxa"/>
            <w:vAlign w:val="top"/>
          </w:tcPr>
          <w:p w14:paraId="2AFF04A0" w14:textId="77777777" w:rsidR="00C85571" w:rsidRPr="00C85571" w:rsidRDefault="00A77ADB" w:rsidP="00C85571">
            <w:pPr>
              <w:pStyle w:val="AERtabletextleft"/>
              <w:cnfStyle w:val="000000000000" w:firstRow="0" w:lastRow="0" w:firstColumn="0" w:lastColumn="0" w:oddVBand="0" w:evenVBand="0" w:oddHBand="0" w:evenHBand="0" w:firstRowFirstColumn="0" w:firstRowLastColumn="0" w:lastRowFirstColumn="0" w:lastRowLastColumn="0"/>
            </w:pPr>
            <w:r>
              <w:t>28.3</w:t>
            </w:r>
          </w:p>
        </w:tc>
        <w:tc>
          <w:tcPr>
            <w:tcW w:w="2174" w:type="dxa"/>
            <w:vAlign w:val="top"/>
          </w:tcPr>
          <w:p w14:paraId="14612D5E" w14:textId="77777777" w:rsidR="00C85571" w:rsidRPr="00C85571" w:rsidRDefault="00A77ADB" w:rsidP="00C85571">
            <w:pPr>
              <w:pStyle w:val="AERtabletextleft"/>
              <w:cnfStyle w:val="000000000000" w:firstRow="0" w:lastRow="0" w:firstColumn="0" w:lastColumn="0" w:oddVBand="0" w:evenVBand="0" w:oddHBand="0" w:evenHBand="0" w:firstRowFirstColumn="0" w:firstRowLastColumn="0" w:lastRowFirstColumn="0" w:lastRowLastColumn="0"/>
            </w:pPr>
            <w:r>
              <w:t>-4.1</w:t>
            </w:r>
          </w:p>
        </w:tc>
      </w:tr>
      <w:tr w:rsidR="00C85571" w14:paraId="43F0E8F1" w14:textId="77777777" w:rsidTr="00C855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14:paraId="40FB919F" w14:textId="77777777" w:rsidR="00C85571" w:rsidRPr="00C85571" w:rsidRDefault="00C85571" w:rsidP="00C85571">
            <w:pPr>
              <w:pStyle w:val="AERtabletextleft"/>
            </w:pPr>
            <w:r w:rsidRPr="00597F0D">
              <w:t>Augmentation</w:t>
            </w:r>
          </w:p>
        </w:tc>
        <w:tc>
          <w:tcPr>
            <w:tcW w:w="1403" w:type="dxa"/>
            <w:vAlign w:val="top"/>
          </w:tcPr>
          <w:p w14:paraId="0E0E6398" w14:textId="77777777"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15.2</w:t>
            </w:r>
          </w:p>
        </w:tc>
        <w:tc>
          <w:tcPr>
            <w:tcW w:w="2173" w:type="dxa"/>
            <w:vAlign w:val="top"/>
          </w:tcPr>
          <w:p w14:paraId="590F8819" w14:textId="77777777"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13.1</w:t>
            </w:r>
          </w:p>
        </w:tc>
        <w:tc>
          <w:tcPr>
            <w:tcW w:w="2174" w:type="dxa"/>
            <w:vAlign w:val="top"/>
          </w:tcPr>
          <w:p w14:paraId="43E504AB" w14:textId="77777777"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-2.1</w:t>
            </w:r>
          </w:p>
        </w:tc>
      </w:tr>
      <w:tr w:rsidR="00C85571" w14:paraId="72996703" w14:textId="77777777" w:rsidTr="00C85571">
        <w:tc>
          <w:tcPr>
            <w:cnfStyle w:val="001000000000" w:firstRow="0" w:lastRow="0" w:firstColumn="1" w:lastColumn="0" w:oddVBand="0" w:evenVBand="0" w:oddHBand="0" w:evenHBand="0" w:firstRowFirstColumn="0" w:firstRowLastColumn="0" w:lastRowFirstColumn="0" w:lastRowLastColumn="0"/>
            <w:tcW w:w="2943" w:type="dxa"/>
            <w:vAlign w:val="top"/>
          </w:tcPr>
          <w:p w14:paraId="0C2530B5" w14:textId="77777777" w:rsidR="00C85571" w:rsidRPr="00C85571" w:rsidRDefault="00C85571" w:rsidP="00C85571">
            <w:pPr>
              <w:pStyle w:val="AERtabletextleft"/>
            </w:pPr>
            <w:r w:rsidRPr="00597F0D">
              <w:t>Other capex</w:t>
            </w:r>
            <w:r w:rsidR="0005115F">
              <w:t xml:space="preserve">  (inc. SCADA)</w:t>
            </w:r>
          </w:p>
        </w:tc>
        <w:tc>
          <w:tcPr>
            <w:tcW w:w="1403" w:type="dxa"/>
            <w:vAlign w:val="top"/>
          </w:tcPr>
          <w:p w14:paraId="09CA4A5A" w14:textId="77777777" w:rsidR="00C85571" w:rsidRPr="00C85571" w:rsidRDefault="0005115F" w:rsidP="00527ED7">
            <w:pPr>
              <w:pStyle w:val="AERtabletextleft"/>
              <w:cnfStyle w:val="000000000000" w:firstRow="0" w:lastRow="0" w:firstColumn="0" w:lastColumn="0" w:oddVBand="0" w:evenVBand="0" w:oddHBand="0" w:evenHBand="0" w:firstRowFirstColumn="0" w:firstRowLastColumn="0" w:lastRowFirstColumn="0" w:lastRowLastColumn="0"/>
            </w:pPr>
            <w:r>
              <w:t>3</w:t>
            </w:r>
            <w:r w:rsidR="00527ED7">
              <w:t>4.0</w:t>
            </w:r>
          </w:p>
        </w:tc>
        <w:tc>
          <w:tcPr>
            <w:tcW w:w="2173" w:type="dxa"/>
            <w:vAlign w:val="top"/>
          </w:tcPr>
          <w:p w14:paraId="309313D2" w14:textId="77777777" w:rsidR="00C85571" w:rsidRPr="00C85571" w:rsidRDefault="0005115F" w:rsidP="00527ED7">
            <w:pPr>
              <w:pStyle w:val="AERtabletextleft"/>
              <w:cnfStyle w:val="000000000000" w:firstRow="0" w:lastRow="0" w:firstColumn="0" w:lastColumn="0" w:oddVBand="0" w:evenVBand="0" w:oddHBand="0" w:evenHBand="0" w:firstRowFirstColumn="0" w:firstRowLastColumn="0" w:lastRowFirstColumn="0" w:lastRowLastColumn="0"/>
            </w:pPr>
            <w:r>
              <w:t>3</w:t>
            </w:r>
            <w:r w:rsidR="00527ED7">
              <w:t>4</w:t>
            </w:r>
            <w:r w:rsidR="00A77ADB">
              <w:t>.</w:t>
            </w:r>
            <w:r w:rsidR="00527ED7">
              <w:t>0</w:t>
            </w:r>
          </w:p>
        </w:tc>
        <w:tc>
          <w:tcPr>
            <w:tcW w:w="2174" w:type="dxa"/>
            <w:vAlign w:val="top"/>
          </w:tcPr>
          <w:p w14:paraId="156C30D0" w14:textId="77777777" w:rsidR="00C85571" w:rsidRPr="00C85571" w:rsidRDefault="00A77ADB" w:rsidP="00C85571">
            <w:pPr>
              <w:pStyle w:val="AERtabletextleft"/>
              <w:cnfStyle w:val="000000000000" w:firstRow="0" w:lastRow="0" w:firstColumn="0" w:lastColumn="0" w:oddVBand="0" w:evenVBand="0" w:oddHBand="0" w:evenHBand="0" w:firstRowFirstColumn="0" w:firstRowLastColumn="0" w:lastRowFirstColumn="0" w:lastRowLastColumn="0"/>
            </w:pPr>
            <w:r>
              <w:t>0.0</w:t>
            </w:r>
          </w:p>
        </w:tc>
      </w:tr>
      <w:tr w:rsidR="00C85571" w14:paraId="5800060A" w14:textId="77777777" w:rsidTr="00C855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14:paraId="0211DAED" w14:textId="77777777" w:rsidR="00C85571" w:rsidRPr="00C85571" w:rsidRDefault="00C85571" w:rsidP="00C85571">
            <w:pPr>
              <w:pStyle w:val="AERtabletextleft"/>
            </w:pPr>
            <w:r w:rsidRPr="00597F0D">
              <w:t>IT</w:t>
            </w:r>
          </w:p>
        </w:tc>
        <w:tc>
          <w:tcPr>
            <w:tcW w:w="1403" w:type="dxa"/>
            <w:vAlign w:val="top"/>
          </w:tcPr>
          <w:p w14:paraId="02085AE4" w14:textId="77777777"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57.0</w:t>
            </w:r>
          </w:p>
        </w:tc>
        <w:tc>
          <w:tcPr>
            <w:tcW w:w="2173" w:type="dxa"/>
            <w:vAlign w:val="top"/>
          </w:tcPr>
          <w:p w14:paraId="1593976D" w14:textId="77777777"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54.9</w:t>
            </w:r>
          </w:p>
        </w:tc>
        <w:tc>
          <w:tcPr>
            <w:tcW w:w="2174" w:type="dxa"/>
            <w:vAlign w:val="top"/>
          </w:tcPr>
          <w:p w14:paraId="5A24FCB8" w14:textId="77777777"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-2.1</w:t>
            </w:r>
          </w:p>
        </w:tc>
      </w:tr>
      <w:tr w:rsidR="00C85571" w14:paraId="2D739340" w14:textId="77777777" w:rsidTr="00C85571">
        <w:tc>
          <w:tcPr>
            <w:cnfStyle w:val="001000000000" w:firstRow="0" w:lastRow="0" w:firstColumn="1" w:lastColumn="0" w:oddVBand="0" w:evenVBand="0" w:oddHBand="0" w:evenHBand="0" w:firstRowFirstColumn="0" w:firstRowLastColumn="0" w:lastRowFirstColumn="0" w:lastRowLastColumn="0"/>
            <w:tcW w:w="2943" w:type="dxa"/>
            <w:vAlign w:val="top"/>
          </w:tcPr>
          <w:p w14:paraId="13F4842E" w14:textId="77777777" w:rsidR="00C85571" w:rsidRPr="00C85571" w:rsidRDefault="00C85571" w:rsidP="00C85571">
            <w:pPr>
              <w:pStyle w:val="AERtabletextleft"/>
            </w:pPr>
            <w:r w:rsidRPr="00597F0D">
              <w:t>Escalation</w:t>
            </w:r>
          </w:p>
        </w:tc>
        <w:tc>
          <w:tcPr>
            <w:tcW w:w="1403" w:type="dxa"/>
            <w:vAlign w:val="top"/>
          </w:tcPr>
          <w:p w14:paraId="267F8452" w14:textId="77777777" w:rsidR="00C85571" w:rsidRPr="00C85571" w:rsidRDefault="00270539" w:rsidP="00527ED7">
            <w:pPr>
              <w:pStyle w:val="AERtabletextleft"/>
              <w:cnfStyle w:val="000000000000" w:firstRow="0" w:lastRow="0" w:firstColumn="0" w:lastColumn="0" w:oddVBand="0" w:evenVBand="0" w:oddHBand="0" w:evenHBand="0" w:firstRowFirstColumn="0" w:firstRowLastColumn="0" w:lastRowFirstColumn="0" w:lastRowLastColumn="0"/>
            </w:pPr>
            <w:r>
              <w:t>10.</w:t>
            </w:r>
            <w:r w:rsidR="00527ED7">
              <w:t>6</w:t>
            </w:r>
          </w:p>
        </w:tc>
        <w:tc>
          <w:tcPr>
            <w:tcW w:w="2173" w:type="dxa"/>
            <w:vAlign w:val="top"/>
          </w:tcPr>
          <w:p w14:paraId="05040CB1" w14:textId="77777777" w:rsidR="00C85571" w:rsidRPr="00C85571" w:rsidRDefault="00270539" w:rsidP="00527ED7">
            <w:pPr>
              <w:pStyle w:val="AERtabletextleft"/>
              <w:cnfStyle w:val="000000000000" w:firstRow="0" w:lastRow="0" w:firstColumn="0" w:lastColumn="0" w:oddVBand="0" w:evenVBand="0" w:oddHBand="0" w:evenHBand="0" w:firstRowFirstColumn="0" w:firstRowLastColumn="0" w:lastRowFirstColumn="0" w:lastRowLastColumn="0"/>
            </w:pPr>
            <w:r>
              <w:t>10.</w:t>
            </w:r>
            <w:r w:rsidR="00527ED7">
              <w:t>0</w:t>
            </w:r>
          </w:p>
        </w:tc>
        <w:tc>
          <w:tcPr>
            <w:tcW w:w="2174" w:type="dxa"/>
            <w:vAlign w:val="top"/>
          </w:tcPr>
          <w:p w14:paraId="0767A00C" w14:textId="77777777" w:rsidR="00C85571" w:rsidRPr="00C85571" w:rsidRDefault="00270539" w:rsidP="00C85571">
            <w:pPr>
              <w:pStyle w:val="AERtabletextleft"/>
              <w:cnfStyle w:val="000000000000" w:firstRow="0" w:lastRow="0" w:firstColumn="0" w:lastColumn="0" w:oddVBand="0" w:evenVBand="0" w:oddHBand="0" w:evenHBand="0" w:firstRowFirstColumn="0" w:firstRowLastColumn="0" w:lastRowFirstColumn="0" w:lastRowLastColumn="0"/>
            </w:pPr>
            <w:r>
              <w:t>-0.6</w:t>
            </w:r>
          </w:p>
        </w:tc>
      </w:tr>
      <w:tr w:rsidR="00C85571" w14:paraId="51202DD7" w14:textId="77777777" w:rsidTr="00C855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14:paraId="45E4BC24" w14:textId="77777777" w:rsidR="00C85571" w:rsidRPr="00C85571" w:rsidRDefault="00C85571" w:rsidP="00C85571">
            <w:pPr>
              <w:pStyle w:val="AERtabletextleft"/>
            </w:pPr>
            <w:r w:rsidRPr="00597F0D">
              <w:t>Overheads</w:t>
            </w:r>
          </w:p>
        </w:tc>
        <w:tc>
          <w:tcPr>
            <w:tcW w:w="1403" w:type="dxa"/>
            <w:vAlign w:val="top"/>
          </w:tcPr>
          <w:p w14:paraId="73128C43" w14:textId="072FFA6A" w:rsidR="00C85571" w:rsidRPr="00C85571" w:rsidRDefault="00A77ADB" w:rsidP="00527ED7">
            <w:pPr>
              <w:pStyle w:val="AERtabletextleft"/>
              <w:cnfStyle w:val="000000010000" w:firstRow="0" w:lastRow="0" w:firstColumn="0" w:lastColumn="0" w:oddVBand="0" w:evenVBand="0" w:oddHBand="0" w:evenHBand="1" w:firstRowFirstColumn="0" w:firstRowLastColumn="0" w:lastRowFirstColumn="0" w:lastRowLastColumn="0"/>
            </w:pPr>
            <w:r>
              <w:t>34.</w:t>
            </w:r>
            <w:r w:rsidR="002945DF">
              <w:t>6</w:t>
            </w:r>
          </w:p>
        </w:tc>
        <w:tc>
          <w:tcPr>
            <w:tcW w:w="2173" w:type="dxa"/>
            <w:vAlign w:val="top"/>
          </w:tcPr>
          <w:p w14:paraId="299BE8B7" w14:textId="56A677CB" w:rsidR="00C85571" w:rsidRPr="00C85571" w:rsidRDefault="00A77ADB" w:rsidP="00527ED7">
            <w:pPr>
              <w:pStyle w:val="AERtabletextleft"/>
              <w:cnfStyle w:val="000000010000" w:firstRow="0" w:lastRow="0" w:firstColumn="0" w:lastColumn="0" w:oddVBand="0" w:evenVBand="0" w:oddHBand="0" w:evenHBand="1" w:firstRowFirstColumn="0" w:firstRowLastColumn="0" w:lastRowFirstColumn="0" w:lastRowLastColumn="0"/>
            </w:pPr>
            <w:r>
              <w:t>34.</w:t>
            </w:r>
            <w:r w:rsidR="002945DF">
              <w:t>6</w:t>
            </w:r>
          </w:p>
        </w:tc>
        <w:tc>
          <w:tcPr>
            <w:tcW w:w="2174" w:type="dxa"/>
            <w:vAlign w:val="top"/>
          </w:tcPr>
          <w:p w14:paraId="5D3B906B" w14:textId="77777777" w:rsidR="00C85571" w:rsidRPr="00C85571" w:rsidRDefault="00A77ADB" w:rsidP="00C85571">
            <w:pPr>
              <w:pStyle w:val="AERtabletextleft"/>
              <w:cnfStyle w:val="000000010000" w:firstRow="0" w:lastRow="0" w:firstColumn="0" w:lastColumn="0" w:oddVBand="0" w:evenVBand="0" w:oddHBand="0" w:evenHBand="1" w:firstRowFirstColumn="0" w:firstRowLastColumn="0" w:lastRowFirstColumn="0" w:lastRowLastColumn="0"/>
            </w:pPr>
            <w:r>
              <w:t>0.0</w:t>
            </w:r>
          </w:p>
        </w:tc>
      </w:tr>
      <w:tr w:rsidR="00C85571" w14:paraId="69259293" w14:textId="77777777" w:rsidTr="00C85571">
        <w:tc>
          <w:tcPr>
            <w:cnfStyle w:val="001000000000" w:firstRow="0" w:lastRow="0" w:firstColumn="1" w:lastColumn="0" w:oddVBand="0" w:evenVBand="0" w:oddHBand="0" w:evenHBand="0" w:firstRowFirstColumn="0" w:firstRowLastColumn="0" w:lastRowFirstColumn="0" w:lastRowLastColumn="0"/>
            <w:tcW w:w="2943" w:type="dxa"/>
            <w:vAlign w:val="top"/>
          </w:tcPr>
          <w:p w14:paraId="5A8B6A32" w14:textId="77777777" w:rsidR="00C85571" w:rsidRPr="00C85571" w:rsidRDefault="00C85571" w:rsidP="00C85571">
            <w:pPr>
              <w:pStyle w:val="AERtabletextleft"/>
              <w:rPr>
                <w:rStyle w:val="Strong"/>
              </w:rPr>
            </w:pPr>
            <w:r w:rsidRPr="00597F0D">
              <w:rPr>
                <w:rStyle w:val="Strong"/>
              </w:rPr>
              <w:t>GROSS TOTAL CAPITAL EXPENDITURE</w:t>
            </w:r>
          </w:p>
        </w:tc>
        <w:tc>
          <w:tcPr>
            <w:tcW w:w="1403" w:type="dxa"/>
            <w:vAlign w:val="top"/>
          </w:tcPr>
          <w:p w14:paraId="3175D8E1" w14:textId="1E4E84AA" w:rsidR="00C85571" w:rsidRPr="00C85571" w:rsidRDefault="00270539" w:rsidP="00527ED7">
            <w:pPr>
              <w:pStyle w:val="AERtabletextleft"/>
              <w:cnfStyle w:val="000000000000" w:firstRow="0" w:lastRow="0" w:firstColumn="0" w:lastColumn="0" w:oddVBand="0" w:evenVBand="0" w:oddHBand="0" w:evenHBand="0" w:firstRowFirstColumn="0" w:firstRowLastColumn="0" w:lastRowFirstColumn="0" w:lastRowLastColumn="0"/>
              <w:rPr>
                <w:rStyle w:val="Strong"/>
              </w:rPr>
            </w:pPr>
            <w:r>
              <w:rPr>
                <w:rStyle w:val="Strong"/>
              </w:rPr>
              <w:t>5</w:t>
            </w:r>
            <w:r w:rsidR="00527ED7">
              <w:rPr>
                <w:rStyle w:val="Strong"/>
              </w:rPr>
              <w:t>0</w:t>
            </w:r>
            <w:r w:rsidR="002945DF">
              <w:rPr>
                <w:rStyle w:val="Strong"/>
              </w:rPr>
              <w:t>8</w:t>
            </w:r>
            <w:r w:rsidR="00527ED7">
              <w:rPr>
                <w:rStyle w:val="Strong"/>
              </w:rPr>
              <w:t>.</w:t>
            </w:r>
            <w:r w:rsidR="002945DF">
              <w:rPr>
                <w:rStyle w:val="Strong"/>
              </w:rPr>
              <w:t>4</w:t>
            </w:r>
          </w:p>
        </w:tc>
        <w:tc>
          <w:tcPr>
            <w:tcW w:w="2173" w:type="dxa"/>
            <w:vAlign w:val="top"/>
          </w:tcPr>
          <w:p w14:paraId="110E0BFA" w14:textId="45443E4E" w:rsidR="00C85571" w:rsidRPr="00C85571" w:rsidRDefault="00270539" w:rsidP="00527ED7">
            <w:pPr>
              <w:pStyle w:val="AERtabletextleft"/>
              <w:cnfStyle w:val="000000000000" w:firstRow="0" w:lastRow="0" w:firstColumn="0" w:lastColumn="0" w:oddVBand="0" w:evenVBand="0" w:oddHBand="0" w:evenHBand="0" w:firstRowFirstColumn="0" w:firstRowLastColumn="0" w:lastRowFirstColumn="0" w:lastRowLastColumn="0"/>
              <w:rPr>
                <w:rStyle w:val="Strong"/>
              </w:rPr>
            </w:pPr>
            <w:r>
              <w:rPr>
                <w:rStyle w:val="Strong"/>
              </w:rPr>
              <w:t>48</w:t>
            </w:r>
            <w:r w:rsidR="00527ED7">
              <w:rPr>
                <w:rStyle w:val="Strong"/>
              </w:rPr>
              <w:t>0.</w:t>
            </w:r>
            <w:r w:rsidR="002945DF">
              <w:rPr>
                <w:rStyle w:val="Strong"/>
              </w:rPr>
              <w:t>8</w:t>
            </w:r>
          </w:p>
        </w:tc>
        <w:tc>
          <w:tcPr>
            <w:tcW w:w="2174" w:type="dxa"/>
            <w:vAlign w:val="top"/>
          </w:tcPr>
          <w:p w14:paraId="62EE404C" w14:textId="77777777" w:rsidR="00C85571" w:rsidRPr="00C85571" w:rsidRDefault="00270539" w:rsidP="00C85571">
            <w:pPr>
              <w:pStyle w:val="AERtabletextleft"/>
              <w:cnfStyle w:val="000000000000" w:firstRow="0" w:lastRow="0" w:firstColumn="0" w:lastColumn="0" w:oddVBand="0" w:evenVBand="0" w:oddHBand="0" w:evenHBand="0" w:firstRowFirstColumn="0" w:firstRowLastColumn="0" w:lastRowFirstColumn="0" w:lastRowLastColumn="0"/>
              <w:rPr>
                <w:rStyle w:val="Strong"/>
              </w:rPr>
            </w:pPr>
            <w:r>
              <w:rPr>
                <w:rStyle w:val="Strong"/>
              </w:rPr>
              <w:t>-27.6</w:t>
            </w:r>
          </w:p>
        </w:tc>
      </w:tr>
      <w:tr w:rsidR="00C85571" w14:paraId="75014015" w14:textId="77777777" w:rsidTr="00C855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14:paraId="617511FA" w14:textId="5786E33F" w:rsidR="00C85571" w:rsidRPr="00C85571" w:rsidRDefault="00C85571" w:rsidP="00C85571">
            <w:pPr>
              <w:pStyle w:val="AERtabletextleft"/>
            </w:pPr>
            <w:r w:rsidRPr="00597F0D">
              <w:t>Contributions</w:t>
            </w:r>
            <w:r w:rsidR="00A338FF" w:rsidRPr="004131F9">
              <w:rPr>
                <w:rStyle w:val="AERsuperscript"/>
              </w:rPr>
              <w:t>1</w:t>
            </w:r>
          </w:p>
        </w:tc>
        <w:tc>
          <w:tcPr>
            <w:tcW w:w="1403" w:type="dxa"/>
            <w:vAlign w:val="top"/>
          </w:tcPr>
          <w:p w14:paraId="633F9855" w14:textId="66171A4A" w:rsidR="00C85571" w:rsidRPr="00C85571" w:rsidRDefault="00612E78" w:rsidP="00527ED7">
            <w:pPr>
              <w:pStyle w:val="AERtabletextleft"/>
              <w:cnfStyle w:val="000000010000" w:firstRow="0" w:lastRow="0" w:firstColumn="0" w:lastColumn="0" w:oddVBand="0" w:evenVBand="0" w:oddHBand="0" w:evenHBand="1" w:firstRowFirstColumn="0" w:firstRowLastColumn="0" w:lastRowFirstColumn="0" w:lastRowLastColumn="0"/>
            </w:pPr>
            <w:r>
              <w:t>2</w:t>
            </w:r>
            <w:r w:rsidR="00527ED7">
              <w:t>0.</w:t>
            </w:r>
            <w:r w:rsidR="002945DF">
              <w:t>7</w:t>
            </w:r>
          </w:p>
        </w:tc>
        <w:tc>
          <w:tcPr>
            <w:tcW w:w="2173" w:type="dxa"/>
            <w:vAlign w:val="top"/>
          </w:tcPr>
          <w:p w14:paraId="19C3E007" w14:textId="77777777" w:rsidR="00C85571" w:rsidRPr="00C85571" w:rsidRDefault="00612E78" w:rsidP="00527ED7">
            <w:pPr>
              <w:pStyle w:val="AERtabletextleft"/>
              <w:cnfStyle w:val="000000010000" w:firstRow="0" w:lastRow="0" w:firstColumn="0" w:lastColumn="0" w:oddVBand="0" w:evenVBand="0" w:oddHBand="0" w:evenHBand="1" w:firstRowFirstColumn="0" w:firstRowLastColumn="0" w:lastRowFirstColumn="0" w:lastRowLastColumn="0"/>
            </w:pPr>
            <w:r>
              <w:t>2</w:t>
            </w:r>
            <w:r w:rsidR="00527ED7">
              <w:t>0.8</w:t>
            </w:r>
          </w:p>
        </w:tc>
        <w:tc>
          <w:tcPr>
            <w:tcW w:w="2174" w:type="dxa"/>
            <w:vAlign w:val="top"/>
          </w:tcPr>
          <w:p w14:paraId="0A763CA5" w14:textId="1F586E90" w:rsidR="00C85571" w:rsidRPr="00C85571" w:rsidRDefault="0005115F" w:rsidP="00527ED7">
            <w:pPr>
              <w:pStyle w:val="AERtabletextleft"/>
              <w:cnfStyle w:val="000000010000" w:firstRow="0" w:lastRow="0" w:firstColumn="0" w:lastColumn="0" w:oddVBand="0" w:evenVBand="0" w:oddHBand="0" w:evenHBand="1" w:firstRowFirstColumn="0" w:firstRowLastColumn="0" w:lastRowFirstColumn="0" w:lastRowLastColumn="0"/>
            </w:pPr>
            <w:r>
              <w:t>0.</w:t>
            </w:r>
            <w:r w:rsidR="00926650">
              <w:t>1</w:t>
            </w:r>
          </w:p>
        </w:tc>
      </w:tr>
      <w:tr w:rsidR="00C85571" w14:paraId="763C43F0" w14:textId="77777777" w:rsidTr="00C85571">
        <w:tc>
          <w:tcPr>
            <w:cnfStyle w:val="001000000000" w:firstRow="0" w:lastRow="0" w:firstColumn="1" w:lastColumn="0" w:oddVBand="0" w:evenVBand="0" w:oddHBand="0" w:evenHBand="0" w:firstRowFirstColumn="0" w:firstRowLastColumn="0" w:lastRowFirstColumn="0" w:lastRowLastColumn="0"/>
            <w:tcW w:w="2943" w:type="dxa"/>
            <w:vAlign w:val="top"/>
          </w:tcPr>
          <w:p w14:paraId="4C046408" w14:textId="77777777" w:rsidR="00C85571" w:rsidRPr="00C85571" w:rsidRDefault="00C85571" w:rsidP="00C85571">
            <w:pPr>
              <w:pStyle w:val="AERtabletextleft"/>
              <w:rPr>
                <w:rStyle w:val="Strong"/>
              </w:rPr>
            </w:pPr>
            <w:r w:rsidRPr="00597F0D">
              <w:rPr>
                <w:rStyle w:val="Strong"/>
              </w:rPr>
              <w:t>NET TOTAL CAPITAL EXPENDITURE</w:t>
            </w:r>
          </w:p>
        </w:tc>
        <w:tc>
          <w:tcPr>
            <w:tcW w:w="1403" w:type="dxa"/>
            <w:vAlign w:val="top"/>
          </w:tcPr>
          <w:p w14:paraId="5F7E713A" w14:textId="1E965073" w:rsidR="00C85571" w:rsidRPr="00C85571" w:rsidRDefault="00612E78" w:rsidP="00527ED7">
            <w:pPr>
              <w:pStyle w:val="AERtabletextleft"/>
              <w:cnfStyle w:val="000000000000" w:firstRow="0" w:lastRow="0" w:firstColumn="0" w:lastColumn="0" w:oddVBand="0" w:evenVBand="0" w:oddHBand="0" w:evenHBand="0" w:firstRowFirstColumn="0" w:firstRowLastColumn="0" w:lastRowFirstColumn="0" w:lastRowLastColumn="0"/>
              <w:rPr>
                <w:rStyle w:val="Strong"/>
              </w:rPr>
            </w:pPr>
            <w:r>
              <w:rPr>
                <w:rStyle w:val="Strong"/>
              </w:rPr>
              <w:t>487.</w:t>
            </w:r>
            <w:r w:rsidR="002945DF">
              <w:rPr>
                <w:rStyle w:val="Strong"/>
              </w:rPr>
              <w:t>7</w:t>
            </w:r>
          </w:p>
        </w:tc>
        <w:tc>
          <w:tcPr>
            <w:tcW w:w="2173" w:type="dxa"/>
            <w:vAlign w:val="top"/>
          </w:tcPr>
          <w:p w14:paraId="10CAB49C" w14:textId="0798FFDB" w:rsidR="00C85571" w:rsidRPr="00C85571" w:rsidRDefault="00612E78" w:rsidP="002945DF">
            <w:pPr>
              <w:pStyle w:val="AERtabletextleft"/>
              <w:cnfStyle w:val="000000000000" w:firstRow="0" w:lastRow="0" w:firstColumn="0" w:lastColumn="0" w:oddVBand="0" w:evenVBand="0" w:oddHBand="0" w:evenHBand="0" w:firstRowFirstColumn="0" w:firstRowLastColumn="0" w:lastRowFirstColumn="0" w:lastRowLastColumn="0"/>
              <w:rPr>
                <w:rStyle w:val="Strong"/>
              </w:rPr>
            </w:pPr>
            <w:r>
              <w:rPr>
                <w:rStyle w:val="Strong"/>
              </w:rPr>
              <w:t>4</w:t>
            </w:r>
            <w:r w:rsidR="002945DF">
              <w:rPr>
                <w:rStyle w:val="Strong"/>
              </w:rPr>
              <w:t>60.0</w:t>
            </w:r>
          </w:p>
        </w:tc>
        <w:tc>
          <w:tcPr>
            <w:tcW w:w="2174" w:type="dxa"/>
            <w:vAlign w:val="top"/>
          </w:tcPr>
          <w:p w14:paraId="4B7F85C9" w14:textId="77777777" w:rsidR="00C85571" w:rsidRPr="00C85571" w:rsidRDefault="00612E78" w:rsidP="00527ED7">
            <w:pPr>
              <w:pStyle w:val="AERtabletextleft"/>
              <w:cnfStyle w:val="000000000000" w:firstRow="0" w:lastRow="0" w:firstColumn="0" w:lastColumn="0" w:oddVBand="0" w:evenVBand="0" w:oddHBand="0" w:evenHBand="0" w:firstRowFirstColumn="0" w:firstRowLastColumn="0" w:lastRowFirstColumn="0" w:lastRowLastColumn="0"/>
              <w:rPr>
                <w:rStyle w:val="Strong"/>
              </w:rPr>
            </w:pPr>
            <w:r>
              <w:rPr>
                <w:rStyle w:val="Strong"/>
              </w:rPr>
              <w:t>-27.</w:t>
            </w:r>
            <w:r w:rsidR="00527ED7">
              <w:rPr>
                <w:rStyle w:val="Strong"/>
              </w:rPr>
              <w:t>6</w:t>
            </w:r>
          </w:p>
        </w:tc>
      </w:tr>
    </w:tbl>
    <w:p w14:paraId="010738D1" w14:textId="77777777" w:rsidR="00384E26" w:rsidRDefault="00C85571" w:rsidP="00C85571">
      <w:pPr>
        <w:pStyle w:val="AERtablesource"/>
      </w:pPr>
      <w:r>
        <w:t xml:space="preserve">Source: </w:t>
      </w:r>
      <w:r>
        <w:tab/>
        <w:t>AER analysis. Totals may not sum due to rounding.</w:t>
      </w:r>
    </w:p>
    <w:p w14:paraId="6CC8D2CF" w14:textId="139C3141" w:rsidR="00A338FF" w:rsidRPr="00A338FF" w:rsidRDefault="00A338FF" w:rsidP="00A338FF">
      <w:pPr>
        <w:pStyle w:val="AERtablesource"/>
      </w:pPr>
      <w:r>
        <w:t xml:space="preserve">Note: </w:t>
      </w:r>
      <w:r>
        <w:tab/>
        <w:t xml:space="preserve">1. </w:t>
      </w:r>
      <w:proofErr w:type="gramStart"/>
      <w:r>
        <w:t>The</w:t>
      </w:r>
      <w:proofErr w:type="gramEnd"/>
      <w:r>
        <w:t xml:space="preserve"> minor difference between the proposed and approved customer contributions is due to movement of overhead costs in AusNet</w:t>
      </w:r>
      <w:r w:rsidR="002A1736">
        <w:t>’s</w:t>
      </w:r>
      <w:r>
        <w:t xml:space="preserve"> capex model. This is explained in the discussion of customer contributions in Section </w:t>
      </w:r>
      <w:r>
        <w:fldChar w:fldCharType="begin"/>
      </w:r>
      <w:r>
        <w:instrText xml:space="preserve"> REF _Ref485816858 \n \h </w:instrText>
      </w:r>
      <w:r>
        <w:fldChar w:fldCharType="separate"/>
      </w:r>
      <w:r w:rsidR="00745B71">
        <w:t>6.4.2</w:t>
      </w:r>
      <w:r>
        <w:fldChar w:fldCharType="end"/>
      </w:r>
      <w:r>
        <w:t>.</w:t>
      </w:r>
    </w:p>
    <w:p w14:paraId="0D1B4953" w14:textId="094B8959" w:rsidR="00C85571" w:rsidRDefault="00C85571" w:rsidP="00C85571">
      <w:r>
        <w:t>As shown in</w:t>
      </w:r>
      <w:r w:rsidR="00147A09">
        <w:t xml:space="preserve"> </w:t>
      </w:r>
      <w:fldSimple w:instr=" REF _Ref485371137 ">
        <w:r w:rsidR="00745B71">
          <w:t xml:space="preserve">Table </w:t>
        </w:r>
        <w:r w:rsidR="00745B71">
          <w:rPr>
            <w:noProof/>
          </w:rPr>
          <w:t>6</w:t>
        </w:r>
        <w:r w:rsidR="00745B71">
          <w:t>.</w:t>
        </w:r>
        <w:r w:rsidR="00745B71">
          <w:rPr>
            <w:noProof/>
          </w:rPr>
          <w:t>3</w:t>
        </w:r>
      </w:fldSimple>
      <w:r>
        <w:t xml:space="preserve">, the main differences between AusNet's proposed capex and our alternative capex estimate for the 2018–22 access arrangement </w:t>
      </w:r>
      <w:proofErr w:type="gramStart"/>
      <w:r>
        <w:t>period</w:t>
      </w:r>
      <w:proofErr w:type="gramEnd"/>
      <w:r>
        <w:t xml:space="preserve"> concern the following capex drivers:</w:t>
      </w:r>
    </w:p>
    <w:p w14:paraId="6AD8ACBF" w14:textId="77777777" w:rsidR="00C85571" w:rsidRDefault="00270539" w:rsidP="00270539">
      <w:pPr>
        <w:pStyle w:val="AERbulletlistfirststyle"/>
      </w:pPr>
      <w:r>
        <w:t>Mains replacement</w:t>
      </w:r>
    </w:p>
    <w:p w14:paraId="15681E8D" w14:textId="03D41770" w:rsidR="00270539" w:rsidRDefault="00270539" w:rsidP="004131F9">
      <w:pPr>
        <w:pStyle w:val="ListContinue"/>
      </w:pPr>
      <w:r>
        <w:t>Our draft decision is to include $114.</w:t>
      </w:r>
      <w:r w:rsidR="00502E46">
        <w:t xml:space="preserve">5 </w:t>
      </w:r>
      <w:r>
        <w:t xml:space="preserve">million ($2017, unescalated direct costs) of mains replacement capex in our alternative capex estimate. This is 12 per cent </w:t>
      </w:r>
      <w:r w:rsidR="001C0B27">
        <w:t xml:space="preserve">less than </w:t>
      </w:r>
      <w:r>
        <w:t>AusNet's forecast capex of $130.</w:t>
      </w:r>
      <w:r w:rsidR="00502E46">
        <w:t xml:space="preserve">6 </w:t>
      </w:r>
      <w:r>
        <w:t>million ($2017, unescalated direct costs)</w:t>
      </w:r>
      <w:r w:rsidR="00722A4C">
        <w:t>.</w:t>
      </w:r>
      <w:r w:rsidR="0010298E">
        <w:t xml:space="preserve"> We </w:t>
      </w:r>
      <w:r w:rsidR="00074E7E">
        <w:t>consider</w:t>
      </w:r>
      <w:r w:rsidR="00B92079">
        <w:t xml:space="preserve"> </w:t>
      </w:r>
      <w:r w:rsidR="0010298E" w:rsidRPr="0010298E">
        <w:t>that AusNet</w:t>
      </w:r>
      <w:r w:rsidR="00074E7E">
        <w:t xml:space="preserve"> did not establish </w:t>
      </w:r>
      <w:r w:rsidR="009D566C">
        <w:t xml:space="preserve">its </w:t>
      </w:r>
      <w:r w:rsidR="00074E7E">
        <w:t xml:space="preserve">82 km per annum </w:t>
      </w:r>
      <w:r w:rsidR="009D566C">
        <w:t xml:space="preserve">target </w:t>
      </w:r>
      <w:r w:rsidR="00074E7E">
        <w:t>is</w:t>
      </w:r>
      <w:r w:rsidR="003167C8">
        <w:t xml:space="preserve"> </w:t>
      </w:r>
      <w:r w:rsidR="00074E7E">
        <w:t xml:space="preserve">conforming capex, and assessed that </w:t>
      </w:r>
      <w:r w:rsidR="0010298E" w:rsidRPr="0010298E">
        <w:t>replacing 70km of low pressure mains per annum</w:t>
      </w:r>
      <w:r w:rsidR="00074E7E">
        <w:t xml:space="preserve"> is the best possible estimate in the circumstances</w:t>
      </w:r>
      <w:r w:rsidR="0010298E" w:rsidRPr="0010298E">
        <w:t>.</w:t>
      </w:r>
      <w:r w:rsidR="0010298E">
        <w:t xml:space="preserve"> </w:t>
      </w:r>
    </w:p>
    <w:p w14:paraId="5668CC88" w14:textId="77777777" w:rsidR="00270539" w:rsidRDefault="00270539" w:rsidP="00270539">
      <w:pPr>
        <w:pStyle w:val="AERbulletlistfirststyle"/>
      </w:pPr>
      <w:r>
        <w:t>Meter replacement</w:t>
      </w:r>
    </w:p>
    <w:p w14:paraId="0D7B57EC" w14:textId="77777777" w:rsidR="00722A4C" w:rsidRPr="00C85571" w:rsidRDefault="00722A4C" w:rsidP="004131F9">
      <w:pPr>
        <w:pStyle w:val="ListContinue"/>
      </w:pPr>
      <w:r>
        <w:t>Our draft decision is to include $28.3 million ($2017, unescalated direct costs) of meter replacement capex in our alternative capex estimate. This is a reduction of 13 per cent from AusNet's forecast capex of $32.4 million ($2017, unescalated direct costs). We consider that AusNet has not demonstrated that the overall economic value of its proposed digital metering program is positive. We have also</w:t>
      </w:r>
      <w:r w:rsidR="00F10363">
        <w:t xml:space="preserve"> reduced meter replacement capex by assuming that </w:t>
      </w:r>
      <w:r w:rsidR="0010298E">
        <w:t>a portion of</w:t>
      </w:r>
      <w:r w:rsidR="00F10363">
        <w:t xml:space="preserve"> meters </w:t>
      </w:r>
      <w:r w:rsidR="0010298E">
        <w:t xml:space="preserve">removed from the network </w:t>
      </w:r>
      <w:r w:rsidR="00F10363">
        <w:t>will be replaced by refurbished meters.</w:t>
      </w:r>
      <w:r>
        <w:t xml:space="preserve">    </w:t>
      </w:r>
    </w:p>
    <w:p w14:paraId="4FE8BC65" w14:textId="77777777" w:rsidR="00132D43" w:rsidRDefault="00E211DA" w:rsidP="00132D43">
      <w:pPr>
        <w:pStyle w:val="Heading2"/>
      </w:pPr>
      <w:bookmarkStart w:id="162" w:name="_Toc486842031"/>
      <w:r>
        <w:t>AusNet</w:t>
      </w:r>
      <w:r w:rsidR="00132D43">
        <w:t>’s proposal</w:t>
      </w:r>
      <w:bookmarkEnd w:id="162"/>
    </w:p>
    <w:p w14:paraId="2E90495B" w14:textId="7A93C6D3" w:rsidR="00132D43" w:rsidRDefault="00F10363" w:rsidP="00F10363">
      <w:pPr>
        <w:pStyle w:val="HeadingBoldBlue"/>
      </w:pPr>
      <w:r w:rsidRPr="00F10363">
        <w:t>2012–</w:t>
      </w:r>
      <w:r w:rsidR="00E319AD" w:rsidRPr="00F10363">
        <w:t>1</w:t>
      </w:r>
      <w:r w:rsidR="00E319AD">
        <w:t>7</w:t>
      </w:r>
      <w:r w:rsidR="00E319AD" w:rsidRPr="00F10363">
        <w:t xml:space="preserve"> </w:t>
      </w:r>
      <w:proofErr w:type="gramStart"/>
      <w:r w:rsidRPr="00F10363">
        <w:t>period</w:t>
      </w:r>
      <w:proofErr w:type="gramEnd"/>
    </w:p>
    <w:p w14:paraId="705AF9A7" w14:textId="77777777" w:rsidR="00F10363" w:rsidRDefault="00F10363" w:rsidP="00F10363">
      <w:r>
        <w:t>AusNet has proposed net capex of $</w:t>
      </w:r>
      <w:r w:rsidR="005C6560">
        <w:t>561.0</w:t>
      </w:r>
      <w:r>
        <w:t xml:space="preserve"> million for the 2012–17 period, where capex in 2017 is an estimate. Without the estimate of capex for 2017, AusN</w:t>
      </w:r>
      <w:r w:rsidR="00644B6E">
        <w:t>et has proposed $</w:t>
      </w:r>
      <w:r w:rsidR="005C6560">
        <w:t>463.4</w:t>
      </w:r>
      <w:r w:rsidR="00644B6E">
        <w:t xml:space="preserve"> million as conforming capex. We accept $</w:t>
      </w:r>
      <w:r w:rsidR="005C6560">
        <w:t>463.4</w:t>
      </w:r>
      <w:r w:rsidR="00644B6E">
        <w:t xml:space="preserve"> million as conforming capex for 2012–16, and will assess whether capex incurred in 2017 is conforming in the next review.</w:t>
      </w:r>
    </w:p>
    <w:p w14:paraId="6D287473" w14:textId="77777777" w:rsidR="00644B6E" w:rsidRDefault="00644B6E" w:rsidP="00F10363">
      <w:r>
        <w:t xml:space="preserve">For 2012–17 AusNet underspent net capex by </w:t>
      </w:r>
      <w:r w:rsidR="00D86C3C">
        <w:t>7.3</w:t>
      </w:r>
      <w:r>
        <w:t xml:space="preserve"> per cent ($</w:t>
      </w:r>
      <w:r w:rsidR="00D86C3C">
        <w:t>44.6</w:t>
      </w:r>
      <w:r>
        <w:t xml:space="preserve"> million). This includes the 2017 estimate. Without the 2017 estimate, AusNet</w:t>
      </w:r>
      <w:r w:rsidR="00612E78">
        <w:t xml:space="preserve"> underspent</w:t>
      </w:r>
      <w:r>
        <w:t xml:space="preserve"> net capex by </w:t>
      </w:r>
      <w:r w:rsidR="00D86C3C">
        <w:t>9.2</w:t>
      </w:r>
      <w:r>
        <w:t xml:space="preserve"> per cent ($</w:t>
      </w:r>
      <w:r w:rsidR="00D86C3C">
        <w:t>47.2</w:t>
      </w:r>
      <w:r>
        <w:t xml:space="preserve"> million).</w:t>
      </w:r>
    </w:p>
    <w:p w14:paraId="4408587D" w14:textId="1E55671B" w:rsidR="00644B6E" w:rsidRDefault="00147A09" w:rsidP="00147A09">
      <w:pPr>
        <w:pStyle w:val="Caption"/>
      </w:pPr>
      <w:r>
        <w:t xml:space="preserve">Table </w:t>
      </w:r>
      <w:fldSimple w:instr=" STYLEREF 1 \s ">
        <w:r w:rsidR="00745B71">
          <w:rPr>
            <w:noProof/>
          </w:rPr>
          <w:t>6</w:t>
        </w:r>
      </w:fldSimple>
      <w:r>
        <w:t>.</w:t>
      </w:r>
      <w:fldSimple w:instr=" SEQ Table \* ARABIC \s 1 ">
        <w:r w:rsidR="00745B71">
          <w:rPr>
            <w:noProof/>
          </w:rPr>
          <w:t>4</w:t>
        </w:r>
      </w:fldSimple>
      <w:r>
        <w:tab/>
      </w:r>
      <w:r w:rsidR="00644B6E">
        <w:t>AusN</w:t>
      </w:r>
      <w:r w:rsidR="00644B6E" w:rsidRPr="00644B6E">
        <w:t>et's proposed capital expenditure by category over 2012–17 ($million, 2017)</w:t>
      </w:r>
    </w:p>
    <w:tbl>
      <w:tblPr>
        <w:tblStyle w:val="AERtable-numbers"/>
        <w:tblW w:w="0" w:type="auto"/>
        <w:tblLayout w:type="fixed"/>
        <w:tblLook w:val="04A0" w:firstRow="1" w:lastRow="0" w:firstColumn="1" w:lastColumn="0" w:noHBand="0" w:noVBand="1"/>
      </w:tblPr>
      <w:tblGrid>
        <w:gridCol w:w="2093"/>
        <w:gridCol w:w="850"/>
        <w:gridCol w:w="1134"/>
        <w:gridCol w:w="1073"/>
        <w:gridCol w:w="1171"/>
        <w:gridCol w:w="1171"/>
        <w:gridCol w:w="1201"/>
      </w:tblGrid>
      <w:tr w:rsidR="00644B6E" w14:paraId="409A3C50" w14:textId="77777777" w:rsidTr="005C6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F377EDE" w14:textId="77777777" w:rsidR="00644B6E" w:rsidRPr="00644B6E" w:rsidRDefault="00644B6E" w:rsidP="00644B6E">
            <w:pPr>
              <w:pStyle w:val="AERtabletextleft"/>
            </w:pPr>
            <w:r>
              <w:t>Categ</w:t>
            </w:r>
            <w:r w:rsidRPr="00644B6E">
              <w:t>ory</w:t>
            </w:r>
          </w:p>
        </w:tc>
        <w:tc>
          <w:tcPr>
            <w:tcW w:w="850" w:type="dxa"/>
          </w:tcPr>
          <w:p w14:paraId="5F0ABAC0"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t>2012</w:t>
            </w:r>
          </w:p>
        </w:tc>
        <w:tc>
          <w:tcPr>
            <w:tcW w:w="1134" w:type="dxa"/>
          </w:tcPr>
          <w:p w14:paraId="39AB491E"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t>2013</w:t>
            </w:r>
          </w:p>
        </w:tc>
        <w:tc>
          <w:tcPr>
            <w:tcW w:w="1073" w:type="dxa"/>
          </w:tcPr>
          <w:p w14:paraId="7B20D6EA"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t>2014</w:t>
            </w:r>
          </w:p>
        </w:tc>
        <w:tc>
          <w:tcPr>
            <w:tcW w:w="1171" w:type="dxa"/>
          </w:tcPr>
          <w:p w14:paraId="35E1D91A"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t>2015</w:t>
            </w:r>
          </w:p>
        </w:tc>
        <w:tc>
          <w:tcPr>
            <w:tcW w:w="1171" w:type="dxa"/>
          </w:tcPr>
          <w:p w14:paraId="34528B4B"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t>2016</w:t>
            </w:r>
          </w:p>
        </w:tc>
        <w:tc>
          <w:tcPr>
            <w:tcW w:w="1201" w:type="dxa"/>
          </w:tcPr>
          <w:p w14:paraId="5DB695B6"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t>2017(a)</w:t>
            </w:r>
          </w:p>
        </w:tc>
      </w:tr>
      <w:tr w:rsidR="005C6560" w14:paraId="5E90C951" w14:textId="77777777" w:rsidTr="005C6560">
        <w:tc>
          <w:tcPr>
            <w:cnfStyle w:val="001000000000" w:firstRow="0" w:lastRow="0" w:firstColumn="1" w:lastColumn="0" w:oddVBand="0" w:evenVBand="0" w:oddHBand="0" w:evenHBand="0" w:firstRowFirstColumn="0" w:firstRowLastColumn="0" w:lastRowFirstColumn="0" w:lastRowLastColumn="0"/>
            <w:tcW w:w="2093" w:type="dxa"/>
          </w:tcPr>
          <w:p w14:paraId="780890B1" w14:textId="77777777" w:rsidR="005C6560" w:rsidRPr="005C6560" w:rsidRDefault="005C6560" w:rsidP="005C6560">
            <w:pPr>
              <w:pStyle w:val="AERtabletextleft"/>
            </w:pPr>
            <w:r w:rsidRPr="005C6560">
              <w:t>Connections</w:t>
            </w:r>
          </w:p>
        </w:tc>
        <w:tc>
          <w:tcPr>
            <w:tcW w:w="850" w:type="dxa"/>
            <w:vAlign w:val="top"/>
          </w:tcPr>
          <w:p w14:paraId="7BA3C903"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40.6</w:t>
            </w:r>
          </w:p>
        </w:tc>
        <w:tc>
          <w:tcPr>
            <w:tcW w:w="1134" w:type="dxa"/>
            <w:vAlign w:val="top"/>
          </w:tcPr>
          <w:p w14:paraId="55637BE3"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33.4</w:t>
            </w:r>
          </w:p>
        </w:tc>
        <w:tc>
          <w:tcPr>
            <w:tcW w:w="1073" w:type="dxa"/>
            <w:vAlign w:val="top"/>
          </w:tcPr>
          <w:p w14:paraId="6494A0C9"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30.8</w:t>
            </w:r>
          </w:p>
        </w:tc>
        <w:tc>
          <w:tcPr>
            <w:tcW w:w="1171" w:type="dxa"/>
            <w:vAlign w:val="top"/>
          </w:tcPr>
          <w:p w14:paraId="34E91962"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33.8</w:t>
            </w:r>
          </w:p>
        </w:tc>
        <w:tc>
          <w:tcPr>
            <w:tcW w:w="1171" w:type="dxa"/>
            <w:vAlign w:val="top"/>
          </w:tcPr>
          <w:p w14:paraId="6D7FA0B0"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45.7</w:t>
            </w:r>
          </w:p>
        </w:tc>
        <w:tc>
          <w:tcPr>
            <w:tcW w:w="1201" w:type="dxa"/>
            <w:vAlign w:val="top"/>
          </w:tcPr>
          <w:p w14:paraId="544462D8"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36.1</w:t>
            </w:r>
          </w:p>
        </w:tc>
      </w:tr>
      <w:tr w:rsidR="005C6560" w14:paraId="23E33B47" w14:textId="77777777" w:rsidTr="005C6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38801E3" w14:textId="77777777" w:rsidR="005C6560" w:rsidRPr="005C6560" w:rsidRDefault="005C6560" w:rsidP="005C6560">
            <w:pPr>
              <w:pStyle w:val="AERtabletextleft"/>
            </w:pPr>
            <w:r w:rsidRPr="005C6560">
              <w:t>Mains replacement</w:t>
            </w:r>
          </w:p>
        </w:tc>
        <w:tc>
          <w:tcPr>
            <w:tcW w:w="850" w:type="dxa"/>
            <w:vAlign w:val="top"/>
          </w:tcPr>
          <w:p w14:paraId="43BD5D06"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20.7</w:t>
            </w:r>
          </w:p>
        </w:tc>
        <w:tc>
          <w:tcPr>
            <w:tcW w:w="1134" w:type="dxa"/>
            <w:vAlign w:val="top"/>
          </w:tcPr>
          <w:p w14:paraId="52A676E3"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18.6</w:t>
            </w:r>
          </w:p>
        </w:tc>
        <w:tc>
          <w:tcPr>
            <w:tcW w:w="1073" w:type="dxa"/>
            <w:vAlign w:val="top"/>
          </w:tcPr>
          <w:p w14:paraId="572BB5C9"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25.8</w:t>
            </w:r>
          </w:p>
        </w:tc>
        <w:tc>
          <w:tcPr>
            <w:tcW w:w="1171" w:type="dxa"/>
            <w:vAlign w:val="top"/>
          </w:tcPr>
          <w:p w14:paraId="42E9B942"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22.0</w:t>
            </w:r>
          </w:p>
        </w:tc>
        <w:tc>
          <w:tcPr>
            <w:tcW w:w="1171" w:type="dxa"/>
            <w:vAlign w:val="top"/>
          </w:tcPr>
          <w:p w14:paraId="1B74FFA2"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14.8</w:t>
            </w:r>
          </w:p>
        </w:tc>
        <w:tc>
          <w:tcPr>
            <w:tcW w:w="1201" w:type="dxa"/>
            <w:vAlign w:val="top"/>
          </w:tcPr>
          <w:p w14:paraId="727F977B"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27.1</w:t>
            </w:r>
          </w:p>
        </w:tc>
      </w:tr>
      <w:tr w:rsidR="005C6560" w14:paraId="647BB99C" w14:textId="77777777" w:rsidTr="005C6560">
        <w:tc>
          <w:tcPr>
            <w:cnfStyle w:val="001000000000" w:firstRow="0" w:lastRow="0" w:firstColumn="1" w:lastColumn="0" w:oddVBand="0" w:evenVBand="0" w:oddHBand="0" w:evenHBand="0" w:firstRowFirstColumn="0" w:firstRowLastColumn="0" w:lastRowFirstColumn="0" w:lastRowLastColumn="0"/>
            <w:tcW w:w="2093" w:type="dxa"/>
          </w:tcPr>
          <w:p w14:paraId="5F65D45B" w14:textId="77777777" w:rsidR="005C6560" w:rsidRPr="005C6560" w:rsidRDefault="005C6560" w:rsidP="005C6560">
            <w:pPr>
              <w:pStyle w:val="AERtabletextleft"/>
            </w:pPr>
            <w:r w:rsidRPr="005C6560">
              <w:t>Meter replacement</w:t>
            </w:r>
          </w:p>
        </w:tc>
        <w:tc>
          <w:tcPr>
            <w:tcW w:w="850" w:type="dxa"/>
            <w:vAlign w:val="top"/>
          </w:tcPr>
          <w:p w14:paraId="60907E6C"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4.0</w:t>
            </w:r>
          </w:p>
        </w:tc>
        <w:tc>
          <w:tcPr>
            <w:tcW w:w="1134" w:type="dxa"/>
            <w:vAlign w:val="top"/>
          </w:tcPr>
          <w:p w14:paraId="224EED7F"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4.7</w:t>
            </w:r>
          </w:p>
        </w:tc>
        <w:tc>
          <w:tcPr>
            <w:tcW w:w="1073" w:type="dxa"/>
            <w:vAlign w:val="top"/>
          </w:tcPr>
          <w:p w14:paraId="48F9E911"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3.7</w:t>
            </w:r>
          </w:p>
        </w:tc>
        <w:tc>
          <w:tcPr>
            <w:tcW w:w="1171" w:type="dxa"/>
            <w:vAlign w:val="top"/>
          </w:tcPr>
          <w:p w14:paraId="366F1967"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5.2</w:t>
            </w:r>
          </w:p>
        </w:tc>
        <w:tc>
          <w:tcPr>
            <w:tcW w:w="1171" w:type="dxa"/>
            <w:vAlign w:val="top"/>
          </w:tcPr>
          <w:p w14:paraId="5F2E514B"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5.4</w:t>
            </w:r>
          </w:p>
        </w:tc>
        <w:tc>
          <w:tcPr>
            <w:tcW w:w="1201" w:type="dxa"/>
            <w:vAlign w:val="top"/>
          </w:tcPr>
          <w:p w14:paraId="0EF19206"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5.7</w:t>
            </w:r>
          </w:p>
        </w:tc>
      </w:tr>
      <w:tr w:rsidR="005C6560" w14:paraId="29029A11" w14:textId="77777777" w:rsidTr="005C6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98C6FCF" w14:textId="77777777" w:rsidR="005C6560" w:rsidRPr="005C6560" w:rsidRDefault="005C6560" w:rsidP="005C6560">
            <w:pPr>
              <w:pStyle w:val="AERtabletextleft"/>
            </w:pPr>
            <w:r w:rsidRPr="005C6560">
              <w:t>Augmentation</w:t>
            </w:r>
          </w:p>
        </w:tc>
        <w:tc>
          <w:tcPr>
            <w:tcW w:w="850" w:type="dxa"/>
            <w:vAlign w:val="top"/>
          </w:tcPr>
          <w:p w14:paraId="1BAA45BF"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2.5</w:t>
            </w:r>
          </w:p>
        </w:tc>
        <w:tc>
          <w:tcPr>
            <w:tcW w:w="1134" w:type="dxa"/>
            <w:vAlign w:val="top"/>
          </w:tcPr>
          <w:p w14:paraId="6E427970"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1.3</w:t>
            </w:r>
          </w:p>
        </w:tc>
        <w:tc>
          <w:tcPr>
            <w:tcW w:w="1073" w:type="dxa"/>
            <w:vAlign w:val="top"/>
          </w:tcPr>
          <w:p w14:paraId="0739C1B7"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3.7</w:t>
            </w:r>
          </w:p>
        </w:tc>
        <w:tc>
          <w:tcPr>
            <w:tcW w:w="1171" w:type="dxa"/>
            <w:vAlign w:val="top"/>
          </w:tcPr>
          <w:p w14:paraId="4DC93F0E"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7.6</w:t>
            </w:r>
          </w:p>
        </w:tc>
        <w:tc>
          <w:tcPr>
            <w:tcW w:w="1171" w:type="dxa"/>
            <w:vAlign w:val="top"/>
          </w:tcPr>
          <w:p w14:paraId="3C84D10E"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0.5</w:t>
            </w:r>
          </w:p>
        </w:tc>
        <w:tc>
          <w:tcPr>
            <w:tcW w:w="1201" w:type="dxa"/>
            <w:vAlign w:val="top"/>
          </w:tcPr>
          <w:p w14:paraId="4E54DF2D"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4.2</w:t>
            </w:r>
          </w:p>
        </w:tc>
      </w:tr>
      <w:tr w:rsidR="005C6560" w14:paraId="41DD66B8" w14:textId="77777777" w:rsidTr="005C6560">
        <w:tc>
          <w:tcPr>
            <w:cnfStyle w:val="001000000000" w:firstRow="0" w:lastRow="0" w:firstColumn="1" w:lastColumn="0" w:oddVBand="0" w:evenVBand="0" w:oddHBand="0" w:evenHBand="0" w:firstRowFirstColumn="0" w:firstRowLastColumn="0" w:lastRowFirstColumn="0" w:lastRowLastColumn="0"/>
            <w:tcW w:w="2093" w:type="dxa"/>
          </w:tcPr>
          <w:p w14:paraId="63DD340C" w14:textId="77777777" w:rsidR="005C6560" w:rsidRPr="005C6560" w:rsidRDefault="005C6560" w:rsidP="005C6560">
            <w:pPr>
              <w:pStyle w:val="AERtabletextleft"/>
            </w:pPr>
            <w:r w:rsidRPr="005C6560">
              <w:t xml:space="preserve">Other capex </w:t>
            </w:r>
            <w:r w:rsidR="0005115F">
              <w:br/>
              <w:t>(inc.</w:t>
            </w:r>
            <w:r w:rsidRPr="005C6560">
              <w:t xml:space="preserve"> SCADA)</w:t>
            </w:r>
          </w:p>
        </w:tc>
        <w:tc>
          <w:tcPr>
            <w:tcW w:w="850" w:type="dxa"/>
            <w:vAlign w:val="top"/>
          </w:tcPr>
          <w:p w14:paraId="3822A134"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3.5</w:t>
            </w:r>
          </w:p>
        </w:tc>
        <w:tc>
          <w:tcPr>
            <w:tcW w:w="1134" w:type="dxa"/>
            <w:vAlign w:val="top"/>
          </w:tcPr>
          <w:p w14:paraId="238F1080"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11.3</w:t>
            </w:r>
          </w:p>
        </w:tc>
        <w:tc>
          <w:tcPr>
            <w:tcW w:w="1073" w:type="dxa"/>
            <w:vAlign w:val="top"/>
          </w:tcPr>
          <w:p w14:paraId="4278B25A"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34.7</w:t>
            </w:r>
          </w:p>
        </w:tc>
        <w:tc>
          <w:tcPr>
            <w:tcW w:w="1171" w:type="dxa"/>
            <w:vAlign w:val="top"/>
          </w:tcPr>
          <w:p w14:paraId="2B5EF4D9"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12.5</w:t>
            </w:r>
          </w:p>
        </w:tc>
        <w:tc>
          <w:tcPr>
            <w:tcW w:w="1171" w:type="dxa"/>
            <w:vAlign w:val="top"/>
          </w:tcPr>
          <w:p w14:paraId="74E3ED9D"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5.4</w:t>
            </w:r>
          </w:p>
        </w:tc>
        <w:tc>
          <w:tcPr>
            <w:tcW w:w="1201" w:type="dxa"/>
            <w:vAlign w:val="top"/>
          </w:tcPr>
          <w:p w14:paraId="671F967F"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10.0</w:t>
            </w:r>
          </w:p>
        </w:tc>
      </w:tr>
      <w:tr w:rsidR="005C6560" w14:paraId="57D1DA74" w14:textId="77777777" w:rsidTr="005C6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5BA7FDA" w14:textId="77777777" w:rsidR="005C6560" w:rsidRPr="005C6560" w:rsidRDefault="005C6560" w:rsidP="005C6560">
            <w:pPr>
              <w:pStyle w:val="AERtabletextleft"/>
            </w:pPr>
            <w:r w:rsidRPr="005C6560">
              <w:t>IT</w:t>
            </w:r>
          </w:p>
        </w:tc>
        <w:tc>
          <w:tcPr>
            <w:tcW w:w="850" w:type="dxa"/>
            <w:vAlign w:val="top"/>
          </w:tcPr>
          <w:p w14:paraId="3EC7B453"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15.5</w:t>
            </w:r>
          </w:p>
        </w:tc>
        <w:tc>
          <w:tcPr>
            <w:tcW w:w="1134" w:type="dxa"/>
            <w:vAlign w:val="top"/>
          </w:tcPr>
          <w:p w14:paraId="0E5D9DBC"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16.5</w:t>
            </w:r>
          </w:p>
        </w:tc>
        <w:tc>
          <w:tcPr>
            <w:tcW w:w="1073" w:type="dxa"/>
            <w:vAlign w:val="top"/>
          </w:tcPr>
          <w:p w14:paraId="3878F703"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13.1</w:t>
            </w:r>
          </w:p>
        </w:tc>
        <w:tc>
          <w:tcPr>
            <w:tcW w:w="1171" w:type="dxa"/>
            <w:vAlign w:val="top"/>
          </w:tcPr>
          <w:p w14:paraId="13A8ED08"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8.5</w:t>
            </w:r>
          </w:p>
        </w:tc>
        <w:tc>
          <w:tcPr>
            <w:tcW w:w="1171" w:type="dxa"/>
            <w:vAlign w:val="top"/>
          </w:tcPr>
          <w:p w14:paraId="529A158F"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6.3</w:t>
            </w:r>
          </w:p>
        </w:tc>
        <w:tc>
          <w:tcPr>
            <w:tcW w:w="1201" w:type="dxa"/>
            <w:vAlign w:val="top"/>
          </w:tcPr>
          <w:p w14:paraId="7C39FDFD"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pPr>
            <w:r w:rsidRPr="005C6560">
              <w:t>12.6</w:t>
            </w:r>
          </w:p>
        </w:tc>
      </w:tr>
      <w:tr w:rsidR="005C6560" w14:paraId="1D0351ED" w14:textId="77777777" w:rsidTr="005C6560">
        <w:tc>
          <w:tcPr>
            <w:cnfStyle w:val="001000000000" w:firstRow="0" w:lastRow="0" w:firstColumn="1" w:lastColumn="0" w:oddVBand="0" w:evenVBand="0" w:oddHBand="0" w:evenHBand="0" w:firstRowFirstColumn="0" w:firstRowLastColumn="0" w:lastRowFirstColumn="0" w:lastRowLastColumn="0"/>
            <w:tcW w:w="2093" w:type="dxa"/>
          </w:tcPr>
          <w:p w14:paraId="28B6849C" w14:textId="77777777" w:rsidR="005C6560" w:rsidRPr="005C6560" w:rsidRDefault="005C6560" w:rsidP="005C6560">
            <w:pPr>
              <w:pStyle w:val="AERtabletextleft"/>
            </w:pPr>
            <w:r w:rsidRPr="005C6560">
              <w:t>Overheads</w:t>
            </w:r>
          </w:p>
        </w:tc>
        <w:tc>
          <w:tcPr>
            <w:tcW w:w="850" w:type="dxa"/>
            <w:vAlign w:val="top"/>
          </w:tcPr>
          <w:p w14:paraId="7D0A20CC"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15.8</w:t>
            </w:r>
          </w:p>
        </w:tc>
        <w:tc>
          <w:tcPr>
            <w:tcW w:w="1134" w:type="dxa"/>
            <w:vAlign w:val="top"/>
          </w:tcPr>
          <w:p w14:paraId="089920EF"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15.9</w:t>
            </w:r>
          </w:p>
        </w:tc>
        <w:tc>
          <w:tcPr>
            <w:tcW w:w="1073" w:type="dxa"/>
            <w:vAlign w:val="top"/>
          </w:tcPr>
          <w:p w14:paraId="759116CF"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14.6</w:t>
            </w:r>
          </w:p>
        </w:tc>
        <w:tc>
          <w:tcPr>
            <w:tcW w:w="1171" w:type="dxa"/>
            <w:vAlign w:val="top"/>
          </w:tcPr>
          <w:p w14:paraId="5A2506EC"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9.6</w:t>
            </w:r>
          </w:p>
        </w:tc>
        <w:tc>
          <w:tcPr>
            <w:tcW w:w="1171" w:type="dxa"/>
            <w:vAlign w:val="top"/>
          </w:tcPr>
          <w:p w14:paraId="59877229"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7.0</w:t>
            </w:r>
          </w:p>
        </w:tc>
        <w:tc>
          <w:tcPr>
            <w:tcW w:w="1201" w:type="dxa"/>
            <w:vAlign w:val="top"/>
          </w:tcPr>
          <w:p w14:paraId="3C337459"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6.9</w:t>
            </w:r>
          </w:p>
        </w:tc>
      </w:tr>
      <w:tr w:rsidR="005C6560" w14:paraId="3890E629" w14:textId="77777777" w:rsidTr="005C6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36AB18A" w14:textId="77777777" w:rsidR="005C6560" w:rsidRPr="005C6560" w:rsidRDefault="005C6560" w:rsidP="005C6560">
            <w:pPr>
              <w:pStyle w:val="AERtabletextleft"/>
              <w:rPr>
                <w:rStyle w:val="Strong"/>
              </w:rPr>
            </w:pPr>
            <w:r w:rsidRPr="005C6560">
              <w:rPr>
                <w:rStyle w:val="Strong"/>
              </w:rPr>
              <w:t>GROSS TOTAL CAPITAL EXPENDITURE</w:t>
            </w:r>
          </w:p>
        </w:tc>
        <w:tc>
          <w:tcPr>
            <w:tcW w:w="850" w:type="dxa"/>
            <w:vAlign w:val="top"/>
          </w:tcPr>
          <w:p w14:paraId="4F29B6B3"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102.8</w:t>
            </w:r>
          </w:p>
        </w:tc>
        <w:tc>
          <w:tcPr>
            <w:tcW w:w="1134" w:type="dxa"/>
            <w:vAlign w:val="top"/>
          </w:tcPr>
          <w:p w14:paraId="0E52DA61"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101.7</w:t>
            </w:r>
          </w:p>
        </w:tc>
        <w:tc>
          <w:tcPr>
            <w:tcW w:w="1073" w:type="dxa"/>
            <w:vAlign w:val="top"/>
          </w:tcPr>
          <w:p w14:paraId="1B907D8D"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126.4</w:t>
            </w:r>
          </w:p>
        </w:tc>
        <w:tc>
          <w:tcPr>
            <w:tcW w:w="1171" w:type="dxa"/>
            <w:vAlign w:val="top"/>
          </w:tcPr>
          <w:p w14:paraId="112D5A8D"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99.2</w:t>
            </w:r>
          </w:p>
        </w:tc>
        <w:tc>
          <w:tcPr>
            <w:tcW w:w="1171" w:type="dxa"/>
            <w:vAlign w:val="top"/>
          </w:tcPr>
          <w:p w14:paraId="13F77BE9"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85.2</w:t>
            </w:r>
          </w:p>
        </w:tc>
        <w:tc>
          <w:tcPr>
            <w:tcW w:w="1201" w:type="dxa"/>
            <w:vAlign w:val="top"/>
          </w:tcPr>
          <w:p w14:paraId="18596553"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102.6</w:t>
            </w:r>
          </w:p>
        </w:tc>
      </w:tr>
      <w:tr w:rsidR="005C6560" w14:paraId="646B625E" w14:textId="77777777" w:rsidTr="005C6560">
        <w:tc>
          <w:tcPr>
            <w:cnfStyle w:val="001000000000" w:firstRow="0" w:lastRow="0" w:firstColumn="1" w:lastColumn="0" w:oddVBand="0" w:evenVBand="0" w:oddHBand="0" w:evenHBand="0" w:firstRowFirstColumn="0" w:firstRowLastColumn="0" w:lastRowFirstColumn="0" w:lastRowLastColumn="0"/>
            <w:tcW w:w="2093" w:type="dxa"/>
          </w:tcPr>
          <w:p w14:paraId="29DA97E6" w14:textId="77777777" w:rsidR="005C6560" w:rsidRPr="005C6560" w:rsidRDefault="005C6560" w:rsidP="005C6560">
            <w:pPr>
              <w:pStyle w:val="AERtabletextleft"/>
            </w:pPr>
            <w:r w:rsidRPr="005C6560">
              <w:t>Contributions</w:t>
            </w:r>
          </w:p>
        </w:tc>
        <w:tc>
          <w:tcPr>
            <w:tcW w:w="850" w:type="dxa"/>
            <w:vAlign w:val="top"/>
          </w:tcPr>
          <w:p w14:paraId="420226B3"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3.0</w:t>
            </w:r>
          </w:p>
        </w:tc>
        <w:tc>
          <w:tcPr>
            <w:tcW w:w="1134" w:type="dxa"/>
            <w:vAlign w:val="top"/>
          </w:tcPr>
          <w:p w14:paraId="67937A31"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10.6</w:t>
            </w:r>
          </w:p>
        </w:tc>
        <w:tc>
          <w:tcPr>
            <w:tcW w:w="1073" w:type="dxa"/>
            <w:vAlign w:val="top"/>
          </w:tcPr>
          <w:p w14:paraId="1FC3897D"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29.8</w:t>
            </w:r>
          </w:p>
        </w:tc>
        <w:tc>
          <w:tcPr>
            <w:tcW w:w="1171" w:type="dxa"/>
            <w:vAlign w:val="top"/>
          </w:tcPr>
          <w:p w14:paraId="2B7E322A"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6.4</w:t>
            </w:r>
          </w:p>
        </w:tc>
        <w:tc>
          <w:tcPr>
            <w:tcW w:w="1171" w:type="dxa"/>
            <w:vAlign w:val="top"/>
          </w:tcPr>
          <w:p w14:paraId="2357401D"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2.2</w:t>
            </w:r>
          </w:p>
        </w:tc>
        <w:tc>
          <w:tcPr>
            <w:tcW w:w="1201" w:type="dxa"/>
            <w:vAlign w:val="top"/>
          </w:tcPr>
          <w:p w14:paraId="65435D9E" w14:textId="77777777" w:rsidR="005C6560" w:rsidRPr="005C6560" w:rsidRDefault="005C6560" w:rsidP="005C6560">
            <w:pPr>
              <w:pStyle w:val="AERtabletextleft"/>
              <w:cnfStyle w:val="000000000000" w:firstRow="0" w:lastRow="0" w:firstColumn="0" w:lastColumn="0" w:oddVBand="0" w:evenVBand="0" w:oddHBand="0" w:evenHBand="0" w:firstRowFirstColumn="0" w:firstRowLastColumn="0" w:lastRowFirstColumn="0" w:lastRowLastColumn="0"/>
            </w:pPr>
            <w:r w:rsidRPr="005C6560">
              <w:t>5.0</w:t>
            </w:r>
          </w:p>
        </w:tc>
      </w:tr>
      <w:tr w:rsidR="005C6560" w14:paraId="7141EDDC" w14:textId="77777777" w:rsidTr="005C6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6A9A68A" w14:textId="77777777" w:rsidR="005C6560" w:rsidRPr="005C6560" w:rsidRDefault="005C6560" w:rsidP="005C6560">
            <w:pPr>
              <w:pStyle w:val="AERtabletextleft"/>
              <w:rPr>
                <w:rStyle w:val="Strong"/>
              </w:rPr>
            </w:pPr>
            <w:r w:rsidRPr="005C6560">
              <w:rPr>
                <w:rStyle w:val="Strong"/>
              </w:rPr>
              <w:t>NET TOTAL CAPITAL EXPENDITURE</w:t>
            </w:r>
          </w:p>
        </w:tc>
        <w:tc>
          <w:tcPr>
            <w:tcW w:w="850" w:type="dxa"/>
            <w:vAlign w:val="top"/>
          </w:tcPr>
          <w:p w14:paraId="3566AF4F"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99.8</w:t>
            </w:r>
          </w:p>
        </w:tc>
        <w:tc>
          <w:tcPr>
            <w:tcW w:w="1134" w:type="dxa"/>
            <w:vAlign w:val="top"/>
          </w:tcPr>
          <w:p w14:paraId="3F6045DD"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91.1</w:t>
            </w:r>
          </w:p>
        </w:tc>
        <w:tc>
          <w:tcPr>
            <w:tcW w:w="1073" w:type="dxa"/>
            <w:vAlign w:val="top"/>
          </w:tcPr>
          <w:p w14:paraId="6B64F2CB"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96.6</w:t>
            </w:r>
          </w:p>
        </w:tc>
        <w:tc>
          <w:tcPr>
            <w:tcW w:w="1171" w:type="dxa"/>
            <w:vAlign w:val="top"/>
          </w:tcPr>
          <w:p w14:paraId="1AC348D7"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92.9</w:t>
            </w:r>
          </w:p>
        </w:tc>
        <w:tc>
          <w:tcPr>
            <w:tcW w:w="1171" w:type="dxa"/>
            <w:vAlign w:val="top"/>
          </w:tcPr>
          <w:p w14:paraId="50CE1395"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83.0</w:t>
            </w:r>
          </w:p>
        </w:tc>
        <w:tc>
          <w:tcPr>
            <w:tcW w:w="1201" w:type="dxa"/>
            <w:vAlign w:val="top"/>
          </w:tcPr>
          <w:p w14:paraId="0CD20CCE" w14:textId="77777777" w:rsidR="005C6560" w:rsidRPr="005C6560" w:rsidRDefault="005C6560" w:rsidP="005C656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C6560">
              <w:rPr>
                <w:rStyle w:val="Strong"/>
              </w:rPr>
              <w:t>97.6</w:t>
            </w:r>
          </w:p>
        </w:tc>
      </w:tr>
    </w:tbl>
    <w:p w14:paraId="094F0584" w14:textId="77777777" w:rsidR="00644B6E" w:rsidRDefault="005C6560" w:rsidP="005C6560">
      <w:pPr>
        <w:pStyle w:val="AERtablesource"/>
      </w:pPr>
      <w:r>
        <w:t xml:space="preserve">Source: </w:t>
      </w:r>
      <w:r>
        <w:tab/>
        <w:t>AusNet reset RIN, response to information request 5, 17 February 2017. Totals may not sum due to rounding.</w:t>
      </w:r>
    </w:p>
    <w:p w14:paraId="37933E58" w14:textId="77777777" w:rsidR="00F10363" w:rsidRDefault="00F10363" w:rsidP="004131F9">
      <w:pPr>
        <w:pStyle w:val="HeadingBoldBlue"/>
        <w:keepNext/>
      </w:pPr>
      <w:r>
        <w:t>2018–22 period</w:t>
      </w:r>
    </w:p>
    <w:p w14:paraId="26CB81F3" w14:textId="123F9420" w:rsidR="00644B6E" w:rsidRDefault="00644B6E" w:rsidP="004131F9">
      <w:pPr>
        <w:keepNext/>
      </w:pPr>
      <w:r>
        <w:t>AusNet proposed net total capex of $</w:t>
      </w:r>
      <w:r w:rsidR="00612E78">
        <w:t>487.</w:t>
      </w:r>
      <w:r w:rsidR="00502E46">
        <w:t>7</w:t>
      </w:r>
      <w:r>
        <w:t xml:space="preserve"> million ($2017) for the 2018–22 access arrangement </w:t>
      </w:r>
      <w:proofErr w:type="gramStart"/>
      <w:r>
        <w:t>period</w:t>
      </w:r>
      <w:proofErr w:type="gramEnd"/>
      <w:r>
        <w:t xml:space="preserve">. </w:t>
      </w:r>
      <w:r w:rsidR="00612E78">
        <w:t xml:space="preserve">This represents a real </w:t>
      </w:r>
      <w:r>
        <w:t xml:space="preserve">decrease of </w:t>
      </w:r>
      <w:r w:rsidR="00612E78">
        <w:t>8</w:t>
      </w:r>
      <w:r>
        <w:t xml:space="preserve"> per cent </w:t>
      </w:r>
      <w:r w:rsidR="0010298E">
        <w:t>compared to</w:t>
      </w:r>
      <w:r>
        <w:t xml:space="preserve"> the amount approved by the AER for the 2013–17 access arrangement period.</w:t>
      </w:r>
    </w:p>
    <w:p w14:paraId="684501CB" w14:textId="0D7F55CE" w:rsidR="00644B6E" w:rsidRDefault="00147A09" w:rsidP="00147A09">
      <w:pPr>
        <w:pStyle w:val="Caption"/>
      </w:pPr>
      <w:r>
        <w:t xml:space="preserve">Table </w:t>
      </w:r>
      <w:fldSimple w:instr=" STYLEREF 1 \s ">
        <w:r w:rsidR="00745B71">
          <w:rPr>
            <w:noProof/>
          </w:rPr>
          <w:t>6</w:t>
        </w:r>
      </w:fldSimple>
      <w:r>
        <w:t>.</w:t>
      </w:r>
      <w:fldSimple w:instr=" SEQ Table \* ARABIC \s 1 ">
        <w:r w:rsidR="00745B71">
          <w:rPr>
            <w:noProof/>
          </w:rPr>
          <w:t>5</w:t>
        </w:r>
      </w:fldSimple>
      <w:r>
        <w:tab/>
      </w:r>
      <w:r w:rsidR="00644B6E">
        <w:t>AusNet</w:t>
      </w:r>
      <w:r w:rsidR="00644B6E" w:rsidRPr="00644B6E">
        <w:t xml:space="preserve"> proposed capital expenditure by category over the 2018–22 access arrangement period ($million, 2017)</w:t>
      </w:r>
    </w:p>
    <w:tbl>
      <w:tblPr>
        <w:tblStyle w:val="AERtable-numbers"/>
        <w:tblW w:w="0" w:type="auto"/>
        <w:tblLayout w:type="fixed"/>
        <w:tblLook w:val="04A0" w:firstRow="1" w:lastRow="0" w:firstColumn="1" w:lastColumn="0" w:noHBand="0" w:noVBand="1"/>
      </w:tblPr>
      <w:tblGrid>
        <w:gridCol w:w="2093"/>
        <w:gridCol w:w="850"/>
        <w:gridCol w:w="1036"/>
        <w:gridCol w:w="1171"/>
        <w:gridCol w:w="1171"/>
        <w:gridCol w:w="1171"/>
        <w:gridCol w:w="1201"/>
      </w:tblGrid>
      <w:tr w:rsidR="00644B6E" w:rsidRPr="00811D69" w14:paraId="40765F8A" w14:textId="77777777" w:rsidTr="00612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A62C3A1" w14:textId="77777777" w:rsidR="00644B6E" w:rsidRPr="00644B6E" w:rsidRDefault="00644B6E" w:rsidP="00644B6E">
            <w:pPr>
              <w:pStyle w:val="AERtabletextleft"/>
            </w:pPr>
            <w:r w:rsidRPr="00644B6E">
              <w:t>Category</w:t>
            </w:r>
          </w:p>
        </w:tc>
        <w:tc>
          <w:tcPr>
            <w:tcW w:w="850" w:type="dxa"/>
          </w:tcPr>
          <w:p w14:paraId="79F7CD21"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rsidRPr="00644B6E">
              <w:t>2018</w:t>
            </w:r>
          </w:p>
        </w:tc>
        <w:tc>
          <w:tcPr>
            <w:tcW w:w="1036" w:type="dxa"/>
          </w:tcPr>
          <w:p w14:paraId="32855C6E"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rsidRPr="00644B6E">
              <w:t>2019</w:t>
            </w:r>
          </w:p>
        </w:tc>
        <w:tc>
          <w:tcPr>
            <w:tcW w:w="1171" w:type="dxa"/>
          </w:tcPr>
          <w:p w14:paraId="4137C21A"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rsidRPr="00644B6E">
              <w:t>2020</w:t>
            </w:r>
          </w:p>
        </w:tc>
        <w:tc>
          <w:tcPr>
            <w:tcW w:w="1171" w:type="dxa"/>
          </w:tcPr>
          <w:p w14:paraId="131E26A1"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rsidRPr="00644B6E">
              <w:t>2021</w:t>
            </w:r>
          </w:p>
        </w:tc>
        <w:tc>
          <w:tcPr>
            <w:tcW w:w="1171" w:type="dxa"/>
          </w:tcPr>
          <w:p w14:paraId="06BCB766"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rsidRPr="00644B6E">
              <w:t>2022</w:t>
            </w:r>
          </w:p>
        </w:tc>
        <w:tc>
          <w:tcPr>
            <w:tcW w:w="1201" w:type="dxa"/>
          </w:tcPr>
          <w:p w14:paraId="10D46D6B" w14:textId="77777777" w:rsidR="00644B6E" w:rsidRPr="00644B6E" w:rsidRDefault="00644B6E" w:rsidP="00644B6E">
            <w:pPr>
              <w:pStyle w:val="AERtabletextright"/>
              <w:cnfStyle w:val="100000000000" w:firstRow="1" w:lastRow="0" w:firstColumn="0" w:lastColumn="0" w:oddVBand="0" w:evenVBand="0" w:oddHBand="0" w:evenHBand="0" w:firstRowFirstColumn="0" w:firstRowLastColumn="0" w:lastRowFirstColumn="0" w:lastRowLastColumn="0"/>
            </w:pPr>
            <w:r w:rsidRPr="00644B6E">
              <w:t>Total</w:t>
            </w:r>
          </w:p>
        </w:tc>
      </w:tr>
      <w:tr w:rsidR="00612E78" w:rsidRPr="00811D69" w14:paraId="34C49DE7" w14:textId="77777777" w:rsidTr="00612E78">
        <w:tc>
          <w:tcPr>
            <w:cnfStyle w:val="001000000000" w:firstRow="0" w:lastRow="0" w:firstColumn="1" w:lastColumn="0" w:oddVBand="0" w:evenVBand="0" w:oddHBand="0" w:evenHBand="0" w:firstRowFirstColumn="0" w:firstRowLastColumn="0" w:lastRowFirstColumn="0" w:lastRowLastColumn="0"/>
            <w:tcW w:w="2093" w:type="dxa"/>
          </w:tcPr>
          <w:p w14:paraId="183BF76B" w14:textId="77777777" w:rsidR="00612E78" w:rsidRPr="00612E78" w:rsidRDefault="00612E78" w:rsidP="00612E78">
            <w:pPr>
              <w:pStyle w:val="AERtabletextleft"/>
            </w:pPr>
            <w:r w:rsidRPr="00612E78">
              <w:t>Connections</w:t>
            </w:r>
          </w:p>
        </w:tc>
        <w:tc>
          <w:tcPr>
            <w:tcW w:w="850" w:type="dxa"/>
            <w:vAlign w:val="top"/>
          </w:tcPr>
          <w:p w14:paraId="4F8F85E2"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37.9</w:t>
            </w:r>
          </w:p>
        </w:tc>
        <w:tc>
          <w:tcPr>
            <w:tcW w:w="1036" w:type="dxa"/>
            <w:vAlign w:val="top"/>
          </w:tcPr>
          <w:p w14:paraId="501009EA"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38.4</w:t>
            </w:r>
          </w:p>
        </w:tc>
        <w:tc>
          <w:tcPr>
            <w:tcW w:w="1171" w:type="dxa"/>
            <w:vAlign w:val="top"/>
          </w:tcPr>
          <w:p w14:paraId="1259358B"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39.0</w:t>
            </w:r>
          </w:p>
        </w:tc>
        <w:tc>
          <w:tcPr>
            <w:tcW w:w="1171" w:type="dxa"/>
            <w:vAlign w:val="top"/>
          </w:tcPr>
          <w:p w14:paraId="0367DFAE"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39.8</w:t>
            </w:r>
          </w:p>
        </w:tc>
        <w:tc>
          <w:tcPr>
            <w:tcW w:w="1171" w:type="dxa"/>
            <w:vAlign w:val="top"/>
          </w:tcPr>
          <w:p w14:paraId="42FCC2F1"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38.7</w:t>
            </w:r>
          </w:p>
        </w:tc>
        <w:tc>
          <w:tcPr>
            <w:tcW w:w="1201" w:type="dxa"/>
            <w:vAlign w:val="top"/>
          </w:tcPr>
          <w:p w14:paraId="75CF823F"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193.8</w:t>
            </w:r>
          </w:p>
        </w:tc>
      </w:tr>
      <w:tr w:rsidR="00612E78" w:rsidRPr="00811D69" w14:paraId="6E12FC34" w14:textId="77777777" w:rsidTr="00612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5EA79DC" w14:textId="77777777" w:rsidR="00612E78" w:rsidRPr="00612E78" w:rsidRDefault="00612E78" w:rsidP="00612E78">
            <w:pPr>
              <w:pStyle w:val="AERtabletextleft"/>
            </w:pPr>
            <w:r w:rsidRPr="00612E78">
              <w:t>Mains replacement</w:t>
            </w:r>
          </w:p>
        </w:tc>
        <w:tc>
          <w:tcPr>
            <w:tcW w:w="850" w:type="dxa"/>
            <w:vAlign w:val="top"/>
          </w:tcPr>
          <w:p w14:paraId="3F51F00C"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30.9</w:t>
            </w:r>
          </w:p>
        </w:tc>
        <w:tc>
          <w:tcPr>
            <w:tcW w:w="1036" w:type="dxa"/>
            <w:vAlign w:val="top"/>
          </w:tcPr>
          <w:p w14:paraId="4572D167"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28.2</w:t>
            </w:r>
          </w:p>
        </w:tc>
        <w:tc>
          <w:tcPr>
            <w:tcW w:w="1171" w:type="dxa"/>
            <w:vAlign w:val="top"/>
          </w:tcPr>
          <w:p w14:paraId="60D83C79"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29.5</w:t>
            </w:r>
          </w:p>
        </w:tc>
        <w:tc>
          <w:tcPr>
            <w:tcW w:w="1171" w:type="dxa"/>
            <w:vAlign w:val="top"/>
          </w:tcPr>
          <w:p w14:paraId="6294E8EA"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21.3</w:t>
            </w:r>
          </w:p>
        </w:tc>
        <w:tc>
          <w:tcPr>
            <w:tcW w:w="1171" w:type="dxa"/>
            <w:vAlign w:val="top"/>
          </w:tcPr>
          <w:p w14:paraId="05B835A0" w14:textId="2C2252B0"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20.</w:t>
            </w:r>
            <w:r w:rsidR="00502E46">
              <w:t>6</w:t>
            </w:r>
          </w:p>
        </w:tc>
        <w:tc>
          <w:tcPr>
            <w:tcW w:w="1201" w:type="dxa"/>
            <w:vAlign w:val="top"/>
          </w:tcPr>
          <w:p w14:paraId="06EDDBB9" w14:textId="3BCAF338"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130.</w:t>
            </w:r>
            <w:r w:rsidR="00420520">
              <w:t>6</w:t>
            </w:r>
          </w:p>
        </w:tc>
      </w:tr>
      <w:tr w:rsidR="00612E78" w:rsidRPr="00811D69" w14:paraId="5F599227" w14:textId="77777777" w:rsidTr="00612E78">
        <w:tc>
          <w:tcPr>
            <w:cnfStyle w:val="001000000000" w:firstRow="0" w:lastRow="0" w:firstColumn="1" w:lastColumn="0" w:oddVBand="0" w:evenVBand="0" w:oddHBand="0" w:evenHBand="0" w:firstRowFirstColumn="0" w:firstRowLastColumn="0" w:lastRowFirstColumn="0" w:lastRowLastColumn="0"/>
            <w:tcW w:w="2093" w:type="dxa"/>
          </w:tcPr>
          <w:p w14:paraId="69625957" w14:textId="77777777" w:rsidR="00612E78" w:rsidRPr="00612E78" w:rsidRDefault="00612E78" w:rsidP="00612E78">
            <w:pPr>
              <w:pStyle w:val="AERtabletextleft"/>
            </w:pPr>
            <w:r w:rsidRPr="00612E78">
              <w:t>Meter replacement</w:t>
            </w:r>
          </w:p>
        </w:tc>
        <w:tc>
          <w:tcPr>
            <w:tcW w:w="850" w:type="dxa"/>
            <w:vAlign w:val="top"/>
          </w:tcPr>
          <w:p w14:paraId="7D0A4195"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6.2</w:t>
            </w:r>
          </w:p>
        </w:tc>
        <w:tc>
          <w:tcPr>
            <w:tcW w:w="1036" w:type="dxa"/>
            <w:vAlign w:val="top"/>
          </w:tcPr>
          <w:p w14:paraId="0D82EF50"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6.7</w:t>
            </w:r>
          </w:p>
        </w:tc>
        <w:tc>
          <w:tcPr>
            <w:tcW w:w="1171" w:type="dxa"/>
            <w:vAlign w:val="top"/>
          </w:tcPr>
          <w:p w14:paraId="73237F0A"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6.3</w:t>
            </w:r>
          </w:p>
        </w:tc>
        <w:tc>
          <w:tcPr>
            <w:tcW w:w="1171" w:type="dxa"/>
            <w:vAlign w:val="top"/>
          </w:tcPr>
          <w:p w14:paraId="33CD9E91"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6.6</w:t>
            </w:r>
          </w:p>
        </w:tc>
        <w:tc>
          <w:tcPr>
            <w:tcW w:w="1171" w:type="dxa"/>
            <w:vAlign w:val="top"/>
          </w:tcPr>
          <w:p w14:paraId="7248E4EF"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6.5</w:t>
            </w:r>
          </w:p>
        </w:tc>
        <w:tc>
          <w:tcPr>
            <w:tcW w:w="1201" w:type="dxa"/>
            <w:vAlign w:val="top"/>
          </w:tcPr>
          <w:p w14:paraId="718390DE"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32.4</w:t>
            </w:r>
          </w:p>
        </w:tc>
      </w:tr>
      <w:tr w:rsidR="00612E78" w:rsidRPr="00811D69" w14:paraId="7EC2ADB9" w14:textId="77777777" w:rsidTr="00612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A48C59A" w14:textId="77777777" w:rsidR="00612E78" w:rsidRPr="00612E78" w:rsidRDefault="00612E78" w:rsidP="00612E78">
            <w:pPr>
              <w:pStyle w:val="AERtabletextleft"/>
            </w:pPr>
            <w:r w:rsidRPr="00612E78">
              <w:t>Augmentation</w:t>
            </w:r>
          </w:p>
        </w:tc>
        <w:tc>
          <w:tcPr>
            <w:tcW w:w="850" w:type="dxa"/>
            <w:vAlign w:val="top"/>
          </w:tcPr>
          <w:p w14:paraId="24D159D9"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6.7</w:t>
            </w:r>
          </w:p>
        </w:tc>
        <w:tc>
          <w:tcPr>
            <w:tcW w:w="1036" w:type="dxa"/>
            <w:vAlign w:val="top"/>
          </w:tcPr>
          <w:p w14:paraId="0E709674"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2.9</w:t>
            </w:r>
          </w:p>
        </w:tc>
        <w:tc>
          <w:tcPr>
            <w:tcW w:w="1171" w:type="dxa"/>
            <w:vAlign w:val="top"/>
          </w:tcPr>
          <w:p w14:paraId="10489199"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0.6</w:t>
            </w:r>
          </w:p>
        </w:tc>
        <w:tc>
          <w:tcPr>
            <w:tcW w:w="1171" w:type="dxa"/>
            <w:vAlign w:val="top"/>
          </w:tcPr>
          <w:p w14:paraId="4B064990"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2.0</w:t>
            </w:r>
          </w:p>
        </w:tc>
        <w:tc>
          <w:tcPr>
            <w:tcW w:w="1171" w:type="dxa"/>
            <w:vAlign w:val="top"/>
          </w:tcPr>
          <w:p w14:paraId="4B40EEE1"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3.2</w:t>
            </w:r>
          </w:p>
        </w:tc>
        <w:tc>
          <w:tcPr>
            <w:tcW w:w="1201" w:type="dxa"/>
            <w:vAlign w:val="top"/>
          </w:tcPr>
          <w:p w14:paraId="15191837"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15.2</w:t>
            </w:r>
          </w:p>
        </w:tc>
      </w:tr>
      <w:tr w:rsidR="00612E78" w:rsidRPr="00811D69" w14:paraId="61E2F9A3" w14:textId="77777777" w:rsidTr="00612E78">
        <w:tc>
          <w:tcPr>
            <w:cnfStyle w:val="001000000000" w:firstRow="0" w:lastRow="0" w:firstColumn="1" w:lastColumn="0" w:oddVBand="0" w:evenVBand="0" w:oddHBand="0" w:evenHBand="0" w:firstRowFirstColumn="0" w:firstRowLastColumn="0" w:lastRowFirstColumn="0" w:lastRowLastColumn="0"/>
            <w:tcW w:w="2093" w:type="dxa"/>
          </w:tcPr>
          <w:p w14:paraId="0D8F97CF" w14:textId="77777777" w:rsidR="00612E78" w:rsidRPr="00612E78" w:rsidRDefault="0005115F" w:rsidP="00612E78">
            <w:pPr>
              <w:pStyle w:val="AERtabletextleft"/>
            </w:pPr>
            <w:r>
              <w:t xml:space="preserve">Other capex </w:t>
            </w:r>
            <w:r>
              <w:br/>
              <w:t>(inc.</w:t>
            </w:r>
            <w:r w:rsidR="00612E78" w:rsidRPr="00612E78">
              <w:t xml:space="preserve"> SCADA)</w:t>
            </w:r>
          </w:p>
        </w:tc>
        <w:tc>
          <w:tcPr>
            <w:tcW w:w="850" w:type="dxa"/>
            <w:vAlign w:val="top"/>
          </w:tcPr>
          <w:p w14:paraId="58BF8E94" w14:textId="77777777" w:rsidR="00612E78" w:rsidRPr="00612E78" w:rsidRDefault="00A74452" w:rsidP="00612E78">
            <w:pPr>
              <w:pStyle w:val="AERtabletextleft"/>
              <w:cnfStyle w:val="000000000000" w:firstRow="0" w:lastRow="0" w:firstColumn="0" w:lastColumn="0" w:oddVBand="0" w:evenVBand="0" w:oddHBand="0" w:evenHBand="0" w:firstRowFirstColumn="0" w:firstRowLastColumn="0" w:lastRowFirstColumn="0" w:lastRowLastColumn="0"/>
            </w:pPr>
            <w:r>
              <w:t>6.9</w:t>
            </w:r>
          </w:p>
        </w:tc>
        <w:tc>
          <w:tcPr>
            <w:tcW w:w="1036" w:type="dxa"/>
            <w:vAlign w:val="top"/>
          </w:tcPr>
          <w:p w14:paraId="47CDAE50" w14:textId="77777777" w:rsidR="00612E78" w:rsidRPr="00612E78" w:rsidRDefault="00A74452" w:rsidP="00612E78">
            <w:pPr>
              <w:pStyle w:val="AERtabletextleft"/>
              <w:cnfStyle w:val="000000000000" w:firstRow="0" w:lastRow="0" w:firstColumn="0" w:lastColumn="0" w:oddVBand="0" w:evenVBand="0" w:oddHBand="0" w:evenHBand="0" w:firstRowFirstColumn="0" w:firstRowLastColumn="0" w:lastRowFirstColumn="0" w:lastRowLastColumn="0"/>
            </w:pPr>
            <w:r>
              <w:t>7.0</w:t>
            </w:r>
          </w:p>
        </w:tc>
        <w:tc>
          <w:tcPr>
            <w:tcW w:w="1171" w:type="dxa"/>
            <w:vAlign w:val="top"/>
          </w:tcPr>
          <w:p w14:paraId="38A51824" w14:textId="77777777" w:rsidR="00612E78" w:rsidRPr="00612E78" w:rsidRDefault="00A74452" w:rsidP="00612E78">
            <w:pPr>
              <w:pStyle w:val="AERtabletextleft"/>
              <w:cnfStyle w:val="000000000000" w:firstRow="0" w:lastRow="0" w:firstColumn="0" w:lastColumn="0" w:oddVBand="0" w:evenVBand="0" w:oddHBand="0" w:evenHBand="0" w:firstRowFirstColumn="0" w:firstRowLastColumn="0" w:lastRowFirstColumn="0" w:lastRowLastColumn="0"/>
            </w:pPr>
            <w:r>
              <w:t>6.4</w:t>
            </w:r>
          </w:p>
        </w:tc>
        <w:tc>
          <w:tcPr>
            <w:tcW w:w="1171" w:type="dxa"/>
            <w:vAlign w:val="top"/>
          </w:tcPr>
          <w:p w14:paraId="309BF831" w14:textId="77777777" w:rsidR="00612E78" w:rsidRPr="00612E78" w:rsidRDefault="00A74452" w:rsidP="00612E78">
            <w:pPr>
              <w:pStyle w:val="AERtabletextleft"/>
              <w:cnfStyle w:val="000000000000" w:firstRow="0" w:lastRow="0" w:firstColumn="0" w:lastColumn="0" w:oddVBand="0" w:evenVBand="0" w:oddHBand="0" w:evenHBand="0" w:firstRowFirstColumn="0" w:firstRowLastColumn="0" w:lastRowFirstColumn="0" w:lastRowLastColumn="0"/>
            </w:pPr>
            <w:r>
              <w:t>6.9</w:t>
            </w:r>
          </w:p>
        </w:tc>
        <w:tc>
          <w:tcPr>
            <w:tcW w:w="1171" w:type="dxa"/>
            <w:vAlign w:val="top"/>
          </w:tcPr>
          <w:p w14:paraId="6A8D44D8" w14:textId="77777777" w:rsidR="00612E78" w:rsidRPr="00612E78" w:rsidRDefault="00A74452" w:rsidP="00612E78">
            <w:pPr>
              <w:pStyle w:val="AERtabletextleft"/>
              <w:cnfStyle w:val="000000000000" w:firstRow="0" w:lastRow="0" w:firstColumn="0" w:lastColumn="0" w:oddVBand="0" w:evenVBand="0" w:oddHBand="0" w:evenHBand="0" w:firstRowFirstColumn="0" w:firstRowLastColumn="0" w:lastRowFirstColumn="0" w:lastRowLastColumn="0"/>
            </w:pPr>
            <w:r>
              <w:t>7.0</w:t>
            </w:r>
          </w:p>
        </w:tc>
        <w:tc>
          <w:tcPr>
            <w:tcW w:w="1201" w:type="dxa"/>
            <w:vAlign w:val="top"/>
          </w:tcPr>
          <w:p w14:paraId="4896F287" w14:textId="77777777" w:rsidR="00612E78" w:rsidRPr="00612E78" w:rsidRDefault="00A74452" w:rsidP="00612E78">
            <w:pPr>
              <w:pStyle w:val="AERtabletextleft"/>
              <w:cnfStyle w:val="000000000000" w:firstRow="0" w:lastRow="0" w:firstColumn="0" w:lastColumn="0" w:oddVBand="0" w:evenVBand="0" w:oddHBand="0" w:evenHBand="0" w:firstRowFirstColumn="0" w:firstRowLastColumn="0" w:lastRowFirstColumn="0" w:lastRowLastColumn="0"/>
            </w:pPr>
            <w:r>
              <w:t>34.0</w:t>
            </w:r>
          </w:p>
        </w:tc>
      </w:tr>
      <w:tr w:rsidR="00612E78" w:rsidRPr="00811D69" w14:paraId="5606EAB5" w14:textId="77777777" w:rsidTr="00612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B8FBED3" w14:textId="77777777" w:rsidR="00612E78" w:rsidRPr="00612E78" w:rsidRDefault="00612E78" w:rsidP="00612E78">
            <w:pPr>
              <w:pStyle w:val="AERtabletextleft"/>
            </w:pPr>
            <w:r w:rsidRPr="00612E78">
              <w:t>IT</w:t>
            </w:r>
          </w:p>
        </w:tc>
        <w:tc>
          <w:tcPr>
            <w:tcW w:w="850" w:type="dxa"/>
            <w:vAlign w:val="top"/>
          </w:tcPr>
          <w:p w14:paraId="349891F9"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13.3</w:t>
            </w:r>
          </w:p>
        </w:tc>
        <w:tc>
          <w:tcPr>
            <w:tcW w:w="1036" w:type="dxa"/>
            <w:vAlign w:val="top"/>
          </w:tcPr>
          <w:p w14:paraId="5C24D7D2"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14.4</w:t>
            </w:r>
          </w:p>
        </w:tc>
        <w:tc>
          <w:tcPr>
            <w:tcW w:w="1171" w:type="dxa"/>
            <w:vAlign w:val="top"/>
          </w:tcPr>
          <w:p w14:paraId="0C786F61"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12.3</w:t>
            </w:r>
          </w:p>
        </w:tc>
        <w:tc>
          <w:tcPr>
            <w:tcW w:w="1171" w:type="dxa"/>
            <w:vAlign w:val="top"/>
          </w:tcPr>
          <w:p w14:paraId="035598C9"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10.5</w:t>
            </w:r>
          </w:p>
        </w:tc>
        <w:tc>
          <w:tcPr>
            <w:tcW w:w="1171" w:type="dxa"/>
            <w:vAlign w:val="top"/>
          </w:tcPr>
          <w:p w14:paraId="05D30182"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6.6</w:t>
            </w:r>
          </w:p>
        </w:tc>
        <w:tc>
          <w:tcPr>
            <w:tcW w:w="1201" w:type="dxa"/>
            <w:vAlign w:val="top"/>
          </w:tcPr>
          <w:p w14:paraId="0AED8B55"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57.0</w:t>
            </w:r>
          </w:p>
        </w:tc>
      </w:tr>
      <w:tr w:rsidR="00612E78" w:rsidRPr="00811D69" w14:paraId="377F6D31" w14:textId="77777777" w:rsidTr="00612E78">
        <w:tc>
          <w:tcPr>
            <w:cnfStyle w:val="001000000000" w:firstRow="0" w:lastRow="0" w:firstColumn="1" w:lastColumn="0" w:oddVBand="0" w:evenVBand="0" w:oddHBand="0" w:evenHBand="0" w:firstRowFirstColumn="0" w:firstRowLastColumn="0" w:lastRowFirstColumn="0" w:lastRowLastColumn="0"/>
            <w:tcW w:w="2093" w:type="dxa"/>
          </w:tcPr>
          <w:p w14:paraId="62670FBF" w14:textId="77777777" w:rsidR="00612E78" w:rsidRPr="00612E78" w:rsidRDefault="00612E78" w:rsidP="00612E78">
            <w:pPr>
              <w:pStyle w:val="AERtabletextleft"/>
            </w:pPr>
            <w:r w:rsidRPr="00612E78">
              <w:t>Escalation</w:t>
            </w:r>
          </w:p>
        </w:tc>
        <w:tc>
          <w:tcPr>
            <w:tcW w:w="850" w:type="dxa"/>
            <w:vAlign w:val="top"/>
          </w:tcPr>
          <w:p w14:paraId="26D4051B"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0.6</w:t>
            </w:r>
          </w:p>
        </w:tc>
        <w:tc>
          <w:tcPr>
            <w:tcW w:w="1036" w:type="dxa"/>
            <w:vAlign w:val="top"/>
          </w:tcPr>
          <w:p w14:paraId="2ED493CF"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1.2</w:t>
            </w:r>
          </w:p>
        </w:tc>
        <w:tc>
          <w:tcPr>
            <w:tcW w:w="1171" w:type="dxa"/>
            <w:vAlign w:val="top"/>
          </w:tcPr>
          <w:p w14:paraId="2C372C1D"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2.1</w:t>
            </w:r>
          </w:p>
        </w:tc>
        <w:tc>
          <w:tcPr>
            <w:tcW w:w="1171" w:type="dxa"/>
            <w:vAlign w:val="top"/>
          </w:tcPr>
          <w:p w14:paraId="5BA42C0D"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pPr>
            <w:r w:rsidRPr="00612E78">
              <w:t>2.9</w:t>
            </w:r>
          </w:p>
        </w:tc>
        <w:tc>
          <w:tcPr>
            <w:tcW w:w="1171" w:type="dxa"/>
            <w:vAlign w:val="top"/>
          </w:tcPr>
          <w:p w14:paraId="443ACE8E" w14:textId="77777777" w:rsidR="00612E78" w:rsidRPr="00612E78" w:rsidRDefault="00A74452" w:rsidP="00612E78">
            <w:pPr>
              <w:pStyle w:val="AERtabletextleft"/>
              <w:cnfStyle w:val="000000000000" w:firstRow="0" w:lastRow="0" w:firstColumn="0" w:lastColumn="0" w:oddVBand="0" w:evenVBand="0" w:oddHBand="0" w:evenHBand="0" w:firstRowFirstColumn="0" w:firstRowLastColumn="0" w:lastRowFirstColumn="0" w:lastRowLastColumn="0"/>
            </w:pPr>
            <w:r>
              <w:t>3.9</w:t>
            </w:r>
          </w:p>
        </w:tc>
        <w:tc>
          <w:tcPr>
            <w:tcW w:w="1201" w:type="dxa"/>
            <w:vAlign w:val="top"/>
          </w:tcPr>
          <w:p w14:paraId="1F1303A4" w14:textId="77777777" w:rsidR="00612E78" w:rsidRPr="00612E78" w:rsidRDefault="00612E78" w:rsidP="00A74452">
            <w:pPr>
              <w:pStyle w:val="AERtabletextleft"/>
              <w:cnfStyle w:val="000000000000" w:firstRow="0" w:lastRow="0" w:firstColumn="0" w:lastColumn="0" w:oddVBand="0" w:evenVBand="0" w:oddHBand="0" w:evenHBand="0" w:firstRowFirstColumn="0" w:firstRowLastColumn="0" w:lastRowFirstColumn="0" w:lastRowLastColumn="0"/>
            </w:pPr>
            <w:r w:rsidRPr="00612E78">
              <w:t>10.</w:t>
            </w:r>
            <w:r w:rsidR="00A74452">
              <w:t>6</w:t>
            </w:r>
          </w:p>
        </w:tc>
      </w:tr>
      <w:tr w:rsidR="00612E78" w:rsidRPr="00811D69" w14:paraId="6E1E86AF" w14:textId="77777777" w:rsidTr="00612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E8CB6A3" w14:textId="77777777" w:rsidR="00612E78" w:rsidRPr="00612E78" w:rsidRDefault="00612E78" w:rsidP="00612E78">
            <w:pPr>
              <w:pStyle w:val="AERtabletextleft"/>
            </w:pPr>
            <w:r w:rsidRPr="00612E78">
              <w:t>Overheads</w:t>
            </w:r>
          </w:p>
        </w:tc>
        <w:tc>
          <w:tcPr>
            <w:tcW w:w="850" w:type="dxa"/>
            <w:vAlign w:val="top"/>
          </w:tcPr>
          <w:p w14:paraId="674749C7"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6.9</w:t>
            </w:r>
          </w:p>
        </w:tc>
        <w:tc>
          <w:tcPr>
            <w:tcW w:w="1036" w:type="dxa"/>
            <w:vAlign w:val="top"/>
          </w:tcPr>
          <w:p w14:paraId="34E64AD5"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6.9</w:t>
            </w:r>
          </w:p>
        </w:tc>
        <w:tc>
          <w:tcPr>
            <w:tcW w:w="1171" w:type="dxa"/>
            <w:vAlign w:val="top"/>
          </w:tcPr>
          <w:p w14:paraId="01D1AAAB"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6.9</w:t>
            </w:r>
          </w:p>
        </w:tc>
        <w:tc>
          <w:tcPr>
            <w:tcW w:w="1171" w:type="dxa"/>
            <w:vAlign w:val="top"/>
          </w:tcPr>
          <w:p w14:paraId="638D1B11" w14:textId="77777777" w:rsidR="00612E78" w:rsidRPr="00612E78" w:rsidRDefault="00612E78" w:rsidP="00612E78">
            <w:pPr>
              <w:pStyle w:val="AERtabletextleft"/>
              <w:cnfStyle w:val="000000010000" w:firstRow="0" w:lastRow="0" w:firstColumn="0" w:lastColumn="0" w:oddVBand="0" w:evenVBand="0" w:oddHBand="0" w:evenHBand="1" w:firstRowFirstColumn="0" w:firstRowLastColumn="0" w:lastRowFirstColumn="0" w:lastRowLastColumn="0"/>
            </w:pPr>
            <w:r w:rsidRPr="00612E78">
              <w:t>6.9</w:t>
            </w:r>
          </w:p>
        </w:tc>
        <w:tc>
          <w:tcPr>
            <w:tcW w:w="1171" w:type="dxa"/>
            <w:vAlign w:val="top"/>
          </w:tcPr>
          <w:p w14:paraId="375436D1" w14:textId="73E1778B" w:rsidR="00612E78" w:rsidRPr="00612E78" w:rsidRDefault="00A74452" w:rsidP="00612E78">
            <w:pPr>
              <w:pStyle w:val="AERtabletextleft"/>
              <w:cnfStyle w:val="000000010000" w:firstRow="0" w:lastRow="0" w:firstColumn="0" w:lastColumn="0" w:oddVBand="0" w:evenVBand="0" w:oddHBand="0" w:evenHBand="1" w:firstRowFirstColumn="0" w:firstRowLastColumn="0" w:lastRowFirstColumn="0" w:lastRowLastColumn="0"/>
            </w:pPr>
            <w:r>
              <w:t>6.</w:t>
            </w:r>
            <w:r w:rsidR="00502E46">
              <w:t>9</w:t>
            </w:r>
          </w:p>
        </w:tc>
        <w:tc>
          <w:tcPr>
            <w:tcW w:w="1201" w:type="dxa"/>
            <w:vAlign w:val="top"/>
          </w:tcPr>
          <w:p w14:paraId="34C7C006" w14:textId="2BB40549" w:rsidR="00612E78" w:rsidRPr="00612E78" w:rsidRDefault="00612E78" w:rsidP="00A74452">
            <w:pPr>
              <w:pStyle w:val="AERtabletextleft"/>
              <w:cnfStyle w:val="000000010000" w:firstRow="0" w:lastRow="0" w:firstColumn="0" w:lastColumn="0" w:oddVBand="0" w:evenVBand="0" w:oddHBand="0" w:evenHBand="1" w:firstRowFirstColumn="0" w:firstRowLastColumn="0" w:lastRowFirstColumn="0" w:lastRowLastColumn="0"/>
            </w:pPr>
            <w:r w:rsidRPr="00612E78">
              <w:t>34.</w:t>
            </w:r>
            <w:r w:rsidR="00502E46">
              <w:t>6</w:t>
            </w:r>
          </w:p>
        </w:tc>
      </w:tr>
      <w:tr w:rsidR="00612E78" w:rsidRPr="00811D69" w14:paraId="7B5B23BA" w14:textId="77777777" w:rsidTr="00612E78">
        <w:tc>
          <w:tcPr>
            <w:cnfStyle w:val="001000000000" w:firstRow="0" w:lastRow="0" w:firstColumn="1" w:lastColumn="0" w:oddVBand="0" w:evenVBand="0" w:oddHBand="0" w:evenHBand="0" w:firstRowFirstColumn="0" w:firstRowLastColumn="0" w:lastRowFirstColumn="0" w:lastRowLastColumn="0"/>
            <w:tcW w:w="2093" w:type="dxa"/>
          </w:tcPr>
          <w:p w14:paraId="2421E5FB" w14:textId="77777777" w:rsidR="00612E78" w:rsidRPr="00612E78" w:rsidRDefault="00612E78" w:rsidP="00612E78">
            <w:pPr>
              <w:pStyle w:val="AERtabletextleft"/>
              <w:rPr>
                <w:rStyle w:val="Strong"/>
              </w:rPr>
            </w:pPr>
            <w:r w:rsidRPr="00612E78">
              <w:rPr>
                <w:rStyle w:val="Strong"/>
              </w:rPr>
              <w:t>GROSS TOTAL CAPITAL EXPENDITURE</w:t>
            </w:r>
          </w:p>
        </w:tc>
        <w:tc>
          <w:tcPr>
            <w:tcW w:w="850" w:type="dxa"/>
            <w:vAlign w:val="top"/>
          </w:tcPr>
          <w:p w14:paraId="43809225" w14:textId="343B89AD" w:rsidR="00612E78" w:rsidRPr="00612E78" w:rsidRDefault="00612E78" w:rsidP="00A74452">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1</w:t>
            </w:r>
            <w:r w:rsidR="00A74452">
              <w:rPr>
                <w:rStyle w:val="Strong"/>
              </w:rPr>
              <w:t>09.</w:t>
            </w:r>
            <w:r w:rsidR="00502E46">
              <w:rPr>
                <w:rStyle w:val="Strong"/>
              </w:rPr>
              <w:t>3</w:t>
            </w:r>
          </w:p>
        </w:tc>
        <w:tc>
          <w:tcPr>
            <w:tcW w:w="1036" w:type="dxa"/>
            <w:vAlign w:val="top"/>
          </w:tcPr>
          <w:p w14:paraId="3673659E" w14:textId="77777777" w:rsidR="00612E78" w:rsidRPr="00612E78" w:rsidRDefault="00612E78" w:rsidP="00A74452">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10</w:t>
            </w:r>
            <w:r w:rsidR="00A74452">
              <w:rPr>
                <w:rStyle w:val="Strong"/>
              </w:rPr>
              <w:t>5.7</w:t>
            </w:r>
          </w:p>
        </w:tc>
        <w:tc>
          <w:tcPr>
            <w:tcW w:w="1171" w:type="dxa"/>
            <w:vAlign w:val="top"/>
          </w:tcPr>
          <w:p w14:paraId="040E1F84" w14:textId="77777777" w:rsidR="00612E78" w:rsidRPr="00612E78" w:rsidRDefault="00612E78" w:rsidP="00A74452">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10</w:t>
            </w:r>
            <w:r w:rsidR="00A74452">
              <w:rPr>
                <w:rStyle w:val="Strong"/>
              </w:rPr>
              <w:t>3.1</w:t>
            </w:r>
          </w:p>
        </w:tc>
        <w:tc>
          <w:tcPr>
            <w:tcW w:w="1171" w:type="dxa"/>
            <w:vAlign w:val="top"/>
          </w:tcPr>
          <w:p w14:paraId="2CDBB883" w14:textId="77777777" w:rsidR="00612E78" w:rsidRPr="00612E78" w:rsidRDefault="00612E78" w:rsidP="00A74452">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9</w:t>
            </w:r>
            <w:r w:rsidR="00A74452">
              <w:rPr>
                <w:rStyle w:val="Strong"/>
              </w:rPr>
              <w:t>6.8</w:t>
            </w:r>
          </w:p>
        </w:tc>
        <w:tc>
          <w:tcPr>
            <w:tcW w:w="1171" w:type="dxa"/>
            <w:vAlign w:val="top"/>
          </w:tcPr>
          <w:p w14:paraId="04423DDA" w14:textId="6B1D889D" w:rsidR="00612E78" w:rsidRPr="00612E78" w:rsidRDefault="00612E78" w:rsidP="00A74452">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9</w:t>
            </w:r>
            <w:r w:rsidR="00A74452">
              <w:rPr>
                <w:rStyle w:val="Strong"/>
              </w:rPr>
              <w:t>3.</w:t>
            </w:r>
            <w:r w:rsidR="00A4710F">
              <w:rPr>
                <w:rStyle w:val="Strong"/>
              </w:rPr>
              <w:t>4</w:t>
            </w:r>
          </w:p>
        </w:tc>
        <w:tc>
          <w:tcPr>
            <w:tcW w:w="1201" w:type="dxa"/>
            <w:vAlign w:val="top"/>
          </w:tcPr>
          <w:p w14:paraId="7C4B99E0" w14:textId="3F31349F" w:rsidR="00612E78" w:rsidRPr="00612E78" w:rsidRDefault="00A74452" w:rsidP="00612E78">
            <w:pPr>
              <w:pStyle w:val="AERtabletextleft"/>
              <w:cnfStyle w:val="000000000000" w:firstRow="0" w:lastRow="0" w:firstColumn="0" w:lastColumn="0" w:oddVBand="0" w:evenVBand="0" w:oddHBand="0" w:evenHBand="0" w:firstRowFirstColumn="0" w:firstRowLastColumn="0" w:lastRowFirstColumn="0" w:lastRowLastColumn="0"/>
              <w:rPr>
                <w:rStyle w:val="Strong"/>
              </w:rPr>
            </w:pPr>
            <w:r>
              <w:rPr>
                <w:rStyle w:val="Strong"/>
              </w:rPr>
              <w:t>50</w:t>
            </w:r>
            <w:r w:rsidR="00A4710F">
              <w:rPr>
                <w:rStyle w:val="Strong"/>
              </w:rPr>
              <w:t>8</w:t>
            </w:r>
            <w:r>
              <w:rPr>
                <w:rStyle w:val="Strong"/>
              </w:rPr>
              <w:t>.</w:t>
            </w:r>
            <w:r w:rsidR="00A4710F">
              <w:rPr>
                <w:rStyle w:val="Strong"/>
              </w:rPr>
              <w:t>4</w:t>
            </w:r>
          </w:p>
        </w:tc>
      </w:tr>
      <w:tr w:rsidR="00612E78" w:rsidRPr="00811D69" w14:paraId="1F65E510" w14:textId="77777777" w:rsidTr="00612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76926D" w14:textId="77777777" w:rsidR="00612E78" w:rsidRPr="00612E78" w:rsidRDefault="00612E78" w:rsidP="00612E78">
            <w:pPr>
              <w:pStyle w:val="AERtabletextleft"/>
            </w:pPr>
            <w:r w:rsidRPr="00612E78">
              <w:t>Contributions</w:t>
            </w:r>
          </w:p>
        </w:tc>
        <w:tc>
          <w:tcPr>
            <w:tcW w:w="850" w:type="dxa"/>
            <w:vAlign w:val="top"/>
          </w:tcPr>
          <w:p w14:paraId="49DC432D" w14:textId="77777777" w:rsidR="00612E78" w:rsidRPr="00612E78" w:rsidRDefault="00A74452" w:rsidP="00612E78">
            <w:pPr>
              <w:pStyle w:val="AERtabletextleft"/>
              <w:cnfStyle w:val="000000010000" w:firstRow="0" w:lastRow="0" w:firstColumn="0" w:lastColumn="0" w:oddVBand="0" w:evenVBand="0" w:oddHBand="0" w:evenHBand="1" w:firstRowFirstColumn="0" w:firstRowLastColumn="0" w:lastRowFirstColumn="0" w:lastRowLastColumn="0"/>
            </w:pPr>
            <w:r>
              <w:t>4.0</w:t>
            </w:r>
          </w:p>
        </w:tc>
        <w:tc>
          <w:tcPr>
            <w:tcW w:w="1036" w:type="dxa"/>
            <w:vAlign w:val="top"/>
          </w:tcPr>
          <w:p w14:paraId="2209FEA0" w14:textId="77777777" w:rsidR="00612E78" w:rsidRPr="00612E78" w:rsidRDefault="00A74452" w:rsidP="00612E78">
            <w:pPr>
              <w:pStyle w:val="AERtabletextleft"/>
              <w:cnfStyle w:val="000000010000" w:firstRow="0" w:lastRow="0" w:firstColumn="0" w:lastColumn="0" w:oddVBand="0" w:evenVBand="0" w:oddHBand="0" w:evenHBand="1" w:firstRowFirstColumn="0" w:firstRowLastColumn="0" w:lastRowFirstColumn="0" w:lastRowLastColumn="0"/>
            </w:pPr>
            <w:r>
              <w:t>4.1</w:t>
            </w:r>
          </w:p>
        </w:tc>
        <w:tc>
          <w:tcPr>
            <w:tcW w:w="1171" w:type="dxa"/>
            <w:vAlign w:val="top"/>
          </w:tcPr>
          <w:p w14:paraId="7479FB77" w14:textId="77777777" w:rsidR="00612E78" w:rsidRPr="00612E78" w:rsidRDefault="00A74452" w:rsidP="00612E78">
            <w:pPr>
              <w:pStyle w:val="AERtabletextleft"/>
              <w:cnfStyle w:val="000000010000" w:firstRow="0" w:lastRow="0" w:firstColumn="0" w:lastColumn="0" w:oddVBand="0" w:evenVBand="0" w:oddHBand="0" w:evenHBand="1" w:firstRowFirstColumn="0" w:firstRowLastColumn="0" w:lastRowFirstColumn="0" w:lastRowLastColumn="0"/>
            </w:pPr>
            <w:r>
              <w:t>4.1</w:t>
            </w:r>
          </w:p>
        </w:tc>
        <w:tc>
          <w:tcPr>
            <w:tcW w:w="1171" w:type="dxa"/>
            <w:vAlign w:val="top"/>
          </w:tcPr>
          <w:p w14:paraId="06B0FF0B" w14:textId="77777777" w:rsidR="00612E78" w:rsidRPr="00612E78" w:rsidRDefault="00A74452" w:rsidP="00612E78">
            <w:pPr>
              <w:pStyle w:val="AERtabletextleft"/>
              <w:cnfStyle w:val="000000010000" w:firstRow="0" w:lastRow="0" w:firstColumn="0" w:lastColumn="0" w:oddVBand="0" w:evenVBand="0" w:oddHBand="0" w:evenHBand="1" w:firstRowFirstColumn="0" w:firstRowLastColumn="0" w:lastRowFirstColumn="0" w:lastRowLastColumn="0"/>
            </w:pPr>
            <w:r>
              <w:t>4.2</w:t>
            </w:r>
          </w:p>
        </w:tc>
        <w:tc>
          <w:tcPr>
            <w:tcW w:w="1171" w:type="dxa"/>
            <w:vAlign w:val="top"/>
          </w:tcPr>
          <w:p w14:paraId="4F34F162" w14:textId="5DBC7D98" w:rsidR="00612E78" w:rsidRPr="00612E78" w:rsidRDefault="00A74452" w:rsidP="00612E78">
            <w:pPr>
              <w:pStyle w:val="AERtabletextleft"/>
              <w:cnfStyle w:val="000000010000" w:firstRow="0" w:lastRow="0" w:firstColumn="0" w:lastColumn="0" w:oddVBand="0" w:evenVBand="0" w:oddHBand="0" w:evenHBand="1" w:firstRowFirstColumn="0" w:firstRowLastColumn="0" w:lastRowFirstColumn="0" w:lastRowLastColumn="0"/>
            </w:pPr>
            <w:r>
              <w:t>4.</w:t>
            </w:r>
            <w:r w:rsidR="00502E46">
              <w:t>2</w:t>
            </w:r>
          </w:p>
        </w:tc>
        <w:tc>
          <w:tcPr>
            <w:tcW w:w="1201" w:type="dxa"/>
            <w:vAlign w:val="top"/>
          </w:tcPr>
          <w:p w14:paraId="3D1D12C5" w14:textId="232B1526" w:rsidR="00612E78" w:rsidRPr="00612E78" w:rsidRDefault="00A74452" w:rsidP="00612E78">
            <w:pPr>
              <w:pStyle w:val="AERtabletextleft"/>
              <w:cnfStyle w:val="000000010000" w:firstRow="0" w:lastRow="0" w:firstColumn="0" w:lastColumn="0" w:oddVBand="0" w:evenVBand="0" w:oddHBand="0" w:evenHBand="1" w:firstRowFirstColumn="0" w:firstRowLastColumn="0" w:lastRowFirstColumn="0" w:lastRowLastColumn="0"/>
            </w:pPr>
            <w:r>
              <w:t>20.</w:t>
            </w:r>
            <w:r w:rsidR="00502E46">
              <w:t>7</w:t>
            </w:r>
          </w:p>
        </w:tc>
      </w:tr>
      <w:tr w:rsidR="00612E78" w:rsidRPr="00811D69" w14:paraId="6F72CD2A" w14:textId="77777777" w:rsidTr="00612E78">
        <w:tc>
          <w:tcPr>
            <w:cnfStyle w:val="001000000000" w:firstRow="0" w:lastRow="0" w:firstColumn="1" w:lastColumn="0" w:oddVBand="0" w:evenVBand="0" w:oddHBand="0" w:evenHBand="0" w:firstRowFirstColumn="0" w:firstRowLastColumn="0" w:lastRowFirstColumn="0" w:lastRowLastColumn="0"/>
            <w:tcW w:w="2093" w:type="dxa"/>
          </w:tcPr>
          <w:p w14:paraId="231153F5" w14:textId="77777777" w:rsidR="00612E78" w:rsidRPr="00612E78" w:rsidRDefault="00612E78" w:rsidP="00612E78">
            <w:pPr>
              <w:pStyle w:val="AERtabletextleft"/>
              <w:rPr>
                <w:rStyle w:val="Strong"/>
              </w:rPr>
            </w:pPr>
            <w:r w:rsidRPr="00612E78">
              <w:rPr>
                <w:rStyle w:val="Strong"/>
              </w:rPr>
              <w:t>NET TOTAL CAPITAL EXPENDITURE</w:t>
            </w:r>
          </w:p>
        </w:tc>
        <w:tc>
          <w:tcPr>
            <w:tcW w:w="850" w:type="dxa"/>
            <w:vAlign w:val="top"/>
          </w:tcPr>
          <w:p w14:paraId="6ACE99DF" w14:textId="77777777"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105.2</w:t>
            </w:r>
          </w:p>
        </w:tc>
        <w:tc>
          <w:tcPr>
            <w:tcW w:w="1036" w:type="dxa"/>
            <w:vAlign w:val="top"/>
          </w:tcPr>
          <w:p w14:paraId="12F1DEE0" w14:textId="46D71FFB"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101.</w:t>
            </w:r>
            <w:r w:rsidR="00A4710F">
              <w:rPr>
                <w:rStyle w:val="Strong"/>
              </w:rPr>
              <w:t>7</w:t>
            </w:r>
          </w:p>
        </w:tc>
        <w:tc>
          <w:tcPr>
            <w:tcW w:w="1171" w:type="dxa"/>
            <w:vAlign w:val="top"/>
          </w:tcPr>
          <w:p w14:paraId="63FFE95A" w14:textId="0C5B83E8"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9</w:t>
            </w:r>
            <w:r w:rsidR="00A4710F">
              <w:rPr>
                <w:rStyle w:val="Strong"/>
              </w:rPr>
              <w:t>9</w:t>
            </w:r>
            <w:r w:rsidRPr="00612E78">
              <w:rPr>
                <w:rStyle w:val="Strong"/>
              </w:rPr>
              <w:t>.</w:t>
            </w:r>
            <w:r w:rsidR="00A4710F">
              <w:rPr>
                <w:rStyle w:val="Strong"/>
              </w:rPr>
              <w:t>0</w:t>
            </w:r>
          </w:p>
        </w:tc>
        <w:tc>
          <w:tcPr>
            <w:tcW w:w="1171" w:type="dxa"/>
            <w:vAlign w:val="top"/>
          </w:tcPr>
          <w:p w14:paraId="6BA80174" w14:textId="2DE0108F"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92.</w:t>
            </w:r>
            <w:r w:rsidR="00A4710F">
              <w:rPr>
                <w:rStyle w:val="Strong"/>
              </w:rPr>
              <w:t>6</w:t>
            </w:r>
          </w:p>
        </w:tc>
        <w:tc>
          <w:tcPr>
            <w:tcW w:w="1171" w:type="dxa"/>
            <w:vAlign w:val="top"/>
          </w:tcPr>
          <w:p w14:paraId="274C9E3A" w14:textId="68FD4A91" w:rsidR="00612E78" w:rsidRPr="00612E78" w:rsidRDefault="00612E78" w:rsidP="00612E78">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12E78">
              <w:rPr>
                <w:rStyle w:val="Strong"/>
              </w:rPr>
              <w:t>8</w:t>
            </w:r>
            <w:r w:rsidR="00A4710F">
              <w:rPr>
                <w:rStyle w:val="Strong"/>
              </w:rPr>
              <w:t>9</w:t>
            </w:r>
            <w:r w:rsidRPr="00612E78">
              <w:rPr>
                <w:rStyle w:val="Strong"/>
              </w:rPr>
              <w:t>.</w:t>
            </w:r>
            <w:r w:rsidR="00A4710F">
              <w:rPr>
                <w:rStyle w:val="Strong"/>
              </w:rPr>
              <w:t>2</w:t>
            </w:r>
          </w:p>
        </w:tc>
        <w:tc>
          <w:tcPr>
            <w:tcW w:w="1201" w:type="dxa"/>
            <w:vAlign w:val="top"/>
          </w:tcPr>
          <w:p w14:paraId="415EDDE1" w14:textId="58229A41" w:rsidR="00612E78" w:rsidRPr="00612E78" w:rsidRDefault="00A74452" w:rsidP="00612E78">
            <w:pPr>
              <w:pStyle w:val="AERtabletextleft"/>
              <w:cnfStyle w:val="000000000000" w:firstRow="0" w:lastRow="0" w:firstColumn="0" w:lastColumn="0" w:oddVBand="0" w:evenVBand="0" w:oddHBand="0" w:evenHBand="0" w:firstRowFirstColumn="0" w:firstRowLastColumn="0" w:lastRowFirstColumn="0" w:lastRowLastColumn="0"/>
              <w:rPr>
                <w:rStyle w:val="Strong"/>
              </w:rPr>
            </w:pPr>
            <w:r>
              <w:rPr>
                <w:rStyle w:val="Strong"/>
              </w:rPr>
              <w:t>487.</w:t>
            </w:r>
            <w:r w:rsidR="00A4710F">
              <w:rPr>
                <w:rStyle w:val="Strong"/>
              </w:rPr>
              <w:t>7</w:t>
            </w:r>
          </w:p>
        </w:tc>
      </w:tr>
    </w:tbl>
    <w:p w14:paraId="2235A897" w14:textId="77777777" w:rsidR="00644B6E" w:rsidRDefault="005C6560" w:rsidP="005C6560">
      <w:pPr>
        <w:pStyle w:val="AERtablesource"/>
      </w:pPr>
      <w:r>
        <w:t xml:space="preserve">Source: </w:t>
      </w:r>
      <w:r>
        <w:tab/>
        <w:t>AusNet capex model. Totals may not sum due to rounding.</w:t>
      </w:r>
    </w:p>
    <w:p w14:paraId="7F9164B8" w14:textId="77777777" w:rsidR="00644B6E" w:rsidRDefault="00644B6E" w:rsidP="00644B6E">
      <w:r>
        <w:t>The major components of forecast gross total capex over the 2018–2</w:t>
      </w:r>
      <w:r w:rsidR="00612E78">
        <w:t>2 access arrangement period are connections (38</w:t>
      </w:r>
      <w:r>
        <w:t xml:space="preserve"> per cent)</w:t>
      </w:r>
      <w:r w:rsidR="00612E78">
        <w:t xml:space="preserve"> and mains replacement (2</w:t>
      </w:r>
      <w:r w:rsidR="00A74452">
        <w:t>6</w:t>
      </w:r>
      <w:r w:rsidR="00612E78">
        <w:t xml:space="preserve"> per cent)</w:t>
      </w:r>
      <w:r>
        <w:t>.</w:t>
      </w:r>
    </w:p>
    <w:p w14:paraId="07D1EC12" w14:textId="77777777" w:rsidR="00132D43" w:rsidRDefault="00132D43" w:rsidP="00132D43">
      <w:pPr>
        <w:pStyle w:val="Heading2"/>
      </w:pPr>
      <w:bookmarkStart w:id="163" w:name="_Toc486842032"/>
      <w:r>
        <w:t>Assessment approach</w:t>
      </w:r>
      <w:bookmarkEnd w:id="163"/>
    </w:p>
    <w:p w14:paraId="1B5A2085" w14:textId="6B8A8D7F" w:rsidR="00E068B3" w:rsidRPr="00E068B3" w:rsidRDefault="00E068B3" w:rsidP="00E068B3">
      <w:r w:rsidRPr="00E068B3">
        <w:t xml:space="preserve">We must make two decisions regarding </w:t>
      </w:r>
      <w:r>
        <w:t>AusN</w:t>
      </w:r>
      <w:r w:rsidRPr="00E068B3">
        <w:t>et's capex. First, we are required to assess past capex and determine whether it is conforming capex that we should ad</w:t>
      </w:r>
      <w:r>
        <w:t>d to the opening capital base.</w:t>
      </w:r>
      <w:r>
        <w:rPr>
          <w:rStyle w:val="FootnoteReference"/>
        </w:rPr>
        <w:footnoteReference w:id="6"/>
      </w:r>
      <w:r>
        <w:t xml:space="preserve"> </w:t>
      </w:r>
      <w:r w:rsidRPr="00E068B3">
        <w:t xml:space="preserve">Second, we are required to assess </w:t>
      </w:r>
      <w:r>
        <w:t>AusN</w:t>
      </w:r>
      <w:r w:rsidRPr="00E068B3">
        <w:t>et's forecast of required capex for the 2018–22 access arrangement period to determine whether it is conforming capex. Capex will be 'conforming' if it meets the NGR's n</w:t>
      </w:r>
      <w:r>
        <w:t>ew capex criteria.</w:t>
      </w:r>
      <w:r>
        <w:rPr>
          <w:rStyle w:val="FootnoteReference"/>
        </w:rPr>
        <w:footnoteReference w:id="7"/>
      </w:r>
      <w:r>
        <w:t xml:space="preserve"> </w:t>
      </w:r>
      <w:r w:rsidRPr="00E068B3">
        <w:t>We have limited discretion when deciding whether capex conform</w:t>
      </w:r>
      <w:r>
        <w:t>s with the new capex criteria.</w:t>
      </w:r>
      <w:r>
        <w:rPr>
          <w:rStyle w:val="FootnoteReference"/>
        </w:rPr>
        <w:footnoteReference w:id="8"/>
      </w:r>
      <w:r>
        <w:t xml:space="preserve"> </w:t>
      </w:r>
      <w:r w:rsidRPr="00E068B3">
        <w:t>This means that we must approve the capex if we are satisfied it complies with the applicable requirements of the NGR and NGL and is consistent with the crit</w:t>
      </w:r>
      <w:r>
        <w:t>eria set out in the NGR or NGL.</w:t>
      </w:r>
      <w:r>
        <w:rPr>
          <w:rStyle w:val="FootnoteReference"/>
        </w:rPr>
        <w:footnoteReference w:id="9"/>
      </w:r>
    </w:p>
    <w:p w14:paraId="6B9E47B6" w14:textId="77777777" w:rsidR="00132D43" w:rsidRDefault="00E068B3" w:rsidP="00E068B3">
      <w:r w:rsidRPr="00E068B3">
        <w:t>The following sections set out our approach and the tools and techniques we employ in forming a view on these two issues. We also need to take into account timing issues associated with the lag between actual capex data being available in the last year of the 2013–17 access arrangement period and the need to forecast the opening capital base for the 2017–22 access arrangement period. We explain this in the next section.</w:t>
      </w:r>
    </w:p>
    <w:p w14:paraId="3231F034" w14:textId="77777777" w:rsidR="00E068B3" w:rsidRDefault="00E068B3" w:rsidP="004131F9">
      <w:pPr>
        <w:pStyle w:val="Heading3"/>
        <w:ind w:left="720"/>
      </w:pPr>
      <w:bookmarkStart w:id="164" w:name="_Toc462224419"/>
      <w:bookmarkStart w:id="165" w:name="_Toc486842033"/>
      <w:r w:rsidRPr="00E068B3">
        <w:t>Capex in the 2013–17 access arrangement period</w:t>
      </w:r>
      <w:bookmarkEnd w:id="165"/>
    </w:p>
    <w:p w14:paraId="40D8C1B3" w14:textId="77777777" w:rsidR="00E068B3" w:rsidRPr="00E068B3" w:rsidRDefault="00E068B3" w:rsidP="00E068B3">
      <w:r w:rsidRPr="00E068B3">
        <w:t xml:space="preserve">We reviewed </w:t>
      </w:r>
      <w:r>
        <w:t>AusN</w:t>
      </w:r>
      <w:r w:rsidRPr="00E068B3">
        <w:t xml:space="preserve">et's submission and supporting material to assess its proposed capex for the 2013–17 access arrangement period. This included information on </w:t>
      </w:r>
      <w:r>
        <w:t>AusN</w:t>
      </w:r>
      <w:r w:rsidRPr="00E068B3">
        <w:t>et's reasoning and, where relevant, business cases, responses to information requests and other relevant information. We used this information to identify whether capex over the 2013–17 access arrangement period was conforming capex and, in turn, whether that capex should be include</w:t>
      </w:r>
      <w:r>
        <w:t>d in the opening capital base.</w:t>
      </w:r>
      <w:r>
        <w:rPr>
          <w:rStyle w:val="FootnoteReference"/>
        </w:rPr>
        <w:footnoteReference w:id="10"/>
      </w:r>
      <w:r>
        <w:t xml:space="preserve"> </w:t>
      </w:r>
      <w:r w:rsidRPr="00E068B3">
        <w:t>Generally, we use the same approach to assess whether both historical and forecast or estimated capex conforms with the new capex criteria. We have set out this approach in more detail in section 6.3.2 below.</w:t>
      </w:r>
    </w:p>
    <w:p w14:paraId="568BBC74" w14:textId="77777777" w:rsidR="00E068B3" w:rsidRPr="00E068B3" w:rsidRDefault="00E068B3" w:rsidP="00E068B3">
      <w:r w:rsidRPr="00E068B3">
        <w:t>We consider the following when determining the opening capital base for 2018–22:</w:t>
      </w:r>
    </w:p>
    <w:p w14:paraId="49C99278" w14:textId="77777777" w:rsidR="00E068B3" w:rsidRPr="00E068B3" w:rsidRDefault="00E068B3" w:rsidP="00E068B3">
      <w:pPr>
        <w:pStyle w:val="AERbulletlistfirststyle"/>
      </w:pPr>
      <w:r w:rsidRPr="00E068B3">
        <w:t>2012 capex—when we conducted the previous access arrangement review, we did not yet have actual capex for 2012. Consequently, we need to adjust for the difference between actual and estimated 2</w:t>
      </w:r>
      <w:r>
        <w:t>012 capex in the capital base.</w:t>
      </w:r>
      <w:r>
        <w:rPr>
          <w:rStyle w:val="FootnoteReference"/>
        </w:rPr>
        <w:footnoteReference w:id="11"/>
      </w:r>
      <w:r>
        <w:t xml:space="preserve"> </w:t>
      </w:r>
      <w:r w:rsidRPr="00E068B3">
        <w:t>Since actual capex for 2012 is now available, we have assessed whether this capex is conforming capex.</w:t>
      </w:r>
    </w:p>
    <w:p w14:paraId="5504E7C0" w14:textId="77777777" w:rsidR="00E068B3" w:rsidRPr="00E068B3" w:rsidRDefault="00E068B3" w:rsidP="00E068B3">
      <w:pPr>
        <w:pStyle w:val="AERbulletlistfirststyle"/>
      </w:pPr>
      <w:r w:rsidRPr="00E068B3">
        <w:t>2013–16 capex— since we have actual capex for these years, we have assessed whe</w:t>
      </w:r>
      <w:r>
        <w:t>ther this is conforming capex.</w:t>
      </w:r>
      <w:r>
        <w:rPr>
          <w:rStyle w:val="FootnoteReference"/>
        </w:rPr>
        <w:footnoteReference w:id="12"/>
      </w:r>
      <w:r>
        <w:t xml:space="preserve"> </w:t>
      </w:r>
      <w:r w:rsidRPr="00E068B3">
        <w:t>We have included conforming capex in the opening capital base for 2018–22.</w:t>
      </w:r>
      <w:r>
        <w:rPr>
          <w:rStyle w:val="FootnoteReference"/>
        </w:rPr>
        <w:footnoteReference w:id="13"/>
      </w:r>
      <w:r w:rsidRPr="00E068B3">
        <w:t xml:space="preserve">  </w:t>
      </w:r>
    </w:p>
    <w:p w14:paraId="383B88A4" w14:textId="77777777" w:rsidR="00E068B3" w:rsidRPr="00E068B3" w:rsidRDefault="00E068B3" w:rsidP="00E068B3">
      <w:pPr>
        <w:pStyle w:val="AERbulletlistfirststyle"/>
      </w:pPr>
      <w:r w:rsidRPr="00E068B3">
        <w:t xml:space="preserve">2017 capex—we do not yet have actual capex for 2017 and so must include an estimate in the opening capital base. We have not assessed </w:t>
      </w:r>
      <w:r>
        <w:t>AusN</w:t>
      </w:r>
      <w:r w:rsidRPr="00E068B3">
        <w:t>et'</w:t>
      </w:r>
      <w:r>
        <w:t>s estimate of capex for 2017. At</w:t>
      </w:r>
      <w:r w:rsidRPr="00E068B3">
        <w:t xml:space="preserve"> the next access arrangement review, we will assess whether </w:t>
      </w:r>
      <w:r>
        <w:t>AusN</w:t>
      </w:r>
      <w:r w:rsidRPr="00E068B3">
        <w:t>et's actual capex for 2017 is conforming capex under the NGR, and adjust for any differences between actual and estimated capex.</w:t>
      </w:r>
      <w:r>
        <w:rPr>
          <w:rStyle w:val="FootnoteReference"/>
        </w:rPr>
        <w:footnoteReference w:id="14"/>
      </w:r>
    </w:p>
    <w:p w14:paraId="5EF5D7E3" w14:textId="77777777" w:rsidR="00E068B3" w:rsidRDefault="00E068B3" w:rsidP="004131F9">
      <w:pPr>
        <w:pStyle w:val="Heading3"/>
        <w:ind w:left="720"/>
      </w:pPr>
      <w:bookmarkStart w:id="166" w:name="_Toc486842034"/>
      <w:r>
        <w:t>Conforming capital expenditure for 2018–22</w:t>
      </w:r>
      <w:bookmarkEnd w:id="166"/>
    </w:p>
    <w:p w14:paraId="18681747" w14:textId="77777777" w:rsidR="00E068B3" w:rsidRPr="00E068B3" w:rsidRDefault="00E068B3" w:rsidP="00E068B3">
      <w:r w:rsidRPr="00E068B3">
        <w:t xml:space="preserve">We have assessed the key drivers of forecast capex to consider whether </w:t>
      </w:r>
      <w:r w:rsidR="005E409A">
        <w:t>AusN</w:t>
      </w:r>
      <w:r w:rsidRPr="00E068B3">
        <w:t>et's proposed capex complie</w:t>
      </w:r>
      <w:r w:rsidR="005E409A">
        <w:t>s with the new capex criteria.</w:t>
      </w:r>
      <w:r w:rsidR="005E409A">
        <w:rPr>
          <w:rStyle w:val="FootnoteReference"/>
        </w:rPr>
        <w:footnoteReference w:id="15"/>
      </w:r>
      <w:r w:rsidR="005E409A">
        <w:t xml:space="preserve"> </w:t>
      </w:r>
      <w:r w:rsidRPr="00E068B3">
        <w:t>In doing so, we relied on the following information:</w:t>
      </w:r>
    </w:p>
    <w:p w14:paraId="6C51C346" w14:textId="77777777" w:rsidR="00E068B3" w:rsidRPr="00E068B3" w:rsidRDefault="00E068B3" w:rsidP="00E068B3">
      <w:pPr>
        <w:pStyle w:val="AERbulletlistfirststyle"/>
      </w:pPr>
      <w:r w:rsidRPr="00E068B3">
        <w:t xml:space="preserve">the access arrangement submission and access arrangement information, which outline </w:t>
      </w:r>
      <w:r w:rsidR="005E409A">
        <w:t>AusN</w:t>
      </w:r>
      <w:r w:rsidRPr="00E068B3">
        <w:t>et's capex program and the main drivers of those programs</w:t>
      </w:r>
    </w:p>
    <w:p w14:paraId="17BD5562" w14:textId="77777777" w:rsidR="00E068B3" w:rsidRPr="00E068B3" w:rsidRDefault="005E409A" w:rsidP="00E068B3">
      <w:pPr>
        <w:pStyle w:val="AERbulletlistfirststyle"/>
      </w:pPr>
      <w:r>
        <w:t>AusN</w:t>
      </w:r>
      <w:r w:rsidR="00E068B3" w:rsidRPr="00E068B3">
        <w:t xml:space="preserve">et's </w:t>
      </w:r>
      <w:r>
        <w:t xml:space="preserve">Mains and Services Strategy, Gas Maintenance Plan, Network Capacity Strategy </w:t>
      </w:r>
      <w:r w:rsidR="00E068B3" w:rsidRPr="00E068B3">
        <w:t>and associated appendices and reports which provide specific expenditure or technical detail for each capex driver</w:t>
      </w:r>
    </w:p>
    <w:p w14:paraId="55815B4E" w14:textId="77777777" w:rsidR="00E068B3" w:rsidRPr="00E068B3" w:rsidRDefault="00E068B3" w:rsidP="00E068B3">
      <w:pPr>
        <w:pStyle w:val="AERbulletlistfirststyle"/>
      </w:pPr>
      <w:r w:rsidRPr="00E068B3">
        <w:t>business cases that detail the expenditure requirements for specific projects</w:t>
      </w:r>
    </w:p>
    <w:p w14:paraId="5E989CD8" w14:textId="77777777" w:rsidR="00E068B3" w:rsidRPr="00E068B3" w:rsidRDefault="005E409A" w:rsidP="00E068B3">
      <w:pPr>
        <w:pStyle w:val="AERbulletlistfirststyle"/>
      </w:pPr>
      <w:r>
        <w:t>AusN</w:t>
      </w:r>
      <w:r w:rsidR="00E068B3" w:rsidRPr="00E068B3">
        <w:t>et's RIN template response</w:t>
      </w:r>
    </w:p>
    <w:p w14:paraId="1FC5FEAF" w14:textId="77777777" w:rsidR="00E068B3" w:rsidRPr="00E068B3" w:rsidRDefault="005E409A" w:rsidP="00E068B3">
      <w:pPr>
        <w:pStyle w:val="AERbulletlistfirststyle"/>
      </w:pPr>
      <w:r>
        <w:t>AusN</w:t>
      </w:r>
      <w:r w:rsidR="00E068B3" w:rsidRPr="00E068B3">
        <w:t>et's capex forecast model</w:t>
      </w:r>
    </w:p>
    <w:p w14:paraId="09C84EDA" w14:textId="77777777" w:rsidR="00E068B3" w:rsidRPr="00E068B3" w:rsidRDefault="00E068B3" w:rsidP="00E068B3">
      <w:pPr>
        <w:pStyle w:val="AERbulletlistfirststyle"/>
      </w:pPr>
      <w:r w:rsidRPr="00E068B3">
        <w:t>responses to information requests</w:t>
      </w:r>
    </w:p>
    <w:p w14:paraId="3D6330DB" w14:textId="77777777" w:rsidR="003167C8" w:rsidRDefault="00E068B3" w:rsidP="00E068B3">
      <w:pPr>
        <w:pStyle w:val="AERbulletlistfirststyle"/>
      </w:pPr>
      <w:r w:rsidRPr="00E068B3">
        <w:t>engineering advice we commissioned from Zincara to help us assess the prudency and efficiency of selected projects</w:t>
      </w:r>
    </w:p>
    <w:p w14:paraId="6485BB6A" w14:textId="7E68F51B" w:rsidR="00E068B3" w:rsidRPr="00E068B3" w:rsidRDefault="003167C8" w:rsidP="00E068B3">
      <w:pPr>
        <w:pStyle w:val="AERbulletlistfirststyle"/>
      </w:pPr>
      <w:r>
        <w:t>submissions from interested parties</w:t>
      </w:r>
      <w:r w:rsidR="00E068B3" w:rsidRPr="00E068B3">
        <w:t>.</w:t>
      </w:r>
    </w:p>
    <w:p w14:paraId="7973B084" w14:textId="77777777" w:rsidR="00E068B3" w:rsidRDefault="00E068B3" w:rsidP="00E068B3">
      <w:r w:rsidRPr="00E068B3">
        <w:t>For each category of capex we considered the scope, timing and cost of the proposed capex in order to form a view on whether it complies with the new capex criteria. We also considered whether cost forecasts were arrived at on a reasonable basis and represent the best forecast possible in the circumstances.</w:t>
      </w:r>
      <w:r w:rsidR="005E409A">
        <w:rPr>
          <w:rStyle w:val="FootnoteReference"/>
        </w:rPr>
        <w:footnoteReference w:id="16"/>
      </w:r>
      <w:r w:rsidRPr="00E068B3">
        <w:t xml:space="preserve">  </w:t>
      </w:r>
    </w:p>
    <w:p w14:paraId="734ACA1A" w14:textId="349D7B67" w:rsidR="00265C2A" w:rsidRPr="00E068B3" w:rsidRDefault="00265C2A" w:rsidP="00E068B3">
      <w:r>
        <w:t>Our assessment results in an alternative estimate of the business' total capex requirements in the forecast period. If we are satisfied the business' total forecast meets the NGR requirements, we accept the forecast. If we are not satisfied, we substitute the business' forecast with our alternative capex estimate. In making this decision, we take into account the reasons for the difference between our alternative capex estimate and the business' forecast, and the materiality of that difference. We also take into consideration the interrelationships between the capex forecast and other constituent components of our decision such that our decision is likely to contribute to the achievement of the NGO.</w:t>
      </w:r>
      <w:r>
        <w:rPr>
          <w:rStyle w:val="FootnoteReference"/>
        </w:rPr>
        <w:footnoteReference w:id="17"/>
      </w:r>
    </w:p>
    <w:p w14:paraId="66479E14" w14:textId="77777777" w:rsidR="00132D43" w:rsidRDefault="00132D43" w:rsidP="004131F9">
      <w:pPr>
        <w:pStyle w:val="Heading3"/>
        <w:keepNext/>
        <w:ind w:left="720"/>
      </w:pPr>
      <w:bookmarkStart w:id="167" w:name="_Toc486842035"/>
      <w:r>
        <w:t>Interrelationships</w:t>
      </w:r>
      <w:bookmarkEnd w:id="164"/>
      <w:bookmarkEnd w:id="167"/>
    </w:p>
    <w:p w14:paraId="64885548" w14:textId="77777777" w:rsidR="00E068B3" w:rsidRPr="00E068B3" w:rsidRDefault="00E068B3" w:rsidP="004131F9">
      <w:pPr>
        <w:keepNext/>
      </w:pPr>
      <w:r w:rsidRPr="00E068B3">
        <w:t xml:space="preserve">In assessing </w:t>
      </w:r>
      <w:r>
        <w:t>AusN</w:t>
      </w:r>
      <w:r w:rsidRPr="00E068B3">
        <w:t>et's total forecast capex we took into account other components of its access arrangement proposal, including:</w:t>
      </w:r>
    </w:p>
    <w:p w14:paraId="5D3C9A33" w14:textId="77777777" w:rsidR="00E068B3" w:rsidRPr="00E068B3" w:rsidRDefault="00E068B3" w:rsidP="00E068B3">
      <w:pPr>
        <w:pStyle w:val="AERbulletlistfirststyle"/>
      </w:pPr>
      <w:r w:rsidRPr="00E068B3">
        <w:t>possible trade-offs between capex and opex</w:t>
      </w:r>
    </w:p>
    <w:p w14:paraId="78F477B5" w14:textId="77777777" w:rsidR="00E068B3" w:rsidRPr="00E068B3" w:rsidRDefault="00E068B3" w:rsidP="00E068B3">
      <w:pPr>
        <w:pStyle w:val="AERbulletlistfirststyle"/>
      </w:pPr>
      <w:r w:rsidRPr="00E068B3">
        <w:t>any differences between the capitalisation policies applied in the 2013–17 and 2018–22 access arrangement periods</w:t>
      </w:r>
    </w:p>
    <w:p w14:paraId="55A14B25" w14:textId="77777777" w:rsidR="00132D43" w:rsidRDefault="00E068B3" w:rsidP="00E068B3">
      <w:pPr>
        <w:pStyle w:val="AERbulletlistfirststyle"/>
      </w:pPr>
      <w:r w:rsidRPr="00E068B3">
        <w:t>the growth in the price of labour forecast for opex and capex.</w:t>
      </w:r>
    </w:p>
    <w:p w14:paraId="27CCB5F7" w14:textId="77777777" w:rsidR="00132D43" w:rsidRDefault="00132D43" w:rsidP="00132D43">
      <w:pPr>
        <w:pStyle w:val="Heading2"/>
      </w:pPr>
      <w:bookmarkStart w:id="168" w:name="_Toc486842036"/>
      <w:r>
        <w:t>Reasons for draft decision</w:t>
      </w:r>
      <w:bookmarkEnd w:id="168"/>
    </w:p>
    <w:p w14:paraId="736D914E" w14:textId="77777777" w:rsidR="00132D43" w:rsidRDefault="00B3728C" w:rsidP="004131F9">
      <w:pPr>
        <w:pStyle w:val="Heading3"/>
        <w:ind w:left="720"/>
      </w:pPr>
      <w:bookmarkStart w:id="169" w:name="_Toc486842037"/>
      <w:r>
        <w:t>Conforming capital expenditure for 2012–16</w:t>
      </w:r>
      <w:bookmarkEnd w:id="169"/>
    </w:p>
    <w:p w14:paraId="4D6C4F9A" w14:textId="77777777" w:rsidR="00B3728C" w:rsidRDefault="005E409A" w:rsidP="00B3728C">
      <w:r>
        <w:t>AusNet has proposed net capex of $</w:t>
      </w:r>
      <w:r w:rsidR="009D153E">
        <w:t>561</w:t>
      </w:r>
      <w:r>
        <w:t>.</w:t>
      </w:r>
      <w:r w:rsidR="009D153E">
        <w:t>0</w:t>
      </w:r>
      <w:r>
        <w:t xml:space="preserve"> million for the 2012–17 period, where capex in 2017 is an estimate. Without the estimate of capex for 2017, AusNet has proposed $</w:t>
      </w:r>
      <w:r w:rsidR="009D153E">
        <w:t>463.4</w:t>
      </w:r>
      <w:r>
        <w:t xml:space="preserve"> million as conforming capex. We accept $</w:t>
      </w:r>
      <w:r w:rsidR="009D153E">
        <w:t>463.4</w:t>
      </w:r>
      <w:r>
        <w:t xml:space="preserve"> million as conforming capex for 2012–16, and will assess whether capex incurred in 2017 is conforming in the next review. </w:t>
      </w:r>
    </w:p>
    <w:p w14:paraId="4F36A0EF" w14:textId="77777777" w:rsidR="005E409A" w:rsidRDefault="005E409A" w:rsidP="00B3728C">
      <w:r>
        <w:t>In reaching this view we have considered the following factors:</w:t>
      </w:r>
    </w:p>
    <w:p w14:paraId="7DC8D06E" w14:textId="428499F0" w:rsidR="005E409A" w:rsidRDefault="005E409A" w:rsidP="005E409A">
      <w:pPr>
        <w:pStyle w:val="AERbulletlistfirststyle"/>
      </w:pPr>
      <w:r>
        <w:t>AusNet's capex was $</w:t>
      </w:r>
      <w:r w:rsidR="009D153E">
        <w:t>21.3</w:t>
      </w:r>
      <w:r w:rsidR="00C7780D">
        <w:t xml:space="preserve"> million (27</w:t>
      </w:r>
      <w:r>
        <w:t xml:space="preserve"> per cent) </w:t>
      </w:r>
      <w:r w:rsidR="009D153E">
        <w:t xml:space="preserve">over the </w:t>
      </w:r>
      <w:r w:rsidR="003B2D3C">
        <w:t xml:space="preserve">Essential Services Commission </w:t>
      </w:r>
      <w:r w:rsidR="009D153E">
        <w:t>approved amount of $</w:t>
      </w:r>
      <w:r w:rsidR="00C7780D">
        <w:t>78</w:t>
      </w:r>
      <w:r w:rsidR="009D153E">
        <w:t>.</w:t>
      </w:r>
      <w:r w:rsidR="00C7780D">
        <w:t>5</w:t>
      </w:r>
      <w:r w:rsidR="009D153E">
        <w:t xml:space="preserve"> million ($2017) for 2012.</w:t>
      </w:r>
      <w:r w:rsidR="00C7780D">
        <w:t xml:space="preserve"> </w:t>
      </w:r>
    </w:p>
    <w:p w14:paraId="1BF10379" w14:textId="77777777" w:rsidR="005E409A" w:rsidRDefault="005E409A" w:rsidP="005E409A">
      <w:pPr>
        <w:pStyle w:val="AERbulletlistfirststyle"/>
      </w:pPr>
      <w:r>
        <w:t>AusNet's capex was $</w:t>
      </w:r>
      <w:r w:rsidR="007C2423">
        <w:t>68.5</w:t>
      </w:r>
      <w:r>
        <w:t xml:space="preserve"> million (</w:t>
      </w:r>
      <w:r w:rsidR="007C2423">
        <w:t>19</w:t>
      </w:r>
      <w:r>
        <w:t xml:space="preserve"> per cent)</w:t>
      </w:r>
      <w:r w:rsidR="00C7780D">
        <w:t xml:space="preserve"> under the AER approved amount of $432.1 million ($2017) for 2013–16. </w:t>
      </w:r>
    </w:p>
    <w:p w14:paraId="081F0803" w14:textId="77777777" w:rsidR="00B94050" w:rsidRDefault="00B94050" w:rsidP="005E409A">
      <w:pPr>
        <w:pStyle w:val="AERbulletlistfirststyle"/>
      </w:pPr>
      <w:r>
        <w:t>The largest underspend in the 2012–16 period occurred in the mains replacement category, where AusNet spent $27.8 million ($2017) less than forecast. AusNet also spent $25.5 million ($2017) less than forecast on new customer connections.</w:t>
      </w:r>
    </w:p>
    <w:p w14:paraId="29830068" w14:textId="7B9A4F95" w:rsidR="005E409A" w:rsidRDefault="00B94050" w:rsidP="005E409A">
      <w:pPr>
        <w:pStyle w:val="AERbulletlistfirststyle"/>
      </w:pPr>
      <w:r>
        <w:t xml:space="preserve">The largest overspend in the 2012–16 period occurred in the </w:t>
      </w:r>
      <w:r w:rsidR="003167C8">
        <w:t xml:space="preserve">'Other </w:t>
      </w:r>
      <w:r>
        <w:t>capex</w:t>
      </w:r>
      <w:r w:rsidR="003167C8">
        <w:t>'</w:t>
      </w:r>
      <w:r>
        <w:t xml:space="preserve"> category, where AusNet spent $45.3 million ($2017) more than forec</w:t>
      </w:r>
      <w:r w:rsidR="007F7276">
        <w:t xml:space="preserve">ast. AusNet submitted that the increase in gross capex </w:t>
      </w:r>
      <w:r>
        <w:t>was due to</w:t>
      </w:r>
      <w:r w:rsidR="007F7276">
        <w:t xml:space="preserve"> projects with substantial gifted assets as a result of the Regional Rail Link and Rees Road projects.</w:t>
      </w:r>
      <w:r w:rsidR="007F7276">
        <w:rPr>
          <w:rStyle w:val="FootnoteReference"/>
        </w:rPr>
        <w:footnoteReference w:id="18"/>
      </w:r>
      <w:r>
        <w:t xml:space="preserve"> </w:t>
      </w:r>
    </w:p>
    <w:p w14:paraId="21B35ACB" w14:textId="77777777" w:rsidR="00B3728C" w:rsidRDefault="00B3728C" w:rsidP="004131F9">
      <w:pPr>
        <w:pStyle w:val="Heading3"/>
        <w:ind w:left="720"/>
      </w:pPr>
      <w:bookmarkStart w:id="170" w:name="_Ref485816858"/>
      <w:bookmarkStart w:id="171" w:name="_Toc486842038"/>
      <w:r>
        <w:t>Conforming capital expenditure for the 2018–22 access arrangement period</w:t>
      </w:r>
      <w:bookmarkEnd w:id="170"/>
      <w:bookmarkEnd w:id="171"/>
    </w:p>
    <w:p w14:paraId="6749961B" w14:textId="4E032E93" w:rsidR="00A74452" w:rsidRDefault="00B3728C" w:rsidP="00B3728C">
      <w:r>
        <w:t xml:space="preserve">The </w:t>
      </w:r>
      <w:r w:rsidR="00C02099">
        <w:t>following</w:t>
      </w:r>
      <w:r>
        <w:t xml:space="preserve"> sets out our analysis of the capex drivers in coming to our decision to approve $</w:t>
      </w:r>
      <w:r w:rsidR="00F87D4D">
        <w:t>4</w:t>
      </w:r>
      <w:r w:rsidR="00A4710F">
        <w:t>60.0</w:t>
      </w:r>
      <w:r>
        <w:t xml:space="preserve"> million ($2017) of AusNet's proposed $</w:t>
      </w:r>
      <w:r w:rsidR="00F87D4D">
        <w:t>487</w:t>
      </w:r>
      <w:r>
        <w:t>.</w:t>
      </w:r>
      <w:r w:rsidR="00A4710F">
        <w:t xml:space="preserve">7 </w:t>
      </w:r>
      <w:r>
        <w:t xml:space="preserve">million ($2017) total net capex for the 2018–22 access arrangement </w:t>
      </w:r>
      <w:proofErr w:type="gramStart"/>
      <w:r>
        <w:t>period</w:t>
      </w:r>
      <w:proofErr w:type="gramEnd"/>
      <w:r>
        <w:t xml:space="preserve"> as conforming capex under the NGR.</w:t>
      </w:r>
      <w:r>
        <w:rPr>
          <w:rStyle w:val="FootnoteReference"/>
        </w:rPr>
        <w:footnoteReference w:id="19"/>
      </w:r>
    </w:p>
    <w:p w14:paraId="0D10896A" w14:textId="77777777" w:rsidR="00B3728C" w:rsidRDefault="00B3728C" w:rsidP="00A74452">
      <w:pPr>
        <w:pStyle w:val="HeadingBoldBlue"/>
      </w:pPr>
      <w:r>
        <w:t>Mains replacement</w:t>
      </w:r>
    </w:p>
    <w:p w14:paraId="0142132F" w14:textId="77777777" w:rsidR="00084834" w:rsidRPr="00084834" w:rsidRDefault="00084834" w:rsidP="00084834">
      <w:r w:rsidRPr="00084834">
        <w:t>Distribution mains are the pipes which convey gas to service pipes at each end user point. AusNet's distribution mains replacement program consists of proactive and reactive replacement programs, and involves the replacement of low and medium pressure mains.</w:t>
      </w:r>
    </w:p>
    <w:p w14:paraId="5EE6A792" w14:textId="0EA00294" w:rsidR="00084834" w:rsidRPr="00084834" w:rsidRDefault="00084834" w:rsidP="00084834">
      <w:r w:rsidRPr="00084834">
        <w:t>We have included $114.</w:t>
      </w:r>
      <w:r w:rsidR="00A4710F">
        <w:t>5</w:t>
      </w:r>
      <w:r w:rsidR="00A4710F" w:rsidRPr="00084834">
        <w:t xml:space="preserve"> </w:t>
      </w:r>
      <w:r w:rsidRPr="00084834">
        <w:t>million ($2017, unescalated direct costs) of mains replacement capex in our alternative estimate of total capex. This is 12.3 per cent less than AusNet's proposed forecast of $130.</w:t>
      </w:r>
      <w:r w:rsidR="00A4710F">
        <w:t>6</w:t>
      </w:r>
      <w:r w:rsidRPr="00084834">
        <w:t xml:space="preserve"> million ($2017, unescalated, direct costs) for its mains replacement program.</w:t>
      </w:r>
    </w:p>
    <w:p w14:paraId="51B78067" w14:textId="77777777" w:rsidR="00084834" w:rsidRPr="00084834" w:rsidRDefault="00084834" w:rsidP="00084834">
      <w:r w:rsidRPr="00084834">
        <w:t>We have undertaken a technical review of the mains replacement program, which has drawn on both internal and external engineering and technical expertise.</w:t>
      </w:r>
    </w:p>
    <w:p w14:paraId="07C5D819" w14:textId="2B8FAC2D" w:rsidR="00084834" w:rsidRPr="00084834" w:rsidRDefault="00084834" w:rsidP="00084834">
      <w:r w:rsidRPr="00084834">
        <w:t>For the reasons below, we are not satisfied that AusNet's proposed forecast capex of $130.</w:t>
      </w:r>
      <w:r w:rsidR="00A4710F">
        <w:t>6</w:t>
      </w:r>
      <w:r w:rsidRPr="00084834">
        <w:t xml:space="preserve"> million for its mains replacement program is conforming capex. In particular, AusNet has not provided sufficient </w:t>
      </w:r>
      <w:r w:rsidR="00C14FE0">
        <w:t>justification</w:t>
      </w:r>
      <w:r w:rsidRPr="00084834">
        <w:t xml:space="preserve"> to satisfy us that its proposed forecast volume of mains </w:t>
      </w:r>
      <w:r w:rsidR="00C14FE0">
        <w:t>replacement</w:t>
      </w:r>
      <w:r w:rsidRPr="00084834">
        <w:t xml:space="preserve"> is required to minimise the risk of leaks as far as practicable. Based on the information before us, we have assessed that its forecast is not arrived at on a reasonable basis nor does it represent the best forecast possible in the circumstances.</w:t>
      </w:r>
      <w:r>
        <w:rPr>
          <w:rStyle w:val="FootnoteReference"/>
        </w:rPr>
        <w:footnoteReference w:id="20"/>
      </w:r>
      <w:r w:rsidRPr="00084834">
        <w:t xml:space="preserve"> We have therefore determined a forecast that we are satisfied is conforming capex and have included this in our alternative estimate of total capex. </w:t>
      </w:r>
    </w:p>
    <w:p w14:paraId="4BFFE10B" w14:textId="3C12FF6F" w:rsidR="00084834" w:rsidRPr="00084834" w:rsidRDefault="00084834" w:rsidP="00084834">
      <w:r w:rsidRPr="00084834">
        <w:t xml:space="preserve">Our analysis indicates that a replacement rate of 70 km per annum </w:t>
      </w:r>
      <w:r w:rsidR="00C02099">
        <w:t xml:space="preserve">is conforming capex. We consider this represents an efficient level of forecast expenditure that is necessary to maintain and improve the safety of services and </w:t>
      </w:r>
      <w:r w:rsidR="00125168">
        <w:t>maintain the integrity of services.</w:t>
      </w:r>
      <w:r w:rsidR="00125168">
        <w:rPr>
          <w:rStyle w:val="FootnoteReference"/>
        </w:rPr>
        <w:footnoteReference w:id="21"/>
      </w:r>
      <w:r w:rsidR="00C02099">
        <w:t xml:space="preserve"> This </w:t>
      </w:r>
      <w:r w:rsidR="006E3836">
        <w:t>provides a level of capex sufficient to manage</w:t>
      </w:r>
      <w:r w:rsidR="00C02099" w:rsidRPr="00084834">
        <w:t xml:space="preserve"> </w:t>
      </w:r>
      <w:r w:rsidRPr="00084834">
        <w:t>current levels of network safety risk</w:t>
      </w:r>
      <w:r w:rsidR="006E3836">
        <w:t xml:space="preserve"> consistent with the conforming capex criteria</w:t>
      </w:r>
      <w:r w:rsidRPr="00084834">
        <w:t>. This is based on our assessment of the efficient level of replacement of main pipes over the 2018–22 access arrangement period and forecast volumes based on the leak rate data provided by AusNet.</w:t>
      </w:r>
    </w:p>
    <w:p w14:paraId="3269320C" w14:textId="77777777" w:rsidR="00084834" w:rsidRDefault="00084834" w:rsidP="00084834">
      <w:r w:rsidRPr="00084834">
        <w:t xml:space="preserve">We have applied AusNet's unit rates across all categories of mains replacement. </w:t>
      </w:r>
    </w:p>
    <w:p w14:paraId="74663BD0" w14:textId="77777777" w:rsidR="00084834" w:rsidRPr="00084834" w:rsidRDefault="00084834" w:rsidP="00084834">
      <w:pPr>
        <w:pStyle w:val="HeadingBoldItalic"/>
      </w:pPr>
      <w:r w:rsidRPr="00084834">
        <w:t>AusNet's proposal</w:t>
      </w:r>
    </w:p>
    <w:p w14:paraId="11117F58" w14:textId="729DB1D7" w:rsidR="00084834" w:rsidRPr="00084834" w:rsidRDefault="00084834" w:rsidP="00084834">
      <w:r w:rsidRPr="00084834">
        <w:t>AusNet proposed a forecast mains replacement expenditure of $130.</w:t>
      </w:r>
      <w:r w:rsidR="00A4710F">
        <w:t>6</w:t>
      </w:r>
      <w:r>
        <w:t xml:space="preserve"> million ($2017, unescalated</w:t>
      </w:r>
      <w:r w:rsidRPr="00084834">
        <w:t xml:space="preserve"> direct costs). This is 20.</w:t>
      </w:r>
      <w:r w:rsidR="00A4710F">
        <w:t>6</w:t>
      </w:r>
      <w:r w:rsidRPr="00084834">
        <w:t xml:space="preserve"> per cent higher than the $108.3 million ($2017, direct costs) that AusNet incurred in the 2013–17 access arrangement period.</w:t>
      </w:r>
      <w:r>
        <w:rPr>
          <w:rStyle w:val="FootnoteReference"/>
        </w:rPr>
        <w:footnoteReference w:id="22"/>
      </w:r>
      <w:r w:rsidRPr="00084834">
        <w:t xml:space="preserve"> </w:t>
      </w:r>
    </w:p>
    <w:p w14:paraId="674F1248" w14:textId="77777777" w:rsidR="00084834" w:rsidRPr="00084834" w:rsidRDefault="00084834" w:rsidP="00084834">
      <w:r w:rsidRPr="00084834">
        <w:t>The two key components of AusNet's replacement program are:</w:t>
      </w:r>
    </w:p>
    <w:p w14:paraId="5F7D40A7" w14:textId="77777777" w:rsidR="00084834" w:rsidRPr="00084834" w:rsidRDefault="00084834" w:rsidP="00084834">
      <w:pPr>
        <w:pStyle w:val="AERbulletlistfirststyle"/>
      </w:pPr>
      <w:r w:rsidRPr="00084834">
        <w:t xml:space="preserve">Low pressure mains replacement. AusNet proposed to replace 410 km (82 km per annum) of targeted and prioritised replacement, down from an average of 99 km per annum during the 2013–17 access arrangement period. </w:t>
      </w:r>
    </w:p>
    <w:p w14:paraId="6326211B" w14:textId="639FE91F" w:rsidR="00084834" w:rsidRPr="00084834" w:rsidRDefault="00084834" w:rsidP="00084834">
      <w:pPr>
        <w:pStyle w:val="AERbulletlistfirststyle"/>
      </w:pPr>
      <w:r w:rsidRPr="00084834">
        <w:t>Medium pressure mains replacement. AusNet proposed to replace 55 km (11 km per annum), targeting the replacement of unprotected steel networks and first generation polyethylene mains, down from 16 km per annum in the 2013–17 access arrangement period.</w:t>
      </w:r>
      <w:r>
        <w:rPr>
          <w:rStyle w:val="FootnoteReference"/>
        </w:rPr>
        <w:footnoteReference w:id="23"/>
      </w:r>
    </w:p>
    <w:p w14:paraId="48D0EBDD" w14:textId="28DEF703" w:rsidR="00084834" w:rsidRPr="00084834" w:rsidRDefault="00084834" w:rsidP="00084834">
      <w:r w:rsidRPr="00084834">
        <w:t>Whilst AusNet’s forecast replacement volumes are lower than in the 2013–17 access arrangement period, its average unit rate is higher. According to AusNet, the unit rate is higher because replacing low pressure mains in inner suburban areas and the Geelong CBD involves more complex delivery.</w:t>
      </w:r>
      <w:r>
        <w:rPr>
          <w:rStyle w:val="FootnoteReference"/>
        </w:rPr>
        <w:footnoteReference w:id="24"/>
      </w:r>
    </w:p>
    <w:p w14:paraId="11F55C13" w14:textId="4C39FBBE" w:rsidR="00084834" w:rsidRPr="00084834" w:rsidRDefault="00084834" w:rsidP="00084834">
      <w:r w:rsidRPr="00084834">
        <w:t>AusNet submitted that the proactive replacement of ageing/deteriorating gas distribution mains to reduce leakage rates is central to the provision of safe and reliable network services.</w:t>
      </w:r>
      <w:r>
        <w:rPr>
          <w:rStyle w:val="FootnoteReference"/>
        </w:rPr>
        <w:footnoteReference w:id="25"/>
      </w:r>
      <w:r w:rsidRPr="00084834">
        <w:t xml:space="preserve"> To assess this risk AusNet has considered the leak incidence per kilometre of mains and services.</w:t>
      </w:r>
      <w:r>
        <w:rPr>
          <w:rStyle w:val="FootnoteReference"/>
        </w:rPr>
        <w:footnoteReference w:id="26"/>
      </w:r>
      <w:r w:rsidRPr="00084834">
        <w:t xml:space="preserve"> In support of its proposal, AusNet provided its:</w:t>
      </w:r>
    </w:p>
    <w:p w14:paraId="0CD9EFC4" w14:textId="77777777" w:rsidR="00084834" w:rsidRPr="00084834" w:rsidRDefault="00084834" w:rsidP="00084834">
      <w:pPr>
        <w:pStyle w:val="AERbulletlistfirststyle"/>
      </w:pPr>
      <w:r w:rsidRPr="00084834">
        <w:t>mains and services strategy document,</w:t>
      </w:r>
    </w:p>
    <w:p w14:paraId="1FCFE1C9" w14:textId="77777777" w:rsidR="00084834" w:rsidRPr="00084834" w:rsidRDefault="00084834" w:rsidP="00084834">
      <w:pPr>
        <w:pStyle w:val="AERbulletlistfirststyle"/>
      </w:pPr>
      <w:r w:rsidRPr="00084834">
        <w:t>gas maintenance plan,</w:t>
      </w:r>
    </w:p>
    <w:p w14:paraId="05159C9D" w14:textId="77777777" w:rsidR="00084834" w:rsidRPr="00084834" w:rsidRDefault="00084834" w:rsidP="00084834">
      <w:pPr>
        <w:pStyle w:val="AERbulletlistfirststyle"/>
      </w:pPr>
      <w:r w:rsidRPr="00084834">
        <w:t>gas safety case summary, and</w:t>
      </w:r>
    </w:p>
    <w:p w14:paraId="2925D62E" w14:textId="26BC81A3" w:rsidR="00084834" w:rsidRPr="00084834" w:rsidRDefault="00084834" w:rsidP="00084834">
      <w:pPr>
        <w:pStyle w:val="AERbulletlistfirststyle"/>
      </w:pPr>
      <w:proofErr w:type="gramStart"/>
      <w:r w:rsidRPr="00084834">
        <w:t>in</w:t>
      </w:r>
      <w:proofErr w:type="gramEnd"/>
      <w:r w:rsidRPr="00084834">
        <w:t xml:space="preserve"> response to information requests, current status of mains replacement in the 2013–17 access arrangement period and unit rate estimates.</w:t>
      </w:r>
      <w:r w:rsidR="00642F2D" w:rsidDel="00642F2D">
        <w:rPr>
          <w:rStyle w:val="FootnoteReference"/>
        </w:rPr>
        <w:t xml:space="preserve"> </w:t>
      </w:r>
      <w:r w:rsidRPr="00084834">
        <w:t xml:space="preserve"> </w:t>
      </w:r>
    </w:p>
    <w:p w14:paraId="26A3DA28" w14:textId="77777777" w:rsidR="00084834" w:rsidRPr="003E1B79" w:rsidRDefault="00084834" w:rsidP="00084834">
      <w:pPr>
        <w:pStyle w:val="HeadingBoldItalic"/>
      </w:pPr>
      <w:r w:rsidRPr="003E1B79">
        <w:t>Our assessment</w:t>
      </w:r>
    </w:p>
    <w:p w14:paraId="76F5056C" w14:textId="28C61FB6" w:rsidR="00084834" w:rsidRDefault="00084834" w:rsidP="00084834">
      <w:r>
        <w:t>In our view, AusNet’s proposed mains replacement capex is justified on the grounds that it is necessary to maintain and improve the safety of services</w:t>
      </w:r>
      <w:r w:rsidR="00EA213D">
        <w:t xml:space="preserve"> and maintain the integrity of services.</w:t>
      </w:r>
      <w:r w:rsidR="00EA213D">
        <w:rPr>
          <w:rStyle w:val="FootnoteReference"/>
        </w:rPr>
        <w:footnoteReference w:id="27"/>
      </w:r>
      <w:r w:rsidR="00EA213D">
        <w:rPr>
          <w:rStyle w:val="CommentReference"/>
          <w:rFonts w:asciiTheme="minorHAnsi" w:eastAsia="Calibri" w:hAnsiTheme="minorHAnsi" w:cs="Times New Roman"/>
        </w:rPr>
        <w:t xml:space="preserve"> </w:t>
      </w:r>
      <w:r>
        <w:t xml:space="preserve"> However, we assess that AusNet's proposed $130.</w:t>
      </w:r>
      <w:r w:rsidR="00A4710F">
        <w:t>6</w:t>
      </w:r>
      <w:r>
        <w:t xml:space="preserve"> million ($2017, unescalated, excluding overheads) is not that which would be incurred by a prudent service provider </w:t>
      </w:r>
      <w:r w:rsidRPr="00382698">
        <w:t>acting efficiently, in accordance with accepted good industry practice, to achieve the lowest sustainable cost of providing services</w:t>
      </w:r>
      <w:r>
        <w:t>, and therefore not conforming capex.</w:t>
      </w:r>
      <w:r>
        <w:rPr>
          <w:rStyle w:val="FootnoteReference"/>
        </w:rPr>
        <w:footnoteReference w:id="28"/>
      </w:r>
    </w:p>
    <w:p w14:paraId="30DDF8B8" w14:textId="53BB4642" w:rsidR="00084834" w:rsidRDefault="00084834" w:rsidP="00084834">
      <w:r>
        <w:t xml:space="preserve">Our forecast for mains replacement capex over the 2018–22 access arrangement </w:t>
      </w:r>
      <w:proofErr w:type="gramStart"/>
      <w:r>
        <w:t>period</w:t>
      </w:r>
      <w:proofErr w:type="gramEnd"/>
      <w:r>
        <w:t xml:space="preserve"> is $114.</w:t>
      </w:r>
      <w:r w:rsidR="00A4710F">
        <w:t>5</w:t>
      </w:r>
      <w:r>
        <w:t xml:space="preserve"> million ($2017, unescalated, excluding overheads). This represents our:</w:t>
      </w:r>
      <w:r w:rsidRPr="00D8064C">
        <w:t xml:space="preserve"> </w:t>
      </w:r>
    </w:p>
    <w:p w14:paraId="4E9B87AE" w14:textId="77777777" w:rsidR="00084834" w:rsidRDefault="00084834" w:rsidP="00084834">
      <w:pPr>
        <w:pStyle w:val="AERbulletlistfirststyle"/>
      </w:pPr>
      <w:r>
        <w:t>conclusion that forecast replacement volumes for low pressure mains of 350 km (an average of 70 km of low pressure mains replacement per annum), not 410 km as proposed by AusNet, represents the best forecast possible in the circumstances</w:t>
      </w:r>
    </w:p>
    <w:p w14:paraId="3FB0FA13" w14:textId="77777777" w:rsidR="00084834" w:rsidRDefault="00084834" w:rsidP="00084834">
      <w:pPr>
        <w:pStyle w:val="AERbulletlistfirststyle"/>
      </w:pPr>
      <w:r>
        <w:t>acceptance of AusNet's proposed replacement volumes for medium pressure mains of 55 km, and</w:t>
      </w:r>
    </w:p>
    <w:p w14:paraId="037678E8" w14:textId="77777777" w:rsidR="00084834" w:rsidRDefault="00084834" w:rsidP="00084834">
      <w:pPr>
        <w:pStyle w:val="AERbulletlistfirststyle"/>
      </w:pPr>
      <w:r>
        <w:t>acceptance of AusNet's unit rates across all categories of mains replacement.</w:t>
      </w:r>
    </w:p>
    <w:p w14:paraId="73091320" w14:textId="77777777" w:rsidR="00084834" w:rsidRDefault="00084834" w:rsidP="00084834">
      <w:pPr>
        <w:pStyle w:val="HeadingOrange"/>
      </w:pPr>
      <w:r>
        <w:t>Volumes</w:t>
      </w:r>
    </w:p>
    <w:p w14:paraId="3E2FB154" w14:textId="77777777" w:rsidR="00084834" w:rsidRDefault="00084834" w:rsidP="006118CD">
      <w:pPr>
        <w:pStyle w:val="HeadingItalic"/>
      </w:pPr>
      <w:r>
        <w:t>Low pressure to high pressure mains replacement</w:t>
      </w:r>
    </w:p>
    <w:p w14:paraId="46B2C359" w14:textId="52833435" w:rsidR="00084834" w:rsidRDefault="00084834" w:rsidP="00084834">
      <w:r>
        <w:t>We reviewed AusNet's historical leak rates from 2002 to 2016.</w:t>
      </w:r>
      <w:r>
        <w:rPr>
          <w:rStyle w:val="FootnoteReference"/>
        </w:rPr>
        <w:footnoteReference w:id="29"/>
      </w:r>
      <w:r>
        <w:t xml:space="preserve"> The historical leak rates that AusNet submitted reveal that it has generally maintained leak rates on its low pressure network over the period 2002 to 2016. Notably, the data reveals the following: </w:t>
      </w:r>
    </w:p>
    <w:p w14:paraId="52FD1362" w14:textId="77777777" w:rsidR="00084834" w:rsidRDefault="00084834" w:rsidP="00084834">
      <w:pPr>
        <w:pStyle w:val="AERbulletlistfirststyle"/>
      </w:pPr>
      <w:r>
        <w:t xml:space="preserve">a 55 per cent reduction in leak rates over the period 2009 to 2016, </w:t>
      </w:r>
    </w:p>
    <w:p w14:paraId="51DD7F93" w14:textId="77777777" w:rsidR="00084834" w:rsidRDefault="00084834" w:rsidP="00084834">
      <w:pPr>
        <w:pStyle w:val="AERbulletlistfirststyle"/>
      </w:pPr>
      <w:r>
        <w:t xml:space="preserve">leak rates have improved over the last three years, and </w:t>
      </w:r>
    </w:p>
    <w:p w14:paraId="39741699" w14:textId="77777777" w:rsidR="00084834" w:rsidRDefault="00084834" w:rsidP="00084834">
      <w:pPr>
        <w:pStyle w:val="AERbulletlistfirststyle"/>
      </w:pPr>
      <w:r>
        <w:t>cast iron pipes have the highest leak rate).</w:t>
      </w:r>
      <w:r>
        <w:rPr>
          <w:rStyle w:val="FootnoteReference"/>
        </w:rPr>
        <w:footnoteReference w:id="30"/>
      </w:r>
      <w:r>
        <w:t xml:space="preserve"> </w:t>
      </w:r>
    </w:p>
    <w:p w14:paraId="22ADEA9B" w14:textId="13C4E9BB" w:rsidR="00084834" w:rsidRPr="00084834" w:rsidRDefault="00084834" w:rsidP="00084834">
      <w:r>
        <w:t>This is illustrated in</w:t>
      </w:r>
      <w:r w:rsidR="00A50360">
        <w:t xml:space="preserve"> </w:t>
      </w:r>
      <w:fldSimple w:instr=" REF _Ref485373434 ">
        <w:r w:rsidR="00745B71">
          <w:t xml:space="preserve">Figure </w:t>
        </w:r>
        <w:r w:rsidR="00745B71">
          <w:rPr>
            <w:noProof/>
          </w:rPr>
          <w:t>6</w:t>
        </w:r>
        <w:r w:rsidR="00745B71">
          <w:t>.</w:t>
        </w:r>
        <w:r w:rsidR="00745B71">
          <w:rPr>
            <w:noProof/>
          </w:rPr>
          <w:t>1</w:t>
        </w:r>
      </w:fldSimple>
      <w:r>
        <w:t xml:space="preserve"> (leak rates across pressure types), </w:t>
      </w:r>
      <w:r>
        <w:fldChar w:fldCharType="begin"/>
      </w:r>
      <w:r>
        <w:instrText xml:space="preserve"> REF _Ref482625399 \h </w:instrText>
      </w:r>
      <w:r>
        <w:fldChar w:fldCharType="separate"/>
      </w:r>
      <w:r w:rsidR="00745B71">
        <w:t xml:space="preserve">Figure </w:t>
      </w:r>
      <w:r w:rsidR="00745B71">
        <w:rPr>
          <w:noProof/>
        </w:rPr>
        <w:t>6</w:t>
      </w:r>
      <w:r w:rsidR="00745B71">
        <w:t>.</w:t>
      </w:r>
      <w:r w:rsidR="00745B71">
        <w:rPr>
          <w:noProof/>
        </w:rPr>
        <w:t>2</w:t>
      </w:r>
      <w:r>
        <w:fldChar w:fldCharType="end"/>
      </w:r>
      <w:r>
        <w:t xml:space="preserve"> (leak rates</w:t>
      </w:r>
      <w:r w:rsidRPr="007A26EC">
        <w:t xml:space="preserve"> </w:t>
      </w:r>
      <w:r>
        <w:t xml:space="preserve">for the whole network) and </w:t>
      </w:r>
      <w:r>
        <w:fldChar w:fldCharType="begin"/>
      </w:r>
      <w:r>
        <w:instrText xml:space="preserve"> REF _Ref482625782 \h </w:instrText>
      </w:r>
      <w:r>
        <w:fldChar w:fldCharType="separate"/>
      </w:r>
      <w:r w:rsidR="00745B71">
        <w:t xml:space="preserve">Figure </w:t>
      </w:r>
      <w:r w:rsidR="00745B71">
        <w:rPr>
          <w:noProof/>
        </w:rPr>
        <w:t>6</w:t>
      </w:r>
      <w:r w:rsidR="00745B71">
        <w:t>.</w:t>
      </w:r>
      <w:r w:rsidR="00745B71">
        <w:rPr>
          <w:noProof/>
        </w:rPr>
        <w:t>3</w:t>
      </w:r>
      <w:r>
        <w:fldChar w:fldCharType="end"/>
      </w:r>
      <w:r>
        <w:t xml:space="preserve"> (leak rates by material type).</w:t>
      </w:r>
      <w:r w:rsidRPr="00CA7029">
        <w:t xml:space="preserve"> </w:t>
      </w:r>
      <w:r>
        <w:fldChar w:fldCharType="begin"/>
      </w:r>
      <w:r>
        <w:instrText xml:space="preserve"> REF _Ref482625782 \h </w:instrText>
      </w:r>
      <w:r>
        <w:fldChar w:fldCharType="separate"/>
      </w:r>
      <w:r w:rsidR="00745B71">
        <w:t xml:space="preserve">Figure </w:t>
      </w:r>
      <w:r w:rsidR="00745B71">
        <w:rPr>
          <w:noProof/>
        </w:rPr>
        <w:t>6</w:t>
      </w:r>
      <w:r w:rsidR="00745B71">
        <w:t>.</w:t>
      </w:r>
      <w:r w:rsidR="00745B71">
        <w:rPr>
          <w:noProof/>
        </w:rPr>
        <w:t>3</w:t>
      </w:r>
      <w:r>
        <w:fldChar w:fldCharType="end"/>
      </w:r>
      <w:r>
        <w:t xml:space="preserve"> also supports AusNet prioritising the replacement of cast iron mains (followed by un-coated steel mains), over mains of other material types.</w:t>
      </w:r>
    </w:p>
    <w:p w14:paraId="3728E36E" w14:textId="4CDF1574" w:rsidR="006118CD" w:rsidRDefault="00A50360" w:rsidP="00A50360">
      <w:pPr>
        <w:pStyle w:val="Caption"/>
      </w:pPr>
      <w:bookmarkStart w:id="172" w:name="_Ref485373434"/>
      <w:r>
        <w:t xml:space="preserve">Figure </w:t>
      </w:r>
      <w:fldSimple w:instr=" STYLEREF 1 \s ">
        <w:r w:rsidR="00745B71">
          <w:rPr>
            <w:noProof/>
          </w:rPr>
          <w:t>6</w:t>
        </w:r>
      </w:fldSimple>
      <w:r>
        <w:t>.</w:t>
      </w:r>
      <w:fldSimple w:instr=" SEQ Figure \* ARABIC \s 1 ">
        <w:r w:rsidR="00745B71">
          <w:rPr>
            <w:noProof/>
          </w:rPr>
          <w:t>1</w:t>
        </w:r>
      </w:fldSimple>
      <w:bookmarkEnd w:id="172"/>
      <w:r>
        <w:tab/>
      </w:r>
      <w:r w:rsidR="006118CD">
        <w:t>Mains leak incidence rate by pressure classification (leaks per kilometre)</w:t>
      </w:r>
    </w:p>
    <w:p w14:paraId="36A9B98B" w14:textId="04C4D43F" w:rsidR="006118CD" w:rsidRDefault="006118CD" w:rsidP="006118CD">
      <w:r w:rsidRPr="006118CD">
        <w:rPr>
          <w:noProof/>
          <w:lang w:eastAsia="en-AU"/>
        </w:rPr>
        <w:drawing>
          <wp:inline distT="0" distB="0" distL="0" distR="0" wp14:anchorId="5A625D0D" wp14:editId="3A9517F5">
            <wp:extent cx="5114925" cy="2813685"/>
            <wp:effectExtent l="0" t="0" r="952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4925" cy="2813685"/>
                    </a:xfrm>
                    <a:prstGeom prst="rect">
                      <a:avLst/>
                    </a:prstGeom>
                    <a:noFill/>
                    <a:ln>
                      <a:noFill/>
                    </a:ln>
                  </pic:spPr>
                </pic:pic>
              </a:graphicData>
            </a:graphic>
          </wp:inline>
        </w:drawing>
      </w:r>
    </w:p>
    <w:p w14:paraId="0B3EAD3B" w14:textId="247AE547" w:rsidR="006118CD" w:rsidRPr="006118CD" w:rsidRDefault="006118CD" w:rsidP="006118CD">
      <w:pPr>
        <w:pStyle w:val="AERtablesource"/>
      </w:pPr>
      <w:r w:rsidRPr="006118CD">
        <w:t>Source: AusNet Services</w:t>
      </w:r>
      <w:r>
        <w:t>,</w:t>
      </w:r>
      <w:r w:rsidRPr="006118CD">
        <w:t xml:space="preserve"> </w:t>
      </w:r>
      <w:r w:rsidRPr="004131F9">
        <w:rPr>
          <w:rStyle w:val="AERtextitalic"/>
        </w:rPr>
        <w:t>Response to information request 13</w:t>
      </w:r>
      <w:r w:rsidR="00F571A7">
        <w:t>, 11 April 2017</w:t>
      </w:r>
      <w:r>
        <w:t>.</w:t>
      </w:r>
      <w:r w:rsidRPr="006118CD">
        <w:t xml:space="preserve">  </w:t>
      </w:r>
    </w:p>
    <w:p w14:paraId="36FD769D" w14:textId="4041B676" w:rsidR="006118CD" w:rsidRDefault="006118CD" w:rsidP="006118CD">
      <w:pPr>
        <w:pStyle w:val="Caption"/>
      </w:pPr>
      <w:bookmarkStart w:id="173" w:name="_Ref482625399"/>
      <w:r>
        <w:t xml:space="preserve">Figure </w:t>
      </w:r>
      <w:fldSimple w:instr=" STYLEREF 1 \s ">
        <w:r w:rsidR="00745B71">
          <w:rPr>
            <w:noProof/>
          </w:rPr>
          <w:t>6</w:t>
        </w:r>
      </w:fldSimple>
      <w:r w:rsidR="00A50360">
        <w:t>.</w:t>
      </w:r>
      <w:fldSimple w:instr=" SEQ Figure \* ARABIC \s 1 ">
        <w:r w:rsidR="00745B71">
          <w:rPr>
            <w:noProof/>
          </w:rPr>
          <w:t>2</w:t>
        </w:r>
      </w:fldSimple>
      <w:bookmarkEnd w:id="173"/>
      <w:r>
        <w:t xml:space="preserve"> </w:t>
      </w:r>
      <w:r w:rsidR="00A50360">
        <w:tab/>
      </w:r>
      <w:r>
        <w:t>Mains leak rate, whole network (leaks per kilometre)</w:t>
      </w:r>
    </w:p>
    <w:p w14:paraId="2674801D" w14:textId="72B8B257" w:rsidR="00A078FA" w:rsidRDefault="006118CD" w:rsidP="00084834">
      <w:r w:rsidRPr="006118CD">
        <w:rPr>
          <w:noProof/>
          <w:lang w:eastAsia="en-AU"/>
        </w:rPr>
        <w:drawing>
          <wp:inline distT="0" distB="0" distL="0" distR="0" wp14:anchorId="3A6E2DCC" wp14:editId="039E809D">
            <wp:extent cx="5003800" cy="2943860"/>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0" cy="2943860"/>
                    </a:xfrm>
                    <a:prstGeom prst="rect">
                      <a:avLst/>
                    </a:prstGeom>
                    <a:noFill/>
                    <a:ln>
                      <a:noFill/>
                    </a:ln>
                  </pic:spPr>
                </pic:pic>
              </a:graphicData>
            </a:graphic>
          </wp:inline>
        </w:drawing>
      </w:r>
    </w:p>
    <w:p w14:paraId="77A0E796" w14:textId="77777777" w:rsidR="00642F2D" w:rsidRDefault="00642F2D" w:rsidP="00642F2D">
      <w:pPr>
        <w:pStyle w:val="AERtablesource"/>
      </w:pPr>
      <w:r w:rsidRPr="006118CD">
        <w:t>Source: AusNet Services</w:t>
      </w:r>
      <w:r>
        <w:t xml:space="preserve">, </w:t>
      </w:r>
      <w:r w:rsidRPr="0042753C">
        <w:rPr>
          <w:rStyle w:val="AERtextitalic"/>
        </w:rPr>
        <w:t>Response to information request 13</w:t>
      </w:r>
      <w:r>
        <w:t>, 11 April 2017</w:t>
      </w:r>
      <w:r w:rsidRPr="006118CD">
        <w:t>.</w:t>
      </w:r>
    </w:p>
    <w:p w14:paraId="6279D9AF" w14:textId="77777777" w:rsidR="00642F2D" w:rsidRDefault="00642F2D" w:rsidP="00084834"/>
    <w:p w14:paraId="11D9FF52" w14:textId="3401B146" w:rsidR="006118CD" w:rsidRDefault="006118CD" w:rsidP="006118CD">
      <w:pPr>
        <w:pStyle w:val="Caption"/>
      </w:pPr>
      <w:bookmarkStart w:id="174" w:name="_Ref482625782"/>
      <w:r>
        <w:t xml:space="preserve">Figure </w:t>
      </w:r>
      <w:fldSimple w:instr=" STYLEREF 1 \s ">
        <w:r w:rsidR="00745B71">
          <w:rPr>
            <w:noProof/>
          </w:rPr>
          <w:t>6</w:t>
        </w:r>
      </w:fldSimple>
      <w:r w:rsidR="00A50360">
        <w:t>.</w:t>
      </w:r>
      <w:fldSimple w:instr=" SEQ Figure \* ARABIC \s 1 ">
        <w:r w:rsidR="00745B71">
          <w:rPr>
            <w:noProof/>
          </w:rPr>
          <w:t>3</w:t>
        </w:r>
      </w:fldSimple>
      <w:bookmarkEnd w:id="174"/>
      <w:r>
        <w:t xml:space="preserve"> </w:t>
      </w:r>
      <w:r w:rsidR="00A50360">
        <w:tab/>
      </w:r>
      <w:r>
        <w:t>Mains leakage rate by material type</w:t>
      </w:r>
    </w:p>
    <w:p w14:paraId="5BFCF1ED" w14:textId="2CF292CA" w:rsidR="006118CD" w:rsidRDefault="006118CD" w:rsidP="00084834">
      <w:r w:rsidRPr="006118CD">
        <w:rPr>
          <w:noProof/>
          <w:lang w:eastAsia="en-AU"/>
        </w:rPr>
        <w:drawing>
          <wp:inline distT="0" distB="0" distL="0" distR="0" wp14:anchorId="6CD40DC3" wp14:editId="2A9EE637">
            <wp:extent cx="5375910" cy="3084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5910" cy="3084830"/>
                    </a:xfrm>
                    <a:prstGeom prst="rect">
                      <a:avLst/>
                    </a:prstGeom>
                    <a:noFill/>
                    <a:ln>
                      <a:noFill/>
                    </a:ln>
                  </pic:spPr>
                </pic:pic>
              </a:graphicData>
            </a:graphic>
          </wp:inline>
        </w:drawing>
      </w:r>
    </w:p>
    <w:p w14:paraId="088CA0B6" w14:textId="41D1B0DD" w:rsidR="006118CD" w:rsidRDefault="006118CD" w:rsidP="006118CD">
      <w:pPr>
        <w:pStyle w:val="AERtablesource"/>
      </w:pPr>
      <w:r w:rsidRPr="006118CD">
        <w:t>Source: AusNet Services</w:t>
      </w:r>
      <w:r>
        <w:t xml:space="preserve">, </w:t>
      </w:r>
      <w:r w:rsidRPr="004131F9">
        <w:rPr>
          <w:rStyle w:val="AERtextitalic"/>
        </w:rPr>
        <w:t>Response to information request 13</w:t>
      </w:r>
      <w:r w:rsidR="00F571A7">
        <w:t>, 11 April 2017</w:t>
      </w:r>
      <w:r w:rsidRPr="006118CD">
        <w:t>.</w:t>
      </w:r>
    </w:p>
    <w:p w14:paraId="06AA9372" w14:textId="77777777" w:rsidR="006118CD" w:rsidRDefault="006118CD" w:rsidP="006118CD">
      <w:r>
        <w:fldChar w:fldCharType="begin"/>
      </w:r>
      <w:r>
        <w:instrText xml:space="preserve"> REF _Ref482627766 \h </w:instrText>
      </w:r>
      <w:r>
        <w:fldChar w:fldCharType="separate"/>
      </w:r>
      <w:r w:rsidR="00745B71">
        <w:t xml:space="preserve">Figure </w:t>
      </w:r>
      <w:r w:rsidR="00745B71">
        <w:rPr>
          <w:noProof/>
        </w:rPr>
        <w:t>6</w:t>
      </w:r>
      <w:r w:rsidR="00745B71">
        <w:t>.</w:t>
      </w:r>
      <w:r w:rsidR="00745B71">
        <w:rPr>
          <w:noProof/>
        </w:rPr>
        <w:t>4</w:t>
      </w:r>
      <w:r>
        <w:fldChar w:fldCharType="end"/>
      </w:r>
      <w:r>
        <w:t xml:space="preserve"> shows the leak rate from four low pressure mains replacement volumes.</w:t>
      </w:r>
    </w:p>
    <w:p w14:paraId="2BEFDDDD" w14:textId="0F76DA80" w:rsidR="006118CD" w:rsidRDefault="006118CD" w:rsidP="006118CD">
      <w:pPr>
        <w:pStyle w:val="Caption"/>
      </w:pPr>
      <w:bookmarkStart w:id="175" w:name="_Ref482627766"/>
      <w:r>
        <w:t xml:space="preserve">Figure </w:t>
      </w:r>
      <w:fldSimple w:instr=" STYLEREF 1 \s ">
        <w:r w:rsidR="00745B71">
          <w:rPr>
            <w:noProof/>
          </w:rPr>
          <w:t>6</w:t>
        </w:r>
      </w:fldSimple>
      <w:r w:rsidR="00A50360">
        <w:t>.</w:t>
      </w:r>
      <w:fldSimple w:instr=" SEQ Figure \* ARABIC \s 1 ">
        <w:r w:rsidR="00745B71">
          <w:rPr>
            <w:noProof/>
          </w:rPr>
          <w:t>4</w:t>
        </w:r>
      </w:fldSimple>
      <w:bookmarkEnd w:id="175"/>
      <w:r w:rsidR="00A50360">
        <w:tab/>
      </w:r>
      <w:r>
        <w:t>Proposed low pressure replacement profile</w:t>
      </w:r>
    </w:p>
    <w:p w14:paraId="56053A50" w14:textId="74C63AE8" w:rsidR="006118CD" w:rsidRDefault="00F571A7" w:rsidP="006118CD">
      <w:r w:rsidRPr="00F571A7">
        <w:rPr>
          <w:noProof/>
          <w:lang w:eastAsia="en-AU"/>
        </w:rPr>
        <w:drawing>
          <wp:inline distT="0" distB="0" distL="0" distR="0" wp14:anchorId="50494FC2" wp14:editId="4476D698">
            <wp:extent cx="5382895" cy="324578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2895" cy="3245785"/>
                    </a:xfrm>
                    <a:prstGeom prst="rect">
                      <a:avLst/>
                    </a:prstGeom>
                    <a:noFill/>
                    <a:ln>
                      <a:noFill/>
                    </a:ln>
                  </pic:spPr>
                </pic:pic>
              </a:graphicData>
            </a:graphic>
          </wp:inline>
        </w:drawing>
      </w:r>
    </w:p>
    <w:p w14:paraId="0310D541" w14:textId="1AC44704" w:rsidR="00F571A7" w:rsidRDefault="00F571A7" w:rsidP="00F571A7">
      <w:pPr>
        <w:pStyle w:val="AERtablesource"/>
      </w:pPr>
      <w:r w:rsidRPr="00F571A7">
        <w:t xml:space="preserve">Source: </w:t>
      </w:r>
      <w:r>
        <w:t xml:space="preserve">AusNet Services, </w:t>
      </w:r>
      <w:r w:rsidR="00642F2D" w:rsidRPr="004131F9">
        <w:rPr>
          <w:rStyle w:val="AERtextitalic"/>
        </w:rPr>
        <w:t xml:space="preserve">Appendix 6E - </w:t>
      </w:r>
      <w:r w:rsidRPr="004131F9">
        <w:rPr>
          <w:rStyle w:val="AERtextitalic"/>
        </w:rPr>
        <w:t>Mains and services strategy</w:t>
      </w:r>
      <w:r>
        <w:t>,</w:t>
      </w:r>
      <w:r w:rsidR="00642F2D">
        <w:t xml:space="preserve"> 21 November 2016, </w:t>
      </w:r>
      <w:r>
        <w:t>p. 24 (u</w:t>
      </w:r>
      <w:r w:rsidRPr="00F571A7">
        <w:t xml:space="preserve">pdated in </w:t>
      </w:r>
      <w:r w:rsidR="00642F2D" w:rsidRPr="006118CD">
        <w:t>AusNet Services</w:t>
      </w:r>
      <w:r w:rsidR="00642F2D">
        <w:t xml:space="preserve">, </w:t>
      </w:r>
      <w:r w:rsidR="00642F2D" w:rsidRPr="0042753C">
        <w:rPr>
          <w:rStyle w:val="AERtextitalic"/>
        </w:rPr>
        <w:t>Response to information request 13</w:t>
      </w:r>
      <w:r w:rsidR="00642F2D">
        <w:t>, 11 April 2017</w:t>
      </w:r>
      <w:r>
        <w:t>).</w:t>
      </w:r>
    </w:p>
    <w:p w14:paraId="7C3B9A13" w14:textId="77777777" w:rsidR="00F571A7" w:rsidRDefault="00F571A7" w:rsidP="00F571A7">
      <w:r>
        <w:fldChar w:fldCharType="begin"/>
      </w:r>
      <w:r>
        <w:instrText xml:space="preserve"> REF _Ref482627766 \h </w:instrText>
      </w:r>
      <w:r>
        <w:fldChar w:fldCharType="separate"/>
      </w:r>
      <w:r w:rsidR="00745B71">
        <w:t xml:space="preserve">Figure </w:t>
      </w:r>
      <w:r w:rsidR="00745B71">
        <w:rPr>
          <w:noProof/>
        </w:rPr>
        <w:t>6</w:t>
      </w:r>
      <w:r w:rsidR="00745B71">
        <w:t>.</w:t>
      </w:r>
      <w:r w:rsidR="00745B71">
        <w:rPr>
          <w:noProof/>
        </w:rPr>
        <w:t>4</w:t>
      </w:r>
      <w:r>
        <w:fldChar w:fldCharType="end"/>
      </w:r>
      <w:r>
        <w:t xml:space="preserve"> also shows AusNet's lower and upper limit leakage incident rate and that its proposed program noticeably reduces leakage incidents. It also shows the sensitivity of leakage incidents to different volumes of replacement. </w:t>
      </w:r>
    </w:p>
    <w:p w14:paraId="4227D871" w14:textId="3EA48EDC" w:rsidR="00F571A7" w:rsidRPr="00F571A7" w:rsidRDefault="00F571A7" w:rsidP="00F571A7">
      <w:r w:rsidRPr="00F571A7">
        <w:t xml:space="preserve">Our consultant, Zincara </w:t>
      </w:r>
      <w:r w:rsidR="006E3836">
        <w:t>assessed</w:t>
      </w:r>
      <w:r w:rsidRPr="00F571A7">
        <w:t xml:space="preserve"> that if AusNet proceeded with a replacement rate of 70 km per annum (equating to 350 km over the 2018–22 access arrangement period) it would be able to maintain the safety risk of the network.</w:t>
      </w:r>
      <w:r>
        <w:rPr>
          <w:rStyle w:val="FootnoteReference"/>
        </w:rPr>
        <w:footnoteReference w:id="31"/>
      </w:r>
      <w:r w:rsidRPr="00F571A7">
        <w:t xml:space="preserve"> </w:t>
      </w:r>
    </w:p>
    <w:p w14:paraId="0DA74218" w14:textId="30C92B84" w:rsidR="00F571A7" w:rsidRPr="00F571A7" w:rsidRDefault="00F571A7" w:rsidP="00F571A7">
      <w:r w:rsidRPr="00F571A7">
        <w:t xml:space="preserve">We consider a replacement volume that </w:t>
      </w:r>
      <w:r w:rsidR="00110FB0">
        <w:t>maintains</w:t>
      </w:r>
      <w:r w:rsidRPr="00F571A7">
        <w:t xml:space="preserve"> the current leakage rate provides a reasonable basis on which to forecast replacement. The information provided to us </w:t>
      </w:r>
      <w:r w:rsidR="006E3836">
        <w:t>indicates</w:t>
      </w:r>
      <w:r w:rsidRPr="00F571A7">
        <w:t xml:space="preserve"> that Zincara's </w:t>
      </w:r>
      <w:r w:rsidR="00110FB0">
        <w:t>assessment of</w:t>
      </w:r>
      <w:r w:rsidRPr="00F571A7">
        <w:t xml:space="preserve"> a replacement rate of 70 km per annum </w:t>
      </w:r>
      <w:r w:rsidR="006E3836">
        <w:t>is the best possible estimate of the level of forecast</w:t>
      </w:r>
      <w:r w:rsidR="00110FB0">
        <w:t xml:space="preserve"> conforming</w:t>
      </w:r>
      <w:r w:rsidR="006E3836">
        <w:t xml:space="preserve"> capex </w:t>
      </w:r>
      <w:r w:rsidR="00110FB0">
        <w:t>required</w:t>
      </w:r>
      <w:r w:rsidR="006E3836">
        <w:t xml:space="preserve"> to manage</w:t>
      </w:r>
      <w:r w:rsidR="006E3836" w:rsidRPr="00084834">
        <w:t xml:space="preserve"> current levels of network safety risk</w:t>
      </w:r>
      <w:r w:rsidRPr="00F571A7">
        <w:t>. We therefore have adjusted the forecast to reflect what would be incurred by a prudent service provider acting efficiently, in accordance with accepted good industry practice, to achieve the lowest sustainable cost of providing services. In our view, this equates to 350 km over the 2018–22 access arrangement period.</w:t>
      </w:r>
      <w:r>
        <w:rPr>
          <w:rStyle w:val="FootnoteReference"/>
        </w:rPr>
        <w:footnoteReference w:id="32"/>
      </w:r>
      <w:r w:rsidRPr="00F571A7">
        <w:t xml:space="preserve"> </w:t>
      </w:r>
    </w:p>
    <w:p w14:paraId="080D056E" w14:textId="77777777" w:rsidR="00F571A7" w:rsidRPr="00F571A7" w:rsidRDefault="00F571A7" w:rsidP="00F571A7">
      <w:pPr>
        <w:pStyle w:val="HeadingItalic"/>
      </w:pPr>
      <w:r w:rsidRPr="00F571A7">
        <w:t>Medium pressure mains replacement</w:t>
      </w:r>
    </w:p>
    <w:p w14:paraId="7695FDE3" w14:textId="49B46259" w:rsidR="00F571A7" w:rsidRDefault="00F571A7" w:rsidP="00F571A7">
      <w:r w:rsidRPr="00F571A7">
        <w:t>AusNet submitted that its proposed medium pressure mains replacement addresses relatively higher risk assets than its low pressure mains replacement program. This is because the riskiest medium pressure mains exhibit similar leak rates to the low pressure network and, due to the high volume of gas released in a leak, the consequences of such leaks are higher.</w:t>
      </w:r>
      <w:r>
        <w:rPr>
          <w:rStyle w:val="FootnoteReference"/>
        </w:rPr>
        <w:footnoteReference w:id="33"/>
      </w:r>
      <w:r w:rsidRPr="00F571A7">
        <w:t xml:space="preserve"> </w:t>
      </w:r>
      <w:r w:rsidRPr="00F571A7">
        <w:fldChar w:fldCharType="begin"/>
      </w:r>
      <w:r w:rsidRPr="00F571A7">
        <w:instrText xml:space="preserve"> REF _Ref482691794 \h </w:instrText>
      </w:r>
      <w:r w:rsidRPr="00F571A7">
        <w:fldChar w:fldCharType="separate"/>
      </w:r>
      <w:r w:rsidR="00745B71">
        <w:t xml:space="preserve">Figure </w:t>
      </w:r>
      <w:r w:rsidR="00745B71">
        <w:rPr>
          <w:noProof/>
        </w:rPr>
        <w:t>6</w:t>
      </w:r>
      <w:r w:rsidR="00745B71">
        <w:t>.</w:t>
      </w:r>
      <w:r w:rsidR="00745B71">
        <w:rPr>
          <w:noProof/>
        </w:rPr>
        <w:t>5</w:t>
      </w:r>
      <w:r w:rsidRPr="00F571A7">
        <w:fldChar w:fldCharType="end"/>
      </w:r>
      <w:r w:rsidRPr="00F571A7">
        <w:t xml:space="preserve"> below shows AusNet's relative risk weighting by pressure and material type.</w:t>
      </w:r>
    </w:p>
    <w:p w14:paraId="11F05DE0" w14:textId="49039904" w:rsidR="00F571A7" w:rsidRDefault="00F571A7" w:rsidP="00F571A7">
      <w:pPr>
        <w:pStyle w:val="Caption"/>
      </w:pPr>
      <w:bookmarkStart w:id="176" w:name="_Ref482691794"/>
      <w:r>
        <w:t xml:space="preserve">Figure </w:t>
      </w:r>
      <w:fldSimple w:instr=" STYLEREF 1 \s ">
        <w:r w:rsidR="00745B71">
          <w:rPr>
            <w:noProof/>
          </w:rPr>
          <w:t>6</w:t>
        </w:r>
      </w:fldSimple>
      <w:r w:rsidR="00A50360">
        <w:t>.</w:t>
      </w:r>
      <w:fldSimple w:instr=" SEQ Figure \* ARABIC \s 1 ">
        <w:r w:rsidR="00745B71">
          <w:rPr>
            <w:noProof/>
          </w:rPr>
          <w:t>5</w:t>
        </w:r>
      </w:fldSimple>
      <w:bookmarkEnd w:id="176"/>
      <w:r>
        <w:tab/>
        <w:t>Mains risk weighting by pressure and material type</w:t>
      </w:r>
    </w:p>
    <w:p w14:paraId="282DCFDE" w14:textId="1FFEAFD3" w:rsidR="00F571A7" w:rsidRPr="00F571A7" w:rsidRDefault="00F571A7" w:rsidP="00F571A7">
      <w:r w:rsidRPr="00F571A7">
        <w:rPr>
          <w:noProof/>
          <w:lang w:eastAsia="en-AU"/>
        </w:rPr>
        <w:drawing>
          <wp:inline distT="0" distB="0" distL="0" distR="0" wp14:anchorId="52A9F163" wp14:editId="47BFB139">
            <wp:extent cx="5375910" cy="3114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5910" cy="3114675"/>
                    </a:xfrm>
                    <a:prstGeom prst="rect">
                      <a:avLst/>
                    </a:prstGeom>
                    <a:noFill/>
                    <a:ln>
                      <a:noFill/>
                    </a:ln>
                  </pic:spPr>
                </pic:pic>
              </a:graphicData>
            </a:graphic>
          </wp:inline>
        </w:drawing>
      </w:r>
    </w:p>
    <w:p w14:paraId="622D3AF4" w14:textId="3C8CC2AE" w:rsidR="00F571A7" w:rsidRDefault="00F571A7" w:rsidP="00F571A7">
      <w:pPr>
        <w:pStyle w:val="AERtablesource"/>
      </w:pPr>
      <w:r w:rsidRPr="00F571A7">
        <w:t>Source: AusNet Services</w:t>
      </w:r>
      <w:r>
        <w:t>,</w:t>
      </w:r>
      <w:r w:rsidRPr="00F571A7">
        <w:t xml:space="preserve"> </w:t>
      </w:r>
      <w:r w:rsidR="00642F2D" w:rsidRPr="004131F9">
        <w:rPr>
          <w:rStyle w:val="AERtextitalic"/>
        </w:rPr>
        <w:t xml:space="preserve">Appendix 6E - </w:t>
      </w:r>
      <w:r w:rsidRPr="004131F9">
        <w:rPr>
          <w:rStyle w:val="AERtextitalic"/>
        </w:rPr>
        <w:t>Mains and services strategy</w:t>
      </w:r>
      <w:r>
        <w:t>,</w:t>
      </w:r>
      <w:r w:rsidRPr="00F571A7">
        <w:t xml:space="preserve"> </w:t>
      </w:r>
      <w:r w:rsidR="00642F2D">
        <w:t xml:space="preserve">21 November 2016, </w:t>
      </w:r>
      <w:r w:rsidRPr="00F571A7">
        <w:t>p. 22.</w:t>
      </w:r>
    </w:p>
    <w:p w14:paraId="1496082D" w14:textId="620BD6EC" w:rsidR="00F571A7" w:rsidRPr="00F571A7" w:rsidRDefault="00F571A7" w:rsidP="00F571A7">
      <w:r w:rsidRPr="00F571A7">
        <w:t>Based on this weighting, AusNet's medium pressure mains identified for replacement must exhibit a leakage rate of two leaks per section of main over a four-year period.</w:t>
      </w:r>
      <w:r>
        <w:rPr>
          <w:rStyle w:val="FootnoteReference"/>
        </w:rPr>
        <w:footnoteReference w:id="34"/>
      </w:r>
      <w:r w:rsidRPr="00F571A7">
        <w:t xml:space="preserve"> AusNet noted that 27 per cent of its medium pressure network is made up of unprotected steel or class 250 polyethylene mains which exhibit the highest risk weighting of all mains.</w:t>
      </w:r>
      <w:r>
        <w:rPr>
          <w:rStyle w:val="FootnoteReference"/>
        </w:rPr>
        <w:footnoteReference w:id="35"/>
      </w:r>
      <w:r w:rsidRPr="00F571A7">
        <w:t xml:space="preserve"> Further, AusNet identified 24 km of medium pressure mains that are the worst performing mains on its network.</w:t>
      </w:r>
      <w:r>
        <w:rPr>
          <w:rStyle w:val="FootnoteReference"/>
        </w:rPr>
        <w:footnoteReference w:id="36"/>
      </w:r>
    </w:p>
    <w:p w14:paraId="5AC45D6B" w14:textId="77777777" w:rsidR="00F571A7" w:rsidRPr="00F571A7" w:rsidRDefault="00F571A7" w:rsidP="00F571A7">
      <w:r w:rsidRPr="00F571A7">
        <w:t>For its medium pressure mains replacement program AusNet proposed to replace 55 km of mains with:</w:t>
      </w:r>
    </w:p>
    <w:p w14:paraId="3A40BF1E" w14:textId="77777777" w:rsidR="00F571A7" w:rsidRPr="00F571A7" w:rsidRDefault="00F571A7" w:rsidP="00F571A7">
      <w:pPr>
        <w:pStyle w:val="AERbulletlistfirststyle"/>
      </w:pPr>
      <w:r w:rsidRPr="00F571A7">
        <w:t xml:space="preserve">18 km as part of a like with like approach, and </w:t>
      </w:r>
    </w:p>
    <w:p w14:paraId="60F0B54B" w14:textId="77777777" w:rsidR="00F571A7" w:rsidRPr="00F571A7" w:rsidRDefault="00F571A7" w:rsidP="00F571A7">
      <w:pPr>
        <w:pStyle w:val="AERbulletlistfirststyle"/>
      </w:pPr>
      <w:r w:rsidRPr="00F571A7">
        <w:t>37 km as part of a block renewal approach, with 7 km related to the worst performing mains.</w:t>
      </w:r>
    </w:p>
    <w:p w14:paraId="0D67DE75" w14:textId="36E9C906" w:rsidR="00F571A7" w:rsidRPr="00F571A7" w:rsidRDefault="00F571A7" w:rsidP="00F571A7">
      <w:r w:rsidRPr="00F571A7">
        <w:t>In response to an information request, AusNet submitted that applying its block renewal approach (which includes replacing mains that pose less of a safety risk) is more efficient than for AusNet to replace only the 24 km of worst performing mains. Specifically, AusNet explained that the bulk replacement approach aims to both remove the identified high risk mains, as well as target the surrounding high risk first generation polyethylene mains Class 250 PE.</w:t>
      </w:r>
      <w:r>
        <w:rPr>
          <w:rStyle w:val="FootnoteReference"/>
        </w:rPr>
        <w:footnoteReference w:id="37"/>
      </w:r>
      <w:r w:rsidRPr="00F571A7">
        <w:t xml:space="preserve"> </w:t>
      </w:r>
    </w:p>
    <w:p w14:paraId="64CDEAAB" w14:textId="76E530F4" w:rsidR="00F571A7" w:rsidRPr="00F571A7" w:rsidRDefault="00F571A7" w:rsidP="00F571A7">
      <w:r w:rsidRPr="00F571A7">
        <w:t>AusNet also explained that it identifies high-risk mains (two leaks on a main in four years) before determining the most efficient program delivery to replace the mains. In this case, AusNet provided the results of an NPV analysis that concluded that the block replacement approach is more cost effective than maintaining these assets though maintenance activities.</w:t>
      </w:r>
      <w:r>
        <w:rPr>
          <w:rStyle w:val="FootnoteReference"/>
        </w:rPr>
        <w:footnoteReference w:id="38"/>
      </w:r>
      <w:r w:rsidRPr="00F571A7">
        <w:t xml:space="preserve"> Zincara reviewed the NPV analysis and agrees with this conclusion.</w:t>
      </w:r>
      <w:r>
        <w:rPr>
          <w:rStyle w:val="FootnoteReference"/>
        </w:rPr>
        <w:footnoteReference w:id="39"/>
      </w:r>
    </w:p>
    <w:p w14:paraId="4AB09CDA" w14:textId="4B34E5D7" w:rsidR="00F571A7" w:rsidRPr="00F571A7" w:rsidRDefault="00F571A7" w:rsidP="00F571A7">
      <w:r w:rsidRPr="00F571A7">
        <w:t>On the basis of the information before us, AusNet’s proposed forecast replacement volumes of 55 km for medium pressure mains is arrived at on a reasonable basis and represents the best forecast possible in the circumstances.</w:t>
      </w:r>
      <w:r>
        <w:rPr>
          <w:rStyle w:val="FootnoteReference"/>
        </w:rPr>
        <w:footnoteReference w:id="40"/>
      </w:r>
    </w:p>
    <w:p w14:paraId="2413CCBD" w14:textId="63C95B7B" w:rsidR="00F571A7" w:rsidRDefault="00F571A7" w:rsidP="00F571A7">
      <w:pPr>
        <w:pStyle w:val="HeadingOrange"/>
      </w:pPr>
      <w:r>
        <w:t>Unit rates</w:t>
      </w:r>
    </w:p>
    <w:p w14:paraId="02D6E5F0" w14:textId="4C7ED216" w:rsidR="00F571A7" w:rsidRDefault="00F571A7" w:rsidP="00F571A7">
      <w:r>
        <w:t xml:space="preserve">To forecast unit rates, AusNet undertook an analysis at the individual post code level taking into account location conditions such as traffic and ground conditions. </w:t>
      </w:r>
      <w:r>
        <w:fldChar w:fldCharType="begin"/>
      </w:r>
      <w:r>
        <w:instrText xml:space="preserve"> REF _Ref482699746 \h </w:instrText>
      </w:r>
      <w:r>
        <w:fldChar w:fldCharType="separate"/>
      </w:r>
      <w:r w:rsidR="00745B71">
        <w:t xml:space="preserve">Table </w:t>
      </w:r>
      <w:r w:rsidR="00745B71">
        <w:rPr>
          <w:noProof/>
        </w:rPr>
        <w:t>6</w:t>
      </w:r>
      <w:r w:rsidR="00745B71">
        <w:t>.</w:t>
      </w:r>
      <w:r w:rsidR="00745B71">
        <w:rPr>
          <w:noProof/>
        </w:rPr>
        <w:t>6</w:t>
      </w:r>
      <w:r>
        <w:fldChar w:fldCharType="end"/>
      </w:r>
      <w:r>
        <w:t xml:space="preserve"> shows AusNet's forecast unit rates for its low pressure and medium pressure programs.</w:t>
      </w:r>
    </w:p>
    <w:p w14:paraId="0D0DC19D" w14:textId="5DA91061" w:rsidR="00F571A7" w:rsidRDefault="00F571A7" w:rsidP="00F571A7">
      <w:pPr>
        <w:pStyle w:val="Caption"/>
      </w:pPr>
      <w:bookmarkStart w:id="177" w:name="_Ref482699746"/>
      <w:r>
        <w:t xml:space="preserve">Table </w:t>
      </w:r>
      <w:fldSimple w:instr=" STYLEREF 1 \s ">
        <w:r w:rsidR="00745B71">
          <w:rPr>
            <w:noProof/>
          </w:rPr>
          <w:t>6</w:t>
        </w:r>
      </w:fldSimple>
      <w:r w:rsidR="00147A09">
        <w:t>.</w:t>
      </w:r>
      <w:fldSimple w:instr=" SEQ Table \* ARABIC \s 1 ">
        <w:r w:rsidR="00745B71">
          <w:rPr>
            <w:noProof/>
          </w:rPr>
          <w:t>6</w:t>
        </w:r>
      </w:fldSimple>
      <w:bookmarkEnd w:id="177"/>
      <w:r>
        <w:t xml:space="preserve"> </w:t>
      </w:r>
      <w:r w:rsidR="00A50360">
        <w:tab/>
      </w:r>
      <w:r>
        <w:t>Low pressure and medium pressure unit rates ($2017)</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F571A7" w14:paraId="74412988" w14:textId="77777777" w:rsidTr="00B92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14:paraId="27B0E504" w14:textId="77777777" w:rsidR="00F571A7" w:rsidRDefault="00F571A7" w:rsidP="00F571A7"/>
        </w:tc>
        <w:tc>
          <w:tcPr>
            <w:tcW w:w="1449" w:type="dxa"/>
          </w:tcPr>
          <w:p w14:paraId="484E802D" w14:textId="77777777" w:rsidR="00F571A7" w:rsidRPr="00F571A7" w:rsidRDefault="00F571A7" w:rsidP="00F571A7">
            <w:pPr>
              <w:cnfStyle w:val="100000000000" w:firstRow="1" w:lastRow="0" w:firstColumn="0" w:lastColumn="0" w:oddVBand="0" w:evenVBand="0" w:oddHBand="0" w:evenHBand="0" w:firstRowFirstColumn="0" w:firstRowLastColumn="0" w:lastRowFirstColumn="0" w:lastRowLastColumn="0"/>
            </w:pPr>
            <w:r>
              <w:t>2018</w:t>
            </w:r>
          </w:p>
        </w:tc>
        <w:tc>
          <w:tcPr>
            <w:tcW w:w="1449" w:type="dxa"/>
          </w:tcPr>
          <w:p w14:paraId="06982142" w14:textId="77777777" w:rsidR="00F571A7" w:rsidRPr="00F571A7" w:rsidRDefault="00F571A7" w:rsidP="00F571A7">
            <w:pPr>
              <w:cnfStyle w:val="100000000000" w:firstRow="1" w:lastRow="0" w:firstColumn="0" w:lastColumn="0" w:oddVBand="0" w:evenVBand="0" w:oddHBand="0" w:evenHBand="0" w:firstRowFirstColumn="0" w:firstRowLastColumn="0" w:lastRowFirstColumn="0" w:lastRowLastColumn="0"/>
            </w:pPr>
            <w:r>
              <w:t>2019</w:t>
            </w:r>
          </w:p>
        </w:tc>
        <w:tc>
          <w:tcPr>
            <w:tcW w:w="1449" w:type="dxa"/>
          </w:tcPr>
          <w:p w14:paraId="15408B77" w14:textId="77777777" w:rsidR="00F571A7" w:rsidRPr="00F571A7" w:rsidRDefault="00F571A7" w:rsidP="00F571A7">
            <w:pPr>
              <w:cnfStyle w:val="100000000000" w:firstRow="1" w:lastRow="0" w:firstColumn="0" w:lastColumn="0" w:oddVBand="0" w:evenVBand="0" w:oddHBand="0" w:evenHBand="0" w:firstRowFirstColumn="0" w:firstRowLastColumn="0" w:lastRowFirstColumn="0" w:lastRowLastColumn="0"/>
            </w:pPr>
            <w:r>
              <w:t>2020</w:t>
            </w:r>
          </w:p>
        </w:tc>
        <w:tc>
          <w:tcPr>
            <w:tcW w:w="1449" w:type="dxa"/>
          </w:tcPr>
          <w:p w14:paraId="68330754" w14:textId="77777777" w:rsidR="00F571A7" w:rsidRPr="00F571A7" w:rsidRDefault="00F571A7" w:rsidP="00F571A7">
            <w:pPr>
              <w:cnfStyle w:val="100000000000" w:firstRow="1" w:lastRow="0" w:firstColumn="0" w:lastColumn="0" w:oddVBand="0" w:evenVBand="0" w:oddHBand="0" w:evenHBand="0" w:firstRowFirstColumn="0" w:firstRowLastColumn="0" w:lastRowFirstColumn="0" w:lastRowLastColumn="0"/>
            </w:pPr>
            <w:r>
              <w:t>2021</w:t>
            </w:r>
          </w:p>
        </w:tc>
        <w:tc>
          <w:tcPr>
            <w:tcW w:w="1449" w:type="dxa"/>
          </w:tcPr>
          <w:p w14:paraId="08AD1D13" w14:textId="77777777" w:rsidR="00F571A7" w:rsidRPr="00F571A7" w:rsidRDefault="00F571A7" w:rsidP="00F571A7">
            <w:pPr>
              <w:cnfStyle w:val="100000000000" w:firstRow="1" w:lastRow="0" w:firstColumn="0" w:lastColumn="0" w:oddVBand="0" w:evenVBand="0" w:oddHBand="0" w:evenHBand="0" w:firstRowFirstColumn="0" w:firstRowLastColumn="0" w:lastRowFirstColumn="0" w:lastRowLastColumn="0"/>
            </w:pPr>
            <w:r>
              <w:t>2022</w:t>
            </w:r>
          </w:p>
        </w:tc>
      </w:tr>
      <w:tr w:rsidR="00F571A7" w14:paraId="4EC302D5" w14:textId="77777777" w:rsidTr="00B92079">
        <w:tc>
          <w:tcPr>
            <w:cnfStyle w:val="001000000000" w:firstRow="0" w:lastRow="0" w:firstColumn="1" w:lastColumn="0" w:oddVBand="0" w:evenVBand="0" w:oddHBand="0" w:evenHBand="0" w:firstRowFirstColumn="0" w:firstRowLastColumn="0" w:lastRowFirstColumn="0" w:lastRowLastColumn="0"/>
            <w:tcW w:w="1448" w:type="dxa"/>
          </w:tcPr>
          <w:p w14:paraId="02E33920" w14:textId="77777777" w:rsidR="00F571A7" w:rsidRPr="00F571A7" w:rsidRDefault="00F571A7" w:rsidP="00F571A7">
            <w:r>
              <w:t>Low pressure</w:t>
            </w:r>
          </w:p>
        </w:tc>
        <w:tc>
          <w:tcPr>
            <w:tcW w:w="1449" w:type="dxa"/>
          </w:tcPr>
          <w:p w14:paraId="621337B2" w14:textId="77777777" w:rsidR="00F571A7" w:rsidRPr="00F571A7" w:rsidRDefault="00F571A7" w:rsidP="00F571A7">
            <w:pPr>
              <w:cnfStyle w:val="000000000000" w:firstRow="0" w:lastRow="0" w:firstColumn="0" w:lastColumn="0" w:oddVBand="0" w:evenVBand="0" w:oddHBand="0" w:evenHBand="0" w:firstRowFirstColumn="0" w:firstRowLastColumn="0" w:lastRowFirstColumn="0" w:lastRowLastColumn="0"/>
            </w:pPr>
            <w:r>
              <w:t>$</w:t>
            </w:r>
            <w:r w:rsidRPr="00F571A7">
              <w:t>284</w:t>
            </w:r>
          </w:p>
        </w:tc>
        <w:tc>
          <w:tcPr>
            <w:tcW w:w="1449" w:type="dxa"/>
          </w:tcPr>
          <w:p w14:paraId="164C94EA" w14:textId="77777777" w:rsidR="00F571A7" w:rsidRPr="00F571A7" w:rsidRDefault="00F571A7" w:rsidP="00F571A7">
            <w:pPr>
              <w:cnfStyle w:val="000000000000" w:firstRow="0" w:lastRow="0" w:firstColumn="0" w:lastColumn="0" w:oddVBand="0" w:evenVBand="0" w:oddHBand="0" w:evenHBand="0" w:firstRowFirstColumn="0" w:firstRowLastColumn="0" w:lastRowFirstColumn="0" w:lastRowLastColumn="0"/>
            </w:pPr>
            <w:r>
              <w:t>$</w:t>
            </w:r>
            <w:r w:rsidRPr="00F571A7">
              <w:t>266</w:t>
            </w:r>
          </w:p>
        </w:tc>
        <w:tc>
          <w:tcPr>
            <w:tcW w:w="1449" w:type="dxa"/>
          </w:tcPr>
          <w:p w14:paraId="12F9990C" w14:textId="77777777" w:rsidR="00F571A7" w:rsidRPr="00F571A7" w:rsidRDefault="00F571A7" w:rsidP="00F571A7">
            <w:pPr>
              <w:cnfStyle w:val="000000000000" w:firstRow="0" w:lastRow="0" w:firstColumn="0" w:lastColumn="0" w:oddVBand="0" w:evenVBand="0" w:oddHBand="0" w:evenHBand="0" w:firstRowFirstColumn="0" w:firstRowLastColumn="0" w:lastRowFirstColumn="0" w:lastRowLastColumn="0"/>
            </w:pPr>
            <w:r>
              <w:t>$</w:t>
            </w:r>
            <w:r w:rsidRPr="00F571A7">
              <w:t>276</w:t>
            </w:r>
          </w:p>
        </w:tc>
        <w:tc>
          <w:tcPr>
            <w:tcW w:w="1449" w:type="dxa"/>
          </w:tcPr>
          <w:p w14:paraId="0C711224" w14:textId="77777777" w:rsidR="00F571A7" w:rsidRPr="00F571A7" w:rsidRDefault="00F571A7" w:rsidP="00F571A7">
            <w:pPr>
              <w:cnfStyle w:val="000000000000" w:firstRow="0" w:lastRow="0" w:firstColumn="0" w:lastColumn="0" w:oddVBand="0" w:evenVBand="0" w:oddHBand="0" w:evenHBand="0" w:firstRowFirstColumn="0" w:firstRowLastColumn="0" w:lastRowFirstColumn="0" w:lastRowLastColumn="0"/>
            </w:pPr>
            <w:r>
              <w:t>$</w:t>
            </w:r>
            <w:r w:rsidRPr="00F571A7">
              <w:t>235</w:t>
            </w:r>
          </w:p>
        </w:tc>
        <w:tc>
          <w:tcPr>
            <w:tcW w:w="1449" w:type="dxa"/>
          </w:tcPr>
          <w:p w14:paraId="68D1AC11" w14:textId="77777777" w:rsidR="00F571A7" w:rsidRPr="00F571A7" w:rsidRDefault="00F571A7" w:rsidP="00F571A7">
            <w:pPr>
              <w:cnfStyle w:val="000000000000" w:firstRow="0" w:lastRow="0" w:firstColumn="0" w:lastColumn="0" w:oddVBand="0" w:evenVBand="0" w:oddHBand="0" w:evenHBand="0" w:firstRowFirstColumn="0" w:firstRowLastColumn="0" w:lastRowFirstColumn="0" w:lastRowLastColumn="0"/>
            </w:pPr>
            <w:r>
              <w:t>$</w:t>
            </w:r>
            <w:r w:rsidRPr="00F571A7">
              <w:t>223</w:t>
            </w:r>
          </w:p>
        </w:tc>
      </w:tr>
      <w:tr w:rsidR="00F571A7" w14:paraId="067DD00F" w14:textId="77777777" w:rsidTr="00B920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14:paraId="2A508C7B" w14:textId="77777777" w:rsidR="00F571A7" w:rsidRPr="00F571A7" w:rsidRDefault="00F571A7" w:rsidP="00F571A7">
            <w:r>
              <w:t>Medium pressure</w:t>
            </w:r>
          </w:p>
        </w:tc>
        <w:tc>
          <w:tcPr>
            <w:tcW w:w="1449" w:type="dxa"/>
          </w:tcPr>
          <w:p w14:paraId="6F2A221F" w14:textId="77777777" w:rsidR="00F571A7" w:rsidRPr="00F571A7" w:rsidRDefault="00F571A7" w:rsidP="00F571A7">
            <w:pPr>
              <w:cnfStyle w:val="000000010000" w:firstRow="0" w:lastRow="0" w:firstColumn="0" w:lastColumn="0" w:oddVBand="0" w:evenVBand="0" w:oddHBand="0" w:evenHBand="1" w:firstRowFirstColumn="0" w:firstRowLastColumn="0" w:lastRowFirstColumn="0" w:lastRowLastColumn="0"/>
            </w:pPr>
            <w:r>
              <w:t>$303</w:t>
            </w:r>
          </w:p>
        </w:tc>
        <w:tc>
          <w:tcPr>
            <w:tcW w:w="1449" w:type="dxa"/>
          </w:tcPr>
          <w:p w14:paraId="3E6BFE7E" w14:textId="77777777" w:rsidR="00F571A7" w:rsidRPr="00F571A7" w:rsidRDefault="00F571A7" w:rsidP="00F571A7">
            <w:pPr>
              <w:cnfStyle w:val="000000010000" w:firstRow="0" w:lastRow="0" w:firstColumn="0" w:lastColumn="0" w:oddVBand="0" w:evenVBand="0" w:oddHBand="0" w:evenHBand="1" w:firstRowFirstColumn="0" w:firstRowLastColumn="0" w:lastRowFirstColumn="0" w:lastRowLastColumn="0"/>
            </w:pPr>
            <w:r>
              <w:t>$283</w:t>
            </w:r>
          </w:p>
        </w:tc>
        <w:tc>
          <w:tcPr>
            <w:tcW w:w="1449" w:type="dxa"/>
          </w:tcPr>
          <w:p w14:paraId="500EEB95" w14:textId="77777777" w:rsidR="00F571A7" w:rsidRPr="00F571A7" w:rsidRDefault="00F571A7" w:rsidP="00F571A7">
            <w:pPr>
              <w:cnfStyle w:val="000000010000" w:firstRow="0" w:lastRow="0" w:firstColumn="0" w:lastColumn="0" w:oddVBand="0" w:evenVBand="0" w:oddHBand="0" w:evenHBand="1" w:firstRowFirstColumn="0" w:firstRowLastColumn="0" w:lastRowFirstColumn="0" w:lastRowLastColumn="0"/>
            </w:pPr>
            <w:r>
              <w:t>$299</w:t>
            </w:r>
          </w:p>
        </w:tc>
        <w:tc>
          <w:tcPr>
            <w:tcW w:w="1449" w:type="dxa"/>
          </w:tcPr>
          <w:p w14:paraId="67709BBA" w14:textId="77777777" w:rsidR="00F571A7" w:rsidRPr="00F571A7" w:rsidRDefault="00F571A7" w:rsidP="00F571A7">
            <w:pPr>
              <w:cnfStyle w:val="000000010000" w:firstRow="0" w:lastRow="0" w:firstColumn="0" w:lastColumn="0" w:oddVBand="0" w:evenVBand="0" w:oddHBand="0" w:evenHBand="1" w:firstRowFirstColumn="0" w:firstRowLastColumn="0" w:lastRowFirstColumn="0" w:lastRowLastColumn="0"/>
            </w:pPr>
            <w:r>
              <w:t>$361</w:t>
            </w:r>
          </w:p>
        </w:tc>
        <w:tc>
          <w:tcPr>
            <w:tcW w:w="1449" w:type="dxa"/>
          </w:tcPr>
          <w:p w14:paraId="66131E49" w14:textId="5193EBF0" w:rsidR="00F571A7" w:rsidRPr="00F571A7" w:rsidRDefault="00F571A7" w:rsidP="00F571A7">
            <w:pPr>
              <w:cnfStyle w:val="000000010000" w:firstRow="0" w:lastRow="0" w:firstColumn="0" w:lastColumn="0" w:oddVBand="0" w:evenVBand="0" w:oddHBand="0" w:evenHBand="1" w:firstRowFirstColumn="0" w:firstRowLastColumn="0" w:lastRowFirstColumn="0" w:lastRowLastColumn="0"/>
            </w:pPr>
            <w:r>
              <w:t>$</w:t>
            </w:r>
            <w:r w:rsidRPr="00F571A7">
              <w:t>4</w:t>
            </w:r>
            <w:r w:rsidR="006F59C1">
              <w:t>9</w:t>
            </w:r>
            <w:r w:rsidRPr="00F571A7">
              <w:t>9</w:t>
            </w:r>
          </w:p>
        </w:tc>
      </w:tr>
    </w:tbl>
    <w:p w14:paraId="260293D6" w14:textId="521346F9" w:rsidR="00F571A7" w:rsidRDefault="00F571A7" w:rsidP="00F571A7">
      <w:pPr>
        <w:pStyle w:val="AERtablesource"/>
      </w:pPr>
      <w:r w:rsidRPr="00F571A7">
        <w:t xml:space="preserve">Source: AusNet Services, </w:t>
      </w:r>
      <w:r w:rsidRPr="004131F9">
        <w:rPr>
          <w:rStyle w:val="AERtextitalic"/>
        </w:rPr>
        <w:t>Appendix 6E: Mains and services strategy</w:t>
      </w:r>
      <w:r w:rsidRPr="00F571A7">
        <w:t xml:space="preserve">, </w:t>
      </w:r>
      <w:r w:rsidR="00F0127A">
        <w:t>21</w:t>
      </w:r>
      <w:r w:rsidR="00F0127A" w:rsidRPr="00F571A7">
        <w:t xml:space="preserve"> </w:t>
      </w:r>
      <w:r w:rsidRPr="00F571A7">
        <w:t>December 2016, p. 38</w:t>
      </w:r>
      <w:r w:rsidR="006F59C1">
        <w:t xml:space="preserve"> (updated in</w:t>
      </w:r>
      <w:r w:rsidR="00F0127A">
        <w:t xml:space="preserve"> AusNet Services</w:t>
      </w:r>
      <w:r w:rsidR="00F0127A" w:rsidRPr="004131F9">
        <w:rPr>
          <w:rStyle w:val="AERtextitalic"/>
        </w:rPr>
        <w:t>, R</w:t>
      </w:r>
      <w:r w:rsidR="006F59C1" w:rsidRPr="004131F9">
        <w:rPr>
          <w:rStyle w:val="AERtextitalic"/>
        </w:rPr>
        <w:t>esponse to information request 3</w:t>
      </w:r>
      <w:r w:rsidR="00F0127A">
        <w:t xml:space="preserve">, </w:t>
      </w:r>
      <w:proofErr w:type="gramStart"/>
      <w:r w:rsidR="00F0127A">
        <w:t>21</w:t>
      </w:r>
      <w:proofErr w:type="gramEnd"/>
      <w:r w:rsidR="00F0127A">
        <w:t xml:space="preserve"> February 2017</w:t>
      </w:r>
      <w:r w:rsidR="006F59C1">
        <w:t>)</w:t>
      </w:r>
      <w:r>
        <w:t>.</w:t>
      </w:r>
    </w:p>
    <w:p w14:paraId="12B8BD91" w14:textId="251549BC" w:rsidR="00711501" w:rsidRPr="00711501" w:rsidRDefault="00711501" w:rsidP="00711501">
      <w:r w:rsidRPr="00711501">
        <w:t>AusNet proposed a unit rate profile for its low pressure mains replacement that increases in the first few years of the period and then decreases. This is due to the proposed completion of complex inner suburban postcodes. Once these complex postcodes are complete AusNet submitted that its unit rates will decrease as the program moves into regional towns. However, compared to the block renewal approach, AusNet submitted that it expects medium pressure unit rates to increase as it moves to the more expensive like for like replacement.</w:t>
      </w:r>
      <w:r>
        <w:rPr>
          <w:rStyle w:val="FootnoteReference"/>
        </w:rPr>
        <w:footnoteReference w:id="41"/>
      </w:r>
      <w:r w:rsidRPr="00711501">
        <w:t xml:space="preserve"> </w:t>
      </w:r>
    </w:p>
    <w:p w14:paraId="544D2EAE" w14:textId="61900404" w:rsidR="00711501" w:rsidRPr="00711501" w:rsidRDefault="00711501" w:rsidP="00711501">
      <w:r w:rsidRPr="00711501">
        <w:t>AusNet's unit rates are based on historical data where replacements have been undertaken recently. Where no historical data is available, AusNet estimates unit rates taking into account local complexities.</w:t>
      </w:r>
      <w:r>
        <w:rPr>
          <w:rStyle w:val="FootnoteReference"/>
        </w:rPr>
        <w:footnoteReference w:id="42"/>
      </w:r>
      <w:r w:rsidRPr="00711501">
        <w:t xml:space="preserve"> In response to an information request, AusNet:</w:t>
      </w:r>
    </w:p>
    <w:p w14:paraId="30049C3C" w14:textId="77777777" w:rsidR="00711501" w:rsidRPr="00711501" w:rsidRDefault="00711501" w:rsidP="00711501">
      <w:pPr>
        <w:pStyle w:val="AERbulletlistfirststyle"/>
      </w:pPr>
      <w:r w:rsidRPr="00711501">
        <w:t>submitted further information about its new low pressure mains replacement contracts and additional calculations on how it estimated unit rates,</w:t>
      </w:r>
    </w:p>
    <w:p w14:paraId="3BEA672A" w14:textId="19DC24F7" w:rsidR="00711501" w:rsidRPr="00711501" w:rsidRDefault="00711501" w:rsidP="00711501">
      <w:pPr>
        <w:pStyle w:val="AERbulletlistfirststyle"/>
      </w:pPr>
      <w:r w:rsidRPr="00711501">
        <w:t>clarified that its medium pressure unit rate for 2022 should be $499 per metre instead of $338 per metre</w:t>
      </w:r>
      <w:r>
        <w:rPr>
          <w:rStyle w:val="FootnoteReference"/>
        </w:rPr>
        <w:footnoteReference w:id="43"/>
      </w:r>
      <w:r w:rsidRPr="00711501">
        <w:t xml:space="preserve"> and,</w:t>
      </w:r>
    </w:p>
    <w:p w14:paraId="2A848708" w14:textId="77777777" w:rsidR="00711501" w:rsidRPr="00711501" w:rsidRDefault="00711501" w:rsidP="00711501">
      <w:pPr>
        <w:pStyle w:val="AERbulletlistfirststyle"/>
      </w:pPr>
      <w:r w:rsidRPr="00711501">
        <w:t xml:space="preserve">provided updated contract information which reflected negotiations that took place after it submitted its initial proposal and potential new tendered unit rates (which were not reflected in its initial proposal). </w:t>
      </w:r>
    </w:p>
    <w:p w14:paraId="393D1067" w14:textId="77777777" w:rsidR="00711501" w:rsidRPr="00711501" w:rsidRDefault="00711501" w:rsidP="00711501">
      <w:r w:rsidRPr="00711501">
        <w:t xml:space="preserve">We expect the outcomes of any new tendered unit rates to be reflected in AusNet’s revised access arrangement proposal. </w:t>
      </w:r>
    </w:p>
    <w:p w14:paraId="4C4B0DD8" w14:textId="78EFFB67" w:rsidR="00084834" w:rsidRDefault="00711501" w:rsidP="00711501">
      <w:r w:rsidRPr="00711501">
        <w:t>Zincara advised that AusNet's proposed unit rates are reasonable. On the basis of Zincara’s advice and the other information before us, we consider AusNet's forecast unit rates represent the best forecast possible in the circumstances.</w:t>
      </w:r>
      <w:r>
        <w:rPr>
          <w:rStyle w:val="FootnoteReference"/>
        </w:rPr>
        <w:footnoteReference w:id="44"/>
      </w:r>
    </w:p>
    <w:p w14:paraId="4E7467CC" w14:textId="77777777" w:rsidR="00DE38FF" w:rsidRPr="002C0A99" w:rsidRDefault="00B3728C" w:rsidP="00DE38FF">
      <w:pPr>
        <w:pStyle w:val="HeadingBoldBlue"/>
      </w:pPr>
      <w:r>
        <w:t>Connections</w:t>
      </w:r>
    </w:p>
    <w:p w14:paraId="62BED11A" w14:textId="77777777" w:rsidR="00DE38FF" w:rsidRPr="002C0A99" w:rsidRDefault="00DE38FF" w:rsidP="00DE38FF">
      <w:r w:rsidRPr="002C0A99">
        <w:t>Distribution businesses have a regulatory obligation to make a connection offer to residential and commercial/industrial customers making application to connect to its distribution network.</w:t>
      </w:r>
      <w:r>
        <w:rPr>
          <w:rStyle w:val="FootnoteReference"/>
        </w:rPr>
        <w:footnoteReference w:id="45"/>
      </w:r>
      <w:r w:rsidRPr="002C0A99">
        <w:t xml:space="preserve">  </w:t>
      </w:r>
    </w:p>
    <w:p w14:paraId="4D68C409" w14:textId="77777777" w:rsidR="00DE38FF" w:rsidRDefault="00DE38FF" w:rsidP="00DE38FF">
      <w:r w:rsidRPr="004C4F54">
        <w:t>Connections capex is usually forecast by categorising connections into Tariff V (</w:t>
      </w:r>
      <w:r>
        <w:t>residential customers, and small commercial and industrial (I&amp;C) customers</w:t>
      </w:r>
      <w:r>
        <w:rPr>
          <w:rStyle w:val="FootnoteReference"/>
        </w:rPr>
        <w:footnoteReference w:id="46"/>
      </w:r>
      <w:r w:rsidRPr="004C4F54">
        <w:t xml:space="preserve">) and Tariff D </w:t>
      </w:r>
      <w:r>
        <w:t>(large I&amp;C customers</w:t>
      </w:r>
      <w:r>
        <w:rPr>
          <w:rStyle w:val="FootnoteReference"/>
        </w:rPr>
        <w:footnoteReference w:id="47"/>
      </w:r>
      <w:r w:rsidRPr="004C4F54">
        <w:t xml:space="preserve">). </w:t>
      </w:r>
      <w:r>
        <w:t xml:space="preserve">Residential </w:t>
      </w:r>
      <w:r w:rsidRPr="002C0A99">
        <w:t xml:space="preserve">customers </w:t>
      </w:r>
      <w:r>
        <w:t>can be disaggregated</w:t>
      </w:r>
      <w:r w:rsidRPr="002C0A99">
        <w:t xml:space="preserve"> </w:t>
      </w:r>
      <w:r>
        <w:t xml:space="preserve">further </w:t>
      </w:r>
      <w:r w:rsidRPr="002C0A99">
        <w:t>into existing homes</w:t>
      </w:r>
      <w:r>
        <w:rPr>
          <w:rStyle w:val="FootnoteReference"/>
        </w:rPr>
        <w:footnoteReference w:id="48"/>
      </w:r>
      <w:r w:rsidRPr="002C0A99">
        <w:t>, new estates,</w:t>
      </w:r>
      <w:r>
        <w:t xml:space="preserve"> and</w:t>
      </w:r>
      <w:r w:rsidRPr="002C0A99">
        <w:t xml:space="preserve"> </w:t>
      </w:r>
      <w:r>
        <w:t>medium/high density (or multi-user) dwellings.</w:t>
      </w:r>
    </w:p>
    <w:p w14:paraId="68DDD687" w14:textId="1949513A" w:rsidR="00DE38FF" w:rsidRDefault="00DE38FF" w:rsidP="00DE38FF">
      <w:r w:rsidRPr="004C4F54">
        <w:t>For each connection type (</w:t>
      </w:r>
      <w:r>
        <w:t>overall residential, new home, I&amp;C</w:t>
      </w:r>
      <w:r w:rsidRPr="004C4F54">
        <w:t xml:space="preserve"> etc.), connections capex is derived by multiplying the forecast unit rate for that connection type by the forecast volume of new connections.</w:t>
      </w:r>
    </w:p>
    <w:p w14:paraId="217BF14E" w14:textId="15F10B34" w:rsidR="00DE38FF" w:rsidRDefault="00DE38FF" w:rsidP="00DE38FF">
      <w:r w:rsidRPr="008E7B69">
        <w:t>We have included $</w:t>
      </w:r>
      <w:r>
        <w:t>191.2</w:t>
      </w:r>
      <w:r w:rsidRPr="008E7B69">
        <w:t xml:space="preserve"> million ($201</w:t>
      </w:r>
      <w:r>
        <w:t>7</w:t>
      </w:r>
      <w:r w:rsidRPr="008E7B69">
        <w:t>, unescalated direct costs) of connections capex in our alternative estimate. We consider that this amount is conforming capex.</w:t>
      </w:r>
      <w:r w:rsidR="001C0B27">
        <w:rPr>
          <w:rStyle w:val="FootnoteReference"/>
        </w:rPr>
        <w:footnoteReference w:id="49"/>
      </w:r>
      <w:r w:rsidRPr="008E7B69">
        <w:t xml:space="preserve"> This is lower than </w:t>
      </w:r>
      <w:r w:rsidR="008B241E">
        <w:t>AusNet's</w:t>
      </w:r>
      <w:r w:rsidRPr="008E7B69">
        <w:t xml:space="preserve"> forecast capex of $</w:t>
      </w:r>
      <w:r>
        <w:t>193.8</w:t>
      </w:r>
      <w:r w:rsidRPr="008E7B69">
        <w:t xml:space="preserve"> million ($201</w:t>
      </w:r>
      <w:r>
        <w:t>7</w:t>
      </w:r>
      <w:r w:rsidRPr="008E7B69">
        <w:t xml:space="preserve">, unescalated direct costs). Our reduction of </w:t>
      </w:r>
      <w:r>
        <w:t>1</w:t>
      </w:r>
      <w:r w:rsidRPr="008E7B69">
        <w:t>.</w:t>
      </w:r>
      <w:r w:rsidR="00F87D4D">
        <w:t>4</w:t>
      </w:r>
      <w:r w:rsidRPr="008E7B69">
        <w:t xml:space="preserve"> per cent </w:t>
      </w:r>
      <w:r w:rsidR="0056346D">
        <w:t>reflects that we have approved total opex that does not include AusNet's</w:t>
      </w:r>
      <w:r>
        <w:t xml:space="preserve"> proposed </w:t>
      </w:r>
      <w:r w:rsidR="00110FB0">
        <w:t xml:space="preserve">forecast </w:t>
      </w:r>
      <w:r>
        <w:t xml:space="preserve">opex for </w:t>
      </w:r>
      <w:r w:rsidR="00321C33">
        <w:t xml:space="preserve">its </w:t>
      </w:r>
      <w:r>
        <w:t xml:space="preserve">marketing </w:t>
      </w:r>
      <w:r w:rsidR="0056346D">
        <w:t>program</w:t>
      </w:r>
      <w:r>
        <w:t>.</w:t>
      </w:r>
    </w:p>
    <w:p w14:paraId="2AE50545" w14:textId="77777777" w:rsidR="001C0B27" w:rsidRDefault="001C0B27" w:rsidP="001C0B27">
      <w:r>
        <w:t>We have assessed whether AusNet’s proposed forecast connection volumes and unit rates are reasonable and the best forecasts possible in the circumstances as part of arriving at our position on conforming capex in this draft decision.</w:t>
      </w:r>
      <w:r>
        <w:rPr>
          <w:rStyle w:val="FootnoteReference"/>
        </w:rPr>
        <w:footnoteReference w:id="50"/>
      </w:r>
    </w:p>
    <w:p w14:paraId="5DA61C56" w14:textId="77777777" w:rsidR="00DE38FF" w:rsidRDefault="00DE38FF" w:rsidP="00DE38FF">
      <w:pPr>
        <w:pStyle w:val="HeadingBoldItalic"/>
      </w:pPr>
      <w:r>
        <w:t>Volumes</w:t>
      </w:r>
    </w:p>
    <w:p w14:paraId="4899F705" w14:textId="64D46073" w:rsidR="00DE38FF" w:rsidRDefault="00D1037D" w:rsidP="00DE38FF">
      <w:r>
        <w:t>Based on all the information before us, including a review</w:t>
      </w:r>
      <w:r w:rsidR="00DE38FF">
        <w:t xml:space="preserve"> from our consultant ACIL Allen, </w:t>
      </w:r>
      <w:r>
        <w:t xml:space="preserve">we </w:t>
      </w:r>
      <w:r w:rsidR="0056346D">
        <w:t>accept</w:t>
      </w:r>
      <w:r w:rsidR="00DE38FF">
        <w:t xml:space="preserve"> the methodology used to forecast connection volumes on </w:t>
      </w:r>
      <w:r w:rsidR="008B241E">
        <w:t>AusNet's</w:t>
      </w:r>
      <w:r w:rsidR="00DE38FF">
        <w:t xml:space="preserve"> network.</w:t>
      </w:r>
      <w:r w:rsidR="001C0B27">
        <w:rPr>
          <w:rStyle w:val="FootnoteReference"/>
        </w:rPr>
        <w:footnoteReference w:id="51"/>
      </w:r>
      <w:r w:rsidR="00DE38FF">
        <w:t xml:space="preserve"> However, we do not accept the additional connection volume associated with </w:t>
      </w:r>
      <w:r w:rsidR="001C0B27">
        <w:t xml:space="preserve">AusNet’s proposed marketing </w:t>
      </w:r>
      <w:r w:rsidR="00DE38FF">
        <w:t xml:space="preserve">program. </w:t>
      </w:r>
    </w:p>
    <w:p w14:paraId="55A6443F" w14:textId="099B33D8" w:rsidR="00DE38FF" w:rsidRDefault="008B241E" w:rsidP="00DE38FF">
      <w:r>
        <w:t>AusNet</w:t>
      </w:r>
      <w:r w:rsidR="00DE38FF">
        <w:t xml:space="preserve"> engaged the Centre for International Economics (CIE) to forecast connection volumes on its network. Attachment 13 sets out CIE's forecasting methodology for Tariff V connection volumes. The attachment also sets out the reasons for </w:t>
      </w:r>
      <w:r w:rsidR="001C0B27">
        <w:t xml:space="preserve">accepting </w:t>
      </w:r>
      <w:r w:rsidR="00DE38FF">
        <w:t xml:space="preserve">CIE's methodology. </w:t>
      </w:r>
    </w:p>
    <w:p w14:paraId="6694FF06" w14:textId="77777777" w:rsidR="00DE38FF" w:rsidRDefault="00DE38FF" w:rsidP="00DE38FF">
      <w:r>
        <w:t xml:space="preserve">In summary, </w:t>
      </w:r>
      <w:r w:rsidR="008B241E">
        <w:t>AusNet</w:t>
      </w:r>
      <w:r>
        <w:t xml:space="preserve"> forecast</w:t>
      </w:r>
      <w:r w:rsidR="00051E66">
        <w:t>s</w:t>
      </w:r>
      <w:r>
        <w:t xml:space="preserve"> </w:t>
      </w:r>
      <w:r w:rsidRPr="00CB0474">
        <w:t xml:space="preserve">an increase in total </w:t>
      </w:r>
      <w:r>
        <w:t>net residential</w:t>
      </w:r>
      <w:r w:rsidRPr="00CB0474">
        <w:t xml:space="preserve"> </w:t>
      </w:r>
      <w:r>
        <w:t xml:space="preserve">and I&amp;C </w:t>
      </w:r>
      <w:r w:rsidRPr="00CB0474">
        <w:t>connection</w:t>
      </w:r>
      <w:r>
        <w:t>s</w:t>
      </w:r>
      <w:r w:rsidRPr="00CB0474">
        <w:t xml:space="preserve"> </w:t>
      </w:r>
      <w:r>
        <w:t xml:space="preserve">of 2.11 and 0.97 </w:t>
      </w:r>
      <w:r w:rsidRPr="00CB0474">
        <w:t>per cent</w:t>
      </w:r>
      <w:r>
        <w:t xml:space="preserve"> per annum respectively.</w:t>
      </w:r>
      <w:r>
        <w:rPr>
          <w:rStyle w:val="FootnoteReference"/>
        </w:rPr>
        <w:footnoteReference w:id="52"/>
      </w:r>
      <w:r>
        <w:t xml:space="preserve"> These forecast growth rate</w:t>
      </w:r>
      <w:r w:rsidR="00E12070">
        <w:t>s</w:t>
      </w:r>
      <w:r>
        <w:t xml:space="preserve"> are similar to the 2.09 per cent (residential) and 1.01 per cent (I&amp;C) growth experienced during the current </w:t>
      </w:r>
      <w:r w:rsidR="008B241E">
        <w:t>access arrangement</w:t>
      </w:r>
      <w:r>
        <w:t xml:space="preserve"> period.</w:t>
      </w:r>
    </w:p>
    <w:p w14:paraId="7D0876B9" w14:textId="428514C9" w:rsidR="00DE38FF" w:rsidRDefault="00D1037D" w:rsidP="00DE38FF">
      <w:r>
        <w:t xml:space="preserve">While forecast net connections are relevant for demand forecasting purposes, forecast gross connections (that is, net connections plus disconnections) </w:t>
      </w:r>
      <w:r w:rsidR="008373FE">
        <w:t>are</w:t>
      </w:r>
      <w:r>
        <w:t xml:space="preserve"> used to determine connection</w:t>
      </w:r>
      <w:r w:rsidR="00B652D8">
        <w:t>s</w:t>
      </w:r>
      <w:r>
        <w:t xml:space="preserve"> capex.</w:t>
      </w:r>
      <w:r>
        <w:rPr>
          <w:rStyle w:val="FootnoteReference"/>
        </w:rPr>
        <w:footnoteReference w:id="53"/>
      </w:r>
      <w:r>
        <w:t xml:space="preserve"> </w:t>
      </w:r>
      <w:r w:rsidRPr="00097460">
        <w:t xml:space="preserve">We are satisfied that </w:t>
      </w:r>
      <w:r>
        <w:t>CIE</w:t>
      </w:r>
      <w:r w:rsidRPr="00097460">
        <w:t>'s m</w:t>
      </w:r>
      <w:r w:rsidRPr="00CF1781">
        <w:t>ethodology for forecasting gross connections</w:t>
      </w:r>
      <w:r>
        <w:t xml:space="preserve"> using an average of the historical disconnection rate</w:t>
      </w:r>
      <w:r w:rsidRPr="00CF1781">
        <w:t xml:space="preserve"> is </w:t>
      </w:r>
      <w:r w:rsidR="0056346D">
        <w:t>arrived at on a reasonable basis</w:t>
      </w:r>
      <w:r w:rsidRPr="00CF1781">
        <w:t>.</w:t>
      </w:r>
    </w:p>
    <w:p w14:paraId="48BF867A" w14:textId="5A0E3BBF" w:rsidR="00DE38FF" w:rsidRDefault="00DE38FF" w:rsidP="00DE38FF">
      <w:r>
        <w:fldChar w:fldCharType="begin"/>
      </w:r>
      <w:r>
        <w:instrText xml:space="preserve"> REF _Ref481503746 \h </w:instrText>
      </w:r>
      <w:r>
        <w:fldChar w:fldCharType="separate"/>
      </w:r>
      <w:r w:rsidR="00745B71">
        <w:t xml:space="preserve">Figure </w:t>
      </w:r>
      <w:r w:rsidR="00745B71">
        <w:rPr>
          <w:noProof/>
        </w:rPr>
        <w:t>6</w:t>
      </w:r>
      <w:r w:rsidR="00745B71">
        <w:t>.</w:t>
      </w:r>
      <w:r w:rsidR="00745B71">
        <w:rPr>
          <w:noProof/>
        </w:rPr>
        <w:t>6</w:t>
      </w:r>
      <w:r>
        <w:fldChar w:fldCharType="end"/>
      </w:r>
      <w:r>
        <w:t xml:space="preserve"> shows the historical trend</w:t>
      </w:r>
      <w:r w:rsidR="003F4E4D">
        <w:t xml:space="preserve"> and forecasts</w:t>
      </w:r>
      <w:r w:rsidR="00C34F29">
        <w:t xml:space="preserve"> of</w:t>
      </w:r>
      <w:r>
        <w:t xml:space="preserve"> </w:t>
      </w:r>
      <w:r w:rsidR="008B241E">
        <w:t>AusNet's</w:t>
      </w:r>
      <w:r>
        <w:t xml:space="preserve"> residential and I&amp;C connections. </w:t>
      </w:r>
      <w:r w:rsidR="00051E66">
        <w:t>R</w:t>
      </w:r>
      <w:r>
        <w:t>esidential connections make up the vast majority of total connections, and are forecast to steadily increase over the 2018</w:t>
      </w:r>
      <w:r w:rsidR="00221C01">
        <w:t>–</w:t>
      </w:r>
      <w:r>
        <w:t xml:space="preserve">22 </w:t>
      </w:r>
      <w:r w:rsidR="008B241E">
        <w:t>access arrangement</w:t>
      </w:r>
      <w:r>
        <w:t xml:space="preserve"> period, only to fall marginally in 2022. I&amp;C connections a</w:t>
      </w:r>
      <w:r w:rsidR="001A22B3">
        <w:t>re</w:t>
      </w:r>
      <w:r>
        <w:t xml:space="preserve"> expected to remain stable at approximately 280 connections per year.</w:t>
      </w:r>
    </w:p>
    <w:p w14:paraId="7696C61E" w14:textId="03F0EDCA" w:rsidR="00DE38FF" w:rsidRDefault="00DE38FF" w:rsidP="00DE38FF">
      <w:pPr>
        <w:pStyle w:val="Caption"/>
      </w:pPr>
      <w:bookmarkStart w:id="178" w:name="_Ref481503746"/>
      <w:r>
        <w:t xml:space="preserve">Figure </w:t>
      </w:r>
      <w:fldSimple w:instr=" STYLEREF 1 \s ">
        <w:r w:rsidR="00745B71">
          <w:rPr>
            <w:noProof/>
          </w:rPr>
          <w:t>6</w:t>
        </w:r>
      </w:fldSimple>
      <w:r w:rsidR="00A50360">
        <w:t>.</w:t>
      </w:r>
      <w:fldSimple w:instr=" SEQ Figure \* ARABIC \s 1 ">
        <w:r w:rsidR="00745B71">
          <w:rPr>
            <w:noProof/>
          </w:rPr>
          <w:t>6</w:t>
        </w:r>
      </w:fldSimple>
      <w:bookmarkEnd w:id="178"/>
      <w:r>
        <w:tab/>
      </w:r>
      <w:r w:rsidR="008B241E">
        <w:t>AusNet's</w:t>
      </w:r>
      <w:r>
        <w:t xml:space="preserve"> historical and forecast Tariff V connection volumes</w:t>
      </w:r>
    </w:p>
    <w:p w14:paraId="113B57E6" w14:textId="77777777" w:rsidR="00DE38FF" w:rsidRDefault="00DE38FF" w:rsidP="00DE38FF">
      <w:r w:rsidRPr="00DE38FF">
        <w:rPr>
          <w:noProof/>
          <w:lang w:eastAsia="en-AU"/>
        </w:rPr>
        <w:drawing>
          <wp:inline distT="0" distB="0" distL="0" distR="0" wp14:anchorId="04C80380" wp14:editId="083AEC2B">
            <wp:extent cx="5500213" cy="30670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7245" cy="3070971"/>
                    </a:xfrm>
                    <a:prstGeom prst="rect">
                      <a:avLst/>
                    </a:prstGeom>
                    <a:noFill/>
                  </pic:spPr>
                </pic:pic>
              </a:graphicData>
            </a:graphic>
          </wp:inline>
        </w:drawing>
      </w:r>
    </w:p>
    <w:p w14:paraId="2CA7D4B8" w14:textId="3921B544" w:rsidR="00DE38FF" w:rsidRDefault="00DE38FF" w:rsidP="00DE38FF">
      <w:pPr>
        <w:pStyle w:val="AERtablesource"/>
      </w:pPr>
      <w:r>
        <w:t xml:space="preserve">Source: </w:t>
      </w:r>
      <w:r w:rsidR="008B241E">
        <w:t>AusNet</w:t>
      </w:r>
      <w:r w:rsidR="00A50360">
        <w:t xml:space="preserve"> Services</w:t>
      </w:r>
      <w:r>
        <w:t xml:space="preserve">, </w:t>
      </w:r>
      <w:r w:rsidRPr="004131F9">
        <w:rPr>
          <w:rStyle w:val="AERtextitalic"/>
        </w:rPr>
        <w:t>Respo</w:t>
      </w:r>
      <w:r w:rsidR="00A50360" w:rsidRPr="004131F9">
        <w:rPr>
          <w:rStyle w:val="AERtextitalic"/>
        </w:rPr>
        <w:t xml:space="preserve">nse to information request </w:t>
      </w:r>
      <w:r w:rsidRPr="004131F9">
        <w:rPr>
          <w:rStyle w:val="AERtextitalic"/>
        </w:rPr>
        <w:t>1</w:t>
      </w:r>
      <w:r>
        <w:t xml:space="preserve">, </w:t>
      </w:r>
      <w:r w:rsidR="00F0127A">
        <w:t xml:space="preserve">1 February 2017; </w:t>
      </w:r>
      <w:r>
        <w:t>AER analysis.</w:t>
      </w:r>
    </w:p>
    <w:p w14:paraId="3D98593B" w14:textId="067B4A46" w:rsidR="00DE38FF" w:rsidRDefault="008B241E" w:rsidP="00DE38FF">
      <w:r>
        <w:t>AusNet's</w:t>
      </w:r>
      <w:r w:rsidR="00DE38FF">
        <w:t xml:space="preserve"> proposal incorporates additional capex associated with its proposed joint marketing </w:t>
      </w:r>
      <w:r w:rsidR="0056346D">
        <w:t xml:space="preserve">program </w:t>
      </w:r>
      <w:r w:rsidR="00DE38FF">
        <w:t xml:space="preserve">for an additional 264 connections </w:t>
      </w:r>
      <w:r w:rsidR="007319B6">
        <w:t xml:space="preserve">per year </w:t>
      </w:r>
      <w:r w:rsidR="00DE38FF">
        <w:t>above CIE's forecast.</w:t>
      </w:r>
      <w:r w:rsidR="00DE38FF">
        <w:rPr>
          <w:rStyle w:val="FootnoteReference"/>
        </w:rPr>
        <w:footnoteReference w:id="54"/>
      </w:r>
      <w:r w:rsidR="00DE38FF">
        <w:t xml:space="preserve"> </w:t>
      </w:r>
    </w:p>
    <w:p w14:paraId="18A403BA" w14:textId="372DA4EE" w:rsidR="00DE38FF" w:rsidRDefault="00DE38FF" w:rsidP="00DE38FF">
      <w:r>
        <w:t xml:space="preserve">As set out in Attachment 7, our position in this draft decision is </w:t>
      </w:r>
      <w:r w:rsidR="0056346D">
        <w:t>that the total opex we approve does not include</w:t>
      </w:r>
      <w:r>
        <w:t xml:space="preserve"> </w:t>
      </w:r>
      <w:r w:rsidR="008B241E">
        <w:t>AusNet's</w:t>
      </w:r>
      <w:r>
        <w:t xml:space="preserve"> </w:t>
      </w:r>
      <w:r w:rsidR="0056346D">
        <w:t xml:space="preserve">forecast </w:t>
      </w:r>
      <w:r>
        <w:t xml:space="preserve">opex for its proposed marketing </w:t>
      </w:r>
      <w:r w:rsidR="0056346D">
        <w:t>program</w:t>
      </w:r>
      <w:r>
        <w:t xml:space="preserve">. We have assessed the impact of the proposed marketing campaign on </w:t>
      </w:r>
      <w:r w:rsidR="008B241E">
        <w:t>AusNet's</w:t>
      </w:r>
      <w:r>
        <w:t xml:space="preserve"> forecast connection volumes and associated capex. Consistent with our opex decision, we have removed the additional connections from our alternative estimate, which lowers our forecast capex by $2.6 million ($2017, unescalated). </w:t>
      </w:r>
      <w:r w:rsidR="00051E66">
        <w:t>We are satisfied that AusNet’s connections forecast</w:t>
      </w:r>
      <w:r w:rsidR="0056346D">
        <w:t>,</w:t>
      </w:r>
      <w:r w:rsidR="00051E66">
        <w:t xml:space="preserve"> absent the additional connections associated with the marketing program, is </w:t>
      </w:r>
      <w:r w:rsidR="0056346D">
        <w:t xml:space="preserve">arrived at on a </w:t>
      </w:r>
      <w:r w:rsidR="00051E66">
        <w:t xml:space="preserve">reasonable </w:t>
      </w:r>
      <w:r w:rsidR="0056346D">
        <w:t xml:space="preserve">basis </w:t>
      </w:r>
      <w:r w:rsidR="00051E66">
        <w:t xml:space="preserve">and represents the best forecast possible in the circumstances, and </w:t>
      </w:r>
      <w:r w:rsidR="0056346D">
        <w:t>is consistent with the</w:t>
      </w:r>
      <w:r w:rsidR="00051E66">
        <w:t xml:space="preserve"> conforming capex</w:t>
      </w:r>
      <w:r w:rsidR="0056346D">
        <w:t xml:space="preserve"> criteria</w:t>
      </w:r>
      <w:r w:rsidR="00051E66">
        <w:t>.</w:t>
      </w:r>
      <w:r w:rsidR="00051E66">
        <w:rPr>
          <w:rStyle w:val="FootnoteReference"/>
        </w:rPr>
        <w:footnoteReference w:id="55"/>
      </w:r>
      <w:r w:rsidR="00051E66">
        <w:t xml:space="preserve">  </w:t>
      </w:r>
    </w:p>
    <w:p w14:paraId="672FC17F" w14:textId="77777777" w:rsidR="00DE38FF" w:rsidRDefault="00DE38FF" w:rsidP="00DE38FF">
      <w:pPr>
        <w:pStyle w:val="HeadingBoldItalic"/>
      </w:pPr>
      <w:r>
        <w:t>Unit rates</w:t>
      </w:r>
    </w:p>
    <w:p w14:paraId="3320974A" w14:textId="6D1D1560" w:rsidR="00BA4564" w:rsidRDefault="00BA4564" w:rsidP="00BA4564">
      <w:r>
        <w:t>We have reviewed AusNet’s</w:t>
      </w:r>
      <w:r w:rsidRPr="00F80448">
        <w:t xml:space="preserve"> forecast </w:t>
      </w:r>
      <w:r>
        <w:t xml:space="preserve">methodology and proposed unit rates for residential </w:t>
      </w:r>
      <w:r w:rsidR="00D34C60">
        <w:t xml:space="preserve">of $2,033 </w:t>
      </w:r>
      <w:r>
        <w:t xml:space="preserve">and I&amp;C connections </w:t>
      </w:r>
      <w:r w:rsidR="00D34C60">
        <w:t xml:space="preserve">of </w:t>
      </w:r>
      <w:r>
        <w:t xml:space="preserve">$23,296 ($2017, including escalation) and are satisfied that they </w:t>
      </w:r>
      <w:r w:rsidR="0056346D">
        <w:t xml:space="preserve">are arrived at on a </w:t>
      </w:r>
      <w:r>
        <w:t xml:space="preserve">reasonable </w:t>
      </w:r>
      <w:r w:rsidR="0056346D">
        <w:t xml:space="preserve">basis </w:t>
      </w:r>
      <w:r>
        <w:t>and represent the best forecasts possible in the circumstances.</w:t>
      </w:r>
      <w:r>
        <w:rPr>
          <w:rStyle w:val="FootnoteReference"/>
        </w:rPr>
        <w:footnoteReference w:id="56"/>
      </w:r>
      <w:r w:rsidR="0044789B">
        <w:t xml:space="preserve"> </w:t>
      </w:r>
    </w:p>
    <w:p w14:paraId="49BB31F2" w14:textId="35CF0512" w:rsidR="0059763D" w:rsidRDefault="00DE38FF" w:rsidP="00DE38FF">
      <w:r>
        <w:t xml:space="preserve">To forecast </w:t>
      </w:r>
      <w:r w:rsidR="0034436B">
        <w:t xml:space="preserve">its </w:t>
      </w:r>
      <w:r>
        <w:t xml:space="preserve">unit rates, </w:t>
      </w:r>
      <w:r w:rsidR="008B241E">
        <w:t>AusNet</w:t>
      </w:r>
      <w:r>
        <w:t xml:space="preserve"> </w:t>
      </w:r>
      <w:r w:rsidR="0034436B">
        <w:t xml:space="preserve">applied </w:t>
      </w:r>
      <w:r>
        <w:t xml:space="preserve">a four-year weighted average of its actual and expected unit rates </w:t>
      </w:r>
      <w:r w:rsidR="0034436B">
        <w:t xml:space="preserve">for the years </w:t>
      </w:r>
      <w:r>
        <w:t>2013</w:t>
      </w:r>
      <w:r w:rsidR="0034436B">
        <w:t xml:space="preserve"> to </w:t>
      </w:r>
      <w:r>
        <w:t xml:space="preserve">2016. From May 2015, </w:t>
      </w:r>
      <w:r w:rsidR="00481441">
        <w:t xml:space="preserve">AusNet deployed </w:t>
      </w:r>
      <w:r>
        <w:t>a new Enterprise Resource Planning system</w:t>
      </w:r>
      <w:r w:rsidR="00481441">
        <w:t xml:space="preserve"> and</w:t>
      </w:r>
      <w:r>
        <w:t xml:space="preserve"> classified contractor support costs as direct costs rather than as overheads.</w:t>
      </w:r>
      <w:r>
        <w:rPr>
          <w:rStyle w:val="FootnoteReference"/>
        </w:rPr>
        <w:footnoteReference w:id="57"/>
      </w:r>
      <w:r>
        <w:t xml:space="preserve"> Its reported </w:t>
      </w:r>
      <w:r w:rsidR="00D005B1">
        <w:t>actual</w:t>
      </w:r>
      <w:r>
        <w:t xml:space="preserve"> unit rates </w:t>
      </w:r>
      <w:r w:rsidR="00570C73">
        <w:t>prior to 2016</w:t>
      </w:r>
      <w:r>
        <w:t xml:space="preserve"> have </w:t>
      </w:r>
      <w:r w:rsidR="00570C73">
        <w:t xml:space="preserve">therefore </w:t>
      </w:r>
      <w:r>
        <w:t xml:space="preserve">been normalised to include the historical support costs in direct capex, </w:t>
      </w:r>
      <w:r w:rsidR="00481441">
        <w:t xml:space="preserve">which have increased </w:t>
      </w:r>
      <w:r>
        <w:t>these historical unit rates.</w:t>
      </w:r>
      <w:r>
        <w:rPr>
          <w:rStyle w:val="FootnoteReference"/>
        </w:rPr>
        <w:footnoteReference w:id="58"/>
      </w:r>
      <w:r>
        <w:t xml:space="preserve"> </w:t>
      </w:r>
      <w:r w:rsidR="00833F01">
        <w:t>AusNet submitted that its proposed unit rates for residential and I&amp;C connections are in line with the average normalised unit rates from 2013–16 of $2,029 and $23,509 ($2017, including escalation) respectively.</w:t>
      </w:r>
      <w:r w:rsidR="00833F01">
        <w:rPr>
          <w:rStyle w:val="FootnoteReference"/>
        </w:rPr>
        <w:footnoteReference w:id="59"/>
      </w:r>
    </w:p>
    <w:p w14:paraId="5726FD4D" w14:textId="0B3BF7F5" w:rsidR="00DE38FF" w:rsidRPr="00C57F3D" w:rsidRDefault="00DE38FF" w:rsidP="00DE38FF">
      <w:r>
        <w:t xml:space="preserve">We reviewed </w:t>
      </w:r>
      <w:r w:rsidR="00DB51C0">
        <w:t xml:space="preserve">AusNet’s </w:t>
      </w:r>
      <w:r>
        <w:t xml:space="preserve">normalisation methodology </w:t>
      </w:r>
      <w:r w:rsidR="00DB51C0">
        <w:t xml:space="preserve">and </w:t>
      </w:r>
      <w:r w:rsidR="004261EA">
        <w:t xml:space="preserve">its use of a </w:t>
      </w:r>
      <w:r w:rsidR="004261EA" w:rsidRPr="00C57F3D">
        <w:t>historical four-year average</w:t>
      </w:r>
      <w:r w:rsidR="004261EA">
        <w:t xml:space="preserve">. We </w:t>
      </w:r>
      <w:r>
        <w:t xml:space="preserve">are satisfied that </w:t>
      </w:r>
      <w:r w:rsidR="00DB51C0">
        <w:t xml:space="preserve">its </w:t>
      </w:r>
      <w:r>
        <w:t xml:space="preserve">historical unit rates have been </w:t>
      </w:r>
      <w:r w:rsidR="00A613B7">
        <w:t xml:space="preserve">normalised </w:t>
      </w:r>
      <w:r>
        <w:t>appropriately</w:t>
      </w:r>
      <w:r w:rsidR="004261EA">
        <w:t xml:space="preserve"> and recognise that the proposed</w:t>
      </w:r>
      <w:r w:rsidR="0059763D" w:rsidRPr="00C57F3D">
        <w:t xml:space="preserve"> unit rates </w:t>
      </w:r>
      <w:r w:rsidR="004261EA">
        <w:t>reflect</w:t>
      </w:r>
      <w:r w:rsidR="0059763D">
        <w:t xml:space="preserve"> the most recent</w:t>
      </w:r>
      <w:r w:rsidR="004261EA">
        <w:t xml:space="preserve"> </w:t>
      </w:r>
      <w:r w:rsidR="0059763D">
        <w:t xml:space="preserve">awarded contract </w:t>
      </w:r>
      <w:r w:rsidR="0059763D" w:rsidRPr="00C57F3D">
        <w:t xml:space="preserve">for laying </w:t>
      </w:r>
      <w:r w:rsidR="0059763D">
        <w:t>mains and service installation</w:t>
      </w:r>
      <w:r w:rsidR="004261EA">
        <w:t xml:space="preserve">. Further, we </w:t>
      </w:r>
      <w:r w:rsidR="00DB51C0">
        <w:t xml:space="preserve">also </w:t>
      </w:r>
      <w:r w:rsidR="001A22B3">
        <w:t>took account of the following:</w:t>
      </w:r>
    </w:p>
    <w:p w14:paraId="0DD04912" w14:textId="16A43B49" w:rsidR="00DE38FF" w:rsidRPr="00C57F3D" w:rsidRDefault="00DE38FF" w:rsidP="00DE38FF">
      <w:pPr>
        <w:pStyle w:val="AERbulletlistfirststyle"/>
      </w:pPr>
      <w:r>
        <w:t>t</w:t>
      </w:r>
      <w:r w:rsidRPr="00C57F3D">
        <w:t>he historical unit rates used to derive forecast unit rates reflect the rates achieved by</w:t>
      </w:r>
      <w:r>
        <w:t xml:space="preserve"> Downer,</w:t>
      </w:r>
      <w:r w:rsidRPr="00C57F3D">
        <w:t xml:space="preserve"> </w:t>
      </w:r>
      <w:r w:rsidR="008B241E">
        <w:t>AusNet's</w:t>
      </w:r>
      <w:r w:rsidRPr="00C57F3D">
        <w:t xml:space="preserve"> connections contractor</w:t>
      </w:r>
      <w:r>
        <w:t>.</w:t>
      </w:r>
      <w:r w:rsidRPr="00C57F3D">
        <w:t xml:space="preserve"> </w:t>
      </w:r>
      <w:r>
        <w:t>Downer was appointed in 2013 following a</w:t>
      </w:r>
      <w:r w:rsidRPr="00C57F3D">
        <w:t xml:space="preserve"> competitive tendering process that commenced in 2011</w:t>
      </w:r>
      <w:r>
        <w:rPr>
          <w:rStyle w:val="FootnoteReference"/>
        </w:rPr>
        <w:footnoteReference w:id="60"/>
      </w:r>
    </w:p>
    <w:p w14:paraId="7EE5D720" w14:textId="043127A3" w:rsidR="00BC271B" w:rsidRDefault="00DE38FF" w:rsidP="004261EA">
      <w:pPr>
        <w:pStyle w:val="AERbulletlistfirststyle"/>
      </w:pPr>
      <w:r w:rsidRPr="00C57F3D">
        <w:t>Zincara</w:t>
      </w:r>
      <w:r w:rsidR="004261EA">
        <w:t>’s advice that</w:t>
      </w:r>
      <w:r w:rsidR="00BC271B">
        <w:t>:</w:t>
      </w:r>
    </w:p>
    <w:p w14:paraId="4C85BDA7" w14:textId="2994641A" w:rsidR="00DE38FF" w:rsidRDefault="004261EA" w:rsidP="00A66800">
      <w:pPr>
        <w:pStyle w:val="AERbulletlistsecondstyle"/>
      </w:pPr>
      <w:r>
        <w:t>the</w:t>
      </w:r>
      <w:r w:rsidR="00F578D3">
        <w:t xml:space="preserve"> higher unit rates in </w:t>
      </w:r>
      <w:r w:rsidR="00DE38FF">
        <w:t xml:space="preserve">2016 </w:t>
      </w:r>
      <w:r w:rsidR="00F578D3" w:rsidRPr="00C57F3D">
        <w:t>should be included in the averaging period</w:t>
      </w:r>
      <w:r w:rsidR="00F578D3" w:rsidRPr="00C57F3D" w:rsidDel="00F578D3">
        <w:t xml:space="preserve"> </w:t>
      </w:r>
      <w:r w:rsidR="00F578D3">
        <w:t xml:space="preserve">because they are explained by </w:t>
      </w:r>
      <w:r w:rsidR="00DE38FF" w:rsidRPr="00C57F3D">
        <w:t>the connection of new estates with a large supply mains and rocky conditions</w:t>
      </w:r>
      <w:r w:rsidR="00F578D3">
        <w:t xml:space="preserve">, conditions that are </w:t>
      </w:r>
      <w:r w:rsidR="00DE38FF" w:rsidRPr="00C57F3D">
        <w:t xml:space="preserve">expected </w:t>
      </w:r>
      <w:r w:rsidR="00F578D3">
        <w:t>to</w:t>
      </w:r>
      <w:r w:rsidR="00DE38FF" w:rsidRPr="00C57F3D">
        <w:t xml:space="preserve"> reoccur in the </w:t>
      </w:r>
      <w:r w:rsidR="00F578D3">
        <w:t>2018</w:t>
      </w:r>
      <w:r w:rsidR="00A66800">
        <w:t>–</w:t>
      </w:r>
      <w:r w:rsidR="00F578D3">
        <w:t xml:space="preserve">22 </w:t>
      </w:r>
      <w:r w:rsidR="008B241E">
        <w:t>access arrangement</w:t>
      </w:r>
      <w:r w:rsidR="00DE38FF" w:rsidRPr="00C57F3D">
        <w:t xml:space="preserve"> period</w:t>
      </w:r>
      <w:r w:rsidR="00DE38FF">
        <w:rPr>
          <w:rStyle w:val="FootnoteReference"/>
        </w:rPr>
        <w:footnoteReference w:id="61"/>
      </w:r>
    </w:p>
    <w:p w14:paraId="08ACAA6C" w14:textId="10081A74" w:rsidR="00BC271B" w:rsidRPr="00C57F3D" w:rsidRDefault="00BC271B" w:rsidP="00A66800">
      <w:pPr>
        <w:pStyle w:val="AERbulletlistsecondstyle"/>
      </w:pPr>
      <w:r>
        <w:t>AusNet's</w:t>
      </w:r>
      <w:r w:rsidRPr="00C57F3D">
        <w:t xml:space="preserve"> overall residential connection unit rate </w:t>
      </w:r>
      <w:r>
        <w:t>is</w:t>
      </w:r>
      <w:r w:rsidRPr="00C57F3D">
        <w:t xml:space="preserve"> </w:t>
      </w:r>
      <w:r>
        <w:t>lower compared to</w:t>
      </w:r>
      <w:r w:rsidRPr="00C57F3D">
        <w:t xml:space="preserve"> AGN and Multinet</w:t>
      </w:r>
      <w:r>
        <w:rPr>
          <w:rStyle w:val="FootnoteReference"/>
        </w:rPr>
        <w:footnoteReference w:id="62"/>
      </w:r>
      <w:r w:rsidRPr="00C57F3D">
        <w:t xml:space="preserve"> </w:t>
      </w:r>
    </w:p>
    <w:p w14:paraId="41C99186" w14:textId="29FFBB2C" w:rsidR="00DE38FF" w:rsidRPr="00C57F3D" w:rsidRDefault="00F578D3" w:rsidP="00DE38FF">
      <w:pPr>
        <w:pStyle w:val="AERbulletlistfirststyle"/>
      </w:pPr>
      <w:r>
        <w:t xml:space="preserve">as AusNet submitted, </w:t>
      </w:r>
      <w:r w:rsidR="00DE38FF" w:rsidRPr="00C57F3D">
        <w:t>unit rates based on a three</w:t>
      </w:r>
      <w:r>
        <w:t xml:space="preserve">, </w:t>
      </w:r>
      <w:r w:rsidR="00DE38FF" w:rsidRPr="00C57F3D">
        <w:t>fiv</w:t>
      </w:r>
      <w:r>
        <w:t>e</w:t>
      </w:r>
      <w:r w:rsidR="00DE38FF" w:rsidRPr="00C57F3D">
        <w:t xml:space="preserve"> or six-year average </w:t>
      </w:r>
      <w:r>
        <w:t>do</w:t>
      </w:r>
      <w:r w:rsidRPr="00C57F3D">
        <w:t xml:space="preserve"> </w:t>
      </w:r>
      <w:r w:rsidR="00DE38FF" w:rsidRPr="00C57F3D">
        <w:t>not materially differ from the proposed four-year averaged approach</w:t>
      </w:r>
      <w:r w:rsidR="00DE38FF">
        <w:rPr>
          <w:rStyle w:val="FootnoteReference"/>
        </w:rPr>
        <w:footnoteReference w:id="63"/>
      </w:r>
    </w:p>
    <w:p w14:paraId="6CE0A40F" w14:textId="2B187FBC" w:rsidR="00DE38FF" w:rsidRPr="00C57F3D" w:rsidRDefault="008B241E" w:rsidP="00DE38FF">
      <w:pPr>
        <w:pStyle w:val="AERbulletlistfirststyle"/>
      </w:pPr>
      <w:r>
        <w:t>AusNet's</w:t>
      </w:r>
      <w:r w:rsidR="00DE38FF" w:rsidRPr="00C57F3D">
        <w:t xml:space="preserve"> forecast unit rates are lower than the </w:t>
      </w:r>
      <w:r w:rsidR="00DE38FF">
        <w:t xml:space="preserve">historical (2013–17) </w:t>
      </w:r>
      <w:r w:rsidR="00DE38FF" w:rsidRPr="00C57F3D">
        <w:t>unit rate</w:t>
      </w:r>
      <w:r w:rsidR="00F578D3">
        <w:t xml:space="preserve"> we approved</w:t>
      </w:r>
      <w:r w:rsidR="00DE38FF" w:rsidRPr="00C57F3D">
        <w:t>,</w:t>
      </w:r>
      <w:r w:rsidR="0052455B">
        <w:rPr>
          <w:rStyle w:val="FootnoteReference"/>
        </w:rPr>
        <w:footnoteReference w:id="64"/>
      </w:r>
      <w:r w:rsidR="00DE38FF" w:rsidRPr="00C57F3D">
        <w:t xml:space="preserve"> once the change in contractor support co</w:t>
      </w:r>
      <w:r w:rsidR="00DE38FF">
        <w:t>st allocation is accounted for</w:t>
      </w:r>
      <w:r w:rsidR="00875E2B">
        <w:t>.</w:t>
      </w:r>
    </w:p>
    <w:p w14:paraId="619600D5" w14:textId="77777777" w:rsidR="00DE38FF" w:rsidRDefault="00DE38FF" w:rsidP="004131F9">
      <w:pPr>
        <w:pStyle w:val="HeadingOrange"/>
        <w:keepNext/>
      </w:pPr>
      <w:r>
        <w:t>Contributions</w:t>
      </w:r>
    </w:p>
    <w:p w14:paraId="52AAE450" w14:textId="08135C03" w:rsidR="00DE38FF" w:rsidRDefault="00DE38FF" w:rsidP="004131F9">
      <w:pPr>
        <w:keepNext/>
      </w:pPr>
      <w:r w:rsidRPr="00624CE8">
        <w:t xml:space="preserve">We </w:t>
      </w:r>
      <w:r w:rsidR="00BC271B">
        <w:t>are satisfied that</w:t>
      </w:r>
      <w:r w:rsidR="00BC271B" w:rsidRPr="00624CE8">
        <w:t xml:space="preserve"> </w:t>
      </w:r>
      <w:r w:rsidR="008B241E">
        <w:t>AusNet's</w:t>
      </w:r>
      <w:r w:rsidRPr="00624CE8">
        <w:t xml:space="preserve"> forecast of customer contributions of $</w:t>
      </w:r>
      <w:r w:rsidR="003850DF" w:rsidRPr="00624CE8">
        <w:t>2</w:t>
      </w:r>
      <w:r w:rsidR="00527ED7">
        <w:t>0.8</w:t>
      </w:r>
      <w:r w:rsidR="003850DF">
        <w:t xml:space="preserve"> </w:t>
      </w:r>
      <w:r w:rsidRPr="00624CE8">
        <w:t>m</w:t>
      </w:r>
      <w:r>
        <w:t>illion ($2017)</w:t>
      </w:r>
      <w:r w:rsidRPr="00624CE8">
        <w:t xml:space="preserve">, which includes contributions from </w:t>
      </w:r>
      <w:r>
        <w:t>I&amp;C</w:t>
      </w:r>
      <w:r w:rsidRPr="00624CE8">
        <w:t xml:space="preserve"> users (both Tariff V and D) and for major alterations</w:t>
      </w:r>
      <w:r w:rsidR="0025676C">
        <w:t xml:space="preserve">, is </w:t>
      </w:r>
      <w:r w:rsidR="0056346D">
        <w:t xml:space="preserve">arrived at on a </w:t>
      </w:r>
      <w:r w:rsidR="0025676C">
        <w:t xml:space="preserve">reasonable </w:t>
      </w:r>
      <w:r w:rsidR="0056346D">
        <w:t xml:space="preserve">basis </w:t>
      </w:r>
      <w:r w:rsidR="0025676C">
        <w:t>and the best forecast possible in the circumstances</w:t>
      </w:r>
      <w:r w:rsidRPr="00624CE8">
        <w:t>.</w:t>
      </w:r>
      <w:r w:rsidR="0094234A">
        <w:rPr>
          <w:rStyle w:val="FootnoteReference"/>
        </w:rPr>
        <w:footnoteReference w:id="65"/>
      </w:r>
    </w:p>
    <w:p w14:paraId="264DEE95" w14:textId="0FC9F8B1" w:rsidR="0052455B" w:rsidRDefault="008B241E" w:rsidP="00B3728C">
      <w:r>
        <w:t>AusNet</w:t>
      </w:r>
      <w:r w:rsidR="00DE38FF">
        <w:t xml:space="preserve"> </w:t>
      </w:r>
      <w:r w:rsidR="0025676C">
        <w:t xml:space="preserve">submitted that it </w:t>
      </w:r>
      <w:r w:rsidR="00DE38FF">
        <w:t>assume</w:t>
      </w:r>
      <w:r w:rsidR="0025676C">
        <w:t>s</w:t>
      </w:r>
      <w:r w:rsidR="00DE38FF">
        <w:t xml:space="preserve"> that the customer will contribute 100 per cent of the project costs</w:t>
      </w:r>
      <w:r w:rsidR="0025676C" w:rsidRPr="0025676C">
        <w:t xml:space="preserve"> </w:t>
      </w:r>
      <w:r w:rsidR="0025676C">
        <w:t>for a large project that the customer initiates</w:t>
      </w:r>
      <w:r w:rsidR="00DE38FF">
        <w:t>.</w:t>
      </w:r>
      <w:r w:rsidR="00DE38FF">
        <w:rPr>
          <w:rStyle w:val="FootnoteReference"/>
        </w:rPr>
        <w:footnoteReference w:id="66"/>
      </w:r>
      <w:r w:rsidR="00DE38FF">
        <w:t xml:space="preserve"> These projects </w:t>
      </w:r>
      <w:r w:rsidR="0025676C">
        <w:t xml:space="preserve">are </w:t>
      </w:r>
      <w:r w:rsidR="00DE38FF">
        <w:t>Tariff D user connections or major alterations to the existing network (</w:t>
      </w:r>
      <w:r w:rsidR="002E0E39">
        <w:t>for example,</w:t>
      </w:r>
      <w:r w:rsidR="00DE38FF">
        <w:t xml:space="preserve"> request</w:t>
      </w:r>
      <w:r w:rsidR="002E0E39">
        <w:t>s</w:t>
      </w:r>
      <w:r w:rsidR="00DE38FF">
        <w:t xml:space="preserve"> </w:t>
      </w:r>
      <w:r w:rsidR="002E0E39">
        <w:t>from</w:t>
      </w:r>
      <w:r w:rsidR="00DE38FF">
        <w:t xml:space="preserve"> government). We </w:t>
      </w:r>
      <w:r w:rsidR="0025676C">
        <w:t xml:space="preserve">consider that this assumption </w:t>
      </w:r>
      <w:r w:rsidR="00DE38FF">
        <w:t>is reasonable.</w:t>
      </w:r>
      <w:r w:rsidR="007954A5">
        <w:t xml:space="preserve"> </w:t>
      </w:r>
    </w:p>
    <w:p w14:paraId="5DF24746" w14:textId="1434F9EC" w:rsidR="00FC2440" w:rsidRDefault="007954A5" w:rsidP="00711501">
      <w:r>
        <w:t xml:space="preserve">AusNet assumes that Tariff V I&amp;C customers </w:t>
      </w:r>
      <w:r w:rsidR="00DE38FF">
        <w:t>will contribute 25 per cent of the cost of connection.</w:t>
      </w:r>
      <w:r w:rsidR="00DE38FF">
        <w:rPr>
          <w:rStyle w:val="FootnoteReference"/>
        </w:rPr>
        <w:footnoteReference w:id="67"/>
      </w:r>
      <w:r w:rsidR="00DE38FF">
        <w:t xml:space="preserve"> This </w:t>
      </w:r>
      <w:r w:rsidR="00875E2B">
        <w:t>is</w:t>
      </w:r>
      <w:r w:rsidR="00DE38FF">
        <w:t xml:space="preserve"> calculated by </w:t>
      </w:r>
      <w:r w:rsidR="00875E2B">
        <w:t xml:space="preserve">rounding up </w:t>
      </w:r>
      <w:r w:rsidR="00DE38FF">
        <w:t xml:space="preserve">the </w:t>
      </w:r>
      <w:r w:rsidR="00DE38FF" w:rsidRPr="00624CE8">
        <w:t>four-year average of historical contributions from 2012 to 2015</w:t>
      </w:r>
      <w:r w:rsidR="00875E2B">
        <w:t xml:space="preserve"> of </w:t>
      </w:r>
      <w:r w:rsidR="00DE38FF">
        <w:t>22.6 per cent.</w:t>
      </w:r>
      <w:r w:rsidR="00DE38FF">
        <w:rPr>
          <w:rStyle w:val="FootnoteReference"/>
        </w:rPr>
        <w:footnoteReference w:id="68"/>
      </w:r>
      <w:r w:rsidR="00DE38FF" w:rsidRPr="001C65EC">
        <w:t xml:space="preserve"> </w:t>
      </w:r>
      <w:r w:rsidR="00DE38FF">
        <w:t xml:space="preserve">We queried </w:t>
      </w:r>
      <w:r w:rsidR="008B241E">
        <w:t>AusNet</w:t>
      </w:r>
      <w:r w:rsidR="00DE38FF">
        <w:t xml:space="preserve"> on the </w:t>
      </w:r>
      <w:r w:rsidR="00875E2B">
        <w:t xml:space="preserve">use </w:t>
      </w:r>
      <w:r w:rsidR="00DE38FF">
        <w:t>of a longer multi-year average unit rate, but</w:t>
      </w:r>
      <w:r w:rsidR="00DE38FF" w:rsidRPr="00624CE8">
        <w:t xml:space="preserve"> </w:t>
      </w:r>
      <w:r w:rsidR="00875E2B">
        <w:t xml:space="preserve">accept that </w:t>
      </w:r>
      <w:r w:rsidR="00DE38FF">
        <w:t>the differences</w:t>
      </w:r>
      <w:r w:rsidR="00DE38FF" w:rsidRPr="00624CE8">
        <w:t xml:space="preserve"> between </w:t>
      </w:r>
      <w:r w:rsidR="00DE38FF">
        <w:t>a</w:t>
      </w:r>
      <w:r w:rsidR="00DE38FF" w:rsidRPr="00624CE8">
        <w:t xml:space="preserve"> four-year </w:t>
      </w:r>
      <w:r w:rsidR="00DE38FF">
        <w:t xml:space="preserve">or longer </w:t>
      </w:r>
      <w:r w:rsidR="00DE38FF" w:rsidRPr="00624CE8">
        <w:t xml:space="preserve">average </w:t>
      </w:r>
      <w:r w:rsidR="00DE38FF">
        <w:t xml:space="preserve">are </w:t>
      </w:r>
      <w:r w:rsidR="00DE38FF" w:rsidRPr="00624CE8">
        <w:t>immaterial.</w:t>
      </w:r>
      <w:r w:rsidR="00875E2B">
        <w:t xml:space="preserve"> </w:t>
      </w:r>
      <w:r w:rsidR="00DE38FF" w:rsidRPr="00624CE8">
        <w:t xml:space="preserve">We </w:t>
      </w:r>
      <w:r w:rsidR="00DE38FF">
        <w:t xml:space="preserve">are </w:t>
      </w:r>
      <w:r w:rsidR="00875E2B">
        <w:t xml:space="preserve">therefore </w:t>
      </w:r>
      <w:r w:rsidR="00DE38FF">
        <w:t>satisfied</w:t>
      </w:r>
      <w:r w:rsidR="00DE38FF" w:rsidRPr="00624CE8">
        <w:t xml:space="preserve"> that a four-year average of historical contributions from 2012 to 2015 is reasonable </w:t>
      </w:r>
      <w:r w:rsidR="00875E2B">
        <w:t>in</w:t>
      </w:r>
      <w:r w:rsidR="00DE38FF" w:rsidRPr="00624CE8">
        <w:t xml:space="preserve"> estimat</w:t>
      </w:r>
      <w:r w:rsidR="00875E2B">
        <w:t>ing</w:t>
      </w:r>
      <w:r w:rsidR="00DE38FF" w:rsidRPr="00624CE8">
        <w:t xml:space="preserve"> </w:t>
      </w:r>
      <w:r w:rsidR="00DE38FF">
        <w:t xml:space="preserve">Tariff V I&amp;C </w:t>
      </w:r>
      <w:r w:rsidR="00DE38FF" w:rsidRPr="00624CE8">
        <w:t xml:space="preserve">customer contributions over the </w:t>
      </w:r>
      <w:r w:rsidR="00DE38FF">
        <w:t>2018</w:t>
      </w:r>
      <w:r w:rsidR="0052455B">
        <w:t>–</w:t>
      </w:r>
      <w:r w:rsidR="00DE38FF">
        <w:t xml:space="preserve">22 </w:t>
      </w:r>
      <w:r w:rsidR="008B241E">
        <w:t>access arrangement</w:t>
      </w:r>
      <w:r w:rsidR="00DE38FF" w:rsidRPr="00624CE8">
        <w:t xml:space="preserve"> period. </w:t>
      </w:r>
    </w:p>
    <w:p w14:paraId="0D71F60A" w14:textId="77777777" w:rsidR="00313C65" w:rsidRDefault="00313C65" w:rsidP="00313C65">
      <w:pPr>
        <w:pStyle w:val="HeadingBoldBlue"/>
      </w:pPr>
      <w:r>
        <w:t>Information and communication technology</w:t>
      </w:r>
    </w:p>
    <w:p w14:paraId="48AC90C5" w14:textId="15AB4C2E" w:rsidR="00313C65" w:rsidRDefault="00875E2B" w:rsidP="00313C65">
      <w:r>
        <w:t xml:space="preserve">We are not satisfied that </w:t>
      </w:r>
      <w:r w:rsidR="00313C65">
        <w:t>AusNet</w:t>
      </w:r>
      <w:r>
        <w:t>’s</w:t>
      </w:r>
      <w:r w:rsidR="00313C65">
        <w:t xml:space="preserve"> proposed $5</w:t>
      </w:r>
      <w:r w:rsidR="00527ED7">
        <w:t>7.0</w:t>
      </w:r>
      <w:r w:rsidR="00313C65">
        <w:t xml:space="preserve"> million ($2017, unescalated direct costs) for ICT capex</w:t>
      </w:r>
      <w:r>
        <w:t xml:space="preserve"> is conforming capex</w:t>
      </w:r>
      <w:r w:rsidR="00313C65">
        <w:t>. Our decision is to include $</w:t>
      </w:r>
      <w:r w:rsidR="00527ED7">
        <w:t>54.9</w:t>
      </w:r>
      <w:r w:rsidR="00313C65">
        <w:t xml:space="preserve"> million ($2017, unescalated direct costs) in our alternative capex estimate</w:t>
      </w:r>
      <w:r w:rsidR="0038722A">
        <w:t xml:space="preserve"> of conforming capex</w:t>
      </w:r>
      <w:r w:rsidR="00313C65">
        <w:t>.</w:t>
      </w:r>
      <w:r w:rsidR="00B95CD0">
        <w:rPr>
          <w:rStyle w:val="FootnoteReference"/>
        </w:rPr>
        <w:footnoteReference w:id="69"/>
      </w:r>
      <w:r w:rsidR="00B95CD0">
        <w:t xml:space="preserve"> </w:t>
      </w:r>
      <w:r w:rsidR="0038722A">
        <w:t xml:space="preserve">Our alternative estimate does not include </w:t>
      </w:r>
      <w:r w:rsidR="00313C65">
        <w:t xml:space="preserve">AusNet's </w:t>
      </w:r>
      <w:r w:rsidR="002C6DE6">
        <w:t xml:space="preserve">proposed </w:t>
      </w:r>
      <w:r w:rsidR="00313C65">
        <w:t xml:space="preserve">digital metering ICT costs </w:t>
      </w:r>
      <w:r w:rsidR="002C6DE6">
        <w:t xml:space="preserve">but includes </w:t>
      </w:r>
      <w:r w:rsidR="00313C65">
        <w:t>all of AusNet's other ICT projects.</w:t>
      </w:r>
    </w:p>
    <w:p w14:paraId="1F3ABCBF" w14:textId="2FEF4B7D" w:rsidR="00313C65" w:rsidRDefault="00313C65" w:rsidP="00313C65">
      <w:r>
        <w:t xml:space="preserve">AusNet's ICT program </w:t>
      </w:r>
      <w:r w:rsidR="002C6DE6">
        <w:t xml:space="preserve">focuses </w:t>
      </w:r>
      <w:r>
        <w:t xml:space="preserve">on lifecycle replacement to keep existing systems operating. </w:t>
      </w:r>
      <w:r w:rsidR="002C6DE6">
        <w:t xml:space="preserve">The program comprises </w:t>
      </w:r>
      <w:r>
        <w:t>the following seven 'domains':</w:t>
      </w:r>
    </w:p>
    <w:p w14:paraId="2B67A36F" w14:textId="2A5897D5" w:rsidR="00313C65" w:rsidRDefault="002C6DE6" w:rsidP="00313C65">
      <w:pPr>
        <w:pStyle w:val="AERbulletlistfirststyle"/>
      </w:pPr>
      <w:r>
        <w:t>n</w:t>
      </w:r>
      <w:r w:rsidR="00313C65">
        <w:t>etwork management</w:t>
      </w:r>
      <w:r>
        <w:t xml:space="preserve">, </w:t>
      </w:r>
      <w:r w:rsidR="00313C65">
        <w:t>to main</w:t>
      </w:r>
      <w:r>
        <w:t>tain</w:t>
      </w:r>
      <w:r w:rsidR="00313C65">
        <w:t xml:space="preserve"> network reliability and performance through automation of monitoring and responses, and performance visualisations; data consolidation; and safety;</w:t>
      </w:r>
    </w:p>
    <w:p w14:paraId="41F5AE11" w14:textId="208C9E8B" w:rsidR="00313C65" w:rsidRDefault="002C6DE6" w:rsidP="00313C65">
      <w:pPr>
        <w:pStyle w:val="AERbulletlistfirststyle"/>
      </w:pPr>
      <w:r>
        <w:t>i</w:t>
      </w:r>
      <w:r w:rsidR="00313C65">
        <w:t>nformation management</w:t>
      </w:r>
      <w:r>
        <w:t>,</w:t>
      </w:r>
      <w:r w:rsidR="00313C65">
        <w:t xml:space="preserve"> to ensure robust management of networks and assets through improved data and analytics capabilities;</w:t>
      </w:r>
    </w:p>
    <w:p w14:paraId="0923ACBA" w14:textId="20315B69" w:rsidR="00313C65" w:rsidRDefault="002C6DE6" w:rsidP="00313C65">
      <w:pPr>
        <w:pStyle w:val="AERbulletlistfirststyle"/>
      </w:pPr>
      <w:r>
        <w:t>m</w:t>
      </w:r>
      <w:r w:rsidR="00313C65">
        <w:t>etering and customer services</w:t>
      </w:r>
      <w:r>
        <w:t>,</w:t>
      </w:r>
      <w:r w:rsidR="00313C65">
        <w:t xml:space="preserve"> to meet customer demand for information and communication through a centralised customer relationship management solution and enhanced digital capabilities;</w:t>
      </w:r>
    </w:p>
    <w:p w14:paraId="38A61A49" w14:textId="4FE1B032" w:rsidR="00313C65" w:rsidRDefault="002C6DE6" w:rsidP="00313C65">
      <w:pPr>
        <w:pStyle w:val="AERbulletlistfirststyle"/>
      </w:pPr>
      <w:r>
        <w:t>w</w:t>
      </w:r>
      <w:r w:rsidR="00313C65">
        <w:t>orks and asset management</w:t>
      </w:r>
      <w:r>
        <w:t xml:space="preserve">, </w:t>
      </w:r>
      <w:r w:rsidR="00313C65">
        <w:t>to maintain network reliability by leveraging the EAM/ERP investment to rationalise, consolidate and optimise business processes;</w:t>
      </w:r>
    </w:p>
    <w:p w14:paraId="574B3DA2" w14:textId="40030B9F" w:rsidR="00313C65" w:rsidRDefault="002C6DE6" w:rsidP="00313C65">
      <w:pPr>
        <w:pStyle w:val="AERbulletlistfirststyle"/>
      </w:pPr>
      <w:r>
        <w:t>i</w:t>
      </w:r>
      <w:r w:rsidR="00313C65">
        <w:t>nformation security</w:t>
      </w:r>
      <w:r>
        <w:t>,</w:t>
      </w:r>
      <w:r w:rsidR="00313C65">
        <w:t xml:space="preserve"> to protect the distribution network, and customer and business information through enhanced 'protect and detect' capabilities;</w:t>
      </w:r>
    </w:p>
    <w:p w14:paraId="7C8844E4" w14:textId="4D000AB3" w:rsidR="00313C65" w:rsidRDefault="002C6DE6" w:rsidP="00313C65">
      <w:pPr>
        <w:pStyle w:val="AERbulletlistfirststyle"/>
      </w:pPr>
      <w:r>
        <w:t>c</w:t>
      </w:r>
      <w:r w:rsidR="00313C65">
        <w:t>orporate</w:t>
      </w:r>
      <w:r>
        <w:t xml:space="preserve">, </w:t>
      </w:r>
      <w:r w:rsidR="00313C65">
        <w:t>to leverage the EAM/ERP solution including providing a secure and consistent view of data throughout the organisation; and</w:t>
      </w:r>
    </w:p>
    <w:p w14:paraId="12C7E541" w14:textId="15A7485A" w:rsidR="00313C65" w:rsidRDefault="002C6DE6" w:rsidP="00313C65">
      <w:pPr>
        <w:pStyle w:val="AERbulletlistfirststyle"/>
      </w:pPr>
      <w:r>
        <w:t>i</w:t>
      </w:r>
      <w:r w:rsidR="00313C65">
        <w:t>nformation technology</w:t>
      </w:r>
      <w:r>
        <w:t>,</w:t>
      </w:r>
      <w:r w:rsidR="00313C65">
        <w:t xml:space="preserve"> lifecycle refreshes of storage, enterprise server, desktop and laptop fleets; corporate network and communications; and investments in storage and visualisation enablement.</w:t>
      </w:r>
      <w:r w:rsidR="00313C65">
        <w:rPr>
          <w:rStyle w:val="FootnoteReference"/>
        </w:rPr>
        <w:footnoteReference w:id="70"/>
      </w:r>
    </w:p>
    <w:p w14:paraId="19B29CFF" w14:textId="45B29A04" w:rsidR="00313C65" w:rsidRDefault="00313C65" w:rsidP="00313C65">
      <w:r>
        <w:t xml:space="preserve">AusNet </w:t>
      </w:r>
      <w:r w:rsidR="009D511F">
        <w:t xml:space="preserve">submitted that </w:t>
      </w:r>
      <w:r>
        <w:t>it</w:t>
      </w:r>
      <w:r w:rsidR="003A4CA7">
        <w:t xml:space="preserve"> has developed its</w:t>
      </w:r>
      <w:r>
        <w:t xml:space="preserve"> ICT strategy for </w:t>
      </w:r>
      <w:r w:rsidR="000B7967">
        <w:t xml:space="preserve">both </w:t>
      </w:r>
      <w:r>
        <w:t>its electricity and gas distribution and electricity transmission networks.</w:t>
      </w:r>
      <w:r>
        <w:rPr>
          <w:rStyle w:val="FootnoteReference"/>
        </w:rPr>
        <w:footnoteReference w:id="71"/>
      </w:r>
      <w:r>
        <w:t xml:space="preserve"> We previously approved </w:t>
      </w:r>
      <w:r w:rsidR="000B7967">
        <w:t xml:space="preserve">this ICT strategy in </w:t>
      </w:r>
      <w:r>
        <w:t>AusNet's electricity distribution and transmission determinations.</w:t>
      </w:r>
      <w:r>
        <w:rPr>
          <w:rStyle w:val="FootnoteReference"/>
        </w:rPr>
        <w:footnoteReference w:id="72"/>
      </w:r>
    </w:p>
    <w:p w14:paraId="743DA6D2" w14:textId="525658AB" w:rsidR="00313C65" w:rsidRDefault="000B7967" w:rsidP="00313C65">
      <w:r>
        <w:t xml:space="preserve">Further, </w:t>
      </w:r>
      <w:r w:rsidR="00321C33">
        <w:t xml:space="preserve">we note </w:t>
      </w:r>
      <w:r w:rsidR="00313C65">
        <w:t xml:space="preserve">five </w:t>
      </w:r>
      <w:r w:rsidR="0016531A">
        <w:t>projects</w:t>
      </w:r>
      <w:r>
        <w:t xml:space="preserve"> </w:t>
      </w:r>
      <w:r w:rsidR="003A4CA7">
        <w:t xml:space="preserve">only concern </w:t>
      </w:r>
      <w:r w:rsidR="0016531A">
        <w:t>AusNet’s</w:t>
      </w:r>
      <w:r w:rsidR="003A4CA7">
        <w:t xml:space="preserve"> </w:t>
      </w:r>
      <w:r w:rsidR="00313C65">
        <w:t xml:space="preserve">gas distribution </w:t>
      </w:r>
      <w:r w:rsidR="0016531A">
        <w:t>network</w:t>
      </w:r>
      <w:r w:rsidR="00313C65">
        <w:t xml:space="preserve">. </w:t>
      </w:r>
      <w:r w:rsidR="003A4CA7">
        <w:t xml:space="preserve">Four </w:t>
      </w:r>
      <w:r w:rsidR="0016531A">
        <w:t xml:space="preserve">projects are recurrent and one is </w:t>
      </w:r>
      <w:r w:rsidR="003A4CA7">
        <w:t xml:space="preserve">non-recurrent </w:t>
      </w:r>
      <w:r w:rsidR="0016531A">
        <w:t>which concerns</w:t>
      </w:r>
      <w:r w:rsidR="003A4CA7">
        <w:t xml:space="preserve"> digital metering. </w:t>
      </w:r>
      <w:r w:rsidR="00313C65">
        <w:t xml:space="preserve">In response to </w:t>
      </w:r>
      <w:r w:rsidR="003A4CA7">
        <w:t xml:space="preserve">an </w:t>
      </w:r>
      <w:r w:rsidR="00313C65">
        <w:t xml:space="preserve">information request, AusNet provided its cost allocation between its three networks and cost benefit analysis for </w:t>
      </w:r>
      <w:r w:rsidR="003A4CA7">
        <w:t>these</w:t>
      </w:r>
      <w:r w:rsidR="00313C65">
        <w:t xml:space="preserve"> projects.</w:t>
      </w:r>
      <w:r w:rsidR="00313C65">
        <w:rPr>
          <w:rStyle w:val="FootnoteReference"/>
        </w:rPr>
        <w:footnoteReference w:id="73"/>
      </w:r>
      <w:r w:rsidR="00313C65">
        <w:t xml:space="preserve"> </w:t>
      </w:r>
      <w:r w:rsidR="003A4CA7">
        <w:t xml:space="preserve">These </w:t>
      </w:r>
      <w:r w:rsidR="00313C65">
        <w:t xml:space="preserve">allocations are consistent with </w:t>
      </w:r>
      <w:r w:rsidR="003A4CA7">
        <w:t xml:space="preserve">AusNet’s </w:t>
      </w:r>
      <w:r w:rsidR="00313C65">
        <w:t>electricity determinations.</w:t>
      </w:r>
    </w:p>
    <w:p w14:paraId="74ACF3D4" w14:textId="7698320D" w:rsidR="009327F1" w:rsidRPr="00B3728C" w:rsidRDefault="0016531A" w:rsidP="0034334A">
      <w:r>
        <w:t>T</w:t>
      </w:r>
      <w:r w:rsidR="00313C65">
        <w:t xml:space="preserve">he recurrent projects are consistent with AusNet's strategy of refreshing its operating systems. </w:t>
      </w:r>
      <w:r>
        <w:t xml:space="preserve">Our assessment of these projects and their associated business cases is that they constitute conforming capex. However, this is not the case for </w:t>
      </w:r>
      <w:r w:rsidR="00313C65">
        <w:t xml:space="preserve">AusNet's </w:t>
      </w:r>
      <w:r w:rsidR="009327F1">
        <w:t>proposed</w:t>
      </w:r>
      <w:r>
        <w:t xml:space="preserve"> </w:t>
      </w:r>
      <w:r w:rsidR="00313C65">
        <w:t xml:space="preserve">digital ICT metering </w:t>
      </w:r>
      <w:r>
        <w:t>project</w:t>
      </w:r>
      <w:r w:rsidR="0046481C">
        <w:t>, which we consider</w:t>
      </w:r>
      <w:r w:rsidR="00313C65">
        <w:t xml:space="preserve"> is </w:t>
      </w:r>
      <w:r w:rsidR="009327F1">
        <w:t xml:space="preserve">not </w:t>
      </w:r>
      <w:r w:rsidR="00313C65">
        <w:t>prudent and efficient</w:t>
      </w:r>
      <w:r w:rsidR="009327F1" w:rsidRPr="009327F1">
        <w:t xml:space="preserve"> </w:t>
      </w:r>
      <w:r w:rsidR="009327F1">
        <w:t>and does not constitute conforming capex</w:t>
      </w:r>
      <w:r w:rsidR="00313C65">
        <w:t xml:space="preserve">. </w:t>
      </w:r>
      <w:r w:rsidR="009327F1">
        <w:t>Our assessment of digital metering is discussed in our metering assessment</w:t>
      </w:r>
      <w:r w:rsidR="00321C33">
        <w:t xml:space="preserve"> below</w:t>
      </w:r>
      <w:r w:rsidR="009327F1">
        <w:t>.</w:t>
      </w:r>
    </w:p>
    <w:p w14:paraId="0C866C6D" w14:textId="77777777" w:rsidR="00B3728C" w:rsidRDefault="00B3728C" w:rsidP="00B3728C">
      <w:pPr>
        <w:pStyle w:val="HeadingBoldBlue"/>
      </w:pPr>
      <w:r>
        <w:t>Augmentation</w:t>
      </w:r>
    </w:p>
    <w:p w14:paraId="1BFA3C16" w14:textId="3DC0E2E2" w:rsidR="00546A81" w:rsidRPr="00546A81" w:rsidRDefault="00546A81" w:rsidP="00546A81">
      <w:r w:rsidRPr="00546A81">
        <w:t>Network augmentation capex is directed at increasing the capacity of the existing network to meet the demand of existing and future customers. Augmentation capex is required to maintain gas pressure and minimise the risk of gas outages. AusNet stated that its augmentation capex is necessary under the NGR</w:t>
      </w:r>
      <w:r w:rsidR="00372CBF">
        <w:t xml:space="preserve"> because the Victorian Gas Distribution System Code (GDSC) mandates minimum pressure limits, and therefore the capex is required in order to comply with a regulatory obligation or requirement</w:t>
      </w:r>
      <w:r w:rsidRPr="00546A81">
        <w:t>.</w:t>
      </w:r>
      <w:r>
        <w:rPr>
          <w:rStyle w:val="FootnoteReference"/>
        </w:rPr>
        <w:footnoteReference w:id="74"/>
      </w:r>
    </w:p>
    <w:p w14:paraId="69DFCB17" w14:textId="2FB2662B" w:rsidR="00546A81" w:rsidRPr="00546A81" w:rsidRDefault="00546A81" w:rsidP="00546A81">
      <w:r w:rsidRPr="00546A81">
        <w:t xml:space="preserve">We are not satisfied AusNet's </w:t>
      </w:r>
      <w:r w:rsidR="006F50DE">
        <w:t xml:space="preserve">proposed </w:t>
      </w:r>
      <w:r w:rsidRPr="00546A81">
        <w:t>capex for augmentation is conforming capex.</w:t>
      </w:r>
      <w:r>
        <w:rPr>
          <w:rStyle w:val="FootnoteReference"/>
        </w:rPr>
        <w:footnoteReference w:id="75"/>
      </w:r>
      <w:r w:rsidRPr="00546A81">
        <w:t xml:space="preserve"> We have included $13.1 million ($2017, unescalated direct costs) of </w:t>
      </w:r>
      <w:r>
        <w:t xml:space="preserve">the proposed $15.2 million for </w:t>
      </w:r>
      <w:r w:rsidRPr="00546A81">
        <w:t xml:space="preserve">augmentation </w:t>
      </w:r>
      <w:r>
        <w:t>capex</w:t>
      </w:r>
      <w:r w:rsidRPr="00546A81">
        <w:t xml:space="preserve"> in our alternative capex forecast. </w:t>
      </w:r>
      <w:r w:rsidR="006F50DE">
        <w:t>As we discuss further below, w</w:t>
      </w:r>
      <w:r w:rsidR="006F50DE" w:rsidRPr="008D7D83">
        <w:t xml:space="preserve">e consider </w:t>
      </w:r>
      <w:r w:rsidR="006F50DE">
        <w:t xml:space="preserve">that the following is justified as conforming capex </w:t>
      </w:r>
      <w:r w:rsidR="006F50DE" w:rsidRPr="008D7D83">
        <w:t>($2017, unescalated direct costs):</w:t>
      </w:r>
    </w:p>
    <w:p w14:paraId="497F2CE9" w14:textId="5BA7970E" w:rsidR="00546A81" w:rsidRPr="00546A81" w:rsidRDefault="006F50DE" w:rsidP="00546A81">
      <w:pPr>
        <w:pStyle w:val="AERbulletlistfirststyle"/>
      </w:pPr>
      <w:r w:rsidRPr="00546A81">
        <w:t xml:space="preserve">$4.6 million </w:t>
      </w:r>
      <w:r w:rsidR="00546A81" w:rsidRPr="00546A81">
        <w:t xml:space="preserve">for the Waurn Ponds augmentation </w:t>
      </w:r>
    </w:p>
    <w:p w14:paraId="2EEAD4A4" w14:textId="02ABE27D" w:rsidR="00546A81" w:rsidRPr="00546A81" w:rsidRDefault="006F50DE" w:rsidP="00546A81">
      <w:pPr>
        <w:pStyle w:val="AERbulletlistfirststyle"/>
      </w:pPr>
      <w:r w:rsidRPr="00546A81">
        <w:t xml:space="preserve">$2.0 million </w:t>
      </w:r>
      <w:r w:rsidR="00546A81" w:rsidRPr="00546A81">
        <w:t xml:space="preserve">for the Werribee augmentation </w:t>
      </w:r>
    </w:p>
    <w:p w14:paraId="64C27ED2" w14:textId="4C20CB3E" w:rsidR="00546A81" w:rsidRPr="00546A81" w:rsidRDefault="006F50DE" w:rsidP="00546A81">
      <w:pPr>
        <w:pStyle w:val="AERbulletlistfirststyle"/>
      </w:pPr>
      <w:r w:rsidRPr="00546A81">
        <w:t xml:space="preserve">$4.3 million </w:t>
      </w:r>
      <w:r w:rsidR="00546A81" w:rsidRPr="00546A81">
        <w:t>for all other mains reinforcement projects</w:t>
      </w:r>
    </w:p>
    <w:p w14:paraId="14882492" w14:textId="2E46FF80" w:rsidR="00546A81" w:rsidRPr="00546A81" w:rsidRDefault="006F50DE" w:rsidP="00546A81">
      <w:pPr>
        <w:pStyle w:val="AERbulletlistfirststyle"/>
      </w:pPr>
      <w:r w:rsidRPr="00546A81">
        <w:t xml:space="preserve">$2.1 million </w:t>
      </w:r>
      <w:r w:rsidR="00546A81" w:rsidRPr="00546A81">
        <w:t>for upgrades to existing facilities</w:t>
      </w:r>
      <w:r>
        <w:t>.</w:t>
      </w:r>
    </w:p>
    <w:p w14:paraId="2E6FED79" w14:textId="599E2C1C" w:rsidR="006F50DE" w:rsidRPr="00546A81" w:rsidRDefault="006F50DE" w:rsidP="0046481C">
      <w:pPr>
        <w:pStyle w:val="AERbulletlistfirststyle"/>
        <w:numPr>
          <w:ilvl w:val="0"/>
          <w:numId w:val="0"/>
        </w:numPr>
      </w:pPr>
      <w:r>
        <w:t>However, we are not satisfied AusNet’s</w:t>
      </w:r>
      <w:r w:rsidRPr="00546A81">
        <w:t xml:space="preserve"> proposed $2.1 million</w:t>
      </w:r>
      <w:r>
        <w:t xml:space="preserve"> </w:t>
      </w:r>
      <w:r w:rsidRPr="00546A81">
        <w:t>($2017, unescalated direct costs)</w:t>
      </w:r>
      <w:r>
        <w:t xml:space="preserve"> </w:t>
      </w:r>
      <w:r w:rsidR="0046481C">
        <w:t xml:space="preserve">for the St Leonards augmentation </w:t>
      </w:r>
      <w:r>
        <w:t>is conforming capex</w:t>
      </w:r>
      <w:r w:rsidR="008373FE">
        <w:t>,</w:t>
      </w:r>
      <w:r>
        <w:t xml:space="preserve"> because </w:t>
      </w:r>
      <w:r w:rsidRPr="00546A81">
        <w:t>it will not be required in the 2018</w:t>
      </w:r>
      <w:r>
        <w:t>–</w:t>
      </w:r>
      <w:r w:rsidRPr="00546A81">
        <w:t>22 access arrangement period.</w:t>
      </w:r>
    </w:p>
    <w:p w14:paraId="1939FDEF" w14:textId="74075C02" w:rsidR="00546A81" w:rsidRPr="00546A81" w:rsidRDefault="00546A81" w:rsidP="00546A81">
      <w:r w:rsidRPr="00546A81">
        <w:t>We assessed AusNet's augmentation projects by considering the timing of the proposed works, the capacity benefit resulting from the augmentation solution and whether the input cost of each project is that which a prudent service provider acting efficiently, in accordance with accepted good industry practice, to achieve the lowest sustainable cost of providing services would incur.</w:t>
      </w:r>
      <w:r>
        <w:rPr>
          <w:rStyle w:val="FootnoteReference"/>
        </w:rPr>
        <w:footnoteReference w:id="76"/>
      </w:r>
      <w:r w:rsidRPr="00546A81">
        <w:t xml:space="preserve"> </w:t>
      </w:r>
      <w:r w:rsidR="006F50DE">
        <w:t>W</w:t>
      </w:r>
      <w:r w:rsidRPr="00546A81">
        <w:t xml:space="preserve">e </w:t>
      </w:r>
      <w:r w:rsidR="006F50DE">
        <w:t xml:space="preserve">also </w:t>
      </w:r>
      <w:r w:rsidRPr="00546A81">
        <w:t>sought advice from Zincara</w:t>
      </w:r>
      <w:r w:rsidR="00580531">
        <w:t xml:space="preserve"> and</w:t>
      </w:r>
      <w:r w:rsidRPr="00546A81">
        <w:t xml:space="preserve"> further information from AusNet.</w:t>
      </w:r>
      <w:r w:rsidR="00580531">
        <w:t xml:space="preserve"> Specifically, we considered</w:t>
      </w:r>
      <w:r w:rsidRPr="00546A81">
        <w:t xml:space="preserve">: </w:t>
      </w:r>
    </w:p>
    <w:p w14:paraId="60CF7A56" w14:textId="77777777" w:rsidR="00546A81" w:rsidRPr="00546A81" w:rsidRDefault="00546A81" w:rsidP="00546A81">
      <w:pPr>
        <w:pStyle w:val="AERbulletlistfirststyle"/>
      </w:pPr>
      <w:r w:rsidRPr="00546A81">
        <w:t>the capacity shortfall and/or projected growth demonstrating the requirement for the augmentation</w:t>
      </w:r>
    </w:p>
    <w:p w14:paraId="12951E25" w14:textId="77777777" w:rsidR="00546A81" w:rsidRPr="00546A81" w:rsidRDefault="00546A81" w:rsidP="00546A81">
      <w:pPr>
        <w:pStyle w:val="AERbulletlistfirststyle"/>
      </w:pPr>
      <w:r w:rsidRPr="00546A81">
        <w:t>whether AusNet considered alternative options to address the issue</w:t>
      </w:r>
    </w:p>
    <w:p w14:paraId="7DB2304E" w14:textId="77777777" w:rsidR="00546A81" w:rsidRPr="00546A81" w:rsidRDefault="00546A81" w:rsidP="00546A81">
      <w:pPr>
        <w:pStyle w:val="AERbulletlistfirststyle"/>
      </w:pPr>
      <w:r w:rsidRPr="00546A81">
        <w:t>the prudency of the timing of the proposed augmentation</w:t>
      </w:r>
    </w:p>
    <w:p w14:paraId="37F40963" w14:textId="77777777" w:rsidR="00546A81" w:rsidRPr="00546A81" w:rsidRDefault="00546A81" w:rsidP="00546A81">
      <w:pPr>
        <w:pStyle w:val="AERbulletlistfirststyle"/>
      </w:pPr>
      <w:r w:rsidRPr="00546A81">
        <w:t>the prudency and efficiency of the scale of the proposed augmentation</w:t>
      </w:r>
    </w:p>
    <w:p w14:paraId="2818E7EB" w14:textId="77777777" w:rsidR="00546A81" w:rsidRPr="00546A81" w:rsidRDefault="00546A81" w:rsidP="00546A81">
      <w:pPr>
        <w:pStyle w:val="AERbulletlistfirststyle"/>
      </w:pPr>
      <w:r w:rsidRPr="00546A81">
        <w:t>the efficiency of the proposed project costs.</w:t>
      </w:r>
    </w:p>
    <w:p w14:paraId="5E85EAC0" w14:textId="6AF0AD2C" w:rsidR="00546A81" w:rsidRPr="00546A81" w:rsidRDefault="00546A81" w:rsidP="00546A81">
      <w:r w:rsidRPr="00546A81">
        <w:t>Three projects make up $8.8 million (or 58 per cent) of AusNet's augmentation capex forecast of $15.2 million. Our assessment of these projects is set out below.</w:t>
      </w:r>
    </w:p>
    <w:p w14:paraId="528BB36C" w14:textId="77777777" w:rsidR="00E42E4F" w:rsidRPr="00E42E4F" w:rsidRDefault="00E42E4F" w:rsidP="00E42E4F">
      <w:pPr>
        <w:pStyle w:val="HeadingBoldItalic"/>
      </w:pPr>
      <w:r w:rsidRPr="00E42E4F">
        <w:t>Waurn Ponds</w:t>
      </w:r>
    </w:p>
    <w:p w14:paraId="546F10BF" w14:textId="2E307456" w:rsidR="00E42E4F" w:rsidRPr="00E42E4F" w:rsidRDefault="00E42E4F" w:rsidP="00E42E4F">
      <w:r w:rsidRPr="00E42E4F">
        <w:t xml:space="preserve">We are satisfied that the proposed capex for the Waurn Ponds augmentation is conforming capex. </w:t>
      </w:r>
    </w:p>
    <w:p w14:paraId="43E25969" w14:textId="681C7B72" w:rsidR="00E42E4F" w:rsidRPr="00E42E4F" w:rsidRDefault="00E42E4F" w:rsidP="00E42E4F">
      <w:r w:rsidRPr="00E42E4F">
        <w:t xml:space="preserve">AusNet proposed </w:t>
      </w:r>
      <w:r w:rsidR="00EF14EF" w:rsidRPr="00E42E4F">
        <w:t>$4.6 million ($2017)</w:t>
      </w:r>
      <w:r w:rsidR="00332C63">
        <w:t xml:space="preserve"> </w:t>
      </w:r>
      <w:r w:rsidRPr="00E42E4F">
        <w:t xml:space="preserve">to install a city gate and reinforce the transmission network at Waurn Ponds. AusNet submitted that this will ensure that system pressures are maintained above 140 kPa as required by the </w:t>
      </w:r>
      <w:r w:rsidR="00F12F24">
        <w:t>GDSC</w:t>
      </w:r>
      <w:r w:rsidRPr="00E42E4F">
        <w:t>.</w:t>
      </w:r>
      <w:r w:rsidR="00737C83">
        <w:rPr>
          <w:rStyle w:val="FootnoteReference"/>
        </w:rPr>
        <w:footnoteReference w:id="77"/>
      </w:r>
      <w:r w:rsidRPr="00E42E4F">
        <w:t xml:space="preserve"> We previously approved this </w:t>
      </w:r>
      <w:r w:rsidR="00B23947">
        <w:t>in</w:t>
      </w:r>
      <w:r w:rsidR="008373FE">
        <w:t xml:space="preserve"> the 2013–</w:t>
      </w:r>
      <w:r w:rsidR="00332C63">
        <w:t xml:space="preserve">17 </w:t>
      </w:r>
      <w:r w:rsidR="00737C83">
        <w:t>access arrangement</w:t>
      </w:r>
      <w:r w:rsidR="00B23947">
        <w:t>.</w:t>
      </w:r>
      <w:r w:rsidRPr="00E42E4F">
        <w:t xml:space="preserve"> AusNet forecasts it will spend a further $1.5 million ($2017) on the main and city gate in 2017. </w:t>
      </w:r>
    </w:p>
    <w:p w14:paraId="5D8CEBCE" w14:textId="47C51B6D" w:rsidR="00737C83" w:rsidRPr="00737C83" w:rsidRDefault="00332C63" w:rsidP="00737C83">
      <w:r>
        <w:t xml:space="preserve">In response to a request for further information, </w:t>
      </w:r>
      <w:r w:rsidR="00737C83" w:rsidRPr="00737C83">
        <w:t xml:space="preserve">AusNet provided </w:t>
      </w:r>
      <w:r w:rsidR="00B23947">
        <w:t>an</w:t>
      </w:r>
      <w:r w:rsidR="00B23947" w:rsidRPr="00737C83">
        <w:t xml:space="preserve"> </w:t>
      </w:r>
      <w:r w:rsidR="00B23947">
        <w:t>a</w:t>
      </w:r>
      <w:r w:rsidR="00737C83" w:rsidRPr="00737C83">
        <w:t xml:space="preserve">ugmentation </w:t>
      </w:r>
      <w:r w:rsidR="00B23947">
        <w:t>p</w:t>
      </w:r>
      <w:r w:rsidR="00737C83" w:rsidRPr="00737C83">
        <w:t xml:space="preserve">roject </w:t>
      </w:r>
      <w:r w:rsidR="00B23947">
        <w:t>a</w:t>
      </w:r>
      <w:r w:rsidR="00737C83" w:rsidRPr="00737C83">
        <w:t>nalysis</w:t>
      </w:r>
      <w:r w:rsidR="00B23947">
        <w:t xml:space="preserve"> that </w:t>
      </w:r>
      <w:r w:rsidR="00737C83" w:rsidRPr="00737C83">
        <w:t>included winter testing and real-time SCADA data</w:t>
      </w:r>
      <w:r w:rsidR="00B23947">
        <w:t>.</w:t>
      </w:r>
      <w:r w:rsidR="00B23947">
        <w:rPr>
          <w:rStyle w:val="FootnoteReference"/>
        </w:rPr>
        <w:footnoteReference w:id="78"/>
      </w:r>
      <w:r w:rsidR="00B23947">
        <w:t xml:space="preserve"> This</w:t>
      </w:r>
      <w:r w:rsidR="00737C83" w:rsidRPr="00737C83">
        <w:t xml:space="preserve"> </w:t>
      </w:r>
      <w:r w:rsidR="00B23947">
        <w:t>revealed</w:t>
      </w:r>
      <w:r w:rsidR="00737C83" w:rsidRPr="00737C83">
        <w:t xml:space="preserve"> that fringe pressures will continue to deteriorate due to the projected growth around Torquay and Jan Juc.</w:t>
      </w:r>
      <w:r w:rsidR="00B23947">
        <w:t xml:space="preserve"> </w:t>
      </w:r>
      <w:r w:rsidR="00737C83" w:rsidRPr="00737C83">
        <w:t xml:space="preserve">AusNet </w:t>
      </w:r>
      <w:r w:rsidR="00B23947">
        <w:t xml:space="preserve">also </w:t>
      </w:r>
      <w:r w:rsidR="00737C83" w:rsidRPr="00737C83">
        <w:t xml:space="preserve">submitted that </w:t>
      </w:r>
      <w:r w:rsidR="00B23947">
        <w:t xml:space="preserve">this project depends </w:t>
      </w:r>
      <w:r w:rsidR="00737C83" w:rsidRPr="00737C83">
        <w:t xml:space="preserve">on APA </w:t>
      </w:r>
      <w:r w:rsidR="00AC1E29">
        <w:t>VTS</w:t>
      </w:r>
      <w:r w:rsidR="00AC1E29" w:rsidRPr="00737C83">
        <w:t xml:space="preserve"> </w:t>
      </w:r>
      <w:r w:rsidR="00B23947">
        <w:t xml:space="preserve">extending </w:t>
      </w:r>
      <w:r w:rsidR="008373FE">
        <w:t xml:space="preserve">the </w:t>
      </w:r>
      <w:r w:rsidR="00737C83" w:rsidRPr="00737C83">
        <w:t>South-West Pipeline</w:t>
      </w:r>
      <w:r w:rsidR="00B23947">
        <w:t xml:space="preserve"> by 15 km (which we are satisfied constitutes conforming capex)</w:t>
      </w:r>
      <w:r w:rsidR="00737C83" w:rsidRPr="00737C83">
        <w:t>.</w:t>
      </w:r>
      <w:r w:rsidR="00737C83">
        <w:rPr>
          <w:rStyle w:val="FootnoteReference"/>
        </w:rPr>
        <w:footnoteReference w:id="79"/>
      </w:r>
    </w:p>
    <w:p w14:paraId="4DFFA588" w14:textId="6CDCF25D" w:rsidR="00B3728C" w:rsidRDefault="00737C83" w:rsidP="00737C83">
      <w:r w:rsidRPr="00737C83">
        <w:t xml:space="preserve">Zincara </w:t>
      </w:r>
      <w:r w:rsidR="00BC0CFE">
        <w:t>advised that</w:t>
      </w:r>
      <w:r w:rsidR="00BC0CFE" w:rsidRPr="00737C83">
        <w:t xml:space="preserve"> </w:t>
      </w:r>
      <w:r w:rsidRPr="00737C83">
        <w:t xml:space="preserve">the proposed augmentation </w:t>
      </w:r>
      <w:r w:rsidR="00BC0CFE">
        <w:t>is</w:t>
      </w:r>
      <w:r w:rsidRPr="00737C83">
        <w:t xml:space="preserve"> prudent </w:t>
      </w:r>
      <w:r w:rsidR="00BC0CFE">
        <w:t>in light of</w:t>
      </w:r>
      <w:r w:rsidR="00BC0CFE" w:rsidRPr="00737C83">
        <w:t xml:space="preserve"> </w:t>
      </w:r>
      <w:r w:rsidRPr="00737C83">
        <w:t xml:space="preserve">the previous </w:t>
      </w:r>
      <w:r w:rsidR="00EE204E">
        <w:t>expenditure</w:t>
      </w:r>
      <w:r w:rsidR="00EE204E" w:rsidRPr="00737C83">
        <w:t xml:space="preserve"> </w:t>
      </w:r>
      <w:r w:rsidR="0034334A">
        <w:t xml:space="preserve">approved for </w:t>
      </w:r>
      <w:r w:rsidRPr="00737C83">
        <w:t xml:space="preserve">the project, the benefits </w:t>
      </w:r>
      <w:r w:rsidR="0034334A">
        <w:t>in terms of</w:t>
      </w:r>
      <w:r w:rsidR="0034334A" w:rsidRPr="00737C83">
        <w:t xml:space="preserve"> </w:t>
      </w:r>
      <w:r w:rsidRPr="00737C83">
        <w:t xml:space="preserve">security of supply at the southern fringe </w:t>
      </w:r>
      <w:r w:rsidR="0034334A">
        <w:t>and the</w:t>
      </w:r>
      <w:r w:rsidRPr="00737C83">
        <w:t xml:space="preserve"> additional capacity </w:t>
      </w:r>
      <w:r w:rsidR="0034334A">
        <w:t xml:space="preserve">it will provide </w:t>
      </w:r>
      <w:r w:rsidRPr="00737C83">
        <w:t xml:space="preserve">for the Geelong network. </w:t>
      </w:r>
      <w:r w:rsidR="0034334A">
        <w:t>Zincara also advised that the</w:t>
      </w:r>
      <w:r w:rsidR="00BD0C97">
        <w:t xml:space="preserve"> proposed </w:t>
      </w:r>
      <w:r w:rsidR="00BD0C97" w:rsidRPr="00E42E4F">
        <w:t>$4.6 million</w:t>
      </w:r>
      <w:r w:rsidR="00BD0C97">
        <w:t xml:space="preserve"> is efficient and in line with that which was previously approved.</w:t>
      </w:r>
      <w:r>
        <w:rPr>
          <w:rStyle w:val="FootnoteReference"/>
        </w:rPr>
        <w:footnoteReference w:id="80"/>
      </w:r>
      <w:r w:rsidR="00BD0C97">
        <w:t xml:space="preserve"> </w:t>
      </w:r>
      <w:r w:rsidR="00067AC2">
        <w:t xml:space="preserve">Based on the available information and Zincara's advice, we </w:t>
      </w:r>
      <w:r w:rsidR="00BD0C97">
        <w:t>are satisfied that this project is justified on the grounds of maintaining the integrity and safety of services.</w:t>
      </w:r>
      <w:r w:rsidR="00BD0C97">
        <w:rPr>
          <w:rStyle w:val="FootnoteReference"/>
        </w:rPr>
        <w:footnoteReference w:id="81"/>
      </w:r>
    </w:p>
    <w:p w14:paraId="637E24C1" w14:textId="77777777" w:rsidR="00737C83" w:rsidRPr="00737C83" w:rsidRDefault="00737C83" w:rsidP="00737C83">
      <w:pPr>
        <w:pStyle w:val="HeadingBoldItalic"/>
      </w:pPr>
      <w:r w:rsidRPr="00737C83">
        <w:t>Werribee</w:t>
      </w:r>
    </w:p>
    <w:p w14:paraId="7954E27E" w14:textId="4917AE36" w:rsidR="00737C83" w:rsidRPr="00737C83" w:rsidRDefault="00737C83" w:rsidP="00737C83">
      <w:r w:rsidRPr="00737C83">
        <w:t xml:space="preserve">We are satisfied that the proposed capex for the Werribee augmentation is conforming capex. </w:t>
      </w:r>
    </w:p>
    <w:p w14:paraId="4881E892" w14:textId="7D2B7F77" w:rsidR="00737C83" w:rsidRPr="00737C83" w:rsidRDefault="00737C83" w:rsidP="00737C83">
      <w:r w:rsidRPr="00737C83">
        <w:t xml:space="preserve">AusNet proposed </w:t>
      </w:r>
      <w:r w:rsidR="00BD0C97" w:rsidRPr="00737C83">
        <w:t xml:space="preserve">$2.0 million ($2017) </w:t>
      </w:r>
      <w:r w:rsidRPr="00737C83">
        <w:t>to install a city gate and a large-diameter supply main at Werribee.</w:t>
      </w:r>
      <w:r>
        <w:rPr>
          <w:rStyle w:val="FootnoteReference"/>
        </w:rPr>
        <w:footnoteReference w:id="82"/>
      </w:r>
      <w:r w:rsidRPr="00737C83">
        <w:t xml:space="preserve"> AusNet submitted that this is required to ensure pressures in the Werribee and western suburbs growth area comply with GDSC requirements.</w:t>
      </w:r>
      <w:r>
        <w:rPr>
          <w:rStyle w:val="FootnoteReference"/>
        </w:rPr>
        <w:footnoteReference w:id="83"/>
      </w:r>
      <w:r w:rsidRPr="00737C83">
        <w:t xml:space="preserve"> This will </w:t>
      </w:r>
      <w:r w:rsidR="00F25DD2">
        <w:t xml:space="preserve">also increase </w:t>
      </w:r>
      <w:r w:rsidRPr="00737C83">
        <w:t xml:space="preserve">capacity </w:t>
      </w:r>
      <w:r w:rsidR="00F25DD2">
        <w:t>for</w:t>
      </w:r>
      <w:r w:rsidR="00F25DD2" w:rsidRPr="00737C83">
        <w:t xml:space="preserve"> </w:t>
      </w:r>
      <w:r w:rsidRPr="00737C83">
        <w:t>1 160 customers located at the fringes of the network and the western growth corridor.</w:t>
      </w:r>
    </w:p>
    <w:p w14:paraId="0B33D47C" w14:textId="310D6956" w:rsidR="00737C83" w:rsidRPr="00737C83" w:rsidRDefault="00F25DD2" w:rsidP="00737C83">
      <w:r>
        <w:t xml:space="preserve">In response to a request for further information, </w:t>
      </w:r>
      <w:r w:rsidR="00737C83" w:rsidRPr="00737C83">
        <w:t xml:space="preserve">AusNet provided </w:t>
      </w:r>
      <w:r>
        <w:t>an a</w:t>
      </w:r>
      <w:r w:rsidR="00737C83" w:rsidRPr="00737C83">
        <w:t xml:space="preserve">ugmentation </w:t>
      </w:r>
      <w:r>
        <w:t>p</w:t>
      </w:r>
      <w:r w:rsidR="00737C83" w:rsidRPr="00737C83">
        <w:t xml:space="preserve">roject </w:t>
      </w:r>
      <w:r>
        <w:t>a</w:t>
      </w:r>
      <w:r w:rsidR="00737C83" w:rsidRPr="00737C83">
        <w:t>nalysis</w:t>
      </w:r>
      <w:r w:rsidR="00215CF2" w:rsidRPr="00215CF2">
        <w:t xml:space="preserve"> </w:t>
      </w:r>
      <w:r w:rsidR="00215CF2">
        <w:t xml:space="preserve">that included </w:t>
      </w:r>
      <w:r w:rsidR="00215CF2" w:rsidRPr="009108E4">
        <w:t>fringe winter testing undertaken in 2016 and network modelling showing areas of poor supply</w:t>
      </w:r>
      <w:r w:rsidR="00737C83" w:rsidRPr="00737C83">
        <w:t>.</w:t>
      </w:r>
      <w:r w:rsidR="00737C83">
        <w:rPr>
          <w:rStyle w:val="FootnoteReference"/>
        </w:rPr>
        <w:footnoteReference w:id="84"/>
      </w:r>
      <w:r w:rsidR="009108E4">
        <w:t xml:space="preserve"> </w:t>
      </w:r>
      <w:r w:rsidR="00737C83" w:rsidRPr="00737C83">
        <w:t xml:space="preserve">Zincara </w:t>
      </w:r>
      <w:r w:rsidR="00215CF2">
        <w:t xml:space="preserve">advised that </w:t>
      </w:r>
      <w:r w:rsidR="00737C83" w:rsidRPr="00737C83">
        <w:t>ensur</w:t>
      </w:r>
      <w:r w:rsidR="00215CF2">
        <w:t>ing</w:t>
      </w:r>
      <w:r w:rsidR="00737C83" w:rsidRPr="00737C83">
        <w:t xml:space="preserve"> pressures </w:t>
      </w:r>
      <w:r w:rsidR="00215CF2">
        <w:t xml:space="preserve">comply with </w:t>
      </w:r>
      <w:r w:rsidR="00737C83" w:rsidRPr="00737C83">
        <w:t>the required minimum</w:t>
      </w:r>
      <w:r w:rsidR="00215CF2">
        <w:t>s</w:t>
      </w:r>
      <w:r w:rsidR="00840AD7">
        <w:t xml:space="preserve"> is prudent</w:t>
      </w:r>
      <w:r w:rsidR="00215CF2">
        <w:t xml:space="preserve">, </w:t>
      </w:r>
      <w:r w:rsidR="00840AD7">
        <w:t>and</w:t>
      </w:r>
      <w:r w:rsidR="00737C83" w:rsidRPr="00737C83">
        <w:t xml:space="preserve"> the network modelling indicate</w:t>
      </w:r>
      <w:r w:rsidR="00840AD7">
        <w:t>s</w:t>
      </w:r>
      <w:r w:rsidR="00737C83" w:rsidRPr="00737C83">
        <w:t xml:space="preserve"> </w:t>
      </w:r>
      <w:r w:rsidR="00840AD7">
        <w:t xml:space="preserve">that these requirements will not be met in 2018. </w:t>
      </w:r>
      <w:r w:rsidR="00737C83" w:rsidRPr="00737C83">
        <w:t xml:space="preserve">Zincara </w:t>
      </w:r>
      <w:r w:rsidR="00840AD7">
        <w:t xml:space="preserve">also advised that the proposed $2.0 million is </w:t>
      </w:r>
      <w:r w:rsidR="00737C83" w:rsidRPr="00737C83">
        <w:t xml:space="preserve">within the range of a small city gate and </w:t>
      </w:r>
      <w:r w:rsidR="00840AD7">
        <w:t xml:space="preserve">is </w:t>
      </w:r>
      <w:r w:rsidR="00737C83" w:rsidRPr="00737C83">
        <w:t>efficient.</w:t>
      </w:r>
      <w:r w:rsidR="00737C83">
        <w:rPr>
          <w:rStyle w:val="FootnoteReference"/>
        </w:rPr>
        <w:footnoteReference w:id="85"/>
      </w:r>
      <w:r w:rsidR="00840AD7">
        <w:t xml:space="preserve"> </w:t>
      </w:r>
      <w:r w:rsidR="00067AC2">
        <w:t xml:space="preserve">Based on the available information and Zincara's advice, we </w:t>
      </w:r>
      <w:r w:rsidR="00840AD7">
        <w:t>are satisfied that this project is justified on the grounds of maintaining the integrity and safety of services.</w:t>
      </w:r>
      <w:r w:rsidR="00840AD7">
        <w:rPr>
          <w:rStyle w:val="FootnoteReference"/>
        </w:rPr>
        <w:footnoteReference w:id="86"/>
      </w:r>
    </w:p>
    <w:p w14:paraId="5E6B52F7" w14:textId="77777777" w:rsidR="00737C83" w:rsidRPr="00737C83" w:rsidRDefault="00737C83" w:rsidP="00737C83">
      <w:pPr>
        <w:pStyle w:val="HeadingBoldItalic"/>
      </w:pPr>
      <w:r w:rsidRPr="00737C83">
        <w:t>St Leonards</w:t>
      </w:r>
    </w:p>
    <w:p w14:paraId="565AB73A" w14:textId="31C69DFD" w:rsidR="00737C83" w:rsidRPr="00737C83" w:rsidRDefault="00737C83" w:rsidP="00737C83">
      <w:r w:rsidRPr="00737C83">
        <w:t>We are not satisfied that the proposed capex for the St Leonards augmentation is conforming capex.</w:t>
      </w:r>
    </w:p>
    <w:p w14:paraId="713422AE" w14:textId="55E5381B" w:rsidR="00737C83" w:rsidRPr="00737C83" w:rsidRDefault="00737C83" w:rsidP="00737C83">
      <w:r w:rsidRPr="00737C83">
        <w:t>AusNet proposed</w:t>
      </w:r>
      <w:r w:rsidR="00840AD7">
        <w:t xml:space="preserve"> </w:t>
      </w:r>
      <w:r w:rsidR="00840AD7" w:rsidRPr="00737C83">
        <w:t>$2.1 million ($2017)</w:t>
      </w:r>
      <w:r w:rsidRPr="00737C83">
        <w:t xml:space="preserve"> to install a new city gate and large diameter supply main to provide additional capacity to St Leonards. AusNet submitted that </w:t>
      </w:r>
      <w:r w:rsidR="001C7428">
        <w:t xml:space="preserve">will </w:t>
      </w:r>
      <w:r w:rsidRPr="00737C83">
        <w:t>ensure pressures to around 750 customers are maintained above GDSC requirements.</w:t>
      </w:r>
      <w:r>
        <w:rPr>
          <w:rStyle w:val="FootnoteReference"/>
        </w:rPr>
        <w:footnoteReference w:id="87"/>
      </w:r>
    </w:p>
    <w:p w14:paraId="78235BA7" w14:textId="25E86A63" w:rsidR="00737C83" w:rsidRDefault="00C21217" w:rsidP="00737C83">
      <w:r>
        <w:t xml:space="preserve">In response to a request for further information, </w:t>
      </w:r>
      <w:r w:rsidRPr="00737C83">
        <w:t xml:space="preserve">AusNet provided </w:t>
      </w:r>
      <w:r>
        <w:t>an</w:t>
      </w:r>
      <w:r w:rsidRPr="00737C83">
        <w:t xml:space="preserve"> </w:t>
      </w:r>
      <w:r>
        <w:t>a</w:t>
      </w:r>
      <w:r w:rsidRPr="00737C83">
        <w:t xml:space="preserve">ugmentation </w:t>
      </w:r>
      <w:r>
        <w:t>p</w:t>
      </w:r>
      <w:r w:rsidRPr="00737C83">
        <w:t xml:space="preserve">roject </w:t>
      </w:r>
      <w:r>
        <w:t>a</w:t>
      </w:r>
      <w:r w:rsidRPr="00737C83">
        <w:t>nalysis</w:t>
      </w:r>
      <w:r>
        <w:t xml:space="preserve"> that </w:t>
      </w:r>
      <w:r w:rsidRPr="00737C83">
        <w:t>included winter testing and real-time SCADA data</w:t>
      </w:r>
      <w:r w:rsidR="00737C83" w:rsidRPr="00737C83">
        <w:t>.</w:t>
      </w:r>
      <w:r w:rsidR="00737C83">
        <w:rPr>
          <w:rStyle w:val="FootnoteReference"/>
        </w:rPr>
        <w:footnoteReference w:id="88"/>
      </w:r>
      <w:r w:rsidR="00737C83" w:rsidRPr="00737C83">
        <w:t xml:space="preserve"> This </w:t>
      </w:r>
      <w:r>
        <w:t>revealed</w:t>
      </w:r>
      <w:r w:rsidRPr="00737C83">
        <w:t xml:space="preserve"> </w:t>
      </w:r>
      <w:r w:rsidR="00737C83" w:rsidRPr="00737C83">
        <w:t xml:space="preserve">that pressures below 100kPa were experienced during the winter of 2016. </w:t>
      </w:r>
    </w:p>
    <w:p w14:paraId="7F800BFA" w14:textId="6FF2CE1C" w:rsidR="00737C83" w:rsidRPr="00737C83" w:rsidRDefault="00737C83" w:rsidP="00737C83">
      <w:r w:rsidRPr="00737C83">
        <w:t xml:space="preserve">Zincara </w:t>
      </w:r>
      <w:r w:rsidR="00441641">
        <w:t>advised</w:t>
      </w:r>
      <w:r w:rsidR="00441641" w:rsidRPr="00737C83">
        <w:t xml:space="preserve"> </w:t>
      </w:r>
      <w:r w:rsidRPr="00737C83">
        <w:t xml:space="preserve">that AusNet has not proposed to </w:t>
      </w:r>
      <w:r w:rsidR="001C7428">
        <w:t>reinforce the</w:t>
      </w:r>
      <w:r w:rsidR="001C7428" w:rsidRPr="00737C83">
        <w:t xml:space="preserve"> </w:t>
      </w:r>
      <w:r w:rsidRPr="00737C83">
        <w:t>network until 2022, when its network modelling indicate</w:t>
      </w:r>
      <w:r w:rsidR="00441641">
        <w:t>s</w:t>
      </w:r>
      <w:r w:rsidRPr="00737C83">
        <w:t xml:space="preserve"> network pressures of 141kPa </w:t>
      </w:r>
      <w:r>
        <w:t xml:space="preserve">would be reached </w:t>
      </w:r>
      <w:r w:rsidRPr="00737C83">
        <w:t xml:space="preserve">(marginally above that specified in the GDSC). </w:t>
      </w:r>
      <w:r w:rsidR="001C7428">
        <w:t xml:space="preserve">This is later than Zincara </w:t>
      </w:r>
      <w:r w:rsidR="005244B2">
        <w:t xml:space="preserve">would have expected </w:t>
      </w:r>
      <w:r w:rsidR="008D37B8">
        <w:t>given</w:t>
      </w:r>
      <w:r w:rsidRPr="00737C83">
        <w:t xml:space="preserve"> pressure</w:t>
      </w:r>
      <w:r w:rsidR="005244B2">
        <w:t>s</w:t>
      </w:r>
      <w:r w:rsidRPr="00737C83">
        <w:t xml:space="preserve"> </w:t>
      </w:r>
      <w:r w:rsidR="008D37B8">
        <w:t xml:space="preserve">experienced in the winter of </w:t>
      </w:r>
      <w:r w:rsidRPr="00737C83">
        <w:t xml:space="preserve">2016. </w:t>
      </w:r>
      <w:r w:rsidR="008D37B8">
        <w:t xml:space="preserve">However, </w:t>
      </w:r>
      <w:r w:rsidRPr="00737C83">
        <w:t>Zincara</w:t>
      </w:r>
      <w:r w:rsidR="005244B2">
        <w:t xml:space="preserve"> also advised </w:t>
      </w:r>
      <w:r w:rsidR="008D37B8">
        <w:t>that this proje</w:t>
      </w:r>
      <w:r w:rsidR="008373FE">
        <w:t>ct is not necessary in the 2018–</w:t>
      </w:r>
      <w:r w:rsidR="008D37B8">
        <w:t xml:space="preserve">22 access arrangement period because </w:t>
      </w:r>
      <w:r w:rsidRPr="00737C83">
        <w:t>the predicted pressure</w:t>
      </w:r>
      <w:r w:rsidR="008D37B8">
        <w:t>s</w:t>
      </w:r>
      <w:r w:rsidRPr="00737C83">
        <w:t xml:space="preserve"> in 2022 </w:t>
      </w:r>
      <w:r w:rsidR="008D37B8">
        <w:t>are</w:t>
      </w:r>
      <w:r w:rsidR="008D37B8" w:rsidRPr="00737C83">
        <w:t xml:space="preserve"> </w:t>
      </w:r>
      <w:r w:rsidRPr="00737C83">
        <w:t>above the minimum pressure</w:t>
      </w:r>
      <w:r w:rsidR="008D37B8">
        <w:t>s</w:t>
      </w:r>
      <w:r w:rsidRPr="00737C83">
        <w:t xml:space="preserve"> </w:t>
      </w:r>
      <w:r w:rsidR="008D37B8">
        <w:t>required by</w:t>
      </w:r>
      <w:r w:rsidR="008D37B8" w:rsidRPr="00737C83">
        <w:t xml:space="preserve"> </w:t>
      </w:r>
      <w:r w:rsidRPr="00737C83">
        <w:t>the GDSC.</w:t>
      </w:r>
      <w:r>
        <w:rPr>
          <w:rStyle w:val="FootnoteReference"/>
        </w:rPr>
        <w:footnoteReference w:id="89"/>
      </w:r>
      <w:r w:rsidRPr="00737C83">
        <w:t xml:space="preserve"> </w:t>
      </w:r>
      <w:r w:rsidR="00067AC2">
        <w:t>Based on the available information and Zincara's advice, we</w:t>
      </w:r>
      <w:r w:rsidR="008D37B8">
        <w:t xml:space="preserve"> are</w:t>
      </w:r>
      <w:r w:rsidR="00067AC2">
        <w:t xml:space="preserve"> </w:t>
      </w:r>
      <w:r w:rsidR="00575C10">
        <w:t xml:space="preserve">not </w:t>
      </w:r>
      <w:r w:rsidR="008D37B8">
        <w:t>satisfied that this project is justified on the grounds of maintaining the integrity and safety of services.</w:t>
      </w:r>
      <w:r w:rsidR="008D37B8">
        <w:rPr>
          <w:rStyle w:val="FootnoteReference"/>
        </w:rPr>
        <w:footnoteReference w:id="90"/>
      </w:r>
    </w:p>
    <w:p w14:paraId="6E586ED4" w14:textId="77777777" w:rsidR="00737C83" w:rsidRPr="00737C83" w:rsidRDefault="00737C83" w:rsidP="00737C83">
      <w:pPr>
        <w:pStyle w:val="HeadingBoldItalic"/>
      </w:pPr>
      <w:r w:rsidRPr="00737C83">
        <w:t>Other projects</w:t>
      </w:r>
    </w:p>
    <w:p w14:paraId="51A0A257" w14:textId="7B4D4856" w:rsidR="00737C83" w:rsidRPr="00737C83" w:rsidRDefault="00737C83" w:rsidP="00737C83">
      <w:r w:rsidRPr="00737C83">
        <w:t xml:space="preserve">AusNet proposed </w:t>
      </w:r>
      <w:r w:rsidR="008D37B8" w:rsidRPr="00737C83">
        <w:t>several</w:t>
      </w:r>
      <w:r w:rsidRPr="00737C83">
        <w:t xml:space="preserve"> other augmentation projects. This include</w:t>
      </w:r>
      <w:r w:rsidR="00575C10">
        <w:t>s</w:t>
      </w:r>
      <w:r w:rsidRPr="00737C83">
        <w:t xml:space="preserve"> $4.3 million for mains reinforcements in Bendigo, Craigieburn, Sunbury, Warrnambool, Bacchus Marsh, Sunshine, and the Macedon Ranges</w:t>
      </w:r>
      <w:r w:rsidR="00BB398B">
        <w:t xml:space="preserve">, and </w:t>
      </w:r>
      <w:r w:rsidR="00BB398B" w:rsidRPr="00737C83">
        <w:t>$2.1 million</w:t>
      </w:r>
      <w:r w:rsidRPr="00737C83">
        <w:t xml:space="preserve"> to upgrade existing facilities in Werribee, Point Henry and Melton.</w:t>
      </w:r>
    </w:p>
    <w:p w14:paraId="170B0A45" w14:textId="18171906" w:rsidR="00A74452" w:rsidRDefault="00BB398B" w:rsidP="00575C10">
      <w:r w:rsidRPr="00F70FA0">
        <w:rPr>
          <w:rStyle w:val="AERbody"/>
        </w:rPr>
        <w:t xml:space="preserve">In response to a request for further information, AusNet provided </w:t>
      </w:r>
      <w:r w:rsidR="00F70FA0" w:rsidRPr="00737C83">
        <w:t>for each proposed project</w:t>
      </w:r>
      <w:r w:rsidR="00F70FA0">
        <w:t xml:space="preserve">, </w:t>
      </w:r>
      <w:r w:rsidR="00737C83" w:rsidRPr="00737C83">
        <w:t>network planning reports and risk assessments.</w:t>
      </w:r>
      <w:r w:rsidR="00737C83">
        <w:rPr>
          <w:rStyle w:val="FootnoteReference"/>
        </w:rPr>
        <w:footnoteReference w:id="91"/>
      </w:r>
      <w:r w:rsidR="00737C83" w:rsidRPr="00737C83">
        <w:t xml:space="preserve"> Zincara reviewed this information and </w:t>
      </w:r>
      <w:r w:rsidR="00F70FA0">
        <w:t xml:space="preserve">advised </w:t>
      </w:r>
      <w:r w:rsidR="00737C83" w:rsidRPr="00737C83">
        <w:t xml:space="preserve">that the proposed costs </w:t>
      </w:r>
      <w:r w:rsidR="00F70FA0">
        <w:t>are</w:t>
      </w:r>
      <w:r w:rsidR="00F70FA0" w:rsidRPr="00737C83">
        <w:t xml:space="preserve"> prudent </w:t>
      </w:r>
      <w:r w:rsidR="00F70FA0">
        <w:t xml:space="preserve">and </w:t>
      </w:r>
      <w:r w:rsidR="00737C83" w:rsidRPr="00737C83">
        <w:t>efficient.</w:t>
      </w:r>
      <w:r w:rsidR="00737C83">
        <w:rPr>
          <w:rStyle w:val="FootnoteReference"/>
        </w:rPr>
        <w:footnoteReference w:id="92"/>
      </w:r>
      <w:r w:rsidR="00F70FA0">
        <w:t xml:space="preserve"> </w:t>
      </w:r>
      <w:r w:rsidR="00067AC2">
        <w:t xml:space="preserve">Based on the available information and Zincara's advice, we </w:t>
      </w:r>
      <w:r w:rsidR="00F70FA0">
        <w:t xml:space="preserve">are satisfied that </w:t>
      </w:r>
      <w:r w:rsidR="00067AC2">
        <w:t xml:space="preserve">these </w:t>
      </w:r>
      <w:r w:rsidR="00F70FA0">
        <w:t>project</w:t>
      </w:r>
      <w:r w:rsidR="00067AC2">
        <w:t>s</w:t>
      </w:r>
      <w:r w:rsidR="00F70FA0">
        <w:t xml:space="preserve"> </w:t>
      </w:r>
      <w:r w:rsidR="00067AC2">
        <w:t xml:space="preserve">are </w:t>
      </w:r>
      <w:r w:rsidR="00F70FA0">
        <w:t>justified on the grounds of maintaining the integrity of services.</w:t>
      </w:r>
      <w:r w:rsidR="00F70FA0">
        <w:rPr>
          <w:rStyle w:val="FootnoteReference"/>
        </w:rPr>
        <w:footnoteReference w:id="93"/>
      </w:r>
    </w:p>
    <w:p w14:paraId="1D95B11D" w14:textId="77777777" w:rsidR="00B3728C" w:rsidRDefault="00B3728C" w:rsidP="004131F9">
      <w:pPr>
        <w:pStyle w:val="HeadingBoldBlue"/>
        <w:keepNext/>
      </w:pPr>
      <w:r>
        <w:t>Meter replacement</w:t>
      </w:r>
    </w:p>
    <w:p w14:paraId="12B87A48" w14:textId="77777777" w:rsidR="00B3728C" w:rsidRPr="00B3728C" w:rsidRDefault="00B3728C" w:rsidP="004131F9">
      <w:pPr>
        <w:keepNext/>
      </w:pPr>
      <w:r w:rsidRPr="00B3728C">
        <w:t>Meter replacement is an ongoing activity which is necessary to ensure that gas meters in the field are replaced when they fail to accurately read data. AusNet has regulatory obligations to manage the integrity of meters and ensure they operate within the prescribed tolerance band for metering accuracy.</w:t>
      </w:r>
      <w:r>
        <w:rPr>
          <w:rStyle w:val="FootnoteReference"/>
        </w:rPr>
        <w:footnoteReference w:id="94"/>
      </w:r>
    </w:p>
    <w:p w14:paraId="4A37E057" w14:textId="77777777" w:rsidR="00B3728C" w:rsidRPr="00B3728C" w:rsidRDefault="00B3728C" w:rsidP="00B3728C">
      <w:r w:rsidRPr="00B3728C">
        <w:t>AusNet calculated meter replacement expenditure for two general classes of meters: domestic meters, and industrial and commercial meters. It derived expenditure using forecast unit rates and volumes. AusNet also proposed to undertake a digital metering program.</w:t>
      </w:r>
    </w:p>
    <w:p w14:paraId="5CA64EAF" w14:textId="20DFB0BC" w:rsidR="00B3728C" w:rsidRPr="00B25154" w:rsidRDefault="00B3728C" w:rsidP="00B3728C">
      <w:r w:rsidRPr="00B3728C">
        <w:t xml:space="preserve">Based on all the information before us, we are not satisfied AusNet's </w:t>
      </w:r>
      <w:r w:rsidR="00154788">
        <w:t xml:space="preserve">proposed </w:t>
      </w:r>
      <w:r w:rsidRPr="00B3728C">
        <w:t>$32.4 million for meter replacement is conforming capex.</w:t>
      </w:r>
      <w:r>
        <w:rPr>
          <w:rStyle w:val="FootnoteReference"/>
        </w:rPr>
        <w:footnoteReference w:id="95"/>
      </w:r>
      <w:r w:rsidRPr="00B3728C">
        <w:t xml:space="preserve"> We have included $28.3 million ($2017, unescalated direct costs) of meter replacement expenditure in our alternative capex forecast. </w:t>
      </w:r>
      <w:r w:rsidR="000A6273">
        <w:t>M</w:t>
      </w:r>
      <w:r w:rsidRPr="00B3728C">
        <w:t xml:space="preserve">ost of </w:t>
      </w:r>
      <w:r w:rsidR="000A6273" w:rsidRPr="00B3728C">
        <w:t xml:space="preserve">AusNet's </w:t>
      </w:r>
      <w:r w:rsidRPr="00B3728C">
        <w:t xml:space="preserve">proposal </w:t>
      </w:r>
      <w:r w:rsidR="000A6273">
        <w:t>is</w:t>
      </w:r>
      <w:r w:rsidRPr="00B3728C">
        <w:t xml:space="preserve"> </w:t>
      </w:r>
      <w:r w:rsidR="000A6273">
        <w:t xml:space="preserve">conforming capex and we are </w:t>
      </w:r>
      <w:r w:rsidRPr="00B3728C">
        <w:t xml:space="preserve">satisfied </w:t>
      </w:r>
      <w:r w:rsidR="000A6273">
        <w:t xml:space="preserve">that the </w:t>
      </w:r>
      <w:r w:rsidRPr="00B25154">
        <w:t>proposed unit rates for industrial and commercial meter replacement</w:t>
      </w:r>
      <w:r w:rsidR="000A6273">
        <w:t xml:space="preserve"> and </w:t>
      </w:r>
      <w:r w:rsidR="000A6273" w:rsidRPr="00B25154">
        <w:t>volume</w:t>
      </w:r>
      <w:r w:rsidR="000A6273">
        <w:t>s</w:t>
      </w:r>
      <w:r w:rsidR="000A6273" w:rsidRPr="00B25154">
        <w:t xml:space="preserve"> of meter replacements </w:t>
      </w:r>
      <w:r w:rsidR="000A6273">
        <w:t xml:space="preserve">are </w:t>
      </w:r>
      <w:r w:rsidR="00F47C78">
        <w:t xml:space="preserve">arrived at on a </w:t>
      </w:r>
      <w:r w:rsidR="000A6273">
        <w:t xml:space="preserve">reasonable </w:t>
      </w:r>
      <w:r w:rsidR="00F47C78">
        <w:t xml:space="preserve">basis </w:t>
      </w:r>
      <w:r w:rsidR="000A6273">
        <w:t>and represent the best forecasts possible in the circumstances</w:t>
      </w:r>
      <w:r>
        <w:t xml:space="preserve">. However: </w:t>
      </w:r>
    </w:p>
    <w:p w14:paraId="73256AAF" w14:textId="262355B0" w:rsidR="00B3728C" w:rsidRPr="00B3728C" w:rsidRDefault="00B3728C" w:rsidP="00B3728C">
      <w:pPr>
        <w:pStyle w:val="AERbulletlistfirststyle"/>
      </w:pPr>
      <w:r w:rsidRPr="00B25154">
        <w:t>the</w:t>
      </w:r>
      <w:r w:rsidRPr="00B3728C">
        <w:t xml:space="preserve"> proposed unit rates for domestic meter replacements are not </w:t>
      </w:r>
      <w:r w:rsidR="00F47C78">
        <w:t xml:space="preserve">acceptable </w:t>
      </w:r>
      <w:r w:rsidR="00BE0B55">
        <w:t xml:space="preserve">because </w:t>
      </w:r>
      <w:r w:rsidRPr="00B3728C">
        <w:t xml:space="preserve">AusNet </w:t>
      </w:r>
      <w:r w:rsidR="00BE0B55">
        <w:t xml:space="preserve">can </w:t>
      </w:r>
      <w:r w:rsidR="004C301A">
        <w:t xml:space="preserve">incur </w:t>
      </w:r>
      <w:r w:rsidRPr="00B3728C">
        <w:t>lower cost</w:t>
      </w:r>
      <w:r w:rsidR="009E4A8E">
        <w:t>s</w:t>
      </w:r>
      <w:r w:rsidRPr="00B3728C">
        <w:t xml:space="preserve"> by using new and refurbished meters. We have therefore </w:t>
      </w:r>
      <w:r w:rsidR="00F47C78">
        <w:t>not included in our alternative capex estimate</w:t>
      </w:r>
      <w:r w:rsidR="00F47C78" w:rsidRPr="00B3728C">
        <w:t xml:space="preserve"> </w:t>
      </w:r>
      <w:r w:rsidRPr="00B3728C">
        <w:t xml:space="preserve">$2.4 million ($2017, unescalated direct costs) of capex </w:t>
      </w:r>
      <w:r w:rsidR="00F47C78">
        <w:t>proposed by</w:t>
      </w:r>
      <w:r w:rsidR="00F47C78" w:rsidRPr="00B3728C">
        <w:t xml:space="preserve"> </w:t>
      </w:r>
      <w:r w:rsidRPr="00B3728C">
        <w:t xml:space="preserve">AusNet </w:t>
      </w:r>
      <w:r w:rsidR="00F47C78">
        <w:t xml:space="preserve">for </w:t>
      </w:r>
      <w:r w:rsidRPr="00B3728C">
        <w:t xml:space="preserve">meter replacement. </w:t>
      </w:r>
    </w:p>
    <w:p w14:paraId="7D7AB6FA" w14:textId="71D46C59" w:rsidR="00B3728C" w:rsidRPr="00B3728C" w:rsidRDefault="00B3728C" w:rsidP="00B3728C">
      <w:pPr>
        <w:pStyle w:val="AERbulletlistfirststyle"/>
      </w:pPr>
      <w:r w:rsidRPr="00B25154">
        <w:t xml:space="preserve">the proposed capex for the digital metering program is not conforming capex. We have therefore </w:t>
      </w:r>
      <w:r w:rsidR="00F47C78">
        <w:t>not included</w:t>
      </w:r>
      <w:r w:rsidR="00F47C78" w:rsidRPr="00B25154">
        <w:t xml:space="preserve"> </w:t>
      </w:r>
      <w:r w:rsidR="00F47C78">
        <w:t xml:space="preserve">in our alternative capex estimate </w:t>
      </w:r>
      <w:r w:rsidRPr="00B25154">
        <w:t xml:space="preserve">$1.7 million ($2017, unescalated direct costs) </w:t>
      </w:r>
      <w:r w:rsidR="00F47C78">
        <w:t>of</w:t>
      </w:r>
      <w:r w:rsidR="00F47C78" w:rsidRPr="00B25154">
        <w:t xml:space="preserve"> </w:t>
      </w:r>
      <w:r w:rsidRPr="00B25154">
        <w:t xml:space="preserve">capex </w:t>
      </w:r>
      <w:r w:rsidR="00F47C78">
        <w:t xml:space="preserve">proposed by </w:t>
      </w:r>
      <w:r w:rsidR="00F47C78" w:rsidRPr="00B25154">
        <w:t>AusNet</w:t>
      </w:r>
      <w:r w:rsidR="00F47C78">
        <w:t xml:space="preserve"> for</w:t>
      </w:r>
      <w:r w:rsidR="00F47C78" w:rsidRPr="00B25154">
        <w:t xml:space="preserve"> </w:t>
      </w:r>
      <w:r w:rsidRPr="00B25154">
        <w:t xml:space="preserve">meter replacement. </w:t>
      </w:r>
    </w:p>
    <w:p w14:paraId="67CA9B51" w14:textId="77777777" w:rsidR="00B3728C" w:rsidRPr="00B3728C" w:rsidRDefault="00B3728C" w:rsidP="00B3728C">
      <w:r w:rsidRPr="00B3728C">
        <w:t>Our assessment of these projects is set out below.</w:t>
      </w:r>
    </w:p>
    <w:p w14:paraId="62B54E10" w14:textId="77777777" w:rsidR="00B3728C" w:rsidRPr="00B3728C" w:rsidRDefault="00B3728C" w:rsidP="00B3728C">
      <w:pPr>
        <w:pStyle w:val="HeadingBoldItalic"/>
      </w:pPr>
      <w:r w:rsidRPr="00B3728C">
        <w:t>Meter replacement programs</w:t>
      </w:r>
    </w:p>
    <w:p w14:paraId="60809B45" w14:textId="55244B08" w:rsidR="00B3728C" w:rsidRPr="00B3728C" w:rsidRDefault="00B3728C" w:rsidP="00B3728C">
      <w:r w:rsidRPr="00B3728C">
        <w:t xml:space="preserve">Using information on the age of its meter fleet, the types of meters and the most recent test results, AusNet estimated that 169 158 domestic meter replacements and 3 333 commercial meter replacements will be required in the </w:t>
      </w:r>
      <w:r w:rsidR="004C301A">
        <w:t>2018</w:t>
      </w:r>
      <w:r w:rsidR="009E4A8E">
        <w:t>–</w:t>
      </w:r>
      <w:r w:rsidR="004C301A">
        <w:t>22</w:t>
      </w:r>
      <w:r w:rsidR="004C301A" w:rsidRPr="00B3728C">
        <w:t xml:space="preserve"> </w:t>
      </w:r>
      <w:r w:rsidRPr="00B3728C">
        <w:t xml:space="preserve">access arrangement period. AusNet proposed to smooth its meter replacement program to avoid resourcing pressures and significant </w:t>
      </w:r>
      <w:r w:rsidR="004C301A" w:rsidRPr="00B3728C">
        <w:t>variation</w:t>
      </w:r>
      <w:r w:rsidR="004C301A">
        <w:t>s in</w:t>
      </w:r>
      <w:r w:rsidR="004C301A" w:rsidRPr="00B3728C">
        <w:t xml:space="preserve"> </w:t>
      </w:r>
      <w:r w:rsidRPr="00B3728C">
        <w:t>unit rate</w:t>
      </w:r>
      <w:r w:rsidR="004C301A">
        <w:t>s</w:t>
      </w:r>
      <w:r w:rsidRPr="00B3728C">
        <w:t>.</w:t>
      </w:r>
      <w:r>
        <w:rPr>
          <w:rStyle w:val="FootnoteReference"/>
        </w:rPr>
        <w:footnoteReference w:id="96"/>
      </w:r>
      <w:r w:rsidRPr="00B3728C">
        <w:t xml:space="preserve"> </w:t>
      </w:r>
    </w:p>
    <w:p w14:paraId="40D18FA4" w14:textId="0A9AE6C9" w:rsidR="00B3728C" w:rsidRPr="00B3728C" w:rsidRDefault="00B3728C" w:rsidP="00B3728C">
      <w:r w:rsidRPr="00B3728C">
        <w:t xml:space="preserve">Zincara </w:t>
      </w:r>
      <w:r w:rsidR="004C301A">
        <w:t>advised</w:t>
      </w:r>
      <w:r w:rsidR="004C301A" w:rsidRPr="00B3728C">
        <w:t xml:space="preserve"> </w:t>
      </w:r>
      <w:r w:rsidRPr="00B3728C">
        <w:t xml:space="preserve">that AusNet's meter replacement program </w:t>
      </w:r>
      <w:r w:rsidR="00395B73">
        <w:t>is</w:t>
      </w:r>
      <w:r w:rsidRPr="00B3728C">
        <w:t xml:space="preserve"> in accordance with good industry practice and in line with historical performance.</w:t>
      </w:r>
      <w:r w:rsidRPr="00B3728C">
        <w:rPr>
          <w:rStyle w:val="FootnoteReference"/>
        </w:rPr>
        <w:footnoteReference w:id="97"/>
      </w:r>
      <w:r w:rsidRPr="00B3728C">
        <w:t xml:space="preserve"> Based on Zincara's advice, we are satisfied </w:t>
      </w:r>
      <w:r w:rsidR="00395B73">
        <w:t>that</w:t>
      </w:r>
      <w:r w:rsidR="00395B73" w:rsidRPr="00B3728C">
        <w:t xml:space="preserve"> </w:t>
      </w:r>
      <w:r w:rsidRPr="00B3728C">
        <w:t>AusNet's forecast volume of meter replacements</w:t>
      </w:r>
      <w:r w:rsidR="00395B73">
        <w:t xml:space="preserve"> </w:t>
      </w:r>
      <w:r w:rsidR="00F47C78">
        <w:t xml:space="preserve">is arrived at on a </w:t>
      </w:r>
      <w:r w:rsidR="00395B73">
        <w:t xml:space="preserve">reasonable </w:t>
      </w:r>
      <w:r w:rsidR="00F47C78">
        <w:t xml:space="preserve">basis </w:t>
      </w:r>
      <w:r w:rsidR="00395B73">
        <w:t>and represents the best forecast possible in the circumstances</w:t>
      </w:r>
      <w:r w:rsidRPr="00B3728C">
        <w:t>.</w:t>
      </w:r>
    </w:p>
    <w:p w14:paraId="42805DCB" w14:textId="5661FC38" w:rsidR="00B3728C" w:rsidRPr="00B3728C" w:rsidRDefault="00B3728C" w:rsidP="00B3728C">
      <w:r w:rsidRPr="00B3728C">
        <w:t>AusNet submitted that it only uses refurbished meters at industrial and commercial sites, where the cost savings outweigh any additional whole of life costs associated with refurbished meters. All domestic meters</w:t>
      </w:r>
      <w:r w:rsidR="00395B73">
        <w:t xml:space="preserve"> that are removed from the field</w:t>
      </w:r>
      <w:r w:rsidRPr="00B3728C">
        <w:t xml:space="preserve"> are replaced with new meters</w:t>
      </w:r>
      <w:r w:rsidR="00395B73" w:rsidRPr="00395B73">
        <w:t xml:space="preserve"> </w:t>
      </w:r>
      <w:r w:rsidR="00395B73" w:rsidRPr="00B3728C">
        <w:t>and not refurbished</w:t>
      </w:r>
      <w:r w:rsidRPr="00B3728C">
        <w:t xml:space="preserve">. AusNet submitted this is driven by results from whole of life cost analysis </w:t>
      </w:r>
      <w:r w:rsidR="00395B73">
        <w:t>that compares</w:t>
      </w:r>
      <w:r w:rsidR="00395B73" w:rsidRPr="00B3728C">
        <w:t xml:space="preserve"> </w:t>
      </w:r>
      <w:r w:rsidRPr="00B3728C">
        <w:t>the cost of a new and refurbished meter over several replacement cycles.</w:t>
      </w:r>
      <w:r>
        <w:rPr>
          <w:rStyle w:val="FootnoteReference"/>
        </w:rPr>
        <w:footnoteReference w:id="98"/>
      </w:r>
      <w:r w:rsidRPr="00B3728C">
        <w:t xml:space="preserve"> </w:t>
      </w:r>
    </w:p>
    <w:p w14:paraId="519B1F12" w14:textId="6C3114B4" w:rsidR="00B3728C" w:rsidRPr="00B3728C" w:rsidRDefault="00395B73" w:rsidP="00B3728C">
      <w:r>
        <w:t>The</w:t>
      </w:r>
      <w:r w:rsidRPr="00B3728C">
        <w:t xml:space="preserve"> </w:t>
      </w:r>
      <w:r w:rsidR="00B3728C" w:rsidRPr="00B3728C">
        <w:t xml:space="preserve">sensitivity analysis </w:t>
      </w:r>
      <w:r>
        <w:t xml:space="preserve">submitted by AusNet demonstrates </w:t>
      </w:r>
      <w:r w:rsidR="00B3728C" w:rsidRPr="00B3728C">
        <w:t xml:space="preserve">that </w:t>
      </w:r>
      <w:r w:rsidRPr="00B3728C">
        <w:t>over the 'whole of life'</w:t>
      </w:r>
      <w:r>
        <w:t xml:space="preserve"> </w:t>
      </w:r>
      <w:r w:rsidR="00B3728C" w:rsidRPr="00B3728C">
        <w:t xml:space="preserve">refurbished meters </w:t>
      </w:r>
      <w:r>
        <w:t xml:space="preserve">are more expensive than </w:t>
      </w:r>
      <w:r w:rsidR="00B3728C" w:rsidRPr="00B3728C">
        <w:t>new meters</w:t>
      </w:r>
      <w:r>
        <w:t>, other than when</w:t>
      </w:r>
      <w:r w:rsidR="00B3728C" w:rsidRPr="00B3728C">
        <w:t>:</w:t>
      </w:r>
    </w:p>
    <w:p w14:paraId="4703C5B6" w14:textId="4F4ED077" w:rsidR="00B3728C" w:rsidRPr="00B3728C" w:rsidRDefault="00B3728C" w:rsidP="00B3728C">
      <w:pPr>
        <w:pStyle w:val="AERbulletlistfirststyle"/>
      </w:pPr>
      <w:r w:rsidRPr="00B25154">
        <w:t xml:space="preserve">a 20 or 25 year time period </w:t>
      </w:r>
      <w:r w:rsidR="00E95ED1">
        <w:t>is</w:t>
      </w:r>
      <w:r w:rsidR="00E95ED1" w:rsidRPr="00B25154">
        <w:t xml:space="preserve"> </w:t>
      </w:r>
      <w:r w:rsidRPr="00B25154">
        <w:t xml:space="preserve">considered (1 meter replacement) – AusNet </w:t>
      </w:r>
      <w:r w:rsidR="000800D2">
        <w:t>submitted</w:t>
      </w:r>
      <w:r w:rsidR="000800D2" w:rsidRPr="00B25154">
        <w:t xml:space="preserve"> </w:t>
      </w:r>
      <w:r w:rsidRPr="00B25154">
        <w:t xml:space="preserve">that this period </w:t>
      </w:r>
      <w:r w:rsidR="000800D2">
        <w:t>is</w:t>
      </w:r>
      <w:r w:rsidR="000800D2" w:rsidRPr="00B25154">
        <w:t xml:space="preserve"> </w:t>
      </w:r>
      <w:r w:rsidRPr="00B25154">
        <w:t>not representative of the replacement lifecycle in understanding "real" whole of life costs; or</w:t>
      </w:r>
    </w:p>
    <w:p w14:paraId="76C4BE97" w14:textId="51E89764" w:rsidR="00B3728C" w:rsidRPr="00B3728C" w:rsidRDefault="00B3728C" w:rsidP="00B3728C">
      <w:pPr>
        <w:pStyle w:val="AERbulletlistfirststyle"/>
      </w:pPr>
      <w:r w:rsidRPr="00B25154">
        <w:t xml:space="preserve">a more aggressive failure rate for refurbished meters </w:t>
      </w:r>
      <w:r w:rsidR="00E95ED1">
        <w:t>is</w:t>
      </w:r>
      <w:r w:rsidR="00E95ED1" w:rsidRPr="00B25154">
        <w:t xml:space="preserve"> </w:t>
      </w:r>
      <w:r w:rsidRPr="00B25154">
        <w:t>considered (fail</w:t>
      </w:r>
      <w:r w:rsidR="000800D2">
        <w:t>ures</w:t>
      </w:r>
      <w:r w:rsidRPr="00B25154">
        <w:t xml:space="preserve"> with no extensions after 15 years) – AusNet </w:t>
      </w:r>
      <w:r w:rsidR="00E95ED1">
        <w:t>submitted that</w:t>
      </w:r>
      <w:r w:rsidR="00E95ED1" w:rsidRPr="00B25154">
        <w:t xml:space="preserve"> </w:t>
      </w:r>
      <w:r w:rsidRPr="00B25154">
        <w:t xml:space="preserve">this </w:t>
      </w:r>
      <w:r w:rsidR="00E95ED1">
        <w:t xml:space="preserve">is </w:t>
      </w:r>
      <w:r w:rsidRPr="00B25154">
        <w:t>unlikely based on current meter performance.</w:t>
      </w:r>
      <w:r>
        <w:rPr>
          <w:rStyle w:val="FootnoteReference"/>
        </w:rPr>
        <w:footnoteReference w:id="99"/>
      </w:r>
    </w:p>
    <w:p w14:paraId="74D0A123" w14:textId="3E98E4F7" w:rsidR="00B3728C" w:rsidRPr="00B3728C" w:rsidRDefault="00B3728C" w:rsidP="00B3728C">
      <w:r w:rsidRPr="00B3728C">
        <w:t xml:space="preserve">Zincara </w:t>
      </w:r>
      <w:r w:rsidR="00E95ED1">
        <w:t xml:space="preserve">advised that </w:t>
      </w:r>
      <w:r w:rsidR="00E95ED1" w:rsidRPr="00B3728C">
        <w:t>the sensitivity analysis</w:t>
      </w:r>
      <w:r w:rsidR="00E95ED1">
        <w:t xml:space="preserve"> </w:t>
      </w:r>
      <w:r w:rsidR="00E95ED1" w:rsidRPr="00B3728C">
        <w:t>is inconclusive</w:t>
      </w:r>
      <w:r w:rsidR="00E95ED1">
        <w:t xml:space="preserve"> because </w:t>
      </w:r>
      <w:r w:rsidR="00DA48A2">
        <w:t xml:space="preserve">of the </w:t>
      </w:r>
      <w:r w:rsidRPr="00B3728C">
        <w:t xml:space="preserve">many </w:t>
      </w:r>
      <w:r w:rsidR="000800D2">
        <w:t xml:space="preserve">underlying </w:t>
      </w:r>
      <w:r w:rsidRPr="00B3728C">
        <w:t>variables and assumptions in</w:t>
      </w:r>
      <w:r w:rsidR="00E95ED1">
        <w:t>volved</w:t>
      </w:r>
      <w:r w:rsidRPr="00B3728C">
        <w:t>. Zincara considered that there is a capex impact in the short term, and certainly during the next access arrangement period, which increases the material costs of all programs where domestic meter replacements occur.</w:t>
      </w:r>
      <w:r w:rsidRPr="00B3728C">
        <w:rPr>
          <w:rStyle w:val="FootnoteReference"/>
        </w:rPr>
        <w:footnoteReference w:id="100"/>
      </w:r>
      <w:r w:rsidR="00E95ED1">
        <w:t xml:space="preserve"> </w:t>
      </w:r>
    </w:p>
    <w:p w14:paraId="02C2A658" w14:textId="1885336C" w:rsidR="00B3728C" w:rsidRPr="00B3728C" w:rsidRDefault="00B3728C" w:rsidP="00B3728C">
      <w:r w:rsidRPr="00B3728C">
        <w:t xml:space="preserve">Based on Zincara's advice, a 20 or 25 year time period is </w:t>
      </w:r>
      <w:r w:rsidR="000800D2">
        <w:t>enough</w:t>
      </w:r>
      <w:r w:rsidR="000800D2" w:rsidRPr="00B3728C">
        <w:t xml:space="preserve"> </w:t>
      </w:r>
      <w:r w:rsidRPr="00B3728C">
        <w:t>to assess meter replacement costs</w:t>
      </w:r>
      <w:r w:rsidR="000800D2">
        <w:t>. Gas</w:t>
      </w:r>
      <w:r w:rsidRPr="00B3728C">
        <w:t xml:space="preserve"> customers should </w:t>
      </w:r>
      <w:r w:rsidR="000800D2">
        <w:t xml:space="preserve">also </w:t>
      </w:r>
      <w:r w:rsidRPr="00B3728C">
        <w:t xml:space="preserve">not </w:t>
      </w:r>
      <w:r w:rsidR="008867D8">
        <w:t xml:space="preserve">be </w:t>
      </w:r>
      <w:r w:rsidRPr="00B3728C">
        <w:t>pay</w:t>
      </w:r>
      <w:r w:rsidR="008867D8">
        <w:t>ing</w:t>
      </w:r>
      <w:r w:rsidRPr="00B3728C">
        <w:t xml:space="preserve"> more than </w:t>
      </w:r>
      <w:r w:rsidR="000800D2">
        <w:t xml:space="preserve">is </w:t>
      </w:r>
      <w:r w:rsidRPr="00B3728C">
        <w:t xml:space="preserve">necessary for a potential future benefit that </w:t>
      </w:r>
      <w:r w:rsidR="000800D2">
        <w:t>depends</w:t>
      </w:r>
      <w:r w:rsidRPr="00B3728C">
        <w:t xml:space="preserve"> on </w:t>
      </w:r>
      <w:r w:rsidR="008867D8">
        <w:t>several</w:t>
      </w:r>
      <w:r w:rsidRPr="00B3728C">
        <w:t xml:space="preserve"> unpredictable assumptions. </w:t>
      </w:r>
      <w:r w:rsidR="008867D8">
        <w:t>Further, a</w:t>
      </w:r>
      <w:r w:rsidR="008867D8" w:rsidRPr="00B3728C">
        <w:t xml:space="preserve"> lower average unit rate can be achieved by using a combination of new and refurbished meters. </w:t>
      </w:r>
      <w:r w:rsidRPr="00B3728C">
        <w:t xml:space="preserve">We </w:t>
      </w:r>
      <w:r w:rsidR="000800D2">
        <w:t>are therefore not satisfied</w:t>
      </w:r>
      <w:r w:rsidR="000800D2" w:rsidRPr="00B3728C">
        <w:t xml:space="preserve"> </w:t>
      </w:r>
      <w:r w:rsidRPr="00B3728C">
        <w:t xml:space="preserve">that AusNet's forecast of unit rates for domestic meter replacements </w:t>
      </w:r>
      <w:r w:rsidR="000800D2">
        <w:t xml:space="preserve">is </w:t>
      </w:r>
      <w:r w:rsidR="00EE204E">
        <w:t xml:space="preserve">arrived at on a </w:t>
      </w:r>
      <w:r w:rsidR="000800D2">
        <w:t xml:space="preserve">reasonable </w:t>
      </w:r>
      <w:r w:rsidR="00EE204E">
        <w:t xml:space="preserve">basis </w:t>
      </w:r>
      <w:r w:rsidR="000800D2">
        <w:t xml:space="preserve">nor does it </w:t>
      </w:r>
      <w:r w:rsidRPr="00B3728C">
        <w:t>represent the best forecast or possible in the circumstances.</w:t>
      </w:r>
      <w:r>
        <w:rPr>
          <w:rStyle w:val="FootnoteReference"/>
        </w:rPr>
        <w:footnoteReference w:id="101"/>
      </w:r>
      <w:r w:rsidRPr="00B3728C">
        <w:t xml:space="preserve"> </w:t>
      </w:r>
    </w:p>
    <w:p w14:paraId="00741D5E" w14:textId="051EF7A3" w:rsidR="00B3728C" w:rsidRPr="00B3728C" w:rsidRDefault="00B3728C" w:rsidP="00B3728C">
      <w:r w:rsidRPr="00B3728C">
        <w:t>Using AusNet's sensitivity analysis</w:t>
      </w:r>
      <w:r w:rsidR="00902A7F">
        <w:t xml:space="preserve"> and</w:t>
      </w:r>
      <w:r w:rsidRPr="00B3728C">
        <w:t xml:space="preserve"> </w:t>
      </w:r>
      <w:r w:rsidR="00902A7F">
        <w:t>its</w:t>
      </w:r>
      <w:r w:rsidRPr="00B3728C">
        <w:t xml:space="preserve"> current and forecast meter costs, </w:t>
      </w:r>
      <w:r w:rsidR="00902A7F" w:rsidRPr="00B3728C">
        <w:t xml:space="preserve">we </w:t>
      </w:r>
      <w:r w:rsidR="00902A7F">
        <w:t xml:space="preserve">have </w:t>
      </w:r>
      <w:r w:rsidR="00902A7F" w:rsidRPr="00B3728C">
        <w:t xml:space="preserve">determined </w:t>
      </w:r>
      <w:r w:rsidR="005A79DE">
        <w:t>that refurbished meters are</w:t>
      </w:r>
      <w:r w:rsidRPr="00B3728C">
        <w:t xml:space="preserve"> cheaper than new meters, and </w:t>
      </w:r>
      <w:r w:rsidR="00902A7F">
        <w:t>have accordingly</w:t>
      </w:r>
      <w:r w:rsidR="00902A7F" w:rsidRPr="00B3728C">
        <w:t xml:space="preserve"> </w:t>
      </w:r>
      <w:r w:rsidR="005A79DE">
        <w:t xml:space="preserve">calculated lower unit rates. </w:t>
      </w:r>
      <w:r w:rsidR="00902A7F">
        <w:t>By applying</w:t>
      </w:r>
      <w:r w:rsidR="00902A7F" w:rsidRPr="00B3728C">
        <w:t xml:space="preserve"> </w:t>
      </w:r>
      <w:r w:rsidR="00902A7F">
        <w:t>th</w:t>
      </w:r>
      <w:r w:rsidR="00DF7414">
        <w:t>e</w:t>
      </w:r>
      <w:r w:rsidRPr="00B3728C">
        <w:t xml:space="preserve"> new unit rate</w:t>
      </w:r>
      <w:r w:rsidR="00DF7414">
        <w:t>s</w:t>
      </w:r>
      <w:r w:rsidRPr="00B3728C">
        <w:t xml:space="preserve"> to 55 per cent of meters</w:t>
      </w:r>
      <w:r w:rsidR="00902A7F">
        <w:t xml:space="preserve"> (</w:t>
      </w:r>
      <w:r w:rsidRPr="00B3728C">
        <w:t>the proportion of meters refurbished in AusNet's 2015 meter replacement program</w:t>
      </w:r>
      <w:r w:rsidR="00902A7F">
        <w:t xml:space="preserve">) we have included </w:t>
      </w:r>
      <w:r w:rsidR="00EE204E">
        <w:t xml:space="preserve">in our alternative estimate, </w:t>
      </w:r>
      <w:r w:rsidRPr="00B3728C">
        <w:t xml:space="preserve">meter replacement </w:t>
      </w:r>
      <w:r w:rsidR="00372CBF">
        <w:t>forecast</w:t>
      </w:r>
      <w:r w:rsidR="00EE204E">
        <w:t xml:space="preserve"> </w:t>
      </w:r>
      <w:r w:rsidRPr="00B3728C">
        <w:t xml:space="preserve">capex </w:t>
      </w:r>
      <w:r w:rsidR="00902A7F">
        <w:t xml:space="preserve">that is </w:t>
      </w:r>
      <w:r>
        <w:t>$2.4 million ($2017</w:t>
      </w:r>
      <w:r w:rsidRPr="00B3728C">
        <w:t>)</w:t>
      </w:r>
      <w:r w:rsidR="00902A7F">
        <w:t xml:space="preserve"> less than AusNet’s proposal</w:t>
      </w:r>
      <w:r w:rsidRPr="00B3728C">
        <w:t xml:space="preserve">. </w:t>
      </w:r>
      <w:r w:rsidR="00902A7F">
        <w:t>We are satisfied that this amount is conforming capex.</w:t>
      </w:r>
    </w:p>
    <w:p w14:paraId="019756C0" w14:textId="77777777" w:rsidR="00B3728C" w:rsidRPr="00B3728C" w:rsidRDefault="00B3728C" w:rsidP="004131F9">
      <w:pPr>
        <w:pStyle w:val="HeadingBoldItalic"/>
        <w:keepNext/>
      </w:pPr>
      <w:r w:rsidRPr="00B3728C">
        <w:t>Digital metering program</w:t>
      </w:r>
    </w:p>
    <w:p w14:paraId="25E7C5AF" w14:textId="0EE30FF8" w:rsidR="00B3728C" w:rsidRPr="00B3728C" w:rsidRDefault="00B3728C" w:rsidP="004131F9">
      <w:pPr>
        <w:keepNext/>
      </w:pPr>
      <w:r w:rsidRPr="00B3728C">
        <w:t xml:space="preserve">AusNet proposed </w:t>
      </w:r>
      <w:r w:rsidR="00902A7F" w:rsidRPr="00B3728C">
        <w:t>$1.7 million ($2017)</w:t>
      </w:r>
      <w:r w:rsidR="00902A7F">
        <w:t xml:space="preserve"> </w:t>
      </w:r>
      <w:r w:rsidRPr="00B3728C">
        <w:t>to undertake a digital metering program</w:t>
      </w:r>
      <w:r w:rsidR="00902A7F">
        <w:t xml:space="preserve"> and</w:t>
      </w:r>
      <w:r w:rsidRPr="00B3728C">
        <w:t xml:space="preserve"> $2.2 million </w:t>
      </w:r>
      <w:r w:rsidR="00902A7F">
        <w:t>of associated</w:t>
      </w:r>
      <w:r w:rsidR="00902A7F" w:rsidRPr="00B3728C">
        <w:t xml:space="preserve"> </w:t>
      </w:r>
      <w:r w:rsidRPr="00B3728C">
        <w:t>IT capex. AusNet submitted that to optimise performance and understand the full implications of introducing a digital metering fleet, an investigation is proposed to test the capability of the new metering technology.</w:t>
      </w:r>
      <w:r>
        <w:rPr>
          <w:rStyle w:val="FootnoteReference"/>
        </w:rPr>
        <w:footnoteReference w:id="102"/>
      </w:r>
      <w:r w:rsidRPr="00B3728C">
        <w:t xml:space="preserve"> </w:t>
      </w:r>
    </w:p>
    <w:p w14:paraId="47978B4B" w14:textId="6D169737" w:rsidR="00B3728C" w:rsidRPr="00B3728C" w:rsidRDefault="00B3728C" w:rsidP="00B3728C">
      <w:r w:rsidRPr="00B3728C">
        <w:t xml:space="preserve">AusNet </w:t>
      </w:r>
      <w:r w:rsidR="00156C9C">
        <w:t>considered</w:t>
      </w:r>
      <w:r w:rsidRPr="00B3728C">
        <w:t xml:space="preserve"> three potential options before undertaking a trial</w:t>
      </w:r>
      <w:r w:rsidR="00156C9C">
        <w:t>, namely</w:t>
      </w:r>
      <w:r w:rsidRPr="00B3728C">
        <w:t>:</w:t>
      </w:r>
    </w:p>
    <w:p w14:paraId="1BC79B8F" w14:textId="77777777" w:rsidR="00B3728C" w:rsidRPr="00B3728C" w:rsidRDefault="00B3728C" w:rsidP="00C16706">
      <w:pPr>
        <w:pStyle w:val="AERbulletlistfirststyle"/>
      </w:pPr>
      <w:r w:rsidRPr="00B25154">
        <w:t>leveraging existing smart meter communications infrastructure and technology solutions</w:t>
      </w:r>
    </w:p>
    <w:p w14:paraId="53A77239" w14:textId="16B41D9B" w:rsidR="00B3728C" w:rsidRPr="00B3728C" w:rsidRDefault="00B3728C" w:rsidP="00C16706">
      <w:pPr>
        <w:pStyle w:val="AERbulletlistfirststyle"/>
      </w:pPr>
      <w:r w:rsidRPr="00B25154">
        <w:t>retrofitting the existing meter fleet</w:t>
      </w:r>
    </w:p>
    <w:p w14:paraId="59D5D42A" w14:textId="16E08A1E" w:rsidR="00B3728C" w:rsidRPr="00B3728C" w:rsidRDefault="00B3728C" w:rsidP="00C16706">
      <w:pPr>
        <w:pStyle w:val="AERbulletlistfirststyle"/>
      </w:pPr>
      <w:r w:rsidRPr="00B25154">
        <w:t>gradual replacement of the existing meter fleet with smart meter alternative</w:t>
      </w:r>
      <w:r w:rsidR="00156C9C">
        <w:t>s</w:t>
      </w:r>
      <w:r w:rsidRPr="00B25154">
        <w:t>.</w:t>
      </w:r>
    </w:p>
    <w:p w14:paraId="7B3938D4" w14:textId="77777777" w:rsidR="00B3728C" w:rsidRPr="00B3728C" w:rsidRDefault="00B3728C" w:rsidP="00B3728C">
      <w:r w:rsidRPr="00B3728C">
        <w:t>AusNet submitted that the forecast capex for the digital metering program is justified because it has the potential to result in long-term improvements in operational efficiency and, hence, will achieve the lowest sustainable cost of providing metering services. AusNet also submitted that it may justify future investment that is necessary to maintain and improve the safety of services.</w:t>
      </w:r>
      <w:r>
        <w:rPr>
          <w:rStyle w:val="FootnoteReference"/>
        </w:rPr>
        <w:footnoteReference w:id="103"/>
      </w:r>
    </w:p>
    <w:p w14:paraId="5D461A98" w14:textId="419B7FEF" w:rsidR="00B3728C" w:rsidRPr="00B3728C" w:rsidRDefault="00B3728C" w:rsidP="00B3728C">
      <w:r w:rsidRPr="00B3728C">
        <w:t>In response</w:t>
      </w:r>
      <w:r w:rsidR="00156C9C">
        <w:t xml:space="preserve"> to an information request about this proposal</w:t>
      </w:r>
      <w:r w:rsidRPr="00B3728C">
        <w:t xml:space="preserve">, AusNet provided a discussion </w:t>
      </w:r>
      <w:r w:rsidR="00156C9C">
        <w:t>paper titled</w:t>
      </w:r>
      <w:r w:rsidR="00156C9C" w:rsidRPr="00B3728C">
        <w:t xml:space="preserve"> </w:t>
      </w:r>
      <w:r w:rsidRPr="00B3728C">
        <w:t xml:space="preserve">"Smart Gas Meter considerations and prospective trials". </w:t>
      </w:r>
      <w:r w:rsidR="00156C9C">
        <w:t>Whilst t</w:t>
      </w:r>
      <w:r w:rsidRPr="00B3728C">
        <w:t>he paper listed a number of potential benefits associated with digital gas meters</w:t>
      </w:r>
      <w:r w:rsidR="00156C9C">
        <w:t xml:space="preserve">, the </w:t>
      </w:r>
      <w:r w:rsidRPr="00B3728C">
        <w:t xml:space="preserve">only quantifiable benefit </w:t>
      </w:r>
      <w:r w:rsidR="00156C9C">
        <w:t xml:space="preserve">it referred to </w:t>
      </w:r>
      <w:r w:rsidRPr="00B3728C">
        <w:t>was the cost saving</w:t>
      </w:r>
      <w:r w:rsidR="00156C9C">
        <w:t xml:space="preserve">s associated with eliminating </w:t>
      </w:r>
      <w:r w:rsidRPr="00B3728C">
        <w:t xml:space="preserve">manual meter readings. </w:t>
      </w:r>
    </w:p>
    <w:p w14:paraId="6577238A" w14:textId="0F027E93" w:rsidR="00B3728C" w:rsidRPr="00B3728C" w:rsidRDefault="00B3728C" w:rsidP="00B3728C">
      <w:r w:rsidRPr="00B3728C">
        <w:t>Zincara</w:t>
      </w:r>
      <w:r w:rsidR="00156C9C">
        <w:t xml:space="preserve"> advised </w:t>
      </w:r>
      <w:r w:rsidRPr="00B3728C">
        <w:t xml:space="preserve">AusNet's proposal </w:t>
      </w:r>
      <w:r w:rsidR="00B71EDD">
        <w:t xml:space="preserve">is </w:t>
      </w:r>
      <w:r w:rsidRPr="00B3728C">
        <w:t xml:space="preserve">not sufficiently advanced to warrant a field trial during the </w:t>
      </w:r>
      <w:r w:rsidR="00B71EDD">
        <w:t>2018</w:t>
      </w:r>
      <w:r w:rsidR="00DF7414">
        <w:t>–</w:t>
      </w:r>
      <w:r w:rsidR="00B71EDD">
        <w:t>22</w:t>
      </w:r>
      <w:r w:rsidR="00B71EDD" w:rsidRPr="00B3728C">
        <w:t xml:space="preserve"> </w:t>
      </w:r>
      <w:r w:rsidRPr="00B3728C">
        <w:t xml:space="preserve">access arrangement period. </w:t>
      </w:r>
      <w:r w:rsidR="00067AC2">
        <w:t xml:space="preserve">Based on the available information and Zincara's advice, </w:t>
      </w:r>
      <w:r w:rsidRPr="00B3728C">
        <w:t xml:space="preserve">we are not satisfied that </w:t>
      </w:r>
      <w:r w:rsidR="00B71EDD">
        <w:t>AusNet’s proposal</w:t>
      </w:r>
      <w:r w:rsidR="00B71EDD" w:rsidRPr="00B3728C">
        <w:t xml:space="preserve"> </w:t>
      </w:r>
      <w:r w:rsidR="00B71EDD">
        <w:t>constitutes</w:t>
      </w:r>
      <w:r w:rsidRPr="00B3728C">
        <w:t xml:space="preserve"> conforming</w:t>
      </w:r>
      <w:r w:rsidR="00B71EDD">
        <w:t xml:space="preserve"> capex</w:t>
      </w:r>
      <w:r w:rsidRPr="00B3728C">
        <w:t>.</w:t>
      </w:r>
      <w:r>
        <w:rPr>
          <w:rStyle w:val="FootnoteReference"/>
        </w:rPr>
        <w:footnoteReference w:id="104"/>
      </w:r>
      <w:r w:rsidRPr="00B3728C">
        <w:t xml:space="preserve"> We have therefore </w:t>
      </w:r>
      <w:r w:rsidR="00B71EDD">
        <w:t>not included</w:t>
      </w:r>
      <w:r w:rsidR="00B71EDD" w:rsidRPr="00B3728C">
        <w:t xml:space="preserve"> </w:t>
      </w:r>
      <w:r w:rsidRPr="00B3728C">
        <w:t xml:space="preserve">$1.7 million ($2017) </w:t>
      </w:r>
      <w:r w:rsidR="00B71EDD">
        <w:t>in</w:t>
      </w:r>
      <w:r w:rsidR="00B71EDD" w:rsidRPr="00B3728C">
        <w:t xml:space="preserve"> </w:t>
      </w:r>
      <w:r w:rsidRPr="00B3728C">
        <w:t>our alternative capex forecast.</w:t>
      </w:r>
    </w:p>
    <w:p w14:paraId="269B5BAC" w14:textId="77777777" w:rsidR="00B3728C" w:rsidRDefault="00B3728C" w:rsidP="00B3728C">
      <w:pPr>
        <w:pStyle w:val="HeadingBoldBlue"/>
      </w:pPr>
      <w:r>
        <w:t>Other capex</w:t>
      </w:r>
    </w:p>
    <w:p w14:paraId="31189699" w14:textId="30534B6E" w:rsidR="009108E4" w:rsidRPr="009108E4" w:rsidRDefault="009108E4" w:rsidP="009108E4">
      <w:r w:rsidRPr="009108E4">
        <w:t>AusNet</w:t>
      </w:r>
      <w:r w:rsidR="00B71EDD">
        <w:t xml:space="preserve"> proposed $34.0</w:t>
      </w:r>
      <w:r w:rsidR="00B71EDD" w:rsidRPr="009108E4">
        <w:t xml:space="preserve"> million ($2017, unescalated direct costs) </w:t>
      </w:r>
      <w:r w:rsidR="00B71EDD">
        <w:t xml:space="preserve">for </w:t>
      </w:r>
      <w:r w:rsidRPr="009108E4">
        <w:t xml:space="preserve">other capex </w:t>
      </w:r>
      <w:r w:rsidR="00B71EDD">
        <w:t xml:space="preserve">which </w:t>
      </w:r>
      <w:r w:rsidRPr="009108E4">
        <w:t>includes:</w:t>
      </w:r>
      <w:r w:rsidR="002B0F3E">
        <w:rPr>
          <w:rStyle w:val="FootnoteReference"/>
        </w:rPr>
        <w:footnoteReference w:id="105"/>
      </w:r>
    </w:p>
    <w:p w14:paraId="17563F81" w14:textId="7CAD4B35" w:rsidR="009108E4" w:rsidRPr="009108E4" w:rsidRDefault="00E62E07" w:rsidP="009108E4">
      <w:pPr>
        <w:pStyle w:val="AERbulletlistfirststyle"/>
      </w:pPr>
      <w:r>
        <w:t xml:space="preserve">$5.9 million for </w:t>
      </w:r>
      <w:r w:rsidR="009108E4" w:rsidRPr="009108E4">
        <w:t>major network alterations initiated by third parties;</w:t>
      </w:r>
    </w:p>
    <w:p w14:paraId="62CEFC1F" w14:textId="33BB12E1" w:rsidR="009108E4" w:rsidRPr="009108E4" w:rsidRDefault="00E62E07" w:rsidP="009108E4">
      <w:pPr>
        <w:pStyle w:val="AERbulletlistfirststyle"/>
      </w:pPr>
      <w:r>
        <w:t xml:space="preserve">$12.8 million for </w:t>
      </w:r>
      <w:r w:rsidR="009108E4" w:rsidRPr="009108E4">
        <w:t xml:space="preserve">consumer regulator replacement programs; </w:t>
      </w:r>
    </w:p>
    <w:p w14:paraId="39AB1D4F" w14:textId="2ACFFEA8" w:rsidR="009108E4" w:rsidRPr="009108E4" w:rsidRDefault="00E62E07" w:rsidP="009108E4">
      <w:pPr>
        <w:pStyle w:val="AERbulletlistfirststyle"/>
      </w:pPr>
      <w:r>
        <w:t xml:space="preserve">$7.7 million for </w:t>
      </w:r>
      <w:r w:rsidR="009108E4" w:rsidRPr="009108E4">
        <w:t>heater and network regulator replacement programs;</w:t>
      </w:r>
    </w:p>
    <w:p w14:paraId="749036B0" w14:textId="0869405C" w:rsidR="009108E4" w:rsidRPr="009108E4" w:rsidRDefault="00E62E07" w:rsidP="009108E4">
      <w:pPr>
        <w:pStyle w:val="AERbulletlistfirststyle"/>
      </w:pPr>
      <w:r>
        <w:t xml:space="preserve">$5.7 million for </w:t>
      </w:r>
      <w:r w:rsidR="009108E4" w:rsidRPr="009108E4">
        <w:t>SCADA and cathodic protection capital works;</w:t>
      </w:r>
    </w:p>
    <w:p w14:paraId="5B8EF9B8" w14:textId="48D6CE48" w:rsidR="009108E4" w:rsidRDefault="00E62E07" w:rsidP="009108E4">
      <w:pPr>
        <w:pStyle w:val="AERbulletlistfirststyle"/>
      </w:pPr>
      <w:r>
        <w:t xml:space="preserve">$1.9 million for </w:t>
      </w:r>
      <w:r w:rsidR="009108E4" w:rsidRPr="009108E4">
        <w:t>general non-network expenditure (e.g. motor vehicles, telecommunications equipment, etc.).</w:t>
      </w:r>
    </w:p>
    <w:p w14:paraId="170EE462" w14:textId="13A6FDD2" w:rsidR="00BA4C6D" w:rsidRDefault="009108E4" w:rsidP="009108E4">
      <w:r w:rsidRPr="009108E4">
        <w:t xml:space="preserve">We are satisfied </w:t>
      </w:r>
      <w:r w:rsidR="00B71EDD">
        <w:t xml:space="preserve">that </w:t>
      </w:r>
      <w:r w:rsidRPr="009108E4">
        <w:t xml:space="preserve">AusNet's </w:t>
      </w:r>
      <w:r w:rsidR="00B71EDD">
        <w:t xml:space="preserve">proposal constitutes conforming </w:t>
      </w:r>
      <w:r>
        <w:t>capex</w:t>
      </w:r>
      <w:r w:rsidR="00B71EDD">
        <w:t xml:space="preserve"> and </w:t>
      </w:r>
      <w:r>
        <w:t>have included $3</w:t>
      </w:r>
      <w:r w:rsidR="00E56158">
        <w:t>4</w:t>
      </w:r>
      <w:r>
        <w:t>.</w:t>
      </w:r>
      <w:r w:rsidR="00E56158">
        <w:t>0</w:t>
      </w:r>
      <w:r w:rsidRPr="009108E4">
        <w:t xml:space="preserve"> million in our alternative capex forecast.</w:t>
      </w:r>
      <w:r>
        <w:t xml:space="preserve"> Our assessment of this capex is set out below.</w:t>
      </w:r>
    </w:p>
    <w:p w14:paraId="315C4397" w14:textId="77777777" w:rsidR="002B0F3E" w:rsidRDefault="002B0F3E" w:rsidP="00313C65">
      <w:pPr>
        <w:pStyle w:val="HeadingBoldItalic"/>
      </w:pPr>
      <w:r>
        <w:t>Major alterations</w:t>
      </w:r>
    </w:p>
    <w:p w14:paraId="3B99D657" w14:textId="6C5CDCBD" w:rsidR="00627CB0" w:rsidRDefault="005E7B9A" w:rsidP="00627CB0">
      <w:r>
        <w:t xml:space="preserve">AusNet </w:t>
      </w:r>
      <w:r w:rsidR="00B71EDD">
        <w:t>initially</w:t>
      </w:r>
      <w:r w:rsidR="002561DD">
        <w:t xml:space="preserve"> </w:t>
      </w:r>
      <w:r>
        <w:t>proposed $11.1 million ($2017, unescalated direct costs) for major alterations</w:t>
      </w:r>
      <w:r w:rsidR="002561DD">
        <w:t xml:space="preserve">, then </w:t>
      </w:r>
      <w:r w:rsidR="00B71EDD">
        <w:t xml:space="preserve">subsequently </w:t>
      </w:r>
      <w:r w:rsidR="002561DD">
        <w:t>revised this to $</w:t>
      </w:r>
      <w:r w:rsidR="00E56158">
        <w:t>5.9</w:t>
      </w:r>
      <w:r w:rsidR="002561DD">
        <w:t xml:space="preserve"> million </w:t>
      </w:r>
      <w:r w:rsidR="00B71EDD">
        <w:t xml:space="preserve">to correct a </w:t>
      </w:r>
      <w:r w:rsidR="002561DD">
        <w:t>modelling error</w:t>
      </w:r>
      <w:r>
        <w:t>.</w:t>
      </w:r>
      <w:r w:rsidR="00E56158">
        <w:rPr>
          <w:rStyle w:val="FootnoteReference"/>
        </w:rPr>
        <w:footnoteReference w:id="106"/>
      </w:r>
      <w:r w:rsidR="002561DD">
        <w:t xml:space="preserve"> AusNet </w:t>
      </w:r>
      <w:r w:rsidR="00B80066">
        <w:t xml:space="preserve">submitted that it assumes </w:t>
      </w:r>
      <w:r w:rsidR="002561DD">
        <w:t xml:space="preserve">these costs will be </w:t>
      </w:r>
      <w:r w:rsidR="00B80066">
        <w:t>recovered through</w:t>
      </w:r>
      <w:r w:rsidR="002561DD">
        <w:t xml:space="preserve"> customer contributions, and therefore this </w:t>
      </w:r>
      <w:r w:rsidR="00B80066">
        <w:t xml:space="preserve">proposal does not affect </w:t>
      </w:r>
      <w:r w:rsidR="002561DD">
        <w:t>has no effect on reference tariffs.</w:t>
      </w:r>
    </w:p>
    <w:p w14:paraId="17C0A352" w14:textId="77777777" w:rsidR="002B0F3E" w:rsidRDefault="002B0F3E" w:rsidP="00313C65">
      <w:pPr>
        <w:pStyle w:val="HeadingBoldItalic"/>
      </w:pPr>
      <w:r>
        <w:t>Consumer regulators</w:t>
      </w:r>
    </w:p>
    <w:p w14:paraId="544640DA" w14:textId="77777777" w:rsidR="005E7B9A" w:rsidRDefault="005E7B9A" w:rsidP="005E7B9A">
      <w:r>
        <w:t>AusNet proposed $12.8 million ($2017, unescalated direct costs) for consumer regulators.</w:t>
      </w:r>
      <w:r w:rsidR="00E24230">
        <w:t xml:space="preserve"> This relates to both the proactive and reactive replacement of domestic regulators and industrial and commercial regulator stations, which AusNet submitted is required to maintain network </w:t>
      </w:r>
      <w:r w:rsidR="00E56158">
        <w:t>safety.</w:t>
      </w:r>
      <w:r w:rsidR="00E56158">
        <w:rPr>
          <w:rStyle w:val="FootnoteReference"/>
        </w:rPr>
        <w:footnoteReference w:id="107"/>
      </w:r>
    </w:p>
    <w:p w14:paraId="2632D0A6" w14:textId="30B3D034" w:rsidR="00E56158" w:rsidRDefault="00E56158" w:rsidP="005E7B9A">
      <w:r>
        <w:t xml:space="preserve">Zincara </w:t>
      </w:r>
      <w:r w:rsidR="00B53FF9">
        <w:t xml:space="preserve">advised </w:t>
      </w:r>
      <w:r w:rsidR="00EE74C6">
        <w:t xml:space="preserve">that </w:t>
      </w:r>
      <w:r w:rsidR="00B53FF9">
        <w:t xml:space="preserve">AusNet’s proposal is </w:t>
      </w:r>
      <w:r w:rsidR="00EE74C6">
        <w:t>prudent</w:t>
      </w:r>
      <w:r w:rsidR="00B53FF9">
        <w:t xml:space="preserve"> and efficient</w:t>
      </w:r>
      <w:r w:rsidR="00EE74C6">
        <w:t xml:space="preserve">. Zincara </w:t>
      </w:r>
      <w:r w:rsidR="00B53FF9">
        <w:t>also advised</w:t>
      </w:r>
      <w:r w:rsidR="00EE74C6">
        <w:t xml:space="preserve"> that AusNet should closely monitor the new domestic regulator replacement program to determine its effectiveness in reducing leakage rates, and this program should be reassessed in the future.</w:t>
      </w:r>
      <w:r w:rsidR="00F26813">
        <w:rPr>
          <w:rStyle w:val="FootnoteReference"/>
        </w:rPr>
        <w:footnoteReference w:id="108"/>
      </w:r>
      <w:r w:rsidR="00B53FF9">
        <w:t xml:space="preserve"> </w:t>
      </w:r>
      <w:r w:rsidR="00A334C9">
        <w:t xml:space="preserve">Based on the available information and Zincara's advice, we </w:t>
      </w:r>
      <w:r w:rsidR="00B53FF9">
        <w:t>are satisfied that this project is justified on the grounds of maintaining the integrity and safety of services</w:t>
      </w:r>
      <w:r w:rsidR="00805C02">
        <w:t>.</w:t>
      </w:r>
      <w:r w:rsidR="00805C02">
        <w:rPr>
          <w:rStyle w:val="FootnoteReference"/>
        </w:rPr>
        <w:footnoteReference w:id="109"/>
      </w:r>
    </w:p>
    <w:p w14:paraId="067B47E6" w14:textId="77777777" w:rsidR="002B0F3E" w:rsidRDefault="002B0F3E" w:rsidP="00313C65">
      <w:pPr>
        <w:pStyle w:val="HeadingBoldItalic"/>
      </w:pPr>
      <w:r>
        <w:t>Network regulators</w:t>
      </w:r>
    </w:p>
    <w:p w14:paraId="428202FE" w14:textId="54F2DB37" w:rsidR="00E24230" w:rsidRDefault="005E7B9A" w:rsidP="005E7B9A">
      <w:r>
        <w:t>AusNet proposed $7.7 million ($2017, unescalated direct costs) for network regulators.</w:t>
      </w:r>
      <w:r w:rsidR="00B22BF6">
        <w:t xml:space="preserve"> This relates to the replacement of field regulators, city gates and heaters, as outlined in AusNet's Network Regulator Strategy. </w:t>
      </w:r>
      <w:r w:rsidR="00E56158">
        <w:t xml:space="preserve">As with consumer regulators, </w:t>
      </w:r>
      <w:r w:rsidR="00B22BF6">
        <w:t xml:space="preserve">AusNet submitted </w:t>
      </w:r>
      <w:r w:rsidR="00B53FF9">
        <w:t>this</w:t>
      </w:r>
      <w:r w:rsidR="00B22BF6">
        <w:t xml:space="preserve"> is required to maintain network safety</w:t>
      </w:r>
      <w:r w:rsidR="00F26813">
        <w:t>.</w:t>
      </w:r>
      <w:r w:rsidR="00B22BF6">
        <w:rPr>
          <w:rStyle w:val="FootnoteReference"/>
        </w:rPr>
        <w:footnoteReference w:id="110"/>
      </w:r>
    </w:p>
    <w:p w14:paraId="10B9AC35" w14:textId="7727C045" w:rsidR="005E7B9A" w:rsidRDefault="00E24230" w:rsidP="005E7B9A">
      <w:r>
        <w:t xml:space="preserve">Zincara </w:t>
      </w:r>
      <w:r w:rsidR="00805C02">
        <w:t xml:space="preserve">advised that AusNet’s </w:t>
      </w:r>
      <w:r w:rsidR="00F26813">
        <w:t xml:space="preserve">identification </w:t>
      </w:r>
      <w:r>
        <w:t>of the equipment to be replaced is targeted and prudent</w:t>
      </w:r>
      <w:r w:rsidR="00805C02">
        <w:t xml:space="preserve"> and the proposed costs are </w:t>
      </w:r>
      <w:r>
        <w:t>efficient.</w:t>
      </w:r>
      <w:r>
        <w:rPr>
          <w:rStyle w:val="FootnoteReference"/>
        </w:rPr>
        <w:footnoteReference w:id="111"/>
      </w:r>
      <w:r>
        <w:t xml:space="preserve"> </w:t>
      </w:r>
      <w:r w:rsidR="00067AC2">
        <w:t xml:space="preserve">Based on the available information and Zincara's advice, </w:t>
      </w:r>
      <w:r w:rsidR="00A334C9">
        <w:t xml:space="preserve">we </w:t>
      </w:r>
      <w:r w:rsidR="00805C02">
        <w:t>are satisfied that this project is justified on the grounds of maintaining the integrity of services.</w:t>
      </w:r>
      <w:r w:rsidR="00805C02">
        <w:rPr>
          <w:rStyle w:val="FootnoteReference"/>
        </w:rPr>
        <w:footnoteReference w:id="112"/>
      </w:r>
      <w:r w:rsidR="00B22BF6">
        <w:t xml:space="preserve"> </w:t>
      </w:r>
    </w:p>
    <w:p w14:paraId="3E10303E" w14:textId="77777777" w:rsidR="00313C65" w:rsidRDefault="007C4625" w:rsidP="00313C65">
      <w:pPr>
        <w:pStyle w:val="HeadingBoldItalic"/>
      </w:pPr>
      <w:r>
        <w:t>SCADA</w:t>
      </w:r>
      <w:r w:rsidR="00EE74C6">
        <w:t xml:space="preserve"> and cathodic protection</w:t>
      </w:r>
    </w:p>
    <w:p w14:paraId="1D689AC4" w14:textId="0F9224B7" w:rsidR="009F1D99" w:rsidRDefault="009F1D99" w:rsidP="009F1D99">
      <w:r>
        <w:t>AusNet submitted that the SCADA system is required to monitor and control assets across its network from the transmission system to the network fringe. The system provides data on the real-time performance of the assets and to evaluate gas demand and network performance to identify potential system deficiencies in the long-term.</w:t>
      </w:r>
      <w:r>
        <w:rPr>
          <w:rStyle w:val="FootnoteReference"/>
        </w:rPr>
        <w:footnoteReference w:id="113"/>
      </w:r>
    </w:p>
    <w:p w14:paraId="51061935" w14:textId="46FB6D16" w:rsidR="009F1D99" w:rsidRDefault="009F1D99" w:rsidP="009F1D99">
      <w:r>
        <w:t>AusNet proposed $3.7 million ($2017, unescalated direct costs) for SCADA projects. In response to our information request, AusNet provided further information on its proposed volumes and unit rates.</w:t>
      </w:r>
      <w:r>
        <w:rPr>
          <w:rStyle w:val="FootnoteReference"/>
        </w:rPr>
        <w:footnoteReference w:id="114"/>
      </w:r>
      <w:r w:rsidR="00EE204E" w:rsidRPr="00EE204E">
        <w:t xml:space="preserve"> </w:t>
      </w:r>
      <w:r w:rsidR="00EE204E">
        <w:t>Zincara advised that each of the SCADA projects is prudent and efficient.</w:t>
      </w:r>
      <w:r w:rsidR="00EE204E">
        <w:rPr>
          <w:rStyle w:val="FootnoteReference"/>
        </w:rPr>
        <w:footnoteReference w:id="115"/>
      </w:r>
    </w:p>
    <w:p w14:paraId="7201F572" w14:textId="6BA821E9" w:rsidR="009F1D99" w:rsidRDefault="00EE204E" w:rsidP="009F1D99">
      <w:r>
        <w:t>Taking this information into account, w</w:t>
      </w:r>
      <w:r w:rsidR="009F1D99">
        <w:t xml:space="preserve">e are satisfied that AusNet’s proposed volumes and unit rates are </w:t>
      </w:r>
      <w:r>
        <w:t xml:space="preserve">arrived at on a </w:t>
      </w:r>
      <w:r w:rsidR="009F1D99">
        <w:t xml:space="preserve">reasonable </w:t>
      </w:r>
      <w:r>
        <w:t xml:space="preserve">basis </w:t>
      </w:r>
      <w:r w:rsidR="009F1D99">
        <w:t>and the best forecasts possible in the circumstances.</w:t>
      </w:r>
      <w:r w:rsidR="009F1D99">
        <w:rPr>
          <w:rStyle w:val="FootnoteReference"/>
        </w:rPr>
        <w:footnoteReference w:id="116"/>
      </w:r>
      <w:r w:rsidR="009F1D99">
        <w:t xml:space="preserve"> We are also satisfied that AusNet’s proposal is justified on the grounds of maintaining the safety and integrity of services and therefore constitutes conforming capex.</w:t>
      </w:r>
      <w:r w:rsidR="009F1D99">
        <w:rPr>
          <w:rStyle w:val="FootnoteReference"/>
        </w:rPr>
        <w:footnoteReference w:id="117"/>
      </w:r>
      <w:r w:rsidR="009F1D99">
        <w:t xml:space="preserve"> </w:t>
      </w:r>
    </w:p>
    <w:p w14:paraId="6772EED8" w14:textId="298CA8D0" w:rsidR="000F07E2" w:rsidRDefault="009F1D99" w:rsidP="00711501">
      <w:r>
        <w:t>AusNet proposed $2.0 million ($2017, unescalated direct costs) for cathodic protection upgrades, relating to corrosion protection and surge protection.</w:t>
      </w:r>
      <w:r>
        <w:rPr>
          <w:rStyle w:val="FootnoteReference"/>
        </w:rPr>
        <w:footnoteReference w:id="118"/>
      </w:r>
      <w:r>
        <w:t xml:space="preserve"> AusNet submitted further details of its proposed works program in its Corrosion Protection Strategy.</w:t>
      </w:r>
      <w:r>
        <w:rPr>
          <w:rStyle w:val="FootnoteReference"/>
        </w:rPr>
        <w:footnoteReference w:id="119"/>
      </w:r>
      <w:r>
        <w:t xml:space="preserve"> This is a routine activity and we are satisfied it is justified on the grounds of maintaining the safety and integrity of services and constitutes conforming capex.</w:t>
      </w:r>
      <w:r>
        <w:rPr>
          <w:rStyle w:val="FootnoteReference"/>
        </w:rPr>
        <w:footnoteReference w:id="120"/>
      </w:r>
    </w:p>
    <w:p w14:paraId="6F1DAFC2" w14:textId="77777777" w:rsidR="002B0F3E" w:rsidRDefault="002B0F3E" w:rsidP="002B0F3E">
      <w:pPr>
        <w:pStyle w:val="HeadingBoldItalic"/>
      </w:pPr>
      <w:r>
        <w:t>Non-network expenditure</w:t>
      </w:r>
    </w:p>
    <w:p w14:paraId="4AEDF22E" w14:textId="128CBE2F" w:rsidR="00A74452" w:rsidRPr="00B3728C" w:rsidRDefault="005138F3" w:rsidP="00B3728C">
      <w:r>
        <w:t>AusNet proposed $1.9 million ($2017, unescalated direct costs) for other non-network expenditure. This proposal is in line with historical expenditure. We are satisfied it is justified on the grounds of maintaining the safety and integrity of services and constitutes conforming capex.</w:t>
      </w:r>
      <w:r>
        <w:rPr>
          <w:rStyle w:val="FootnoteReference"/>
        </w:rPr>
        <w:footnoteReference w:id="121"/>
      </w:r>
    </w:p>
    <w:p w14:paraId="2570AE8C" w14:textId="77777777" w:rsidR="00B3728C" w:rsidRDefault="00B3728C" w:rsidP="00B3728C">
      <w:pPr>
        <w:pStyle w:val="HeadingBoldBlue"/>
      </w:pPr>
      <w:r>
        <w:t>Overheads</w:t>
      </w:r>
    </w:p>
    <w:p w14:paraId="6EE4F08C" w14:textId="77777777" w:rsidR="004B4FF0" w:rsidRPr="004B4FF0" w:rsidRDefault="004B4FF0" w:rsidP="004B4FF0">
      <w:r w:rsidRPr="004B4FF0">
        <w:t>Overheads are costs that are not directly attributable to the output of distribution businesses but are necessary to support their operations. Examples of overhead costs include network planning, procurement and human resources.</w:t>
      </w:r>
    </w:p>
    <w:p w14:paraId="5FED13D5" w14:textId="069CA672" w:rsidR="004B4FF0" w:rsidRPr="004B4FF0" w:rsidRDefault="004B4FF0" w:rsidP="004B4FF0">
      <w:r w:rsidRPr="004B4FF0">
        <w:t>We are satisfied AusNet's capex forecast for overheads is conforming capex. We have included $3</w:t>
      </w:r>
      <w:r w:rsidR="00A74452">
        <w:t>4.</w:t>
      </w:r>
      <w:r w:rsidR="000365BE">
        <w:t>6</w:t>
      </w:r>
      <w:r w:rsidRPr="004B4FF0">
        <w:t xml:space="preserve"> million ($2017, unescalated direct costs) of overheads expenditure in our alternative capex forecast. </w:t>
      </w:r>
    </w:p>
    <w:p w14:paraId="251EBEA7" w14:textId="1135AF28" w:rsidR="004B4FF0" w:rsidRPr="004B4FF0" w:rsidRDefault="004B4FF0" w:rsidP="004B4FF0">
      <w:r w:rsidRPr="004B4FF0">
        <w:t>AusNet forecast</w:t>
      </w:r>
      <w:r w:rsidR="00BE0959">
        <w:t>s</w:t>
      </w:r>
      <w:r w:rsidRPr="004B4FF0">
        <w:t xml:space="preserve"> fixed capitalised overheads amounts for network and IT capex based on </w:t>
      </w:r>
      <w:r w:rsidR="00BE0959">
        <w:t>its</w:t>
      </w:r>
      <w:r w:rsidRPr="004B4FF0">
        <w:t xml:space="preserve"> average overheads </w:t>
      </w:r>
      <w:r w:rsidR="00BE0959">
        <w:t>between the years</w:t>
      </w:r>
      <w:r w:rsidRPr="004B4FF0">
        <w:t xml:space="preserve"> 2013</w:t>
      </w:r>
      <w:r w:rsidR="00BE0959">
        <w:t xml:space="preserve"> to 20</w:t>
      </w:r>
      <w:r w:rsidRPr="004B4FF0">
        <w:t xml:space="preserve">16. These amounts have been converted into network and IT overhead rates using the forecasts of network and IT capex, which have then been applied to the respective direct capex forecasts. </w:t>
      </w:r>
    </w:p>
    <w:p w14:paraId="32188800" w14:textId="27862512" w:rsidR="001079CE" w:rsidRDefault="004B4FF0" w:rsidP="004B4FF0">
      <w:r w:rsidRPr="004B4FF0">
        <w:t xml:space="preserve">The overheads forecast is significantly lower than </w:t>
      </w:r>
      <w:r w:rsidR="00BE0959">
        <w:t xml:space="preserve">the </w:t>
      </w:r>
      <w:r w:rsidRPr="004B4FF0">
        <w:t xml:space="preserve">overheads </w:t>
      </w:r>
      <w:r w:rsidR="00BE0959">
        <w:t xml:space="preserve">AusNet incurred </w:t>
      </w:r>
      <w:r w:rsidR="001079CE">
        <w:t>during</w:t>
      </w:r>
      <w:r w:rsidR="001079CE" w:rsidRPr="004B4FF0">
        <w:t xml:space="preserve"> </w:t>
      </w:r>
      <w:r w:rsidRPr="004B4FF0">
        <w:t xml:space="preserve">the </w:t>
      </w:r>
      <w:r w:rsidR="000F07E2">
        <w:t>2013–</w:t>
      </w:r>
      <w:r w:rsidR="00BE0959">
        <w:t>17</w:t>
      </w:r>
      <w:r w:rsidRPr="004B4FF0">
        <w:t xml:space="preserve"> access arrangement period. AusNet </w:t>
      </w:r>
      <w:r w:rsidR="00BE0959">
        <w:t xml:space="preserve">also </w:t>
      </w:r>
      <w:r w:rsidRPr="004B4FF0">
        <w:t>submitted that in April 2015, it deployed a new Enterprise Resource Planning system</w:t>
      </w:r>
      <w:r w:rsidR="001079CE">
        <w:t xml:space="preserve"> which classifies </w:t>
      </w:r>
      <w:r w:rsidR="001079CE" w:rsidRPr="004B4FF0">
        <w:t>contractor support costs</w:t>
      </w:r>
      <w:r w:rsidR="001079CE">
        <w:t xml:space="preserve"> as direct costs</w:t>
      </w:r>
      <w:r w:rsidRPr="004B4FF0">
        <w:t xml:space="preserve">. Prior to that time, </w:t>
      </w:r>
      <w:r w:rsidR="001079CE">
        <w:t>these costs were allocated</w:t>
      </w:r>
      <w:r w:rsidR="001079CE" w:rsidRPr="004B4FF0">
        <w:t xml:space="preserve"> </w:t>
      </w:r>
      <w:r w:rsidRPr="004B4FF0">
        <w:t>to overheads. In response</w:t>
      </w:r>
      <w:r w:rsidR="001079CE">
        <w:t xml:space="preserve"> to an information request about how this classification impacted its overheads forecast</w:t>
      </w:r>
      <w:r w:rsidRPr="004B4FF0">
        <w:t xml:space="preserve">, AusNet provided the historical costs </w:t>
      </w:r>
      <w:r w:rsidR="001079CE">
        <w:t>of</w:t>
      </w:r>
      <w:r w:rsidR="001079CE" w:rsidRPr="004B4FF0">
        <w:t xml:space="preserve"> </w:t>
      </w:r>
      <w:r w:rsidRPr="004B4FF0">
        <w:t>its key contractor. AusNet has removed contractor costs from its historical costs for the purpose of forecasting capex overheads.</w:t>
      </w:r>
      <w:r w:rsidR="001079CE">
        <w:t xml:space="preserve"> </w:t>
      </w:r>
    </w:p>
    <w:p w14:paraId="4EF17660" w14:textId="5C010EB6" w:rsidR="001079CE" w:rsidRPr="00B3728C" w:rsidRDefault="001079CE" w:rsidP="004B4FF0">
      <w:r>
        <w:t xml:space="preserve">We are therefore satisfied that AusNet’s </w:t>
      </w:r>
      <w:r w:rsidR="00A334C9">
        <w:t>forecast overheads are arrived at on a reasonable basis and the best estimate possible in the circumstances.</w:t>
      </w:r>
      <w:r w:rsidR="00A334C9">
        <w:rPr>
          <w:rStyle w:val="FootnoteReference"/>
        </w:rPr>
        <w:footnoteReference w:id="122"/>
      </w:r>
      <w:r w:rsidR="00A334C9">
        <w:t xml:space="preserve"> We consider the proposed overheads capex is conforming capex.</w:t>
      </w:r>
      <w:r w:rsidR="00A334C9">
        <w:rPr>
          <w:rStyle w:val="FootnoteReference"/>
        </w:rPr>
        <w:footnoteReference w:id="123"/>
      </w:r>
    </w:p>
    <w:p w14:paraId="43CF6A93" w14:textId="77777777" w:rsidR="00D5015C" w:rsidRDefault="00D5015C" w:rsidP="00D5015C">
      <w:pPr>
        <w:pStyle w:val="Heading2"/>
      </w:pPr>
      <w:bookmarkStart w:id="179" w:name="_Toc486842039"/>
      <w:r>
        <w:t>Revisions</w:t>
      </w:r>
      <w:bookmarkEnd w:id="179"/>
    </w:p>
    <w:p w14:paraId="07386531" w14:textId="77777777" w:rsidR="00D5015C" w:rsidRDefault="00753673" w:rsidP="00132D43">
      <w:r>
        <w:t>We require the following revisions to make the access arrangement proposal acceptable:</w:t>
      </w:r>
    </w:p>
    <w:tbl>
      <w:tblPr>
        <w:tblStyle w:val="AERtable-text0"/>
        <w:tblW w:w="0" w:type="auto"/>
        <w:tblLook w:val="04A0" w:firstRow="1" w:lastRow="0" w:firstColumn="1" w:lastColumn="0" w:noHBand="0" w:noVBand="1"/>
      </w:tblPr>
      <w:tblGrid>
        <w:gridCol w:w="1951"/>
        <w:gridCol w:w="6742"/>
      </w:tblGrid>
      <w:tr w:rsidR="00E71879" w14:paraId="23A373DD" w14:textId="77777777" w:rsidTr="004131F9">
        <w:trPr>
          <w:cnfStyle w:val="100000000000" w:firstRow="1" w:lastRow="0" w:firstColumn="0" w:lastColumn="0" w:oddVBand="0" w:evenVBand="0" w:oddHBand="0" w:evenHBand="0" w:firstRowFirstColumn="0" w:firstRowLastColumn="0" w:lastRowFirstColumn="0" w:lastRowLastColumn="0"/>
        </w:trPr>
        <w:tc>
          <w:tcPr>
            <w:tcW w:w="1951" w:type="dxa"/>
          </w:tcPr>
          <w:p w14:paraId="4DA7D786" w14:textId="77777777" w:rsidR="00E71879" w:rsidRDefault="00E71879" w:rsidP="00132D43"/>
        </w:tc>
        <w:tc>
          <w:tcPr>
            <w:tcW w:w="6742" w:type="dxa"/>
          </w:tcPr>
          <w:p w14:paraId="3B0400E7" w14:textId="77777777" w:rsidR="00E71879" w:rsidRDefault="00E71879" w:rsidP="00132D43"/>
        </w:tc>
      </w:tr>
      <w:tr w:rsidR="00E71879" w14:paraId="5F53D7D8" w14:textId="77777777" w:rsidTr="004131F9">
        <w:tc>
          <w:tcPr>
            <w:tcW w:w="1951" w:type="dxa"/>
          </w:tcPr>
          <w:p w14:paraId="50A0A5DF" w14:textId="47AA5229" w:rsidR="00E71879" w:rsidRDefault="00E71879" w:rsidP="00132D43">
            <w:r>
              <w:t>Revision 6.1:</w:t>
            </w:r>
          </w:p>
        </w:tc>
        <w:tc>
          <w:tcPr>
            <w:tcW w:w="6742" w:type="dxa"/>
          </w:tcPr>
          <w:p w14:paraId="3E084BE1" w14:textId="043B75C3" w:rsidR="00E71879" w:rsidRDefault="00E71879" w:rsidP="00132D43">
            <w:r>
              <w:t>Make all necessary amendments to reflect our draft decision on conforming capex for 2018–22, as set out in Table 6.2.</w:t>
            </w:r>
          </w:p>
        </w:tc>
      </w:tr>
    </w:tbl>
    <w:p w14:paraId="198ECFD6" w14:textId="1281F766" w:rsidR="00753673" w:rsidRDefault="00753673" w:rsidP="004131F9"/>
    <w:sectPr w:rsidR="00753673" w:rsidSect="00CF42AA">
      <w:headerReference w:type="default" r:id="rId22"/>
      <w:footerReference w:type="even" r:id="rId23"/>
      <w:footerReference w:type="default" r:id="rId24"/>
      <w:footerReference w:type="first" r:id="rId25"/>
      <w:pgSz w:w="11906" w:h="16838" w:code="9"/>
      <w:pgMar w:top="1440" w:right="1700" w:bottom="1582" w:left="1729" w:header="720" w:footer="0" w:gutter="0"/>
      <w:pgNumType w:chapStyle="1"/>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95EBB3" w15:done="0"/>
  <w15:commentEx w15:paraId="5C5D57EE" w15:done="0"/>
  <w15:commentEx w15:paraId="03CB34EE" w15:done="0"/>
  <w15:commentEx w15:paraId="3D428434" w15:done="0"/>
  <w15:commentEx w15:paraId="4C859870" w15:done="0"/>
  <w15:commentEx w15:paraId="4B3DDEC1" w15:done="0"/>
  <w15:commentEx w15:paraId="449312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EBB4A" w14:textId="77777777" w:rsidR="009D566C" w:rsidRPr="00290C63" w:rsidRDefault="009D566C" w:rsidP="00290C63">
      <w:r>
        <w:separator/>
      </w:r>
    </w:p>
    <w:p w14:paraId="1443FD79" w14:textId="77777777" w:rsidR="009D566C" w:rsidRDefault="009D566C"/>
  </w:endnote>
  <w:endnote w:type="continuationSeparator" w:id="0">
    <w:p w14:paraId="668400B8" w14:textId="77777777" w:rsidR="009D566C" w:rsidRPr="00290C63" w:rsidRDefault="009D566C" w:rsidP="00290C63">
      <w:r>
        <w:continuationSeparator/>
      </w:r>
    </w:p>
    <w:p w14:paraId="711C82B6" w14:textId="77777777" w:rsidR="009D566C" w:rsidRDefault="009D5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F3D4A" w14:textId="77777777" w:rsidR="009D566C" w:rsidRPr="00290C63" w:rsidRDefault="009D566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3D5F0AE3" w14:textId="77777777" w:rsidR="009D566C" w:rsidRDefault="009D566C"/>
  <w:p w14:paraId="0231797D" w14:textId="77777777" w:rsidR="009D566C" w:rsidRDefault="009D566C"/>
  <w:p w14:paraId="3F0E6DC7" w14:textId="77777777" w:rsidR="009D566C" w:rsidRDefault="009D566C"/>
  <w:p w14:paraId="27963C12" w14:textId="77777777" w:rsidR="009D566C" w:rsidRDefault="009D566C"/>
  <w:p w14:paraId="498B41AD" w14:textId="77777777" w:rsidR="009D566C" w:rsidRDefault="009D566C"/>
  <w:p w14:paraId="7E635A18" w14:textId="77777777" w:rsidR="009D566C" w:rsidRDefault="009D566C"/>
  <w:p w14:paraId="4484392A" w14:textId="77777777" w:rsidR="009D566C" w:rsidRDefault="009D56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14:paraId="37ED53D3" w14:textId="77777777" w:rsidR="009D566C" w:rsidRPr="009B6F84" w:rsidRDefault="009D566C">
        <w:pPr>
          <w:pStyle w:val="Footer"/>
          <w:rPr>
            <w:sz w:val="20"/>
          </w:rPr>
        </w:pPr>
        <w:r>
          <w:fldChar w:fldCharType="begin"/>
        </w:r>
        <w:r>
          <w:instrText xml:space="preserve"> PAGE   \* MERGEFORMAT </w:instrText>
        </w:r>
        <w:r>
          <w:fldChar w:fldCharType="separate"/>
        </w:r>
        <w:r w:rsidR="00745B71">
          <w:rPr>
            <w:noProof/>
          </w:rPr>
          <w:t>6-2</w:t>
        </w:r>
        <w:r>
          <w:rPr>
            <w:noProof/>
          </w:rPr>
          <w:fldChar w:fldCharType="end"/>
        </w:r>
        <w:r>
          <w:rPr>
            <w:noProof/>
          </w:rPr>
          <w:t xml:space="preserve">          </w:t>
        </w:r>
        <w:r>
          <w:t xml:space="preserve">Attachment 6 </w:t>
        </w:r>
        <w:r w:rsidRPr="000474DF">
          <w:t>−</w:t>
        </w:r>
        <w:r>
          <w:t xml:space="preserve"> Capital expenditure</w:t>
        </w:r>
        <w:r w:rsidRPr="009B6F84">
          <w:rPr>
            <w:rFonts w:cs="Gautami"/>
            <w:noProof/>
            <w:szCs w:val="16"/>
          </w:rPr>
          <w:t xml:space="preserve"> | </w:t>
        </w:r>
        <w:r>
          <w:t>Draft decision - AusNet Services gas access arrangement</w:t>
        </w:r>
        <w:r w:rsidRPr="00D5015C">
          <w:t xml:space="preserve"> 201</w:t>
        </w:r>
        <w:r>
          <w:t>8</w:t>
        </w:r>
        <w:r w:rsidRPr="00D5015C">
          <w:t>–</w:t>
        </w:r>
        <w:r>
          <w:t>22</w:t>
        </w:r>
      </w:p>
    </w:sdtContent>
  </w:sdt>
  <w:p w14:paraId="26B5A5F0" w14:textId="77777777" w:rsidR="009D566C" w:rsidRDefault="009D56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85F66" w14:textId="77777777" w:rsidR="009D566C" w:rsidRPr="00290C63" w:rsidRDefault="009D566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74D0BA7F" w14:textId="77777777" w:rsidR="009D566C" w:rsidRDefault="009D566C">
    <w:pPr>
      <w:pStyle w:val="Footer"/>
    </w:pPr>
  </w:p>
  <w:p w14:paraId="068F904D" w14:textId="77777777" w:rsidR="009D566C" w:rsidRDefault="009D566C"/>
  <w:p w14:paraId="4C9F9EAE" w14:textId="77777777" w:rsidR="009D566C" w:rsidRDefault="009D566C"/>
  <w:p w14:paraId="229768B5" w14:textId="77777777" w:rsidR="009D566C" w:rsidRDefault="009D566C"/>
  <w:p w14:paraId="2598A605" w14:textId="77777777" w:rsidR="009D566C" w:rsidRDefault="009D566C"/>
  <w:p w14:paraId="6C25E57B" w14:textId="77777777" w:rsidR="009D566C" w:rsidRDefault="009D566C"/>
  <w:p w14:paraId="04E18D75" w14:textId="77777777" w:rsidR="009D566C" w:rsidRDefault="009D566C"/>
  <w:p w14:paraId="5BFC7906" w14:textId="77777777" w:rsidR="009D566C" w:rsidRDefault="009D56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11A69" w14:textId="77777777" w:rsidR="009D566C" w:rsidRPr="00290C63" w:rsidRDefault="009D566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5D6F1C36" w14:textId="77777777" w:rsidR="009D566C" w:rsidRDefault="009D566C"/>
  <w:p w14:paraId="0A9A3D4E" w14:textId="77777777" w:rsidR="009D566C" w:rsidRDefault="009D566C"/>
  <w:p w14:paraId="5A2E8C36" w14:textId="77777777" w:rsidR="009D566C" w:rsidRDefault="009D566C"/>
  <w:p w14:paraId="46C5DA45" w14:textId="77777777" w:rsidR="009D566C" w:rsidRDefault="009D566C"/>
  <w:p w14:paraId="2F535D10" w14:textId="77777777" w:rsidR="009D566C" w:rsidRDefault="009D566C"/>
  <w:p w14:paraId="2C25FA0B" w14:textId="77777777" w:rsidR="009D566C" w:rsidRDefault="009D566C"/>
  <w:p w14:paraId="47F6398F" w14:textId="77777777" w:rsidR="009D566C" w:rsidRDefault="009D56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14:paraId="5C31C752" w14:textId="77777777" w:rsidR="009D566C" w:rsidRPr="009B6F84" w:rsidRDefault="009D566C">
        <w:pPr>
          <w:pStyle w:val="Footer"/>
          <w:rPr>
            <w:sz w:val="20"/>
          </w:rPr>
        </w:pPr>
        <w:r>
          <w:fldChar w:fldCharType="begin"/>
        </w:r>
        <w:r>
          <w:instrText xml:space="preserve"> PAGE   \* MERGEFORMAT </w:instrText>
        </w:r>
        <w:r>
          <w:fldChar w:fldCharType="separate"/>
        </w:r>
        <w:r w:rsidR="00745B71">
          <w:rPr>
            <w:noProof/>
          </w:rPr>
          <w:t>6-3</w:t>
        </w:r>
        <w:r>
          <w:rPr>
            <w:noProof/>
          </w:rPr>
          <w:fldChar w:fldCharType="end"/>
        </w:r>
        <w:r>
          <w:rPr>
            <w:noProof/>
          </w:rPr>
          <w:t xml:space="preserve">          </w:t>
        </w:r>
        <w:r>
          <w:t xml:space="preserve">Attachment 6 </w:t>
        </w:r>
        <w:r w:rsidRPr="000474DF">
          <w:t>−</w:t>
        </w:r>
        <w:r>
          <w:t xml:space="preserve"> Capital expenditure</w:t>
        </w:r>
        <w:r w:rsidRPr="00D5015C">
          <w:t xml:space="preserve"> | </w:t>
        </w:r>
        <w:r>
          <w:t>Draft decision - AusNet Services gas access arrangement</w:t>
        </w:r>
        <w:r w:rsidRPr="00D5015C">
          <w:t xml:space="preserve"> 201</w:t>
        </w:r>
        <w:r>
          <w:t>8</w:t>
        </w:r>
        <w:r w:rsidRPr="00D5015C">
          <w:t>–</w:t>
        </w:r>
        <w:r>
          <w:t>22</w:t>
        </w:r>
      </w:p>
    </w:sdtContent>
  </w:sdt>
  <w:p w14:paraId="7CB88315" w14:textId="77777777" w:rsidR="009D566C" w:rsidRDefault="009D56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63283" w14:textId="77777777" w:rsidR="009D566C" w:rsidRPr="00290C63" w:rsidRDefault="009D566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1B4C93F9" w14:textId="77777777" w:rsidR="009D566C" w:rsidRDefault="009D566C">
    <w:pPr>
      <w:pStyle w:val="Footer"/>
    </w:pPr>
  </w:p>
  <w:p w14:paraId="63D57CC4" w14:textId="77777777" w:rsidR="009D566C" w:rsidRDefault="009D566C"/>
  <w:p w14:paraId="102045B8" w14:textId="77777777" w:rsidR="009D566C" w:rsidRDefault="009D566C"/>
  <w:p w14:paraId="411F6781" w14:textId="77777777" w:rsidR="009D566C" w:rsidRDefault="009D566C"/>
  <w:p w14:paraId="6CD29A86" w14:textId="77777777" w:rsidR="009D566C" w:rsidRDefault="009D566C"/>
  <w:p w14:paraId="667EFEA3" w14:textId="77777777" w:rsidR="009D566C" w:rsidRDefault="009D566C"/>
  <w:p w14:paraId="30FBAC13" w14:textId="77777777" w:rsidR="009D566C" w:rsidRDefault="009D566C"/>
  <w:p w14:paraId="42052E38" w14:textId="77777777" w:rsidR="009D566C" w:rsidRDefault="009D56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798E1" w14:textId="77777777" w:rsidR="009D566C" w:rsidRPr="00290C63" w:rsidRDefault="009D566C" w:rsidP="00290C63">
      <w:r>
        <w:separator/>
      </w:r>
    </w:p>
    <w:p w14:paraId="4640AD54" w14:textId="77777777" w:rsidR="009D566C" w:rsidRDefault="009D566C"/>
  </w:footnote>
  <w:footnote w:type="continuationSeparator" w:id="0">
    <w:p w14:paraId="373F254C" w14:textId="77777777" w:rsidR="009D566C" w:rsidRPr="00290C63" w:rsidRDefault="009D566C" w:rsidP="00290C63">
      <w:r>
        <w:continuationSeparator/>
      </w:r>
    </w:p>
    <w:p w14:paraId="0C86AF0D" w14:textId="77777777" w:rsidR="009D566C" w:rsidRDefault="009D566C"/>
  </w:footnote>
  <w:footnote w:id="1">
    <w:p w14:paraId="355D0587" w14:textId="710FCEA2" w:rsidR="009D566C" w:rsidRDefault="009D566C">
      <w:pPr>
        <w:pStyle w:val="FootnoteText"/>
      </w:pPr>
      <w:r>
        <w:rPr>
          <w:rStyle w:val="FootnoteReference"/>
        </w:rPr>
        <w:footnoteRef/>
      </w:r>
      <w:r>
        <w:t xml:space="preserve"> </w:t>
      </w:r>
      <w:r>
        <w:tab/>
        <w:t>NGR, r. 69.</w:t>
      </w:r>
    </w:p>
  </w:footnote>
  <w:footnote w:id="2">
    <w:p w14:paraId="71965F07" w14:textId="3F6242E5" w:rsidR="009D566C" w:rsidRDefault="009D566C">
      <w:pPr>
        <w:pStyle w:val="FootnoteText"/>
      </w:pPr>
      <w:r>
        <w:rPr>
          <w:rStyle w:val="FootnoteReference"/>
        </w:rPr>
        <w:footnoteRef/>
      </w:r>
      <w:r>
        <w:t xml:space="preserve"> </w:t>
      </w:r>
      <w:r>
        <w:tab/>
        <w:t>NGR, r. 77.</w:t>
      </w:r>
    </w:p>
  </w:footnote>
  <w:footnote w:id="3">
    <w:p w14:paraId="5A3BB5D8" w14:textId="568CB5C6" w:rsidR="009D566C" w:rsidRDefault="009D566C">
      <w:pPr>
        <w:pStyle w:val="FootnoteText"/>
      </w:pPr>
      <w:r>
        <w:rPr>
          <w:rStyle w:val="FootnoteReference"/>
        </w:rPr>
        <w:footnoteRef/>
      </w:r>
      <w:r>
        <w:t xml:space="preserve"> </w:t>
      </w:r>
      <w:r>
        <w:tab/>
        <w:t xml:space="preserve">NGR, r. 78(b). </w:t>
      </w:r>
    </w:p>
  </w:footnote>
  <w:footnote w:id="4">
    <w:p w14:paraId="044F63E5" w14:textId="77777777" w:rsidR="009D566C" w:rsidRDefault="009D566C">
      <w:pPr>
        <w:pStyle w:val="FootnoteText"/>
      </w:pPr>
      <w:r>
        <w:rPr>
          <w:rStyle w:val="FootnoteReference"/>
        </w:rPr>
        <w:footnoteRef/>
      </w:r>
      <w:r>
        <w:t xml:space="preserve"> </w:t>
      </w:r>
      <w:r>
        <w:tab/>
        <w:t>NGR, r. 79(1).</w:t>
      </w:r>
    </w:p>
  </w:footnote>
  <w:footnote w:id="5">
    <w:p w14:paraId="74B8063B" w14:textId="77777777" w:rsidR="009D566C" w:rsidRDefault="009D566C">
      <w:pPr>
        <w:pStyle w:val="FootnoteText"/>
      </w:pPr>
      <w:r>
        <w:rPr>
          <w:rStyle w:val="FootnoteReference"/>
        </w:rPr>
        <w:footnoteRef/>
      </w:r>
      <w:r>
        <w:t xml:space="preserve"> </w:t>
      </w:r>
      <w:r>
        <w:tab/>
        <w:t>NGR, r. 79(1).</w:t>
      </w:r>
    </w:p>
  </w:footnote>
  <w:footnote w:id="6">
    <w:p w14:paraId="52D3EE8F" w14:textId="77777777" w:rsidR="009D566C" w:rsidRDefault="009D566C">
      <w:pPr>
        <w:pStyle w:val="FootnoteText"/>
      </w:pPr>
      <w:r>
        <w:rPr>
          <w:rStyle w:val="FootnoteReference"/>
        </w:rPr>
        <w:footnoteRef/>
      </w:r>
      <w:r>
        <w:t xml:space="preserve"> </w:t>
      </w:r>
      <w:r>
        <w:tab/>
        <w:t>NGR, r. 77(2)(b).</w:t>
      </w:r>
    </w:p>
  </w:footnote>
  <w:footnote w:id="7">
    <w:p w14:paraId="2773B7CC" w14:textId="77777777" w:rsidR="009D566C" w:rsidRDefault="009D566C">
      <w:pPr>
        <w:pStyle w:val="FootnoteText"/>
      </w:pPr>
      <w:r>
        <w:rPr>
          <w:rStyle w:val="FootnoteReference"/>
        </w:rPr>
        <w:footnoteRef/>
      </w:r>
      <w:r>
        <w:t xml:space="preserve"> </w:t>
      </w:r>
      <w:r>
        <w:tab/>
        <w:t>NGR, r. 79.</w:t>
      </w:r>
    </w:p>
  </w:footnote>
  <w:footnote w:id="8">
    <w:p w14:paraId="1D5ECA67" w14:textId="77777777" w:rsidR="009D566C" w:rsidRDefault="009D566C">
      <w:pPr>
        <w:pStyle w:val="FootnoteText"/>
      </w:pPr>
      <w:r>
        <w:rPr>
          <w:rStyle w:val="FootnoteReference"/>
        </w:rPr>
        <w:footnoteRef/>
      </w:r>
      <w:r>
        <w:t xml:space="preserve"> </w:t>
      </w:r>
      <w:r>
        <w:tab/>
        <w:t>NGR, r. 79(6).</w:t>
      </w:r>
    </w:p>
  </w:footnote>
  <w:footnote w:id="9">
    <w:p w14:paraId="58879B39" w14:textId="77777777" w:rsidR="009D566C" w:rsidRDefault="009D566C">
      <w:pPr>
        <w:pStyle w:val="FootnoteText"/>
      </w:pPr>
      <w:r>
        <w:rPr>
          <w:rStyle w:val="FootnoteReference"/>
        </w:rPr>
        <w:footnoteRef/>
      </w:r>
      <w:r>
        <w:t xml:space="preserve"> </w:t>
      </w:r>
      <w:r>
        <w:tab/>
        <w:t>NGR, r. 40(2).</w:t>
      </w:r>
    </w:p>
  </w:footnote>
  <w:footnote w:id="10">
    <w:p w14:paraId="655AB052" w14:textId="77777777" w:rsidR="009D566C" w:rsidRDefault="009D566C">
      <w:pPr>
        <w:pStyle w:val="FootnoteText"/>
      </w:pPr>
      <w:r>
        <w:rPr>
          <w:rStyle w:val="FootnoteReference"/>
        </w:rPr>
        <w:footnoteRef/>
      </w:r>
      <w:r>
        <w:t xml:space="preserve"> </w:t>
      </w:r>
      <w:r>
        <w:tab/>
        <w:t>NGR, r. 77(2)(b).</w:t>
      </w:r>
    </w:p>
  </w:footnote>
  <w:footnote w:id="11">
    <w:p w14:paraId="632B3917" w14:textId="77777777" w:rsidR="009D566C" w:rsidRDefault="009D566C">
      <w:pPr>
        <w:pStyle w:val="FootnoteText"/>
      </w:pPr>
      <w:r>
        <w:rPr>
          <w:rStyle w:val="FootnoteReference"/>
        </w:rPr>
        <w:footnoteRef/>
      </w:r>
      <w:r>
        <w:t xml:space="preserve"> </w:t>
      </w:r>
      <w:r>
        <w:tab/>
        <w:t>NGR, r. 77(2)(a).</w:t>
      </w:r>
    </w:p>
  </w:footnote>
  <w:footnote w:id="12">
    <w:p w14:paraId="0C3A1880" w14:textId="77777777" w:rsidR="009D566C" w:rsidRDefault="009D566C">
      <w:pPr>
        <w:pStyle w:val="FootnoteText"/>
      </w:pPr>
      <w:r>
        <w:rPr>
          <w:rStyle w:val="FootnoteReference"/>
        </w:rPr>
        <w:footnoteRef/>
      </w:r>
      <w:r>
        <w:t xml:space="preserve"> </w:t>
      </w:r>
      <w:r>
        <w:tab/>
        <w:t>NGR, rr. 77(2)(b), 79.</w:t>
      </w:r>
    </w:p>
  </w:footnote>
  <w:footnote w:id="13">
    <w:p w14:paraId="2BCAA49E" w14:textId="77777777" w:rsidR="009D566C" w:rsidRDefault="009D566C">
      <w:pPr>
        <w:pStyle w:val="FootnoteText"/>
      </w:pPr>
      <w:r>
        <w:rPr>
          <w:rStyle w:val="FootnoteReference"/>
        </w:rPr>
        <w:footnoteRef/>
      </w:r>
      <w:r>
        <w:t xml:space="preserve"> </w:t>
      </w:r>
      <w:r>
        <w:tab/>
        <w:t>NGR, r. 77(2)(b).</w:t>
      </w:r>
    </w:p>
  </w:footnote>
  <w:footnote w:id="14">
    <w:p w14:paraId="181A0B21" w14:textId="77777777" w:rsidR="009D566C" w:rsidRDefault="009D566C">
      <w:pPr>
        <w:pStyle w:val="FootnoteText"/>
      </w:pPr>
      <w:r>
        <w:rPr>
          <w:rStyle w:val="FootnoteReference"/>
        </w:rPr>
        <w:footnoteRef/>
      </w:r>
      <w:r>
        <w:t xml:space="preserve"> </w:t>
      </w:r>
      <w:r>
        <w:tab/>
        <w:t>NGR, rr. 77(2)(b), 79.</w:t>
      </w:r>
    </w:p>
  </w:footnote>
  <w:footnote w:id="15">
    <w:p w14:paraId="3A29C0A3" w14:textId="77777777" w:rsidR="009D566C" w:rsidRDefault="009D566C">
      <w:pPr>
        <w:pStyle w:val="FootnoteText"/>
      </w:pPr>
      <w:r>
        <w:rPr>
          <w:rStyle w:val="FootnoteReference"/>
        </w:rPr>
        <w:footnoteRef/>
      </w:r>
      <w:r>
        <w:t xml:space="preserve"> </w:t>
      </w:r>
      <w:r>
        <w:tab/>
        <w:t>NGR, r. 79(1).</w:t>
      </w:r>
    </w:p>
  </w:footnote>
  <w:footnote w:id="16">
    <w:p w14:paraId="6ED00A46" w14:textId="77777777" w:rsidR="009D566C" w:rsidRDefault="009D566C">
      <w:pPr>
        <w:pStyle w:val="FootnoteText"/>
      </w:pPr>
      <w:r>
        <w:rPr>
          <w:rStyle w:val="FootnoteReference"/>
        </w:rPr>
        <w:footnoteRef/>
      </w:r>
      <w:r>
        <w:t xml:space="preserve"> </w:t>
      </w:r>
      <w:r>
        <w:tab/>
        <w:t>NGR, r. 74(2).</w:t>
      </w:r>
    </w:p>
  </w:footnote>
  <w:footnote w:id="17">
    <w:p w14:paraId="1893FE41" w14:textId="65A06D66" w:rsidR="009D566C" w:rsidRDefault="009D566C">
      <w:pPr>
        <w:pStyle w:val="FootnoteText"/>
      </w:pPr>
      <w:r>
        <w:rPr>
          <w:rStyle w:val="FootnoteReference"/>
        </w:rPr>
        <w:footnoteRef/>
      </w:r>
      <w:r>
        <w:t xml:space="preserve"> </w:t>
      </w:r>
      <w:r>
        <w:tab/>
        <w:t>NGL, s. 28(1).</w:t>
      </w:r>
    </w:p>
  </w:footnote>
  <w:footnote w:id="18">
    <w:p w14:paraId="3E271032" w14:textId="5ECCC5E7" w:rsidR="009D566C" w:rsidRDefault="009D566C">
      <w:pPr>
        <w:pStyle w:val="FootnoteText"/>
      </w:pPr>
      <w:r>
        <w:rPr>
          <w:rStyle w:val="FootnoteReference"/>
        </w:rPr>
        <w:footnoteRef/>
      </w:r>
      <w:r>
        <w:t xml:space="preserve"> </w:t>
      </w:r>
      <w:r>
        <w:tab/>
        <w:t xml:space="preserve">AusNet Services, </w:t>
      </w:r>
      <w:r w:rsidRPr="007F7276">
        <w:rPr>
          <w:rStyle w:val="AERtextitalic"/>
        </w:rPr>
        <w:t>Access Arrangement Information 2018-2022</w:t>
      </w:r>
      <w:r>
        <w:t xml:space="preserve">, </w:t>
      </w:r>
      <w:r w:rsidR="003B2D3C">
        <w:t xml:space="preserve">21 </w:t>
      </w:r>
      <w:r>
        <w:t>December 2016, p. 105.</w:t>
      </w:r>
    </w:p>
  </w:footnote>
  <w:footnote w:id="19">
    <w:p w14:paraId="7BA5363C" w14:textId="77777777" w:rsidR="009D566C" w:rsidRDefault="009D566C">
      <w:pPr>
        <w:pStyle w:val="FootnoteText"/>
      </w:pPr>
      <w:r>
        <w:rPr>
          <w:rStyle w:val="FootnoteReference"/>
        </w:rPr>
        <w:footnoteRef/>
      </w:r>
      <w:r>
        <w:t xml:space="preserve"> </w:t>
      </w:r>
      <w:r>
        <w:tab/>
        <w:t>NGR, r. 79(1).</w:t>
      </w:r>
    </w:p>
  </w:footnote>
  <w:footnote w:id="20">
    <w:p w14:paraId="13B5DE30" w14:textId="4BCF2DE9" w:rsidR="009D566C" w:rsidRDefault="009D566C">
      <w:pPr>
        <w:pStyle w:val="FootnoteText"/>
      </w:pPr>
      <w:r>
        <w:rPr>
          <w:rStyle w:val="FootnoteReference"/>
        </w:rPr>
        <w:footnoteRef/>
      </w:r>
      <w:r>
        <w:t xml:space="preserve"> </w:t>
      </w:r>
      <w:r>
        <w:tab/>
        <w:t>NGR, r. 74(2).</w:t>
      </w:r>
    </w:p>
  </w:footnote>
  <w:footnote w:id="21">
    <w:p w14:paraId="3FDE29E1" w14:textId="0A862AEE" w:rsidR="009D566C" w:rsidRDefault="009D566C">
      <w:pPr>
        <w:pStyle w:val="FootnoteText"/>
      </w:pPr>
      <w:r>
        <w:rPr>
          <w:rStyle w:val="FootnoteReference"/>
        </w:rPr>
        <w:footnoteRef/>
      </w:r>
      <w:r>
        <w:t xml:space="preserve"> </w:t>
      </w:r>
      <w:r>
        <w:tab/>
        <w:t>NGR, rr. 79(1)(b) and 79(2)(c)(i)(ii).</w:t>
      </w:r>
    </w:p>
  </w:footnote>
  <w:footnote w:id="22">
    <w:p w14:paraId="30363750" w14:textId="70D112CB" w:rsidR="009D566C" w:rsidRDefault="009D566C">
      <w:pPr>
        <w:pStyle w:val="FootnoteText"/>
      </w:pPr>
      <w:r>
        <w:rPr>
          <w:rStyle w:val="FootnoteReference"/>
        </w:rPr>
        <w:footnoteRef/>
      </w:r>
      <w:r>
        <w:t xml:space="preserve"> </w:t>
      </w:r>
      <w:r>
        <w:tab/>
        <w:t xml:space="preserve">AusNet Services, </w:t>
      </w:r>
      <w:r w:rsidRPr="00084834">
        <w:rPr>
          <w:rStyle w:val="AERtextitalic"/>
        </w:rPr>
        <w:t>Access Arrangement Information 2018–2022</w:t>
      </w:r>
      <w:r>
        <w:t xml:space="preserve">, </w:t>
      </w:r>
      <w:r w:rsidR="003B2D3C">
        <w:t xml:space="preserve">21 </w:t>
      </w:r>
      <w:r>
        <w:t>December 2016, p. 120.</w:t>
      </w:r>
    </w:p>
  </w:footnote>
  <w:footnote w:id="23">
    <w:p w14:paraId="77A15EEE" w14:textId="6CB28E11" w:rsidR="009D566C" w:rsidRDefault="009D566C">
      <w:pPr>
        <w:pStyle w:val="FootnoteText"/>
      </w:pPr>
      <w:r>
        <w:rPr>
          <w:rStyle w:val="FootnoteReference"/>
        </w:rPr>
        <w:footnoteRef/>
      </w:r>
      <w:r>
        <w:t xml:space="preserve"> </w:t>
      </w:r>
      <w:r>
        <w:tab/>
        <w:t xml:space="preserve">AusNet Services, </w:t>
      </w:r>
      <w:r w:rsidRPr="00084834">
        <w:rPr>
          <w:rStyle w:val="AERtextitalic"/>
        </w:rPr>
        <w:t>Access Arrangement Information 2018–2022</w:t>
      </w:r>
      <w:r>
        <w:t xml:space="preserve">, </w:t>
      </w:r>
      <w:r w:rsidR="00F176F2">
        <w:t xml:space="preserve">21 </w:t>
      </w:r>
      <w:r>
        <w:t>December 2016, p. 120.</w:t>
      </w:r>
    </w:p>
  </w:footnote>
  <w:footnote w:id="24">
    <w:p w14:paraId="2CD511B3" w14:textId="190117E4" w:rsidR="009D566C" w:rsidRDefault="009D566C">
      <w:pPr>
        <w:pStyle w:val="FootnoteText"/>
      </w:pPr>
      <w:r>
        <w:rPr>
          <w:rStyle w:val="FootnoteReference"/>
        </w:rPr>
        <w:footnoteRef/>
      </w:r>
      <w:r>
        <w:t xml:space="preserve"> </w:t>
      </w:r>
      <w:r>
        <w:tab/>
        <w:t xml:space="preserve">AusNet Services, </w:t>
      </w:r>
      <w:r w:rsidRPr="00084834">
        <w:rPr>
          <w:rStyle w:val="AERtextitalic"/>
        </w:rPr>
        <w:t>Access Arrangement Information 2018–2022</w:t>
      </w:r>
      <w:r>
        <w:t xml:space="preserve">, </w:t>
      </w:r>
      <w:r w:rsidR="00F176F2">
        <w:t xml:space="preserve">21 </w:t>
      </w:r>
      <w:r>
        <w:t>December 2016, p. 120.</w:t>
      </w:r>
    </w:p>
  </w:footnote>
  <w:footnote w:id="25">
    <w:p w14:paraId="64CF0619" w14:textId="59FE4717" w:rsidR="009D566C" w:rsidRDefault="009D566C">
      <w:pPr>
        <w:pStyle w:val="FootnoteText"/>
      </w:pPr>
      <w:r>
        <w:rPr>
          <w:rStyle w:val="FootnoteReference"/>
        </w:rPr>
        <w:footnoteRef/>
      </w:r>
      <w:r>
        <w:t xml:space="preserve"> </w:t>
      </w:r>
      <w:r>
        <w:tab/>
        <w:t xml:space="preserve">AusNet Services, </w:t>
      </w:r>
      <w:r w:rsidRPr="00084834">
        <w:rPr>
          <w:rStyle w:val="AERtextitalic"/>
        </w:rPr>
        <w:t>Access Arrangement Information 2018–2022</w:t>
      </w:r>
      <w:r>
        <w:t xml:space="preserve">, </w:t>
      </w:r>
      <w:r w:rsidR="00F176F2">
        <w:t xml:space="preserve">21 </w:t>
      </w:r>
      <w:r>
        <w:t>December 2016, p. 119.</w:t>
      </w:r>
    </w:p>
  </w:footnote>
  <w:footnote w:id="26">
    <w:p w14:paraId="699593C9" w14:textId="0AFA1F37" w:rsidR="009D566C" w:rsidRDefault="009D566C">
      <w:pPr>
        <w:pStyle w:val="FootnoteText"/>
      </w:pPr>
      <w:r>
        <w:rPr>
          <w:rStyle w:val="FootnoteReference"/>
        </w:rPr>
        <w:footnoteRef/>
      </w:r>
      <w:r>
        <w:t xml:space="preserve"> </w:t>
      </w:r>
      <w:r>
        <w:tab/>
        <w:t xml:space="preserve">AusNet Services, </w:t>
      </w:r>
      <w:r w:rsidRPr="00084834">
        <w:rPr>
          <w:rStyle w:val="AERtextitalic"/>
        </w:rPr>
        <w:t>Access Arrangement Information 2018–2022</w:t>
      </w:r>
      <w:r>
        <w:t xml:space="preserve">, </w:t>
      </w:r>
      <w:r w:rsidR="00F176F2">
        <w:t xml:space="preserve">21 </w:t>
      </w:r>
      <w:r>
        <w:t>December 2016, p. 119.</w:t>
      </w:r>
    </w:p>
  </w:footnote>
  <w:footnote w:id="27">
    <w:p w14:paraId="362C3DDD" w14:textId="77777777" w:rsidR="009D566C" w:rsidRDefault="009D566C" w:rsidP="00EA213D">
      <w:pPr>
        <w:pStyle w:val="FootnoteText"/>
      </w:pPr>
      <w:r>
        <w:rPr>
          <w:rStyle w:val="FootnoteReference"/>
        </w:rPr>
        <w:footnoteRef/>
      </w:r>
      <w:r>
        <w:t xml:space="preserve"> </w:t>
      </w:r>
      <w:r>
        <w:tab/>
        <w:t xml:space="preserve">NGR, </w:t>
      </w:r>
      <w:proofErr w:type="gramStart"/>
      <w:r>
        <w:t>rr</w:t>
      </w:r>
      <w:proofErr w:type="gramEnd"/>
      <w:r>
        <w:t>. 79(1)(b) and 79(2)(c)(i)(ii).</w:t>
      </w:r>
    </w:p>
  </w:footnote>
  <w:footnote w:id="28">
    <w:p w14:paraId="27E4827E" w14:textId="77777777" w:rsidR="009D566C" w:rsidRDefault="009D566C" w:rsidP="00084834">
      <w:pPr>
        <w:pStyle w:val="FootnoteText"/>
      </w:pPr>
      <w:r>
        <w:rPr>
          <w:rStyle w:val="FootnoteReference"/>
        </w:rPr>
        <w:footnoteRef/>
      </w:r>
      <w:r>
        <w:t xml:space="preserve"> </w:t>
      </w:r>
      <w:r>
        <w:tab/>
        <w:t>NGR, r. 79(1)(a).</w:t>
      </w:r>
    </w:p>
  </w:footnote>
  <w:footnote w:id="29">
    <w:p w14:paraId="046ED4BA" w14:textId="7AE894B9" w:rsidR="009D566C" w:rsidRDefault="009D566C" w:rsidP="00084834">
      <w:pPr>
        <w:pStyle w:val="FootnoteText"/>
      </w:pPr>
      <w:r>
        <w:rPr>
          <w:rStyle w:val="FootnoteReference"/>
        </w:rPr>
        <w:footnoteRef/>
      </w:r>
      <w:r>
        <w:t xml:space="preserve"> </w:t>
      </w:r>
      <w:r>
        <w:tab/>
        <w:t xml:space="preserve">Initially AusNet provided data from 2002 to 2014, however, in response to our information request AusNet updated its leak data to include 2015 and 2016: AusNet Services, </w:t>
      </w:r>
      <w:r w:rsidRPr="006118CD">
        <w:rPr>
          <w:rStyle w:val="AERtextitalic"/>
        </w:rPr>
        <w:t>Response to information request 13</w:t>
      </w:r>
      <w:r>
        <w:t>, 11 April 2017.</w:t>
      </w:r>
    </w:p>
  </w:footnote>
  <w:footnote w:id="30">
    <w:p w14:paraId="2AE3897C" w14:textId="483A7624" w:rsidR="009D566C" w:rsidRDefault="009D566C" w:rsidP="00084834">
      <w:pPr>
        <w:pStyle w:val="FootnoteText"/>
      </w:pPr>
      <w:r>
        <w:rPr>
          <w:rStyle w:val="FootnoteReference"/>
        </w:rPr>
        <w:footnoteRef/>
      </w:r>
      <w:r>
        <w:t xml:space="preserve"> </w:t>
      </w:r>
      <w:r>
        <w:tab/>
        <w:t xml:space="preserve">AusNet Services, </w:t>
      </w:r>
      <w:r w:rsidRPr="006118CD">
        <w:rPr>
          <w:rStyle w:val="AERtextitalic"/>
        </w:rPr>
        <w:t>Access Arrangement Information 2018–2022</w:t>
      </w:r>
      <w:r>
        <w:t xml:space="preserve">, </w:t>
      </w:r>
      <w:r w:rsidR="00642F2D">
        <w:t xml:space="preserve">21 </w:t>
      </w:r>
      <w:r>
        <w:t>December 2016, p. 121.</w:t>
      </w:r>
    </w:p>
  </w:footnote>
  <w:footnote w:id="31">
    <w:p w14:paraId="36E7DE89" w14:textId="11252C84" w:rsidR="009D566C" w:rsidRDefault="009D566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TBC.</w:t>
      </w:r>
    </w:p>
  </w:footnote>
  <w:footnote w:id="32">
    <w:p w14:paraId="01780C6A" w14:textId="55EF71D0" w:rsidR="009D566C" w:rsidRDefault="009D566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TBC.</w:t>
      </w:r>
    </w:p>
  </w:footnote>
  <w:footnote w:id="33">
    <w:p w14:paraId="2652A35B" w14:textId="593954B7" w:rsidR="009D566C" w:rsidRDefault="009D566C">
      <w:pPr>
        <w:pStyle w:val="FootnoteText"/>
      </w:pPr>
      <w:r>
        <w:rPr>
          <w:rStyle w:val="FootnoteReference"/>
        </w:rPr>
        <w:footnoteRef/>
      </w:r>
      <w:r>
        <w:t xml:space="preserve"> </w:t>
      </w:r>
      <w:r>
        <w:tab/>
        <w:t xml:space="preserve">AusNet Services, </w:t>
      </w:r>
      <w:r w:rsidRPr="00F571A7">
        <w:rPr>
          <w:rStyle w:val="AERtextitalic"/>
        </w:rPr>
        <w:t>Access Arrangement Information 2018–2022</w:t>
      </w:r>
      <w:r>
        <w:t xml:space="preserve">, </w:t>
      </w:r>
      <w:r w:rsidR="00642F2D">
        <w:t xml:space="preserve">21 </w:t>
      </w:r>
      <w:r>
        <w:t>December 2016, p. 125.</w:t>
      </w:r>
    </w:p>
  </w:footnote>
  <w:footnote w:id="34">
    <w:p w14:paraId="7FE2907F" w14:textId="0C56E1D2" w:rsidR="009D566C" w:rsidRDefault="009D566C">
      <w:pPr>
        <w:pStyle w:val="FootnoteText"/>
      </w:pPr>
      <w:r>
        <w:rPr>
          <w:rStyle w:val="FootnoteReference"/>
        </w:rPr>
        <w:footnoteRef/>
      </w:r>
      <w:r>
        <w:t xml:space="preserve"> </w:t>
      </w:r>
      <w:r>
        <w:tab/>
        <w:t xml:space="preserve">AusNet Services, </w:t>
      </w:r>
      <w:r w:rsidRPr="00F571A7">
        <w:rPr>
          <w:rStyle w:val="AERtextitalic"/>
        </w:rPr>
        <w:t>Access Arrangement Information 2018–2022</w:t>
      </w:r>
      <w:r>
        <w:t xml:space="preserve">, </w:t>
      </w:r>
      <w:r w:rsidR="00F0127A">
        <w:t xml:space="preserve">21 </w:t>
      </w:r>
      <w:r>
        <w:t>December 2016, p. 128.</w:t>
      </w:r>
    </w:p>
  </w:footnote>
  <w:footnote w:id="35">
    <w:p w14:paraId="7EE72888" w14:textId="7C21E025" w:rsidR="009D566C" w:rsidRDefault="009D566C">
      <w:pPr>
        <w:pStyle w:val="FootnoteText"/>
      </w:pPr>
      <w:r>
        <w:rPr>
          <w:rStyle w:val="FootnoteReference"/>
        </w:rPr>
        <w:footnoteRef/>
      </w:r>
      <w:r>
        <w:t xml:space="preserve"> </w:t>
      </w:r>
      <w:r>
        <w:tab/>
        <w:t xml:space="preserve">AusNet Services, </w:t>
      </w:r>
      <w:r w:rsidRPr="00F571A7">
        <w:rPr>
          <w:rStyle w:val="AERtextitalic"/>
        </w:rPr>
        <w:t>Access Arrangement Information 2018–2022</w:t>
      </w:r>
      <w:r>
        <w:t xml:space="preserve">, </w:t>
      </w:r>
      <w:r w:rsidR="00F0127A">
        <w:t xml:space="preserve">21 </w:t>
      </w:r>
      <w:r>
        <w:t>December 2016, p. 129.</w:t>
      </w:r>
    </w:p>
  </w:footnote>
  <w:footnote w:id="36">
    <w:p w14:paraId="330ACB4B" w14:textId="3AA0E7C0" w:rsidR="009D566C" w:rsidRDefault="009D566C">
      <w:pPr>
        <w:pStyle w:val="FootnoteText"/>
      </w:pPr>
      <w:r>
        <w:rPr>
          <w:rStyle w:val="FootnoteReference"/>
        </w:rPr>
        <w:footnoteRef/>
      </w:r>
      <w:r>
        <w:t xml:space="preserve"> </w:t>
      </w:r>
      <w:r>
        <w:tab/>
        <w:t xml:space="preserve">AusNet Services, </w:t>
      </w:r>
      <w:r w:rsidRPr="00F571A7">
        <w:rPr>
          <w:rStyle w:val="AERtextitalic"/>
        </w:rPr>
        <w:t>Access Arrangement Information 2018–2022</w:t>
      </w:r>
      <w:r>
        <w:t xml:space="preserve">, </w:t>
      </w:r>
      <w:r w:rsidR="00F0127A">
        <w:t xml:space="preserve">21 </w:t>
      </w:r>
      <w:r>
        <w:t>December 2016, p. 129.</w:t>
      </w:r>
    </w:p>
  </w:footnote>
  <w:footnote w:id="37">
    <w:p w14:paraId="065ED6F9" w14:textId="6004E59E" w:rsidR="009D566C" w:rsidRDefault="009D566C">
      <w:pPr>
        <w:pStyle w:val="FootnoteText"/>
      </w:pPr>
      <w:r>
        <w:rPr>
          <w:rStyle w:val="FootnoteReference"/>
        </w:rPr>
        <w:footnoteRef/>
      </w:r>
      <w:r>
        <w:t xml:space="preserve"> </w:t>
      </w:r>
      <w:r>
        <w:tab/>
      </w:r>
      <w:r w:rsidRPr="006A0637">
        <w:t xml:space="preserve">AusNet Services, </w:t>
      </w:r>
      <w:r w:rsidRPr="00F571A7">
        <w:rPr>
          <w:rStyle w:val="AERtextitalic"/>
        </w:rPr>
        <w:t>Response to information request 13</w:t>
      </w:r>
      <w:r w:rsidRPr="006A0637">
        <w:t>, 11 April 2017, p. 6.</w:t>
      </w:r>
    </w:p>
  </w:footnote>
  <w:footnote w:id="38">
    <w:p w14:paraId="2920B628" w14:textId="0887A43C" w:rsidR="009D566C" w:rsidRDefault="009D566C">
      <w:pPr>
        <w:pStyle w:val="FootnoteText"/>
      </w:pPr>
      <w:r>
        <w:rPr>
          <w:rStyle w:val="FootnoteReference"/>
        </w:rPr>
        <w:footnoteRef/>
      </w:r>
      <w:r>
        <w:t xml:space="preserve"> </w:t>
      </w:r>
      <w:r>
        <w:tab/>
      </w:r>
      <w:r w:rsidRPr="006A0637">
        <w:t xml:space="preserve">AusNet Services, </w:t>
      </w:r>
      <w:r w:rsidRPr="00F571A7">
        <w:rPr>
          <w:rStyle w:val="AERtextitalic"/>
        </w:rPr>
        <w:t>Response to information request 13</w:t>
      </w:r>
      <w:r w:rsidRPr="006A0637">
        <w:t>, 11 April 2017, p. 6.</w:t>
      </w:r>
    </w:p>
  </w:footnote>
  <w:footnote w:id="39">
    <w:p w14:paraId="13532DEC" w14:textId="03ABE13E" w:rsidR="009D566C" w:rsidRDefault="009D566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52.</w:t>
      </w:r>
    </w:p>
  </w:footnote>
  <w:footnote w:id="40">
    <w:p w14:paraId="7F75672C" w14:textId="42C99A65" w:rsidR="009D566C" w:rsidRDefault="009D566C">
      <w:pPr>
        <w:pStyle w:val="FootnoteText"/>
      </w:pPr>
      <w:r>
        <w:rPr>
          <w:rStyle w:val="FootnoteReference"/>
        </w:rPr>
        <w:footnoteRef/>
      </w:r>
      <w:r>
        <w:t xml:space="preserve"> </w:t>
      </w:r>
      <w:r>
        <w:tab/>
        <w:t>NGR, r. 74(2).</w:t>
      </w:r>
    </w:p>
  </w:footnote>
  <w:footnote w:id="41">
    <w:p w14:paraId="2767B5FB" w14:textId="4896973F" w:rsidR="009D566C" w:rsidRDefault="009D566C">
      <w:pPr>
        <w:pStyle w:val="FootnoteText"/>
      </w:pPr>
      <w:r>
        <w:rPr>
          <w:rStyle w:val="FootnoteReference"/>
        </w:rPr>
        <w:footnoteRef/>
      </w:r>
      <w:r>
        <w:t xml:space="preserve"> </w:t>
      </w:r>
      <w:r>
        <w:tab/>
        <w:t xml:space="preserve">AusNet Services, </w:t>
      </w:r>
      <w:r w:rsidRPr="00711501">
        <w:rPr>
          <w:rStyle w:val="AERtextitalic"/>
        </w:rPr>
        <w:t>Appendix 6E: Mains and services strategy</w:t>
      </w:r>
      <w:r>
        <w:t xml:space="preserve">, </w:t>
      </w:r>
      <w:r w:rsidR="00F0127A">
        <w:t>21 November</w:t>
      </w:r>
      <w:r>
        <w:t xml:space="preserve"> 2016, p. 31.</w:t>
      </w:r>
    </w:p>
  </w:footnote>
  <w:footnote w:id="42">
    <w:p w14:paraId="593C891F" w14:textId="54352F17" w:rsidR="009D566C" w:rsidRDefault="009D566C">
      <w:pPr>
        <w:pStyle w:val="FootnoteText"/>
      </w:pPr>
      <w:r>
        <w:rPr>
          <w:rStyle w:val="FootnoteReference"/>
        </w:rPr>
        <w:footnoteRef/>
      </w:r>
      <w:r>
        <w:t xml:space="preserve"> </w:t>
      </w:r>
      <w:r>
        <w:tab/>
        <w:t xml:space="preserve">AusNet Services, </w:t>
      </w:r>
      <w:r w:rsidRPr="00711501">
        <w:rPr>
          <w:rStyle w:val="AERtextitalic"/>
        </w:rPr>
        <w:t>Appendix 6E: Mains and services strategy</w:t>
      </w:r>
      <w:r>
        <w:t xml:space="preserve">, </w:t>
      </w:r>
      <w:r w:rsidR="00F0127A">
        <w:t>21 November</w:t>
      </w:r>
      <w:r>
        <w:t xml:space="preserve"> 2016, pp. 31-33.</w:t>
      </w:r>
    </w:p>
  </w:footnote>
  <w:footnote w:id="43">
    <w:p w14:paraId="5910C307" w14:textId="524E1DDA" w:rsidR="009D566C" w:rsidRDefault="009D566C">
      <w:pPr>
        <w:pStyle w:val="FootnoteText"/>
      </w:pPr>
      <w:r>
        <w:rPr>
          <w:rStyle w:val="FootnoteReference"/>
        </w:rPr>
        <w:footnoteRef/>
      </w:r>
      <w:r>
        <w:t xml:space="preserve"> </w:t>
      </w:r>
      <w:r>
        <w:tab/>
        <w:t xml:space="preserve">AusNet Services, </w:t>
      </w:r>
      <w:r w:rsidRPr="00711501">
        <w:rPr>
          <w:rStyle w:val="AERtextitalic"/>
        </w:rPr>
        <w:t>Response to information request 3</w:t>
      </w:r>
      <w:r>
        <w:t>, 21 February 2017, p. 12.</w:t>
      </w:r>
    </w:p>
  </w:footnote>
  <w:footnote w:id="44">
    <w:p w14:paraId="0FD9C97D" w14:textId="7472DE38" w:rsidR="009D566C" w:rsidRDefault="009D566C">
      <w:pPr>
        <w:pStyle w:val="FootnoteText"/>
      </w:pPr>
      <w:r>
        <w:rPr>
          <w:rStyle w:val="FootnoteReference"/>
        </w:rPr>
        <w:footnoteRef/>
      </w:r>
      <w:r>
        <w:t xml:space="preserve"> </w:t>
      </w:r>
      <w:r>
        <w:tab/>
        <w:t>NGR, r. 74(2).</w:t>
      </w:r>
    </w:p>
  </w:footnote>
  <w:footnote w:id="45">
    <w:p w14:paraId="0C1EA777" w14:textId="77777777" w:rsidR="009D566C" w:rsidRDefault="009D566C" w:rsidP="00DE38FF">
      <w:pPr>
        <w:pStyle w:val="FootnoteText"/>
      </w:pPr>
      <w:r>
        <w:rPr>
          <w:rStyle w:val="FootnoteReference"/>
        </w:rPr>
        <w:footnoteRef/>
      </w:r>
      <w:r>
        <w:t xml:space="preserve"> </w:t>
      </w:r>
      <w:r>
        <w:tab/>
        <w:t>NGR, r. 119S, for basic and standard connections and NGR, r. 119V, for negotiated connections.</w:t>
      </w:r>
    </w:p>
  </w:footnote>
  <w:footnote w:id="46">
    <w:p w14:paraId="0F0B49E3" w14:textId="77777777" w:rsidR="009D566C" w:rsidRDefault="009D566C" w:rsidP="00DE38FF">
      <w:pPr>
        <w:pStyle w:val="FootnoteText"/>
      </w:pPr>
      <w:r>
        <w:rPr>
          <w:rStyle w:val="FootnoteReference"/>
        </w:rPr>
        <w:footnoteRef/>
      </w:r>
      <w:r>
        <w:t xml:space="preserve"> </w:t>
      </w:r>
      <w:r>
        <w:tab/>
        <w:t xml:space="preserve">I&amp;C customers are generally classified under Tariff V if they consume less than 10 TJ of gas per </w:t>
      </w:r>
      <w:r w:rsidRPr="002C0A99">
        <w:t>year</w:t>
      </w:r>
      <w:r>
        <w:t>.</w:t>
      </w:r>
    </w:p>
  </w:footnote>
  <w:footnote w:id="47">
    <w:p w14:paraId="3F1E5225" w14:textId="77777777" w:rsidR="009D566C" w:rsidRDefault="009D566C" w:rsidP="00DE38FF">
      <w:pPr>
        <w:pStyle w:val="FootnoteText"/>
      </w:pPr>
      <w:r>
        <w:rPr>
          <w:rStyle w:val="FootnoteReference"/>
        </w:rPr>
        <w:footnoteRef/>
      </w:r>
      <w:r>
        <w:t xml:space="preserve"> </w:t>
      </w:r>
      <w:r>
        <w:tab/>
        <w:t xml:space="preserve">I&amp;C customers are generally classified under Tariff D if they consume more than 10 TJ of gas per </w:t>
      </w:r>
      <w:r w:rsidRPr="002C0A99">
        <w:t>year</w:t>
      </w:r>
      <w:r>
        <w:t>.</w:t>
      </w:r>
    </w:p>
  </w:footnote>
  <w:footnote w:id="48">
    <w:p w14:paraId="094236A1" w14:textId="77777777" w:rsidR="009D566C" w:rsidRDefault="009D566C" w:rsidP="00DE38FF">
      <w:pPr>
        <w:pStyle w:val="FootnoteText"/>
      </w:pPr>
      <w:r>
        <w:rPr>
          <w:rStyle w:val="FootnoteReference"/>
        </w:rPr>
        <w:footnoteRef/>
      </w:r>
      <w:r>
        <w:t xml:space="preserve"> </w:t>
      </w:r>
      <w:r>
        <w:tab/>
        <w:t>Connections to existing homes are sometimes referred to as an 'electricity-to-gas' connections, whereby households be replace electric appliances with gas equivalents and require connection to the gas distribution network.</w:t>
      </w:r>
    </w:p>
  </w:footnote>
  <w:footnote w:id="49">
    <w:p w14:paraId="4C366227" w14:textId="77777777" w:rsidR="009D566C" w:rsidRDefault="009D566C" w:rsidP="001C0B27">
      <w:pPr>
        <w:pStyle w:val="FootnoteText"/>
      </w:pPr>
      <w:r>
        <w:rPr>
          <w:rStyle w:val="FootnoteReference"/>
        </w:rPr>
        <w:footnoteRef/>
      </w:r>
      <w:r>
        <w:t xml:space="preserve"> </w:t>
      </w:r>
      <w:r>
        <w:tab/>
        <w:t>NGR, r. 79(1).</w:t>
      </w:r>
    </w:p>
  </w:footnote>
  <w:footnote w:id="50">
    <w:p w14:paraId="5D605DB0" w14:textId="77777777" w:rsidR="009D566C" w:rsidRDefault="009D566C" w:rsidP="001C0B27">
      <w:pPr>
        <w:pStyle w:val="FootnoteText"/>
      </w:pPr>
      <w:r>
        <w:rPr>
          <w:rStyle w:val="FootnoteReference"/>
        </w:rPr>
        <w:footnoteRef/>
      </w:r>
      <w:r>
        <w:t xml:space="preserve"> </w:t>
      </w:r>
      <w:r>
        <w:tab/>
        <w:t>NGR, r. 74(2).</w:t>
      </w:r>
    </w:p>
  </w:footnote>
  <w:footnote w:id="51">
    <w:p w14:paraId="26F552A4" w14:textId="77777777" w:rsidR="009D566C" w:rsidRDefault="009D566C" w:rsidP="001C0B27">
      <w:pPr>
        <w:pStyle w:val="FootnoteText"/>
      </w:pPr>
      <w:r>
        <w:rPr>
          <w:rStyle w:val="FootnoteReference"/>
        </w:rPr>
        <w:footnoteRef/>
      </w:r>
      <w:r>
        <w:t xml:space="preserve"> </w:t>
      </w:r>
      <w:r>
        <w:tab/>
        <w:t xml:space="preserve">ACIL Allen, </w:t>
      </w:r>
      <w:r w:rsidRPr="009062F9">
        <w:rPr>
          <w:rStyle w:val="Emphasis"/>
        </w:rPr>
        <w:t xml:space="preserve">Review of demand forecasts for </w:t>
      </w:r>
      <w:r>
        <w:rPr>
          <w:rStyle w:val="Emphasis"/>
        </w:rPr>
        <w:t>AusNet Services</w:t>
      </w:r>
      <w:r>
        <w:t>, May 2017, p. 16.</w:t>
      </w:r>
    </w:p>
  </w:footnote>
  <w:footnote w:id="52">
    <w:p w14:paraId="2C70377E" w14:textId="63B0EE20" w:rsidR="009D566C" w:rsidRDefault="009D566C" w:rsidP="00DE38FF">
      <w:pPr>
        <w:pStyle w:val="FootnoteText"/>
      </w:pPr>
      <w:r>
        <w:rPr>
          <w:rStyle w:val="FootnoteReference"/>
        </w:rPr>
        <w:footnoteRef/>
      </w:r>
      <w:r>
        <w:t xml:space="preserve"> </w:t>
      </w:r>
      <w:r>
        <w:tab/>
        <w:t xml:space="preserve">AusNet Services, </w:t>
      </w:r>
      <w:r w:rsidRPr="00410C35">
        <w:rPr>
          <w:rStyle w:val="AERtextitalic"/>
        </w:rPr>
        <w:t>Access Arrangement Information 2018-2022</w:t>
      </w:r>
      <w:r>
        <w:t>,</w:t>
      </w:r>
      <w:r w:rsidR="00F0127A">
        <w:t xml:space="preserve"> 21</w:t>
      </w:r>
      <w:r>
        <w:t xml:space="preserve"> December 2016, p. 52; AER Analysis of AusNet's reset RIN.</w:t>
      </w:r>
    </w:p>
  </w:footnote>
  <w:footnote w:id="53">
    <w:p w14:paraId="680DB569" w14:textId="15AC2F3F" w:rsidR="009D566C" w:rsidRDefault="009D566C" w:rsidP="00D1037D">
      <w:pPr>
        <w:pStyle w:val="FootnoteText"/>
      </w:pPr>
      <w:r>
        <w:rPr>
          <w:rStyle w:val="FootnoteReference"/>
        </w:rPr>
        <w:footnoteRef/>
      </w:r>
      <w:r>
        <w:t xml:space="preserve"> </w:t>
      </w:r>
      <w:r>
        <w:tab/>
        <w:t xml:space="preserve">AusNet makes a post-model adjustment to its net customer growth forecast to calculate gross connections. CIE calculates this by adding the number of disconnections to net customer growth. Forecast disconnections are derived using the average disconnection rate from the last three years. See AusNet Services, </w:t>
      </w:r>
      <w:r w:rsidRPr="00410C35">
        <w:rPr>
          <w:rStyle w:val="AERtextitalic"/>
        </w:rPr>
        <w:t>Access Arrangement Information 2018-2022</w:t>
      </w:r>
      <w:r>
        <w:t xml:space="preserve">, </w:t>
      </w:r>
      <w:r w:rsidR="00F0127A">
        <w:t xml:space="preserve">21 </w:t>
      </w:r>
      <w:r>
        <w:t>December 2016, pp. 60-61.</w:t>
      </w:r>
    </w:p>
  </w:footnote>
  <w:footnote w:id="54">
    <w:p w14:paraId="70F578C6" w14:textId="5091323F" w:rsidR="009D566C" w:rsidRDefault="009D566C" w:rsidP="00DE38FF">
      <w:pPr>
        <w:pStyle w:val="FootnoteText"/>
      </w:pPr>
      <w:r>
        <w:rPr>
          <w:rStyle w:val="FootnoteReference"/>
        </w:rPr>
        <w:footnoteRef/>
      </w:r>
      <w:r>
        <w:t xml:space="preserve"> </w:t>
      </w:r>
      <w:r>
        <w:tab/>
        <w:t xml:space="preserve">AusNet Services, </w:t>
      </w:r>
      <w:r w:rsidRPr="00410C35">
        <w:rPr>
          <w:rStyle w:val="AERtextitalic"/>
        </w:rPr>
        <w:t>Access Arrangement Information 2018-2022</w:t>
      </w:r>
      <w:r>
        <w:t xml:space="preserve">, </w:t>
      </w:r>
      <w:r w:rsidR="00F0127A">
        <w:t xml:space="preserve">21 </w:t>
      </w:r>
      <w:r>
        <w:t xml:space="preserve">December 2016, pp.75-76; AusNet Services, </w:t>
      </w:r>
      <w:r w:rsidRPr="00410C35">
        <w:rPr>
          <w:rStyle w:val="AERtextitalic"/>
        </w:rPr>
        <w:t xml:space="preserve">Appendix 7D: </w:t>
      </w:r>
      <w:r w:rsidR="00F0127A" w:rsidRPr="00F0127A">
        <w:rPr>
          <w:rStyle w:val="AERtextitalic"/>
        </w:rPr>
        <w:t>Axiom Economics - Consistency of Victorian gas distribution businesses joint marketing campaign with rule 91 of the NGR</w:t>
      </w:r>
      <w:r w:rsidR="00F0127A">
        <w:rPr>
          <w:rStyle w:val="AERtextitalic"/>
        </w:rPr>
        <w:t>,</w:t>
      </w:r>
      <w:r w:rsidR="00F0127A" w:rsidRPr="00F0127A">
        <w:rPr>
          <w:rStyle w:val="AERtextitalic"/>
        </w:rPr>
        <w:t xml:space="preserve"> </w:t>
      </w:r>
      <w:r w:rsidR="00F0127A">
        <w:t>20</w:t>
      </w:r>
      <w:r>
        <w:t xml:space="preserve"> December 2016, p. 60.</w:t>
      </w:r>
    </w:p>
  </w:footnote>
  <w:footnote w:id="55">
    <w:p w14:paraId="142738E5" w14:textId="77777777" w:rsidR="009D566C" w:rsidRDefault="009D566C" w:rsidP="00051E66">
      <w:pPr>
        <w:pStyle w:val="FootnoteText"/>
      </w:pPr>
      <w:r>
        <w:rPr>
          <w:rStyle w:val="FootnoteReference"/>
        </w:rPr>
        <w:footnoteRef/>
      </w:r>
      <w:r>
        <w:t xml:space="preserve"> </w:t>
      </w:r>
      <w:r>
        <w:tab/>
        <w:t>NGR, rr. 74(2) and 79(1).</w:t>
      </w:r>
    </w:p>
  </w:footnote>
  <w:footnote w:id="56">
    <w:p w14:paraId="53516D41" w14:textId="771E594B" w:rsidR="009D566C" w:rsidRDefault="009D566C" w:rsidP="00BA4564">
      <w:pPr>
        <w:pStyle w:val="FootnoteText"/>
      </w:pPr>
      <w:r>
        <w:rPr>
          <w:rStyle w:val="FootnoteReference"/>
        </w:rPr>
        <w:footnoteRef/>
      </w:r>
      <w:r>
        <w:t xml:space="preserve"> </w:t>
      </w:r>
      <w:r>
        <w:tab/>
        <w:t>NGR, r. 74(2);</w:t>
      </w:r>
      <w:r w:rsidRPr="00147E70">
        <w:t xml:space="preserve"> </w:t>
      </w:r>
      <w:r>
        <w:t xml:space="preserve">AusNet Services, </w:t>
      </w:r>
      <w:r w:rsidRPr="0010298E">
        <w:rPr>
          <w:rStyle w:val="AERtextitalic"/>
        </w:rPr>
        <w:t>Access Arrangement Information 2018-2022</w:t>
      </w:r>
      <w:r>
        <w:t xml:space="preserve">, </w:t>
      </w:r>
      <w:r w:rsidR="00F0127A">
        <w:t xml:space="preserve">21 </w:t>
      </w:r>
      <w:r>
        <w:t>December 2016, p. 136.</w:t>
      </w:r>
    </w:p>
  </w:footnote>
  <w:footnote w:id="57">
    <w:p w14:paraId="0814F9D8" w14:textId="62548303" w:rsidR="009D566C" w:rsidRDefault="009D566C" w:rsidP="00DE38FF">
      <w:pPr>
        <w:pStyle w:val="FootnoteText"/>
      </w:pPr>
      <w:r>
        <w:rPr>
          <w:rStyle w:val="FootnoteReference"/>
        </w:rPr>
        <w:footnoteRef/>
      </w:r>
      <w:r>
        <w:t xml:space="preserve"> </w:t>
      </w:r>
      <w:r>
        <w:tab/>
        <w:t xml:space="preserve">AusNet Services, </w:t>
      </w:r>
      <w:r w:rsidRPr="0010298E">
        <w:rPr>
          <w:rStyle w:val="AERtextitalic"/>
        </w:rPr>
        <w:t>Access Arrangement Information 2018-2022</w:t>
      </w:r>
      <w:r>
        <w:t xml:space="preserve">, </w:t>
      </w:r>
      <w:r w:rsidR="00F0127A">
        <w:t xml:space="preserve">21 </w:t>
      </w:r>
      <w:r>
        <w:t>December 2016, p. 115.</w:t>
      </w:r>
    </w:p>
  </w:footnote>
  <w:footnote w:id="58">
    <w:p w14:paraId="27C18BBE" w14:textId="5F32F22A" w:rsidR="009D566C" w:rsidRDefault="009D566C" w:rsidP="00DE38FF">
      <w:pPr>
        <w:pStyle w:val="FootnoteText"/>
      </w:pPr>
      <w:r>
        <w:rPr>
          <w:rStyle w:val="FootnoteReference"/>
        </w:rPr>
        <w:footnoteRef/>
      </w:r>
      <w:r>
        <w:t xml:space="preserve"> </w:t>
      </w:r>
      <w:r>
        <w:tab/>
        <w:t xml:space="preserve">AusNet Services, </w:t>
      </w:r>
      <w:r w:rsidRPr="0010298E">
        <w:rPr>
          <w:rStyle w:val="AERtextitalic"/>
        </w:rPr>
        <w:t>Access Arrangement Information 2018-2022</w:t>
      </w:r>
      <w:r>
        <w:t xml:space="preserve">, </w:t>
      </w:r>
      <w:r w:rsidR="00F0127A">
        <w:t xml:space="preserve">21 </w:t>
      </w:r>
      <w:r>
        <w:t>December 2016, p. 136.</w:t>
      </w:r>
      <w:r w:rsidRPr="00147E70">
        <w:t xml:space="preserve"> </w:t>
      </w:r>
      <w:r>
        <w:t>As per our discussion on overheads below, AusNet's overheads forecast is significantly lower than current period levels as a consequence of the change in allocation of contractor support costs.</w:t>
      </w:r>
    </w:p>
  </w:footnote>
  <w:footnote w:id="59">
    <w:p w14:paraId="239ACFAB" w14:textId="40811A90" w:rsidR="009D566C" w:rsidRDefault="009D566C" w:rsidP="00833F01">
      <w:pPr>
        <w:pStyle w:val="FootnoteText"/>
      </w:pPr>
      <w:r>
        <w:rPr>
          <w:rStyle w:val="FootnoteReference"/>
        </w:rPr>
        <w:footnoteRef/>
      </w:r>
      <w:r>
        <w:t xml:space="preserve"> </w:t>
      </w:r>
      <w:r>
        <w:tab/>
        <w:t xml:space="preserve">AusNet Services, </w:t>
      </w:r>
      <w:r w:rsidRPr="0010298E">
        <w:rPr>
          <w:rStyle w:val="AERtextitalic"/>
        </w:rPr>
        <w:t>Access Arrangement Information 2018-2022</w:t>
      </w:r>
      <w:r>
        <w:t xml:space="preserve">, </w:t>
      </w:r>
      <w:r w:rsidR="00F0127A">
        <w:t xml:space="preserve">21 </w:t>
      </w:r>
      <w:r>
        <w:t>December 2016, p. 136.</w:t>
      </w:r>
    </w:p>
  </w:footnote>
  <w:footnote w:id="60">
    <w:p w14:paraId="6790A3E2" w14:textId="77777777" w:rsidR="009D566C" w:rsidRDefault="009D566C" w:rsidP="00DE38FF">
      <w:pPr>
        <w:pStyle w:val="FootnoteText"/>
      </w:pPr>
      <w:r>
        <w:rPr>
          <w:rStyle w:val="FootnoteReference"/>
        </w:rPr>
        <w:footnoteRef/>
      </w:r>
      <w:r>
        <w:t xml:space="preserve"> </w:t>
      </w:r>
      <w:r>
        <w:tab/>
        <w:t xml:space="preserve">AusNet Services, </w:t>
      </w:r>
      <w:r w:rsidRPr="0010298E">
        <w:rPr>
          <w:rStyle w:val="AERtextitalic"/>
        </w:rPr>
        <w:t>R</w:t>
      </w:r>
      <w:r>
        <w:rPr>
          <w:rStyle w:val="AERtextitalic"/>
        </w:rPr>
        <w:t xml:space="preserve">esponse to information request </w:t>
      </w:r>
      <w:r w:rsidRPr="0010298E">
        <w:rPr>
          <w:rStyle w:val="AERtextitalic"/>
        </w:rPr>
        <w:t>1</w:t>
      </w:r>
      <w:r>
        <w:t>, 1 February 2017, p.4.</w:t>
      </w:r>
    </w:p>
  </w:footnote>
  <w:footnote w:id="61">
    <w:p w14:paraId="32EBFB4E" w14:textId="1E7D0625" w:rsidR="009D566C" w:rsidRDefault="009D566C" w:rsidP="00DE38FF">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39.</w:t>
      </w:r>
    </w:p>
  </w:footnote>
  <w:footnote w:id="62">
    <w:p w14:paraId="2D594782" w14:textId="337049F0" w:rsidR="009D566C" w:rsidRDefault="009D566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40.</w:t>
      </w:r>
    </w:p>
  </w:footnote>
  <w:footnote w:id="63">
    <w:p w14:paraId="2214AFE3" w14:textId="77777777" w:rsidR="009D566C" w:rsidRDefault="009D566C" w:rsidP="00DE38FF">
      <w:pPr>
        <w:pStyle w:val="FootnoteText"/>
      </w:pPr>
      <w:r>
        <w:rPr>
          <w:rStyle w:val="FootnoteReference"/>
        </w:rPr>
        <w:footnoteRef/>
      </w:r>
      <w:r>
        <w:t xml:space="preserve"> </w:t>
      </w:r>
      <w:r>
        <w:tab/>
        <w:t xml:space="preserve">AusNet Services, </w:t>
      </w:r>
      <w:r w:rsidRPr="00410C35">
        <w:rPr>
          <w:rStyle w:val="AERtextitalic"/>
        </w:rPr>
        <w:t>Response to information request 1</w:t>
      </w:r>
      <w:r>
        <w:t>, 1 February 2017, p.4.</w:t>
      </w:r>
    </w:p>
  </w:footnote>
  <w:footnote w:id="64">
    <w:p w14:paraId="65E910EF" w14:textId="129F2582" w:rsidR="009D566C" w:rsidRDefault="009D566C">
      <w:pPr>
        <w:pStyle w:val="FootnoteText"/>
      </w:pPr>
      <w:r>
        <w:rPr>
          <w:rStyle w:val="FootnoteReference"/>
        </w:rPr>
        <w:footnoteRef/>
      </w:r>
      <w:r>
        <w:t xml:space="preserve"> </w:t>
      </w:r>
      <w:r>
        <w:tab/>
        <w:t>AER</w:t>
      </w:r>
      <w:r w:rsidR="00AC1E29">
        <w:t xml:space="preserve"> – </w:t>
      </w:r>
      <w:r w:rsidR="00AC1E29" w:rsidRPr="004131F9">
        <w:rPr>
          <w:i/>
        </w:rPr>
        <w:t xml:space="preserve">AusNet </w:t>
      </w:r>
      <w:r w:rsidRPr="004131F9">
        <w:rPr>
          <w:i/>
        </w:rPr>
        <w:t xml:space="preserve">final decision capex model </w:t>
      </w:r>
      <w:r w:rsidR="00AC1E29" w:rsidRPr="004131F9">
        <w:rPr>
          <w:i/>
        </w:rPr>
        <w:t>(Confidential)</w:t>
      </w:r>
      <w:r w:rsidR="00AC1E29">
        <w:t>, 15 March 2013</w:t>
      </w:r>
      <w:r>
        <w:t>.</w:t>
      </w:r>
    </w:p>
  </w:footnote>
  <w:footnote w:id="65">
    <w:p w14:paraId="69BDA5F8" w14:textId="7E6EAAB7" w:rsidR="009D566C" w:rsidRDefault="009D566C">
      <w:pPr>
        <w:pStyle w:val="FootnoteText"/>
      </w:pPr>
      <w:r>
        <w:rPr>
          <w:rStyle w:val="FootnoteReference"/>
        </w:rPr>
        <w:footnoteRef/>
      </w:r>
      <w:r>
        <w:t xml:space="preserve"> </w:t>
      </w:r>
      <w:r>
        <w:tab/>
        <w:t>Due to the structure of AusNet</w:t>
      </w:r>
      <w:r w:rsidR="00AC1E29">
        <w:t>’s</w:t>
      </w:r>
      <w:r>
        <w:t xml:space="preserve"> capex model, any reduction of direct expenditure to any particular category shifts the allocation of total overhead costs to other categories. Consequently, our alternative forecast I&amp;C (tariff V and D) connections capex inclusive of overheads is higher than AusNet's proposal. The customer contributions forecast is also affected by this modelling. Our draft decision approved customer contributions is therefore marginally higher than AusNet's proposal of $20.7 million ($2017, unescalated).</w:t>
      </w:r>
    </w:p>
  </w:footnote>
  <w:footnote w:id="66">
    <w:p w14:paraId="0EAC550F" w14:textId="57AD80F2" w:rsidR="009D566C" w:rsidRDefault="009D566C" w:rsidP="00DE38FF">
      <w:pPr>
        <w:pStyle w:val="FootnoteText"/>
      </w:pPr>
      <w:r>
        <w:rPr>
          <w:rStyle w:val="FootnoteReference"/>
        </w:rPr>
        <w:footnoteRef/>
      </w:r>
      <w:r>
        <w:t xml:space="preserve"> </w:t>
      </w:r>
      <w:r>
        <w:tab/>
        <w:t xml:space="preserve">AusNet Services, </w:t>
      </w:r>
      <w:r w:rsidRPr="00410C35">
        <w:rPr>
          <w:rStyle w:val="AERtextitalic"/>
        </w:rPr>
        <w:t>Access Arrangement Information 2018-2022</w:t>
      </w:r>
      <w:r>
        <w:t xml:space="preserve">, </w:t>
      </w:r>
      <w:r w:rsidR="00AC1E29">
        <w:t xml:space="preserve">21 </w:t>
      </w:r>
      <w:r>
        <w:t>December 2016, p. 149.</w:t>
      </w:r>
    </w:p>
  </w:footnote>
  <w:footnote w:id="67">
    <w:p w14:paraId="0447DFC5" w14:textId="3638A805" w:rsidR="009D566C" w:rsidRDefault="009D566C" w:rsidP="00DE38FF">
      <w:pPr>
        <w:pStyle w:val="FootnoteText"/>
      </w:pPr>
      <w:r>
        <w:rPr>
          <w:rStyle w:val="FootnoteReference"/>
        </w:rPr>
        <w:footnoteRef/>
      </w:r>
      <w:r>
        <w:t xml:space="preserve"> </w:t>
      </w:r>
      <w:r>
        <w:tab/>
        <w:t xml:space="preserve">AusNet Services, </w:t>
      </w:r>
      <w:r w:rsidRPr="00410C35">
        <w:rPr>
          <w:rStyle w:val="AERtextitalic"/>
        </w:rPr>
        <w:t>Access Arrangement Information 2018-2022</w:t>
      </w:r>
      <w:r>
        <w:t xml:space="preserve">, </w:t>
      </w:r>
      <w:r w:rsidR="00AC1E29">
        <w:t xml:space="preserve">21 </w:t>
      </w:r>
      <w:r>
        <w:t>December 2016, p. 149.</w:t>
      </w:r>
    </w:p>
  </w:footnote>
  <w:footnote w:id="68">
    <w:p w14:paraId="54602856" w14:textId="77777777" w:rsidR="009D566C" w:rsidRDefault="009D566C" w:rsidP="00DE38FF">
      <w:pPr>
        <w:pStyle w:val="FootnoteText"/>
      </w:pPr>
      <w:r>
        <w:rPr>
          <w:rStyle w:val="FootnoteReference"/>
        </w:rPr>
        <w:footnoteRef/>
      </w:r>
      <w:r>
        <w:t xml:space="preserve"> </w:t>
      </w:r>
      <w:r>
        <w:tab/>
        <w:t xml:space="preserve">AusNet Services, </w:t>
      </w:r>
      <w:r w:rsidRPr="00410C35">
        <w:rPr>
          <w:rStyle w:val="AERtextitalic"/>
        </w:rPr>
        <w:t>Response to information request 1</w:t>
      </w:r>
      <w:r>
        <w:t>, 1 February 2017, p.7.</w:t>
      </w:r>
    </w:p>
  </w:footnote>
  <w:footnote w:id="69">
    <w:p w14:paraId="07F845AF" w14:textId="77777777" w:rsidR="009D566C" w:rsidRDefault="009D566C">
      <w:pPr>
        <w:pStyle w:val="FootnoteText"/>
      </w:pPr>
      <w:r>
        <w:rPr>
          <w:rStyle w:val="FootnoteReference"/>
        </w:rPr>
        <w:footnoteRef/>
      </w:r>
      <w:r>
        <w:t xml:space="preserve"> </w:t>
      </w:r>
      <w:r>
        <w:tab/>
        <w:t>NGR, r. 79(1).</w:t>
      </w:r>
    </w:p>
  </w:footnote>
  <w:footnote w:id="70">
    <w:p w14:paraId="5A960744" w14:textId="36929512" w:rsidR="009D566C" w:rsidRDefault="009D566C" w:rsidP="00313C65">
      <w:pPr>
        <w:pStyle w:val="FootnoteText"/>
      </w:pPr>
      <w:r>
        <w:rPr>
          <w:rStyle w:val="FootnoteReference"/>
        </w:rPr>
        <w:footnoteRef/>
      </w:r>
      <w:r>
        <w:t xml:space="preserve"> </w:t>
      </w:r>
      <w:r>
        <w:tab/>
        <w:t xml:space="preserve">AusNet Services, </w:t>
      </w:r>
      <w:r w:rsidRPr="00410C35">
        <w:rPr>
          <w:rStyle w:val="AERtextitalic"/>
        </w:rPr>
        <w:t>Access Arrangement Information 2018–22</w:t>
      </w:r>
      <w:r>
        <w:t xml:space="preserve">, </w:t>
      </w:r>
      <w:r w:rsidR="00AC1E29">
        <w:t xml:space="preserve">21 </w:t>
      </w:r>
      <w:r>
        <w:t>December 2016, p. 143.</w:t>
      </w:r>
    </w:p>
  </w:footnote>
  <w:footnote w:id="71">
    <w:p w14:paraId="48A19A7D" w14:textId="306D916E" w:rsidR="009D566C" w:rsidRDefault="009D566C" w:rsidP="00313C65">
      <w:pPr>
        <w:pStyle w:val="FootnoteText"/>
      </w:pPr>
      <w:r>
        <w:rPr>
          <w:rStyle w:val="FootnoteReference"/>
        </w:rPr>
        <w:footnoteRef/>
      </w:r>
      <w:r>
        <w:t xml:space="preserve"> </w:t>
      </w:r>
      <w:r>
        <w:tab/>
        <w:t xml:space="preserve">AusNet Services, </w:t>
      </w:r>
      <w:r w:rsidRPr="00410C35">
        <w:rPr>
          <w:rStyle w:val="AERtextitalic"/>
        </w:rPr>
        <w:t>Access Arrangement Information 2018–22</w:t>
      </w:r>
      <w:r>
        <w:t xml:space="preserve">, </w:t>
      </w:r>
      <w:r w:rsidR="00AC1E29">
        <w:t xml:space="preserve">21 </w:t>
      </w:r>
      <w:r>
        <w:t>December 2016, p. 142.</w:t>
      </w:r>
    </w:p>
  </w:footnote>
  <w:footnote w:id="72">
    <w:p w14:paraId="7AB07EA1" w14:textId="77777777" w:rsidR="009D566C" w:rsidRDefault="009D566C" w:rsidP="00313C65">
      <w:pPr>
        <w:pStyle w:val="FootnoteText"/>
      </w:pPr>
      <w:r>
        <w:rPr>
          <w:rStyle w:val="FootnoteReference"/>
        </w:rPr>
        <w:footnoteRef/>
      </w:r>
      <w:r>
        <w:t xml:space="preserve"> </w:t>
      </w:r>
      <w:r>
        <w:tab/>
        <w:t xml:space="preserve">AER, </w:t>
      </w:r>
      <w:r w:rsidRPr="00410C35">
        <w:rPr>
          <w:rStyle w:val="AERtextitalic"/>
        </w:rPr>
        <w:t xml:space="preserve">Final decision AusNet Services distribution determination </w:t>
      </w:r>
      <w:r>
        <w:rPr>
          <w:rStyle w:val="AERtextitalic"/>
        </w:rPr>
        <w:t xml:space="preserve">2016–20 </w:t>
      </w:r>
      <w:r w:rsidRPr="00410C35">
        <w:rPr>
          <w:rStyle w:val="AERtextitalic"/>
        </w:rPr>
        <w:t>– Attachment 6 – Capital expenditure</w:t>
      </w:r>
      <w:r>
        <w:t>, May 2016, p. 20.</w:t>
      </w:r>
    </w:p>
  </w:footnote>
  <w:footnote w:id="73">
    <w:p w14:paraId="5FF6E2CB" w14:textId="77777777" w:rsidR="009D566C" w:rsidRDefault="009D566C" w:rsidP="00313C65">
      <w:pPr>
        <w:pStyle w:val="FootnoteText"/>
      </w:pPr>
      <w:r>
        <w:rPr>
          <w:rStyle w:val="FootnoteReference"/>
        </w:rPr>
        <w:footnoteRef/>
      </w:r>
      <w:r>
        <w:t xml:space="preserve"> </w:t>
      </w:r>
      <w:r>
        <w:tab/>
        <w:t xml:space="preserve">AusNet Services, </w:t>
      </w:r>
      <w:r w:rsidRPr="00410C35">
        <w:rPr>
          <w:rStyle w:val="AERtextitalic"/>
        </w:rPr>
        <w:t>Response to information request 2</w:t>
      </w:r>
      <w:r>
        <w:t>, 6 February 2017.</w:t>
      </w:r>
    </w:p>
  </w:footnote>
  <w:footnote w:id="74">
    <w:p w14:paraId="1D676CC6" w14:textId="2BCCD3D1" w:rsidR="009D566C" w:rsidRDefault="009D566C">
      <w:pPr>
        <w:pStyle w:val="FootnoteText"/>
      </w:pPr>
      <w:r>
        <w:rPr>
          <w:rStyle w:val="FootnoteReference"/>
        </w:rPr>
        <w:footnoteRef/>
      </w:r>
      <w:r>
        <w:t xml:space="preserve"> </w:t>
      </w:r>
      <w:r>
        <w:tab/>
        <w:t>NGR, r. 79(2)(c)(iii).</w:t>
      </w:r>
    </w:p>
  </w:footnote>
  <w:footnote w:id="75">
    <w:p w14:paraId="23C4B868" w14:textId="77777777" w:rsidR="009D566C" w:rsidRDefault="009D566C">
      <w:pPr>
        <w:pStyle w:val="FootnoteText"/>
      </w:pPr>
      <w:r>
        <w:rPr>
          <w:rStyle w:val="FootnoteReference"/>
        </w:rPr>
        <w:footnoteRef/>
      </w:r>
      <w:r>
        <w:t xml:space="preserve"> </w:t>
      </w:r>
      <w:r>
        <w:tab/>
        <w:t>NGR, r. 79(2)(c).</w:t>
      </w:r>
    </w:p>
  </w:footnote>
  <w:footnote w:id="76">
    <w:p w14:paraId="4CE32467" w14:textId="77777777" w:rsidR="009D566C" w:rsidRDefault="009D566C">
      <w:pPr>
        <w:pStyle w:val="FootnoteText"/>
      </w:pPr>
      <w:r>
        <w:rPr>
          <w:rStyle w:val="FootnoteReference"/>
        </w:rPr>
        <w:footnoteRef/>
      </w:r>
      <w:r>
        <w:t xml:space="preserve"> </w:t>
      </w:r>
      <w:r>
        <w:tab/>
        <w:t>NGR, r. 79(1)(a).</w:t>
      </w:r>
    </w:p>
  </w:footnote>
  <w:footnote w:id="77">
    <w:p w14:paraId="1582C31B" w14:textId="77777777" w:rsidR="009D566C" w:rsidRDefault="009D566C">
      <w:pPr>
        <w:pStyle w:val="FootnoteText"/>
      </w:pPr>
      <w:r>
        <w:rPr>
          <w:rStyle w:val="FootnoteReference"/>
        </w:rPr>
        <w:footnoteRef/>
      </w:r>
      <w:r>
        <w:t xml:space="preserve"> </w:t>
      </w:r>
      <w:r>
        <w:tab/>
        <w:t xml:space="preserve">AusNet Services, </w:t>
      </w:r>
      <w:r w:rsidRPr="00410C35">
        <w:rPr>
          <w:rStyle w:val="AERtextitalic"/>
        </w:rPr>
        <w:t>R</w:t>
      </w:r>
      <w:r>
        <w:rPr>
          <w:rStyle w:val="AERtextitalic"/>
        </w:rPr>
        <w:t>esponse to information request 3</w:t>
      </w:r>
      <w:r>
        <w:t>, 21 February 2017.</w:t>
      </w:r>
    </w:p>
  </w:footnote>
  <w:footnote w:id="78">
    <w:p w14:paraId="7ED9072B" w14:textId="77777777" w:rsidR="009D566C" w:rsidRDefault="009D566C" w:rsidP="00B23947">
      <w:pPr>
        <w:pStyle w:val="FootnoteText"/>
      </w:pPr>
      <w:r>
        <w:rPr>
          <w:rStyle w:val="FootnoteReference"/>
        </w:rPr>
        <w:footnoteRef/>
      </w:r>
      <w:r>
        <w:t xml:space="preserve"> </w:t>
      </w:r>
      <w:r>
        <w:tab/>
        <w:t xml:space="preserve">AusNet Services, </w:t>
      </w:r>
      <w:r w:rsidRPr="00410C35">
        <w:rPr>
          <w:rStyle w:val="AERtextitalic"/>
        </w:rPr>
        <w:t>R</w:t>
      </w:r>
      <w:r>
        <w:rPr>
          <w:rStyle w:val="AERtextitalic"/>
        </w:rPr>
        <w:t>esponse to information request 1</w:t>
      </w:r>
      <w:r>
        <w:t>, 1 February 2017.</w:t>
      </w:r>
    </w:p>
  </w:footnote>
  <w:footnote w:id="79">
    <w:p w14:paraId="57C75914" w14:textId="14DD4FD6" w:rsidR="009D566C" w:rsidRDefault="009D566C">
      <w:pPr>
        <w:pStyle w:val="FootnoteText"/>
      </w:pPr>
      <w:r>
        <w:rPr>
          <w:rStyle w:val="FootnoteReference"/>
        </w:rPr>
        <w:footnoteRef/>
      </w:r>
      <w:r>
        <w:t xml:space="preserve"> </w:t>
      </w:r>
      <w:r>
        <w:tab/>
        <w:t xml:space="preserve">AER, </w:t>
      </w:r>
      <w:r w:rsidRPr="00926650">
        <w:rPr>
          <w:rStyle w:val="AERtextitalic"/>
        </w:rPr>
        <w:t>Draft decision APA Victorian Transmission System 2018–22 – Attachment 6 – Capital expenditure</w:t>
      </w:r>
      <w:r>
        <w:t>, July 2017.</w:t>
      </w:r>
    </w:p>
  </w:footnote>
  <w:footnote w:id="80">
    <w:p w14:paraId="15B1312E" w14:textId="6B09DA44" w:rsidR="009D566C" w:rsidRDefault="009D566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32.</w:t>
      </w:r>
    </w:p>
  </w:footnote>
  <w:footnote w:id="81">
    <w:p w14:paraId="2040BDF0" w14:textId="77777777" w:rsidR="009D566C" w:rsidRDefault="009D566C" w:rsidP="00BD0C97">
      <w:pPr>
        <w:pStyle w:val="FootnoteText"/>
      </w:pPr>
      <w:r>
        <w:rPr>
          <w:rStyle w:val="FootnoteReference"/>
        </w:rPr>
        <w:footnoteRef/>
      </w:r>
      <w:r>
        <w:t xml:space="preserve"> </w:t>
      </w:r>
      <w:r>
        <w:tab/>
        <w:t>NGR, rr. 79(1)(b), 79(2)(c)(i) and 79(2)(c)(ii).</w:t>
      </w:r>
    </w:p>
  </w:footnote>
  <w:footnote w:id="82">
    <w:p w14:paraId="49B86E2E" w14:textId="6FBA046E" w:rsidR="009D566C" w:rsidRDefault="009D566C">
      <w:pPr>
        <w:pStyle w:val="FootnoteText"/>
      </w:pPr>
      <w:r>
        <w:rPr>
          <w:rStyle w:val="FootnoteReference"/>
        </w:rPr>
        <w:footnoteRef/>
      </w:r>
      <w:r>
        <w:t xml:space="preserve"> </w:t>
      </w:r>
      <w:r>
        <w:tab/>
        <w:t>AusNet proposed $1 million ($2017) of additional capex for the new city gate in 2017.</w:t>
      </w:r>
    </w:p>
  </w:footnote>
  <w:footnote w:id="83">
    <w:p w14:paraId="4367A497" w14:textId="77777777" w:rsidR="009D566C" w:rsidRDefault="009D566C">
      <w:pPr>
        <w:pStyle w:val="FootnoteText"/>
      </w:pPr>
      <w:r>
        <w:rPr>
          <w:rStyle w:val="FootnoteReference"/>
        </w:rPr>
        <w:footnoteRef/>
      </w:r>
      <w:r>
        <w:t xml:space="preserve"> </w:t>
      </w:r>
      <w:r>
        <w:tab/>
        <w:t xml:space="preserve">AusNet Services, </w:t>
      </w:r>
      <w:r w:rsidRPr="00410C35">
        <w:rPr>
          <w:rStyle w:val="AERtextitalic"/>
        </w:rPr>
        <w:t>R</w:t>
      </w:r>
      <w:r>
        <w:rPr>
          <w:rStyle w:val="AERtextitalic"/>
        </w:rPr>
        <w:t>esponse to information request 3</w:t>
      </w:r>
      <w:r>
        <w:t>, 21 February 2017.</w:t>
      </w:r>
    </w:p>
  </w:footnote>
  <w:footnote w:id="84">
    <w:p w14:paraId="7A221270" w14:textId="77777777" w:rsidR="009D566C" w:rsidRDefault="009D566C">
      <w:pPr>
        <w:pStyle w:val="FootnoteText"/>
      </w:pPr>
      <w:r>
        <w:rPr>
          <w:rStyle w:val="FootnoteReference"/>
        </w:rPr>
        <w:footnoteRef/>
      </w:r>
      <w:r>
        <w:t xml:space="preserve"> </w:t>
      </w:r>
      <w:r>
        <w:tab/>
        <w:t xml:space="preserve">AusNet Services, </w:t>
      </w:r>
      <w:r w:rsidRPr="00410C35">
        <w:rPr>
          <w:rStyle w:val="AERtextitalic"/>
        </w:rPr>
        <w:t>R</w:t>
      </w:r>
      <w:r>
        <w:rPr>
          <w:rStyle w:val="AERtextitalic"/>
        </w:rPr>
        <w:t>esponse to information request 1</w:t>
      </w:r>
      <w:r>
        <w:t>, 1 February 2017.</w:t>
      </w:r>
    </w:p>
  </w:footnote>
  <w:footnote w:id="85">
    <w:p w14:paraId="082A4DE0" w14:textId="40409C2D" w:rsidR="009D566C" w:rsidRDefault="009D566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20.</w:t>
      </w:r>
    </w:p>
  </w:footnote>
  <w:footnote w:id="86">
    <w:p w14:paraId="40C0DCEB" w14:textId="77777777" w:rsidR="009D566C" w:rsidRDefault="009D566C" w:rsidP="00840AD7">
      <w:pPr>
        <w:pStyle w:val="FootnoteText"/>
      </w:pPr>
      <w:r>
        <w:rPr>
          <w:rStyle w:val="FootnoteReference"/>
        </w:rPr>
        <w:footnoteRef/>
      </w:r>
      <w:r>
        <w:t xml:space="preserve"> </w:t>
      </w:r>
      <w:r>
        <w:tab/>
        <w:t>NGR, rr. 79(1)(b), 79(2)(c)(i) and 79(2)(c)(ii).</w:t>
      </w:r>
    </w:p>
  </w:footnote>
  <w:footnote w:id="87">
    <w:p w14:paraId="59FA2F2A" w14:textId="77777777" w:rsidR="009D566C" w:rsidRDefault="009D566C">
      <w:pPr>
        <w:pStyle w:val="FootnoteText"/>
      </w:pPr>
      <w:r>
        <w:rPr>
          <w:rStyle w:val="FootnoteReference"/>
        </w:rPr>
        <w:footnoteRef/>
      </w:r>
      <w:r>
        <w:t xml:space="preserve"> </w:t>
      </w:r>
      <w:r>
        <w:tab/>
        <w:t xml:space="preserve">AusNet Services, </w:t>
      </w:r>
      <w:r w:rsidRPr="00410C35">
        <w:rPr>
          <w:rStyle w:val="AERtextitalic"/>
        </w:rPr>
        <w:t>R</w:t>
      </w:r>
      <w:r>
        <w:rPr>
          <w:rStyle w:val="AERtextitalic"/>
        </w:rPr>
        <w:t>esponse to information request 3</w:t>
      </w:r>
      <w:r>
        <w:t>, 21 February 2017.</w:t>
      </w:r>
    </w:p>
  </w:footnote>
  <w:footnote w:id="88">
    <w:p w14:paraId="6DF03F36" w14:textId="77777777" w:rsidR="009D566C" w:rsidRDefault="009D566C">
      <w:pPr>
        <w:pStyle w:val="FootnoteText"/>
      </w:pPr>
      <w:r>
        <w:rPr>
          <w:rStyle w:val="FootnoteReference"/>
        </w:rPr>
        <w:footnoteRef/>
      </w:r>
      <w:r>
        <w:t xml:space="preserve"> </w:t>
      </w:r>
      <w:r>
        <w:tab/>
        <w:t xml:space="preserve">AusNet Services, </w:t>
      </w:r>
      <w:r w:rsidRPr="00410C35">
        <w:rPr>
          <w:rStyle w:val="AERtextitalic"/>
        </w:rPr>
        <w:t>R</w:t>
      </w:r>
      <w:r>
        <w:rPr>
          <w:rStyle w:val="AERtextitalic"/>
        </w:rPr>
        <w:t>esponse to information request 1</w:t>
      </w:r>
      <w:r>
        <w:t>, 1 February 2017.</w:t>
      </w:r>
    </w:p>
  </w:footnote>
  <w:footnote w:id="89">
    <w:p w14:paraId="34B5FC78" w14:textId="2EF0F25B" w:rsidR="009D566C" w:rsidRDefault="009D566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29.</w:t>
      </w:r>
    </w:p>
  </w:footnote>
  <w:footnote w:id="90">
    <w:p w14:paraId="4E7DA40B" w14:textId="77777777" w:rsidR="009D566C" w:rsidRDefault="009D566C" w:rsidP="008D37B8">
      <w:pPr>
        <w:pStyle w:val="FootnoteText"/>
      </w:pPr>
      <w:r>
        <w:rPr>
          <w:rStyle w:val="FootnoteReference"/>
        </w:rPr>
        <w:footnoteRef/>
      </w:r>
      <w:r>
        <w:t xml:space="preserve"> </w:t>
      </w:r>
      <w:r>
        <w:tab/>
        <w:t>NGR, rr. 79(1)(b), 79(2)(c)(i) and 79(2)(c)(ii).</w:t>
      </w:r>
    </w:p>
  </w:footnote>
  <w:footnote w:id="91">
    <w:p w14:paraId="44A35931" w14:textId="77777777" w:rsidR="009D566C" w:rsidRDefault="009D566C">
      <w:pPr>
        <w:pStyle w:val="FootnoteText"/>
      </w:pPr>
      <w:r>
        <w:rPr>
          <w:rStyle w:val="FootnoteReference"/>
        </w:rPr>
        <w:footnoteRef/>
      </w:r>
      <w:r>
        <w:t xml:space="preserve"> </w:t>
      </w:r>
      <w:r>
        <w:tab/>
        <w:t xml:space="preserve">AusNet Services, </w:t>
      </w:r>
      <w:r w:rsidRPr="00DD0F73">
        <w:rPr>
          <w:rStyle w:val="AERtextitalic"/>
        </w:rPr>
        <w:t>Response to information request 3</w:t>
      </w:r>
      <w:r>
        <w:t>, 21 February 2017.</w:t>
      </w:r>
    </w:p>
  </w:footnote>
  <w:footnote w:id="92">
    <w:p w14:paraId="49A17F39" w14:textId="755DAC24" w:rsidR="009D566C" w:rsidRDefault="009D566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34.</w:t>
      </w:r>
    </w:p>
  </w:footnote>
  <w:footnote w:id="93">
    <w:p w14:paraId="3055CD8E" w14:textId="77777777" w:rsidR="009D566C" w:rsidRDefault="009D566C" w:rsidP="00F70FA0">
      <w:pPr>
        <w:pStyle w:val="FootnoteText"/>
      </w:pPr>
      <w:r>
        <w:rPr>
          <w:rStyle w:val="FootnoteReference"/>
        </w:rPr>
        <w:footnoteRef/>
      </w:r>
      <w:r>
        <w:t xml:space="preserve"> </w:t>
      </w:r>
      <w:r>
        <w:tab/>
        <w:t>NGR, rr. 79(1)(b), 79(2)(c)(i) and 79(2)(c)(ii).</w:t>
      </w:r>
    </w:p>
  </w:footnote>
  <w:footnote w:id="94">
    <w:p w14:paraId="539A800D" w14:textId="77777777" w:rsidR="009D566C" w:rsidRDefault="009D566C">
      <w:pPr>
        <w:pStyle w:val="FootnoteText"/>
      </w:pPr>
      <w:r>
        <w:rPr>
          <w:rStyle w:val="FootnoteReference"/>
        </w:rPr>
        <w:footnoteRef/>
      </w:r>
      <w:r>
        <w:t xml:space="preserve"> </w:t>
      </w:r>
      <w:r>
        <w:tab/>
        <w:t xml:space="preserve">Under the </w:t>
      </w:r>
      <w:r w:rsidRPr="004131F9">
        <w:rPr>
          <w:rStyle w:val="AERtextitalic"/>
        </w:rPr>
        <w:t>National Measurement Act 1960</w:t>
      </w:r>
      <w:r>
        <w:t xml:space="preserve"> (Commonwealth) and the </w:t>
      </w:r>
      <w:r w:rsidRPr="004131F9">
        <w:rPr>
          <w:rStyle w:val="AERtextitalic"/>
        </w:rPr>
        <w:t>Victorian Gas Distribution System Code</w:t>
      </w:r>
      <w:r>
        <w:t>.</w:t>
      </w:r>
    </w:p>
  </w:footnote>
  <w:footnote w:id="95">
    <w:p w14:paraId="692F6476" w14:textId="77777777" w:rsidR="009D566C" w:rsidRDefault="009D566C">
      <w:pPr>
        <w:pStyle w:val="FootnoteText"/>
      </w:pPr>
      <w:r>
        <w:rPr>
          <w:rStyle w:val="FootnoteReference"/>
        </w:rPr>
        <w:footnoteRef/>
      </w:r>
      <w:r>
        <w:t xml:space="preserve"> </w:t>
      </w:r>
      <w:r>
        <w:tab/>
        <w:t>NGR, r. 79.</w:t>
      </w:r>
    </w:p>
  </w:footnote>
  <w:footnote w:id="96">
    <w:p w14:paraId="5A2DF8BA" w14:textId="4E48D603" w:rsidR="009D566C" w:rsidRDefault="009D566C">
      <w:pPr>
        <w:pStyle w:val="FootnoteText"/>
      </w:pPr>
      <w:r>
        <w:rPr>
          <w:rStyle w:val="FootnoteReference"/>
        </w:rPr>
        <w:footnoteRef/>
      </w:r>
      <w:r>
        <w:t xml:space="preserve"> </w:t>
      </w:r>
      <w:r>
        <w:tab/>
        <w:t xml:space="preserve">AusNet Services, </w:t>
      </w:r>
      <w:r w:rsidRPr="00DD0F73">
        <w:rPr>
          <w:rStyle w:val="AERtextitalic"/>
        </w:rPr>
        <w:t>Appendix 6G – Meter Management Strategy</w:t>
      </w:r>
      <w:r>
        <w:t xml:space="preserve">, </w:t>
      </w:r>
      <w:r w:rsidR="00AC1E29">
        <w:t xml:space="preserve">22 November </w:t>
      </w:r>
      <w:r>
        <w:t>2016, p. 28.</w:t>
      </w:r>
    </w:p>
  </w:footnote>
  <w:footnote w:id="97">
    <w:p w14:paraId="30ABED0F" w14:textId="4E7A0117" w:rsidR="009D566C" w:rsidRDefault="009D566C" w:rsidP="00B3728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75.</w:t>
      </w:r>
    </w:p>
  </w:footnote>
  <w:footnote w:id="98">
    <w:p w14:paraId="4EB22B18" w14:textId="5B471A10" w:rsidR="009D566C" w:rsidRDefault="009D566C">
      <w:pPr>
        <w:pStyle w:val="FootnoteText"/>
      </w:pPr>
      <w:r>
        <w:rPr>
          <w:rStyle w:val="FootnoteReference"/>
        </w:rPr>
        <w:footnoteRef/>
      </w:r>
      <w:r>
        <w:t xml:space="preserve"> </w:t>
      </w:r>
      <w:r>
        <w:tab/>
        <w:t xml:space="preserve">AusNet Services, </w:t>
      </w:r>
      <w:r w:rsidRPr="005C6560">
        <w:rPr>
          <w:rStyle w:val="AERtextitalic"/>
        </w:rPr>
        <w:t>Appendix 6G – Meter Management Strategy</w:t>
      </w:r>
      <w:r>
        <w:t xml:space="preserve">, </w:t>
      </w:r>
      <w:r w:rsidR="00E71879">
        <w:t xml:space="preserve">22 November </w:t>
      </w:r>
      <w:r>
        <w:t>2016, p. 17.</w:t>
      </w:r>
    </w:p>
  </w:footnote>
  <w:footnote w:id="99">
    <w:p w14:paraId="242C1EF9" w14:textId="77777777" w:rsidR="009D566C" w:rsidRDefault="009D566C">
      <w:pPr>
        <w:pStyle w:val="FootnoteText"/>
      </w:pPr>
      <w:r>
        <w:rPr>
          <w:rStyle w:val="FootnoteReference"/>
        </w:rPr>
        <w:footnoteRef/>
      </w:r>
      <w:r>
        <w:t xml:space="preserve"> </w:t>
      </w:r>
      <w:r>
        <w:tab/>
        <w:t xml:space="preserve">AusNet Services, </w:t>
      </w:r>
      <w:r w:rsidRPr="005C6560">
        <w:rPr>
          <w:rStyle w:val="AERtextitalic"/>
        </w:rPr>
        <w:t>Response to information request 1</w:t>
      </w:r>
      <w:r>
        <w:t>, 1 February 2017.</w:t>
      </w:r>
    </w:p>
  </w:footnote>
  <w:footnote w:id="100">
    <w:p w14:paraId="4BACF579" w14:textId="11F41A5D" w:rsidR="009D566C" w:rsidRDefault="009D566C" w:rsidP="00B3728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76.</w:t>
      </w:r>
    </w:p>
  </w:footnote>
  <w:footnote w:id="101">
    <w:p w14:paraId="4551F394" w14:textId="77777777" w:rsidR="009D566C" w:rsidRDefault="009D566C">
      <w:pPr>
        <w:pStyle w:val="FootnoteText"/>
      </w:pPr>
      <w:r>
        <w:rPr>
          <w:rStyle w:val="FootnoteReference"/>
        </w:rPr>
        <w:footnoteRef/>
      </w:r>
      <w:r>
        <w:t xml:space="preserve"> </w:t>
      </w:r>
      <w:r>
        <w:tab/>
        <w:t>NGR, r. 74(2).</w:t>
      </w:r>
    </w:p>
  </w:footnote>
  <w:footnote w:id="102">
    <w:p w14:paraId="73FA5FAF" w14:textId="7E3508E0" w:rsidR="009D566C" w:rsidRDefault="009D566C">
      <w:pPr>
        <w:pStyle w:val="FootnoteText"/>
      </w:pPr>
      <w:r>
        <w:rPr>
          <w:rStyle w:val="FootnoteReference"/>
        </w:rPr>
        <w:footnoteRef/>
      </w:r>
      <w:r>
        <w:t xml:space="preserve"> </w:t>
      </w:r>
      <w:r>
        <w:tab/>
        <w:t xml:space="preserve">AusNet Services, </w:t>
      </w:r>
      <w:r w:rsidRPr="005C6560">
        <w:rPr>
          <w:rStyle w:val="AERtextitalic"/>
        </w:rPr>
        <w:t>Access Arrangement Information 2018–22</w:t>
      </w:r>
      <w:r>
        <w:t xml:space="preserve">, </w:t>
      </w:r>
      <w:r w:rsidR="00E71879">
        <w:t xml:space="preserve">21 </w:t>
      </w:r>
      <w:r>
        <w:t>December 2016, p. 138.</w:t>
      </w:r>
    </w:p>
  </w:footnote>
  <w:footnote w:id="103">
    <w:p w14:paraId="6735C47E" w14:textId="77777777" w:rsidR="009D566C" w:rsidRDefault="009D566C">
      <w:pPr>
        <w:pStyle w:val="FootnoteText"/>
      </w:pPr>
      <w:r>
        <w:rPr>
          <w:rStyle w:val="FootnoteReference"/>
        </w:rPr>
        <w:footnoteRef/>
      </w:r>
      <w:r>
        <w:t xml:space="preserve"> </w:t>
      </w:r>
      <w:r>
        <w:tab/>
        <w:t xml:space="preserve">AusNet Services, </w:t>
      </w:r>
      <w:r w:rsidRPr="005C6560">
        <w:rPr>
          <w:rStyle w:val="AERtextitalic"/>
        </w:rPr>
        <w:t>Response to information request 1</w:t>
      </w:r>
      <w:r>
        <w:t>, 1 February 2017.</w:t>
      </w:r>
    </w:p>
  </w:footnote>
  <w:footnote w:id="104">
    <w:p w14:paraId="14C002CC" w14:textId="77777777" w:rsidR="009D566C" w:rsidRDefault="009D566C">
      <w:pPr>
        <w:pStyle w:val="FootnoteText"/>
      </w:pPr>
      <w:r>
        <w:rPr>
          <w:rStyle w:val="FootnoteReference"/>
        </w:rPr>
        <w:footnoteRef/>
      </w:r>
      <w:r>
        <w:t xml:space="preserve"> </w:t>
      </w:r>
      <w:r>
        <w:tab/>
        <w:t>NGR, r. 79.</w:t>
      </w:r>
    </w:p>
  </w:footnote>
  <w:footnote w:id="105">
    <w:p w14:paraId="25380A9A" w14:textId="53A2657F" w:rsidR="009D566C" w:rsidRDefault="009D566C">
      <w:pPr>
        <w:pStyle w:val="FootnoteText"/>
      </w:pPr>
      <w:r>
        <w:rPr>
          <w:rStyle w:val="FootnoteReference"/>
        </w:rPr>
        <w:footnoteRef/>
      </w:r>
      <w:r>
        <w:t xml:space="preserve"> </w:t>
      </w:r>
      <w:r>
        <w:tab/>
        <w:t xml:space="preserve">AusNet Services, </w:t>
      </w:r>
      <w:r w:rsidRPr="005C6560">
        <w:rPr>
          <w:rStyle w:val="AERtextitalic"/>
        </w:rPr>
        <w:t>Access Arrangement Information 2018–22</w:t>
      </w:r>
      <w:r>
        <w:t xml:space="preserve">, </w:t>
      </w:r>
      <w:r w:rsidR="00E71879">
        <w:t xml:space="preserve">21 </w:t>
      </w:r>
      <w:r>
        <w:t>December 2016, p. 144.</w:t>
      </w:r>
    </w:p>
  </w:footnote>
  <w:footnote w:id="106">
    <w:p w14:paraId="71FB7C27" w14:textId="77777777" w:rsidR="009D566C" w:rsidRDefault="009D566C">
      <w:pPr>
        <w:pStyle w:val="FootnoteText"/>
      </w:pPr>
      <w:r>
        <w:rPr>
          <w:rStyle w:val="FootnoteReference"/>
        </w:rPr>
        <w:footnoteRef/>
      </w:r>
      <w:r>
        <w:t xml:space="preserve"> </w:t>
      </w:r>
      <w:r>
        <w:tab/>
        <w:t xml:space="preserve">AusNet Services, </w:t>
      </w:r>
      <w:r w:rsidRPr="00E56158">
        <w:rPr>
          <w:rStyle w:val="AERtextitalic"/>
        </w:rPr>
        <w:t>Response to information request 8</w:t>
      </w:r>
      <w:r>
        <w:t>, 2 March 2017.</w:t>
      </w:r>
    </w:p>
  </w:footnote>
  <w:footnote w:id="107">
    <w:p w14:paraId="57D6C593" w14:textId="51BFC402" w:rsidR="009D566C" w:rsidRDefault="009D566C">
      <w:pPr>
        <w:pStyle w:val="FootnoteText"/>
      </w:pPr>
      <w:r>
        <w:rPr>
          <w:rStyle w:val="FootnoteReference"/>
        </w:rPr>
        <w:footnoteRef/>
      </w:r>
      <w:r>
        <w:t xml:space="preserve"> </w:t>
      </w:r>
      <w:r>
        <w:tab/>
        <w:t xml:space="preserve">AusNet Services, </w:t>
      </w:r>
      <w:r w:rsidRPr="00B22BF6">
        <w:rPr>
          <w:rStyle w:val="AERtextitalic"/>
        </w:rPr>
        <w:t>Appendix 6</w:t>
      </w:r>
      <w:r>
        <w:rPr>
          <w:rStyle w:val="AERtextitalic"/>
        </w:rPr>
        <w:t>F</w:t>
      </w:r>
      <w:r w:rsidRPr="00B22BF6">
        <w:rPr>
          <w:rStyle w:val="AERtextitalic"/>
        </w:rPr>
        <w:t xml:space="preserve"> – </w:t>
      </w:r>
      <w:r>
        <w:rPr>
          <w:rStyle w:val="AERtextitalic"/>
        </w:rPr>
        <w:t>Consumer</w:t>
      </w:r>
      <w:r w:rsidRPr="00B22BF6">
        <w:rPr>
          <w:rStyle w:val="AERtextitalic"/>
        </w:rPr>
        <w:t xml:space="preserve"> Regulator</w:t>
      </w:r>
      <w:r>
        <w:rPr>
          <w:rStyle w:val="AERtextitalic"/>
        </w:rPr>
        <w:t>s</w:t>
      </w:r>
      <w:r w:rsidRPr="00B22BF6">
        <w:rPr>
          <w:rStyle w:val="AERtextitalic"/>
        </w:rPr>
        <w:t xml:space="preserve"> Strategy – Public</w:t>
      </w:r>
      <w:r>
        <w:t xml:space="preserve">, </w:t>
      </w:r>
      <w:r w:rsidR="00E71879">
        <w:t xml:space="preserve">23 November </w:t>
      </w:r>
      <w:r>
        <w:t>2016, p. 7.</w:t>
      </w:r>
    </w:p>
  </w:footnote>
  <w:footnote w:id="108">
    <w:p w14:paraId="68D3D303" w14:textId="5AFB9C52" w:rsidR="009D566C" w:rsidRDefault="009D566C" w:rsidP="00F26813">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69.</w:t>
      </w:r>
    </w:p>
  </w:footnote>
  <w:footnote w:id="109">
    <w:p w14:paraId="2160B003" w14:textId="77777777" w:rsidR="009D566C" w:rsidRDefault="009D566C" w:rsidP="00805C02">
      <w:pPr>
        <w:pStyle w:val="FootnoteText"/>
      </w:pPr>
      <w:r>
        <w:rPr>
          <w:rStyle w:val="FootnoteReference"/>
        </w:rPr>
        <w:footnoteRef/>
      </w:r>
      <w:r>
        <w:t xml:space="preserve"> </w:t>
      </w:r>
      <w:r>
        <w:tab/>
        <w:t>NGR, rr. 79(1)(b), 79(2)(c)(i) and 79(2)(c)(ii).</w:t>
      </w:r>
    </w:p>
  </w:footnote>
  <w:footnote w:id="110">
    <w:p w14:paraId="65667756" w14:textId="44CF65A8" w:rsidR="009D566C" w:rsidRDefault="009D566C">
      <w:pPr>
        <w:pStyle w:val="FootnoteText"/>
      </w:pPr>
      <w:r>
        <w:rPr>
          <w:rStyle w:val="FootnoteReference"/>
        </w:rPr>
        <w:footnoteRef/>
      </w:r>
      <w:r>
        <w:t xml:space="preserve"> </w:t>
      </w:r>
      <w:r>
        <w:tab/>
        <w:t xml:space="preserve">AusNet Services, </w:t>
      </w:r>
      <w:r w:rsidRPr="00B22BF6">
        <w:rPr>
          <w:rStyle w:val="AERtextitalic"/>
        </w:rPr>
        <w:t>Appendix 6D – Network Regulator Strategy – Public</w:t>
      </w:r>
      <w:r>
        <w:t xml:space="preserve">, </w:t>
      </w:r>
      <w:r w:rsidR="00E71879">
        <w:t>23 November</w:t>
      </w:r>
      <w:r>
        <w:t xml:space="preserve"> 2016, p. 8.</w:t>
      </w:r>
    </w:p>
  </w:footnote>
  <w:footnote w:id="111">
    <w:p w14:paraId="26FCFD67" w14:textId="6CA5D39B" w:rsidR="009D566C" w:rsidRDefault="009D566C">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63.</w:t>
      </w:r>
    </w:p>
  </w:footnote>
  <w:footnote w:id="112">
    <w:p w14:paraId="105A613E" w14:textId="77777777" w:rsidR="009D566C" w:rsidRDefault="009D566C" w:rsidP="00805C02">
      <w:pPr>
        <w:pStyle w:val="FootnoteText"/>
      </w:pPr>
      <w:r>
        <w:rPr>
          <w:rStyle w:val="FootnoteReference"/>
        </w:rPr>
        <w:footnoteRef/>
      </w:r>
      <w:r>
        <w:t xml:space="preserve"> </w:t>
      </w:r>
      <w:r>
        <w:tab/>
        <w:t>NGR, rr. 79(1)(b), 79(2)(c)(i) and 79(2)(c)(ii).</w:t>
      </w:r>
    </w:p>
  </w:footnote>
  <w:footnote w:id="113">
    <w:p w14:paraId="070985BB" w14:textId="1D1ACC5E" w:rsidR="009D566C" w:rsidRDefault="009D566C" w:rsidP="009F1D99">
      <w:pPr>
        <w:pStyle w:val="FootnoteText"/>
      </w:pPr>
      <w:r>
        <w:rPr>
          <w:rStyle w:val="FootnoteReference"/>
        </w:rPr>
        <w:footnoteRef/>
      </w:r>
      <w:r>
        <w:t xml:space="preserve"> </w:t>
      </w:r>
      <w:r>
        <w:tab/>
        <w:t xml:space="preserve">AusNet Services, </w:t>
      </w:r>
      <w:r w:rsidRPr="005C6560">
        <w:rPr>
          <w:rStyle w:val="AERtextitalic"/>
        </w:rPr>
        <w:t>Access Arrangement Information 2018–22</w:t>
      </w:r>
      <w:r>
        <w:t xml:space="preserve">, </w:t>
      </w:r>
      <w:r w:rsidR="00E71879">
        <w:t xml:space="preserve">21 </w:t>
      </w:r>
      <w:r>
        <w:t>December 2016, p. 147.</w:t>
      </w:r>
    </w:p>
  </w:footnote>
  <w:footnote w:id="114">
    <w:p w14:paraId="135C1859" w14:textId="77777777" w:rsidR="009D566C" w:rsidRDefault="009D566C" w:rsidP="009F1D99">
      <w:pPr>
        <w:pStyle w:val="FootnoteText"/>
      </w:pPr>
      <w:r>
        <w:rPr>
          <w:rStyle w:val="FootnoteReference"/>
        </w:rPr>
        <w:footnoteRef/>
      </w:r>
      <w:r>
        <w:t xml:space="preserve"> </w:t>
      </w:r>
      <w:r>
        <w:tab/>
        <w:t xml:space="preserve">AusNet Services, </w:t>
      </w:r>
      <w:r w:rsidRPr="007C4625">
        <w:rPr>
          <w:rStyle w:val="AERtextitalic"/>
        </w:rPr>
        <w:t>Response to information request 11</w:t>
      </w:r>
      <w:r>
        <w:t>, 24 March 2017.</w:t>
      </w:r>
    </w:p>
  </w:footnote>
  <w:footnote w:id="115">
    <w:p w14:paraId="39BDA4C3" w14:textId="1A9DFD8D" w:rsidR="009D566C" w:rsidRDefault="009D566C" w:rsidP="00EE204E">
      <w:pPr>
        <w:pStyle w:val="FootnoteText"/>
      </w:pPr>
      <w:r>
        <w:rPr>
          <w:rStyle w:val="FootnoteReference"/>
        </w:rPr>
        <w:footnoteRef/>
      </w:r>
      <w:r>
        <w:t xml:space="preserve"> </w:t>
      </w:r>
      <w:r>
        <w:tab/>
        <w:t xml:space="preserve">Zincara, </w:t>
      </w:r>
      <w:r w:rsidRPr="00840293">
        <w:rPr>
          <w:rStyle w:val="AERtextitalic"/>
        </w:rPr>
        <w:t>AER Access Arrangement 2017 – AusNet</w:t>
      </w:r>
      <w:r>
        <w:t>, June 2017, p. 87.</w:t>
      </w:r>
    </w:p>
  </w:footnote>
  <w:footnote w:id="116">
    <w:p w14:paraId="6D482DFA" w14:textId="77777777" w:rsidR="009D566C" w:rsidRDefault="009D566C" w:rsidP="009F1D99">
      <w:pPr>
        <w:pStyle w:val="FootnoteText"/>
      </w:pPr>
      <w:r>
        <w:rPr>
          <w:rStyle w:val="FootnoteReference"/>
        </w:rPr>
        <w:footnoteRef/>
      </w:r>
      <w:r>
        <w:t xml:space="preserve"> </w:t>
      </w:r>
      <w:r>
        <w:tab/>
        <w:t>NGR, r. 74(2).</w:t>
      </w:r>
    </w:p>
  </w:footnote>
  <w:footnote w:id="117">
    <w:p w14:paraId="21258835" w14:textId="77777777" w:rsidR="009D566C" w:rsidRDefault="009D566C" w:rsidP="009F1D99">
      <w:pPr>
        <w:pStyle w:val="FootnoteText"/>
      </w:pPr>
      <w:r>
        <w:rPr>
          <w:rStyle w:val="FootnoteReference"/>
        </w:rPr>
        <w:footnoteRef/>
      </w:r>
      <w:r>
        <w:t xml:space="preserve"> </w:t>
      </w:r>
      <w:r>
        <w:tab/>
        <w:t>NGR, r. 79.</w:t>
      </w:r>
    </w:p>
  </w:footnote>
  <w:footnote w:id="118">
    <w:p w14:paraId="3672CD03" w14:textId="281EFAFB" w:rsidR="009D566C" w:rsidRDefault="009D566C" w:rsidP="009F1D99">
      <w:pPr>
        <w:pStyle w:val="FootnoteText"/>
      </w:pPr>
      <w:r>
        <w:rPr>
          <w:rStyle w:val="FootnoteReference"/>
        </w:rPr>
        <w:footnoteRef/>
      </w:r>
      <w:r>
        <w:t xml:space="preserve"> </w:t>
      </w:r>
      <w:r>
        <w:tab/>
        <w:t xml:space="preserve">AusNet Services, </w:t>
      </w:r>
      <w:r w:rsidRPr="005C6560">
        <w:rPr>
          <w:rStyle w:val="AERtextitalic"/>
        </w:rPr>
        <w:t>Access Arrangement Information 2018–22</w:t>
      </w:r>
      <w:r>
        <w:t xml:space="preserve">, </w:t>
      </w:r>
      <w:r w:rsidR="00E71879">
        <w:t xml:space="preserve">21 </w:t>
      </w:r>
      <w:r>
        <w:t>December 2016, pp. 148-149.</w:t>
      </w:r>
    </w:p>
  </w:footnote>
  <w:footnote w:id="119">
    <w:p w14:paraId="6D2FB31F" w14:textId="637BAB35" w:rsidR="009D566C" w:rsidRDefault="009D566C" w:rsidP="009F1D99">
      <w:pPr>
        <w:pStyle w:val="FootnoteText"/>
      </w:pPr>
      <w:r>
        <w:rPr>
          <w:rStyle w:val="FootnoteReference"/>
        </w:rPr>
        <w:footnoteRef/>
      </w:r>
      <w:r>
        <w:t xml:space="preserve"> </w:t>
      </w:r>
      <w:r>
        <w:tab/>
        <w:t xml:space="preserve">AusNet Services, </w:t>
      </w:r>
      <w:r w:rsidRPr="00B22BF6">
        <w:rPr>
          <w:rStyle w:val="AERtextitalic"/>
        </w:rPr>
        <w:t>Appendix 6</w:t>
      </w:r>
      <w:r>
        <w:rPr>
          <w:rStyle w:val="AERtextitalic"/>
        </w:rPr>
        <w:t>H</w:t>
      </w:r>
      <w:r w:rsidRPr="00B22BF6">
        <w:rPr>
          <w:rStyle w:val="AERtextitalic"/>
        </w:rPr>
        <w:t xml:space="preserve"> – </w:t>
      </w:r>
      <w:r>
        <w:rPr>
          <w:rStyle w:val="AERtextitalic"/>
        </w:rPr>
        <w:t>Corrosion Protection</w:t>
      </w:r>
      <w:r w:rsidRPr="00B22BF6">
        <w:rPr>
          <w:rStyle w:val="AERtextitalic"/>
        </w:rPr>
        <w:t xml:space="preserve"> Strategy – Public</w:t>
      </w:r>
      <w:r>
        <w:t xml:space="preserve">, </w:t>
      </w:r>
      <w:r w:rsidR="00E71879">
        <w:t xml:space="preserve">23 November </w:t>
      </w:r>
      <w:r>
        <w:t>2016.</w:t>
      </w:r>
    </w:p>
  </w:footnote>
  <w:footnote w:id="120">
    <w:p w14:paraId="59F78D98" w14:textId="77777777" w:rsidR="009D566C" w:rsidRDefault="009D566C" w:rsidP="009F1D99">
      <w:pPr>
        <w:pStyle w:val="FootnoteText"/>
      </w:pPr>
      <w:r>
        <w:rPr>
          <w:rStyle w:val="FootnoteReference"/>
        </w:rPr>
        <w:footnoteRef/>
      </w:r>
      <w:r>
        <w:t xml:space="preserve"> </w:t>
      </w:r>
      <w:r>
        <w:tab/>
        <w:t>NGR, r. 79.</w:t>
      </w:r>
    </w:p>
  </w:footnote>
  <w:footnote w:id="121">
    <w:p w14:paraId="32337D5A" w14:textId="77777777" w:rsidR="009D566C" w:rsidRDefault="009D566C" w:rsidP="005138F3">
      <w:pPr>
        <w:pStyle w:val="FootnoteText"/>
      </w:pPr>
      <w:r>
        <w:rPr>
          <w:rStyle w:val="FootnoteReference"/>
        </w:rPr>
        <w:footnoteRef/>
      </w:r>
      <w:r>
        <w:t xml:space="preserve"> </w:t>
      </w:r>
      <w:r>
        <w:tab/>
        <w:t>NGR, r. 79.</w:t>
      </w:r>
    </w:p>
  </w:footnote>
  <w:footnote w:id="122">
    <w:p w14:paraId="3ECCEFB6" w14:textId="6F5ACFB6" w:rsidR="009D566C" w:rsidRDefault="009D566C">
      <w:pPr>
        <w:pStyle w:val="FootnoteText"/>
      </w:pPr>
      <w:r>
        <w:rPr>
          <w:rStyle w:val="FootnoteReference"/>
        </w:rPr>
        <w:footnoteRef/>
      </w:r>
      <w:r>
        <w:t xml:space="preserve"> </w:t>
      </w:r>
      <w:r>
        <w:tab/>
      </w:r>
      <w:proofErr w:type="gramStart"/>
      <w:r>
        <w:t>NGR, r. 74(2).</w:t>
      </w:r>
      <w:proofErr w:type="gramEnd"/>
    </w:p>
  </w:footnote>
  <w:footnote w:id="123">
    <w:p w14:paraId="4EE95EC9" w14:textId="760727C1" w:rsidR="009D566C" w:rsidRDefault="009D566C">
      <w:pPr>
        <w:pStyle w:val="FootnoteText"/>
      </w:pPr>
      <w:r>
        <w:rPr>
          <w:rStyle w:val="FootnoteReference"/>
        </w:rPr>
        <w:footnoteRef/>
      </w:r>
      <w:r>
        <w:t xml:space="preserve"> </w:t>
      </w:r>
      <w:r>
        <w:tab/>
        <w:t>NGR, r.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0B0B" w14:textId="77777777" w:rsidR="009D566C" w:rsidRDefault="009D5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0D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4">
    <w:nsid w:val="FFFFFF7F"/>
    <w:multiLevelType w:val="singleLevel"/>
    <w:tmpl w:val="C9043968"/>
    <w:lvl w:ilvl="0">
      <w:start w:val="1"/>
      <w:numFmt w:val="decimal"/>
      <w:pStyle w:val="ListNumber2"/>
      <w:lvlText w:val="%1."/>
      <w:lvlJc w:val="left"/>
      <w:pPr>
        <w:ind w:left="700" w:hanging="360"/>
      </w:pPr>
    </w:lvl>
  </w:abstractNum>
  <w:abstractNum w:abstractNumId="5">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8">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9">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10">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0024CC48"/>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9"/>
  </w:num>
  <w:num w:numId="13">
    <w:abstractNumId w:val="21"/>
  </w:num>
  <w:num w:numId="14">
    <w:abstractNumId w:val="12"/>
  </w:num>
  <w:num w:numId="15">
    <w:abstractNumId w:val="15"/>
  </w:num>
  <w:num w:numId="16">
    <w:abstractNumId w:val="23"/>
  </w:num>
  <w:num w:numId="17">
    <w:abstractNumId w:val="11"/>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19"/>
  </w:num>
  <w:num w:numId="27">
    <w:abstractNumId w:val="16"/>
  </w:num>
  <w:num w:numId="28">
    <w:abstractNumId w:val="32"/>
  </w:num>
  <w:num w:numId="29">
    <w:abstractNumId w:val="22"/>
  </w:num>
  <w:num w:numId="30">
    <w:abstractNumId w:val="10"/>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0"/>
  </w:num>
  <w:num w:numId="37">
    <w:abstractNumId w:val="0"/>
  </w:num>
  <w:numIdMacAtCleanup w:val="2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GOH">
    <w15:presenceInfo w15:providerId="Windows Live" w15:userId="096923bfc50013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OjO9uY4ZAcdjzet4Fps7uRZTxykCqQ+OHzws1Cm6VUU=" w:saltValue="Eqt3NwkRmonSDGXrNegzPA==" w:algorithmName="SHA-256"/>
  <w:defaultTabStop w:val="3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264\D16 130326  AER - Draft decision - AusNet Services gas access arrangement - Attachment 6 - Capital expenditure.DOCX"/>
  </w:docVars>
  <w:rsids>
    <w:rsidRoot w:val="00961A4A"/>
    <w:rsid w:val="000051DC"/>
    <w:rsid w:val="0000658F"/>
    <w:rsid w:val="0001507B"/>
    <w:rsid w:val="00020016"/>
    <w:rsid w:val="00021202"/>
    <w:rsid w:val="00021C2B"/>
    <w:rsid w:val="0002498B"/>
    <w:rsid w:val="0002517F"/>
    <w:rsid w:val="000251C1"/>
    <w:rsid w:val="00026187"/>
    <w:rsid w:val="000266FC"/>
    <w:rsid w:val="000273B3"/>
    <w:rsid w:val="00027E2D"/>
    <w:rsid w:val="0003578C"/>
    <w:rsid w:val="000365BE"/>
    <w:rsid w:val="00044DA3"/>
    <w:rsid w:val="000474DF"/>
    <w:rsid w:val="0005115F"/>
    <w:rsid w:val="00051E66"/>
    <w:rsid w:val="00055A67"/>
    <w:rsid w:val="0005663F"/>
    <w:rsid w:val="00063247"/>
    <w:rsid w:val="0006624E"/>
    <w:rsid w:val="00067AC2"/>
    <w:rsid w:val="00070F9F"/>
    <w:rsid w:val="0007137B"/>
    <w:rsid w:val="00073B74"/>
    <w:rsid w:val="00074E7E"/>
    <w:rsid w:val="00076416"/>
    <w:rsid w:val="000800D2"/>
    <w:rsid w:val="000805A8"/>
    <w:rsid w:val="0008190B"/>
    <w:rsid w:val="000836D9"/>
    <w:rsid w:val="00084834"/>
    <w:rsid w:val="00085663"/>
    <w:rsid w:val="00085EBF"/>
    <w:rsid w:val="00091B15"/>
    <w:rsid w:val="00095186"/>
    <w:rsid w:val="000A0E71"/>
    <w:rsid w:val="000A1C0C"/>
    <w:rsid w:val="000A3020"/>
    <w:rsid w:val="000A3C34"/>
    <w:rsid w:val="000A4840"/>
    <w:rsid w:val="000A6273"/>
    <w:rsid w:val="000A62C1"/>
    <w:rsid w:val="000A6A79"/>
    <w:rsid w:val="000A6C7B"/>
    <w:rsid w:val="000B0A7B"/>
    <w:rsid w:val="000B1173"/>
    <w:rsid w:val="000B5827"/>
    <w:rsid w:val="000B7037"/>
    <w:rsid w:val="000B7967"/>
    <w:rsid w:val="000C02D1"/>
    <w:rsid w:val="000C0C63"/>
    <w:rsid w:val="000C2B40"/>
    <w:rsid w:val="000C5255"/>
    <w:rsid w:val="000D07A7"/>
    <w:rsid w:val="000D122C"/>
    <w:rsid w:val="000D75B0"/>
    <w:rsid w:val="000E1819"/>
    <w:rsid w:val="000E4821"/>
    <w:rsid w:val="000E4AA9"/>
    <w:rsid w:val="000E6C72"/>
    <w:rsid w:val="000E7F39"/>
    <w:rsid w:val="000F07E2"/>
    <w:rsid w:val="00100EA2"/>
    <w:rsid w:val="00101AA1"/>
    <w:rsid w:val="00102338"/>
    <w:rsid w:val="0010298E"/>
    <w:rsid w:val="00104200"/>
    <w:rsid w:val="00104566"/>
    <w:rsid w:val="00104FF6"/>
    <w:rsid w:val="001079CE"/>
    <w:rsid w:val="00110FB0"/>
    <w:rsid w:val="001114AA"/>
    <w:rsid w:val="00112684"/>
    <w:rsid w:val="00115743"/>
    <w:rsid w:val="00116EB2"/>
    <w:rsid w:val="00117B72"/>
    <w:rsid w:val="0012132C"/>
    <w:rsid w:val="00124609"/>
    <w:rsid w:val="00125168"/>
    <w:rsid w:val="00126A4C"/>
    <w:rsid w:val="001270E3"/>
    <w:rsid w:val="001311DD"/>
    <w:rsid w:val="00132D43"/>
    <w:rsid w:val="00133366"/>
    <w:rsid w:val="00133A27"/>
    <w:rsid w:val="00133F47"/>
    <w:rsid w:val="00134029"/>
    <w:rsid w:val="00142C2D"/>
    <w:rsid w:val="00144C96"/>
    <w:rsid w:val="0014573B"/>
    <w:rsid w:val="001463A3"/>
    <w:rsid w:val="00147A09"/>
    <w:rsid w:val="00147E70"/>
    <w:rsid w:val="0015073A"/>
    <w:rsid w:val="00154788"/>
    <w:rsid w:val="00156C9C"/>
    <w:rsid w:val="001573E4"/>
    <w:rsid w:val="00160756"/>
    <w:rsid w:val="00161DC8"/>
    <w:rsid w:val="0016531A"/>
    <w:rsid w:val="00166760"/>
    <w:rsid w:val="0017232E"/>
    <w:rsid w:val="00172FA2"/>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304"/>
    <w:rsid w:val="0019745E"/>
    <w:rsid w:val="001979F2"/>
    <w:rsid w:val="00197B16"/>
    <w:rsid w:val="001A22B3"/>
    <w:rsid w:val="001A530D"/>
    <w:rsid w:val="001A5FB3"/>
    <w:rsid w:val="001A7155"/>
    <w:rsid w:val="001B113D"/>
    <w:rsid w:val="001B45A0"/>
    <w:rsid w:val="001B680E"/>
    <w:rsid w:val="001C0B27"/>
    <w:rsid w:val="001C6AA9"/>
    <w:rsid w:val="001C7428"/>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5CF2"/>
    <w:rsid w:val="00216C93"/>
    <w:rsid w:val="00221C01"/>
    <w:rsid w:val="00223051"/>
    <w:rsid w:val="00224DB9"/>
    <w:rsid w:val="00225070"/>
    <w:rsid w:val="0022569A"/>
    <w:rsid w:val="0023005C"/>
    <w:rsid w:val="00231012"/>
    <w:rsid w:val="00233775"/>
    <w:rsid w:val="0023414B"/>
    <w:rsid w:val="00243635"/>
    <w:rsid w:val="00247079"/>
    <w:rsid w:val="00251745"/>
    <w:rsid w:val="002552BA"/>
    <w:rsid w:val="002561DD"/>
    <w:rsid w:val="0025676C"/>
    <w:rsid w:val="00260016"/>
    <w:rsid w:val="00263AC0"/>
    <w:rsid w:val="00264264"/>
    <w:rsid w:val="00265C2A"/>
    <w:rsid w:val="0026689B"/>
    <w:rsid w:val="0026772D"/>
    <w:rsid w:val="00270539"/>
    <w:rsid w:val="002725AD"/>
    <w:rsid w:val="002730B2"/>
    <w:rsid w:val="00274C7E"/>
    <w:rsid w:val="002777CF"/>
    <w:rsid w:val="002810F2"/>
    <w:rsid w:val="00286874"/>
    <w:rsid w:val="00290C63"/>
    <w:rsid w:val="00291A99"/>
    <w:rsid w:val="00293B6D"/>
    <w:rsid w:val="002945DF"/>
    <w:rsid w:val="00294B08"/>
    <w:rsid w:val="0029518C"/>
    <w:rsid w:val="002963DD"/>
    <w:rsid w:val="00296B65"/>
    <w:rsid w:val="002A1736"/>
    <w:rsid w:val="002A7DEF"/>
    <w:rsid w:val="002B0696"/>
    <w:rsid w:val="002B0F3E"/>
    <w:rsid w:val="002C0222"/>
    <w:rsid w:val="002C1499"/>
    <w:rsid w:val="002C233C"/>
    <w:rsid w:val="002C517B"/>
    <w:rsid w:val="002C6DE6"/>
    <w:rsid w:val="002D3509"/>
    <w:rsid w:val="002D5457"/>
    <w:rsid w:val="002D72E8"/>
    <w:rsid w:val="002D79AD"/>
    <w:rsid w:val="002E0E39"/>
    <w:rsid w:val="002E268F"/>
    <w:rsid w:val="002E78DD"/>
    <w:rsid w:val="002E7B22"/>
    <w:rsid w:val="002F12EC"/>
    <w:rsid w:val="002F7986"/>
    <w:rsid w:val="00301B40"/>
    <w:rsid w:val="00301C82"/>
    <w:rsid w:val="003029EE"/>
    <w:rsid w:val="00304D38"/>
    <w:rsid w:val="00305CC8"/>
    <w:rsid w:val="00307F6D"/>
    <w:rsid w:val="00313C65"/>
    <w:rsid w:val="00314D83"/>
    <w:rsid w:val="0031571F"/>
    <w:rsid w:val="003167C8"/>
    <w:rsid w:val="003177A2"/>
    <w:rsid w:val="00317E02"/>
    <w:rsid w:val="00321C33"/>
    <w:rsid w:val="003271B5"/>
    <w:rsid w:val="00327A1E"/>
    <w:rsid w:val="00327E28"/>
    <w:rsid w:val="00331264"/>
    <w:rsid w:val="00332C63"/>
    <w:rsid w:val="00334C8D"/>
    <w:rsid w:val="003378BD"/>
    <w:rsid w:val="003424EA"/>
    <w:rsid w:val="00342C2F"/>
    <w:rsid w:val="0034334A"/>
    <w:rsid w:val="003436EB"/>
    <w:rsid w:val="00343A18"/>
    <w:rsid w:val="0034436B"/>
    <w:rsid w:val="00344B6E"/>
    <w:rsid w:val="00345744"/>
    <w:rsid w:val="003518B3"/>
    <w:rsid w:val="00353E79"/>
    <w:rsid w:val="00364EA0"/>
    <w:rsid w:val="00366981"/>
    <w:rsid w:val="00370678"/>
    <w:rsid w:val="0037214E"/>
    <w:rsid w:val="00372C85"/>
    <w:rsid w:val="00372CBF"/>
    <w:rsid w:val="00373845"/>
    <w:rsid w:val="003744E3"/>
    <w:rsid w:val="00375F71"/>
    <w:rsid w:val="00376219"/>
    <w:rsid w:val="0037663E"/>
    <w:rsid w:val="0037699E"/>
    <w:rsid w:val="00377A29"/>
    <w:rsid w:val="00377C69"/>
    <w:rsid w:val="0038415D"/>
    <w:rsid w:val="0038461C"/>
    <w:rsid w:val="003846F1"/>
    <w:rsid w:val="00384E26"/>
    <w:rsid w:val="003850DF"/>
    <w:rsid w:val="0038722A"/>
    <w:rsid w:val="00390E6A"/>
    <w:rsid w:val="00393ABE"/>
    <w:rsid w:val="00395B73"/>
    <w:rsid w:val="00395DB6"/>
    <w:rsid w:val="00397398"/>
    <w:rsid w:val="003A371A"/>
    <w:rsid w:val="003A4CA7"/>
    <w:rsid w:val="003A59CD"/>
    <w:rsid w:val="003A6B00"/>
    <w:rsid w:val="003B2D3C"/>
    <w:rsid w:val="003B30B2"/>
    <w:rsid w:val="003B484F"/>
    <w:rsid w:val="003B504B"/>
    <w:rsid w:val="003B5179"/>
    <w:rsid w:val="003B685C"/>
    <w:rsid w:val="003B7FBA"/>
    <w:rsid w:val="003C6537"/>
    <w:rsid w:val="003C6A13"/>
    <w:rsid w:val="003C764A"/>
    <w:rsid w:val="003C78BA"/>
    <w:rsid w:val="003D41F1"/>
    <w:rsid w:val="003D42AB"/>
    <w:rsid w:val="003D5B94"/>
    <w:rsid w:val="003D76EF"/>
    <w:rsid w:val="003E0D3A"/>
    <w:rsid w:val="003E3AAB"/>
    <w:rsid w:val="003E7FE9"/>
    <w:rsid w:val="003F07D4"/>
    <w:rsid w:val="003F174D"/>
    <w:rsid w:val="003F2329"/>
    <w:rsid w:val="003F4E4D"/>
    <w:rsid w:val="00400FD2"/>
    <w:rsid w:val="00403711"/>
    <w:rsid w:val="00404C52"/>
    <w:rsid w:val="00410C35"/>
    <w:rsid w:val="004131F9"/>
    <w:rsid w:val="004156D5"/>
    <w:rsid w:val="00415BA9"/>
    <w:rsid w:val="00415F31"/>
    <w:rsid w:val="0041691D"/>
    <w:rsid w:val="0042000C"/>
    <w:rsid w:val="00420520"/>
    <w:rsid w:val="0042090E"/>
    <w:rsid w:val="00421F27"/>
    <w:rsid w:val="004238D8"/>
    <w:rsid w:val="00423A77"/>
    <w:rsid w:val="004261EA"/>
    <w:rsid w:val="004324F4"/>
    <w:rsid w:val="00433B70"/>
    <w:rsid w:val="00434544"/>
    <w:rsid w:val="00441641"/>
    <w:rsid w:val="00444BBC"/>
    <w:rsid w:val="00445D43"/>
    <w:rsid w:val="00446CD2"/>
    <w:rsid w:val="0044789B"/>
    <w:rsid w:val="0045777E"/>
    <w:rsid w:val="0046481C"/>
    <w:rsid w:val="00465258"/>
    <w:rsid w:val="00471BC6"/>
    <w:rsid w:val="004757C7"/>
    <w:rsid w:val="00476221"/>
    <w:rsid w:val="004766F5"/>
    <w:rsid w:val="00480B4B"/>
    <w:rsid w:val="00481441"/>
    <w:rsid w:val="004838D8"/>
    <w:rsid w:val="00485DC4"/>
    <w:rsid w:val="00494D04"/>
    <w:rsid w:val="004A40BA"/>
    <w:rsid w:val="004A43D1"/>
    <w:rsid w:val="004A492B"/>
    <w:rsid w:val="004B4412"/>
    <w:rsid w:val="004B4FF0"/>
    <w:rsid w:val="004C301A"/>
    <w:rsid w:val="004C348C"/>
    <w:rsid w:val="004C462E"/>
    <w:rsid w:val="004C6CA3"/>
    <w:rsid w:val="004C7F5E"/>
    <w:rsid w:val="004D343C"/>
    <w:rsid w:val="004D372A"/>
    <w:rsid w:val="004D55BA"/>
    <w:rsid w:val="004D720C"/>
    <w:rsid w:val="004D7353"/>
    <w:rsid w:val="004E0FA7"/>
    <w:rsid w:val="004E22EC"/>
    <w:rsid w:val="004F0BFA"/>
    <w:rsid w:val="004F13DA"/>
    <w:rsid w:val="004F434A"/>
    <w:rsid w:val="004F4D69"/>
    <w:rsid w:val="004F6883"/>
    <w:rsid w:val="004F6A0E"/>
    <w:rsid w:val="004F6BB3"/>
    <w:rsid w:val="005009CD"/>
    <w:rsid w:val="00502E46"/>
    <w:rsid w:val="00504E5F"/>
    <w:rsid w:val="00511B8B"/>
    <w:rsid w:val="0051337E"/>
    <w:rsid w:val="005138F3"/>
    <w:rsid w:val="00513FA7"/>
    <w:rsid w:val="0051768F"/>
    <w:rsid w:val="00522DC2"/>
    <w:rsid w:val="005244B2"/>
    <w:rsid w:val="0052455B"/>
    <w:rsid w:val="00527ED7"/>
    <w:rsid w:val="00530128"/>
    <w:rsid w:val="00532467"/>
    <w:rsid w:val="005332A9"/>
    <w:rsid w:val="0053603C"/>
    <w:rsid w:val="00537871"/>
    <w:rsid w:val="00542FE9"/>
    <w:rsid w:val="00544598"/>
    <w:rsid w:val="00544C8D"/>
    <w:rsid w:val="00544DFD"/>
    <w:rsid w:val="00546A81"/>
    <w:rsid w:val="00556B1E"/>
    <w:rsid w:val="0056346D"/>
    <w:rsid w:val="00564A4D"/>
    <w:rsid w:val="0056598C"/>
    <w:rsid w:val="00566E0B"/>
    <w:rsid w:val="00567BA5"/>
    <w:rsid w:val="00570C73"/>
    <w:rsid w:val="00571B35"/>
    <w:rsid w:val="00571B43"/>
    <w:rsid w:val="00571D57"/>
    <w:rsid w:val="00573A3B"/>
    <w:rsid w:val="00575C10"/>
    <w:rsid w:val="00577716"/>
    <w:rsid w:val="00577A09"/>
    <w:rsid w:val="00580531"/>
    <w:rsid w:val="005829C2"/>
    <w:rsid w:val="00584D8F"/>
    <w:rsid w:val="00587A18"/>
    <w:rsid w:val="00587ADE"/>
    <w:rsid w:val="0059763D"/>
    <w:rsid w:val="005A0BEC"/>
    <w:rsid w:val="005A404D"/>
    <w:rsid w:val="005A79DE"/>
    <w:rsid w:val="005B1E3C"/>
    <w:rsid w:val="005B6518"/>
    <w:rsid w:val="005B704A"/>
    <w:rsid w:val="005B72D7"/>
    <w:rsid w:val="005C045F"/>
    <w:rsid w:val="005C16FE"/>
    <w:rsid w:val="005C1FAB"/>
    <w:rsid w:val="005C21A4"/>
    <w:rsid w:val="005C26CC"/>
    <w:rsid w:val="005C4463"/>
    <w:rsid w:val="005C6560"/>
    <w:rsid w:val="005D3D88"/>
    <w:rsid w:val="005D48C4"/>
    <w:rsid w:val="005D6208"/>
    <w:rsid w:val="005D6366"/>
    <w:rsid w:val="005D7BA2"/>
    <w:rsid w:val="005E36C2"/>
    <w:rsid w:val="005E409A"/>
    <w:rsid w:val="005E4AF4"/>
    <w:rsid w:val="005E7B9A"/>
    <w:rsid w:val="005F387E"/>
    <w:rsid w:val="005F4F11"/>
    <w:rsid w:val="005F5E25"/>
    <w:rsid w:val="00601E0B"/>
    <w:rsid w:val="0060258B"/>
    <w:rsid w:val="00610EF9"/>
    <w:rsid w:val="006118CD"/>
    <w:rsid w:val="00612E78"/>
    <w:rsid w:val="00612F4F"/>
    <w:rsid w:val="00614EA0"/>
    <w:rsid w:val="00615C6B"/>
    <w:rsid w:val="00617D4C"/>
    <w:rsid w:val="00621DCE"/>
    <w:rsid w:val="00621FC5"/>
    <w:rsid w:val="00624F2C"/>
    <w:rsid w:val="00627CB0"/>
    <w:rsid w:val="00632D6D"/>
    <w:rsid w:val="00636569"/>
    <w:rsid w:val="00636EF9"/>
    <w:rsid w:val="00642C3E"/>
    <w:rsid w:val="00642F2D"/>
    <w:rsid w:val="00644A01"/>
    <w:rsid w:val="00644B6E"/>
    <w:rsid w:val="00651E2D"/>
    <w:rsid w:val="00652324"/>
    <w:rsid w:val="006577FB"/>
    <w:rsid w:val="0066104A"/>
    <w:rsid w:val="00663066"/>
    <w:rsid w:val="00663DAD"/>
    <w:rsid w:val="00664206"/>
    <w:rsid w:val="006649E7"/>
    <w:rsid w:val="00666634"/>
    <w:rsid w:val="00671692"/>
    <w:rsid w:val="00675E20"/>
    <w:rsid w:val="00676679"/>
    <w:rsid w:val="00683C89"/>
    <w:rsid w:val="0068473D"/>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E17A5"/>
    <w:rsid w:val="006E3836"/>
    <w:rsid w:val="006F0D92"/>
    <w:rsid w:val="006F267D"/>
    <w:rsid w:val="006F3E8B"/>
    <w:rsid w:val="006F50DE"/>
    <w:rsid w:val="006F59C1"/>
    <w:rsid w:val="0070011E"/>
    <w:rsid w:val="00701CAB"/>
    <w:rsid w:val="007023BB"/>
    <w:rsid w:val="00704DD7"/>
    <w:rsid w:val="00707563"/>
    <w:rsid w:val="00711501"/>
    <w:rsid w:val="00715F61"/>
    <w:rsid w:val="00722132"/>
    <w:rsid w:val="007228F7"/>
    <w:rsid w:val="00722A4C"/>
    <w:rsid w:val="0072348C"/>
    <w:rsid w:val="00724A37"/>
    <w:rsid w:val="007303C3"/>
    <w:rsid w:val="00731188"/>
    <w:rsid w:val="007319B6"/>
    <w:rsid w:val="007356CC"/>
    <w:rsid w:val="007368BB"/>
    <w:rsid w:val="007368E6"/>
    <w:rsid w:val="007375DF"/>
    <w:rsid w:val="00737C83"/>
    <w:rsid w:val="007429BE"/>
    <w:rsid w:val="00743223"/>
    <w:rsid w:val="00743349"/>
    <w:rsid w:val="0074403A"/>
    <w:rsid w:val="00745B71"/>
    <w:rsid w:val="00746E01"/>
    <w:rsid w:val="00751DCD"/>
    <w:rsid w:val="00753673"/>
    <w:rsid w:val="00755084"/>
    <w:rsid w:val="00757364"/>
    <w:rsid w:val="00757BDF"/>
    <w:rsid w:val="007609D0"/>
    <w:rsid w:val="00761454"/>
    <w:rsid w:val="0076193D"/>
    <w:rsid w:val="00763E5D"/>
    <w:rsid w:val="00767740"/>
    <w:rsid w:val="00767B5E"/>
    <w:rsid w:val="00775460"/>
    <w:rsid w:val="00777EE6"/>
    <w:rsid w:val="00782EEA"/>
    <w:rsid w:val="0078496E"/>
    <w:rsid w:val="007862F7"/>
    <w:rsid w:val="007909B4"/>
    <w:rsid w:val="00790E86"/>
    <w:rsid w:val="007949D7"/>
    <w:rsid w:val="007954A5"/>
    <w:rsid w:val="007A0143"/>
    <w:rsid w:val="007A16B1"/>
    <w:rsid w:val="007A34C2"/>
    <w:rsid w:val="007A396C"/>
    <w:rsid w:val="007A4B02"/>
    <w:rsid w:val="007B0BE3"/>
    <w:rsid w:val="007B1816"/>
    <w:rsid w:val="007B186E"/>
    <w:rsid w:val="007B25DC"/>
    <w:rsid w:val="007B2C72"/>
    <w:rsid w:val="007B3789"/>
    <w:rsid w:val="007B3A63"/>
    <w:rsid w:val="007B651F"/>
    <w:rsid w:val="007B7BB5"/>
    <w:rsid w:val="007C1C53"/>
    <w:rsid w:val="007C2423"/>
    <w:rsid w:val="007C284C"/>
    <w:rsid w:val="007C4625"/>
    <w:rsid w:val="007C4B82"/>
    <w:rsid w:val="007C74BB"/>
    <w:rsid w:val="007C7F64"/>
    <w:rsid w:val="007D0A95"/>
    <w:rsid w:val="007D0EB5"/>
    <w:rsid w:val="007D456E"/>
    <w:rsid w:val="007D5837"/>
    <w:rsid w:val="007E4904"/>
    <w:rsid w:val="007E4CB5"/>
    <w:rsid w:val="007E4DAE"/>
    <w:rsid w:val="007F066B"/>
    <w:rsid w:val="007F4EAB"/>
    <w:rsid w:val="007F5B16"/>
    <w:rsid w:val="007F682B"/>
    <w:rsid w:val="007F7276"/>
    <w:rsid w:val="007F7C9D"/>
    <w:rsid w:val="008033C4"/>
    <w:rsid w:val="00803407"/>
    <w:rsid w:val="00805C02"/>
    <w:rsid w:val="00806731"/>
    <w:rsid w:val="00806C88"/>
    <w:rsid w:val="0081034E"/>
    <w:rsid w:val="00810806"/>
    <w:rsid w:val="00815882"/>
    <w:rsid w:val="00820454"/>
    <w:rsid w:val="00822AC7"/>
    <w:rsid w:val="00822E86"/>
    <w:rsid w:val="00827CA7"/>
    <w:rsid w:val="00833F01"/>
    <w:rsid w:val="008344F6"/>
    <w:rsid w:val="0083510F"/>
    <w:rsid w:val="008373FE"/>
    <w:rsid w:val="00837BF3"/>
    <w:rsid w:val="00840293"/>
    <w:rsid w:val="00840AD7"/>
    <w:rsid w:val="008415DE"/>
    <w:rsid w:val="00841A1B"/>
    <w:rsid w:val="008420DE"/>
    <w:rsid w:val="00845865"/>
    <w:rsid w:val="0084799B"/>
    <w:rsid w:val="00850C90"/>
    <w:rsid w:val="00851209"/>
    <w:rsid w:val="0085171F"/>
    <w:rsid w:val="008658A1"/>
    <w:rsid w:val="0086716A"/>
    <w:rsid w:val="00870613"/>
    <w:rsid w:val="0087380F"/>
    <w:rsid w:val="00875E2B"/>
    <w:rsid w:val="0087648F"/>
    <w:rsid w:val="00876612"/>
    <w:rsid w:val="00882BB1"/>
    <w:rsid w:val="008837AC"/>
    <w:rsid w:val="008867D8"/>
    <w:rsid w:val="008909DC"/>
    <w:rsid w:val="00894255"/>
    <w:rsid w:val="008945AD"/>
    <w:rsid w:val="008A0645"/>
    <w:rsid w:val="008A1C02"/>
    <w:rsid w:val="008A370D"/>
    <w:rsid w:val="008A587D"/>
    <w:rsid w:val="008B16B0"/>
    <w:rsid w:val="008B1BD5"/>
    <w:rsid w:val="008B241E"/>
    <w:rsid w:val="008B35CD"/>
    <w:rsid w:val="008B4093"/>
    <w:rsid w:val="008B5FCC"/>
    <w:rsid w:val="008B7F36"/>
    <w:rsid w:val="008C357F"/>
    <w:rsid w:val="008C5486"/>
    <w:rsid w:val="008D06C6"/>
    <w:rsid w:val="008D1661"/>
    <w:rsid w:val="008D27E0"/>
    <w:rsid w:val="008D37B8"/>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2A7F"/>
    <w:rsid w:val="00907683"/>
    <w:rsid w:val="009108E4"/>
    <w:rsid w:val="009132B7"/>
    <w:rsid w:val="00916A2C"/>
    <w:rsid w:val="009233EE"/>
    <w:rsid w:val="00926650"/>
    <w:rsid w:val="00930B1A"/>
    <w:rsid w:val="00932612"/>
    <w:rsid w:val="009327DC"/>
    <w:rsid w:val="009327F1"/>
    <w:rsid w:val="009338D9"/>
    <w:rsid w:val="009339BD"/>
    <w:rsid w:val="009356CF"/>
    <w:rsid w:val="0094234A"/>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A6352"/>
    <w:rsid w:val="009B4DD5"/>
    <w:rsid w:val="009B6F84"/>
    <w:rsid w:val="009B74B0"/>
    <w:rsid w:val="009C0152"/>
    <w:rsid w:val="009C1A74"/>
    <w:rsid w:val="009C3D42"/>
    <w:rsid w:val="009C491E"/>
    <w:rsid w:val="009D0559"/>
    <w:rsid w:val="009D0DF1"/>
    <w:rsid w:val="009D153E"/>
    <w:rsid w:val="009D22D6"/>
    <w:rsid w:val="009D2C84"/>
    <w:rsid w:val="009D3906"/>
    <w:rsid w:val="009D511F"/>
    <w:rsid w:val="009D566C"/>
    <w:rsid w:val="009D6B46"/>
    <w:rsid w:val="009D7A67"/>
    <w:rsid w:val="009E1AAD"/>
    <w:rsid w:val="009E35B6"/>
    <w:rsid w:val="009E4A8E"/>
    <w:rsid w:val="009E5ABC"/>
    <w:rsid w:val="009F1D99"/>
    <w:rsid w:val="009F3BBA"/>
    <w:rsid w:val="009F43B4"/>
    <w:rsid w:val="009F4940"/>
    <w:rsid w:val="009F5BA1"/>
    <w:rsid w:val="00A02A88"/>
    <w:rsid w:val="00A04012"/>
    <w:rsid w:val="00A046FA"/>
    <w:rsid w:val="00A0562E"/>
    <w:rsid w:val="00A0726D"/>
    <w:rsid w:val="00A073AE"/>
    <w:rsid w:val="00A078FA"/>
    <w:rsid w:val="00A12204"/>
    <w:rsid w:val="00A12750"/>
    <w:rsid w:val="00A13CB0"/>
    <w:rsid w:val="00A1561F"/>
    <w:rsid w:val="00A16544"/>
    <w:rsid w:val="00A30BF5"/>
    <w:rsid w:val="00A31BE6"/>
    <w:rsid w:val="00A32FBB"/>
    <w:rsid w:val="00A334C9"/>
    <w:rsid w:val="00A338FF"/>
    <w:rsid w:val="00A40068"/>
    <w:rsid w:val="00A40BE9"/>
    <w:rsid w:val="00A428EE"/>
    <w:rsid w:val="00A443C2"/>
    <w:rsid w:val="00A4478A"/>
    <w:rsid w:val="00A44852"/>
    <w:rsid w:val="00A4710F"/>
    <w:rsid w:val="00A50360"/>
    <w:rsid w:val="00A50502"/>
    <w:rsid w:val="00A53409"/>
    <w:rsid w:val="00A53796"/>
    <w:rsid w:val="00A53848"/>
    <w:rsid w:val="00A56945"/>
    <w:rsid w:val="00A56A6E"/>
    <w:rsid w:val="00A57D04"/>
    <w:rsid w:val="00A60A26"/>
    <w:rsid w:val="00A613B7"/>
    <w:rsid w:val="00A61598"/>
    <w:rsid w:val="00A61777"/>
    <w:rsid w:val="00A63646"/>
    <w:rsid w:val="00A63914"/>
    <w:rsid w:val="00A66800"/>
    <w:rsid w:val="00A71C3E"/>
    <w:rsid w:val="00A74452"/>
    <w:rsid w:val="00A77ADB"/>
    <w:rsid w:val="00A84A99"/>
    <w:rsid w:val="00A84F46"/>
    <w:rsid w:val="00A85A31"/>
    <w:rsid w:val="00A85E87"/>
    <w:rsid w:val="00A86AEA"/>
    <w:rsid w:val="00A871F4"/>
    <w:rsid w:val="00A87E97"/>
    <w:rsid w:val="00A9431A"/>
    <w:rsid w:val="00A95988"/>
    <w:rsid w:val="00A959DF"/>
    <w:rsid w:val="00A97A1B"/>
    <w:rsid w:val="00AA2927"/>
    <w:rsid w:val="00AB2CB8"/>
    <w:rsid w:val="00AB4617"/>
    <w:rsid w:val="00AC1B2C"/>
    <w:rsid w:val="00AC1E29"/>
    <w:rsid w:val="00AC3264"/>
    <w:rsid w:val="00AC332A"/>
    <w:rsid w:val="00AC46AD"/>
    <w:rsid w:val="00AC4D2D"/>
    <w:rsid w:val="00AC58EC"/>
    <w:rsid w:val="00AC7282"/>
    <w:rsid w:val="00AC7961"/>
    <w:rsid w:val="00AD0AE7"/>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BF6"/>
    <w:rsid w:val="00B22F54"/>
    <w:rsid w:val="00B23947"/>
    <w:rsid w:val="00B24A7E"/>
    <w:rsid w:val="00B25C0C"/>
    <w:rsid w:val="00B304B5"/>
    <w:rsid w:val="00B308A9"/>
    <w:rsid w:val="00B31047"/>
    <w:rsid w:val="00B33148"/>
    <w:rsid w:val="00B35CDF"/>
    <w:rsid w:val="00B3728C"/>
    <w:rsid w:val="00B403C2"/>
    <w:rsid w:val="00B405A1"/>
    <w:rsid w:val="00B40FE9"/>
    <w:rsid w:val="00B4438A"/>
    <w:rsid w:val="00B45AA2"/>
    <w:rsid w:val="00B479CA"/>
    <w:rsid w:val="00B5084F"/>
    <w:rsid w:val="00B514DD"/>
    <w:rsid w:val="00B52AF0"/>
    <w:rsid w:val="00B53D5F"/>
    <w:rsid w:val="00B53FF9"/>
    <w:rsid w:val="00B54051"/>
    <w:rsid w:val="00B561BD"/>
    <w:rsid w:val="00B56E03"/>
    <w:rsid w:val="00B61A86"/>
    <w:rsid w:val="00B62765"/>
    <w:rsid w:val="00B652D8"/>
    <w:rsid w:val="00B65DF5"/>
    <w:rsid w:val="00B71EDD"/>
    <w:rsid w:val="00B7679F"/>
    <w:rsid w:val="00B77159"/>
    <w:rsid w:val="00B80066"/>
    <w:rsid w:val="00B8080B"/>
    <w:rsid w:val="00B82223"/>
    <w:rsid w:val="00B87BA5"/>
    <w:rsid w:val="00B87C39"/>
    <w:rsid w:val="00B92079"/>
    <w:rsid w:val="00B93891"/>
    <w:rsid w:val="00B94050"/>
    <w:rsid w:val="00B9562D"/>
    <w:rsid w:val="00B95CD0"/>
    <w:rsid w:val="00BA21DA"/>
    <w:rsid w:val="00BA2B60"/>
    <w:rsid w:val="00BA3C93"/>
    <w:rsid w:val="00BA4564"/>
    <w:rsid w:val="00BA4665"/>
    <w:rsid w:val="00BA4C6D"/>
    <w:rsid w:val="00BA7FD7"/>
    <w:rsid w:val="00BB1681"/>
    <w:rsid w:val="00BB2FB2"/>
    <w:rsid w:val="00BB3304"/>
    <w:rsid w:val="00BB398B"/>
    <w:rsid w:val="00BB6551"/>
    <w:rsid w:val="00BC0CFE"/>
    <w:rsid w:val="00BC271B"/>
    <w:rsid w:val="00BC4A10"/>
    <w:rsid w:val="00BD0C97"/>
    <w:rsid w:val="00BD30F4"/>
    <w:rsid w:val="00BD3446"/>
    <w:rsid w:val="00BD59CF"/>
    <w:rsid w:val="00BE0959"/>
    <w:rsid w:val="00BE0B55"/>
    <w:rsid w:val="00BE1312"/>
    <w:rsid w:val="00BE1F1B"/>
    <w:rsid w:val="00BE3F89"/>
    <w:rsid w:val="00BE47B5"/>
    <w:rsid w:val="00BE5FCE"/>
    <w:rsid w:val="00C0079E"/>
    <w:rsid w:val="00C02099"/>
    <w:rsid w:val="00C0572A"/>
    <w:rsid w:val="00C13EBD"/>
    <w:rsid w:val="00C14FE0"/>
    <w:rsid w:val="00C1631B"/>
    <w:rsid w:val="00C163AB"/>
    <w:rsid w:val="00C16706"/>
    <w:rsid w:val="00C170F0"/>
    <w:rsid w:val="00C21217"/>
    <w:rsid w:val="00C25962"/>
    <w:rsid w:val="00C25FA6"/>
    <w:rsid w:val="00C3099D"/>
    <w:rsid w:val="00C33011"/>
    <w:rsid w:val="00C34F29"/>
    <w:rsid w:val="00C362C1"/>
    <w:rsid w:val="00C41950"/>
    <w:rsid w:val="00C42C3B"/>
    <w:rsid w:val="00C51672"/>
    <w:rsid w:val="00C538A9"/>
    <w:rsid w:val="00C53B5A"/>
    <w:rsid w:val="00C53E41"/>
    <w:rsid w:val="00C54909"/>
    <w:rsid w:val="00C54AF3"/>
    <w:rsid w:val="00C54F5A"/>
    <w:rsid w:val="00C569B4"/>
    <w:rsid w:val="00C57DB1"/>
    <w:rsid w:val="00C57DDE"/>
    <w:rsid w:val="00C61468"/>
    <w:rsid w:val="00C61A97"/>
    <w:rsid w:val="00C61E44"/>
    <w:rsid w:val="00C64FF3"/>
    <w:rsid w:val="00C662AD"/>
    <w:rsid w:val="00C67A92"/>
    <w:rsid w:val="00C71280"/>
    <w:rsid w:val="00C717BF"/>
    <w:rsid w:val="00C76178"/>
    <w:rsid w:val="00C7780D"/>
    <w:rsid w:val="00C84560"/>
    <w:rsid w:val="00C85571"/>
    <w:rsid w:val="00C86679"/>
    <w:rsid w:val="00C8792F"/>
    <w:rsid w:val="00C90472"/>
    <w:rsid w:val="00C91D6E"/>
    <w:rsid w:val="00CA489E"/>
    <w:rsid w:val="00CB0279"/>
    <w:rsid w:val="00CB4191"/>
    <w:rsid w:val="00CB666B"/>
    <w:rsid w:val="00CB734B"/>
    <w:rsid w:val="00CC2A77"/>
    <w:rsid w:val="00CC41B6"/>
    <w:rsid w:val="00CC7ADA"/>
    <w:rsid w:val="00CC7F1D"/>
    <w:rsid w:val="00CD0A88"/>
    <w:rsid w:val="00CD125D"/>
    <w:rsid w:val="00CD283C"/>
    <w:rsid w:val="00CD3641"/>
    <w:rsid w:val="00CD66EA"/>
    <w:rsid w:val="00CD7432"/>
    <w:rsid w:val="00CD777D"/>
    <w:rsid w:val="00CE0FA5"/>
    <w:rsid w:val="00CE2A23"/>
    <w:rsid w:val="00CE31C8"/>
    <w:rsid w:val="00CE484B"/>
    <w:rsid w:val="00CE7CBA"/>
    <w:rsid w:val="00CF0DEE"/>
    <w:rsid w:val="00CF42AA"/>
    <w:rsid w:val="00CF5EAA"/>
    <w:rsid w:val="00CF6AE3"/>
    <w:rsid w:val="00CF77BB"/>
    <w:rsid w:val="00D005B1"/>
    <w:rsid w:val="00D006AE"/>
    <w:rsid w:val="00D00905"/>
    <w:rsid w:val="00D010C1"/>
    <w:rsid w:val="00D01CF0"/>
    <w:rsid w:val="00D0442A"/>
    <w:rsid w:val="00D1037D"/>
    <w:rsid w:val="00D12A7B"/>
    <w:rsid w:val="00D12ADB"/>
    <w:rsid w:val="00D15E63"/>
    <w:rsid w:val="00D25A39"/>
    <w:rsid w:val="00D27CFA"/>
    <w:rsid w:val="00D310FA"/>
    <w:rsid w:val="00D325C6"/>
    <w:rsid w:val="00D34C60"/>
    <w:rsid w:val="00D37213"/>
    <w:rsid w:val="00D4360D"/>
    <w:rsid w:val="00D4375F"/>
    <w:rsid w:val="00D47092"/>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6C3C"/>
    <w:rsid w:val="00D924AE"/>
    <w:rsid w:val="00D92CF1"/>
    <w:rsid w:val="00D92D38"/>
    <w:rsid w:val="00D950F5"/>
    <w:rsid w:val="00D97379"/>
    <w:rsid w:val="00DA4752"/>
    <w:rsid w:val="00DA48A2"/>
    <w:rsid w:val="00DA4C09"/>
    <w:rsid w:val="00DA61F3"/>
    <w:rsid w:val="00DA7CB3"/>
    <w:rsid w:val="00DB0D00"/>
    <w:rsid w:val="00DB0F93"/>
    <w:rsid w:val="00DB1A67"/>
    <w:rsid w:val="00DB3721"/>
    <w:rsid w:val="00DB5074"/>
    <w:rsid w:val="00DB51C0"/>
    <w:rsid w:val="00DC0281"/>
    <w:rsid w:val="00DC1930"/>
    <w:rsid w:val="00DC1C76"/>
    <w:rsid w:val="00DC4DBF"/>
    <w:rsid w:val="00DC4E19"/>
    <w:rsid w:val="00DC65FE"/>
    <w:rsid w:val="00DC7981"/>
    <w:rsid w:val="00DD0F73"/>
    <w:rsid w:val="00DD4C07"/>
    <w:rsid w:val="00DD577D"/>
    <w:rsid w:val="00DD5ADC"/>
    <w:rsid w:val="00DD61C0"/>
    <w:rsid w:val="00DE1093"/>
    <w:rsid w:val="00DE38FF"/>
    <w:rsid w:val="00DE4EFA"/>
    <w:rsid w:val="00DE5520"/>
    <w:rsid w:val="00DE563D"/>
    <w:rsid w:val="00DE7AB5"/>
    <w:rsid w:val="00DF0152"/>
    <w:rsid w:val="00DF1958"/>
    <w:rsid w:val="00DF7414"/>
    <w:rsid w:val="00E04818"/>
    <w:rsid w:val="00E06442"/>
    <w:rsid w:val="00E068B3"/>
    <w:rsid w:val="00E06952"/>
    <w:rsid w:val="00E11E61"/>
    <w:rsid w:val="00E12070"/>
    <w:rsid w:val="00E157B2"/>
    <w:rsid w:val="00E16055"/>
    <w:rsid w:val="00E16E5E"/>
    <w:rsid w:val="00E211DA"/>
    <w:rsid w:val="00E2332D"/>
    <w:rsid w:val="00E23993"/>
    <w:rsid w:val="00E24230"/>
    <w:rsid w:val="00E2574F"/>
    <w:rsid w:val="00E25951"/>
    <w:rsid w:val="00E25B8C"/>
    <w:rsid w:val="00E319AD"/>
    <w:rsid w:val="00E31CF6"/>
    <w:rsid w:val="00E34A4A"/>
    <w:rsid w:val="00E35AFC"/>
    <w:rsid w:val="00E41D39"/>
    <w:rsid w:val="00E42E4F"/>
    <w:rsid w:val="00E46AAB"/>
    <w:rsid w:val="00E50A02"/>
    <w:rsid w:val="00E54106"/>
    <w:rsid w:val="00E54697"/>
    <w:rsid w:val="00E54AA6"/>
    <w:rsid w:val="00E56158"/>
    <w:rsid w:val="00E57A08"/>
    <w:rsid w:val="00E62E07"/>
    <w:rsid w:val="00E63631"/>
    <w:rsid w:val="00E64C2A"/>
    <w:rsid w:val="00E65C85"/>
    <w:rsid w:val="00E66199"/>
    <w:rsid w:val="00E70526"/>
    <w:rsid w:val="00E71879"/>
    <w:rsid w:val="00E754B4"/>
    <w:rsid w:val="00E755EC"/>
    <w:rsid w:val="00E7624D"/>
    <w:rsid w:val="00E80DE5"/>
    <w:rsid w:val="00E81724"/>
    <w:rsid w:val="00E819A4"/>
    <w:rsid w:val="00E833FA"/>
    <w:rsid w:val="00E84B74"/>
    <w:rsid w:val="00E87066"/>
    <w:rsid w:val="00E95ED1"/>
    <w:rsid w:val="00E966BF"/>
    <w:rsid w:val="00EA0C04"/>
    <w:rsid w:val="00EA213D"/>
    <w:rsid w:val="00EA3D42"/>
    <w:rsid w:val="00EA6B1B"/>
    <w:rsid w:val="00EB1CBD"/>
    <w:rsid w:val="00EB3A34"/>
    <w:rsid w:val="00EB3C3F"/>
    <w:rsid w:val="00EC04F1"/>
    <w:rsid w:val="00EC237F"/>
    <w:rsid w:val="00EC573A"/>
    <w:rsid w:val="00ED35C8"/>
    <w:rsid w:val="00ED3968"/>
    <w:rsid w:val="00ED7323"/>
    <w:rsid w:val="00EE204E"/>
    <w:rsid w:val="00EE28F3"/>
    <w:rsid w:val="00EE50D1"/>
    <w:rsid w:val="00EE74C6"/>
    <w:rsid w:val="00EE7614"/>
    <w:rsid w:val="00EF14EF"/>
    <w:rsid w:val="00EF5110"/>
    <w:rsid w:val="00EF5890"/>
    <w:rsid w:val="00EF76BA"/>
    <w:rsid w:val="00F0127A"/>
    <w:rsid w:val="00F0231A"/>
    <w:rsid w:val="00F03463"/>
    <w:rsid w:val="00F036B7"/>
    <w:rsid w:val="00F0700F"/>
    <w:rsid w:val="00F07F1F"/>
    <w:rsid w:val="00F10363"/>
    <w:rsid w:val="00F10411"/>
    <w:rsid w:val="00F10A9A"/>
    <w:rsid w:val="00F11B2D"/>
    <w:rsid w:val="00F121C2"/>
    <w:rsid w:val="00F12F24"/>
    <w:rsid w:val="00F1485B"/>
    <w:rsid w:val="00F15882"/>
    <w:rsid w:val="00F170C7"/>
    <w:rsid w:val="00F171E0"/>
    <w:rsid w:val="00F176F2"/>
    <w:rsid w:val="00F20BD3"/>
    <w:rsid w:val="00F22A8C"/>
    <w:rsid w:val="00F25DD2"/>
    <w:rsid w:val="00F26813"/>
    <w:rsid w:val="00F322E9"/>
    <w:rsid w:val="00F3231B"/>
    <w:rsid w:val="00F33808"/>
    <w:rsid w:val="00F373A5"/>
    <w:rsid w:val="00F37864"/>
    <w:rsid w:val="00F404F9"/>
    <w:rsid w:val="00F44B0A"/>
    <w:rsid w:val="00F47559"/>
    <w:rsid w:val="00F47C78"/>
    <w:rsid w:val="00F50B30"/>
    <w:rsid w:val="00F51F5F"/>
    <w:rsid w:val="00F52D75"/>
    <w:rsid w:val="00F55582"/>
    <w:rsid w:val="00F571A7"/>
    <w:rsid w:val="00F57647"/>
    <w:rsid w:val="00F578D3"/>
    <w:rsid w:val="00F62A14"/>
    <w:rsid w:val="00F644AB"/>
    <w:rsid w:val="00F64C7B"/>
    <w:rsid w:val="00F676DD"/>
    <w:rsid w:val="00F67AB6"/>
    <w:rsid w:val="00F70028"/>
    <w:rsid w:val="00F70434"/>
    <w:rsid w:val="00F70FA0"/>
    <w:rsid w:val="00F75A26"/>
    <w:rsid w:val="00F76706"/>
    <w:rsid w:val="00F768A7"/>
    <w:rsid w:val="00F77D6D"/>
    <w:rsid w:val="00F80206"/>
    <w:rsid w:val="00F83034"/>
    <w:rsid w:val="00F83FAD"/>
    <w:rsid w:val="00F844C6"/>
    <w:rsid w:val="00F87D4D"/>
    <w:rsid w:val="00F92FA6"/>
    <w:rsid w:val="00F9353B"/>
    <w:rsid w:val="00F937F1"/>
    <w:rsid w:val="00F952A0"/>
    <w:rsid w:val="00FA31B1"/>
    <w:rsid w:val="00FA3320"/>
    <w:rsid w:val="00FA3A30"/>
    <w:rsid w:val="00FA3C7F"/>
    <w:rsid w:val="00FA6246"/>
    <w:rsid w:val="00FA6E80"/>
    <w:rsid w:val="00FA702C"/>
    <w:rsid w:val="00FB24ED"/>
    <w:rsid w:val="00FB3304"/>
    <w:rsid w:val="00FB5005"/>
    <w:rsid w:val="00FB60FE"/>
    <w:rsid w:val="00FB74E2"/>
    <w:rsid w:val="00FB778B"/>
    <w:rsid w:val="00FC2440"/>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B3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1.xm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6A3123-FBE8-4A5E-AB90-B4E093C0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AD52FC0A</Template>
  <TotalTime>0</TotalTime>
  <Pages>37</Pages>
  <Words>9404</Words>
  <Characters>53608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2017-06-11T21:50:00Z</dcterms:created>
  <dcterms:modified xsi:type="dcterms:W3CDTF">2017-07-03T00:46:00Z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