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5B332D5" wp14:editId="46B1B7C5">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AE3E8B8" wp14:editId="0463A0C1">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5A030C" w:rsidRDefault="005A030C" w:rsidP="00D5015C">
          <w:pPr>
            <w:pStyle w:val="ReportSubtitle"/>
          </w:pPr>
          <w:r w:rsidRPr="005A030C">
            <w:t>DRAFT DECISION</w:t>
          </w:r>
        </w:p>
        <w:p w:rsidR="006126E9" w:rsidRDefault="006126E9" w:rsidP="00D5015C">
          <w:pPr>
            <w:pStyle w:val="ReportSubtitle"/>
          </w:pPr>
          <w:r>
            <w:t>AusNet Services</w:t>
          </w:r>
          <w:r w:rsidR="00D5015C">
            <w:t xml:space="preserve"> </w:t>
          </w:r>
        </w:p>
        <w:p w:rsidR="00D5015C" w:rsidRDefault="006126E9"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FC3404">
            <w:t>8</w:t>
          </w:r>
          <w:r w:rsidR="000474DF">
            <w:t xml:space="preserve"> </w:t>
          </w:r>
          <w:r w:rsidR="00185BA5">
            <w:t>–</w:t>
          </w:r>
          <w:r w:rsidR="000474DF">
            <w:t xml:space="preserve"> </w:t>
          </w:r>
          <w:r w:rsidR="00FC3404">
            <w:t>Corporate income tax</w:t>
          </w:r>
        </w:p>
        <w:p w:rsidR="00D5015C" w:rsidRDefault="00D5015C" w:rsidP="00327A1E">
          <w:pPr>
            <w:pStyle w:val="ReportDate"/>
          </w:pPr>
        </w:p>
        <w:p w:rsidR="00D5015C" w:rsidRDefault="00D5015C" w:rsidP="00327A1E">
          <w:pPr>
            <w:pStyle w:val="ReportDate"/>
          </w:pPr>
        </w:p>
        <w:p w:rsidR="000A6C7B" w:rsidRPr="00327A1E" w:rsidRDefault="00855D41" w:rsidP="00327A1E">
          <w:pPr>
            <w:pStyle w:val="ReportDate"/>
          </w:pPr>
          <w:r>
            <w:t>Ju</w:t>
          </w:r>
          <w:r w:rsidR="00A82188">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FC3404">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855D41" w:rsidRPr="00855D41">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40698"/>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6126E9">
        <w:t>AusNet Services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40699"/>
      <w:r>
        <w:t>Contents</w:t>
      </w:r>
      <w:bookmarkEnd w:id="8"/>
      <w:bookmarkEnd w:id="9"/>
    </w:p>
    <w:p w:rsidR="00CE2A23" w:rsidRDefault="00CE2A23" w:rsidP="00CE2A23"/>
    <w:sdt>
      <w:sdtPr>
        <w:id w:val="1269200322"/>
        <w:docPartObj>
          <w:docPartGallery w:val="Table of Contents"/>
          <w:docPartUnique/>
        </w:docPartObj>
      </w:sdtPr>
      <w:sdtEndPr/>
      <w:sdtContent>
        <w:p w:rsidR="00317C1E" w:rsidRDefault="00ED2AF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0698" w:history="1">
            <w:r w:rsidR="00317C1E" w:rsidRPr="00472DEB">
              <w:rPr>
                <w:rStyle w:val="Hyperlink"/>
              </w:rPr>
              <w:t>Note</w:t>
            </w:r>
            <w:r w:rsidR="00317C1E">
              <w:rPr>
                <w:webHidden/>
              </w:rPr>
              <w:tab/>
            </w:r>
            <w:r w:rsidR="00317C1E">
              <w:rPr>
                <w:webHidden/>
              </w:rPr>
              <w:fldChar w:fldCharType="begin"/>
            </w:r>
            <w:r w:rsidR="00317C1E">
              <w:rPr>
                <w:webHidden/>
              </w:rPr>
              <w:instrText xml:space="preserve"> PAGEREF _Toc486840698 \h </w:instrText>
            </w:r>
            <w:r w:rsidR="00317C1E">
              <w:rPr>
                <w:webHidden/>
              </w:rPr>
            </w:r>
            <w:r w:rsidR="00317C1E">
              <w:rPr>
                <w:webHidden/>
              </w:rPr>
              <w:fldChar w:fldCharType="separate"/>
            </w:r>
            <w:r w:rsidR="00B55396">
              <w:rPr>
                <w:webHidden/>
              </w:rPr>
              <w:t>8-2</w:t>
            </w:r>
            <w:r w:rsidR="00317C1E">
              <w:rPr>
                <w:webHidden/>
              </w:rPr>
              <w:fldChar w:fldCharType="end"/>
            </w:r>
          </w:hyperlink>
        </w:p>
        <w:p w:rsidR="00317C1E" w:rsidRDefault="00B55396">
          <w:pPr>
            <w:pStyle w:val="TOC1"/>
            <w:rPr>
              <w:rFonts w:asciiTheme="minorHAnsi" w:eastAsiaTheme="minorEastAsia" w:hAnsiTheme="minorHAnsi"/>
              <w:b w:val="0"/>
              <w:color w:val="auto"/>
              <w:sz w:val="22"/>
              <w:lang w:val="en-AU" w:eastAsia="en-AU"/>
            </w:rPr>
          </w:pPr>
          <w:hyperlink w:anchor="_Toc486840699" w:history="1">
            <w:r w:rsidR="00317C1E" w:rsidRPr="00472DEB">
              <w:rPr>
                <w:rStyle w:val="Hyperlink"/>
              </w:rPr>
              <w:t>Contents</w:t>
            </w:r>
            <w:r w:rsidR="00317C1E">
              <w:rPr>
                <w:webHidden/>
              </w:rPr>
              <w:tab/>
            </w:r>
            <w:r w:rsidR="00317C1E">
              <w:rPr>
                <w:webHidden/>
              </w:rPr>
              <w:fldChar w:fldCharType="begin"/>
            </w:r>
            <w:r w:rsidR="00317C1E">
              <w:rPr>
                <w:webHidden/>
              </w:rPr>
              <w:instrText xml:space="preserve"> PAGEREF _Toc486840699 \h </w:instrText>
            </w:r>
            <w:r w:rsidR="00317C1E">
              <w:rPr>
                <w:webHidden/>
              </w:rPr>
            </w:r>
            <w:r w:rsidR="00317C1E">
              <w:rPr>
                <w:webHidden/>
              </w:rPr>
              <w:fldChar w:fldCharType="separate"/>
            </w:r>
            <w:r>
              <w:rPr>
                <w:webHidden/>
              </w:rPr>
              <w:t>8-3</w:t>
            </w:r>
            <w:r w:rsidR="00317C1E">
              <w:rPr>
                <w:webHidden/>
              </w:rPr>
              <w:fldChar w:fldCharType="end"/>
            </w:r>
          </w:hyperlink>
        </w:p>
        <w:p w:rsidR="00317C1E" w:rsidRDefault="00B55396">
          <w:pPr>
            <w:pStyle w:val="TOC1"/>
            <w:rPr>
              <w:rFonts w:asciiTheme="minorHAnsi" w:eastAsiaTheme="minorEastAsia" w:hAnsiTheme="minorHAnsi"/>
              <w:b w:val="0"/>
              <w:color w:val="auto"/>
              <w:sz w:val="22"/>
              <w:lang w:val="en-AU" w:eastAsia="en-AU"/>
            </w:rPr>
          </w:pPr>
          <w:hyperlink w:anchor="_Toc486840700" w:history="1">
            <w:r w:rsidR="00317C1E" w:rsidRPr="00472DEB">
              <w:rPr>
                <w:rStyle w:val="Hyperlink"/>
              </w:rPr>
              <w:t>Shortened forms</w:t>
            </w:r>
            <w:r w:rsidR="00317C1E">
              <w:rPr>
                <w:webHidden/>
              </w:rPr>
              <w:tab/>
            </w:r>
            <w:r w:rsidR="00317C1E">
              <w:rPr>
                <w:webHidden/>
              </w:rPr>
              <w:fldChar w:fldCharType="begin"/>
            </w:r>
            <w:r w:rsidR="00317C1E">
              <w:rPr>
                <w:webHidden/>
              </w:rPr>
              <w:instrText xml:space="preserve"> PAGEREF _Toc486840700 \h </w:instrText>
            </w:r>
            <w:r w:rsidR="00317C1E">
              <w:rPr>
                <w:webHidden/>
              </w:rPr>
            </w:r>
            <w:r w:rsidR="00317C1E">
              <w:rPr>
                <w:webHidden/>
              </w:rPr>
              <w:fldChar w:fldCharType="separate"/>
            </w:r>
            <w:r>
              <w:rPr>
                <w:webHidden/>
              </w:rPr>
              <w:t>8-4</w:t>
            </w:r>
            <w:r w:rsidR="00317C1E">
              <w:rPr>
                <w:webHidden/>
              </w:rPr>
              <w:fldChar w:fldCharType="end"/>
            </w:r>
          </w:hyperlink>
        </w:p>
        <w:p w:rsidR="00317C1E" w:rsidRDefault="00B55396">
          <w:pPr>
            <w:pStyle w:val="TOC1"/>
            <w:rPr>
              <w:rFonts w:asciiTheme="minorHAnsi" w:eastAsiaTheme="minorEastAsia" w:hAnsiTheme="minorHAnsi"/>
              <w:b w:val="0"/>
              <w:color w:val="auto"/>
              <w:sz w:val="22"/>
              <w:lang w:val="en-AU" w:eastAsia="en-AU"/>
            </w:rPr>
          </w:pPr>
          <w:hyperlink w:anchor="_Toc486840701" w:history="1">
            <w:r w:rsidR="00317C1E" w:rsidRPr="00472DEB">
              <w:rPr>
                <w:rStyle w:val="Hyperlink"/>
              </w:rPr>
              <w:t>8</w:t>
            </w:r>
            <w:r w:rsidR="00317C1E">
              <w:rPr>
                <w:rFonts w:asciiTheme="minorHAnsi" w:eastAsiaTheme="minorEastAsia" w:hAnsiTheme="minorHAnsi"/>
                <w:b w:val="0"/>
                <w:color w:val="auto"/>
                <w:sz w:val="22"/>
                <w:lang w:val="en-AU" w:eastAsia="en-AU"/>
              </w:rPr>
              <w:tab/>
            </w:r>
            <w:r w:rsidR="00317C1E" w:rsidRPr="00472DEB">
              <w:rPr>
                <w:rStyle w:val="Hyperlink"/>
              </w:rPr>
              <w:t>Corporate income tax</w:t>
            </w:r>
            <w:r w:rsidR="00317C1E">
              <w:rPr>
                <w:webHidden/>
              </w:rPr>
              <w:tab/>
            </w:r>
            <w:r w:rsidR="00317C1E">
              <w:rPr>
                <w:webHidden/>
              </w:rPr>
              <w:fldChar w:fldCharType="begin"/>
            </w:r>
            <w:r w:rsidR="00317C1E">
              <w:rPr>
                <w:webHidden/>
              </w:rPr>
              <w:instrText xml:space="preserve"> PAGEREF _Toc486840701 \h </w:instrText>
            </w:r>
            <w:r w:rsidR="00317C1E">
              <w:rPr>
                <w:webHidden/>
              </w:rPr>
            </w:r>
            <w:r w:rsidR="00317C1E">
              <w:rPr>
                <w:webHidden/>
              </w:rPr>
              <w:fldChar w:fldCharType="separate"/>
            </w:r>
            <w:r>
              <w:rPr>
                <w:webHidden/>
              </w:rPr>
              <w:t>8-5</w:t>
            </w:r>
            <w:r w:rsidR="00317C1E">
              <w:rPr>
                <w:webHidden/>
              </w:rPr>
              <w:fldChar w:fldCharType="end"/>
            </w:r>
          </w:hyperlink>
        </w:p>
        <w:p w:rsidR="00317C1E" w:rsidRDefault="00B55396">
          <w:pPr>
            <w:pStyle w:val="TOC2"/>
            <w:rPr>
              <w:rFonts w:asciiTheme="minorHAnsi" w:eastAsiaTheme="minorEastAsia" w:hAnsiTheme="minorHAnsi"/>
              <w:b w:val="0"/>
              <w:color w:val="auto"/>
              <w:sz w:val="22"/>
              <w:lang w:eastAsia="en-AU"/>
            </w:rPr>
          </w:pPr>
          <w:hyperlink w:anchor="_Toc486840702" w:history="1">
            <w:r w:rsidR="00317C1E" w:rsidRPr="00472DEB">
              <w:rPr>
                <w:rStyle w:val="Hyperlink"/>
              </w:rPr>
              <w:t>8.1</w:t>
            </w:r>
            <w:r w:rsidR="00317C1E">
              <w:rPr>
                <w:rFonts w:asciiTheme="minorHAnsi" w:eastAsiaTheme="minorEastAsia" w:hAnsiTheme="minorHAnsi"/>
                <w:b w:val="0"/>
                <w:color w:val="auto"/>
                <w:sz w:val="22"/>
                <w:lang w:eastAsia="en-AU"/>
              </w:rPr>
              <w:tab/>
            </w:r>
            <w:r w:rsidR="00317C1E" w:rsidRPr="00472DEB">
              <w:rPr>
                <w:rStyle w:val="Hyperlink"/>
              </w:rPr>
              <w:t>Draft decision</w:t>
            </w:r>
            <w:r w:rsidR="00317C1E">
              <w:rPr>
                <w:webHidden/>
              </w:rPr>
              <w:tab/>
            </w:r>
            <w:r w:rsidR="00317C1E">
              <w:rPr>
                <w:webHidden/>
              </w:rPr>
              <w:fldChar w:fldCharType="begin"/>
            </w:r>
            <w:r w:rsidR="00317C1E">
              <w:rPr>
                <w:webHidden/>
              </w:rPr>
              <w:instrText xml:space="preserve"> PAGEREF _Toc486840702 \h </w:instrText>
            </w:r>
            <w:r w:rsidR="00317C1E">
              <w:rPr>
                <w:webHidden/>
              </w:rPr>
            </w:r>
            <w:r w:rsidR="00317C1E">
              <w:rPr>
                <w:webHidden/>
              </w:rPr>
              <w:fldChar w:fldCharType="separate"/>
            </w:r>
            <w:r>
              <w:rPr>
                <w:webHidden/>
              </w:rPr>
              <w:t>8-5</w:t>
            </w:r>
            <w:r w:rsidR="00317C1E">
              <w:rPr>
                <w:webHidden/>
              </w:rPr>
              <w:fldChar w:fldCharType="end"/>
            </w:r>
          </w:hyperlink>
        </w:p>
        <w:p w:rsidR="00317C1E" w:rsidRDefault="00B55396">
          <w:pPr>
            <w:pStyle w:val="TOC2"/>
            <w:rPr>
              <w:rFonts w:asciiTheme="minorHAnsi" w:eastAsiaTheme="minorEastAsia" w:hAnsiTheme="minorHAnsi"/>
              <w:b w:val="0"/>
              <w:color w:val="auto"/>
              <w:sz w:val="22"/>
              <w:lang w:eastAsia="en-AU"/>
            </w:rPr>
          </w:pPr>
          <w:hyperlink w:anchor="_Toc486840703" w:history="1">
            <w:r w:rsidR="00317C1E" w:rsidRPr="00472DEB">
              <w:rPr>
                <w:rStyle w:val="Hyperlink"/>
              </w:rPr>
              <w:t>8.2</w:t>
            </w:r>
            <w:r w:rsidR="00317C1E">
              <w:rPr>
                <w:rFonts w:asciiTheme="minorHAnsi" w:eastAsiaTheme="minorEastAsia" w:hAnsiTheme="minorHAnsi"/>
                <w:b w:val="0"/>
                <w:color w:val="auto"/>
                <w:sz w:val="22"/>
                <w:lang w:eastAsia="en-AU"/>
              </w:rPr>
              <w:tab/>
            </w:r>
            <w:r w:rsidR="00317C1E" w:rsidRPr="00472DEB">
              <w:rPr>
                <w:rStyle w:val="Hyperlink"/>
              </w:rPr>
              <w:t>AusNet's proposal</w:t>
            </w:r>
            <w:r w:rsidR="00317C1E">
              <w:rPr>
                <w:webHidden/>
              </w:rPr>
              <w:tab/>
            </w:r>
            <w:r w:rsidR="00317C1E">
              <w:rPr>
                <w:webHidden/>
              </w:rPr>
              <w:fldChar w:fldCharType="begin"/>
            </w:r>
            <w:r w:rsidR="00317C1E">
              <w:rPr>
                <w:webHidden/>
              </w:rPr>
              <w:instrText xml:space="preserve"> PAGEREF _Toc486840703 \h </w:instrText>
            </w:r>
            <w:r w:rsidR="00317C1E">
              <w:rPr>
                <w:webHidden/>
              </w:rPr>
            </w:r>
            <w:r w:rsidR="00317C1E">
              <w:rPr>
                <w:webHidden/>
              </w:rPr>
              <w:fldChar w:fldCharType="separate"/>
            </w:r>
            <w:r>
              <w:rPr>
                <w:webHidden/>
              </w:rPr>
              <w:t>8-6</w:t>
            </w:r>
            <w:r w:rsidR="00317C1E">
              <w:rPr>
                <w:webHidden/>
              </w:rPr>
              <w:fldChar w:fldCharType="end"/>
            </w:r>
          </w:hyperlink>
        </w:p>
        <w:p w:rsidR="00317C1E" w:rsidRDefault="00B55396">
          <w:pPr>
            <w:pStyle w:val="TOC2"/>
            <w:rPr>
              <w:rFonts w:asciiTheme="minorHAnsi" w:eastAsiaTheme="minorEastAsia" w:hAnsiTheme="minorHAnsi"/>
              <w:b w:val="0"/>
              <w:color w:val="auto"/>
              <w:sz w:val="22"/>
              <w:lang w:eastAsia="en-AU"/>
            </w:rPr>
          </w:pPr>
          <w:hyperlink w:anchor="_Toc486840704" w:history="1">
            <w:r w:rsidR="00317C1E" w:rsidRPr="00472DEB">
              <w:rPr>
                <w:rStyle w:val="Hyperlink"/>
              </w:rPr>
              <w:t>8.3</w:t>
            </w:r>
            <w:r w:rsidR="00317C1E">
              <w:rPr>
                <w:rFonts w:asciiTheme="minorHAnsi" w:eastAsiaTheme="minorEastAsia" w:hAnsiTheme="minorHAnsi"/>
                <w:b w:val="0"/>
                <w:color w:val="auto"/>
                <w:sz w:val="22"/>
                <w:lang w:eastAsia="en-AU"/>
              </w:rPr>
              <w:tab/>
            </w:r>
            <w:r w:rsidR="00317C1E" w:rsidRPr="00472DEB">
              <w:rPr>
                <w:rStyle w:val="Hyperlink"/>
              </w:rPr>
              <w:t>AER's assessment approach</w:t>
            </w:r>
            <w:r w:rsidR="00317C1E">
              <w:rPr>
                <w:webHidden/>
              </w:rPr>
              <w:tab/>
            </w:r>
            <w:r w:rsidR="00317C1E">
              <w:rPr>
                <w:webHidden/>
              </w:rPr>
              <w:fldChar w:fldCharType="begin"/>
            </w:r>
            <w:r w:rsidR="00317C1E">
              <w:rPr>
                <w:webHidden/>
              </w:rPr>
              <w:instrText xml:space="preserve"> PAGEREF _Toc486840704 \h </w:instrText>
            </w:r>
            <w:r w:rsidR="00317C1E">
              <w:rPr>
                <w:webHidden/>
              </w:rPr>
            </w:r>
            <w:r w:rsidR="00317C1E">
              <w:rPr>
                <w:webHidden/>
              </w:rPr>
              <w:fldChar w:fldCharType="separate"/>
            </w:r>
            <w:r>
              <w:rPr>
                <w:webHidden/>
              </w:rPr>
              <w:t>8-7</w:t>
            </w:r>
            <w:r w:rsidR="00317C1E">
              <w:rPr>
                <w:webHidden/>
              </w:rPr>
              <w:fldChar w:fldCharType="end"/>
            </w:r>
          </w:hyperlink>
        </w:p>
        <w:p w:rsidR="00317C1E" w:rsidRDefault="00B55396">
          <w:pPr>
            <w:pStyle w:val="TOC3"/>
            <w:rPr>
              <w:rFonts w:asciiTheme="minorHAnsi" w:eastAsiaTheme="minorEastAsia" w:hAnsiTheme="minorHAnsi"/>
              <w:lang w:eastAsia="en-AU"/>
            </w:rPr>
          </w:pPr>
          <w:hyperlink w:anchor="_Toc486840705" w:history="1">
            <w:r w:rsidR="00317C1E" w:rsidRPr="00472DEB">
              <w:rPr>
                <w:rStyle w:val="Hyperlink"/>
              </w:rPr>
              <w:t>8.3.1</w:t>
            </w:r>
            <w:r w:rsidR="00317C1E">
              <w:rPr>
                <w:rFonts w:asciiTheme="minorHAnsi" w:eastAsiaTheme="minorEastAsia" w:hAnsiTheme="minorHAnsi"/>
                <w:lang w:eastAsia="en-AU"/>
              </w:rPr>
              <w:tab/>
            </w:r>
            <w:r w:rsidR="00317C1E" w:rsidRPr="00472DEB">
              <w:rPr>
                <w:rStyle w:val="Hyperlink"/>
              </w:rPr>
              <w:t>Interrelationships</w:t>
            </w:r>
            <w:r w:rsidR="00317C1E">
              <w:rPr>
                <w:webHidden/>
              </w:rPr>
              <w:tab/>
            </w:r>
            <w:r w:rsidR="00317C1E">
              <w:rPr>
                <w:webHidden/>
              </w:rPr>
              <w:fldChar w:fldCharType="begin"/>
            </w:r>
            <w:r w:rsidR="00317C1E">
              <w:rPr>
                <w:webHidden/>
              </w:rPr>
              <w:instrText xml:space="preserve"> PAGEREF _Toc486840705 \h </w:instrText>
            </w:r>
            <w:r w:rsidR="00317C1E">
              <w:rPr>
                <w:webHidden/>
              </w:rPr>
            </w:r>
            <w:r w:rsidR="00317C1E">
              <w:rPr>
                <w:webHidden/>
              </w:rPr>
              <w:fldChar w:fldCharType="separate"/>
            </w:r>
            <w:r>
              <w:rPr>
                <w:webHidden/>
              </w:rPr>
              <w:t>8-9</w:t>
            </w:r>
            <w:r w:rsidR="00317C1E">
              <w:rPr>
                <w:webHidden/>
              </w:rPr>
              <w:fldChar w:fldCharType="end"/>
            </w:r>
          </w:hyperlink>
        </w:p>
        <w:p w:rsidR="00317C1E" w:rsidRDefault="00B55396">
          <w:pPr>
            <w:pStyle w:val="TOC2"/>
            <w:rPr>
              <w:rFonts w:asciiTheme="minorHAnsi" w:eastAsiaTheme="minorEastAsia" w:hAnsiTheme="minorHAnsi"/>
              <w:b w:val="0"/>
              <w:color w:val="auto"/>
              <w:sz w:val="22"/>
              <w:lang w:eastAsia="en-AU"/>
            </w:rPr>
          </w:pPr>
          <w:hyperlink w:anchor="_Toc486840706" w:history="1">
            <w:r w:rsidR="00317C1E" w:rsidRPr="00472DEB">
              <w:rPr>
                <w:rStyle w:val="Hyperlink"/>
              </w:rPr>
              <w:t>8.4</w:t>
            </w:r>
            <w:r w:rsidR="00317C1E">
              <w:rPr>
                <w:rFonts w:asciiTheme="minorHAnsi" w:eastAsiaTheme="minorEastAsia" w:hAnsiTheme="minorHAnsi"/>
                <w:b w:val="0"/>
                <w:color w:val="auto"/>
                <w:sz w:val="22"/>
                <w:lang w:eastAsia="en-AU"/>
              </w:rPr>
              <w:tab/>
            </w:r>
            <w:r w:rsidR="00317C1E" w:rsidRPr="00472DEB">
              <w:rPr>
                <w:rStyle w:val="Hyperlink"/>
              </w:rPr>
              <w:t>Reasons for draft decision</w:t>
            </w:r>
            <w:r w:rsidR="00317C1E">
              <w:rPr>
                <w:webHidden/>
              </w:rPr>
              <w:tab/>
            </w:r>
            <w:r w:rsidR="00317C1E">
              <w:rPr>
                <w:webHidden/>
              </w:rPr>
              <w:fldChar w:fldCharType="begin"/>
            </w:r>
            <w:r w:rsidR="00317C1E">
              <w:rPr>
                <w:webHidden/>
              </w:rPr>
              <w:instrText xml:space="preserve"> PAGEREF _Toc486840706 \h </w:instrText>
            </w:r>
            <w:r w:rsidR="00317C1E">
              <w:rPr>
                <w:webHidden/>
              </w:rPr>
            </w:r>
            <w:r w:rsidR="00317C1E">
              <w:rPr>
                <w:webHidden/>
              </w:rPr>
              <w:fldChar w:fldCharType="separate"/>
            </w:r>
            <w:r>
              <w:rPr>
                <w:webHidden/>
              </w:rPr>
              <w:t>8-10</w:t>
            </w:r>
            <w:r w:rsidR="00317C1E">
              <w:rPr>
                <w:webHidden/>
              </w:rPr>
              <w:fldChar w:fldCharType="end"/>
            </w:r>
          </w:hyperlink>
        </w:p>
        <w:p w:rsidR="00317C1E" w:rsidRDefault="00B55396">
          <w:pPr>
            <w:pStyle w:val="TOC3"/>
            <w:rPr>
              <w:rFonts w:asciiTheme="minorHAnsi" w:eastAsiaTheme="minorEastAsia" w:hAnsiTheme="minorHAnsi"/>
              <w:lang w:eastAsia="en-AU"/>
            </w:rPr>
          </w:pPr>
          <w:hyperlink w:anchor="_Toc486840707" w:history="1">
            <w:r w:rsidR="00317C1E" w:rsidRPr="00472DEB">
              <w:rPr>
                <w:rStyle w:val="Hyperlink"/>
              </w:rPr>
              <w:t>8.4.1</w:t>
            </w:r>
            <w:r w:rsidR="00317C1E">
              <w:rPr>
                <w:rFonts w:asciiTheme="minorHAnsi" w:eastAsiaTheme="minorEastAsia" w:hAnsiTheme="minorHAnsi"/>
                <w:lang w:eastAsia="en-AU"/>
              </w:rPr>
              <w:tab/>
            </w:r>
            <w:r w:rsidR="00317C1E" w:rsidRPr="00472DEB">
              <w:rPr>
                <w:rStyle w:val="Hyperlink"/>
              </w:rPr>
              <w:t>Transition to AER preferred straight-line tax depreciation</w:t>
            </w:r>
            <w:r w:rsidR="00317C1E">
              <w:rPr>
                <w:webHidden/>
              </w:rPr>
              <w:tab/>
            </w:r>
            <w:r w:rsidR="00317C1E">
              <w:rPr>
                <w:webHidden/>
              </w:rPr>
              <w:fldChar w:fldCharType="begin"/>
            </w:r>
            <w:r w:rsidR="00317C1E">
              <w:rPr>
                <w:webHidden/>
              </w:rPr>
              <w:instrText xml:space="preserve"> PAGEREF _Toc486840707 \h </w:instrText>
            </w:r>
            <w:r w:rsidR="00317C1E">
              <w:rPr>
                <w:webHidden/>
              </w:rPr>
            </w:r>
            <w:r w:rsidR="00317C1E">
              <w:rPr>
                <w:webHidden/>
              </w:rPr>
              <w:fldChar w:fldCharType="separate"/>
            </w:r>
            <w:r>
              <w:rPr>
                <w:webHidden/>
              </w:rPr>
              <w:t>8-10</w:t>
            </w:r>
            <w:r w:rsidR="00317C1E">
              <w:rPr>
                <w:webHidden/>
              </w:rPr>
              <w:fldChar w:fldCharType="end"/>
            </w:r>
          </w:hyperlink>
        </w:p>
        <w:p w:rsidR="00317C1E" w:rsidRDefault="00B55396">
          <w:pPr>
            <w:pStyle w:val="TOC3"/>
            <w:rPr>
              <w:rFonts w:asciiTheme="minorHAnsi" w:eastAsiaTheme="minorEastAsia" w:hAnsiTheme="minorHAnsi"/>
              <w:lang w:eastAsia="en-AU"/>
            </w:rPr>
          </w:pPr>
          <w:hyperlink w:anchor="_Toc486840708" w:history="1">
            <w:r w:rsidR="00317C1E" w:rsidRPr="00472DEB">
              <w:rPr>
                <w:rStyle w:val="Hyperlink"/>
              </w:rPr>
              <w:t>8.4.2</w:t>
            </w:r>
            <w:r w:rsidR="00317C1E">
              <w:rPr>
                <w:rFonts w:asciiTheme="minorHAnsi" w:eastAsiaTheme="minorEastAsia" w:hAnsiTheme="minorHAnsi"/>
                <w:lang w:eastAsia="en-AU"/>
              </w:rPr>
              <w:tab/>
            </w:r>
            <w:r w:rsidR="00317C1E" w:rsidRPr="00472DEB">
              <w:rPr>
                <w:rStyle w:val="Hyperlink"/>
              </w:rPr>
              <w:t>Opening tax asset base as at 1 January 2018</w:t>
            </w:r>
            <w:r w:rsidR="00317C1E">
              <w:rPr>
                <w:webHidden/>
              </w:rPr>
              <w:tab/>
            </w:r>
            <w:r w:rsidR="00317C1E">
              <w:rPr>
                <w:webHidden/>
              </w:rPr>
              <w:fldChar w:fldCharType="begin"/>
            </w:r>
            <w:r w:rsidR="00317C1E">
              <w:rPr>
                <w:webHidden/>
              </w:rPr>
              <w:instrText xml:space="preserve"> PAGEREF _Toc486840708 \h </w:instrText>
            </w:r>
            <w:r w:rsidR="00317C1E">
              <w:rPr>
                <w:webHidden/>
              </w:rPr>
            </w:r>
            <w:r w:rsidR="00317C1E">
              <w:rPr>
                <w:webHidden/>
              </w:rPr>
              <w:fldChar w:fldCharType="separate"/>
            </w:r>
            <w:r>
              <w:rPr>
                <w:webHidden/>
              </w:rPr>
              <w:t>8-11</w:t>
            </w:r>
            <w:r w:rsidR="00317C1E">
              <w:rPr>
                <w:webHidden/>
              </w:rPr>
              <w:fldChar w:fldCharType="end"/>
            </w:r>
          </w:hyperlink>
        </w:p>
        <w:p w:rsidR="00317C1E" w:rsidRDefault="00B55396">
          <w:pPr>
            <w:pStyle w:val="TOC3"/>
            <w:rPr>
              <w:rFonts w:asciiTheme="minorHAnsi" w:eastAsiaTheme="minorEastAsia" w:hAnsiTheme="minorHAnsi"/>
              <w:lang w:eastAsia="en-AU"/>
            </w:rPr>
          </w:pPr>
          <w:hyperlink w:anchor="_Toc486840709" w:history="1">
            <w:r w:rsidR="00317C1E" w:rsidRPr="00472DEB">
              <w:rPr>
                <w:rStyle w:val="Hyperlink"/>
              </w:rPr>
              <w:t>8.4.3</w:t>
            </w:r>
            <w:r w:rsidR="00317C1E">
              <w:rPr>
                <w:rFonts w:asciiTheme="minorHAnsi" w:eastAsiaTheme="minorEastAsia" w:hAnsiTheme="minorHAnsi"/>
                <w:lang w:eastAsia="en-AU"/>
              </w:rPr>
              <w:tab/>
            </w:r>
            <w:r w:rsidR="00317C1E" w:rsidRPr="00472DEB">
              <w:rPr>
                <w:rStyle w:val="Hyperlink"/>
              </w:rPr>
              <w:t>Standard tax asset lives</w:t>
            </w:r>
            <w:r w:rsidR="00317C1E">
              <w:rPr>
                <w:webHidden/>
              </w:rPr>
              <w:tab/>
            </w:r>
            <w:r w:rsidR="00317C1E">
              <w:rPr>
                <w:webHidden/>
              </w:rPr>
              <w:fldChar w:fldCharType="begin"/>
            </w:r>
            <w:r w:rsidR="00317C1E">
              <w:rPr>
                <w:webHidden/>
              </w:rPr>
              <w:instrText xml:space="preserve"> PAGEREF _Toc486840709 \h </w:instrText>
            </w:r>
            <w:r w:rsidR="00317C1E">
              <w:rPr>
                <w:webHidden/>
              </w:rPr>
            </w:r>
            <w:r w:rsidR="00317C1E">
              <w:rPr>
                <w:webHidden/>
              </w:rPr>
              <w:fldChar w:fldCharType="separate"/>
            </w:r>
            <w:r>
              <w:rPr>
                <w:webHidden/>
              </w:rPr>
              <w:t>8-12</w:t>
            </w:r>
            <w:r w:rsidR="00317C1E">
              <w:rPr>
                <w:webHidden/>
              </w:rPr>
              <w:fldChar w:fldCharType="end"/>
            </w:r>
          </w:hyperlink>
        </w:p>
        <w:p w:rsidR="00317C1E" w:rsidRDefault="00B55396">
          <w:pPr>
            <w:pStyle w:val="TOC3"/>
            <w:rPr>
              <w:rFonts w:asciiTheme="minorHAnsi" w:eastAsiaTheme="minorEastAsia" w:hAnsiTheme="minorHAnsi"/>
              <w:lang w:eastAsia="en-AU"/>
            </w:rPr>
          </w:pPr>
          <w:hyperlink w:anchor="_Toc486840710" w:history="1">
            <w:r w:rsidR="00317C1E" w:rsidRPr="00472DEB">
              <w:rPr>
                <w:rStyle w:val="Hyperlink"/>
              </w:rPr>
              <w:t>8.4.4</w:t>
            </w:r>
            <w:r w:rsidR="00317C1E">
              <w:rPr>
                <w:rFonts w:asciiTheme="minorHAnsi" w:eastAsiaTheme="minorEastAsia" w:hAnsiTheme="minorHAnsi"/>
                <w:lang w:eastAsia="en-AU"/>
              </w:rPr>
              <w:tab/>
            </w:r>
            <w:r w:rsidR="00317C1E" w:rsidRPr="00472DEB">
              <w:rPr>
                <w:rStyle w:val="Hyperlink"/>
              </w:rPr>
              <w:t>Remaining tax asset lives as at 1 January 2018</w:t>
            </w:r>
            <w:r w:rsidR="00317C1E">
              <w:rPr>
                <w:webHidden/>
              </w:rPr>
              <w:tab/>
            </w:r>
            <w:r w:rsidR="00317C1E">
              <w:rPr>
                <w:webHidden/>
              </w:rPr>
              <w:fldChar w:fldCharType="begin"/>
            </w:r>
            <w:r w:rsidR="00317C1E">
              <w:rPr>
                <w:webHidden/>
              </w:rPr>
              <w:instrText xml:space="preserve"> PAGEREF _Toc486840710 \h </w:instrText>
            </w:r>
            <w:r w:rsidR="00317C1E">
              <w:rPr>
                <w:webHidden/>
              </w:rPr>
            </w:r>
            <w:r w:rsidR="00317C1E">
              <w:rPr>
                <w:webHidden/>
              </w:rPr>
              <w:fldChar w:fldCharType="separate"/>
            </w:r>
            <w:r>
              <w:rPr>
                <w:webHidden/>
              </w:rPr>
              <w:t>8-12</w:t>
            </w:r>
            <w:r w:rsidR="00317C1E">
              <w:rPr>
                <w:webHidden/>
              </w:rPr>
              <w:fldChar w:fldCharType="end"/>
            </w:r>
          </w:hyperlink>
        </w:p>
        <w:p w:rsidR="00317C1E" w:rsidRDefault="00B55396">
          <w:pPr>
            <w:pStyle w:val="TOC2"/>
            <w:rPr>
              <w:rFonts w:asciiTheme="minorHAnsi" w:eastAsiaTheme="minorEastAsia" w:hAnsiTheme="minorHAnsi"/>
              <w:b w:val="0"/>
              <w:color w:val="auto"/>
              <w:sz w:val="22"/>
              <w:lang w:eastAsia="en-AU"/>
            </w:rPr>
          </w:pPr>
          <w:hyperlink w:anchor="_Toc486840711" w:history="1">
            <w:r w:rsidR="00317C1E" w:rsidRPr="00472DEB">
              <w:rPr>
                <w:rStyle w:val="Hyperlink"/>
              </w:rPr>
              <w:t>8.5</w:t>
            </w:r>
            <w:r w:rsidR="00317C1E">
              <w:rPr>
                <w:rFonts w:asciiTheme="minorHAnsi" w:eastAsiaTheme="minorEastAsia" w:hAnsiTheme="minorHAnsi"/>
                <w:b w:val="0"/>
                <w:color w:val="auto"/>
                <w:sz w:val="22"/>
                <w:lang w:eastAsia="en-AU"/>
              </w:rPr>
              <w:tab/>
            </w:r>
            <w:r w:rsidR="00317C1E" w:rsidRPr="00472DEB">
              <w:rPr>
                <w:rStyle w:val="Hyperlink"/>
              </w:rPr>
              <w:t>Revisions</w:t>
            </w:r>
            <w:r w:rsidR="00317C1E">
              <w:rPr>
                <w:webHidden/>
              </w:rPr>
              <w:tab/>
            </w:r>
            <w:r w:rsidR="00317C1E">
              <w:rPr>
                <w:webHidden/>
              </w:rPr>
              <w:fldChar w:fldCharType="begin"/>
            </w:r>
            <w:r w:rsidR="00317C1E">
              <w:rPr>
                <w:webHidden/>
              </w:rPr>
              <w:instrText xml:space="preserve"> PAGEREF _Toc486840711 \h </w:instrText>
            </w:r>
            <w:r w:rsidR="00317C1E">
              <w:rPr>
                <w:webHidden/>
              </w:rPr>
            </w:r>
            <w:r w:rsidR="00317C1E">
              <w:rPr>
                <w:webHidden/>
              </w:rPr>
              <w:fldChar w:fldCharType="separate"/>
            </w:r>
            <w:r>
              <w:rPr>
                <w:webHidden/>
              </w:rPr>
              <w:t>8-14</w:t>
            </w:r>
            <w:r w:rsidR="00317C1E">
              <w:rPr>
                <w:webHidden/>
              </w:rPr>
              <w:fldChar w:fldCharType="end"/>
            </w:r>
          </w:hyperlink>
        </w:p>
        <w:p w:rsidR="00CE2A23" w:rsidRDefault="00ED2AFD" w:rsidP="00ED2AFD">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40700"/>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855D41" w:rsidTr="00855D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Shortened form</w:t>
            </w:r>
          </w:p>
        </w:tc>
        <w:tc>
          <w:tcPr>
            <w:tcW w:w="5041" w:type="dxa"/>
          </w:tcPr>
          <w:p w:rsidR="00855D41" w:rsidRPr="00855D41" w:rsidRDefault="00855D41" w:rsidP="00855D41">
            <w:pPr>
              <w:numPr>
                <w:ilvl w:val="0"/>
                <w:numId w:val="24"/>
              </w:numPr>
              <w:cnfStyle w:val="100000000000" w:firstRow="1" w:lastRow="0" w:firstColumn="0" w:lastColumn="0" w:oddVBand="0" w:evenVBand="0" w:oddHBand="0" w:evenHBand="0" w:firstRowFirstColumn="0" w:firstRowLastColumn="0" w:lastRowFirstColumn="0" w:lastRowLastColumn="0"/>
            </w:pPr>
            <w:r w:rsidRPr="00855D41">
              <w:t>Extended form</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AER</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Australian Energy Regulator</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ATO</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Australian Tax Office</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capex</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capital expenditure</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CAPM</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capital asset pricing model</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CESS</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Capital Expenditure Sharing Scheme</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CPI</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consumer price index</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DRP</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debt risk premium</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ECM</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(Opex) Efficiency Carryover Mechanism</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ERP</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equity risk premium</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Expenditure Guideline</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Expenditure Forecast Assessment Guideline</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gamma</w:t>
            </w:r>
          </w:p>
        </w:tc>
        <w:tc>
          <w:tcPr>
            <w:tcW w:w="5041" w:type="dxa"/>
          </w:tcPr>
          <w:p w:rsidR="00855D41" w:rsidRPr="00855D41" w:rsidRDefault="00855D41" w:rsidP="00855D41">
            <w:pPr>
              <w:cnfStyle w:val="000000000000" w:firstRow="0" w:lastRow="0" w:firstColumn="0" w:lastColumn="0" w:oddVBand="0" w:evenVBand="0" w:oddHBand="0" w:evenHBand="0" w:firstRowFirstColumn="0" w:firstRowLastColumn="0" w:lastRowFirstColumn="0" w:lastRowLastColumn="0"/>
            </w:pPr>
            <w:r w:rsidRPr="00855D41">
              <w:t>Value of Imputation Credits</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MRP</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market risk premium</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NGL</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National Gas Law</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NGO</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national gas objective</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NGR</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National Gas Rules</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NPV</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net present value</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opex</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operating expenditure</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PTRM</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post-tax revenue model</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RBA</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Reserve Bank of Australia</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RFM</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roll forward model</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RIN</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regulatory information notice</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RPP</w:t>
            </w:r>
          </w:p>
        </w:tc>
        <w:tc>
          <w:tcPr>
            <w:tcW w:w="5041" w:type="dxa"/>
          </w:tcPr>
          <w:p w:rsidR="00855D41" w:rsidRPr="00855D41" w:rsidRDefault="00855D41" w:rsidP="00855D41">
            <w:pPr>
              <w:numPr>
                <w:ilvl w:val="0"/>
                <w:numId w:val="24"/>
              </w:numPr>
              <w:cnfStyle w:val="000000010000" w:firstRow="0" w:lastRow="0" w:firstColumn="0" w:lastColumn="0" w:oddVBand="0" w:evenVBand="0" w:oddHBand="0" w:evenHBand="1" w:firstRowFirstColumn="0" w:firstRowLastColumn="0" w:lastRowFirstColumn="0" w:lastRowLastColumn="0"/>
            </w:pPr>
            <w:r w:rsidRPr="00855D41">
              <w:t>revenue and pricing principles</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SLCAPM</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Sharpe-Lintner capital asset pricing model</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STTM</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Short Term Trading Market</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TAB</w:t>
            </w:r>
          </w:p>
        </w:tc>
        <w:tc>
          <w:tcPr>
            <w:tcW w:w="5041" w:type="dxa"/>
          </w:tcPr>
          <w:p w:rsidR="00855D41" w:rsidRPr="00855D41" w:rsidRDefault="00855D41" w:rsidP="00855D41">
            <w:pPr>
              <w:cnfStyle w:val="000000000000" w:firstRow="0" w:lastRow="0" w:firstColumn="0" w:lastColumn="0" w:oddVBand="0" w:evenVBand="0" w:oddHBand="0" w:evenHBand="0" w:firstRowFirstColumn="0" w:firstRowLastColumn="0" w:lastRowFirstColumn="0" w:lastRowLastColumn="0"/>
            </w:pPr>
            <w:r w:rsidRPr="00855D41">
              <w:t>Tax asset base</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UAFG</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Unaccounted for gas</w:t>
            </w:r>
          </w:p>
        </w:tc>
      </w:tr>
      <w:tr w:rsidR="00855D41" w:rsidTr="00855D41">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WACC</w:t>
            </w:r>
          </w:p>
        </w:tc>
        <w:tc>
          <w:tcPr>
            <w:tcW w:w="5041" w:type="dxa"/>
          </w:tcPr>
          <w:p w:rsidR="00855D41" w:rsidRPr="00855D41" w:rsidRDefault="00855D41" w:rsidP="00855D41">
            <w:pPr>
              <w:numPr>
                <w:ilvl w:val="0"/>
                <w:numId w:val="24"/>
              </w:numPr>
              <w:cnfStyle w:val="000000000000" w:firstRow="0" w:lastRow="0" w:firstColumn="0" w:lastColumn="0" w:oddVBand="0" w:evenVBand="0" w:oddHBand="0" w:evenHBand="0" w:firstRowFirstColumn="0" w:firstRowLastColumn="0" w:lastRowFirstColumn="0" w:lastRowLastColumn="0"/>
            </w:pPr>
            <w:r w:rsidRPr="00855D41">
              <w:t>weighted average cost of capital</w:t>
            </w:r>
          </w:p>
        </w:tc>
      </w:tr>
      <w:tr w:rsidR="00855D41" w:rsidTr="00855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55D41" w:rsidRPr="00855D41" w:rsidRDefault="00855D41" w:rsidP="00855D41">
            <w:pPr>
              <w:numPr>
                <w:ilvl w:val="0"/>
                <w:numId w:val="24"/>
              </w:numPr>
            </w:pPr>
            <w:r w:rsidRPr="00855D41">
              <w:t>WPI</w:t>
            </w:r>
          </w:p>
        </w:tc>
        <w:tc>
          <w:tcPr>
            <w:tcW w:w="5041" w:type="dxa"/>
          </w:tcPr>
          <w:p w:rsidR="00855D41" w:rsidRPr="00855D41" w:rsidRDefault="00855D41" w:rsidP="00855D41">
            <w:pPr>
              <w:cnfStyle w:val="000000010000" w:firstRow="0" w:lastRow="0" w:firstColumn="0" w:lastColumn="0" w:oddVBand="0" w:evenVBand="0" w:oddHBand="0" w:evenHBand="1" w:firstRowFirstColumn="0" w:firstRowLastColumn="0" w:lastRowFirstColumn="0" w:lastRowLastColumn="0"/>
            </w:pPr>
            <w:r w:rsidRPr="00855D41">
              <w:t>Wage Price Index</w:t>
            </w:r>
          </w:p>
        </w:tc>
      </w:tr>
    </w:tbl>
    <w:p w:rsidR="00DE563D" w:rsidRDefault="00FC3404" w:rsidP="00FC3404">
      <w:pPr>
        <w:pStyle w:val="Heading1"/>
      </w:pPr>
      <w:bookmarkStart w:id="12" w:name="_Toc485727400"/>
      <w:bookmarkStart w:id="13" w:name="_Toc485727403"/>
      <w:bookmarkStart w:id="14" w:name="_Toc485727406"/>
      <w:bookmarkStart w:id="15" w:name="_Toc485727409"/>
      <w:bookmarkStart w:id="16" w:name="_Toc485727412"/>
      <w:bookmarkStart w:id="17" w:name="_Toc485727415"/>
      <w:bookmarkStart w:id="18" w:name="_Toc485727418"/>
      <w:bookmarkStart w:id="19" w:name="_Toc485727421"/>
      <w:bookmarkStart w:id="20" w:name="_Toc485727424"/>
      <w:bookmarkStart w:id="21" w:name="_Toc485727427"/>
      <w:bookmarkStart w:id="22" w:name="_Toc485727430"/>
      <w:bookmarkStart w:id="23" w:name="_Toc485727433"/>
      <w:bookmarkStart w:id="24" w:name="_Toc485727436"/>
      <w:bookmarkStart w:id="25" w:name="_Toc485727439"/>
      <w:bookmarkStart w:id="26" w:name="_Toc485727442"/>
      <w:bookmarkStart w:id="27" w:name="_Toc485727445"/>
      <w:bookmarkStart w:id="28" w:name="_Toc485727448"/>
      <w:bookmarkStart w:id="29" w:name="_Toc485727451"/>
      <w:bookmarkStart w:id="30" w:name="_Toc485727454"/>
      <w:bookmarkStart w:id="31" w:name="_Toc485727457"/>
      <w:bookmarkStart w:id="32" w:name="_Toc485727460"/>
      <w:bookmarkStart w:id="33" w:name="_Toc485727463"/>
      <w:bookmarkStart w:id="34" w:name="_Toc485727466"/>
      <w:bookmarkStart w:id="35" w:name="_Toc485727469"/>
      <w:bookmarkStart w:id="36" w:name="_Toc485727472"/>
      <w:bookmarkStart w:id="37" w:name="_Toc485727475"/>
      <w:bookmarkStart w:id="38" w:name="_Toc485727478"/>
      <w:bookmarkStart w:id="39" w:name="_Toc485727481"/>
      <w:bookmarkStart w:id="40" w:name="_Toc416278154"/>
      <w:bookmarkStart w:id="41" w:name="_Toc416346517"/>
      <w:bookmarkStart w:id="42" w:name="_Toc416278157"/>
      <w:bookmarkStart w:id="43" w:name="_Toc416346520"/>
      <w:bookmarkStart w:id="44" w:name="_Toc416278160"/>
      <w:bookmarkStart w:id="45" w:name="_Toc416346523"/>
      <w:bookmarkStart w:id="46" w:name="_Toc416278163"/>
      <w:bookmarkStart w:id="47" w:name="_Toc416346526"/>
      <w:bookmarkStart w:id="48" w:name="_Toc416278166"/>
      <w:bookmarkStart w:id="49" w:name="_Toc416346529"/>
      <w:bookmarkStart w:id="50" w:name="_Toc416278169"/>
      <w:bookmarkStart w:id="51" w:name="_Toc416346532"/>
      <w:bookmarkStart w:id="52" w:name="_Toc416278172"/>
      <w:bookmarkStart w:id="53" w:name="_Toc416346535"/>
      <w:bookmarkStart w:id="54" w:name="_Toc416278175"/>
      <w:bookmarkStart w:id="55" w:name="_Toc416346538"/>
      <w:bookmarkStart w:id="56" w:name="_Toc416278178"/>
      <w:bookmarkStart w:id="57" w:name="_Toc416346541"/>
      <w:bookmarkStart w:id="58" w:name="_Toc416278181"/>
      <w:bookmarkStart w:id="59" w:name="_Toc416346544"/>
      <w:bookmarkStart w:id="60" w:name="_Toc416278184"/>
      <w:bookmarkStart w:id="61" w:name="_Toc416346547"/>
      <w:bookmarkStart w:id="62" w:name="_Toc416278187"/>
      <w:bookmarkStart w:id="63" w:name="_Toc416346550"/>
      <w:bookmarkStart w:id="64" w:name="_Toc416278190"/>
      <w:bookmarkStart w:id="65" w:name="_Toc416346553"/>
      <w:bookmarkStart w:id="66" w:name="_Toc416278193"/>
      <w:bookmarkStart w:id="67" w:name="_Toc416346556"/>
      <w:bookmarkStart w:id="68" w:name="_Toc416278196"/>
      <w:bookmarkStart w:id="69" w:name="_Toc416346559"/>
      <w:bookmarkStart w:id="70" w:name="_Toc416278199"/>
      <w:bookmarkStart w:id="71" w:name="_Toc416346562"/>
      <w:bookmarkStart w:id="72" w:name="_Toc416278202"/>
      <w:bookmarkStart w:id="73" w:name="_Toc416346565"/>
      <w:bookmarkStart w:id="74" w:name="_Toc416278205"/>
      <w:bookmarkStart w:id="75" w:name="_Toc416346568"/>
      <w:bookmarkStart w:id="76" w:name="_Toc416278208"/>
      <w:bookmarkStart w:id="77" w:name="_Toc416346571"/>
      <w:bookmarkStart w:id="78" w:name="_Toc416278211"/>
      <w:bookmarkStart w:id="79" w:name="_Toc416346574"/>
      <w:bookmarkStart w:id="80" w:name="_Toc416278214"/>
      <w:bookmarkStart w:id="81" w:name="_Toc416346577"/>
      <w:bookmarkStart w:id="82" w:name="_Toc416278217"/>
      <w:bookmarkStart w:id="83" w:name="_Toc416346580"/>
      <w:bookmarkStart w:id="84" w:name="_Toc416278220"/>
      <w:bookmarkStart w:id="85" w:name="_Toc416346583"/>
      <w:bookmarkStart w:id="86" w:name="_Toc416278223"/>
      <w:bookmarkStart w:id="87" w:name="_Toc416346586"/>
      <w:bookmarkStart w:id="88" w:name="_Toc416278226"/>
      <w:bookmarkStart w:id="89" w:name="_Toc416346589"/>
      <w:bookmarkStart w:id="90" w:name="_Toc416278229"/>
      <w:bookmarkStart w:id="91" w:name="_Toc416346592"/>
      <w:bookmarkStart w:id="92" w:name="_Toc416278232"/>
      <w:bookmarkStart w:id="93" w:name="_Toc416346595"/>
      <w:bookmarkStart w:id="94" w:name="_Toc416278235"/>
      <w:bookmarkStart w:id="95" w:name="_Toc416346598"/>
      <w:bookmarkStart w:id="96" w:name="_Toc416278238"/>
      <w:bookmarkStart w:id="97" w:name="_Toc416346601"/>
      <w:bookmarkStart w:id="98" w:name="_Toc48684070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Corporate income tax</w:t>
      </w:r>
      <w:bookmarkEnd w:id="98"/>
    </w:p>
    <w:p w:rsidR="009F38B5" w:rsidRPr="00FD50DB" w:rsidRDefault="009F38B5" w:rsidP="009F38B5">
      <w:r w:rsidRPr="00FD50DB">
        <w:t xml:space="preserve">When determining the </w:t>
      </w:r>
      <w:r w:rsidR="00882427">
        <w:t>total</w:t>
      </w:r>
      <w:r>
        <w:t xml:space="preserve"> </w:t>
      </w:r>
      <w:r w:rsidRPr="00FD50DB">
        <w:t xml:space="preserve">revenue for </w:t>
      </w:r>
      <w:r w:rsidR="00247199">
        <w:t>AusNet</w:t>
      </w:r>
      <w:r w:rsidRPr="00FD50DB">
        <w:t xml:space="preserve">, we </w:t>
      </w:r>
      <w:r w:rsidR="00882427">
        <w:t>include an</w:t>
      </w:r>
      <w:r w:rsidRPr="00FD50DB">
        <w:t xml:space="preserve"> estimate </w:t>
      </w:r>
      <w:r w:rsidR="00882427">
        <w:t xml:space="preserve">of </w:t>
      </w:r>
      <w:r w:rsidR="00247199">
        <w:t>AusNet</w:t>
      </w:r>
      <w:r w:rsidR="003D7105">
        <w:t>'s</w:t>
      </w:r>
      <w:r w:rsidR="00247199">
        <w:t xml:space="preserve"> </w:t>
      </w:r>
      <w:r w:rsidRPr="00FD50DB">
        <w:t>cost of corporate income tax.</w:t>
      </w:r>
      <w:r w:rsidRPr="00FD50DB">
        <w:rPr>
          <w:rStyle w:val="FootnoteReference"/>
        </w:rPr>
        <w:footnoteReference w:id="1"/>
      </w:r>
      <w:r w:rsidRPr="00FD50DB">
        <w:t xml:space="preserve"> </w:t>
      </w:r>
      <w:r w:rsidR="00247199">
        <w:t xml:space="preserve">AusNet </w:t>
      </w:r>
      <w:r w:rsidRPr="00FD50DB">
        <w:t xml:space="preserve">has adopted the post-tax framework to derive its revenue requirement for the </w:t>
      </w:r>
      <w:r>
        <w:t>2018–22</w:t>
      </w:r>
      <w:r w:rsidRPr="00FD50DB">
        <w:t xml:space="preserve"> access arrangement period.</w:t>
      </w:r>
      <w:r w:rsidRPr="00FD50DB">
        <w:rPr>
          <w:rStyle w:val="FootnoteReference"/>
        </w:rPr>
        <w:footnoteReference w:id="2"/>
      </w:r>
      <w:r w:rsidRPr="00FD50DB">
        <w:t xml:space="preserve"> Under the post-tax framework, a separate corporate income tax allowance is calculated as part of </w:t>
      </w:r>
      <w:r w:rsidR="00030FAE">
        <w:t>the building blocks assessment.</w:t>
      </w:r>
    </w:p>
    <w:p w:rsidR="00132D43" w:rsidRDefault="00132D43" w:rsidP="00132D43">
      <w:pPr>
        <w:pStyle w:val="Heading2"/>
      </w:pPr>
      <w:bookmarkStart w:id="99" w:name="_Toc486840702"/>
      <w:r>
        <w:t>Draft decision</w:t>
      </w:r>
      <w:bookmarkEnd w:id="99"/>
    </w:p>
    <w:p w:rsidR="009F38B5" w:rsidRDefault="009F38B5" w:rsidP="009F38B5">
      <w:r>
        <w:t xml:space="preserve">We </w:t>
      </w:r>
      <w:r w:rsidR="00A61EAC">
        <w:t xml:space="preserve">accept </w:t>
      </w:r>
      <w:r w:rsidR="00247199">
        <w:t>AusNet</w:t>
      </w:r>
      <w:r w:rsidR="003D7105">
        <w:t>'s</w:t>
      </w:r>
      <w:r>
        <w:t xml:space="preserve"> proposed approach to calculate its forecast corporate income tax allowance. </w:t>
      </w:r>
      <w:r w:rsidR="00247199">
        <w:t>AusNet</w:t>
      </w:r>
      <w:r w:rsidR="003D7105">
        <w:t>'s</w:t>
      </w:r>
      <w:r>
        <w:t xml:space="preserve"> proposed </w:t>
      </w:r>
      <w:r w:rsidRPr="00167CF1">
        <w:t>approach i</w:t>
      </w:r>
      <w:r>
        <w:t xml:space="preserve">s consistent with the AER’s post-tax revenue model (PTRM) for electricity service providers and the approach previously approved in gas access arrangement decisions. </w:t>
      </w:r>
      <w:r w:rsidR="00584B6C">
        <w:t>However, w</w:t>
      </w:r>
      <w:r w:rsidR="00584B6C" w:rsidRPr="00FD50DB">
        <w:t xml:space="preserve">e do not </w:t>
      </w:r>
      <w:r w:rsidR="00584B6C">
        <w:t>accept</w:t>
      </w:r>
      <w:r w:rsidR="00584B6C" w:rsidRPr="00FD50DB">
        <w:t xml:space="preserve"> </w:t>
      </w:r>
      <w:r w:rsidR="00584B6C">
        <w:t>AusNet's</w:t>
      </w:r>
      <w:r w:rsidR="00584B6C" w:rsidRPr="00FD50DB">
        <w:t xml:space="preserve"> proposed corporate income tax allowance of $</w:t>
      </w:r>
      <w:r w:rsidR="00584B6C">
        <w:t>80.9</w:t>
      </w:r>
      <w:r w:rsidR="00584B6C" w:rsidRPr="00FD50DB">
        <w:t xml:space="preserve"> million ($nominal)</w:t>
      </w:r>
      <w:r w:rsidR="00584B6C" w:rsidRPr="00584B6C">
        <w:t xml:space="preserve"> </w:t>
      </w:r>
      <w:r w:rsidR="00584B6C" w:rsidRPr="00FD50DB">
        <w:t xml:space="preserve">for the </w:t>
      </w:r>
      <w:r w:rsidR="00584B6C">
        <w:rPr>
          <w:rStyle w:val="AERbody"/>
        </w:rPr>
        <w:t>2018–22</w:t>
      </w:r>
      <w:r w:rsidR="00584B6C" w:rsidRPr="00FD50DB">
        <w:rPr>
          <w:rStyle w:val="AERbody"/>
        </w:rPr>
        <w:t xml:space="preserve"> </w:t>
      </w:r>
      <w:r w:rsidR="00584B6C" w:rsidRPr="00FD50DB">
        <w:t xml:space="preserve">access arrangement period. </w:t>
      </w:r>
      <w:r w:rsidR="00A61EAC">
        <w:t>Our</w:t>
      </w:r>
      <w:r w:rsidR="00A61EAC" w:rsidRPr="009C2602">
        <w:t xml:space="preserve"> draft decision on </w:t>
      </w:r>
      <w:r w:rsidR="000D3900">
        <w:t>AusNet</w:t>
      </w:r>
      <w:r w:rsidR="00A61EAC">
        <w:t>'s</w:t>
      </w:r>
      <w:r w:rsidR="00A61EAC" w:rsidRPr="009C2602">
        <w:t xml:space="preserve"> </w:t>
      </w:r>
      <w:r w:rsidR="00A61EAC">
        <w:t>corporate income tax</w:t>
      </w:r>
      <w:r w:rsidR="00A61EAC" w:rsidRPr="009C2602">
        <w:t xml:space="preserve"> allowance over the </w:t>
      </w:r>
      <w:r w:rsidR="00A61EAC">
        <w:rPr>
          <w:rStyle w:val="AERbody"/>
        </w:rPr>
        <w:t>2018–22</w:t>
      </w:r>
      <w:r w:rsidR="00A61EAC" w:rsidRPr="00B077E0">
        <w:rPr>
          <w:rStyle w:val="AERbody"/>
        </w:rPr>
        <w:t xml:space="preserve"> </w:t>
      </w:r>
      <w:r w:rsidR="00A61EAC" w:rsidRPr="009C2602">
        <w:t>access arrangement period is $</w:t>
      </w:r>
      <w:r w:rsidR="00FE6947">
        <w:t>46.1</w:t>
      </w:r>
      <w:r w:rsidR="00A61EAC" w:rsidRPr="00FD50DB">
        <w:t xml:space="preserve"> </w:t>
      </w:r>
      <w:r w:rsidR="00A61EAC">
        <w:t xml:space="preserve">million ($ nominal). </w:t>
      </w:r>
      <w:r w:rsidR="00A61EAC" w:rsidRPr="009C2602">
        <w:t>This represents a reduction of $</w:t>
      </w:r>
      <w:r w:rsidR="004A7A86">
        <w:t>3</w:t>
      </w:r>
      <w:r w:rsidR="00A75BBA">
        <w:t>4.8</w:t>
      </w:r>
      <w:r w:rsidR="00A61EAC" w:rsidRPr="00FD50DB">
        <w:t xml:space="preserve"> </w:t>
      </w:r>
      <w:r w:rsidR="00A61EAC" w:rsidRPr="009C2602">
        <w:t>million (</w:t>
      </w:r>
      <w:r w:rsidR="00A61EAC">
        <w:t>$</w:t>
      </w:r>
      <w:r w:rsidR="00A61EAC" w:rsidRPr="009C2602">
        <w:t xml:space="preserve">nominal) or </w:t>
      </w:r>
      <w:r w:rsidR="00A75BBA">
        <w:t>43.1</w:t>
      </w:r>
      <w:r w:rsidR="00A61EAC" w:rsidRPr="00FD50DB">
        <w:t xml:space="preserve"> </w:t>
      </w:r>
      <w:r w:rsidR="00A61EAC" w:rsidRPr="009C2602">
        <w:t xml:space="preserve">per cent of </w:t>
      </w:r>
      <w:r w:rsidR="000D3900">
        <w:t>AusNet</w:t>
      </w:r>
      <w:r w:rsidR="00A61EAC">
        <w:t>'s</w:t>
      </w:r>
      <w:r w:rsidR="00A61EAC" w:rsidRPr="009C2602">
        <w:t xml:space="preserve"> proposed </w:t>
      </w:r>
      <w:r w:rsidR="00A61EAC">
        <w:t>forecast corporate income tax allowance</w:t>
      </w:r>
      <w:r w:rsidR="00584B6C">
        <w:t>.</w:t>
      </w:r>
    </w:p>
    <w:p w:rsidR="00882427" w:rsidRDefault="00A61EAC" w:rsidP="009F38B5">
      <w:r>
        <w:t>Our draft decision reflects</w:t>
      </w:r>
      <w:r w:rsidR="009F38B5">
        <w:t xml:space="preserve"> amendments </w:t>
      </w:r>
      <w:r w:rsidR="009F38B5" w:rsidRPr="00FD50DB">
        <w:t xml:space="preserve">to </w:t>
      </w:r>
      <w:r w:rsidR="00247199">
        <w:t>AusNet</w:t>
      </w:r>
      <w:r w:rsidR="003D7105">
        <w:t>'s</w:t>
      </w:r>
      <w:r w:rsidR="009F38B5" w:rsidRPr="00FD50DB">
        <w:t xml:space="preserve"> </w:t>
      </w:r>
      <w:r w:rsidR="009F38B5">
        <w:t>proposed inputs for forecasting the cost of corporate income tax</w:t>
      </w:r>
      <w:r w:rsidR="00882427">
        <w:t>,</w:t>
      </w:r>
      <w:r w:rsidR="009F38B5">
        <w:t xml:space="preserve"> including</w:t>
      </w:r>
      <w:r w:rsidR="00882427">
        <w:t>:</w:t>
      </w:r>
      <w:r w:rsidR="009F38B5">
        <w:t xml:space="preserve"> </w:t>
      </w:r>
    </w:p>
    <w:p w:rsidR="00882427" w:rsidRDefault="009F38B5" w:rsidP="00AF0D55">
      <w:pPr>
        <w:pStyle w:val="AERbulletlistfirststyle"/>
      </w:pPr>
      <w:r>
        <w:t xml:space="preserve">the opening </w:t>
      </w:r>
      <w:r w:rsidR="001A0248">
        <w:t>tax asset base (</w:t>
      </w:r>
      <w:r>
        <w:t>TAB</w:t>
      </w:r>
      <w:r w:rsidR="001A0248">
        <w:t>)</w:t>
      </w:r>
      <w:r>
        <w:t xml:space="preserve"> (section</w:t>
      </w:r>
      <w:r w:rsidR="00B2507E">
        <w:t xml:space="preserve"> </w:t>
      </w:r>
      <w:r w:rsidR="00B2507E">
        <w:fldChar w:fldCharType="begin"/>
      </w:r>
      <w:r w:rsidR="00B2507E">
        <w:instrText xml:space="preserve"> REF _Ref477521555 \r \h </w:instrText>
      </w:r>
      <w:r w:rsidR="00882427">
        <w:instrText xml:space="preserve"> \* MERGEFORMAT </w:instrText>
      </w:r>
      <w:r w:rsidR="00B2507E">
        <w:fldChar w:fldCharType="separate"/>
      </w:r>
      <w:r w:rsidR="00B55396">
        <w:t>8.4.2</w:t>
      </w:r>
      <w:r w:rsidR="00B2507E">
        <w:fldChar w:fldCharType="end"/>
      </w:r>
      <w:r>
        <w:t>)</w:t>
      </w:r>
    </w:p>
    <w:p w:rsidR="00882427" w:rsidRDefault="009F38B5" w:rsidP="00AF0D55">
      <w:pPr>
        <w:pStyle w:val="AERbulletlistfirststyle"/>
      </w:pPr>
      <w:r>
        <w:t>remaining tax asset lives (section</w:t>
      </w:r>
      <w:r w:rsidR="00B2507E">
        <w:t xml:space="preserve"> </w:t>
      </w:r>
      <w:r w:rsidR="00B2507E">
        <w:fldChar w:fldCharType="begin"/>
      </w:r>
      <w:r w:rsidR="00B2507E">
        <w:instrText xml:space="preserve"> REF _Ref477521571 \r \h </w:instrText>
      </w:r>
      <w:r w:rsidR="00882427">
        <w:instrText xml:space="preserve"> \* MERGEFORMAT </w:instrText>
      </w:r>
      <w:r w:rsidR="00B2507E">
        <w:fldChar w:fldCharType="separate"/>
      </w:r>
      <w:r w:rsidR="00B55396">
        <w:t>8.4.3</w:t>
      </w:r>
      <w:r w:rsidR="00B2507E">
        <w:fldChar w:fldCharType="end"/>
      </w:r>
      <w:r>
        <w:t xml:space="preserve">) </w:t>
      </w:r>
    </w:p>
    <w:p w:rsidR="00882427" w:rsidRDefault="009F38B5" w:rsidP="00AF0D55">
      <w:pPr>
        <w:pStyle w:val="AERbulletlistfirststyle"/>
        <w:rPr>
          <w:rStyle w:val="AERbody"/>
        </w:rPr>
      </w:pPr>
      <w:r>
        <w:t xml:space="preserve">the </w:t>
      </w:r>
      <w:r w:rsidRPr="00F17F59">
        <w:rPr>
          <w:rStyle w:val="AERbody"/>
        </w:rPr>
        <w:t>value of imputation cr</w:t>
      </w:r>
      <w:r>
        <w:rPr>
          <w:rStyle w:val="AERbody"/>
        </w:rPr>
        <w:t xml:space="preserve">edits (gamma) </w:t>
      </w:r>
      <w:r w:rsidRPr="00F17F59">
        <w:rPr>
          <w:rStyle w:val="AERbody"/>
        </w:rPr>
        <w:t xml:space="preserve">(attachment </w:t>
      </w:r>
      <w:r>
        <w:rPr>
          <w:rStyle w:val="AERbody"/>
        </w:rPr>
        <w:t>4</w:t>
      </w:r>
      <w:r w:rsidRPr="00F17F59">
        <w:rPr>
          <w:rStyle w:val="AERbody"/>
        </w:rPr>
        <w:t>)</w:t>
      </w:r>
      <w:r>
        <w:rPr>
          <w:rStyle w:val="AERbody"/>
        </w:rPr>
        <w:t>.</w:t>
      </w:r>
    </w:p>
    <w:p w:rsidR="009F38B5" w:rsidRDefault="009F38B5" w:rsidP="009F38B5">
      <w:pPr>
        <w:rPr>
          <w:rStyle w:val="AERbody"/>
        </w:rPr>
      </w:pPr>
      <w:r>
        <w:rPr>
          <w:rStyle w:val="AERbody"/>
        </w:rPr>
        <w:t>Our adjustments to the rate of return on capital (attachments 2, 3 and 6)</w:t>
      </w:r>
      <w:r>
        <w:rPr>
          <w:rStyle w:val="FootnoteReference"/>
        </w:rPr>
        <w:footnoteReference w:id="3"/>
      </w:r>
      <w:r>
        <w:rPr>
          <w:rStyle w:val="AERbody"/>
        </w:rPr>
        <w:t xml:space="preserve">, return of capital (attachment 5) and forecast opex (attachment 7) </w:t>
      </w:r>
      <w:r w:rsidR="00882427">
        <w:rPr>
          <w:rStyle w:val="AERbody"/>
        </w:rPr>
        <w:t xml:space="preserve">building block costs </w:t>
      </w:r>
      <w:r>
        <w:rPr>
          <w:rStyle w:val="AERbody"/>
        </w:rPr>
        <w:t>also affect revenues, which in turn impact the tax calculation</w:t>
      </w:r>
      <w:r w:rsidRPr="00F17F59">
        <w:rPr>
          <w:rStyle w:val="AERbody"/>
        </w:rPr>
        <w:t>.</w:t>
      </w:r>
      <w:r>
        <w:rPr>
          <w:rStyle w:val="FootnoteReference"/>
        </w:rPr>
        <w:footnoteReference w:id="4"/>
      </w:r>
    </w:p>
    <w:p w:rsidR="009F38B5" w:rsidRDefault="009F38B5" w:rsidP="009F38B5">
      <w:pPr>
        <w:rPr>
          <w:rStyle w:val="AERbody"/>
        </w:rPr>
      </w:pPr>
      <w:r>
        <w:rPr>
          <w:rStyle w:val="AERbody"/>
        </w:rPr>
        <w:t xml:space="preserve">In assessing </w:t>
      </w:r>
      <w:r w:rsidR="00247199">
        <w:rPr>
          <w:rStyle w:val="AERbody"/>
        </w:rPr>
        <w:t>AusNet’</w:t>
      </w:r>
      <w:r w:rsidR="0047148D">
        <w:rPr>
          <w:rStyle w:val="AERbody"/>
        </w:rPr>
        <w:t>s</w:t>
      </w:r>
      <w:r>
        <w:rPr>
          <w:rStyle w:val="AERbody"/>
        </w:rPr>
        <w:t xml:space="preserve"> proposal, we have had regard to the requirement of the NGO </w:t>
      </w:r>
      <w:r>
        <w:t>and the revenue and pricing principles.</w:t>
      </w:r>
      <w:r>
        <w:rPr>
          <w:rStyle w:val="FootnoteReference"/>
        </w:rPr>
        <w:footnoteReference w:id="5"/>
      </w:r>
      <w:r>
        <w:t xml:space="preserve"> </w:t>
      </w:r>
      <w:r w:rsidR="003C0EBD">
        <w:fldChar w:fldCharType="begin"/>
      </w:r>
      <w:r w:rsidR="003C0EBD">
        <w:instrText xml:space="preserve"> REF _Ref477520791 \h </w:instrText>
      </w:r>
      <w:r w:rsidR="003C0EBD">
        <w:fldChar w:fldCharType="separate"/>
      </w:r>
      <w:r w:rsidR="00B55396">
        <w:t xml:space="preserve">Table </w:t>
      </w:r>
      <w:r w:rsidR="00B55396">
        <w:rPr>
          <w:noProof/>
        </w:rPr>
        <w:t>8</w:t>
      </w:r>
      <w:r w:rsidR="00B55396">
        <w:t>.</w:t>
      </w:r>
      <w:r w:rsidR="00B55396">
        <w:rPr>
          <w:noProof/>
        </w:rPr>
        <w:t>1</w:t>
      </w:r>
      <w:r w:rsidR="003C0EBD">
        <w:fldChar w:fldCharType="end"/>
      </w:r>
      <w:r w:rsidR="003C0EBD">
        <w:t xml:space="preserve"> </w:t>
      </w:r>
      <w:r w:rsidRPr="001D04F8">
        <w:rPr>
          <w:rStyle w:val="AERbody"/>
        </w:rPr>
        <w:t xml:space="preserve">sets out our </w:t>
      </w:r>
      <w:r>
        <w:rPr>
          <w:rStyle w:val="AERbody"/>
        </w:rPr>
        <w:t>draft</w:t>
      </w:r>
      <w:r w:rsidRPr="001D04F8">
        <w:rPr>
          <w:rStyle w:val="AERbody"/>
        </w:rPr>
        <w:t xml:space="preserve"> decision on the estimated cost of corporate income tax allowance for </w:t>
      </w:r>
      <w:r w:rsidR="00247199">
        <w:rPr>
          <w:rStyle w:val="AERbody"/>
        </w:rPr>
        <w:t>AusNet</w:t>
      </w:r>
      <w:r w:rsidR="0091211C">
        <w:rPr>
          <w:rStyle w:val="AERbody"/>
        </w:rPr>
        <w:t xml:space="preserve"> over the 2018–22 access arrangement period</w:t>
      </w:r>
      <w:r w:rsidRPr="001D04F8">
        <w:rPr>
          <w:rStyle w:val="AERbody"/>
        </w:rPr>
        <w:t>.</w:t>
      </w:r>
    </w:p>
    <w:p w:rsidR="009F38B5" w:rsidRDefault="009F38B5" w:rsidP="009F38B5">
      <w:pPr>
        <w:pStyle w:val="Caption"/>
      </w:pPr>
      <w:bookmarkStart w:id="100" w:name="_Ref477520791"/>
      <w:r>
        <w:t xml:space="preserve">Table </w:t>
      </w:r>
      <w:fldSimple w:instr=" STYLEREF 1 \s ">
        <w:r w:rsidR="00B55396">
          <w:rPr>
            <w:noProof/>
          </w:rPr>
          <w:t>8</w:t>
        </w:r>
      </w:fldSimple>
      <w:r w:rsidR="003D7105">
        <w:t>.</w:t>
      </w:r>
      <w:fldSimple w:instr=" SEQ Table \* ARABIC \s 1 ">
        <w:r w:rsidR="00B55396">
          <w:rPr>
            <w:noProof/>
          </w:rPr>
          <w:t>1</w:t>
        </w:r>
      </w:fldSimple>
      <w:bookmarkEnd w:id="100"/>
      <w:r>
        <w:tab/>
        <w:t xml:space="preserve">AER's draft </w:t>
      </w:r>
      <w:r w:rsidR="003C0EBD">
        <w:t>decision on corporate income tax allowance for AusNet ($million, nominal)</w:t>
      </w:r>
      <w:r w:rsidR="0091211C">
        <w:t xml:space="preserve"> over the 2018–22 access arrangement period</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9F38B5" w:rsidRPr="00AB7791" w:rsidTr="0024719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9F38B5" w:rsidRPr="00522E09" w:rsidRDefault="009F38B5" w:rsidP="00030FAE">
            <w:pPr>
              <w:rPr>
                <w:b w:val="0"/>
                <w:color w:val="auto"/>
                <w:lang w:eastAsia="en-US"/>
              </w:rPr>
            </w:pPr>
          </w:p>
        </w:tc>
        <w:tc>
          <w:tcPr>
            <w:tcW w:w="933" w:type="dxa"/>
          </w:tcPr>
          <w:p w:rsidR="009F38B5" w:rsidRPr="00522E09" w:rsidRDefault="009F38B5"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522E09">
              <w:t>2018</w:t>
            </w:r>
          </w:p>
        </w:tc>
        <w:tc>
          <w:tcPr>
            <w:tcW w:w="934" w:type="dxa"/>
          </w:tcPr>
          <w:p w:rsidR="009F38B5" w:rsidRPr="001816AF" w:rsidRDefault="009F38B5"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1816AF">
              <w:t>2019</w:t>
            </w:r>
          </w:p>
        </w:tc>
        <w:tc>
          <w:tcPr>
            <w:tcW w:w="934" w:type="dxa"/>
          </w:tcPr>
          <w:p w:rsidR="009F38B5" w:rsidRPr="000715C4" w:rsidRDefault="009F38B5"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0715C4">
              <w:t>2020</w:t>
            </w:r>
          </w:p>
        </w:tc>
        <w:tc>
          <w:tcPr>
            <w:tcW w:w="934" w:type="dxa"/>
          </w:tcPr>
          <w:p w:rsidR="009F38B5" w:rsidRPr="000715C4" w:rsidRDefault="009F38B5"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0715C4">
              <w:t>2021</w:t>
            </w:r>
          </w:p>
        </w:tc>
        <w:tc>
          <w:tcPr>
            <w:tcW w:w="934" w:type="dxa"/>
          </w:tcPr>
          <w:p w:rsidR="009F38B5" w:rsidRPr="000715C4" w:rsidRDefault="009F38B5"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0715C4">
              <w:t>2022</w:t>
            </w:r>
          </w:p>
        </w:tc>
        <w:tc>
          <w:tcPr>
            <w:tcW w:w="934" w:type="dxa"/>
          </w:tcPr>
          <w:p w:rsidR="009F38B5" w:rsidRPr="000715C4" w:rsidRDefault="009F38B5"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0715C4">
              <w:t>Total</w:t>
            </w:r>
          </w:p>
        </w:tc>
      </w:tr>
      <w:tr w:rsidR="00A75BBA" w:rsidRPr="00AB7791" w:rsidTr="0035326E">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A75BBA" w:rsidRPr="00A75BBA" w:rsidRDefault="00A75BBA" w:rsidP="00A75BBA">
            <w:r w:rsidRPr="00A75BBA">
              <w:t>Tax payable</w:t>
            </w:r>
          </w:p>
        </w:tc>
        <w:tc>
          <w:tcPr>
            <w:tcW w:w="933"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16.7</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11.1</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11.5</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18.8</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18.8</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76.8</w:t>
            </w:r>
          </w:p>
        </w:tc>
      </w:tr>
      <w:tr w:rsidR="00A75BBA" w:rsidRPr="00AB7791" w:rsidTr="0035326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A75BBA" w:rsidRPr="00A75BBA" w:rsidRDefault="00A75BBA" w:rsidP="00A75BBA">
            <w:r w:rsidRPr="00A75BBA">
              <w:rPr>
                <w:rStyle w:val="AERtextitalic"/>
              </w:rPr>
              <w:t>Less</w:t>
            </w:r>
            <w:r w:rsidRPr="00A75BBA">
              <w:t>: value of imputation credits</w:t>
            </w:r>
          </w:p>
        </w:tc>
        <w:tc>
          <w:tcPr>
            <w:tcW w:w="933" w:type="dxa"/>
            <w:vAlign w:val="bottom"/>
          </w:tcPr>
          <w:p w:rsidR="00A75BBA" w:rsidRPr="00A75BBA" w:rsidRDefault="00A75BBA" w:rsidP="00A75BBA">
            <w:pPr>
              <w:cnfStyle w:val="000000010000" w:firstRow="0" w:lastRow="0" w:firstColumn="0" w:lastColumn="0" w:oddVBand="0" w:evenVBand="0" w:oddHBand="0" w:evenHBand="1" w:firstRowFirstColumn="0" w:firstRowLastColumn="0" w:lastRowFirstColumn="0" w:lastRowLastColumn="0"/>
            </w:pPr>
            <w:r w:rsidRPr="00A75BBA">
              <w:t>6.7</w:t>
            </w:r>
          </w:p>
        </w:tc>
        <w:tc>
          <w:tcPr>
            <w:tcW w:w="934" w:type="dxa"/>
            <w:vAlign w:val="bottom"/>
          </w:tcPr>
          <w:p w:rsidR="00A75BBA" w:rsidRPr="00A75BBA" w:rsidRDefault="00A75BBA" w:rsidP="00A75BBA">
            <w:pPr>
              <w:cnfStyle w:val="000000010000" w:firstRow="0" w:lastRow="0" w:firstColumn="0" w:lastColumn="0" w:oddVBand="0" w:evenVBand="0" w:oddHBand="0" w:evenHBand="1" w:firstRowFirstColumn="0" w:firstRowLastColumn="0" w:lastRowFirstColumn="0" w:lastRowLastColumn="0"/>
            </w:pPr>
            <w:r w:rsidRPr="00A75BBA">
              <w:t>4.4</w:t>
            </w:r>
          </w:p>
        </w:tc>
        <w:tc>
          <w:tcPr>
            <w:tcW w:w="934" w:type="dxa"/>
            <w:vAlign w:val="bottom"/>
          </w:tcPr>
          <w:p w:rsidR="00A75BBA" w:rsidRPr="00A75BBA" w:rsidRDefault="00A75BBA" w:rsidP="00A75BBA">
            <w:pPr>
              <w:cnfStyle w:val="000000010000" w:firstRow="0" w:lastRow="0" w:firstColumn="0" w:lastColumn="0" w:oddVBand="0" w:evenVBand="0" w:oddHBand="0" w:evenHBand="1" w:firstRowFirstColumn="0" w:firstRowLastColumn="0" w:lastRowFirstColumn="0" w:lastRowLastColumn="0"/>
            </w:pPr>
            <w:r w:rsidRPr="00A75BBA">
              <w:t>4.6</w:t>
            </w:r>
          </w:p>
        </w:tc>
        <w:tc>
          <w:tcPr>
            <w:tcW w:w="934" w:type="dxa"/>
            <w:vAlign w:val="bottom"/>
          </w:tcPr>
          <w:p w:rsidR="00A75BBA" w:rsidRPr="00A75BBA" w:rsidRDefault="00A75BBA" w:rsidP="00A75BBA">
            <w:pPr>
              <w:cnfStyle w:val="000000010000" w:firstRow="0" w:lastRow="0" w:firstColumn="0" w:lastColumn="0" w:oddVBand="0" w:evenVBand="0" w:oddHBand="0" w:evenHBand="1" w:firstRowFirstColumn="0" w:firstRowLastColumn="0" w:lastRowFirstColumn="0" w:lastRowLastColumn="0"/>
            </w:pPr>
            <w:r w:rsidRPr="00A75BBA">
              <w:t>7.5</w:t>
            </w:r>
          </w:p>
        </w:tc>
        <w:tc>
          <w:tcPr>
            <w:tcW w:w="934" w:type="dxa"/>
            <w:vAlign w:val="bottom"/>
          </w:tcPr>
          <w:p w:rsidR="00A75BBA" w:rsidRPr="00A75BBA" w:rsidRDefault="00A75BBA" w:rsidP="00A75BBA">
            <w:pPr>
              <w:cnfStyle w:val="000000010000" w:firstRow="0" w:lastRow="0" w:firstColumn="0" w:lastColumn="0" w:oddVBand="0" w:evenVBand="0" w:oddHBand="0" w:evenHBand="1" w:firstRowFirstColumn="0" w:firstRowLastColumn="0" w:lastRowFirstColumn="0" w:lastRowLastColumn="0"/>
            </w:pPr>
            <w:r w:rsidRPr="00A75BBA">
              <w:t>7.5</w:t>
            </w:r>
          </w:p>
        </w:tc>
        <w:tc>
          <w:tcPr>
            <w:tcW w:w="934" w:type="dxa"/>
            <w:vAlign w:val="bottom"/>
          </w:tcPr>
          <w:p w:rsidR="00A75BBA" w:rsidRPr="00A75BBA" w:rsidRDefault="00A75BBA" w:rsidP="00A75BBA">
            <w:pPr>
              <w:cnfStyle w:val="000000010000" w:firstRow="0" w:lastRow="0" w:firstColumn="0" w:lastColumn="0" w:oddVBand="0" w:evenVBand="0" w:oddHBand="0" w:evenHBand="1" w:firstRowFirstColumn="0" w:firstRowLastColumn="0" w:lastRowFirstColumn="0" w:lastRowLastColumn="0"/>
            </w:pPr>
            <w:r w:rsidRPr="00A75BBA">
              <w:t>30.7</w:t>
            </w:r>
          </w:p>
        </w:tc>
      </w:tr>
      <w:tr w:rsidR="00A75BBA" w:rsidRPr="00B6099C" w:rsidTr="0035326E">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A75BBA" w:rsidRPr="00A75BBA" w:rsidRDefault="00A75BBA" w:rsidP="00A75BBA">
            <w:pPr>
              <w:rPr>
                <w:rStyle w:val="Strong"/>
              </w:rPr>
            </w:pPr>
            <w:r w:rsidRPr="00A75BBA">
              <w:rPr>
                <w:rStyle w:val="Strong"/>
              </w:rPr>
              <w:t>Net corporate income tax allowance</w:t>
            </w:r>
          </w:p>
        </w:tc>
        <w:tc>
          <w:tcPr>
            <w:tcW w:w="933"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10.0</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6.6</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6.9</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11.3</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11.3</w:t>
            </w:r>
          </w:p>
        </w:tc>
        <w:tc>
          <w:tcPr>
            <w:tcW w:w="934" w:type="dxa"/>
            <w:vAlign w:val="bottom"/>
          </w:tcPr>
          <w:p w:rsidR="00A75BBA" w:rsidRPr="00A75BBA" w:rsidRDefault="00A75BBA" w:rsidP="00A75BBA">
            <w:pPr>
              <w:cnfStyle w:val="000000000000" w:firstRow="0" w:lastRow="0" w:firstColumn="0" w:lastColumn="0" w:oddVBand="0" w:evenVBand="0" w:oddHBand="0" w:evenHBand="0" w:firstRowFirstColumn="0" w:firstRowLastColumn="0" w:lastRowFirstColumn="0" w:lastRowLastColumn="0"/>
            </w:pPr>
            <w:r w:rsidRPr="00A75BBA">
              <w:t>46.1</w:t>
            </w:r>
          </w:p>
        </w:tc>
      </w:tr>
    </w:tbl>
    <w:p w:rsidR="009F38B5" w:rsidRPr="00FD50DB" w:rsidRDefault="009F38B5" w:rsidP="009F38B5">
      <w:pPr>
        <w:pStyle w:val="AERtablesource"/>
      </w:pPr>
      <w:r w:rsidRPr="00FD50DB">
        <w:t xml:space="preserve">Source: </w:t>
      </w:r>
      <w:r w:rsidRPr="00FD50DB">
        <w:tab/>
        <w:t>AER analysis.</w:t>
      </w:r>
    </w:p>
    <w:p w:rsidR="00132D43" w:rsidRDefault="00247199" w:rsidP="00132D43">
      <w:pPr>
        <w:pStyle w:val="Heading2"/>
      </w:pPr>
      <w:bookmarkStart w:id="101" w:name="_Toc486840703"/>
      <w:r>
        <w:t>AusNet</w:t>
      </w:r>
      <w:r w:rsidR="00956453">
        <w:t>'s</w:t>
      </w:r>
      <w:r w:rsidR="00132D43">
        <w:t xml:space="preserve"> proposal</w:t>
      </w:r>
      <w:bookmarkEnd w:id="101"/>
    </w:p>
    <w:p w:rsidR="009F38B5" w:rsidRDefault="00247199" w:rsidP="009F38B5">
      <w:r>
        <w:t xml:space="preserve">AusNet </w:t>
      </w:r>
      <w:r w:rsidR="009F38B5">
        <w:t>proposed a corporate income tax allowance of $</w:t>
      </w:r>
      <w:r w:rsidR="00B70CE3">
        <w:t>80.9</w:t>
      </w:r>
      <w:r w:rsidR="00B70CE3" w:rsidRPr="00FD50DB">
        <w:t xml:space="preserve"> </w:t>
      </w:r>
      <w:r w:rsidR="009F38B5">
        <w:t xml:space="preserve">million ($ nominal) for the 2018–22 access arrangement period </w:t>
      </w:r>
      <w:r w:rsidR="009F38B5" w:rsidRPr="00FD50DB">
        <w:t>as set out in</w:t>
      </w:r>
      <w:r w:rsidR="003C0EBD">
        <w:t xml:space="preserve"> </w:t>
      </w:r>
      <w:r w:rsidR="003C0EBD">
        <w:fldChar w:fldCharType="begin"/>
      </w:r>
      <w:r w:rsidR="003C0EBD">
        <w:instrText xml:space="preserve"> REF _Ref477520899 \h </w:instrText>
      </w:r>
      <w:r w:rsidR="003C0EBD">
        <w:fldChar w:fldCharType="separate"/>
      </w:r>
      <w:r w:rsidR="00B55396">
        <w:t xml:space="preserve">Table </w:t>
      </w:r>
      <w:r w:rsidR="00B55396">
        <w:rPr>
          <w:noProof/>
        </w:rPr>
        <w:t>8</w:t>
      </w:r>
      <w:r w:rsidR="00B55396">
        <w:t>.</w:t>
      </w:r>
      <w:r w:rsidR="00B55396">
        <w:rPr>
          <w:noProof/>
        </w:rPr>
        <w:t>2</w:t>
      </w:r>
      <w:r w:rsidR="003C0EBD">
        <w:fldChar w:fldCharType="end"/>
      </w:r>
      <w:r w:rsidR="009F38B5" w:rsidRPr="00FD50DB">
        <w:t>.</w:t>
      </w:r>
      <w:r w:rsidR="009F38B5">
        <w:t xml:space="preserve"> It used the AER’s PTRM to calculate the corporate income tax allowance for each year of the 2018–22 access arrangement period</w:t>
      </w:r>
      <w:r w:rsidR="00340BC3">
        <w:t>.</w:t>
      </w:r>
      <w:r w:rsidR="00C977F7">
        <w:rPr>
          <w:rStyle w:val="FootnoteReference"/>
        </w:rPr>
        <w:footnoteReference w:id="6"/>
      </w:r>
      <w:r w:rsidR="009F38B5">
        <w:t xml:space="preserve"> In estimating its corporate income tax allowance, </w:t>
      </w:r>
      <w:r>
        <w:t xml:space="preserve">AusNet </w:t>
      </w:r>
      <w:r w:rsidR="009F38B5">
        <w:t>used</w:t>
      </w:r>
      <w:r w:rsidR="00967BCE">
        <w:t xml:space="preserve"> the following inputs</w:t>
      </w:r>
      <w:r w:rsidR="009F38B5">
        <w:t>:</w:t>
      </w:r>
      <w:r w:rsidR="00967BCE" w:rsidRPr="00967BCE">
        <w:rPr>
          <w:rStyle w:val="FootnoteReference"/>
        </w:rPr>
        <w:footnoteReference w:id="7"/>
      </w:r>
    </w:p>
    <w:p w:rsidR="009F38B5" w:rsidRPr="003A718F" w:rsidRDefault="009F38B5" w:rsidP="009F38B5">
      <w:pPr>
        <w:pStyle w:val="AERbulletlistfirststyle"/>
      </w:pPr>
      <w:r w:rsidRPr="003A718F">
        <w:t>a</w:t>
      </w:r>
      <w:r>
        <w:t>n opening TAB of $</w:t>
      </w:r>
      <w:r w:rsidR="00BE288B">
        <w:t>70</w:t>
      </w:r>
      <w:r w:rsidR="00A34A4B">
        <w:t>8.1</w:t>
      </w:r>
      <w:r w:rsidR="00B70CE3" w:rsidRPr="003A718F">
        <w:t xml:space="preserve"> </w:t>
      </w:r>
      <w:r w:rsidRPr="003A718F">
        <w:t>million ($</w:t>
      </w:r>
      <w:r>
        <w:t> </w:t>
      </w:r>
      <w:r w:rsidRPr="003A718F">
        <w:t xml:space="preserve">nominal) as at </w:t>
      </w:r>
      <w:r>
        <w:t>1 January 2018 (as shown in</w:t>
      </w:r>
      <w:r w:rsidR="00214739">
        <w:t xml:space="preserve"> </w:t>
      </w:r>
      <w:r w:rsidR="00214739">
        <w:fldChar w:fldCharType="begin"/>
      </w:r>
      <w:r w:rsidR="00214739">
        <w:instrText xml:space="preserve"> REF _Ref477521151 \h </w:instrText>
      </w:r>
      <w:r w:rsidR="00214739">
        <w:fldChar w:fldCharType="separate"/>
      </w:r>
      <w:r w:rsidR="00B55396">
        <w:t xml:space="preserve">Table </w:t>
      </w:r>
      <w:r w:rsidR="00B55396">
        <w:rPr>
          <w:noProof/>
        </w:rPr>
        <w:t>8</w:t>
      </w:r>
      <w:r w:rsidR="00B55396">
        <w:t>.</w:t>
      </w:r>
      <w:r w:rsidR="00B55396">
        <w:rPr>
          <w:noProof/>
        </w:rPr>
        <w:t>3</w:t>
      </w:r>
      <w:r w:rsidR="00214739">
        <w:fldChar w:fldCharType="end"/>
      </w:r>
      <w:r>
        <w:t>)</w:t>
      </w:r>
      <w:r w:rsidRPr="003A718F">
        <w:t xml:space="preserve"> </w:t>
      </w:r>
    </w:p>
    <w:p w:rsidR="009F38B5" w:rsidRPr="003A718F" w:rsidRDefault="009F38B5" w:rsidP="009F38B5">
      <w:pPr>
        <w:pStyle w:val="AERbulletlistfirststyle"/>
      </w:pPr>
      <w:r w:rsidRPr="003A718F">
        <w:t>an expected statutory income rate of 30 per cent per year</w:t>
      </w:r>
    </w:p>
    <w:p w:rsidR="009F38B5" w:rsidRPr="003A718F" w:rsidRDefault="009F38B5" w:rsidP="009F38B5">
      <w:pPr>
        <w:pStyle w:val="AERbulletlistfirststyle"/>
      </w:pPr>
      <w:r w:rsidRPr="003A718F">
        <w:t>a value for the assumed utilisation of imputation credits (gamma) of 0.25</w:t>
      </w:r>
    </w:p>
    <w:p w:rsidR="00280147" w:rsidRDefault="00111D2D" w:rsidP="009F38B5">
      <w:pPr>
        <w:pStyle w:val="AERbulletlistfirststyle"/>
      </w:pPr>
      <w:r w:rsidRPr="00111D2D">
        <w:t xml:space="preserve">standard tax asset lives calculated using a weighted average of </w:t>
      </w:r>
      <w:r w:rsidR="00280147">
        <w:t>relevant tax categories from the July 201</w:t>
      </w:r>
      <w:r w:rsidR="00622B65">
        <w:t>5</w:t>
      </w:r>
      <w:r w:rsidR="00280147">
        <w:t xml:space="preserve"> ATO tax ruling (TR 201</w:t>
      </w:r>
      <w:r w:rsidR="00446F0C">
        <w:t>5</w:t>
      </w:r>
      <w:r w:rsidR="00280147">
        <w:t>/</w:t>
      </w:r>
      <w:r w:rsidR="00446F0C">
        <w:t>2</w:t>
      </w:r>
      <w:r w:rsidR="00280147">
        <w:t>).</w:t>
      </w:r>
    </w:p>
    <w:p w:rsidR="009F38B5" w:rsidRDefault="009F38B5" w:rsidP="009F38B5">
      <w:pPr>
        <w:pStyle w:val="AERbulletlistfirststyle"/>
      </w:pPr>
      <w:r w:rsidRPr="003A718F">
        <w:t xml:space="preserve">remaining tax asset </w:t>
      </w:r>
      <w:r w:rsidR="00C431B1">
        <w:t xml:space="preserve">lives </w:t>
      </w:r>
      <w:r w:rsidR="005B1CCC">
        <w:t xml:space="preserve">of assets </w:t>
      </w:r>
      <w:r w:rsidR="00622B65">
        <w:t>in existence as at 31 December 2017</w:t>
      </w:r>
      <w:r w:rsidR="005B1CCC">
        <w:t>,</w:t>
      </w:r>
      <w:r w:rsidR="00622B65">
        <w:t xml:space="preserve"> calculated based on </w:t>
      </w:r>
      <w:r w:rsidR="00C431B1">
        <w:t>the standard tax asset li</w:t>
      </w:r>
      <w:r w:rsidR="00622B65">
        <w:t>fe for an asset class</w:t>
      </w:r>
      <w:r w:rsidR="00C431B1">
        <w:t xml:space="preserve"> multiplied by the ratio of the </w:t>
      </w:r>
      <w:r w:rsidR="00340BC3">
        <w:t xml:space="preserve">capital base </w:t>
      </w:r>
      <w:r w:rsidR="00C431B1">
        <w:t>remaining asset li</w:t>
      </w:r>
      <w:r w:rsidR="00622B65">
        <w:t>fe</w:t>
      </w:r>
      <w:r w:rsidR="00C431B1">
        <w:t xml:space="preserve"> to the </w:t>
      </w:r>
      <w:r w:rsidR="00340BC3">
        <w:t xml:space="preserve">capital base </w:t>
      </w:r>
      <w:r w:rsidR="00C431B1">
        <w:t>standard asset lif</w:t>
      </w:r>
      <w:r w:rsidR="00622B65">
        <w:t>e</w:t>
      </w:r>
      <w:r w:rsidR="00C431B1">
        <w:t>.</w:t>
      </w:r>
    </w:p>
    <w:p w:rsidR="00132D43" w:rsidRDefault="009F38B5" w:rsidP="009F38B5">
      <w:pPr>
        <w:pStyle w:val="Caption"/>
      </w:pPr>
      <w:bookmarkStart w:id="102" w:name="_Ref477520899"/>
      <w:r>
        <w:t xml:space="preserve">Table </w:t>
      </w:r>
      <w:fldSimple w:instr=" STYLEREF 1 \s ">
        <w:r w:rsidR="00B55396">
          <w:rPr>
            <w:noProof/>
          </w:rPr>
          <w:t>8</w:t>
        </w:r>
      </w:fldSimple>
      <w:r w:rsidR="003D7105">
        <w:t>.</w:t>
      </w:r>
      <w:fldSimple w:instr=" SEQ Table \* ARABIC \s 1 ">
        <w:r w:rsidR="00B55396">
          <w:rPr>
            <w:noProof/>
          </w:rPr>
          <w:t>2</w:t>
        </w:r>
      </w:fldSimple>
      <w:bookmarkEnd w:id="102"/>
      <w:r>
        <w:tab/>
      </w:r>
      <w:r w:rsidR="00247199">
        <w:t>AusNet</w:t>
      </w:r>
      <w:r w:rsidR="003D7105">
        <w:t>'s</w:t>
      </w:r>
      <w:r>
        <w:t xml:space="preserve"> proposed </w:t>
      </w:r>
      <w:r w:rsidR="00214739">
        <w:t>corporate income tax allowance for the 2018–22 access arrangement period ($million, nominal)</w:t>
      </w:r>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9F38B5" w:rsidRPr="00AB7791" w:rsidTr="00247199">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85" w:type="dxa"/>
            <w:hideMark/>
          </w:tcPr>
          <w:p w:rsidR="009F38B5" w:rsidRPr="00522E09" w:rsidRDefault="009F38B5" w:rsidP="00DF1F13">
            <w:pPr>
              <w:rPr>
                <w:b w:val="0"/>
                <w:color w:val="auto"/>
                <w:lang w:eastAsia="en-US"/>
              </w:rPr>
            </w:pPr>
          </w:p>
        </w:tc>
        <w:tc>
          <w:tcPr>
            <w:tcW w:w="937" w:type="dxa"/>
            <w:hideMark/>
          </w:tcPr>
          <w:p w:rsidR="009F38B5" w:rsidRPr="002F1852" w:rsidRDefault="009F38B5" w:rsidP="00DF1F1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2F1852">
              <w:t>2018</w:t>
            </w:r>
          </w:p>
        </w:tc>
        <w:tc>
          <w:tcPr>
            <w:tcW w:w="938" w:type="dxa"/>
            <w:hideMark/>
          </w:tcPr>
          <w:p w:rsidR="009F38B5" w:rsidRPr="00330FAF" w:rsidRDefault="009F38B5" w:rsidP="00DF1F1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330FAF">
              <w:t>2019</w:t>
            </w:r>
          </w:p>
        </w:tc>
        <w:tc>
          <w:tcPr>
            <w:tcW w:w="938" w:type="dxa"/>
            <w:hideMark/>
          </w:tcPr>
          <w:p w:rsidR="009F38B5" w:rsidRPr="001816AF" w:rsidRDefault="009F38B5" w:rsidP="00DF1F1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894A16">
              <w:t>2020</w:t>
            </w:r>
          </w:p>
        </w:tc>
        <w:tc>
          <w:tcPr>
            <w:tcW w:w="938" w:type="dxa"/>
            <w:hideMark/>
          </w:tcPr>
          <w:p w:rsidR="009F38B5" w:rsidRPr="008F21FA" w:rsidRDefault="009F38B5" w:rsidP="00DF1F1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8F21FA">
              <w:t>2021</w:t>
            </w:r>
          </w:p>
        </w:tc>
        <w:tc>
          <w:tcPr>
            <w:tcW w:w="938" w:type="dxa"/>
            <w:hideMark/>
          </w:tcPr>
          <w:p w:rsidR="009F38B5" w:rsidRPr="008F21FA" w:rsidRDefault="009F38B5" w:rsidP="00DF1F1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8F21FA">
              <w:t>2022</w:t>
            </w:r>
          </w:p>
        </w:tc>
        <w:tc>
          <w:tcPr>
            <w:tcW w:w="938" w:type="dxa"/>
          </w:tcPr>
          <w:p w:rsidR="009F38B5" w:rsidRPr="008F21FA" w:rsidRDefault="009F38B5" w:rsidP="00DF1F1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8F21FA">
              <w:t>Total</w:t>
            </w:r>
          </w:p>
        </w:tc>
      </w:tr>
      <w:tr w:rsidR="00082AA3" w:rsidRPr="00AB7791" w:rsidTr="004B2CE8">
        <w:trPr>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082AA3" w:rsidRPr="00522E09" w:rsidRDefault="00082AA3" w:rsidP="00DF1F13">
            <w:pPr>
              <w:rPr>
                <w:lang w:eastAsia="en-US"/>
              </w:rPr>
            </w:pPr>
            <w:r w:rsidRPr="00522E09">
              <w:t>Tax payable</w:t>
            </w:r>
          </w:p>
        </w:tc>
        <w:tc>
          <w:tcPr>
            <w:tcW w:w="937" w:type="dxa"/>
            <w:vAlign w:val="bottom"/>
          </w:tcPr>
          <w:p w:rsidR="00082AA3" w:rsidRPr="00504CED" w:rsidRDefault="00082AA3" w:rsidP="00DF1F13">
            <w:pPr>
              <w:cnfStyle w:val="000000000000" w:firstRow="0" w:lastRow="0" w:firstColumn="0" w:lastColumn="0" w:oddVBand="0" w:evenVBand="0" w:oddHBand="0" w:evenHBand="0" w:firstRowFirstColumn="0" w:firstRowLastColumn="0" w:lastRowFirstColumn="0" w:lastRowLastColumn="0"/>
              <w:rPr>
                <w:lang w:eastAsia="en-US"/>
              </w:rPr>
            </w:pPr>
            <w:r w:rsidRPr="00504CED">
              <w:t>23.3</w:t>
            </w:r>
          </w:p>
        </w:tc>
        <w:tc>
          <w:tcPr>
            <w:tcW w:w="938" w:type="dxa"/>
            <w:vAlign w:val="bottom"/>
          </w:tcPr>
          <w:p w:rsidR="00082AA3" w:rsidRPr="002F1852" w:rsidRDefault="00082AA3" w:rsidP="00DF1F13">
            <w:pPr>
              <w:cnfStyle w:val="000000000000" w:firstRow="0" w:lastRow="0" w:firstColumn="0" w:lastColumn="0" w:oddVBand="0" w:evenVBand="0" w:oddHBand="0" w:evenHBand="0" w:firstRowFirstColumn="0" w:firstRowLastColumn="0" w:lastRowFirstColumn="0" w:lastRowLastColumn="0"/>
              <w:rPr>
                <w:lang w:eastAsia="en-US"/>
              </w:rPr>
            </w:pPr>
            <w:r w:rsidRPr="002F1852">
              <w:t>17.2</w:t>
            </w:r>
          </w:p>
        </w:tc>
        <w:tc>
          <w:tcPr>
            <w:tcW w:w="938" w:type="dxa"/>
            <w:vAlign w:val="bottom"/>
          </w:tcPr>
          <w:p w:rsidR="00082AA3" w:rsidRPr="001816AF" w:rsidRDefault="00082AA3" w:rsidP="00DF1F13">
            <w:pPr>
              <w:cnfStyle w:val="000000000000" w:firstRow="0" w:lastRow="0" w:firstColumn="0" w:lastColumn="0" w:oddVBand="0" w:evenVBand="0" w:oddHBand="0" w:evenHBand="0" w:firstRowFirstColumn="0" w:firstRowLastColumn="0" w:lastRowFirstColumn="0" w:lastRowLastColumn="0"/>
              <w:rPr>
                <w:lang w:eastAsia="en-US"/>
              </w:rPr>
            </w:pPr>
            <w:r w:rsidRPr="00894A16">
              <w:t>17.4</w:t>
            </w:r>
          </w:p>
        </w:tc>
        <w:tc>
          <w:tcPr>
            <w:tcW w:w="938" w:type="dxa"/>
            <w:vAlign w:val="bottom"/>
          </w:tcPr>
          <w:p w:rsidR="00082AA3" w:rsidRPr="008F21FA" w:rsidRDefault="00082AA3" w:rsidP="00DF1F13">
            <w:pPr>
              <w:cnfStyle w:val="000000000000" w:firstRow="0" w:lastRow="0" w:firstColumn="0" w:lastColumn="0" w:oddVBand="0" w:evenVBand="0" w:oddHBand="0" w:evenHBand="0" w:firstRowFirstColumn="0" w:firstRowLastColumn="0" w:lastRowFirstColumn="0" w:lastRowLastColumn="0"/>
              <w:rPr>
                <w:lang w:eastAsia="en-US"/>
              </w:rPr>
            </w:pPr>
            <w:r w:rsidRPr="008F21FA">
              <w:t>25.1</w:t>
            </w:r>
          </w:p>
        </w:tc>
        <w:tc>
          <w:tcPr>
            <w:tcW w:w="938" w:type="dxa"/>
            <w:vAlign w:val="bottom"/>
          </w:tcPr>
          <w:p w:rsidR="00082AA3" w:rsidRPr="008F21FA" w:rsidRDefault="00082AA3" w:rsidP="00DF1F13">
            <w:pPr>
              <w:cnfStyle w:val="000000000000" w:firstRow="0" w:lastRow="0" w:firstColumn="0" w:lastColumn="0" w:oddVBand="0" w:evenVBand="0" w:oddHBand="0" w:evenHBand="0" w:firstRowFirstColumn="0" w:firstRowLastColumn="0" w:lastRowFirstColumn="0" w:lastRowLastColumn="0"/>
              <w:rPr>
                <w:lang w:eastAsia="en-US"/>
              </w:rPr>
            </w:pPr>
            <w:r w:rsidRPr="008F21FA">
              <w:t>25.0</w:t>
            </w:r>
          </w:p>
        </w:tc>
        <w:tc>
          <w:tcPr>
            <w:tcW w:w="938" w:type="dxa"/>
            <w:vAlign w:val="bottom"/>
          </w:tcPr>
          <w:p w:rsidR="00082AA3" w:rsidRPr="008F21FA" w:rsidRDefault="00082AA3" w:rsidP="00DF1F13">
            <w:pPr>
              <w:cnfStyle w:val="000000000000" w:firstRow="0" w:lastRow="0" w:firstColumn="0" w:lastColumn="0" w:oddVBand="0" w:evenVBand="0" w:oddHBand="0" w:evenHBand="0" w:firstRowFirstColumn="0" w:firstRowLastColumn="0" w:lastRowFirstColumn="0" w:lastRowLastColumn="0"/>
              <w:rPr>
                <w:lang w:eastAsia="en-US"/>
              </w:rPr>
            </w:pPr>
            <w:r w:rsidRPr="008F21FA">
              <w:t>107.9</w:t>
            </w:r>
          </w:p>
        </w:tc>
      </w:tr>
      <w:tr w:rsidR="00082AA3" w:rsidRPr="00AB7791" w:rsidTr="004B2CE8">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082AA3" w:rsidRPr="00522E09" w:rsidRDefault="00082AA3" w:rsidP="00882427">
            <w:pPr>
              <w:rPr>
                <w:b/>
                <w:bCs/>
                <w:lang w:eastAsia="en-US"/>
              </w:rPr>
            </w:pPr>
            <w:r w:rsidRPr="00522E09">
              <w:rPr>
                <w:rStyle w:val="AERtextitalic"/>
              </w:rPr>
              <w:t>Less</w:t>
            </w:r>
            <w:r w:rsidRPr="00522E09">
              <w:t xml:space="preserve">: </w:t>
            </w:r>
            <w:r w:rsidR="00882427">
              <w:t>v</w:t>
            </w:r>
            <w:r w:rsidRPr="00522E09">
              <w:t>alue of imputation credits</w:t>
            </w:r>
          </w:p>
        </w:tc>
        <w:tc>
          <w:tcPr>
            <w:tcW w:w="937" w:type="dxa"/>
            <w:vAlign w:val="bottom"/>
          </w:tcPr>
          <w:p w:rsidR="00082AA3" w:rsidRPr="00504CED" w:rsidRDefault="00082AA3" w:rsidP="00DF1F13">
            <w:pPr>
              <w:cnfStyle w:val="000000010000" w:firstRow="0" w:lastRow="0" w:firstColumn="0" w:lastColumn="0" w:oddVBand="0" w:evenVBand="0" w:oddHBand="0" w:evenHBand="1" w:firstRowFirstColumn="0" w:firstRowLastColumn="0" w:lastRowFirstColumn="0" w:lastRowLastColumn="0"/>
              <w:rPr>
                <w:lang w:eastAsia="en-US"/>
              </w:rPr>
            </w:pPr>
            <w:r w:rsidRPr="00504CED">
              <w:t>5.8</w:t>
            </w:r>
          </w:p>
        </w:tc>
        <w:tc>
          <w:tcPr>
            <w:tcW w:w="938" w:type="dxa"/>
            <w:vAlign w:val="bottom"/>
          </w:tcPr>
          <w:p w:rsidR="00082AA3" w:rsidRPr="002F1852" w:rsidRDefault="00082AA3" w:rsidP="00DF1F13">
            <w:pPr>
              <w:cnfStyle w:val="000000010000" w:firstRow="0" w:lastRow="0" w:firstColumn="0" w:lastColumn="0" w:oddVBand="0" w:evenVBand="0" w:oddHBand="0" w:evenHBand="1" w:firstRowFirstColumn="0" w:firstRowLastColumn="0" w:lastRowFirstColumn="0" w:lastRowLastColumn="0"/>
              <w:rPr>
                <w:lang w:eastAsia="en-US"/>
              </w:rPr>
            </w:pPr>
            <w:r w:rsidRPr="002F1852">
              <w:t>4.3</w:t>
            </w:r>
          </w:p>
        </w:tc>
        <w:tc>
          <w:tcPr>
            <w:tcW w:w="938" w:type="dxa"/>
            <w:vAlign w:val="bottom"/>
          </w:tcPr>
          <w:p w:rsidR="00082AA3" w:rsidRPr="001816AF" w:rsidRDefault="00082AA3" w:rsidP="00DF1F13">
            <w:pPr>
              <w:cnfStyle w:val="000000010000" w:firstRow="0" w:lastRow="0" w:firstColumn="0" w:lastColumn="0" w:oddVBand="0" w:evenVBand="0" w:oddHBand="0" w:evenHBand="1" w:firstRowFirstColumn="0" w:firstRowLastColumn="0" w:lastRowFirstColumn="0" w:lastRowLastColumn="0"/>
              <w:rPr>
                <w:lang w:eastAsia="en-US"/>
              </w:rPr>
            </w:pPr>
            <w:r w:rsidRPr="00894A16">
              <w:t>4.4</w:t>
            </w:r>
          </w:p>
        </w:tc>
        <w:tc>
          <w:tcPr>
            <w:tcW w:w="938" w:type="dxa"/>
            <w:vAlign w:val="bottom"/>
          </w:tcPr>
          <w:p w:rsidR="00082AA3" w:rsidRPr="008F21FA" w:rsidRDefault="00082AA3" w:rsidP="00DF1F13">
            <w:pPr>
              <w:cnfStyle w:val="000000010000" w:firstRow="0" w:lastRow="0" w:firstColumn="0" w:lastColumn="0" w:oddVBand="0" w:evenVBand="0" w:oddHBand="0" w:evenHBand="1" w:firstRowFirstColumn="0" w:firstRowLastColumn="0" w:lastRowFirstColumn="0" w:lastRowLastColumn="0"/>
              <w:rPr>
                <w:lang w:eastAsia="en-US"/>
              </w:rPr>
            </w:pPr>
            <w:r w:rsidRPr="008F21FA">
              <w:t>6.3</w:t>
            </w:r>
          </w:p>
        </w:tc>
        <w:tc>
          <w:tcPr>
            <w:tcW w:w="938" w:type="dxa"/>
            <w:vAlign w:val="bottom"/>
          </w:tcPr>
          <w:p w:rsidR="00082AA3" w:rsidRPr="008F21FA" w:rsidRDefault="00082AA3" w:rsidP="00DF1F13">
            <w:pPr>
              <w:cnfStyle w:val="000000010000" w:firstRow="0" w:lastRow="0" w:firstColumn="0" w:lastColumn="0" w:oddVBand="0" w:evenVBand="0" w:oddHBand="0" w:evenHBand="1" w:firstRowFirstColumn="0" w:firstRowLastColumn="0" w:lastRowFirstColumn="0" w:lastRowLastColumn="0"/>
              <w:rPr>
                <w:lang w:eastAsia="en-US"/>
              </w:rPr>
            </w:pPr>
            <w:r w:rsidRPr="008F21FA">
              <w:t>6.2</w:t>
            </w:r>
          </w:p>
        </w:tc>
        <w:tc>
          <w:tcPr>
            <w:tcW w:w="938" w:type="dxa"/>
            <w:vAlign w:val="bottom"/>
          </w:tcPr>
          <w:p w:rsidR="00082AA3" w:rsidRPr="008F21FA" w:rsidRDefault="00082AA3" w:rsidP="00DF1F13">
            <w:pPr>
              <w:cnfStyle w:val="000000010000" w:firstRow="0" w:lastRow="0" w:firstColumn="0" w:lastColumn="0" w:oddVBand="0" w:evenVBand="0" w:oddHBand="0" w:evenHBand="1" w:firstRowFirstColumn="0" w:firstRowLastColumn="0" w:lastRowFirstColumn="0" w:lastRowLastColumn="0"/>
              <w:rPr>
                <w:lang w:eastAsia="en-US"/>
              </w:rPr>
            </w:pPr>
            <w:r w:rsidRPr="008F21FA">
              <w:t>27.0</w:t>
            </w:r>
          </w:p>
        </w:tc>
      </w:tr>
      <w:tr w:rsidR="00082AA3" w:rsidRPr="0088394A" w:rsidTr="00085E33">
        <w:trPr>
          <w:trHeight w:val="389"/>
        </w:trPr>
        <w:tc>
          <w:tcPr>
            <w:cnfStyle w:val="001000000000" w:firstRow="0" w:lastRow="0" w:firstColumn="1" w:lastColumn="0" w:oddVBand="0" w:evenVBand="0" w:oddHBand="0" w:evenHBand="0" w:firstRowFirstColumn="0" w:firstRowLastColumn="0" w:lastRowFirstColumn="0" w:lastRowLastColumn="0"/>
            <w:tcW w:w="3085" w:type="dxa"/>
            <w:hideMark/>
          </w:tcPr>
          <w:p w:rsidR="00082AA3" w:rsidRPr="00793F0E" w:rsidRDefault="00082AA3" w:rsidP="0035326E">
            <w:pPr>
              <w:rPr>
                <w:rStyle w:val="Strong"/>
              </w:rPr>
            </w:pPr>
            <w:r w:rsidRPr="00793F0E">
              <w:rPr>
                <w:rStyle w:val="Strong"/>
              </w:rPr>
              <w:t>Net corporate income tax allowance</w:t>
            </w:r>
          </w:p>
        </w:tc>
        <w:tc>
          <w:tcPr>
            <w:tcW w:w="937" w:type="dxa"/>
            <w:vAlign w:val="bottom"/>
          </w:tcPr>
          <w:p w:rsidR="00082AA3" w:rsidRPr="00EB351C" w:rsidRDefault="00082AA3" w:rsidP="0035326E">
            <w:pPr>
              <w:cnfStyle w:val="000000000000" w:firstRow="0" w:lastRow="0" w:firstColumn="0" w:lastColumn="0" w:oddVBand="0" w:evenVBand="0" w:oddHBand="0" w:evenHBand="0" w:firstRowFirstColumn="0" w:firstRowLastColumn="0" w:lastRowFirstColumn="0" w:lastRowLastColumn="0"/>
              <w:rPr>
                <w:rStyle w:val="Strong"/>
              </w:rPr>
            </w:pPr>
            <w:r w:rsidRPr="00793F0E">
              <w:rPr>
                <w:rStyle w:val="Strong"/>
              </w:rPr>
              <w:t>17.5</w:t>
            </w:r>
          </w:p>
        </w:tc>
        <w:tc>
          <w:tcPr>
            <w:tcW w:w="938" w:type="dxa"/>
            <w:vAlign w:val="bottom"/>
          </w:tcPr>
          <w:p w:rsidR="00082AA3" w:rsidRPr="0088394A" w:rsidRDefault="00082AA3" w:rsidP="0035326E">
            <w:pPr>
              <w:cnfStyle w:val="000000000000" w:firstRow="0" w:lastRow="0" w:firstColumn="0" w:lastColumn="0" w:oddVBand="0" w:evenVBand="0" w:oddHBand="0" w:evenHBand="0" w:firstRowFirstColumn="0" w:firstRowLastColumn="0" w:lastRowFirstColumn="0" w:lastRowLastColumn="0"/>
              <w:rPr>
                <w:rStyle w:val="Strong"/>
              </w:rPr>
            </w:pPr>
            <w:r w:rsidRPr="0088394A">
              <w:rPr>
                <w:rStyle w:val="Strong"/>
              </w:rPr>
              <w:t>12.9</w:t>
            </w:r>
          </w:p>
        </w:tc>
        <w:tc>
          <w:tcPr>
            <w:tcW w:w="938" w:type="dxa"/>
            <w:vAlign w:val="bottom"/>
          </w:tcPr>
          <w:p w:rsidR="00082AA3" w:rsidRPr="0088394A" w:rsidRDefault="00082AA3" w:rsidP="0035326E">
            <w:pPr>
              <w:cnfStyle w:val="000000000000" w:firstRow="0" w:lastRow="0" w:firstColumn="0" w:lastColumn="0" w:oddVBand="0" w:evenVBand="0" w:oddHBand="0" w:evenHBand="0" w:firstRowFirstColumn="0" w:firstRowLastColumn="0" w:lastRowFirstColumn="0" w:lastRowLastColumn="0"/>
              <w:rPr>
                <w:rStyle w:val="Strong"/>
              </w:rPr>
            </w:pPr>
            <w:r w:rsidRPr="0088394A">
              <w:rPr>
                <w:rStyle w:val="Strong"/>
              </w:rPr>
              <w:t>13.1</w:t>
            </w:r>
          </w:p>
        </w:tc>
        <w:tc>
          <w:tcPr>
            <w:tcW w:w="938" w:type="dxa"/>
            <w:vAlign w:val="bottom"/>
          </w:tcPr>
          <w:p w:rsidR="00082AA3" w:rsidRPr="0035326E" w:rsidRDefault="00082AA3" w:rsidP="0035326E">
            <w:pPr>
              <w:cnfStyle w:val="000000000000" w:firstRow="0" w:lastRow="0" w:firstColumn="0" w:lastColumn="0" w:oddVBand="0" w:evenVBand="0" w:oddHBand="0" w:evenHBand="0" w:firstRowFirstColumn="0" w:firstRowLastColumn="0" w:lastRowFirstColumn="0" w:lastRowLastColumn="0"/>
              <w:rPr>
                <w:rStyle w:val="Strong"/>
              </w:rPr>
            </w:pPr>
            <w:r w:rsidRPr="0088394A">
              <w:rPr>
                <w:rStyle w:val="Strong"/>
              </w:rPr>
              <w:t>18.8</w:t>
            </w:r>
          </w:p>
        </w:tc>
        <w:tc>
          <w:tcPr>
            <w:tcW w:w="938" w:type="dxa"/>
            <w:vAlign w:val="bottom"/>
          </w:tcPr>
          <w:p w:rsidR="00082AA3" w:rsidRPr="0035326E" w:rsidRDefault="00082AA3" w:rsidP="0035326E">
            <w:pPr>
              <w:cnfStyle w:val="000000000000" w:firstRow="0" w:lastRow="0" w:firstColumn="0" w:lastColumn="0" w:oddVBand="0" w:evenVBand="0" w:oddHBand="0" w:evenHBand="0" w:firstRowFirstColumn="0" w:firstRowLastColumn="0" w:lastRowFirstColumn="0" w:lastRowLastColumn="0"/>
              <w:rPr>
                <w:rStyle w:val="Strong"/>
              </w:rPr>
            </w:pPr>
            <w:r w:rsidRPr="0088394A">
              <w:rPr>
                <w:rStyle w:val="Strong"/>
              </w:rPr>
              <w:t>18.7</w:t>
            </w:r>
          </w:p>
        </w:tc>
        <w:tc>
          <w:tcPr>
            <w:tcW w:w="938" w:type="dxa"/>
            <w:vAlign w:val="bottom"/>
          </w:tcPr>
          <w:p w:rsidR="00082AA3" w:rsidRPr="0035326E" w:rsidRDefault="00082AA3" w:rsidP="0035326E">
            <w:pPr>
              <w:cnfStyle w:val="000000000000" w:firstRow="0" w:lastRow="0" w:firstColumn="0" w:lastColumn="0" w:oddVBand="0" w:evenVBand="0" w:oddHBand="0" w:evenHBand="0" w:firstRowFirstColumn="0" w:firstRowLastColumn="0" w:lastRowFirstColumn="0" w:lastRowLastColumn="0"/>
              <w:rPr>
                <w:rStyle w:val="Strong"/>
              </w:rPr>
            </w:pPr>
            <w:r w:rsidRPr="0088394A">
              <w:rPr>
                <w:rStyle w:val="Strong"/>
              </w:rPr>
              <w:t>80.9</w:t>
            </w:r>
          </w:p>
        </w:tc>
      </w:tr>
    </w:tbl>
    <w:p w:rsidR="009F38B5" w:rsidRPr="00FD50DB" w:rsidRDefault="009F38B5" w:rsidP="009F38B5">
      <w:pPr>
        <w:pStyle w:val="AERtablesource"/>
      </w:pPr>
      <w:r w:rsidRPr="009F38B5">
        <w:rPr>
          <w:rFonts w:eastAsia="Calibri"/>
        </w:rPr>
        <w:t xml:space="preserve">Source: </w:t>
      </w:r>
      <w:r w:rsidRPr="009F38B5">
        <w:rPr>
          <w:rFonts w:eastAsia="Calibri"/>
        </w:rPr>
        <w:tab/>
      </w:r>
      <w:r w:rsidR="00247199">
        <w:t>AusNet</w:t>
      </w:r>
      <w:r w:rsidRPr="00FD50DB">
        <w:t xml:space="preserve">, </w:t>
      </w:r>
      <w:r w:rsidR="00855D41" w:rsidRPr="00B82521">
        <w:rPr>
          <w:rStyle w:val="AERtextitalic"/>
        </w:rPr>
        <w:t>Distribution GAAR</w:t>
      </w:r>
      <w:r w:rsidR="00855D41">
        <w:t xml:space="preserve"> </w:t>
      </w:r>
      <w:r w:rsidRPr="001D04F8">
        <w:rPr>
          <w:rStyle w:val="AERtextitalic"/>
        </w:rPr>
        <w:t>Proposed</w:t>
      </w:r>
      <w:r>
        <w:t xml:space="preserve"> </w:t>
      </w:r>
      <w:r>
        <w:rPr>
          <w:rStyle w:val="AERtextitalic"/>
        </w:rPr>
        <w:t>PTRM</w:t>
      </w:r>
      <w:r w:rsidRPr="00FD50DB">
        <w:t xml:space="preserve">, </w:t>
      </w:r>
      <w:r w:rsidR="00F77F89">
        <w:t xml:space="preserve">December </w:t>
      </w:r>
      <w:r>
        <w:t>2016.</w:t>
      </w:r>
    </w:p>
    <w:p w:rsidR="009F38B5" w:rsidRDefault="00247199" w:rsidP="009F38B5">
      <w:r>
        <w:t>AusNet</w:t>
      </w:r>
      <w:r w:rsidR="003D7105">
        <w:t>'s</w:t>
      </w:r>
      <w:r>
        <w:t xml:space="preserve"> </w:t>
      </w:r>
      <w:r w:rsidR="009F38B5">
        <w:t xml:space="preserve">proposed roll forward of its TAB over the 2013–17 access arrangement </w:t>
      </w:r>
      <w:proofErr w:type="gramStart"/>
      <w:r w:rsidR="009F38B5">
        <w:t>period</w:t>
      </w:r>
      <w:proofErr w:type="gramEnd"/>
      <w:r w:rsidR="009F38B5">
        <w:t xml:space="preserve"> is set out in </w:t>
      </w:r>
      <w:r w:rsidR="00214739">
        <w:fldChar w:fldCharType="begin"/>
      </w:r>
      <w:r w:rsidR="00214739">
        <w:instrText xml:space="preserve"> REF _Ref477521151 \h </w:instrText>
      </w:r>
      <w:r w:rsidR="00214739">
        <w:fldChar w:fldCharType="separate"/>
      </w:r>
      <w:r w:rsidR="00B55396">
        <w:t xml:space="preserve">Table </w:t>
      </w:r>
      <w:r w:rsidR="00B55396">
        <w:rPr>
          <w:noProof/>
        </w:rPr>
        <w:t>8</w:t>
      </w:r>
      <w:r w:rsidR="00B55396">
        <w:t>.</w:t>
      </w:r>
      <w:r w:rsidR="00B55396">
        <w:rPr>
          <w:noProof/>
        </w:rPr>
        <w:t>3</w:t>
      </w:r>
      <w:r w:rsidR="00214739">
        <w:fldChar w:fldCharType="end"/>
      </w:r>
      <w:r w:rsidR="009F38B5">
        <w:t>.</w:t>
      </w:r>
    </w:p>
    <w:p w:rsidR="009F38B5" w:rsidRPr="009F38B5" w:rsidRDefault="009F38B5" w:rsidP="009F38B5">
      <w:pPr>
        <w:pStyle w:val="Caption"/>
      </w:pPr>
      <w:bookmarkStart w:id="103" w:name="_Ref477521151"/>
      <w:r>
        <w:t xml:space="preserve">Table </w:t>
      </w:r>
      <w:fldSimple w:instr=" STYLEREF 1 \s ">
        <w:r w:rsidR="00B55396">
          <w:rPr>
            <w:noProof/>
          </w:rPr>
          <w:t>8</w:t>
        </w:r>
      </w:fldSimple>
      <w:r w:rsidR="003D7105">
        <w:t>.</w:t>
      </w:r>
      <w:fldSimple w:instr=" SEQ Table \* ARABIC \s 1 ">
        <w:r w:rsidR="00B55396">
          <w:rPr>
            <w:noProof/>
          </w:rPr>
          <w:t>3</w:t>
        </w:r>
      </w:fldSimple>
      <w:bookmarkEnd w:id="103"/>
      <w:r>
        <w:tab/>
      </w:r>
      <w:r w:rsidR="00247199">
        <w:t>AusNet</w:t>
      </w:r>
      <w:r w:rsidR="003D7105">
        <w:t>'s</w:t>
      </w:r>
      <w:r w:rsidR="00247199">
        <w:t xml:space="preserve"> </w:t>
      </w:r>
      <w:r>
        <w:t xml:space="preserve">proposed </w:t>
      </w:r>
      <w:r w:rsidR="00214739">
        <w:t>tax asset base roll forward over the 2013–17 access arrangement period ($million, nominal)</w:t>
      </w:r>
    </w:p>
    <w:tbl>
      <w:tblPr>
        <w:tblStyle w:val="AERtable-numbers"/>
        <w:tblW w:w="8715" w:type="dxa"/>
        <w:tblLayout w:type="fixed"/>
        <w:tblLook w:val="04A0" w:firstRow="1" w:lastRow="0" w:firstColumn="1" w:lastColumn="0" w:noHBand="0" w:noVBand="1"/>
      </w:tblPr>
      <w:tblGrid>
        <w:gridCol w:w="3741"/>
        <w:gridCol w:w="994"/>
        <w:gridCol w:w="995"/>
        <w:gridCol w:w="995"/>
        <w:gridCol w:w="995"/>
        <w:gridCol w:w="995"/>
      </w:tblGrid>
      <w:tr w:rsidR="008469B8" w:rsidRPr="00A23188" w:rsidTr="00DE3F6B">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741" w:type="dxa"/>
            <w:hideMark/>
          </w:tcPr>
          <w:p w:rsidR="008469B8" w:rsidRPr="0047148D" w:rsidRDefault="008469B8" w:rsidP="00085E33">
            <w:pPr>
              <w:rPr>
                <w:b w:val="0"/>
                <w:color w:val="auto"/>
                <w:lang w:eastAsia="en-US"/>
              </w:rPr>
            </w:pPr>
          </w:p>
        </w:tc>
        <w:tc>
          <w:tcPr>
            <w:tcW w:w="994" w:type="dxa"/>
            <w:hideMark/>
          </w:tcPr>
          <w:p w:rsidR="008469B8" w:rsidRPr="0047148D" w:rsidRDefault="008469B8" w:rsidP="00085E3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47148D">
              <w:t>2013</w:t>
            </w:r>
          </w:p>
        </w:tc>
        <w:tc>
          <w:tcPr>
            <w:tcW w:w="995" w:type="dxa"/>
          </w:tcPr>
          <w:p w:rsidR="008469B8" w:rsidRPr="00DD66E3" w:rsidRDefault="008469B8" w:rsidP="00085E33">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DD66E3">
              <w:t>2014</w:t>
            </w:r>
          </w:p>
        </w:tc>
        <w:tc>
          <w:tcPr>
            <w:tcW w:w="995" w:type="dxa"/>
          </w:tcPr>
          <w:p w:rsidR="008469B8" w:rsidRPr="004D717E" w:rsidRDefault="008469B8" w:rsidP="004D717E">
            <w:pPr>
              <w:cnfStyle w:val="100000000000" w:firstRow="1" w:lastRow="0" w:firstColumn="0" w:lastColumn="0" w:oddVBand="0" w:evenVBand="0" w:oddHBand="0" w:evenHBand="0" w:firstRowFirstColumn="0" w:firstRowLastColumn="0" w:lastRowFirstColumn="0" w:lastRowLastColumn="0"/>
            </w:pPr>
            <w:r w:rsidRPr="004D717E">
              <w:t>2015</w:t>
            </w:r>
          </w:p>
        </w:tc>
        <w:tc>
          <w:tcPr>
            <w:tcW w:w="995" w:type="dxa"/>
          </w:tcPr>
          <w:p w:rsidR="008469B8" w:rsidRPr="004D717E" w:rsidRDefault="008469B8" w:rsidP="004D717E">
            <w:pPr>
              <w:cnfStyle w:val="100000000000" w:firstRow="1" w:lastRow="0" w:firstColumn="0" w:lastColumn="0" w:oddVBand="0" w:evenVBand="0" w:oddHBand="0" w:evenHBand="0" w:firstRowFirstColumn="0" w:firstRowLastColumn="0" w:lastRowFirstColumn="0" w:lastRowLastColumn="0"/>
            </w:pPr>
            <w:r w:rsidRPr="004D717E">
              <w:t>2016</w:t>
            </w:r>
          </w:p>
        </w:tc>
        <w:tc>
          <w:tcPr>
            <w:tcW w:w="995" w:type="dxa"/>
          </w:tcPr>
          <w:p w:rsidR="008469B8" w:rsidRPr="004D717E" w:rsidRDefault="008469B8" w:rsidP="004D717E">
            <w:pPr>
              <w:cnfStyle w:val="100000000000" w:firstRow="1" w:lastRow="0" w:firstColumn="0" w:lastColumn="0" w:oddVBand="0" w:evenVBand="0" w:oddHBand="0" w:evenHBand="0" w:firstRowFirstColumn="0" w:firstRowLastColumn="0" w:lastRowFirstColumn="0" w:lastRowLastColumn="0"/>
            </w:pPr>
            <w:r w:rsidRPr="004D717E">
              <w:t>2017</w:t>
            </w:r>
          </w:p>
        </w:tc>
      </w:tr>
      <w:tr w:rsidR="00B70CE3" w:rsidRPr="00A23188" w:rsidTr="00DE3F6B">
        <w:trPr>
          <w:trHeight w:val="512"/>
        </w:trPr>
        <w:tc>
          <w:tcPr>
            <w:cnfStyle w:val="001000000000" w:firstRow="0" w:lastRow="0" w:firstColumn="1" w:lastColumn="0" w:oddVBand="0" w:evenVBand="0" w:oddHBand="0" w:evenHBand="0" w:firstRowFirstColumn="0" w:firstRowLastColumn="0" w:lastRowFirstColumn="0" w:lastRowLastColumn="0"/>
            <w:tcW w:w="3741" w:type="dxa"/>
            <w:hideMark/>
          </w:tcPr>
          <w:p w:rsidR="00B70CE3" w:rsidRPr="0047148D" w:rsidRDefault="00B70CE3" w:rsidP="00085E33">
            <w:pPr>
              <w:rPr>
                <w:lang w:eastAsia="en-US"/>
              </w:rPr>
            </w:pPr>
            <w:r w:rsidRPr="0047148D">
              <w:t>Opening tax asset base</w:t>
            </w:r>
          </w:p>
        </w:tc>
        <w:tc>
          <w:tcPr>
            <w:tcW w:w="994" w:type="dxa"/>
            <w:vAlign w:val="bottom"/>
          </w:tcPr>
          <w:p w:rsidR="00B70CE3" w:rsidRPr="0047148D" w:rsidRDefault="00B70CE3" w:rsidP="00085E33">
            <w:pPr>
              <w:cnfStyle w:val="000000000000" w:firstRow="0" w:lastRow="0" w:firstColumn="0" w:lastColumn="0" w:oddVBand="0" w:evenVBand="0" w:oddHBand="0" w:evenHBand="0" w:firstRowFirstColumn="0" w:firstRowLastColumn="0" w:lastRowFirstColumn="0" w:lastRowLastColumn="0"/>
              <w:rPr>
                <w:lang w:eastAsia="en-US"/>
              </w:rPr>
            </w:pPr>
            <w:r w:rsidRPr="0047148D">
              <w:t>504.4</w:t>
            </w:r>
          </w:p>
        </w:tc>
        <w:tc>
          <w:tcPr>
            <w:tcW w:w="995" w:type="dxa"/>
            <w:vAlign w:val="bottom"/>
          </w:tcPr>
          <w:p w:rsidR="00B70CE3" w:rsidRPr="00DD66E3" w:rsidRDefault="00B70CE3" w:rsidP="00085E33">
            <w:pPr>
              <w:cnfStyle w:val="000000000000" w:firstRow="0" w:lastRow="0" w:firstColumn="0" w:lastColumn="0" w:oddVBand="0" w:evenVBand="0" w:oddHBand="0" w:evenHBand="0" w:firstRowFirstColumn="0" w:firstRowLastColumn="0" w:lastRowFirstColumn="0" w:lastRowLastColumn="0"/>
              <w:rPr>
                <w:lang w:eastAsia="en-US"/>
              </w:rPr>
            </w:pPr>
            <w:r w:rsidRPr="00DD66E3">
              <w:t>542.9</w:t>
            </w:r>
          </w:p>
        </w:tc>
        <w:tc>
          <w:tcPr>
            <w:tcW w:w="995" w:type="dxa"/>
            <w:vAlign w:val="bottom"/>
          </w:tcPr>
          <w:p w:rsidR="00B70CE3" w:rsidRPr="001A0248" w:rsidRDefault="00B70CE3" w:rsidP="00085E33">
            <w:pPr>
              <w:cnfStyle w:val="000000000000" w:firstRow="0" w:lastRow="0" w:firstColumn="0" w:lastColumn="0" w:oddVBand="0" w:evenVBand="0" w:oddHBand="0" w:evenHBand="0" w:firstRowFirstColumn="0" w:firstRowLastColumn="0" w:lastRowFirstColumn="0" w:lastRowLastColumn="0"/>
              <w:rPr>
                <w:lang w:eastAsia="en-US"/>
              </w:rPr>
            </w:pPr>
            <w:r w:rsidRPr="00DD66E3">
              <w:t>606.4</w:t>
            </w:r>
          </w:p>
        </w:tc>
        <w:tc>
          <w:tcPr>
            <w:tcW w:w="995" w:type="dxa"/>
            <w:vAlign w:val="bottom"/>
          </w:tcPr>
          <w:p w:rsidR="00B70CE3" w:rsidRPr="004D717E" w:rsidRDefault="00B70CE3" w:rsidP="004D717E">
            <w:pPr>
              <w:cnfStyle w:val="000000000000" w:firstRow="0" w:lastRow="0" w:firstColumn="0" w:lastColumn="0" w:oddVBand="0" w:evenVBand="0" w:oddHBand="0" w:evenHBand="0" w:firstRowFirstColumn="0" w:firstRowLastColumn="0" w:lastRowFirstColumn="0" w:lastRowLastColumn="0"/>
            </w:pPr>
            <w:r w:rsidRPr="004D717E">
              <w:t>645.3</w:t>
            </w:r>
          </w:p>
        </w:tc>
        <w:tc>
          <w:tcPr>
            <w:tcW w:w="995" w:type="dxa"/>
            <w:vAlign w:val="bottom"/>
          </w:tcPr>
          <w:p w:rsidR="00B70CE3" w:rsidRPr="004D717E" w:rsidRDefault="00B70CE3" w:rsidP="004D717E">
            <w:pPr>
              <w:cnfStyle w:val="000000000000" w:firstRow="0" w:lastRow="0" w:firstColumn="0" w:lastColumn="0" w:oddVBand="0" w:evenVBand="0" w:oddHBand="0" w:evenHBand="0" w:firstRowFirstColumn="0" w:firstRowLastColumn="0" w:lastRowFirstColumn="0" w:lastRowLastColumn="0"/>
            </w:pPr>
            <w:r w:rsidRPr="004D717E">
              <w:t>669.7</w:t>
            </w:r>
          </w:p>
        </w:tc>
      </w:tr>
      <w:tr w:rsidR="00B70CE3" w:rsidRPr="00A23188" w:rsidTr="00DE3F6B">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741" w:type="dxa"/>
            <w:hideMark/>
          </w:tcPr>
          <w:p w:rsidR="00B70CE3" w:rsidRPr="0047148D" w:rsidRDefault="00B70CE3" w:rsidP="00085E33">
            <w:pPr>
              <w:rPr>
                <w:b/>
                <w:bCs/>
                <w:lang w:eastAsia="en-US"/>
              </w:rPr>
            </w:pPr>
            <w:r w:rsidRPr="0047148D">
              <w:t>Capex</w:t>
            </w:r>
          </w:p>
        </w:tc>
        <w:tc>
          <w:tcPr>
            <w:tcW w:w="994" w:type="dxa"/>
            <w:vAlign w:val="bottom"/>
          </w:tcPr>
          <w:p w:rsidR="00B70CE3" w:rsidRPr="0047148D" w:rsidRDefault="00B70CE3" w:rsidP="00085E33">
            <w:pPr>
              <w:cnfStyle w:val="000000010000" w:firstRow="0" w:lastRow="0" w:firstColumn="0" w:lastColumn="0" w:oddVBand="0" w:evenVBand="0" w:oddHBand="0" w:evenHBand="1" w:firstRowFirstColumn="0" w:firstRowLastColumn="0" w:lastRowFirstColumn="0" w:lastRowLastColumn="0"/>
              <w:rPr>
                <w:lang w:eastAsia="en-US"/>
              </w:rPr>
            </w:pPr>
            <w:r w:rsidRPr="0047148D">
              <w:t>93.8</w:t>
            </w:r>
          </w:p>
        </w:tc>
        <w:tc>
          <w:tcPr>
            <w:tcW w:w="995" w:type="dxa"/>
            <w:vAlign w:val="bottom"/>
          </w:tcPr>
          <w:p w:rsidR="00B70CE3" w:rsidRPr="00DD66E3" w:rsidRDefault="00B70CE3" w:rsidP="00085E33">
            <w:pPr>
              <w:cnfStyle w:val="000000010000" w:firstRow="0" w:lastRow="0" w:firstColumn="0" w:lastColumn="0" w:oddVBand="0" w:evenVBand="0" w:oddHBand="0" w:evenHBand="1" w:firstRowFirstColumn="0" w:firstRowLastColumn="0" w:lastRowFirstColumn="0" w:lastRowLastColumn="0"/>
              <w:rPr>
                <w:lang w:eastAsia="en-US"/>
              </w:rPr>
            </w:pPr>
            <w:r w:rsidRPr="00DD66E3">
              <w:t>119.1</w:t>
            </w:r>
          </w:p>
        </w:tc>
        <w:tc>
          <w:tcPr>
            <w:tcW w:w="995" w:type="dxa"/>
            <w:vAlign w:val="bottom"/>
          </w:tcPr>
          <w:p w:rsidR="00B70CE3" w:rsidRPr="001A0248" w:rsidRDefault="00B70CE3" w:rsidP="00085E33">
            <w:pPr>
              <w:cnfStyle w:val="000000010000" w:firstRow="0" w:lastRow="0" w:firstColumn="0" w:lastColumn="0" w:oddVBand="0" w:evenVBand="0" w:oddHBand="0" w:evenHBand="1" w:firstRowFirstColumn="0" w:firstRowLastColumn="0" w:lastRowFirstColumn="0" w:lastRowLastColumn="0"/>
              <w:rPr>
                <w:lang w:eastAsia="en-US"/>
              </w:rPr>
            </w:pPr>
            <w:r w:rsidRPr="00DD66E3">
              <w:t>95.7</w:t>
            </w:r>
          </w:p>
        </w:tc>
        <w:tc>
          <w:tcPr>
            <w:tcW w:w="995" w:type="dxa"/>
            <w:vAlign w:val="bottom"/>
          </w:tcPr>
          <w:p w:rsidR="00B70CE3" w:rsidRPr="004D717E" w:rsidRDefault="00B70CE3" w:rsidP="004D717E">
            <w:pPr>
              <w:cnfStyle w:val="000000010000" w:firstRow="0" w:lastRow="0" w:firstColumn="0" w:lastColumn="0" w:oddVBand="0" w:evenVBand="0" w:oddHBand="0" w:evenHBand="1" w:firstRowFirstColumn="0" w:firstRowLastColumn="0" w:lastRowFirstColumn="0" w:lastRowLastColumn="0"/>
            </w:pPr>
            <w:r w:rsidRPr="004D717E">
              <w:t>83.4</w:t>
            </w:r>
          </w:p>
        </w:tc>
        <w:tc>
          <w:tcPr>
            <w:tcW w:w="995" w:type="dxa"/>
            <w:vAlign w:val="bottom"/>
          </w:tcPr>
          <w:p w:rsidR="00B70CE3" w:rsidRPr="004D717E" w:rsidRDefault="00B70CE3" w:rsidP="004D717E">
            <w:pPr>
              <w:cnfStyle w:val="000000010000" w:firstRow="0" w:lastRow="0" w:firstColumn="0" w:lastColumn="0" w:oddVBand="0" w:evenVBand="0" w:oddHBand="0" w:evenHBand="1" w:firstRowFirstColumn="0" w:firstRowLastColumn="0" w:lastRowFirstColumn="0" w:lastRowLastColumn="0"/>
            </w:pPr>
            <w:r w:rsidRPr="004D717E">
              <w:t>101.8</w:t>
            </w:r>
          </w:p>
        </w:tc>
      </w:tr>
      <w:tr w:rsidR="00B70CE3" w:rsidRPr="002F07B7" w:rsidTr="00DE3F6B">
        <w:trPr>
          <w:trHeight w:val="512"/>
        </w:trPr>
        <w:tc>
          <w:tcPr>
            <w:cnfStyle w:val="001000000000" w:firstRow="0" w:lastRow="0" w:firstColumn="1" w:lastColumn="0" w:oddVBand="0" w:evenVBand="0" w:oddHBand="0" w:evenHBand="0" w:firstRowFirstColumn="0" w:firstRowLastColumn="0" w:lastRowFirstColumn="0" w:lastRowLastColumn="0"/>
            <w:tcW w:w="3741" w:type="dxa"/>
            <w:hideMark/>
          </w:tcPr>
          <w:p w:rsidR="00B70CE3" w:rsidRPr="0047148D" w:rsidRDefault="00B70CE3" w:rsidP="00882427">
            <w:r w:rsidRPr="002F07B7">
              <w:rPr>
                <w:rStyle w:val="AERtextitalic"/>
              </w:rPr>
              <w:t>Less:</w:t>
            </w:r>
            <w:r w:rsidRPr="0047148D">
              <w:t xml:space="preserve"> </w:t>
            </w:r>
            <w:r w:rsidR="00882427">
              <w:t>t</w:t>
            </w:r>
            <w:r w:rsidRPr="0047148D">
              <w:t>ax depreciation</w:t>
            </w:r>
          </w:p>
        </w:tc>
        <w:tc>
          <w:tcPr>
            <w:tcW w:w="994" w:type="dxa"/>
            <w:vAlign w:val="bottom"/>
          </w:tcPr>
          <w:p w:rsidR="00B70CE3" w:rsidRPr="002F07B7" w:rsidRDefault="00B70CE3" w:rsidP="002F07B7">
            <w:pPr>
              <w:cnfStyle w:val="000000000000" w:firstRow="0" w:lastRow="0" w:firstColumn="0" w:lastColumn="0" w:oddVBand="0" w:evenVBand="0" w:oddHBand="0" w:evenHBand="0" w:firstRowFirstColumn="0" w:firstRowLastColumn="0" w:lastRowFirstColumn="0" w:lastRowLastColumn="0"/>
            </w:pPr>
            <w:r w:rsidRPr="002F07B7">
              <w:t>55.3</w:t>
            </w:r>
          </w:p>
        </w:tc>
        <w:tc>
          <w:tcPr>
            <w:tcW w:w="995" w:type="dxa"/>
            <w:vAlign w:val="bottom"/>
          </w:tcPr>
          <w:p w:rsidR="00B70CE3" w:rsidRPr="002F07B7" w:rsidRDefault="00B70CE3" w:rsidP="002F07B7">
            <w:pPr>
              <w:cnfStyle w:val="000000000000" w:firstRow="0" w:lastRow="0" w:firstColumn="0" w:lastColumn="0" w:oddVBand="0" w:evenVBand="0" w:oddHBand="0" w:evenHBand="0" w:firstRowFirstColumn="0" w:firstRowLastColumn="0" w:lastRowFirstColumn="0" w:lastRowLastColumn="0"/>
            </w:pPr>
            <w:r w:rsidRPr="002F07B7">
              <w:t>55.6</w:t>
            </w:r>
          </w:p>
        </w:tc>
        <w:tc>
          <w:tcPr>
            <w:tcW w:w="995" w:type="dxa"/>
            <w:vAlign w:val="bottom"/>
          </w:tcPr>
          <w:p w:rsidR="00B70CE3" w:rsidRPr="002F07B7" w:rsidRDefault="00B70CE3" w:rsidP="002F07B7">
            <w:pPr>
              <w:cnfStyle w:val="000000000000" w:firstRow="0" w:lastRow="0" w:firstColumn="0" w:lastColumn="0" w:oddVBand="0" w:evenVBand="0" w:oddHBand="0" w:evenHBand="0" w:firstRowFirstColumn="0" w:firstRowLastColumn="0" w:lastRowFirstColumn="0" w:lastRowLastColumn="0"/>
            </w:pPr>
            <w:r w:rsidRPr="002F07B7">
              <w:t>56.8</w:t>
            </w:r>
          </w:p>
        </w:tc>
        <w:tc>
          <w:tcPr>
            <w:tcW w:w="995" w:type="dxa"/>
            <w:vAlign w:val="bottom"/>
          </w:tcPr>
          <w:p w:rsidR="00B70CE3" w:rsidRPr="002F07B7" w:rsidRDefault="00B70CE3" w:rsidP="002F07B7">
            <w:pPr>
              <w:cnfStyle w:val="000000000000" w:firstRow="0" w:lastRow="0" w:firstColumn="0" w:lastColumn="0" w:oddVBand="0" w:evenVBand="0" w:oddHBand="0" w:evenHBand="0" w:firstRowFirstColumn="0" w:firstRowLastColumn="0" w:lastRowFirstColumn="0" w:lastRowLastColumn="0"/>
            </w:pPr>
            <w:r w:rsidRPr="002F07B7">
              <w:t>58.9</w:t>
            </w:r>
          </w:p>
        </w:tc>
        <w:tc>
          <w:tcPr>
            <w:tcW w:w="995" w:type="dxa"/>
            <w:vAlign w:val="bottom"/>
          </w:tcPr>
          <w:p w:rsidR="00B70CE3" w:rsidRPr="002F07B7" w:rsidRDefault="00B70CE3" w:rsidP="002F07B7">
            <w:pPr>
              <w:cnfStyle w:val="000000000000" w:firstRow="0" w:lastRow="0" w:firstColumn="0" w:lastColumn="0" w:oddVBand="0" w:evenVBand="0" w:oddHBand="0" w:evenHBand="0" w:firstRowFirstColumn="0" w:firstRowLastColumn="0" w:lastRowFirstColumn="0" w:lastRowLastColumn="0"/>
            </w:pPr>
            <w:r w:rsidRPr="002F07B7">
              <w:t>62.4</w:t>
            </w:r>
          </w:p>
        </w:tc>
      </w:tr>
      <w:tr w:rsidR="00B70CE3" w:rsidRPr="00340BC3" w:rsidTr="00DE3F6B">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741" w:type="dxa"/>
            <w:hideMark/>
          </w:tcPr>
          <w:p w:rsidR="00B70CE3" w:rsidRPr="00DE3F6B" w:rsidRDefault="00B70CE3" w:rsidP="00882427">
            <w:pPr>
              <w:spacing w:before="200" w:after="0"/>
            </w:pPr>
            <w:r w:rsidRPr="00DE3F6B">
              <w:t>Closing tax asset base</w:t>
            </w:r>
          </w:p>
        </w:tc>
        <w:tc>
          <w:tcPr>
            <w:tcW w:w="994" w:type="dxa"/>
            <w:vAlign w:val="bottom"/>
          </w:tcPr>
          <w:p w:rsidR="00B70CE3" w:rsidRPr="00DE3F6B" w:rsidRDefault="00B70CE3" w:rsidP="00DE3F6B">
            <w:pPr>
              <w:cnfStyle w:val="000000010000" w:firstRow="0" w:lastRow="0" w:firstColumn="0" w:lastColumn="0" w:oddVBand="0" w:evenVBand="0" w:oddHBand="0" w:evenHBand="1" w:firstRowFirstColumn="0" w:firstRowLastColumn="0" w:lastRowFirstColumn="0" w:lastRowLastColumn="0"/>
            </w:pPr>
            <w:r w:rsidRPr="00DE3F6B">
              <w:t>542.9</w:t>
            </w:r>
          </w:p>
        </w:tc>
        <w:tc>
          <w:tcPr>
            <w:tcW w:w="995" w:type="dxa"/>
            <w:vAlign w:val="bottom"/>
          </w:tcPr>
          <w:p w:rsidR="00B70CE3" w:rsidRPr="00DE3F6B" w:rsidRDefault="00B70CE3" w:rsidP="00DE3F6B">
            <w:pPr>
              <w:cnfStyle w:val="000000010000" w:firstRow="0" w:lastRow="0" w:firstColumn="0" w:lastColumn="0" w:oddVBand="0" w:evenVBand="0" w:oddHBand="0" w:evenHBand="1" w:firstRowFirstColumn="0" w:firstRowLastColumn="0" w:lastRowFirstColumn="0" w:lastRowLastColumn="0"/>
            </w:pPr>
            <w:r w:rsidRPr="00DE3F6B">
              <w:t>606.4</w:t>
            </w:r>
          </w:p>
        </w:tc>
        <w:tc>
          <w:tcPr>
            <w:tcW w:w="995" w:type="dxa"/>
            <w:vAlign w:val="bottom"/>
          </w:tcPr>
          <w:p w:rsidR="00B70CE3" w:rsidRPr="00DE3F6B" w:rsidRDefault="00B70CE3" w:rsidP="00DE3F6B">
            <w:pPr>
              <w:cnfStyle w:val="000000010000" w:firstRow="0" w:lastRow="0" w:firstColumn="0" w:lastColumn="0" w:oddVBand="0" w:evenVBand="0" w:oddHBand="0" w:evenHBand="1" w:firstRowFirstColumn="0" w:firstRowLastColumn="0" w:lastRowFirstColumn="0" w:lastRowLastColumn="0"/>
            </w:pPr>
            <w:r w:rsidRPr="00DE3F6B">
              <w:t>645.3</w:t>
            </w:r>
          </w:p>
        </w:tc>
        <w:tc>
          <w:tcPr>
            <w:tcW w:w="995" w:type="dxa"/>
            <w:vAlign w:val="bottom"/>
          </w:tcPr>
          <w:p w:rsidR="00B70CE3" w:rsidRPr="00DE3F6B" w:rsidRDefault="00B70CE3" w:rsidP="00DE3F6B">
            <w:pPr>
              <w:cnfStyle w:val="000000010000" w:firstRow="0" w:lastRow="0" w:firstColumn="0" w:lastColumn="0" w:oddVBand="0" w:evenVBand="0" w:oddHBand="0" w:evenHBand="1" w:firstRowFirstColumn="0" w:firstRowLastColumn="0" w:lastRowFirstColumn="0" w:lastRowLastColumn="0"/>
            </w:pPr>
            <w:r w:rsidRPr="00DE3F6B">
              <w:t>669.7</w:t>
            </w:r>
          </w:p>
        </w:tc>
        <w:tc>
          <w:tcPr>
            <w:tcW w:w="995" w:type="dxa"/>
            <w:vAlign w:val="bottom"/>
          </w:tcPr>
          <w:p w:rsidR="00B70CE3" w:rsidRPr="00DE3F6B" w:rsidRDefault="00B70CE3" w:rsidP="00DE3F6B">
            <w:pPr>
              <w:cnfStyle w:val="000000010000" w:firstRow="0" w:lastRow="0" w:firstColumn="0" w:lastColumn="0" w:oddVBand="0" w:evenVBand="0" w:oddHBand="0" w:evenHBand="1" w:firstRowFirstColumn="0" w:firstRowLastColumn="0" w:lastRowFirstColumn="0" w:lastRowLastColumn="0"/>
            </w:pPr>
            <w:r w:rsidRPr="00DE3F6B">
              <w:t>709.2</w:t>
            </w:r>
          </w:p>
        </w:tc>
      </w:tr>
      <w:tr w:rsidR="006C5AE7" w:rsidRPr="00A23188" w:rsidTr="00DE3F6B">
        <w:trPr>
          <w:trHeight w:val="512"/>
        </w:trPr>
        <w:tc>
          <w:tcPr>
            <w:cnfStyle w:val="001000000000" w:firstRow="0" w:lastRow="0" w:firstColumn="1" w:lastColumn="0" w:oddVBand="0" w:evenVBand="0" w:oddHBand="0" w:evenHBand="0" w:firstRowFirstColumn="0" w:firstRowLastColumn="0" w:lastRowFirstColumn="0" w:lastRowLastColumn="0"/>
            <w:tcW w:w="3741" w:type="dxa"/>
          </w:tcPr>
          <w:p w:rsidR="006C5AE7" w:rsidRPr="001A0248" w:rsidRDefault="00BA5A47" w:rsidP="0047148D">
            <w:r w:rsidRPr="00DD66E3">
              <w:t>End</w:t>
            </w:r>
            <w:r w:rsidR="002072FA" w:rsidRPr="00DD66E3">
              <w:t xml:space="preserve"> of period adjustment</w:t>
            </w:r>
          </w:p>
        </w:tc>
        <w:tc>
          <w:tcPr>
            <w:tcW w:w="994" w:type="dxa"/>
            <w:vAlign w:val="bottom"/>
          </w:tcPr>
          <w:p w:rsidR="006C5AE7" w:rsidRPr="00085E33" w:rsidRDefault="006C5AE7" w:rsidP="0047148D">
            <w:pPr>
              <w:spacing w:before="200" w:after="0"/>
              <w:jc w:val="left"/>
              <w:cnfStyle w:val="000000000000" w:firstRow="0" w:lastRow="0" w:firstColumn="0" w:lastColumn="0" w:oddVBand="0" w:evenVBand="0" w:oddHBand="0" w:evenHBand="0" w:firstRowFirstColumn="0" w:firstRowLastColumn="0" w:lastRowFirstColumn="0" w:lastRowLastColumn="0"/>
            </w:pPr>
          </w:p>
        </w:tc>
        <w:tc>
          <w:tcPr>
            <w:tcW w:w="995" w:type="dxa"/>
            <w:vAlign w:val="bottom"/>
          </w:tcPr>
          <w:p w:rsidR="006C5AE7" w:rsidRPr="00085E33" w:rsidRDefault="006C5AE7" w:rsidP="00DD66E3">
            <w:pPr>
              <w:spacing w:before="200" w:after="0"/>
              <w:jc w:val="left"/>
              <w:cnfStyle w:val="000000000000" w:firstRow="0" w:lastRow="0" w:firstColumn="0" w:lastColumn="0" w:oddVBand="0" w:evenVBand="0" w:oddHBand="0" w:evenHBand="0" w:firstRowFirstColumn="0" w:firstRowLastColumn="0" w:lastRowFirstColumn="0" w:lastRowLastColumn="0"/>
            </w:pPr>
          </w:p>
        </w:tc>
        <w:tc>
          <w:tcPr>
            <w:tcW w:w="995" w:type="dxa"/>
            <w:vAlign w:val="bottom"/>
          </w:tcPr>
          <w:p w:rsidR="006C5AE7" w:rsidRPr="00085E33" w:rsidRDefault="006C5AE7" w:rsidP="00DD66E3">
            <w:pPr>
              <w:spacing w:before="200" w:after="0"/>
              <w:jc w:val="left"/>
              <w:cnfStyle w:val="000000000000" w:firstRow="0" w:lastRow="0" w:firstColumn="0" w:lastColumn="0" w:oddVBand="0" w:evenVBand="0" w:oddHBand="0" w:evenHBand="0" w:firstRowFirstColumn="0" w:firstRowLastColumn="0" w:lastRowFirstColumn="0" w:lastRowLastColumn="0"/>
            </w:pPr>
          </w:p>
        </w:tc>
        <w:tc>
          <w:tcPr>
            <w:tcW w:w="995" w:type="dxa"/>
            <w:vAlign w:val="bottom"/>
          </w:tcPr>
          <w:p w:rsidR="006C5AE7" w:rsidRPr="00085E33" w:rsidRDefault="006C5AE7" w:rsidP="00085E33">
            <w:pPr>
              <w:cnfStyle w:val="000000000000" w:firstRow="0" w:lastRow="0" w:firstColumn="0" w:lastColumn="0" w:oddVBand="0" w:evenVBand="0" w:oddHBand="0" w:evenHBand="0" w:firstRowFirstColumn="0" w:firstRowLastColumn="0" w:lastRowFirstColumn="0" w:lastRowLastColumn="0"/>
            </w:pPr>
          </w:p>
        </w:tc>
        <w:tc>
          <w:tcPr>
            <w:tcW w:w="995" w:type="dxa"/>
            <w:vAlign w:val="bottom"/>
          </w:tcPr>
          <w:p w:rsidR="006C5AE7" w:rsidRPr="00085E33" w:rsidRDefault="00340BC3" w:rsidP="00085E33">
            <w:pPr>
              <w:cnfStyle w:val="000000000000" w:firstRow="0" w:lastRow="0" w:firstColumn="0" w:lastColumn="0" w:oddVBand="0" w:evenVBand="0" w:oddHBand="0" w:evenHBand="0" w:firstRowFirstColumn="0" w:firstRowLastColumn="0" w:lastRowFirstColumn="0" w:lastRowLastColumn="0"/>
            </w:pPr>
            <w:r>
              <w:t>–</w:t>
            </w:r>
            <w:r w:rsidR="002072FA" w:rsidRPr="00A23188">
              <w:t>1.0</w:t>
            </w:r>
          </w:p>
        </w:tc>
      </w:tr>
      <w:tr w:rsidR="006C5AE7" w:rsidRPr="00A23188" w:rsidTr="00DE3F6B">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741" w:type="dxa"/>
          </w:tcPr>
          <w:p w:rsidR="006C5AE7" w:rsidRPr="002F07B7" w:rsidRDefault="004B2CE8" w:rsidP="00085E33">
            <w:pPr>
              <w:rPr>
                <w:rStyle w:val="Strong"/>
              </w:rPr>
            </w:pPr>
            <w:r w:rsidRPr="0047148D">
              <w:rPr>
                <w:rStyle w:val="Strong"/>
              </w:rPr>
              <w:t xml:space="preserve">Opening tax asset base as at </w:t>
            </w:r>
            <w:r w:rsidR="002F07B7" w:rsidRPr="0047148D">
              <w:rPr>
                <w:rStyle w:val="Strong"/>
              </w:rPr>
              <w:t>1</w:t>
            </w:r>
            <w:r w:rsidR="002F07B7">
              <w:rPr>
                <w:rStyle w:val="Strong"/>
              </w:rPr>
              <w:t> </w:t>
            </w:r>
            <w:r w:rsidRPr="002F07B7">
              <w:rPr>
                <w:rStyle w:val="Strong"/>
              </w:rPr>
              <w:t>January 2018</w:t>
            </w:r>
          </w:p>
        </w:tc>
        <w:tc>
          <w:tcPr>
            <w:tcW w:w="994" w:type="dxa"/>
            <w:vAlign w:val="bottom"/>
          </w:tcPr>
          <w:p w:rsidR="006C5AE7" w:rsidRPr="00DD66E3" w:rsidRDefault="006C5AE7" w:rsidP="00085E33">
            <w:pPr>
              <w:cnfStyle w:val="000000010000" w:firstRow="0" w:lastRow="0" w:firstColumn="0" w:lastColumn="0" w:oddVBand="0" w:evenVBand="0" w:oddHBand="0" w:evenHBand="1" w:firstRowFirstColumn="0" w:firstRowLastColumn="0" w:lastRowFirstColumn="0" w:lastRowLastColumn="0"/>
              <w:rPr>
                <w:rStyle w:val="Strong"/>
              </w:rPr>
            </w:pPr>
          </w:p>
        </w:tc>
        <w:tc>
          <w:tcPr>
            <w:tcW w:w="995" w:type="dxa"/>
            <w:vAlign w:val="bottom"/>
          </w:tcPr>
          <w:p w:rsidR="006C5AE7" w:rsidRPr="00DD66E3" w:rsidRDefault="006C5AE7" w:rsidP="00085E33">
            <w:pPr>
              <w:cnfStyle w:val="000000010000" w:firstRow="0" w:lastRow="0" w:firstColumn="0" w:lastColumn="0" w:oddVBand="0" w:evenVBand="0" w:oddHBand="0" w:evenHBand="1" w:firstRowFirstColumn="0" w:firstRowLastColumn="0" w:lastRowFirstColumn="0" w:lastRowLastColumn="0"/>
              <w:rPr>
                <w:rStyle w:val="Strong"/>
              </w:rPr>
            </w:pPr>
          </w:p>
        </w:tc>
        <w:tc>
          <w:tcPr>
            <w:tcW w:w="995" w:type="dxa"/>
            <w:vAlign w:val="bottom"/>
          </w:tcPr>
          <w:p w:rsidR="006C5AE7" w:rsidRPr="00A23188" w:rsidRDefault="006C5AE7" w:rsidP="00085E33">
            <w:pPr>
              <w:cnfStyle w:val="000000010000" w:firstRow="0" w:lastRow="0" w:firstColumn="0" w:lastColumn="0" w:oddVBand="0" w:evenVBand="0" w:oddHBand="0" w:evenHBand="1" w:firstRowFirstColumn="0" w:firstRowLastColumn="0" w:lastRowFirstColumn="0" w:lastRowLastColumn="0"/>
              <w:rPr>
                <w:rStyle w:val="Strong"/>
              </w:rPr>
            </w:pPr>
          </w:p>
        </w:tc>
        <w:tc>
          <w:tcPr>
            <w:tcW w:w="995" w:type="dxa"/>
            <w:vAlign w:val="bottom"/>
          </w:tcPr>
          <w:p w:rsidR="006C5AE7" w:rsidRPr="00A23188" w:rsidRDefault="006C5AE7" w:rsidP="00085E33">
            <w:pPr>
              <w:cnfStyle w:val="000000010000" w:firstRow="0" w:lastRow="0" w:firstColumn="0" w:lastColumn="0" w:oddVBand="0" w:evenVBand="0" w:oddHBand="0" w:evenHBand="1" w:firstRowFirstColumn="0" w:firstRowLastColumn="0" w:lastRowFirstColumn="0" w:lastRowLastColumn="0"/>
              <w:rPr>
                <w:rStyle w:val="Strong"/>
              </w:rPr>
            </w:pPr>
          </w:p>
        </w:tc>
        <w:tc>
          <w:tcPr>
            <w:tcW w:w="995" w:type="dxa"/>
            <w:vAlign w:val="bottom"/>
          </w:tcPr>
          <w:p w:rsidR="006C5AE7" w:rsidRPr="00085E33" w:rsidRDefault="004B2CE8" w:rsidP="00085E33">
            <w:pPr>
              <w:cnfStyle w:val="000000010000" w:firstRow="0" w:lastRow="0" w:firstColumn="0" w:lastColumn="0" w:oddVBand="0" w:evenVBand="0" w:oddHBand="0" w:evenHBand="1" w:firstRowFirstColumn="0" w:firstRowLastColumn="0" w:lastRowFirstColumn="0" w:lastRowLastColumn="0"/>
              <w:rPr>
                <w:rStyle w:val="Strong"/>
              </w:rPr>
            </w:pPr>
            <w:r w:rsidRPr="00085E33">
              <w:rPr>
                <w:rStyle w:val="Strong"/>
              </w:rPr>
              <w:t>708.1</w:t>
            </w:r>
            <w:r w:rsidRPr="00DE3F6B">
              <w:rPr>
                <w:rStyle w:val="AERsuperscript"/>
              </w:rPr>
              <w:t>a</w:t>
            </w:r>
          </w:p>
        </w:tc>
      </w:tr>
    </w:tbl>
    <w:p w:rsidR="009F38B5" w:rsidRDefault="0007719F" w:rsidP="007C051F">
      <w:pPr>
        <w:pStyle w:val="AERtablesource"/>
      </w:pPr>
      <w:r w:rsidRPr="0007719F">
        <w:rPr>
          <w:rFonts w:eastAsia="Calibri"/>
        </w:rPr>
        <w:t xml:space="preserve">Source: </w:t>
      </w:r>
      <w:r w:rsidRPr="0007719F">
        <w:rPr>
          <w:rFonts w:eastAsia="Calibri"/>
        </w:rPr>
        <w:tab/>
      </w:r>
      <w:r w:rsidRPr="0007719F">
        <w:t xml:space="preserve">AusNet, </w:t>
      </w:r>
      <w:r w:rsidR="00855D41" w:rsidRPr="00B82521">
        <w:rPr>
          <w:rStyle w:val="AERtextitalic"/>
        </w:rPr>
        <w:t>Distribution GAAR</w:t>
      </w:r>
      <w:r w:rsidR="00855D41">
        <w:t xml:space="preserve"> </w:t>
      </w:r>
      <w:r w:rsidRPr="00085E33">
        <w:rPr>
          <w:rStyle w:val="AERtextitalic"/>
        </w:rPr>
        <w:t>Proposed</w:t>
      </w:r>
      <w:r w:rsidRPr="0007719F">
        <w:t xml:space="preserve"> </w:t>
      </w:r>
      <w:r w:rsidRPr="0007719F">
        <w:rPr>
          <w:rStyle w:val="AERtextitalic"/>
        </w:rPr>
        <w:t>PTRM</w:t>
      </w:r>
      <w:r w:rsidRPr="0007719F">
        <w:t>, December 2016.</w:t>
      </w:r>
    </w:p>
    <w:p w:rsidR="0007719F" w:rsidRPr="006A18C3" w:rsidRDefault="0007719F" w:rsidP="00340BC3">
      <w:pPr>
        <w:pStyle w:val="AERtablesource"/>
      </w:pPr>
      <w:r w:rsidRPr="00956453">
        <w:t>(a)</w:t>
      </w:r>
      <w:r w:rsidRPr="00956453">
        <w:tab/>
        <w:t>AusNet</w:t>
      </w:r>
      <w:r w:rsidR="00340BC3">
        <w:t>'s proposed PTRM</w:t>
      </w:r>
      <w:r w:rsidRPr="00956453">
        <w:t xml:space="preserve"> </w:t>
      </w:r>
      <w:r w:rsidR="004B386F" w:rsidRPr="00956453">
        <w:t>contains an</w:t>
      </w:r>
      <w:r w:rsidRPr="00956453">
        <w:t xml:space="preserve"> end of period adjustment of $</w:t>
      </w:r>
      <w:r w:rsidRPr="00956453">
        <w:rPr>
          <w:rStyle w:val="AERbody"/>
          <w:sz w:val="16"/>
        </w:rPr>
        <w:t xml:space="preserve">1.03 million ($ nominal) </w:t>
      </w:r>
      <w:r w:rsidR="00956453" w:rsidRPr="006C5AE7">
        <w:rPr>
          <w:rStyle w:val="AERbody"/>
          <w:sz w:val="16"/>
        </w:rPr>
        <w:t>applied</w:t>
      </w:r>
      <w:r w:rsidRPr="006C5AE7">
        <w:rPr>
          <w:rStyle w:val="AERbody"/>
          <w:sz w:val="16"/>
        </w:rPr>
        <w:t xml:space="preserve"> to the </w:t>
      </w:r>
      <w:r w:rsidR="005150B4" w:rsidRPr="006C5AE7">
        <w:rPr>
          <w:rStyle w:val="AERbody"/>
          <w:sz w:val="16"/>
        </w:rPr>
        <w:t xml:space="preserve">opening </w:t>
      </w:r>
      <w:r w:rsidRPr="006C5AE7">
        <w:rPr>
          <w:rStyle w:val="AERbody"/>
          <w:sz w:val="16"/>
        </w:rPr>
        <w:t>TAB</w:t>
      </w:r>
      <w:r w:rsidR="005150B4" w:rsidRPr="006C5AE7">
        <w:rPr>
          <w:rStyle w:val="AERbody"/>
          <w:sz w:val="16"/>
        </w:rPr>
        <w:t xml:space="preserve"> as at 1 January 2018</w:t>
      </w:r>
      <w:r w:rsidRPr="006C5AE7">
        <w:rPr>
          <w:rStyle w:val="AERbody"/>
          <w:sz w:val="16"/>
        </w:rPr>
        <w:t>. T</w:t>
      </w:r>
      <w:r w:rsidRPr="00BA5A47">
        <w:rPr>
          <w:rStyle w:val="AERbody"/>
          <w:sz w:val="16"/>
        </w:rPr>
        <w:t xml:space="preserve">his adjustment </w:t>
      </w:r>
      <w:r w:rsidR="00956453" w:rsidRPr="00340BC3">
        <w:rPr>
          <w:rStyle w:val="AERbody"/>
          <w:sz w:val="16"/>
        </w:rPr>
        <w:t>relates to</w:t>
      </w:r>
      <w:r w:rsidRPr="00340BC3">
        <w:rPr>
          <w:rStyle w:val="AERbody"/>
          <w:sz w:val="16"/>
        </w:rPr>
        <w:t xml:space="preserve"> </w:t>
      </w:r>
      <w:r w:rsidR="00340BC3" w:rsidRPr="00AE4FED">
        <w:rPr>
          <w:rStyle w:val="AERbody"/>
          <w:sz w:val="16"/>
        </w:rPr>
        <w:t>asset</w:t>
      </w:r>
      <w:r w:rsidR="00340BC3">
        <w:rPr>
          <w:rStyle w:val="AERbody"/>
        </w:rPr>
        <w:t xml:space="preserve"> </w:t>
      </w:r>
      <w:r w:rsidRPr="006A18C3">
        <w:rPr>
          <w:rStyle w:val="AERbody"/>
          <w:sz w:val="16"/>
        </w:rPr>
        <w:t>disposals in 2012.</w:t>
      </w:r>
    </w:p>
    <w:p w:rsidR="00132D43" w:rsidRDefault="002F07B7" w:rsidP="00132D43">
      <w:pPr>
        <w:pStyle w:val="Heading2"/>
      </w:pPr>
      <w:bookmarkStart w:id="104" w:name="_Toc486840704"/>
      <w:r>
        <w:t>AER's a</w:t>
      </w:r>
      <w:r w:rsidR="00132D43">
        <w:t>ssessment approach</w:t>
      </w:r>
      <w:bookmarkEnd w:id="104"/>
    </w:p>
    <w:p w:rsidR="008469B8" w:rsidRPr="00FD50DB" w:rsidRDefault="008469B8" w:rsidP="008469B8">
      <w:r>
        <w:t xml:space="preserve">Our approach to calculate </w:t>
      </w:r>
      <w:r w:rsidR="00247199">
        <w:t>AusNet</w:t>
      </w:r>
      <w:r w:rsidR="003D7105">
        <w:t>'s</w:t>
      </w:r>
      <w:r w:rsidR="00247199">
        <w:t xml:space="preserve"> </w:t>
      </w:r>
      <w:r>
        <w:t>cost of corporate income tax begins with an</w:t>
      </w:r>
      <w:r w:rsidRPr="00FD50DB">
        <w:t xml:space="preserve"> estimate</w:t>
      </w:r>
      <w:r>
        <w:t xml:space="preserve"> of</w:t>
      </w:r>
      <w:r w:rsidRPr="00FD50DB">
        <w:t xml:space="preserve"> taxable income that would be earned by a</w:t>
      </w:r>
      <w:r>
        <w:t xml:space="preserve"> benchmark</w:t>
      </w:r>
      <w:r w:rsidRPr="00FD50DB">
        <w:t xml:space="preserve"> efficient company operating </w:t>
      </w:r>
      <w:r w:rsidR="00247199">
        <w:t>AusNet</w:t>
      </w:r>
      <w:r w:rsidR="00956453">
        <w:t>'s</w:t>
      </w:r>
      <w:r w:rsidR="00247199">
        <w:t xml:space="preserve"> </w:t>
      </w:r>
      <w:r>
        <w:t>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w:t>
      </w:r>
      <w:r w:rsidR="00247199">
        <w:t>AusNet</w:t>
      </w:r>
      <w:r w:rsidR="00956453">
        <w:t>'s</w:t>
      </w:r>
      <w:r w:rsidR="00247199">
        <w:t xml:space="preserve"> </w:t>
      </w:r>
      <w:r w:rsidRPr="00FD50DB">
        <w:t xml:space="preserve">actual gearing. Tax depreciation is calculated using a separate </w:t>
      </w:r>
      <w:r>
        <w:t>TAB</w:t>
      </w:r>
      <w:r w:rsidRPr="00FD50DB">
        <w:t>. All tax expenses (including other expenses such as operating expenditure) are offs</w:t>
      </w:r>
      <w:r>
        <w:t>et against the service provider’</w:t>
      </w:r>
      <w:r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t xml:space="preserve">value of imputation credits (gamma). </w:t>
      </w:r>
      <w:r w:rsidRPr="002616BC">
        <w:t>T</w:t>
      </w:r>
      <w:r w:rsidRPr="00286FBC">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 xml:space="preserve">is then included as a separate building block in determining </w:t>
      </w:r>
      <w:r w:rsidR="00247199">
        <w:t>AusNet</w:t>
      </w:r>
      <w:r w:rsidR="00956453">
        <w:t>'s</w:t>
      </w:r>
      <w:r w:rsidR="00247199">
        <w:t xml:space="preserve"> </w:t>
      </w:r>
      <w:r w:rsidRPr="00FD50DB">
        <w:t>total revenue.</w:t>
      </w:r>
      <w:r w:rsidRPr="00FD50DB">
        <w:rPr>
          <w:rStyle w:val="FootnoteReference"/>
        </w:rPr>
        <w:footnoteReference w:id="8"/>
      </w:r>
      <w:r w:rsidRPr="00FD50DB">
        <w:t xml:space="preserve"> </w:t>
      </w:r>
    </w:p>
    <w:p w:rsidR="008469B8" w:rsidRPr="00FD50DB" w:rsidRDefault="008469B8" w:rsidP="008469B8">
      <w:r>
        <w:t xml:space="preserve">The corporate income tax allowance </w:t>
      </w:r>
      <w:r w:rsidRPr="00874BD1">
        <w:t>is an output of the AER’s PTRM</w:t>
      </w:r>
      <w:r>
        <w:t xml:space="preserve">, which has been adopted by </w:t>
      </w:r>
      <w:r w:rsidR="00247199">
        <w:t>AusNet</w:t>
      </w:r>
      <w:r w:rsidRPr="00874BD1">
        <w:t xml:space="preserve">. </w:t>
      </w:r>
      <w:r w:rsidRPr="00FD50DB">
        <w:t xml:space="preserve">We </w:t>
      </w:r>
      <w:r>
        <w:t xml:space="preserve">have </w:t>
      </w:r>
      <w:r w:rsidRPr="00FD50DB">
        <w:t xml:space="preserve">therefore assessed </w:t>
      </w:r>
      <w:r w:rsidR="00247199">
        <w:t>AusNet</w:t>
      </w:r>
      <w:r w:rsidR="00A34A4B">
        <w:t>'s</w:t>
      </w:r>
      <w:r w:rsidR="00247199">
        <w:t xml:space="preserve"> </w:t>
      </w:r>
      <w:r w:rsidRPr="00FD50DB">
        <w:t xml:space="preserve">proposed corporate income tax allowance by analysing </w:t>
      </w:r>
      <w:r>
        <w:t>its</w:t>
      </w:r>
      <w:r w:rsidRPr="00FD50DB">
        <w:t xml:space="preserve"> proposed inputs to the </w:t>
      </w:r>
      <w:r>
        <w:t>PTRM</w:t>
      </w:r>
      <w:r w:rsidRPr="00FD50DB">
        <w:t xml:space="preserve"> for calculating the tax allowance. These inputs include: </w:t>
      </w:r>
    </w:p>
    <w:p w:rsidR="008469B8" w:rsidRPr="00F8282A" w:rsidRDefault="008469B8" w:rsidP="008469B8">
      <w:pPr>
        <w:pStyle w:val="AERbulletlistfirststyle"/>
      </w:pPr>
      <w:r w:rsidRPr="00F8282A">
        <w:t xml:space="preserve">the opening TAB as at </w:t>
      </w:r>
      <w:r>
        <w:t>1 January 2018</w:t>
      </w:r>
      <w:r w:rsidRPr="00F8282A">
        <w:t xml:space="preserve"> </w:t>
      </w:r>
    </w:p>
    <w:p w:rsidR="008469B8" w:rsidRPr="00F8282A" w:rsidRDefault="008469B8" w:rsidP="008469B8">
      <w:pPr>
        <w:pStyle w:val="AERbulletlistfirststyle"/>
      </w:pPr>
      <w:r>
        <w:t xml:space="preserve">the standard tax asset life </w:t>
      </w:r>
      <w:r w:rsidRPr="00F8282A">
        <w:t>for each asset class</w:t>
      </w:r>
    </w:p>
    <w:p w:rsidR="008469B8" w:rsidRPr="00F8282A" w:rsidRDefault="008469B8" w:rsidP="008469B8">
      <w:pPr>
        <w:pStyle w:val="AERbulletlistfirststyle"/>
      </w:pPr>
      <w:r w:rsidRPr="00F8282A">
        <w:t xml:space="preserve">the </w:t>
      </w:r>
      <w:r>
        <w:t>remaining tax asset life</w:t>
      </w:r>
      <w:r w:rsidRPr="00F8282A">
        <w:t xml:space="preserve"> for each asset class</w:t>
      </w:r>
      <w:r>
        <w:t xml:space="preserve"> as at 1 January 2018</w:t>
      </w:r>
    </w:p>
    <w:p w:rsidR="008469B8" w:rsidRPr="00F8282A" w:rsidRDefault="008469B8" w:rsidP="008469B8">
      <w:pPr>
        <w:pStyle w:val="AERbulletlistfirststyle"/>
      </w:pPr>
      <w:r w:rsidRPr="00F8282A">
        <w:t xml:space="preserve">the </w:t>
      </w:r>
      <w:r>
        <w:t xml:space="preserve">corporate </w:t>
      </w:r>
      <w:r w:rsidRPr="00F8282A">
        <w:t xml:space="preserve">income tax rate </w:t>
      </w:r>
    </w:p>
    <w:p w:rsidR="008469B8" w:rsidRPr="00F8282A" w:rsidRDefault="008469B8" w:rsidP="008469B8">
      <w:pPr>
        <w:pStyle w:val="AERbulletlistfirststyle"/>
      </w:pPr>
      <w:r w:rsidRPr="00F8282A">
        <w:t xml:space="preserve">the value of </w:t>
      </w:r>
      <w:r>
        <w:t>imputation credits (</w:t>
      </w:r>
      <w:r w:rsidRPr="00F8282A">
        <w:t>gamma</w:t>
      </w:r>
      <w:r>
        <w:t>)</w:t>
      </w:r>
      <w:r w:rsidRPr="00F8282A">
        <w:t>.</w:t>
      </w:r>
    </w:p>
    <w:p w:rsidR="008469B8" w:rsidRDefault="008469B8" w:rsidP="008469B8">
      <w:pPr>
        <w:rPr>
          <w:rStyle w:val="AERbody"/>
        </w:rPr>
      </w:pPr>
      <w:r w:rsidRPr="00FD50DB">
        <w:rPr>
          <w:rStyle w:val="AERbody"/>
        </w:rPr>
        <w:t xml:space="preserve">In assessing </w:t>
      </w:r>
      <w:r w:rsidR="00247199">
        <w:rPr>
          <w:rStyle w:val="AERbody"/>
        </w:rPr>
        <w:t>AusNet</w:t>
      </w:r>
      <w:r w:rsidR="00A34A4B">
        <w:rPr>
          <w:rStyle w:val="AERbody"/>
        </w:rPr>
        <w:t>'s</w:t>
      </w:r>
      <w:r w:rsidR="00247199">
        <w:rPr>
          <w:rStyle w:val="AERbody"/>
        </w:rPr>
        <w:t xml:space="preserve"> </w:t>
      </w:r>
      <w:r w:rsidRPr="00FD50DB">
        <w:rPr>
          <w:rStyle w:val="AERbody"/>
        </w:rPr>
        <w:t>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9"/>
      </w:r>
    </w:p>
    <w:p w:rsidR="00211C0D" w:rsidRDefault="00211C0D" w:rsidP="00211C0D">
      <w:r>
        <w:t xml:space="preserve">The rules also require that any forecast must be arrived at on a reasonable basis and </w:t>
      </w:r>
      <w:r w:rsidRPr="00B64042">
        <w:t>must represent the best forecast or estimate possible in the circumstances.</w:t>
      </w:r>
      <w:r>
        <w:rPr>
          <w:rStyle w:val="FootnoteReference"/>
        </w:rPr>
        <w:footnoteReference w:id="10"/>
      </w:r>
    </w:p>
    <w:p w:rsidR="008469B8" w:rsidRPr="00FD50DB" w:rsidRDefault="008469B8" w:rsidP="008469B8">
      <w:r>
        <w:t>We consider</w:t>
      </w:r>
      <w:r w:rsidRPr="00FD50DB">
        <w:t xml:space="preserve"> that the roll forward of the opening </w:t>
      </w:r>
      <w:r>
        <w:t>TAB</w:t>
      </w:r>
      <w:r w:rsidRPr="00FD50DB">
        <w:t xml:space="preserve"> to </w:t>
      </w:r>
      <w:r>
        <w:t>1 January 2018</w:t>
      </w:r>
      <w:r w:rsidRPr="00FD50DB">
        <w:t xml:space="preserve"> should be based on the approved opening </w:t>
      </w:r>
      <w:r>
        <w:t>TAB</w:t>
      </w:r>
      <w:r w:rsidRPr="00FD50DB">
        <w:t xml:space="preserve"> as at </w:t>
      </w:r>
      <w:r>
        <w:t>1 January 2013</w:t>
      </w:r>
      <w:r w:rsidRPr="00FD50DB">
        <w:t xml:space="preserve"> and </w:t>
      </w:r>
      <w:r w:rsidR="00247199">
        <w:t>AusNet</w:t>
      </w:r>
      <w:r w:rsidR="00A34A4B">
        <w:t>'s</w:t>
      </w:r>
      <w:r w:rsidR="00247199">
        <w:t xml:space="preserve"> </w:t>
      </w:r>
      <w:r w:rsidRPr="00FD50DB">
        <w:t xml:space="preserve">actual capex in </w:t>
      </w:r>
      <w:r>
        <w:t>the 2013–17 access arrangement period</w:t>
      </w:r>
      <w:r w:rsidRPr="00FD50DB">
        <w:t xml:space="preserve">. </w:t>
      </w:r>
      <w:r w:rsidR="00340BC3">
        <w:t xml:space="preserve">We consider that the calculation of the tax depreciation should be based on the actual capex over the 2013–17 access arrangement period. </w:t>
      </w:r>
      <w:r w:rsidRPr="00FD50DB">
        <w:t xml:space="preserve">The value of the </w:t>
      </w:r>
      <w:r w:rsidRPr="002616BC">
        <w:rPr>
          <w:rStyle w:val="AERbody"/>
        </w:rPr>
        <w:t>actual capex used for rolling forward the TAB is subject to our assessment of these values as discussed in attachment 6.</w:t>
      </w:r>
    </w:p>
    <w:p w:rsidR="008469B8" w:rsidRDefault="008469B8" w:rsidP="008469B8">
      <w:r w:rsidRPr="00FD50DB">
        <w:t xml:space="preserve">We assess </w:t>
      </w:r>
      <w:r w:rsidR="00247199">
        <w:t>AusNet</w:t>
      </w:r>
      <w:r w:rsidR="00A34A4B">
        <w:t>'s</w:t>
      </w:r>
      <w:r w:rsidR="00247199">
        <w:t xml:space="preserve"> </w:t>
      </w:r>
      <w:r w:rsidRPr="00FD50DB">
        <w:t xml:space="preserve">proposed </w:t>
      </w:r>
      <w:r>
        <w:t xml:space="preserve">standard tax asset lives, </w:t>
      </w:r>
      <w:r w:rsidR="00340BC3">
        <w:t xml:space="preserve">where appropriate, </w:t>
      </w:r>
      <w:r>
        <w:t xml:space="preserve">by comparing them against the values </w:t>
      </w:r>
      <w:r w:rsidRPr="00C44DA3">
        <w:t>approved</w:t>
      </w:r>
      <w:r w:rsidR="00340BC3">
        <w:t xml:space="preserve"> in the 2013–17 access arrangement and</w:t>
      </w:r>
      <w:r w:rsidRPr="00C44DA3">
        <w:t xml:space="preserve"> </w:t>
      </w:r>
      <w:r>
        <w:t>for similar asset classes for other service providers</w:t>
      </w:r>
      <w:r w:rsidR="00340BC3">
        <w:t>,</w:t>
      </w:r>
      <w:r>
        <w:t xml:space="preserve"> </w:t>
      </w:r>
      <w:r w:rsidRPr="00C44DA3">
        <w:t>as well as</w:t>
      </w:r>
      <w:r>
        <w:t xml:space="preserve"> </w:t>
      </w:r>
      <w:r w:rsidR="00340BC3">
        <w:t xml:space="preserve">those </w:t>
      </w:r>
      <w:r w:rsidRPr="00D079C3">
        <w:t xml:space="preserve">prescribed by the Commissioner for </w:t>
      </w:r>
      <w:r>
        <w:t>t</w:t>
      </w:r>
      <w:r w:rsidRPr="00D079C3">
        <w:t xml:space="preserve">axation in </w:t>
      </w:r>
      <w:r w:rsidR="00340BC3">
        <w:t>t</w:t>
      </w:r>
      <w:r w:rsidRPr="00D079C3">
        <w:t xml:space="preserve">ax </w:t>
      </w:r>
      <w:r w:rsidR="00340BC3">
        <w:t>r</w:t>
      </w:r>
      <w:r w:rsidRPr="00D079C3">
        <w:t xml:space="preserve">uling </w:t>
      </w:r>
      <w:r w:rsidRPr="002616BC">
        <w:rPr>
          <w:rStyle w:val="AERbody"/>
        </w:rPr>
        <w:t>201</w:t>
      </w:r>
      <w:r>
        <w:rPr>
          <w:rStyle w:val="AERbody"/>
        </w:rPr>
        <w:t>6</w:t>
      </w:r>
      <w:r w:rsidRPr="002616BC">
        <w:rPr>
          <w:rStyle w:val="AERbody"/>
        </w:rPr>
        <w:t>/</w:t>
      </w:r>
      <w:r>
        <w:rPr>
          <w:rStyle w:val="AERbody"/>
        </w:rPr>
        <w:t>1</w:t>
      </w:r>
      <w:r w:rsidRPr="00FD50DB">
        <w:t>.</w:t>
      </w:r>
      <w:r>
        <w:rPr>
          <w:rStyle w:val="FootnoteReference"/>
        </w:rPr>
        <w:footnoteReference w:id="11"/>
      </w:r>
      <w:r w:rsidRPr="00FD50DB">
        <w:t xml:space="preserve"> </w:t>
      </w:r>
    </w:p>
    <w:p w:rsidR="00132D43" w:rsidRDefault="008469B8" w:rsidP="008469B8">
      <w:r w:rsidRPr="00A0180D">
        <w:t>For the 201</w:t>
      </w:r>
      <w:r>
        <w:t>8</w:t>
      </w:r>
      <w:r w:rsidRPr="00A0180D">
        <w:t>–2</w:t>
      </w:r>
      <w:r>
        <w:t>2</w:t>
      </w:r>
      <w:r w:rsidRPr="00A0180D">
        <w:t xml:space="preserve"> </w:t>
      </w:r>
      <w:r w:rsidR="00340BC3">
        <w:t>access arrangement</w:t>
      </w:r>
      <w:r w:rsidRPr="00A0180D">
        <w:t xml:space="preserve"> period,</w:t>
      </w:r>
      <w:r>
        <w:t xml:space="preserve"> </w:t>
      </w:r>
      <w:r w:rsidR="00247199">
        <w:t xml:space="preserve">AusNet </w:t>
      </w:r>
      <w:r>
        <w:t>has</w:t>
      </w:r>
      <w:r w:rsidRPr="00A0180D">
        <w:t xml:space="preserve"> proposed to transition to </w:t>
      </w:r>
      <w:r>
        <w:t>our standard</w:t>
      </w:r>
      <w:r w:rsidRPr="00A0180D">
        <w:t xml:space="preserve"> straight-line tax depreciation approach</w:t>
      </w:r>
      <w:r>
        <w:t xml:space="preserve">. </w:t>
      </w:r>
      <w:r w:rsidR="00247199">
        <w:t>AusNet</w:t>
      </w:r>
      <w:r w:rsidR="00A34A4B">
        <w:t>'s</w:t>
      </w:r>
      <w:r w:rsidR="00247199">
        <w:t xml:space="preserve"> </w:t>
      </w:r>
      <w:r w:rsidRPr="00427468">
        <w:t>corporate income tax allowance for the 201</w:t>
      </w:r>
      <w:r>
        <w:t>3</w:t>
      </w:r>
      <w:r w:rsidRPr="00427468">
        <w:t>–1</w:t>
      </w:r>
      <w:r>
        <w:t>7</w:t>
      </w:r>
      <w:r w:rsidRPr="00427468">
        <w:t xml:space="preserve"> regulatory control period</w:t>
      </w:r>
      <w:r>
        <w:t xml:space="preserve"> </w:t>
      </w:r>
      <w:r w:rsidRPr="00427468">
        <w:t xml:space="preserve">was calculated based on </w:t>
      </w:r>
      <w:r>
        <w:t xml:space="preserve">a combination of straight line depreciation for some tax asset classes and </w:t>
      </w:r>
      <w:r w:rsidRPr="00427468">
        <w:t xml:space="preserve">diminishing value </w:t>
      </w:r>
      <w:r>
        <w:t>depreciation for other tax asset classes. This is consistent with the</w:t>
      </w:r>
      <w:r w:rsidRPr="00427468">
        <w:t xml:space="preserve"> method established</w:t>
      </w:r>
      <w:r>
        <w:t xml:space="preserve"> </w:t>
      </w:r>
      <w:r w:rsidRPr="00427468">
        <w:t>by the previous regulator, the Essential Services Commission (ESC)</w:t>
      </w:r>
      <w:r>
        <w:t>. Adoption of our standard approach</w:t>
      </w:r>
      <w:r w:rsidRPr="00A0180D">
        <w:t xml:space="preserve"> requires the establishment of remaining tax</w:t>
      </w:r>
      <w:r>
        <w:t xml:space="preserve"> </w:t>
      </w:r>
      <w:r w:rsidRPr="00A0180D">
        <w:t>asset lives at 1 January 201</w:t>
      </w:r>
      <w:r>
        <w:t>8</w:t>
      </w:r>
      <w:r w:rsidRPr="00A0180D">
        <w:t>. We have recently approved a method in our</w:t>
      </w:r>
      <w:r>
        <w:t xml:space="preserve"> </w:t>
      </w:r>
      <w:r w:rsidRPr="00A0180D">
        <w:t xml:space="preserve">determination for Ausgrid </w:t>
      </w:r>
      <w:r w:rsidR="00DA5273">
        <w:t>and the Victorian electricity distribution network service providers</w:t>
      </w:r>
      <w:r w:rsidR="00DA5273" w:rsidRPr="00A0180D">
        <w:t xml:space="preserve"> </w:t>
      </w:r>
      <w:r w:rsidRPr="00A0180D">
        <w:t>to establish remaining tax asset lives for existing assets.</w:t>
      </w:r>
      <w:r>
        <w:rPr>
          <w:rStyle w:val="FootnoteReference"/>
        </w:rPr>
        <w:footnoteReference w:id="12"/>
      </w:r>
      <w:r>
        <w:t xml:space="preserve"> </w:t>
      </w:r>
      <w:r w:rsidRPr="00A0180D">
        <w:t>This involves using the standard tax asset life for the asset</w:t>
      </w:r>
      <w:r>
        <w:t xml:space="preserve"> </w:t>
      </w:r>
      <w:r w:rsidRPr="00A0180D">
        <w:t xml:space="preserve">class multiplied by the ratio of the </w:t>
      </w:r>
      <w:r w:rsidR="00340BC3">
        <w:t>capital base</w:t>
      </w:r>
      <w:r w:rsidR="00340BC3" w:rsidRPr="00A0180D">
        <w:t xml:space="preserve"> </w:t>
      </w:r>
      <w:r w:rsidRPr="00A0180D">
        <w:t xml:space="preserve">remaining asset life to the </w:t>
      </w:r>
      <w:r w:rsidR="00340BC3">
        <w:t>capital base</w:t>
      </w:r>
      <w:r w:rsidR="00340BC3" w:rsidRPr="00A0180D">
        <w:t xml:space="preserve"> </w:t>
      </w:r>
      <w:r w:rsidRPr="00A0180D">
        <w:t>standard</w:t>
      </w:r>
      <w:r>
        <w:t xml:space="preserve"> </w:t>
      </w:r>
      <w:r w:rsidRPr="00A0180D">
        <w:t xml:space="preserve">asset life. We will </w:t>
      </w:r>
      <w:r w:rsidR="00340BC3">
        <w:t>assess</w:t>
      </w:r>
      <w:r>
        <w:t xml:space="preserve"> </w:t>
      </w:r>
      <w:r w:rsidR="00247199">
        <w:t>AusNet</w:t>
      </w:r>
      <w:r w:rsidR="00A34A4B">
        <w:t>'s</w:t>
      </w:r>
      <w:r w:rsidR="00247199">
        <w:t xml:space="preserve"> </w:t>
      </w:r>
      <w:r w:rsidR="00340BC3">
        <w:t xml:space="preserve">proposed remaining </w:t>
      </w:r>
      <w:r>
        <w:t>tax asset lives</w:t>
      </w:r>
      <w:r w:rsidR="00340BC3">
        <w:t xml:space="preserve"> against</w:t>
      </w:r>
      <w:r w:rsidR="00084D97">
        <w:t xml:space="preserve"> the outcomes of</w:t>
      </w:r>
      <w:r w:rsidR="00340BC3">
        <w:t xml:space="preserve"> this approved method</w:t>
      </w:r>
      <w:r w:rsidRPr="00A0180D">
        <w:t>.</w:t>
      </w:r>
    </w:p>
    <w:p w:rsidR="00132D43" w:rsidRDefault="00132D43" w:rsidP="00132D43">
      <w:pPr>
        <w:pStyle w:val="Heading3"/>
        <w:tabs>
          <w:tab w:val="clear" w:pos="1021"/>
        </w:tabs>
        <w:ind w:left="142" w:hanging="142"/>
      </w:pPr>
      <w:bookmarkStart w:id="105" w:name="_Toc486840705"/>
      <w:r>
        <w:t>Interrelationships</w:t>
      </w:r>
      <w:bookmarkEnd w:id="105"/>
    </w:p>
    <w:p w:rsidR="008469B8" w:rsidRPr="00FD50DB" w:rsidRDefault="008469B8" w:rsidP="008469B8">
      <w:r w:rsidRPr="00FD50DB">
        <w:t>The corporate income tax building block feeds directly into the annual revenue requirement. This tax allowance is determined by four factors:</w:t>
      </w:r>
    </w:p>
    <w:p w:rsidR="008469B8" w:rsidRPr="00F8282A" w:rsidRDefault="008469B8" w:rsidP="008469B8">
      <w:pPr>
        <w:pStyle w:val="AERbulletlistfirststyle"/>
      </w:pPr>
      <w:r w:rsidRPr="00F8282A">
        <w:t xml:space="preserve">pre-tax revenues </w:t>
      </w:r>
    </w:p>
    <w:p w:rsidR="008469B8" w:rsidRPr="00F8282A" w:rsidRDefault="008469B8" w:rsidP="008469B8">
      <w:pPr>
        <w:pStyle w:val="AERbulletlistfirststyle"/>
      </w:pPr>
      <w:r w:rsidRPr="00F8282A">
        <w:t>tax expenses (including tax depreciation)</w:t>
      </w:r>
    </w:p>
    <w:p w:rsidR="008469B8" w:rsidRPr="00F8282A" w:rsidRDefault="008469B8" w:rsidP="008469B8">
      <w:pPr>
        <w:pStyle w:val="AERbulletlistfirststyle"/>
      </w:pPr>
      <w:r w:rsidRPr="00F8282A">
        <w:t>the corporate tax rate</w:t>
      </w:r>
    </w:p>
    <w:p w:rsidR="008469B8" w:rsidRPr="00F8282A" w:rsidRDefault="008469B8" w:rsidP="008469B8">
      <w:pPr>
        <w:pStyle w:val="AERbulletlistfirststyle"/>
      </w:pPr>
      <w:r>
        <w:t>the value of imputation credits (</w:t>
      </w:r>
      <w:r w:rsidRPr="00F8282A">
        <w:t>gamma</w:t>
      </w:r>
      <w:r>
        <w:t>)</w:t>
      </w:r>
      <w:r w:rsidRPr="00F8282A">
        <w:t>—the expected proportion of company tax that is returned to investors through the utilisation of imputation credits—which offsets against the corporate income tax allowance. This is discussed further at attachment 4.</w:t>
      </w:r>
    </w:p>
    <w:p w:rsidR="008469B8" w:rsidRPr="00FD50DB" w:rsidRDefault="008469B8" w:rsidP="008469B8">
      <w:r w:rsidRPr="00FD50DB">
        <w:t>Of these four factors, the corporate tax rate is set externally by the Government. The higher the tax rate the higher the required tax allowance.</w:t>
      </w:r>
    </w:p>
    <w:p w:rsidR="008469B8" w:rsidRPr="00FD50DB" w:rsidRDefault="008469B8" w:rsidP="008469B8">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13"/>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4"/>
      </w:r>
    </w:p>
    <w:p w:rsidR="008469B8" w:rsidRPr="00FD50DB" w:rsidRDefault="008469B8" w:rsidP="008469B8">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8469B8" w:rsidRPr="00F8282A" w:rsidRDefault="008469B8" w:rsidP="008469B8">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8469B8" w:rsidRPr="00F8282A" w:rsidRDefault="008469B8" w:rsidP="008469B8">
      <w:pPr>
        <w:pStyle w:val="AERbulletlistfirststyle"/>
      </w:pPr>
      <w:r w:rsidRPr="00F8282A">
        <w:t>General expenses – In the main these expenses will match the opex allowance.</w:t>
      </w:r>
    </w:p>
    <w:p w:rsidR="008469B8" w:rsidRPr="00F8282A" w:rsidRDefault="008469B8" w:rsidP="008469B8">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8469B8" w:rsidRPr="006A5792" w:rsidRDefault="008469B8" w:rsidP="008469B8">
      <w:r w:rsidRPr="002616BC">
        <w:rPr>
          <w:rStyle w:val="AERbody"/>
        </w:rPr>
        <w:t>A ten</w:t>
      </w:r>
      <w:r>
        <w:rPr>
          <w:rStyle w:val="AERbody"/>
        </w:rPr>
        <w:t xml:space="preserve"> </w:t>
      </w:r>
      <w:r w:rsidRPr="002616BC">
        <w:rPr>
          <w:rStyle w:val="AERbody"/>
        </w:rPr>
        <w:t xml:space="preserve">per cent increase in the corporate income tax allowance would cause revenues to increase by about </w:t>
      </w:r>
      <w:r w:rsidR="009107D7">
        <w:rPr>
          <w:rStyle w:val="AERbody"/>
        </w:rPr>
        <w:t xml:space="preserve">0.7 </w:t>
      </w:r>
      <w:r w:rsidRPr="002616BC">
        <w:rPr>
          <w:rStyle w:val="AERbody"/>
        </w:rPr>
        <w:t xml:space="preserve">per cent. </w:t>
      </w:r>
      <w:r w:rsidR="00D765CC">
        <w:rPr>
          <w:rStyle w:val="AERbody"/>
        </w:rPr>
        <w:t>Our draft decision gamma of 0.4 compared to the proposed gamma of 0.25 decrease</w:t>
      </w:r>
      <w:r w:rsidR="008C1446">
        <w:rPr>
          <w:rStyle w:val="AERbody"/>
        </w:rPr>
        <w:t>s</w:t>
      </w:r>
      <w:r w:rsidR="00D765CC">
        <w:rPr>
          <w:rStyle w:val="AERbody"/>
        </w:rPr>
        <w:t xml:space="preserve"> the corporate income tax allowance by 24.4 per cent and total revenues by about 1.7 per cent</w:t>
      </w:r>
      <w:r w:rsidRPr="006A5792">
        <w:t>.</w:t>
      </w:r>
      <w:r w:rsidR="00D765CC">
        <w:rPr>
          <w:rStyle w:val="FootnoteReference"/>
        </w:rPr>
        <w:footnoteReference w:id="15"/>
      </w:r>
    </w:p>
    <w:p w:rsidR="00132D43" w:rsidRDefault="00132D43" w:rsidP="00132D43">
      <w:pPr>
        <w:pStyle w:val="Heading2"/>
      </w:pPr>
      <w:bookmarkStart w:id="106" w:name="_Toc486840706"/>
      <w:r>
        <w:t>Reasons for draft decision</w:t>
      </w:r>
      <w:bookmarkEnd w:id="106"/>
    </w:p>
    <w:p w:rsidR="008469B8" w:rsidRPr="00407443" w:rsidRDefault="008469B8" w:rsidP="008469B8">
      <w:r w:rsidRPr="00407443">
        <w:t xml:space="preserve">Our </w:t>
      </w:r>
      <w:r w:rsidRPr="002616BC">
        <w:rPr>
          <w:rStyle w:val="AERbody"/>
        </w:rPr>
        <w:t xml:space="preserve">draft decision on </w:t>
      </w:r>
      <w:r w:rsidR="00247199">
        <w:rPr>
          <w:rStyle w:val="AERbody"/>
        </w:rPr>
        <w:t>AusNet</w:t>
      </w:r>
      <w:r w:rsidR="00A34A4B">
        <w:rPr>
          <w:rStyle w:val="AERbody"/>
        </w:rPr>
        <w:t>'s</w:t>
      </w:r>
      <w:r w:rsidR="00247199">
        <w:rPr>
          <w:rStyle w:val="AERbody"/>
        </w:rPr>
        <w:t xml:space="preserve"> </w:t>
      </w:r>
      <w:r w:rsidRPr="002616BC">
        <w:rPr>
          <w:rStyle w:val="AERbody"/>
        </w:rPr>
        <w:t>corporate income tax allowance is $</w:t>
      </w:r>
      <w:r w:rsidR="00871D3E">
        <w:rPr>
          <w:rStyle w:val="AERbody"/>
        </w:rPr>
        <w:t>46.1</w:t>
      </w:r>
      <w:r>
        <w:rPr>
          <w:rStyle w:val="AERbody"/>
        </w:rPr>
        <w:t xml:space="preserve"> </w:t>
      </w:r>
      <w:r w:rsidRPr="002616BC">
        <w:rPr>
          <w:rStyle w:val="AERbody"/>
        </w:rPr>
        <w:t>million ($</w:t>
      </w:r>
      <w:r>
        <w:rPr>
          <w:rStyle w:val="AERbody"/>
        </w:rPr>
        <w:t> </w:t>
      </w:r>
      <w:r w:rsidRPr="002616BC">
        <w:rPr>
          <w:rStyle w:val="AERbody"/>
        </w:rPr>
        <w:t>nominal), which is a reduction of $</w:t>
      </w:r>
      <w:r w:rsidR="00871D3E">
        <w:rPr>
          <w:rStyle w:val="AERbody"/>
        </w:rPr>
        <w:t>34.8</w:t>
      </w:r>
      <w:r>
        <w:rPr>
          <w:rStyle w:val="AERbody"/>
        </w:rPr>
        <w:t xml:space="preserve"> </w:t>
      </w:r>
      <w:r w:rsidRPr="002616BC">
        <w:rPr>
          <w:rStyle w:val="AERbody"/>
        </w:rPr>
        <w:t>million ($</w:t>
      </w:r>
      <w:r w:rsidR="004A7A86">
        <w:rPr>
          <w:rStyle w:val="AERbody"/>
        </w:rPr>
        <w:t> </w:t>
      </w:r>
      <w:r w:rsidRPr="002616BC">
        <w:rPr>
          <w:rStyle w:val="AERbody"/>
        </w:rPr>
        <w:t xml:space="preserve">nominal) or </w:t>
      </w:r>
      <w:r w:rsidR="00871D3E">
        <w:rPr>
          <w:rStyle w:val="AERbody"/>
        </w:rPr>
        <w:t>43.1</w:t>
      </w:r>
      <w:r>
        <w:rPr>
          <w:rStyle w:val="AERbody"/>
        </w:rPr>
        <w:t xml:space="preserve"> </w:t>
      </w:r>
      <w:r w:rsidRPr="002616BC">
        <w:rPr>
          <w:rStyle w:val="AERbody"/>
        </w:rPr>
        <w:t>per cent</w:t>
      </w:r>
      <w:r w:rsidRPr="00407443">
        <w:t xml:space="preserve"> of </w:t>
      </w:r>
      <w:r w:rsidR="00247199">
        <w:t>AusNet</w:t>
      </w:r>
      <w:r w:rsidR="00A34A4B">
        <w:t>'s</w:t>
      </w:r>
      <w:r w:rsidR="00247199">
        <w:t xml:space="preserve"> </w:t>
      </w:r>
      <w:r w:rsidRPr="00407443">
        <w:t>proposal.</w:t>
      </w:r>
    </w:p>
    <w:p w:rsidR="008469B8" w:rsidRPr="00407443" w:rsidRDefault="008469B8" w:rsidP="008469B8">
      <w:r w:rsidRPr="00407443">
        <w:t xml:space="preserve">We accept </w:t>
      </w:r>
      <w:r w:rsidR="00247199">
        <w:t>AusNet</w:t>
      </w:r>
      <w:r w:rsidR="00A34A4B">
        <w:t>'s</w:t>
      </w:r>
      <w:r w:rsidR="00247199">
        <w:t xml:space="preserve"> </w:t>
      </w:r>
      <w:r w:rsidRPr="00407443">
        <w:t xml:space="preserve">proposed </w:t>
      </w:r>
      <w:r>
        <w:t>approach</w:t>
      </w:r>
      <w:r w:rsidRPr="00407443">
        <w:t xml:space="preserve"> for calculating the</w:t>
      </w:r>
      <w:r>
        <w:t xml:space="preserve"> corporate income tax allowance.</w:t>
      </w:r>
      <w:r w:rsidRPr="00407443">
        <w:t xml:space="preserve"> However, we adjusted several inputs </w:t>
      </w:r>
      <w:r>
        <w:t xml:space="preserve">in </w:t>
      </w:r>
      <w:r w:rsidR="00247199">
        <w:t>AusNet</w:t>
      </w:r>
      <w:r w:rsidR="00A34A4B">
        <w:t>'s</w:t>
      </w:r>
      <w:r w:rsidR="00247199">
        <w:t xml:space="preserve"> </w:t>
      </w:r>
      <w:r w:rsidRPr="00407443">
        <w:t xml:space="preserve">proposed </w:t>
      </w:r>
      <w:r>
        <w:t>PTRM</w:t>
      </w:r>
      <w:r w:rsidRPr="00407443">
        <w:t xml:space="preserve"> for calculating the corporate income tax allowance. These relate to:</w:t>
      </w:r>
    </w:p>
    <w:p w:rsidR="008469B8" w:rsidRDefault="008469B8" w:rsidP="008469B8">
      <w:pPr>
        <w:pStyle w:val="AERbulletlistfirststyle"/>
      </w:pPr>
      <w:r>
        <w:t>changes to the opening TAB as at 1 January 2018 (section</w:t>
      </w:r>
      <w:r w:rsidR="00B2507E">
        <w:t xml:space="preserve"> </w:t>
      </w:r>
      <w:r w:rsidR="00B2507E">
        <w:fldChar w:fldCharType="begin"/>
      </w:r>
      <w:r w:rsidR="00B2507E">
        <w:instrText xml:space="preserve"> REF _Ref477521591 \r \h </w:instrText>
      </w:r>
      <w:r w:rsidR="00B2507E">
        <w:fldChar w:fldCharType="separate"/>
      </w:r>
      <w:r w:rsidR="00B55396">
        <w:t>8.4.2</w:t>
      </w:r>
      <w:r w:rsidR="00B2507E">
        <w:fldChar w:fldCharType="end"/>
      </w:r>
      <w:r>
        <w:t>)</w:t>
      </w:r>
    </w:p>
    <w:p w:rsidR="008469B8" w:rsidRDefault="008469B8" w:rsidP="008469B8">
      <w:pPr>
        <w:pStyle w:val="AERbulletlistfirststyle"/>
      </w:pPr>
      <w:r>
        <w:t>changes to the remaining tax asset lives as at 1 January 2018 (section</w:t>
      </w:r>
      <w:r w:rsidR="000F1015">
        <w:t xml:space="preserve"> </w:t>
      </w:r>
      <w:r w:rsidR="000F1015">
        <w:fldChar w:fldCharType="begin"/>
      </w:r>
      <w:r w:rsidR="000F1015">
        <w:instrText xml:space="preserve"> REF _Ref478458289 \r \h </w:instrText>
      </w:r>
      <w:r w:rsidR="000F1015">
        <w:fldChar w:fldCharType="separate"/>
      </w:r>
      <w:r w:rsidR="00B55396">
        <w:t>8.4.4</w:t>
      </w:r>
      <w:r w:rsidR="000F1015">
        <w:fldChar w:fldCharType="end"/>
      </w:r>
      <w:r>
        <w:t>)</w:t>
      </w:r>
    </w:p>
    <w:p w:rsidR="008469B8" w:rsidRPr="00942390" w:rsidRDefault="008469B8" w:rsidP="008469B8">
      <w:pPr>
        <w:pStyle w:val="AERbulletlistfirststyle"/>
        <w:rPr>
          <w:rStyle w:val="AERtexthighlight"/>
        </w:rPr>
      </w:pPr>
      <w:r>
        <w:t xml:space="preserve">changing </w:t>
      </w:r>
      <w:r w:rsidRPr="00F8282A">
        <w:t xml:space="preserve">the value of </w:t>
      </w:r>
      <w:r w:rsidRPr="00F8282A">
        <w:rPr>
          <w:rStyle w:val="AERbody"/>
        </w:rPr>
        <w:t xml:space="preserve">gamma to </w:t>
      </w:r>
      <w:r>
        <w:rPr>
          <w:rStyle w:val="AERbody"/>
        </w:rPr>
        <w:t>0.4</w:t>
      </w:r>
      <w:r w:rsidRPr="00F8282A">
        <w:rPr>
          <w:rStyle w:val="AERbody"/>
        </w:rPr>
        <w:t xml:space="preserve"> from 0.25 (attachment 4)</w:t>
      </w:r>
    </w:p>
    <w:p w:rsidR="008469B8" w:rsidRDefault="008469B8" w:rsidP="008469B8">
      <w:pPr>
        <w:pStyle w:val="AERbulletlistfirststyle"/>
      </w:pPr>
      <w:r w:rsidRPr="00F8282A">
        <w:t xml:space="preserve">changes </w:t>
      </w:r>
      <w:r w:rsidRPr="00F8282A">
        <w:rPr>
          <w:rStyle w:val="AERbody"/>
        </w:rPr>
        <w:t>to other building block components</w:t>
      </w:r>
      <w:r>
        <w:rPr>
          <w:rStyle w:val="AERbody"/>
        </w:rPr>
        <w:t>,</w:t>
      </w:r>
      <w:r w:rsidRPr="00F8282A">
        <w:rPr>
          <w:rStyle w:val="AERbody"/>
        </w:rPr>
        <w:t xml:space="preserve"> </w:t>
      </w:r>
      <w:r>
        <w:rPr>
          <w:rStyle w:val="AERbody"/>
        </w:rPr>
        <w:t>such as the rate of return on capital (attachments 2, 3 and 6)</w:t>
      </w:r>
      <w:r>
        <w:rPr>
          <w:rStyle w:val="FootnoteReference"/>
        </w:rPr>
        <w:footnoteReference w:id="16"/>
      </w:r>
      <w:r>
        <w:rPr>
          <w:rStyle w:val="AERbody"/>
        </w:rPr>
        <w:t>, return of capital (attachment 5) and forecast opex (attachment 7) that affect revenues, which in turn impacts the tax calculation</w:t>
      </w:r>
      <w:r w:rsidRPr="00F8282A">
        <w:t>.</w:t>
      </w:r>
      <w:r w:rsidRPr="009C2A22">
        <w:rPr>
          <w:rStyle w:val="FootnoteReference"/>
        </w:rPr>
        <w:footnoteReference w:id="17"/>
      </w:r>
    </w:p>
    <w:p w:rsidR="00132D43" w:rsidRDefault="008469B8" w:rsidP="00B82521">
      <w:pPr>
        <w:pStyle w:val="Heading3"/>
        <w:ind w:left="720"/>
      </w:pPr>
      <w:bookmarkStart w:id="107" w:name="_Ref477521652"/>
      <w:bookmarkStart w:id="108" w:name="_Toc486840707"/>
      <w:r>
        <w:t xml:space="preserve">Transition to AER preferred </w:t>
      </w:r>
      <w:r w:rsidR="003C0EBD">
        <w:t>straight-line tax depreciation</w:t>
      </w:r>
      <w:bookmarkEnd w:id="107"/>
      <w:bookmarkEnd w:id="108"/>
    </w:p>
    <w:p w:rsidR="008469B8" w:rsidRPr="00427468" w:rsidRDefault="008469B8" w:rsidP="008469B8">
      <w:r w:rsidRPr="00427468">
        <w:t xml:space="preserve">We accept </w:t>
      </w:r>
      <w:r w:rsidR="00247199">
        <w:t>AusNet</w:t>
      </w:r>
      <w:r w:rsidR="00A34A4B">
        <w:t>'s</w:t>
      </w:r>
      <w:r w:rsidR="00247199">
        <w:t xml:space="preserve"> </w:t>
      </w:r>
      <w:r w:rsidRPr="00427468">
        <w:t xml:space="preserve">proposal to </w:t>
      </w:r>
      <w:r>
        <w:t>transition to</w:t>
      </w:r>
      <w:r w:rsidRPr="00427468">
        <w:t xml:space="preserve"> </w:t>
      </w:r>
      <w:r>
        <w:t>our preferred straight-line tax deprec</w:t>
      </w:r>
      <w:r w:rsidR="00D84D7C">
        <w:t>i</w:t>
      </w:r>
      <w:r>
        <w:t>ation</w:t>
      </w:r>
      <w:r w:rsidRPr="00427468">
        <w:t xml:space="preserve"> approach to</w:t>
      </w:r>
      <w:r>
        <w:t xml:space="preserve"> </w:t>
      </w:r>
      <w:r w:rsidRPr="00427468">
        <w:t>calculate the corporate income tax allowance for the 201</w:t>
      </w:r>
      <w:r>
        <w:t>8</w:t>
      </w:r>
      <w:r w:rsidRPr="00427468">
        <w:t>–2</w:t>
      </w:r>
      <w:r>
        <w:t>2</w:t>
      </w:r>
      <w:r w:rsidRPr="00427468">
        <w:t xml:space="preserve"> </w:t>
      </w:r>
      <w:r w:rsidR="00D84D7C">
        <w:t>access arrangement</w:t>
      </w:r>
      <w:r>
        <w:t xml:space="preserve"> period.</w:t>
      </w:r>
    </w:p>
    <w:p w:rsidR="008469B8" w:rsidRPr="00F8282A" w:rsidRDefault="00247199" w:rsidP="008469B8">
      <w:r>
        <w:t>AusNet</w:t>
      </w:r>
      <w:r w:rsidR="00A34A4B">
        <w:t>'s</w:t>
      </w:r>
      <w:r>
        <w:t xml:space="preserve"> </w:t>
      </w:r>
      <w:r w:rsidR="008469B8" w:rsidRPr="00427468">
        <w:t>corporate income tax allowance for the 201</w:t>
      </w:r>
      <w:r w:rsidR="008469B8">
        <w:t>3</w:t>
      </w:r>
      <w:r w:rsidR="008469B8" w:rsidRPr="00427468">
        <w:t>–1</w:t>
      </w:r>
      <w:r w:rsidR="008469B8">
        <w:t>7</w:t>
      </w:r>
      <w:r w:rsidR="008469B8" w:rsidRPr="00427468">
        <w:t xml:space="preserve"> </w:t>
      </w:r>
      <w:r w:rsidR="00D84D7C">
        <w:t>access arrangement</w:t>
      </w:r>
      <w:r w:rsidR="008469B8" w:rsidRPr="00427468">
        <w:t xml:space="preserve"> period</w:t>
      </w:r>
      <w:r w:rsidR="008469B8">
        <w:t xml:space="preserve"> </w:t>
      </w:r>
      <w:r w:rsidR="008469B8" w:rsidRPr="00427468">
        <w:t xml:space="preserve">was calculated based on </w:t>
      </w:r>
      <w:r w:rsidR="008469B8">
        <w:t>straight</w:t>
      </w:r>
      <w:r w:rsidR="00D84D7C">
        <w:t>-</w:t>
      </w:r>
      <w:r w:rsidR="008469B8">
        <w:t xml:space="preserve">line depreciation for some tax asset classes and </w:t>
      </w:r>
      <w:r w:rsidR="008469B8" w:rsidRPr="00427468">
        <w:t xml:space="preserve">diminishing value </w:t>
      </w:r>
      <w:r w:rsidR="008469B8">
        <w:t>depreciation for other tax asset classes</w:t>
      </w:r>
      <w:r w:rsidR="008469B8" w:rsidRPr="00427468">
        <w:t>. This method was established</w:t>
      </w:r>
      <w:r w:rsidR="008469B8">
        <w:t xml:space="preserve"> </w:t>
      </w:r>
      <w:r w:rsidR="008469B8" w:rsidRPr="00427468">
        <w:t>by the previous regulator, the ESC, and</w:t>
      </w:r>
      <w:r w:rsidR="008469B8">
        <w:t xml:space="preserve"> </w:t>
      </w:r>
      <w:r w:rsidR="008469B8" w:rsidRPr="00427468">
        <w:t>adopted by the AER for the 201</w:t>
      </w:r>
      <w:r w:rsidR="008469B8">
        <w:t>3</w:t>
      </w:r>
      <w:r w:rsidR="008469B8" w:rsidRPr="00427468">
        <w:t>–1</w:t>
      </w:r>
      <w:r w:rsidR="008469B8">
        <w:t>7</w:t>
      </w:r>
      <w:r w:rsidR="008469B8" w:rsidRPr="00427468">
        <w:t xml:space="preserve"> </w:t>
      </w:r>
      <w:r w:rsidR="00D84D7C">
        <w:t>access arrangement</w:t>
      </w:r>
      <w:r w:rsidR="008469B8" w:rsidRPr="00427468">
        <w:t xml:space="preserve"> period.</w:t>
      </w:r>
      <w:r w:rsidR="008469B8">
        <w:t xml:space="preserve"> </w:t>
      </w:r>
      <w:r>
        <w:t>AusNet</w:t>
      </w:r>
      <w:r w:rsidR="00A34A4B">
        <w:t>'s</w:t>
      </w:r>
      <w:r>
        <w:t xml:space="preserve"> </w:t>
      </w:r>
      <w:r w:rsidR="008469B8">
        <w:t xml:space="preserve">proposed PTRM uses our preferred straight-line depreciation approach to calculating tax depreciation as set out in our PTRM template. We consider this approach </w:t>
      </w:r>
      <w:r w:rsidR="002E2381">
        <w:t xml:space="preserve">is consistent with </w:t>
      </w:r>
      <w:r w:rsidR="008469B8">
        <w:t xml:space="preserve">the </w:t>
      </w:r>
      <w:r w:rsidR="008469B8" w:rsidRPr="00CF5DD1">
        <w:t>NGO and the revenue and pricing principles</w:t>
      </w:r>
      <w:r w:rsidR="008469B8">
        <w:t>.</w:t>
      </w:r>
      <w:r w:rsidR="008469B8">
        <w:rPr>
          <w:rStyle w:val="FootnoteReference"/>
        </w:rPr>
        <w:footnoteReference w:id="18"/>
      </w:r>
      <w:r w:rsidR="008469B8">
        <w:t xml:space="preserve"> </w:t>
      </w:r>
      <w:r w:rsidR="008469B8" w:rsidRPr="00427468">
        <w:t xml:space="preserve">Therefore, we accept </w:t>
      </w:r>
      <w:r>
        <w:t>AusNet</w:t>
      </w:r>
      <w:r w:rsidR="00A34A4B">
        <w:t>'s</w:t>
      </w:r>
      <w:r>
        <w:t xml:space="preserve"> </w:t>
      </w:r>
      <w:r w:rsidR="008469B8" w:rsidRPr="00427468">
        <w:t xml:space="preserve">proposal to transition to </w:t>
      </w:r>
      <w:r w:rsidR="008469B8">
        <w:t>the</w:t>
      </w:r>
      <w:r w:rsidR="008469B8" w:rsidRPr="00427468">
        <w:t xml:space="preserve"> straight-line tax</w:t>
      </w:r>
      <w:r w:rsidR="008469B8">
        <w:t xml:space="preserve"> </w:t>
      </w:r>
      <w:r w:rsidR="008469B8" w:rsidRPr="00427468">
        <w:t>depreciation approach for the 201</w:t>
      </w:r>
      <w:r w:rsidR="008469B8">
        <w:t>8</w:t>
      </w:r>
      <w:r w:rsidR="008469B8" w:rsidRPr="00427468">
        <w:t>–2</w:t>
      </w:r>
      <w:r w:rsidR="008469B8">
        <w:t>2</w:t>
      </w:r>
      <w:r w:rsidR="008469B8" w:rsidRPr="00427468">
        <w:t xml:space="preserve"> </w:t>
      </w:r>
      <w:r w:rsidR="00084D97">
        <w:t xml:space="preserve">access arrangement </w:t>
      </w:r>
      <w:r w:rsidR="008469B8" w:rsidRPr="00427468">
        <w:t>period.</w:t>
      </w:r>
    </w:p>
    <w:p w:rsidR="008469B8" w:rsidRDefault="008469B8" w:rsidP="00B82521">
      <w:pPr>
        <w:pStyle w:val="Heading3"/>
        <w:ind w:left="720"/>
      </w:pPr>
      <w:bookmarkStart w:id="109" w:name="_Ref477521555"/>
      <w:bookmarkStart w:id="110" w:name="_Ref477521591"/>
      <w:bookmarkStart w:id="111" w:name="_Ref477521837"/>
      <w:bookmarkStart w:id="112" w:name="_Toc486840708"/>
      <w:r>
        <w:t xml:space="preserve">Opening tax asset </w:t>
      </w:r>
      <w:r w:rsidR="00247199">
        <w:t>base as at 1 January 2018</w:t>
      </w:r>
      <w:bookmarkEnd w:id="109"/>
      <w:bookmarkEnd w:id="110"/>
      <w:bookmarkEnd w:id="111"/>
      <w:bookmarkEnd w:id="112"/>
    </w:p>
    <w:p w:rsidR="008469B8" w:rsidRDefault="008469B8" w:rsidP="008469B8">
      <w:r w:rsidRPr="00896D81">
        <w:t>We accept</w:t>
      </w:r>
      <w:r>
        <w:t xml:space="preserve"> </w:t>
      </w:r>
      <w:r w:rsidR="00247199">
        <w:t>AusNet</w:t>
      </w:r>
      <w:r w:rsidR="00A34A4B">
        <w:t>'s</w:t>
      </w:r>
      <w:r w:rsidR="00247199">
        <w:t xml:space="preserve"> </w:t>
      </w:r>
      <w:r w:rsidRPr="00896D81">
        <w:t xml:space="preserve">approach to determine the opening </w:t>
      </w:r>
      <w:r>
        <w:t xml:space="preserve">TAB. This is because </w:t>
      </w:r>
      <w:r w:rsidR="00247199">
        <w:t>AusNet</w:t>
      </w:r>
      <w:r w:rsidR="00A34A4B">
        <w:t>'s</w:t>
      </w:r>
      <w:r w:rsidR="00247199">
        <w:t xml:space="preserve"> </w:t>
      </w:r>
      <w:r>
        <w:t>proposed approach is consistent with the approach previously approved for the 2013–17 access arrangement.</w:t>
      </w:r>
      <w:r w:rsidRPr="009E1948">
        <w:t xml:space="preserve"> </w:t>
      </w:r>
      <w:r>
        <w:t xml:space="preserve">However, we do not approve </w:t>
      </w:r>
      <w:r w:rsidR="00247199">
        <w:t>AusNet</w:t>
      </w:r>
      <w:r w:rsidR="00A34A4B">
        <w:t>'s</w:t>
      </w:r>
      <w:r w:rsidR="00247199">
        <w:t xml:space="preserve"> </w:t>
      </w:r>
      <w:r>
        <w:t>proposed opening TAB of $</w:t>
      </w:r>
      <w:r w:rsidR="00D4774C">
        <w:t>70</w:t>
      </w:r>
      <w:r w:rsidR="006C5AE7">
        <w:t>8.</w:t>
      </w:r>
      <w:r w:rsidR="00EB0AE8">
        <w:t>1 </w:t>
      </w:r>
      <w:r>
        <w:t xml:space="preserve">million ($nominal) as at 1 January 2018. </w:t>
      </w:r>
      <w:r w:rsidDel="00DA5273">
        <w:t xml:space="preserve">We determine an opening TAB </w:t>
      </w:r>
      <w:r w:rsidRPr="00896D81" w:rsidDel="00DA5273">
        <w:t xml:space="preserve">value of </w:t>
      </w:r>
      <w:r w:rsidRPr="00896D81" w:rsidDel="00DA5273">
        <w:rPr>
          <w:rStyle w:val="AERbody"/>
        </w:rPr>
        <w:t>$</w:t>
      </w:r>
      <w:r w:rsidR="000A0710" w:rsidDel="00DA5273">
        <w:rPr>
          <w:rStyle w:val="AERbody"/>
        </w:rPr>
        <w:t>708.3</w:t>
      </w:r>
      <w:r w:rsidDel="00DA5273">
        <w:rPr>
          <w:rStyle w:val="AERbody"/>
        </w:rPr>
        <w:t> </w:t>
      </w:r>
      <w:r w:rsidRPr="00896D81" w:rsidDel="00DA5273">
        <w:rPr>
          <w:rStyle w:val="AERbody"/>
        </w:rPr>
        <w:t>million ($nominal</w:t>
      </w:r>
      <w:r w:rsidRPr="00896D81" w:rsidDel="00DA5273">
        <w:t xml:space="preserve">) as at </w:t>
      </w:r>
      <w:r w:rsidDel="00DA5273">
        <w:t xml:space="preserve">1 January 2018. </w:t>
      </w:r>
      <w:r>
        <w:t xml:space="preserve">This is because of </w:t>
      </w:r>
      <w:r w:rsidR="009175E1">
        <w:t xml:space="preserve">our </w:t>
      </w:r>
      <w:r w:rsidR="006A6B60">
        <w:t>correction</w:t>
      </w:r>
      <w:r w:rsidR="00584B6C">
        <w:t xml:space="preserve"> to</w:t>
      </w:r>
      <w:r w:rsidR="00F44174">
        <w:t xml:space="preserve"> </w:t>
      </w:r>
      <w:r w:rsidR="006A6B60">
        <w:t xml:space="preserve">the </w:t>
      </w:r>
      <w:r w:rsidR="009175E1">
        <w:t>treatment of the asset disposal</w:t>
      </w:r>
      <w:r w:rsidR="00012372">
        <w:t>s</w:t>
      </w:r>
      <w:r w:rsidR="009175E1">
        <w:t xml:space="preserve"> for</w:t>
      </w:r>
      <w:r w:rsidR="006A6B60">
        <w:t xml:space="preserve"> the</w:t>
      </w:r>
      <w:r w:rsidR="009175E1">
        <w:t xml:space="preserve"> 'Buildings' asset class incurred in 2012</w:t>
      </w:r>
      <w:r w:rsidR="00C25C23">
        <w:t xml:space="preserve"> in the </w:t>
      </w:r>
      <w:r>
        <w:t xml:space="preserve">proposed </w:t>
      </w:r>
      <w:r w:rsidR="00604F1C">
        <w:t>RFM</w:t>
      </w:r>
      <w:r w:rsidR="006A6B60">
        <w:t xml:space="preserve"> which impacts on the opening TAB</w:t>
      </w:r>
      <w:r w:rsidRPr="00896D81">
        <w:t>.</w:t>
      </w:r>
    </w:p>
    <w:p w:rsidR="008469B8" w:rsidRDefault="008469B8" w:rsidP="008469B8">
      <w:r w:rsidRPr="00D940F4">
        <w:t xml:space="preserve">We </w:t>
      </w:r>
      <w:r>
        <w:t>assessed the</w:t>
      </w:r>
      <w:r w:rsidRPr="00D940F4">
        <w:t xml:space="preserve"> inputs </w:t>
      </w:r>
      <w:r w:rsidR="00247199">
        <w:t xml:space="preserve">AusNet </w:t>
      </w:r>
      <w:r>
        <w:t xml:space="preserve">used to </w:t>
      </w:r>
      <w:r w:rsidRPr="00896D81">
        <w:t>roll forward the TAB over</w:t>
      </w:r>
      <w:r>
        <w:t xml:space="preserve"> the 2013–17 access arrangement</w:t>
      </w:r>
      <w:r w:rsidR="00084D97">
        <w:t xml:space="preserve"> period</w:t>
      </w:r>
      <w:r>
        <w:t xml:space="preserve">. This includes the opening TAB as at 1 January 2013, and </w:t>
      </w:r>
      <w:r w:rsidRPr="00896D81">
        <w:t>actual capex</w:t>
      </w:r>
      <w:r>
        <w:t xml:space="preserve"> for 2012 and the 2013–17 access arrangement period.</w:t>
      </w:r>
    </w:p>
    <w:p w:rsidR="008469B8" w:rsidRDefault="008469B8" w:rsidP="008469B8">
      <w:r>
        <w:t xml:space="preserve">We </w:t>
      </w:r>
      <w:r w:rsidR="00C61201">
        <w:t xml:space="preserve">do not </w:t>
      </w:r>
      <w:r>
        <w:t xml:space="preserve">accept </w:t>
      </w:r>
      <w:r w:rsidR="00247199">
        <w:t>AusNet</w:t>
      </w:r>
      <w:r w:rsidR="006C5AE7">
        <w:t>'s</w:t>
      </w:r>
      <w:r w:rsidR="00247199">
        <w:t xml:space="preserve"> </w:t>
      </w:r>
      <w:r>
        <w:t>proposed opening TAB as at 1 January 2013</w:t>
      </w:r>
      <w:r w:rsidR="008F2731">
        <w:t xml:space="preserve"> of $504.4</w:t>
      </w:r>
      <w:r>
        <w:t xml:space="preserve"> </w:t>
      </w:r>
      <w:r w:rsidR="008F2731" w:rsidRPr="008F2731">
        <w:t>million ($nominal)</w:t>
      </w:r>
      <w:r w:rsidR="00FD6D6B">
        <w:t xml:space="preserve"> as it</w:t>
      </w:r>
      <w:r w:rsidR="00FA18EA">
        <w:t xml:space="preserve"> was not correctly updated for actual </w:t>
      </w:r>
      <w:r w:rsidR="00597E8B">
        <w:t xml:space="preserve">net </w:t>
      </w:r>
      <w:r w:rsidR="00FA18EA">
        <w:t>capex in 2012.</w:t>
      </w:r>
      <w:r w:rsidR="00FA18EA" w:rsidRPr="00FA18EA">
        <w:t xml:space="preserve"> </w:t>
      </w:r>
      <w:r w:rsidR="00FA18EA">
        <w:t xml:space="preserve">In our review of the proposed data, we identified that the 2012 actual capex </w:t>
      </w:r>
      <w:r w:rsidR="00F86F08">
        <w:t xml:space="preserve">in the </w:t>
      </w:r>
      <w:r w:rsidR="004A78A7">
        <w:t xml:space="preserve">proposed TAB roll forward in the </w:t>
      </w:r>
      <w:r w:rsidR="00F86F08">
        <w:t xml:space="preserve">RFM </w:t>
      </w:r>
      <w:r w:rsidR="00FA18EA">
        <w:t xml:space="preserve">did not correctly account for </w:t>
      </w:r>
      <w:r w:rsidR="00597E8B">
        <w:t xml:space="preserve">the assets </w:t>
      </w:r>
      <w:r w:rsidR="00FA18EA">
        <w:t>dispos</w:t>
      </w:r>
      <w:r w:rsidR="00597E8B">
        <w:t xml:space="preserve">ed of </w:t>
      </w:r>
      <w:r w:rsidR="00FA18EA">
        <w:t xml:space="preserve">in that year. </w:t>
      </w:r>
      <w:r w:rsidR="000A0710">
        <w:t xml:space="preserve">AusNet's </w:t>
      </w:r>
      <w:r w:rsidR="000A0710" w:rsidRPr="000A0710">
        <w:t xml:space="preserve">proposed </w:t>
      </w:r>
      <w:r w:rsidR="004C63FC">
        <w:t>TAB roll forward</w:t>
      </w:r>
      <w:r w:rsidR="000A0710" w:rsidRPr="000A0710">
        <w:t xml:space="preserve"> </w:t>
      </w:r>
      <w:r w:rsidR="000A0710">
        <w:t>accounts for disposals in</w:t>
      </w:r>
      <w:r w:rsidR="00906AB4">
        <w:t>curred in</w:t>
      </w:r>
      <w:r w:rsidR="000A0710">
        <w:t xml:space="preserve"> 2012 with </w:t>
      </w:r>
      <w:r w:rsidR="000A0710" w:rsidRPr="000A0710">
        <w:t xml:space="preserve">an end of period adjustment </w:t>
      </w:r>
      <w:r w:rsidR="00597E8B">
        <w:t>of</w:t>
      </w:r>
      <w:r w:rsidR="00597E8B" w:rsidRPr="000A0710">
        <w:t xml:space="preserve"> </w:t>
      </w:r>
      <w:r w:rsidR="004C63FC">
        <w:t>–</w:t>
      </w:r>
      <w:r w:rsidR="000A0710" w:rsidRPr="000A0710">
        <w:t>$</w:t>
      </w:r>
      <w:r w:rsidR="000A0710" w:rsidRPr="000A0710">
        <w:rPr>
          <w:rStyle w:val="AERbody"/>
        </w:rPr>
        <w:t>1.03 million ($ nominal) applied to the opening TAB at 1 January 2018</w:t>
      </w:r>
      <w:r w:rsidR="000A0710">
        <w:rPr>
          <w:rStyle w:val="AERbody"/>
        </w:rPr>
        <w:t xml:space="preserve">. </w:t>
      </w:r>
      <w:r w:rsidR="006A0E05">
        <w:rPr>
          <w:rStyle w:val="AERbody"/>
        </w:rPr>
        <w:t xml:space="preserve">Our </w:t>
      </w:r>
      <w:r w:rsidR="00597E8B">
        <w:rPr>
          <w:rStyle w:val="AERbody"/>
        </w:rPr>
        <w:t xml:space="preserve">standard approach </w:t>
      </w:r>
      <w:r w:rsidR="006A0E05">
        <w:rPr>
          <w:rStyle w:val="AERbody"/>
        </w:rPr>
        <w:t>is to</w:t>
      </w:r>
      <w:r w:rsidR="004C63FC">
        <w:rPr>
          <w:rStyle w:val="AERbody"/>
        </w:rPr>
        <w:t xml:space="preserve"> </w:t>
      </w:r>
      <w:r w:rsidR="000A0710">
        <w:rPr>
          <w:rStyle w:val="AERbody"/>
        </w:rPr>
        <w:t xml:space="preserve">account for </w:t>
      </w:r>
      <w:r w:rsidR="004C63FC">
        <w:rPr>
          <w:rStyle w:val="AERbody"/>
        </w:rPr>
        <w:t>asset</w:t>
      </w:r>
      <w:r w:rsidR="000A0710">
        <w:rPr>
          <w:rStyle w:val="AERbody"/>
        </w:rPr>
        <w:t xml:space="preserve"> disposal</w:t>
      </w:r>
      <w:r w:rsidR="00597E8B">
        <w:rPr>
          <w:rStyle w:val="AERbody"/>
        </w:rPr>
        <w:t>s</w:t>
      </w:r>
      <w:r w:rsidR="000A0710">
        <w:rPr>
          <w:rStyle w:val="AERbody"/>
        </w:rPr>
        <w:t xml:space="preserve"> </w:t>
      </w:r>
      <w:r w:rsidR="00F1655F">
        <w:rPr>
          <w:rStyle w:val="AERbody"/>
        </w:rPr>
        <w:t xml:space="preserve">(net from capex) </w:t>
      </w:r>
      <w:r w:rsidR="00906AB4">
        <w:rPr>
          <w:rStyle w:val="AERbody"/>
        </w:rPr>
        <w:t xml:space="preserve">in the </w:t>
      </w:r>
      <w:r w:rsidR="006A0E05">
        <w:rPr>
          <w:rStyle w:val="AERbody"/>
        </w:rPr>
        <w:t xml:space="preserve">TAB roll forward in the </w:t>
      </w:r>
      <w:r w:rsidR="00906AB4">
        <w:rPr>
          <w:rStyle w:val="AERbody"/>
        </w:rPr>
        <w:t>year</w:t>
      </w:r>
      <w:r w:rsidR="000A0710">
        <w:rPr>
          <w:rStyle w:val="AERbody"/>
        </w:rPr>
        <w:t xml:space="preserve"> </w:t>
      </w:r>
      <w:r w:rsidR="00597E8B">
        <w:rPr>
          <w:rStyle w:val="AERbody"/>
        </w:rPr>
        <w:t>the disposal occurred</w:t>
      </w:r>
      <w:r w:rsidR="004C63FC">
        <w:rPr>
          <w:rStyle w:val="AERbody"/>
        </w:rPr>
        <w:t>—</w:t>
      </w:r>
      <w:r w:rsidR="00597E8B">
        <w:rPr>
          <w:rStyle w:val="AERbody"/>
        </w:rPr>
        <w:t>in this case</w:t>
      </w:r>
      <w:r w:rsidR="004C63FC">
        <w:rPr>
          <w:rStyle w:val="AERbody"/>
        </w:rPr>
        <w:t xml:space="preserve">, </w:t>
      </w:r>
      <w:r w:rsidR="00D10F85">
        <w:rPr>
          <w:rStyle w:val="AERbody"/>
        </w:rPr>
        <w:t xml:space="preserve">in </w:t>
      </w:r>
      <w:r w:rsidR="000A0710">
        <w:rPr>
          <w:rStyle w:val="AERbody"/>
        </w:rPr>
        <w:t xml:space="preserve">2012. </w:t>
      </w:r>
      <w:r w:rsidR="006A0E05">
        <w:t>In its response to our information request, AusNet accepted this change.</w:t>
      </w:r>
      <w:r w:rsidR="006A0E05">
        <w:rPr>
          <w:rStyle w:val="FootnoteReference"/>
        </w:rPr>
        <w:footnoteReference w:id="19"/>
      </w:r>
      <w:r w:rsidR="00F86F08">
        <w:t xml:space="preserve"> Our draft decision </w:t>
      </w:r>
      <w:r w:rsidR="00D31E09">
        <w:t>therefore</w:t>
      </w:r>
      <w:r w:rsidR="00FD6D6B">
        <w:t>,</w:t>
      </w:r>
      <w:r w:rsidR="00D31E09">
        <w:t xml:space="preserve"> </w:t>
      </w:r>
      <w:r w:rsidR="00F86F08">
        <w:t xml:space="preserve">is to determine an opening TAB as at 1 January 2013 of $503.3 million ($ nominal). With this change, we are satisfied </w:t>
      </w:r>
      <w:r>
        <w:t xml:space="preserve">the actual capex inputs for </w:t>
      </w:r>
      <w:r w:rsidR="004C63FC">
        <w:t xml:space="preserve">2012 and the </w:t>
      </w:r>
      <w:r>
        <w:t>2013–17</w:t>
      </w:r>
      <w:r w:rsidR="004C63FC">
        <w:t xml:space="preserve"> period,</w:t>
      </w:r>
      <w:r w:rsidR="00AB7791">
        <w:t xml:space="preserve"> </w:t>
      </w:r>
      <w:r w:rsidRPr="002616BC">
        <w:t>reflect</w:t>
      </w:r>
      <w:r>
        <w:t xml:space="preserve"> </w:t>
      </w:r>
      <w:r w:rsidRPr="002616BC">
        <w:t>the requirements of the NGR.</w:t>
      </w:r>
      <w:r>
        <w:rPr>
          <w:rStyle w:val="FootnoteReference"/>
        </w:rPr>
        <w:footnoteReference w:id="20"/>
      </w:r>
      <w:r w:rsidRPr="002616BC">
        <w:t xml:space="preserve"> Our detailed assessment of this conforming capex is set out in </w:t>
      </w:r>
      <w:r w:rsidRPr="00286FBC">
        <w:t>attachment 6</w:t>
      </w:r>
      <w:r w:rsidRPr="002616BC">
        <w:t>.</w:t>
      </w:r>
    </w:p>
    <w:p w:rsidR="008469B8" w:rsidRPr="00896D81" w:rsidRDefault="00BA54B7" w:rsidP="008469B8">
      <w:r>
        <w:fldChar w:fldCharType="begin"/>
      </w:r>
      <w:r>
        <w:instrText xml:space="preserve"> REF _Ref477521408 \h </w:instrText>
      </w:r>
      <w:r>
        <w:fldChar w:fldCharType="separate"/>
      </w:r>
      <w:r w:rsidR="00B55396">
        <w:t xml:space="preserve">Table </w:t>
      </w:r>
      <w:r w:rsidR="00B55396">
        <w:rPr>
          <w:noProof/>
        </w:rPr>
        <w:t>8</w:t>
      </w:r>
      <w:r w:rsidR="00B55396">
        <w:t>.</w:t>
      </w:r>
      <w:r w:rsidR="00B55396">
        <w:rPr>
          <w:noProof/>
        </w:rPr>
        <w:t>4</w:t>
      </w:r>
      <w:r>
        <w:fldChar w:fldCharType="end"/>
      </w:r>
      <w:r>
        <w:t xml:space="preserve"> </w:t>
      </w:r>
      <w:r w:rsidR="008469B8" w:rsidRPr="00896D81">
        <w:t xml:space="preserve">sets out our draft decision on the roll forward of </w:t>
      </w:r>
      <w:r w:rsidR="00247199">
        <w:t>AusNet</w:t>
      </w:r>
      <w:r w:rsidR="006C5AE7">
        <w:t>'s</w:t>
      </w:r>
      <w:r w:rsidR="00247199">
        <w:t xml:space="preserve"> </w:t>
      </w:r>
      <w:r w:rsidR="008469B8">
        <w:t xml:space="preserve">TAB </w:t>
      </w:r>
      <w:r>
        <w:t>values.</w:t>
      </w:r>
    </w:p>
    <w:p w:rsidR="008469B8" w:rsidRDefault="008469B8" w:rsidP="00384A49">
      <w:pPr>
        <w:pStyle w:val="Caption"/>
      </w:pPr>
      <w:bookmarkStart w:id="113" w:name="_Ref477521408"/>
      <w:r>
        <w:t xml:space="preserve">Table </w:t>
      </w:r>
      <w:fldSimple w:instr=" STYLEREF 1 \s ">
        <w:r w:rsidR="00B55396">
          <w:rPr>
            <w:noProof/>
          </w:rPr>
          <w:t>8</w:t>
        </w:r>
      </w:fldSimple>
      <w:r w:rsidR="003D7105">
        <w:t>.</w:t>
      </w:r>
      <w:fldSimple w:instr=" SEQ Table \* ARABIC \s 1 ">
        <w:r w:rsidR="00B55396">
          <w:rPr>
            <w:noProof/>
          </w:rPr>
          <w:t>4</w:t>
        </w:r>
      </w:fldSimple>
      <w:bookmarkEnd w:id="113"/>
      <w:r>
        <w:t xml:space="preserve"> </w:t>
      </w:r>
      <w:r w:rsidR="00247199">
        <w:tab/>
        <w:t>AER's draft decision on AusNet</w:t>
      </w:r>
      <w:r w:rsidR="006C5AE7">
        <w:t>'s</w:t>
      </w:r>
      <w:r w:rsidR="00247199">
        <w:t xml:space="preserve"> tax asset base roll forward for the 2013–17 access arrangement period</w:t>
      </w:r>
      <w:r w:rsidR="002E4721">
        <w:t xml:space="preserve">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8469B8" w:rsidRPr="00D01CB9" w:rsidTr="00247199">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8469B8" w:rsidRPr="00D01CB9" w:rsidRDefault="008469B8" w:rsidP="00B82521">
            <w:pPr>
              <w:keepNext/>
              <w:rPr>
                <w:rFonts w:eastAsiaTheme="minorHAnsi" w:cstheme="minorBidi"/>
                <w:b w:val="0"/>
                <w:color w:val="auto"/>
                <w:sz w:val="22"/>
                <w:szCs w:val="22"/>
                <w:lang w:eastAsia="en-US"/>
              </w:rPr>
            </w:pPr>
          </w:p>
        </w:tc>
        <w:tc>
          <w:tcPr>
            <w:tcW w:w="1256" w:type="dxa"/>
            <w:hideMark/>
          </w:tcPr>
          <w:p w:rsidR="008469B8" w:rsidRPr="00D01CB9" w:rsidRDefault="008469B8" w:rsidP="00B8252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D01CB9">
              <w:t>2013</w:t>
            </w:r>
          </w:p>
        </w:tc>
        <w:tc>
          <w:tcPr>
            <w:tcW w:w="1257" w:type="dxa"/>
            <w:hideMark/>
          </w:tcPr>
          <w:p w:rsidR="008469B8" w:rsidRPr="00D01CB9" w:rsidRDefault="008469B8" w:rsidP="00B8252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D01CB9">
              <w:t>2014</w:t>
            </w:r>
          </w:p>
        </w:tc>
        <w:tc>
          <w:tcPr>
            <w:tcW w:w="1257" w:type="dxa"/>
            <w:hideMark/>
          </w:tcPr>
          <w:p w:rsidR="008469B8" w:rsidRPr="00D01CB9" w:rsidRDefault="008469B8" w:rsidP="00B8252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D01CB9">
              <w:t>2015</w:t>
            </w:r>
          </w:p>
        </w:tc>
        <w:tc>
          <w:tcPr>
            <w:tcW w:w="1257" w:type="dxa"/>
            <w:hideMark/>
          </w:tcPr>
          <w:p w:rsidR="008469B8" w:rsidRPr="00561264" w:rsidRDefault="008469B8" w:rsidP="00B8252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561264">
              <w:t>2016</w:t>
            </w:r>
          </w:p>
        </w:tc>
        <w:tc>
          <w:tcPr>
            <w:tcW w:w="1257" w:type="dxa"/>
            <w:hideMark/>
          </w:tcPr>
          <w:p w:rsidR="008469B8" w:rsidRPr="00AB7791" w:rsidRDefault="008469B8" w:rsidP="00B8252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B7791">
              <w:t>2017</w:t>
            </w:r>
          </w:p>
        </w:tc>
      </w:tr>
      <w:tr w:rsidR="000A0710" w:rsidRPr="00D01CB9" w:rsidTr="009107D7">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A0710" w:rsidRPr="000A0710" w:rsidRDefault="000A0710" w:rsidP="00B82521">
            <w:pPr>
              <w:keepNext/>
              <w:rPr>
                <w:rFonts w:eastAsiaTheme="minorHAnsi" w:cstheme="minorBidi"/>
                <w:sz w:val="22"/>
                <w:szCs w:val="22"/>
                <w:lang w:eastAsia="en-US"/>
              </w:rPr>
            </w:pPr>
            <w:r w:rsidRPr="000A0710">
              <w:t>Opening tax asset base</w:t>
            </w:r>
          </w:p>
        </w:tc>
        <w:tc>
          <w:tcPr>
            <w:tcW w:w="1256"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503.3</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541.9</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605.5</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644.4</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668.8</w:t>
            </w:r>
          </w:p>
        </w:tc>
      </w:tr>
      <w:tr w:rsidR="000A0710" w:rsidRPr="00D01CB9" w:rsidTr="009107D7">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A0710" w:rsidRPr="000A0710" w:rsidRDefault="000A0710" w:rsidP="00B82521">
            <w:pPr>
              <w:keepNext/>
              <w:rPr>
                <w:rFonts w:eastAsiaTheme="minorHAnsi" w:cstheme="minorBidi"/>
                <w:b/>
                <w:bCs/>
                <w:sz w:val="22"/>
                <w:szCs w:val="22"/>
                <w:lang w:eastAsia="en-US"/>
              </w:rPr>
            </w:pPr>
            <w:r w:rsidRPr="000A0710">
              <w:t>Capex</w:t>
            </w:r>
          </w:p>
        </w:tc>
        <w:tc>
          <w:tcPr>
            <w:tcW w:w="1256"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93.8</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119.1</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95.7</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83.4</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101.8</w:t>
            </w:r>
          </w:p>
        </w:tc>
      </w:tr>
      <w:tr w:rsidR="000A0710" w:rsidRPr="00D01CB9" w:rsidTr="009107D7">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A0710" w:rsidRPr="000A0710" w:rsidRDefault="000A0710" w:rsidP="00B82521">
            <w:pPr>
              <w:keepNext/>
              <w:rPr>
                <w:rFonts w:eastAsiaTheme="minorHAnsi" w:cstheme="minorBidi"/>
                <w:b/>
                <w:bCs/>
                <w:sz w:val="22"/>
                <w:szCs w:val="22"/>
                <w:lang w:eastAsia="en-US"/>
              </w:rPr>
            </w:pPr>
            <w:r w:rsidRPr="000A0710">
              <w:rPr>
                <w:rStyle w:val="AERtextitalic"/>
              </w:rPr>
              <w:t>Less</w:t>
            </w:r>
            <w:r w:rsidRPr="005423CC">
              <w:rPr>
                <w:rFonts w:eastAsiaTheme="minorHAnsi" w:cstheme="minorBidi"/>
                <w:sz w:val="22"/>
                <w:szCs w:val="22"/>
              </w:rPr>
              <w:t>:</w:t>
            </w:r>
            <w:r w:rsidRPr="000A0710">
              <w:t xml:space="preserve"> </w:t>
            </w:r>
            <w:r w:rsidR="004C63FC">
              <w:t>t</w:t>
            </w:r>
            <w:r w:rsidRPr="000A0710">
              <w:t>ax depreciation</w:t>
            </w:r>
          </w:p>
        </w:tc>
        <w:tc>
          <w:tcPr>
            <w:tcW w:w="1256"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55.3</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55.5</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56.8</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58.9</w:t>
            </w:r>
          </w:p>
        </w:tc>
        <w:tc>
          <w:tcPr>
            <w:tcW w:w="1257" w:type="dxa"/>
            <w:vAlign w:val="bottom"/>
          </w:tcPr>
          <w:p w:rsidR="000A0710" w:rsidRPr="000A0710" w:rsidRDefault="000A0710" w:rsidP="00B8252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A0710">
              <w:t>62.3</w:t>
            </w:r>
          </w:p>
        </w:tc>
      </w:tr>
      <w:tr w:rsidR="000A0710" w:rsidRPr="00D01CB9" w:rsidTr="009107D7">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A0710" w:rsidRPr="0035326E" w:rsidRDefault="000A0710" w:rsidP="00B82521">
            <w:pPr>
              <w:keepNext/>
              <w:spacing w:before="0" w:after="0"/>
              <w:rPr>
                <w:rFonts w:eastAsiaTheme="minorHAnsi" w:cstheme="minorBidi"/>
                <w:b/>
                <w:bCs/>
                <w:sz w:val="22"/>
                <w:szCs w:val="22"/>
                <w:lang w:eastAsia="en-US"/>
              </w:rPr>
            </w:pPr>
            <w:r w:rsidRPr="0035326E">
              <w:t>Closing tax asset base</w:t>
            </w:r>
          </w:p>
        </w:tc>
        <w:tc>
          <w:tcPr>
            <w:tcW w:w="1256"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541.9</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605.5</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644.4</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668.8</w:t>
            </w:r>
          </w:p>
        </w:tc>
        <w:tc>
          <w:tcPr>
            <w:tcW w:w="1257" w:type="dxa"/>
            <w:vAlign w:val="bottom"/>
          </w:tcPr>
          <w:p w:rsidR="000A0710" w:rsidRPr="000A0710" w:rsidRDefault="000A0710" w:rsidP="00B8252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0A0710">
              <w:t>708.3</w:t>
            </w:r>
          </w:p>
        </w:tc>
      </w:tr>
    </w:tbl>
    <w:p w:rsidR="008469B8" w:rsidRPr="00896D81" w:rsidRDefault="008469B8" w:rsidP="00B82521">
      <w:pPr>
        <w:pStyle w:val="AERtablesource"/>
        <w:keepNext/>
      </w:pPr>
      <w:r w:rsidRPr="00896D81">
        <w:t xml:space="preserve">Source: </w:t>
      </w:r>
      <w:r w:rsidRPr="00896D81">
        <w:tab/>
      </w:r>
      <w:r>
        <w:t>AER analysis</w:t>
      </w:r>
      <w:r w:rsidRPr="00896D81">
        <w:t>.</w:t>
      </w:r>
    </w:p>
    <w:p w:rsidR="008469B8" w:rsidRDefault="008469B8" w:rsidP="00B82521">
      <w:pPr>
        <w:pStyle w:val="Heading3"/>
        <w:ind w:left="720"/>
      </w:pPr>
      <w:bookmarkStart w:id="114" w:name="_Ref477521571"/>
      <w:bookmarkStart w:id="115" w:name="_Ref477521602"/>
      <w:bookmarkStart w:id="116" w:name="_Toc486840709"/>
      <w:r>
        <w:t>Standard tax asset lives</w:t>
      </w:r>
      <w:bookmarkEnd w:id="114"/>
      <w:bookmarkEnd w:id="115"/>
      <w:bookmarkEnd w:id="116"/>
    </w:p>
    <w:p w:rsidR="00247199" w:rsidRDefault="00247199" w:rsidP="00247199">
      <w:r>
        <w:t>We</w:t>
      </w:r>
      <w:r w:rsidRPr="00AB1F30">
        <w:t xml:space="preserve"> approv</w:t>
      </w:r>
      <w:r>
        <w:t>e</w:t>
      </w:r>
      <w:r w:rsidRPr="00AB1F30">
        <w:t xml:space="preserve"> </w:t>
      </w:r>
      <w:r>
        <w:t>AusNet</w:t>
      </w:r>
      <w:r w:rsidR="006C5AE7">
        <w:t>'s</w:t>
      </w:r>
      <w:r>
        <w:t xml:space="preserve"> </w:t>
      </w:r>
      <w:r w:rsidRPr="00AB1F30">
        <w:t>propos</w:t>
      </w:r>
      <w:r>
        <w:t xml:space="preserve">ed standard tax asset lives assigned to each of its asset classes for </w:t>
      </w:r>
      <w:r w:rsidRPr="00AB1F30">
        <w:t xml:space="preserve">the </w:t>
      </w:r>
      <w:r>
        <w:rPr>
          <w:rStyle w:val="AERbody"/>
        </w:rPr>
        <w:t xml:space="preserve">2018–22 </w:t>
      </w:r>
      <w:r w:rsidRPr="00AB1F30">
        <w:t xml:space="preserve">access arrangement period. </w:t>
      </w:r>
      <w:r w:rsidR="00490082">
        <w:t>AusNet ha</w:t>
      </w:r>
      <w:r w:rsidR="004C63FC">
        <w:t>s</w:t>
      </w:r>
      <w:r w:rsidR="00490082">
        <w:t xml:space="preserve"> referenced </w:t>
      </w:r>
      <w:r w:rsidR="004C63FC">
        <w:t>the ATO's t</w:t>
      </w:r>
      <w:r w:rsidR="00490082">
        <w:t xml:space="preserve">ax </w:t>
      </w:r>
      <w:r w:rsidR="004C63FC">
        <w:t>r</w:t>
      </w:r>
      <w:r w:rsidR="00490082">
        <w:t xml:space="preserve">uling 2015/2 in </w:t>
      </w:r>
      <w:r w:rsidR="004C63FC">
        <w:t>its</w:t>
      </w:r>
      <w:r w:rsidR="00490082">
        <w:t xml:space="preserve"> proposal</w:t>
      </w:r>
      <w:r w:rsidR="00184297">
        <w:rPr>
          <w:rStyle w:val="FootnoteReference"/>
        </w:rPr>
        <w:footnoteReference w:id="21"/>
      </w:r>
      <w:r w:rsidR="00490082">
        <w:t xml:space="preserve"> </w:t>
      </w:r>
      <w:r w:rsidR="004C63FC">
        <w:t>for its proposed standard tax asset lives. W</w:t>
      </w:r>
      <w:r>
        <w:t xml:space="preserve">e consider the proposed </w:t>
      </w:r>
      <w:r w:rsidR="004C63FC">
        <w:t xml:space="preserve">standard </w:t>
      </w:r>
      <w:r>
        <w:t xml:space="preserve">tax asset lives are </w:t>
      </w:r>
      <w:r w:rsidR="004C63FC">
        <w:t xml:space="preserve">consistent with this ruling and </w:t>
      </w:r>
      <w:r>
        <w:t xml:space="preserve">also </w:t>
      </w:r>
      <w:r w:rsidRPr="00AB1F30">
        <w:t xml:space="preserve">consistent with </w:t>
      </w:r>
      <w:r>
        <w:t xml:space="preserve">the standard tax asset lives </w:t>
      </w:r>
      <w:r w:rsidRPr="006555A7">
        <w:t xml:space="preserve">prescribed </w:t>
      </w:r>
      <w:r>
        <w:t xml:space="preserve">in the </w:t>
      </w:r>
      <w:r w:rsidR="00490082">
        <w:t xml:space="preserve">more recent </w:t>
      </w:r>
      <w:r w:rsidR="004C63FC">
        <w:t>t</w:t>
      </w:r>
      <w:r>
        <w:t xml:space="preserve">ax </w:t>
      </w:r>
      <w:r w:rsidR="004C63FC">
        <w:t>r</w:t>
      </w:r>
      <w:r>
        <w:t>uling 2016</w:t>
      </w:r>
      <w:r w:rsidRPr="006555A7">
        <w:t>/</w:t>
      </w:r>
      <w:r>
        <w:t>1.</w:t>
      </w:r>
      <w:r w:rsidRPr="0019550D">
        <w:rPr>
          <w:rStyle w:val="FootnoteReference"/>
        </w:rPr>
        <w:footnoteReference w:id="22"/>
      </w:r>
    </w:p>
    <w:p w:rsidR="004C63FC" w:rsidRDefault="004C63FC" w:rsidP="00247199">
      <w:r>
        <w:t>Our</w:t>
      </w:r>
      <w:r w:rsidRPr="00942390">
        <w:t xml:space="preserve"> draft decision on </w:t>
      </w:r>
      <w:r>
        <w:t xml:space="preserve">AusNet's </w:t>
      </w:r>
      <w:r w:rsidRPr="00942390">
        <w:t xml:space="preserve">standard tax asset lives for each of its asset classes for the </w:t>
      </w:r>
      <w:r>
        <w:rPr>
          <w:rStyle w:val="AERbody"/>
        </w:rPr>
        <w:t>2018–22</w:t>
      </w:r>
      <w:r w:rsidRPr="00942390">
        <w:rPr>
          <w:rStyle w:val="AERbody"/>
        </w:rPr>
        <w:t xml:space="preserve"> </w:t>
      </w:r>
      <w:r w:rsidRPr="00942390">
        <w:t xml:space="preserve">access arrangement </w:t>
      </w:r>
      <w:proofErr w:type="gramStart"/>
      <w:r w:rsidRPr="00942390">
        <w:t>period</w:t>
      </w:r>
      <w:proofErr w:type="gramEnd"/>
      <w:r w:rsidRPr="00942390">
        <w:t xml:space="preserve"> is set out in</w:t>
      </w:r>
      <w:r>
        <w:t xml:space="preserve"> </w:t>
      </w:r>
      <w:r>
        <w:fldChar w:fldCharType="begin"/>
      </w:r>
      <w:r>
        <w:instrText xml:space="preserve"> REF _Ref477521435 \h </w:instrText>
      </w:r>
      <w:r>
        <w:fldChar w:fldCharType="separate"/>
      </w:r>
      <w:r w:rsidR="00B55396">
        <w:t xml:space="preserve">Table </w:t>
      </w:r>
      <w:r w:rsidR="00B55396">
        <w:rPr>
          <w:noProof/>
        </w:rPr>
        <w:t>8</w:t>
      </w:r>
      <w:r w:rsidR="00B55396">
        <w:t>.</w:t>
      </w:r>
      <w:r w:rsidR="00B55396">
        <w:rPr>
          <w:noProof/>
        </w:rPr>
        <w:t>5</w:t>
      </w:r>
      <w:r>
        <w:fldChar w:fldCharType="end"/>
      </w:r>
      <w:r w:rsidRPr="00942390">
        <w:t>.</w:t>
      </w:r>
    </w:p>
    <w:p w:rsidR="00247199" w:rsidRDefault="00247199" w:rsidP="00B82521">
      <w:pPr>
        <w:pStyle w:val="Heading3"/>
        <w:ind w:left="720"/>
      </w:pPr>
      <w:bookmarkStart w:id="117" w:name="_Ref478458289"/>
      <w:bookmarkStart w:id="118" w:name="_Toc486840710"/>
      <w:r>
        <w:t>Remaining tax asset lives as at 1 January 2018</w:t>
      </w:r>
      <w:bookmarkEnd w:id="117"/>
      <w:bookmarkEnd w:id="118"/>
    </w:p>
    <w:p w:rsidR="00247199" w:rsidRDefault="00247199" w:rsidP="00247199">
      <w:r w:rsidRPr="00087386">
        <w:t>Our 201</w:t>
      </w:r>
      <w:r>
        <w:t>3</w:t>
      </w:r>
      <w:r w:rsidRPr="00087386">
        <w:t>–1</w:t>
      </w:r>
      <w:r>
        <w:t>7</w:t>
      </w:r>
      <w:r w:rsidRPr="00087386">
        <w:t xml:space="preserve"> </w:t>
      </w:r>
      <w:r>
        <w:t xml:space="preserve">access arrangement </w:t>
      </w:r>
      <w:r w:rsidRPr="00087386">
        <w:t xml:space="preserve">for </w:t>
      </w:r>
      <w:r>
        <w:t xml:space="preserve">AusNet </w:t>
      </w:r>
      <w:r w:rsidRPr="00087386">
        <w:t>did not contain remaining tax asset lives for</w:t>
      </w:r>
      <w:r>
        <w:t xml:space="preserve"> </w:t>
      </w:r>
      <w:r w:rsidRPr="00087386">
        <w:t>depreciating its opening TAB as at 1 January 201</w:t>
      </w:r>
      <w:r>
        <w:t>3</w:t>
      </w:r>
      <w:r w:rsidRPr="00087386">
        <w:t>.</w:t>
      </w:r>
      <w:r>
        <w:rPr>
          <w:rStyle w:val="FootnoteReference"/>
        </w:rPr>
        <w:footnoteReference w:id="23"/>
      </w:r>
      <w:r w:rsidRPr="00087386">
        <w:t xml:space="preserve"> Instead, </w:t>
      </w:r>
      <w:r>
        <w:t>it</w:t>
      </w:r>
      <w:r w:rsidRPr="00087386">
        <w:t xml:space="preserve"> adopt</w:t>
      </w:r>
      <w:r>
        <w:t>ed</w:t>
      </w:r>
      <w:r w:rsidRPr="00087386">
        <w:t xml:space="preserve"> the same tax</w:t>
      </w:r>
      <w:r>
        <w:t xml:space="preserve"> </w:t>
      </w:r>
      <w:r w:rsidRPr="00087386">
        <w:t>depreciation methodology as used by the ESC for the 200</w:t>
      </w:r>
      <w:r>
        <w:t>8</w:t>
      </w:r>
      <w:r w:rsidRPr="00087386">
        <w:t>–1</w:t>
      </w:r>
      <w:r>
        <w:t>2</w:t>
      </w:r>
      <w:r w:rsidRPr="00087386">
        <w:t xml:space="preserve"> </w:t>
      </w:r>
      <w:r w:rsidR="00C36917">
        <w:t>access arrangement</w:t>
      </w:r>
      <w:r>
        <w:t xml:space="preserve"> </w:t>
      </w:r>
      <w:r w:rsidRPr="00087386">
        <w:t>period</w:t>
      </w:r>
      <w:r>
        <w:t xml:space="preserve"> to calculate tax depreciation over the 2013–17 access arrangement period</w:t>
      </w:r>
      <w:r w:rsidRPr="00087386">
        <w:t>. As discussed in section</w:t>
      </w:r>
      <w:r w:rsidR="00F51A6D">
        <w:t xml:space="preserve"> </w:t>
      </w:r>
      <w:r w:rsidR="00F51A6D">
        <w:fldChar w:fldCharType="begin"/>
      </w:r>
      <w:r w:rsidR="00F51A6D">
        <w:instrText xml:space="preserve"> REF _Ref477521652 \r \h </w:instrText>
      </w:r>
      <w:r w:rsidR="00F51A6D">
        <w:fldChar w:fldCharType="separate"/>
      </w:r>
      <w:r w:rsidR="00B55396">
        <w:t>8.4.1</w:t>
      </w:r>
      <w:r w:rsidR="00F51A6D">
        <w:fldChar w:fldCharType="end"/>
      </w:r>
      <w:r w:rsidRPr="00087386">
        <w:t xml:space="preserve">, we accept </w:t>
      </w:r>
      <w:r>
        <w:t>AusNet</w:t>
      </w:r>
      <w:r w:rsidR="006C5AE7">
        <w:t>'s</w:t>
      </w:r>
      <w:r>
        <w:t xml:space="preserve"> </w:t>
      </w:r>
      <w:r w:rsidRPr="00087386">
        <w:t xml:space="preserve">proposal to </w:t>
      </w:r>
      <w:r>
        <w:t xml:space="preserve">transition to our standard </w:t>
      </w:r>
      <w:r w:rsidRPr="00087386">
        <w:t>straight-line depreciation approach to calculate the corporate income tax allowance for</w:t>
      </w:r>
      <w:r>
        <w:t xml:space="preserve"> </w:t>
      </w:r>
      <w:r w:rsidRPr="00087386">
        <w:t>the 201</w:t>
      </w:r>
      <w:r>
        <w:t>8</w:t>
      </w:r>
      <w:r w:rsidRPr="00087386">
        <w:t>–2</w:t>
      </w:r>
      <w:r>
        <w:t>2</w:t>
      </w:r>
      <w:r w:rsidRPr="00087386">
        <w:t xml:space="preserve"> </w:t>
      </w:r>
      <w:r w:rsidR="00C36917">
        <w:t>access arrangement</w:t>
      </w:r>
      <w:r w:rsidRPr="00087386">
        <w:t xml:space="preserve"> period. This requires us to determine remaining tax</w:t>
      </w:r>
      <w:r>
        <w:t xml:space="preserve"> </w:t>
      </w:r>
      <w:r w:rsidRPr="00087386">
        <w:t>asset lives for depreciating the opening TAB as at 1 January 201</w:t>
      </w:r>
      <w:r>
        <w:t>8</w:t>
      </w:r>
      <w:r w:rsidRPr="00087386">
        <w:t>.</w:t>
      </w:r>
    </w:p>
    <w:p w:rsidR="005876DC" w:rsidRDefault="00247199" w:rsidP="00247199">
      <w:r w:rsidRPr="00700B98">
        <w:t xml:space="preserve">We accept </w:t>
      </w:r>
      <w:r>
        <w:t>AusNet</w:t>
      </w:r>
      <w:r w:rsidR="006C5AE7">
        <w:t>'s</w:t>
      </w:r>
      <w:r>
        <w:t xml:space="preserve"> </w:t>
      </w:r>
      <w:r w:rsidRPr="00700B98">
        <w:t xml:space="preserve">proposed </w:t>
      </w:r>
      <w:r>
        <w:t xml:space="preserve">method of setting </w:t>
      </w:r>
      <w:r w:rsidRPr="00700B98">
        <w:t xml:space="preserve">the remaining tax asset lives </w:t>
      </w:r>
      <w:r>
        <w:t xml:space="preserve">equal to </w:t>
      </w:r>
      <w:r w:rsidRPr="001372F6">
        <w:t>the standard tax asset life for the asset</w:t>
      </w:r>
      <w:r>
        <w:t xml:space="preserve"> </w:t>
      </w:r>
      <w:r w:rsidRPr="001372F6">
        <w:t xml:space="preserve">class multiplied by the ratio of the </w:t>
      </w:r>
      <w:r w:rsidR="00C36917">
        <w:t xml:space="preserve">capital base </w:t>
      </w:r>
      <w:r w:rsidRPr="001372F6">
        <w:t xml:space="preserve">remaining asset life to the </w:t>
      </w:r>
      <w:r w:rsidR="00C36917">
        <w:t>capital base</w:t>
      </w:r>
      <w:r w:rsidRPr="001372F6">
        <w:t xml:space="preserve"> standard</w:t>
      </w:r>
      <w:r>
        <w:t xml:space="preserve"> </w:t>
      </w:r>
      <w:r w:rsidRPr="001372F6">
        <w:t>asset life.</w:t>
      </w:r>
      <w:r>
        <w:t xml:space="preserve"> </w:t>
      </w:r>
      <w:r w:rsidR="00C36917">
        <w:t>We are satisfied that AusNet's proposed approach provides reasonable estimates of remaining tax asset lives for its asset classes. We note the proposed approach is consistent with the method approved in our recent determinations for Ausgrid and the Victorian electricity distributors.</w:t>
      </w:r>
      <w:r w:rsidR="00C36917">
        <w:rPr>
          <w:rStyle w:val="FootnoteReference"/>
        </w:rPr>
        <w:footnoteReference w:id="24"/>
      </w:r>
      <w:r w:rsidR="00C36917">
        <w:t xml:space="preserve"> </w:t>
      </w:r>
    </w:p>
    <w:p w:rsidR="005876DC" w:rsidRDefault="005876DC" w:rsidP="005876DC">
      <w:r>
        <w:t>I</w:t>
      </w:r>
      <w:r w:rsidRPr="00EC2F10">
        <w:t xml:space="preserve">n accepting </w:t>
      </w:r>
      <w:r>
        <w:t>AusNet</w:t>
      </w:r>
      <w:r w:rsidRPr="00EC2F10">
        <w:t>'s approach for calculating the remaining tax asset lives as at 1 January 201</w:t>
      </w:r>
      <w:r>
        <w:t>8</w:t>
      </w:r>
      <w:r w:rsidRPr="00EC2F10">
        <w:t xml:space="preserve">, we have </w:t>
      </w:r>
      <w:r w:rsidR="00EB351C">
        <w:t>corrected the calculation of the capital base remaining lives to account for the actual depreciation of assets.</w:t>
      </w:r>
      <w:r w:rsidRPr="00EC2F10">
        <w:t xml:space="preserve"> </w:t>
      </w:r>
      <w:r>
        <w:t>AusNet</w:t>
      </w:r>
      <w:r w:rsidRPr="00EC2F10">
        <w:t>'s approach for calculating the remaining tax asset lives as at 1 January 201</w:t>
      </w:r>
      <w:r>
        <w:t>8</w:t>
      </w:r>
      <w:r w:rsidRPr="00EC2F10">
        <w:t xml:space="preserve"> requires </w:t>
      </w:r>
      <w:r w:rsidR="00EB351C">
        <w:t xml:space="preserve">estimating </w:t>
      </w:r>
      <w:r w:rsidRPr="00EC2F10">
        <w:t xml:space="preserve">the remaining </w:t>
      </w:r>
      <w:r>
        <w:t>capital base</w:t>
      </w:r>
      <w:r w:rsidRPr="00EC2F10">
        <w:t xml:space="preserve"> asset life as at the same date. The change to the year-by-year tracking approach means that the </w:t>
      </w:r>
      <w:r>
        <w:t>capital base</w:t>
      </w:r>
      <w:r w:rsidRPr="00EC2F10">
        <w:t xml:space="preserve"> remaining lives are no longer recorded in the PTRM.</w:t>
      </w:r>
      <w:r>
        <w:rPr>
          <w:rStyle w:val="FootnoteReference"/>
        </w:rPr>
        <w:footnoteReference w:id="25"/>
      </w:r>
      <w:r w:rsidRPr="00EC2F10">
        <w:t xml:space="preserve"> However, </w:t>
      </w:r>
      <w:r>
        <w:t>capital base</w:t>
      </w:r>
      <w:r w:rsidRPr="00EC2F10">
        <w:t xml:space="preserve"> remaining lives </w:t>
      </w:r>
      <w:r w:rsidR="0088394A">
        <w:t xml:space="preserve">are still estimated in the RFM for </w:t>
      </w:r>
      <w:r w:rsidRPr="00EC2F10">
        <w:t xml:space="preserve">use </w:t>
      </w:r>
      <w:r w:rsidR="0088394A">
        <w:t>in</w:t>
      </w:r>
      <w:r w:rsidRPr="00EC2F10">
        <w:t xml:space="preserve"> calculat</w:t>
      </w:r>
      <w:r w:rsidR="0088394A">
        <w:t>ing</w:t>
      </w:r>
      <w:r w:rsidRPr="00EC2F10">
        <w:t xml:space="preserve"> the remaining tax asset lives</w:t>
      </w:r>
      <w:r w:rsidR="0088394A" w:rsidRPr="0088394A">
        <w:t xml:space="preserve"> </w:t>
      </w:r>
      <w:r w:rsidR="0088394A" w:rsidRPr="00EC2F10">
        <w:t xml:space="preserve">as at 1 January </w:t>
      </w:r>
      <w:r w:rsidR="0088394A">
        <w:t>2018</w:t>
      </w:r>
      <w:r w:rsidRPr="00EC2F10">
        <w:t>.</w:t>
      </w:r>
      <w:r>
        <w:rPr>
          <w:rStyle w:val="FootnoteReference"/>
        </w:rPr>
        <w:footnoteReference w:id="26"/>
      </w:r>
    </w:p>
    <w:p w:rsidR="00EB351C" w:rsidRDefault="00EB351C" w:rsidP="005876DC">
      <w:r>
        <w:t>AusNet's proposed remaining tax asset lives were based on capital base remaining</w:t>
      </w:r>
      <w:r w:rsidR="0088394A">
        <w:t xml:space="preserve"> asset</w:t>
      </w:r>
      <w:r>
        <w:t xml:space="preserve"> lives that were calculated using depreciation</w:t>
      </w:r>
      <w:r w:rsidR="0088394A">
        <w:t xml:space="preserve"> forecast in the 2013–17 access arrangement</w:t>
      </w:r>
      <w:r>
        <w:t xml:space="preserve">. Our preferred method for calculating remaining </w:t>
      </w:r>
      <w:r w:rsidR="0088394A">
        <w:t xml:space="preserve">asset </w:t>
      </w:r>
      <w:r>
        <w:t>lives is to use actual depreciation as we consider this to provide a better indication of the profile of the underlying assets.</w:t>
      </w:r>
      <w:r w:rsidR="0088394A">
        <w:rPr>
          <w:rStyle w:val="FootnoteReference"/>
        </w:rPr>
        <w:footnoteReference w:id="27"/>
      </w:r>
      <w:r w:rsidR="0088394A">
        <w:t xml:space="preserve"> </w:t>
      </w:r>
      <w:r>
        <w:t>Accordingly, for this draft decision we have updated the remaining tax asset lives to reflect this change.</w:t>
      </w:r>
    </w:p>
    <w:p w:rsidR="005876DC" w:rsidRDefault="005876DC" w:rsidP="005876DC">
      <w:r>
        <w:t xml:space="preserve">At the time of this draft decision, the capital base remaining asset lives used in this calculation include estimated capex values for 2016 and 2017. </w:t>
      </w:r>
      <w:r w:rsidRPr="000C3017">
        <w:t xml:space="preserve">As part of the final decision, we expect the estimate of capex for 2016 to be replaced by actuals. We also expect the estimate of capex for 2017 to be revised based on more up to date information and that </w:t>
      </w:r>
      <w:r>
        <w:t>AusNet</w:t>
      </w:r>
      <w:r w:rsidRPr="000C3017">
        <w:t xml:space="preserve"> would provide this revision in its revised proposal. Therefore, for the final decision, we will update </w:t>
      </w:r>
      <w:r>
        <w:t>AusNet</w:t>
      </w:r>
      <w:r w:rsidRPr="000C3017">
        <w:t xml:space="preserve">'s remaining tax asset lives at 1 January 2018 using the method approved in this </w:t>
      </w:r>
      <w:r>
        <w:t>draft</w:t>
      </w:r>
      <w:r w:rsidRPr="000C3017">
        <w:t xml:space="preserve"> decision for any revisions to the </w:t>
      </w:r>
      <w:r>
        <w:t>capital base</w:t>
      </w:r>
      <w:r w:rsidRPr="000C3017">
        <w:t xml:space="preserve"> remaining asset lives</w:t>
      </w:r>
      <w:r>
        <w:t xml:space="preserve">. </w:t>
      </w:r>
    </w:p>
    <w:p w:rsidR="008469B8" w:rsidRDefault="00247199" w:rsidP="00247199">
      <w:r>
        <w:t>Our</w:t>
      </w:r>
      <w:r w:rsidRPr="00942390">
        <w:t xml:space="preserve"> draft decision on </w:t>
      </w:r>
      <w:r>
        <w:t>AusNet</w:t>
      </w:r>
      <w:r w:rsidR="00BA5A47">
        <w:t>'s</w:t>
      </w:r>
      <w:r>
        <w:t xml:space="preserve"> </w:t>
      </w:r>
      <w:r w:rsidRPr="00942390">
        <w:t xml:space="preserve">remaining tax asset lives for each of its asset classes for the </w:t>
      </w:r>
      <w:r>
        <w:rPr>
          <w:rStyle w:val="AERbody"/>
        </w:rPr>
        <w:t>2018–22</w:t>
      </w:r>
      <w:r w:rsidRPr="00942390">
        <w:rPr>
          <w:rStyle w:val="AERbody"/>
        </w:rPr>
        <w:t xml:space="preserve"> </w:t>
      </w:r>
      <w:r w:rsidRPr="00942390">
        <w:t xml:space="preserve">access arrangement </w:t>
      </w:r>
      <w:proofErr w:type="gramStart"/>
      <w:r w:rsidRPr="00942390">
        <w:t>period</w:t>
      </w:r>
      <w:proofErr w:type="gramEnd"/>
      <w:r w:rsidRPr="00942390">
        <w:t xml:space="preserve"> is set out in</w:t>
      </w:r>
      <w:r w:rsidR="00BA54B7">
        <w:t xml:space="preserve"> </w:t>
      </w:r>
      <w:r w:rsidR="00BA54B7">
        <w:fldChar w:fldCharType="begin"/>
      </w:r>
      <w:r w:rsidR="00BA54B7">
        <w:instrText xml:space="preserve"> REF _Ref477521435 \h </w:instrText>
      </w:r>
      <w:r w:rsidR="00BA54B7">
        <w:fldChar w:fldCharType="separate"/>
      </w:r>
      <w:r w:rsidR="00B55396">
        <w:t xml:space="preserve">Table </w:t>
      </w:r>
      <w:r w:rsidR="00B55396">
        <w:rPr>
          <w:noProof/>
        </w:rPr>
        <w:t>8</w:t>
      </w:r>
      <w:r w:rsidR="00B55396">
        <w:t>.</w:t>
      </w:r>
      <w:r w:rsidR="00B55396">
        <w:rPr>
          <w:noProof/>
        </w:rPr>
        <w:t>5</w:t>
      </w:r>
      <w:r w:rsidR="00BA54B7">
        <w:fldChar w:fldCharType="end"/>
      </w:r>
      <w:r w:rsidRPr="00942390">
        <w:t>.</w:t>
      </w:r>
    </w:p>
    <w:p w:rsidR="00247199" w:rsidRDefault="00247199" w:rsidP="00247199">
      <w:pPr>
        <w:pStyle w:val="Caption"/>
      </w:pPr>
      <w:bookmarkStart w:id="119" w:name="_Ref477521435"/>
      <w:r>
        <w:t xml:space="preserve">Table </w:t>
      </w:r>
      <w:fldSimple w:instr=" STYLEREF 1 \s ">
        <w:r w:rsidR="00B55396">
          <w:rPr>
            <w:noProof/>
          </w:rPr>
          <w:t>8</w:t>
        </w:r>
      </w:fldSimple>
      <w:r w:rsidR="003D7105">
        <w:t>.</w:t>
      </w:r>
      <w:fldSimple w:instr=" SEQ Table \* ARABIC \s 1 ">
        <w:r w:rsidR="00B55396">
          <w:rPr>
            <w:noProof/>
          </w:rPr>
          <w:t>5</w:t>
        </w:r>
      </w:fldSimple>
      <w:bookmarkEnd w:id="119"/>
      <w:r>
        <w:tab/>
        <w:t>AER's draft decision on AusNet</w:t>
      </w:r>
      <w:r w:rsidR="00BA5A47">
        <w:t>'s</w:t>
      </w:r>
      <w:r>
        <w:t xml:space="preserve"> standard tax asset lives and remaining tax asset lives as at 1 January 2018 for the 2018–22 access arrangement period</w:t>
      </w:r>
    </w:p>
    <w:tbl>
      <w:tblPr>
        <w:tblStyle w:val="AERtable-numbers"/>
        <w:tblW w:w="8711" w:type="dxa"/>
        <w:tblLayout w:type="fixed"/>
        <w:tblLook w:val="04A0" w:firstRow="1" w:lastRow="0" w:firstColumn="1" w:lastColumn="0" w:noHBand="0" w:noVBand="1"/>
      </w:tblPr>
      <w:tblGrid>
        <w:gridCol w:w="2943"/>
        <w:gridCol w:w="1985"/>
        <w:gridCol w:w="3783"/>
      </w:tblGrid>
      <w:tr w:rsidR="00247199" w:rsidRPr="00E369C5" w:rsidTr="0035326E">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943" w:type="dxa"/>
            <w:noWrap/>
          </w:tcPr>
          <w:p w:rsidR="00247199" w:rsidRPr="00330FAF" w:rsidRDefault="00247199" w:rsidP="00030FAE">
            <w:pPr>
              <w:rPr>
                <w:b w:val="0"/>
                <w:color w:val="auto"/>
                <w:lang w:eastAsia="en-US"/>
              </w:rPr>
            </w:pPr>
            <w:r w:rsidRPr="00330FAF">
              <w:t>Tax asset class</w:t>
            </w:r>
          </w:p>
        </w:tc>
        <w:tc>
          <w:tcPr>
            <w:tcW w:w="1985" w:type="dxa"/>
            <w:noWrap/>
          </w:tcPr>
          <w:p w:rsidR="00247199" w:rsidRPr="00894A16" w:rsidRDefault="00247199"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894A16">
              <w:t>Standard tax asset life</w:t>
            </w:r>
          </w:p>
        </w:tc>
        <w:tc>
          <w:tcPr>
            <w:tcW w:w="3783" w:type="dxa"/>
            <w:noWrap/>
          </w:tcPr>
          <w:p w:rsidR="00247199" w:rsidRPr="00330FAF" w:rsidRDefault="00247199" w:rsidP="00030FAE">
            <w:pPr>
              <w:cnfStyle w:val="100000000000" w:firstRow="1" w:lastRow="0" w:firstColumn="0" w:lastColumn="0" w:oddVBand="0" w:evenVBand="0" w:oddHBand="0" w:evenHBand="0" w:firstRowFirstColumn="0" w:firstRowLastColumn="0" w:lastRowFirstColumn="0" w:lastRowLastColumn="0"/>
              <w:rPr>
                <w:b w:val="0"/>
                <w:color w:val="auto"/>
                <w:lang w:eastAsia="en-US"/>
              </w:rPr>
            </w:pPr>
            <w:r w:rsidRPr="001816AF">
              <w:t>Remaining tax asset life as at 1 January 2018</w:t>
            </w:r>
          </w:p>
        </w:tc>
      </w:tr>
      <w:tr w:rsidR="008156F3" w:rsidRPr="002C4B0D" w:rsidTr="0035326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1A0248">
            <w:r w:rsidRPr="008156F3">
              <w:t xml:space="preserve"> Transmission </w:t>
            </w:r>
            <w:r w:rsidR="001A0248">
              <w:t>p</w:t>
            </w:r>
            <w:r w:rsidRPr="008156F3">
              <w:t xml:space="preserve">ipelines </w:t>
            </w:r>
          </w:p>
        </w:tc>
        <w:tc>
          <w:tcPr>
            <w:tcW w:w="1985" w:type="dxa"/>
            <w:noWrap/>
            <w:vAlign w:val="bottom"/>
          </w:tcPr>
          <w:p w:rsidR="008156F3" w:rsidRPr="008156F3" w:rsidRDefault="008156F3" w:rsidP="008156F3">
            <w:pPr>
              <w:cnfStyle w:val="000000000000" w:firstRow="0" w:lastRow="0" w:firstColumn="0" w:lastColumn="0" w:oddVBand="0" w:evenVBand="0" w:oddHBand="0" w:evenHBand="0" w:firstRowFirstColumn="0" w:firstRowLastColumn="0" w:lastRowFirstColumn="0" w:lastRowLastColumn="0"/>
            </w:pPr>
            <w:r w:rsidRPr="008156F3">
              <w:t>50</w:t>
            </w:r>
          </w:p>
        </w:tc>
        <w:tc>
          <w:tcPr>
            <w:tcW w:w="3783" w:type="dxa"/>
            <w:noWrap/>
            <w:vAlign w:val="bottom"/>
          </w:tcPr>
          <w:p w:rsidR="008156F3" w:rsidRPr="008156F3" w:rsidRDefault="008156F3" w:rsidP="00BA5A47">
            <w:pPr>
              <w:cnfStyle w:val="000000000000" w:firstRow="0" w:lastRow="0" w:firstColumn="0" w:lastColumn="0" w:oddVBand="0" w:evenVBand="0" w:oddHBand="0" w:evenHBand="0" w:firstRowFirstColumn="0" w:firstRowLastColumn="0" w:lastRowFirstColumn="0" w:lastRowLastColumn="0"/>
            </w:pPr>
            <w:r w:rsidRPr="008156F3">
              <w:t>18.</w:t>
            </w:r>
            <w:r w:rsidR="00BA5A47">
              <w:t>5</w:t>
            </w:r>
          </w:p>
        </w:tc>
      </w:tr>
      <w:tr w:rsidR="008156F3" w:rsidRPr="002C4B0D" w:rsidTr="0035326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1A0248">
            <w:r w:rsidRPr="008156F3">
              <w:t xml:space="preserve"> Distribution </w:t>
            </w:r>
            <w:r w:rsidR="001A0248">
              <w:t>p</w:t>
            </w:r>
            <w:r w:rsidRPr="008156F3">
              <w:t xml:space="preserve">ipelines </w:t>
            </w:r>
          </w:p>
        </w:tc>
        <w:tc>
          <w:tcPr>
            <w:tcW w:w="1985"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50</w:t>
            </w:r>
          </w:p>
        </w:tc>
        <w:tc>
          <w:tcPr>
            <w:tcW w:w="3783" w:type="dxa"/>
            <w:noWrap/>
            <w:vAlign w:val="bottom"/>
          </w:tcPr>
          <w:p w:rsidR="008156F3" w:rsidRPr="008156F3" w:rsidRDefault="008156F3" w:rsidP="00BA5A47">
            <w:pPr>
              <w:cnfStyle w:val="000000010000" w:firstRow="0" w:lastRow="0" w:firstColumn="0" w:lastColumn="0" w:oddVBand="0" w:evenVBand="0" w:oddHBand="0" w:evenHBand="1" w:firstRowFirstColumn="0" w:firstRowLastColumn="0" w:lastRowFirstColumn="0" w:lastRowLastColumn="0"/>
            </w:pPr>
            <w:r w:rsidRPr="008156F3">
              <w:t>27.</w:t>
            </w:r>
            <w:r w:rsidR="00BA5A47">
              <w:t>8</w:t>
            </w:r>
          </w:p>
        </w:tc>
      </w:tr>
      <w:tr w:rsidR="008156F3" w:rsidRPr="002C4B0D" w:rsidTr="0035326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1A0248">
            <w:r w:rsidRPr="008156F3">
              <w:t xml:space="preserve"> Service </w:t>
            </w:r>
            <w:r w:rsidR="001A0248">
              <w:t>p</w:t>
            </w:r>
            <w:r w:rsidRPr="008156F3">
              <w:t xml:space="preserve">ipes </w:t>
            </w:r>
          </w:p>
        </w:tc>
        <w:tc>
          <w:tcPr>
            <w:tcW w:w="1985" w:type="dxa"/>
            <w:noWrap/>
            <w:vAlign w:val="bottom"/>
          </w:tcPr>
          <w:p w:rsidR="008156F3" w:rsidRPr="008156F3" w:rsidRDefault="008156F3" w:rsidP="008156F3">
            <w:pPr>
              <w:cnfStyle w:val="000000000000" w:firstRow="0" w:lastRow="0" w:firstColumn="0" w:lastColumn="0" w:oddVBand="0" w:evenVBand="0" w:oddHBand="0" w:evenHBand="0" w:firstRowFirstColumn="0" w:firstRowLastColumn="0" w:lastRowFirstColumn="0" w:lastRowLastColumn="0"/>
            </w:pPr>
            <w:r w:rsidRPr="008156F3">
              <w:t>50</w:t>
            </w:r>
          </w:p>
        </w:tc>
        <w:tc>
          <w:tcPr>
            <w:tcW w:w="3783" w:type="dxa"/>
            <w:noWrap/>
            <w:vAlign w:val="bottom"/>
          </w:tcPr>
          <w:p w:rsidR="008156F3" w:rsidRPr="008156F3" w:rsidRDefault="008156F3" w:rsidP="00BA5A47">
            <w:pPr>
              <w:cnfStyle w:val="000000000000" w:firstRow="0" w:lastRow="0" w:firstColumn="0" w:lastColumn="0" w:oddVBand="0" w:evenVBand="0" w:oddHBand="0" w:evenHBand="0" w:firstRowFirstColumn="0" w:firstRowLastColumn="0" w:lastRowFirstColumn="0" w:lastRowLastColumn="0"/>
            </w:pPr>
            <w:r w:rsidRPr="008156F3">
              <w:t>32.2</w:t>
            </w:r>
          </w:p>
        </w:tc>
      </w:tr>
      <w:tr w:rsidR="008156F3" w:rsidRPr="002C4B0D" w:rsidTr="0035326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1A0248">
            <w:r w:rsidRPr="008156F3">
              <w:t xml:space="preserve"> Cathodic </w:t>
            </w:r>
            <w:r w:rsidR="001A0248">
              <w:t>p</w:t>
            </w:r>
            <w:r w:rsidRPr="008156F3">
              <w:t xml:space="preserve">rotection </w:t>
            </w:r>
          </w:p>
        </w:tc>
        <w:tc>
          <w:tcPr>
            <w:tcW w:w="1985"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50</w:t>
            </w:r>
          </w:p>
        </w:tc>
        <w:tc>
          <w:tcPr>
            <w:tcW w:w="3783"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21.4</w:t>
            </w:r>
          </w:p>
        </w:tc>
      </w:tr>
      <w:tr w:rsidR="008156F3" w:rsidRPr="002C4B0D" w:rsidTr="0035326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1A0248">
            <w:r w:rsidRPr="008156F3">
              <w:t xml:space="preserve"> Supply </w:t>
            </w:r>
            <w:r w:rsidR="001A0248">
              <w:t>r</w:t>
            </w:r>
            <w:r w:rsidRPr="008156F3">
              <w:t>egulators/</w:t>
            </w:r>
            <w:r w:rsidR="001A0248">
              <w:t>v</w:t>
            </w:r>
            <w:r w:rsidRPr="008156F3">
              <w:t xml:space="preserve">alve </w:t>
            </w:r>
            <w:r w:rsidR="001A0248">
              <w:t>s</w:t>
            </w:r>
            <w:r w:rsidRPr="008156F3">
              <w:t xml:space="preserve">tations </w:t>
            </w:r>
          </w:p>
        </w:tc>
        <w:tc>
          <w:tcPr>
            <w:tcW w:w="1985" w:type="dxa"/>
            <w:noWrap/>
            <w:vAlign w:val="bottom"/>
          </w:tcPr>
          <w:p w:rsidR="008156F3" w:rsidRPr="008156F3" w:rsidRDefault="008156F3" w:rsidP="008156F3">
            <w:pPr>
              <w:cnfStyle w:val="000000000000" w:firstRow="0" w:lastRow="0" w:firstColumn="0" w:lastColumn="0" w:oddVBand="0" w:evenVBand="0" w:oddHBand="0" w:evenHBand="0" w:firstRowFirstColumn="0" w:firstRowLastColumn="0" w:lastRowFirstColumn="0" w:lastRowLastColumn="0"/>
            </w:pPr>
            <w:r w:rsidRPr="008156F3">
              <w:t>40</w:t>
            </w:r>
          </w:p>
        </w:tc>
        <w:tc>
          <w:tcPr>
            <w:tcW w:w="3783" w:type="dxa"/>
            <w:noWrap/>
            <w:vAlign w:val="bottom"/>
          </w:tcPr>
          <w:p w:rsidR="008156F3" w:rsidRPr="008156F3" w:rsidRDefault="008156F3" w:rsidP="00BA5A47">
            <w:pPr>
              <w:cnfStyle w:val="000000000000" w:firstRow="0" w:lastRow="0" w:firstColumn="0" w:lastColumn="0" w:oddVBand="0" w:evenVBand="0" w:oddHBand="0" w:evenHBand="0" w:firstRowFirstColumn="0" w:firstRowLastColumn="0" w:lastRowFirstColumn="0" w:lastRowLastColumn="0"/>
            </w:pPr>
            <w:r w:rsidRPr="008156F3">
              <w:t>28.</w:t>
            </w:r>
            <w:r w:rsidR="00BA5A47">
              <w:t>8</w:t>
            </w:r>
          </w:p>
        </w:tc>
      </w:tr>
      <w:tr w:rsidR="008156F3" w:rsidRPr="002C4B0D" w:rsidTr="0035326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8156F3">
            <w:r w:rsidRPr="008156F3">
              <w:t xml:space="preserve"> Meters</w:t>
            </w:r>
          </w:p>
        </w:tc>
        <w:tc>
          <w:tcPr>
            <w:tcW w:w="1985"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15</w:t>
            </w:r>
          </w:p>
        </w:tc>
        <w:tc>
          <w:tcPr>
            <w:tcW w:w="3783" w:type="dxa"/>
            <w:noWrap/>
            <w:vAlign w:val="bottom"/>
          </w:tcPr>
          <w:p w:rsidR="008156F3" w:rsidRPr="008156F3" w:rsidRDefault="008156F3" w:rsidP="00BA5A47">
            <w:pPr>
              <w:cnfStyle w:val="000000010000" w:firstRow="0" w:lastRow="0" w:firstColumn="0" w:lastColumn="0" w:oddVBand="0" w:evenVBand="0" w:oddHBand="0" w:evenHBand="1" w:firstRowFirstColumn="0" w:firstRowLastColumn="0" w:lastRowFirstColumn="0" w:lastRowLastColumn="0"/>
            </w:pPr>
            <w:r w:rsidRPr="008156F3">
              <w:t>9.4</w:t>
            </w:r>
          </w:p>
        </w:tc>
      </w:tr>
      <w:tr w:rsidR="008156F3" w:rsidRPr="002C4B0D" w:rsidTr="0035326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8156F3">
            <w:r w:rsidRPr="008156F3">
              <w:t xml:space="preserve"> SCADA and remote control </w:t>
            </w:r>
          </w:p>
        </w:tc>
        <w:tc>
          <w:tcPr>
            <w:tcW w:w="1985" w:type="dxa"/>
            <w:noWrap/>
            <w:vAlign w:val="bottom"/>
          </w:tcPr>
          <w:p w:rsidR="008156F3" w:rsidRPr="008156F3" w:rsidRDefault="008156F3" w:rsidP="008156F3">
            <w:pPr>
              <w:cnfStyle w:val="000000000000" w:firstRow="0" w:lastRow="0" w:firstColumn="0" w:lastColumn="0" w:oddVBand="0" w:evenVBand="0" w:oddHBand="0" w:evenHBand="0" w:firstRowFirstColumn="0" w:firstRowLastColumn="0" w:lastRowFirstColumn="0" w:lastRowLastColumn="0"/>
            </w:pPr>
            <w:r w:rsidRPr="008156F3">
              <w:t>10</w:t>
            </w:r>
          </w:p>
        </w:tc>
        <w:tc>
          <w:tcPr>
            <w:tcW w:w="3783" w:type="dxa"/>
            <w:noWrap/>
            <w:vAlign w:val="bottom"/>
          </w:tcPr>
          <w:p w:rsidR="008156F3" w:rsidRPr="008156F3" w:rsidRDefault="008156F3" w:rsidP="00BA5A47">
            <w:pPr>
              <w:cnfStyle w:val="000000000000" w:firstRow="0" w:lastRow="0" w:firstColumn="0" w:lastColumn="0" w:oddVBand="0" w:evenVBand="0" w:oddHBand="0" w:evenHBand="0" w:firstRowFirstColumn="0" w:firstRowLastColumn="0" w:lastRowFirstColumn="0" w:lastRowLastColumn="0"/>
            </w:pPr>
            <w:r w:rsidRPr="008156F3">
              <w:t>6.5</w:t>
            </w:r>
          </w:p>
        </w:tc>
      </w:tr>
      <w:tr w:rsidR="008156F3" w:rsidRPr="002C4B0D" w:rsidTr="0035326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8156F3">
            <w:r w:rsidRPr="008156F3">
              <w:t xml:space="preserve"> Buildings </w:t>
            </w:r>
          </w:p>
        </w:tc>
        <w:tc>
          <w:tcPr>
            <w:tcW w:w="1985"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35</w:t>
            </w:r>
          </w:p>
        </w:tc>
        <w:tc>
          <w:tcPr>
            <w:tcW w:w="3783"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17.7</w:t>
            </w:r>
          </w:p>
        </w:tc>
      </w:tr>
      <w:tr w:rsidR="008156F3" w:rsidRPr="002C4B0D" w:rsidTr="0035326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8156F3">
            <w:r w:rsidRPr="008156F3">
              <w:t xml:space="preserve"> Other - IT </w:t>
            </w:r>
          </w:p>
        </w:tc>
        <w:tc>
          <w:tcPr>
            <w:tcW w:w="1985" w:type="dxa"/>
            <w:noWrap/>
            <w:vAlign w:val="bottom"/>
          </w:tcPr>
          <w:p w:rsidR="008156F3" w:rsidRPr="008156F3" w:rsidRDefault="008156F3" w:rsidP="008156F3">
            <w:pPr>
              <w:cnfStyle w:val="000000000000" w:firstRow="0" w:lastRow="0" w:firstColumn="0" w:lastColumn="0" w:oddVBand="0" w:evenVBand="0" w:oddHBand="0" w:evenHBand="0" w:firstRowFirstColumn="0" w:firstRowLastColumn="0" w:lastRowFirstColumn="0" w:lastRowLastColumn="0"/>
            </w:pPr>
            <w:r w:rsidRPr="008156F3">
              <w:t>4</w:t>
            </w:r>
          </w:p>
        </w:tc>
        <w:tc>
          <w:tcPr>
            <w:tcW w:w="3783" w:type="dxa"/>
            <w:noWrap/>
            <w:vAlign w:val="bottom"/>
          </w:tcPr>
          <w:p w:rsidR="008156F3" w:rsidRPr="008156F3" w:rsidRDefault="008156F3" w:rsidP="00BA5A47">
            <w:pPr>
              <w:cnfStyle w:val="000000000000" w:firstRow="0" w:lastRow="0" w:firstColumn="0" w:lastColumn="0" w:oddVBand="0" w:evenVBand="0" w:oddHBand="0" w:evenHBand="0" w:firstRowFirstColumn="0" w:firstRowLastColumn="0" w:lastRowFirstColumn="0" w:lastRowLastColumn="0"/>
            </w:pPr>
            <w:r w:rsidRPr="008156F3">
              <w:t>2.</w:t>
            </w:r>
            <w:r w:rsidR="00BA5A47">
              <w:t>9</w:t>
            </w:r>
          </w:p>
        </w:tc>
      </w:tr>
      <w:tr w:rsidR="008156F3" w:rsidRPr="002C4B0D" w:rsidTr="0035326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8156F3">
            <w:r w:rsidRPr="008156F3">
              <w:t xml:space="preserve"> Other - non IT </w:t>
            </w:r>
          </w:p>
        </w:tc>
        <w:tc>
          <w:tcPr>
            <w:tcW w:w="1985" w:type="dxa"/>
            <w:noWrap/>
            <w:vAlign w:val="bottom"/>
          </w:tcPr>
          <w:p w:rsidR="008156F3" w:rsidRPr="008156F3" w:rsidRDefault="008156F3" w:rsidP="008156F3">
            <w:pPr>
              <w:cnfStyle w:val="000000010000" w:firstRow="0" w:lastRow="0" w:firstColumn="0" w:lastColumn="0" w:oddVBand="0" w:evenVBand="0" w:oddHBand="0" w:evenHBand="1" w:firstRowFirstColumn="0" w:firstRowLastColumn="0" w:lastRowFirstColumn="0" w:lastRowLastColumn="0"/>
            </w:pPr>
            <w:r w:rsidRPr="008156F3">
              <w:t>4</w:t>
            </w:r>
          </w:p>
        </w:tc>
        <w:tc>
          <w:tcPr>
            <w:tcW w:w="3783" w:type="dxa"/>
            <w:noWrap/>
            <w:vAlign w:val="bottom"/>
          </w:tcPr>
          <w:p w:rsidR="008156F3" w:rsidRPr="008156F3" w:rsidRDefault="00BA5A47" w:rsidP="008156F3">
            <w:pPr>
              <w:cnfStyle w:val="000000010000" w:firstRow="0" w:lastRow="0" w:firstColumn="0" w:lastColumn="0" w:oddVBand="0" w:evenVBand="0" w:oddHBand="0" w:evenHBand="1" w:firstRowFirstColumn="0" w:firstRowLastColumn="0" w:lastRowFirstColumn="0" w:lastRowLastColumn="0"/>
            </w:pPr>
            <w:r>
              <w:t>3.0</w:t>
            </w:r>
          </w:p>
        </w:tc>
      </w:tr>
      <w:tr w:rsidR="008156F3" w:rsidRPr="002C4B0D" w:rsidTr="0035326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156F3" w:rsidRPr="008156F3" w:rsidRDefault="008156F3" w:rsidP="008156F3">
            <w:r w:rsidRPr="008156F3">
              <w:t xml:space="preserve"> Land </w:t>
            </w:r>
          </w:p>
        </w:tc>
        <w:tc>
          <w:tcPr>
            <w:tcW w:w="1985" w:type="dxa"/>
            <w:noWrap/>
            <w:vAlign w:val="bottom"/>
          </w:tcPr>
          <w:p w:rsidR="008156F3" w:rsidRPr="008156F3" w:rsidRDefault="008156F3">
            <w:pPr>
              <w:cnfStyle w:val="000000000000" w:firstRow="0" w:lastRow="0" w:firstColumn="0" w:lastColumn="0" w:oddVBand="0" w:evenVBand="0" w:oddHBand="0" w:evenHBand="0" w:firstRowFirstColumn="0" w:firstRowLastColumn="0" w:lastRowFirstColumn="0" w:lastRowLastColumn="0"/>
            </w:pPr>
            <w:r w:rsidRPr="008156F3">
              <w:t>n/a</w:t>
            </w:r>
          </w:p>
        </w:tc>
        <w:tc>
          <w:tcPr>
            <w:tcW w:w="3783" w:type="dxa"/>
            <w:noWrap/>
            <w:vAlign w:val="bottom"/>
          </w:tcPr>
          <w:p w:rsidR="008156F3" w:rsidRPr="008156F3" w:rsidRDefault="008156F3">
            <w:pPr>
              <w:cnfStyle w:val="000000000000" w:firstRow="0" w:lastRow="0" w:firstColumn="0" w:lastColumn="0" w:oddVBand="0" w:evenVBand="0" w:oddHBand="0" w:evenHBand="0" w:firstRowFirstColumn="0" w:firstRowLastColumn="0" w:lastRowFirstColumn="0" w:lastRowLastColumn="0"/>
            </w:pPr>
            <w:r w:rsidRPr="008156F3">
              <w:t>n/a</w:t>
            </w:r>
          </w:p>
        </w:tc>
      </w:tr>
      <w:tr w:rsidR="004A7A86" w:rsidRPr="002C4B0D" w:rsidTr="00D4548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4A7A86" w:rsidRPr="008156F3" w:rsidRDefault="00B6099C" w:rsidP="008156F3">
            <w:r>
              <w:t>Equity raising costs</w:t>
            </w:r>
          </w:p>
        </w:tc>
        <w:tc>
          <w:tcPr>
            <w:tcW w:w="1985" w:type="dxa"/>
            <w:noWrap/>
            <w:vAlign w:val="bottom"/>
          </w:tcPr>
          <w:p w:rsidR="004A7A86" w:rsidRPr="008156F3" w:rsidRDefault="00B6099C" w:rsidP="00B6099C">
            <w:pPr>
              <w:cnfStyle w:val="000000010000" w:firstRow="0" w:lastRow="0" w:firstColumn="0" w:lastColumn="0" w:oddVBand="0" w:evenVBand="0" w:oddHBand="0" w:evenHBand="1" w:firstRowFirstColumn="0" w:firstRowLastColumn="0" w:lastRowFirstColumn="0" w:lastRowLastColumn="0"/>
            </w:pPr>
            <w:r>
              <w:t>5</w:t>
            </w:r>
          </w:p>
        </w:tc>
        <w:tc>
          <w:tcPr>
            <w:tcW w:w="3783" w:type="dxa"/>
            <w:noWrap/>
            <w:vAlign w:val="bottom"/>
          </w:tcPr>
          <w:p w:rsidR="004A7A86" w:rsidRPr="008156F3" w:rsidRDefault="00B6099C">
            <w:pPr>
              <w:cnfStyle w:val="000000010000" w:firstRow="0" w:lastRow="0" w:firstColumn="0" w:lastColumn="0" w:oddVBand="0" w:evenVBand="0" w:oddHBand="0" w:evenHBand="1" w:firstRowFirstColumn="0" w:firstRowLastColumn="0" w:lastRowFirstColumn="0" w:lastRowLastColumn="0"/>
            </w:pPr>
            <w:r>
              <w:t>n/a</w:t>
            </w:r>
          </w:p>
        </w:tc>
      </w:tr>
    </w:tbl>
    <w:p w:rsidR="00247199" w:rsidRDefault="00247199" w:rsidP="00247199">
      <w:pPr>
        <w:pStyle w:val="AERtablesource"/>
      </w:pPr>
      <w:r w:rsidRPr="00EA0E36">
        <w:t xml:space="preserve">Source: </w:t>
      </w:r>
      <w:r w:rsidRPr="00EA0E36">
        <w:tab/>
        <w:t>AER analysis.</w:t>
      </w:r>
    </w:p>
    <w:p w:rsidR="00247199" w:rsidRPr="00E9501C" w:rsidRDefault="00247199" w:rsidP="00247199">
      <w:pPr>
        <w:pStyle w:val="AERtablesource"/>
      </w:pPr>
      <w:proofErr w:type="gramStart"/>
      <w:r w:rsidRPr="00EA0E36">
        <w:t>n/a</w:t>
      </w:r>
      <w:proofErr w:type="gramEnd"/>
      <w:r w:rsidRPr="00EA0E36">
        <w:tab/>
        <w:t>Not applicable.</w:t>
      </w:r>
    </w:p>
    <w:p w:rsidR="00D5015C" w:rsidRDefault="00D5015C" w:rsidP="00D5015C">
      <w:pPr>
        <w:pStyle w:val="Heading2"/>
      </w:pPr>
      <w:bookmarkStart w:id="120" w:name="_Toc486840711"/>
      <w:r>
        <w:t>Revisions</w:t>
      </w:r>
      <w:bookmarkEnd w:id="120"/>
    </w:p>
    <w:p w:rsidR="00553A82" w:rsidRDefault="00247199" w:rsidP="00247199">
      <w:r>
        <w:rPr>
          <w:rStyle w:val="AERbody"/>
        </w:rPr>
        <w:t>We</w:t>
      </w:r>
      <w:r w:rsidRPr="00407443">
        <w:rPr>
          <w:rStyle w:val="AERbody"/>
        </w:rPr>
        <w:t xml:space="preserve"> require the following revisions to make the access arrangement proposal acceptable</w:t>
      </w:r>
      <w:r w:rsidRPr="00407443">
        <w:t>:</w:t>
      </w:r>
    </w:p>
    <w:tbl>
      <w:tblPr>
        <w:tblStyle w:val="AERtable-text0"/>
        <w:tblW w:w="0" w:type="auto"/>
        <w:tblLook w:val="04A0" w:firstRow="1" w:lastRow="0" w:firstColumn="1" w:lastColumn="0" w:noHBand="0" w:noVBand="1"/>
      </w:tblPr>
      <w:tblGrid>
        <w:gridCol w:w="1809"/>
        <w:gridCol w:w="6884"/>
      </w:tblGrid>
      <w:tr w:rsidR="00553A82" w:rsidTr="00384A49">
        <w:trPr>
          <w:cnfStyle w:val="100000000000" w:firstRow="1" w:lastRow="0" w:firstColumn="0" w:lastColumn="0" w:oddVBand="0" w:evenVBand="0" w:oddHBand="0" w:evenHBand="0" w:firstRowFirstColumn="0" w:firstRowLastColumn="0" w:lastRowFirstColumn="0" w:lastRowLastColumn="0"/>
        </w:trPr>
        <w:tc>
          <w:tcPr>
            <w:tcW w:w="1809" w:type="dxa"/>
          </w:tcPr>
          <w:p w:rsidR="00553A82" w:rsidRDefault="00553A82" w:rsidP="00247199"/>
        </w:tc>
        <w:tc>
          <w:tcPr>
            <w:tcW w:w="6884" w:type="dxa"/>
          </w:tcPr>
          <w:p w:rsidR="00553A82" w:rsidRDefault="00553A82" w:rsidP="00247199"/>
        </w:tc>
      </w:tr>
      <w:tr w:rsidR="00553A82" w:rsidTr="00384A49">
        <w:tc>
          <w:tcPr>
            <w:tcW w:w="1809" w:type="dxa"/>
          </w:tcPr>
          <w:p w:rsidR="00553A82" w:rsidRDefault="00553A82" w:rsidP="00247199">
            <w:r w:rsidRPr="00942390">
              <w:rPr>
                <w:rStyle w:val="Strong"/>
              </w:rPr>
              <w:t>Revision 8.1</w:t>
            </w:r>
          </w:p>
        </w:tc>
        <w:tc>
          <w:tcPr>
            <w:tcW w:w="6884" w:type="dxa"/>
          </w:tcPr>
          <w:p w:rsidR="00553A82" w:rsidRPr="001C55C1" w:rsidRDefault="00553A82" w:rsidP="001C55C1">
            <w:r w:rsidRPr="001C55C1">
              <w:t xml:space="preserve">Make all necessary amendments to reflect this draft decision on the proposed corporate income tax allowance for the 2018–22 access arrangement </w:t>
            </w:r>
            <w:proofErr w:type="gramStart"/>
            <w:r w:rsidRPr="001C55C1">
              <w:t>period</w:t>
            </w:r>
            <w:proofErr w:type="gramEnd"/>
            <w:r w:rsidRPr="001C55C1">
              <w:t xml:space="preserve">, as set out in </w:t>
            </w:r>
            <w:r w:rsidRPr="001C55C1">
              <w:fldChar w:fldCharType="begin"/>
            </w:r>
            <w:r w:rsidRPr="001C55C1">
              <w:instrText xml:space="preserve"> REF _Ref477520791 \h </w:instrText>
            </w:r>
            <w:r w:rsidRPr="00384A49">
              <w:instrText xml:space="preserve"> \* MERGEFORMAT </w:instrText>
            </w:r>
            <w:r w:rsidRPr="001C55C1">
              <w:fldChar w:fldCharType="separate"/>
            </w:r>
            <w:r w:rsidR="00B55396">
              <w:t>Table 8.1</w:t>
            </w:r>
            <w:r w:rsidRPr="001C55C1">
              <w:fldChar w:fldCharType="end"/>
            </w:r>
            <w:r w:rsidRPr="001C55C1">
              <w:t>.</w:t>
            </w:r>
          </w:p>
        </w:tc>
      </w:tr>
      <w:tr w:rsidR="00553A82" w:rsidTr="00384A49">
        <w:trPr>
          <w:cnfStyle w:val="000000010000" w:firstRow="0" w:lastRow="0" w:firstColumn="0" w:lastColumn="0" w:oddVBand="0" w:evenVBand="0" w:oddHBand="0" w:evenHBand="1" w:firstRowFirstColumn="0" w:firstRowLastColumn="0" w:lastRowFirstColumn="0" w:lastRowLastColumn="0"/>
        </w:trPr>
        <w:tc>
          <w:tcPr>
            <w:tcW w:w="1809" w:type="dxa"/>
          </w:tcPr>
          <w:p w:rsidR="00553A82" w:rsidRDefault="00553A82" w:rsidP="00247199">
            <w:r w:rsidRPr="0092615F">
              <w:rPr>
                <w:rStyle w:val="Strong"/>
              </w:rPr>
              <w:t>Revision 8.2</w:t>
            </w:r>
          </w:p>
        </w:tc>
        <w:tc>
          <w:tcPr>
            <w:tcW w:w="6884" w:type="dxa"/>
          </w:tcPr>
          <w:p w:rsidR="00553A82" w:rsidRPr="00384A49" w:rsidRDefault="00553A82" w:rsidP="00384A49">
            <w:r w:rsidRPr="00384A49">
              <w:t xml:space="preserve">Make all necessary amendments to reflect this draft decision on the opening tax asset base as at 1 January 2018, as set out in </w:t>
            </w:r>
            <w:r w:rsidRPr="00384A49">
              <w:fldChar w:fldCharType="begin"/>
            </w:r>
            <w:r w:rsidRPr="00384A49">
              <w:instrText xml:space="preserve"> REF _Ref477521408 \h  \* MERGEFORMAT </w:instrText>
            </w:r>
            <w:r w:rsidRPr="00384A49">
              <w:fldChar w:fldCharType="separate"/>
            </w:r>
            <w:r w:rsidR="00B55396">
              <w:t>Table 8.4</w:t>
            </w:r>
            <w:r w:rsidRPr="00384A49">
              <w:fldChar w:fldCharType="end"/>
            </w:r>
            <w:r w:rsidRPr="00384A49">
              <w:t>.</w:t>
            </w:r>
          </w:p>
        </w:tc>
      </w:tr>
      <w:tr w:rsidR="00553A82" w:rsidTr="00384A49">
        <w:tc>
          <w:tcPr>
            <w:tcW w:w="1809" w:type="dxa"/>
          </w:tcPr>
          <w:p w:rsidR="00553A82" w:rsidRDefault="00553A82" w:rsidP="00247199">
            <w:r w:rsidRPr="00B423EE">
              <w:rPr>
                <w:rStyle w:val="Strong"/>
              </w:rPr>
              <w:t>Revision 8.3</w:t>
            </w:r>
          </w:p>
        </w:tc>
        <w:tc>
          <w:tcPr>
            <w:tcW w:w="6884" w:type="dxa"/>
          </w:tcPr>
          <w:p w:rsidR="00553A82" w:rsidRPr="00384A49" w:rsidRDefault="00553A82" w:rsidP="00384A49">
            <w:r w:rsidRPr="00384A49">
              <w:t xml:space="preserve">Make all necessary amendments to reflect this draft decision on the remaining tax asset lives for the 2018–22 access arrangement </w:t>
            </w:r>
            <w:proofErr w:type="gramStart"/>
            <w:r w:rsidRPr="00384A49">
              <w:t>period</w:t>
            </w:r>
            <w:proofErr w:type="gramEnd"/>
            <w:r w:rsidRPr="00384A49">
              <w:t xml:space="preserve">, as set out in </w:t>
            </w:r>
            <w:r w:rsidRPr="00384A49">
              <w:fldChar w:fldCharType="begin"/>
            </w:r>
            <w:r w:rsidRPr="00384A49">
              <w:instrText xml:space="preserve"> REF _Ref477521435 \h  \* MERGEFORMAT </w:instrText>
            </w:r>
            <w:r w:rsidRPr="00384A49">
              <w:fldChar w:fldCharType="separate"/>
            </w:r>
            <w:r w:rsidR="00B55396">
              <w:t>Table 8.5</w:t>
            </w:r>
            <w:r w:rsidRPr="00384A49">
              <w:fldChar w:fldCharType="end"/>
            </w:r>
            <w:r w:rsidRPr="00384A49">
              <w:t>.</w:t>
            </w:r>
          </w:p>
        </w:tc>
      </w:tr>
    </w:tbl>
    <w:p w:rsidR="00247199" w:rsidRDefault="00247199" w:rsidP="00B82521">
      <w:bookmarkStart w:id="121" w:name="_GoBack"/>
      <w:bookmarkEnd w:id="121"/>
    </w:p>
    <w:sectPr w:rsidR="00247199"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2E" w:rsidRPr="00290C63" w:rsidRDefault="003C152E" w:rsidP="00290C63">
      <w:r>
        <w:separator/>
      </w:r>
    </w:p>
    <w:p w:rsidR="003C152E" w:rsidRDefault="003C152E"/>
  </w:endnote>
  <w:endnote w:type="continuationSeparator" w:id="0">
    <w:p w:rsidR="003C152E" w:rsidRPr="00290C63" w:rsidRDefault="003C152E" w:rsidP="00290C63">
      <w:r>
        <w:continuationSeparator/>
      </w:r>
    </w:p>
    <w:p w:rsidR="003C152E" w:rsidRDefault="003C1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2E" w:rsidRPr="00290C63" w:rsidRDefault="003C152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C152E" w:rsidRDefault="003C152E"/>
  <w:p w:rsidR="003C152E" w:rsidRDefault="003C152E"/>
  <w:p w:rsidR="003C152E" w:rsidRDefault="003C152E"/>
  <w:p w:rsidR="003C152E" w:rsidRDefault="003C152E"/>
  <w:p w:rsidR="003C152E" w:rsidRDefault="003C152E"/>
  <w:p w:rsidR="003C152E" w:rsidRDefault="003C152E"/>
  <w:p w:rsidR="003C152E" w:rsidRDefault="003C15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C152E" w:rsidRPr="009B6F84" w:rsidRDefault="003C152E">
        <w:pPr>
          <w:pStyle w:val="Footer"/>
          <w:rPr>
            <w:sz w:val="20"/>
          </w:rPr>
        </w:pPr>
        <w:r>
          <w:fldChar w:fldCharType="begin"/>
        </w:r>
        <w:r>
          <w:instrText xml:space="preserve"> PAGE   \* MERGEFORMAT </w:instrText>
        </w:r>
        <w:r>
          <w:fldChar w:fldCharType="separate"/>
        </w:r>
        <w:r w:rsidR="00B55396">
          <w:rPr>
            <w:noProof/>
          </w:rPr>
          <w:t>8-0</w:t>
        </w:r>
        <w:r>
          <w:rPr>
            <w:noProof/>
          </w:rPr>
          <w:fldChar w:fldCharType="end"/>
        </w:r>
        <w:r>
          <w:rPr>
            <w:noProof/>
          </w:rPr>
          <w:t xml:space="preserve">          </w:t>
        </w:r>
        <w:r>
          <w:t xml:space="preserve">Attachment 8 </w:t>
        </w:r>
        <w:r w:rsidRPr="000474DF">
          <w:t>−</w:t>
        </w:r>
        <w:r>
          <w:t xml:space="preserve"> Corporate income tax</w:t>
        </w:r>
        <w:r w:rsidRPr="009B6F84">
          <w:rPr>
            <w:rFonts w:cs="Gautami"/>
            <w:noProof/>
            <w:szCs w:val="16"/>
          </w:rPr>
          <w:t xml:space="preserve"> | </w:t>
        </w:r>
        <w:r>
          <w:t>Draft decision - AusNet Services gas access arrangement</w:t>
        </w:r>
        <w:r w:rsidRPr="00D5015C">
          <w:t xml:space="preserve"> 201</w:t>
        </w:r>
        <w:r>
          <w:t>8</w:t>
        </w:r>
        <w:r w:rsidRPr="00D5015C">
          <w:t>–</w:t>
        </w:r>
        <w:r>
          <w:t>22</w:t>
        </w:r>
      </w:p>
    </w:sdtContent>
  </w:sdt>
  <w:p w:rsidR="003C152E" w:rsidRDefault="003C15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2E" w:rsidRPr="00290C63" w:rsidRDefault="003C152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C152E" w:rsidRDefault="003C152E">
    <w:pPr>
      <w:pStyle w:val="Footer"/>
    </w:pPr>
  </w:p>
  <w:p w:rsidR="003C152E" w:rsidRDefault="003C152E"/>
  <w:p w:rsidR="003C152E" w:rsidRDefault="003C152E"/>
  <w:p w:rsidR="003C152E" w:rsidRDefault="003C152E"/>
  <w:p w:rsidR="003C152E" w:rsidRDefault="003C152E"/>
  <w:p w:rsidR="003C152E" w:rsidRDefault="003C152E"/>
  <w:p w:rsidR="003C152E" w:rsidRDefault="003C152E"/>
  <w:p w:rsidR="003C152E" w:rsidRDefault="003C152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2E" w:rsidRPr="00290C63" w:rsidRDefault="003C152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C152E" w:rsidRDefault="003C152E"/>
  <w:p w:rsidR="003C152E" w:rsidRDefault="003C152E"/>
  <w:p w:rsidR="003C152E" w:rsidRDefault="003C152E"/>
  <w:p w:rsidR="003C152E" w:rsidRDefault="003C152E"/>
  <w:p w:rsidR="003C152E" w:rsidRDefault="003C152E"/>
  <w:p w:rsidR="003C152E" w:rsidRDefault="003C152E"/>
  <w:p w:rsidR="003C152E" w:rsidRDefault="003C15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3C152E" w:rsidRPr="009B6F84" w:rsidRDefault="003C152E">
        <w:pPr>
          <w:pStyle w:val="Footer"/>
          <w:rPr>
            <w:sz w:val="20"/>
          </w:rPr>
        </w:pPr>
        <w:r>
          <w:fldChar w:fldCharType="begin"/>
        </w:r>
        <w:r>
          <w:instrText xml:space="preserve"> PAGE   \* MERGEFORMAT </w:instrText>
        </w:r>
        <w:r>
          <w:fldChar w:fldCharType="separate"/>
        </w:r>
        <w:r w:rsidR="00B55396">
          <w:rPr>
            <w:noProof/>
          </w:rPr>
          <w:t>8-14</w:t>
        </w:r>
        <w:r>
          <w:rPr>
            <w:noProof/>
          </w:rPr>
          <w:fldChar w:fldCharType="end"/>
        </w:r>
        <w:r>
          <w:rPr>
            <w:noProof/>
          </w:rPr>
          <w:t xml:space="preserve">          </w:t>
        </w:r>
        <w:r>
          <w:t>Attachment 8 – Corporate income tax</w:t>
        </w:r>
        <w:r w:rsidRPr="00D5015C">
          <w:t xml:space="preserve"> | </w:t>
        </w:r>
        <w:r>
          <w:t>Draft decision - AusNet Services gas access arrangement</w:t>
        </w:r>
        <w:r w:rsidRPr="00D5015C">
          <w:t xml:space="preserve"> 201</w:t>
        </w:r>
        <w:r>
          <w:t>8</w:t>
        </w:r>
        <w:r w:rsidRPr="00D5015C">
          <w:t>–</w:t>
        </w:r>
        <w:r>
          <w:t>22</w:t>
        </w:r>
      </w:p>
    </w:sdtContent>
  </w:sdt>
  <w:p w:rsidR="003C152E" w:rsidRDefault="003C15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2E" w:rsidRPr="00290C63" w:rsidRDefault="003C152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C152E" w:rsidRDefault="003C152E">
    <w:pPr>
      <w:pStyle w:val="Footer"/>
    </w:pPr>
  </w:p>
  <w:p w:rsidR="003C152E" w:rsidRDefault="003C152E"/>
  <w:p w:rsidR="003C152E" w:rsidRDefault="003C152E"/>
  <w:p w:rsidR="003C152E" w:rsidRDefault="003C152E"/>
  <w:p w:rsidR="003C152E" w:rsidRDefault="003C152E"/>
  <w:p w:rsidR="003C152E" w:rsidRDefault="003C152E"/>
  <w:p w:rsidR="003C152E" w:rsidRDefault="003C152E"/>
  <w:p w:rsidR="003C152E" w:rsidRDefault="003C1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2E" w:rsidRPr="00290C63" w:rsidRDefault="003C152E" w:rsidP="00290C63">
      <w:r>
        <w:separator/>
      </w:r>
    </w:p>
    <w:p w:rsidR="003C152E" w:rsidRDefault="003C152E"/>
  </w:footnote>
  <w:footnote w:type="continuationSeparator" w:id="0">
    <w:p w:rsidR="003C152E" w:rsidRPr="00290C63" w:rsidRDefault="003C152E" w:rsidP="00290C63">
      <w:r>
        <w:continuationSeparator/>
      </w:r>
    </w:p>
    <w:p w:rsidR="003C152E" w:rsidRDefault="003C152E"/>
  </w:footnote>
  <w:footnote w:id="1">
    <w:p w:rsidR="003C152E" w:rsidRDefault="003C152E" w:rsidP="009F38B5">
      <w:pPr>
        <w:pStyle w:val="FootnoteText"/>
      </w:pPr>
      <w:r>
        <w:rPr>
          <w:rStyle w:val="FootnoteReference"/>
        </w:rPr>
        <w:footnoteRef/>
      </w:r>
      <w:r>
        <w:t xml:space="preserve"> </w:t>
      </w:r>
      <w:r>
        <w:tab/>
        <w:t>NGR, r. 76(c).</w:t>
      </w:r>
    </w:p>
  </w:footnote>
  <w:footnote w:id="2">
    <w:p w:rsidR="003C152E" w:rsidRDefault="003C152E" w:rsidP="009F38B5">
      <w:pPr>
        <w:pStyle w:val="FootnoteText"/>
      </w:pPr>
      <w:r>
        <w:rPr>
          <w:rStyle w:val="FootnoteReference"/>
        </w:rPr>
        <w:footnoteRef/>
      </w:r>
      <w:r>
        <w:t xml:space="preserve"> </w:t>
      </w:r>
      <w:r>
        <w:tab/>
        <w:t>AusNet</w:t>
      </w:r>
      <w:r w:rsidRPr="00F406F0">
        <w:t xml:space="preserve">, </w:t>
      </w:r>
      <w:r w:rsidRPr="00F406F0">
        <w:rPr>
          <w:rStyle w:val="AERtextitalic"/>
        </w:rPr>
        <w:t>Access arrangement information</w:t>
      </w:r>
      <w:r>
        <w:rPr>
          <w:rStyle w:val="AERtextitalic"/>
        </w:rPr>
        <w:t xml:space="preserve"> 2018-2022</w:t>
      </w:r>
      <w:r w:rsidRPr="00F406F0">
        <w:t xml:space="preserve">, </w:t>
      </w:r>
      <w:r>
        <w:t>December 2016</w:t>
      </w:r>
      <w:r w:rsidRPr="00F406F0">
        <w:t xml:space="preserve">, p. </w:t>
      </w:r>
      <w:r>
        <w:t>256.</w:t>
      </w:r>
    </w:p>
  </w:footnote>
  <w:footnote w:id="3">
    <w:p w:rsidR="003C152E" w:rsidRDefault="003C152E" w:rsidP="009F38B5">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AusNet</w:t>
      </w:r>
      <w:r w:rsidRPr="00167CF1">
        <w:t>'s forecast capex.</w:t>
      </w:r>
    </w:p>
  </w:footnote>
  <w:footnote w:id="4">
    <w:p w:rsidR="003C152E" w:rsidRDefault="003C152E" w:rsidP="009F38B5">
      <w:pPr>
        <w:pStyle w:val="FootnoteText"/>
      </w:pPr>
      <w:r>
        <w:rPr>
          <w:rStyle w:val="FootnoteReference"/>
        </w:rPr>
        <w:footnoteRef/>
      </w:r>
      <w:r>
        <w:t xml:space="preserve"> </w:t>
      </w:r>
      <w:r>
        <w:tab/>
        <w:t>The changes affecting revenues are discussed in the overview.</w:t>
      </w:r>
    </w:p>
  </w:footnote>
  <w:footnote w:id="5">
    <w:p w:rsidR="003C152E" w:rsidRDefault="003C152E" w:rsidP="009F38B5">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6">
    <w:p w:rsidR="003C152E" w:rsidRDefault="003C152E" w:rsidP="006E16AA">
      <w:pPr>
        <w:pStyle w:val="FootnoteText"/>
      </w:pPr>
      <w:r>
        <w:rPr>
          <w:rStyle w:val="FootnoteReference"/>
        </w:rPr>
        <w:footnoteRef/>
      </w:r>
      <w:r>
        <w:t xml:space="preserve"> </w:t>
      </w:r>
      <w:r>
        <w:tab/>
        <w:t xml:space="preserve">AusNet, </w:t>
      </w:r>
      <w:r w:rsidRPr="00B82521">
        <w:rPr>
          <w:rStyle w:val="AERtextitalic"/>
        </w:rPr>
        <w:t>Distribution GAAR</w:t>
      </w:r>
      <w:r>
        <w:t xml:space="preserve"> </w:t>
      </w:r>
      <w:r w:rsidRPr="00085E33">
        <w:rPr>
          <w:rStyle w:val="AERtextitalic"/>
        </w:rPr>
        <w:t>Proposed</w:t>
      </w:r>
      <w:r w:rsidRPr="004B2CE8">
        <w:rPr>
          <w:rStyle w:val="AERtextitalic"/>
        </w:rPr>
        <w:t xml:space="preserve"> PTRM</w:t>
      </w:r>
      <w:r>
        <w:rPr>
          <w:rStyle w:val="AERtextitalic"/>
        </w:rPr>
        <w:t xml:space="preserve">, </w:t>
      </w:r>
      <w:r w:rsidRPr="00184297">
        <w:rPr>
          <w:rStyle w:val="AERtextitalic"/>
          <w:i w:val="0"/>
        </w:rPr>
        <w:t>December 2016</w:t>
      </w:r>
      <w:r>
        <w:rPr>
          <w:rStyle w:val="AERtextitalic"/>
        </w:rPr>
        <w:t>.</w:t>
      </w:r>
    </w:p>
  </w:footnote>
  <w:footnote w:id="7">
    <w:p w:rsidR="003C152E" w:rsidRPr="00956453" w:rsidRDefault="003C152E" w:rsidP="00967BCE">
      <w:pPr>
        <w:pStyle w:val="FootnoteText"/>
        <w:rPr>
          <w:rStyle w:val="AERtextsize8"/>
        </w:rPr>
      </w:pPr>
      <w:r>
        <w:rPr>
          <w:rStyle w:val="FootnoteReference"/>
        </w:rPr>
        <w:footnoteRef/>
      </w:r>
      <w:r>
        <w:t xml:space="preserve"> </w:t>
      </w:r>
      <w:r>
        <w:tab/>
        <w:t xml:space="preserve">AusNet, </w:t>
      </w:r>
      <w:r w:rsidRPr="004B2CE8">
        <w:rPr>
          <w:rStyle w:val="AERtextitalic"/>
        </w:rPr>
        <w:t>Access arrangement information</w:t>
      </w:r>
      <w:r>
        <w:rPr>
          <w:rStyle w:val="AERtextitalic"/>
        </w:rPr>
        <w:t xml:space="preserve"> 2018-22</w:t>
      </w:r>
      <w:r>
        <w:t>, December 2016,</w:t>
      </w:r>
      <w:r w:rsidRPr="00967BCE">
        <w:rPr>
          <w:rStyle w:val="AERtextitalic"/>
        </w:rPr>
        <w:t xml:space="preserve"> </w:t>
      </w:r>
      <w:r w:rsidRPr="00956453">
        <w:rPr>
          <w:rStyle w:val="AERtextsize8"/>
        </w:rPr>
        <w:t>pp.</w:t>
      </w:r>
      <w:r w:rsidRPr="00967BCE">
        <w:rPr>
          <w:rStyle w:val="AERtextitalic"/>
        </w:rPr>
        <w:t xml:space="preserve"> </w:t>
      </w:r>
      <w:r w:rsidRPr="00956453">
        <w:rPr>
          <w:rStyle w:val="AERtextsize8"/>
        </w:rPr>
        <w:t>254</w:t>
      </w:r>
      <w:r>
        <w:rPr>
          <w:rStyle w:val="AERtextsize8"/>
        </w:rPr>
        <w:t>–</w:t>
      </w:r>
      <w:r w:rsidRPr="00956453">
        <w:rPr>
          <w:rStyle w:val="AERtextsize8"/>
        </w:rPr>
        <w:t>256</w:t>
      </w:r>
      <w:r>
        <w:rPr>
          <w:rStyle w:val="AERtextsize8"/>
        </w:rPr>
        <w:t>.</w:t>
      </w:r>
    </w:p>
  </w:footnote>
  <w:footnote w:id="8">
    <w:p w:rsidR="003C152E" w:rsidRDefault="003C152E" w:rsidP="008469B8">
      <w:pPr>
        <w:pStyle w:val="FootnoteText"/>
      </w:pPr>
      <w:r>
        <w:rPr>
          <w:rStyle w:val="FootnoteReference"/>
        </w:rPr>
        <w:footnoteRef/>
      </w:r>
      <w:r>
        <w:t xml:space="preserve"> </w:t>
      </w:r>
      <w:r>
        <w:tab/>
      </w:r>
      <w:proofErr w:type="gramStart"/>
      <w:r>
        <w:t>NGR, r. 76(c).</w:t>
      </w:r>
      <w:proofErr w:type="gramEnd"/>
    </w:p>
  </w:footnote>
  <w:footnote w:id="9">
    <w:p w:rsidR="003C152E" w:rsidRDefault="003C152E" w:rsidP="008469B8">
      <w:pPr>
        <w:pStyle w:val="FootnoteText"/>
      </w:pPr>
      <w:r>
        <w:rPr>
          <w:rStyle w:val="FootnoteReference"/>
        </w:rPr>
        <w:footnoteRef/>
      </w:r>
      <w:r>
        <w:t xml:space="preserve"> </w:t>
      </w:r>
      <w:r>
        <w:tab/>
        <w:t>NGL, s.</w:t>
      </w:r>
      <w:r w:rsidRPr="002E5E36">
        <w:rPr>
          <w:rFonts w:eastAsia="Calibri"/>
        </w:rPr>
        <w:t xml:space="preserve"> 28; NGR</w:t>
      </w:r>
      <w:r>
        <w:rPr>
          <w:rFonts w:eastAsia="Calibri"/>
        </w:rPr>
        <w:t>,</w:t>
      </w:r>
      <w:r w:rsidRPr="002E5E36">
        <w:rPr>
          <w:rFonts w:eastAsia="Calibri"/>
        </w:rPr>
        <w:t xml:space="preserve"> r. 100(1). The NGO is set out in NGL, s. 23. The revenue and pricing principles are set out in NGL, s. 24.</w:t>
      </w:r>
    </w:p>
  </w:footnote>
  <w:footnote w:id="10">
    <w:p w:rsidR="003C152E" w:rsidRDefault="003C152E" w:rsidP="00211C0D">
      <w:pPr>
        <w:pStyle w:val="FootnoteText"/>
      </w:pPr>
      <w:r>
        <w:rPr>
          <w:rStyle w:val="FootnoteReference"/>
        </w:rPr>
        <w:footnoteRef/>
      </w:r>
      <w:r>
        <w:t xml:space="preserve"> </w:t>
      </w:r>
      <w:r>
        <w:tab/>
        <w:t>NGR, r. 74(2).</w:t>
      </w:r>
    </w:p>
  </w:footnote>
  <w:footnote w:id="11">
    <w:p w:rsidR="003C152E" w:rsidRPr="00D84948" w:rsidRDefault="003C152E" w:rsidP="008469B8">
      <w:pPr>
        <w:pStyle w:val="FootnoteText"/>
        <w:rPr>
          <w:szCs w:val="16"/>
        </w:rPr>
      </w:pPr>
      <w:r>
        <w:rPr>
          <w:rStyle w:val="FootnoteReference"/>
        </w:rPr>
        <w:footnoteRef/>
      </w:r>
      <w:r>
        <w:t xml:space="preserve"> </w:t>
      </w:r>
      <w:r>
        <w:tab/>
        <w:t xml:space="preserve">Australian Taxation Office, </w:t>
      </w:r>
      <w:r w:rsidRPr="00896D81">
        <w:rPr>
          <w:rStyle w:val="AERtextitalic"/>
        </w:rPr>
        <w:t xml:space="preserve">Taxation Ruling Income tax: effective life of depreciating assets (applicable from 1 July </w:t>
      </w:r>
      <w:r>
        <w:rPr>
          <w:rStyle w:val="AERtextitalic"/>
        </w:rPr>
        <w:t>2016</w:t>
      </w:r>
      <w:r w:rsidRPr="00896D81">
        <w:rPr>
          <w:rStyle w:val="AERtextitalic"/>
        </w:rPr>
        <w:t>)</w:t>
      </w:r>
      <w:r>
        <w:t xml:space="preserve">: </w:t>
      </w:r>
      <w:hyperlink r:id="rId1" w:history="1">
        <w:r w:rsidRPr="00A97CA0">
          <w:rPr>
            <w:rStyle w:val="Hyperlink"/>
            <w:sz w:val="16"/>
          </w:rPr>
          <w:t>https://www.ato.gov.au/law/view/view.htm?docid=%22TXR%2FTR20161%2FNAT%2FATO%2F00001%22</w:t>
        </w:r>
      </w:hyperlink>
      <w:r>
        <w:t xml:space="preserve"> accessed 9 March 2017.</w:t>
      </w:r>
    </w:p>
  </w:footnote>
  <w:footnote w:id="12">
    <w:p w:rsidR="003C152E" w:rsidRDefault="003C152E" w:rsidP="008469B8">
      <w:pPr>
        <w:pStyle w:val="FootnoteText"/>
      </w:pPr>
      <w:r>
        <w:rPr>
          <w:rStyle w:val="FootnoteReference"/>
        </w:rPr>
        <w:footnoteRef/>
      </w:r>
      <w:r>
        <w:t xml:space="preserve"> </w:t>
      </w:r>
      <w:r>
        <w:tab/>
      </w:r>
      <w:r w:rsidRPr="005F273A">
        <w:t xml:space="preserve">AER, </w:t>
      </w:r>
      <w:r w:rsidRPr="0009337F">
        <w:rPr>
          <w:rStyle w:val="AERtextitalic"/>
        </w:rPr>
        <w:t>Draft decision, Ausgrid distribution determination 2015–16 to 2018–19, Attachment 8: Corporate income tax</w:t>
      </w:r>
      <w:r w:rsidRPr="005F273A">
        <w:t>,</w:t>
      </w:r>
      <w:r>
        <w:t xml:space="preserve"> </w:t>
      </w:r>
      <w:r w:rsidRPr="005F273A">
        <w:t>November 2014, pp. 17</w:t>
      </w:r>
      <w:r>
        <w:t>–</w:t>
      </w:r>
      <w:r w:rsidRPr="005F273A">
        <w:t>19.</w:t>
      </w:r>
      <w:r>
        <w:t xml:space="preserve"> </w:t>
      </w:r>
      <w:r w:rsidRPr="005F273A">
        <w:t xml:space="preserve">AER, </w:t>
      </w:r>
      <w:r>
        <w:rPr>
          <w:rStyle w:val="AERtextitalic"/>
        </w:rPr>
        <w:t>Preliminary</w:t>
      </w:r>
      <w:r w:rsidRPr="0009337F">
        <w:rPr>
          <w:rStyle w:val="AERtextitalic"/>
        </w:rPr>
        <w:t xml:space="preserve"> decision, </w:t>
      </w:r>
      <w:r>
        <w:rPr>
          <w:rStyle w:val="AERtextitalic"/>
        </w:rPr>
        <w:t>CitiPower</w:t>
      </w:r>
      <w:r w:rsidRPr="0009337F">
        <w:rPr>
          <w:rStyle w:val="AERtextitalic"/>
        </w:rPr>
        <w:t xml:space="preserve"> d</w:t>
      </w:r>
      <w:r>
        <w:rPr>
          <w:rStyle w:val="AERtextitalic"/>
        </w:rPr>
        <w:t>istribution determination 2016 to 2020</w:t>
      </w:r>
      <w:r w:rsidRPr="0009337F">
        <w:rPr>
          <w:rStyle w:val="AERtextitalic"/>
        </w:rPr>
        <w:t>, Attachment 8: Corporate income tax</w:t>
      </w:r>
      <w:r w:rsidRPr="005F273A">
        <w:t>,</w:t>
      </w:r>
      <w:r>
        <w:t xml:space="preserve"> Octo</w:t>
      </w:r>
      <w:r w:rsidRPr="005F273A">
        <w:t>ber 201</w:t>
      </w:r>
      <w:r>
        <w:t>5</w:t>
      </w:r>
      <w:r w:rsidRPr="005F273A">
        <w:t>, pp. 1</w:t>
      </w:r>
      <w:r>
        <w:t>3</w:t>
      </w:r>
      <w:r w:rsidRPr="005F273A">
        <w:t>–1</w:t>
      </w:r>
      <w:r>
        <w:t>4.</w:t>
      </w:r>
    </w:p>
  </w:footnote>
  <w:footnote w:id="13">
    <w:p w:rsidR="003C152E" w:rsidRDefault="003C152E" w:rsidP="008469B8">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4">
    <w:p w:rsidR="003C152E" w:rsidRDefault="003C152E" w:rsidP="008469B8">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5">
    <w:p w:rsidR="003C152E" w:rsidRDefault="003C152E">
      <w:pPr>
        <w:pStyle w:val="FootnoteText"/>
      </w:pPr>
      <w:r>
        <w:rPr>
          <w:rStyle w:val="FootnoteReference"/>
        </w:rPr>
        <w:footnoteRef/>
      </w:r>
      <w:r>
        <w:t xml:space="preserve"> </w:t>
      </w:r>
      <w:r>
        <w:tab/>
        <w:t xml:space="preserve">We have analysed the sensitivity of the </w:t>
      </w:r>
      <w:r w:rsidRPr="006D656F">
        <w:t>corporate income tax allowance</w:t>
      </w:r>
      <w:r>
        <w:t xml:space="preserve"> relative to total revenue, and compared the effects of the two gamma values based on input data from AusNet's proposed PTRM.</w:t>
      </w:r>
    </w:p>
  </w:footnote>
  <w:footnote w:id="16">
    <w:p w:rsidR="003C152E" w:rsidRDefault="003C152E" w:rsidP="008469B8">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AusNet</w:t>
      </w:r>
      <w:r w:rsidRPr="00167CF1">
        <w:t>'s forecast capex.</w:t>
      </w:r>
    </w:p>
  </w:footnote>
  <w:footnote w:id="17">
    <w:p w:rsidR="003C152E" w:rsidRDefault="003C152E" w:rsidP="008469B8">
      <w:pPr>
        <w:pStyle w:val="FootnoteText"/>
      </w:pPr>
      <w:r>
        <w:rPr>
          <w:rStyle w:val="FootnoteReference"/>
        </w:rPr>
        <w:footnoteRef/>
      </w:r>
      <w:r>
        <w:t xml:space="preserve"> </w:t>
      </w:r>
      <w:r>
        <w:tab/>
        <w:t>NGR, r. 87A.</w:t>
      </w:r>
    </w:p>
  </w:footnote>
  <w:footnote w:id="18">
    <w:p w:rsidR="003C152E" w:rsidRDefault="003C152E" w:rsidP="008469B8">
      <w:pPr>
        <w:pStyle w:val="FootnoteText"/>
      </w:pPr>
      <w:r>
        <w:rPr>
          <w:rStyle w:val="FootnoteReference"/>
        </w:rPr>
        <w:footnoteRef/>
      </w:r>
      <w:r>
        <w:t xml:space="preserve"> </w:t>
      </w:r>
      <w:r>
        <w:tab/>
        <w:t>NGL, s.</w:t>
      </w:r>
      <w:r w:rsidRPr="00CF5DD1">
        <w:t xml:space="preserve"> 28; NGR, r. 100(1). The NGO is set out in NGL, s. 23. The revenue and pricing principles are set out in NGL, s. 24.</w:t>
      </w:r>
    </w:p>
  </w:footnote>
  <w:footnote w:id="19">
    <w:p w:rsidR="003C152E" w:rsidRDefault="003C152E">
      <w:pPr>
        <w:pStyle w:val="FootnoteText"/>
      </w:pPr>
      <w:r>
        <w:rPr>
          <w:rStyle w:val="FootnoteReference"/>
        </w:rPr>
        <w:footnoteRef/>
      </w:r>
      <w:r>
        <w:t xml:space="preserve"> </w:t>
      </w:r>
      <w:r>
        <w:tab/>
        <w:t xml:space="preserve">AusNet, </w:t>
      </w:r>
      <w:r w:rsidRPr="00813E05">
        <w:rPr>
          <w:rStyle w:val="AERtextitalic"/>
        </w:rPr>
        <w:t>Response to IR00</w:t>
      </w:r>
      <w:r>
        <w:rPr>
          <w:rStyle w:val="AERtextitalic"/>
        </w:rPr>
        <w:t>6</w:t>
      </w:r>
      <w:r>
        <w:t>, 8 March 2017</w:t>
      </w:r>
    </w:p>
  </w:footnote>
  <w:footnote w:id="20">
    <w:p w:rsidR="003C152E" w:rsidRPr="009E1948" w:rsidRDefault="003C152E" w:rsidP="008469B8">
      <w:pPr>
        <w:pStyle w:val="FootnoteText"/>
        <w:rPr>
          <w:rStyle w:val="FootnoteReference"/>
        </w:rPr>
      </w:pPr>
      <w:r w:rsidRPr="00930AFA">
        <w:rPr>
          <w:rStyle w:val="FootnoteReference"/>
        </w:rPr>
        <w:footnoteRef/>
      </w:r>
      <w:r w:rsidRPr="00930AFA">
        <w:rPr>
          <w:rStyle w:val="FootnoteReference"/>
        </w:rPr>
        <w:t xml:space="preserve"> </w:t>
      </w:r>
      <w:r w:rsidRPr="009E1948">
        <w:rPr>
          <w:rStyle w:val="FootnoteReference"/>
        </w:rPr>
        <w:tab/>
      </w:r>
      <w:r>
        <w:t xml:space="preserve">NGR, r. 79. </w:t>
      </w:r>
      <w:r w:rsidRPr="00930AFA">
        <w:t xml:space="preserve">We note that the capex determined in this draft decision for </w:t>
      </w:r>
      <w:r>
        <w:t>2016</w:t>
      </w:r>
      <w:r w:rsidRPr="00930AFA">
        <w:t xml:space="preserve"> and </w:t>
      </w:r>
      <w:r>
        <w:t>2017</w:t>
      </w:r>
      <w:r w:rsidRPr="00930AFA">
        <w:t xml:space="preserve"> are estimates. Therefore the ‘approved’ capex in this draft decision for </w:t>
      </w:r>
      <w:r>
        <w:t>2016</w:t>
      </w:r>
      <w:r w:rsidRPr="00930AFA">
        <w:t xml:space="preserve"> and </w:t>
      </w:r>
      <w:r>
        <w:t>2017</w:t>
      </w:r>
      <w:r w:rsidRPr="00930AFA">
        <w:t xml:space="preserve"> are placeholder amounts. We expect </w:t>
      </w:r>
      <w:r>
        <w:t>AusNet</w:t>
      </w:r>
      <w:r w:rsidRPr="00930AFA">
        <w:t xml:space="preserve"> will provide actual capex for </w:t>
      </w:r>
      <w:r>
        <w:t>2016</w:t>
      </w:r>
      <w:r w:rsidRPr="00930AFA">
        <w:t xml:space="preserve"> and the </w:t>
      </w:r>
      <w:r>
        <w:t>2017</w:t>
      </w:r>
      <w:r w:rsidRPr="00930AFA">
        <w:t xml:space="preserve"> capex estimates may be revised based on more up to date information in its revised proposal. We will assess whether the actual capex for </w:t>
      </w:r>
      <w:r>
        <w:t>2016</w:t>
      </w:r>
      <w:r w:rsidRPr="00930AFA">
        <w:t xml:space="preserve"> are conforming capex in our final decision. We will undertake the assessment of whether the </w:t>
      </w:r>
      <w:r>
        <w:t>2017</w:t>
      </w:r>
      <w:r w:rsidRPr="00930AFA">
        <w:t xml:space="preserve"> amounts are conforming capex as part of the next access arrangement</w:t>
      </w:r>
      <w:r>
        <w:t xml:space="preserve"> review</w:t>
      </w:r>
      <w:r w:rsidRPr="00930AFA">
        <w:t>.</w:t>
      </w:r>
      <w:r w:rsidRPr="009E1948">
        <w:rPr>
          <w:rStyle w:val="FootnoteReference"/>
        </w:rPr>
        <w:t xml:space="preserve"> </w:t>
      </w:r>
    </w:p>
  </w:footnote>
  <w:footnote w:id="21">
    <w:p w:rsidR="003C152E" w:rsidRDefault="003C152E">
      <w:pPr>
        <w:pStyle w:val="FootnoteText"/>
      </w:pPr>
      <w:r>
        <w:rPr>
          <w:rStyle w:val="FootnoteReference"/>
        </w:rPr>
        <w:footnoteRef/>
      </w:r>
      <w:r>
        <w:t xml:space="preserve"> </w:t>
      </w:r>
      <w:r>
        <w:tab/>
        <w:t xml:space="preserve">AusNet, </w:t>
      </w:r>
      <w:r w:rsidRPr="00184297">
        <w:rPr>
          <w:rStyle w:val="AERtextitalic"/>
        </w:rPr>
        <w:t>Access arrangement information</w:t>
      </w:r>
      <w:r>
        <w:rPr>
          <w:rStyle w:val="AERtextitalic"/>
        </w:rPr>
        <w:t xml:space="preserve"> 2018-2022</w:t>
      </w:r>
      <w:r w:rsidRPr="00184297">
        <w:t>, December 2016, p. 25</w:t>
      </w:r>
      <w:r>
        <w:t>5.</w:t>
      </w:r>
    </w:p>
  </w:footnote>
  <w:footnote w:id="22">
    <w:p w:rsidR="003C152E" w:rsidRDefault="003C152E" w:rsidP="00247199">
      <w:pPr>
        <w:pStyle w:val="FootnoteText"/>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w:t>
      </w:r>
      <w:r>
        <w:rPr>
          <w:rStyle w:val="AERtextitalic"/>
        </w:rPr>
        <w:t>6</w:t>
      </w:r>
      <w:r w:rsidRPr="00896D81">
        <w:rPr>
          <w:rStyle w:val="AERtextitalic"/>
        </w:rPr>
        <w:t>)</w:t>
      </w:r>
      <w:r>
        <w:t xml:space="preserve">: </w:t>
      </w:r>
      <w:hyperlink r:id="rId2" w:history="1">
        <w:r w:rsidRPr="00D279D2">
          <w:rPr>
            <w:rStyle w:val="Hyperlink"/>
            <w:sz w:val="16"/>
          </w:rPr>
          <w:t>https://www.ato.gov.au/law/view/view.htm?docid=%22TXR%2FTR20161%2FNAT%2FATO%2F00001%22</w:t>
        </w:r>
      </w:hyperlink>
      <w:r w:rsidRPr="00D279D2">
        <w:t xml:space="preserve"> </w:t>
      </w:r>
      <w:r>
        <w:t xml:space="preserve"> </w:t>
      </w:r>
      <w:r w:rsidRPr="00D279D2">
        <w:t>accessed 9 March 2017.</w:t>
      </w:r>
    </w:p>
  </w:footnote>
  <w:footnote w:id="23">
    <w:p w:rsidR="003C152E" w:rsidRDefault="003C152E" w:rsidP="00247199">
      <w:pPr>
        <w:pStyle w:val="FootnoteText"/>
      </w:pPr>
      <w:r>
        <w:rPr>
          <w:rStyle w:val="FootnoteReference"/>
        </w:rPr>
        <w:footnoteRef/>
      </w:r>
      <w:r>
        <w:t xml:space="preserve"> </w:t>
      </w:r>
      <w:r>
        <w:tab/>
        <w:t xml:space="preserve">AER, </w:t>
      </w:r>
      <w:r w:rsidRPr="00683656">
        <w:rPr>
          <w:rStyle w:val="AERtextitalic"/>
        </w:rPr>
        <w:t xml:space="preserve">Access arrangement draft decision, </w:t>
      </w:r>
      <w:r>
        <w:rPr>
          <w:rStyle w:val="AERtextitalic"/>
        </w:rPr>
        <w:t>AusNet</w:t>
      </w:r>
      <w:r w:rsidRPr="00683656">
        <w:rPr>
          <w:rStyle w:val="AERtextitalic"/>
        </w:rPr>
        <w:t xml:space="preserve"> Gas (DB No.1) Pty Ltd, </w:t>
      </w:r>
      <w:r>
        <w:rPr>
          <w:rStyle w:val="AERtextitalic"/>
        </w:rPr>
        <w:t>AusNet</w:t>
      </w:r>
      <w:r w:rsidRPr="00683656">
        <w:rPr>
          <w:rStyle w:val="AERtextitalic"/>
        </w:rPr>
        <w:t xml:space="preserve"> Gas (DB No.2) Pty Ltd 2013–17 Part 2 Attachments, Attachment 8 Corporate income tax</w:t>
      </w:r>
      <w:r>
        <w:t>, September 2012, pp. 185–194.</w:t>
      </w:r>
    </w:p>
  </w:footnote>
  <w:footnote w:id="24">
    <w:p w:rsidR="003C152E" w:rsidRDefault="003C152E" w:rsidP="00C36917">
      <w:pPr>
        <w:pStyle w:val="FootnoteText"/>
      </w:pPr>
      <w:r>
        <w:rPr>
          <w:rStyle w:val="FootnoteReference"/>
        </w:rPr>
        <w:footnoteRef/>
      </w:r>
      <w:r>
        <w:t xml:space="preserve"> </w:t>
      </w:r>
      <w:r>
        <w:tab/>
      </w:r>
      <w:r w:rsidRPr="005F273A">
        <w:t xml:space="preserve">AER, </w:t>
      </w:r>
      <w:r w:rsidRPr="0009337F">
        <w:rPr>
          <w:rStyle w:val="AERtextitalic"/>
        </w:rPr>
        <w:t>Draft decision, Ausgrid distribution determination 2015–16 to 2018–19, Attachment 8: Corporate income tax</w:t>
      </w:r>
      <w:r w:rsidRPr="005F273A">
        <w:t>,</w:t>
      </w:r>
      <w:r>
        <w:t xml:space="preserve"> </w:t>
      </w:r>
      <w:r w:rsidRPr="005F273A">
        <w:t>November 2014, pp. 17 to 19.</w:t>
      </w:r>
      <w:r>
        <w:t xml:space="preserve"> </w:t>
      </w:r>
      <w:r w:rsidRPr="005F273A">
        <w:t xml:space="preserve">AER, </w:t>
      </w:r>
      <w:r>
        <w:rPr>
          <w:rStyle w:val="AERtextitalic"/>
        </w:rPr>
        <w:t>Preliminary</w:t>
      </w:r>
      <w:r w:rsidRPr="0009337F">
        <w:rPr>
          <w:rStyle w:val="AERtextitalic"/>
        </w:rPr>
        <w:t xml:space="preserve"> decision, </w:t>
      </w:r>
      <w:r>
        <w:rPr>
          <w:rStyle w:val="AERtextitalic"/>
        </w:rPr>
        <w:t>CitiPower</w:t>
      </w:r>
      <w:r w:rsidRPr="0009337F">
        <w:rPr>
          <w:rStyle w:val="AERtextitalic"/>
        </w:rPr>
        <w:t xml:space="preserve"> d</w:t>
      </w:r>
      <w:r>
        <w:rPr>
          <w:rStyle w:val="AERtextitalic"/>
        </w:rPr>
        <w:t>istribution determination 2016 to 2020</w:t>
      </w:r>
      <w:r w:rsidRPr="0009337F">
        <w:rPr>
          <w:rStyle w:val="AERtextitalic"/>
        </w:rPr>
        <w:t>, Attachment 8: Corporate income tax</w:t>
      </w:r>
      <w:r w:rsidRPr="005F273A">
        <w:t>,</w:t>
      </w:r>
      <w:r>
        <w:t xml:space="preserve"> Octo</w:t>
      </w:r>
      <w:r w:rsidRPr="005F273A">
        <w:t>ber 201</w:t>
      </w:r>
      <w:r>
        <w:t>5</w:t>
      </w:r>
      <w:r w:rsidRPr="005F273A">
        <w:t>, pp. 1</w:t>
      </w:r>
      <w:r>
        <w:t>3</w:t>
      </w:r>
      <w:r w:rsidRPr="005F273A">
        <w:t xml:space="preserve"> to 1</w:t>
      </w:r>
      <w:r>
        <w:t>4.</w:t>
      </w:r>
    </w:p>
  </w:footnote>
  <w:footnote w:id="25">
    <w:p w:rsidR="003C152E" w:rsidRDefault="003C152E" w:rsidP="005876DC">
      <w:pPr>
        <w:pStyle w:val="FootnoteText"/>
      </w:pPr>
      <w:r>
        <w:rPr>
          <w:rStyle w:val="FootnoteReference"/>
        </w:rPr>
        <w:footnoteRef/>
      </w:r>
      <w:r>
        <w:t xml:space="preserve"> </w:t>
      </w:r>
      <w:r>
        <w:tab/>
        <w:t>Instead, as set out section 5.4.1 of attachment 5, the capital base depreciation amounts are calculated in a separate model and directly entered into the PTRM.</w:t>
      </w:r>
    </w:p>
  </w:footnote>
  <w:footnote w:id="26">
    <w:p w:rsidR="003C152E" w:rsidRDefault="003C152E" w:rsidP="005876DC">
      <w:pPr>
        <w:pStyle w:val="FootnoteText"/>
      </w:pPr>
      <w:r>
        <w:rPr>
          <w:rStyle w:val="FootnoteReference"/>
        </w:rPr>
        <w:footnoteRef/>
      </w:r>
      <w:r>
        <w:t xml:space="preserve"> </w:t>
      </w:r>
      <w:r>
        <w:tab/>
      </w:r>
      <w:r w:rsidRPr="000C3017">
        <w:t>Having established the remaining tax asset lives as at 1 January 201</w:t>
      </w:r>
      <w:r>
        <w:t>8</w:t>
      </w:r>
      <w:r w:rsidRPr="000C3017">
        <w:t xml:space="preserve"> for this </w:t>
      </w:r>
      <w:r>
        <w:t>access arrangement review</w:t>
      </w:r>
      <w:r w:rsidRPr="000C3017">
        <w:t>, we consider that when rolling forward these remaining tax asset lives to 1 January 202</w:t>
      </w:r>
      <w:r>
        <w:t>3</w:t>
      </w:r>
      <w:r w:rsidRPr="000C3017">
        <w:t xml:space="preserve"> at the next re</w:t>
      </w:r>
      <w:r>
        <w:t>view</w:t>
      </w:r>
      <w:r w:rsidRPr="000C3017">
        <w:t xml:space="preserve"> our preferred weighted average method should be used.</w:t>
      </w:r>
      <w:r w:rsidRPr="00552E0E">
        <w:t xml:space="preserve"> </w:t>
      </w:r>
      <w:r>
        <w:t xml:space="preserve">This method is described in our draft decision access arrangement for Australian Gas Networks (South Australia) for the 2016–21 period. AER, </w:t>
      </w:r>
      <w:r w:rsidRPr="0074319F">
        <w:rPr>
          <w:rStyle w:val="AERtextitalic"/>
        </w:rPr>
        <w:t>Draft Decision, Australian Gas Networks (South Australia) Access Arrangement 2016 to 2021, Attachment 8 – Corporate income tax</w:t>
      </w:r>
      <w:r>
        <w:t>, November 2015, pp. 8–9.</w:t>
      </w:r>
    </w:p>
  </w:footnote>
  <w:footnote w:id="27">
    <w:p w:rsidR="003C152E" w:rsidRDefault="003C152E">
      <w:pPr>
        <w:pStyle w:val="FootnoteText"/>
      </w:pPr>
      <w:r>
        <w:rPr>
          <w:rStyle w:val="FootnoteReference"/>
        </w:rPr>
        <w:footnoteRef/>
      </w:r>
      <w:r>
        <w:t xml:space="preserve"> </w:t>
      </w:r>
      <w:r>
        <w:tab/>
        <w:t xml:space="preserve">This issue was discussed in greater detail in our 2015 final decision to the electricity transmission roll forward model. See: </w:t>
      </w:r>
      <w:r w:rsidRPr="0035326E">
        <w:rPr>
          <w:rStyle w:val="AERtextitalic"/>
        </w:rPr>
        <w:t>AER, Final decision - Amendments to the electricity transmission roll forward model</w:t>
      </w:r>
      <w:r>
        <w:t>,</w:t>
      </w:r>
      <w:r w:rsidRPr="0088394A">
        <w:t xml:space="preserve"> October 2015</w:t>
      </w:r>
      <w:r>
        <w:t>,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2E" w:rsidRDefault="003C1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BF2872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xv/V9WGrHqnfAwiY7M0AurJeAxE5V3BLl9+cyNK6Ws=" w:saltValue="GirhUlVbL5jvW8LAWP90Xg==" w:algorithmName="SHA-256"/>
  <w:defaultTabStop w:val="34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2372"/>
    <w:rsid w:val="00013F1D"/>
    <w:rsid w:val="0001507B"/>
    <w:rsid w:val="00020016"/>
    <w:rsid w:val="00021202"/>
    <w:rsid w:val="00021C2B"/>
    <w:rsid w:val="0002498B"/>
    <w:rsid w:val="0002517F"/>
    <w:rsid w:val="00026187"/>
    <w:rsid w:val="000266FC"/>
    <w:rsid w:val="000273B3"/>
    <w:rsid w:val="00027E2D"/>
    <w:rsid w:val="00030FAE"/>
    <w:rsid w:val="0003578C"/>
    <w:rsid w:val="00044DA3"/>
    <w:rsid w:val="000474DF"/>
    <w:rsid w:val="00055A67"/>
    <w:rsid w:val="00063247"/>
    <w:rsid w:val="0006624E"/>
    <w:rsid w:val="00070F9F"/>
    <w:rsid w:val="0007137B"/>
    <w:rsid w:val="00071589"/>
    <w:rsid w:val="000715C4"/>
    <w:rsid w:val="00073B74"/>
    <w:rsid w:val="00076416"/>
    <w:rsid w:val="0007719F"/>
    <w:rsid w:val="000805A8"/>
    <w:rsid w:val="0008190B"/>
    <w:rsid w:val="00082AA3"/>
    <w:rsid w:val="000836D9"/>
    <w:rsid w:val="00084D97"/>
    <w:rsid w:val="00085663"/>
    <w:rsid w:val="00085E33"/>
    <w:rsid w:val="00085EBF"/>
    <w:rsid w:val="00091B15"/>
    <w:rsid w:val="00095186"/>
    <w:rsid w:val="000A0710"/>
    <w:rsid w:val="000A0E71"/>
    <w:rsid w:val="000A1C0C"/>
    <w:rsid w:val="000A3020"/>
    <w:rsid w:val="000A4840"/>
    <w:rsid w:val="000A62C1"/>
    <w:rsid w:val="000A6A79"/>
    <w:rsid w:val="000A6C7B"/>
    <w:rsid w:val="000B0407"/>
    <w:rsid w:val="000B0A7B"/>
    <w:rsid w:val="000B1173"/>
    <w:rsid w:val="000B52A8"/>
    <w:rsid w:val="000B5827"/>
    <w:rsid w:val="000B7037"/>
    <w:rsid w:val="000C02D1"/>
    <w:rsid w:val="000C0C63"/>
    <w:rsid w:val="000C2B40"/>
    <w:rsid w:val="000C4AB7"/>
    <w:rsid w:val="000C5255"/>
    <w:rsid w:val="000D07A7"/>
    <w:rsid w:val="000D122C"/>
    <w:rsid w:val="000D3900"/>
    <w:rsid w:val="000D5F0A"/>
    <w:rsid w:val="000D75B0"/>
    <w:rsid w:val="000E1819"/>
    <w:rsid w:val="000E4821"/>
    <w:rsid w:val="000E4AA9"/>
    <w:rsid w:val="000E6C72"/>
    <w:rsid w:val="000E7F39"/>
    <w:rsid w:val="000F1015"/>
    <w:rsid w:val="00100EA2"/>
    <w:rsid w:val="00101AA1"/>
    <w:rsid w:val="00102161"/>
    <w:rsid w:val="00102338"/>
    <w:rsid w:val="00104566"/>
    <w:rsid w:val="00104FF6"/>
    <w:rsid w:val="001114AA"/>
    <w:rsid w:val="00111D2D"/>
    <w:rsid w:val="001120BB"/>
    <w:rsid w:val="00112684"/>
    <w:rsid w:val="00115743"/>
    <w:rsid w:val="00116EB2"/>
    <w:rsid w:val="0012132C"/>
    <w:rsid w:val="00124609"/>
    <w:rsid w:val="00126A4C"/>
    <w:rsid w:val="001270E3"/>
    <w:rsid w:val="00132D43"/>
    <w:rsid w:val="00133366"/>
    <w:rsid w:val="00133F47"/>
    <w:rsid w:val="00134029"/>
    <w:rsid w:val="00135B27"/>
    <w:rsid w:val="00142C2D"/>
    <w:rsid w:val="00144C96"/>
    <w:rsid w:val="0014573B"/>
    <w:rsid w:val="001463A3"/>
    <w:rsid w:val="0015073A"/>
    <w:rsid w:val="001573E4"/>
    <w:rsid w:val="00157607"/>
    <w:rsid w:val="00160756"/>
    <w:rsid w:val="001611F8"/>
    <w:rsid w:val="00161DC8"/>
    <w:rsid w:val="00166760"/>
    <w:rsid w:val="0017232E"/>
    <w:rsid w:val="00174102"/>
    <w:rsid w:val="001754EE"/>
    <w:rsid w:val="00180157"/>
    <w:rsid w:val="001809BC"/>
    <w:rsid w:val="00180C40"/>
    <w:rsid w:val="00180E97"/>
    <w:rsid w:val="001816AF"/>
    <w:rsid w:val="001820B4"/>
    <w:rsid w:val="00184297"/>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0248"/>
    <w:rsid w:val="001A530D"/>
    <w:rsid w:val="001A5FB3"/>
    <w:rsid w:val="001A7155"/>
    <w:rsid w:val="001A74D8"/>
    <w:rsid w:val="001B45A0"/>
    <w:rsid w:val="001B680E"/>
    <w:rsid w:val="001C55C1"/>
    <w:rsid w:val="001D055E"/>
    <w:rsid w:val="001E0A3D"/>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2FA"/>
    <w:rsid w:val="0020743F"/>
    <w:rsid w:val="00211C0D"/>
    <w:rsid w:val="00214739"/>
    <w:rsid w:val="00216C93"/>
    <w:rsid w:val="00223051"/>
    <w:rsid w:val="00224DB9"/>
    <w:rsid w:val="0022569A"/>
    <w:rsid w:val="0023005C"/>
    <w:rsid w:val="00231012"/>
    <w:rsid w:val="00233775"/>
    <w:rsid w:val="0023414B"/>
    <w:rsid w:val="00243635"/>
    <w:rsid w:val="00246F4B"/>
    <w:rsid w:val="00247079"/>
    <w:rsid w:val="00247199"/>
    <w:rsid w:val="00251745"/>
    <w:rsid w:val="00253187"/>
    <w:rsid w:val="002552BA"/>
    <w:rsid w:val="00260016"/>
    <w:rsid w:val="00263AC0"/>
    <w:rsid w:val="00264264"/>
    <w:rsid w:val="0026689B"/>
    <w:rsid w:val="0026772D"/>
    <w:rsid w:val="002730B2"/>
    <w:rsid w:val="00274C7E"/>
    <w:rsid w:val="002750C7"/>
    <w:rsid w:val="002777CF"/>
    <w:rsid w:val="00280147"/>
    <w:rsid w:val="002802E3"/>
    <w:rsid w:val="002810F2"/>
    <w:rsid w:val="00286874"/>
    <w:rsid w:val="00290C63"/>
    <w:rsid w:val="002917D8"/>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381"/>
    <w:rsid w:val="002E268F"/>
    <w:rsid w:val="002E4721"/>
    <w:rsid w:val="002E6BDC"/>
    <w:rsid w:val="002E78DD"/>
    <w:rsid w:val="002E7B22"/>
    <w:rsid w:val="002F07B7"/>
    <w:rsid w:val="002F12EC"/>
    <w:rsid w:val="002F1852"/>
    <w:rsid w:val="002F7986"/>
    <w:rsid w:val="00301B40"/>
    <w:rsid w:val="00301C82"/>
    <w:rsid w:val="003029EE"/>
    <w:rsid w:val="00304D38"/>
    <w:rsid w:val="00305CC8"/>
    <w:rsid w:val="00307F6D"/>
    <w:rsid w:val="00314D83"/>
    <w:rsid w:val="0031571F"/>
    <w:rsid w:val="003177A2"/>
    <w:rsid w:val="00317C1E"/>
    <w:rsid w:val="00317E02"/>
    <w:rsid w:val="00322CD2"/>
    <w:rsid w:val="003271B5"/>
    <w:rsid w:val="00327A1E"/>
    <w:rsid w:val="00327E28"/>
    <w:rsid w:val="00330FAF"/>
    <w:rsid w:val="00331264"/>
    <w:rsid w:val="00334C8D"/>
    <w:rsid w:val="003378BD"/>
    <w:rsid w:val="00340BC3"/>
    <w:rsid w:val="003424EA"/>
    <w:rsid w:val="00342C2F"/>
    <w:rsid w:val="003436EB"/>
    <w:rsid w:val="00343A18"/>
    <w:rsid w:val="00345744"/>
    <w:rsid w:val="003518B3"/>
    <w:rsid w:val="0035326E"/>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30C8"/>
    <w:rsid w:val="0038415D"/>
    <w:rsid w:val="0038461C"/>
    <w:rsid w:val="003846F1"/>
    <w:rsid w:val="00384A49"/>
    <w:rsid w:val="00390E6A"/>
    <w:rsid w:val="00393ABE"/>
    <w:rsid w:val="00394C5D"/>
    <w:rsid w:val="00395DB6"/>
    <w:rsid w:val="00397398"/>
    <w:rsid w:val="003A2CB0"/>
    <w:rsid w:val="003A371A"/>
    <w:rsid w:val="003A59CD"/>
    <w:rsid w:val="003A6B00"/>
    <w:rsid w:val="003B17D9"/>
    <w:rsid w:val="003B30B2"/>
    <w:rsid w:val="003B484F"/>
    <w:rsid w:val="003B504B"/>
    <w:rsid w:val="003B5179"/>
    <w:rsid w:val="003B685C"/>
    <w:rsid w:val="003B7FBA"/>
    <w:rsid w:val="003C0EBD"/>
    <w:rsid w:val="003C0F46"/>
    <w:rsid w:val="003C152E"/>
    <w:rsid w:val="003C6537"/>
    <w:rsid w:val="003C6A13"/>
    <w:rsid w:val="003C764A"/>
    <w:rsid w:val="003C78BA"/>
    <w:rsid w:val="003D41F1"/>
    <w:rsid w:val="003D42AB"/>
    <w:rsid w:val="003D5B94"/>
    <w:rsid w:val="003D706C"/>
    <w:rsid w:val="003D7105"/>
    <w:rsid w:val="003E0D3A"/>
    <w:rsid w:val="003E3AAB"/>
    <w:rsid w:val="003E7FE9"/>
    <w:rsid w:val="003F07D4"/>
    <w:rsid w:val="003F174D"/>
    <w:rsid w:val="003F2329"/>
    <w:rsid w:val="00400FD2"/>
    <w:rsid w:val="00403711"/>
    <w:rsid w:val="00404C52"/>
    <w:rsid w:val="00411441"/>
    <w:rsid w:val="004156D5"/>
    <w:rsid w:val="00415BA9"/>
    <w:rsid w:val="00415F31"/>
    <w:rsid w:val="0041691D"/>
    <w:rsid w:val="0042000C"/>
    <w:rsid w:val="0042090E"/>
    <w:rsid w:val="00421F27"/>
    <w:rsid w:val="004238D8"/>
    <w:rsid w:val="00423A77"/>
    <w:rsid w:val="004324F4"/>
    <w:rsid w:val="00434544"/>
    <w:rsid w:val="00443CF8"/>
    <w:rsid w:val="00445D43"/>
    <w:rsid w:val="00446CD2"/>
    <w:rsid w:val="00446F0C"/>
    <w:rsid w:val="00454424"/>
    <w:rsid w:val="0045777E"/>
    <w:rsid w:val="00465258"/>
    <w:rsid w:val="0047148D"/>
    <w:rsid w:val="00471BC6"/>
    <w:rsid w:val="00476221"/>
    <w:rsid w:val="004766F5"/>
    <w:rsid w:val="00480B4B"/>
    <w:rsid w:val="004838D8"/>
    <w:rsid w:val="00485DC4"/>
    <w:rsid w:val="00490082"/>
    <w:rsid w:val="00494D04"/>
    <w:rsid w:val="004A40BA"/>
    <w:rsid w:val="004A43D1"/>
    <w:rsid w:val="004A492B"/>
    <w:rsid w:val="004A680A"/>
    <w:rsid w:val="004A78A7"/>
    <w:rsid w:val="004A7A86"/>
    <w:rsid w:val="004B2CE8"/>
    <w:rsid w:val="004B386F"/>
    <w:rsid w:val="004B4412"/>
    <w:rsid w:val="004C348C"/>
    <w:rsid w:val="004C462E"/>
    <w:rsid w:val="004C63FC"/>
    <w:rsid w:val="004C6CA3"/>
    <w:rsid w:val="004C7F5E"/>
    <w:rsid w:val="004D343C"/>
    <w:rsid w:val="004D372A"/>
    <w:rsid w:val="004D55BA"/>
    <w:rsid w:val="004D717E"/>
    <w:rsid w:val="004D720C"/>
    <w:rsid w:val="004D73CF"/>
    <w:rsid w:val="004E0FA7"/>
    <w:rsid w:val="004E22EC"/>
    <w:rsid w:val="004E273A"/>
    <w:rsid w:val="004F0BFA"/>
    <w:rsid w:val="004F13DA"/>
    <w:rsid w:val="004F4D69"/>
    <w:rsid w:val="004F6883"/>
    <w:rsid w:val="004F6A0E"/>
    <w:rsid w:val="004F6BB3"/>
    <w:rsid w:val="005009CD"/>
    <w:rsid w:val="00504CED"/>
    <w:rsid w:val="00504E5F"/>
    <w:rsid w:val="005071BB"/>
    <w:rsid w:val="0051337E"/>
    <w:rsid w:val="00513FA7"/>
    <w:rsid w:val="005150B4"/>
    <w:rsid w:val="0051768F"/>
    <w:rsid w:val="00522DC2"/>
    <w:rsid w:val="00522E09"/>
    <w:rsid w:val="00530128"/>
    <w:rsid w:val="00532467"/>
    <w:rsid w:val="005332A9"/>
    <w:rsid w:val="0053603C"/>
    <w:rsid w:val="00537871"/>
    <w:rsid w:val="00540447"/>
    <w:rsid w:val="005423CC"/>
    <w:rsid w:val="00542FE9"/>
    <w:rsid w:val="00544598"/>
    <w:rsid w:val="00544C8D"/>
    <w:rsid w:val="00544DFD"/>
    <w:rsid w:val="00553A82"/>
    <w:rsid w:val="00556B1E"/>
    <w:rsid w:val="00561264"/>
    <w:rsid w:val="00564A4D"/>
    <w:rsid w:val="0056598C"/>
    <w:rsid w:val="00566E0B"/>
    <w:rsid w:val="00567BA5"/>
    <w:rsid w:val="00571B35"/>
    <w:rsid w:val="00571B43"/>
    <w:rsid w:val="00571D57"/>
    <w:rsid w:val="00573A3B"/>
    <w:rsid w:val="00577716"/>
    <w:rsid w:val="005777BA"/>
    <w:rsid w:val="00577A09"/>
    <w:rsid w:val="005829C2"/>
    <w:rsid w:val="00584B6C"/>
    <w:rsid w:val="00584D8F"/>
    <w:rsid w:val="005876DC"/>
    <w:rsid w:val="00587A18"/>
    <w:rsid w:val="00587ADE"/>
    <w:rsid w:val="00597E8B"/>
    <w:rsid w:val="005A030C"/>
    <w:rsid w:val="005A0BEC"/>
    <w:rsid w:val="005A404D"/>
    <w:rsid w:val="005B1CCC"/>
    <w:rsid w:val="005B1E3C"/>
    <w:rsid w:val="005B6518"/>
    <w:rsid w:val="005B704A"/>
    <w:rsid w:val="005B72D7"/>
    <w:rsid w:val="005C02FC"/>
    <w:rsid w:val="005C045F"/>
    <w:rsid w:val="005C16FE"/>
    <w:rsid w:val="005C1FAB"/>
    <w:rsid w:val="005C21A4"/>
    <w:rsid w:val="005C26CC"/>
    <w:rsid w:val="005C4463"/>
    <w:rsid w:val="005D0CA3"/>
    <w:rsid w:val="005D3D88"/>
    <w:rsid w:val="005D48C4"/>
    <w:rsid w:val="005D6208"/>
    <w:rsid w:val="005D6366"/>
    <w:rsid w:val="005D7BA2"/>
    <w:rsid w:val="005E36C2"/>
    <w:rsid w:val="005E4AF4"/>
    <w:rsid w:val="005F387E"/>
    <w:rsid w:val="00601E0B"/>
    <w:rsid w:val="0060258B"/>
    <w:rsid w:val="00604F1C"/>
    <w:rsid w:val="00610EF9"/>
    <w:rsid w:val="006126E9"/>
    <w:rsid w:val="00612F4F"/>
    <w:rsid w:val="00614EA0"/>
    <w:rsid w:val="00615C6B"/>
    <w:rsid w:val="00617D4C"/>
    <w:rsid w:val="00621DCE"/>
    <w:rsid w:val="00621FC5"/>
    <w:rsid w:val="00622B6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0013"/>
    <w:rsid w:val="00671692"/>
    <w:rsid w:val="00675E20"/>
    <w:rsid w:val="00676679"/>
    <w:rsid w:val="00683C89"/>
    <w:rsid w:val="00691B53"/>
    <w:rsid w:val="00695436"/>
    <w:rsid w:val="00696D1E"/>
    <w:rsid w:val="00697D0B"/>
    <w:rsid w:val="006A0E05"/>
    <w:rsid w:val="006A12BA"/>
    <w:rsid w:val="006A18C3"/>
    <w:rsid w:val="006A4739"/>
    <w:rsid w:val="006A66A1"/>
    <w:rsid w:val="006A6B60"/>
    <w:rsid w:val="006B032D"/>
    <w:rsid w:val="006B2395"/>
    <w:rsid w:val="006B29D8"/>
    <w:rsid w:val="006B2B63"/>
    <w:rsid w:val="006B40AC"/>
    <w:rsid w:val="006B4CF9"/>
    <w:rsid w:val="006B797C"/>
    <w:rsid w:val="006B7AC8"/>
    <w:rsid w:val="006C1736"/>
    <w:rsid w:val="006C2DAD"/>
    <w:rsid w:val="006C329B"/>
    <w:rsid w:val="006C5AE7"/>
    <w:rsid w:val="006C6303"/>
    <w:rsid w:val="006D11BA"/>
    <w:rsid w:val="006D550F"/>
    <w:rsid w:val="006D6146"/>
    <w:rsid w:val="006D656F"/>
    <w:rsid w:val="006D7F7E"/>
    <w:rsid w:val="006E0CFF"/>
    <w:rsid w:val="006E16AA"/>
    <w:rsid w:val="006F0D92"/>
    <w:rsid w:val="006F267D"/>
    <w:rsid w:val="0070011E"/>
    <w:rsid w:val="00701CAB"/>
    <w:rsid w:val="007023BB"/>
    <w:rsid w:val="00704DD7"/>
    <w:rsid w:val="00707563"/>
    <w:rsid w:val="00710F57"/>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0F4A"/>
    <w:rsid w:val="007728AB"/>
    <w:rsid w:val="00775460"/>
    <w:rsid w:val="00777EE6"/>
    <w:rsid w:val="00782EEA"/>
    <w:rsid w:val="007909B4"/>
    <w:rsid w:val="00790E86"/>
    <w:rsid w:val="00793F0E"/>
    <w:rsid w:val="007946F3"/>
    <w:rsid w:val="007949D7"/>
    <w:rsid w:val="007A0143"/>
    <w:rsid w:val="007A34C2"/>
    <w:rsid w:val="007A396C"/>
    <w:rsid w:val="007A4B02"/>
    <w:rsid w:val="007B0BE3"/>
    <w:rsid w:val="007B1816"/>
    <w:rsid w:val="007B186E"/>
    <w:rsid w:val="007B25DC"/>
    <w:rsid w:val="007B2C72"/>
    <w:rsid w:val="007B3789"/>
    <w:rsid w:val="007B651F"/>
    <w:rsid w:val="007B7BB5"/>
    <w:rsid w:val="007C051F"/>
    <w:rsid w:val="007C1C53"/>
    <w:rsid w:val="007C284C"/>
    <w:rsid w:val="007C4B82"/>
    <w:rsid w:val="007C74BB"/>
    <w:rsid w:val="007C7F64"/>
    <w:rsid w:val="007D0A95"/>
    <w:rsid w:val="007D0EB5"/>
    <w:rsid w:val="007D1793"/>
    <w:rsid w:val="007D456E"/>
    <w:rsid w:val="007D5837"/>
    <w:rsid w:val="007E22FE"/>
    <w:rsid w:val="007E4904"/>
    <w:rsid w:val="007E4CB5"/>
    <w:rsid w:val="007E4DAE"/>
    <w:rsid w:val="007F066B"/>
    <w:rsid w:val="007F4EAB"/>
    <w:rsid w:val="007F5B16"/>
    <w:rsid w:val="007F7C9D"/>
    <w:rsid w:val="008033C4"/>
    <w:rsid w:val="00806731"/>
    <w:rsid w:val="00806C88"/>
    <w:rsid w:val="008071F6"/>
    <w:rsid w:val="0081034E"/>
    <w:rsid w:val="00810806"/>
    <w:rsid w:val="00813BCA"/>
    <w:rsid w:val="008156F3"/>
    <w:rsid w:val="00815882"/>
    <w:rsid w:val="00820454"/>
    <w:rsid w:val="00822AC7"/>
    <w:rsid w:val="00822E86"/>
    <w:rsid w:val="008344F6"/>
    <w:rsid w:val="0083510F"/>
    <w:rsid w:val="00837BF3"/>
    <w:rsid w:val="008415DE"/>
    <w:rsid w:val="008420DE"/>
    <w:rsid w:val="00845865"/>
    <w:rsid w:val="008469B8"/>
    <w:rsid w:val="0084799B"/>
    <w:rsid w:val="00850C90"/>
    <w:rsid w:val="00851209"/>
    <w:rsid w:val="0085171F"/>
    <w:rsid w:val="008538D3"/>
    <w:rsid w:val="00855D41"/>
    <w:rsid w:val="008658A1"/>
    <w:rsid w:val="0086716A"/>
    <w:rsid w:val="00870613"/>
    <w:rsid w:val="00871D3E"/>
    <w:rsid w:val="0087380F"/>
    <w:rsid w:val="0087648F"/>
    <w:rsid w:val="00876612"/>
    <w:rsid w:val="00882427"/>
    <w:rsid w:val="00882BB1"/>
    <w:rsid w:val="008837AC"/>
    <w:rsid w:val="0088394A"/>
    <w:rsid w:val="008909DC"/>
    <w:rsid w:val="00894255"/>
    <w:rsid w:val="008945AD"/>
    <w:rsid w:val="00894A16"/>
    <w:rsid w:val="008A0645"/>
    <w:rsid w:val="008A1C02"/>
    <w:rsid w:val="008A370D"/>
    <w:rsid w:val="008A543B"/>
    <w:rsid w:val="008A587D"/>
    <w:rsid w:val="008B16B0"/>
    <w:rsid w:val="008B1BD5"/>
    <w:rsid w:val="008B35CD"/>
    <w:rsid w:val="008B4093"/>
    <w:rsid w:val="008B5FCC"/>
    <w:rsid w:val="008B7F36"/>
    <w:rsid w:val="008C1446"/>
    <w:rsid w:val="008C357F"/>
    <w:rsid w:val="008C5486"/>
    <w:rsid w:val="008D1661"/>
    <w:rsid w:val="008D27E0"/>
    <w:rsid w:val="008D5F90"/>
    <w:rsid w:val="008D6800"/>
    <w:rsid w:val="008D72F1"/>
    <w:rsid w:val="008E4089"/>
    <w:rsid w:val="008E5AFF"/>
    <w:rsid w:val="008E7031"/>
    <w:rsid w:val="008E77DE"/>
    <w:rsid w:val="008E7BE1"/>
    <w:rsid w:val="008F040C"/>
    <w:rsid w:val="008F07A3"/>
    <w:rsid w:val="008F21FA"/>
    <w:rsid w:val="008F2731"/>
    <w:rsid w:val="008F3322"/>
    <w:rsid w:val="008F3519"/>
    <w:rsid w:val="008F3A0D"/>
    <w:rsid w:val="008F6F7F"/>
    <w:rsid w:val="009001B6"/>
    <w:rsid w:val="00900E1B"/>
    <w:rsid w:val="0090131F"/>
    <w:rsid w:val="00906AB4"/>
    <w:rsid w:val="00907683"/>
    <w:rsid w:val="009107D7"/>
    <w:rsid w:val="0091211C"/>
    <w:rsid w:val="009132B7"/>
    <w:rsid w:val="00916A2C"/>
    <w:rsid w:val="00916A8C"/>
    <w:rsid w:val="009175E1"/>
    <w:rsid w:val="00921B4B"/>
    <w:rsid w:val="009233EE"/>
    <w:rsid w:val="00930B1A"/>
    <w:rsid w:val="00932612"/>
    <w:rsid w:val="009327DC"/>
    <w:rsid w:val="009338D9"/>
    <w:rsid w:val="009339BD"/>
    <w:rsid w:val="009344B5"/>
    <w:rsid w:val="009356CF"/>
    <w:rsid w:val="009400BC"/>
    <w:rsid w:val="00945E53"/>
    <w:rsid w:val="009460AA"/>
    <w:rsid w:val="00951978"/>
    <w:rsid w:val="00952C8B"/>
    <w:rsid w:val="00956453"/>
    <w:rsid w:val="00961A4A"/>
    <w:rsid w:val="009661DE"/>
    <w:rsid w:val="00967BCE"/>
    <w:rsid w:val="00971AC3"/>
    <w:rsid w:val="00972C7C"/>
    <w:rsid w:val="009776F4"/>
    <w:rsid w:val="00982DA2"/>
    <w:rsid w:val="00983C25"/>
    <w:rsid w:val="0098466D"/>
    <w:rsid w:val="009856B7"/>
    <w:rsid w:val="009859D6"/>
    <w:rsid w:val="00985C86"/>
    <w:rsid w:val="00991889"/>
    <w:rsid w:val="009A5FC3"/>
    <w:rsid w:val="009B6F84"/>
    <w:rsid w:val="009B74B0"/>
    <w:rsid w:val="009C0152"/>
    <w:rsid w:val="009C1A74"/>
    <w:rsid w:val="009C3D42"/>
    <w:rsid w:val="009C491E"/>
    <w:rsid w:val="009C6914"/>
    <w:rsid w:val="009D0DF1"/>
    <w:rsid w:val="009D22D6"/>
    <w:rsid w:val="009D2C84"/>
    <w:rsid w:val="009D3906"/>
    <w:rsid w:val="009D6B46"/>
    <w:rsid w:val="009E35B6"/>
    <w:rsid w:val="009E470E"/>
    <w:rsid w:val="009E5ABC"/>
    <w:rsid w:val="009F38B5"/>
    <w:rsid w:val="009F3BBA"/>
    <w:rsid w:val="009F43B4"/>
    <w:rsid w:val="009F4940"/>
    <w:rsid w:val="009F5BA1"/>
    <w:rsid w:val="009F7736"/>
    <w:rsid w:val="00A02A88"/>
    <w:rsid w:val="00A04012"/>
    <w:rsid w:val="00A046FA"/>
    <w:rsid w:val="00A0562E"/>
    <w:rsid w:val="00A057F8"/>
    <w:rsid w:val="00A0726D"/>
    <w:rsid w:val="00A073AE"/>
    <w:rsid w:val="00A12204"/>
    <w:rsid w:val="00A12750"/>
    <w:rsid w:val="00A13CB0"/>
    <w:rsid w:val="00A1561F"/>
    <w:rsid w:val="00A16544"/>
    <w:rsid w:val="00A23188"/>
    <w:rsid w:val="00A30BF5"/>
    <w:rsid w:val="00A31015"/>
    <w:rsid w:val="00A31BE6"/>
    <w:rsid w:val="00A32FBB"/>
    <w:rsid w:val="00A34A4B"/>
    <w:rsid w:val="00A40068"/>
    <w:rsid w:val="00A40BE9"/>
    <w:rsid w:val="00A428EE"/>
    <w:rsid w:val="00A443C2"/>
    <w:rsid w:val="00A4478A"/>
    <w:rsid w:val="00A44852"/>
    <w:rsid w:val="00A47755"/>
    <w:rsid w:val="00A50502"/>
    <w:rsid w:val="00A51B54"/>
    <w:rsid w:val="00A53409"/>
    <w:rsid w:val="00A53796"/>
    <w:rsid w:val="00A53848"/>
    <w:rsid w:val="00A56945"/>
    <w:rsid w:val="00A56A6E"/>
    <w:rsid w:val="00A57D04"/>
    <w:rsid w:val="00A60A26"/>
    <w:rsid w:val="00A61598"/>
    <w:rsid w:val="00A61777"/>
    <w:rsid w:val="00A61EAC"/>
    <w:rsid w:val="00A63646"/>
    <w:rsid w:val="00A63914"/>
    <w:rsid w:val="00A66AFD"/>
    <w:rsid w:val="00A704C3"/>
    <w:rsid w:val="00A75BBA"/>
    <w:rsid w:val="00A82188"/>
    <w:rsid w:val="00A84A99"/>
    <w:rsid w:val="00A84F46"/>
    <w:rsid w:val="00A85E87"/>
    <w:rsid w:val="00A863B9"/>
    <w:rsid w:val="00A86AEA"/>
    <w:rsid w:val="00A871F4"/>
    <w:rsid w:val="00A9431A"/>
    <w:rsid w:val="00A95988"/>
    <w:rsid w:val="00A959DF"/>
    <w:rsid w:val="00A97A1B"/>
    <w:rsid w:val="00AA2927"/>
    <w:rsid w:val="00AB2CB8"/>
    <w:rsid w:val="00AB4617"/>
    <w:rsid w:val="00AB7791"/>
    <w:rsid w:val="00AC1B2C"/>
    <w:rsid w:val="00AC3264"/>
    <w:rsid w:val="00AC46AD"/>
    <w:rsid w:val="00AC4D2D"/>
    <w:rsid w:val="00AC58EC"/>
    <w:rsid w:val="00AC7282"/>
    <w:rsid w:val="00AC7961"/>
    <w:rsid w:val="00AD314E"/>
    <w:rsid w:val="00AD5FCD"/>
    <w:rsid w:val="00AD6B48"/>
    <w:rsid w:val="00AD7A3A"/>
    <w:rsid w:val="00AD7B28"/>
    <w:rsid w:val="00AE0E90"/>
    <w:rsid w:val="00AE1BF1"/>
    <w:rsid w:val="00AE23AB"/>
    <w:rsid w:val="00AE4FED"/>
    <w:rsid w:val="00AE58FB"/>
    <w:rsid w:val="00AE5AF0"/>
    <w:rsid w:val="00AE62D9"/>
    <w:rsid w:val="00AE663D"/>
    <w:rsid w:val="00AE73B3"/>
    <w:rsid w:val="00AF07E7"/>
    <w:rsid w:val="00AF0D55"/>
    <w:rsid w:val="00AF0DD2"/>
    <w:rsid w:val="00AF0EBA"/>
    <w:rsid w:val="00AF2AB5"/>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07E"/>
    <w:rsid w:val="00B25C0C"/>
    <w:rsid w:val="00B304B5"/>
    <w:rsid w:val="00B308A9"/>
    <w:rsid w:val="00B31047"/>
    <w:rsid w:val="00B32099"/>
    <w:rsid w:val="00B33148"/>
    <w:rsid w:val="00B35CDF"/>
    <w:rsid w:val="00B403C2"/>
    <w:rsid w:val="00B405A1"/>
    <w:rsid w:val="00B4438A"/>
    <w:rsid w:val="00B45AA2"/>
    <w:rsid w:val="00B479CA"/>
    <w:rsid w:val="00B5084F"/>
    <w:rsid w:val="00B514DD"/>
    <w:rsid w:val="00B52AF0"/>
    <w:rsid w:val="00B53D5F"/>
    <w:rsid w:val="00B54051"/>
    <w:rsid w:val="00B55396"/>
    <w:rsid w:val="00B561BD"/>
    <w:rsid w:val="00B56E03"/>
    <w:rsid w:val="00B602F7"/>
    <w:rsid w:val="00B6099C"/>
    <w:rsid w:val="00B62765"/>
    <w:rsid w:val="00B65DF5"/>
    <w:rsid w:val="00B70CE3"/>
    <w:rsid w:val="00B7679F"/>
    <w:rsid w:val="00B77159"/>
    <w:rsid w:val="00B8080B"/>
    <w:rsid w:val="00B82223"/>
    <w:rsid w:val="00B82521"/>
    <w:rsid w:val="00B83AA0"/>
    <w:rsid w:val="00B87BA5"/>
    <w:rsid w:val="00B87C39"/>
    <w:rsid w:val="00B93891"/>
    <w:rsid w:val="00B9562D"/>
    <w:rsid w:val="00BA21DA"/>
    <w:rsid w:val="00BA2271"/>
    <w:rsid w:val="00BA2B60"/>
    <w:rsid w:val="00BA3C93"/>
    <w:rsid w:val="00BA4665"/>
    <w:rsid w:val="00BA54B7"/>
    <w:rsid w:val="00BA5A47"/>
    <w:rsid w:val="00BA7FD7"/>
    <w:rsid w:val="00BB1681"/>
    <w:rsid w:val="00BB2EB6"/>
    <w:rsid w:val="00BB2FB2"/>
    <w:rsid w:val="00BB3304"/>
    <w:rsid w:val="00BB6551"/>
    <w:rsid w:val="00BC4A10"/>
    <w:rsid w:val="00BD30F4"/>
    <w:rsid w:val="00BD3446"/>
    <w:rsid w:val="00BD59CF"/>
    <w:rsid w:val="00BE1312"/>
    <w:rsid w:val="00BE1F1B"/>
    <w:rsid w:val="00BE288B"/>
    <w:rsid w:val="00BE3AC8"/>
    <w:rsid w:val="00BE3F89"/>
    <w:rsid w:val="00BE47B5"/>
    <w:rsid w:val="00BE5FCE"/>
    <w:rsid w:val="00BF1D0B"/>
    <w:rsid w:val="00C0079E"/>
    <w:rsid w:val="00C0572A"/>
    <w:rsid w:val="00C05EDA"/>
    <w:rsid w:val="00C06C79"/>
    <w:rsid w:val="00C138F3"/>
    <w:rsid w:val="00C13EBD"/>
    <w:rsid w:val="00C1631B"/>
    <w:rsid w:val="00C163AB"/>
    <w:rsid w:val="00C170F0"/>
    <w:rsid w:val="00C25962"/>
    <w:rsid w:val="00C25C23"/>
    <w:rsid w:val="00C25FA6"/>
    <w:rsid w:val="00C3086A"/>
    <w:rsid w:val="00C3099D"/>
    <w:rsid w:val="00C33011"/>
    <w:rsid w:val="00C362C1"/>
    <w:rsid w:val="00C36917"/>
    <w:rsid w:val="00C41950"/>
    <w:rsid w:val="00C42C3B"/>
    <w:rsid w:val="00C431B1"/>
    <w:rsid w:val="00C51672"/>
    <w:rsid w:val="00C538A9"/>
    <w:rsid w:val="00C53B5A"/>
    <w:rsid w:val="00C53E41"/>
    <w:rsid w:val="00C54909"/>
    <w:rsid w:val="00C54AF3"/>
    <w:rsid w:val="00C54F5A"/>
    <w:rsid w:val="00C569B4"/>
    <w:rsid w:val="00C57DDE"/>
    <w:rsid w:val="00C61201"/>
    <w:rsid w:val="00C61468"/>
    <w:rsid w:val="00C61A97"/>
    <w:rsid w:val="00C61E44"/>
    <w:rsid w:val="00C64FF3"/>
    <w:rsid w:val="00C662AD"/>
    <w:rsid w:val="00C67A92"/>
    <w:rsid w:val="00C70F92"/>
    <w:rsid w:val="00C71280"/>
    <w:rsid w:val="00C717BF"/>
    <w:rsid w:val="00C76178"/>
    <w:rsid w:val="00C84560"/>
    <w:rsid w:val="00C86679"/>
    <w:rsid w:val="00C8792F"/>
    <w:rsid w:val="00C90472"/>
    <w:rsid w:val="00C91D6E"/>
    <w:rsid w:val="00C977F7"/>
    <w:rsid w:val="00CA489E"/>
    <w:rsid w:val="00CB0279"/>
    <w:rsid w:val="00CB666B"/>
    <w:rsid w:val="00CB734B"/>
    <w:rsid w:val="00CC0101"/>
    <w:rsid w:val="00CC41B6"/>
    <w:rsid w:val="00CC6990"/>
    <w:rsid w:val="00CC7ADA"/>
    <w:rsid w:val="00CC7F1D"/>
    <w:rsid w:val="00CD0A88"/>
    <w:rsid w:val="00CD125D"/>
    <w:rsid w:val="00CD283C"/>
    <w:rsid w:val="00CD3641"/>
    <w:rsid w:val="00CD66EA"/>
    <w:rsid w:val="00CD7432"/>
    <w:rsid w:val="00CE0983"/>
    <w:rsid w:val="00CE0FA5"/>
    <w:rsid w:val="00CE2A23"/>
    <w:rsid w:val="00CE31C8"/>
    <w:rsid w:val="00CE484B"/>
    <w:rsid w:val="00CE7CBA"/>
    <w:rsid w:val="00CF0DEE"/>
    <w:rsid w:val="00CF42AA"/>
    <w:rsid w:val="00CF5EAA"/>
    <w:rsid w:val="00CF6AE3"/>
    <w:rsid w:val="00CF77BB"/>
    <w:rsid w:val="00D006AE"/>
    <w:rsid w:val="00D00905"/>
    <w:rsid w:val="00D010C1"/>
    <w:rsid w:val="00D01CB9"/>
    <w:rsid w:val="00D01CF0"/>
    <w:rsid w:val="00D0442A"/>
    <w:rsid w:val="00D10F85"/>
    <w:rsid w:val="00D11333"/>
    <w:rsid w:val="00D12A7B"/>
    <w:rsid w:val="00D12ADB"/>
    <w:rsid w:val="00D15E63"/>
    <w:rsid w:val="00D25A39"/>
    <w:rsid w:val="00D27CFA"/>
    <w:rsid w:val="00D310FA"/>
    <w:rsid w:val="00D31E09"/>
    <w:rsid w:val="00D325C6"/>
    <w:rsid w:val="00D37213"/>
    <w:rsid w:val="00D4360D"/>
    <w:rsid w:val="00D45482"/>
    <w:rsid w:val="00D4774C"/>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65CC"/>
    <w:rsid w:val="00D7786B"/>
    <w:rsid w:val="00D80893"/>
    <w:rsid w:val="00D82519"/>
    <w:rsid w:val="00D84854"/>
    <w:rsid w:val="00D84D7C"/>
    <w:rsid w:val="00D87830"/>
    <w:rsid w:val="00D924AE"/>
    <w:rsid w:val="00D92CF1"/>
    <w:rsid w:val="00D92D38"/>
    <w:rsid w:val="00D950F5"/>
    <w:rsid w:val="00D97379"/>
    <w:rsid w:val="00DA4752"/>
    <w:rsid w:val="00DA4C09"/>
    <w:rsid w:val="00DA5273"/>
    <w:rsid w:val="00DA61F3"/>
    <w:rsid w:val="00DA7CB3"/>
    <w:rsid w:val="00DB0D00"/>
    <w:rsid w:val="00DB0F93"/>
    <w:rsid w:val="00DB1A67"/>
    <w:rsid w:val="00DB3721"/>
    <w:rsid w:val="00DB5074"/>
    <w:rsid w:val="00DC0281"/>
    <w:rsid w:val="00DC1930"/>
    <w:rsid w:val="00DC1C76"/>
    <w:rsid w:val="00DC4DBF"/>
    <w:rsid w:val="00DC4DE4"/>
    <w:rsid w:val="00DC4E19"/>
    <w:rsid w:val="00DC65FE"/>
    <w:rsid w:val="00DC7981"/>
    <w:rsid w:val="00DD4C07"/>
    <w:rsid w:val="00DD577D"/>
    <w:rsid w:val="00DD5ADC"/>
    <w:rsid w:val="00DD66E3"/>
    <w:rsid w:val="00DE1093"/>
    <w:rsid w:val="00DE3F6B"/>
    <w:rsid w:val="00DE4EFA"/>
    <w:rsid w:val="00DE5520"/>
    <w:rsid w:val="00DE563D"/>
    <w:rsid w:val="00DE7AB5"/>
    <w:rsid w:val="00DF0152"/>
    <w:rsid w:val="00DF1958"/>
    <w:rsid w:val="00DF1F13"/>
    <w:rsid w:val="00E04818"/>
    <w:rsid w:val="00E06442"/>
    <w:rsid w:val="00E06952"/>
    <w:rsid w:val="00E11E61"/>
    <w:rsid w:val="00E157B2"/>
    <w:rsid w:val="00E16055"/>
    <w:rsid w:val="00E170F0"/>
    <w:rsid w:val="00E2332D"/>
    <w:rsid w:val="00E23993"/>
    <w:rsid w:val="00E2574F"/>
    <w:rsid w:val="00E25951"/>
    <w:rsid w:val="00E25B8C"/>
    <w:rsid w:val="00E31CF6"/>
    <w:rsid w:val="00E33A85"/>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0AE8"/>
    <w:rsid w:val="00EB1CBD"/>
    <w:rsid w:val="00EB351C"/>
    <w:rsid w:val="00EB3A34"/>
    <w:rsid w:val="00EB3C3F"/>
    <w:rsid w:val="00EC04F1"/>
    <w:rsid w:val="00EC237F"/>
    <w:rsid w:val="00EC573A"/>
    <w:rsid w:val="00ED2AFD"/>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642"/>
    <w:rsid w:val="00F10A9A"/>
    <w:rsid w:val="00F11B2D"/>
    <w:rsid w:val="00F121C2"/>
    <w:rsid w:val="00F1485B"/>
    <w:rsid w:val="00F15882"/>
    <w:rsid w:val="00F1655F"/>
    <w:rsid w:val="00F170C7"/>
    <w:rsid w:val="00F171E0"/>
    <w:rsid w:val="00F20BD3"/>
    <w:rsid w:val="00F22A8C"/>
    <w:rsid w:val="00F26A70"/>
    <w:rsid w:val="00F322E9"/>
    <w:rsid w:val="00F3231B"/>
    <w:rsid w:val="00F33808"/>
    <w:rsid w:val="00F373A5"/>
    <w:rsid w:val="00F37864"/>
    <w:rsid w:val="00F404F9"/>
    <w:rsid w:val="00F4108C"/>
    <w:rsid w:val="00F44174"/>
    <w:rsid w:val="00F44B0A"/>
    <w:rsid w:val="00F47559"/>
    <w:rsid w:val="00F50B30"/>
    <w:rsid w:val="00F51A6D"/>
    <w:rsid w:val="00F51F5F"/>
    <w:rsid w:val="00F525DD"/>
    <w:rsid w:val="00F52D75"/>
    <w:rsid w:val="00F55582"/>
    <w:rsid w:val="00F57647"/>
    <w:rsid w:val="00F62A14"/>
    <w:rsid w:val="00F639FA"/>
    <w:rsid w:val="00F644AB"/>
    <w:rsid w:val="00F64C7B"/>
    <w:rsid w:val="00F676DD"/>
    <w:rsid w:val="00F67AB6"/>
    <w:rsid w:val="00F70028"/>
    <w:rsid w:val="00F70434"/>
    <w:rsid w:val="00F75A26"/>
    <w:rsid w:val="00F76706"/>
    <w:rsid w:val="00F77D6D"/>
    <w:rsid w:val="00F77F89"/>
    <w:rsid w:val="00F80206"/>
    <w:rsid w:val="00F83034"/>
    <w:rsid w:val="00F83FAD"/>
    <w:rsid w:val="00F844C6"/>
    <w:rsid w:val="00F86F08"/>
    <w:rsid w:val="00F92FA6"/>
    <w:rsid w:val="00F9353B"/>
    <w:rsid w:val="00F937F1"/>
    <w:rsid w:val="00F952A0"/>
    <w:rsid w:val="00FA18EA"/>
    <w:rsid w:val="00FA31B1"/>
    <w:rsid w:val="00FA3320"/>
    <w:rsid w:val="00FA3C7F"/>
    <w:rsid w:val="00FA6246"/>
    <w:rsid w:val="00FB24ED"/>
    <w:rsid w:val="00FB3304"/>
    <w:rsid w:val="00FB5005"/>
    <w:rsid w:val="00FB60FE"/>
    <w:rsid w:val="00FB74E2"/>
    <w:rsid w:val="00FB778B"/>
    <w:rsid w:val="00FC3404"/>
    <w:rsid w:val="00FC5AB2"/>
    <w:rsid w:val="00FD2CBF"/>
    <w:rsid w:val="00FD5614"/>
    <w:rsid w:val="00FD5E78"/>
    <w:rsid w:val="00FD6D6B"/>
    <w:rsid w:val="00FE0BE1"/>
    <w:rsid w:val="00FE0F78"/>
    <w:rsid w:val="00FE11BB"/>
    <w:rsid w:val="00FE1DE9"/>
    <w:rsid w:val="00FE36AF"/>
    <w:rsid w:val="00FE39C2"/>
    <w:rsid w:val="00FE3C32"/>
    <w:rsid w:val="00FE64AE"/>
    <w:rsid w:val="00FE6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3862193">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law/view/view.htm?docid=%22TXR%2FTR20161%2FNAT%2FATO%2F00001%22" TargetMode="External"/><Relationship Id="rId1" Type="http://schemas.openxmlformats.org/officeDocument/2006/relationships/hyperlink" Target="https://www.ato.gov.au/law/view/view.htm?docid=%22TXR%2FTR20161%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7A8AE-E57F-47DF-B6BD-3E2879EF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656B0E34</Template>
  <TotalTime>0</TotalTime>
  <Pages>15</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2017-07-03T00:54:00Z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