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67364C0A" wp14:editId="2910104C">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684E0654" wp14:editId="1455B2BD">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062757" w:rsidRDefault="00062757" w:rsidP="00D5015C">
          <w:pPr>
            <w:pStyle w:val="ReportSubtitle"/>
          </w:pPr>
          <w:r w:rsidRPr="00062757">
            <w:t>DRAFT DECISION</w:t>
          </w:r>
        </w:p>
        <w:p w:rsidR="00EA2608" w:rsidRDefault="00EA2608" w:rsidP="00D5015C">
          <w:pPr>
            <w:pStyle w:val="ReportSubtitle"/>
          </w:pPr>
          <w:r>
            <w:t>AusNet Services</w:t>
          </w:r>
          <w:r w:rsidR="00D5015C">
            <w:t xml:space="preserve"> </w:t>
          </w:r>
        </w:p>
        <w:p w:rsidR="00D5015C" w:rsidRDefault="00EA2608" w:rsidP="00D5015C">
          <w:pPr>
            <w:pStyle w:val="ReportSubtitle"/>
          </w:pPr>
          <w:r>
            <w:t>G</w:t>
          </w:r>
          <w:r w:rsidR="00D5015C">
            <w:t>as access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DD3546">
            <w:t>9</w:t>
          </w:r>
          <w:r w:rsidR="000474DF">
            <w:t xml:space="preserve"> </w:t>
          </w:r>
          <w:r w:rsidR="00185BA5">
            <w:t>–</w:t>
          </w:r>
          <w:r w:rsidR="000474DF">
            <w:t xml:space="preserve"> </w:t>
          </w:r>
          <w:r w:rsidR="00DD3546">
            <w:t>Efficiency carryover mechanism</w:t>
          </w:r>
        </w:p>
        <w:p w:rsidR="00D5015C" w:rsidRDefault="00D5015C" w:rsidP="00327A1E">
          <w:pPr>
            <w:pStyle w:val="ReportDate"/>
          </w:pPr>
        </w:p>
        <w:p w:rsidR="00D5015C" w:rsidRDefault="00D5015C" w:rsidP="00327A1E">
          <w:pPr>
            <w:pStyle w:val="ReportDate"/>
          </w:pPr>
        </w:p>
        <w:p w:rsidR="000A6C7B" w:rsidRPr="00327A1E" w:rsidRDefault="003E08FD" w:rsidP="00327A1E">
          <w:pPr>
            <w:pStyle w:val="ReportDate"/>
          </w:pPr>
          <w:r>
            <w:t>Ju</w:t>
          </w:r>
          <w:r w:rsidR="00734D8F">
            <w:t>ly</w:t>
          </w:r>
          <w:r w:rsidR="00D5015C">
            <w:t xml:space="preserve">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DD3546">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734D8F">
        <w:t>1300 585 165</w:t>
      </w:r>
      <w:r>
        <w:b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515961"/>
      <w:r>
        <w:lastRenderedPageBreak/>
        <w:t>Note</w:t>
      </w:r>
      <w:bookmarkEnd w:id="1"/>
      <w:bookmarkEnd w:id="2"/>
      <w:bookmarkEnd w:id="3"/>
    </w:p>
    <w:p w:rsidR="00D5015C" w:rsidRDefault="00D5015C" w:rsidP="00D5015C">
      <w:pPr>
        <w:numPr>
          <w:ilvl w:val="0"/>
          <w:numId w:val="23"/>
        </w:numPr>
      </w:pPr>
      <w:r>
        <w:t xml:space="preserve">This attachment forms part of the AER's draft decision on the access arrangement for </w:t>
      </w:r>
      <w:r w:rsidR="00E71076">
        <w:t>AusNet</w:t>
      </w:r>
      <w:r>
        <w:t xml:space="preserve"> for 2018</w:t>
      </w:r>
      <w:r w:rsidR="00E71076">
        <w:t>–</w:t>
      </w:r>
      <w:r>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761454" w:rsidRPr="009D3906" w:rsidRDefault="00761454" w:rsidP="00761454"/>
    <w:p w:rsidR="00CE2A23" w:rsidRPr="00CE2A23" w:rsidRDefault="00CE2A23" w:rsidP="00CE2A23">
      <w:bookmarkStart w:id="4" w:name="_Toc404354899"/>
      <w:bookmarkStart w:id="5" w:name="_Toc404353070"/>
      <w:bookmarkStart w:id="6" w:name="_Toc404684201"/>
      <w:bookmarkStart w:id="7" w:name="_Toc404700923"/>
      <w:r>
        <w:br w:type="page"/>
      </w:r>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515962"/>
      <w:r>
        <w:t>Contents</w:t>
      </w:r>
      <w:bookmarkEnd w:id="8"/>
      <w:bookmarkEnd w:id="9"/>
    </w:p>
    <w:p w:rsidR="00CE2A23" w:rsidRDefault="00CE2A23" w:rsidP="00CE2A23"/>
    <w:sdt>
      <w:sdtPr>
        <w:id w:val="1269200322"/>
        <w:docPartObj>
          <w:docPartGallery w:val="Table of Contents"/>
          <w:docPartUnique/>
        </w:docPartObj>
      </w:sdtPr>
      <w:sdtEndPr/>
      <w:sdtContent>
        <w:p w:rsidR="00047755" w:rsidRDefault="00386FEB">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515961" w:history="1">
            <w:r w:rsidR="00047755" w:rsidRPr="0002450D">
              <w:rPr>
                <w:rStyle w:val="Hyperlink"/>
              </w:rPr>
              <w:t>Note</w:t>
            </w:r>
            <w:r w:rsidR="00047755">
              <w:rPr>
                <w:webHidden/>
              </w:rPr>
              <w:tab/>
            </w:r>
            <w:r w:rsidR="00047755">
              <w:rPr>
                <w:webHidden/>
              </w:rPr>
              <w:fldChar w:fldCharType="begin"/>
            </w:r>
            <w:r w:rsidR="00047755">
              <w:rPr>
                <w:webHidden/>
              </w:rPr>
              <w:instrText xml:space="preserve"> PAGEREF _Toc486515961 \h </w:instrText>
            </w:r>
            <w:r w:rsidR="00047755">
              <w:rPr>
                <w:webHidden/>
              </w:rPr>
            </w:r>
            <w:r w:rsidR="00047755">
              <w:rPr>
                <w:webHidden/>
              </w:rPr>
              <w:fldChar w:fldCharType="separate"/>
            </w:r>
            <w:r w:rsidR="00415ED1">
              <w:rPr>
                <w:webHidden/>
              </w:rPr>
              <w:t>9-2</w:t>
            </w:r>
            <w:r w:rsidR="00047755">
              <w:rPr>
                <w:webHidden/>
              </w:rPr>
              <w:fldChar w:fldCharType="end"/>
            </w:r>
          </w:hyperlink>
        </w:p>
        <w:p w:rsidR="00047755" w:rsidRDefault="00415ED1">
          <w:pPr>
            <w:pStyle w:val="TOC1"/>
            <w:rPr>
              <w:rFonts w:asciiTheme="minorHAnsi" w:eastAsiaTheme="minorEastAsia" w:hAnsiTheme="minorHAnsi"/>
              <w:b w:val="0"/>
              <w:color w:val="auto"/>
              <w:sz w:val="22"/>
              <w:lang w:val="en-AU" w:eastAsia="en-AU"/>
            </w:rPr>
          </w:pPr>
          <w:hyperlink w:anchor="_Toc486515962" w:history="1">
            <w:r w:rsidR="00047755" w:rsidRPr="0002450D">
              <w:rPr>
                <w:rStyle w:val="Hyperlink"/>
              </w:rPr>
              <w:t>Contents</w:t>
            </w:r>
            <w:r w:rsidR="00047755">
              <w:rPr>
                <w:webHidden/>
              </w:rPr>
              <w:tab/>
            </w:r>
            <w:r w:rsidR="00047755">
              <w:rPr>
                <w:webHidden/>
              </w:rPr>
              <w:fldChar w:fldCharType="begin"/>
            </w:r>
            <w:r w:rsidR="00047755">
              <w:rPr>
                <w:webHidden/>
              </w:rPr>
              <w:instrText xml:space="preserve"> PAGEREF _Toc486515962 \h </w:instrText>
            </w:r>
            <w:r w:rsidR="00047755">
              <w:rPr>
                <w:webHidden/>
              </w:rPr>
            </w:r>
            <w:r w:rsidR="00047755">
              <w:rPr>
                <w:webHidden/>
              </w:rPr>
              <w:fldChar w:fldCharType="separate"/>
            </w:r>
            <w:r>
              <w:rPr>
                <w:webHidden/>
              </w:rPr>
              <w:t>9-3</w:t>
            </w:r>
            <w:r w:rsidR="00047755">
              <w:rPr>
                <w:webHidden/>
              </w:rPr>
              <w:fldChar w:fldCharType="end"/>
            </w:r>
          </w:hyperlink>
        </w:p>
        <w:p w:rsidR="00047755" w:rsidRDefault="00415ED1">
          <w:pPr>
            <w:pStyle w:val="TOC1"/>
            <w:rPr>
              <w:rFonts w:asciiTheme="minorHAnsi" w:eastAsiaTheme="minorEastAsia" w:hAnsiTheme="minorHAnsi"/>
              <w:b w:val="0"/>
              <w:color w:val="auto"/>
              <w:sz w:val="22"/>
              <w:lang w:val="en-AU" w:eastAsia="en-AU"/>
            </w:rPr>
          </w:pPr>
          <w:hyperlink w:anchor="_Toc486515963" w:history="1">
            <w:r w:rsidR="00047755" w:rsidRPr="0002450D">
              <w:rPr>
                <w:rStyle w:val="Hyperlink"/>
              </w:rPr>
              <w:t>Shortened forms</w:t>
            </w:r>
            <w:r w:rsidR="00047755">
              <w:rPr>
                <w:webHidden/>
              </w:rPr>
              <w:tab/>
            </w:r>
            <w:r w:rsidR="00047755">
              <w:rPr>
                <w:webHidden/>
              </w:rPr>
              <w:fldChar w:fldCharType="begin"/>
            </w:r>
            <w:r w:rsidR="00047755">
              <w:rPr>
                <w:webHidden/>
              </w:rPr>
              <w:instrText xml:space="preserve"> PAGEREF _Toc486515963 \h </w:instrText>
            </w:r>
            <w:r w:rsidR="00047755">
              <w:rPr>
                <w:webHidden/>
              </w:rPr>
            </w:r>
            <w:r w:rsidR="00047755">
              <w:rPr>
                <w:webHidden/>
              </w:rPr>
              <w:fldChar w:fldCharType="separate"/>
            </w:r>
            <w:r>
              <w:rPr>
                <w:webHidden/>
              </w:rPr>
              <w:t>9-4</w:t>
            </w:r>
            <w:r w:rsidR="00047755">
              <w:rPr>
                <w:webHidden/>
              </w:rPr>
              <w:fldChar w:fldCharType="end"/>
            </w:r>
          </w:hyperlink>
        </w:p>
        <w:p w:rsidR="00047755" w:rsidRDefault="00415ED1">
          <w:pPr>
            <w:pStyle w:val="TOC1"/>
            <w:rPr>
              <w:rFonts w:asciiTheme="minorHAnsi" w:eastAsiaTheme="minorEastAsia" w:hAnsiTheme="minorHAnsi"/>
              <w:b w:val="0"/>
              <w:color w:val="auto"/>
              <w:sz w:val="22"/>
              <w:lang w:val="en-AU" w:eastAsia="en-AU"/>
            </w:rPr>
          </w:pPr>
          <w:hyperlink w:anchor="_Toc486515964" w:history="1">
            <w:r w:rsidR="00047755" w:rsidRPr="0002450D">
              <w:rPr>
                <w:rStyle w:val="Hyperlink"/>
              </w:rPr>
              <w:t>9</w:t>
            </w:r>
            <w:r w:rsidR="00047755">
              <w:rPr>
                <w:rFonts w:asciiTheme="minorHAnsi" w:eastAsiaTheme="minorEastAsia" w:hAnsiTheme="minorHAnsi"/>
                <w:b w:val="0"/>
                <w:color w:val="auto"/>
                <w:sz w:val="22"/>
                <w:lang w:val="en-AU" w:eastAsia="en-AU"/>
              </w:rPr>
              <w:tab/>
            </w:r>
            <w:r w:rsidR="00047755" w:rsidRPr="0002450D">
              <w:rPr>
                <w:rStyle w:val="Hyperlink"/>
              </w:rPr>
              <w:t>Efficiency carryover mechanism</w:t>
            </w:r>
            <w:r w:rsidR="00047755">
              <w:rPr>
                <w:webHidden/>
              </w:rPr>
              <w:tab/>
            </w:r>
            <w:r w:rsidR="00047755">
              <w:rPr>
                <w:webHidden/>
              </w:rPr>
              <w:fldChar w:fldCharType="begin"/>
            </w:r>
            <w:r w:rsidR="00047755">
              <w:rPr>
                <w:webHidden/>
              </w:rPr>
              <w:instrText xml:space="preserve"> PAGEREF _Toc486515964 \h </w:instrText>
            </w:r>
            <w:r w:rsidR="00047755">
              <w:rPr>
                <w:webHidden/>
              </w:rPr>
            </w:r>
            <w:r w:rsidR="00047755">
              <w:rPr>
                <w:webHidden/>
              </w:rPr>
              <w:fldChar w:fldCharType="separate"/>
            </w:r>
            <w:r>
              <w:rPr>
                <w:webHidden/>
              </w:rPr>
              <w:t>9-5</w:t>
            </w:r>
            <w:r w:rsidR="00047755">
              <w:rPr>
                <w:webHidden/>
              </w:rPr>
              <w:fldChar w:fldCharType="end"/>
            </w:r>
          </w:hyperlink>
        </w:p>
        <w:p w:rsidR="00047755" w:rsidRDefault="00415ED1">
          <w:pPr>
            <w:pStyle w:val="TOC2"/>
            <w:rPr>
              <w:rFonts w:asciiTheme="minorHAnsi" w:eastAsiaTheme="minorEastAsia" w:hAnsiTheme="minorHAnsi"/>
              <w:b w:val="0"/>
              <w:color w:val="auto"/>
              <w:sz w:val="22"/>
              <w:lang w:eastAsia="en-AU"/>
            </w:rPr>
          </w:pPr>
          <w:hyperlink w:anchor="_Toc486515965" w:history="1">
            <w:r w:rsidR="00047755" w:rsidRPr="0002450D">
              <w:rPr>
                <w:rStyle w:val="Hyperlink"/>
              </w:rPr>
              <w:t>9.1</w:t>
            </w:r>
            <w:r w:rsidR="00047755">
              <w:rPr>
                <w:rFonts w:asciiTheme="minorHAnsi" w:eastAsiaTheme="minorEastAsia" w:hAnsiTheme="minorHAnsi"/>
                <w:b w:val="0"/>
                <w:color w:val="auto"/>
                <w:sz w:val="22"/>
                <w:lang w:eastAsia="en-AU"/>
              </w:rPr>
              <w:tab/>
            </w:r>
            <w:r w:rsidR="00047755" w:rsidRPr="0002450D">
              <w:rPr>
                <w:rStyle w:val="Hyperlink"/>
              </w:rPr>
              <w:t>Draft decision</w:t>
            </w:r>
            <w:r w:rsidR="00047755">
              <w:rPr>
                <w:webHidden/>
              </w:rPr>
              <w:tab/>
            </w:r>
            <w:r w:rsidR="00047755">
              <w:rPr>
                <w:webHidden/>
              </w:rPr>
              <w:fldChar w:fldCharType="begin"/>
            </w:r>
            <w:r w:rsidR="00047755">
              <w:rPr>
                <w:webHidden/>
              </w:rPr>
              <w:instrText xml:space="preserve"> PAGEREF _Toc486515965 \h </w:instrText>
            </w:r>
            <w:r w:rsidR="00047755">
              <w:rPr>
                <w:webHidden/>
              </w:rPr>
            </w:r>
            <w:r w:rsidR="00047755">
              <w:rPr>
                <w:webHidden/>
              </w:rPr>
              <w:fldChar w:fldCharType="separate"/>
            </w:r>
            <w:r>
              <w:rPr>
                <w:webHidden/>
              </w:rPr>
              <w:t>9-5</w:t>
            </w:r>
            <w:r w:rsidR="00047755">
              <w:rPr>
                <w:webHidden/>
              </w:rPr>
              <w:fldChar w:fldCharType="end"/>
            </w:r>
          </w:hyperlink>
        </w:p>
        <w:p w:rsidR="00047755" w:rsidRDefault="00415ED1">
          <w:pPr>
            <w:pStyle w:val="TOC2"/>
            <w:rPr>
              <w:rFonts w:asciiTheme="minorHAnsi" w:eastAsiaTheme="minorEastAsia" w:hAnsiTheme="minorHAnsi"/>
              <w:b w:val="0"/>
              <w:color w:val="auto"/>
              <w:sz w:val="22"/>
              <w:lang w:eastAsia="en-AU"/>
            </w:rPr>
          </w:pPr>
          <w:hyperlink w:anchor="_Toc486515966" w:history="1">
            <w:r w:rsidR="00047755" w:rsidRPr="0002450D">
              <w:rPr>
                <w:rStyle w:val="Hyperlink"/>
              </w:rPr>
              <w:t>9.2</w:t>
            </w:r>
            <w:r w:rsidR="00047755">
              <w:rPr>
                <w:rFonts w:asciiTheme="minorHAnsi" w:eastAsiaTheme="minorEastAsia" w:hAnsiTheme="minorHAnsi"/>
                <w:b w:val="0"/>
                <w:color w:val="auto"/>
                <w:sz w:val="22"/>
                <w:lang w:eastAsia="en-AU"/>
              </w:rPr>
              <w:tab/>
            </w:r>
            <w:r w:rsidR="00047755" w:rsidRPr="0002450D">
              <w:rPr>
                <w:rStyle w:val="Hyperlink"/>
              </w:rPr>
              <w:t>AusNet's proposal</w:t>
            </w:r>
            <w:r w:rsidR="00047755">
              <w:rPr>
                <w:webHidden/>
              </w:rPr>
              <w:tab/>
            </w:r>
            <w:r w:rsidR="00047755">
              <w:rPr>
                <w:webHidden/>
              </w:rPr>
              <w:fldChar w:fldCharType="begin"/>
            </w:r>
            <w:r w:rsidR="00047755">
              <w:rPr>
                <w:webHidden/>
              </w:rPr>
              <w:instrText xml:space="preserve"> PAGEREF _Toc486515966 \h </w:instrText>
            </w:r>
            <w:r w:rsidR="00047755">
              <w:rPr>
                <w:webHidden/>
              </w:rPr>
            </w:r>
            <w:r w:rsidR="00047755">
              <w:rPr>
                <w:webHidden/>
              </w:rPr>
              <w:fldChar w:fldCharType="separate"/>
            </w:r>
            <w:r>
              <w:rPr>
                <w:webHidden/>
              </w:rPr>
              <w:t>9-6</w:t>
            </w:r>
            <w:r w:rsidR="00047755">
              <w:rPr>
                <w:webHidden/>
              </w:rPr>
              <w:fldChar w:fldCharType="end"/>
            </w:r>
          </w:hyperlink>
        </w:p>
        <w:p w:rsidR="00047755" w:rsidRDefault="00415ED1">
          <w:pPr>
            <w:pStyle w:val="TOC3"/>
            <w:rPr>
              <w:rFonts w:asciiTheme="minorHAnsi" w:eastAsiaTheme="minorEastAsia" w:hAnsiTheme="minorHAnsi"/>
              <w:lang w:eastAsia="en-AU"/>
            </w:rPr>
          </w:pPr>
          <w:hyperlink w:anchor="_Toc486515967" w:history="1">
            <w:r w:rsidR="00047755" w:rsidRPr="0002450D">
              <w:rPr>
                <w:rStyle w:val="Hyperlink"/>
              </w:rPr>
              <w:t>9.2.1</w:t>
            </w:r>
            <w:r w:rsidR="00047755">
              <w:rPr>
                <w:rFonts w:asciiTheme="minorHAnsi" w:eastAsiaTheme="minorEastAsia" w:hAnsiTheme="minorHAnsi"/>
                <w:lang w:eastAsia="en-AU"/>
              </w:rPr>
              <w:tab/>
            </w:r>
            <w:r w:rsidR="00047755" w:rsidRPr="0002450D">
              <w:rPr>
                <w:rStyle w:val="Hyperlink"/>
              </w:rPr>
              <w:t>Carryover amounts from the 2013–17 access arrangement period</w:t>
            </w:r>
            <w:r w:rsidR="00047755">
              <w:rPr>
                <w:webHidden/>
              </w:rPr>
              <w:tab/>
            </w:r>
            <w:r w:rsidR="00047755">
              <w:rPr>
                <w:webHidden/>
              </w:rPr>
              <w:fldChar w:fldCharType="begin"/>
            </w:r>
            <w:r w:rsidR="00047755">
              <w:rPr>
                <w:webHidden/>
              </w:rPr>
              <w:instrText xml:space="preserve"> PAGEREF _Toc486515967 \h </w:instrText>
            </w:r>
            <w:r w:rsidR="00047755">
              <w:rPr>
                <w:webHidden/>
              </w:rPr>
            </w:r>
            <w:r w:rsidR="00047755">
              <w:rPr>
                <w:webHidden/>
              </w:rPr>
              <w:fldChar w:fldCharType="separate"/>
            </w:r>
            <w:r>
              <w:rPr>
                <w:webHidden/>
              </w:rPr>
              <w:t>9-6</w:t>
            </w:r>
            <w:r w:rsidR="00047755">
              <w:rPr>
                <w:webHidden/>
              </w:rPr>
              <w:fldChar w:fldCharType="end"/>
            </w:r>
          </w:hyperlink>
        </w:p>
        <w:p w:rsidR="00047755" w:rsidRDefault="00415ED1">
          <w:pPr>
            <w:pStyle w:val="TOC3"/>
            <w:rPr>
              <w:rFonts w:asciiTheme="minorHAnsi" w:eastAsiaTheme="minorEastAsia" w:hAnsiTheme="minorHAnsi"/>
              <w:lang w:eastAsia="en-AU"/>
            </w:rPr>
          </w:pPr>
          <w:hyperlink w:anchor="_Toc486515968" w:history="1">
            <w:r w:rsidR="00047755" w:rsidRPr="0002450D">
              <w:rPr>
                <w:rStyle w:val="Hyperlink"/>
              </w:rPr>
              <w:t>9.2.2</w:t>
            </w:r>
            <w:r w:rsidR="00047755">
              <w:rPr>
                <w:rFonts w:asciiTheme="minorHAnsi" w:eastAsiaTheme="minorEastAsia" w:hAnsiTheme="minorHAnsi"/>
                <w:lang w:eastAsia="en-AU"/>
              </w:rPr>
              <w:tab/>
            </w:r>
            <w:r w:rsidR="00047755" w:rsidRPr="0002450D">
              <w:rPr>
                <w:rStyle w:val="Hyperlink"/>
              </w:rPr>
              <w:t>Application of the efficiency carryover mechanism in the 2018–22 access arrangement period</w:t>
            </w:r>
            <w:r w:rsidR="00047755">
              <w:rPr>
                <w:webHidden/>
              </w:rPr>
              <w:tab/>
            </w:r>
            <w:r w:rsidR="00047755">
              <w:rPr>
                <w:webHidden/>
              </w:rPr>
              <w:fldChar w:fldCharType="begin"/>
            </w:r>
            <w:r w:rsidR="00047755">
              <w:rPr>
                <w:webHidden/>
              </w:rPr>
              <w:instrText xml:space="preserve"> PAGEREF _Toc486515968 \h </w:instrText>
            </w:r>
            <w:r w:rsidR="00047755">
              <w:rPr>
                <w:webHidden/>
              </w:rPr>
            </w:r>
            <w:r w:rsidR="00047755">
              <w:rPr>
                <w:webHidden/>
              </w:rPr>
              <w:fldChar w:fldCharType="separate"/>
            </w:r>
            <w:r>
              <w:rPr>
                <w:webHidden/>
              </w:rPr>
              <w:t>9-7</w:t>
            </w:r>
            <w:r w:rsidR="00047755">
              <w:rPr>
                <w:webHidden/>
              </w:rPr>
              <w:fldChar w:fldCharType="end"/>
            </w:r>
          </w:hyperlink>
        </w:p>
        <w:p w:rsidR="00047755" w:rsidRDefault="00415ED1">
          <w:pPr>
            <w:pStyle w:val="TOC2"/>
            <w:rPr>
              <w:rFonts w:asciiTheme="minorHAnsi" w:eastAsiaTheme="minorEastAsia" w:hAnsiTheme="minorHAnsi"/>
              <w:b w:val="0"/>
              <w:color w:val="auto"/>
              <w:sz w:val="22"/>
              <w:lang w:eastAsia="en-AU"/>
            </w:rPr>
          </w:pPr>
          <w:hyperlink w:anchor="_Toc486515969" w:history="1">
            <w:r w:rsidR="00047755" w:rsidRPr="0002450D">
              <w:rPr>
                <w:rStyle w:val="Hyperlink"/>
              </w:rPr>
              <w:t>9.3</w:t>
            </w:r>
            <w:r w:rsidR="00047755">
              <w:rPr>
                <w:rFonts w:asciiTheme="minorHAnsi" w:eastAsiaTheme="minorEastAsia" w:hAnsiTheme="minorHAnsi"/>
                <w:b w:val="0"/>
                <w:color w:val="auto"/>
                <w:sz w:val="22"/>
                <w:lang w:eastAsia="en-AU"/>
              </w:rPr>
              <w:tab/>
            </w:r>
            <w:r w:rsidR="00047755" w:rsidRPr="0002450D">
              <w:rPr>
                <w:rStyle w:val="Hyperlink"/>
              </w:rPr>
              <w:t>Our assessment approach</w:t>
            </w:r>
            <w:r w:rsidR="00047755">
              <w:rPr>
                <w:webHidden/>
              </w:rPr>
              <w:tab/>
            </w:r>
            <w:r w:rsidR="00047755">
              <w:rPr>
                <w:webHidden/>
              </w:rPr>
              <w:fldChar w:fldCharType="begin"/>
            </w:r>
            <w:r w:rsidR="00047755">
              <w:rPr>
                <w:webHidden/>
              </w:rPr>
              <w:instrText xml:space="preserve"> PAGEREF _Toc486515969 \h </w:instrText>
            </w:r>
            <w:r w:rsidR="00047755">
              <w:rPr>
                <w:webHidden/>
              </w:rPr>
            </w:r>
            <w:r w:rsidR="00047755">
              <w:rPr>
                <w:webHidden/>
              </w:rPr>
              <w:fldChar w:fldCharType="separate"/>
            </w:r>
            <w:r>
              <w:rPr>
                <w:webHidden/>
              </w:rPr>
              <w:t>9-7</w:t>
            </w:r>
            <w:r w:rsidR="00047755">
              <w:rPr>
                <w:webHidden/>
              </w:rPr>
              <w:fldChar w:fldCharType="end"/>
            </w:r>
          </w:hyperlink>
        </w:p>
        <w:p w:rsidR="00047755" w:rsidRDefault="00415ED1">
          <w:pPr>
            <w:pStyle w:val="TOC3"/>
            <w:rPr>
              <w:rFonts w:asciiTheme="minorHAnsi" w:eastAsiaTheme="minorEastAsia" w:hAnsiTheme="minorHAnsi"/>
              <w:lang w:eastAsia="en-AU"/>
            </w:rPr>
          </w:pPr>
          <w:hyperlink w:anchor="_Toc486515970" w:history="1">
            <w:r w:rsidR="00047755" w:rsidRPr="0002450D">
              <w:rPr>
                <w:rStyle w:val="Hyperlink"/>
              </w:rPr>
              <w:t>9.3.1</w:t>
            </w:r>
            <w:r w:rsidR="00047755">
              <w:rPr>
                <w:rFonts w:asciiTheme="minorHAnsi" w:eastAsiaTheme="minorEastAsia" w:hAnsiTheme="minorHAnsi"/>
                <w:lang w:eastAsia="en-AU"/>
              </w:rPr>
              <w:tab/>
            </w:r>
            <w:r w:rsidR="00047755" w:rsidRPr="0002450D">
              <w:rPr>
                <w:rStyle w:val="Hyperlink"/>
              </w:rPr>
              <w:t>Interrelationships</w:t>
            </w:r>
            <w:r w:rsidR="00047755">
              <w:rPr>
                <w:webHidden/>
              </w:rPr>
              <w:tab/>
            </w:r>
            <w:r w:rsidR="00047755">
              <w:rPr>
                <w:webHidden/>
              </w:rPr>
              <w:fldChar w:fldCharType="begin"/>
            </w:r>
            <w:r w:rsidR="00047755">
              <w:rPr>
                <w:webHidden/>
              </w:rPr>
              <w:instrText xml:space="preserve"> PAGEREF _Toc486515970 \h </w:instrText>
            </w:r>
            <w:r w:rsidR="00047755">
              <w:rPr>
                <w:webHidden/>
              </w:rPr>
            </w:r>
            <w:r w:rsidR="00047755">
              <w:rPr>
                <w:webHidden/>
              </w:rPr>
              <w:fldChar w:fldCharType="separate"/>
            </w:r>
            <w:r>
              <w:rPr>
                <w:webHidden/>
              </w:rPr>
              <w:t>9-8</w:t>
            </w:r>
            <w:r w:rsidR="00047755">
              <w:rPr>
                <w:webHidden/>
              </w:rPr>
              <w:fldChar w:fldCharType="end"/>
            </w:r>
          </w:hyperlink>
        </w:p>
        <w:p w:rsidR="00047755" w:rsidRDefault="00415ED1">
          <w:pPr>
            <w:pStyle w:val="TOC2"/>
            <w:rPr>
              <w:rFonts w:asciiTheme="minorHAnsi" w:eastAsiaTheme="minorEastAsia" w:hAnsiTheme="minorHAnsi"/>
              <w:b w:val="0"/>
              <w:color w:val="auto"/>
              <w:sz w:val="22"/>
              <w:lang w:eastAsia="en-AU"/>
            </w:rPr>
          </w:pPr>
          <w:hyperlink w:anchor="_Toc486515971" w:history="1">
            <w:r w:rsidR="00047755" w:rsidRPr="0002450D">
              <w:rPr>
                <w:rStyle w:val="Hyperlink"/>
              </w:rPr>
              <w:t>9.4</w:t>
            </w:r>
            <w:r w:rsidR="00047755">
              <w:rPr>
                <w:rFonts w:asciiTheme="minorHAnsi" w:eastAsiaTheme="minorEastAsia" w:hAnsiTheme="minorHAnsi"/>
                <w:b w:val="0"/>
                <w:color w:val="auto"/>
                <w:sz w:val="22"/>
                <w:lang w:eastAsia="en-AU"/>
              </w:rPr>
              <w:tab/>
            </w:r>
            <w:r w:rsidR="00047755" w:rsidRPr="0002450D">
              <w:rPr>
                <w:rStyle w:val="Hyperlink"/>
              </w:rPr>
              <w:t>Reasons for draft decision</w:t>
            </w:r>
            <w:r w:rsidR="00047755">
              <w:rPr>
                <w:webHidden/>
              </w:rPr>
              <w:tab/>
            </w:r>
            <w:r w:rsidR="00047755">
              <w:rPr>
                <w:webHidden/>
              </w:rPr>
              <w:fldChar w:fldCharType="begin"/>
            </w:r>
            <w:r w:rsidR="00047755">
              <w:rPr>
                <w:webHidden/>
              </w:rPr>
              <w:instrText xml:space="preserve"> PAGEREF _Toc486515971 \h </w:instrText>
            </w:r>
            <w:r w:rsidR="00047755">
              <w:rPr>
                <w:webHidden/>
              </w:rPr>
            </w:r>
            <w:r w:rsidR="00047755">
              <w:rPr>
                <w:webHidden/>
              </w:rPr>
              <w:fldChar w:fldCharType="separate"/>
            </w:r>
            <w:r>
              <w:rPr>
                <w:webHidden/>
              </w:rPr>
              <w:t>9-8</w:t>
            </w:r>
            <w:r w:rsidR="00047755">
              <w:rPr>
                <w:webHidden/>
              </w:rPr>
              <w:fldChar w:fldCharType="end"/>
            </w:r>
          </w:hyperlink>
        </w:p>
        <w:p w:rsidR="00047755" w:rsidRDefault="00415ED1">
          <w:pPr>
            <w:pStyle w:val="TOC3"/>
            <w:rPr>
              <w:rFonts w:asciiTheme="minorHAnsi" w:eastAsiaTheme="minorEastAsia" w:hAnsiTheme="minorHAnsi"/>
              <w:lang w:eastAsia="en-AU"/>
            </w:rPr>
          </w:pPr>
          <w:hyperlink w:anchor="_Toc486515972" w:history="1">
            <w:r w:rsidR="00047755" w:rsidRPr="0002450D">
              <w:rPr>
                <w:rStyle w:val="Hyperlink"/>
              </w:rPr>
              <w:t>9.4.1</w:t>
            </w:r>
            <w:r w:rsidR="00047755">
              <w:rPr>
                <w:rFonts w:asciiTheme="minorHAnsi" w:eastAsiaTheme="minorEastAsia" w:hAnsiTheme="minorHAnsi"/>
                <w:lang w:eastAsia="en-AU"/>
              </w:rPr>
              <w:tab/>
            </w:r>
            <w:r w:rsidR="00047755" w:rsidRPr="0002450D">
              <w:rPr>
                <w:rStyle w:val="Hyperlink"/>
              </w:rPr>
              <w:t>Carryover amounts from the 2013–17 access arrangement period</w:t>
            </w:r>
            <w:r w:rsidR="00047755">
              <w:rPr>
                <w:webHidden/>
              </w:rPr>
              <w:tab/>
            </w:r>
            <w:r w:rsidR="00047755">
              <w:rPr>
                <w:webHidden/>
              </w:rPr>
              <w:fldChar w:fldCharType="begin"/>
            </w:r>
            <w:r w:rsidR="00047755">
              <w:rPr>
                <w:webHidden/>
              </w:rPr>
              <w:instrText xml:space="preserve"> PAGEREF _Toc486515972 \h </w:instrText>
            </w:r>
            <w:r w:rsidR="00047755">
              <w:rPr>
                <w:webHidden/>
              </w:rPr>
            </w:r>
            <w:r w:rsidR="00047755">
              <w:rPr>
                <w:webHidden/>
              </w:rPr>
              <w:fldChar w:fldCharType="separate"/>
            </w:r>
            <w:r>
              <w:rPr>
                <w:webHidden/>
              </w:rPr>
              <w:t>9-8</w:t>
            </w:r>
            <w:r w:rsidR="00047755">
              <w:rPr>
                <w:webHidden/>
              </w:rPr>
              <w:fldChar w:fldCharType="end"/>
            </w:r>
          </w:hyperlink>
        </w:p>
        <w:p w:rsidR="00047755" w:rsidRDefault="00415ED1">
          <w:pPr>
            <w:pStyle w:val="TOC3"/>
            <w:rPr>
              <w:rFonts w:asciiTheme="minorHAnsi" w:eastAsiaTheme="minorEastAsia" w:hAnsiTheme="minorHAnsi"/>
              <w:lang w:eastAsia="en-AU"/>
            </w:rPr>
          </w:pPr>
          <w:hyperlink w:anchor="_Toc486515973" w:history="1">
            <w:r w:rsidR="00047755" w:rsidRPr="0002450D">
              <w:rPr>
                <w:rStyle w:val="Hyperlink"/>
              </w:rPr>
              <w:t>9.4.2</w:t>
            </w:r>
            <w:r w:rsidR="00047755">
              <w:rPr>
                <w:rFonts w:asciiTheme="minorHAnsi" w:eastAsiaTheme="minorEastAsia" w:hAnsiTheme="minorHAnsi"/>
                <w:lang w:eastAsia="en-AU"/>
              </w:rPr>
              <w:tab/>
            </w:r>
            <w:r w:rsidR="00047755" w:rsidRPr="0002450D">
              <w:rPr>
                <w:rStyle w:val="Hyperlink"/>
              </w:rPr>
              <w:t>The opex incentive mechanism to apply in the 2018–22 access arrangement period</w:t>
            </w:r>
            <w:r w:rsidR="00047755">
              <w:rPr>
                <w:webHidden/>
              </w:rPr>
              <w:tab/>
            </w:r>
            <w:r w:rsidR="00047755">
              <w:rPr>
                <w:webHidden/>
              </w:rPr>
              <w:fldChar w:fldCharType="begin"/>
            </w:r>
            <w:r w:rsidR="00047755">
              <w:rPr>
                <w:webHidden/>
              </w:rPr>
              <w:instrText xml:space="preserve"> PAGEREF _Toc486515973 \h </w:instrText>
            </w:r>
            <w:r w:rsidR="00047755">
              <w:rPr>
                <w:webHidden/>
              </w:rPr>
            </w:r>
            <w:r w:rsidR="00047755">
              <w:rPr>
                <w:webHidden/>
              </w:rPr>
              <w:fldChar w:fldCharType="separate"/>
            </w:r>
            <w:r>
              <w:rPr>
                <w:webHidden/>
              </w:rPr>
              <w:t>9-12</w:t>
            </w:r>
            <w:r w:rsidR="00047755">
              <w:rPr>
                <w:webHidden/>
              </w:rPr>
              <w:fldChar w:fldCharType="end"/>
            </w:r>
          </w:hyperlink>
        </w:p>
        <w:p w:rsidR="00047755" w:rsidRDefault="00415ED1">
          <w:pPr>
            <w:pStyle w:val="TOC2"/>
            <w:rPr>
              <w:rFonts w:asciiTheme="minorHAnsi" w:eastAsiaTheme="minorEastAsia" w:hAnsiTheme="minorHAnsi"/>
              <w:b w:val="0"/>
              <w:color w:val="auto"/>
              <w:sz w:val="22"/>
              <w:lang w:eastAsia="en-AU"/>
            </w:rPr>
          </w:pPr>
          <w:hyperlink w:anchor="_Toc486515974" w:history="1">
            <w:r w:rsidR="00047755" w:rsidRPr="0002450D">
              <w:rPr>
                <w:rStyle w:val="Hyperlink"/>
              </w:rPr>
              <w:t>9.5</w:t>
            </w:r>
            <w:r w:rsidR="00047755">
              <w:rPr>
                <w:rFonts w:asciiTheme="minorHAnsi" w:eastAsiaTheme="minorEastAsia" w:hAnsiTheme="minorHAnsi"/>
                <w:b w:val="0"/>
                <w:color w:val="auto"/>
                <w:sz w:val="22"/>
                <w:lang w:eastAsia="en-AU"/>
              </w:rPr>
              <w:tab/>
            </w:r>
            <w:r w:rsidR="00047755" w:rsidRPr="0002450D">
              <w:rPr>
                <w:rStyle w:val="Hyperlink"/>
              </w:rPr>
              <w:t>Revisions</w:t>
            </w:r>
            <w:r w:rsidR="00047755">
              <w:rPr>
                <w:webHidden/>
              </w:rPr>
              <w:tab/>
            </w:r>
            <w:r w:rsidR="00047755">
              <w:rPr>
                <w:webHidden/>
              </w:rPr>
              <w:fldChar w:fldCharType="begin"/>
            </w:r>
            <w:r w:rsidR="00047755">
              <w:rPr>
                <w:webHidden/>
              </w:rPr>
              <w:instrText xml:space="preserve"> PAGEREF _Toc486515974 \h </w:instrText>
            </w:r>
            <w:r w:rsidR="00047755">
              <w:rPr>
                <w:webHidden/>
              </w:rPr>
            </w:r>
            <w:r w:rsidR="00047755">
              <w:rPr>
                <w:webHidden/>
              </w:rPr>
              <w:fldChar w:fldCharType="separate"/>
            </w:r>
            <w:r>
              <w:rPr>
                <w:webHidden/>
              </w:rPr>
              <w:t>9-18</w:t>
            </w:r>
            <w:r w:rsidR="00047755">
              <w:rPr>
                <w:webHidden/>
              </w:rPr>
              <w:fldChar w:fldCharType="end"/>
            </w:r>
          </w:hyperlink>
        </w:p>
        <w:p w:rsidR="00CE2A23" w:rsidRDefault="00386FEB" w:rsidP="00386FEB">
          <w:pPr>
            <w:pStyle w:val="TOC1"/>
          </w:pPr>
          <w:r>
            <w:fldChar w:fldCharType="end"/>
          </w:r>
        </w:p>
      </w:sdtContent>
    </w:sdt>
    <w:p w:rsidR="00CE2A23" w:rsidRPr="00CE2A23" w:rsidRDefault="00CE2A23" w:rsidP="00CE2A23">
      <w:r>
        <w:t xml:space="preserve"> </w:t>
      </w:r>
    </w:p>
    <w:p w:rsidR="00734D8F" w:rsidRPr="00271F7C" w:rsidRDefault="00CE2A23" w:rsidP="00CE2A23">
      <w:pPr>
        <w:pStyle w:val="UnnumberedHeading"/>
        <w:numPr>
          <w:ilvl w:val="0"/>
          <w:numId w:val="23"/>
        </w:numPr>
      </w:pPr>
      <w:bookmarkStart w:id="10" w:name="_Toc404700925"/>
      <w:bookmarkStart w:id="11" w:name="_Toc486515963"/>
      <w:r>
        <w:t>Shortened forms</w:t>
      </w:r>
      <w:bookmarkEnd w:id="10"/>
      <w:bookmarkEnd w:id="11"/>
    </w:p>
    <w:tbl>
      <w:tblPr>
        <w:tblStyle w:val="AERtable-numbers"/>
        <w:tblW w:w="0" w:type="auto"/>
        <w:tblLook w:val="04A0" w:firstRow="1" w:lastRow="0" w:firstColumn="1" w:lastColumn="0" w:noHBand="0" w:noVBand="1"/>
      </w:tblPr>
      <w:tblGrid>
        <w:gridCol w:w="3652"/>
        <w:gridCol w:w="5041"/>
      </w:tblGrid>
      <w:tr w:rsidR="00734D8F" w:rsidTr="00BE32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734D8F" w:rsidRDefault="00734D8F" w:rsidP="00734D8F">
            <w:pPr>
              <w:numPr>
                <w:ilvl w:val="0"/>
                <w:numId w:val="24"/>
              </w:numPr>
            </w:pPr>
            <w:r>
              <w:t>Shortened form</w:t>
            </w:r>
          </w:p>
        </w:tc>
        <w:tc>
          <w:tcPr>
            <w:tcW w:w="5041" w:type="dxa"/>
          </w:tcPr>
          <w:p w:rsidR="00734D8F" w:rsidRDefault="00734D8F" w:rsidP="00734D8F">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734D8F" w:rsidTr="00BE3214">
        <w:tc>
          <w:tcPr>
            <w:cnfStyle w:val="001000000000" w:firstRow="0" w:lastRow="0" w:firstColumn="1" w:lastColumn="0" w:oddVBand="0" w:evenVBand="0" w:oddHBand="0" w:evenHBand="0" w:firstRowFirstColumn="0" w:firstRowLastColumn="0" w:lastRowFirstColumn="0" w:lastRowLastColumn="0"/>
            <w:tcW w:w="3652" w:type="dxa"/>
          </w:tcPr>
          <w:p w:rsidR="00734D8F" w:rsidRDefault="00734D8F" w:rsidP="00734D8F">
            <w:pPr>
              <w:numPr>
                <w:ilvl w:val="0"/>
                <w:numId w:val="24"/>
              </w:numPr>
            </w:pPr>
            <w:r>
              <w:t>AER</w:t>
            </w:r>
          </w:p>
        </w:tc>
        <w:tc>
          <w:tcPr>
            <w:tcW w:w="5041" w:type="dxa"/>
          </w:tcPr>
          <w:p w:rsidR="00734D8F" w:rsidRDefault="00734D8F" w:rsidP="00734D8F">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734D8F" w:rsidTr="00BE32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34D8F" w:rsidRDefault="00734D8F" w:rsidP="00734D8F">
            <w:pPr>
              <w:numPr>
                <w:ilvl w:val="0"/>
                <w:numId w:val="24"/>
              </w:numPr>
            </w:pPr>
            <w:r>
              <w:t>ATO</w:t>
            </w:r>
          </w:p>
        </w:tc>
        <w:tc>
          <w:tcPr>
            <w:tcW w:w="5041" w:type="dxa"/>
          </w:tcPr>
          <w:p w:rsidR="00734D8F" w:rsidRPr="00734D8F" w:rsidRDefault="00734D8F" w:rsidP="00734D8F">
            <w:pPr>
              <w:cnfStyle w:val="000000010000" w:firstRow="0" w:lastRow="0" w:firstColumn="0" w:lastColumn="0" w:oddVBand="0" w:evenVBand="0" w:oddHBand="0" w:evenHBand="1" w:firstRowFirstColumn="0" w:firstRowLastColumn="0" w:lastRowFirstColumn="0" w:lastRowLastColumn="0"/>
            </w:pPr>
            <w:r>
              <w:t>Australian Tax Office</w:t>
            </w:r>
          </w:p>
        </w:tc>
      </w:tr>
      <w:tr w:rsidR="00734D8F" w:rsidTr="00BE3214">
        <w:tc>
          <w:tcPr>
            <w:cnfStyle w:val="001000000000" w:firstRow="0" w:lastRow="0" w:firstColumn="1" w:lastColumn="0" w:oddVBand="0" w:evenVBand="0" w:oddHBand="0" w:evenHBand="0" w:firstRowFirstColumn="0" w:firstRowLastColumn="0" w:lastRowFirstColumn="0" w:lastRowLastColumn="0"/>
            <w:tcW w:w="3652" w:type="dxa"/>
          </w:tcPr>
          <w:p w:rsidR="00734D8F" w:rsidRDefault="00734D8F" w:rsidP="00734D8F">
            <w:pPr>
              <w:numPr>
                <w:ilvl w:val="0"/>
                <w:numId w:val="24"/>
              </w:numPr>
            </w:pPr>
            <w:r>
              <w:t>capex</w:t>
            </w:r>
          </w:p>
        </w:tc>
        <w:tc>
          <w:tcPr>
            <w:tcW w:w="5041" w:type="dxa"/>
          </w:tcPr>
          <w:p w:rsidR="00734D8F" w:rsidRDefault="00734D8F" w:rsidP="00734D8F">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734D8F" w:rsidTr="00BE32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34D8F" w:rsidRDefault="00734D8F" w:rsidP="00734D8F">
            <w:pPr>
              <w:numPr>
                <w:ilvl w:val="0"/>
                <w:numId w:val="24"/>
              </w:numPr>
            </w:pPr>
            <w:r>
              <w:t>CAPM</w:t>
            </w:r>
          </w:p>
        </w:tc>
        <w:tc>
          <w:tcPr>
            <w:tcW w:w="5041" w:type="dxa"/>
          </w:tcPr>
          <w:p w:rsidR="00734D8F" w:rsidRDefault="00734D8F" w:rsidP="00734D8F">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734D8F" w:rsidTr="00BE3214">
        <w:tc>
          <w:tcPr>
            <w:cnfStyle w:val="001000000000" w:firstRow="0" w:lastRow="0" w:firstColumn="1" w:lastColumn="0" w:oddVBand="0" w:evenVBand="0" w:oddHBand="0" w:evenHBand="0" w:firstRowFirstColumn="0" w:firstRowLastColumn="0" w:lastRowFirstColumn="0" w:lastRowLastColumn="0"/>
            <w:tcW w:w="3652" w:type="dxa"/>
          </w:tcPr>
          <w:p w:rsidR="00734D8F" w:rsidRDefault="00734D8F" w:rsidP="00734D8F">
            <w:pPr>
              <w:numPr>
                <w:ilvl w:val="0"/>
                <w:numId w:val="24"/>
              </w:numPr>
            </w:pPr>
            <w:r>
              <w:t>CESS</w:t>
            </w:r>
          </w:p>
        </w:tc>
        <w:tc>
          <w:tcPr>
            <w:tcW w:w="5041" w:type="dxa"/>
          </w:tcPr>
          <w:p w:rsidR="00734D8F" w:rsidRDefault="00734D8F" w:rsidP="00734D8F">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734D8F" w:rsidTr="00BE32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34D8F" w:rsidRDefault="00734D8F" w:rsidP="00734D8F">
            <w:pPr>
              <w:numPr>
                <w:ilvl w:val="0"/>
                <w:numId w:val="24"/>
              </w:numPr>
            </w:pPr>
            <w:r>
              <w:t>CPI</w:t>
            </w:r>
          </w:p>
        </w:tc>
        <w:tc>
          <w:tcPr>
            <w:tcW w:w="5041" w:type="dxa"/>
          </w:tcPr>
          <w:p w:rsidR="00734D8F" w:rsidRDefault="00734D8F" w:rsidP="00734D8F">
            <w:pPr>
              <w:numPr>
                <w:ilvl w:val="0"/>
                <w:numId w:val="24"/>
              </w:numPr>
              <w:cnfStyle w:val="000000010000" w:firstRow="0" w:lastRow="0" w:firstColumn="0" w:lastColumn="0" w:oddVBand="0" w:evenVBand="0" w:oddHBand="0" w:evenHBand="1" w:firstRowFirstColumn="0" w:firstRowLastColumn="0" w:lastRowFirstColumn="0" w:lastRowLastColumn="0"/>
            </w:pPr>
            <w:r>
              <w:t>consumer price index</w:t>
            </w:r>
          </w:p>
        </w:tc>
      </w:tr>
      <w:tr w:rsidR="00734D8F" w:rsidTr="00BE3214">
        <w:tc>
          <w:tcPr>
            <w:cnfStyle w:val="001000000000" w:firstRow="0" w:lastRow="0" w:firstColumn="1" w:lastColumn="0" w:oddVBand="0" w:evenVBand="0" w:oddHBand="0" w:evenHBand="0" w:firstRowFirstColumn="0" w:firstRowLastColumn="0" w:lastRowFirstColumn="0" w:lastRowLastColumn="0"/>
            <w:tcW w:w="3652" w:type="dxa"/>
          </w:tcPr>
          <w:p w:rsidR="00734D8F" w:rsidRDefault="00734D8F" w:rsidP="00734D8F">
            <w:pPr>
              <w:numPr>
                <w:ilvl w:val="0"/>
                <w:numId w:val="24"/>
              </w:numPr>
            </w:pPr>
            <w:r>
              <w:t>DRP</w:t>
            </w:r>
          </w:p>
        </w:tc>
        <w:tc>
          <w:tcPr>
            <w:tcW w:w="5041" w:type="dxa"/>
          </w:tcPr>
          <w:p w:rsidR="00734D8F" w:rsidRDefault="00734D8F" w:rsidP="00734D8F">
            <w:pPr>
              <w:numPr>
                <w:ilvl w:val="0"/>
                <w:numId w:val="24"/>
              </w:numPr>
              <w:cnfStyle w:val="000000000000" w:firstRow="0" w:lastRow="0" w:firstColumn="0" w:lastColumn="0" w:oddVBand="0" w:evenVBand="0" w:oddHBand="0" w:evenHBand="0" w:firstRowFirstColumn="0" w:firstRowLastColumn="0" w:lastRowFirstColumn="0" w:lastRowLastColumn="0"/>
            </w:pPr>
            <w:r>
              <w:t>debt risk premium</w:t>
            </w:r>
          </w:p>
        </w:tc>
      </w:tr>
      <w:tr w:rsidR="00734D8F" w:rsidTr="00BE32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34D8F" w:rsidRDefault="00734D8F" w:rsidP="00734D8F">
            <w:pPr>
              <w:numPr>
                <w:ilvl w:val="0"/>
                <w:numId w:val="24"/>
              </w:numPr>
            </w:pPr>
            <w:r>
              <w:t>ECM</w:t>
            </w:r>
          </w:p>
        </w:tc>
        <w:tc>
          <w:tcPr>
            <w:tcW w:w="5041" w:type="dxa"/>
          </w:tcPr>
          <w:p w:rsidR="00734D8F" w:rsidRPr="00734D8F" w:rsidRDefault="00734D8F" w:rsidP="00734D8F">
            <w:pPr>
              <w:cnfStyle w:val="000000010000" w:firstRow="0" w:lastRow="0" w:firstColumn="0" w:lastColumn="0" w:oddVBand="0" w:evenVBand="0" w:oddHBand="0" w:evenHBand="1" w:firstRowFirstColumn="0" w:firstRowLastColumn="0" w:lastRowFirstColumn="0" w:lastRowLastColumn="0"/>
            </w:pPr>
            <w:r>
              <w:t>(Opex) Efficiency Carryover Mechanism</w:t>
            </w:r>
          </w:p>
        </w:tc>
      </w:tr>
      <w:tr w:rsidR="00734D8F" w:rsidTr="00BE3214">
        <w:tc>
          <w:tcPr>
            <w:cnfStyle w:val="001000000000" w:firstRow="0" w:lastRow="0" w:firstColumn="1" w:lastColumn="0" w:oddVBand="0" w:evenVBand="0" w:oddHBand="0" w:evenHBand="0" w:firstRowFirstColumn="0" w:firstRowLastColumn="0" w:lastRowFirstColumn="0" w:lastRowLastColumn="0"/>
            <w:tcW w:w="3652" w:type="dxa"/>
          </w:tcPr>
          <w:p w:rsidR="00734D8F" w:rsidRDefault="00734D8F" w:rsidP="00734D8F">
            <w:pPr>
              <w:numPr>
                <w:ilvl w:val="0"/>
                <w:numId w:val="24"/>
              </w:numPr>
            </w:pPr>
            <w:r>
              <w:t>ERP</w:t>
            </w:r>
          </w:p>
        </w:tc>
        <w:tc>
          <w:tcPr>
            <w:tcW w:w="5041" w:type="dxa"/>
          </w:tcPr>
          <w:p w:rsidR="00734D8F" w:rsidRDefault="00734D8F" w:rsidP="00734D8F">
            <w:pPr>
              <w:numPr>
                <w:ilvl w:val="0"/>
                <w:numId w:val="24"/>
              </w:numPr>
              <w:cnfStyle w:val="000000000000" w:firstRow="0" w:lastRow="0" w:firstColumn="0" w:lastColumn="0" w:oddVBand="0" w:evenVBand="0" w:oddHBand="0" w:evenHBand="0" w:firstRowFirstColumn="0" w:firstRowLastColumn="0" w:lastRowFirstColumn="0" w:lastRowLastColumn="0"/>
            </w:pPr>
            <w:r>
              <w:t>equity risk premium</w:t>
            </w:r>
          </w:p>
        </w:tc>
      </w:tr>
      <w:tr w:rsidR="00734D8F" w:rsidTr="00BE32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34D8F" w:rsidRDefault="00734D8F" w:rsidP="00734D8F">
            <w:pPr>
              <w:numPr>
                <w:ilvl w:val="0"/>
                <w:numId w:val="24"/>
              </w:numPr>
            </w:pPr>
            <w:r>
              <w:t>Expenditure Guideline</w:t>
            </w:r>
          </w:p>
        </w:tc>
        <w:tc>
          <w:tcPr>
            <w:tcW w:w="5041" w:type="dxa"/>
          </w:tcPr>
          <w:p w:rsidR="00734D8F" w:rsidRPr="00734D8F" w:rsidRDefault="00734D8F" w:rsidP="00734D8F">
            <w:pPr>
              <w:cnfStyle w:val="000000010000" w:firstRow="0" w:lastRow="0" w:firstColumn="0" w:lastColumn="0" w:oddVBand="0" w:evenVBand="0" w:oddHBand="0" w:evenHBand="1" w:firstRowFirstColumn="0" w:firstRowLastColumn="0" w:lastRowFirstColumn="0" w:lastRowLastColumn="0"/>
            </w:pPr>
            <w:r>
              <w:t>Expenditure Forecast Assessment Guideline</w:t>
            </w:r>
          </w:p>
        </w:tc>
      </w:tr>
      <w:tr w:rsidR="00734D8F" w:rsidTr="00BE3214">
        <w:tc>
          <w:tcPr>
            <w:cnfStyle w:val="001000000000" w:firstRow="0" w:lastRow="0" w:firstColumn="1" w:lastColumn="0" w:oddVBand="0" w:evenVBand="0" w:oddHBand="0" w:evenHBand="0" w:firstRowFirstColumn="0" w:firstRowLastColumn="0" w:lastRowFirstColumn="0" w:lastRowLastColumn="0"/>
            <w:tcW w:w="3652" w:type="dxa"/>
          </w:tcPr>
          <w:p w:rsidR="00734D8F" w:rsidRDefault="00734D8F" w:rsidP="00734D8F">
            <w:pPr>
              <w:numPr>
                <w:ilvl w:val="0"/>
                <w:numId w:val="24"/>
              </w:numPr>
            </w:pPr>
            <w:r>
              <w:t>gamma</w:t>
            </w:r>
          </w:p>
        </w:tc>
        <w:tc>
          <w:tcPr>
            <w:tcW w:w="5041" w:type="dxa"/>
          </w:tcPr>
          <w:p w:rsidR="00734D8F" w:rsidRPr="00734D8F" w:rsidRDefault="00734D8F" w:rsidP="00734D8F">
            <w:pPr>
              <w:cnfStyle w:val="000000000000" w:firstRow="0" w:lastRow="0" w:firstColumn="0" w:lastColumn="0" w:oddVBand="0" w:evenVBand="0" w:oddHBand="0" w:evenHBand="0" w:firstRowFirstColumn="0" w:firstRowLastColumn="0" w:lastRowFirstColumn="0" w:lastRowLastColumn="0"/>
            </w:pPr>
            <w:r>
              <w:t>Value of Imputation Credits</w:t>
            </w:r>
          </w:p>
        </w:tc>
      </w:tr>
      <w:tr w:rsidR="00734D8F" w:rsidTr="00BE32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34D8F" w:rsidRDefault="00734D8F" w:rsidP="00734D8F">
            <w:pPr>
              <w:numPr>
                <w:ilvl w:val="0"/>
                <w:numId w:val="24"/>
              </w:numPr>
            </w:pPr>
            <w:r>
              <w:t>MRP</w:t>
            </w:r>
          </w:p>
        </w:tc>
        <w:tc>
          <w:tcPr>
            <w:tcW w:w="5041" w:type="dxa"/>
          </w:tcPr>
          <w:p w:rsidR="00734D8F" w:rsidRDefault="00734D8F" w:rsidP="00734D8F">
            <w:pPr>
              <w:numPr>
                <w:ilvl w:val="0"/>
                <w:numId w:val="24"/>
              </w:numPr>
              <w:cnfStyle w:val="000000010000" w:firstRow="0" w:lastRow="0" w:firstColumn="0" w:lastColumn="0" w:oddVBand="0" w:evenVBand="0" w:oddHBand="0" w:evenHBand="1" w:firstRowFirstColumn="0" w:firstRowLastColumn="0" w:lastRowFirstColumn="0" w:lastRowLastColumn="0"/>
            </w:pPr>
            <w:r>
              <w:t>market risk premium</w:t>
            </w:r>
          </w:p>
        </w:tc>
      </w:tr>
      <w:tr w:rsidR="00734D8F" w:rsidTr="00BE3214">
        <w:tc>
          <w:tcPr>
            <w:cnfStyle w:val="001000000000" w:firstRow="0" w:lastRow="0" w:firstColumn="1" w:lastColumn="0" w:oddVBand="0" w:evenVBand="0" w:oddHBand="0" w:evenHBand="0" w:firstRowFirstColumn="0" w:firstRowLastColumn="0" w:lastRowFirstColumn="0" w:lastRowLastColumn="0"/>
            <w:tcW w:w="3652" w:type="dxa"/>
          </w:tcPr>
          <w:p w:rsidR="00734D8F" w:rsidRDefault="00734D8F" w:rsidP="00734D8F">
            <w:pPr>
              <w:numPr>
                <w:ilvl w:val="0"/>
                <w:numId w:val="24"/>
              </w:numPr>
            </w:pPr>
            <w:r>
              <w:t>NGL</w:t>
            </w:r>
          </w:p>
        </w:tc>
        <w:tc>
          <w:tcPr>
            <w:tcW w:w="5041" w:type="dxa"/>
          </w:tcPr>
          <w:p w:rsidR="00734D8F" w:rsidRDefault="00734D8F" w:rsidP="00734D8F">
            <w:pPr>
              <w:numPr>
                <w:ilvl w:val="0"/>
                <w:numId w:val="24"/>
              </w:numPr>
              <w:cnfStyle w:val="000000000000" w:firstRow="0" w:lastRow="0" w:firstColumn="0" w:lastColumn="0" w:oddVBand="0" w:evenVBand="0" w:oddHBand="0" w:evenHBand="0" w:firstRowFirstColumn="0" w:firstRowLastColumn="0" w:lastRowFirstColumn="0" w:lastRowLastColumn="0"/>
            </w:pPr>
            <w:r>
              <w:t>National Gas Law</w:t>
            </w:r>
          </w:p>
        </w:tc>
      </w:tr>
      <w:tr w:rsidR="00734D8F" w:rsidTr="00BE32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34D8F" w:rsidRDefault="00734D8F" w:rsidP="00734D8F">
            <w:pPr>
              <w:numPr>
                <w:ilvl w:val="0"/>
                <w:numId w:val="24"/>
              </w:numPr>
            </w:pPr>
            <w:r>
              <w:t>NGO</w:t>
            </w:r>
          </w:p>
        </w:tc>
        <w:tc>
          <w:tcPr>
            <w:tcW w:w="5041" w:type="dxa"/>
          </w:tcPr>
          <w:p w:rsidR="00734D8F" w:rsidRDefault="00734D8F" w:rsidP="00734D8F">
            <w:pPr>
              <w:numPr>
                <w:ilvl w:val="0"/>
                <w:numId w:val="24"/>
              </w:numPr>
              <w:cnfStyle w:val="000000010000" w:firstRow="0" w:lastRow="0" w:firstColumn="0" w:lastColumn="0" w:oddVBand="0" w:evenVBand="0" w:oddHBand="0" w:evenHBand="1" w:firstRowFirstColumn="0" w:firstRowLastColumn="0" w:lastRowFirstColumn="0" w:lastRowLastColumn="0"/>
            </w:pPr>
            <w:r>
              <w:t>national gas objective</w:t>
            </w:r>
          </w:p>
        </w:tc>
      </w:tr>
      <w:tr w:rsidR="00734D8F" w:rsidTr="00BE3214">
        <w:tc>
          <w:tcPr>
            <w:cnfStyle w:val="001000000000" w:firstRow="0" w:lastRow="0" w:firstColumn="1" w:lastColumn="0" w:oddVBand="0" w:evenVBand="0" w:oddHBand="0" w:evenHBand="0" w:firstRowFirstColumn="0" w:firstRowLastColumn="0" w:lastRowFirstColumn="0" w:lastRowLastColumn="0"/>
            <w:tcW w:w="3652" w:type="dxa"/>
          </w:tcPr>
          <w:p w:rsidR="00734D8F" w:rsidRDefault="00734D8F" w:rsidP="00734D8F">
            <w:pPr>
              <w:numPr>
                <w:ilvl w:val="0"/>
                <w:numId w:val="24"/>
              </w:numPr>
            </w:pPr>
            <w:r>
              <w:t>NGR</w:t>
            </w:r>
          </w:p>
        </w:tc>
        <w:tc>
          <w:tcPr>
            <w:tcW w:w="5041" w:type="dxa"/>
          </w:tcPr>
          <w:p w:rsidR="00734D8F" w:rsidRDefault="00734D8F" w:rsidP="00734D8F">
            <w:pPr>
              <w:numPr>
                <w:ilvl w:val="0"/>
                <w:numId w:val="24"/>
              </w:numPr>
              <w:cnfStyle w:val="000000000000" w:firstRow="0" w:lastRow="0" w:firstColumn="0" w:lastColumn="0" w:oddVBand="0" w:evenVBand="0" w:oddHBand="0" w:evenHBand="0" w:firstRowFirstColumn="0" w:firstRowLastColumn="0" w:lastRowFirstColumn="0" w:lastRowLastColumn="0"/>
            </w:pPr>
            <w:r>
              <w:t>National Gas Rules</w:t>
            </w:r>
          </w:p>
        </w:tc>
      </w:tr>
      <w:tr w:rsidR="00734D8F" w:rsidTr="00BE32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34D8F" w:rsidRDefault="00734D8F" w:rsidP="00734D8F">
            <w:pPr>
              <w:numPr>
                <w:ilvl w:val="0"/>
                <w:numId w:val="24"/>
              </w:numPr>
            </w:pPr>
            <w:r>
              <w:t>NPV</w:t>
            </w:r>
          </w:p>
        </w:tc>
        <w:tc>
          <w:tcPr>
            <w:tcW w:w="5041" w:type="dxa"/>
          </w:tcPr>
          <w:p w:rsidR="00734D8F" w:rsidRPr="00734D8F" w:rsidRDefault="00734D8F" w:rsidP="00734D8F">
            <w:pPr>
              <w:cnfStyle w:val="000000010000" w:firstRow="0" w:lastRow="0" w:firstColumn="0" w:lastColumn="0" w:oddVBand="0" w:evenVBand="0" w:oddHBand="0" w:evenHBand="1" w:firstRowFirstColumn="0" w:firstRowLastColumn="0" w:lastRowFirstColumn="0" w:lastRowLastColumn="0"/>
            </w:pPr>
            <w:r>
              <w:t>net present value</w:t>
            </w:r>
          </w:p>
        </w:tc>
      </w:tr>
      <w:tr w:rsidR="00734D8F" w:rsidTr="00BE3214">
        <w:tc>
          <w:tcPr>
            <w:cnfStyle w:val="001000000000" w:firstRow="0" w:lastRow="0" w:firstColumn="1" w:lastColumn="0" w:oddVBand="0" w:evenVBand="0" w:oddHBand="0" w:evenHBand="0" w:firstRowFirstColumn="0" w:firstRowLastColumn="0" w:lastRowFirstColumn="0" w:lastRowLastColumn="0"/>
            <w:tcW w:w="3652" w:type="dxa"/>
          </w:tcPr>
          <w:p w:rsidR="00734D8F" w:rsidRDefault="00734D8F" w:rsidP="00734D8F">
            <w:pPr>
              <w:numPr>
                <w:ilvl w:val="0"/>
                <w:numId w:val="24"/>
              </w:numPr>
            </w:pPr>
            <w:r>
              <w:t>opex</w:t>
            </w:r>
          </w:p>
        </w:tc>
        <w:tc>
          <w:tcPr>
            <w:tcW w:w="5041" w:type="dxa"/>
          </w:tcPr>
          <w:p w:rsidR="00734D8F" w:rsidRDefault="00734D8F" w:rsidP="00734D8F">
            <w:pPr>
              <w:numPr>
                <w:ilvl w:val="0"/>
                <w:numId w:val="24"/>
              </w:numPr>
              <w:cnfStyle w:val="000000000000" w:firstRow="0" w:lastRow="0" w:firstColumn="0" w:lastColumn="0" w:oddVBand="0" w:evenVBand="0" w:oddHBand="0" w:evenHBand="0" w:firstRowFirstColumn="0" w:firstRowLastColumn="0" w:lastRowFirstColumn="0" w:lastRowLastColumn="0"/>
            </w:pPr>
            <w:r>
              <w:t>operating expenditure</w:t>
            </w:r>
          </w:p>
        </w:tc>
      </w:tr>
      <w:tr w:rsidR="00734D8F" w:rsidTr="00BE32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34D8F" w:rsidRDefault="00734D8F" w:rsidP="00734D8F">
            <w:pPr>
              <w:numPr>
                <w:ilvl w:val="0"/>
                <w:numId w:val="24"/>
              </w:numPr>
            </w:pPr>
            <w:r>
              <w:t>PTRM</w:t>
            </w:r>
          </w:p>
        </w:tc>
        <w:tc>
          <w:tcPr>
            <w:tcW w:w="5041" w:type="dxa"/>
          </w:tcPr>
          <w:p w:rsidR="00734D8F" w:rsidRDefault="00734D8F" w:rsidP="00734D8F">
            <w:pPr>
              <w:numPr>
                <w:ilvl w:val="0"/>
                <w:numId w:val="24"/>
              </w:numPr>
              <w:cnfStyle w:val="000000010000" w:firstRow="0" w:lastRow="0" w:firstColumn="0" w:lastColumn="0" w:oddVBand="0" w:evenVBand="0" w:oddHBand="0" w:evenHBand="1" w:firstRowFirstColumn="0" w:firstRowLastColumn="0" w:lastRowFirstColumn="0" w:lastRowLastColumn="0"/>
            </w:pPr>
            <w:r>
              <w:t>post-tax revenue model</w:t>
            </w:r>
          </w:p>
        </w:tc>
      </w:tr>
      <w:tr w:rsidR="00734D8F" w:rsidTr="00BE3214">
        <w:tc>
          <w:tcPr>
            <w:cnfStyle w:val="001000000000" w:firstRow="0" w:lastRow="0" w:firstColumn="1" w:lastColumn="0" w:oddVBand="0" w:evenVBand="0" w:oddHBand="0" w:evenHBand="0" w:firstRowFirstColumn="0" w:firstRowLastColumn="0" w:lastRowFirstColumn="0" w:lastRowLastColumn="0"/>
            <w:tcW w:w="3652" w:type="dxa"/>
          </w:tcPr>
          <w:p w:rsidR="00734D8F" w:rsidRDefault="00734D8F" w:rsidP="00734D8F">
            <w:pPr>
              <w:numPr>
                <w:ilvl w:val="0"/>
                <w:numId w:val="24"/>
              </w:numPr>
            </w:pPr>
            <w:r>
              <w:t>RBA</w:t>
            </w:r>
          </w:p>
        </w:tc>
        <w:tc>
          <w:tcPr>
            <w:tcW w:w="5041" w:type="dxa"/>
          </w:tcPr>
          <w:p w:rsidR="00734D8F" w:rsidRDefault="00734D8F" w:rsidP="00734D8F">
            <w:pPr>
              <w:numPr>
                <w:ilvl w:val="0"/>
                <w:numId w:val="24"/>
              </w:numPr>
              <w:cnfStyle w:val="000000000000" w:firstRow="0" w:lastRow="0" w:firstColumn="0" w:lastColumn="0" w:oddVBand="0" w:evenVBand="0" w:oddHBand="0" w:evenHBand="0" w:firstRowFirstColumn="0" w:firstRowLastColumn="0" w:lastRowFirstColumn="0" w:lastRowLastColumn="0"/>
            </w:pPr>
            <w:r>
              <w:t>Reserve Bank of Australia</w:t>
            </w:r>
          </w:p>
        </w:tc>
      </w:tr>
      <w:tr w:rsidR="00734D8F" w:rsidTr="00BE32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34D8F" w:rsidRDefault="00734D8F" w:rsidP="00734D8F">
            <w:pPr>
              <w:numPr>
                <w:ilvl w:val="0"/>
                <w:numId w:val="24"/>
              </w:numPr>
            </w:pPr>
            <w:r>
              <w:t>RFM</w:t>
            </w:r>
          </w:p>
        </w:tc>
        <w:tc>
          <w:tcPr>
            <w:tcW w:w="5041" w:type="dxa"/>
          </w:tcPr>
          <w:p w:rsidR="00734D8F" w:rsidRDefault="00734D8F" w:rsidP="00734D8F">
            <w:pPr>
              <w:numPr>
                <w:ilvl w:val="0"/>
                <w:numId w:val="24"/>
              </w:numPr>
              <w:cnfStyle w:val="000000010000" w:firstRow="0" w:lastRow="0" w:firstColumn="0" w:lastColumn="0" w:oddVBand="0" w:evenVBand="0" w:oddHBand="0" w:evenHBand="1" w:firstRowFirstColumn="0" w:firstRowLastColumn="0" w:lastRowFirstColumn="0" w:lastRowLastColumn="0"/>
            </w:pPr>
            <w:r>
              <w:t>roll forward model</w:t>
            </w:r>
          </w:p>
        </w:tc>
      </w:tr>
      <w:tr w:rsidR="00734D8F" w:rsidTr="00BE3214">
        <w:tc>
          <w:tcPr>
            <w:cnfStyle w:val="001000000000" w:firstRow="0" w:lastRow="0" w:firstColumn="1" w:lastColumn="0" w:oddVBand="0" w:evenVBand="0" w:oddHBand="0" w:evenHBand="0" w:firstRowFirstColumn="0" w:firstRowLastColumn="0" w:lastRowFirstColumn="0" w:lastRowLastColumn="0"/>
            <w:tcW w:w="3652" w:type="dxa"/>
          </w:tcPr>
          <w:p w:rsidR="00734D8F" w:rsidRDefault="00734D8F" w:rsidP="00734D8F">
            <w:pPr>
              <w:numPr>
                <w:ilvl w:val="0"/>
                <w:numId w:val="24"/>
              </w:numPr>
            </w:pPr>
            <w:r>
              <w:t>RIN</w:t>
            </w:r>
          </w:p>
        </w:tc>
        <w:tc>
          <w:tcPr>
            <w:tcW w:w="5041" w:type="dxa"/>
          </w:tcPr>
          <w:p w:rsidR="00734D8F" w:rsidRDefault="00734D8F" w:rsidP="00734D8F">
            <w:pPr>
              <w:numPr>
                <w:ilvl w:val="0"/>
                <w:numId w:val="24"/>
              </w:numPr>
              <w:cnfStyle w:val="000000000000" w:firstRow="0" w:lastRow="0" w:firstColumn="0" w:lastColumn="0" w:oddVBand="0" w:evenVBand="0" w:oddHBand="0" w:evenHBand="0" w:firstRowFirstColumn="0" w:firstRowLastColumn="0" w:lastRowFirstColumn="0" w:lastRowLastColumn="0"/>
            </w:pPr>
            <w:r>
              <w:t>regulatory information notice</w:t>
            </w:r>
          </w:p>
        </w:tc>
      </w:tr>
      <w:tr w:rsidR="00734D8F" w:rsidTr="00BE32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34D8F" w:rsidRDefault="00734D8F" w:rsidP="00734D8F">
            <w:pPr>
              <w:numPr>
                <w:ilvl w:val="0"/>
                <w:numId w:val="24"/>
              </w:numPr>
            </w:pPr>
            <w:r>
              <w:t>RPP</w:t>
            </w:r>
          </w:p>
        </w:tc>
        <w:tc>
          <w:tcPr>
            <w:tcW w:w="5041" w:type="dxa"/>
          </w:tcPr>
          <w:p w:rsidR="00734D8F" w:rsidRDefault="00734D8F" w:rsidP="00734D8F">
            <w:pPr>
              <w:numPr>
                <w:ilvl w:val="0"/>
                <w:numId w:val="24"/>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734D8F" w:rsidTr="00BE3214">
        <w:tc>
          <w:tcPr>
            <w:cnfStyle w:val="001000000000" w:firstRow="0" w:lastRow="0" w:firstColumn="1" w:lastColumn="0" w:oddVBand="0" w:evenVBand="0" w:oddHBand="0" w:evenHBand="0" w:firstRowFirstColumn="0" w:firstRowLastColumn="0" w:lastRowFirstColumn="0" w:lastRowLastColumn="0"/>
            <w:tcW w:w="3652" w:type="dxa"/>
          </w:tcPr>
          <w:p w:rsidR="00734D8F" w:rsidRDefault="00734D8F" w:rsidP="00734D8F">
            <w:pPr>
              <w:numPr>
                <w:ilvl w:val="0"/>
                <w:numId w:val="24"/>
              </w:numPr>
            </w:pPr>
            <w:r>
              <w:t>SLCAPM</w:t>
            </w:r>
          </w:p>
        </w:tc>
        <w:tc>
          <w:tcPr>
            <w:tcW w:w="5041" w:type="dxa"/>
          </w:tcPr>
          <w:p w:rsidR="00734D8F" w:rsidRDefault="00734D8F" w:rsidP="00734D8F">
            <w:pPr>
              <w:numPr>
                <w:ilvl w:val="0"/>
                <w:numId w:val="24"/>
              </w:numPr>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734D8F" w:rsidTr="00BE32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34D8F" w:rsidRDefault="00734D8F" w:rsidP="00734D8F">
            <w:pPr>
              <w:numPr>
                <w:ilvl w:val="0"/>
                <w:numId w:val="24"/>
              </w:numPr>
            </w:pPr>
            <w:r>
              <w:t>STTM</w:t>
            </w:r>
          </w:p>
        </w:tc>
        <w:tc>
          <w:tcPr>
            <w:tcW w:w="5041" w:type="dxa"/>
          </w:tcPr>
          <w:p w:rsidR="00734D8F" w:rsidRPr="00734D8F" w:rsidRDefault="00734D8F" w:rsidP="00734D8F">
            <w:pPr>
              <w:cnfStyle w:val="000000010000" w:firstRow="0" w:lastRow="0" w:firstColumn="0" w:lastColumn="0" w:oddVBand="0" w:evenVBand="0" w:oddHBand="0" w:evenHBand="1" w:firstRowFirstColumn="0" w:firstRowLastColumn="0" w:lastRowFirstColumn="0" w:lastRowLastColumn="0"/>
            </w:pPr>
            <w:r>
              <w:t>Short Term Trading Market</w:t>
            </w:r>
          </w:p>
        </w:tc>
      </w:tr>
      <w:tr w:rsidR="00734D8F" w:rsidTr="00BE3214">
        <w:tc>
          <w:tcPr>
            <w:cnfStyle w:val="001000000000" w:firstRow="0" w:lastRow="0" w:firstColumn="1" w:lastColumn="0" w:oddVBand="0" w:evenVBand="0" w:oddHBand="0" w:evenHBand="0" w:firstRowFirstColumn="0" w:firstRowLastColumn="0" w:lastRowFirstColumn="0" w:lastRowLastColumn="0"/>
            <w:tcW w:w="3652" w:type="dxa"/>
          </w:tcPr>
          <w:p w:rsidR="00734D8F" w:rsidRDefault="00734D8F" w:rsidP="00734D8F">
            <w:pPr>
              <w:numPr>
                <w:ilvl w:val="0"/>
                <w:numId w:val="24"/>
              </w:numPr>
            </w:pPr>
            <w:r>
              <w:t>TAB</w:t>
            </w:r>
          </w:p>
        </w:tc>
        <w:tc>
          <w:tcPr>
            <w:tcW w:w="5041" w:type="dxa"/>
          </w:tcPr>
          <w:p w:rsidR="00734D8F" w:rsidRPr="00734D8F" w:rsidRDefault="00734D8F" w:rsidP="00734D8F">
            <w:pPr>
              <w:cnfStyle w:val="000000000000" w:firstRow="0" w:lastRow="0" w:firstColumn="0" w:lastColumn="0" w:oddVBand="0" w:evenVBand="0" w:oddHBand="0" w:evenHBand="0" w:firstRowFirstColumn="0" w:firstRowLastColumn="0" w:lastRowFirstColumn="0" w:lastRowLastColumn="0"/>
            </w:pPr>
            <w:r>
              <w:t>Tax asset base</w:t>
            </w:r>
          </w:p>
        </w:tc>
      </w:tr>
      <w:tr w:rsidR="00734D8F" w:rsidTr="00BE32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34D8F" w:rsidRDefault="00734D8F" w:rsidP="00734D8F">
            <w:pPr>
              <w:numPr>
                <w:ilvl w:val="0"/>
                <w:numId w:val="24"/>
              </w:numPr>
            </w:pPr>
            <w:r>
              <w:t>UAFG</w:t>
            </w:r>
          </w:p>
        </w:tc>
        <w:tc>
          <w:tcPr>
            <w:tcW w:w="5041" w:type="dxa"/>
          </w:tcPr>
          <w:p w:rsidR="00734D8F" w:rsidRPr="00734D8F" w:rsidRDefault="00734D8F" w:rsidP="00734D8F">
            <w:pPr>
              <w:cnfStyle w:val="000000010000" w:firstRow="0" w:lastRow="0" w:firstColumn="0" w:lastColumn="0" w:oddVBand="0" w:evenVBand="0" w:oddHBand="0" w:evenHBand="1" w:firstRowFirstColumn="0" w:firstRowLastColumn="0" w:lastRowFirstColumn="0" w:lastRowLastColumn="0"/>
            </w:pPr>
            <w:r>
              <w:t>Unaccounted for gas</w:t>
            </w:r>
          </w:p>
        </w:tc>
      </w:tr>
      <w:tr w:rsidR="00734D8F" w:rsidTr="00BE3214">
        <w:tc>
          <w:tcPr>
            <w:cnfStyle w:val="001000000000" w:firstRow="0" w:lastRow="0" w:firstColumn="1" w:lastColumn="0" w:oddVBand="0" w:evenVBand="0" w:oddHBand="0" w:evenHBand="0" w:firstRowFirstColumn="0" w:firstRowLastColumn="0" w:lastRowFirstColumn="0" w:lastRowLastColumn="0"/>
            <w:tcW w:w="3652" w:type="dxa"/>
          </w:tcPr>
          <w:p w:rsidR="00734D8F" w:rsidRDefault="00734D8F" w:rsidP="00734D8F">
            <w:pPr>
              <w:numPr>
                <w:ilvl w:val="0"/>
                <w:numId w:val="24"/>
              </w:numPr>
            </w:pPr>
            <w:r>
              <w:t>WACC</w:t>
            </w:r>
          </w:p>
        </w:tc>
        <w:tc>
          <w:tcPr>
            <w:tcW w:w="5041" w:type="dxa"/>
          </w:tcPr>
          <w:p w:rsidR="00734D8F" w:rsidRDefault="00734D8F" w:rsidP="00734D8F">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734D8F" w:rsidTr="00BE32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34D8F" w:rsidRDefault="00734D8F" w:rsidP="00734D8F">
            <w:pPr>
              <w:numPr>
                <w:ilvl w:val="0"/>
                <w:numId w:val="24"/>
              </w:numPr>
            </w:pPr>
            <w:r>
              <w:t>WPI</w:t>
            </w:r>
          </w:p>
        </w:tc>
        <w:tc>
          <w:tcPr>
            <w:tcW w:w="5041" w:type="dxa"/>
          </w:tcPr>
          <w:p w:rsidR="00734D8F" w:rsidRPr="00734D8F" w:rsidRDefault="00734D8F" w:rsidP="00734D8F">
            <w:pPr>
              <w:cnfStyle w:val="000000010000" w:firstRow="0" w:lastRow="0" w:firstColumn="0" w:lastColumn="0" w:oddVBand="0" w:evenVBand="0" w:oddHBand="0" w:evenHBand="1" w:firstRowFirstColumn="0" w:firstRowLastColumn="0" w:lastRowFirstColumn="0" w:lastRowLastColumn="0"/>
            </w:pPr>
            <w:r>
              <w:t>Wage Price Index</w:t>
            </w:r>
          </w:p>
        </w:tc>
      </w:tr>
    </w:tbl>
    <w:p w:rsidR="005129FE" w:rsidRDefault="005129FE" w:rsidP="005129FE">
      <w:pPr>
        <w:pStyle w:val="Heading1"/>
      </w:pPr>
      <w:bookmarkStart w:id="12" w:name="_Toc416278154"/>
      <w:bookmarkStart w:id="13" w:name="_Toc416346517"/>
      <w:bookmarkStart w:id="14" w:name="_Toc416278157"/>
      <w:bookmarkStart w:id="15" w:name="_Toc416346520"/>
      <w:bookmarkStart w:id="16" w:name="_Toc416278160"/>
      <w:bookmarkStart w:id="17" w:name="_Toc416346523"/>
      <w:bookmarkStart w:id="18" w:name="_Toc416278163"/>
      <w:bookmarkStart w:id="19" w:name="_Toc416346526"/>
      <w:bookmarkStart w:id="20" w:name="_Toc416278166"/>
      <w:bookmarkStart w:id="21" w:name="_Toc416346529"/>
      <w:bookmarkStart w:id="22" w:name="_Toc416278169"/>
      <w:bookmarkStart w:id="23" w:name="_Toc416346532"/>
      <w:bookmarkStart w:id="24" w:name="_Toc416278172"/>
      <w:bookmarkStart w:id="25" w:name="_Toc416346535"/>
      <w:bookmarkStart w:id="26" w:name="_Toc416278175"/>
      <w:bookmarkStart w:id="27" w:name="_Toc416346538"/>
      <w:bookmarkStart w:id="28" w:name="_Toc416278178"/>
      <w:bookmarkStart w:id="29" w:name="_Toc416346541"/>
      <w:bookmarkStart w:id="30" w:name="_Toc416278181"/>
      <w:bookmarkStart w:id="31" w:name="_Toc416346544"/>
      <w:bookmarkStart w:id="32" w:name="_Toc416278184"/>
      <w:bookmarkStart w:id="33" w:name="_Toc416346547"/>
      <w:bookmarkStart w:id="34" w:name="_Toc416278187"/>
      <w:bookmarkStart w:id="35" w:name="_Toc416346550"/>
      <w:bookmarkStart w:id="36" w:name="_Toc416278190"/>
      <w:bookmarkStart w:id="37" w:name="_Toc416346553"/>
      <w:bookmarkStart w:id="38" w:name="_Toc416278193"/>
      <w:bookmarkStart w:id="39" w:name="_Toc416346556"/>
      <w:bookmarkStart w:id="40" w:name="_Toc416278196"/>
      <w:bookmarkStart w:id="41" w:name="_Toc416346559"/>
      <w:bookmarkStart w:id="42" w:name="_Toc416278199"/>
      <w:bookmarkStart w:id="43" w:name="_Toc416346562"/>
      <w:bookmarkStart w:id="44" w:name="_Toc416278202"/>
      <w:bookmarkStart w:id="45" w:name="_Toc416346565"/>
      <w:bookmarkStart w:id="46" w:name="_Toc416278205"/>
      <w:bookmarkStart w:id="47" w:name="_Toc416346568"/>
      <w:bookmarkStart w:id="48" w:name="_Toc416278208"/>
      <w:bookmarkStart w:id="49" w:name="_Toc416346571"/>
      <w:bookmarkStart w:id="50" w:name="_Toc416278211"/>
      <w:bookmarkStart w:id="51" w:name="_Toc416346574"/>
      <w:bookmarkStart w:id="52" w:name="_Toc416278214"/>
      <w:bookmarkStart w:id="53" w:name="_Toc416346577"/>
      <w:bookmarkStart w:id="54" w:name="_Toc416278217"/>
      <w:bookmarkStart w:id="55" w:name="_Toc416346580"/>
      <w:bookmarkStart w:id="56" w:name="_Toc416278220"/>
      <w:bookmarkStart w:id="57" w:name="_Toc416346583"/>
      <w:bookmarkStart w:id="58" w:name="_Toc416278223"/>
      <w:bookmarkStart w:id="59" w:name="_Toc416346586"/>
      <w:bookmarkStart w:id="60" w:name="_Toc416278226"/>
      <w:bookmarkStart w:id="61" w:name="_Toc416346589"/>
      <w:bookmarkStart w:id="62" w:name="_Toc416278229"/>
      <w:bookmarkStart w:id="63" w:name="_Toc416346592"/>
      <w:bookmarkStart w:id="64" w:name="_Toc416278232"/>
      <w:bookmarkStart w:id="65" w:name="_Toc416346595"/>
      <w:bookmarkStart w:id="66" w:name="_Toc416278235"/>
      <w:bookmarkStart w:id="67" w:name="_Toc416346598"/>
      <w:bookmarkStart w:id="68" w:name="_Toc416278238"/>
      <w:bookmarkStart w:id="69" w:name="_Toc416346601"/>
      <w:bookmarkStart w:id="70" w:name="_Toc479174749"/>
      <w:bookmarkStart w:id="71" w:name="_Toc486515964"/>
      <w:bookmarkEnd w:id="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t>Efficiency carryover mechanism</w:t>
      </w:r>
      <w:bookmarkEnd w:id="70"/>
      <w:bookmarkEnd w:id="71"/>
    </w:p>
    <w:p w:rsidR="005129FE" w:rsidRDefault="005129FE" w:rsidP="005129FE">
      <w:r>
        <w:t xml:space="preserve">An efficiency carryover mechanism provides an additional incentive for service providers to pursue efficiency improvements in operating expenditure (opex). It is often used in incentive regulation. </w:t>
      </w:r>
    </w:p>
    <w:p w:rsidR="005129FE" w:rsidRDefault="005129FE" w:rsidP="005129FE">
      <w:r>
        <w:t>To encourage a service provider to become more efficient, it is allowed to keep any difference between its approved opex forecast and its actual opex in an access arrangement period. This is supplemented by the efficiency carryover mechanism,</w:t>
      </w:r>
      <w:r w:rsidR="009761DE" w:rsidRPr="009761DE">
        <w:t xml:space="preserve"> </w:t>
      </w:r>
      <w:r w:rsidR="009761DE">
        <w:t>which provides that the service provider</w:t>
      </w:r>
      <w:r w:rsidR="009B2B98">
        <w:t xml:space="preserve"> </w:t>
      </w:r>
      <w:r w:rsidR="009761DE">
        <w:t xml:space="preserve">benefits from efficiency gains or </w:t>
      </w:r>
      <w:r w:rsidR="00BB2782">
        <w:t>is penalised</w:t>
      </w:r>
      <w:r w:rsidR="009761DE">
        <w:t xml:space="preserve"> for efficiency losses</w:t>
      </w:r>
      <w:r w:rsidR="009B2B98" w:rsidRPr="009B2B98">
        <w:t xml:space="preserve"> </w:t>
      </w:r>
      <w:r w:rsidR="009B2B98">
        <w:t>over a longer period</w:t>
      </w:r>
      <w:r>
        <w:t xml:space="preserve">. In total these rewards and penalties work together to provide a continuous incentive for a service provider to pursue efficiency gains over the access arrangement period. The efficiency carryover mechanism also discourages a service provider from inflating its opex in the expected base year </w:t>
      </w:r>
      <w:r w:rsidR="009761DE">
        <w:t>for</w:t>
      </w:r>
      <w:r>
        <w:t xml:space="preserve"> the following access arrangement period</w:t>
      </w:r>
      <w:r w:rsidR="009761DE">
        <w:t xml:space="preserve">, because this could lead to higher </w:t>
      </w:r>
      <w:r w:rsidR="00EB374D">
        <w:t xml:space="preserve">forecast </w:t>
      </w:r>
      <w:r w:rsidR="009761DE">
        <w:t xml:space="preserve">opex </w:t>
      </w:r>
      <w:r w:rsidR="00EB374D">
        <w:t>for</w:t>
      </w:r>
      <w:r w:rsidR="009761DE">
        <w:t xml:space="preserve"> that period</w:t>
      </w:r>
      <w:r>
        <w:t xml:space="preserve">. </w:t>
      </w:r>
    </w:p>
    <w:p w:rsidR="005129FE" w:rsidRDefault="005129FE" w:rsidP="005129FE">
      <w:r>
        <w:t xml:space="preserve">Consumers benefit from </w:t>
      </w:r>
      <w:r w:rsidR="007B6FE1">
        <w:t xml:space="preserve">any </w:t>
      </w:r>
      <w:r>
        <w:t xml:space="preserve">efficiency gains made by the service provider as we base our </w:t>
      </w:r>
      <w:r w:rsidR="00EB374D">
        <w:t xml:space="preserve">opex forecast </w:t>
      </w:r>
      <w:r>
        <w:t>for the</w:t>
      </w:r>
      <w:r w:rsidR="00EB374D">
        <w:t xml:space="preserve"> next access arrangement period</w:t>
      </w:r>
      <w:r>
        <w:t xml:space="preserve"> on the service provider's lower revealed opex. This is how efficiency improvements are shared between consumers and the business.</w:t>
      </w:r>
    </w:p>
    <w:p w:rsidR="005129FE" w:rsidRPr="001E239F" w:rsidRDefault="005129FE" w:rsidP="005129FE">
      <w:r>
        <w:t xml:space="preserve">An efficiency carryover mechanism </w:t>
      </w:r>
      <w:r w:rsidR="00671DFD">
        <w:t>applied</w:t>
      </w:r>
      <w:r>
        <w:t xml:space="preserve"> to </w:t>
      </w:r>
      <w:r w:rsidR="00E71076">
        <w:t>AusNet</w:t>
      </w:r>
      <w:r w:rsidR="00671DFD">
        <w:t xml:space="preserve"> during the 2013</w:t>
      </w:r>
      <w:r>
        <w:t xml:space="preserve">–17 access arrangement </w:t>
      </w:r>
      <w:proofErr w:type="gramStart"/>
      <w:r>
        <w:t>period</w:t>
      </w:r>
      <w:proofErr w:type="gramEnd"/>
      <w:r>
        <w:t xml:space="preserve">. </w:t>
      </w:r>
      <w:r w:rsidR="00E71076">
        <w:rPr>
          <w:rStyle w:val="AERbody"/>
        </w:rPr>
        <w:t>AusNet</w:t>
      </w:r>
      <w:r w:rsidR="00387783" w:rsidRPr="0082272C">
        <w:rPr>
          <w:rStyle w:val="AERbody"/>
        </w:rPr>
        <w:t xml:space="preserve"> proposed an efficiency carryover m</w:t>
      </w:r>
      <w:r w:rsidR="00387783">
        <w:rPr>
          <w:rStyle w:val="AERbody"/>
        </w:rPr>
        <w:t>echanism apply to it in the 2018–22</w:t>
      </w:r>
      <w:r w:rsidR="00387783" w:rsidRPr="0082272C">
        <w:rPr>
          <w:rStyle w:val="AERbody"/>
        </w:rPr>
        <w:t xml:space="preserve"> access arrangement </w:t>
      </w:r>
      <w:proofErr w:type="gramStart"/>
      <w:r w:rsidR="00387783" w:rsidRPr="0082272C">
        <w:rPr>
          <w:rStyle w:val="AERbody"/>
        </w:rPr>
        <w:t>period</w:t>
      </w:r>
      <w:proofErr w:type="gramEnd"/>
      <w:r w:rsidR="00387783" w:rsidRPr="0082272C">
        <w:rPr>
          <w:rStyle w:val="AERbody"/>
        </w:rPr>
        <w:t>.</w:t>
      </w:r>
    </w:p>
    <w:p w:rsidR="005129FE" w:rsidRDefault="005129FE" w:rsidP="005129FE">
      <w:pPr>
        <w:pStyle w:val="Heading2"/>
      </w:pPr>
      <w:bookmarkStart w:id="72" w:name="_Toc408404320"/>
      <w:bookmarkStart w:id="73" w:name="_Toc419366913"/>
      <w:bookmarkStart w:id="74" w:name="_Toc479174750"/>
      <w:bookmarkStart w:id="75" w:name="_Toc486515965"/>
      <w:r>
        <w:t>Draft</w:t>
      </w:r>
      <w:r w:rsidRPr="0074565D">
        <w:t xml:space="preserve"> decision</w:t>
      </w:r>
      <w:bookmarkEnd w:id="72"/>
      <w:bookmarkEnd w:id="73"/>
      <w:bookmarkEnd w:id="74"/>
      <w:bookmarkEnd w:id="75"/>
    </w:p>
    <w:p w:rsidR="009E2B41" w:rsidRDefault="00671DFD" w:rsidP="00DA7055">
      <w:pPr>
        <w:rPr>
          <w:rStyle w:val="AERbody"/>
        </w:rPr>
      </w:pPr>
      <w:r>
        <w:rPr>
          <w:rStyle w:val="AERbody"/>
        </w:rPr>
        <w:t xml:space="preserve">Our draft decision is to </w:t>
      </w:r>
      <w:r w:rsidRPr="0060237E">
        <w:rPr>
          <w:rStyle w:val="AERbody"/>
        </w:rPr>
        <w:t>appro</w:t>
      </w:r>
      <w:r>
        <w:rPr>
          <w:rStyle w:val="AERbody"/>
        </w:rPr>
        <w:t xml:space="preserve">ve a carryover of </w:t>
      </w:r>
      <w:r w:rsidRPr="0060237E">
        <w:rPr>
          <w:rStyle w:val="AERbody"/>
        </w:rPr>
        <w:t>$</w:t>
      </w:r>
      <w:r w:rsidR="00552EAD">
        <w:t>8</w:t>
      </w:r>
      <w:r w:rsidR="008F229F">
        <w:t xml:space="preserve">.6 </w:t>
      </w:r>
      <w:r>
        <w:rPr>
          <w:rStyle w:val="AERbody"/>
        </w:rPr>
        <w:t>million ($2017</w:t>
      </w:r>
      <w:r w:rsidRPr="0060237E">
        <w:rPr>
          <w:rStyle w:val="AERbody"/>
        </w:rPr>
        <w:t>) from the app</w:t>
      </w:r>
      <w:r>
        <w:rPr>
          <w:rStyle w:val="AERbody"/>
        </w:rPr>
        <w:t xml:space="preserve">lication of the </w:t>
      </w:r>
      <w:r w:rsidR="0018424E">
        <w:rPr>
          <w:rStyle w:val="AERbody"/>
        </w:rPr>
        <w:t>efficiency carryover mechanism</w:t>
      </w:r>
      <w:r>
        <w:rPr>
          <w:rStyle w:val="AERbody"/>
        </w:rPr>
        <w:t xml:space="preserve"> in the 2013–17</w:t>
      </w:r>
      <w:r w:rsidRPr="0060237E">
        <w:rPr>
          <w:rStyle w:val="AERbody"/>
        </w:rPr>
        <w:t xml:space="preserve"> </w:t>
      </w:r>
      <w:r w:rsidR="00DB4FCA">
        <w:rPr>
          <w:rStyle w:val="AERbody"/>
        </w:rPr>
        <w:t>access arrangement</w:t>
      </w:r>
      <w:r w:rsidRPr="0060237E">
        <w:rPr>
          <w:rStyle w:val="AERbody"/>
        </w:rPr>
        <w:t xml:space="preserve"> </w:t>
      </w:r>
      <w:proofErr w:type="gramStart"/>
      <w:r w:rsidRPr="0060237E">
        <w:rPr>
          <w:rStyle w:val="AERbody"/>
        </w:rPr>
        <w:t>period</w:t>
      </w:r>
      <w:proofErr w:type="gramEnd"/>
      <w:r w:rsidRPr="0060237E">
        <w:rPr>
          <w:rStyle w:val="AERbody"/>
        </w:rPr>
        <w:t xml:space="preserve">. </w:t>
      </w:r>
      <w:r w:rsidR="00883854" w:rsidRPr="00883854">
        <w:rPr>
          <w:rStyle w:val="AERbody"/>
        </w:rPr>
        <w:t>This is $</w:t>
      </w:r>
      <w:r w:rsidR="00552EAD">
        <w:rPr>
          <w:rStyle w:val="AERbody"/>
        </w:rPr>
        <w:t>2</w:t>
      </w:r>
      <w:r w:rsidR="008F229F">
        <w:rPr>
          <w:rStyle w:val="AERbody"/>
        </w:rPr>
        <w:t>.7</w:t>
      </w:r>
      <w:r w:rsidR="00662875">
        <w:rPr>
          <w:rStyle w:val="AERbody"/>
        </w:rPr>
        <w:t xml:space="preserve"> million ($20</w:t>
      </w:r>
      <w:r w:rsidR="00883854" w:rsidRPr="00883854">
        <w:rPr>
          <w:rStyle w:val="AERbody"/>
        </w:rPr>
        <w:t xml:space="preserve">17) </w:t>
      </w:r>
      <w:r w:rsidR="00662875">
        <w:rPr>
          <w:rStyle w:val="AERbody"/>
        </w:rPr>
        <w:t>more</w:t>
      </w:r>
      <w:r w:rsidR="00883854" w:rsidRPr="00883854">
        <w:rPr>
          <w:rStyle w:val="AERbody"/>
        </w:rPr>
        <w:t xml:space="preserve"> than </w:t>
      </w:r>
      <w:r w:rsidR="00E71076">
        <w:rPr>
          <w:rStyle w:val="AERbody"/>
        </w:rPr>
        <w:t>AusNet's</w:t>
      </w:r>
      <w:r w:rsidR="00883854" w:rsidRPr="00883854">
        <w:rPr>
          <w:rStyle w:val="AERbody"/>
        </w:rPr>
        <w:t xml:space="preserve"> proposal. </w:t>
      </w:r>
      <w:r w:rsidR="009E2B41" w:rsidRPr="009E2B41">
        <w:rPr>
          <w:rStyle w:val="AERbody"/>
        </w:rPr>
        <w:t xml:space="preserve">The </w:t>
      </w:r>
      <w:r w:rsidR="00B00FC6">
        <w:rPr>
          <w:rStyle w:val="AERbody"/>
        </w:rPr>
        <w:t>principal</w:t>
      </w:r>
      <w:r w:rsidR="007B6FE1">
        <w:rPr>
          <w:rStyle w:val="AERbody"/>
        </w:rPr>
        <w:t xml:space="preserve"> reason for the</w:t>
      </w:r>
      <w:r w:rsidR="009E2B41" w:rsidRPr="009E2B41">
        <w:rPr>
          <w:rStyle w:val="AERbody"/>
        </w:rPr>
        <w:t xml:space="preserve"> difference is that </w:t>
      </w:r>
      <w:r w:rsidR="007B6FE1">
        <w:rPr>
          <w:rStyle w:val="AERbody"/>
        </w:rPr>
        <w:t>AusNet</w:t>
      </w:r>
      <w:r w:rsidR="009E2B41" w:rsidRPr="009E2B41">
        <w:rPr>
          <w:rStyle w:val="AERbody"/>
        </w:rPr>
        <w:t xml:space="preserve"> used different base years to calculate its opex forecast (2015) and its benefits under the efficiency carryover mechanism (2016). Our draft decision uses 2015 as the base year for both calculations.</w:t>
      </w:r>
    </w:p>
    <w:p w:rsidR="00DA7055" w:rsidRDefault="009E2B41" w:rsidP="00DA7055">
      <w:pPr>
        <w:rPr>
          <w:rStyle w:val="AERbody"/>
        </w:rPr>
      </w:pPr>
      <w:r>
        <w:rPr>
          <w:rStyle w:val="AERbody"/>
        </w:rPr>
        <w:t>Other</w:t>
      </w:r>
      <w:r w:rsidR="00883854" w:rsidRPr="00883854">
        <w:rPr>
          <w:rStyle w:val="AERbody"/>
        </w:rPr>
        <w:t xml:space="preserve"> </w:t>
      </w:r>
      <w:r w:rsidR="00DA7055" w:rsidRPr="00883854">
        <w:rPr>
          <w:rStyle w:val="AERbody"/>
        </w:rPr>
        <w:t>reason</w:t>
      </w:r>
      <w:r w:rsidR="00DA7055">
        <w:rPr>
          <w:rStyle w:val="AERbody"/>
        </w:rPr>
        <w:t>s</w:t>
      </w:r>
      <w:r w:rsidR="00DA7055" w:rsidRPr="00883854">
        <w:rPr>
          <w:rStyle w:val="AERbody"/>
        </w:rPr>
        <w:t xml:space="preserve"> for </w:t>
      </w:r>
      <w:r w:rsidR="00DA7055">
        <w:rPr>
          <w:rStyle w:val="AERbody"/>
        </w:rPr>
        <w:t>the</w:t>
      </w:r>
      <w:r w:rsidR="00DA7055" w:rsidRPr="00883854">
        <w:rPr>
          <w:rStyle w:val="AERbody"/>
        </w:rPr>
        <w:t xml:space="preserve"> difference </w:t>
      </w:r>
      <w:r w:rsidR="00ED7979">
        <w:rPr>
          <w:rStyle w:val="AERbody"/>
        </w:rPr>
        <w:t xml:space="preserve">in our calculations </w:t>
      </w:r>
      <w:r w:rsidR="00DA7055" w:rsidRPr="00883854">
        <w:rPr>
          <w:rStyle w:val="AERbody"/>
        </w:rPr>
        <w:t>are</w:t>
      </w:r>
      <w:r w:rsidR="00DA7055">
        <w:rPr>
          <w:rStyle w:val="AERbody"/>
        </w:rPr>
        <w:t>:</w:t>
      </w:r>
    </w:p>
    <w:p w:rsidR="00F246B2" w:rsidRDefault="00250425" w:rsidP="00DA7055">
      <w:pPr>
        <w:pStyle w:val="AERbulletlistfirststyle"/>
        <w:rPr>
          <w:rStyle w:val="AERbody"/>
        </w:rPr>
      </w:pPr>
      <w:r>
        <w:rPr>
          <w:rStyle w:val="AERbody"/>
        </w:rPr>
        <w:t xml:space="preserve">we corrected the way </w:t>
      </w:r>
      <w:r w:rsidR="00E71076">
        <w:rPr>
          <w:rStyle w:val="AERbody"/>
        </w:rPr>
        <w:t>AusNet</w:t>
      </w:r>
      <w:r>
        <w:rPr>
          <w:rStyle w:val="AERbody"/>
        </w:rPr>
        <w:t xml:space="preserve"> removed </w:t>
      </w:r>
      <w:r w:rsidR="00D94298">
        <w:rPr>
          <w:rStyle w:val="AERbody"/>
        </w:rPr>
        <w:t xml:space="preserve">movements in provisions </w:t>
      </w:r>
    </w:p>
    <w:p w:rsidR="00FD6F49" w:rsidRDefault="00D94298" w:rsidP="00DA7055">
      <w:pPr>
        <w:pStyle w:val="AERbulletlistfirststyle"/>
        <w:rPr>
          <w:rStyle w:val="AERbody"/>
        </w:rPr>
      </w:pPr>
      <w:r>
        <w:rPr>
          <w:rStyle w:val="AERbody"/>
        </w:rPr>
        <w:t xml:space="preserve">we excluded licence fees and unaccounted for gas from reported opex and applied a scale adjustment to the </w:t>
      </w:r>
      <w:r w:rsidR="009761DE">
        <w:rPr>
          <w:rStyle w:val="AERbody"/>
        </w:rPr>
        <w:t>approved opex forecast</w:t>
      </w:r>
      <w:r>
        <w:rPr>
          <w:rStyle w:val="AERbody"/>
        </w:rPr>
        <w:t xml:space="preserve">, as required by </w:t>
      </w:r>
      <w:r w:rsidR="00E71076">
        <w:rPr>
          <w:rStyle w:val="AERbody"/>
        </w:rPr>
        <w:t>AusNet's</w:t>
      </w:r>
      <w:r>
        <w:rPr>
          <w:rStyle w:val="AERbody"/>
        </w:rPr>
        <w:t xml:space="preserve"> access arrangement</w:t>
      </w:r>
    </w:p>
    <w:p w:rsidR="00DA7055" w:rsidRDefault="00ED7979" w:rsidP="00DA7055">
      <w:pPr>
        <w:pStyle w:val="AERbulletlistfirststyle"/>
        <w:rPr>
          <w:rStyle w:val="AERbody"/>
        </w:rPr>
      </w:pPr>
      <w:proofErr w:type="gramStart"/>
      <w:r>
        <w:rPr>
          <w:rStyle w:val="AERbody"/>
        </w:rPr>
        <w:t>we</w:t>
      </w:r>
      <w:proofErr w:type="gramEnd"/>
      <w:r>
        <w:rPr>
          <w:rStyle w:val="AERbody"/>
        </w:rPr>
        <w:t xml:space="preserve"> </w:t>
      </w:r>
      <w:r w:rsidR="00DA7055">
        <w:rPr>
          <w:rStyle w:val="AERbody"/>
        </w:rPr>
        <w:t xml:space="preserve">updated estimated opex </w:t>
      </w:r>
      <w:r w:rsidR="002F517C">
        <w:rPr>
          <w:rStyle w:val="AERbody"/>
        </w:rPr>
        <w:t xml:space="preserve">in 2016 </w:t>
      </w:r>
      <w:r w:rsidR="00DA7055">
        <w:rPr>
          <w:rStyle w:val="AERbody"/>
        </w:rPr>
        <w:t>with actual opex.</w:t>
      </w:r>
    </w:p>
    <w:p w:rsidR="005129FE" w:rsidRDefault="00671DFD" w:rsidP="00671DFD">
      <w:pPr>
        <w:rPr>
          <w:rStyle w:val="AERbody"/>
        </w:rPr>
      </w:pPr>
      <w:r w:rsidRPr="0060237E">
        <w:rPr>
          <w:rStyle w:val="AERbody"/>
        </w:rPr>
        <w:t xml:space="preserve">Our </w:t>
      </w:r>
      <w:r>
        <w:rPr>
          <w:rStyle w:val="AERbody"/>
        </w:rPr>
        <w:t>draft</w:t>
      </w:r>
      <w:r w:rsidRPr="0060237E">
        <w:rPr>
          <w:rStyle w:val="AERbody"/>
        </w:rPr>
        <w:t xml:space="preserve"> decision </w:t>
      </w:r>
      <w:r w:rsidR="00B00FC6">
        <w:rPr>
          <w:rStyle w:val="AERbody"/>
        </w:rPr>
        <w:t>on</w:t>
      </w:r>
      <w:r w:rsidRPr="0060237E">
        <w:rPr>
          <w:rStyle w:val="AERbody"/>
        </w:rPr>
        <w:t xml:space="preserve"> the carryover amounts from t</w:t>
      </w:r>
      <w:r>
        <w:rPr>
          <w:rStyle w:val="AERbody"/>
        </w:rPr>
        <w:t>he 2013–17</w:t>
      </w:r>
      <w:r w:rsidRPr="0060237E">
        <w:rPr>
          <w:rStyle w:val="AERbody"/>
        </w:rPr>
        <w:t xml:space="preserve"> </w:t>
      </w:r>
      <w:r w:rsidR="00DB4FCA">
        <w:rPr>
          <w:rStyle w:val="AERbody"/>
        </w:rPr>
        <w:t>access arrangement</w:t>
      </w:r>
      <w:r w:rsidRPr="0060237E">
        <w:rPr>
          <w:rStyle w:val="AERbody"/>
        </w:rPr>
        <w:t xml:space="preserve"> </w:t>
      </w:r>
      <w:proofErr w:type="gramStart"/>
      <w:r w:rsidRPr="0060237E">
        <w:rPr>
          <w:rStyle w:val="AERbody"/>
        </w:rPr>
        <w:t>period</w:t>
      </w:r>
      <w:proofErr w:type="gramEnd"/>
      <w:r w:rsidRPr="0060237E">
        <w:rPr>
          <w:rStyle w:val="AERbody"/>
        </w:rPr>
        <w:t xml:space="preserve"> is </w:t>
      </w:r>
      <w:r w:rsidR="008C4382">
        <w:rPr>
          <w:rStyle w:val="AERbody"/>
        </w:rPr>
        <w:t>set out</w:t>
      </w:r>
      <w:r w:rsidRPr="0060237E">
        <w:rPr>
          <w:rStyle w:val="AERbody"/>
        </w:rPr>
        <w:t xml:space="preserve"> in</w:t>
      </w:r>
      <w:r>
        <w:rPr>
          <w:rStyle w:val="AERbody"/>
        </w:rPr>
        <w:t xml:space="preserve"> </w:t>
      </w:r>
      <w:r>
        <w:rPr>
          <w:rStyle w:val="AERbody"/>
        </w:rPr>
        <w:fldChar w:fldCharType="begin"/>
      </w:r>
      <w:r>
        <w:rPr>
          <w:rStyle w:val="AERbody"/>
        </w:rPr>
        <w:instrText xml:space="preserve"> REF _Ref436207458 \h </w:instrText>
      </w:r>
      <w:r>
        <w:rPr>
          <w:rStyle w:val="AERbody"/>
        </w:rPr>
      </w:r>
      <w:r>
        <w:rPr>
          <w:rStyle w:val="AERbody"/>
        </w:rPr>
        <w:fldChar w:fldCharType="separate"/>
      </w:r>
      <w:r w:rsidR="00415ED1">
        <w:t xml:space="preserve">Table </w:t>
      </w:r>
      <w:r w:rsidR="00415ED1">
        <w:rPr>
          <w:noProof/>
        </w:rPr>
        <w:t>9</w:t>
      </w:r>
      <w:r w:rsidR="00415ED1">
        <w:t>.</w:t>
      </w:r>
      <w:r w:rsidR="00415ED1">
        <w:rPr>
          <w:noProof/>
        </w:rPr>
        <w:t>1</w:t>
      </w:r>
      <w:r>
        <w:rPr>
          <w:rStyle w:val="AERbody"/>
        </w:rPr>
        <w:fldChar w:fldCharType="end"/>
      </w:r>
      <w:r w:rsidRPr="0060237E">
        <w:rPr>
          <w:rStyle w:val="AERbody"/>
        </w:rPr>
        <w:t>.</w:t>
      </w:r>
      <w:r w:rsidR="00662875">
        <w:rPr>
          <w:rStyle w:val="FootnoteReference"/>
        </w:rPr>
        <w:footnoteReference w:id="1"/>
      </w:r>
    </w:p>
    <w:p w:rsidR="00671DFD" w:rsidRDefault="00671DFD" w:rsidP="00671DFD">
      <w:pPr>
        <w:pStyle w:val="Caption"/>
      </w:pPr>
      <w:bookmarkStart w:id="76" w:name="_Ref436207458"/>
      <w:proofErr w:type="gramStart"/>
      <w:r>
        <w:t xml:space="preserve">Table </w:t>
      </w:r>
      <w:proofErr w:type="gramEnd"/>
      <w:r w:rsidRPr="00671DFD">
        <w:fldChar w:fldCharType="begin"/>
      </w:r>
      <w:r>
        <w:instrText xml:space="preserve"> STYLEREF 1 \s </w:instrText>
      </w:r>
      <w:r w:rsidRPr="00671DFD">
        <w:fldChar w:fldCharType="separate"/>
      </w:r>
      <w:r w:rsidR="00415ED1">
        <w:rPr>
          <w:noProof/>
        </w:rPr>
        <w:t>9</w:t>
      </w:r>
      <w:r w:rsidRPr="00671DFD">
        <w:fldChar w:fldCharType="end"/>
      </w:r>
      <w:proofErr w:type="gramStart"/>
      <w:r>
        <w:t>.</w:t>
      </w:r>
      <w:proofErr w:type="gramEnd"/>
      <w:r w:rsidRPr="00671DFD">
        <w:fldChar w:fldCharType="begin"/>
      </w:r>
      <w:r>
        <w:instrText xml:space="preserve"> SEQ Table \* ARABIC \s 1 </w:instrText>
      </w:r>
      <w:r w:rsidRPr="00671DFD">
        <w:fldChar w:fldCharType="separate"/>
      </w:r>
      <w:r w:rsidR="00415ED1">
        <w:rPr>
          <w:noProof/>
        </w:rPr>
        <w:t>1</w:t>
      </w:r>
      <w:r w:rsidRPr="00671DFD">
        <w:fldChar w:fldCharType="end"/>
      </w:r>
      <w:bookmarkEnd w:id="76"/>
      <w:r>
        <w:tab/>
      </w:r>
      <w:r w:rsidR="008C4382">
        <w:t>Our</w:t>
      </w:r>
      <w:r w:rsidRPr="0060237E">
        <w:t xml:space="preserve"> </w:t>
      </w:r>
      <w:r>
        <w:t>draft</w:t>
      </w:r>
      <w:r w:rsidRPr="0060237E">
        <w:t xml:space="preserve"> decision on </w:t>
      </w:r>
      <w:r w:rsidR="00E71076">
        <w:t>AusNet's</w:t>
      </w:r>
      <w:r w:rsidRPr="0060237E">
        <w:t xml:space="preserve"> ca</w:t>
      </w:r>
      <w:r>
        <w:t xml:space="preserve">rryover amounts </w:t>
      </w:r>
      <w:r w:rsidR="008C4382">
        <w:br/>
      </w:r>
      <w:r>
        <w:t>($ million, 2017</w:t>
      </w:r>
      <w:r w:rsidRPr="0060237E">
        <w:t>)</w:t>
      </w:r>
    </w:p>
    <w:tbl>
      <w:tblPr>
        <w:tblStyle w:val="AERtable-numbers"/>
        <w:tblW w:w="0" w:type="auto"/>
        <w:tblLook w:val="04A0" w:firstRow="1" w:lastRow="0" w:firstColumn="1" w:lastColumn="0" w:noHBand="0" w:noVBand="1"/>
      </w:tblPr>
      <w:tblGrid>
        <w:gridCol w:w="2943"/>
        <w:gridCol w:w="958"/>
        <w:gridCol w:w="958"/>
        <w:gridCol w:w="959"/>
        <w:gridCol w:w="958"/>
        <w:gridCol w:w="958"/>
        <w:gridCol w:w="959"/>
      </w:tblGrid>
      <w:tr w:rsidR="00671DFD" w:rsidTr="00AD00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671DFD" w:rsidRDefault="00671DFD" w:rsidP="00671DFD"/>
        </w:tc>
        <w:tc>
          <w:tcPr>
            <w:tcW w:w="958" w:type="dxa"/>
          </w:tcPr>
          <w:p w:rsidR="00671DFD" w:rsidRPr="00671DFD" w:rsidRDefault="00671DFD" w:rsidP="00671DFD">
            <w:pPr>
              <w:cnfStyle w:val="100000000000" w:firstRow="1" w:lastRow="0" w:firstColumn="0" w:lastColumn="0" w:oddVBand="0" w:evenVBand="0" w:oddHBand="0" w:evenHBand="0" w:firstRowFirstColumn="0" w:firstRowLastColumn="0" w:lastRowFirstColumn="0" w:lastRowLastColumn="0"/>
            </w:pPr>
            <w:r>
              <w:t>2018</w:t>
            </w:r>
          </w:p>
        </w:tc>
        <w:tc>
          <w:tcPr>
            <w:tcW w:w="958" w:type="dxa"/>
          </w:tcPr>
          <w:p w:rsidR="00671DFD" w:rsidRPr="00671DFD" w:rsidRDefault="00671DFD" w:rsidP="00671DFD">
            <w:pPr>
              <w:cnfStyle w:val="100000000000" w:firstRow="1" w:lastRow="0" w:firstColumn="0" w:lastColumn="0" w:oddVBand="0" w:evenVBand="0" w:oddHBand="0" w:evenHBand="0" w:firstRowFirstColumn="0" w:firstRowLastColumn="0" w:lastRowFirstColumn="0" w:lastRowLastColumn="0"/>
            </w:pPr>
            <w:r>
              <w:t>2019</w:t>
            </w:r>
          </w:p>
        </w:tc>
        <w:tc>
          <w:tcPr>
            <w:tcW w:w="959" w:type="dxa"/>
          </w:tcPr>
          <w:p w:rsidR="00671DFD" w:rsidRPr="00671DFD" w:rsidRDefault="00671DFD" w:rsidP="00671DFD">
            <w:pPr>
              <w:cnfStyle w:val="100000000000" w:firstRow="1" w:lastRow="0" w:firstColumn="0" w:lastColumn="0" w:oddVBand="0" w:evenVBand="0" w:oddHBand="0" w:evenHBand="0" w:firstRowFirstColumn="0" w:firstRowLastColumn="0" w:lastRowFirstColumn="0" w:lastRowLastColumn="0"/>
            </w:pPr>
            <w:r>
              <w:t>2020</w:t>
            </w:r>
          </w:p>
        </w:tc>
        <w:tc>
          <w:tcPr>
            <w:tcW w:w="958" w:type="dxa"/>
          </w:tcPr>
          <w:p w:rsidR="00671DFD" w:rsidRPr="00671DFD" w:rsidRDefault="00671DFD" w:rsidP="00671DFD">
            <w:pPr>
              <w:cnfStyle w:val="100000000000" w:firstRow="1" w:lastRow="0" w:firstColumn="0" w:lastColumn="0" w:oddVBand="0" w:evenVBand="0" w:oddHBand="0" w:evenHBand="0" w:firstRowFirstColumn="0" w:firstRowLastColumn="0" w:lastRowFirstColumn="0" w:lastRowLastColumn="0"/>
            </w:pPr>
            <w:r>
              <w:t>2021</w:t>
            </w:r>
          </w:p>
        </w:tc>
        <w:tc>
          <w:tcPr>
            <w:tcW w:w="958" w:type="dxa"/>
          </w:tcPr>
          <w:p w:rsidR="00671DFD" w:rsidRPr="00671DFD" w:rsidRDefault="00671DFD" w:rsidP="00671DFD">
            <w:pPr>
              <w:cnfStyle w:val="100000000000" w:firstRow="1" w:lastRow="0" w:firstColumn="0" w:lastColumn="0" w:oddVBand="0" w:evenVBand="0" w:oddHBand="0" w:evenHBand="0" w:firstRowFirstColumn="0" w:firstRowLastColumn="0" w:lastRowFirstColumn="0" w:lastRowLastColumn="0"/>
            </w:pPr>
            <w:r>
              <w:t>2022</w:t>
            </w:r>
          </w:p>
        </w:tc>
        <w:tc>
          <w:tcPr>
            <w:tcW w:w="959" w:type="dxa"/>
          </w:tcPr>
          <w:p w:rsidR="00671DFD" w:rsidRPr="00671DFD" w:rsidRDefault="00671DFD" w:rsidP="00671DFD">
            <w:pPr>
              <w:cnfStyle w:val="100000000000" w:firstRow="1" w:lastRow="0" w:firstColumn="0" w:lastColumn="0" w:oddVBand="0" w:evenVBand="0" w:oddHBand="0" w:evenHBand="0" w:firstRowFirstColumn="0" w:firstRowLastColumn="0" w:lastRowFirstColumn="0" w:lastRowLastColumn="0"/>
            </w:pPr>
            <w:r>
              <w:t>Total</w:t>
            </w:r>
          </w:p>
        </w:tc>
      </w:tr>
      <w:tr w:rsidR="000E633E" w:rsidTr="00AD0096">
        <w:tc>
          <w:tcPr>
            <w:cnfStyle w:val="001000000000" w:firstRow="0" w:lastRow="0" w:firstColumn="1" w:lastColumn="0" w:oddVBand="0" w:evenVBand="0" w:oddHBand="0" w:evenHBand="0" w:firstRowFirstColumn="0" w:firstRowLastColumn="0" w:lastRowFirstColumn="0" w:lastRowLastColumn="0"/>
            <w:tcW w:w="2943" w:type="dxa"/>
          </w:tcPr>
          <w:p w:rsidR="000E633E" w:rsidRPr="000E633E" w:rsidRDefault="00E71076" w:rsidP="000E633E">
            <w:r>
              <w:t>AusNet's</w:t>
            </w:r>
            <w:r w:rsidR="000E633E" w:rsidRPr="000E633E">
              <w:t xml:space="preserve"> proposed carryover</w:t>
            </w:r>
          </w:p>
        </w:tc>
        <w:tc>
          <w:tcPr>
            <w:tcW w:w="958" w:type="dxa"/>
            <w:vAlign w:val="top"/>
          </w:tcPr>
          <w:p w:rsidR="000E633E" w:rsidRPr="000E633E" w:rsidRDefault="000E633E" w:rsidP="00AD0096">
            <w:pPr>
              <w:cnfStyle w:val="000000000000" w:firstRow="0" w:lastRow="0" w:firstColumn="0" w:lastColumn="0" w:oddVBand="0" w:evenVBand="0" w:oddHBand="0" w:evenHBand="0" w:firstRowFirstColumn="0" w:firstRowLastColumn="0" w:lastRowFirstColumn="0" w:lastRowLastColumn="0"/>
            </w:pPr>
            <w:r w:rsidRPr="000E633E">
              <w:t>3.9</w:t>
            </w:r>
          </w:p>
        </w:tc>
        <w:tc>
          <w:tcPr>
            <w:tcW w:w="958" w:type="dxa"/>
            <w:vAlign w:val="top"/>
          </w:tcPr>
          <w:p w:rsidR="000E633E" w:rsidRPr="000E633E" w:rsidRDefault="000E633E" w:rsidP="00AD0096">
            <w:pPr>
              <w:cnfStyle w:val="000000000000" w:firstRow="0" w:lastRow="0" w:firstColumn="0" w:lastColumn="0" w:oddVBand="0" w:evenVBand="0" w:oddHBand="0" w:evenHBand="0" w:firstRowFirstColumn="0" w:firstRowLastColumn="0" w:lastRowFirstColumn="0" w:lastRowLastColumn="0"/>
            </w:pPr>
            <w:r>
              <w:t>-</w:t>
            </w:r>
            <w:r w:rsidRPr="000E633E">
              <w:t>0.</w:t>
            </w:r>
            <w:r>
              <w:t>3</w:t>
            </w:r>
          </w:p>
        </w:tc>
        <w:tc>
          <w:tcPr>
            <w:tcW w:w="959" w:type="dxa"/>
            <w:vAlign w:val="top"/>
          </w:tcPr>
          <w:p w:rsidR="000E633E" w:rsidRPr="000E633E" w:rsidRDefault="000E633E" w:rsidP="00AD0096">
            <w:pPr>
              <w:cnfStyle w:val="000000000000" w:firstRow="0" w:lastRow="0" w:firstColumn="0" w:lastColumn="0" w:oddVBand="0" w:evenVBand="0" w:oddHBand="0" w:evenHBand="0" w:firstRowFirstColumn="0" w:firstRowLastColumn="0" w:lastRowFirstColumn="0" w:lastRowLastColumn="0"/>
            </w:pPr>
            <w:r w:rsidRPr="000E633E">
              <w:t>1.2</w:t>
            </w:r>
          </w:p>
        </w:tc>
        <w:tc>
          <w:tcPr>
            <w:tcW w:w="958" w:type="dxa"/>
            <w:vAlign w:val="top"/>
          </w:tcPr>
          <w:p w:rsidR="000E633E" w:rsidRPr="000E633E" w:rsidRDefault="000E633E" w:rsidP="00AD0096">
            <w:pPr>
              <w:cnfStyle w:val="000000000000" w:firstRow="0" w:lastRow="0" w:firstColumn="0" w:lastColumn="0" w:oddVBand="0" w:evenVBand="0" w:oddHBand="0" w:evenHBand="0" w:firstRowFirstColumn="0" w:firstRowLastColumn="0" w:lastRowFirstColumn="0" w:lastRowLastColumn="0"/>
            </w:pPr>
            <w:r w:rsidRPr="000E633E">
              <w:t>1.0</w:t>
            </w:r>
          </w:p>
        </w:tc>
        <w:tc>
          <w:tcPr>
            <w:tcW w:w="958" w:type="dxa"/>
            <w:vAlign w:val="top"/>
          </w:tcPr>
          <w:p w:rsidR="000E633E" w:rsidRPr="000E633E" w:rsidRDefault="00B00FC6" w:rsidP="00AD0096">
            <w:pPr>
              <w:cnfStyle w:val="000000000000" w:firstRow="0" w:lastRow="0" w:firstColumn="0" w:lastColumn="0" w:oddVBand="0" w:evenVBand="0" w:oddHBand="0" w:evenHBand="0" w:firstRowFirstColumn="0" w:firstRowLastColumn="0" w:lastRowFirstColumn="0" w:lastRowLastColumn="0"/>
            </w:pPr>
            <w:r>
              <w:t>–</w:t>
            </w:r>
          </w:p>
        </w:tc>
        <w:tc>
          <w:tcPr>
            <w:tcW w:w="959" w:type="dxa"/>
            <w:vAlign w:val="top"/>
          </w:tcPr>
          <w:p w:rsidR="000E633E" w:rsidRPr="000E633E" w:rsidRDefault="000E633E" w:rsidP="00AD0096">
            <w:pPr>
              <w:cnfStyle w:val="000000000000" w:firstRow="0" w:lastRow="0" w:firstColumn="0" w:lastColumn="0" w:oddVBand="0" w:evenVBand="0" w:oddHBand="0" w:evenHBand="0" w:firstRowFirstColumn="0" w:firstRowLastColumn="0" w:lastRowFirstColumn="0" w:lastRowLastColumn="0"/>
            </w:pPr>
            <w:r w:rsidRPr="000E633E">
              <w:t>5.9</w:t>
            </w:r>
          </w:p>
        </w:tc>
      </w:tr>
      <w:tr w:rsidR="000E633E" w:rsidTr="00AD00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0E633E" w:rsidRPr="000E633E" w:rsidRDefault="000E633E" w:rsidP="000E633E">
            <w:r w:rsidRPr="000E633E">
              <w:t>Draft decision</w:t>
            </w:r>
          </w:p>
        </w:tc>
        <w:tc>
          <w:tcPr>
            <w:tcW w:w="958" w:type="dxa"/>
            <w:vAlign w:val="top"/>
          </w:tcPr>
          <w:p w:rsidR="000E633E" w:rsidRPr="000E633E" w:rsidRDefault="008F229F" w:rsidP="00AD0096">
            <w:pPr>
              <w:cnfStyle w:val="000000010000" w:firstRow="0" w:lastRow="0" w:firstColumn="0" w:lastColumn="0" w:oddVBand="0" w:evenVBand="0" w:oddHBand="0" w:evenHBand="1" w:firstRowFirstColumn="0" w:firstRowLastColumn="0" w:lastRowFirstColumn="0" w:lastRowLastColumn="0"/>
            </w:pPr>
            <w:r>
              <w:t>3.3</w:t>
            </w:r>
            <w:r w:rsidR="000E633E" w:rsidRPr="000E633E">
              <w:t xml:space="preserve"> </w:t>
            </w:r>
          </w:p>
        </w:tc>
        <w:tc>
          <w:tcPr>
            <w:tcW w:w="958" w:type="dxa"/>
            <w:vAlign w:val="top"/>
          </w:tcPr>
          <w:p w:rsidR="000E633E" w:rsidRPr="000E633E" w:rsidRDefault="00552EAD" w:rsidP="00AD0096">
            <w:pPr>
              <w:cnfStyle w:val="000000010000" w:firstRow="0" w:lastRow="0" w:firstColumn="0" w:lastColumn="0" w:oddVBand="0" w:evenVBand="0" w:oddHBand="0" w:evenHBand="1" w:firstRowFirstColumn="0" w:firstRowLastColumn="0" w:lastRowFirstColumn="0" w:lastRowLastColumn="0"/>
            </w:pPr>
            <w:r>
              <w:t>1</w:t>
            </w:r>
            <w:r w:rsidR="008F229F">
              <w:t>.6</w:t>
            </w:r>
            <w:r w:rsidR="000E633E" w:rsidRPr="000E633E">
              <w:t xml:space="preserve"> </w:t>
            </w:r>
          </w:p>
        </w:tc>
        <w:tc>
          <w:tcPr>
            <w:tcW w:w="959" w:type="dxa"/>
            <w:vAlign w:val="top"/>
          </w:tcPr>
          <w:p w:rsidR="000E633E" w:rsidRPr="000E633E" w:rsidRDefault="00552EAD" w:rsidP="00AD0096">
            <w:pPr>
              <w:cnfStyle w:val="000000010000" w:firstRow="0" w:lastRow="0" w:firstColumn="0" w:lastColumn="0" w:oddVBand="0" w:evenVBand="0" w:oddHBand="0" w:evenHBand="1" w:firstRowFirstColumn="0" w:firstRowLastColumn="0" w:lastRowFirstColumn="0" w:lastRowLastColumn="0"/>
            </w:pPr>
            <w:r>
              <w:t>3.0</w:t>
            </w:r>
            <w:r w:rsidR="000E633E" w:rsidRPr="000E633E">
              <w:t xml:space="preserve"> </w:t>
            </w:r>
          </w:p>
        </w:tc>
        <w:tc>
          <w:tcPr>
            <w:tcW w:w="958" w:type="dxa"/>
            <w:vAlign w:val="top"/>
          </w:tcPr>
          <w:p w:rsidR="000E633E" w:rsidRPr="000E633E" w:rsidRDefault="00B00FC6" w:rsidP="00AD0096">
            <w:pPr>
              <w:cnfStyle w:val="000000010000" w:firstRow="0" w:lastRow="0" w:firstColumn="0" w:lastColumn="0" w:oddVBand="0" w:evenVBand="0" w:oddHBand="0" w:evenHBand="1" w:firstRowFirstColumn="0" w:firstRowLastColumn="0" w:lastRowFirstColumn="0" w:lastRowLastColumn="0"/>
            </w:pPr>
            <w:r>
              <w:t>–</w:t>
            </w:r>
            <w:r w:rsidR="000E633E" w:rsidRPr="000E633E">
              <w:t xml:space="preserve"> </w:t>
            </w:r>
          </w:p>
        </w:tc>
        <w:tc>
          <w:tcPr>
            <w:tcW w:w="958" w:type="dxa"/>
            <w:vAlign w:val="top"/>
          </w:tcPr>
          <w:p w:rsidR="000E633E" w:rsidRPr="000E633E" w:rsidRDefault="00552EAD" w:rsidP="00AD0096">
            <w:pPr>
              <w:cnfStyle w:val="000000010000" w:firstRow="0" w:lastRow="0" w:firstColumn="0" w:lastColumn="0" w:oddVBand="0" w:evenVBand="0" w:oddHBand="0" w:evenHBand="1" w:firstRowFirstColumn="0" w:firstRowLastColumn="0" w:lastRowFirstColumn="0" w:lastRowLastColumn="0"/>
            </w:pPr>
            <w:r>
              <w:t>0.6</w:t>
            </w:r>
            <w:r w:rsidR="000E633E" w:rsidRPr="000E633E">
              <w:t xml:space="preserve"> </w:t>
            </w:r>
          </w:p>
        </w:tc>
        <w:tc>
          <w:tcPr>
            <w:tcW w:w="959" w:type="dxa"/>
            <w:vAlign w:val="top"/>
          </w:tcPr>
          <w:p w:rsidR="000E633E" w:rsidRPr="000E633E" w:rsidRDefault="00552EAD" w:rsidP="00AD0096">
            <w:pPr>
              <w:cnfStyle w:val="000000010000" w:firstRow="0" w:lastRow="0" w:firstColumn="0" w:lastColumn="0" w:oddVBand="0" w:evenVBand="0" w:oddHBand="0" w:evenHBand="1" w:firstRowFirstColumn="0" w:firstRowLastColumn="0" w:lastRowFirstColumn="0" w:lastRowLastColumn="0"/>
            </w:pPr>
            <w:r>
              <w:t>8</w:t>
            </w:r>
            <w:r w:rsidR="008F229F">
              <w:t>.6</w:t>
            </w:r>
            <w:r w:rsidR="000E633E" w:rsidRPr="000E633E">
              <w:t xml:space="preserve"> </w:t>
            </w:r>
          </w:p>
        </w:tc>
      </w:tr>
      <w:tr w:rsidR="00671DFD" w:rsidTr="00AD0096">
        <w:tc>
          <w:tcPr>
            <w:cnfStyle w:val="001000000000" w:firstRow="0" w:lastRow="0" w:firstColumn="1" w:lastColumn="0" w:oddVBand="0" w:evenVBand="0" w:oddHBand="0" w:evenHBand="0" w:firstRowFirstColumn="0" w:firstRowLastColumn="0" w:lastRowFirstColumn="0" w:lastRowLastColumn="0"/>
            <w:tcW w:w="2943" w:type="dxa"/>
          </w:tcPr>
          <w:p w:rsidR="00671DFD" w:rsidRPr="00D57F34" w:rsidRDefault="00671DFD" w:rsidP="00671DFD">
            <w:pPr>
              <w:spacing w:before="0" w:after="0"/>
              <w:rPr>
                <w:rStyle w:val="Strong"/>
              </w:rPr>
            </w:pPr>
            <w:r w:rsidRPr="00D57F34">
              <w:rPr>
                <w:rStyle w:val="Strong"/>
              </w:rPr>
              <w:t>Difference</w:t>
            </w:r>
          </w:p>
        </w:tc>
        <w:tc>
          <w:tcPr>
            <w:tcW w:w="958" w:type="dxa"/>
            <w:vAlign w:val="top"/>
          </w:tcPr>
          <w:p w:rsidR="00671DFD" w:rsidRPr="00D57F34" w:rsidRDefault="00791AAC" w:rsidP="00D57F34">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00ED7979" w:rsidRPr="00D57F34">
              <w:rPr>
                <w:rStyle w:val="Strong"/>
              </w:rPr>
              <w:t>0.6</w:t>
            </w:r>
          </w:p>
        </w:tc>
        <w:tc>
          <w:tcPr>
            <w:tcW w:w="958" w:type="dxa"/>
            <w:vAlign w:val="top"/>
          </w:tcPr>
          <w:p w:rsidR="00671DFD" w:rsidRPr="00D57F34" w:rsidRDefault="00552EAD" w:rsidP="00D57F34">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w:t>
            </w:r>
            <w:r w:rsidR="00ED7979" w:rsidRPr="00D57F34">
              <w:rPr>
                <w:rStyle w:val="Strong"/>
              </w:rPr>
              <w:t>.9</w:t>
            </w:r>
          </w:p>
        </w:tc>
        <w:tc>
          <w:tcPr>
            <w:tcW w:w="959" w:type="dxa"/>
            <w:vAlign w:val="top"/>
          </w:tcPr>
          <w:p w:rsidR="00671DFD" w:rsidRPr="00D57F34" w:rsidRDefault="00552EAD" w:rsidP="00D57F34">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1.8</w:t>
            </w:r>
          </w:p>
        </w:tc>
        <w:tc>
          <w:tcPr>
            <w:tcW w:w="958" w:type="dxa"/>
            <w:vAlign w:val="top"/>
          </w:tcPr>
          <w:p w:rsidR="00671DFD" w:rsidRPr="00D57F34" w:rsidRDefault="00791AAC" w:rsidP="00D57F34">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00ED7979" w:rsidRPr="00D57F34">
              <w:rPr>
                <w:rStyle w:val="Strong"/>
              </w:rPr>
              <w:t>1.0</w:t>
            </w:r>
          </w:p>
        </w:tc>
        <w:tc>
          <w:tcPr>
            <w:tcW w:w="958" w:type="dxa"/>
            <w:vAlign w:val="top"/>
          </w:tcPr>
          <w:p w:rsidR="00671DFD" w:rsidRPr="00D57F34" w:rsidRDefault="00552EAD" w:rsidP="00D57F34">
            <w:pPr>
              <w:cnfStyle w:val="000000000000" w:firstRow="0" w:lastRow="0" w:firstColumn="0" w:lastColumn="0" w:oddVBand="0" w:evenVBand="0" w:oddHBand="0" w:evenHBand="0" w:firstRowFirstColumn="0" w:firstRowLastColumn="0" w:lastRowFirstColumn="0" w:lastRowLastColumn="0"/>
              <w:rPr>
                <w:rStyle w:val="Strong"/>
              </w:rPr>
            </w:pPr>
            <w:r>
              <w:rPr>
                <w:rStyle w:val="Strong"/>
              </w:rPr>
              <w:t>0.6</w:t>
            </w:r>
          </w:p>
        </w:tc>
        <w:tc>
          <w:tcPr>
            <w:tcW w:w="959" w:type="dxa"/>
            <w:vAlign w:val="top"/>
          </w:tcPr>
          <w:p w:rsidR="00671DFD" w:rsidRPr="00D57F34" w:rsidRDefault="00552EAD" w:rsidP="00D57F34">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w:t>
            </w:r>
            <w:r w:rsidR="00ED7979" w:rsidRPr="00D57F34">
              <w:rPr>
                <w:rStyle w:val="Strong"/>
              </w:rPr>
              <w:t>.7</w:t>
            </w:r>
          </w:p>
        </w:tc>
      </w:tr>
    </w:tbl>
    <w:p w:rsidR="00671DFD" w:rsidRPr="00C05A9D" w:rsidRDefault="00671DFD" w:rsidP="00671DFD">
      <w:pPr>
        <w:pStyle w:val="Source"/>
      </w:pPr>
      <w:r>
        <w:t>Note: Numbers may not add up due to rounding.</w:t>
      </w:r>
    </w:p>
    <w:p w:rsidR="00387783" w:rsidRPr="00B00FC6" w:rsidRDefault="00B00FC6" w:rsidP="00B00FC6">
      <w:bookmarkStart w:id="77" w:name="_Toc419366914"/>
      <w:r w:rsidRPr="00B00FC6">
        <w:t xml:space="preserve">We have amended </w:t>
      </w:r>
      <w:r w:rsidR="00E71076">
        <w:t>AusNet's</w:t>
      </w:r>
      <w:r w:rsidRPr="00B00FC6">
        <w:t xml:space="preserve"> proposed efficiency carryover mechanism to reflect improvements included in the efficiency benefit sharing scheme (EBSS) we released in November 2013 for electricity service providers.</w:t>
      </w:r>
      <w:r w:rsidRPr="00B00FC6">
        <w:rPr>
          <w:rStyle w:val="FootnoteReference"/>
        </w:rPr>
        <w:footnoteReference w:id="2"/>
      </w:r>
      <w:r w:rsidRPr="00B00FC6">
        <w:t xml:space="preserve"> Importantly, the amendments will give </w:t>
      </w:r>
      <w:r>
        <w:t>AusNet</w:t>
      </w:r>
      <w:r w:rsidRPr="00B00FC6">
        <w:t xml:space="preserve"> flexibility in the choice of base year it uses to forecast opex in the following period. We have also reduced the number of cost categories we will exclude from the mechanism</w:t>
      </w:r>
      <w:r w:rsidR="00387783" w:rsidRPr="00B00FC6">
        <w:t>.</w:t>
      </w:r>
    </w:p>
    <w:p w:rsidR="005129FE" w:rsidRDefault="005129FE" w:rsidP="005129FE">
      <w:r>
        <w:fldChar w:fldCharType="begin"/>
      </w:r>
      <w:r>
        <w:instrText xml:space="preserve"> REF _Ref475532802 \h </w:instrText>
      </w:r>
      <w:r>
        <w:fldChar w:fldCharType="separate"/>
      </w:r>
      <w:r w:rsidR="00415ED1">
        <w:t xml:space="preserve">Table </w:t>
      </w:r>
      <w:r w:rsidR="00415ED1">
        <w:rPr>
          <w:noProof/>
        </w:rPr>
        <w:t>9</w:t>
      </w:r>
      <w:r w:rsidR="00415ED1">
        <w:t>.</w:t>
      </w:r>
      <w:r w:rsidR="00415ED1">
        <w:rPr>
          <w:noProof/>
        </w:rPr>
        <w:t>2</w:t>
      </w:r>
      <w:r>
        <w:fldChar w:fldCharType="end"/>
      </w:r>
      <w:r>
        <w:t xml:space="preserve"> </w:t>
      </w:r>
      <w:r w:rsidRPr="00175243">
        <w:t xml:space="preserve">sets out our </w:t>
      </w:r>
      <w:r>
        <w:t>draft</w:t>
      </w:r>
      <w:r w:rsidRPr="00175243">
        <w:t xml:space="preserve"> decision on </w:t>
      </w:r>
      <w:r>
        <w:t xml:space="preserve">the </w:t>
      </w:r>
      <w:r w:rsidR="00B00FC6">
        <w:t xml:space="preserve">approved opex </w:t>
      </w:r>
      <w:r w:rsidR="009761DE">
        <w:t xml:space="preserve">forecast </w:t>
      </w:r>
      <w:r w:rsidRPr="00175243">
        <w:t xml:space="preserve">we will </w:t>
      </w:r>
      <w:r>
        <w:t xml:space="preserve">use to </w:t>
      </w:r>
      <w:r w:rsidRPr="00175243">
        <w:t>calcul</w:t>
      </w:r>
      <w:r w:rsidR="00671DFD">
        <w:t>ate efficiency gains</w:t>
      </w:r>
      <w:r w:rsidR="00791AAC">
        <w:t xml:space="preserve"> and losses</w:t>
      </w:r>
      <w:r w:rsidR="00671DFD">
        <w:t xml:space="preserve"> in the 2018</w:t>
      </w:r>
      <w:r w:rsidRPr="00175243">
        <w:t xml:space="preserve">–22 </w:t>
      </w:r>
      <w:r w:rsidR="00DB4FCA">
        <w:rPr>
          <w:rStyle w:val="AERbody"/>
        </w:rPr>
        <w:t>access arrangement</w:t>
      </w:r>
      <w:r w:rsidRPr="00175243">
        <w:t xml:space="preserve"> </w:t>
      </w:r>
      <w:proofErr w:type="gramStart"/>
      <w:r w:rsidRPr="00175243">
        <w:t>period</w:t>
      </w:r>
      <w:proofErr w:type="gramEnd"/>
      <w:r w:rsidR="00791AAC">
        <w:t xml:space="preserve">. </w:t>
      </w:r>
      <w:r w:rsidR="001127DD">
        <w:t xml:space="preserve">We will update these amounts in our final decision to reflect our final decision on forecast opex. </w:t>
      </w:r>
      <w:r w:rsidR="00791AAC">
        <w:t>These amounts are</w:t>
      </w:r>
      <w:r>
        <w:t xml:space="preserve"> </w:t>
      </w:r>
      <w:r w:rsidR="001127DD">
        <w:t xml:space="preserve">also </w:t>
      </w:r>
      <w:r>
        <w:t xml:space="preserve">subject to adjustments </w:t>
      </w:r>
      <w:r w:rsidR="009761DE">
        <w:t xml:space="preserve">permitted </w:t>
      </w:r>
      <w:r>
        <w:t xml:space="preserve">by the </w:t>
      </w:r>
      <w:r w:rsidR="00791AAC">
        <w:t>efficiency carryover mechanism</w:t>
      </w:r>
      <w:r w:rsidRPr="00175243">
        <w:t>.</w:t>
      </w:r>
    </w:p>
    <w:p w:rsidR="005129FE" w:rsidRDefault="005129FE" w:rsidP="005129FE">
      <w:pPr>
        <w:pStyle w:val="Caption"/>
      </w:pPr>
      <w:bookmarkStart w:id="78" w:name="_Ref475532802"/>
      <w:proofErr w:type="gramStart"/>
      <w:r>
        <w:t xml:space="preserve">Table </w:t>
      </w:r>
      <w:proofErr w:type="gramEnd"/>
      <w:r w:rsidR="00415ED1">
        <w:fldChar w:fldCharType="begin"/>
      </w:r>
      <w:r w:rsidR="00415ED1">
        <w:instrText xml:space="preserve"> STYLEREF 1 \s </w:instrText>
      </w:r>
      <w:r w:rsidR="00415ED1">
        <w:fldChar w:fldCharType="separate"/>
      </w:r>
      <w:r w:rsidR="00415ED1">
        <w:rPr>
          <w:noProof/>
        </w:rPr>
        <w:t>9</w:t>
      </w:r>
      <w:r w:rsidR="00415ED1">
        <w:rPr>
          <w:noProof/>
        </w:rPr>
        <w:fldChar w:fldCharType="end"/>
      </w:r>
      <w:proofErr w:type="gramStart"/>
      <w:r>
        <w:t>.</w:t>
      </w:r>
      <w:proofErr w:type="gramEnd"/>
      <w:r w:rsidRPr="00872BC7">
        <w:fldChar w:fldCharType="begin"/>
      </w:r>
      <w:r>
        <w:instrText xml:space="preserve"> SEQ Table \* ARABIC \s 1 </w:instrText>
      </w:r>
      <w:r w:rsidRPr="00872BC7">
        <w:fldChar w:fldCharType="separate"/>
      </w:r>
      <w:r w:rsidR="00415ED1">
        <w:rPr>
          <w:noProof/>
        </w:rPr>
        <w:t>2</w:t>
      </w:r>
      <w:r w:rsidRPr="00872BC7">
        <w:fldChar w:fldCharType="end"/>
      </w:r>
      <w:bookmarkEnd w:id="78"/>
      <w:r>
        <w:tab/>
      </w:r>
      <w:r w:rsidR="00831EC9">
        <w:t xml:space="preserve">Approved </w:t>
      </w:r>
      <w:r w:rsidR="001E0C7D">
        <w:t xml:space="preserve">forecast </w:t>
      </w:r>
      <w:r w:rsidR="00B00FC6">
        <w:t xml:space="preserve">opex </w:t>
      </w:r>
      <w:r>
        <w:t xml:space="preserve">for the </w:t>
      </w:r>
      <w:r w:rsidR="00791AAC">
        <w:t>efficiency carryover mechanism</w:t>
      </w:r>
      <w:r w:rsidR="00791AAC" w:rsidDel="00791AAC">
        <w:t xml:space="preserve"> </w:t>
      </w:r>
      <w:r w:rsidR="00671DFD">
        <w:t>($</w:t>
      </w:r>
      <w:r w:rsidR="00791AAC">
        <w:t> </w:t>
      </w:r>
      <w:r w:rsidR="00671DFD">
        <w:t>million, 20</w:t>
      </w:r>
      <w:r w:rsidRPr="00EC118B">
        <w:t>17)</w:t>
      </w:r>
    </w:p>
    <w:tbl>
      <w:tblPr>
        <w:tblStyle w:val="AERtable-numbers"/>
        <w:tblW w:w="0" w:type="auto"/>
        <w:tblLook w:val="04A0" w:firstRow="1" w:lastRow="0" w:firstColumn="1" w:lastColumn="0" w:noHBand="0" w:noVBand="1"/>
      </w:tblPr>
      <w:tblGrid>
        <w:gridCol w:w="2137"/>
        <w:gridCol w:w="747"/>
        <w:gridCol w:w="747"/>
        <w:gridCol w:w="747"/>
        <w:gridCol w:w="863"/>
        <w:gridCol w:w="863"/>
        <w:gridCol w:w="863"/>
        <w:gridCol w:w="863"/>
        <w:gridCol w:w="863"/>
      </w:tblGrid>
      <w:tr w:rsidR="00831EC9" w:rsidTr="00831E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7" w:type="dxa"/>
          </w:tcPr>
          <w:p w:rsidR="00831EC9" w:rsidRDefault="00831EC9" w:rsidP="005129FE"/>
        </w:tc>
        <w:tc>
          <w:tcPr>
            <w:tcW w:w="747" w:type="dxa"/>
          </w:tcPr>
          <w:p w:rsidR="00831EC9" w:rsidRDefault="00831EC9" w:rsidP="005129FE">
            <w:pPr>
              <w:cnfStyle w:val="100000000000" w:firstRow="1" w:lastRow="0" w:firstColumn="0" w:lastColumn="0" w:oddVBand="0" w:evenVBand="0" w:oddHBand="0" w:evenHBand="0" w:firstRowFirstColumn="0" w:firstRowLastColumn="0" w:lastRowFirstColumn="0" w:lastRowLastColumn="0"/>
            </w:pPr>
            <w:r>
              <w:t>2015</w:t>
            </w:r>
          </w:p>
        </w:tc>
        <w:tc>
          <w:tcPr>
            <w:tcW w:w="747" w:type="dxa"/>
          </w:tcPr>
          <w:p w:rsidR="00831EC9" w:rsidRDefault="00831EC9" w:rsidP="005129FE">
            <w:pPr>
              <w:cnfStyle w:val="100000000000" w:firstRow="1" w:lastRow="0" w:firstColumn="0" w:lastColumn="0" w:oddVBand="0" w:evenVBand="0" w:oddHBand="0" w:evenHBand="0" w:firstRowFirstColumn="0" w:firstRowLastColumn="0" w:lastRowFirstColumn="0" w:lastRowLastColumn="0"/>
            </w:pPr>
            <w:r>
              <w:t>2016</w:t>
            </w:r>
          </w:p>
        </w:tc>
        <w:tc>
          <w:tcPr>
            <w:tcW w:w="747" w:type="dxa"/>
          </w:tcPr>
          <w:p w:rsidR="00831EC9" w:rsidRDefault="00831EC9" w:rsidP="00831EC9">
            <w:pPr>
              <w:cnfStyle w:val="100000000000" w:firstRow="1" w:lastRow="0" w:firstColumn="0" w:lastColumn="0" w:oddVBand="0" w:evenVBand="0" w:oddHBand="0" w:evenHBand="0" w:firstRowFirstColumn="0" w:firstRowLastColumn="0" w:lastRowFirstColumn="0" w:lastRowLastColumn="0"/>
            </w:pPr>
            <w:r>
              <w:t>2017</w:t>
            </w:r>
          </w:p>
        </w:tc>
        <w:tc>
          <w:tcPr>
            <w:tcW w:w="863" w:type="dxa"/>
          </w:tcPr>
          <w:p w:rsidR="00831EC9" w:rsidRPr="005129FE" w:rsidRDefault="00831EC9" w:rsidP="005129FE">
            <w:pPr>
              <w:cnfStyle w:val="100000000000" w:firstRow="1" w:lastRow="0" w:firstColumn="0" w:lastColumn="0" w:oddVBand="0" w:evenVBand="0" w:oddHBand="0" w:evenHBand="0" w:firstRowFirstColumn="0" w:firstRowLastColumn="0" w:lastRowFirstColumn="0" w:lastRowLastColumn="0"/>
            </w:pPr>
            <w:r>
              <w:t>2018</w:t>
            </w:r>
          </w:p>
        </w:tc>
        <w:tc>
          <w:tcPr>
            <w:tcW w:w="863" w:type="dxa"/>
          </w:tcPr>
          <w:p w:rsidR="00831EC9" w:rsidRPr="005129FE" w:rsidRDefault="00831EC9" w:rsidP="005129FE">
            <w:pPr>
              <w:cnfStyle w:val="100000000000" w:firstRow="1" w:lastRow="0" w:firstColumn="0" w:lastColumn="0" w:oddVBand="0" w:evenVBand="0" w:oddHBand="0" w:evenHBand="0" w:firstRowFirstColumn="0" w:firstRowLastColumn="0" w:lastRowFirstColumn="0" w:lastRowLastColumn="0"/>
            </w:pPr>
            <w:r>
              <w:t>2019</w:t>
            </w:r>
          </w:p>
        </w:tc>
        <w:tc>
          <w:tcPr>
            <w:tcW w:w="863" w:type="dxa"/>
          </w:tcPr>
          <w:p w:rsidR="00831EC9" w:rsidRPr="005129FE" w:rsidRDefault="00831EC9" w:rsidP="005129FE">
            <w:pPr>
              <w:cnfStyle w:val="100000000000" w:firstRow="1" w:lastRow="0" w:firstColumn="0" w:lastColumn="0" w:oddVBand="0" w:evenVBand="0" w:oddHBand="0" w:evenHBand="0" w:firstRowFirstColumn="0" w:firstRowLastColumn="0" w:lastRowFirstColumn="0" w:lastRowLastColumn="0"/>
            </w:pPr>
            <w:r>
              <w:t>2020</w:t>
            </w:r>
          </w:p>
        </w:tc>
        <w:tc>
          <w:tcPr>
            <w:tcW w:w="863" w:type="dxa"/>
          </w:tcPr>
          <w:p w:rsidR="00831EC9" w:rsidRPr="005129FE" w:rsidRDefault="00831EC9" w:rsidP="005129FE">
            <w:pPr>
              <w:cnfStyle w:val="100000000000" w:firstRow="1" w:lastRow="0" w:firstColumn="0" w:lastColumn="0" w:oddVBand="0" w:evenVBand="0" w:oddHBand="0" w:evenHBand="0" w:firstRowFirstColumn="0" w:firstRowLastColumn="0" w:lastRowFirstColumn="0" w:lastRowLastColumn="0"/>
            </w:pPr>
            <w:r>
              <w:t>2021</w:t>
            </w:r>
          </w:p>
        </w:tc>
        <w:tc>
          <w:tcPr>
            <w:tcW w:w="863" w:type="dxa"/>
          </w:tcPr>
          <w:p w:rsidR="00831EC9" w:rsidRPr="005129FE" w:rsidRDefault="00831EC9" w:rsidP="005129FE">
            <w:pPr>
              <w:cnfStyle w:val="100000000000" w:firstRow="1" w:lastRow="0" w:firstColumn="0" w:lastColumn="0" w:oddVBand="0" w:evenVBand="0" w:oddHBand="0" w:evenHBand="0" w:firstRowFirstColumn="0" w:firstRowLastColumn="0" w:lastRowFirstColumn="0" w:lastRowLastColumn="0"/>
            </w:pPr>
            <w:r>
              <w:t>2022</w:t>
            </w:r>
          </w:p>
        </w:tc>
      </w:tr>
      <w:tr w:rsidR="00831EC9" w:rsidRPr="00B00FC6" w:rsidTr="00831EC9">
        <w:tc>
          <w:tcPr>
            <w:cnfStyle w:val="001000000000" w:firstRow="0" w:lastRow="0" w:firstColumn="1" w:lastColumn="0" w:oddVBand="0" w:evenVBand="0" w:oddHBand="0" w:evenHBand="0" w:firstRowFirstColumn="0" w:firstRowLastColumn="0" w:lastRowFirstColumn="0" w:lastRowLastColumn="0"/>
            <w:tcW w:w="2137" w:type="dxa"/>
          </w:tcPr>
          <w:p w:rsidR="00831EC9" w:rsidRPr="00B00FC6" w:rsidRDefault="00831EC9" w:rsidP="00B00FC6">
            <w:r w:rsidRPr="00B00FC6">
              <w:t xml:space="preserve">Approved </w:t>
            </w:r>
            <w:r w:rsidR="00B00FC6" w:rsidRPr="00B00FC6">
              <w:t xml:space="preserve">opex </w:t>
            </w:r>
            <w:r w:rsidRPr="00B00FC6">
              <w:t xml:space="preserve">forecast </w:t>
            </w:r>
          </w:p>
        </w:tc>
        <w:tc>
          <w:tcPr>
            <w:tcW w:w="747" w:type="dxa"/>
            <w:vAlign w:val="top"/>
          </w:tcPr>
          <w:p w:rsidR="00831EC9" w:rsidRPr="00B00FC6" w:rsidRDefault="00831EC9" w:rsidP="00B00FC6">
            <w:pPr>
              <w:cnfStyle w:val="000000000000" w:firstRow="0" w:lastRow="0" w:firstColumn="0" w:lastColumn="0" w:oddVBand="0" w:evenVBand="0" w:oddHBand="0" w:evenHBand="0" w:firstRowFirstColumn="0" w:firstRowLastColumn="0" w:lastRowFirstColumn="0" w:lastRowLastColumn="0"/>
            </w:pPr>
            <w:r w:rsidRPr="00B00FC6">
              <w:t>49.2</w:t>
            </w:r>
          </w:p>
        </w:tc>
        <w:tc>
          <w:tcPr>
            <w:tcW w:w="747" w:type="dxa"/>
            <w:vAlign w:val="top"/>
          </w:tcPr>
          <w:p w:rsidR="00831EC9" w:rsidRPr="00B00FC6" w:rsidRDefault="00831EC9" w:rsidP="00B00FC6">
            <w:pPr>
              <w:cnfStyle w:val="000000000000" w:firstRow="0" w:lastRow="0" w:firstColumn="0" w:lastColumn="0" w:oddVBand="0" w:evenVBand="0" w:oddHBand="0" w:evenHBand="0" w:firstRowFirstColumn="0" w:firstRowLastColumn="0" w:lastRowFirstColumn="0" w:lastRowLastColumn="0"/>
            </w:pPr>
            <w:r w:rsidRPr="00B00FC6">
              <w:t>50.3</w:t>
            </w:r>
          </w:p>
        </w:tc>
        <w:tc>
          <w:tcPr>
            <w:tcW w:w="747" w:type="dxa"/>
            <w:vAlign w:val="top"/>
          </w:tcPr>
          <w:p w:rsidR="00831EC9" w:rsidRPr="00B00FC6" w:rsidRDefault="00831EC9" w:rsidP="00B00FC6">
            <w:pPr>
              <w:cnfStyle w:val="000000000000" w:firstRow="0" w:lastRow="0" w:firstColumn="0" w:lastColumn="0" w:oddVBand="0" w:evenVBand="0" w:oddHBand="0" w:evenHBand="0" w:firstRowFirstColumn="0" w:firstRowLastColumn="0" w:lastRowFirstColumn="0" w:lastRowLastColumn="0"/>
            </w:pPr>
            <w:r w:rsidRPr="00B00FC6">
              <w:t>51.5</w:t>
            </w:r>
          </w:p>
        </w:tc>
        <w:tc>
          <w:tcPr>
            <w:tcW w:w="863" w:type="dxa"/>
          </w:tcPr>
          <w:p w:rsidR="00831EC9" w:rsidRPr="00B00FC6" w:rsidRDefault="00831EC9" w:rsidP="00B00FC6">
            <w:pPr>
              <w:cnfStyle w:val="000000000000" w:firstRow="0" w:lastRow="0" w:firstColumn="0" w:lastColumn="0" w:oddVBand="0" w:evenVBand="0" w:oddHBand="0" w:evenHBand="0" w:firstRowFirstColumn="0" w:firstRowLastColumn="0" w:lastRowFirstColumn="0" w:lastRowLastColumn="0"/>
            </w:pPr>
            <w:r w:rsidRPr="00B00FC6">
              <w:t>51.0</w:t>
            </w:r>
          </w:p>
        </w:tc>
        <w:tc>
          <w:tcPr>
            <w:tcW w:w="863" w:type="dxa"/>
          </w:tcPr>
          <w:p w:rsidR="00831EC9" w:rsidRPr="00B00FC6" w:rsidRDefault="00831EC9" w:rsidP="00B00FC6">
            <w:pPr>
              <w:cnfStyle w:val="000000000000" w:firstRow="0" w:lastRow="0" w:firstColumn="0" w:lastColumn="0" w:oddVBand="0" w:evenVBand="0" w:oddHBand="0" w:evenHBand="0" w:firstRowFirstColumn="0" w:firstRowLastColumn="0" w:lastRowFirstColumn="0" w:lastRowLastColumn="0"/>
            </w:pPr>
            <w:r w:rsidRPr="00B00FC6">
              <w:t>51.9</w:t>
            </w:r>
          </w:p>
        </w:tc>
        <w:tc>
          <w:tcPr>
            <w:tcW w:w="863" w:type="dxa"/>
          </w:tcPr>
          <w:p w:rsidR="00831EC9" w:rsidRPr="00B00FC6" w:rsidRDefault="00831EC9" w:rsidP="00B00FC6">
            <w:pPr>
              <w:cnfStyle w:val="000000000000" w:firstRow="0" w:lastRow="0" w:firstColumn="0" w:lastColumn="0" w:oddVBand="0" w:evenVBand="0" w:oddHBand="0" w:evenHBand="0" w:firstRowFirstColumn="0" w:firstRowLastColumn="0" w:lastRowFirstColumn="0" w:lastRowLastColumn="0"/>
            </w:pPr>
            <w:r w:rsidRPr="00B00FC6">
              <w:t>52.9</w:t>
            </w:r>
          </w:p>
        </w:tc>
        <w:tc>
          <w:tcPr>
            <w:tcW w:w="863" w:type="dxa"/>
          </w:tcPr>
          <w:p w:rsidR="00831EC9" w:rsidRPr="00B00FC6" w:rsidRDefault="00831EC9" w:rsidP="00B00FC6">
            <w:pPr>
              <w:cnfStyle w:val="000000000000" w:firstRow="0" w:lastRow="0" w:firstColumn="0" w:lastColumn="0" w:oddVBand="0" w:evenVBand="0" w:oddHBand="0" w:evenHBand="0" w:firstRowFirstColumn="0" w:firstRowLastColumn="0" w:lastRowFirstColumn="0" w:lastRowLastColumn="0"/>
            </w:pPr>
            <w:r w:rsidRPr="00B00FC6">
              <w:t>53.9</w:t>
            </w:r>
          </w:p>
        </w:tc>
        <w:tc>
          <w:tcPr>
            <w:tcW w:w="863" w:type="dxa"/>
          </w:tcPr>
          <w:p w:rsidR="00831EC9" w:rsidRPr="00B00FC6" w:rsidRDefault="00831EC9" w:rsidP="00B00FC6">
            <w:pPr>
              <w:cnfStyle w:val="000000000000" w:firstRow="0" w:lastRow="0" w:firstColumn="0" w:lastColumn="0" w:oddVBand="0" w:evenVBand="0" w:oddHBand="0" w:evenHBand="0" w:firstRowFirstColumn="0" w:firstRowLastColumn="0" w:lastRowFirstColumn="0" w:lastRowLastColumn="0"/>
            </w:pPr>
            <w:r w:rsidRPr="00B00FC6">
              <w:t>54.8</w:t>
            </w:r>
          </w:p>
        </w:tc>
      </w:tr>
    </w:tbl>
    <w:p w:rsidR="005129FE" w:rsidRDefault="005129FE" w:rsidP="005129FE">
      <w:pPr>
        <w:pStyle w:val="Source"/>
      </w:pPr>
      <w:r>
        <w:t xml:space="preserve">Note: </w:t>
      </w:r>
      <w:r w:rsidR="00831EC9">
        <w:tab/>
        <w:t>Excludes debt raising costs.</w:t>
      </w:r>
    </w:p>
    <w:p w:rsidR="005129FE" w:rsidRDefault="00E71076" w:rsidP="005129FE">
      <w:pPr>
        <w:pStyle w:val="Heading2"/>
      </w:pPr>
      <w:bookmarkStart w:id="79" w:name="_Toc479174751"/>
      <w:bookmarkStart w:id="80" w:name="_Toc486515966"/>
      <w:r>
        <w:t>AusNet's</w:t>
      </w:r>
      <w:r w:rsidR="005129FE">
        <w:t xml:space="preserve"> proposal</w:t>
      </w:r>
      <w:bookmarkEnd w:id="77"/>
      <w:bookmarkEnd w:id="79"/>
      <w:bookmarkEnd w:id="80"/>
    </w:p>
    <w:p w:rsidR="00875607" w:rsidRPr="00875607" w:rsidRDefault="00875607" w:rsidP="0033525A">
      <w:pPr>
        <w:pStyle w:val="Heading3"/>
        <w:ind w:left="720"/>
      </w:pPr>
      <w:bookmarkStart w:id="81" w:name="_Toc436389920"/>
      <w:bookmarkStart w:id="82" w:name="_Toc456602454"/>
      <w:bookmarkStart w:id="83" w:name="_Toc486515967"/>
      <w:r w:rsidRPr="00365D75">
        <w:t>Carryover</w:t>
      </w:r>
      <w:r>
        <w:t xml:space="preserve"> amounts from the 2013</w:t>
      </w:r>
      <w:r w:rsidRPr="00875607">
        <w:t xml:space="preserve">–17 </w:t>
      </w:r>
      <w:r w:rsidR="00DB4FCA" w:rsidRPr="00DB4FCA">
        <w:t xml:space="preserve">access arrangement </w:t>
      </w:r>
      <w:r w:rsidRPr="00875607">
        <w:t>period</w:t>
      </w:r>
      <w:bookmarkEnd w:id="81"/>
      <w:bookmarkEnd w:id="82"/>
      <w:bookmarkEnd w:id="83"/>
    </w:p>
    <w:p w:rsidR="00875607" w:rsidRPr="00365D75" w:rsidRDefault="00E71076" w:rsidP="00875607">
      <w:r>
        <w:t>AusNet</w:t>
      </w:r>
      <w:r w:rsidR="00875607">
        <w:t xml:space="preserve"> proposed a $</w:t>
      </w:r>
      <w:r w:rsidR="00883854">
        <w:t>5.9</w:t>
      </w:r>
      <w:r w:rsidR="00875607">
        <w:t xml:space="preserve"> million ($2017</w:t>
      </w:r>
      <w:r w:rsidR="00875607" w:rsidRPr="00365D75">
        <w:t xml:space="preserve">) </w:t>
      </w:r>
      <w:r w:rsidR="00875607">
        <w:t xml:space="preserve">carryover </w:t>
      </w:r>
      <w:r w:rsidR="00875607" w:rsidRPr="00365D75">
        <w:t xml:space="preserve">be </w:t>
      </w:r>
      <w:r w:rsidR="00875607">
        <w:t>added</w:t>
      </w:r>
      <w:r w:rsidR="00875607" w:rsidRPr="00365D75">
        <w:t xml:space="preserve"> </w:t>
      </w:r>
      <w:r w:rsidR="00875607">
        <w:t>to</w:t>
      </w:r>
      <w:r w:rsidR="00875607" w:rsidRPr="00365D75">
        <w:t xml:space="preserve"> i</w:t>
      </w:r>
      <w:r w:rsidR="00875607">
        <w:t>ts revenue in the 2018–22</w:t>
      </w:r>
      <w:r w:rsidR="00875607" w:rsidRPr="00365D75">
        <w:t xml:space="preserve"> </w:t>
      </w:r>
      <w:r w:rsidR="00DB4FCA">
        <w:rPr>
          <w:rStyle w:val="AERbody"/>
        </w:rPr>
        <w:t>access arrangement</w:t>
      </w:r>
      <w:r w:rsidR="00DB4FCA" w:rsidRPr="0060237E">
        <w:rPr>
          <w:rStyle w:val="AERbody"/>
        </w:rPr>
        <w:t xml:space="preserve"> </w:t>
      </w:r>
      <w:proofErr w:type="gramStart"/>
      <w:r w:rsidR="00875607" w:rsidRPr="00365D75">
        <w:t>period</w:t>
      </w:r>
      <w:proofErr w:type="gramEnd"/>
      <w:r w:rsidR="00875607" w:rsidRPr="00365D75">
        <w:t>.</w:t>
      </w:r>
      <w:r w:rsidR="00875607">
        <w:rPr>
          <w:rStyle w:val="FootnoteReference"/>
        </w:rPr>
        <w:footnoteReference w:id="3"/>
      </w:r>
    </w:p>
    <w:p w:rsidR="00387783" w:rsidRDefault="00E71076" w:rsidP="00875607">
      <w:r>
        <w:t>AusNet</w:t>
      </w:r>
      <w:r w:rsidR="00387783">
        <w:t xml:space="preserve"> used the equations set out in clause </w:t>
      </w:r>
      <w:r w:rsidR="006220D6">
        <w:t>6.4.2</w:t>
      </w:r>
      <w:r w:rsidR="00387783">
        <w:t xml:space="preserve"> of its 2013–17 access arrangement to calculate its annual efficiency gains (or losses) in each year.</w:t>
      </w:r>
    </w:p>
    <w:p w:rsidR="00875607" w:rsidRPr="00365D75" w:rsidRDefault="00875607" w:rsidP="00875607">
      <w:r w:rsidRPr="00365D75">
        <w:t xml:space="preserve">In estimating its proposed carryover amounts, </w:t>
      </w:r>
      <w:r w:rsidR="00E71076">
        <w:t>AusNet</w:t>
      </w:r>
      <w:r w:rsidRPr="00365D75">
        <w:t xml:space="preserve"> </w:t>
      </w:r>
      <w:r w:rsidR="0009052F">
        <w:t>excluded</w:t>
      </w:r>
      <w:r w:rsidRPr="00365D75">
        <w:t xml:space="preserve"> the following costs</w:t>
      </w:r>
      <w:r w:rsidR="0009052F">
        <w:t xml:space="preserve"> from its actual opex</w:t>
      </w:r>
      <w:r>
        <w:t>:</w:t>
      </w:r>
    </w:p>
    <w:p w:rsidR="00875607" w:rsidRPr="00A90041" w:rsidRDefault="00875607" w:rsidP="003E08FD">
      <w:pPr>
        <w:pStyle w:val="AERbulletlistfirststyle"/>
      </w:pPr>
      <w:r>
        <w:t>debt raising costs</w:t>
      </w:r>
    </w:p>
    <w:p w:rsidR="00883854" w:rsidRPr="00883854" w:rsidRDefault="00875607" w:rsidP="004E60E0">
      <w:pPr>
        <w:pStyle w:val="AERbulletlistfirststyle"/>
      </w:pPr>
      <w:proofErr w:type="gramStart"/>
      <w:r>
        <w:t>m</w:t>
      </w:r>
      <w:r w:rsidRPr="00A90041">
        <w:t>ovements</w:t>
      </w:r>
      <w:proofErr w:type="gramEnd"/>
      <w:r w:rsidRPr="00A90041">
        <w:t xml:space="preserve"> </w:t>
      </w:r>
      <w:r>
        <w:t>in provisions allocated to opex</w:t>
      </w:r>
      <w:r w:rsidRPr="00365D75">
        <w:t>.</w:t>
      </w:r>
      <w:r>
        <w:rPr>
          <w:rStyle w:val="FootnoteReference"/>
        </w:rPr>
        <w:footnoteReference w:id="4"/>
      </w:r>
    </w:p>
    <w:p w:rsidR="00875607" w:rsidRPr="00875607" w:rsidRDefault="00875607" w:rsidP="0033525A">
      <w:pPr>
        <w:pStyle w:val="Heading3"/>
        <w:ind w:left="720"/>
      </w:pPr>
      <w:bookmarkStart w:id="84" w:name="_Toc436389921"/>
      <w:bookmarkStart w:id="85" w:name="_Toc456602455"/>
      <w:bookmarkStart w:id="86" w:name="_Toc486515968"/>
      <w:r w:rsidRPr="00365D75">
        <w:t>App</w:t>
      </w:r>
      <w:r>
        <w:t xml:space="preserve">lication of the </w:t>
      </w:r>
      <w:r w:rsidR="0018424E">
        <w:t>efficiency carryover mechanism</w:t>
      </w:r>
      <w:r>
        <w:t xml:space="preserve"> in the 2018</w:t>
      </w:r>
      <w:r w:rsidRPr="00365D75">
        <w:t xml:space="preserve">–22 </w:t>
      </w:r>
      <w:r w:rsidR="00DB4FCA" w:rsidRPr="00DB4FCA">
        <w:t>access arrangement</w:t>
      </w:r>
      <w:r w:rsidRPr="00365D75">
        <w:t xml:space="preserve"> period</w:t>
      </w:r>
      <w:bookmarkEnd w:id="84"/>
      <w:bookmarkEnd w:id="85"/>
      <w:bookmarkEnd w:id="86"/>
    </w:p>
    <w:p w:rsidR="00875607" w:rsidRPr="00365D75" w:rsidRDefault="00E71076" w:rsidP="00A55496">
      <w:r>
        <w:rPr>
          <w:rStyle w:val="AERbody"/>
        </w:rPr>
        <w:t>AusNet</w:t>
      </w:r>
      <w:r w:rsidR="00875607" w:rsidRPr="00365D75">
        <w:rPr>
          <w:rStyle w:val="AERbody"/>
        </w:rPr>
        <w:t xml:space="preserve"> proposed </w:t>
      </w:r>
      <w:r w:rsidR="00875607">
        <w:rPr>
          <w:rStyle w:val="AERbody"/>
        </w:rPr>
        <w:t>an efficiency carryover</w:t>
      </w:r>
      <w:r w:rsidR="00875607" w:rsidRPr="00365D75">
        <w:rPr>
          <w:rStyle w:val="AERbody"/>
        </w:rPr>
        <w:t xml:space="preserve"> scheme would apply to it in the </w:t>
      </w:r>
      <w:r w:rsidR="00875607">
        <w:t>2018–22</w:t>
      </w:r>
      <w:r w:rsidR="00875607" w:rsidRPr="00365D75">
        <w:t xml:space="preserve"> </w:t>
      </w:r>
      <w:r w:rsidR="00DB4FCA">
        <w:rPr>
          <w:rStyle w:val="AERbody"/>
        </w:rPr>
        <w:t>access arrangement</w:t>
      </w:r>
      <w:r w:rsidR="00DB4FCA" w:rsidRPr="0060237E">
        <w:rPr>
          <w:rStyle w:val="AERbody"/>
        </w:rPr>
        <w:t xml:space="preserve"> </w:t>
      </w:r>
      <w:proofErr w:type="gramStart"/>
      <w:r w:rsidR="00875607" w:rsidRPr="00365D75">
        <w:t>period</w:t>
      </w:r>
      <w:proofErr w:type="gramEnd"/>
      <w:r w:rsidR="00875607" w:rsidRPr="00365D75">
        <w:t xml:space="preserve"> subject to specific exclusions.</w:t>
      </w:r>
      <w:r w:rsidR="00387783">
        <w:t xml:space="preserve"> </w:t>
      </w:r>
      <w:r w:rsidR="00875607" w:rsidRPr="00365D75">
        <w:t xml:space="preserve">It proposed we </w:t>
      </w:r>
      <w:r w:rsidR="00A55496" w:rsidRPr="00365D75">
        <w:t xml:space="preserve">exclude </w:t>
      </w:r>
      <w:r w:rsidR="00A55496">
        <w:t>the</w:t>
      </w:r>
      <w:r w:rsidR="00875607" w:rsidRPr="00365D75">
        <w:t xml:space="preserve"> following cost categories from the scheme:</w:t>
      </w:r>
      <w:r w:rsidR="004716EA" w:rsidRPr="004716EA">
        <w:rPr>
          <w:rStyle w:val="FootnoteReference"/>
        </w:rPr>
        <w:t xml:space="preserve"> </w:t>
      </w:r>
      <w:r w:rsidR="004716EA" w:rsidRPr="004716EA">
        <w:rPr>
          <w:rStyle w:val="FootnoteReference"/>
        </w:rPr>
        <w:footnoteReference w:id="5"/>
      </w:r>
    </w:p>
    <w:p w:rsidR="003E08FD" w:rsidRDefault="003E08FD" w:rsidP="003E08FD">
      <w:pPr>
        <w:pStyle w:val="AERbulletlistfirststyle"/>
      </w:pPr>
      <w:r w:rsidRPr="003E08FD">
        <w:t>costs associated with complying with any retailer</w:t>
      </w:r>
      <w:r>
        <w:t xml:space="preserve"> of last resort requirements</w:t>
      </w:r>
      <w:r w:rsidRPr="003E08FD">
        <w:t xml:space="preserve">   </w:t>
      </w:r>
    </w:p>
    <w:p w:rsidR="003E08FD" w:rsidRPr="003E08FD" w:rsidRDefault="003E08FD" w:rsidP="003E08FD">
      <w:pPr>
        <w:pStyle w:val="AERbulletlistfirststyle"/>
      </w:pPr>
      <w:r w:rsidRPr="003E08FD">
        <w:t xml:space="preserve">amounts for approved </w:t>
      </w:r>
      <w:r w:rsidR="0009052F">
        <w:t>c</w:t>
      </w:r>
      <w:r w:rsidRPr="003E08FD">
        <w:t xml:space="preserve">ost </w:t>
      </w:r>
      <w:r w:rsidR="0009052F">
        <w:t>p</w:t>
      </w:r>
      <w:r w:rsidRPr="003E08FD">
        <w:t xml:space="preserve">ass </w:t>
      </w:r>
      <w:r w:rsidR="0009052F">
        <w:t>t</w:t>
      </w:r>
      <w:r w:rsidRPr="003E08FD">
        <w:t xml:space="preserve">hrough </w:t>
      </w:r>
      <w:r w:rsidR="0009052F">
        <w:t>e</w:t>
      </w:r>
      <w:r w:rsidRPr="003E08FD">
        <w:t>vents</w:t>
      </w:r>
    </w:p>
    <w:p w:rsidR="003E08FD" w:rsidRPr="003E08FD" w:rsidRDefault="003E08FD" w:rsidP="003E08FD">
      <w:pPr>
        <w:pStyle w:val="AERbulletlistfirststyle"/>
      </w:pPr>
      <w:r w:rsidRPr="003E08FD">
        <w:t>unaccounted for gas expenses</w:t>
      </w:r>
    </w:p>
    <w:p w:rsidR="003E08FD" w:rsidRPr="003E08FD" w:rsidRDefault="003E08FD" w:rsidP="003E08FD">
      <w:pPr>
        <w:pStyle w:val="AERbulletlistfirststyle"/>
      </w:pPr>
      <w:r w:rsidRPr="003E08FD">
        <w:t>licence fees</w:t>
      </w:r>
    </w:p>
    <w:p w:rsidR="003E08FD" w:rsidRPr="003E08FD" w:rsidRDefault="003E08FD" w:rsidP="003E08FD">
      <w:pPr>
        <w:pStyle w:val="AERbulletlistfirststyle"/>
      </w:pPr>
      <w:r w:rsidRPr="003E08FD">
        <w:t>debt raising costs</w:t>
      </w:r>
    </w:p>
    <w:p w:rsidR="003E08FD" w:rsidRPr="003E08FD" w:rsidRDefault="003E08FD" w:rsidP="003E08FD">
      <w:pPr>
        <w:pStyle w:val="AERbulletlistfirststyle"/>
      </w:pPr>
      <w:r w:rsidRPr="003E08FD">
        <w:t>movements in provisions</w:t>
      </w:r>
    </w:p>
    <w:p w:rsidR="003E08FD" w:rsidRPr="003E08FD" w:rsidRDefault="003E08FD" w:rsidP="003E08FD">
      <w:pPr>
        <w:pStyle w:val="AERbulletlistfirststyle"/>
      </w:pPr>
      <w:r w:rsidRPr="003E08FD">
        <w:t xml:space="preserve">allowable </w:t>
      </w:r>
      <w:r w:rsidR="00324FAA">
        <w:t>network innovation scheme (</w:t>
      </w:r>
      <w:r w:rsidRPr="003E08FD">
        <w:t>NIS</w:t>
      </w:r>
      <w:r w:rsidR="00324FAA">
        <w:t>)</w:t>
      </w:r>
      <w:r w:rsidRPr="003E08FD">
        <w:t xml:space="preserve"> expenditure amounts</w:t>
      </w:r>
    </w:p>
    <w:p w:rsidR="00875607" w:rsidRPr="00217E71" w:rsidRDefault="003E08FD" w:rsidP="003E08FD">
      <w:pPr>
        <w:pStyle w:val="AERbulletlistfirststyle"/>
      </w:pPr>
      <w:proofErr w:type="gramStart"/>
      <w:r w:rsidRPr="003E08FD">
        <w:t>any</w:t>
      </w:r>
      <w:proofErr w:type="gramEnd"/>
      <w:r w:rsidRPr="003E08FD">
        <w:t xml:space="preserve"> other activity that </w:t>
      </w:r>
      <w:r w:rsidR="00B72B3F">
        <w:t xml:space="preserve">we and </w:t>
      </w:r>
      <w:r w:rsidR="00E71076">
        <w:t>AusNet</w:t>
      </w:r>
      <w:r w:rsidR="007F76F9">
        <w:t xml:space="preserve"> </w:t>
      </w:r>
      <w:r w:rsidRPr="003E08FD">
        <w:t>agree to exclude from the operation of the efficiency carryover mechanism.</w:t>
      </w:r>
    </w:p>
    <w:p w:rsidR="00875607" w:rsidRPr="00875607" w:rsidRDefault="00A06956" w:rsidP="00875607">
      <w:r>
        <w:t xml:space="preserve">It also proposed we adjust </w:t>
      </w:r>
      <w:r w:rsidR="009761DE">
        <w:t xml:space="preserve">approved </w:t>
      </w:r>
      <w:r w:rsidR="007D07B5">
        <w:t xml:space="preserve">forecast </w:t>
      </w:r>
      <w:r w:rsidR="009761DE">
        <w:t xml:space="preserve">opex </w:t>
      </w:r>
      <w:r>
        <w:t xml:space="preserve">to account for the difference between forecast and actual changes in the scale of activities and </w:t>
      </w:r>
      <w:r w:rsidR="007D07B5">
        <w:t xml:space="preserve">for </w:t>
      </w:r>
      <w:r>
        <w:t>changes in capitalisation policy.</w:t>
      </w:r>
      <w:r>
        <w:rPr>
          <w:rStyle w:val="FootnoteReference"/>
        </w:rPr>
        <w:footnoteReference w:id="6"/>
      </w:r>
    </w:p>
    <w:p w:rsidR="005129FE" w:rsidRDefault="001E283F" w:rsidP="005129FE">
      <w:pPr>
        <w:pStyle w:val="Heading2"/>
      </w:pPr>
      <w:bookmarkStart w:id="87" w:name="_Toc408404322"/>
      <w:bookmarkStart w:id="88" w:name="_Toc419366915"/>
      <w:bookmarkStart w:id="89" w:name="_Toc479174752"/>
      <w:bookmarkStart w:id="90" w:name="_Toc486515969"/>
      <w:r>
        <w:t>Our</w:t>
      </w:r>
      <w:r w:rsidR="005129FE" w:rsidRPr="0074565D">
        <w:t xml:space="preserve"> assessment approach</w:t>
      </w:r>
      <w:bookmarkEnd w:id="87"/>
      <w:bookmarkEnd w:id="88"/>
      <w:bookmarkEnd w:id="89"/>
      <w:bookmarkEnd w:id="90"/>
    </w:p>
    <w:p w:rsidR="005129FE" w:rsidRDefault="005129FE" w:rsidP="005129FE">
      <w:r>
        <w:t>An efficiency carryover mechanism is a form of incentive mechanism. A full access arrangement may include (and we may require it to include) one or more incentive mechanisms to encourage efficiency in the provision of services by the service provider.</w:t>
      </w:r>
      <w:r>
        <w:rPr>
          <w:rStyle w:val="FootnoteReference"/>
        </w:rPr>
        <w:footnoteReference w:id="7"/>
      </w:r>
      <w:r>
        <w:t xml:space="preserve"> An incentive mechanism must be consistent with the revenue and pricing principles.</w:t>
      </w:r>
      <w:r>
        <w:rPr>
          <w:rStyle w:val="FootnoteReference"/>
        </w:rPr>
        <w:footnoteReference w:id="8"/>
      </w:r>
      <w:r>
        <w:t xml:space="preserve"> </w:t>
      </w:r>
    </w:p>
    <w:p w:rsidR="005129FE" w:rsidRDefault="005129FE" w:rsidP="005129FE">
      <w:r>
        <w:t xml:space="preserve">We consider the following revenue and pricing principle is most relevant for assessing </w:t>
      </w:r>
      <w:r w:rsidR="00E71076">
        <w:t>AusNet's</w:t>
      </w:r>
      <w:r>
        <w:t xml:space="preserve"> </w:t>
      </w:r>
      <w:r w:rsidR="007D07B5">
        <w:t xml:space="preserve">proposed </w:t>
      </w:r>
      <w:r w:rsidR="00F23C57">
        <w:t>efficiency carryover mechanism:</w:t>
      </w:r>
    </w:p>
    <w:p w:rsidR="005129FE" w:rsidRPr="007D07B5" w:rsidRDefault="005129FE" w:rsidP="007D07B5">
      <w:pPr>
        <w:pStyle w:val="AERquote"/>
      </w:pPr>
      <w:r w:rsidRPr="007D07B5">
        <w:t>A service provider should be provided with effective incentives in order to promote economic efficiency with respect to reference services the service provider provides.</w:t>
      </w:r>
    </w:p>
    <w:p w:rsidR="005129FE" w:rsidRPr="007D07B5" w:rsidRDefault="005129FE" w:rsidP="007D07B5">
      <w:pPr>
        <w:pStyle w:val="AERquote"/>
      </w:pPr>
      <w:r w:rsidRPr="007D07B5">
        <w:t>The economic efficiency t</w:t>
      </w:r>
      <w:r w:rsidR="00B00FC6" w:rsidRPr="007D07B5">
        <w:t>hat should be promoted includes:</w:t>
      </w:r>
    </w:p>
    <w:p w:rsidR="005129FE" w:rsidRPr="007D07B5" w:rsidRDefault="005129FE" w:rsidP="007D07B5">
      <w:pPr>
        <w:pStyle w:val="AERquote"/>
      </w:pPr>
      <w:r w:rsidRPr="007D07B5">
        <w:t xml:space="preserve">(a) </w:t>
      </w:r>
      <w:proofErr w:type="gramStart"/>
      <w:r w:rsidRPr="007D07B5">
        <w:t>efficient</w:t>
      </w:r>
      <w:proofErr w:type="gramEnd"/>
      <w:r w:rsidRPr="007D07B5">
        <w:t xml:space="preserve"> investment in, or in connection with, a pipeline with which the service provid</w:t>
      </w:r>
      <w:r w:rsidR="00671DFD" w:rsidRPr="007D07B5">
        <w:t>er provides reference services</w:t>
      </w:r>
    </w:p>
    <w:p w:rsidR="005129FE" w:rsidRPr="007D07B5" w:rsidRDefault="005129FE" w:rsidP="007D07B5">
      <w:pPr>
        <w:pStyle w:val="AERquote"/>
      </w:pPr>
      <w:r w:rsidRPr="007D07B5">
        <w:t xml:space="preserve">(b) </w:t>
      </w:r>
      <w:proofErr w:type="gramStart"/>
      <w:r w:rsidRPr="007D07B5">
        <w:t>the</w:t>
      </w:r>
      <w:proofErr w:type="gramEnd"/>
      <w:r w:rsidRPr="007D07B5">
        <w:t xml:space="preserve"> efficient </w:t>
      </w:r>
      <w:r w:rsidR="00671DFD" w:rsidRPr="007D07B5">
        <w:t>provision of pipeline services</w:t>
      </w:r>
    </w:p>
    <w:p w:rsidR="005129FE" w:rsidRDefault="005129FE" w:rsidP="007D07B5">
      <w:pPr>
        <w:pStyle w:val="AERquote"/>
      </w:pPr>
      <w:r w:rsidRPr="007D07B5">
        <w:t xml:space="preserve">(c) </w:t>
      </w:r>
      <w:proofErr w:type="gramStart"/>
      <w:r w:rsidRPr="007D07B5">
        <w:t>the</w:t>
      </w:r>
      <w:proofErr w:type="gramEnd"/>
      <w:r w:rsidRPr="007D07B5">
        <w:t xml:space="preserve"> efficient use of the pipeline.</w:t>
      </w:r>
      <w:r w:rsidR="00F23C57">
        <w:rPr>
          <w:rStyle w:val="FootnoteReference"/>
        </w:rPr>
        <w:footnoteReference w:id="9"/>
      </w:r>
    </w:p>
    <w:p w:rsidR="00F23C57" w:rsidRDefault="00F23C57" w:rsidP="00F23C57">
      <w:r>
        <w:t>Under the NGR we have full discretion in our decision as to whether to apply an incentive scheme.</w:t>
      </w:r>
      <w:r>
        <w:rPr>
          <w:rStyle w:val="FootnoteReference"/>
        </w:rPr>
        <w:footnoteReference w:id="10"/>
      </w:r>
    </w:p>
    <w:p w:rsidR="00662875" w:rsidRPr="00C232E3" w:rsidRDefault="00662875" w:rsidP="0033525A">
      <w:pPr>
        <w:pStyle w:val="Heading3"/>
        <w:ind w:left="720"/>
      </w:pPr>
      <w:bookmarkStart w:id="91" w:name="_Toc403138099"/>
      <w:bookmarkStart w:id="92" w:name="_Ref411244321"/>
      <w:bookmarkStart w:id="93" w:name="_Toc417636187"/>
      <w:bookmarkStart w:id="94" w:name="_Toc424111945"/>
      <w:bookmarkStart w:id="95" w:name="_Toc433036275"/>
      <w:bookmarkStart w:id="96" w:name="_Toc462826356"/>
      <w:bookmarkStart w:id="97" w:name="_Toc486515970"/>
      <w:r>
        <w:t>Interrelationships</w:t>
      </w:r>
      <w:bookmarkEnd w:id="91"/>
      <w:bookmarkEnd w:id="92"/>
      <w:bookmarkEnd w:id="93"/>
      <w:bookmarkEnd w:id="94"/>
      <w:bookmarkEnd w:id="95"/>
      <w:bookmarkEnd w:id="96"/>
      <w:bookmarkEnd w:id="97"/>
    </w:p>
    <w:p w:rsidR="00662875" w:rsidRDefault="00662875" w:rsidP="00662875">
      <w:pPr>
        <w:rPr>
          <w:rStyle w:val="AERbody"/>
        </w:rPr>
      </w:pPr>
      <w:r w:rsidRPr="00567FCA">
        <w:t xml:space="preserve">The </w:t>
      </w:r>
      <w:r w:rsidR="00B72B3F">
        <w:t xml:space="preserve">efficiency carryover mechanism </w:t>
      </w:r>
      <w:r w:rsidRPr="00567FCA">
        <w:t xml:space="preserve">is intrinsically linked to our opex revealed cost forecasting approach. </w:t>
      </w:r>
      <w:r>
        <w:t xml:space="preserve">Under our revealed cost forecasting approach we base our forecast on a service provider's audited actual opex in a single year. </w:t>
      </w:r>
      <w:r>
        <w:rPr>
          <w:rStyle w:val="AERbody"/>
        </w:rPr>
        <w:t>When we assess a service provider's pro</w:t>
      </w:r>
      <w:r w:rsidR="00735A23">
        <w:rPr>
          <w:rStyle w:val="AERbody"/>
        </w:rPr>
        <w:t>posed carryover</w:t>
      </w:r>
      <w:r>
        <w:rPr>
          <w:rStyle w:val="AERbody"/>
        </w:rPr>
        <w:t xml:space="preserve">, we have regard to </w:t>
      </w:r>
      <w:r w:rsidRPr="00462CE4">
        <w:rPr>
          <w:rStyle w:val="AERbody"/>
        </w:rPr>
        <w:t xml:space="preserve">whether </w:t>
      </w:r>
      <w:r w:rsidR="00735A23">
        <w:rPr>
          <w:rStyle w:val="AERbody"/>
        </w:rPr>
        <w:t>it</w:t>
      </w:r>
      <w:r>
        <w:rPr>
          <w:rStyle w:val="AERbody"/>
        </w:rPr>
        <w:t xml:space="preserve"> is consistent with </w:t>
      </w:r>
      <w:r w:rsidR="00735A23">
        <w:rPr>
          <w:rStyle w:val="AERbody"/>
        </w:rPr>
        <w:t>its proposed approach to forecast opex for the following period</w:t>
      </w:r>
      <w:r>
        <w:rPr>
          <w:rStyle w:val="AERbody"/>
        </w:rPr>
        <w:t xml:space="preserve">.  </w:t>
      </w:r>
    </w:p>
    <w:p w:rsidR="005129FE" w:rsidRDefault="005129FE" w:rsidP="005129FE">
      <w:pPr>
        <w:pStyle w:val="Heading2"/>
      </w:pPr>
      <w:bookmarkStart w:id="98" w:name="_Toc408404324"/>
      <w:bookmarkStart w:id="99" w:name="_Toc419366917"/>
      <w:bookmarkStart w:id="100" w:name="_Toc479174753"/>
      <w:bookmarkStart w:id="101" w:name="_Toc486515971"/>
      <w:r w:rsidRPr="0074565D">
        <w:t xml:space="preserve">Reasons for </w:t>
      </w:r>
      <w:r>
        <w:t>draft</w:t>
      </w:r>
      <w:r w:rsidRPr="0074565D">
        <w:t xml:space="preserve"> decision</w:t>
      </w:r>
      <w:bookmarkEnd w:id="98"/>
      <w:bookmarkEnd w:id="99"/>
      <w:bookmarkEnd w:id="100"/>
      <w:bookmarkEnd w:id="101"/>
      <w:r w:rsidRPr="0074565D">
        <w:t xml:space="preserve"> </w:t>
      </w:r>
    </w:p>
    <w:p w:rsidR="00993E66" w:rsidRDefault="00993E66" w:rsidP="0033525A">
      <w:pPr>
        <w:pStyle w:val="Heading3"/>
        <w:ind w:left="720"/>
      </w:pPr>
      <w:bookmarkStart w:id="102" w:name="_Toc486515972"/>
      <w:r w:rsidRPr="00365D75">
        <w:t>Carryover</w:t>
      </w:r>
      <w:r>
        <w:t xml:space="preserve"> amounts from the 2013</w:t>
      </w:r>
      <w:r w:rsidRPr="00875607">
        <w:t xml:space="preserve">–17 </w:t>
      </w:r>
      <w:r w:rsidR="00DB4FCA">
        <w:t>access arrangement</w:t>
      </w:r>
      <w:r w:rsidRPr="00875607">
        <w:t xml:space="preserve"> period</w:t>
      </w:r>
      <w:bookmarkEnd w:id="102"/>
    </w:p>
    <w:p w:rsidR="00993E66" w:rsidRDefault="00993E66" w:rsidP="00993E66">
      <w:r w:rsidRPr="0060237E">
        <w:t xml:space="preserve">We consider </w:t>
      </w:r>
      <w:r w:rsidR="00E71076">
        <w:t>AusNet</w:t>
      </w:r>
      <w:r w:rsidRPr="0060237E">
        <w:t xml:space="preserve"> should rec</w:t>
      </w:r>
      <w:r>
        <w:t>eive a carryover amount of $</w:t>
      </w:r>
      <w:r w:rsidR="005C2982">
        <w:t>8</w:t>
      </w:r>
      <w:r w:rsidR="00344EC3">
        <w:t>.6</w:t>
      </w:r>
      <w:r>
        <w:t xml:space="preserve"> million ($2017</w:t>
      </w:r>
      <w:r w:rsidRPr="0060237E">
        <w:t>) from the application of</w:t>
      </w:r>
      <w:r>
        <w:t xml:space="preserve"> the </w:t>
      </w:r>
      <w:r w:rsidR="00B72B3F">
        <w:t xml:space="preserve">efficiency carryover mechanism </w:t>
      </w:r>
      <w:r>
        <w:t>during the 2013–17</w:t>
      </w:r>
      <w:r w:rsidRPr="0060237E">
        <w:t xml:space="preserve"> </w:t>
      </w:r>
      <w:r>
        <w:t>access arrangement</w:t>
      </w:r>
      <w:r w:rsidRPr="0060237E">
        <w:t xml:space="preserve"> </w:t>
      </w:r>
      <w:proofErr w:type="gramStart"/>
      <w:r w:rsidRPr="0060237E">
        <w:t>period</w:t>
      </w:r>
      <w:proofErr w:type="gramEnd"/>
      <w:r w:rsidRPr="0060237E">
        <w:t xml:space="preserve">. </w:t>
      </w:r>
    </w:p>
    <w:p w:rsidR="00735A23" w:rsidRDefault="00735A23" w:rsidP="00F23C57">
      <w:r>
        <w:t xml:space="preserve">The carryover we </w:t>
      </w:r>
      <w:r w:rsidRPr="000B3636">
        <w:t xml:space="preserve">calculated </w:t>
      </w:r>
      <w:r>
        <w:t xml:space="preserve">is higher than the carryover </w:t>
      </w:r>
      <w:r w:rsidR="00E71076">
        <w:t>AusNet</w:t>
      </w:r>
      <w:r>
        <w:t xml:space="preserve"> proposed ($5.9</w:t>
      </w:r>
      <w:r w:rsidR="00B72B3F">
        <w:t> </w:t>
      </w:r>
      <w:r>
        <w:t>million)</w:t>
      </w:r>
      <w:r w:rsidR="00B72B3F">
        <w:t>,</w:t>
      </w:r>
      <w:r>
        <w:t xml:space="preserve"> </w:t>
      </w:r>
      <w:r w:rsidR="00F23C57">
        <w:t xml:space="preserve">mainly because </w:t>
      </w:r>
      <w:r>
        <w:t>we used a different estimate of 2017 opex, which changed the incremental gain for 2017</w:t>
      </w:r>
      <w:r w:rsidR="00F23C57">
        <w:t>.</w:t>
      </w:r>
      <w:r w:rsidR="002B630D">
        <w:t xml:space="preserve"> We used a different estimate of 2017 opex to reflect the use of 2015 as the base year to forecast opex.</w:t>
      </w:r>
    </w:p>
    <w:p w:rsidR="00F23C57" w:rsidRDefault="00F23C57" w:rsidP="00F23C57">
      <w:r>
        <w:t xml:space="preserve">Other drivers of the difference between our calculation of the carryover and </w:t>
      </w:r>
      <w:r w:rsidR="00E71076">
        <w:t>AusNet's</w:t>
      </w:r>
      <w:r>
        <w:t xml:space="preserve"> are:</w:t>
      </w:r>
    </w:p>
    <w:p w:rsidR="00735A23" w:rsidRDefault="00E71076" w:rsidP="00771501">
      <w:pPr>
        <w:pStyle w:val="AERbulletlistfirststyle"/>
      </w:pPr>
      <w:r>
        <w:t>AusNet</w:t>
      </w:r>
      <w:r w:rsidR="00FE70DC">
        <w:t xml:space="preserve"> did not correctly remove movements in provisions from reported opex</w:t>
      </w:r>
      <w:r w:rsidR="00F23C57">
        <w:t xml:space="preserve">. </w:t>
      </w:r>
    </w:p>
    <w:p w:rsidR="00AD2209" w:rsidRDefault="00E71076" w:rsidP="00771501">
      <w:pPr>
        <w:pStyle w:val="AERbulletlistfirststyle"/>
      </w:pPr>
      <w:r>
        <w:t>AusNet</w:t>
      </w:r>
      <w:r w:rsidR="007F76F9">
        <w:t xml:space="preserve"> </w:t>
      </w:r>
      <w:r w:rsidR="00AD2209">
        <w:t>did</w:t>
      </w:r>
      <w:r w:rsidR="00B72B3F">
        <w:t xml:space="preserve"> </w:t>
      </w:r>
      <w:r w:rsidR="00AD2209">
        <w:t>n</w:t>
      </w:r>
      <w:r w:rsidR="00B72B3F">
        <w:t>o</w:t>
      </w:r>
      <w:r w:rsidR="00AD2209">
        <w:t xml:space="preserve">t correctly report </w:t>
      </w:r>
      <w:r w:rsidR="005440A5">
        <w:t>license fees</w:t>
      </w:r>
      <w:r w:rsidR="00B72B3F">
        <w:t>,</w:t>
      </w:r>
      <w:r w:rsidR="00AD2209">
        <w:t xml:space="preserve"> which should have been excluded</w:t>
      </w:r>
    </w:p>
    <w:p w:rsidR="00735A23" w:rsidRDefault="00E71076" w:rsidP="00771501">
      <w:pPr>
        <w:pStyle w:val="AERbulletlistfirststyle"/>
      </w:pPr>
      <w:r>
        <w:t>AusNet</w:t>
      </w:r>
      <w:r w:rsidR="007F76F9">
        <w:t xml:space="preserve"> </w:t>
      </w:r>
      <w:r w:rsidR="00AD2209">
        <w:t>did</w:t>
      </w:r>
      <w:r w:rsidR="00B72B3F">
        <w:t xml:space="preserve"> </w:t>
      </w:r>
      <w:r w:rsidR="00AD2209">
        <w:t>n</w:t>
      </w:r>
      <w:r w:rsidR="00B72B3F">
        <w:t>o</w:t>
      </w:r>
      <w:r w:rsidR="00AD2209">
        <w:t>t correctly report UAFG incentive payments</w:t>
      </w:r>
      <w:r w:rsidR="00B72B3F">
        <w:t xml:space="preserve">, </w:t>
      </w:r>
      <w:r w:rsidR="00AD2209">
        <w:t xml:space="preserve">which </w:t>
      </w:r>
      <w:r w:rsidR="00B72B3F">
        <w:t>should have been excluded</w:t>
      </w:r>
    </w:p>
    <w:p w:rsidR="00080489" w:rsidRDefault="00080489" w:rsidP="00080489">
      <w:pPr>
        <w:pStyle w:val="AERbulletlistfirststyle"/>
      </w:pPr>
      <w:r>
        <w:t>AusNet did not adjust its approved opex forecast to reflect the actual change in the scale of its activities</w:t>
      </w:r>
    </w:p>
    <w:p w:rsidR="009A6F33" w:rsidRDefault="00B72B3F" w:rsidP="00771501">
      <w:pPr>
        <w:pStyle w:val="AERbulletlistfirststyle"/>
      </w:pPr>
      <w:proofErr w:type="gramStart"/>
      <w:r>
        <w:t>w</w:t>
      </w:r>
      <w:r w:rsidR="00B90A0D">
        <w:t>e</w:t>
      </w:r>
      <w:proofErr w:type="gramEnd"/>
      <w:r w:rsidR="00B90A0D">
        <w:t xml:space="preserve"> updated </w:t>
      </w:r>
      <w:r w:rsidR="00E71076">
        <w:t>AusNet's</w:t>
      </w:r>
      <w:r w:rsidR="00B90A0D">
        <w:t xml:space="preserve"> estimate </w:t>
      </w:r>
      <w:r>
        <w:t xml:space="preserve">of </w:t>
      </w:r>
      <w:r w:rsidR="00B90A0D">
        <w:t xml:space="preserve">opex </w:t>
      </w:r>
      <w:r>
        <w:t xml:space="preserve">for 2016 </w:t>
      </w:r>
      <w:r w:rsidR="00B90A0D">
        <w:t>with actual opex for 2016</w:t>
      </w:r>
      <w:r w:rsidR="009A6F33">
        <w:t>.</w:t>
      </w:r>
    </w:p>
    <w:p w:rsidR="00735A23" w:rsidRDefault="00735A23" w:rsidP="00735A23">
      <w:r>
        <w:t>We discuss</w:t>
      </w:r>
      <w:r w:rsidR="00B72B3F">
        <w:t xml:space="preserve"> each of </w:t>
      </w:r>
      <w:r>
        <w:t>these issues below.</w:t>
      </w:r>
    </w:p>
    <w:p w:rsidR="00735A23" w:rsidRPr="00670CE0" w:rsidRDefault="00735A23" w:rsidP="00735A23">
      <w:pPr>
        <w:pStyle w:val="HeadingBoldItalic"/>
      </w:pPr>
      <w:r>
        <w:t>Estimate of 2017 'actual' opex</w:t>
      </w:r>
      <w:r w:rsidRPr="00670CE0">
        <w:t xml:space="preserve"> </w:t>
      </w:r>
    </w:p>
    <w:p w:rsidR="004202D8" w:rsidRDefault="00735A23" w:rsidP="00735A23">
      <w:r w:rsidRPr="00FA04DA">
        <w:t xml:space="preserve">When we </w:t>
      </w:r>
      <w:r w:rsidR="00306259">
        <w:t>calculate</w:t>
      </w:r>
      <w:r w:rsidRPr="00FA04DA">
        <w:t xml:space="preserve"> </w:t>
      </w:r>
      <w:r w:rsidR="00306259">
        <w:t xml:space="preserve">the </w:t>
      </w:r>
      <w:r>
        <w:t>carryover amount</w:t>
      </w:r>
      <w:r w:rsidRPr="00FA04DA">
        <w:t xml:space="preserve"> we typically do not know actual audited opex for the final year of the current </w:t>
      </w:r>
      <w:r>
        <w:t>access</w:t>
      </w:r>
      <w:r w:rsidRPr="00FA04DA">
        <w:t xml:space="preserve"> </w:t>
      </w:r>
      <w:r>
        <w:t>arrangement</w:t>
      </w:r>
      <w:r w:rsidRPr="00FA04DA">
        <w:t xml:space="preserve"> period</w:t>
      </w:r>
      <w:r>
        <w:t>, in this case 2017</w:t>
      </w:r>
      <w:r w:rsidRPr="00FA04DA">
        <w:t xml:space="preserve">. Consequently we need </w:t>
      </w:r>
      <w:r w:rsidR="004202D8">
        <w:t>an</w:t>
      </w:r>
      <w:r w:rsidRPr="00FA04DA">
        <w:t xml:space="preserve"> estimate </w:t>
      </w:r>
      <w:r w:rsidR="004202D8">
        <w:t xml:space="preserve">of 2017 opex </w:t>
      </w:r>
      <w:r w:rsidRPr="00FA04DA">
        <w:t xml:space="preserve">to calculate gains or losses for </w:t>
      </w:r>
      <w:r>
        <w:t>2017</w:t>
      </w:r>
      <w:r w:rsidRPr="00FA04DA">
        <w:t xml:space="preserve">. </w:t>
      </w:r>
    </w:p>
    <w:p w:rsidR="0002018A" w:rsidRDefault="002036E0" w:rsidP="0002018A">
      <w:r>
        <w:t xml:space="preserve">Our estimate is derived so any reward or penalty under the scheme is warranted by a corresponding benefit to consumers likely to result from the scheme. To do this, we maintain consistency between </w:t>
      </w:r>
      <w:r w:rsidR="0002018A">
        <w:t>how we calculate</w:t>
      </w:r>
      <w:r>
        <w:t xml:space="preserve"> the carryover amount and </w:t>
      </w:r>
      <w:r w:rsidR="0002018A">
        <w:t>how we forecast</w:t>
      </w:r>
      <w:r>
        <w:t xml:space="preserve"> opex.</w:t>
      </w:r>
      <w:r w:rsidR="0002018A" w:rsidRPr="0002018A">
        <w:t xml:space="preserve"> </w:t>
      </w:r>
      <w:r w:rsidR="0002018A">
        <w:t xml:space="preserve">We typically assume that the service provider makes no efficiency gains after the base year in both the opex model and in the efficiency carryover mechanism. </w:t>
      </w:r>
    </w:p>
    <w:p w:rsidR="00771501" w:rsidRDefault="00735A23" w:rsidP="00771501">
      <w:r>
        <w:t xml:space="preserve">The </w:t>
      </w:r>
      <w:r w:rsidR="0002018A">
        <w:t xml:space="preserve">efficiency carryover mechanism </w:t>
      </w:r>
      <w:r>
        <w:t xml:space="preserve">that applied to </w:t>
      </w:r>
      <w:r w:rsidR="00E71076">
        <w:t>AusNet</w:t>
      </w:r>
      <w:r w:rsidR="007F76F9">
        <w:t xml:space="preserve"> </w:t>
      </w:r>
      <w:r>
        <w:t>in 2013–17 specified</w:t>
      </w:r>
      <w:r w:rsidR="00771501">
        <w:t xml:space="preserve"> that </w:t>
      </w:r>
      <w:r w:rsidR="003506E5">
        <w:t>2017</w:t>
      </w:r>
      <w:r w:rsidR="00E71076">
        <w:t xml:space="preserve"> </w:t>
      </w:r>
      <w:r w:rsidR="00771501">
        <w:t>o</w:t>
      </w:r>
      <w:r w:rsidR="000E35B9">
        <w:t>pex be estimated using the following equation</w:t>
      </w:r>
      <w:r>
        <w:t>:</w:t>
      </w:r>
      <w:r w:rsidR="00E44769">
        <w:rPr>
          <w:rStyle w:val="FootnoteReference"/>
        </w:rPr>
        <w:footnoteReference w:id="11"/>
      </w:r>
      <w:r w:rsidR="00771501">
        <w:t xml:space="preserve"> </w:t>
      </w:r>
    </w:p>
    <w:p w:rsidR="003E4AD5" w:rsidRPr="00357A85" w:rsidRDefault="00415ED1" w:rsidP="0033525A">
      <w:pPr>
        <w:pStyle w:val="ListContinue2"/>
        <w:tabs>
          <w:tab w:val="left" w:pos="3422"/>
        </w:tabs>
      </w:pPr>
      <m:oMathPara>
        <m:oMath>
          <m:sSubSup>
            <m:sSubSupPr>
              <m:ctrlPr>
                <w:rPr>
                  <w:rStyle w:val="Strong"/>
                  <w:rFonts w:ascii="Cambria Math" w:hAnsi="Cambria Math"/>
                  <w:b w:val="0"/>
                  <w:bCs w:val="0"/>
                </w:rPr>
              </m:ctrlPr>
            </m:sSubSupPr>
            <m:e>
              <m:r>
                <w:rPr>
                  <w:rStyle w:val="Strong"/>
                  <w:rFonts w:ascii="Cambria Math" w:hAnsi="Cambria Math"/>
                </w:rPr>
                <m:t>A</m:t>
              </m:r>
            </m:e>
            <m:sub>
              <m:r>
                <m:rPr>
                  <m:sty m:val="p"/>
                </m:rPr>
                <w:rPr>
                  <w:rStyle w:val="Strong"/>
                  <w:rFonts w:ascii="Cambria Math" w:hAnsi="Cambria Math"/>
                </w:rPr>
                <m:t>2017</m:t>
              </m:r>
            </m:sub>
            <m:sup>
              <m:r>
                <m:rPr>
                  <m:sty m:val="p"/>
                </m:rPr>
                <w:rPr>
                  <w:rStyle w:val="Strong"/>
                  <w:rFonts w:ascii="Cambria Math" w:hAnsi="Cambria Math"/>
                </w:rPr>
                <m:t>*</m:t>
              </m:r>
            </m:sup>
          </m:sSubSup>
          <m:r>
            <m:rPr>
              <m:sty m:val="p"/>
            </m:rPr>
            <w:rPr>
              <w:rStyle w:val="Strong"/>
              <w:rFonts w:ascii="Cambria Math" w:hAnsi="Cambria Math"/>
            </w:rPr>
            <m:t>=</m:t>
          </m:r>
          <m:sSub>
            <m:sSubPr>
              <m:ctrlPr>
                <w:rPr>
                  <w:rStyle w:val="Strong"/>
                  <w:rFonts w:ascii="Cambria Math" w:hAnsi="Cambria Math"/>
                  <w:b w:val="0"/>
                  <w:bCs w:val="0"/>
                </w:rPr>
              </m:ctrlPr>
            </m:sSubPr>
            <m:e>
              <m:r>
                <w:rPr>
                  <w:rStyle w:val="Strong"/>
                  <w:rFonts w:ascii="Cambria Math" w:hAnsi="Cambria Math"/>
                </w:rPr>
                <m:t>A</m:t>
              </m:r>
            </m:e>
            <m:sub>
              <m:r>
                <w:rPr>
                  <w:rStyle w:val="Strong"/>
                  <w:rFonts w:ascii="Cambria Math" w:hAnsi="Cambria Math"/>
                </w:rPr>
                <m:t>2016</m:t>
              </m:r>
            </m:sub>
          </m:sSub>
          <m:r>
            <m:rPr>
              <m:sty m:val="p"/>
            </m:rPr>
            <w:rPr>
              <w:rStyle w:val="Strong"/>
              <w:rFonts w:ascii="Cambria Math" w:hAnsi="Cambria Math"/>
            </w:rPr>
            <m:t>+</m:t>
          </m:r>
          <m:sSub>
            <m:sSubPr>
              <m:ctrlPr>
                <w:rPr>
                  <w:rStyle w:val="Strong"/>
                  <w:rFonts w:ascii="Cambria Math" w:hAnsi="Cambria Math"/>
                  <w:b w:val="0"/>
                  <w:bCs w:val="0"/>
                </w:rPr>
              </m:ctrlPr>
            </m:sSubPr>
            <m:e>
              <m:r>
                <w:rPr>
                  <w:rStyle w:val="Strong"/>
                  <w:rFonts w:ascii="Cambria Math" w:hAnsi="Cambria Math"/>
                </w:rPr>
                <m:t>F</m:t>
              </m:r>
            </m:e>
            <m:sub>
              <m:r>
                <w:rPr>
                  <w:rStyle w:val="Strong"/>
                  <w:rFonts w:ascii="Cambria Math" w:hAnsi="Cambria Math"/>
                </w:rPr>
                <m:t>2017</m:t>
              </m:r>
            </m:sub>
          </m:sSub>
          <m:r>
            <m:rPr>
              <m:sty m:val="p"/>
            </m:rPr>
            <w:rPr>
              <w:rStyle w:val="Strong"/>
              <w:rFonts w:ascii="Cambria Math" w:hAnsi="Cambria Math"/>
            </w:rPr>
            <m:t>-</m:t>
          </m:r>
          <m:sSub>
            <m:sSubPr>
              <m:ctrlPr>
                <w:rPr>
                  <w:rStyle w:val="Strong"/>
                  <w:rFonts w:ascii="Cambria Math" w:hAnsi="Cambria Math"/>
                  <w:b w:val="0"/>
                  <w:bCs w:val="0"/>
                </w:rPr>
              </m:ctrlPr>
            </m:sSubPr>
            <m:e>
              <m:r>
                <w:rPr>
                  <w:rStyle w:val="Strong"/>
                  <w:rFonts w:ascii="Cambria Math" w:hAnsi="Cambria Math"/>
                </w:rPr>
                <m:t>F</m:t>
              </m:r>
            </m:e>
            <m:sub>
              <m:r>
                <m:rPr>
                  <m:sty m:val="p"/>
                </m:rPr>
                <w:rPr>
                  <w:rStyle w:val="Strong"/>
                  <w:rFonts w:ascii="Cambria Math" w:hAnsi="Cambria Math"/>
                </w:rPr>
                <m:t>2016</m:t>
              </m:r>
            </m:sub>
          </m:sSub>
        </m:oMath>
      </m:oMathPara>
    </w:p>
    <w:p w:rsidR="00735A23" w:rsidRDefault="00735A23" w:rsidP="00357A85">
      <w:pPr>
        <w:pStyle w:val="ListContinue2"/>
      </w:pPr>
      <w:proofErr w:type="gramStart"/>
      <w:r>
        <w:t>where</w:t>
      </w:r>
      <w:proofErr w:type="gramEnd"/>
      <w:r>
        <w:t xml:space="preserve"> </w:t>
      </w:r>
      <m:oMath>
        <m:sSub>
          <m:sSubPr>
            <m:ctrlPr>
              <w:rPr>
                <w:rStyle w:val="Strong"/>
                <w:rFonts w:ascii="Cambria Math" w:hAnsi="Cambria Math"/>
                <w:b w:val="0"/>
                <w:bCs w:val="0"/>
              </w:rPr>
            </m:ctrlPr>
          </m:sSubPr>
          <m:e>
            <m:r>
              <w:rPr>
                <w:rStyle w:val="Strong"/>
                <w:rFonts w:ascii="Cambria Math" w:hAnsi="Cambria Math"/>
              </w:rPr>
              <m:t>A</m:t>
            </m:r>
          </m:e>
          <m:sub>
            <m:r>
              <w:rPr>
                <w:rStyle w:val="Strong"/>
                <w:rFonts w:ascii="Cambria Math" w:hAnsi="Cambria Math"/>
              </w:rPr>
              <m:t>2016</m:t>
            </m:r>
          </m:sub>
        </m:sSub>
      </m:oMath>
      <w:r w:rsidR="00357A85">
        <w:rPr>
          <w:rStyle w:val="Strong"/>
        </w:rPr>
        <w:t xml:space="preserve"> </w:t>
      </w:r>
      <w:r w:rsidR="00357A85" w:rsidRPr="0033525A">
        <w:t xml:space="preserve">is actual opex </w:t>
      </w:r>
      <w:r w:rsidR="00357A85">
        <w:t xml:space="preserve">for 2016 and </w:t>
      </w:r>
      <m:oMath>
        <m:sSub>
          <m:sSubPr>
            <m:ctrlPr>
              <w:rPr>
                <w:rStyle w:val="Strong"/>
                <w:rFonts w:ascii="Cambria Math" w:hAnsi="Cambria Math"/>
                <w:b w:val="0"/>
                <w:bCs w:val="0"/>
              </w:rPr>
            </m:ctrlPr>
          </m:sSubPr>
          <m:e>
            <m:r>
              <w:rPr>
                <w:rStyle w:val="Strong"/>
                <w:rFonts w:ascii="Cambria Math" w:hAnsi="Cambria Math"/>
              </w:rPr>
              <m:t>F</m:t>
            </m:r>
          </m:e>
          <m:sub>
            <m:r>
              <w:rPr>
                <w:rStyle w:val="Strong"/>
                <w:rFonts w:ascii="Cambria Math" w:hAnsi="Cambria Math"/>
              </w:rPr>
              <m:t>2017</m:t>
            </m:r>
          </m:sub>
        </m:sSub>
      </m:oMath>
      <w:r w:rsidR="00357A85">
        <w:rPr>
          <w:rStyle w:val="Strong"/>
        </w:rPr>
        <w:t xml:space="preserve"> </w:t>
      </w:r>
      <w:r w:rsidR="00357A85" w:rsidRPr="0033525A">
        <w:t>and</w:t>
      </w:r>
      <w:r w:rsidR="00357A85">
        <w:rPr>
          <w:rStyle w:val="Strong"/>
        </w:rPr>
        <w:t xml:space="preserve"> </w:t>
      </w:r>
      <m:oMath>
        <m:sSub>
          <m:sSubPr>
            <m:ctrlPr>
              <w:rPr>
                <w:rStyle w:val="Strong"/>
                <w:rFonts w:ascii="Cambria Math" w:hAnsi="Cambria Math"/>
                <w:b w:val="0"/>
                <w:bCs w:val="0"/>
              </w:rPr>
            </m:ctrlPr>
          </m:sSubPr>
          <m:e>
            <m:r>
              <w:rPr>
                <w:rStyle w:val="Strong"/>
                <w:rFonts w:ascii="Cambria Math" w:hAnsi="Cambria Math"/>
              </w:rPr>
              <m:t>F</m:t>
            </m:r>
          </m:e>
          <m:sub>
            <m:r>
              <m:rPr>
                <m:sty m:val="p"/>
              </m:rPr>
              <w:rPr>
                <w:rStyle w:val="Strong"/>
                <w:rFonts w:ascii="Cambria Math" w:hAnsi="Cambria Math"/>
              </w:rPr>
              <m:t>2016</m:t>
            </m:r>
          </m:sub>
        </m:sSub>
      </m:oMath>
      <w:r w:rsidRPr="00546F35">
        <w:t xml:space="preserve"> are the </w:t>
      </w:r>
      <w:r w:rsidR="00357A85">
        <w:t xml:space="preserve">approved </w:t>
      </w:r>
      <w:r w:rsidRPr="00546F35">
        <w:t xml:space="preserve">forecast opex figures </w:t>
      </w:r>
      <w:r>
        <w:t xml:space="preserve">for </w:t>
      </w:r>
      <w:r w:rsidR="000E35B9">
        <w:t>2017 and 2016</w:t>
      </w:r>
      <w:r w:rsidR="00357A85">
        <w:t xml:space="preserve"> respectively</w:t>
      </w:r>
      <w:r>
        <w:t>.</w:t>
      </w:r>
    </w:p>
    <w:p w:rsidR="00771501" w:rsidRPr="00771501" w:rsidRDefault="00771501" w:rsidP="00771501">
      <w:r>
        <w:t>Th</w:t>
      </w:r>
      <w:r w:rsidR="0002018A">
        <w:t>is</w:t>
      </w:r>
      <w:r>
        <w:t xml:space="preserve"> formula </w:t>
      </w:r>
      <w:r w:rsidR="0002018A">
        <w:t>assumes that the incremental efficiency gain for 2017 is zero.</w:t>
      </w:r>
    </w:p>
    <w:p w:rsidR="00771501" w:rsidRPr="00771501" w:rsidRDefault="00771501" w:rsidP="00771501">
      <w:r>
        <w:t>However, t</w:t>
      </w:r>
      <w:r w:rsidRPr="00771501">
        <w:t xml:space="preserve">he </w:t>
      </w:r>
      <w:r w:rsidR="0002018A">
        <w:t xml:space="preserve">efficiency carryover mechanism </w:t>
      </w:r>
      <w:r w:rsidRPr="00771501">
        <w:t xml:space="preserve">that applied to </w:t>
      </w:r>
      <w:r w:rsidR="00E71076">
        <w:t>AusNet</w:t>
      </w:r>
      <w:r w:rsidR="007F76F9">
        <w:t xml:space="preserve"> </w:t>
      </w:r>
      <w:r>
        <w:t>also</w:t>
      </w:r>
      <w:r w:rsidRPr="00771501">
        <w:t xml:space="preserve"> specified:</w:t>
      </w:r>
    </w:p>
    <w:p w:rsidR="000E35B9" w:rsidRPr="00FA04DA" w:rsidRDefault="000E35B9" w:rsidP="00771501">
      <w:pPr>
        <w:pStyle w:val="ListContinue2"/>
      </w:pPr>
      <w:r>
        <w:t>t</w:t>
      </w:r>
      <w:r w:rsidRPr="000E35B9">
        <w:t xml:space="preserve">o ensure efficiency gains or losses made in 2017 are retained for five years, opex for the </w:t>
      </w:r>
      <w:r>
        <w:t>2018–22 access arrangement p</w:t>
      </w:r>
      <w:r w:rsidRPr="000E35B9">
        <w:t xml:space="preserve">eriod should be forecast in a manner consistent with the estimate for opex in 2017, </w:t>
      </w:r>
      <m:oMath>
        <m:sSubSup>
          <m:sSubSupPr>
            <m:ctrlPr>
              <w:rPr>
                <w:rStyle w:val="Strong"/>
                <w:rFonts w:ascii="Cambria Math" w:hAnsi="Cambria Math"/>
                <w:b w:val="0"/>
                <w:bCs w:val="0"/>
              </w:rPr>
            </m:ctrlPr>
          </m:sSubSupPr>
          <m:e>
            <m:r>
              <w:rPr>
                <w:rStyle w:val="Strong"/>
                <w:rFonts w:ascii="Cambria Math" w:hAnsi="Cambria Math"/>
              </w:rPr>
              <m:t>A</m:t>
            </m:r>
          </m:e>
          <m:sub>
            <m:r>
              <m:rPr>
                <m:sty m:val="p"/>
              </m:rPr>
              <w:rPr>
                <w:rStyle w:val="Strong"/>
                <w:rFonts w:ascii="Cambria Math" w:hAnsi="Cambria Math"/>
              </w:rPr>
              <m:t>2017</m:t>
            </m:r>
          </m:sub>
          <m:sup>
            <m:r>
              <m:rPr>
                <m:sty m:val="p"/>
              </m:rPr>
              <w:rPr>
                <w:rStyle w:val="Strong"/>
                <w:rFonts w:ascii="Cambria Math" w:hAnsi="Cambria Math"/>
              </w:rPr>
              <m:t>*</m:t>
            </m:r>
          </m:sup>
        </m:sSubSup>
      </m:oMath>
      <w:r w:rsidRPr="000E35B9">
        <w:t>, above. This provides the Service Provider the same reward had the expenditure level in 2017 been known.</w:t>
      </w:r>
      <w:r w:rsidR="00986FF9">
        <w:rPr>
          <w:rStyle w:val="FootnoteReference"/>
        </w:rPr>
        <w:footnoteReference w:id="12"/>
      </w:r>
    </w:p>
    <w:p w:rsidR="000508C5" w:rsidRDefault="000508C5" w:rsidP="000E35B9">
      <w:r>
        <w:t xml:space="preserve">However, </w:t>
      </w:r>
      <w:r w:rsidR="00E71076">
        <w:t>AusNet</w:t>
      </w:r>
      <w:r w:rsidR="007F76F9">
        <w:t xml:space="preserve"> </w:t>
      </w:r>
      <w:r>
        <w:t xml:space="preserve">did not </w:t>
      </w:r>
      <w:r w:rsidRPr="000508C5">
        <w:t>forecast</w:t>
      </w:r>
      <w:r>
        <w:t xml:space="preserve"> opex for the </w:t>
      </w:r>
      <w:r w:rsidRPr="000508C5">
        <w:t xml:space="preserve">2018–22 access arrangement </w:t>
      </w:r>
      <w:proofErr w:type="gramStart"/>
      <w:r w:rsidRPr="000508C5">
        <w:t>period</w:t>
      </w:r>
      <w:proofErr w:type="gramEnd"/>
      <w:r w:rsidRPr="000508C5">
        <w:t xml:space="preserve"> </w:t>
      </w:r>
      <w:r w:rsidR="004A1D50">
        <w:t>using</w:t>
      </w:r>
      <w:r w:rsidRPr="000508C5">
        <w:t xml:space="preserve"> the </w:t>
      </w:r>
      <w:r w:rsidR="004A1D50">
        <w:t xml:space="preserve">same </w:t>
      </w:r>
      <w:r w:rsidRPr="000508C5">
        <w:t xml:space="preserve">estimate </w:t>
      </w:r>
      <w:r w:rsidR="004A1D50">
        <w:t>of</w:t>
      </w:r>
      <w:r w:rsidRPr="000508C5">
        <w:t xml:space="preserve"> </w:t>
      </w:r>
      <w:r>
        <w:t xml:space="preserve">2017 </w:t>
      </w:r>
      <w:r w:rsidRPr="000508C5">
        <w:t xml:space="preserve">opex </w:t>
      </w:r>
      <w:r>
        <w:t xml:space="preserve">it used to calculate its reward under the efficiency carryover mechanism. </w:t>
      </w:r>
      <w:r w:rsidR="008C583C">
        <w:t xml:space="preserve">We can address this </w:t>
      </w:r>
      <w:r>
        <w:t xml:space="preserve">inconsistency one of </w:t>
      </w:r>
      <w:r w:rsidR="008C583C">
        <w:t xml:space="preserve">two ways. </w:t>
      </w:r>
      <w:r>
        <w:t>We can either:</w:t>
      </w:r>
    </w:p>
    <w:p w:rsidR="000508C5" w:rsidRDefault="000508C5" w:rsidP="007F76F9">
      <w:pPr>
        <w:pStyle w:val="ListParagraph"/>
      </w:pPr>
      <w:r>
        <w:t>change the opex forecast to reflect the estimate of 2017 opex we use to calculate carryovers under the efficiency carryover mechanism</w:t>
      </w:r>
      <w:r w:rsidR="008C583C">
        <w:t xml:space="preserve"> </w:t>
      </w:r>
    </w:p>
    <w:p w:rsidR="008C583C" w:rsidRDefault="000508C5" w:rsidP="007F76F9">
      <w:pPr>
        <w:pStyle w:val="ListParagraph"/>
      </w:pPr>
      <w:proofErr w:type="gramStart"/>
      <w:r>
        <w:t>change</w:t>
      </w:r>
      <w:proofErr w:type="gramEnd"/>
      <w:r>
        <w:t xml:space="preserve"> the estimate of 2017 opex we use to calculate carryovers under the efficiency carryover mech</w:t>
      </w:r>
      <w:r w:rsidRPr="000508C5">
        <w:t>anism</w:t>
      </w:r>
      <w:r>
        <w:t xml:space="preserve"> to reflect the estimate of 2017 opex we use to forecast opex for the </w:t>
      </w:r>
      <w:r w:rsidRPr="000508C5">
        <w:t>2018–22 access arrangement period</w:t>
      </w:r>
      <w:r w:rsidR="008C583C">
        <w:t>.</w:t>
      </w:r>
    </w:p>
    <w:p w:rsidR="000E35B9" w:rsidRPr="000E35B9" w:rsidRDefault="000508C5" w:rsidP="000E35B9">
      <w:r>
        <w:t xml:space="preserve">The above equation, which defines how </w:t>
      </w:r>
      <w:r w:rsidR="008C5E0C">
        <w:t xml:space="preserve">we will estimate </w:t>
      </w:r>
      <w:r>
        <w:t xml:space="preserve">2017 opex for the efficiency carryover mechanism, implicitly assumes 2016 will be used to forecast opex for the </w:t>
      </w:r>
      <w:r w:rsidRPr="000508C5">
        <w:t xml:space="preserve">2018–22 access arrangement </w:t>
      </w:r>
      <w:proofErr w:type="gramStart"/>
      <w:r w:rsidRPr="000508C5">
        <w:t>period</w:t>
      </w:r>
      <w:proofErr w:type="gramEnd"/>
      <w:r>
        <w:t>.</w:t>
      </w:r>
      <w:r w:rsidRPr="000508C5">
        <w:t xml:space="preserve"> </w:t>
      </w:r>
    </w:p>
    <w:p w:rsidR="00735A23" w:rsidRDefault="00735A23" w:rsidP="00735A23">
      <w:r>
        <w:t xml:space="preserve">Consequently, </w:t>
      </w:r>
      <w:r w:rsidR="00E71076">
        <w:t>AusNet's</w:t>
      </w:r>
      <w:r w:rsidR="007F76F9">
        <w:t xml:space="preserve"> </w:t>
      </w:r>
      <w:r w:rsidR="008C5E0C">
        <w:t xml:space="preserve">proposal </w:t>
      </w:r>
      <w:r w:rsidR="00AD0096">
        <w:t>penalise</w:t>
      </w:r>
      <w:r w:rsidR="008C5E0C">
        <w:t>s it</w:t>
      </w:r>
      <w:r>
        <w:t xml:space="preserve"> twice for the incremental efficiency </w:t>
      </w:r>
      <w:r w:rsidR="00AD0096">
        <w:t>loss</w:t>
      </w:r>
      <w:r>
        <w:t xml:space="preserve"> it</w:t>
      </w:r>
      <w:r w:rsidR="008C5E0C">
        <w:t xml:space="preserve"> ha</w:t>
      </w:r>
      <w:r>
        <w:t>s ma</w:t>
      </w:r>
      <w:r w:rsidR="008C5E0C">
        <w:t>de</w:t>
      </w:r>
      <w:r>
        <w:t xml:space="preserve"> </w:t>
      </w:r>
      <w:r w:rsidR="00AD0096">
        <w:t>in 20</w:t>
      </w:r>
      <w:r>
        <w:t>16</w:t>
      </w:r>
      <w:r w:rsidR="008C5E0C">
        <w:t>—</w:t>
      </w:r>
      <w:r>
        <w:t xml:space="preserve">once through the </w:t>
      </w:r>
      <w:r w:rsidR="0018424E">
        <w:t>efficiency carryover mechanism</w:t>
      </w:r>
      <w:r>
        <w:t xml:space="preserve"> and a second time through its opex forecast, which does not reflect th</w:t>
      </w:r>
      <w:r w:rsidR="008C5E0C">
        <w:t>e</w:t>
      </w:r>
      <w:r>
        <w:t xml:space="preserve"> efficiency </w:t>
      </w:r>
      <w:r w:rsidR="008C5E0C">
        <w:t xml:space="preserve">loss </w:t>
      </w:r>
      <w:r>
        <w:t>beca</w:t>
      </w:r>
      <w:r w:rsidR="00AD0096">
        <w:t>use it is based on opex in 20</w:t>
      </w:r>
      <w:r>
        <w:t>15.</w:t>
      </w:r>
    </w:p>
    <w:p w:rsidR="008C5E0C" w:rsidRDefault="008C5E0C" w:rsidP="00735A23">
      <w:r>
        <w:t xml:space="preserve">To ensure that </w:t>
      </w:r>
      <w:r w:rsidR="00BF252D">
        <w:t xml:space="preserve">we forecast </w:t>
      </w:r>
      <w:r w:rsidRPr="008C5E0C">
        <w:t xml:space="preserve">opex for the 2018–22 access arrangement </w:t>
      </w:r>
      <w:proofErr w:type="gramStart"/>
      <w:r w:rsidRPr="008C5E0C">
        <w:t>period</w:t>
      </w:r>
      <w:proofErr w:type="gramEnd"/>
      <w:r w:rsidRPr="008C5E0C">
        <w:t xml:space="preserve"> in a manner consistent with the estimate for</w:t>
      </w:r>
      <w:r w:rsidR="00BF252D">
        <w:t xml:space="preserve"> 2017</w:t>
      </w:r>
      <w:r w:rsidRPr="008C5E0C">
        <w:t xml:space="preserve"> opex </w:t>
      </w:r>
      <w:r>
        <w:t>we use to calculate efficiency carryovers, we have estimate</w:t>
      </w:r>
      <w:r w:rsidR="00BF252D">
        <w:t>d</w:t>
      </w:r>
      <w:r>
        <w:t xml:space="preserve"> 2017 opex as:</w:t>
      </w:r>
    </w:p>
    <w:p w:rsidR="00357A85" w:rsidRPr="00357A85" w:rsidRDefault="00415ED1" w:rsidP="00357A85">
      <w:pPr>
        <w:pStyle w:val="ListContinue2"/>
      </w:pPr>
      <m:oMathPara>
        <m:oMath>
          <m:sSubSup>
            <m:sSubSupPr>
              <m:ctrlPr>
                <w:rPr>
                  <w:rStyle w:val="Strong"/>
                  <w:rFonts w:ascii="Cambria Math" w:hAnsi="Cambria Math"/>
                  <w:b w:val="0"/>
                  <w:bCs w:val="0"/>
                </w:rPr>
              </m:ctrlPr>
            </m:sSubSupPr>
            <m:e>
              <m:r>
                <w:rPr>
                  <w:rStyle w:val="Strong"/>
                  <w:rFonts w:ascii="Cambria Math" w:hAnsi="Cambria Math"/>
                </w:rPr>
                <m:t>A</m:t>
              </m:r>
            </m:e>
            <m:sub>
              <m:r>
                <m:rPr>
                  <m:sty m:val="p"/>
                </m:rPr>
                <w:rPr>
                  <w:rStyle w:val="Strong"/>
                  <w:rFonts w:ascii="Cambria Math" w:hAnsi="Cambria Math"/>
                </w:rPr>
                <m:t>2017</m:t>
              </m:r>
            </m:sub>
            <m:sup>
              <m:r>
                <m:rPr>
                  <m:sty m:val="p"/>
                </m:rPr>
                <w:rPr>
                  <w:rStyle w:val="Strong"/>
                  <w:rFonts w:ascii="Cambria Math" w:hAnsi="Cambria Math"/>
                </w:rPr>
                <m:t>*</m:t>
              </m:r>
            </m:sup>
          </m:sSubSup>
          <m:r>
            <m:rPr>
              <m:sty m:val="p"/>
            </m:rPr>
            <w:rPr>
              <w:rStyle w:val="Strong"/>
              <w:rFonts w:ascii="Cambria Math" w:hAnsi="Cambria Math"/>
            </w:rPr>
            <m:t>=</m:t>
          </m:r>
          <m:sSub>
            <m:sSubPr>
              <m:ctrlPr>
                <w:rPr>
                  <w:rStyle w:val="Strong"/>
                  <w:rFonts w:ascii="Cambria Math" w:hAnsi="Cambria Math"/>
                  <w:b w:val="0"/>
                  <w:bCs w:val="0"/>
                </w:rPr>
              </m:ctrlPr>
            </m:sSubPr>
            <m:e>
              <m:r>
                <w:rPr>
                  <w:rStyle w:val="Strong"/>
                  <w:rFonts w:ascii="Cambria Math" w:hAnsi="Cambria Math"/>
                </w:rPr>
                <m:t>A</m:t>
              </m:r>
            </m:e>
            <m:sub>
              <m:r>
                <w:rPr>
                  <w:rStyle w:val="Strong"/>
                  <w:rFonts w:ascii="Cambria Math" w:hAnsi="Cambria Math"/>
                </w:rPr>
                <m:t>2016</m:t>
              </m:r>
            </m:sub>
          </m:sSub>
          <m:r>
            <m:rPr>
              <m:sty m:val="p"/>
            </m:rPr>
            <w:rPr>
              <w:rStyle w:val="Strong"/>
              <w:rFonts w:ascii="Cambria Math" w:hAnsi="Cambria Math"/>
            </w:rPr>
            <m:t>+</m:t>
          </m:r>
          <m:sSub>
            <m:sSubPr>
              <m:ctrlPr>
                <w:rPr>
                  <w:rStyle w:val="Strong"/>
                  <w:rFonts w:ascii="Cambria Math" w:hAnsi="Cambria Math"/>
                  <w:b w:val="0"/>
                  <w:bCs w:val="0"/>
                </w:rPr>
              </m:ctrlPr>
            </m:sSubPr>
            <m:e>
              <m:r>
                <w:rPr>
                  <w:rStyle w:val="Strong"/>
                  <w:rFonts w:ascii="Cambria Math" w:hAnsi="Cambria Math"/>
                </w:rPr>
                <m:t>F</m:t>
              </m:r>
            </m:e>
            <m:sub>
              <m:r>
                <w:rPr>
                  <w:rStyle w:val="Strong"/>
                  <w:rFonts w:ascii="Cambria Math" w:hAnsi="Cambria Math"/>
                </w:rPr>
                <m:t>2017</m:t>
              </m:r>
            </m:sub>
          </m:sSub>
          <m:r>
            <m:rPr>
              <m:sty m:val="p"/>
            </m:rPr>
            <w:rPr>
              <w:rStyle w:val="Strong"/>
              <w:rFonts w:ascii="Cambria Math" w:hAnsi="Cambria Math"/>
            </w:rPr>
            <m:t>-</m:t>
          </m:r>
          <m:sSub>
            <m:sSubPr>
              <m:ctrlPr>
                <w:rPr>
                  <w:rStyle w:val="Strong"/>
                  <w:rFonts w:ascii="Cambria Math" w:hAnsi="Cambria Math"/>
                  <w:b w:val="0"/>
                  <w:bCs w:val="0"/>
                </w:rPr>
              </m:ctrlPr>
            </m:sSubPr>
            <m:e>
              <m:r>
                <w:rPr>
                  <w:rStyle w:val="Strong"/>
                  <w:rFonts w:ascii="Cambria Math" w:hAnsi="Cambria Math"/>
                </w:rPr>
                <m:t>F</m:t>
              </m:r>
            </m:e>
            <m:sub>
              <m:r>
                <m:rPr>
                  <m:sty m:val="p"/>
                </m:rPr>
                <w:rPr>
                  <w:rStyle w:val="Strong"/>
                  <w:rFonts w:ascii="Cambria Math" w:hAnsi="Cambria Math"/>
                </w:rPr>
                <m:t>2015</m:t>
              </m:r>
            </m:sub>
          </m:sSub>
        </m:oMath>
      </m:oMathPara>
    </w:p>
    <w:p w:rsidR="008C5E0C" w:rsidRDefault="008C5E0C" w:rsidP="00735A23">
      <w:r>
        <w:t xml:space="preserve">This </w:t>
      </w:r>
      <w:r w:rsidR="00915538">
        <w:t xml:space="preserve">is how we estimate final year opex in the efficiency benefit sharing scheme for electricity service providers and reflects the use of 2015 opex to forecast opex </w:t>
      </w:r>
      <w:r w:rsidR="00915538" w:rsidRPr="00915538">
        <w:t>for the 2018–22 access arrangement period</w:t>
      </w:r>
      <w:r w:rsidR="00915538">
        <w:t xml:space="preserve">. </w:t>
      </w:r>
    </w:p>
    <w:p w:rsidR="00BF252D" w:rsidRPr="00FA04DA" w:rsidRDefault="00E71076" w:rsidP="00BF252D">
      <w:r>
        <w:t>AusNet</w:t>
      </w:r>
      <w:r w:rsidR="007F76F9">
        <w:t xml:space="preserve"> </w:t>
      </w:r>
      <w:r w:rsidR="00BF252D">
        <w:t xml:space="preserve">agreed that this </w:t>
      </w:r>
      <w:r w:rsidR="00BF252D" w:rsidRPr="00BF252D">
        <w:t xml:space="preserve">formula </w:t>
      </w:r>
      <w:r w:rsidR="00441A69">
        <w:t xml:space="preserve">should be used to estimate </w:t>
      </w:r>
      <w:r w:rsidR="00BF252D" w:rsidRPr="00BF252D">
        <w:t xml:space="preserve">2017 opex </w:t>
      </w:r>
      <w:r w:rsidR="00441A69">
        <w:t xml:space="preserve">for both calculating efficiency carryovers and for forecasting opex for the </w:t>
      </w:r>
      <w:r w:rsidR="00441A69" w:rsidRPr="008C5E0C">
        <w:t xml:space="preserve">2018–22 access arrangement </w:t>
      </w:r>
      <w:proofErr w:type="gramStart"/>
      <w:r w:rsidR="00441A69" w:rsidRPr="008C5E0C">
        <w:t>period</w:t>
      </w:r>
      <w:proofErr w:type="gramEnd"/>
      <w:r w:rsidR="00BF252D" w:rsidRPr="00BF252D">
        <w:t>.</w:t>
      </w:r>
      <w:r w:rsidR="00441A69">
        <w:rPr>
          <w:rStyle w:val="FootnoteReference"/>
        </w:rPr>
        <w:footnoteReference w:id="13"/>
      </w:r>
    </w:p>
    <w:p w:rsidR="00735A23" w:rsidRDefault="00735A23" w:rsidP="00735A23">
      <w:r>
        <w:t>Correcting this error</w:t>
      </w:r>
      <w:r w:rsidRPr="00FA04DA">
        <w:t xml:space="preserve"> </w:t>
      </w:r>
      <w:r w:rsidR="00AD0096">
        <w:t>increases</w:t>
      </w:r>
      <w:r>
        <w:t xml:space="preserve"> </w:t>
      </w:r>
      <w:r w:rsidRPr="00FA04DA">
        <w:t xml:space="preserve">the </w:t>
      </w:r>
      <w:r w:rsidR="0018424E">
        <w:t xml:space="preserve">efficiency </w:t>
      </w:r>
      <w:r w:rsidRPr="00FA04DA">
        <w:t xml:space="preserve">carryover </w:t>
      </w:r>
      <w:r>
        <w:t xml:space="preserve">by </w:t>
      </w:r>
      <w:r w:rsidRPr="00FA04DA">
        <w:t>$</w:t>
      </w:r>
      <w:r w:rsidR="00915538">
        <w:t>3.2</w:t>
      </w:r>
      <w:r w:rsidRPr="00FA04DA">
        <w:t xml:space="preserve"> million</w:t>
      </w:r>
      <w:r w:rsidR="00AD0096">
        <w:t xml:space="preserve"> ($20</w:t>
      </w:r>
      <w:r>
        <w:t>17)</w:t>
      </w:r>
      <w:r w:rsidRPr="00FA04DA">
        <w:t>.</w:t>
      </w:r>
      <w:r w:rsidR="00FE70DC">
        <w:t xml:space="preserve"> Alternatively we could </w:t>
      </w:r>
      <w:r w:rsidR="00915538">
        <w:t xml:space="preserve">use 2016 as </w:t>
      </w:r>
      <w:r w:rsidR="00FE70DC">
        <w:t>the base year to forecast opex for the 2018–22</w:t>
      </w:r>
      <w:r w:rsidR="00915538">
        <w:t xml:space="preserve"> access arrangement </w:t>
      </w:r>
      <w:proofErr w:type="gramStart"/>
      <w:r w:rsidR="00915538">
        <w:t>period</w:t>
      </w:r>
      <w:proofErr w:type="gramEnd"/>
      <w:r w:rsidR="005440A5">
        <w:t>.</w:t>
      </w:r>
    </w:p>
    <w:p w:rsidR="005440A5" w:rsidRDefault="005440A5" w:rsidP="005440A5">
      <w:pPr>
        <w:pStyle w:val="HeadingBoldItalic"/>
      </w:pPr>
      <w:r>
        <w:t>Movements in provisions</w:t>
      </w:r>
    </w:p>
    <w:p w:rsidR="009A10DC" w:rsidRDefault="00E71076" w:rsidP="00735A23">
      <w:r>
        <w:t>AusNet's</w:t>
      </w:r>
      <w:r w:rsidR="00D91A35">
        <w:t xml:space="preserve"> current access arrangement requires that </w:t>
      </w:r>
      <w:r w:rsidR="00D91A35" w:rsidRPr="00D91A35">
        <w:t>movements in provisions</w:t>
      </w:r>
      <w:r w:rsidR="00D91A35">
        <w:t xml:space="preserve"> </w:t>
      </w:r>
      <w:r w:rsidR="009761DE">
        <w:t xml:space="preserve">be excluded </w:t>
      </w:r>
      <w:r w:rsidR="00D91A35" w:rsidRPr="00D91A35">
        <w:t>from the operation of the efficiency carryover mechanism</w:t>
      </w:r>
      <w:r w:rsidR="00D91A35">
        <w:t>.</w:t>
      </w:r>
      <w:r w:rsidR="00D91A35">
        <w:rPr>
          <w:rStyle w:val="FootnoteReference"/>
        </w:rPr>
        <w:footnoteReference w:id="14"/>
      </w:r>
      <w:r w:rsidR="00D91A35">
        <w:t xml:space="preserve"> </w:t>
      </w:r>
    </w:p>
    <w:p w:rsidR="00D60F4E" w:rsidRDefault="00D60F4E" w:rsidP="00735A23">
      <w:r>
        <w:t xml:space="preserve">We were unable to reconcile the movements in provisions that </w:t>
      </w:r>
      <w:r w:rsidR="00E71076">
        <w:t>AusNet</w:t>
      </w:r>
      <w:r w:rsidR="007F76F9">
        <w:t xml:space="preserve"> </w:t>
      </w:r>
      <w:r>
        <w:t xml:space="preserve">had removed from total opex to calculate efficiency carryovers with the movements in provisions that </w:t>
      </w:r>
      <w:r w:rsidR="00E71076">
        <w:t>AusNet</w:t>
      </w:r>
      <w:r w:rsidR="007F76F9">
        <w:t xml:space="preserve"> </w:t>
      </w:r>
      <w:r>
        <w:t xml:space="preserve">had reported in its annual RINs. We sought an explanation from </w:t>
      </w:r>
      <w:r w:rsidR="00E71076">
        <w:t>AusNet</w:t>
      </w:r>
      <w:r w:rsidR="007F76F9">
        <w:t xml:space="preserve"> </w:t>
      </w:r>
      <w:r>
        <w:t xml:space="preserve">as to why it had not used the movements in provisions it had reported in its annual RINs. </w:t>
      </w:r>
      <w:r w:rsidR="00E71076">
        <w:t>AusNet</w:t>
      </w:r>
      <w:r w:rsidR="007F76F9">
        <w:t xml:space="preserve"> </w:t>
      </w:r>
      <w:r>
        <w:t>confirm</w:t>
      </w:r>
      <w:r w:rsidR="009B6331">
        <w:t>ed</w:t>
      </w:r>
      <w:r>
        <w:t xml:space="preserve"> that it had used the incorrect movement in provisions to calculate efficiency carryovers and that we should use the movements reported on the pro</w:t>
      </w:r>
      <w:r w:rsidR="009B6331">
        <w:t>visions sheet of its annual RINs.</w:t>
      </w:r>
      <w:r w:rsidR="009B6331">
        <w:rPr>
          <w:rStyle w:val="FootnoteReference"/>
        </w:rPr>
        <w:footnoteReference w:id="15"/>
      </w:r>
      <w:r w:rsidR="009B6331">
        <w:t xml:space="preserve"> We have corrected this error in our calculation of efficiency carryovers.</w:t>
      </w:r>
    </w:p>
    <w:p w:rsidR="00A06956" w:rsidRDefault="00A06956" w:rsidP="009A6F33">
      <w:pPr>
        <w:pStyle w:val="HeadingBoldItalic"/>
      </w:pPr>
      <w:r>
        <w:t>Licence fees</w:t>
      </w:r>
    </w:p>
    <w:p w:rsidR="00730E56" w:rsidRPr="00730E56" w:rsidRDefault="00E71076" w:rsidP="00730E56">
      <w:r>
        <w:t>AusNet's</w:t>
      </w:r>
      <w:r w:rsidR="00730E56" w:rsidRPr="00730E56">
        <w:t xml:space="preserve"> current access arrangement requires that </w:t>
      </w:r>
      <w:r w:rsidR="005D5BA2">
        <w:t xml:space="preserve">licence fees </w:t>
      </w:r>
      <w:r w:rsidR="0068705F" w:rsidRPr="0068705F">
        <w:t xml:space="preserve">be excluded </w:t>
      </w:r>
      <w:r w:rsidR="00730E56" w:rsidRPr="00730E56">
        <w:t>from the operation of the efficiency carryover mechanism.</w:t>
      </w:r>
      <w:r w:rsidR="00730E56">
        <w:rPr>
          <w:rStyle w:val="FootnoteReference"/>
        </w:rPr>
        <w:footnoteReference w:id="16"/>
      </w:r>
    </w:p>
    <w:p w:rsidR="005D0A79" w:rsidRPr="005D0A79" w:rsidRDefault="00E71076" w:rsidP="005D0A79">
      <w:r>
        <w:t>AusNet</w:t>
      </w:r>
      <w:r w:rsidR="00730E56">
        <w:t xml:space="preserve">, however, did not remove licence fees from its total opex to calculate its </w:t>
      </w:r>
      <w:r w:rsidR="005D5BA2">
        <w:t xml:space="preserve">proposed </w:t>
      </w:r>
      <w:r w:rsidR="00730E56">
        <w:t>efficiency</w:t>
      </w:r>
      <w:r w:rsidR="005D0A79">
        <w:t xml:space="preserve"> carryovers and had reported zero licence fees in its annual RINs. We sought confirmation from </w:t>
      </w:r>
      <w:r>
        <w:t>AusNet</w:t>
      </w:r>
      <w:r w:rsidR="007F76F9">
        <w:t xml:space="preserve"> </w:t>
      </w:r>
      <w:r w:rsidR="005D0A79">
        <w:t xml:space="preserve">that that the licence fees it pays were not included in the total opex it reported in its annual RINs. In response, </w:t>
      </w:r>
      <w:r>
        <w:t>AusNet</w:t>
      </w:r>
      <w:r w:rsidR="007F76F9">
        <w:t xml:space="preserve"> </w:t>
      </w:r>
      <w:r w:rsidR="005D0A79" w:rsidRPr="005D0A79">
        <w:t>confirm</w:t>
      </w:r>
      <w:r w:rsidR="005D0A79">
        <w:t>ed</w:t>
      </w:r>
      <w:r w:rsidR="005D0A79" w:rsidRPr="005D0A79">
        <w:t xml:space="preserve"> </w:t>
      </w:r>
      <w:r w:rsidR="005D0A79">
        <w:t xml:space="preserve">that </w:t>
      </w:r>
      <w:r w:rsidR="005D0A79" w:rsidRPr="005D0A79">
        <w:t>li</w:t>
      </w:r>
      <w:r w:rsidR="005D0A79">
        <w:t xml:space="preserve">cence fees are included </w:t>
      </w:r>
      <w:r w:rsidR="00BF252D">
        <w:t>in the total opex it reported in its annual RINs and it provided the amounts it had paid.</w:t>
      </w:r>
      <w:r w:rsidR="00BF252D">
        <w:rPr>
          <w:rStyle w:val="FootnoteReference"/>
        </w:rPr>
        <w:footnoteReference w:id="17"/>
      </w:r>
    </w:p>
    <w:p w:rsidR="00A06956" w:rsidRPr="00730E56" w:rsidRDefault="00E71076" w:rsidP="005D0A79">
      <w:r>
        <w:t>AusNet</w:t>
      </w:r>
      <w:r w:rsidR="007F76F9">
        <w:t xml:space="preserve"> </w:t>
      </w:r>
      <w:r w:rsidR="00BF252D">
        <w:t>also stated that it had n</w:t>
      </w:r>
      <w:r w:rsidR="005D0A79" w:rsidRPr="005D0A79">
        <w:t xml:space="preserve">ot reported against the ‘licence fees’ category </w:t>
      </w:r>
      <w:r w:rsidR="00BF252D">
        <w:t>its annual</w:t>
      </w:r>
      <w:r w:rsidR="005D0A79" w:rsidRPr="005D0A79">
        <w:t xml:space="preserve"> RIN</w:t>
      </w:r>
      <w:r w:rsidR="00BF252D">
        <w:t>s</w:t>
      </w:r>
      <w:r w:rsidR="005D0A79" w:rsidRPr="005D0A79">
        <w:t xml:space="preserve"> because </w:t>
      </w:r>
      <w:r w:rsidR="00BF252D">
        <w:t xml:space="preserve">we had not provided </w:t>
      </w:r>
      <w:r w:rsidR="005D0A79" w:rsidRPr="005D0A79">
        <w:t>an explicit allowance for this category of expenditure.</w:t>
      </w:r>
      <w:r w:rsidR="00BF252D">
        <w:rPr>
          <w:rStyle w:val="FootnoteReference"/>
        </w:rPr>
        <w:footnoteReference w:id="18"/>
      </w:r>
      <w:r w:rsidR="00BF252D">
        <w:t xml:space="preserve"> This is not a valid reason for not reporting these costs, particularly when </w:t>
      </w:r>
      <w:r w:rsidR="0068705F">
        <w:t>transparency is required</w:t>
      </w:r>
      <w:r w:rsidR="00BF252D">
        <w:t xml:space="preserve"> to exclude </w:t>
      </w:r>
      <w:r w:rsidR="0068705F" w:rsidRPr="0068705F">
        <w:t xml:space="preserve">these amounts </w:t>
      </w:r>
      <w:r w:rsidR="00BF252D">
        <w:t xml:space="preserve">from the operation of the efficiency carryover mechanism as </w:t>
      </w:r>
      <w:r w:rsidR="0068705F">
        <w:t>set out</w:t>
      </w:r>
      <w:r w:rsidR="00BF252D">
        <w:t xml:space="preserve"> </w:t>
      </w:r>
      <w:r w:rsidR="0068705F">
        <w:t xml:space="preserve">in </w:t>
      </w:r>
      <w:r w:rsidR="00BF252D">
        <w:t>AusNet's access arrangement.</w:t>
      </w:r>
    </w:p>
    <w:p w:rsidR="00A06956" w:rsidRDefault="005D6C62" w:rsidP="009A6F33">
      <w:pPr>
        <w:pStyle w:val="HeadingBoldItalic"/>
      </w:pPr>
      <w:r>
        <w:t>U</w:t>
      </w:r>
      <w:r w:rsidRPr="005D6C62">
        <w:t>naccounted for gas</w:t>
      </w:r>
      <w:r w:rsidR="00080489">
        <w:t xml:space="preserve"> expenses</w:t>
      </w:r>
    </w:p>
    <w:p w:rsidR="009A10DC" w:rsidRDefault="009A10DC" w:rsidP="009A10DC">
      <w:r>
        <w:t xml:space="preserve">AusNet's current access arrangement requires </w:t>
      </w:r>
      <w:r w:rsidR="00080489">
        <w:t>that unaccounted for gas</w:t>
      </w:r>
      <w:r>
        <w:t xml:space="preserve"> </w:t>
      </w:r>
      <w:r w:rsidR="00080489">
        <w:t xml:space="preserve">expenses </w:t>
      </w:r>
      <w:r w:rsidR="0068705F">
        <w:t xml:space="preserve">be excluded </w:t>
      </w:r>
      <w:r w:rsidRPr="00D91A35">
        <w:t>from the operation of the efficiency carryover mechanism</w:t>
      </w:r>
      <w:r>
        <w:t>.</w:t>
      </w:r>
      <w:r>
        <w:rPr>
          <w:rStyle w:val="FootnoteReference"/>
        </w:rPr>
        <w:footnoteReference w:id="19"/>
      </w:r>
      <w:r w:rsidR="005D0A79">
        <w:t xml:space="preserve"> </w:t>
      </w:r>
    </w:p>
    <w:p w:rsidR="00A06956" w:rsidRPr="009A10DC" w:rsidRDefault="009A10DC" w:rsidP="009A10DC">
      <w:r>
        <w:t>AusNet stated that unaccounted for gas expenses</w:t>
      </w:r>
      <w:r w:rsidRPr="009A10DC">
        <w:t xml:space="preserve"> are not included in the total opex </w:t>
      </w:r>
      <w:r>
        <w:t>amounts it used to calculate efficiency carryovers.</w:t>
      </w:r>
      <w:r>
        <w:rPr>
          <w:rStyle w:val="FootnoteReference"/>
        </w:rPr>
        <w:footnoteReference w:id="20"/>
      </w:r>
      <w:r>
        <w:t xml:space="preserve"> We sought confirmation from AusNet that this was indeed the case</w:t>
      </w:r>
      <w:r w:rsidR="005D0A79">
        <w:t>. In</w:t>
      </w:r>
      <w:r w:rsidRPr="009A10DC">
        <w:t xml:space="preserve"> responding to </w:t>
      </w:r>
      <w:r>
        <w:t>our</w:t>
      </w:r>
      <w:r w:rsidRPr="009A10DC">
        <w:t xml:space="preserve"> information request</w:t>
      </w:r>
      <w:r>
        <w:t xml:space="preserve">, </w:t>
      </w:r>
      <w:r w:rsidR="005D0A79">
        <w:t>AusNet</w:t>
      </w:r>
      <w:r>
        <w:t xml:space="preserve"> </w:t>
      </w:r>
      <w:r w:rsidRPr="009A10DC">
        <w:t xml:space="preserve">identified that </w:t>
      </w:r>
      <w:r>
        <w:t>unaccounted for gas expenses</w:t>
      </w:r>
      <w:r w:rsidRPr="009A10DC">
        <w:t xml:space="preserve"> </w:t>
      </w:r>
      <w:r>
        <w:t>were</w:t>
      </w:r>
      <w:r w:rsidRPr="009A10DC">
        <w:t xml:space="preserve"> in fact included in the total opex </w:t>
      </w:r>
      <w:r>
        <w:t xml:space="preserve">amounts it </w:t>
      </w:r>
      <w:r w:rsidRPr="009A10DC">
        <w:t xml:space="preserve">reported in </w:t>
      </w:r>
      <w:r>
        <w:t>its a</w:t>
      </w:r>
      <w:r w:rsidRPr="009A10DC">
        <w:t>nnual RIN</w:t>
      </w:r>
      <w:r>
        <w:t>s</w:t>
      </w:r>
      <w:r w:rsidRPr="009A10DC">
        <w:t xml:space="preserve">. </w:t>
      </w:r>
      <w:r>
        <w:t>It therefore stated that we should remove unaccounted for gas expenses</w:t>
      </w:r>
      <w:r w:rsidRPr="009A10DC">
        <w:t xml:space="preserve"> from </w:t>
      </w:r>
      <w:r>
        <w:t xml:space="preserve">the </w:t>
      </w:r>
      <w:r w:rsidRPr="009A10DC">
        <w:t xml:space="preserve">actual opex </w:t>
      </w:r>
      <w:r>
        <w:t>amounts used to calculate efficiency carryovers.</w:t>
      </w:r>
      <w:r>
        <w:rPr>
          <w:rStyle w:val="FootnoteReference"/>
        </w:rPr>
        <w:footnoteReference w:id="21"/>
      </w:r>
      <w:r>
        <w:t xml:space="preserve"> We have corrected this error in our calculation of efficiency carryovers.</w:t>
      </w:r>
    </w:p>
    <w:p w:rsidR="005440A5" w:rsidRDefault="00F23C57" w:rsidP="009A6F33">
      <w:pPr>
        <w:pStyle w:val="HeadingBoldItalic"/>
      </w:pPr>
      <w:r>
        <w:t>Adjustment to target opex to reflect actual change in scale</w:t>
      </w:r>
    </w:p>
    <w:p w:rsidR="00441A69" w:rsidRDefault="00441A69" w:rsidP="00441A69">
      <w:r>
        <w:t xml:space="preserve">AusNet's current access arrangement requires that efficiency </w:t>
      </w:r>
      <w:r w:rsidRPr="00441A69">
        <w:t>carryover</w:t>
      </w:r>
      <w:r>
        <w:t>s</w:t>
      </w:r>
      <w:r w:rsidRPr="00441A69">
        <w:t xml:space="preserve"> </w:t>
      </w:r>
      <w:r w:rsidR="0068705F">
        <w:t>b</w:t>
      </w:r>
      <w:r w:rsidR="0068705F" w:rsidRPr="0068705F">
        <w:t>e calculate</w:t>
      </w:r>
      <w:r w:rsidR="0068705F">
        <w:t>d</w:t>
      </w:r>
      <w:r w:rsidR="0068705F" w:rsidRPr="0068705F">
        <w:t xml:space="preserve"> </w:t>
      </w:r>
      <w:r w:rsidRPr="00441A69">
        <w:t xml:space="preserve">in a manner that takes account of any change in the scale of the activities which form the basis of the determination of the original benchmarks. </w:t>
      </w:r>
      <w:r>
        <w:t xml:space="preserve">Further, the </w:t>
      </w:r>
      <w:r w:rsidRPr="00441A69">
        <w:t xml:space="preserve">opex benchmarks </w:t>
      </w:r>
      <w:r w:rsidR="0068705F" w:rsidRPr="0068705F">
        <w:t xml:space="preserve">should </w:t>
      </w:r>
      <w:r w:rsidR="0068705F">
        <w:t xml:space="preserve">be </w:t>
      </w:r>
      <w:r w:rsidR="0068705F" w:rsidRPr="0068705F">
        <w:t>adjust</w:t>
      </w:r>
      <w:r w:rsidR="0068705F">
        <w:t>ed</w:t>
      </w:r>
      <w:r w:rsidR="0068705F" w:rsidRPr="0068705F">
        <w:t xml:space="preserve"> </w:t>
      </w:r>
      <w:r w:rsidRPr="00441A69">
        <w:t>consistent</w:t>
      </w:r>
      <w:r w:rsidR="00080489">
        <w:t>ly</w:t>
      </w:r>
      <w:r w:rsidRPr="00441A69">
        <w:t xml:space="preserve"> with the way </w:t>
      </w:r>
      <w:r w:rsidR="009D11BB">
        <w:t>we determined</w:t>
      </w:r>
      <w:r w:rsidRPr="00441A69">
        <w:t xml:space="preserve"> the benchmark</w:t>
      </w:r>
      <w:r w:rsidR="009D11BB">
        <w:t>s</w:t>
      </w:r>
      <w:r>
        <w:t>.</w:t>
      </w:r>
      <w:r>
        <w:rPr>
          <w:rStyle w:val="FootnoteReference"/>
        </w:rPr>
        <w:footnoteReference w:id="22"/>
      </w:r>
      <w:r>
        <w:t xml:space="preserve"> </w:t>
      </w:r>
      <w:r w:rsidR="009D11BB">
        <w:t xml:space="preserve">This requires AusNet's </w:t>
      </w:r>
      <w:r w:rsidR="00B73E53">
        <w:t xml:space="preserve">approved forecast </w:t>
      </w:r>
      <w:r w:rsidR="009D11BB">
        <w:t xml:space="preserve">opex </w:t>
      </w:r>
      <w:r w:rsidR="00B73E53">
        <w:t xml:space="preserve">be recalculated </w:t>
      </w:r>
      <w:r w:rsidR="009D11BB">
        <w:t>to reflect actual ou</w:t>
      </w:r>
      <w:r w:rsidR="0068705F">
        <w:t>t</w:t>
      </w:r>
      <w:r w:rsidR="009D11BB">
        <w:t xml:space="preserve">put growth rather than the forecasts of output growth we used to determine opex for the 2013–17 access arrangement period. AusNet did not </w:t>
      </w:r>
      <w:r w:rsidR="00B73E53">
        <w:t>follow these requirements</w:t>
      </w:r>
      <w:r w:rsidR="009D11BB">
        <w:t>.</w:t>
      </w:r>
    </w:p>
    <w:p w:rsidR="009D11BB" w:rsidRDefault="009D11BB" w:rsidP="00735A23">
      <w:r>
        <w:t xml:space="preserve">Consequently, we measured output growth for the current access arrangement period as a weighted average of total customer numbers growth (45 per cent) and total throughput (55 per cent). This reduced the </w:t>
      </w:r>
      <w:r w:rsidR="00B73E53">
        <w:t xml:space="preserve">forecast </w:t>
      </w:r>
      <w:r>
        <w:t xml:space="preserve">opex we used to calculate efficiency carryovers. </w:t>
      </w:r>
    </w:p>
    <w:p w:rsidR="00993E66" w:rsidRPr="00875607" w:rsidRDefault="00862EA1" w:rsidP="0033525A">
      <w:pPr>
        <w:pStyle w:val="Heading3"/>
        <w:ind w:left="720"/>
      </w:pPr>
      <w:bookmarkStart w:id="103" w:name="_Toc486515973"/>
      <w:r>
        <w:t xml:space="preserve">The </w:t>
      </w:r>
      <w:r w:rsidR="00654D7C">
        <w:t xml:space="preserve">opex </w:t>
      </w:r>
      <w:r>
        <w:t>incentive mechanism to apply</w:t>
      </w:r>
      <w:r w:rsidR="00993E66">
        <w:t xml:space="preserve"> in the 2018</w:t>
      </w:r>
      <w:r w:rsidR="00993E66" w:rsidRPr="00365D75">
        <w:t xml:space="preserve">–22 </w:t>
      </w:r>
      <w:r w:rsidR="00DB4FCA">
        <w:t>access arrangement</w:t>
      </w:r>
      <w:r w:rsidR="00993E66" w:rsidRPr="00365D75">
        <w:t xml:space="preserve"> period</w:t>
      </w:r>
      <w:bookmarkEnd w:id="103"/>
    </w:p>
    <w:p w:rsidR="000D1488" w:rsidRDefault="000D1488" w:rsidP="000D1488">
      <w:r>
        <w:t xml:space="preserve">We approve the application of an efficiency carryover mechanism </w:t>
      </w:r>
      <w:r w:rsidR="00654D7C">
        <w:t xml:space="preserve">to AusNet </w:t>
      </w:r>
      <w:r>
        <w:t xml:space="preserve">in the 2018–22 access arrangement. </w:t>
      </w:r>
    </w:p>
    <w:p w:rsidR="000D1488" w:rsidRDefault="00862EA1" w:rsidP="000D1488">
      <w:r>
        <w:t>A</w:t>
      </w:r>
      <w:r w:rsidR="000D1488">
        <w:t xml:space="preserve">n efficiency carryover mechanism is required to provide </w:t>
      </w:r>
      <w:r w:rsidR="0018424E">
        <w:t>AusNet</w:t>
      </w:r>
      <w:r w:rsidR="000D1488">
        <w:t xml:space="preserve"> with a continuous incentive to pursue efficiency gains during the 2018–22 </w:t>
      </w:r>
      <w:r w:rsidR="00324FAA">
        <w:t xml:space="preserve">access arrangement </w:t>
      </w:r>
      <w:proofErr w:type="gramStart"/>
      <w:r w:rsidR="000D1488">
        <w:t>period</w:t>
      </w:r>
      <w:proofErr w:type="gramEnd"/>
      <w:r w:rsidR="000D1488">
        <w:t xml:space="preserve">. </w:t>
      </w:r>
      <w:r>
        <w:t xml:space="preserve">It will also provide AusNet with an incentive not to increase its </w:t>
      </w:r>
      <w:r w:rsidR="004E60E0">
        <w:t>reported</w:t>
      </w:r>
      <w:r>
        <w:t xml:space="preserve"> opex in the expected base year, given</w:t>
      </w:r>
      <w:r w:rsidR="000D1488">
        <w:t xml:space="preserve"> we typically rely on </w:t>
      </w:r>
      <w:r>
        <w:t xml:space="preserve">reported opex in </w:t>
      </w:r>
      <w:r w:rsidR="00654D7C">
        <w:t>a single year to forecast</w:t>
      </w:r>
      <w:r w:rsidR="000D1488">
        <w:t xml:space="preserve"> opex.</w:t>
      </w:r>
    </w:p>
    <w:p w:rsidR="000D1488" w:rsidRPr="00AE0261" w:rsidRDefault="00654D7C" w:rsidP="00AE0261">
      <w:r w:rsidRPr="00654D7C">
        <w:rPr>
          <w:rStyle w:val="AERbody"/>
        </w:rPr>
        <w:t xml:space="preserve">We have amended </w:t>
      </w:r>
      <w:r>
        <w:rPr>
          <w:rStyle w:val="AERbody"/>
        </w:rPr>
        <w:t>AusNet's</w:t>
      </w:r>
      <w:r w:rsidRPr="00654D7C">
        <w:rPr>
          <w:rStyle w:val="AERbody"/>
        </w:rPr>
        <w:t xml:space="preserve"> proposed efficiency carryover mechanism to reflect improvements included in the efficiency benefit sharing scheme (EBSS) we released in November 2013 for electricity service providers.</w:t>
      </w:r>
      <w:r w:rsidRPr="00654D7C">
        <w:rPr>
          <w:rStyle w:val="FootnoteReference"/>
        </w:rPr>
        <w:footnoteReference w:id="23"/>
      </w:r>
      <w:r w:rsidRPr="00654D7C">
        <w:rPr>
          <w:rStyle w:val="AERbody"/>
        </w:rPr>
        <w:t xml:space="preserve"> </w:t>
      </w:r>
      <w:r w:rsidR="00AE0261">
        <w:rPr>
          <w:rStyle w:val="AERbody"/>
        </w:rPr>
        <w:t>T</w:t>
      </w:r>
      <w:r w:rsidR="00AE0261">
        <w:t>he EBSS is consistent with the revenue pricing principles and we designed it taking into account the interactions</w:t>
      </w:r>
      <w:r w:rsidR="00AE0261" w:rsidRPr="00540A32" w:rsidDel="00C44949">
        <w:t xml:space="preserve"> </w:t>
      </w:r>
      <w:r w:rsidR="00AE0261">
        <w:t xml:space="preserve">with our revealed opex forecasting approach. Specifically, </w:t>
      </w:r>
      <w:r w:rsidR="00AE0261">
        <w:rPr>
          <w:rStyle w:val="AERbody"/>
        </w:rPr>
        <w:t>t</w:t>
      </w:r>
      <w:r w:rsidRPr="00654D7C">
        <w:rPr>
          <w:rStyle w:val="AERbody"/>
        </w:rPr>
        <w:t xml:space="preserve">he amendments will give </w:t>
      </w:r>
      <w:r>
        <w:rPr>
          <w:rStyle w:val="AERbody"/>
        </w:rPr>
        <w:t>AusNet</w:t>
      </w:r>
      <w:r w:rsidRPr="00654D7C">
        <w:rPr>
          <w:rStyle w:val="AERbody"/>
        </w:rPr>
        <w:t xml:space="preserve"> flexibility in the choice of base year it uses to forecast opex in the following period. We have also</w:t>
      </w:r>
      <w:r w:rsidR="003E4AD5">
        <w:rPr>
          <w:rStyle w:val="AERbody"/>
        </w:rPr>
        <w:t xml:space="preserve"> </w:t>
      </w:r>
      <w:r w:rsidRPr="00654D7C">
        <w:rPr>
          <w:rStyle w:val="AERbody"/>
        </w:rPr>
        <w:t>reduced the number of cost categories we will exclude from the mechanism</w:t>
      </w:r>
      <w:r w:rsidR="003E4AD5">
        <w:rPr>
          <w:rStyle w:val="AERbody"/>
        </w:rPr>
        <w:t xml:space="preserve"> and </w:t>
      </w:r>
      <w:r w:rsidR="00BE3214" w:rsidRPr="00AE0261">
        <w:rPr>
          <w:rStyle w:val="AERbody"/>
        </w:rPr>
        <w:t xml:space="preserve">removed fixed principle </w:t>
      </w:r>
      <w:r w:rsidR="00B75CA2" w:rsidRPr="00AE0261">
        <w:rPr>
          <w:rStyle w:val="AERbody"/>
        </w:rPr>
        <w:t>7.2(c) regarding the payment of rewards</w:t>
      </w:r>
      <w:r w:rsidR="00B75CA2">
        <w:rPr>
          <w:rStyle w:val="AERbody"/>
        </w:rPr>
        <w:t>.</w:t>
      </w:r>
    </w:p>
    <w:p w:rsidR="000D1488" w:rsidRPr="000D1488" w:rsidRDefault="000D1488" w:rsidP="000D1488">
      <w:pPr>
        <w:pStyle w:val="HeadingItalic"/>
      </w:pPr>
      <w:r w:rsidRPr="000D1488">
        <w:t>Revised equations consistent with the EBSS</w:t>
      </w:r>
    </w:p>
    <w:p w:rsidR="000D1488" w:rsidRDefault="00862EA1" w:rsidP="000D1488">
      <w:r>
        <w:t>The efficiency</w:t>
      </w:r>
      <w:r w:rsidR="000D1488">
        <w:t xml:space="preserve"> mechanism </w:t>
      </w:r>
      <w:r w:rsidR="00E71076">
        <w:t>AusNet</w:t>
      </w:r>
      <w:r w:rsidR="00BE52A1">
        <w:t xml:space="preserve"> </w:t>
      </w:r>
      <w:r w:rsidR="000D1488">
        <w:t xml:space="preserve">proposed is </w:t>
      </w:r>
      <w:r w:rsidR="00EC41D6">
        <w:t xml:space="preserve">similar to </w:t>
      </w:r>
      <w:r w:rsidR="00BE52A1">
        <w:t>the EBSS for electricity service providers</w:t>
      </w:r>
      <w:r w:rsidR="000D1488">
        <w:t>.</w:t>
      </w:r>
      <w:r w:rsidR="00E94AC3">
        <w:rPr>
          <w:rStyle w:val="FootnoteReference"/>
        </w:rPr>
        <w:footnoteReference w:id="24"/>
      </w:r>
      <w:r w:rsidR="000D1488">
        <w:t xml:space="preserve"> </w:t>
      </w:r>
      <w:r w:rsidR="00EC41D6">
        <w:t xml:space="preserve">The key difference is that the EBSS provides greater flexibility. </w:t>
      </w:r>
    </w:p>
    <w:p w:rsidR="00EC41D6" w:rsidRDefault="00EC41D6" w:rsidP="000D1488">
      <w:r>
        <w:t xml:space="preserve">The equations proposed by </w:t>
      </w:r>
      <w:r w:rsidR="00E71076">
        <w:t>AusNet</w:t>
      </w:r>
      <w:r w:rsidR="003F53CD">
        <w:t xml:space="preserve"> </w:t>
      </w:r>
      <w:r>
        <w:t xml:space="preserve">assume that it </w:t>
      </w:r>
      <w:r w:rsidR="00315516">
        <w:t xml:space="preserve">used actual opex in 2016 to forecast opex for the 2018–22 access arrangement </w:t>
      </w:r>
      <w:proofErr w:type="gramStart"/>
      <w:r w:rsidR="00315516">
        <w:t>period</w:t>
      </w:r>
      <w:proofErr w:type="gramEnd"/>
      <w:r w:rsidR="00315516">
        <w:t>,</w:t>
      </w:r>
      <w:r w:rsidR="00315516">
        <w:rPr>
          <w:rStyle w:val="FootnoteReference"/>
        </w:rPr>
        <w:footnoteReference w:id="25"/>
      </w:r>
      <w:r w:rsidR="00BE52A1">
        <w:t xml:space="preserve"> </w:t>
      </w:r>
      <w:r w:rsidR="00315516">
        <w:t xml:space="preserve">and that it will use actual opex in 2021 to forecast opex for the </w:t>
      </w:r>
      <w:r w:rsidR="00D117A9">
        <w:t>following period.</w:t>
      </w:r>
      <w:r w:rsidR="00D117A9">
        <w:rPr>
          <w:rStyle w:val="FootnoteReference"/>
        </w:rPr>
        <w:footnoteReference w:id="26"/>
      </w:r>
    </w:p>
    <w:p w:rsidR="000D1488" w:rsidRDefault="006F4C5C" w:rsidP="000D1488">
      <w:r>
        <w:t xml:space="preserve">As we discuss above, both we and </w:t>
      </w:r>
      <w:r w:rsidR="00E71076">
        <w:t>AusNet</w:t>
      </w:r>
      <w:r w:rsidR="003F53CD">
        <w:t xml:space="preserve"> </w:t>
      </w:r>
      <w:r>
        <w:t xml:space="preserve">used 2015 opex to forecast opex for the 2018–22 access arrangement period. We have amended the equations to reflect this. </w:t>
      </w:r>
      <w:r w:rsidR="004C0D7B">
        <w:t xml:space="preserve">We have </w:t>
      </w:r>
      <w:r w:rsidR="004E28DD">
        <w:t xml:space="preserve">also </w:t>
      </w:r>
      <w:r w:rsidR="00BE52A1">
        <w:t xml:space="preserve">revised </w:t>
      </w:r>
      <w:r w:rsidR="004C0D7B">
        <w:t xml:space="preserve">the equations to provide </w:t>
      </w:r>
      <w:r w:rsidR="00E71076">
        <w:t>AusNet</w:t>
      </w:r>
      <w:r w:rsidR="003F53CD">
        <w:t xml:space="preserve"> </w:t>
      </w:r>
      <w:r w:rsidR="004C0D7B">
        <w:t xml:space="preserve">flexibility </w:t>
      </w:r>
      <w:r w:rsidR="00BE52A1">
        <w:t>in the choice of base year it uses to</w:t>
      </w:r>
      <w:r w:rsidR="004C0D7B">
        <w:t xml:space="preserve"> forecasts</w:t>
      </w:r>
      <w:r w:rsidR="00293769">
        <w:t xml:space="preserve"> </w:t>
      </w:r>
      <w:r w:rsidR="004C0D7B">
        <w:t xml:space="preserve">opex for the following access arrangement period. </w:t>
      </w:r>
      <w:r>
        <w:t xml:space="preserve"> </w:t>
      </w:r>
    </w:p>
    <w:p w:rsidR="000D1488" w:rsidRDefault="004C0D7B" w:rsidP="000D1488">
      <w:r>
        <w:t xml:space="preserve">These </w:t>
      </w:r>
      <w:r w:rsidR="000D1488">
        <w:t xml:space="preserve">revisions </w:t>
      </w:r>
      <w:r>
        <w:t xml:space="preserve">reflect the </w:t>
      </w:r>
      <w:r w:rsidR="000D1488">
        <w:t xml:space="preserve">equations </w:t>
      </w:r>
      <w:r>
        <w:t>in</w:t>
      </w:r>
      <w:r w:rsidR="000D1488">
        <w:t xml:space="preserve"> the </w:t>
      </w:r>
      <w:r>
        <w:t>EBSS</w:t>
      </w:r>
      <w:r w:rsidR="000D1488">
        <w:t xml:space="preserve"> for electricity service providers we released in November 2013.</w:t>
      </w:r>
      <w:r w:rsidR="000D1488" w:rsidRPr="00E00FD6">
        <w:rPr>
          <w:rStyle w:val="FootnoteReference"/>
        </w:rPr>
        <w:t xml:space="preserve"> </w:t>
      </w:r>
      <w:r w:rsidR="000D1488">
        <w:rPr>
          <w:rStyle w:val="FootnoteReference"/>
        </w:rPr>
        <w:footnoteReference w:id="27"/>
      </w:r>
    </w:p>
    <w:p w:rsidR="000D1488" w:rsidRPr="00453087" w:rsidRDefault="000D1488" w:rsidP="000D1488">
      <w:pPr>
        <w:pStyle w:val="HeadingBoldItalic"/>
      </w:pPr>
      <w:r w:rsidRPr="00453087">
        <w:t>Exclusions from the operation of the efficiency carryover mechanism</w:t>
      </w:r>
    </w:p>
    <w:p w:rsidR="00E9686E" w:rsidRDefault="00E71076" w:rsidP="000D1488">
      <w:r>
        <w:t>AusNet</w:t>
      </w:r>
      <w:r w:rsidR="000D1488">
        <w:t xml:space="preserve"> proposed a number of adjustments and exclusions to forecast and actual opex when calculating carryover</w:t>
      </w:r>
      <w:r w:rsidR="004C0D7B">
        <w:t>s</w:t>
      </w:r>
      <w:r w:rsidR="000D1488">
        <w:t>.</w:t>
      </w:r>
      <w:r w:rsidR="00C73CEC">
        <w:rPr>
          <w:rStyle w:val="FootnoteReference"/>
        </w:rPr>
        <w:footnoteReference w:id="28"/>
      </w:r>
      <w:r w:rsidR="00CE6D76">
        <w:t xml:space="preserve"> </w:t>
      </w:r>
    </w:p>
    <w:p w:rsidR="00E9686E" w:rsidRDefault="00E9686E" w:rsidP="000D1488">
      <w:r>
        <w:t xml:space="preserve">We agree the following adjustments </w:t>
      </w:r>
      <w:r w:rsidR="00E90375">
        <w:t xml:space="preserve">and </w:t>
      </w:r>
      <w:r>
        <w:t>exclusions</w:t>
      </w:r>
      <w:r w:rsidR="00C73CEC">
        <w:t xml:space="preserve"> </w:t>
      </w:r>
      <w:r w:rsidR="00CE6D76">
        <w:t>will contribute to AusNet being rewarded (penalised) for genuine efficiency gains (losses)</w:t>
      </w:r>
      <w:r>
        <w:t>:</w:t>
      </w:r>
    </w:p>
    <w:p w:rsidR="00E9686E" w:rsidRPr="00DE225D" w:rsidRDefault="00E9686E" w:rsidP="00E9686E">
      <w:pPr>
        <w:pStyle w:val="AERbulletlistfirststyle"/>
      </w:pPr>
      <w:r>
        <w:t>exclude movements in provisions from actual opex</w:t>
      </w:r>
    </w:p>
    <w:p w:rsidR="00E9686E" w:rsidRDefault="00E9686E" w:rsidP="00E9686E">
      <w:pPr>
        <w:pStyle w:val="AERbulletlistfirststyle"/>
      </w:pPr>
      <w:r>
        <w:t xml:space="preserve">exclude </w:t>
      </w:r>
      <w:r w:rsidRPr="00DE225D">
        <w:t>losses on scrapping of assets</w:t>
      </w:r>
      <w:r w:rsidRPr="00E9686E">
        <w:t xml:space="preserve"> </w:t>
      </w:r>
      <w:r>
        <w:t>from actual opex</w:t>
      </w:r>
    </w:p>
    <w:p w:rsidR="00E9686E" w:rsidRDefault="00E9686E" w:rsidP="00E9686E">
      <w:pPr>
        <w:pStyle w:val="AERbulletlistfirststyle"/>
      </w:pPr>
      <w:r w:rsidRPr="00DE225D">
        <w:t>adjust actual opex to add capitalised opex that</w:t>
      </w:r>
      <w:r>
        <w:t xml:space="preserve"> has been excluded from the RAB</w:t>
      </w:r>
    </w:p>
    <w:p w:rsidR="00C67312" w:rsidRDefault="00E9686E" w:rsidP="00C67312">
      <w:pPr>
        <w:pStyle w:val="AERbulletlistfirststyle"/>
      </w:pPr>
      <w:r>
        <w:t xml:space="preserve">exclude from actual opex </w:t>
      </w:r>
      <w:r w:rsidRPr="00DE225D">
        <w:t>categories of opex not forecast using a single year revealed cost approach for the next regulatory per</w:t>
      </w:r>
      <w:r w:rsidR="00C67312">
        <w:t>iod (commencing 1 January 2023)</w:t>
      </w:r>
    </w:p>
    <w:p w:rsidR="00E9686E" w:rsidRDefault="00C67312" w:rsidP="00E9686E">
      <w:pPr>
        <w:pStyle w:val="AERbulletlistfirststyle"/>
      </w:pPr>
      <w:proofErr w:type="gramStart"/>
      <w:r w:rsidRPr="00DE225D">
        <w:t>any</w:t>
      </w:r>
      <w:proofErr w:type="gramEnd"/>
      <w:r w:rsidRPr="00DE225D">
        <w:t xml:space="preserve"> other activity </w:t>
      </w:r>
      <w:r w:rsidR="00B32B41">
        <w:t>AusNet and we</w:t>
      </w:r>
      <w:r w:rsidRPr="00DE225D">
        <w:t xml:space="preserve"> agree to exclude from the operation of the efficiency carryover mechanism</w:t>
      </w:r>
      <w:r>
        <w:t>.</w:t>
      </w:r>
    </w:p>
    <w:p w:rsidR="00C73CEC" w:rsidRDefault="00C73CEC" w:rsidP="000D1488">
      <w:r>
        <w:t xml:space="preserve">We discuss </w:t>
      </w:r>
      <w:r w:rsidR="00E71076">
        <w:t>AusNet's</w:t>
      </w:r>
      <w:r>
        <w:t xml:space="preserve"> other proposed adjustments and exclusions below. </w:t>
      </w:r>
    </w:p>
    <w:p w:rsidR="000D1488" w:rsidRPr="006E7AAA" w:rsidRDefault="000D1488" w:rsidP="000D1488">
      <w:pPr>
        <w:pStyle w:val="HeadingItalic"/>
      </w:pPr>
      <w:r>
        <w:t>Costs associated with complying with RoLR requirements</w:t>
      </w:r>
    </w:p>
    <w:p w:rsidR="000D1488" w:rsidRDefault="00E71076" w:rsidP="000D1488">
      <w:r>
        <w:t>AusNet</w:t>
      </w:r>
      <w:r w:rsidR="000D1488">
        <w:t xml:space="preserve"> proposed that </w:t>
      </w:r>
      <w:r w:rsidR="00B32B41">
        <w:t xml:space="preserve">the </w:t>
      </w:r>
      <w:r w:rsidR="000D1488">
        <w:t xml:space="preserve">costs </w:t>
      </w:r>
      <w:r w:rsidR="00B32B41">
        <w:t>of</w:t>
      </w:r>
      <w:r w:rsidR="000D1488">
        <w:t xml:space="preserve"> complying with any retailer of last resort (RoLR) requirements be excluded from the operation of the efficiency carryover mechanism. </w:t>
      </w:r>
    </w:p>
    <w:p w:rsidR="001509F5" w:rsidRDefault="001509F5" w:rsidP="000D1488">
      <w:r>
        <w:t xml:space="preserve">We consider there is no need to exclude costs of complying with RoLR requirements from the efficiency carryover mechanism because </w:t>
      </w:r>
      <w:r w:rsidR="0026005C">
        <w:t>if a</w:t>
      </w:r>
      <w:r>
        <w:t xml:space="preserve"> RoLR event</w:t>
      </w:r>
      <w:r w:rsidR="0026005C">
        <w:t xml:space="preserve"> occurs</w:t>
      </w:r>
      <w:r>
        <w:t xml:space="preserve">, </w:t>
      </w:r>
      <w:r w:rsidR="00E71076">
        <w:t>AusNet</w:t>
      </w:r>
      <w:r>
        <w:t xml:space="preserve"> will be able to apply for a cost pass through and forecast opex will be adjusted accordingly.</w:t>
      </w:r>
    </w:p>
    <w:p w:rsidR="002429C0" w:rsidRDefault="001509F5" w:rsidP="000D1488">
      <w:r>
        <w:t>In</w:t>
      </w:r>
      <w:r w:rsidR="002429C0">
        <w:t xml:space="preserve"> this draft decision we </w:t>
      </w:r>
      <w:r w:rsidR="0026005C">
        <w:t>include</w:t>
      </w:r>
      <w:r w:rsidR="002429C0">
        <w:t xml:space="preserve"> a </w:t>
      </w:r>
      <w:r w:rsidR="00490B7F">
        <w:t>Retailer Insolvency Event as a defined</w:t>
      </w:r>
      <w:r w:rsidR="002429C0" w:rsidRPr="002429C0">
        <w:t xml:space="preserve"> </w:t>
      </w:r>
      <w:r w:rsidR="0026005C">
        <w:t>cost pass through e</w:t>
      </w:r>
      <w:r w:rsidR="0026005C" w:rsidRPr="002429C0">
        <w:t>vent</w:t>
      </w:r>
      <w:r w:rsidR="0026005C">
        <w:t xml:space="preserve"> </w:t>
      </w:r>
      <w:r w:rsidR="002429C0">
        <w:t xml:space="preserve">in </w:t>
      </w:r>
      <w:r w:rsidR="00E71076">
        <w:t>AusNet's</w:t>
      </w:r>
      <w:r w:rsidR="002429C0">
        <w:t xml:space="preserve"> access arrangement</w:t>
      </w:r>
      <w:r w:rsidR="0026005C">
        <w:t xml:space="preserve"> (</w:t>
      </w:r>
      <w:r w:rsidR="00490B7F">
        <w:t>see</w:t>
      </w:r>
      <w:r w:rsidR="0026005C">
        <w:t xml:space="preserve"> attachment 11)</w:t>
      </w:r>
      <w:r w:rsidR="002429C0">
        <w:t xml:space="preserve">. </w:t>
      </w:r>
      <w:r>
        <w:t>Th</w:t>
      </w:r>
      <w:r w:rsidR="00490B7F">
        <w:t>is event</w:t>
      </w:r>
      <w:r>
        <w:t xml:space="preserve"> cover</w:t>
      </w:r>
      <w:r w:rsidR="00490B7F">
        <w:t>s</w:t>
      </w:r>
      <w:r>
        <w:t xml:space="preserve"> costs incurred by </w:t>
      </w:r>
      <w:r w:rsidR="00E71076">
        <w:t>AusNet</w:t>
      </w:r>
      <w:r>
        <w:t xml:space="preserve"> when </w:t>
      </w:r>
      <w:r w:rsidR="00490B7F">
        <w:t>it is required to respond to a RoLR event</w:t>
      </w:r>
      <w:r>
        <w:t>. Consequently</w:t>
      </w:r>
      <w:r w:rsidR="002429C0">
        <w:t xml:space="preserve">, there would be no need to exclude costs of complying with RoLR requirements </w:t>
      </w:r>
      <w:r w:rsidR="0026005C">
        <w:t>from the efficiency carryover mechanism</w:t>
      </w:r>
      <w:r w:rsidR="002429C0">
        <w:t xml:space="preserve">. This is because clause </w:t>
      </w:r>
      <w:r w:rsidR="004E28DD">
        <w:t>6.4.2</w:t>
      </w:r>
      <w:r w:rsidR="002429C0">
        <w:t>(</w:t>
      </w:r>
      <w:r w:rsidR="0033525A">
        <w:t>h</w:t>
      </w:r>
      <w:r w:rsidR="002429C0">
        <w:t xml:space="preserve">) of the revised access arrangement indicates the </w:t>
      </w:r>
      <w:r w:rsidR="002429C0" w:rsidRPr="00792F71">
        <w:t xml:space="preserve">forecast operating expenditure amount for each year of </w:t>
      </w:r>
      <w:r w:rsidR="002429C0">
        <w:t>the applicable access arrangement p</w:t>
      </w:r>
      <w:r w:rsidR="002429C0" w:rsidRPr="00792F71">
        <w:t>eriod w</w:t>
      </w:r>
      <w:r w:rsidR="002429C0">
        <w:t>ill be adjusted to include any determined pass through a</w:t>
      </w:r>
      <w:r w:rsidR="002429C0" w:rsidRPr="00792F71">
        <w:t>mounts</w:t>
      </w:r>
      <w:r w:rsidR="002429C0">
        <w:t>.</w:t>
      </w:r>
    </w:p>
    <w:p w:rsidR="000D1488" w:rsidRPr="0060721A" w:rsidRDefault="000D1488" w:rsidP="000D1488">
      <w:pPr>
        <w:pStyle w:val="HeadingItalic"/>
      </w:pPr>
      <w:r w:rsidRPr="0060721A">
        <w:t xml:space="preserve">Amounts for approved cost pass through events </w:t>
      </w:r>
    </w:p>
    <w:p w:rsidR="000D1488" w:rsidRPr="0060721A" w:rsidRDefault="000D1488" w:rsidP="000D1488">
      <w:r>
        <w:t xml:space="preserve">We agree that </w:t>
      </w:r>
      <w:r w:rsidR="006A01AB">
        <w:t>we should adjust the efficiency carryover calculation to account for</w:t>
      </w:r>
      <w:r>
        <w:t xml:space="preserve"> approved cost pass through events. </w:t>
      </w:r>
    </w:p>
    <w:p w:rsidR="000D1488" w:rsidRDefault="006A01AB" w:rsidP="000D1488">
      <w:r>
        <w:t>However, w</w:t>
      </w:r>
      <w:r w:rsidR="000D1488" w:rsidRPr="0060721A">
        <w:t xml:space="preserve">e consider that adjusting the opex forecast ex post rather than removing the costs from actual opex is the </w:t>
      </w:r>
      <w:r w:rsidR="00F13E41">
        <w:t>simplest</w:t>
      </w:r>
      <w:r w:rsidR="000D1488">
        <w:t xml:space="preserve"> way </w:t>
      </w:r>
      <w:r w:rsidR="000D1488" w:rsidRPr="0060721A">
        <w:t xml:space="preserve">to account </w:t>
      </w:r>
      <w:r>
        <w:t>for approved cost pass through events</w:t>
      </w:r>
      <w:r w:rsidR="000D1488">
        <w:t xml:space="preserve">. </w:t>
      </w:r>
      <w:r>
        <w:t>W</w:t>
      </w:r>
      <w:r w:rsidR="000D1488">
        <w:t xml:space="preserve">e have included </w:t>
      </w:r>
      <w:r>
        <w:t xml:space="preserve">this in clause </w:t>
      </w:r>
      <w:r w:rsidR="004E28DD">
        <w:t>6.4.2</w:t>
      </w:r>
      <w:r w:rsidR="0026005C">
        <w:t>(</w:t>
      </w:r>
      <w:r w:rsidR="0033525A">
        <w:t>h</w:t>
      </w:r>
      <w:r w:rsidR="0026005C">
        <w:t>)</w:t>
      </w:r>
      <w:r>
        <w:t xml:space="preserve"> </w:t>
      </w:r>
      <w:r w:rsidR="000D1488">
        <w:t>in our revisions.</w:t>
      </w:r>
    </w:p>
    <w:p w:rsidR="00B92E4F" w:rsidRDefault="00B92E4F" w:rsidP="00B92E4F">
      <w:pPr>
        <w:pStyle w:val="HeadingItalic"/>
      </w:pPr>
      <w:r>
        <w:t>Unaccounted for gas expenses</w:t>
      </w:r>
    </w:p>
    <w:p w:rsidR="00B92E4F" w:rsidRDefault="00B92E4F" w:rsidP="000D1488">
      <w:r>
        <w:t xml:space="preserve">We agree that, should we continue to forecast unaccounted </w:t>
      </w:r>
      <w:r w:rsidR="006245CA">
        <w:t>for gas e</w:t>
      </w:r>
      <w:r>
        <w:t xml:space="preserve">xpenses in the same way, we should continue to exclude them from the efficiency carryover mechanism. </w:t>
      </w:r>
      <w:r w:rsidR="004C34FE">
        <w:t>W</w:t>
      </w:r>
      <w:r>
        <w:t xml:space="preserve">e exclude these costs because we do not forecast them based on the expenses revealed in a single year. Consequently the access arrangement does not need to explicitly exclude these costs because the access </w:t>
      </w:r>
      <w:r w:rsidR="00F82DE7">
        <w:t>arrangement</w:t>
      </w:r>
      <w:r>
        <w:t xml:space="preserve"> will exclude costs </w:t>
      </w:r>
      <w:r w:rsidRPr="00B92E4F">
        <w:t>not forecast using a single year revealed cost approach for the next regulatory period (commencing 1 January 2023).</w:t>
      </w:r>
      <w:r w:rsidR="00AB5C5E">
        <w:t xml:space="preserve"> Nonetheless, we have listed unaccounted for gas expenses in the access arrangement as an example of costs </w:t>
      </w:r>
      <w:r w:rsidR="00AB5C5E" w:rsidRPr="00B92E4F">
        <w:t>not forecast using a single year revealed cost approach</w:t>
      </w:r>
      <w:r w:rsidR="00AB5C5E">
        <w:t>. Should these costs be forecast on a different basis in the future we will reconsider whether they should be excluded, taking into account the basis on which they are forecast.</w:t>
      </w:r>
    </w:p>
    <w:p w:rsidR="00AB5C5E" w:rsidRDefault="00AB5C5E" w:rsidP="00AB5C5E">
      <w:pPr>
        <w:pStyle w:val="HeadingItalic"/>
      </w:pPr>
      <w:r>
        <w:t>Licence fees</w:t>
      </w:r>
    </w:p>
    <w:p w:rsidR="00B2340A" w:rsidRPr="009D6BDC" w:rsidRDefault="00B2340A" w:rsidP="00B2340A">
      <w:pPr>
        <w:rPr>
          <w:rStyle w:val="AERbody"/>
        </w:rPr>
      </w:pPr>
      <w:r w:rsidRPr="009D6BDC">
        <w:rPr>
          <w:rStyle w:val="AERbody"/>
        </w:rPr>
        <w:t xml:space="preserve">In the 2013–17 access arrangement </w:t>
      </w:r>
      <w:proofErr w:type="gramStart"/>
      <w:r w:rsidRPr="009D6BDC">
        <w:rPr>
          <w:rStyle w:val="AERbody"/>
        </w:rPr>
        <w:t>period</w:t>
      </w:r>
      <w:proofErr w:type="gramEnd"/>
      <w:r w:rsidRPr="009D6BDC">
        <w:rPr>
          <w:rStyle w:val="AERbody"/>
        </w:rPr>
        <w:t xml:space="preserve">, </w:t>
      </w:r>
      <w:r w:rsidR="00E71076">
        <w:rPr>
          <w:rStyle w:val="AERbody"/>
        </w:rPr>
        <w:t>AusNet</w:t>
      </w:r>
      <w:r w:rsidRPr="009D6BDC">
        <w:rPr>
          <w:rStyle w:val="AERbody"/>
        </w:rPr>
        <w:t xml:space="preserve"> recovered the costs of its annual licence fees payable to Essential Services Commission </w:t>
      </w:r>
      <w:r w:rsidR="00FB31BE">
        <w:rPr>
          <w:rStyle w:val="AERbody"/>
        </w:rPr>
        <w:t xml:space="preserve">of Victoria </w:t>
      </w:r>
      <w:r w:rsidRPr="009D6BDC">
        <w:rPr>
          <w:rStyle w:val="AERbody"/>
        </w:rPr>
        <w:t>through a licence fee factor in its tariff control formula.</w:t>
      </w:r>
      <w:r w:rsidRPr="009D6BDC">
        <w:rPr>
          <w:rStyle w:val="FootnoteReference"/>
        </w:rPr>
        <w:footnoteReference w:id="29"/>
      </w:r>
      <w:r>
        <w:rPr>
          <w:rStyle w:val="AERbody"/>
        </w:rPr>
        <w:t xml:space="preserve"> </w:t>
      </w:r>
      <w:r w:rsidR="0026005C">
        <w:rPr>
          <w:rStyle w:val="AERbody"/>
        </w:rPr>
        <w:t>F</w:t>
      </w:r>
      <w:r>
        <w:rPr>
          <w:rStyle w:val="AERbody"/>
        </w:rPr>
        <w:t>or this reason we excluded these costs from the efficiency carryover mechanism in the current access arrangement period.</w:t>
      </w:r>
    </w:p>
    <w:p w:rsidR="00AB5C5E" w:rsidRPr="0060721A" w:rsidRDefault="00B2340A" w:rsidP="000D1488">
      <w:r w:rsidRPr="009D6BDC">
        <w:rPr>
          <w:rStyle w:val="AERbody"/>
        </w:rPr>
        <w:t>In its 2018</w:t>
      </w:r>
      <w:r>
        <w:rPr>
          <w:rStyle w:val="AERbody"/>
        </w:rPr>
        <w:t>–</w:t>
      </w:r>
      <w:r w:rsidRPr="009D6BDC">
        <w:rPr>
          <w:rStyle w:val="AERbody"/>
        </w:rPr>
        <w:t xml:space="preserve">22 access arrangement proposal, </w:t>
      </w:r>
      <w:r w:rsidR="00E71076">
        <w:rPr>
          <w:rStyle w:val="AERbody"/>
        </w:rPr>
        <w:t>AusNet</w:t>
      </w:r>
      <w:r w:rsidRPr="009D6BDC">
        <w:rPr>
          <w:rStyle w:val="AERbody"/>
        </w:rPr>
        <w:t xml:space="preserve"> again </w:t>
      </w:r>
      <w:r>
        <w:rPr>
          <w:rStyle w:val="AERbody"/>
        </w:rPr>
        <w:t>proposed</w:t>
      </w:r>
      <w:r w:rsidRPr="009D6BDC">
        <w:rPr>
          <w:rStyle w:val="AERbody"/>
        </w:rPr>
        <w:t xml:space="preserve"> a licence fee factor in </w:t>
      </w:r>
      <w:r>
        <w:rPr>
          <w:rStyle w:val="AERbody"/>
        </w:rPr>
        <w:t>the Tariff Variation Mechanism</w:t>
      </w:r>
      <w:r w:rsidRPr="009D6BDC">
        <w:rPr>
          <w:rStyle w:val="AERbody"/>
        </w:rPr>
        <w:t>.</w:t>
      </w:r>
      <w:r w:rsidRPr="009D6BDC">
        <w:rPr>
          <w:rStyle w:val="FootnoteReference"/>
        </w:rPr>
        <w:footnoteReference w:id="30"/>
      </w:r>
      <w:r>
        <w:rPr>
          <w:rStyle w:val="AERbody"/>
        </w:rPr>
        <w:t xml:space="preserve"> Howev</w:t>
      </w:r>
      <w:r w:rsidR="007F76F9">
        <w:rPr>
          <w:rStyle w:val="AERbody"/>
        </w:rPr>
        <w:t xml:space="preserve">er, for the reasons we explain </w:t>
      </w:r>
      <w:r>
        <w:rPr>
          <w:rStyle w:val="AERbody"/>
        </w:rPr>
        <w:t xml:space="preserve">in attachment 7, </w:t>
      </w:r>
      <w:r w:rsidRPr="009D6BDC">
        <w:rPr>
          <w:rStyle w:val="AERbody"/>
        </w:rPr>
        <w:t>we will exclude the licence fee factor from the tariff variation formula</w:t>
      </w:r>
      <w:r>
        <w:rPr>
          <w:rStyle w:val="AERbody"/>
        </w:rPr>
        <w:t xml:space="preserve"> for the 2018–22 access arrangement period. We have </w:t>
      </w:r>
      <w:r w:rsidR="00971328">
        <w:rPr>
          <w:rStyle w:val="AERbody"/>
        </w:rPr>
        <w:t xml:space="preserve">also included these costs in base opex and thus we have forecast them as part of total opex using </w:t>
      </w:r>
      <w:r w:rsidR="00971328" w:rsidRPr="00971328">
        <w:rPr>
          <w:rStyle w:val="AERbody"/>
        </w:rPr>
        <w:t>a single year revealed cost approach</w:t>
      </w:r>
      <w:r w:rsidR="00971328">
        <w:rPr>
          <w:rStyle w:val="AERbody"/>
        </w:rPr>
        <w:t xml:space="preserve">. Given this we consider there is no basis for excluding these costs from the efficiency carryover mechanism in the 2018–22 access arrangement </w:t>
      </w:r>
      <w:proofErr w:type="gramStart"/>
      <w:r w:rsidR="00971328">
        <w:rPr>
          <w:rStyle w:val="AERbody"/>
        </w:rPr>
        <w:t>period</w:t>
      </w:r>
      <w:proofErr w:type="gramEnd"/>
      <w:r w:rsidR="00971328">
        <w:rPr>
          <w:rStyle w:val="AERbody"/>
        </w:rPr>
        <w:t>.</w:t>
      </w:r>
    </w:p>
    <w:p w:rsidR="000D1488" w:rsidRPr="0060721A" w:rsidRDefault="000D1488" w:rsidP="000D1488">
      <w:pPr>
        <w:pStyle w:val="HeadingItalic"/>
      </w:pPr>
      <w:r w:rsidRPr="0060721A">
        <w:t xml:space="preserve">Debt raising costs </w:t>
      </w:r>
    </w:p>
    <w:p w:rsidR="000D1488" w:rsidRDefault="000D1488" w:rsidP="00721BB7">
      <w:r>
        <w:t xml:space="preserve">We agree debt raising costs should be excluded from the efficiency carryover mechanism. </w:t>
      </w:r>
      <w:r w:rsidR="00721BB7">
        <w:t>However,</w:t>
      </w:r>
      <w:r>
        <w:t xml:space="preserve"> </w:t>
      </w:r>
      <w:r w:rsidR="00721BB7">
        <w:t>w</w:t>
      </w:r>
      <w:r>
        <w:t xml:space="preserve">e consider debt </w:t>
      </w:r>
      <w:proofErr w:type="gramStart"/>
      <w:r>
        <w:t>raising</w:t>
      </w:r>
      <w:proofErr w:type="gramEnd"/>
      <w:r>
        <w:t xml:space="preserve"> costs fall in the clause that excludes all costs not forecast using a single year revealed cost approach in the access arrangement period following the 201</w:t>
      </w:r>
      <w:r w:rsidR="00971328">
        <w:t>8</w:t>
      </w:r>
      <w:r>
        <w:t>–2</w:t>
      </w:r>
      <w:r w:rsidR="00971328">
        <w:t>2</w:t>
      </w:r>
      <w:r>
        <w:t xml:space="preserve"> access arrangement</w:t>
      </w:r>
      <w:r w:rsidR="00971328">
        <w:t xml:space="preserve"> period</w:t>
      </w:r>
      <w:r>
        <w:t xml:space="preserve">. </w:t>
      </w:r>
      <w:r w:rsidR="00721BB7">
        <w:t>W</w:t>
      </w:r>
      <w:r w:rsidR="00971328">
        <w:t xml:space="preserve">e have listed debt raising costs as an example of costs </w:t>
      </w:r>
      <w:r w:rsidR="00971328" w:rsidRPr="00B92E4F">
        <w:t>not forecast using a single year revealed cost approach</w:t>
      </w:r>
      <w:r w:rsidR="00721BB7" w:rsidRPr="00721BB7">
        <w:t xml:space="preserve"> </w:t>
      </w:r>
      <w:r w:rsidR="00721BB7">
        <w:t>in the access arrangement</w:t>
      </w:r>
      <w:r w:rsidR="00971328">
        <w:t>.</w:t>
      </w:r>
    </w:p>
    <w:p w:rsidR="000D1488" w:rsidRDefault="000D1488" w:rsidP="000D1488">
      <w:pPr>
        <w:pStyle w:val="HeadingItalic"/>
      </w:pPr>
      <w:r>
        <w:t xml:space="preserve">Allowable </w:t>
      </w:r>
      <w:r w:rsidR="00EA4190" w:rsidRPr="00EA4190">
        <w:t xml:space="preserve">network innovation scheme </w:t>
      </w:r>
      <w:r>
        <w:t>expenditure</w:t>
      </w:r>
    </w:p>
    <w:p w:rsidR="00971328" w:rsidRPr="00971328" w:rsidRDefault="00E71076" w:rsidP="00971328">
      <w:r>
        <w:t>AusNet</w:t>
      </w:r>
      <w:r w:rsidR="00971328">
        <w:t xml:space="preserve"> </w:t>
      </w:r>
      <w:r w:rsidR="00F27C3E">
        <w:t>included</w:t>
      </w:r>
      <w:r w:rsidR="00971328">
        <w:t xml:space="preserve"> a network innovation scheme in its access arrangement for the </w:t>
      </w:r>
      <w:r w:rsidR="00B32B41">
        <w:br/>
      </w:r>
      <w:r w:rsidR="00971328">
        <w:t xml:space="preserve">2018–22 </w:t>
      </w:r>
      <w:proofErr w:type="gramStart"/>
      <w:r w:rsidR="00971328">
        <w:t>period</w:t>
      </w:r>
      <w:proofErr w:type="gramEnd"/>
      <w:r w:rsidR="00971328">
        <w:t xml:space="preserve">. </w:t>
      </w:r>
      <w:r w:rsidR="00F27C3E">
        <w:t xml:space="preserve">As </w:t>
      </w:r>
      <w:r w:rsidR="00EA4190">
        <w:t xml:space="preserve">we have rejected the proposed scheme </w:t>
      </w:r>
      <w:r w:rsidR="00F27C3E">
        <w:t xml:space="preserve">in this draft decision (discussed in attachment 14) </w:t>
      </w:r>
      <w:r w:rsidR="00EA4190">
        <w:t xml:space="preserve">there is no need to </w:t>
      </w:r>
      <w:r w:rsidR="00F27C3E">
        <w:t xml:space="preserve">exclude </w:t>
      </w:r>
      <w:r w:rsidR="00EA4190">
        <w:t>allowable network innovation scheme expenditure from the efficiency carryover mechanism. Regardless, there would be no need to explicitly exclude allowable network innovation scheme expenditure because we would not forecast it us</w:t>
      </w:r>
      <w:r w:rsidR="00EA4190" w:rsidRPr="00B92E4F">
        <w:t>ing a single year revealed cost approach</w:t>
      </w:r>
      <w:r w:rsidR="00EA4190">
        <w:t>.</w:t>
      </w:r>
    </w:p>
    <w:p w:rsidR="000D1488" w:rsidRPr="00871C1C" w:rsidRDefault="000D1488" w:rsidP="000D1488">
      <w:pPr>
        <w:pStyle w:val="HeadingItalic"/>
      </w:pPr>
      <w:r>
        <w:t xml:space="preserve">Changes in scale of activities </w:t>
      </w:r>
    </w:p>
    <w:p w:rsidR="000D1488" w:rsidRDefault="000D1488" w:rsidP="000D1488">
      <w:r>
        <w:t xml:space="preserve">We do not accept the efficiency carryover mechanism should account </w:t>
      </w:r>
      <w:r w:rsidR="00C5356C">
        <w:t xml:space="preserve">for </w:t>
      </w:r>
      <w:r>
        <w:t xml:space="preserve">changes in </w:t>
      </w:r>
      <w:r w:rsidR="00F86DCC">
        <w:t xml:space="preserve">the </w:t>
      </w:r>
      <w:r w:rsidR="00C5356C">
        <w:t xml:space="preserve">scale </w:t>
      </w:r>
      <w:r>
        <w:t xml:space="preserve">of the activities </w:t>
      </w:r>
      <w:r w:rsidR="00C5356C" w:rsidRPr="000947CD">
        <w:t xml:space="preserve">which form the basis of </w:t>
      </w:r>
      <w:r w:rsidR="00F13E41">
        <w:t>our</w:t>
      </w:r>
      <w:r w:rsidR="00F13E41" w:rsidRPr="000947CD">
        <w:t xml:space="preserve"> </w:t>
      </w:r>
      <w:r w:rsidR="00B32B41">
        <w:t>approved</w:t>
      </w:r>
      <w:r w:rsidR="00C5356C" w:rsidRPr="000947CD">
        <w:t xml:space="preserve"> </w:t>
      </w:r>
      <w:r w:rsidR="00B32B41">
        <w:t xml:space="preserve">forecast </w:t>
      </w:r>
      <w:r w:rsidR="004A1D50">
        <w:t>opex</w:t>
      </w:r>
      <w:r w:rsidR="00C5356C">
        <w:t>.</w:t>
      </w:r>
      <w:r>
        <w:t xml:space="preserve"> </w:t>
      </w:r>
    </w:p>
    <w:p w:rsidR="000D1488" w:rsidRDefault="000D1488" w:rsidP="000D1488">
      <w:r>
        <w:t xml:space="preserve">When </w:t>
      </w:r>
      <w:r w:rsidR="00C5356C">
        <w:t xml:space="preserve">we forecast </w:t>
      </w:r>
      <w:r>
        <w:t xml:space="preserve">opex, </w:t>
      </w:r>
      <w:r w:rsidR="00C5356C">
        <w:t>we</w:t>
      </w:r>
      <w:r>
        <w:t xml:space="preserve"> take account </w:t>
      </w:r>
      <w:r w:rsidR="00C5356C">
        <w:t xml:space="preserve">of the </w:t>
      </w:r>
      <w:r>
        <w:t xml:space="preserve">expected </w:t>
      </w:r>
      <w:r w:rsidR="00C5356C">
        <w:t xml:space="preserve">growth in the output that </w:t>
      </w:r>
      <w:r w:rsidR="00E71076">
        <w:t>AusNet</w:t>
      </w:r>
      <w:r w:rsidR="00C5356C">
        <w:t xml:space="preserve"> </w:t>
      </w:r>
      <w:r w:rsidR="00D53912">
        <w:t>is</w:t>
      </w:r>
      <w:r w:rsidR="00C5356C">
        <w:t xml:space="preserve"> expected to deliver</w:t>
      </w:r>
      <w:r>
        <w:t xml:space="preserve">. The risk </w:t>
      </w:r>
      <w:r w:rsidR="00D53912">
        <w:t>of</w:t>
      </w:r>
      <w:r>
        <w:t xml:space="preserve"> </w:t>
      </w:r>
      <w:r w:rsidR="00D53912">
        <w:t xml:space="preserve">output growth </w:t>
      </w:r>
      <w:r>
        <w:t>forecast</w:t>
      </w:r>
      <w:r w:rsidR="00D53912">
        <w:t>ing error</w:t>
      </w:r>
      <w:r>
        <w:t xml:space="preserve"> is symmetrical. We consider this risk should be shared between </w:t>
      </w:r>
      <w:r w:rsidR="00E71076">
        <w:t>AusNet</w:t>
      </w:r>
      <w:r w:rsidR="00087F12">
        <w:t xml:space="preserve"> </w:t>
      </w:r>
      <w:r>
        <w:t xml:space="preserve">and its customers through the operation of the efficiency carryover mechanism in the same way other </w:t>
      </w:r>
      <w:r w:rsidR="00D53912">
        <w:t xml:space="preserve">opex </w:t>
      </w:r>
      <w:r>
        <w:t>forecasting risks are shared.</w:t>
      </w:r>
      <w:r w:rsidR="004E28DD">
        <w:rPr>
          <w:rStyle w:val="FootnoteReference"/>
        </w:rPr>
        <w:footnoteReference w:id="31"/>
      </w:r>
    </w:p>
    <w:p w:rsidR="000D1488" w:rsidRPr="00871C1C" w:rsidRDefault="000D1488" w:rsidP="000D1488">
      <w:pPr>
        <w:pStyle w:val="HeadingItalic"/>
      </w:pPr>
      <w:r>
        <w:t xml:space="preserve">Changes in capitalisation policy </w:t>
      </w:r>
    </w:p>
    <w:p w:rsidR="002C712D" w:rsidRDefault="00642165" w:rsidP="000D1488">
      <w:r>
        <w:t>We do not accept that the efficiency carryover mechanism should</w:t>
      </w:r>
      <w:r w:rsidDel="00642165">
        <w:t xml:space="preserve"> </w:t>
      </w:r>
      <w:r w:rsidR="00E03445">
        <w:t xml:space="preserve">be </w:t>
      </w:r>
      <w:r w:rsidR="003C6E30">
        <w:t xml:space="preserve">adjusted to </w:t>
      </w:r>
      <w:r w:rsidR="000D1488">
        <w:t xml:space="preserve">account </w:t>
      </w:r>
      <w:r w:rsidR="003C6E30">
        <w:t xml:space="preserve">for </w:t>
      </w:r>
      <w:r w:rsidR="000D1488">
        <w:t xml:space="preserve">any changes in </w:t>
      </w:r>
      <w:r w:rsidR="00E71076">
        <w:t>AusNet's</w:t>
      </w:r>
      <w:r w:rsidR="00087F12">
        <w:t xml:space="preserve"> </w:t>
      </w:r>
      <w:r w:rsidR="000D1488">
        <w:t>capitalisation policy</w:t>
      </w:r>
      <w:r w:rsidR="003C6E30">
        <w:t>, except in limited</w:t>
      </w:r>
      <w:r w:rsidR="00BF1A5A">
        <w:t xml:space="preserve"> circumstances. Given the operation of the capital expenditure sharing scheme, </w:t>
      </w:r>
      <w:r w:rsidR="00E71076">
        <w:t>AusNet</w:t>
      </w:r>
      <w:r w:rsidR="00BF1A5A">
        <w:t xml:space="preserve"> will </w:t>
      </w:r>
      <w:r w:rsidR="003C6E30">
        <w:t xml:space="preserve">mostly </w:t>
      </w:r>
      <w:r w:rsidR="00BF1A5A">
        <w:t xml:space="preserve">have balanced incentives to reduce opex and capex </w:t>
      </w:r>
      <w:r w:rsidR="006A3E52">
        <w:t>(see attachment 14)</w:t>
      </w:r>
      <w:r w:rsidR="002C712D">
        <w:t xml:space="preserve">. </w:t>
      </w:r>
      <w:r w:rsidR="00BF1A5A">
        <w:t xml:space="preserve">However, </w:t>
      </w:r>
      <w:r w:rsidR="003C6E30">
        <w:t>given the contingent nature of the</w:t>
      </w:r>
      <w:r w:rsidR="007143BE" w:rsidRPr="007143BE">
        <w:t xml:space="preserve"> </w:t>
      </w:r>
      <w:r w:rsidR="007143BE">
        <w:t>capital expenditure sharing scheme</w:t>
      </w:r>
      <w:r w:rsidR="00872239" w:rsidRPr="00872239">
        <w:t xml:space="preserve"> </w:t>
      </w:r>
      <w:r w:rsidR="00872239">
        <w:t xml:space="preserve">that will apply to </w:t>
      </w:r>
      <w:r w:rsidR="00E71076">
        <w:t>AusNet</w:t>
      </w:r>
      <w:r w:rsidR="007143BE">
        <w:t>,</w:t>
      </w:r>
      <w:r w:rsidR="003C6E30">
        <w:t xml:space="preserve"> </w:t>
      </w:r>
      <w:r w:rsidR="00BF1A5A">
        <w:t xml:space="preserve">it may be necessary to take into account changes in </w:t>
      </w:r>
      <w:r w:rsidR="00553325">
        <w:t xml:space="preserve">AusNet's </w:t>
      </w:r>
      <w:r w:rsidR="00BF1A5A">
        <w:t>capitalisation policy in limited circumstances.</w:t>
      </w:r>
    </w:p>
    <w:p w:rsidR="00394F06" w:rsidRDefault="00394F06" w:rsidP="000D1488">
      <w:r>
        <w:t xml:space="preserve">We will adjust the efficiency carryover mechanism to reflect capitalisation policy changes only when it is necessary to provide </w:t>
      </w:r>
      <w:r w:rsidRPr="00A119DB">
        <w:t>effective incentives to promote economic efficiency</w:t>
      </w:r>
      <w:r>
        <w:t xml:space="preserve">. This would be the case where </w:t>
      </w:r>
      <w:r w:rsidR="00E71076">
        <w:t>AusNet</w:t>
      </w:r>
      <w:r>
        <w:t xml:space="preserve"> fails to meet its network health target, and has accrued a reward under the capital expenditure sharing scheme (which it will not receive).</w:t>
      </w:r>
    </w:p>
    <w:p w:rsidR="002C712D" w:rsidRDefault="0016075D" w:rsidP="000D1488">
      <w:r>
        <w:t>I</w:t>
      </w:r>
      <w:r w:rsidR="002C712D">
        <w:t>t is important to consider th</w:t>
      </w:r>
      <w:r w:rsidR="002C712D" w:rsidRPr="002C712D">
        <w:t xml:space="preserve">e incentives </w:t>
      </w:r>
      <w:r>
        <w:t>service</w:t>
      </w:r>
      <w:r w:rsidR="002C712D">
        <w:t xml:space="preserve"> providers</w:t>
      </w:r>
      <w:r w:rsidR="002C712D" w:rsidRPr="002C712D">
        <w:t xml:space="preserve"> may have to capitalise expenditure. If they are not balanced then </w:t>
      </w:r>
      <w:r>
        <w:t>service providers</w:t>
      </w:r>
      <w:r w:rsidRPr="002C712D">
        <w:t xml:space="preserve"> </w:t>
      </w:r>
      <w:r w:rsidR="002C712D" w:rsidRPr="002C712D">
        <w:t xml:space="preserve">may have an incentive to substitute opex with capex even if it is not efficient. Ideally </w:t>
      </w:r>
      <w:r w:rsidR="00394F06" w:rsidRPr="002C712D">
        <w:t>s</w:t>
      </w:r>
      <w:r w:rsidR="00394F06">
        <w:t>ervice providers</w:t>
      </w:r>
      <w:r w:rsidR="00394F06" w:rsidRPr="002C712D">
        <w:t xml:space="preserve"> </w:t>
      </w:r>
      <w:r w:rsidR="002C712D" w:rsidRPr="002C712D">
        <w:t xml:space="preserve">should be indifferent between spending a dollar of opex </w:t>
      </w:r>
      <w:r w:rsidR="00642165">
        <w:t>and spending</w:t>
      </w:r>
      <w:r w:rsidR="002C712D" w:rsidRPr="002C712D">
        <w:t xml:space="preserve"> a dollar of capex. This is consistent with the revenue and pricing principles, which require that </w:t>
      </w:r>
      <w:r>
        <w:t>service providers</w:t>
      </w:r>
      <w:r w:rsidRPr="002C712D">
        <w:t xml:space="preserve"> </w:t>
      </w:r>
      <w:r w:rsidR="002C712D" w:rsidRPr="002C712D">
        <w:t>should be provided with effective incentives to promote economic efficiency.</w:t>
      </w:r>
      <w:r>
        <w:rPr>
          <w:rStyle w:val="FootnoteReference"/>
        </w:rPr>
        <w:footnoteReference w:id="32"/>
      </w:r>
      <w:r w:rsidR="002C712D" w:rsidRPr="002C712D">
        <w:t xml:space="preserve">  </w:t>
      </w:r>
    </w:p>
    <w:p w:rsidR="00FE03AC" w:rsidRDefault="0016075D" w:rsidP="000D1488">
      <w:r>
        <w:t xml:space="preserve">The clause proposed by </w:t>
      </w:r>
      <w:r w:rsidR="00E71076">
        <w:t>AusNet</w:t>
      </w:r>
      <w:r>
        <w:t xml:space="preserve"> is included in its current access arrangement. However, it is important to note that </w:t>
      </w:r>
      <w:r w:rsidR="004E28DD">
        <w:t xml:space="preserve">while </w:t>
      </w:r>
      <w:r w:rsidR="00E71076">
        <w:t>AusNet</w:t>
      </w:r>
      <w:r w:rsidR="00642165">
        <w:t xml:space="preserve"> was not subject to a capital expenditure sharing scheme </w:t>
      </w:r>
      <w:r>
        <w:t xml:space="preserve">in the current access arrangement </w:t>
      </w:r>
      <w:proofErr w:type="gramStart"/>
      <w:r>
        <w:t>period</w:t>
      </w:r>
      <w:r w:rsidR="00394F06">
        <w:t>,</w:t>
      </w:r>
      <w:proofErr w:type="gramEnd"/>
      <w:r w:rsidR="00FE03AC">
        <w:t xml:space="preserve"> </w:t>
      </w:r>
      <w:r w:rsidR="00394F06">
        <w:t>i</w:t>
      </w:r>
      <w:r>
        <w:t xml:space="preserve">t will be subject to </w:t>
      </w:r>
      <w:r w:rsidR="00FE03AC">
        <w:t xml:space="preserve">a capital expenditure sharing scheme </w:t>
      </w:r>
      <w:r>
        <w:t>in the 2018–22</w:t>
      </w:r>
      <w:r w:rsidR="00FE03AC">
        <w:t xml:space="preserve"> access arrangement period</w:t>
      </w:r>
      <w:r>
        <w:t xml:space="preserve"> </w:t>
      </w:r>
      <w:r w:rsidR="00642165">
        <w:t xml:space="preserve">(see attachment 14). The application of the capital expenditure sharing scheme should provide </w:t>
      </w:r>
      <w:r w:rsidR="00E71076">
        <w:t>AusNet</w:t>
      </w:r>
      <w:r w:rsidR="00642165">
        <w:t xml:space="preserve"> with a similar incentive to reduce capex as it does to reduce opex. </w:t>
      </w:r>
    </w:p>
    <w:p w:rsidR="00B75CA2" w:rsidRPr="000D1488" w:rsidRDefault="00B75CA2" w:rsidP="00B75CA2">
      <w:pPr>
        <w:pStyle w:val="HeadingItalic"/>
      </w:pPr>
      <w:r>
        <w:t>Removal of fixed principle 7.2(c)</w:t>
      </w:r>
    </w:p>
    <w:p w:rsidR="00B75CA2" w:rsidRDefault="00B75CA2" w:rsidP="00003EA4">
      <w:r>
        <w:t>AusNet proposed a fixed principle that would require that any</w:t>
      </w:r>
      <w:r w:rsidRPr="00B75CA2">
        <w:t xml:space="preserve"> positive efficiency carryover </w:t>
      </w:r>
      <w:r>
        <w:t>that arise</w:t>
      </w:r>
      <w:r w:rsidR="0033525A">
        <w:t>s</w:t>
      </w:r>
      <w:r>
        <w:t xml:space="preserve"> from the application of the efficiency carryover mechanism in the 2018–23 access arrangement should </w:t>
      </w:r>
      <w:r w:rsidRPr="00B75CA2">
        <w:t xml:space="preserve">be added to the </w:t>
      </w:r>
      <w:r>
        <w:t>its t</w:t>
      </w:r>
      <w:r w:rsidRPr="00B75CA2">
        <w:t xml:space="preserve">otal </w:t>
      </w:r>
      <w:r>
        <w:t>r</w:t>
      </w:r>
      <w:r w:rsidRPr="00B75CA2">
        <w:t xml:space="preserve">evenue </w:t>
      </w:r>
      <w:r>
        <w:t>for</w:t>
      </w:r>
      <w:r w:rsidRPr="00B75CA2">
        <w:t xml:space="preserve"> the </w:t>
      </w:r>
      <w:r>
        <w:t>a</w:t>
      </w:r>
      <w:r w:rsidRPr="00B75CA2">
        <w:t xml:space="preserve">ccess </w:t>
      </w:r>
      <w:r>
        <w:t>a</w:t>
      </w:r>
      <w:r w:rsidRPr="00B75CA2">
        <w:t xml:space="preserve">rrangement </w:t>
      </w:r>
      <w:r>
        <w:t>p</w:t>
      </w:r>
      <w:r w:rsidRPr="00B75CA2">
        <w:t>eriod</w:t>
      </w:r>
      <w:r>
        <w:t xml:space="preserve"> </w:t>
      </w:r>
      <w:r w:rsidRPr="00B75CA2">
        <w:t>expected to commence 1 January 2023</w:t>
      </w:r>
      <w:r>
        <w:t xml:space="preserve">. </w:t>
      </w:r>
      <w:r w:rsidR="00695DAE">
        <w:t xml:space="preserve"> AusNet </w:t>
      </w:r>
      <w:r w:rsidR="00D7593A">
        <w:t>s</w:t>
      </w:r>
      <w:r w:rsidR="00003EA4">
        <w:t>tate</w:t>
      </w:r>
      <w:r w:rsidR="00D7593A">
        <w:t>d</w:t>
      </w:r>
      <w:r w:rsidR="00003EA4">
        <w:t xml:space="preserve"> that </w:t>
      </w:r>
      <w:r w:rsidR="00D7593A">
        <w:t xml:space="preserve">the </w:t>
      </w:r>
      <w:r w:rsidR="00003EA4">
        <w:t xml:space="preserve">fixed principle </w:t>
      </w:r>
      <w:r w:rsidR="00D7593A">
        <w:t xml:space="preserve">would </w:t>
      </w:r>
      <w:r w:rsidR="00003EA4">
        <w:t>provide regulatory certainty</w:t>
      </w:r>
      <w:r w:rsidR="00D7593A">
        <w:t>.</w:t>
      </w:r>
      <w:r w:rsidR="00D7593A">
        <w:rPr>
          <w:rStyle w:val="FootnoteReference"/>
        </w:rPr>
        <w:footnoteReference w:id="33"/>
      </w:r>
      <w:r w:rsidR="00D7593A">
        <w:t xml:space="preserve"> </w:t>
      </w:r>
      <w:r w:rsidR="00003EA4">
        <w:t xml:space="preserve"> </w:t>
      </w:r>
      <w:r w:rsidR="007A4E36">
        <w:t>It would also</w:t>
      </w:r>
      <w:r w:rsidR="00003EA4" w:rsidRPr="00003EA4">
        <w:t xml:space="preserve"> secure its incentive properties, thereby furthering the NGO.</w:t>
      </w:r>
      <w:r w:rsidR="007A4E36">
        <w:rPr>
          <w:rStyle w:val="FootnoteReference"/>
        </w:rPr>
        <w:footnoteReference w:id="34"/>
      </w:r>
      <w:r w:rsidR="00003EA4" w:rsidRPr="00003EA4">
        <w:t xml:space="preserve"> </w:t>
      </w:r>
      <w:r w:rsidR="00003EA4">
        <w:t xml:space="preserve"> </w:t>
      </w:r>
      <w:r w:rsidR="007A4E36">
        <w:t>AusNet's</w:t>
      </w:r>
      <w:r w:rsidR="00003EA4">
        <w:t xml:space="preserve"> access arrangement for </w:t>
      </w:r>
      <w:r w:rsidR="007A4E36">
        <w:br/>
      </w:r>
      <w:r w:rsidR="00003EA4">
        <w:t>2013</w:t>
      </w:r>
      <w:r w:rsidR="007A4E36">
        <w:t>–</w:t>
      </w:r>
      <w:r w:rsidR="00003EA4">
        <w:t>17 includes a fixed principle of this kind.  We accept that the existing principle is fixed for the duration of the 2018</w:t>
      </w:r>
      <w:r w:rsidR="007A4E36">
        <w:t>–</w:t>
      </w:r>
      <w:r w:rsidR="00003EA4">
        <w:t xml:space="preserve">22 </w:t>
      </w:r>
      <w:proofErr w:type="gramStart"/>
      <w:r w:rsidR="00003EA4">
        <w:t>period</w:t>
      </w:r>
      <w:proofErr w:type="gramEnd"/>
      <w:r w:rsidR="00003EA4">
        <w:t>.  However, on review, w</w:t>
      </w:r>
      <w:r>
        <w:t xml:space="preserve">e do not consider </w:t>
      </w:r>
      <w:r w:rsidR="00003EA4">
        <w:t>that the same</w:t>
      </w:r>
      <w:r>
        <w:t xml:space="preserve"> fixed principle is necessary </w:t>
      </w:r>
      <w:r w:rsidR="00003EA4">
        <w:t xml:space="preserve">for the </w:t>
      </w:r>
      <w:r w:rsidR="007A4E36">
        <w:t>2023–27 a</w:t>
      </w:r>
      <w:r w:rsidR="00003EA4">
        <w:t xml:space="preserve">ccess </w:t>
      </w:r>
      <w:r w:rsidR="007A4E36">
        <w:t>a</w:t>
      </w:r>
      <w:r w:rsidR="00003EA4">
        <w:t xml:space="preserve">rrangement </w:t>
      </w:r>
      <w:proofErr w:type="gramStart"/>
      <w:r w:rsidR="007A4E36">
        <w:t>p</w:t>
      </w:r>
      <w:r w:rsidR="00003EA4">
        <w:t xml:space="preserve">eriod  </w:t>
      </w:r>
      <w:r>
        <w:t>because</w:t>
      </w:r>
      <w:proofErr w:type="gramEnd"/>
      <w:r>
        <w:t xml:space="preserve"> the scheme as</w:t>
      </w:r>
      <w:r w:rsidR="006F6793">
        <w:t xml:space="preserve"> </w:t>
      </w:r>
      <w:r>
        <w:t xml:space="preserve">set out in revision 9.2 below </w:t>
      </w:r>
      <w:r w:rsidRPr="00B75CA2">
        <w:t xml:space="preserve">sufficiently sets out </w:t>
      </w:r>
      <w:r>
        <w:t xml:space="preserve">how both </w:t>
      </w:r>
      <w:r w:rsidRPr="00B75CA2">
        <w:t xml:space="preserve">positive </w:t>
      </w:r>
      <w:r>
        <w:t>and</w:t>
      </w:r>
      <w:r w:rsidRPr="00B75CA2">
        <w:t xml:space="preserve"> negative carryover</w:t>
      </w:r>
      <w:r>
        <w:t>s</w:t>
      </w:r>
      <w:r w:rsidRPr="00B75CA2">
        <w:t xml:space="preserve"> </w:t>
      </w:r>
      <w:r>
        <w:t>will be</w:t>
      </w:r>
      <w:r w:rsidRPr="00B75CA2">
        <w:t xml:space="preserve"> carried forward. </w:t>
      </w:r>
    </w:p>
    <w:p w:rsidR="00B75CA2" w:rsidRDefault="00B75CA2" w:rsidP="000D1488">
      <w:r w:rsidRPr="00B75CA2">
        <w:t xml:space="preserve">The scheme itself recognises that </w:t>
      </w:r>
      <w:r>
        <w:t xml:space="preserve">carryovers can be </w:t>
      </w:r>
      <w:r w:rsidR="009C62CB">
        <w:t xml:space="preserve">both </w:t>
      </w:r>
      <w:r w:rsidR="009C62CB" w:rsidRPr="00B75CA2">
        <w:t>positive and</w:t>
      </w:r>
      <w:r w:rsidRPr="00B75CA2">
        <w:t xml:space="preserve"> </w:t>
      </w:r>
      <w:r>
        <w:t>negative</w:t>
      </w:r>
      <w:r w:rsidRPr="00B75CA2">
        <w:t xml:space="preserve">. </w:t>
      </w:r>
      <w:r w:rsidR="009C62CB">
        <w:t xml:space="preserve">However, fixed principle 7.2(c) proposed by AusNet only refers to </w:t>
      </w:r>
      <w:r w:rsidR="009C62CB" w:rsidRPr="009C62CB">
        <w:t>positive efficiency carryover</w:t>
      </w:r>
      <w:r w:rsidR="009C62CB">
        <w:t xml:space="preserve">s and rewards. It does not refer to negative carryovers or penalties. </w:t>
      </w:r>
      <w:r w:rsidR="004C0F6C">
        <w:t xml:space="preserve">Consequently we consider that proposed fixed principle 7.2(c) does not fully reflect the </w:t>
      </w:r>
      <w:r w:rsidR="00E77860">
        <w:t xml:space="preserve">symmetrical </w:t>
      </w:r>
      <w:r w:rsidR="004C0F6C">
        <w:t>operation of the efficiency carryover mechanism and should be removed.</w:t>
      </w:r>
    </w:p>
    <w:p w:rsidR="00481FC1" w:rsidRDefault="00481FC1" w:rsidP="000D1488">
      <w:pPr>
        <w:sectPr w:rsidR="00481FC1" w:rsidSect="00CF42AA">
          <w:headerReference w:type="default" r:id="rId15"/>
          <w:footerReference w:type="even" r:id="rId16"/>
          <w:footerReference w:type="default" r:id="rId17"/>
          <w:footerReference w:type="first" r:id="rId18"/>
          <w:pgSz w:w="11906" w:h="16838" w:code="9"/>
          <w:pgMar w:top="1440" w:right="1700" w:bottom="1582" w:left="1729" w:header="720" w:footer="0" w:gutter="0"/>
          <w:pgNumType w:chapStyle="1"/>
          <w:cols w:space="720"/>
          <w:docGrid w:linePitch="326"/>
        </w:sectPr>
      </w:pPr>
    </w:p>
    <w:p w:rsidR="005129FE" w:rsidRDefault="005129FE" w:rsidP="005129FE">
      <w:pPr>
        <w:pStyle w:val="Heading2"/>
      </w:pPr>
      <w:bookmarkStart w:id="104" w:name="_Toc479174754"/>
      <w:bookmarkStart w:id="105" w:name="_Toc486515974"/>
      <w:r>
        <w:t>Revisions</w:t>
      </w:r>
      <w:bookmarkEnd w:id="104"/>
      <w:bookmarkEnd w:id="105"/>
    </w:p>
    <w:p w:rsidR="005129FE" w:rsidRDefault="005129FE" w:rsidP="005129FE">
      <w:r>
        <w:t xml:space="preserve">We require </w:t>
      </w:r>
      <w:r w:rsidR="00E71076">
        <w:t>AusNet</w:t>
      </w:r>
      <w:r w:rsidR="00C73CEC">
        <w:t xml:space="preserve"> to make </w:t>
      </w:r>
      <w:r>
        <w:t>the following revisions the access arrangement proposal acceptable:</w:t>
      </w:r>
    </w:p>
    <w:tbl>
      <w:tblPr>
        <w:tblStyle w:val="AERtable-text0"/>
        <w:tblW w:w="5000" w:type="pct"/>
        <w:tblLook w:val="04A0" w:firstRow="1" w:lastRow="0" w:firstColumn="1" w:lastColumn="0" w:noHBand="0" w:noVBand="1"/>
      </w:tblPr>
      <w:tblGrid>
        <w:gridCol w:w="1776"/>
        <w:gridCol w:w="12256"/>
      </w:tblGrid>
      <w:tr w:rsidR="00481FC1" w:rsidTr="00481FC1">
        <w:trPr>
          <w:cnfStyle w:val="100000000000" w:firstRow="1" w:lastRow="0" w:firstColumn="0" w:lastColumn="0" w:oddVBand="0" w:evenVBand="0" w:oddHBand="0" w:evenHBand="0" w:firstRowFirstColumn="0" w:firstRowLastColumn="0" w:lastRowFirstColumn="0" w:lastRowLastColumn="0"/>
        </w:trPr>
        <w:tc>
          <w:tcPr>
            <w:tcW w:w="633" w:type="pct"/>
          </w:tcPr>
          <w:p w:rsidR="00481FC1" w:rsidRDefault="00481FC1" w:rsidP="005129FE"/>
        </w:tc>
        <w:tc>
          <w:tcPr>
            <w:tcW w:w="4367" w:type="pct"/>
          </w:tcPr>
          <w:p w:rsidR="00481FC1" w:rsidRDefault="00481FC1" w:rsidP="005129FE"/>
        </w:tc>
      </w:tr>
      <w:tr w:rsidR="00481FC1" w:rsidTr="00481FC1">
        <w:tc>
          <w:tcPr>
            <w:tcW w:w="633" w:type="pct"/>
          </w:tcPr>
          <w:p w:rsidR="00481FC1" w:rsidRDefault="00481FC1" w:rsidP="005129FE">
            <w:r w:rsidRPr="00B36376">
              <w:rPr>
                <w:rStyle w:val="Strong"/>
              </w:rPr>
              <w:t>Revision 9.1:</w:t>
            </w:r>
          </w:p>
        </w:tc>
        <w:tc>
          <w:tcPr>
            <w:tcW w:w="4367" w:type="pct"/>
          </w:tcPr>
          <w:p w:rsidR="00481FC1" w:rsidRDefault="00481FC1" w:rsidP="00481FC1">
            <w:r>
              <w:t xml:space="preserve">Remove clause 6.4.1(a)(2) of the proposed access arrangement and replace it with the following text: </w:t>
            </w:r>
          </w:p>
          <w:p w:rsidR="00481FC1" w:rsidRDefault="00481FC1" w:rsidP="00481FC1">
            <w:r w:rsidRPr="00E231B2">
              <w:t xml:space="preserve">6.4.1(a)(2): </w:t>
            </w:r>
          </w:p>
          <w:p w:rsidR="00481FC1" w:rsidRDefault="00481FC1" w:rsidP="00481FC1">
            <w:pPr>
              <w:ind w:left="340"/>
            </w:pPr>
            <w:r w:rsidRPr="00E231B2">
              <w:t>the carryover that would result in the Service Provider retaining the reward or penalty associated with an operating expenditure efficiency gains or losses for five years after the year in which the gain or loss was achieved;</w:t>
            </w:r>
          </w:p>
        </w:tc>
      </w:tr>
      <w:tr w:rsidR="00481FC1" w:rsidTr="00481FC1">
        <w:trPr>
          <w:cnfStyle w:val="000000010000" w:firstRow="0" w:lastRow="0" w:firstColumn="0" w:lastColumn="0" w:oddVBand="0" w:evenVBand="0" w:oddHBand="0" w:evenHBand="1" w:firstRowFirstColumn="0" w:firstRowLastColumn="0" w:lastRowFirstColumn="0" w:lastRowLastColumn="0"/>
        </w:trPr>
        <w:tc>
          <w:tcPr>
            <w:tcW w:w="633" w:type="pct"/>
          </w:tcPr>
          <w:p w:rsidR="00481FC1" w:rsidRDefault="00481FC1" w:rsidP="005129FE">
            <w:r w:rsidRPr="00B36376">
              <w:rPr>
                <w:rStyle w:val="Strong"/>
              </w:rPr>
              <w:t>Revision 9.</w:t>
            </w:r>
            <w:r>
              <w:rPr>
                <w:rStyle w:val="Strong"/>
              </w:rPr>
              <w:t>2</w:t>
            </w:r>
            <w:r w:rsidRPr="00B36376">
              <w:rPr>
                <w:rStyle w:val="Strong"/>
              </w:rPr>
              <w:t>:</w:t>
            </w:r>
          </w:p>
        </w:tc>
        <w:tc>
          <w:tcPr>
            <w:tcW w:w="4367" w:type="pct"/>
          </w:tcPr>
          <w:p w:rsidR="00481FC1" w:rsidRDefault="00481FC1" w:rsidP="005129FE">
            <w:r>
              <w:t>Remove clause 6.4.2 of the proposed access arrangement and replace it with the following text:</w:t>
            </w:r>
          </w:p>
          <w:p w:rsidR="00481FC1" w:rsidRPr="00481FC1" w:rsidRDefault="00481FC1" w:rsidP="00481FC1">
            <w:r w:rsidRPr="00481FC1">
              <w:t>6.4.2 Operating Expenditure Incentive Mechanism</w:t>
            </w:r>
          </w:p>
          <w:p w:rsidR="00481FC1" w:rsidRPr="00481FC1" w:rsidRDefault="00481FC1" w:rsidP="00481FC1">
            <w:pPr>
              <w:ind w:left="340"/>
            </w:pPr>
            <w:r w:rsidRPr="00481FC1">
              <w:t>An efficiency carryover mechanism will apply to operating expenditure. It will operate in the following way:</w:t>
            </w:r>
          </w:p>
          <w:p w:rsidR="00481FC1" w:rsidRPr="00087F12" w:rsidRDefault="00481FC1" w:rsidP="00481FC1">
            <w:pPr>
              <w:pStyle w:val="AERnumberedlistsecondstyle"/>
            </w:pPr>
            <w:r>
              <w:t>The incremental efficiency gain</w:t>
            </w:r>
            <w:r w:rsidRPr="00087F12">
              <w:t xml:space="preserve"> (loss) for 201</w:t>
            </w:r>
            <w:r>
              <w:t>8</w:t>
            </w:r>
            <w:r w:rsidRPr="00087F12">
              <w:t xml:space="preserve"> will be calculated using:</w:t>
            </w:r>
          </w:p>
          <w:p w:rsidR="00481FC1" w:rsidRPr="007A6B3F" w:rsidRDefault="00415ED1" w:rsidP="00481FC1">
            <w:pPr>
              <w:pStyle w:val="ListContinue2"/>
            </w:pPr>
            <m:oMathPara>
              <m:oMathParaPr>
                <m:jc m:val="left"/>
              </m:oMathParaPr>
              <m:oMath>
                <m:sSub>
                  <m:sSubPr>
                    <m:ctrlPr>
                      <w:rPr>
                        <w:rFonts w:ascii="Cambria Math" w:hAnsi="Cambria Math"/>
                      </w:rPr>
                    </m:ctrlPr>
                  </m:sSubPr>
                  <m:e>
                    <m:r>
                      <w:rPr>
                        <w:rFonts w:ascii="Cambria Math" w:hAnsi="Cambria Math"/>
                      </w:rPr>
                      <m:t>I</m:t>
                    </m:r>
                  </m:e>
                  <m:sub>
                    <m:r>
                      <m:rPr>
                        <m:sty m:val="p"/>
                      </m:rPr>
                      <w:rPr>
                        <w:rFonts w:ascii="Cambria Math" w:hAnsi="Cambria Math"/>
                      </w:rPr>
                      <m:t>2018</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F</m:t>
                        </m:r>
                      </m:e>
                      <m:sub>
                        <m:r>
                          <m:rPr>
                            <m:sty m:val="p"/>
                          </m:rPr>
                          <w:rPr>
                            <w:rFonts w:ascii="Cambria Math" w:hAnsi="Cambria Math"/>
                          </w:rPr>
                          <m:t>2018</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2018</m:t>
                        </m:r>
                      </m:sub>
                    </m:sSub>
                  </m:e>
                </m:d>
                <m:r>
                  <m:rPr>
                    <m:sty m:val="p"/>
                  </m:rPr>
                  <w:rPr>
                    <w:rFonts w:ascii="Cambria Math" w:hAnsi="Cambria Math"/>
                  </w:rPr>
                  <m:t>-</m:t>
                </m:r>
                <m:d>
                  <m:dPr>
                    <m:begChr m:val="["/>
                    <m:endChr m:val="]"/>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2017</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2017</m:t>
                            </m:r>
                          </m:sub>
                        </m:sSub>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2015</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2015</m:t>
                            </m:r>
                          </m:sub>
                        </m:sSub>
                      </m:e>
                    </m:d>
                  </m:e>
                </m:d>
              </m:oMath>
            </m:oMathPara>
          </w:p>
          <w:p w:rsidR="00481FC1" w:rsidRPr="00087F12" w:rsidRDefault="00481FC1" w:rsidP="00481FC1">
            <w:pPr>
              <w:pStyle w:val="ListContinue2"/>
            </w:pPr>
            <w:r>
              <w:t>where</w:t>
            </w:r>
          </w:p>
          <w:p w:rsidR="00481FC1" w:rsidRPr="00087F12" w:rsidRDefault="00415ED1" w:rsidP="00481FC1">
            <w:pPr>
              <w:pStyle w:val="ListContinue2"/>
            </w:pPr>
            <m:oMath>
              <m:sSub>
                <m:sSubPr>
                  <m:ctrlPr>
                    <w:rPr>
                      <w:rFonts w:ascii="Cambria Math" w:hAnsi="Cambria Math"/>
                    </w:rPr>
                  </m:ctrlPr>
                </m:sSubPr>
                <m:e>
                  <m:r>
                    <w:rPr>
                      <w:rFonts w:ascii="Cambria Math" w:hAnsi="Cambria Math"/>
                    </w:rPr>
                    <m:t>I</m:t>
                  </m:r>
                </m:e>
                <m:sub>
                  <m:r>
                    <m:rPr>
                      <m:sty m:val="p"/>
                    </m:rPr>
                    <w:rPr>
                      <w:rFonts w:ascii="Cambria Math" w:hAnsi="Cambria Math"/>
                    </w:rPr>
                    <m:t>2018</m:t>
                  </m:r>
                </m:sub>
              </m:sSub>
            </m:oMath>
            <w:r w:rsidR="00481FC1" w:rsidRPr="00087F12">
              <w:t xml:space="preserve"> </w:t>
            </w:r>
            <w:proofErr w:type="gramStart"/>
            <w:r w:rsidR="00481FC1" w:rsidRPr="00087F12">
              <w:t>is</w:t>
            </w:r>
            <w:proofErr w:type="gramEnd"/>
            <w:r w:rsidR="00481FC1" w:rsidRPr="00087F12">
              <w:t xml:space="preserve"> the incremental efficiency gain (loss) for 201</w:t>
            </w:r>
            <w:r w:rsidR="00481FC1">
              <w:t>8</w:t>
            </w:r>
            <w:r w:rsidR="00481FC1" w:rsidRPr="00087F12">
              <w:t>.</w:t>
            </w:r>
          </w:p>
          <w:p w:rsidR="00481FC1" w:rsidRPr="00087F12" w:rsidRDefault="00415ED1" w:rsidP="00481FC1">
            <w:pPr>
              <w:pStyle w:val="ListContinue2"/>
            </w:pPr>
            <m:oMath>
              <m:sSub>
                <m:sSubPr>
                  <m:ctrlPr>
                    <w:rPr>
                      <w:rFonts w:ascii="Cambria Math" w:hAnsi="Cambria Math"/>
                    </w:rPr>
                  </m:ctrlPr>
                </m:sSubPr>
                <m:e>
                  <m:r>
                    <w:rPr>
                      <w:rFonts w:ascii="Cambria Math" w:hAnsi="Cambria Math"/>
                    </w:rPr>
                    <m:t>F</m:t>
                  </m:r>
                </m:e>
                <m:sub>
                  <m:r>
                    <m:rPr>
                      <m:sty m:val="p"/>
                    </m:rPr>
                    <w:rPr>
                      <w:rFonts w:ascii="Cambria Math" w:hAnsi="Cambria Math"/>
                    </w:rPr>
                    <m:t>2018</m:t>
                  </m:r>
                </m:sub>
              </m:sSub>
            </m:oMath>
            <w:r w:rsidR="00481FC1" w:rsidRPr="00087F12">
              <w:t xml:space="preserve"> </w:t>
            </w:r>
            <w:proofErr w:type="gramStart"/>
            <w:r w:rsidR="00481FC1" w:rsidRPr="00087F12">
              <w:t>is</w:t>
            </w:r>
            <w:proofErr w:type="gramEnd"/>
            <w:r w:rsidR="00481FC1" w:rsidRPr="00087F12">
              <w:t xml:space="preserve"> the forecast operating expenditure for 201</w:t>
            </w:r>
            <w:r w:rsidR="00481FC1">
              <w:t>8</w:t>
            </w:r>
            <w:r w:rsidR="00481FC1" w:rsidRPr="00087F12">
              <w:t>.</w:t>
            </w:r>
          </w:p>
          <w:p w:rsidR="00481FC1" w:rsidRPr="00087F12" w:rsidRDefault="00415ED1" w:rsidP="00481FC1">
            <w:pPr>
              <w:pStyle w:val="ListContinue2"/>
            </w:pPr>
            <m:oMath>
              <m:sSub>
                <m:sSubPr>
                  <m:ctrlPr>
                    <w:rPr>
                      <w:rFonts w:ascii="Cambria Math" w:hAnsi="Cambria Math"/>
                    </w:rPr>
                  </m:ctrlPr>
                </m:sSubPr>
                <m:e>
                  <m:r>
                    <w:rPr>
                      <w:rFonts w:ascii="Cambria Math" w:hAnsi="Cambria Math"/>
                    </w:rPr>
                    <m:t>A</m:t>
                  </m:r>
                </m:e>
                <m:sub>
                  <m:r>
                    <m:rPr>
                      <m:sty m:val="p"/>
                    </m:rPr>
                    <w:rPr>
                      <w:rFonts w:ascii="Cambria Math" w:hAnsi="Cambria Math"/>
                    </w:rPr>
                    <m:t>2018</m:t>
                  </m:r>
                </m:sub>
              </m:sSub>
            </m:oMath>
            <w:r w:rsidR="00481FC1" w:rsidRPr="00087F12">
              <w:t xml:space="preserve"> </w:t>
            </w:r>
            <w:proofErr w:type="gramStart"/>
            <w:r w:rsidR="00481FC1" w:rsidRPr="00087F12">
              <w:t>is</w:t>
            </w:r>
            <w:proofErr w:type="gramEnd"/>
            <w:r w:rsidR="00481FC1" w:rsidRPr="00087F12">
              <w:t xml:space="preserve"> the act</w:t>
            </w:r>
            <w:proofErr w:type="spellStart"/>
            <w:r w:rsidR="00481FC1" w:rsidRPr="00087F12">
              <w:t>ual</w:t>
            </w:r>
            <w:proofErr w:type="spellEnd"/>
            <w:r w:rsidR="00481FC1" w:rsidRPr="00087F12">
              <w:t xml:space="preserve"> operating expenditure for 201</w:t>
            </w:r>
            <w:r w:rsidR="00481FC1">
              <w:t>8</w:t>
            </w:r>
            <w:r w:rsidR="00481FC1" w:rsidRPr="00087F12">
              <w:t>.</w:t>
            </w:r>
          </w:p>
          <w:p w:rsidR="00481FC1" w:rsidRPr="00087F12" w:rsidRDefault="00415ED1" w:rsidP="00481FC1">
            <w:pPr>
              <w:pStyle w:val="ListContinue2"/>
            </w:pPr>
            <m:oMath>
              <m:sSub>
                <m:sSubPr>
                  <m:ctrlPr>
                    <w:rPr>
                      <w:rFonts w:ascii="Cambria Math" w:hAnsi="Cambria Math"/>
                    </w:rPr>
                  </m:ctrlPr>
                </m:sSubPr>
                <m:e>
                  <m:r>
                    <w:rPr>
                      <w:rFonts w:ascii="Cambria Math" w:hAnsi="Cambria Math"/>
                    </w:rPr>
                    <m:t>F</m:t>
                  </m:r>
                </m:e>
                <m:sub>
                  <m:r>
                    <w:rPr>
                      <w:rFonts w:ascii="Cambria Math" w:hAnsi="Cambria Math"/>
                    </w:rPr>
                    <m:t>2017</m:t>
                  </m:r>
                </m:sub>
              </m:sSub>
            </m:oMath>
            <w:r w:rsidR="00481FC1" w:rsidRPr="00087F12">
              <w:t xml:space="preserve"> </w:t>
            </w:r>
            <w:proofErr w:type="gramStart"/>
            <w:r w:rsidR="00481FC1" w:rsidRPr="00087F12">
              <w:t>is</w:t>
            </w:r>
            <w:proofErr w:type="gramEnd"/>
            <w:r w:rsidR="00481FC1" w:rsidRPr="00087F12">
              <w:t xml:space="preserve"> the forecast operating expenditure for 201</w:t>
            </w:r>
            <w:r w:rsidR="00481FC1">
              <w:t>7</w:t>
            </w:r>
            <w:r w:rsidR="00481FC1" w:rsidRPr="00087F12">
              <w:t>.</w:t>
            </w:r>
          </w:p>
          <w:p w:rsidR="00481FC1" w:rsidRPr="00087F12" w:rsidRDefault="00415ED1" w:rsidP="00481FC1">
            <w:pPr>
              <w:pStyle w:val="ListContinue2"/>
            </w:pPr>
            <m:oMath>
              <m:sSub>
                <m:sSubPr>
                  <m:ctrlPr>
                    <w:rPr>
                      <w:rFonts w:ascii="Cambria Math" w:hAnsi="Cambria Math"/>
                    </w:rPr>
                  </m:ctrlPr>
                </m:sSubPr>
                <m:e>
                  <m:r>
                    <w:rPr>
                      <w:rFonts w:ascii="Cambria Math" w:hAnsi="Cambria Math"/>
                    </w:rPr>
                    <m:t>A</m:t>
                  </m:r>
                </m:e>
                <m:sub>
                  <m:r>
                    <w:rPr>
                      <w:rFonts w:ascii="Cambria Math" w:hAnsi="Cambria Math"/>
                    </w:rPr>
                    <m:t>2017</m:t>
                  </m:r>
                </m:sub>
              </m:sSub>
            </m:oMath>
            <w:r w:rsidR="00481FC1" w:rsidRPr="00087F12">
              <w:t xml:space="preserve"> </w:t>
            </w:r>
            <w:proofErr w:type="gramStart"/>
            <w:r w:rsidR="00481FC1" w:rsidRPr="00087F12">
              <w:t>is</w:t>
            </w:r>
            <w:proofErr w:type="gramEnd"/>
            <w:r w:rsidR="00481FC1" w:rsidRPr="00087F12">
              <w:t xml:space="preserve"> the actual operating expenditure for 201</w:t>
            </w:r>
            <w:r w:rsidR="00481FC1">
              <w:t>7</w:t>
            </w:r>
            <w:r w:rsidR="00481FC1" w:rsidRPr="00087F12">
              <w:t>.</w:t>
            </w:r>
          </w:p>
          <w:p w:rsidR="00481FC1" w:rsidRPr="00087F12" w:rsidRDefault="00415ED1" w:rsidP="00481FC1">
            <w:pPr>
              <w:pStyle w:val="ListContinue2"/>
            </w:pPr>
            <m:oMath>
              <m:sSub>
                <m:sSubPr>
                  <m:ctrlPr>
                    <w:rPr>
                      <w:rFonts w:ascii="Cambria Math" w:hAnsi="Cambria Math"/>
                    </w:rPr>
                  </m:ctrlPr>
                </m:sSubPr>
                <m:e>
                  <m:r>
                    <w:rPr>
                      <w:rFonts w:ascii="Cambria Math" w:hAnsi="Cambria Math"/>
                    </w:rPr>
                    <m:t>F</m:t>
                  </m:r>
                </m:e>
                <m:sub>
                  <m:r>
                    <w:rPr>
                      <w:rFonts w:ascii="Cambria Math" w:hAnsi="Cambria Math"/>
                    </w:rPr>
                    <m:t>2015</m:t>
                  </m:r>
                </m:sub>
              </m:sSub>
            </m:oMath>
            <w:r w:rsidR="00481FC1" w:rsidRPr="00087F12">
              <w:t xml:space="preserve"> </w:t>
            </w:r>
            <w:proofErr w:type="gramStart"/>
            <w:r w:rsidR="00481FC1" w:rsidRPr="00087F12">
              <w:t>is</w:t>
            </w:r>
            <w:proofErr w:type="gramEnd"/>
            <w:r w:rsidR="00481FC1" w:rsidRPr="00087F12">
              <w:t xml:space="preserve"> the forecast operating expenditure for 2015.</w:t>
            </w:r>
          </w:p>
          <w:p w:rsidR="00481FC1" w:rsidRDefault="00415ED1" w:rsidP="00481FC1">
            <w:pPr>
              <w:pStyle w:val="ListContinue2"/>
            </w:pPr>
            <m:oMath>
              <m:sSub>
                <m:sSubPr>
                  <m:ctrlPr>
                    <w:rPr>
                      <w:rFonts w:ascii="Cambria Math" w:hAnsi="Cambria Math"/>
                    </w:rPr>
                  </m:ctrlPr>
                </m:sSubPr>
                <m:e>
                  <m:r>
                    <w:rPr>
                      <w:rFonts w:ascii="Cambria Math" w:hAnsi="Cambria Math"/>
                    </w:rPr>
                    <m:t>A</m:t>
                  </m:r>
                </m:e>
                <m:sub>
                  <m:r>
                    <w:rPr>
                      <w:rFonts w:ascii="Cambria Math" w:hAnsi="Cambria Math"/>
                    </w:rPr>
                    <m:t>2015</m:t>
                  </m:r>
                </m:sub>
              </m:sSub>
            </m:oMath>
            <w:r w:rsidR="00481FC1" w:rsidRPr="00087F12">
              <w:t xml:space="preserve"> </w:t>
            </w:r>
            <w:proofErr w:type="gramStart"/>
            <w:r w:rsidR="00481FC1" w:rsidRPr="00087F12">
              <w:t>is</w:t>
            </w:r>
            <w:proofErr w:type="gramEnd"/>
            <w:r w:rsidR="00481FC1" w:rsidRPr="00087F12">
              <w:t xml:space="preserve"> the actual operating expenditure for 2015.</w:t>
            </w:r>
          </w:p>
          <w:p w:rsidR="00481FC1" w:rsidRDefault="00481FC1" w:rsidP="00481FC1">
            <w:pPr>
              <w:pStyle w:val="AERnumberedlistsecondstyle"/>
            </w:pPr>
            <w:r>
              <w:t xml:space="preserve">The incremental efficiency gain (or loss) for </w:t>
            </w:r>
            <w:r w:rsidRPr="00087F12">
              <w:t>201</w:t>
            </w:r>
            <w:r>
              <w:t>9</w:t>
            </w:r>
            <w:r w:rsidRPr="00087F12">
              <w:t xml:space="preserve"> to 20</w:t>
            </w:r>
            <w:r>
              <w:t>22</w:t>
            </w:r>
            <w:r w:rsidRPr="00087F12">
              <w:t xml:space="preserve"> (inclusive) will be calculated using:</w:t>
            </w:r>
          </w:p>
          <w:p w:rsidR="00481FC1" w:rsidRPr="003E4AD5" w:rsidRDefault="00415ED1" w:rsidP="003E4AD5">
            <w:pPr>
              <w:pStyle w:val="ListContinue2"/>
            </w:pPr>
            <m:oMathPara>
              <m:oMathParaPr>
                <m:jc m:val="left"/>
              </m:oMathParaPr>
              <m:oMath>
                <m:sSub>
                  <m:sSubPr>
                    <m:ctrlPr>
                      <w:rPr>
                        <w:rStyle w:val="AERbody"/>
                        <w:rFonts w:ascii="Cambria Math" w:hAnsi="Cambria Math"/>
                        <w:sz w:val="16"/>
                      </w:rPr>
                    </m:ctrlPr>
                  </m:sSubPr>
                  <m:e>
                    <m:r>
                      <w:rPr>
                        <w:rStyle w:val="AERbody"/>
                        <w:rFonts w:ascii="Cambria Math" w:hAnsi="Cambria Math"/>
                        <w:sz w:val="16"/>
                      </w:rPr>
                      <m:t>I</m:t>
                    </m:r>
                  </m:e>
                  <m:sub>
                    <m:r>
                      <w:rPr>
                        <w:rStyle w:val="AERbody"/>
                        <w:rFonts w:ascii="Cambria Math" w:hAnsi="Cambria Math"/>
                        <w:sz w:val="16"/>
                      </w:rPr>
                      <m:t>i</m:t>
                    </m:r>
                  </m:sub>
                </m:sSub>
                <m:r>
                  <m:rPr>
                    <m:sty m:val="p"/>
                  </m:rPr>
                  <w:rPr>
                    <w:rStyle w:val="AERbody"/>
                    <w:rFonts w:ascii="Cambria Math" w:hAnsi="Cambria Math"/>
                    <w:sz w:val="16"/>
                  </w:rPr>
                  <m:t>=</m:t>
                </m:r>
                <m:d>
                  <m:dPr>
                    <m:ctrlPr>
                      <w:rPr>
                        <w:rStyle w:val="AERbody"/>
                        <w:rFonts w:ascii="Cambria Math" w:hAnsi="Cambria Math"/>
                        <w:sz w:val="16"/>
                      </w:rPr>
                    </m:ctrlPr>
                  </m:dPr>
                  <m:e>
                    <m:sSub>
                      <m:sSubPr>
                        <m:ctrlPr>
                          <w:rPr>
                            <w:rStyle w:val="AERbody"/>
                            <w:rFonts w:ascii="Cambria Math" w:hAnsi="Cambria Math"/>
                            <w:sz w:val="16"/>
                          </w:rPr>
                        </m:ctrlPr>
                      </m:sSubPr>
                      <m:e>
                        <m:r>
                          <w:rPr>
                            <w:rStyle w:val="AERbody"/>
                            <w:rFonts w:ascii="Cambria Math" w:hAnsi="Cambria Math"/>
                            <w:sz w:val="16"/>
                          </w:rPr>
                          <m:t>F</m:t>
                        </m:r>
                      </m:e>
                      <m:sub>
                        <m:r>
                          <w:rPr>
                            <w:rStyle w:val="AERbody"/>
                            <w:rFonts w:ascii="Cambria Math" w:hAnsi="Cambria Math"/>
                            <w:sz w:val="16"/>
                          </w:rPr>
                          <m:t>i</m:t>
                        </m:r>
                      </m:sub>
                    </m:sSub>
                    <m:r>
                      <m:rPr>
                        <m:sty m:val="p"/>
                      </m:rPr>
                      <w:rPr>
                        <w:rStyle w:val="AERbody"/>
                        <w:rFonts w:ascii="Cambria Math" w:hAnsi="Cambria Math"/>
                        <w:sz w:val="16"/>
                      </w:rPr>
                      <m:t>-</m:t>
                    </m:r>
                    <m:sSub>
                      <m:sSubPr>
                        <m:ctrlPr>
                          <w:rPr>
                            <w:rStyle w:val="AERbody"/>
                            <w:rFonts w:ascii="Cambria Math" w:hAnsi="Cambria Math"/>
                            <w:sz w:val="16"/>
                          </w:rPr>
                        </m:ctrlPr>
                      </m:sSubPr>
                      <m:e>
                        <m:r>
                          <w:rPr>
                            <w:rStyle w:val="AERbody"/>
                            <w:rFonts w:ascii="Cambria Math" w:hAnsi="Cambria Math"/>
                            <w:sz w:val="16"/>
                          </w:rPr>
                          <m:t>A</m:t>
                        </m:r>
                      </m:e>
                      <m:sub>
                        <m:r>
                          <w:rPr>
                            <w:rStyle w:val="AERbody"/>
                            <w:rFonts w:ascii="Cambria Math" w:hAnsi="Cambria Math"/>
                            <w:sz w:val="16"/>
                          </w:rPr>
                          <m:t>i</m:t>
                        </m:r>
                      </m:sub>
                    </m:sSub>
                  </m:e>
                </m:d>
                <m:r>
                  <m:rPr>
                    <m:sty m:val="p"/>
                  </m:rPr>
                  <w:rPr>
                    <w:rStyle w:val="AERbody"/>
                    <w:rFonts w:ascii="Cambria Math" w:hAnsi="Cambria Math"/>
                    <w:sz w:val="16"/>
                  </w:rPr>
                  <m:t>-</m:t>
                </m:r>
                <m:d>
                  <m:dPr>
                    <m:ctrlPr>
                      <w:rPr>
                        <w:rStyle w:val="AERbody"/>
                        <w:rFonts w:ascii="Cambria Math" w:hAnsi="Cambria Math"/>
                        <w:sz w:val="16"/>
                      </w:rPr>
                    </m:ctrlPr>
                  </m:dPr>
                  <m:e>
                    <m:sSub>
                      <m:sSubPr>
                        <m:ctrlPr>
                          <w:rPr>
                            <w:rStyle w:val="AERbody"/>
                            <w:rFonts w:ascii="Cambria Math" w:hAnsi="Cambria Math"/>
                            <w:sz w:val="16"/>
                          </w:rPr>
                        </m:ctrlPr>
                      </m:sSubPr>
                      <m:e>
                        <m:r>
                          <w:rPr>
                            <w:rStyle w:val="AERbody"/>
                            <w:rFonts w:ascii="Cambria Math" w:hAnsi="Cambria Math"/>
                            <w:sz w:val="16"/>
                          </w:rPr>
                          <m:t>F</m:t>
                        </m:r>
                      </m:e>
                      <m:sub>
                        <m:r>
                          <w:rPr>
                            <w:rStyle w:val="AERbody"/>
                            <w:rFonts w:ascii="Cambria Math" w:hAnsi="Cambria Math"/>
                            <w:sz w:val="16"/>
                          </w:rPr>
                          <m:t>i</m:t>
                        </m:r>
                        <m:r>
                          <m:rPr>
                            <m:sty m:val="p"/>
                          </m:rPr>
                          <w:rPr>
                            <w:rStyle w:val="AERbody"/>
                            <w:rFonts w:ascii="Cambria Math" w:hAnsi="Cambria Math"/>
                            <w:sz w:val="16"/>
                          </w:rPr>
                          <m:t>-1</m:t>
                        </m:r>
                      </m:sub>
                    </m:sSub>
                    <m:r>
                      <m:rPr>
                        <m:sty m:val="p"/>
                      </m:rPr>
                      <w:rPr>
                        <w:rStyle w:val="AERbody"/>
                        <w:rFonts w:ascii="Cambria Math" w:hAnsi="Cambria Math"/>
                        <w:sz w:val="16"/>
                      </w:rPr>
                      <m:t>-</m:t>
                    </m:r>
                    <m:sSub>
                      <m:sSubPr>
                        <m:ctrlPr>
                          <w:rPr>
                            <w:rStyle w:val="AERbody"/>
                            <w:rFonts w:ascii="Cambria Math" w:hAnsi="Cambria Math"/>
                            <w:sz w:val="16"/>
                          </w:rPr>
                        </m:ctrlPr>
                      </m:sSubPr>
                      <m:e>
                        <m:r>
                          <w:rPr>
                            <w:rStyle w:val="AERbody"/>
                            <w:rFonts w:ascii="Cambria Math" w:hAnsi="Cambria Math"/>
                            <w:sz w:val="16"/>
                          </w:rPr>
                          <m:t>A</m:t>
                        </m:r>
                      </m:e>
                      <m:sub>
                        <m:r>
                          <w:rPr>
                            <w:rStyle w:val="AERbody"/>
                            <w:rFonts w:ascii="Cambria Math" w:hAnsi="Cambria Math"/>
                            <w:sz w:val="16"/>
                          </w:rPr>
                          <m:t>i</m:t>
                        </m:r>
                        <m:r>
                          <m:rPr>
                            <m:sty m:val="p"/>
                          </m:rPr>
                          <w:rPr>
                            <w:rStyle w:val="AERbody"/>
                            <w:rFonts w:ascii="Cambria Math" w:hAnsi="Cambria Math"/>
                            <w:sz w:val="16"/>
                          </w:rPr>
                          <m:t>-1</m:t>
                        </m:r>
                      </m:sub>
                    </m:sSub>
                  </m:e>
                </m:d>
              </m:oMath>
            </m:oMathPara>
          </w:p>
          <w:p w:rsidR="00481FC1" w:rsidRPr="00087F12" w:rsidRDefault="00481FC1" w:rsidP="00481FC1">
            <w:pPr>
              <w:pStyle w:val="ListContinue2"/>
            </w:pPr>
            <w:r>
              <w:t>where</w:t>
            </w:r>
          </w:p>
          <w:p w:rsidR="00481FC1" w:rsidRPr="003E4AD5" w:rsidRDefault="00415ED1" w:rsidP="003E4AD5">
            <w:pPr>
              <w:pStyle w:val="ListContinue2"/>
            </w:pPr>
            <m:oMath>
              <m:sSub>
                <m:sSubPr>
                  <m:ctrlPr>
                    <w:rPr>
                      <w:rStyle w:val="AERbody"/>
                      <w:rFonts w:ascii="Cambria Math" w:hAnsi="Cambria Math"/>
                      <w:sz w:val="16"/>
                    </w:rPr>
                  </m:ctrlPr>
                </m:sSubPr>
                <m:e>
                  <m:r>
                    <w:rPr>
                      <w:rStyle w:val="AERbody"/>
                      <w:rFonts w:ascii="Cambria Math" w:hAnsi="Cambria Math"/>
                      <w:sz w:val="16"/>
                    </w:rPr>
                    <m:t>I</m:t>
                  </m:r>
                </m:e>
                <m:sub>
                  <m:r>
                    <w:rPr>
                      <w:rStyle w:val="AERbody"/>
                      <w:rFonts w:ascii="Cambria Math" w:hAnsi="Cambria Math"/>
                      <w:sz w:val="16"/>
                    </w:rPr>
                    <m:t>i</m:t>
                  </m:r>
                </m:sub>
              </m:sSub>
            </m:oMath>
            <w:r w:rsidR="00481FC1" w:rsidRPr="003E4AD5">
              <w:t xml:space="preserve"> </w:t>
            </w:r>
            <w:proofErr w:type="gramStart"/>
            <w:r w:rsidR="00481FC1" w:rsidRPr="003E4AD5">
              <w:t>is</w:t>
            </w:r>
            <w:proofErr w:type="gramEnd"/>
            <w:r w:rsidR="00481FC1" w:rsidRPr="003E4AD5">
              <w:t xml:space="preserve"> the incremental efficiency gain in year i of the access arrangement period.</w:t>
            </w:r>
          </w:p>
          <w:p w:rsidR="00481FC1" w:rsidRPr="003E4AD5" w:rsidRDefault="00415ED1" w:rsidP="003E4AD5">
            <w:pPr>
              <w:pStyle w:val="ListContinue2"/>
            </w:pPr>
            <m:oMath>
              <m:sSub>
                <m:sSubPr>
                  <m:ctrlPr>
                    <w:rPr>
                      <w:rStyle w:val="AERbody"/>
                      <w:rFonts w:ascii="Cambria Math" w:hAnsi="Cambria Math"/>
                      <w:sz w:val="16"/>
                    </w:rPr>
                  </m:ctrlPr>
                </m:sSubPr>
                <m:e>
                  <m:r>
                    <w:rPr>
                      <w:rStyle w:val="AERbody"/>
                      <w:rFonts w:ascii="Cambria Math" w:hAnsi="Cambria Math"/>
                      <w:sz w:val="16"/>
                    </w:rPr>
                    <m:t>F</m:t>
                  </m:r>
                </m:e>
                <m:sub>
                  <m:r>
                    <w:rPr>
                      <w:rStyle w:val="AERbody"/>
                      <w:rFonts w:ascii="Cambria Math" w:hAnsi="Cambria Math"/>
                      <w:sz w:val="16"/>
                    </w:rPr>
                    <m:t>i</m:t>
                  </m:r>
                </m:sub>
              </m:sSub>
            </m:oMath>
            <w:r w:rsidR="00481FC1" w:rsidRPr="003E4AD5">
              <w:t xml:space="preserve"> </w:t>
            </w:r>
            <w:proofErr w:type="gramStart"/>
            <w:r w:rsidR="00481FC1" w:rsidRPr="003E4AD5">
              <w:t>is</w:t>
            </w:r>
            <w:proofErr w:type="gramEnd"/>
            <w:r w:rsidR="00481FC1" w:rsidRPr="003E4AD5">
              <w:t xml:space="preserve"> the forecast operating expenditure in year i of the access arrangement period.</w:t>
            </w:r>
          </w:p>
          <w:p w:rsidR="00481FC1" w:rsidRPr="003E4AD5" w:rsidRDefault="00415ED1" w:rsidP="003E4AD5">
            <w:pPr>
              <w:pStyle w:val="ListContinue2"/>
            </w:pPr>
            <m:oMath>
              <m:sSub>
                <m:sSubPr>
                  <m:ctrlPr>
                    <w:rPr>
                      <w:rStyle w:val="AERbody"/>
                      <w:rFonts w:ascii="Cambria Math" w:hAnsi="Cambria Math"/>
                      <w:sz w:val="16"/>
                    </w:rPr>
                  </m:ctrlPr>
                </m:sSubPr>
                <m:e>
                  <m:r>
                    <w:rPr>
                      <w:rStyle w:val="AERbody"/>
                      <w:rFonts w:ascii="Cambria Math" w:hAnsi="Cambria Math"/>
                      <w:sz w:val="16"/>
                    </w:rPr>
                    <m:t>A</m:t>
                  </m:r>
                </m:e>
                <m:sub>
                  <m:r>
                    <w:rPr>
                      <w:rStyle w:val="AERbody"/>
                      <w:rFonts w:ascii="Cambria Math" w:hAnsi="Cambria Math"/>
                      <w:sz w:val="16"/>
                    </w:rPr>
                    <m:t>i</m:t>
                  </m:r>
                </m:sub>
              </m:sSub>
            </m:oMath>
            <w:r w:rsidR="00481FC1" w:rsidRPr="003E4AD5">
              <w:t xml:space="preserve"> </w:t>
            </w:r>
            <w:proofErr w:type="gramStart"/>
            <w:r w:rsidR="00481FC1" w:rsidRPr="003E4AD5">
              <w:t>is</w:t>
            </w:r>
            <w:proofErr w:type="gramEnd"/>
            <w:r w:rsidR="00481FC1" w:rsidRPr="003E4AD5">
              <w:t xml:space="preserve"> the actual operating expenditure in year i of the access arrangement period.</w:t>
            </w:r>
          </w:p>
          <w:p w:rsidR="00481FC1" w:rsidRPr="003E4AD5" w:rsidRDefault="00415ED1" w:rsidP="003E4AD5">
            <w:pPr>
              <w:pStyle w:val="ListContinue2"/>
            </w:pPr>
            <m:oMath>
              <m:sSub>
                <m:sSubPr>
                  <m:ctrlPr>
                    <w:rPr>
                      <w:rStyle w:val="AERbody"/>
                      <w:rFonts w:ascii="Cambria Math" w:hAnsi="Cambria Math"/>
                      <w:sz w:val="16"/>
                    </w:rPr>
                  </m:ctrlPr>
                </m:sSubPr>
                <m:e>
                  <m:r>
                    <w:rPr>
                      <w:rStyle w:val="AERbody"/>
                      <w:rFonts w:ascii="Cambria Math" w:hAnsi="Cambria Math"/>
                      <w:sz w:val="16"/>
                    </w:rPr>
                    <m:t>F</m:t>
                  </m:r>
                </m:e>
                <m:sub>
                  <m:r>
                    <w:rPr>
                      <w:rStyle w:val="AERbody"/>
                      <w:rFonts w:ascii="Cambria Math" w:hAnsi="Cambria Math"/>
                      <w:sz w:val="16"/>
                    </w:rPr>
                    <m:t>i</m:t>
                  </m:r>
                  <m:r>
                    <m:rPr>
                      <m:sty m:val="p"/>
                    </m:rPr>
                    <w:rPr>
                      <w:rStyle w:val="AERbody"/>
                      <w:rFonts w:ascii="Cambria Math" w:hAnsi="Cambria Math"/>
                      <w:sz w:val="16"/>
                    </w:rPr>
                    <m:t>-1</m:t>
                  </m:r>
                </m:sub>
              </m:sSub>
            </m:oMath>
            <w:r w:rsidR="00481FC1" w:rsidRPr="003E4AD5">
              <w:t xml:space="preserve"> </w:t>
            </w:r>
            <w:proofErr w:type="gramStart"/>
            <w:r w:rsidR="00481FC1" w:rsidRPr="003E4AD5">
              <w:t>is</w:t>
            </w:r>
            <w:proofErr w:type="gramEnd"/>
            <w:r w:rsidR="00481FC1" w:rsidRPr="003E4AD5">
              <w:t xml:space="preserve"> the forecast operating expenditure in year i-1 of the access arrangement period.</w:t>
            </w:r>
          </w:p>
          <w:p w:rsidR="00481FC1" w:rsidRPr="003E4AD5" w:rsidRDefault="00415ED1" w:rsidP="00357A85">
            <w:pPr>
              <w:pStyle w:val="ListContinue2"/>
            </w:pPr>
            <m:oMath>
              <m:sSub>
                <m:sSubPr>
                  <m:ctrlPr>
                    <w:rPr>
                      <w:rStyle w:val="AERbody"/>
                      <w:rFonts w:ascii="Cambria Math" w:hAnsi="Cambria Math"/>
                      <w:sz w:val="16"/>
                    </w:rPr>
                  </m:ctrlPr>
                </m:sSubPr>
                <m:e>
                  <m:r>
                    <w:rPr>
                      <w:rStyle w:val="AERbody"/>
                      <w:rFonts w:ascii="Cambria Math" w:hAnsi="Cambria Math"/>
                      <w:sz w:val="16"/>
                    </w:rPr>
                    <m:t>A</m:t>
                  </m:r>
                </m:e>
                <m:sub>
                  <m:r>
                    <w:rPr>
                      <w:rStyle w:val="AERbody"/>
                      <w:rFonts w:ascii="Cambria Math" w:hAnsi="Cambria Math"/>
                      <w:sz w:val="16"/>
                    </w:rPr>
                    <m:t>i</m:t>
                  </m:r>
                  <m:r>
                    <m:rPr>
                      <m:sty m:val="p"/>
                    </m:rPr>
                    <w:rPr>
                      <w:rStyle w:val="AERbody"/>
                      <w:rFonts w:ascii="Cambria Math" w:hAnsi="Cambria Math"/>
                      <w:sz w:val="16"/>
                    </w:rPr>
                    <m:t>-1</m:t>
                  </m:r>
                </m:sub>
              </m:sSub>
            </m:oMath>
            <w:r w:rsidR="00481FC1" w:rsidRPr="003E4AD5">
              <w:t xml:space="preserve"> </w:t>
            </w:r>
            <w:proofErr w:type="gramStart"/>
            <w:r w:rsidR="00481FC1" w:rsidRPr="003E4AD5">
              <w:t>is</w:t>
            </w:r>
            <w:proofErr w:type="gramEnd"/>
            <w:r w:rsidR="00481FC1" w:rsidRPr="003E4AD5">
              <w:t xml:space="preserve"> the actual operating expenditure in year i-1 of the access arrangement period.</w:t>
            </w:r>
          </w:p>
          <w:p w:rsidR="00481FC1" w:rsidRPr="00087F12" w:rsidRDefault="00481FC1" w:rsidP="00481FC1">
            <w:pPr>
              <w:pStyle w:val="AERnumberedlistsecondstyle"/>
            </w:pPr>
            <w:r>
              <w:t xml:space="preserve">Actual operating </w:t>
            </w:r>
            <w:r w:rsidRPr="00087F12">
              <w:t>expenditure in the final year</w:t>
            </w:r>
            <w:r>
              <w:t>,</w:t>
            </w:r>
            <w:r w:rsidRPr="00087F12">
              <w:t xml:space="preserve"> </w:t>
            </w:r>
            <w:r>
              <w:t xml:space="preserve">2022, </w:t>
            </w:r>
            <w:r w:rsidRPr="00087F12">
              <w:t xml:space="preserve">of the access arrangement period is to be estimated using: </w:t>
            </w:r>
          </w:p>
          <w:p w:rsidR="00481FC1" w:rsidRPr="002046F1" w:rsidRDefault="00415ED1" w:rsidP="00481FC1">
            <w:pPr>
              <w:pStyle w:val="AERnumberedlistsecondstyle"/>
              <w:numPr>
                <w:ilvl w:val="0"/>
                <w:numId w:val="0"/>
              </w:numPr>
              <w:ind w:left="680"/>
              <w:rPr>
                <w:rStyle w:val="Strong"/>
              </w:rPr>
            </w:pPr>
            <m:oMathPara>
              <m:oMathParaPr>
                <m:jc m:val="left"/>
              </m:oMathParaPr>
              <m:oMath>
                <m:sSubSup>
                  <m:sSubSupPr>
                    <m:ctrlPr>
                      <w:rPr>
                        <w:rStyle w:val="Strong"/>
                        <w:rFonts w:ascii="Cambria Math" w:hAnsi="Cambria Math"/>
                        <w:b w:val="0"/>
                        <w:bCs w:val="0"/>
                      </w:rPr>
                    </m:ctrlPr>
                  </m:sSubSupPr>
                  <m:e>
                    <m:r>
                      <w:rPr>
                        <w:rStyle w:val="Strong"/>
                        <w:rFonts w:ascii="Cambria Math" w:hAnsi="Cambria Math"/>
                      </w:rPr>
                      <m:t>A</m:t>
                    </m:r>
                  </m:e>
                  <m:sub>
                    <m:r>
                      <m:rPr>
                        <m:sty m:val="p"/>
                      </m:rPr>
                      <w:rPr>
                        <w:rStyle w:val="Strong"/>
                        <w:rFonts w:ascii="Cambria Math" w:hAnsi="Cambria Math"/>
                      </w:rPr>
                      <m:t>2022</m:t>
                    </m:r>
                  </m:sub>
                  <m:sup>
                    <m:r>
                      <m:rPr>
                        <m:sty m:val="p"/>
                      </m:rPr>
                      <w:rPr>
                        <w:rStyle w:val="Strong"/>
                        <w:rFonts w:ascii="Cambria Math" w:hAnsi="Cambria Math"/>
                      </w:rPr>
                      <m:t>*</m:t>
                    </m:r>
                  </m:sup>
                </m:sSubSup>
                <m:r>
                  <m:rPr>
                    <m:sty m:val="p"/>
                  </m:rPr>
                  <w:rPr>
                    <w:rStyle w:val="Strong"/>
                    <w:rFonts w:ascii="Cambria Math" w:hAnsi="Cambria Math"/>
                  </w:rPr>
                  <m:t>=</m:t>
                </m:r>
                <m:sSub>
                  <m:sSubPr>
                    <m:ctrlPr>
                      <w:rPr>
                        <w:rStyle w:val="Strong"/>
                        <w:rFonts w:ascii="Cambria Math" w:hAnsi="Cambria Math"/>
                        <w:b w:val="0"/>
                        <w:bCs w:val="0"/>
                      </w:rPr>
                    </m:ctrlPr>
                  </m:sSubPr>
                  <m:e>
                    <m:r>
                      <w:rPr>
                        <w:rStyle w:val="Strong"/>
                        <w:rFonts w:ascii="Cambria Math" w:hAnsi="Cambria Math"/>
                      </w:rPr>
                      <m:t>F</m:t>
                    </m:r>
                  </m:e>
                  <m:sub>
                    <m:r>
                      <m:rPr>
                        <m:sty m:val="p"/>
                      </m:rPr>
                      <w:rPr>
                        <w:rStyle w:val="Strong"/>
                        <w:rFonts w:ascii="Cambria Math" w:hAnsi="Cambria Math"/>
                      </w:rPr>
                      <m:t>2022</m:t>
                    </m:r>
                  </m:sub>
                </m:sSub>
                <m:r>
                  <m:rPr>
                    <m:sty m:val="p"/>
                  </m:rPr>
                  <w:rPr>
                    <w:rStyle w:val="Strong"/>
                    <w:rFonts w:ascii="Cambria Math" w:hAnsi="Cambria Math"/>
                  </w:rPr>
                  <m:t>-</m:t>
                </m:r>
                <m:d>
                  <m:dPr>
                    <m:ctrlPr>
                      <w:rPr>
                        <w:rStyle w:val="Strong"/>
                        <w:rFonts w:ascii="Cambria Math" w:hAnsi="Cambria Math"/>
                        <w:b w:val="0"/>
                        <w:bCs w:val="0"/>
                      </w:rPr>
                    </m:ctrlPr>
                  </m:dPr>
                  <m:e>
                    <m:sSub>
                      <m:sSubPr>
                        <m:ctrlPr>
                          <w:rPr>
                            <w:rStyle w:val="Strong"/>
                            <w:rFonts w:ascii="Cambria Math" w:hAnsi="Cambria Math"/>
                            <w:b w:val="0"/>
                            <w:bCs w:val="0"/>
                          </w:rPr>
                        </m:ctrlPr>
                      </m:sSubPr>
                      <m:e>
                        <m:r>
                          <w:rPr>
                            <w:rStyle w:val="Strong"/>
                            <w:rFonts w:ascii="Cambria Math" w:hAnsi="Cambria Math"/>
                          </w:rPr>
                          <m:t>F</m:t>
                        </m:r>
                      </m:e>
                      <m:sub>
                        <m:r>
                          <w:rPr>
                            <w:rStyle w:val="Strong"/>
                            <w:rFonts w:ascii="Cambria Math" w:hAnsi="Cambria Math"/>
                          </w:rPr>
                          <m:t>b</m:t>
                        </m:r>
                      </m:sub>
                    </m:sSub>
                    <m:r>
                      <m:rPr>
                        <m:sty m:val="p"/>
                      </m:rPr>
                      <w:rPr>
                        <w:rStyle w:val="Strong"/>
                        <w:rFonts w:ascii="Cambria Math" w:hAnsi="Cambria Math"/>
                      </w:rPr>
                      <m:t>-</m:t>
                    </m:r>
                    <m:sSub>
                      <m:sSubPr>
                        <m:ctrlPr>
                          <w:rPr>
                            <w:rStyle w:val="Strong"/>
                            <w:rFonts w:ascii="Cambria Math" w:hAnsi="Cambria Math"/>
                            <w:b w:val="0"/>
                            <w:bCs w:val="0"/>
                          </w:rPr>
                        </m:ctrlPr>
                      </m:sSubPr>
                      <m:e>
                        <m:r>
                          <w:rPr>
                            <w:rStyle w:val="Strong"/>
                            <w:rFonts w:ascii="Cambria Math" w:hAnsi="Cambria Math"/>
                          </w:rPr>
                          <m:t>A</m:t>
                        </m:r>
                      </m:e>
                      <m:sub>
                        <m:r>
                          <w:rPr>
                            <w:rStyle w:val="Strong"/>
                            <w:rFonts w:ascii="Cambria Math" w:hAnsi="Cambria Math"/>
                          </w:rPr>
                          <m:t>b</m:t>
                        </m:r>
                      </m:sub>
                    </m:sSub>
                  </m:e>
                </m:d>
                <m:r>
                  <m:rPr>
                    <m:sty m:val="p"/>
                  </m:rPr>
                  <w:rPr>
                    <w:rStyle w:val="Strong"/>
                    <w:rFonts w:ascii="Cambria Math" w:hAnsi="Cambria Math"/>
                  </w:rPr>
                  <m:t xml:space="preserve">+ </m:t>
                </m:r>
                <m:sSub>
                  <m:sSubPr>
                    <m:ctrlPr>
                      <w:rPr>
                        <w:rStyle w:val="Strong"/>
                        <w:rFonts w:ascii="Cambria Math" w:hAnsi="Cambria Math"/>
                        <w:b w:val="0"/>
                        <w:bCs w:val="0"/>
                      </w:rPr>
                    </m:ctrlPr>
                  </m:sSubPr>
                  <m:e>
                    <m:r>
                      <w:rPr>
                        <w:rStyle w:val="Strong"/>
                        <w:rFonts w:ascii="Cambria Math" w:hAnsi="Cambria Math"/>
                      </w:rPr>
                      <m:t>non</m:t>
                    </m:r>
                    <m:r>
                      <m:rPr>
                        <m:nor/>
                      </m:rPr>
                      <w:rPr>
                        <w:rStyle w:val="Strong"/>
                        <w:b w:val="0"/>
                        <w:bCs w:val="0"/>
                      </w:rPr>
                      <m:t>-</m:t>
                    </m:r>
                    <m:r>
                      <w:rPr>
                        <w:rStyle w:val="Strong"/>
                        <w:rFonts w:ascii="Cambria Math" w:hAnsi="Cambria Math"/>
                      </w:rPr>
                      <m:t>recurren</m:t>
                    </m:r>
                    <m:r>
                      <w:rPr>
                        <w:rStyle w:val="Strong"/>
                        <w:rFonts w:ascii="Cambria Math" w:hAnsi="Cambria Math"/>
                      </w:rPr>
                      <m:t>t</m:t>
                    </m:r>
                    <m:r>
                      <m:rPr>
                        <m:sty m:val="p"/>
                      </m:rPr>
                      <w:rPr>
                        <w:rStyle w:val="Strong"/>
                        <w:rFonts w:ascii="Cambria Math" w:hAnsi="Cambria Math"/>
                      </w:rPr>
                      <m:t xml:space="preserve"> </m:t>
                    </m:r>
                    <m:r>
                      <w:rPr>
                        <w:rStyle w:val="Strong"/>
                        <w:rFonts w:ascii="Cambria Math" w:hAnsi="Cambria Math"/>
                      </w:rPr>
                      <m:t>efficiency</m:t>
                    </m:r>
                    <m:r>
                      <m:rPr>
                        <m:sty m:val="p"/>
                      </m:rPr>
                      <w:rPr>
                        <w:rStyle w:val="Strong"/>
                        <w:rFonts w:ascii="Cambria Math" w:hAnsi="Cambria Math"/>
                      </w:rPr>
                      <m:t xml:space="preserve"> </m:t>
                    </m:r>
                    <m:r>
                      <w:rPr>
                        <w:rStyle w:val="Strong"/>
                        <w:rFonts w:ascii="Cambria Math" w:hAnsi="Cambria Math"/>
                      </w:rPr>
                      <m:t>gain</m:t>
                    </m:r>
                  </m:e>
                  <m:sub>
                    <m:r>
                      <w:rPr>
                        <w:rStyle w:val="Strong"/>
                        <w:rFonts w:ascii="Cambria Math" w:hAnsi="Cambria Math"/>
                      </w:rPr>
                      <m:t>b</m:t>
                    </m:r>
                  </m:sub>
                </m:sSub>
              </m:oMath>
            </m:oMathPara>
          </w:p>
          <w:p w:rsidR="00481FC1" w:rsidRPr="00087F12" w:rsidRDefault="00481FC1" w:rsidP="00481FC1">
            <w:pPr>
              <w:pStyle w:val="ListContinue2"/>
            </w:pPr>
            <w:r>
              <w:t>where</w:t>
            </w:r>
          </w:p>
          <w:p w:rsidR="00481FC1" w:rsidRPr="00087F12" w:rsidRDefault="00415ED1" w:rsidP="00481FC1">
            <w:pPr>
              <w:pStyle w:val="ListContinue2"/>
            </w:pPr>
            <m:oMath>
              <m:sSubSup>
                <m:sSubSupPr>
                  <m:ctrlPr>
                    <w:rPr>
                      <w:rFonts w:ascii="Cambria Math" w:hAnsi="Cambria Math"/>
                    </w:rPr>
                  </m:ctrlPr>
                </m:sSubSupPr>
                <m:e>
                  <m:r>
                    <w:rPr>
                      <w:rFonts w:ascii="Cambria Math" w:hAnsi="Cambria Math"/>
                    </w:rPr>
                    <m:t>A</m:t>
                  </m:r>
                </m:e>
                <m:sub>
                  <m:r>
                    <w:rPr>
                      <w:rFonts w:ascii="Cambria Math" w:hAnsi="Cambria Math"/>
                    </w:rPr>
                    <m:t>2022</m:t>
                  </m:r>
                </m:sub>
                <m:sup>
                  <m:r>
                    <w:rPr>
                      <w:rFonts w:ascii="Cambria Math" w:hAnsi="Cambria Math"/>
                    </w:rPr>
                    <m:t>*</m:t>
                  </m:r>
                </m:sup>
              </m:sSubSup>
            </m:oMath>
            <w:r w:rsidR="00481FC1" w:rsidRPr="00087F12">
              <w:t xml:space="preserve"> </w:t>
            </w:r>
            <w:proofErr w:type="gramStart"/>
            <w:r w:rsidR="00481FC1" w:rsidRPr="00087F12">
              <w:t>is</w:t>
            </w:r>
            <w:proofErr w:type="gramEnd"/>
            <w:r w:rsidR="00481FC1" w:rsidRPr="00087F12">
              <w:t xml:space="preserve"> the estimate of opex for </w:t>
            </w:r>
            <w:r w:rsidR="00481FC1">
              <w:t>2022</w:t>
            </w:r>
            <w:r w:rsidR="00481FC1" w:rsidRPr="00087F12">
              <w:t xml:space="preserve">. </w:t>
            </w:r>
          </w:p>
          <w:p w:rsidR="00481FC1" w:rsidRPr="00087F12" w:rsidRDefault="00415ED1" w:rsidP="00481FC1">
            <w:pPr>
              <w:pStyle w:val="ListContinue2"/>
            </w:pPr>
            <m:oMath>
              <m:sSub>
                <m:sSubPr>
                  <m:ctrlPr>
                    <w:rPr>
                      <w:rFonts w:ascii="Cambria Math" w:hAnsi="Cambria Math"/>
                    </w:rPr>
                  </m:ctrlPr>
                </m:sSubPr>
                <m:e>
                  <m:r>
                    <w:rPr>
                      <w:rFonts w:ascii="Cambria Math" w:hAnsi="Cambria Math"/>
                    </w:rPr>
                    <m:t>F</m:t>
                  </m:r>
                </m:e>
                <m:sub>
                  <m:r>
                    <w:rPr>
                      <w:rFonts w:ascii="Cambria Math" w:hAnsi="Cambria Math"/>
                    </w:rPr>
                    <m:t>2022</m:t>
                  </m:r>
                </m:sub>
              </m:sSub>
            </m:oMath>
            <w:proofErr w:type="gramStart"/>
            <w:r w:rsidR="00481FC1" w:rsidRPr="00087F12">
              <w:t>is</w:t>
            </w:r>
            <w:proofErr w:type="gramEnd"/>
            <w:r w:rsidR="00481FC1" w:rsidRPr="00087F12">
              <w:t xml:space="preserve"> the forecast opex for </w:t>
            </w:r>
            <w:r w:rsidR="00481FC1">
              <w:t>2022</w:t>
            </w:r>
            <w:r w:rsidR="00481FC1" w:rsidRPr="00087F12">
              <w:t>.</w:t>
            </w:r>
          </w:p>
          <w:p w:rsidR="00481FC1" w:rsidRPr="00087F12" w:rsidRDefault="00415ED1" w:rsidP="00481FC1">
            <w:pPr>
              <w:pStyle w:val="ListContinue2"/>
            </w:pPr>
            <m:oMath>
              <m:sSub>
                <m:sSubPr>
                  <m:ctrlPr>
                    <w:rPr>
                      <w:rFonts w:ascii="Cambria Math" w:hAnsi="Cambria Math"/>
                    </w:rPr>
                  </m:ctrlPr>
                </m:sSubPr>
                <m:e>
                  <m:r>
                    <w:rPr>
                      <w:rFonts w:ascii="Cambria Math" w:hAnsi="Cambria Math"/>
                    </w:rPr>
                    <m:t>F</m:t>
                  </m:r>
                </m:e>
                <m:sub>
                  <m:r>
                    <w:rPr>
                      <w:rFonts w:ascii="Cambria Math" w:hAnsi="Cambria Math"/>
                    </w:rPr>
                    <m:t>b</m:t>
                  </m:r>
                </m:sub>
              </m:sSub>
            </m:oMath>
            <w:proofErr w:type="gramStart"/>
            <w:r w:rsidR="00481FC1" w:rsidRPr="00087F12">
              <w:t>is</w:t>
            </w:r>
            <w:proofErr w:type="gramEnd"/>
            <w:r w:rsidR="00481FC1" w:rsidRPr="00087F12">
              <w:t xml:space="preserve"> the forecast opex for the base year used to forecast opex in the access arrangement period following this access arrangement. </w:t>
            </w:r>
          </w:p>
          <w:p w:rsidR="00481FC1" w:rsidRPr="00087F12" w:rsidRDefault="00415ED1" w:rsidP="00481FC1">
            <w:pPr>
              <w:pStyle w:val="ListContinue2"/>
            </w:pPr>
            <m:oMath>
              <m:sSub>
                <m:sSubPr>
                  <m:ctrlPr>
                    <w:rPr>
                      <w:rFonts w:ascii="Cambria Math" w:hAnsi="Cambria Math"/>
                    </w:rPr>
                  </m:ctrlPr>
                </m:sSubPr>
                <m:e>
                  <m:r>
                    <w:rPr>
                      <w:rFonts w:ascii="Cambria Math" w:hAnsi="Cambria Math"/>
                    </w:rPr>
                    <m:t>A</m:t>
                  </m:r>
                </m:e>
                <m:sub>
                  <m:r>
                    <w:rPr>
                      <w:rFonts w:ascii="Cambria Math" w:hAnsi="Cambria Math"/>
                    </w:rPr>
                    <m:t>b</m:t>
                  </m:r>
                </m:sub>
              </m:sSub>
            </m:oMath>
            <w:proofErr w:type="gramStart"/>
            <w:r w:rsidR="00481FC1" w:rsidRPr="00087F12">
              <w:t>is</w:t>
            </w:r>
            <w:proofErr w:type="gramEnd"/>
            <w:r w:rsidR="00481FC1" w:rsidRPr="00087F12">
              <w:t xml:space="preserve"> the actual opex for the base year used to forecast opex in the access arrangement period following this access arrangement.</w:t>
            </w:r>
          </w:p>
          <w:p w:rsidR="00481FC1" w:rsidRPr="00087F12" w:rsidRDefault="00415ED1" w:rsidP="00481FC1">
            <w:pPr>
              <w:pStyle w:val="ListContinue2"/>
            </w:pPr>
            <m:oMath>
              <m:sSub>
                <m:sSubPr>
                  <m:ctrlPr>
                    <w:rPr>
                      <w:rFonts w:ascii="Cambria Math" w:hAnsi="Cambria Math"/>
                    </w:rPr>
                  </m:ctrlPr>
                </m:sSubPr>
                <m:e>
                  <m:r>
                    <w:rPr>
                      <w:rFonts w:ascii="Cambria Math" w:hAnsi="Cambria Math"/>
                    </w:rPr>
                    <m:t>non</m:t>
                  </m:r>
                  <m:r>
                    <m:rPr>
                      <m:nor/>
                    </m:rPr>
                    <m:t>-</m:t>
                  </m:r>
                  <m:r>
                    <w:rPr>
                      <w:rFonts w:ascii="Cambria Math" w:hAnsi="Cambria Math"/>
                    </w:rPr>
                    <m:t>recurrent efficiency gain</m:t>
                  </m:r>
                </m:e>
                <m:sub>
                  <m:r>
                    <w:rPr>
                      <w:rFonts w:ascii="Cambria Math" w:hAnsi="Cambria Math"/>
                    </w:rPr>
                    <m:t>b</m:t>
                  </m:r>
                </m:sub>
              </m:sSub>
            </m:oMath>
            <w:r w:rsidR="00481FC1">
              <w:t xml:space="preserve"> </w:t>
            </w:r>
            <w:proofErr w:type="gramStart"/>
            <w:r w:rsidR="00481FC1" w:rsidRPr="00087F12">
              <w:t>is</w:t>
            </w:r>
            <w:proofErr w:type="gramEnd"/>
            <w:r w:rsidR="00481FC1" w:rsidRPr="00087F12">
              <w:t xml:space="preserve"> the adjustment made to base year opex used to forecast opex for the access arrangement period expected to commence 1 </w:t>
            </w:r>
            <w:r w:rsidR="00481FC1">
              <w:t>January 2023</w:t>
            </w:r>
            <w:r w:rsidR="00481FC1" w:rsidRPr="00087F12">
              <w:t xml:space="preserve"> to account for opex associated with one-off factors.</w:t>
            </w:r>
          </w:p>
          <w:p w:rsidR="00481FC1" w:rsidRDefault="00481FC1" w:rsidP="00481FC1">
            <w:pPr>
              <w:pStyle w:val="AERnumberedlistsecondstyle"/>
            </w:pPr>
            <w:r>
              <w:t>T</w:t>
            </w:r>
            <w:r w:rsidRPr="00DE225D">
              <w:t xml:space="preserve">o ensure efficiency gains or losses made in 2022 are retained for five years, opex for the </w:t>
            </w:r>
            <w:r>
              <w:t>a</w:t>
            </w:r>
            <w:r w:rsidRPr="00DE225D">
              <w:t xml:space="preserve">ccess </w:t>
            </w:r>
            <w:r>
              <w:t>a</w:t>
            </w:r>
            <w:r w:rsidRPr="00DE225D">
              <w:t xml:space="preserve">rrangement </w:t>
            </w:r>
            <w:r>
              <w:t>p</w:t>
            </w:r>
            <w:r w:rsidRPr="00DE225D">
              <w:t>eriod</w:t>
            </w:r>
            <w:r>
              <w:t xml:space="preserve"> expected to commence 1 January 2023</w:t>
            </w:r>
            <w:r w:rsidRPr="00DE225D">
              <w:t xml:space="preserve"> should be forecast in a manner consistent with the estimate for opex in 2022, </w:t>
            </w:r>
            <m:oMath>
              <m:sSubSup>
                <m:sSubSupPr>
                  <m:ctrlPr>
                    <w:rPr>
                      <w:rFonts w:ascii="Cambria Math" w:hAnsi="Cambria Math"/>
                    </w:rPr>
                  </m:ctrlPr>
                </m:sSubSupPr>
                <m:e>
                  <m:r>
                    <w:rPr>
                      <w:rFonts w:ascii="Cambria Math" w:hAnsi="Cambria Math"/>
                    </w:rPr>
                    <m:t>A</m:t>
                  </m:r>
                </m:e>
                <m:sub>
                  <m:r>
                    <w:rPr>
                      <w:rFonts w:ascii="Cambria Math" w:hAnsi="Cambria Math"/>
                    </w:rPr>
                    <m:t>2022</m:t>
                  </m:r>
                </m:sub>
                <m:sup>
                  <m:r>
                    <w:rPr>
                      <w:rFonts w:ascii="Cambria Math" w:hAnsi="Cambria Math"/>
                    </w:rPr>
                    <m:t>*</m:t>
                  </m:r>
                </m:sup>
              </m:sSubSup>
            </m:oMath>
            <w:r w:rsidRPr="00DE225D">
              <w:t>, in paragraph (c) above. This provides the Service Provider the same reward had the expenditure level in 2022 been known.</w:t>
            </w:r>
          </w:p>
          <w:p w:rsidR="00481FC1" w:rsidRPr="00087F12" w:rsidRDefault="00481FC1" w:rsidP="00481FC1">
            <w:pPr>
              <w:pStyle w:val="AERnumberedlistsecondstyle"/>
            </w:pPr>
            <w:r>
              <w:t>For the avoidance of doubt,</w:t>
            </w:r>
            <w:r w:rsidRPr="00087F12">
              <w:t xml:space="preserve"> the incremental efficiency gains (or losses) are carried over from year to year in real dollars to ensure that these gains (or losses) are not eroded by inflation. The price indices used in this calculation are to be consistent with those used </w:t>
            </w:r>
            <w:r>
              <w:t xml:space="preserve">to forecast </w:t>
            </w:r>
            <w:r w:rsidRPr="00DE225D">
              <w:t xml:space="preserve">opex for the </w:t>
            </w:r>
            <w:r>
              <w:t>a</w:t>
            </w:r>
            <w:r w:rsidRPr="00DE225D">
              <w:t xml:space="preserve">ccess </w:t>
            </w:r>
            <w:r>
              <w:t>a</w:t>
            </w:r>
            <w:r w:rsidRPr="00DE225D">
              <w:t xml:space="preserve">rrangement </w:t>
            </w:r>
            <w:r>
              <w:t>p</w:t>
            </w:r>
            <w:r w:rsidRPr="00DE225D">
              <w:t>eriod</w:t>
            </w:r>
            <w:r>
              <w:t xml:space="preserve"> expected to commence on 1 January 2023</w:t>
            </w:r>
            <w:r w:rsidRPr="00087F12">
              <w:t>.</w:t>
            </w:r>
          </w:p>
          <w:p w:rsidR="00481FC1" w:rsidRPr="00087F12" w:rsidRDefault="00481FC1" w:rsidP="00481FC1">
            <w:pPr>
              <w:pStyle w:val="AERnumberedlistsecondstyle"/>
            </w:pPr>
            <w:r>
              <w:t xml:space="preserve">Increments or decrements from the summation of incremental efficiency gains or losses calculated in accordance with the approved incentive mechanism in the Access Arrangement Period </w:t>
            </w:r>
            <w:r w:rsidRPr="00087F12">
              <w:t xml:space="preserve">will give rise to an additional ‘building block’ in the calculation of the Total Revenue amounts for each </w:t>
            </w:r>
            <w:r>
              <w:t>y</w:t>
            </w:r>
            <w:r w:rsidRPr="00087F12">
              <w:t>ear of the subsequent access arrangement period.</w:t>
            </w:r>
          </w:p>
          <w:p w:rsidR="00481FC1" w:rsidRPr="00087F12" w:rsidRDefault="00481FC1" w:rsidP="00481FC1">
            <w:pPr>
              <w:pStyle w:val="AERnumberedlistsecondstyle"/>
            </w:pPr>
            <w:r>
              <w:t>The following costs will be excluded from the operation of the efficiency carryover mechanism:</w:t>
            </w:r>
          </w:p>
          <w:p w:rsidR="00481FC1" w:rsidRDefault="00481FC1" w:rsidP="00481FC1">
            <w:pPr>
              <w:pStyle w:val="ListContinue2"/>
            </w:pPr>
            <w:r>
              <w:t>(1)</w:t>
            </w:r>
            <w:r>
              <w:tab/>
            </w:r>
            <w:r>
              <w:tab/>
              <w:t>movements in provisions</w:t>
            </w:r>
          </w:p>
          <w:p w:rsidR="00481FC1" w:rsidRDefault="00481FC1" w:rsidP="00481FC1">
            <w:pPr>
              <w:pStyle w:val="ListContinue2"/>
            </w:pPr>
            <w:r>
              <w:t>(2)</w:t>
            </w:r>
            <w:r>
              <w:tab/>
            </w:r>
            <w:r>
              <w:tab/>
            </w:r>
            <w:r w:rsidRPr="007A7167">
              <w:t>losses on scrapping of assets</w:t>
            </w:r>
          </w:p>
          <w:p w:rsidR="00481FC1" w:rsidRDefault="00481FC1" w:rsidP="00481FC1">
            <w:pPr>
              <w:pStyle w:val="ListContinue2"/>
            </w:pPr>
            <w:r>
              <w:t>(3)</w:t>
            </w:r>
            <w:r>
              <w:tab/>
            </w:r>
            <w:r>
              <w:tab/>
            </w:r>
            <w:proofErr w:type="gramStart"/>
            <w:r>
              <w:t>any</w:t>
            </w:r>
            <w:proofErr w:type="gramEnd"/>
            <w:r>
              <w:t xml:space="preserve"> cost category that is not forecast using a single year revealed cost approach in the access arrangement period following this Access Arrangement Period (expected to commence 1 January 2023). These costs may include, debt raising costs and unaccounted for gas expenses</w:t>
            </w:r>
          </w:p>
          <w:p w:rsidR="00481FC1" w:rsidRPr="00087F12" w:rsidRDefault="00481FC1" w:rsidP="00481FC1">
            <w:pPr>
              <w:pStyle w:val="ListContinue2"/>
            </w:pPr>
            <w:r>
              <w:t>(4)</w:t>
            </w:r>
            <w:r>
              <w:tab/>
            </w:r>
            <w:r>
              <w:tab/>
            </w:r>
            <w:proofErr w:type="gramStart"/>
            <w:r w:rsidRPr="00C82D78">
              <w:t>any</w:t>
            </w:r>
            <w:proofErr w:type="gramEnd"/>
            <w:r w:rsidRPr="00C82D78">
              <w:t xml:space="preserve"> other activity that the Service Provider and the Regulator agree to exclude from the operation of the efficiency carryover mechanism</w:t>
            </w:r>
            <w:r>
              <w:t>.</w:t>
            </w:r>
            <w:r w:rsidRPr="00087F12">
              <w:t xml:space="preserve"> </w:t>
            </w:r>
          </w:p>
          <w:p w:rsidR="00481FC1" w:rsidRPr="00087F12" w:rsidRDefault="00481FC1" w:rsidP="00481FC1">
            <w:pPr>
              <w:pStyle w:val="AERnumberedlistsecondstyle"/>
            </w:pPr>
            <w:r w:rsidRPr="00792F71">
              <w:t xml:space="preserve">The </w:t>
            </w:r>
            <w:r w:rsidRPr="00087F12">
              <w:t>forecast operating expenditure amount for each year of the Applicable Access Arrangement Period will be adjusted to include any Determined Pass Through Amounts or other AER approved expenditure arising from Cost Pass Through Events which apply in respect of that year</w:t>
            </w:r>
          </w:p>
          <w:p w:rsidR="00481FC1" w:rsidRPr="00087F12" w:rsidRDefault="00481FC1" w:rsidP="00481FC1">
            <w:pPr>
              <w:pStyle w:val="AERnumberedlistsecondstyle"/>
            </w:pPr>
            <w:r w:rsidRPr="00F6740A">
              <w:t xml:space="preserve">Where </w:t>
            </w:r>
            <w:r w:rsidRPr="00DE225D">
              <w:t xml:space="preserve">the Service Provider </w:t>
            </w:r>
            <w:r w:rsidRPr="00087F12">
              <w:t xml:space="preserve">changes its approach to classifying costs as either capital expenditure or operating expenditure during the access arrangement period, </w:t>
            </w:r>
            <w:r w:rsidRPr="00DE225D">
              <w:t xml:space="preserve">the Service Provider </w:t>
            </w:r>
            <w:r w:rsidRPr="00087F12">
              <w:t>will adjust the forecast operating expenditure in the access arrangement information so that the forecast expenditures are consistent with the capitalisation policy changes.</w:t>
            </w:r>
          </w:p>
          <w:p w:rsidR="00481FC1" w:rsidRPr="00087F12" w:rsidRDefault="00481FC1" w:rsidP="00481FC1">
            <w:pPr>
              <w:pStyle w:val="AERnumberedlistsecondstyle"/>
            </w:pPr>
            <w:r>
              <w:t xml:space="preserve">If there is a change in </w:t>
            </w:r>
            <w:r w:rsidRPr="00DE225D">
              <w:t>the Service Provider</w:t>
            </w:r>
            <w:r>
              <w:t xml:space="preserve">'s </w:t>
            </w:r>
            <w:r w:rsidRPr="00087F12">
              <w:t xml:space="preserve">approach to classifying costs as either capital expenditure or operating expenditure, </w:t>
            </w:r>
            <w:r w:rsidRPr="00DE225D">
              <w:t xml:space="preserve">the Service Provider </w:t>
            </w:r>
            <w:r w:rsidRPr="00087F12">
              <w:t>must provide to the AER a detailed description of the change and a calculation of its impact on forecast and actual operating expenditure.</w:t>
            </w:r>
          </w:p>
          <w:p w:rsidR="00481FC1" w:rsidRDefault="00481FC1" w:rsidP="00481FC1">
            <w:pPr>
              <w:pStyle w:val="AERnumberedlistsecondstyle"/>
            </w:pPr>
            <w:r w:rsidRPr="001C38A6">
              <w:t>For the avoidance of doubt, the forecast expenditure amounts that are used as the basis for measuring efficiencies are equal to the forecast operating cost for that year as shown in the table below, which exclude the costs listed in clause 6.4</w:t>
            </w:r>
            <w:r>
              <w:t>.2</w:t>
            </w:r>
            <w:r w:rsidRPr="001C38A6">
              <w:t>(</w:t>
            </w:r>
            <w:r w:rsidR="0033525A">
              <w:t>g</w:t>
            </w:r>
            <w:r w:rsidRPr="001C38A6">
              <w:t>)(1)</w:t>
            </w:r>
            <w:r w:rsidR="00EB79A7">
              <w:t>–</w:t>
            </w:r>
            <w:r w:rsidRPr="001C38A6">
              <w:t>(4).</w:t>
            </w:r>
          </w:p>
          <w:p w:rsidR="00481FC1" w:rsidRDefault="00481FC1" w:rsidP="00481FC1">
            <w:pPr>
              <w:pStyle w:val="Tabletitle"/>
              <w:rPr>
                <w:sz w:val="16"/>
                <w:szCs w:val="16"/>
              </w:rPr>
            </w:pPr>
            <w:r w:rsidRPr="00481FC1">
              <w:rPr>
                <w:sz w:val="16"/>
                <w:szCs w:val="16"/>
              </w:rPr>
              <w:t>Approved forecast opex for the efficiency carryover mechanism ($ million, 2017)</w:t>
            </w:r>
          </w:p>
          <w:tbl>
            <w:tblPr>
              <w:tblStyle w:val="AERtable-numbers"/>
              <w:tblW w:w="0" w:type="auto"/>
              <w:tblLook w:val="04A0" w:firstRow="1" w:lastRow="0" w:firstColumn="1" w:lastColumn="0" w:noHBand="0" w:noVBand="1"/>
            </w:tblPr>
            <w:tblGrid>
              <w:gridCol w:w="2235"/>
              <w:gridCol w:w="807"/>
              <w:gridCol w:w="807"/>
              <w:gridCol w:w="807"/>
              <w:gridCol w:w="808"/>
              <w:gridCol w:w="807"/>
              <w:gridCol w:w="807"/>
              <w:gridCol w:w="807"/>
              <w:gridCol w:w="808"/>
            </w:tblGrid>
            <w:tr w:rsidR="00481FC1" w:rsidTr="00481F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481FC1" w:rsidRDefault="00481FC1" w:rsidP="00481FC1"/>
              </w:tc>
              <w:tc>
                <w:tcPr>
                  <w:tcW w:w="807" w:type="dxa"/>
                </w:tcPr>
                <w:p w:rsidR="00481FC1" w:rsidRPr="00831EC9" w:rsidRDefault="00481FC1" w:rsidP="00481FC1">
                  <w:pPr>
                    <w:cnfStyle w:val="100000000000" w:firstRow="1" w:lastRow="0" w:firstColumn="0" w:lastColumn="0" w:oddVBand="0" w:evenVBand="0" w:oddHBand="0" w:evenHBand="0" w:firstRowFirstColumn="0" w:firstRowLastColumn="0" w:lastRowFirstColumn="0" w:lastRowLastColumn="0"/>
                  </w:pPr>
                  <w:r>
                    <w:t>2015</w:t>
                  </w:r>
                </w:p>
              </w:tc>
              <w:tc>
                <w:tcPr>
                  <w:tcW w:w="807" w:type="dxa"/>
                </w:tcPr>
                <w:p w:rsidR="00481FC1" w:rsidRPr="00831EC9" w:rsidRDefault="00481FC1" w:rsidP="00481FC1">
                  <w:pPr>
                    <w:cnfStyle w:val="100000000000" w:firstRow="1" w:lastRow="0" w:firstColumn="0" w:lastColumn="0" w:oddVBand="0" w:evenVBand="0" w:oddHBand="0" w:evenHBand="0" w:firstRowFirstColumn="0" w:firstRowLastColumn="0" w:lastRowFirstColumn="0" w:lastRowLastColumn="0"/>
                  </w:pPr>
                  <w:r>
                    <w:t>2016</w:t>
                  </w:r>
                </w:p>
              </w:tc>
              <w:tc>
                <w:tcPr>
                  <w:tcW w:w="807" w:type="dxa"/>
                </w:tcPr>
                <w:p w:rsidR="00481FC1" w:rsidRPr="00831EC9" w:rsidRDefault="00481FC1" w:rsidP="00481FC1">
                  <w:pPr>
                    <w:cnfStyle w:val="100000000000" w:firstRow="1" w:lastRow="0" w:firstColumn="0" w:lastColumn="0" w:oddVBand="0" w:evenVBand="0" w:oddHBand="0" w:evenHBand="0" w:firstRowFirstColumn="0" w:firstRowLastColumn="0" w:lastRowFirstColumn="0" w:lastRowLastColumn="0"/>
                  </w:pPr>
                  <w:r>
                    <w:t>2017</w:t>
                  </w:r>
                </w:p>
              </w:tc>
              <w:tc>
                <w:tcPr>
                  <w:tcW w:w="808" w:type="dxa"/>
                </w:tcPr>
                <w:p w:rsidR="00481FC1" w:rsidRPr="00831EC9" w:rsidRDefault="00481FC1" w:rsidP="00481FC1">
                  <w:pPr>
                    <w:cnfStyle w:val="100000000000" w:firstRow="1" w:lastRow="0" w:firstColumn="0" w:lastColumn="0" w:oddVBand="0" w:evenVBand="0" w:oddHBand="0" w:evenHBand="0" w:firstRowFirstColumn="0" w:firstRowLastColumn="0" w:lastRowFirstColumn="0" w:lastRowLastColumn="0"/>
                  </w:pPr>
                  <w:r>
                    <w:t>20</w:t>
                  </w:r>
                  <w:r w:rsidRPr="00831EC9">
                    <w:t>18</w:t>
                  </w:r>
                </w:p>
              </w:tc>
              <w:tc>
                <w:tcPr>
                  <w:tcW w:w="807" w:type="dxa"/>
                </w:tcPr>
                <w:p w:rsidR="00481FC1" w:rsidRPr="00831EC9" w:rsidRDefault="00481FC1" w:rsidP="00481FC1">
                  <w:pPr>
                    <w:cnfStyle w:val="100000000000" w:firstRow="1" w:lastRow="0" w:firstColumn="0" w:lastColumn="0" w:oddVBand="0" w:evenVBand="0" w:oddHBand="0" w:evenHBand="0" w:firstRowFirstColumn="0" w:firstRowLastColumn="0" w:lastRowFirstColumn="0" w:lastRowLastColumn="0"/>
                  </w:pPr>
                  <w:r>
                    <w:t>20</w:t>
                  </w:r>
                  <w:r w:rsidRPr="00831EC9">
                    <w:t>19</w:t>
                  </w:r>
                </w:p>
              </w:tc>
              <w:tc>
                <w:tcPr>
                  <w:tcW w:w="807" w:type="dxa"/>
                </w:tcPr>
                <w:p w:rsidR="00481FC1" w:rsidRPr="00831EC9" w:rsidRDefault="00481FC1" w:rsidP="00481FC1">
                  <w:pPr>
                    <w:cnfStyle w:val="100000000000" w:firstRow="1" w:lastRow="0" w:firstColumn="0" w:lastColumn="0" w:oddVBand="0" w:evenVBand="0" w:oddHBand="0" w:evenHBand="0" w:firstRowFirstColumn="0" w:firstRowLastColumn="0" w:lastRowFirstColumn="0" w:lastRowLastColumn="0"/>
                  </w:pPr>
                  <w:r>
                    <w:t>20</w:t>
                  </w:r>
                  <w:r w:rsidRPr="00831EC9">
                    <w:t>20</w:t>
                  </w:r>
                </w:p>
              </w:tc>
              <w:tc>
                <w:tcPr>
                  <w:tcW w:w="807" w:type="dxa"/>
                </w:tcPr>
                <w:p w:rsidR="00481FC1" w:rsidRPr="00831EC9" w:rsidRDefault="00481FC1" w:rsidP="00481FC1">
                  <w:pPr>
                    <w:cnfStyle w:val="100000000000" w:firstRow="1" w:lastRow="0" w:firstColumn="0" w:lastColumn="0" w:oddVBand="0" w:evenVBand="0" w:oddHBand="0" w:evenHBand="0" w:firstRowFirstColumn="0" w:firstRowLastColumn="0" w:lastRowFirstColumn="0" w:lastRowLastColumn="0"/>
                  </w:pPr>
                  <w:r>
                    <w:t>20</w:t>
                  </w:r>
                  <w:r w:rsidRPr="00831EC9">
                    <w:t>21</w:t>
                  </w:r>
                </w:p>
              </w:tc>
              <w:tc>
                <w:tcPr>
                  <w:tcW w:w="808" w:type="dxa"/>
                </w:tcPr>
                <w:p w:rsidR="00481FC1" w:rsidRPr="00831EC9" w:rsidRDefault="00481FC1" w:rsidP="00481FC1">
                  <w:pPr>
                    <w:cnfStyle w:val="100000000000" w:firstRow="1" w:lastRow="0" w:firstColumn="0" w:lastColumn="0" w:oddVBand="0" w:evenVBand="0" w:oddHBand="0" w:evenHBand="0" w:firstRowFirstColumn="0" w:firstRowLastColumn="0" w:lastRowFirstColumn="0" w:lastRowLastColumn="0"/>
                  </w:pPr>
                  <w:r>
                    <w:t>20</w:t>
                  </w:r>
                  <w:r w:rsidRPr="00831EC9">
                    <w:t>22</w:t>
                  </w:r>
                </w:p>
              </w:tc>
            </w:tr>
            <w:tr w:rsidR="00481FC1" w:rsidRPr="005564A0" w:rsidTr="00481FC1">
              <w:tc>
                <w:tcPr>
                  <w:cnfStyle w:val="001000000000" w:firstRow="0" w:lastRow="0" w:firstColumn="1" w:lastColumn="0" w:oddVBand="0" w:evenVBand="0" w:oddHBand="0" w:evenHBand="0" w:firstRowFirstColumn="0" w:firstRowLastColumn="0" w:lastRowFirstColumn="0" w:lastRowLastColumn="0"/>
                  <w:tcW w:w="2235" w:type="dxa"/>
                </w:tcPr>
                <w:p w:rsidR="00481FC1" w:rsidRPr="00831EC9" w:rsidRDefault="00481FC1" w:rsidP="00481FC1">
                  <w:pPr>
                    <w:rPr>
                      <w:rStyle w:val="Strong"/>
                    </w:rPr>
                  </w:pPr>
                  <w:r w:rsidRPr="00831EC9">
                    <w:rPr>
                      <w:rStyle w:val="Strong"/>
                    </w:rPr>
                    <w:t xml:space="preserve">Approved forecast opex </w:t>
                  </w:r>
                </w:p>
              </w:tc>
              <w:tc>
                <w:tcPr>
                  <w:tcW w:w="807" w:type="dxa"/>
                  <w:vAlign w:val="top"/>
                </w:tcPr>
                <w:p w:rsidR="00481FC1" w:rsidRPr="00831EC9" w:rsidRDefault="00481FC1" w:rsidP="00481FC1">
                  <w:pPr>
                    <w:cnfStyle w:val="000000000000" w:firstRow="0" w:lastRow="0" w:firstColumn="0" w:lastColumn="0" w:oddVBand="0" w:evenVBand="0" w:oddHBand="0" w:evenHBand="0" w:firstRowFirstColumn="0" w:firstRowLastColumn="0" w:lastRowFirstColumn="0" w:lastRowLastColumn="0"/>
                    <w:rPr>
                      <w:rStyle w:val="Strong"/>
                    </w:rPr>
                  </w:pPr>
                  <w:r w:rsidRPr="00831EC9">
                    <w:rPr>
                      <w:rStyle w:val="Strong"/>
                    </w:rPr>
                    <w:t>49.2</w:t>
                  </w:r>
                </w:p>
              </w:tc>
              <w:tc>
                <w:tcPr>
                  <w:tcW w:w="807" w:type="dxa"/>
                  <w:vAlign w:val="top"/>
                </w:tcPr>
                <w:p w:rsidR="00481FC1" w:rsidRPr="00831EC9" w:rsidRDefault="00481FC1" w:rsidP="00481FC1">
                  <w:pPr>
                    <w:cnfStyle w:val="000000000000" w:firstRow="0" w:lastRow="0" w:firstColumn="0" w:lastColumn="0" w:oddVBand="0" w:evenVBand="0" w:oddHBand="0" w:evenHBand="0" w:firstRowFirstColumn="0" w:firstRowLastColumn="0" w:lastRowFirstColumn="0" w:lastRowLastColumn="0"/>
                    <w:rPr>
                      <w:rStyle w:val="Strong"/>
                    </w:rPr>
                  </w:pPr>
                  <w:r w:rsidRPr="00831EC9">
                    <w:rPr>
                      <w:rStyle w:val="Strong"/>
                    </w:rPr>
                    <w:t>50.3</w:t>
                  </w:r>
                </w:p>
              </w:tc>
              <w:tc>
                <w:tcPr>
                  <w:tcW w:w="807" w:type="dxa"/>
                  <w:vAlign w:val="top"/>
                </w:tcPr>
                <w:p w:rsidR="00481FC1" w:rsidRPr="00831EC9" w:rsidRDefault="00481FC1" w:rsidP="00481FC1">
                  <w:pPr>
                    <w:cnfStyle w:val="000000000000" w:firstRow="0" w:lastRow="0" w:firstColumn="0" w:lastColumn="0" w:oddVBand="0" w:evenVBand="0" w:oddHBand="0" w:evenHBand="0" w:firstRowFirstColumn="0" w:firstRowLastColumn="0" w:lastRowFirstColumn="0" w:lastRowLastColumn="0"/>
                    <w:rPr>
                      <w:rStyle w:val="Strong"/>
                    </w:rPr>
                  </w:pPr>
                  <w:r w:rsidRPr="00831EC9">
                    <w:rPr>
                      <w:rStyle w:val="Strong"/>
                    </w:rPr>
                    <w:t>51.5</w:t>
                  </w:r>
                </w:p>
              </w:tc>
              <w:tc>
                <w:tcPr>
                  <w:tcW w:w="808" w:type="dxa"/>
                </w:tcPr>
                <w:p w:rsidR="00481FC1" w:rsidRPr="00831EC9" w:rsidRDefault="00481FC1" w:rsidP="00481FC1">
                  <w:pPr>
                    <w:cnfStyle w:val="000000000000" w:firstRow="0" w:lastRow="0" w:firstColumn="0" w:lastColumn="0" w:oddVBand="0" w:evenVBand="0" w:oddHBand="0" w:evenHBand="0" w:firstRowFirstColumn="0" w:firstRowLastColumn="0" w:lastRowFirstColumn="0" w:lastRowLastColumn="0"/>
                    <w:rPr>
                      <w:rStyle w:val="Strong"/>
                    </w:rPr>
                  </w:pPr>
                  <w:r w:rsidRPr="00831EC9">
                    <w:rPr>
                      <w:rStyle w:val="Strong"/>
                    </w:rPr>
                    <w:t>51.0</w:t>
                  </w:r>
                </w:p>
              </w:tc>
              <w:tc>
                <w:tcPr>
                  <w:tcW w:w="807" w:type="dxa"/>
                </w:tcPr>
                <w:p w:rsidR="00481FC1" w:rsidRPr="00831EC9" w:rsidRDefault="00481FC1" w:rsidP="00481FC1">
                  <w:pPr>
                    <w:cnfStyle w:val="000000000000" w:firstRow="0" w:lastRow="0" w:firstColumn="0" w:lastColumn="0" w:oddVBand="0" w:evenVBand="0" w:oddHBand="0" w:evenHBand="0" w:firstRowFirstColumn="0" w:firstRowLastColumn="0" w:lastRowFirstColumn="0" w:lastRowLastColumn="0"/>
                    <w:rPr>
                      <w:rStyle w:val="Strong"/>
                    </w:rPr>
                  </w:pPr>
                  <w:r w:rsidRPr="00831EC9">
                    <w:rPr>
                      <w:rStyle w:val="Strong"/>
                    </w:rPr>
                    <w:t>51.9</w:t>
                  </w:r>
                </w:p>
              </w:tc>
              <w:tc>
                <w:tcPr>
                  <w:tcW w:w="807" w:type="dxa"/>
                </w:tcPr>
                <w:p w:rsidR="00481FC1" w:rsidRPr="00831EC9" w:rsidRDefault="00481FC1" w:rsidP="00481FC1">
                  <w:pPr>
                    <w:cnfStyle w:val="000000000000" w:firstRow="0" w:lastRow="0" w:firstColumn="0" w:lastColumn="0" w:oddVBand="0" w:evenVBand="0" w:oddHBand="0" w:evenHBand="0" w:firstRowFirstColumn="0" w:firstRowLastColumn="0" w:lastRowFirstColumn="0" w:lastRowLastColumn="0"/>
                    <w:rPr>
                      <w:rStyle w:val="Strong"/>
                    </w:rPr>
                  </w:pPr>
                  <w:r w:rsidRPr="00831EC9">
                    <w:rPr>
                      <w:rStyle w:val="Strong"/>
                    </w:rPr>
                    <w:t>52.9</w:t>
                  </w:r>
                </w:p>
              </w:tc>
              <w:tc>
                <w:tcPr>
                  <w:tcW w:w="807" w:type="dxa"/>
                </w:tcPr>
                <w:p w:rsidR="00481FC1" w:rsidRPr="00831EC9" w:rsidRDefault="00481FC1" w:rsidP="00481FC1">
                  <w:pPr>
                    <w:cnfStyle w:val="000000000000" w:firstRow="0" w:lastRow="0" w:firstColumn="0" w:lastColumn="0" w:oddVBand="0" w:evenVBand="0" w:oddHBand="0" w:evenHBand="0" w:firstRowFirstColumn="0" w:firstRowLastColumn="0" w:lastRowFirstColumn="0" w:lastRowLastColumn="0"/>
                    <w:rPr>
                      <w:rStyle w:val="Strong"/>
                    </w:rPr>
                  </w:pPr>
                  <w:r w:rsidRPr="00831EC9">
                    <w:rPr>
                      <w:rStyle w:val="Strong"/>
                    </w:rPr>
                    <w:t>53.9</w:t>
                  </w:r>
                </w:p>
              </w:tc>
              <w:tc>
                <w:tcPr>
                  <w:tcW w:w="808" w:type="dxa"/>
                </w:tcPr>
                <w:p w:rsidR="00481FC1" w:rsidRPr="00831EC9" w:rsidRDefault="00481FC1" w:rsidP="00481FC1">
                  <w:pPr>
                    <w:cnfStyle w:val="000000000000" w:firstRow="0" w:lastRow="0" w:firstColumn="0" w:lastColumn="0" w:oddVBand="0" w:evenVBand="0" w:oddHBand="0" w:evenHBand="0" w:firstRowFirstColumn="0" w:firstRowLastColumn="0" w:lastRowFirstColumn="0" w:lastRowLastColumn="0"/>
                    <w:rPr>
                      <w:rStyle w:val="Strong"/>
                    </w:rPr>
                  </w:pPr>
                  <w:r w:rsidRPr="00831EC9">
                    <w:rPr>
                      <w:rStyle w:val="Strong"/>
                    </w:rPr>
                    <w:t>54.8</w:t>
                  </w:r>
                </w:p>
              </w:tc>
            </w:tr>
          </w:tbl>
          <w:p w:rsidR="00481FC1" w:rsidRDefault="00481FC1" w:rsidP="00481FC1">
            <w:pPr>
              <w:pStyle w:val="Source"/>
            </w:pPr>
            <w:r>
              <w:t xml:space="preserve">Note: </w:t>
            </w:r>
            <w:r>
              <w:tab/>
              <w:t>Excludes debt raising costs</w:t>
            </w:r>
          </w:p>
          <w:p w:rsidR="00481FC1" w:rsidRDefault="00481FC1" w:rsidP="005129FE"/>
        </w:tc>
      </w:tr>
      <w:tr w:rsidR="00481FC1" w:rsidTr="00481FC1">
        <w:tc>
          <w:tcPr>
            <w:tcW w:w="633" w:type="pct"/>
          </w:tcPr>
          <w:p w:rsidR="00481FC1" w:rsidRDefault="00481FC1" w:rsidP="005129FE">
            <w:r w:rsidRPr="00B36376">
              <w:rPr>
                <w:rStyle w:val="Strong"/>
              </w:rPr>
              <w:t>Revision 9.</w:t>
            </w:r>
            <w:r>
              <w:rPr>
                <w:rStyle w:val="Strong"/>
              </w:rPr>
              <w:t>3</w:t>
            </w:r>
            <w:r w:rsidRPr="00B36376">
              <w:rPr>
                <w:rStyle w:val="Strong"/>
              </w:rPr>
              <w:t>:</w:t>
            </w:r>
          </w:p>
        </w:tc>
        <w:tc>
          <w:tcPr>
            <w:tcW w:w="4367" w:type="pct"/>
          </w:tcPr>
          <w:p w:rsidR="00481FC1" w:rsidRDefault="00481FC1" w:rsidP="005129FE">
            <w:r>
              <w:t>Remove clause 7.2(c) of the proposed access arrangement.</w:t>
            </w:r>
          </w:p>
        </w:tc>
      </w:tr>
    </w:tbl>
    <w:p w:rsidR="00D5015C" w:rsidRDefault="00D5015C" w:rsidP="00481FC1">
      <w:bookmarkStart w:id="106" w:name="_GoBack"/>
      <w:bookmarkEnd w:id="106"/>
    </w:p>
    <w:sectPr w:rsidR="00D5015C" w:rsidSect="00481FC1">
      <w:pgSz w:w="16838" w:h="11906" w:orient="landscape" w:code="9"/>
      <w:pgMar w:top="1729" w:right="1440" w:bottom="1700" w:left="1582"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93A" w:rsidRPr="00290C63" w:rsidRDefault="00D7593A" w:rsidP="00290C63">
      <w:r>
        <w:separator/>
      </w:r>
    </w:p>
    <w:p w:rsidR="00D7593A" w:rsidRDefault="00D7593A"/>
  </w:endnote>
  <w:endnote w:type="continuationSeparator" w:id="0">
    <w:p w:rsidR="00D7593A" w:rsidRPr="00290C63" w:rsidRDefault="00D7593A" w:rsidP="00290C63">
      <w:r>
        <w:continuationSeparator/>
      </w:r>
    </w:p>
    <w:p w:rsidR="00D7593A" w:rsidRDefault="00D759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93A" w:rsidRPr="00290C63" w:rsidRDefault="00D7593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7593A" w:rsidRDefault="00D7593A"/>
  <w:p w:rsidR="00D7593A" w:rsidRDefault="00D7593A"/>
  <w:p w:rsidR="00D7593A" w:rsidRDefault="00D7593A"/>
  <w:p w:rsidR="00D7593A" w:rsidRDefault="00D7593A"/>
  <w:p w:rsidR="00D7593A" w:rsidRDefault="00D7593A"/>
  <w:p w:rsidR="00D7593A" w:rsidRDefault="00D7593A"/>
  <w:p w:rsidR="00D7593A" w:rsidRDefault="00D759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D7593A" w:rsidRPr="009B6F84" w:rsidRDefault="00D7593A">
        <w:pPr>
          <w:pStyle w:val="Footer"/>
          <w:rPr>
            <w:sz w:val="20"/>
          </w:rPr>
        </w:pPr>
        <w:r>
          <w:fldChar w:fldCharType="begin"/>
        </w:r>
        <w:r>
          <w:instrText xml:space="preserve"> PAGE   \* MERGEFORMAT </w:instrText>
        </w:r>
        <w:r>
          <w:fldChar w:fldCharType="separate"/>
        </w:r>
        <w:r w:rsidR="00415ED1">
          <w:rPr>
            <w:noProof/>
          </w:rPr>
          <w:t>9-0</w:t>
        </w:r>
        <w:r>
          <w:rPr>
            <w:noProof/>
          </w:rPr>
          <w:fldChar w:fldCharType="end"/>
        </w:r>
        <w:r>
          <w:rPr>
            <w:noProof/>
          </w:rPr>
          <w:t xml:space="preserve">          </w:t>
        </w:r>
        <w:r>
          <w:t xml:space="preserve">Attachment 9 </w:t>
        </w:r>
        <w:r w:rsidRPr="000474DF">
          <w:t>−</w:t>
        </w:r>
        <w:r>
          <w:t xml:space="preserve"> Efficiency carryover mechanism</w:t>
        </w:r>
        <w:r w:rsidRPr="009B6F84">
          <w:rPr>
            <w:rFonts w:cs="Gautami"/>
            <w:noProof/>
            <w:szCs w:val="16"/>
          </w:rPr>
          <w:t xml:space="preserve"> | </w:t>
        </w:r>
        <w:r>
          <w:t>Draft decision - AusNet Services gas access arrangement</w:t>
        </w:r>
        <w:r w:rsidRPr="00D5015C">
          <w:t xml:space="preserve"> 201</w:t>
        </w:r>
        <w:r>
          <w:t>8</w:t>
        </w:r>
        <w:r w:rsidRPr="00D5015C">
          <w:t>–</w:t>
        </w:r>
        <w:r>
          <w:t>22</w:t>
        </w:r>
      </w:p>
    </w:sdtContent>
  </w:sdt>
  <w:p w:rsidR="00D7593A" w:rsidRDefault="00D759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93A" w:rsidRPr="00290C63" w:rsidRDefault="00D7593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7593A" w:rsidRDefault="00D7593A">
    <w:pPr>
      <w:pStyle w:val="Footer"/>
    </w:pPr>
  </w:p>
  <w:p w:rsidR="00D7593A" w:rsidRDefault="00D7593A"/>
  <w:p w:rsidR="00D7593A" w:rsidRDefault="00D7593A"/>
  <w:p w:rsidR="00D7593A" w:rsidRDefault="00D7593A"/>
  <w:p w:rsidR="00D7593A" w:rsidRDefault="00D7593A"/>
  <w:p w:rsidR="00D7593A" w:rsidRDefault="00D7593A"/>
  <w:p w:rsidR="00D7593A" w:rsidRDefault="00D7593A"/>
  <w:p w:rsidR="00D7593A" w:rsidRDefault="00D7593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93A" w:rsidRPr="00290C63" w:rsidRDefault="00D7593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7593A" w:rsidRDefault="00D7593A"/>
  <w:p w:rsidR="00D7593A" w:rsidRDefault="00D7593A"/>
  <w:p w:rsidR="00D7593A" w:rsidRDefault="00D7593A"/>
  <w:p w:rsidR="00D7593A" w:rsidRDefault="00D7593A"/>
  <w:p w:rsidR="00D7593A" w:rsidRDefault="00D7593A"/>
  <w:p w:rsidR="00D7593A" w:rsidRDefault="00D7593A"/>
  <w:p w:rsidR="00D7593A" w:rsidRDefault="00D7593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D7593A" w:rsidRPr="009B6F84" w:rsidRDefault="00D7593A">
        <w:pPr>
          <w:pStyle w:val="Footer"/>
          <w:rPr>
            <w:sz w:val="20"/>
          </w:rPr>
        </w:pPr>
        <w:r>
          <w:fldChar w:fldCharType="begin"/>
        </w:r>
        <w:r>
          <w:instrText xml:space="preserve"> PAGE   \* MERGEFORMAT </w:instrText>
        </w:r>
        <w:r>
          <w:fldChar w:fldCharType="separate"/>
        </w:r>
        <w:r w:rsidR="00415ED1">
          <w:rPr>
            <w:noProof/>
          </w:rPr>
          <w:t>9-18</w:t>
        </w:r>
        <w:r>
          <w:rPr>
            <w:noProof/>
          </w:rPr>
          <w:fldChar w:fldCharType="end"/>
        </w:r>
        <w:r>
          <w:rPr>
            <w:noProof/>
          </w:rPr>
          <w:t xml:space="preserve">          </w:t>
        </w:r>
        <w:r>
          <w:t xml:space="preserve">Attachment 9 </w:t>
        </w:r>
        <w:r w:rsidRPr="000474DF">
          <w:t>−</w:t>
        </w:r>
        <w:r>
          <w:t xml:space="preserve"> Efficiency carryover mechanism</w:t>
        </w:r>
        <w:r w:rsidRPr="00D5015C">
          <w:t xml:space="preserve"> | </w:t>
        </w:r>
        <w:r>
          <w:t>Draft decision - AusNet Services gas access arrangement</w:t>
        </w:r>
        <w:r w:rsidRPr="00D5015C">
          <w:t xml:space="preserve"> 201</w:t>
        </w:r>
        <w:r>
          <w:t>8</w:t>
        </w:r>
        <w:r w:rsidRPr="00D5015C">
          <w:t>–</w:t>
        </w:r>
        <w:r>
          <w:t>22</w:t>
        </w:r>
      </w:p>
    </w:sdtContent>
  </w:sdt>
  <w:p w:rsidR="00D7593A" w:rsidRDefault="00D7593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93A" w:rsidRPr="00290C63" w:rsidRDefault="00D7593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7593A" w:rsidRDefault="00D7593A">
    <w:pPr>
      <w:pStyle w:val="Footer"/>
    </w:pPr>
  </w:p>
  <w:p w:rsidR="00D7593A" w:rsidRDefault="00D7593A"/>
  <w:p w:rsidR="00D7593A" w:rsidRDefault="00D7593A"/>
  <w:p w:rsidR="00D7593A" w:rsidRDefault="00D7593A"/>
  <w:p w:rsidR="00D7593A" w:rsidRDefault="00D7593A"/>
  <w:p w:rsidR="00D7593A" w:rsidRDefault="00D7593A"/>
  <w:p w:rsidR="00D7593A" w:rsidRDefault="00D7593A"/>
  <w:p w:rsidR="00D7593A" w:rsidRDefault="00D759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93A" w:rsidRPr="00290C63" w:rsidRDefault="00D7593A" w:rsidP="00290C63">
      <w:r>
        <w:separator/>
      </w:r>
    </w:p>
    <w:p w:rsidR="00D7593A" w:rsidRDefault="00D7593A"/>
  </w:footnote>
  <w:footnote w:type="continuationSeparator" w:id="0">
    <w:p w:rsidR="00D7593A" w:rsidRPr="00290C63" w:rsidRDefault="00D7593A" w:rsidP="00290C63">
      <w:r>
        <w:continuationSeparator/>
      </w:r>
    </w:p>
    <w:p w:rsidR="00D7593A" w:rsidRDefault="00D7593A"/>
  </w:footnote>
  <w:footnote w:id="1">
    <w:p w:rsidR="00D7593A" w:rsidRDefault="00D7593A" w:rsidP="00662875">
      <w:pPr>
        <w:pStyle w:val="FootnoteText"/>
      </w:pPr>
      <w:r>
        <w:rPr>
          <w:rStyle w:val="FootnoteReference"/>
        </w:rPr>
        <w:footnoteRef/>
      </w:r>
      <w:r>
        <w:t xml:space="preserve"> </w:t>
      </w:r>
      <w:r>
        <w:tab/>
        <w:t>If the base year used to forecast opex changes in the revised proposal or final decision, it is likely our calculation of the carryover amount will change.</w:t>
      </w:r>
    </w:p>
  </w:footnote>
  <w:footnote w:id="2">
    <w:p w:rsidR="00D7593A" w:rsidRDefault="00D7593A" w:rsidP="00B00FC6">
      <w:pPr>
        <w:pStyle w:val="FootnoteText"/>
      </w:pPr>
      <w:r>
        <w:rPr>
          <w:rStyle w:val="FootnoteReference"/>
        </w:rPr>
        <w:footnoteRef/>
      </w:r>
      <w:r>
        <w:t xml:space="preserve"> </w:t>
      </w:r>
      <w:r>
        <w:tab/>
      </w:r>
      <w:proofErr w:type="gramStart"/>
      <w:r>
        <w:t>AER,</w:t>
      </w:r>
      <w:r w:rsidRPr="000501E8">
        <w:t xml:space="preserve"> </w:t>
      </w:r>
      <w:r w:rsidRPr="002776CB">
        <w:rPr>
          <w:rStyle w:val="AERtextitalic"/>
        </w:rPr>
        <w:t>Efficiency Benefit Sharing Scheme for Electricity Network Service Providers</w:t>
      </w:r>
      <w:r>
        <w:t>, November 2013, pp. 7–9.</w:t>
      </w:r>
      <w:proofErr w:type="gramEnd"/>
    </w:p>
  </w:footnote>
  <w:footnote w:id="3">
    <w:p w:rsidR="00D7593A" w:rsidRDefault="00D7593A" w:rsidP="00875607">
      <w:pPr>
        <w:pStyle w:val="FootnoteText"/>
      </w:pPr>
      <w:r>
        <w:rPr>
          <w:rStyle w:val="FootnoteReference"/>
        </w:rPr>
        <w:footnoteRef/>
      </w:r>
      <w:r>
        <w:t xml:space="preserve"> </w:t>
      </w:r>
      <w:r>
        <w:tab/>
        <w:t xml:space="preserve">AusNet Services, </w:t>
      </w:r>
      <w:r>
        <w:rPr>
          <w:rStyle w:val="AERtextitalic"/>
        </w:rPr>
        <w:t>Access arrangement</w:t>
      </w:r>
      <w:r w:rsidRPr="00FE6880">
        <w:rPr>
          <w:rStyle w:val="AERtextitalic"/>
        </w:rPr>
        <w:t xml:space="preserve"> </w:t>
      </w:r>
      <w:r>
        <w:rPr>
          <w:rStyle w:val="AERtextitalic"/>
        </w:rPr>
        <w:t>information 2018–22,</w:t>
      </w:r>
      <w:r>
        <w:t xml:space="preserve"> 16 December 2016, p. 267.</w:t>
      </w:r>
    </w:p>
  </w:footnote>
  <w:footnote w:id="4">
    <w:p w:rsidR="00D7593A" w:rsidRDefault="00D7593A" w:rsidP="00875607">
      <w:pPr>
        <w:pStyle w:val="FootnoteText"/>
      </w:pPr>
      <w:r>
        <w:rPr>
          <w:rStyle w:val="FootnoteReference"/>
        </w:rPr>
        <w:footnoteRef/>
      </w:r>
      <w:r>
        <w:t xml:space="preserve"> </w:t>
      </w:r>
      <w:r>
        <w:tab/>
        <w:t xml:space="preserve">AusNet Services, </w:t>
      </w:r>
      <w:r>
        <w:rPr>
          <w:rStyle w:val="AERtextitalic"/>
        </w:rPr>
        <w:t>Access arrangement</w:t>
      </w:r>
      <w:r w:rsidRPr="00FE6880">
        <w:rPr>
          <w:rStyle w:val="AERtextitalic"/>
        </w:rPr>
        <w:t xml:space="preserve"> </w:t>
      </w:r>
      <w:r>
        <w:rPr>
          <w:rStyle w:val="AERtextitalic"/>
        </w:rPr>
        <w:t>information 2018–22</w:t>
      </w:r>
      <w:r>
        <w:t>, 16 December 2016, p. 266.</w:t>
      </w:r>
    </w:p>
  </w:footnote>
  <w:footnote w:id="5">
    <w:p w:rsidR="00D7593A" w:rsidRDefault="00D7593A" w:rsidP="004716EA">
      <w:pPr>
        <w:pStyle w:val="FootnoteText"/>
      </w:pPr>
      <w:r>
        <w:rPr>
          <w:rStyle w:val="FootnoteReference"/>
        </w:rPr>
        <w:footnoteRef/>
      </w:r>
      <w:r>
        <w:t xml:space="preserve"> </w:t>
      </w:r>
      <w:r>
        <w:tab/>
        <w:t xml:space="preserve">AusNet Services, </w:t>
      </w:r>
      <w:r>
        <w:rPr>
          <w:rStyle w:val="AERtextitalic"/>
        </w:rPr>
        <w:t>Access arrangement</w:t>
      </w:r>
      <w:r w:rsidRPr="00FE6880">
        <w:rPr>
          <w:rStyle w:val="AERtextitalic"/>
        </w:rPr>
        <w:t xml:space="preserve"> proposal</w:t>
      </w:r>
      <w:r>
        <w:t xml:space="preserve"> </w:t>
      </w:r>
      <w:r w:rsidRPr="00220159">
        <w:rPr>
          <w:rStyle w:val="AERtextitalic"/>
        </w:rPr>
        <w:t>Part B Reference tariffs and reference tariff policy</w:t>
      </w:r>
      <w:r>
        <w:t>, 16 December 2016, p. 24, clause 6.4.2(h).</w:t>
      </w:r>
    </w:p>
  </w:footnote>
  <w:footnote w:id="6">
    <w:p w:rsidR="00D7593A" w:rsidRDefault="00D7593A">
      <w:pPr>
        <w:pStyle w:val="FootnoteText"/>
      </w:pPr>
      <w:r>
        <w:rPr>
          <w:rStyle w:val="FootnoteReference"/>
        </w:rPr>
        <w:footnoteRef/>
      </w:r>
      <w:r>
        <w:t xml:space="preserve"> </w:t>
      </w:r>
      <w:r>
        <w:tab/>
        <w:t xml:space="preserve">AusNet Services, </w:t>
      </w:r>
      <w:r>
        <w:rPr>
          <w:rStyle w:val="AERtextitalic"/>
        </w:rPr>
        <w:t>Access arrangement</w:t>
      </w:r>
      <w:r w:rsidRPr="00FE6880">
        <w:rPr>
          <w:rStyle w:val="AERtextitalic"/>
        </w:rPr>
        <w:t xml:space="preserve"> proposal</w:t>
      </w:r>
      <w:r>
        <w:t xml:space="preserve"> </w:t>
      </w:r>
      <w:r w:rsidRPr="00220159">
        <w:rPr>
          <w:rStyle w:val="AERtextitalic"/>
        </w:rPr>
        <w:t>Part B Reference tariffs and reference tariff policy</w:t>
      </w:r>
      <w:r>
        <w:t xml:space="preserve">, 16 December 2016, 16 December 2016, p. 25, clause 6.4.2(j). </w:t>
      </w:r>
    </w:p>
  </w:footnote>
  <w:footnote w:id="7">
    <w:p w:rsidR="00D7593A" w:rsidRDefault="00D7593A" w:rsidP="005129FE">
      <w:pPr>
        <w:pStyle w:val="FootnoteText"/>
      </w:pPr>
      <w:r>
        <w:rPr>
          <w:rStyle w:val="FootnoteReference"/>
        </w:rPr>
        <w:footnoteRef/>
      </w:r>
      <w:r>
        <w:t xml:space="preserve"> </w:t>
      </w:r>
      <w:r>
        <w:tab/>
      </w:r>
      <w:proofErr w:type="gramStart"/>
      <w:r>
        <w:t>NGR, r. 98(1).</w:t>
      </w:r>
      <w:proofErr w:type="gramEnd"/>
    </w:p>
  </w:footnote>
  <w:footnote w:id="8">
    <w:p w:rsidR="00D7593A" w:rsidRDefault="00D7593A" w:rsidP="005129FE">
      <w:pPr>
        <w:pStyle w:val="FootnoteText"/>
      </w:pPr>
      <w:r>
        <w:rPr>
          <w:rStyle w:val="FootnoteReference"/>
        </w:rPr>
        <w:footnoteRef/>
      </w:r>
      <w:r>
        <w:t xml:space="preserve"> </w:t>
      </w:r>
      <w:r>
        <w:tab/>
      </w:r>
      <w:proofErr w:type="gramStart"/>
      <w:r>
        <w:t>NGR, r. 98(3).</w:t>
      </w:r>
      <w:proofErr w:type="gramEnd"/>
    </w:p>
  </w:footnote>
  <w:footnote w:id="9">
    <w:p w:rsidR="00D7593A" w:rsidRDefault="00D7593A" w:rsidP="00F23C57">
      <w:pPr>
        <w:pStyle w:val="FootnoteText"/>
      </w:pPr>
      <w:r>
        <w:rPr>
          <w:rStyle w:val="FootnoteReference"/>
        </w:rPr>
        <w:footnoteRef/>
      </w:r>
      <w:r>
        <w:t xml:space="preserve"> </w:t>
      </w:r>
      <w:r>
        <w:tab/>
      </w:r>
      <w:proofErr w:type="gramStart"/>
      <w:r>
        <w:t>NGL, s. 24(3).</w:t>
      </w:r>
      <w:proofErr w:type="gramEnd"/>
    </w:p>
  </w:footnote>
  <w:footnote w:id="10">
    <w:p w:rsidR="00D7593A" w:rsidRDefault="00D7593A" w:rsidP="00F23C57">
      <w:pPr>
        <w:pStyle w:val="FootnoteText"/>
      </w:pPr>
      <w:r>
        <w:rPr>
          <w:rStyle w:val="FootnoteReference"/>
        </w:rPr>
        <w:footnoteRef/>
      </w:r>
      <w:r>
        <w:t xml:space="preserve"> </w:t>
      </w:r>
      <w:r>
        <w:tab/>
      </w:r>
      <w:proofErr w:type="gramStart"/>
      <w:r>
        <w:t>NGR, r. 40(3).</w:t>
      </w:r>
      <w:proofErr w:type="gramEnd"/>
    </w:p>
  </w:footnote>
  <w:footnote w:id="11">
    <w:p w:rsidR="00D7593A" w:rsidRPr="004A1D50" w:rsidRDefault="00D7593A" w:rsidP="00E44769">
      <w:pPr>
        <w:pStyle w:val="FootnoteText"/>
        <w:rPr>
          <w:rStyle w:val="AERtextsize8"/>
        </w:rPr>
      </w:pPr>
      <w:r>
        <w:rPr>
          <w:rStyle w:val="FootnoteReference"/>
        </w:rPr>
        <w:footnoteRef/>
      </w:r>
      <w:r>
        <w:t xml:space="preserve"> </w:t>
      </w:r>
      <w:r>
        <w:tab/>
        <w:t xml:space="preserve">AER, </w:t>
      </w:r>
      <w:r>
        <w:rPr>
          <w:rStyle w:val="AERtextitalic"/>
        </w:rPr>
        <w:t>SP AusNet access arrangement - Part B Reference tariffs and reference tariff policy</w:t>
      </w:r>
      <w:r>
        <w:rPr>
          <w:rStyle w:val="AERtextsize8"/>
        </w:rPr>
        <w:t>, 29 April 2013, p. 25, clause 6.4(b)(3).</w:t>
      </w:r>
    </w:p>
  </w:footnote>
  <w:footnote w:id="12">
    <w:p w:rsidR="00D7593A" w:rsidRDefault="00D7593A">
      <w:pPr>
        <w:pStyle w:val="FootnoteText"/>
      </w:pPr>
      <w:r>
        <w:rPr>
          <w:rStyle w:val="FootnoteReference"/>
        </w:rPr>
        <w:footnoteRef/>
      </w:r>
      <w:r>
        <w:t xml:space="preserve"> </w:t>
      </w:r>
      <w:r>
        <w:tab/>
        <w:t xml:space="preserve">AER, </w:t>
      </w:r>
      <w:r>
        <w:rPr>
          <w:rStyle w:val="AERtextitalic"/>
        </w:rPr>
        <w:t>SP AusNet access arrangement - Part B Reference tariffs and reference tariff policy</w:t>
      </w:r>
      <w:r>
        <w:rPr>
          <w:rStyle w:val="AERtextsize8"/>
        </w:rPr>
        <w:t>, 29 April 2013, p. 25, clause 6.4(b)(6).</w:t>
      </w:r>
    </w:p>
  </w:footnote>
  <w:footnote w:id="13">
    <w:p w:rsidR="00D7593A" w:rsidRDefault="00D7593A">
      <w:pPr>
        <w:pStyle w:val="FootnoteText"/>
      </w:pPr>
      <w:r>
        <w:rPr>
          <w:rStyle w:val="FootnoteReference"/>
        </w:rPr>
        <w:footnoteRef/>
      </w:r>
      <w:r>
        <w:t xml:space="preserve"> </w:t>
      </w:r>
      <w:r>
        <w:tab/>
        <w:t xml:space="preserve">AusNet Services, </w:t>
      </w:r>
      <w:r w:rsidRPr="00400ACD">
        <w:rPr>
          <w:rStyle w:val="AERtextitalic"/>
        </w:rPr>
        <w:t>IR#1</w:t>
      </w:r>
      <w:r>
        <w:rPr>
          <w:rStyle w:val="AERtextitalic"/>
        </w:rPr>
        <w:t>4 - Base opex and ECM - Response to Q2 and Q3</w:t>
      </w:r>
      <w:r>
        <w:t>, 11 April 2017, p. 3.</w:t>
      </w:r>
    </w:p>
  </w:footnote>
  <w:footnote w:id="14">
    <w:p w:rsidR="00D7593A" w:rsidRDefault="00D7593A">
      <w:pPr>
        <w:pStyle w:val="FootnoteText"/>
      </w:pPr>
      <w:r>
        <w:rPr>
          <w:rStyle w:val="FootnoteReference"/>
        </w:rPr>
        <w:footnoteRef/>
      </w:r>
      <w:r>
        <w:t xml:space="preserve"> </w:t>
      </w:r>
      <w:r>
        <w:tab/>
        <w:t xml:space="preserve">AER, </w:t>
      </w:r>
      <w:r>
        <w:rPr>
          <w:rStyle w:val="AERtextitalic"/>
        </w:rPr>
        <w:t>SP AusNet access arrangement - Part B Reference tariffs and reference tariff policy</w:t>
      </w:r>
      <w:r>
        <w:rPr>
          <w:rStyle w:val="AERtextsize8"/>
        </w:rPr>
        <w:t xml:space="preserve">, 29 April 2013, p. 25, clause </w:t>
      </w:r>
      <w:r>
        <w:t>6.4(b)(8)(f).</w:t>
      </w:r>
    </w:p>
  </w:footnote>
  <w:footnote w:id="15">
    <w:p w:rsidR="00D7593A" w:rsidRDefault="00D7593A">
      <w:pPr>
        <w:pStyle w:val="FootnoteText"/>
      </w:pPr>
      <w:r>
        <w:rPr>
          <w:rStyle w:val="FootnoteReference"/>
        </w:rPr>
        <w:footnoteRef/>
      </w:r>
      <w:r>
        <w:t xml:space="preserve"> </w:t>
      </w:r>
      <w:r>
        <w:tab/>
        <w:t xml:space="preserve">AusNet Services, </w:t>
      </w:r>
      <w:r w:rsidRPr="00400ACD">
        <w:rPr>
          <w:rStyle w:val="AERtextitalic"/>
        </w:rPr>
        <w:t>IR#1</w:t>
      </w:r>
      <w:r>
        <w:rPr>
          <w:rStyle w:val="AERtextitalic"/>
        </w:rPr>
        <w:t>4- Base opex and ECM --Response to Q1</w:t>
      </w:r>
      <w:r>
        <w:t>, 13 April 2017, pp. 2–3.</w:t>
      </w:r>
    </w:p>
  </w:footnote>
  <w:footnote w:id="16">
    <w:p w:rsidR="00D7593A" w:rsidRDefault="00D7593A">
      <w:pPr>
        <w:pStyle w:val="FootnoteText"/>
      </w:pPr>
      <w:r>
        <w:rPr>
          <w:rStyle w:val="FootnoteReference"/>
        </w:rPr>
        <w:footnoteRef/>
      </w:r>
      <w:r>
        <w:t xml:space="preserve"> </w:t>
      </w:r>
      <w:r>
        <w:tab/>
        <w:t xml:space="preserve">AER, </w:t>
      </w:r>
      <w:r>
        <w:rPr>
          <w:rStyle w:val="AERtextitalic"/>
        </w:rPr>
        <w:t>SP AusNet access arrangement - Part B Reference tariffs and reference tariff policy</w:t>
      </w:r>
      <w:r>
        <w:rPr>
          <w:rStyle w:val="AERtextsize8"/>
        </w:rPr>
        <w:t xml:space="preserve">, 29 April 2013, p. 25, clause </w:t>
      </w:r>
      <w:r>
        <w:t>6.4(b)(8)(d).</w:t>
      </w:r>
    </w:p>
  </w:footnote>
  <w:footnote w:id="17">
    <w:p w:rsidR="00D7593A" w:rsidRDefault="00D7593A">
      <w:pPr>
        <w:pStyle w:val="FootnoteText"/>
      </w:pPr>
      <w:r>
        <w:rPr>
          <w:rStyle w:val="FootnoteReference"/>
        </w:rPr>
        <w:footnoteRef/>
      </w:r>
      <w:r>
        <w:t xml:space="preserve"> </w:t>
      </w:r>
      <w:r>
        <w:tab/>
        <w:t xml:space="preserve">AusNet Services, </w:t>
      </w:r>
      <w:r w:rsidRPr="00400ACD">
        <w:rPr>
          <w:rStyle w:val="AERtextitalic"/>
        </w:rPr>
        <w:t xml:space="preserve">IR #14- </w:t>
      </w:r>
      <w:r>
        <w:rPr>
          <w:rStyle w:val="AERtextitalic"/>
        </w:rPr>
        <w:t xml:space="preserve">Base opex and ECM - </w:t>
      </w:r>
      <w:r w:rsidRPr="00400ACD">
        <w:rPr>
          <w:rStyle w:val="AERtextitalic"/>
        </w:rPr>
        <w:t>Response</w:t>
      </w:r>
      <w:r>
        <w:rPr>
          <w:rStyle w:val="AERtextitalic"/>
        </w:rPr>
        <w:t xml:space="preserve"> to Q2 and Q3, </w:t>
      </w:r>
      <w:r>
        <w:t>11 April 2017, p. 2.</w:t>
      </w:r>
    </w:p>
  </w:footnote>
  <w:footnote w:id="18">
    <w:p w:rsidR="00D7593A" w:rsidRDefault="00D7593A">
      <w:pPr>
        <w:pStyle w:val="FootnoteText"/>
      </w:pPr>
      <w:r>
        <w:rPr>
          <w:rStyle w:val="FootnoteReference"/>
        </w:rPr>
        <w:footnoteRef/>
      </w:r>
      <w:r>
        <w:t xml:space="preserve"> </w:t>
      </w:r>
      <w:r>
        <w:tab/>
        <w:t xml:space="preserve">AusNet Services, </w:t>
      </w:r>
      <w:r w:rsidRPr="00400ACD">
        <w:rPr>
          <w:rStyle w:val="AERtextitalic"/>
        </w:rPr>
        <w:t xml:space="preserve">IR #14- </w:t>
      </w:r>
      <w:r>
        <w:rPr>
          <w:rStyle w:val="AERtextitalic"/>
        </w:rPr>
        <w:t xml:space="preserve">Base opex and ECM - </w:t>
      </w:r>
      <w:r w:rsidRPr="00400ACD">
        <w:rPr>
          <w:rStyle w:val="AERtextitalic"/>
        </w:rPr>
        <w:t>Response</w:t>
      </w:r>
      <w:r>
        <w:rPr>
          <w:rStyle w:val="AERtextitalic"/>
        </w:rPr>
        <w:t xml:space="preserve"> to Q2 and Q3, </w:t>
      </w:r>
      <w:r>
        <w:t>11 April 2017, p. 2.</w:t>
      </w:r>
    </w:p>
  </w:footnote>
  <w:footnote w:id="19">
    <w:p w:rsidR="00D7593A" w:rsidRDefault="00D7593A" w:rsidP="009A10DC">
      <w:pPr>
        <w:pStyle w:val="FootnoteText"/>
      </w:pPr>
      <w:r>
        <w:rPr>
          <w:rStyle w:val="FootnoteReference"/>
        </w:rPr>
        <w:footnoteRef/>
      </w:r>
      <w:r>
        <w:t xml:space="preserve"> </w:t>
      </w:r>
      <w:r>
        <w:tab/>
        <w:t xml:space="preserve">AER, </w:t>
      </w:r>
      <w:r>
        <w:rPr>
          <w:rStyle w:val="AERtextitalic"/>
        </w:rPr>
        <w:t>SP AusNet access arrangement - Part B Reference tariffs and reference tariff policy</w:t>
      </w:r>
      <w:r>
        <w:rPr>
          <w:rStyle w:val="AERtextsize8"/>
        </w:rPr>
        <w:t xml:space="preserve">, 29 April 2013, p. 25, clause </w:t>
      </w:r>
      <w:r>
        <w:t>6.4(b)(8)(c).</w:t>
      </w:r>
    </w:p>
  </w:footnote>
  <w:footnote w:id="20">
    <w:p w:rsidR="00D7593A" w:rsidRDefault="00D7593A" w:rsidP="009A10DC">
      <w:pPr>
        <w:pStyle w:val="FootnoteText"/>
      </w:pPr>
      <w:r>
        <w:rPr>
          <w:rStyle w:val="FootnoteReference"/>
        </w:rPr>
        <w:footnoteRef/>
      </w:r>
      <w:r>
        <w:t xml:space="preserve"> </w:t>
      </w:r>
      <w:r>
        <w:tab/>
        <w:t xml:space="preserve">AusNet Services, </w:t>
      </w:r>
      <w:r w:rsidRPr="009A10DC">
        <w:rPr>
          <w:rStyle w:val="AERtextitalic"/>
        </w:rPr>
        <w:t>Access arrangement information</w:t>
      </w:r>
      <w:r>
        <w:rPr>
          <w:rStyle w:val="AERtextitalic"/>
        </w:rPr>
        <w:t xml:space="preserve"> 2018–2022</w:t>
      </w:r>
      <w:r>
        <w:t xml:space="preserve">, </w:t>
      </w:r>
      <w:r w:rsidRPr="009A10DC">
        <w:t>16 December 2016</w:t>
      </w:r>
      <w:r>
        <w:t>,</w:t>
      </w:r>
      <w:r w:rsidRPr="009A10DC">
        <w:t xml:space="preserve"> </w:t>
      </w:r>
      <w:r>
        <w:t>p. 266.</w:t>
      </w:r>
    </w:p>
  </w:footnote>
  <w:footnote w:id="21">
    <w:p w:rsidR="00D7593A" w:rsidRDefault="00D7593A">
      <w:pPr>
        <w:pStyle w:val="FootnoteText"/>
      </w:pPr>
      <w:r>
        <w:rPr>
          <w:rStyle w:val="FootnoteReference"/>
        </w:rPr>
        <w:footnoteRef/>
      </w:r>
      <w:r>
        <w:t xml:space="preserve"> </w:t>
      </w:r>
      <w:r>
        <w:tab/>
        <w:t xml:space="preserve">AusNet Services, </w:t>
      </w:r>
      <w:r w:rsidRPr="007F76F9">
        <w:rPr>
          <w:rStyle w:val="AERtextitalic"/>
        </w:rPr>
        <w:t>IR#17</w:t>
      </w:r>
      <w:r>
        <w:rPr>
          <w:rStyle w:val="AERtextitalic"/>
        </w:rPr>
        <w:t>- Opex UAFG- Response,</w:t>
      </w:r>
      <w:r>
        <w:t xml:space="preserve"> 10 May 2017, p. 1.</w:t>
      </w:r>
    </w:p>
  </w:footnote>
  <w:footnote w:id="22">
    <w:p w:rsidR="00D7593A" w:rsidRDefault="00D7593A" w:rsidP="00441A69">
      <w:pPr>
        <w:pStyle w:val="FootnoteText"/>
      </w:pPr>
      <w:r>
        <w:rPr>
          <w:rStyle w:val="FootnoteReference"/>
        </w:rPr>
        <w:footnoteRef/>
      </w:r>
      <w:r>
        <w:t xml:space="preserve"> </w:t>
      </w:r>
      <w:r>
        <w:tab/>
        <w:t xml:space="preserve">AER, </w:t>
      </w:r>
      <w:r>
        <w:rPr>
          <w:rStyle w:val="AERtextitalic"/>
        </w:rPr>
        <w:t>SP AusNet access arrangement - Part B Reference tariffs and reference tariff policy</w:t>
      </w:r>
      <w:r>
        <w:rPr>
          <w:rStyle w:val="AERtextsize8"/>
        </w:rPr>
        <w:t xml:space="preserve">, 29 April 2013, p. 26, clause </w:t>
      </w:r>
      <w:r>
        <w:t>6.4(b)(9).</w:t>
      </w:r>
    </w:p>
  </w:footnote>
  <w:footnote w:id="23">
    <w:p w:rsidR="00D7593A" w:rsidRDefault="00D7593A" w:rsidP="00654D7C">
      <w:pPr>
        <w:pStyle w:val="FootnoteText"/>
      </w:pPr>
      <w:r>
        <w:rPr>
          <w:rStyle w:val="FootnoteReference"/>
        </w:rPr>
        <w:footnoteRef/>
      </w:r>
      <w:r>
        <w:t xml:space="preserve"> </w:t>
      </w:r>
      <w:r>
        <w:tab/>
        <w:t>AER,</w:t>
      </w:r>
      <w:r w:rsidRPr="000501E8">
        <w:t xml:space="preserve"> </w:t>
      </w:r>
      <w:r w:rsidRPr="002776CB">
        <w:rPr>
          <w:rStyle w:val="AERtextitalic"/>
        </w:rPr>
        <w:t>Efficiency Benefit Sharing Scheme for Electricity Network Service Providers</w:t>
      </w:r>
      <w:r>
        <w:t>, November 2013.</w:t>
      </w:r>
    </w:p>
  </w:footnote>
  <w:footnote w:id="24">
    <w:p w:rsidR="00D7593A" w:rsidRDefault="00D7593A">
      <w:pPr>
        <w:pStyle w:val="FootnoteText"/>
      </w:pPr>
      <w:r>
        <w:rPr>
          <w:rStyle w:val="FootnoteReference"/>
        </w:rPr>
        <w:footnoteRef/>
      </w:r>
      <w:r>
        <w:t xml:space="preserve"> </w:t>
      </w:r>
      <w:r>
        <w:tab/>
      </w:r>
      <w:r w:rsidRPr="00E94AC3">
        <w:t xml:space="preserve">AusNet Services, </w:t>
      </w:r>
      <w:r w:rsidRPr="00E94AC3">
        <w:rPr>
          <w:rStyle w:val="AERtextitalic"/>
        </w:rPr>
        <w:t>Access arrangement proposal</w:t>
      </w:r>
      <w:r w:rsidRPr="00CC341A">
        <w:rPr>
          <w:rStyle w:val="AERtextitalic"/>
        </w:rPr>
        <w:t xml:space="preserve"> </w:t>
      </w:r>
      <w:r w:rsidRPr="00220159">
        <w:rPr>
          <w:rStyle w:val="AERtextitalic"/>
        </w:rPr>
        <w:t>Part B Reference tariffs and reference tariff policy</w:t>
      </w:r>
      <w:r w:rsidRPr="00E94AC3">
        <w:t>, 16 December 2016, p</w:t>
      </w:r>
      <w:r>
        <w:t>p</w:t>
      </w:r>
      <w:r w:rsidRPr="00E94AC3">
        <w:t>. 2</w:t>
      </w:r>
      <w:r>
        <w:t>3-25</w:t>
      </w:r>
      <w:r w:rsidRPr="00E94AC3">
        <w:t>.</w:t>
      </w:r>
    </w:p>
  </w:footnote>
  <w:footnote w:id="25">
    <w:p w:rsidR="00D7593A" w:rsidRDefault="00D7593A">
      <w:pPr>
        <w:pStyle w:val="FootnoteText"/>
      </w:pPr>
      <w:r>
        <w:rPr>
          <w:rStyle w:val="FootnoteReference"/>
        </w:rPr>
        <w:footnoteRef/>
      </w:r>
      <w:r>
        <w:t xml:space="preserve"> </w:t>
      </w:r>
      <w:r>
        <w:tab/>
        <w:t xml:space="preserve">AusNet Services, </w:t>
      </w:r>
      <w:r>
        <w:rPr>
          <w:rStyle w:val="AERtextitalic"/>
        </w:rPr>
        <w:t>Access arrangement</w:t>
      </w:r>
      <w:r w:rsidRPr="00FE6880">
        <w:rPr>
          <w:rStyle w:val="AERtextitalic"/>
        </w:rPr>
        <w:t xml:space="preserve"> proposal</w:t>
      </w:r>
      <w:r>
        <w:t xml:space="preserve"> </w:t>
      </w:r>
      <w:r w:rsidRPr="00220159">
        <w:rPr>
          <w:rStyle w:val="AERtextitalic"/>
        </w:rPr>
        <w:t>Part B Reference tariffs and reference tariff policy</w:t>
      </w:r>
      <w:r>
        <w:t>, 16 December 2016, 16 December 2016, p. 23, clause 6.4.2(a).</w:t>
      </w:r>
    </w:p>
  </w:footnote>
  <w:footnote w:id="26">
    <w:p w:rsidR="00D7593A" w:rsidRDefault="00D7593A">
      <w:pPr>
        <w:pStyle w:val="FootnoteText"/>
      </w:pPr>
      <w:r>
        <w:rPr>
          <w:rStyle w:val="FootnoteReference"/>
        </w:rPr>
        <w:footnoteRef/>
      </w:r>
      <w:r>
        <w:t xml:space="preserve"> </w:t>
      </w:r>
      <w:r>
        <w:tab/>
        <w:t xml:space="preserve">AusNet Services, </w:t>
      </w:r>
      <w:r>
        <w:rPr>
          <w:rStyle w:val="AERtextitalic"/>
        </w:rPr>
        <w:t>Access arrangement</w:t>
      </w:r>
      <w:r w:rsidRPr="00FE6880">
        <w:rPr>
          <w:rStyle w:val="AERtextitalic"/>
        </w:rPr>
        <w:t xml:space="preserve"> proposal</w:t>
      </w:r>
      <w:r>
        <w:t xml:space="preserve"> </w:t>
      </w:r>
      <w:r w:rsidRPr="00220159">
        <w:rPr>
          <w:rStyle w:val="AERtextitalic"/>
        </w:rPr>
        <w:t>Part B Reference tariffs and reference tariff policy</w:t>
      </w:r>
      <w:r>
        <w:t>, 16 December 2016, 16 December 2016, p. 24, clause 6.4.2(c).</w:t>
      </w:r>
    </w:p>
  </w:footnote>
  <w:footnote w:id="27">
    <w:p w:rsidR="00D7593A" w:rsidRDefault="00D7593A" w:rsidP="000D1488">
      <w:pPr>
        <w:pStyle w:val="FootnoteText"/>
      </w:pPr>
      <w:r>
        <w:rPr>
          <w:rStyle w:val="FootnoteReference"/>
        </w:rPr>
        <w:footnoteRef/>
      </w:r>
      <w:r>
        <w:t xml:space="preserve"> </w:t>
      </w:r>
      <w:r>
        <w:tab/>
      </w:r>
      <w:proofErr w:type="gramStart"/>
      <w:r>
        <w:t xml:space="preserve">AER, </w:t>
      </w:r>
      <w:r w:rsidRPr="00A049C4">
        <w:rPr>
          <w:rStyle w:val="AERtextitalic"/>
        </w:rPr>
        <w:t>Efficient Benefit Sharing Scheme for Electricity Network Service Providers</w:t>
      </w:r>
      <w:r>
        <w:t>, November 2013, pp. 7-9.</w:t>
      </w:r>
      <w:proofErr w:type="gramEnd"/>
    </w:p>
  </w:footnote>
  <w:footnote w:id="28">
    <w:p w:rsidR="00D7593A" w:rsidRDefault="00D7593A">
      <w:pPr>
        <w:pStyle w:val="FootnoteText"/>
      </w:pPr>
      <w:r>
        <w:rPr>
          <w:rStyle w:val="FootnoteReference"/>
        </w:rPr>
        <w:footnoteRef/>
      </w:r>
      <w:r>
        <w:t xml:space="preserve"> </w:t>
      </w:r>
      <w:r>
        <w:tab/>
      </w:r>
      <w:r w:rsidRPr="00C73CEC">
        <w:t xml:space="preserve">The exclusion and adjustments </w:t>
      </w:r>
      <w:r>
        <w:t>AusNet</w:t>
      </w:r>
      <w:r w:rsidRPr="00C73CEC">
        <w:t xml:space="preserve"> proposed were different in its access arrangement information compared to those it proposed in the access arrangement itself. We have considered all of them, regardless of the document AusNet proposed them in.</w:t>
      </w:r>
      <w:r>
        <w:t xml:space="preserve"> </w:t>
      </w:r>
      <w:r w:rsidRPr="00E94AC3">
        <w:t xml:space="preserve">AusNet Services, </w:t>
      </w:r>
      <w:r w:rsidRPr="00E94AC3">
        <w:rPr>
          <w:rStyle w:val="AERtextitalic"/>
        </w:rPr>
        <w:t>Access arrangement proposal</w:t>
      </w:r>
      <w:r>
        <w:t xml:space="preserve"> </w:t>
      </w:r>
      <w:r w:rsidRPr="00220159">
        <w:rPr>
          <w:rStyle w:val="AERtextitalic"/>
        </w:rPr>
        <w:t>Part B Reference tariffs and reference tariff policy</w:t>
      </w:r>
      <w:r w:rsidRPr="00E94AC3">
        <w:t>, 16 December 2016, p</w:t>
      </w:r>
      <w:r>
        <w:t>p</w:t>
      </w:r>
      <w:r w:rsidRPr="00E94AC3">
        <w:t>. 2</w:t>
      </w:r>
      <w:r>
        <w:t>3-25</w:t>
      </w:r>
      <w:r w:rsidRPr="00E94AC3">
        <w:t>.</w:t>
      </w:r>
    </w:p>
  </w:footnote>
  <w:footnote w:id="29">
    <w:p w:rsidR="00D7593A" w:rsidRDefault="00D7593A" w:rsidP="00B2340A">
      <w:pPr>
        <w:pStyle w:val="FootnoteText"/>
      </w:pPr>
      <w:r>
        <w:rPr>
          <w:rStyle w:val="FootnoteReference"/>
        </w:rPr>
        <w:footnoteRef/>
      </w:r>
      <w:r>
        <w:t xml:space="preserve"> </w:t>
      </w:r>
      <w:r>
        <w:tab/>
      </w:r>
      <w:proofErr w:type="gramStart"/>
      <w:r>
        <w:t xml:space="preserve">AER, </w:t>
      </w:r>
      <w:r>
        <w:rPr>
          <w:rStyle w:val="AERtextitalic"/>
        </w:rPr>
        <w:t>SP AusNet access arrangement - Part B Reference tariffs and reference tariff policy</w:t>
      </w:r>
      <w:r>
        <w:rPr>
          <w:rStyle w:val="AERtextsize8"/>
        </w:rPr>
        <w:t>, 29 April 2013, pp. 9-10 and 13-14.</w:t>
      </w:r>
      <w:proofErr w:type="gramEnd"/>
    </w:p>
  </w:footnote>
  <w:footnote w:id="30">
    <w:p w:rsidR="00D7593A" w:rsidRDefault="00D7593A" w:rsidP="00B2340A">
      <w:pPr>
        <w:pStyle w:val="FootnoteText"/>
      </w:pPr>
      <w:r>
        <w:rPr>
          <w:rStyle w:val="FootnoteReference"/>
        </w:rPr>
        <w:footnoteRef/>
      </w:r>
      <w:r>
        <w:t xml:space="preserve"> </w:t>
      </w:r>
      <w:r>
        <w:tab/>
        <w:t xml:space="preserve">AusNet Services, </w:t>
      </w:r>
      <w:r w:rsidRPr="00400ACD">
        <w:rPr>
          <w:rStyle w:val="AERtextitalic"/>
        </w:rPr>
        <w:t>IR #14</w:t>
      </w:r>
      <w:r>
        <w:rPr>
          <w:rStyle w:val="AERtextitalic"/>
        </w:rPr>
        <w:t>- Base opex and ECM</w:t>
      </w:r>
      <w:r w:rsidRPr="00400ACD">
        <w:rPr>
          <w:rStyle w:val="AERtextitalic"/>
        </w:rPr>
        <w:t>- Response</w:t>
      </w:r>
      <w:r>
        <w:rPr>
          <w:rStyle w:val="AERtextitalic"/>
        </w:rPr>
        <w:t xml:space="preserve"> to Q2 and Q3, </w:t>
      </w:r>
      <w:r>
        <w:t xml:space="preserve">11 April 2017, p. 2. </w:t>
      </w:r>
    </w:p>
  </w:footnote>
  <w:footnote w:id="31">
    <w:p w:rsidR="00D7593A" w:rsidRDefault="00D7593A">
      <w:pPr>
        <w:pStyle w:val="FootnoteText"/>
      </w:pPr>
      <w:r>
        <w:rPr>
          <w:rStyle w:val="FootnoteReference"/>
        </w:rPr>
        <w:footnoteRef/>
      </w:r>
      <w:r>
        <w:t xml:space="preserve"> </w:t>
      </w:r>
      <w:r>
        <w:tab/>
        <w:t>As discussed above, even though AusNet Services had this provision in its previous access arrangement, it did not make the required adjustment to forecast opex to account for actual change in scale.</w:t>
      </w:r>
    </w:p>
  </w:footnote>
  <w:footnote w:id="32">
    <w:p w:rsidR="00D7593A" w:rsidRDefault="00D7593A">
      <w:pPr>
        <w:pStyle w:val="FootnoteText"/>
      </w:pPr>
      <w:r>
        <w:rPr>
          <w:rStyle w:val="FootnoteReference"/>
        </w:rPr>
        <w:footnoteRef/>
      </w:r>
      <w:r>
        <w:t xml:space="preserve"> </w:t>
      </w:r>
      <w:r>
        <w:tab/>
      </w:r>
      <w:proofErr w:type="gramStart"/>
      <w:r>
        <w:t>NGL, s. 24(3).</w:t>
      </w:r>
      <w:proofErr w:type="gramEnd"/>
    </w:p>
  </w:footnote>
  <w:footnote w:id="33">
    <w:p w:rsidR="00D7593A" w:rsidRDefault="00D7593A">
      <w:pPr>
        <w:pStyle w:val="FootnoteText"/>
      </w:pPr>
      <w:r>
        <w:rPr>
          <w:rStyle w:val="FootnoteReference"/>
        </w:rPr>
        <w:footnoteRef/>
      </w:r>
      <w:r>
        <w:t xml:space="preserve"> </w:t>
      </w:r>
      <w:r>
        <w:tab/>
      </w:r>
      <w:r w:rsidR="007A4E36">
        <w:t xml:space="preserve">AusNet Services, </w:t>
      </w:r>
      <w:r w:rsidR="007A4E36" w:rsidRPr="009A10DC">
        <w:rPr>
          <w:rStyle w:val="AERtextitalic"/>
        </w:rPr>
        <w:t>Access arrangement information</w:t>
      </w:r>
      <w:r w:rsidR="007A4E36">
        <w:rPr>
          <w:rStyle w:val="AERtextitalic"/>
        </w:rPr>
        <w:t xml:space="preserve"> 2018–2022</w:t>
      </w:r>
      <w:r w:rsidR="007A4E36">
        <w:t xml:space="preserve">, </w:t>
      </w:r>
      <w:r w:rsidR="007A4E36" w:rsidRPr="009A10DC">
        <w:t>16 December 2016</w:t>
      </w:r>
      <w:r w:rsidR="007A4E36">
        <w:t>,</w:t>
      </w:r>
      <w:r w:rsidR="007A4E36" w:rsidRPr="009A10DC">
        <w:t xml:space="preserve"> </w:t>
      </w:r>
      <w:r w:rsidR="007A4E36">
        <w:t>p. 305.</w:t>
      </w:r>
    </w:p>
  </w:footnote>
  <w:footnote w:id="34">
    <w:p w:rsidR="007A4E36" w:rsidRDefault="007A4E36">
      <w:pPr>
        <w:pStyle w:val="FootnoteText"/>
      </w:pPr>
      <w:r>
        <w:rPr>
          <w:rStyle w:val="FootnoteReference"/>
        </w:rPr>
        <w:footnoteRef/>
      </w:r>
      <w:r>
        <w:t xml:space="preserve"> </w:t>
      </w:r>
      <w:r>
        <w:tab/>
        <w:t xml:space="preserve">AusNet Services, </w:t>
      </w:r>
      <w:r w:rsidRPr="009A10DC">
        <w:rPr>
          <w:rStyle w:val="AERtextitalic"/>
        </w:rPr>
        <w:t>Access arrangement information</w:t>
      </w:r>
      <w:r>
        <w:rPr>
          <w:rStyle w:val="AERtextitalic"/>
        </w:rPr>
        <w:t xml:space="preserve"> 2018–2022</w:t>
      </w:r>
      <w:r>
        <w:t xml:space="preserve">, </w:t>
      </w:r>
      <w:r w:rsidRPr="009A10DC">
        <w:t>16 December 2016</w:t>
      </w:r>
      <w:r>
        <w:t>,</w:t>
      </w:r>
      <w:r w:rsidRPr="009A10DC">
        <w:t xml:space="preserve"> </w:t>
      </w:r>
      <w:r>
        <w:t>p. 306.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93A" w:rsidRDefault="00D759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E12AA250"/>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8"/>
    <w:lvlOverride w:ilvl="0">
      <w:startOverride w:val="1"/>
    </w:lvlOverride>
  </w:num>
  <w:num w:numId="37">
    <w:abstractNumId w:val="2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gyJD0vpSRUyED5OOmZSg1FdIcFjljRqoQNJJ7OXso7k=" w:saltValue="DJoWXK5ViEwx1++DDh4YZw==" w:algorithmName="SHA-256"/>
  <w:defaultTabStop w:val="340"/>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3EA4"/>
    <w:rsid w:val="000051DC"/>
    <w:rsid w:val="0000658F"/>
    <w:rsid w:val="0001507B"/>
    <w:rsid w:val="00020016"/>
    <w:rsid w:val="0002018A"/>
    <w:rsid w:val="00021202"/>
    <w:rsid w:val="00021C2B"/>
    <w:rsid w:val="0002498B"/>
    <w:rsid w:val="0002517F"/>
    <w:rsid w:val="00026187"/>
    <w:rsid w:val="000266FC"/>
    <w:rsid w:val="000273B3"/>
    <w:rsid w:val="00027E2D"/>
    <w:rsid w:val="0003578C"/>
    <w:rsid w:val="00044036"/>
    <w:rsid w:val="000448A3"/>
    <w:rsid w:val="00044DA3"/>
    <w:rsid w:val="000474DF"/>
    <w:rsid w:val="00047755"/>
    <w:rsid w:val="000508C5"/>
    <w:rsid w:val="00055A67"/>
    <w:rsid w:val="00062757"/>
    <w:rsid w:val="00063247"/>
    <w:rsid w:val="0006624E"/>
    <w:rsid w:val="00070F9F"/>
    <w:rsid w:val="0007137B"/>
    <w:rsid w:val="00073B74"/>
    <w:rsid w:val="00076416"/>
    <w:rsid w:val="00080489"/>
    <w:rsid w:val="000805A8"/>
    <w:rsid w:val="0008190B"/>
    <w:rsid w:val="000836D9"/>
    <w:rsid w:val="00085663"/>
    <w:rsid w:val="00085EBF"/>
    <w:rsid w:val="00087F12"/>
    <w:rsid w:val="0009052F"/>
    <w:rsid w:val="00091B15"/>
    <w:rsid w:val="000947CD"/>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1488"/>
    <w:rsid w:val="000D14A6"/>
    <w:rsid w:val="000D75B0"/>
    <w:rsid w:val="000E1819"/>
    <w:rsid w:val="000E35B9"/>
    <w:rsid w:val="000E4821"/>
    <w:rsid w:val="000E4AA9"/>
    <w:rsid w:val="000E633E"/>
    <w:rsid w:val="000E6C72"/>
    <w:rsid w:val="000E7F39"/>
    <w:rsid w:val="000F477B"/>
    <w:rsid w:val="00100EA2"/>
    <w:rsid w:val="00101AA1"/>
    <w:rsid w:val="00102338"/>
    <w:rsid w:val="00104566"/>
    <w:rsid w:val="00104FF6"/>
    <w:rsid w:val="001114AA"/>
    <w:rsid w:val="00112684"/>
    <w:rsid w:val="001127DD"/>
    <w:rsid w:val="00114B67"/>
    <w:rsid w:val="00115743"/>
    <w:rsid w:val="00116EB2"/>
    <w:rsid w:val="0012132C"/>
    <w:rsid w:val="00124609"/>
    <w:rsid w:val="00126A4C"/>
    <w:rsid w:val="001270E3"/>
    <w:rsid w:val="00132D43"/>
    <w:rsid w:val="00133366"/>
    <w:rsid w:val="00133F47"/>
    <w:rsid w:val="00134029"/>
    <w:rsid w:val="00137951"/>
    <w:rsid w:val="00142C2D"/>
    <w:rsid w:val="00144C96"/>
    <w:rsid w:val="0014573B"/>
    <w:rsid w:val="001463A3"/>
    <w:rsid w:val="0015073A"/>
    <w:rsid w:val="001509F5"/>
    <w:rsid w:val="001573E4"/>
    <w:rsid w:val="00160756"/>
    <w:rsid w:val="0016075D"/>
    <w:rsid w:val="00161DC8"/>
    <w:rsid w:val="00166760"/>
    <w:rsid w:val="0017232E"/>
    <w:rsid w:val="00174102"/>
    <w:rsid w:val="001754EE"/>
    <w:rsid w:val="00180157"/>
    <w:rsid w:val="001809BC"/>
    <w:rsid w:val="00180E97"/>
    <w:rsid w:val="001820B4"/>
    <w:rsid w:val="0018424E"/>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C38A6"/>
    <w:rsid w:val="001D055E"/>
    <w:rsid w:val="001E0C7D"/>
    <w:rsid w:val="001E1B3F"/>
    <w:rsid w:val="001E283F"/>
    <w:rsid w:val="001E7161"/>
    <w:rsid w:val="001F05A4"/>
    <w:rsid w:val="001F3D4A"/>
    <w:rsid w:val="001F492E"/>
    <w:rsid w:val="001F64EF"/>
    <w:rsid w:val="001F6DA3"/>
    <w:rsid w:val="002010BC"/>
    <w:rsid w:val="002016E7"/>
    <w:rsid w:val="00202E03"/>
    <w:rsid w:val="002033B9"/>
    <w:rsid w:val="002036E0"/>
    <w:rsid w:val="002043D0"/>
    <w:rsid w:val="002046F1"/>
    <w:rsid w:val="0020492C"/>
    <w:rsid w:val="00204EC9"/>
    <w:rsid w:val="00206505"/>
    <w:rsid w:val="0020743F"/>
    <w:rsid w:val="00216C93"/>
    <w:rsid w:val="00220159"/>
    <w:rsid w:val="00223051"/>
    <w:rsid w:val="00224DB9"/>
    <w:rsid w:val="0022569A"/>
    <w:rsid w:val="0023005C"/>
    <w:rsid w:val="00231012"/>
    <w:rsid w:val="00233775"/>
    <w:rsid w:val="0023414B"/>
    <w:rsid w:val="002429C0"/>
    <w:rsid w:val="00243635"/>
    <w:rsid w:val="00247079"/>
    <w:rsid w:val="00250425"/>
    <w:rsid w:val="00251745"/>
    <w:rsid w:val="002552BA"/>
    <w:rsid w:val="00260016"/>
    <w:rsid w:val="0026005C"/>
    <w:rsid w:val="00263AC0"/>
    <w:rsid w:val="00264264"/>
    <w:rsid w:val="0026689B"/>
    <w:rsid w:val="0026772D"/>
    <w:rsid w:val="002730B2"/>
    <w:rsid w:val="00274C7E"/>
    <w:rsid w:val="002777CF"/>
    <w:rsid w:val="002810F2"/>
    <w:rsid w:val="002812CA"/>
    <w:rsid w:val="00284CEB"/>
    <w:rsid w:val="00284E9C"/>
    <w:rsid w:val="00286874"/>
    <w:rsid w:val="00290C63"/>
    <w:rsid w:val="00291A99"/>
    <w:rsid w:val="00293769"/>
    <w:rsid w:val="00293B6D"/>
    <w:rsid w:val="00294B08"/>
    <w:rsid w:val="0029518C"/>
    <w:rsid w:val="002963DD"/>
    <w:rsid w:val="00296B65"/>
    <w:rsid w:val="002A7DEF"/>
    <w:rsid w:val="002B0696"/>
    <w:rsid w:val="002B2735"/>
    <w:rsid w:val="002B630D"/>
    <w:rsid w:val="002C0222"/>
    <w:rsid w:val="002C1499"/>
    <w:rsid w:val="002C233C"/>
    <w:rsid w:val="002C517B"/>
    <w:rsid w:val="002C712D"/>
    <w:rsid w:val="002D3509"/>
    <w:rsid w:val="002D5457"/>
    <w:rsid w:val="002D72E8"/>
    <w:rsid w:val="002D79AD"/>
    <w:rsid w:val="002E268F"/>
    <w:rsid w:val="002E78DD"/>
    <w:rsid w:val="002E7B22"/>
    <w:rsid w:val="002F12EC"/>
    <w:rsid w:val="002F517C"/>
    <w:rsid w:val="002F7986"/>
    <w:rsid w:val="00301B40"/>
    <w:rsid w:val="00301C82"/>
    <w:rsid w:val="003029EE"/>
    <w:rsid w:val="00304D38"/>
    <w:rsid w:val="00305CC8"/>
    <w:rsid w:val="00306259"/>
    <w:rsid w:val="00307F6D"/>
    <w:rsid w:val="0031205E"/>
    <w:rsid w:val="00314BFF"/>
    <w:rsid w:val="00314D83"/>
    <w:rsid w:val="00315516"/>
    <w:rsid w:val="0031571F"/>
    <w:rsid w:val="003177A2"/>
    <w:rsid w:val="00317E02"/>
    <w:rsid w:val="00324FAA"/>
    <w:rsid w:val="003271B5"/>
    <w:rsid w:val="00327A1E"/>
    <w:rsid w:val="00327E28"/>
    <w:rsid w:val="00331264"/>
    <w:rsid w:val="00334C8D"/>
    <w:rsid w:val="0033525A"/>
    <w:rsid w:val="003378BD"/>
    <w:rsid w:val="003424EA"/>
    <w:rsid w:val="00342C2F"/>
    <w:rsid w:val="003436EB"/>
    <w:rsid w:val="00343A18"/>
    <w:rsid w:val="00344EC3"/>
    <w:rsid w:val="00345744"/>
    <w:rsid w:val="003506E5"/>
    <w:rsid w:val="003518B3"/>
    <w:rsid w:val="00353E79"/>
    <w:rsid w:val="00357A85"/>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86FEB"/>
    <w:rsid w:val="00387783"/>
    <w:rsid w:val="00390E6A"/>
    <w:rsid w:val="00393ABE"/>
    <w:rsid w:val="00394F06"/>
    <w:rsid w:val="00395DB6"/>
    <w:rsid w:val="00396CF1"/>
    <w:rsid w:val="00397398"/>
    <w:rsid w:val="003A371A"/>
    <w:rsid w:val="003A59CD"/>
    <w:rsid w:val="003A6B00"/>
    <w:rsid w:val="003B30B2"/>
    <w:rsid w:val="003B484F"/>
    <w:rsid w:val="003B504B"/>
    <w:rsid w:val="003B5179"/>
    <w:rsid w:val="003B685C"/>
    <w:rsid w:val="003B7FBA"/>
    <w:rsid w:val="003C6537"/>
    <w:rsid w:val="003C6A13"/>
    <w:rsid w:val="003C6E30"/>
    <w:rsid w:val="003C764A"/>
    <w:rsid w:val="003C78BA"/>
    <w:rsid w:val="003D41F1"/>
    <w:rsid w:val="003D42AB"/>
    <w:rsid w:val="003D5B94"/>
    <w:rsid w:val="003E08FD"/>
    <w:rsid w:val="003E0D3A"/>
    <w:rsid w:val="003E3630"/>
    <w:rsid w:val="003E3AAB"/>
    <w:rsid w:val="003E4AD5"/>
    <w:rsid w:val="003E5973"/>
    <w:rsid w:val="003E7FE9"/>
    <w:rsid w:val="003F07D4"/>
    <w:rsid w:val="003F174D"/>
    <w:rsid w:val="003F2329"/>
    <w:rsid w:val="003F53CD"/>
    <w:rsid w:val="00400FD2"/>
    <w:rsid w:val="00403711"/>
    <w:rsid w:val="00404C52"/>
    <w:rsid w:val="004118CA"/>
    <w:rsid w:val="004156D5"/>
    <w:rsid w:val="00415BA9"/>
    <w:rsid w:val="00415ED1"/>
    <w:rsid w:val="00415F31"/>
    <w:rsid w:val="0041691D"/>
    <w:rsid w:val="0042000C"/>
    <w:rsid w:val="004202D8"/>
    <w:rsid w:val="0042090E"/>
    <w:rsid w:val="00421F27"/>
    <w:rsid w:val="004222C5"/>
    <w:rsid w:val="004238D8"/>
    <w:rsid w:val="00423A77"/>
    <w:rsid w:val="0043200A"/>
    <w:rsid w:val="004324F4"/>
    <w:rsid w:val="00434544"/>
    <w:rsid w:val="00435073"/>
    <w:rsid w:val="00441A69"/>
    <w:rsid w:val="00445D43"/>
    <w:rsid w:val="00446CD2"/>
    <w:rsid w:val="0045777E"/>
    <w:rsid w:val="00465258"/>
    <w:rsid w:val="004716EA"/>
    <w:rsid w:val="00471BC6"/>
    <w:rsid w:val="00476221"/>
    <w:rsid w:val="004766F5"/>
    <w:rsid w:val="00480B4B"/>
    <w:rsid w:val="00481FC1"/>
    <w:rsid w:val="004838D8"/>
    <w:rsid w:val="00485176"/>
    <w:rsid w:val="00485DC4"/>
    <w:rsid w:val="0048689B"/>
    <w:rsid w:val="00490B7F"/>
    <w:rsid w:val="00494D04"/>
    <w:rsid w:val="00496BA9"/>
    <w:rsid w:val="004A1D50"/>
    <w:rsid w:val="004A40BA"/>
    <w:rsid w:val="004A43D1"/>
    <w:rsid w:val="004A492B"/>
    <w:rsid w:val="004B4412"/>
    <w:rsid w:val="004B7006"/>
    <w:rsid w:val="004C0D7B"/>
    <w:rsid w:val="004C0F6C"/>
    <w:rsid w:val="004C348C"/>
    <w:rsid w:val="004C34FE"/>
    <w:rsid w:val="004C462E"/>
    <w:rsid w:val="004C6CA3"/>
    <w:rsid w:val="004C7D6A"/>
    <w:rsid w:val="004C7F5E"/>
    <w:rsid w:val="004D0FD4"/>
    <w:rsid w:val="004D22AC"/>
    <w:rsid w:val="004D343C"/>
    <w:rsid w:val="004D372A"/>
    <w:rsid w:val="004D55BA"/>
    <w:rsid w:val="004D720C"/>
    <w:rsid w:val="004E0FA7"/>
    <w:rsid w:val="004E22EC"/>
    <w:rsid w:val="004E28DD"/>
    <w:rsid w:val="004E60E0"/>
    <w:rsid w:val="004F0BFA"/>
    <w:rsid w:val="004F13DA"/>
    <w:rsid w:val="004F4D69"/>
    <w:rsid w:val="004F6883"/>
    <w:rsid w:val="004F6A0E"/>
    <w:rsid w:val="004F6BB3"/>
    <w:rsid w:val="005009CD"/>
    <w:rsid w:val="00504E5F"/>
    <w:rsid w:val="005129FE"/>
    <w:rsid w:val="0051337E"/>
    <w:rsid w:val="00513FA7"/>
    <w:rsid w:val="0051768F"/>
    <w:rsid w:val="00522DC2"/>
    <w:rsid w:val="00527BF6"/>
    <w:rsid w:val="00530128"/>
    <w:rsid w:val="00532467"/>
    <w:rsid w:val="005332A9"/>
    <w:rsid w:val="0053603C"/>
    <w:rsid w:val="00537871"/>
    <w:rsid w:val="00542FE9"/>
    <w:rsid w:val="005440A5"/>
    <w:rsid w:val="00544598"/>
    <w:rsid w:val="00544C8D"/>
    <w:rsid w:val="00544DFD"/>
    <w:rsid w:val="00552EAD"/>
    <w:rsid w:val="00553325"/>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A0BEC"/>
    <w:rsid w:val="005A404D"/>
    <w:rsid w:val="005B1E3C"/>
    <w:rsid w:val="005B6518"/>
    <w:rsid w:val="005B704A"/>
    <w:rsid w:val="005B72D7"/>
    <w:rsid w:val="005C045F"/>
    <w:rsid w:val="005C16FE"/>
    <w:rsid w:val="005C1FAB"/>
    <w:rsid w:val="005C21A4"/>
    <w:rsid w:val="005C26CC"/>
    <w:rsid w:val="005C2982"/>
    <w:rsid w:val="005C4463"/>
    <w:rsid w:val="005D0A79"/>
    <w:rsid w:val="005D216C"/>
    <w:rsid w:val="005D3D88"/>
    <w:rsid w:val="005D48C4"/>
    <w:rsid w:val="005D5BA2"/>
    <w:rsid w:val="005D6208"/>
    <w:rsid w:val="005D6366"/>
    <w:rsid w:val="005D6C62"/>
    <w:rsid w:val="005D7BA2"/>
    <w:rsid w:val="005E36C2"/>
    <w:rsid w:val="005E4AF4"/>
    <w:rsid w:val="005F2EC1"/>
    <w:rsid w:val="005F387E"/>
    <w:rsid w:val="005F685D"/>
    <w:rsid w:val="00601E0B"/>
    <w:rsid w:val="0060258B"/>
    <w:rsid w:val="00610EF9"/>
    <w:rsid w:val="00612F4F"/>
    <w:rsid w:val="00614EA0"/>
    <w:rsid w:val="00615C6B"/>
    <w:rsid w:val="00617D4C"/>
    <w:rsid w:val="00621DCE"/>
    <w:rsid w:val="00621FC5"/>
    <w:rsid w:val="006220D6"/>
    <w:rsid w:val="006245CA"/>
    <w:rsid w:val="00624F2C"/>
    <w:rsid w:val="006313A6"/>
    <w:rsid w:val="00632D6D"/>
    <w:rsid w:val="00636569"/>
    <w:rsid w:val="00636EF9"/>
    <w:rsid w:val="00642165"/>
    <w:rsid w:val="00642C3E"/>
    <w:rsid w:val="00644A01"/>
    <w:rsid w:val="00651E2D"/>
    <w:rsid w:val="00652324"/>
    <w:rsid w:val="00652C1D"/>
    <w:rsid w:val="00654D7C"/>
    <w:rsid w:val="006577FB"/>
    <w:rsid w:val="00660707"/>
    <w:rsid w:val="0066104A"/>
    <w:rsid w:val="00662875"/>
    <w:rsid w:val="00663066"/>
    <w:rsid w:val="00663DAD"/>
    <w:rsid w:val="00664206"/>
    <w:rsid w:val="006649E7"/>
    <w:rsid w:val="00666634"/>
    <w:rsid w:val="00671692"/>
    <w:rsid w:val="00671DFD"/>
    <w:rsid w:val="00672043"/>
    <w:rsid w:val="00675E20"/>
    <w:rsid w:val="00676679"/>
    <w:rsid w:val="00683C89"/>
    <w:rsid w:val="0068705F"/>
    <w:rsid w:val="00691B53"/>
    <w:rsid w:val="00695DAE"/>
    <w:rsid w:val="0069643C"/>
    <w:rsid w:val="00697D0B"/>
    <w:rsid w:val="006A01AB"/>
    <w:rsid w:val="006A12BA"/>
    <w:rsid w:val="006A3E52"/>
    <w:rsid w:val="006A4739"/>
    <w:rsid w:val="006A6294"/>
    <w:rsid w:val="006A66A1"/>
    <w:rsid w:val="006A7BA9"/>
    <w:rsid w:val="006B032D"/>
    <w:rsid w:val="006B2395"/>
    <w:rsid w:val="006B40AC"/>
    <w:rsid w:val="006B4CF9"/>
    <w:rsid w:val="006B797C"/>
    <w:rsid w:val="006B7AC8"/>
    <w:rsid w:val="006C06AB"/>
    <w:rsid w:val="006C1736"/>
    <w:rsid w:val="006C329B"/>
    <w:rsid w:val="006C6303"/>
    <w:rsid w:val="006D550F"/>
    <w:rsid w:val="006D6146"/>
    <w:rsid w:val="006D7F7E"/>
    <w:rsid w:val="006E0CFF"/>
    <w:rsid w:val="006F0C6D"/>
    <w:rsid w:val="006F0D92"/>
    <w:rsid w:val="006F267D"/>
    <w:rsid w:val="006F4C5C"/>
    <w:rsid w:val="006F6793"/>
    <w:rsid w:val="0070011E"/>
    <w:rsid w:val="00700DB1"/>
    <w:rsid w:val="00701CAB"/>
    <w:rsid w:val="007023BB"/>
    <w:rsid w:val="00703D17"/>
    <w:rsid w:val="00704DD7"/>
    <w:rsid w:val="00707563"/>
    <w:rsid w:val="007102D8"/>
    <w:rsid w:val="007143BE"/>
    <w:rsid w:val="00715F61"/>
    <w:rsid w:val="00721BB7"/>
    <w:rsid w:val="00722132"/>
    <w:rsid w:val="007227B4"/>
    <w:rsid w:val="007228F7"/>
    <w:rsid w:val="0072348C"/>
    <w:rsid w:val="00724A37"/>
    <w:rsid w:val="007303C3"/>
    <w:rsid w:val="007305D5"/>
    <w:rsid w:val="00730E56"/>
    <w:rsid w:val="00731188"/>
    <w:rsid w:val="00734D8F"/>
    <w:rsid w:val="007356CC"/>
    <w:rsid w:val="00735A23"/>
    <w:rsid w:val="007368E6"/>
    <w:rsid w:val="007374AD"/>
    <w:rsid w:val="007375DF"/>
    <w:rsid w:val="007429BE"/>
    <w:rsid w:val="00743223"/>
    <w:rsid w:val="00743349"/>
    <w:rsid w:val="0074403A"/>
    <w:rsid w:val="00746E01"/>
    <w:rsid w:val="00751DCD"/>
    <w:rsid w:val="00755084"/>
    <w:rsid w:val="00757364"/>
    <w:rsid w:val="00757BDF"/>
    <w:rsid w:val="007609D0"/>
    <w:rsid w:val="00761454"/>
    <w:rsid w:val="0076193D"/>
    <w:rsid w:val="00763E5D"/>
    <w:rsid w:val="00767740"/>
    <w:rsid w:val="00767B5E"/>
    <w:rsid w:val="00771501"/>
    <w:rsid w:val="00775460"/>
    <w:rsid w:val="00777EE6"/>
    <w:rsid w:val="00782EEA"/>
    <w:rsid w:val="00786948"/>
    <w:rsid w:val="007909B4"/>
    <w:rsid w:val="00790E86"/>
    <w:rsid w:val="00791AAC"/>
    <w:rsid w:val="007949D7"/>
    <w:rsid w:val="007A0143"/>
    <w:rsid w:val="007A34C2"/>
    <w:rsid w:val="007A396C"/>
    <w:rsid w:val="007A4881"/>
    <w:rsid w:val="007A4B02"/>
    <w:rsid w:val="007A4E36"/>
    <w:rsid w:val="007A50F4"/>
    <w:rsid w:val="007A6B3F"/>
    <w:rsid w:val="007A7167"/>
    <w:rsid w:val="007B0BE3"/>
    <w:rsid w:val="007B1816"/>
    <w:rsid w:val="007B186E"/>
    <w:rsid w:val="007B25DC"/>
    <w:rsid w:val="007B2C72"/>
    <w:rsid w:val="007B3789"/>
    <w:rsid w:val="007B651F"/>
    <w:rsid w:val="007B6FE1"/>
    <w:rsid w:val="007B7BB5"/>
    <w:rsid w:val="007C1C53"/>
    <w:rsid w:val="007C284C"/>
    <w:rsid w:val="007C4B82"/>
    <w:rsid w:val="007C74BB"/>
    <w:rsid w:val="007C7F64"/>
    <w:rsid w:val="007D07B5"/>
    <w:rsid w:val="007D0A95"/>
    <w:rsid w:val="007D0EB5"/>
    <w:rsid w:val="007D456E"/>
    <w:rsid w:val="007D5837"/>
    <w:rsid w:val="007E4904"/>
    <w:rsid w:val="007E4CB5"/>
    <w:rsid w:val="007E4DAE"/>
    <w:rsid w:val="007E5417"/>
    <w:rsid w:val="007F066B"/>
    <w:rsid w:val="007F4EAB"/>
    <w:rsid w:val="007F5B16"/>
    <w:rsid w:val="007F68ED"/>
    <w:rsid w:val="007F76F9"/>
    <w:rsid w:val="007F7C9D"/>
    <w:rsid w:val="00802562"/>
    <w:rsid w:val="008033C4"/>
    <w:rsid w:val="00806731"/>
    <w:rsid w:val="00806C88"/>
    <w:rsid w:val="0081034E"/>
    <w:rsid w:val="00810806"/>
    <w:rsid w:val="00815882"/>
    <w:rsid w:val="00820454"/>
    <w:rsid w:val="00822AC7"/>
    <w:rsid w:val="00822E86"/>
    <w:rsid w:val="00831EC9"/>
    <w:rsid w:val="008344F6"/>
    <w:rsid w:val="0083510F"/>
    <w:rsid w:val="00837BF3"/>
    <w:rsid w:val="008415DE"/>
    <w:rsid w:val="008420DE"/>
    <w:rsid w:val="00845865"/>
    <w:rsid w:val="0084799B"/>
    <w:rsid w:val="00850C90"/>
    <w:rsid w:val="00851209"/>
    <w:rsid w:val="0085171F"/>
    <w:rsid w:val="00862EA1"/>
    <w:rsid w:val="008643CE"/>
    <w:rsid w:val="008658A1"/>
    <w:rsid w:val="0086716A"/>
    <w:rsid w:val="00870613"/>
    <w:rsid w:val="00872239"/>
    <w:rsid w:val="0087380F"/>
    <w:rsid w:val="00875607"/>
    <w:rsid w:val="0087648F"/>
    <w:rsid w:val="00876612"/>
    <w:rsid w:val="00882BB1"/>
    <w:rsid w:val="008837AC"/>
    <w:rsid w:val="00883854"/>
    <w:rsid w:val="008909DC"/>
    <w:rsid w:val="00892F89"/>
    <w:rsid w:val="00894255"/>
    <w:rsid w:val="008945AD"/>
    <w:rsid w:val="008A0645"/>
    <w:rsid w:val="008A1C02"/>
    <w:rsid w:val="008A370D"/>
    <w:rsid w:val="008A587D"/>
    <w:rsid w:val="008B1021"/>
    <w:rsid w:val="008B16B0"/>
    <w:rsid w:val="008B1BD5"/>
    <w:rsid w:val="008B35CD"/>
    <w:rsid w:val="008B4093"/>
    <w:rsid w:val="008B5FCC"/>
    <w:rsid w:val="008B7F36"/>
    <w:rsid w:val="008C150E"/>
    <w:rsid w:val="008C357F"/>
    <w:rsid w:val="008C4382"/>
    <w:rsid w:val="008C5486"/>
    <w:rsid w:val="008C583C"/>
    <w:rsid w:val="008C5E0C"/>
    <w:rsid w:val="008D1661"/>
    <w:rsid w:val="008D27E0"/>
    <w:rsid w:val="008D5F90"/>
    <w:rsid w:val="008D6800"/>
    <w:rsid w:val="008D72F1"/>
    <w:rsid w:val="008E4089"/>
    <w:rsid w:val="008E5AFF"/>
    <w:rsid w:val="008E7031"/>
    <w:rsid w:val="008E77DE"/>
    <w:rsid w:val="008F040C"/>
    <w:rsid w:val="008F07A3"/>
    <w:rsid w:val="008F229F"/>
    <w:rsid w:val="008F3322"/>
    <w:rsid w:val="008F3519"/>
    <w:rsid w:val="008F3A0D"/>
    <w:rsid w:val="008F4114"/>
    <w:rsid w:val="009001B6"/>
    <w:rsid w:val="00900E1B"/>
    <w:rsid w:val="0090131F"/>
    <w:rsid w:val="00907683"/>
    <w:rsid w:val="009132B7"/>
    <w:rsid w:val="00915538"/>
    <w:rsid w:val="00916A2C"/>
    <w:rsid w:val="009233EE"/>
    <w:rsid w:val="00930B1A"/>
    <w:rsid w:val="00932612"/>
    <w:rsid w:val="009327DC"/>
    <w:rsid w:val="009338D9"/>
    <w:rsid w:val="009339BD"/>
    <w:rsid w:val="009356CF"/>
    <w:rsid w:val="00937FE0"/>
    <w:rsid w:val="009428CD"/>
    <w:rsid w:val="00945E53"/>
    <w:rsid w:val="009460AA"/>
    <w:rsid w:val="00951978"/>
    <w:rsid w:val="00952C8B"/>
    <w:rsid w:val="00955E52"/>
    <w:rsid w:val="00961A4A"/>
    <w:rsid w:val="009661DE"/>
    <w:rsid w:val="00971328"/>
    <w:rsid w:val="00972C7C"/>
    <w:rsid w:val="009761DE"/>
    <w:rsid w:val="009776F4"/>
    <w:rsid w:val="00977ACE"/>
    <w:rsid w:val="00982DA2"/>
    <w:rsid w:val="00983C25"/>
    <w:rsid w:val="0098466D"/>
    <w:rsid w:val="009856B7"/>
    <w:rsid w:val="009859D6"/>
    <w:rsid w:val="00985C86"/>
    <w:rsid w:val="00986FF9"/>
    <w:rsid w:val="00993E66"/>
    <w:rsid w:val="009A10DC"/>
    <w:rsid w:val="009A2440"/>
    <w:rsid w:val="009A5FC3"/>
    <w:rsid w:val="009A6F33"/>
    <w:rsid w:val="009B2B98"/>
    <w:rsid w:val="009B6331"/>
    <w:rsid w:val="009B6F84"/>
    <w:rsid w:val="009B74B0"/>
    <w:rsid w:val="009C0152"/>
    <w:rsid w:val="009C1A74"/>
    <w:rsid w:val="009C3D42"/>
    <w:rsid w:val="009C491E"/>
    <w:rsid w:val="009C62CB"/>
    <w:rsid w:val="009D0DF1"/>
    <w:rsid w:val="009D11BB"/>
    <w:rsid w:val="009D22D6"/>
    <w:rsid w:val="009D2C84"/>
    <w:rsid w:val="009D3906"/>
    <w:rsid w:val="009D6B46"/>
    <w:rsid w:val="009E2B41"/>
    <w:rsid w:val="009E35B6"/>
    <w:rsid w:val="009E5ABC"/>
    <w:rsid w:val="009F3BBA"/>
    <w:rsid w:val="009F43B4"/>
    <w:rsid w:val="009F4940"/>
    <w:rsid w:val="009F5BA1"/>
    <w:rsid w:val="00A02A88"/>
    <w:rsid w:val="00A04012"/>
    <w:rsid w:val="00A046FA"/>
    <w:rsid w:val="00A0562E"/>
    <w:rsid w:val="00A06956"/>
    <w:rsid w:val="00A0726D"/>
    <w:rsid w:val="00A073AE"/>
    <w:rsid w:val="00A119DB"/>
    <w:rsid w:val="00A12204"/>
    <w:rsid w:val="00A12750"/>
    <w:rsid w:val="00A13CB0"/>
    <w:rsid w:val="00A14C7A"/>
    <w:rsid w:val="00A1561F"/>
    <w:rsid w:val="00A16544"/>
    <w:rsid w:val="00A30BF5"/>
    <w:rsid w:val="00A31BE6"/>
    <w:rsid w:val="00A32FBB"/>
    <w:rsid w:val="00A40068"/>
    <w:rsid w:val="00A40BE9"/>
    <w:rsid w:val="00A428EE"/>
    <w:rsid w:val="00A443C2"/>
    <w:rsid w:val="00A4478A"/>
    <w:rsid w:val="00A44852"/>
    <w:rsid w:val="00A456F7"/>
    <w:rsid w:val="00A50502"/>
    <w:rsid w:val="00A53409"/>
    <w:rsid w:val="00A53796"/>
    <w:rsid w:val="00A53848"/>
    <w:rsid w:val="00A55496"/>
    <w:rsid w:val="00A56945"/>
    <w:rsid w:val="00A56A6E"/>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7A1B"/>
    <w:rsid w:val="00AA1CBD"/>
    <w:rsid w:val="00AA2927"/>
    <w:rsid w:val="00AB1F4E"/>
    <w:rsid w:val="00AB2CB8"/>
    <w:rsid w:val="00AB4617"/>
    <w:rsid w:val="00AB5C5E"/>
    <w:rsid w:val="00AC1B2C"/>
    <w:rsid w:val="00AC3264"/>
    <w:rsid w:val="00AC46AD"/>
    <w:rsid w:val="00AC4D2D"/>
    <w:rsid w:val="00AC58EC"/>
    <w:rsid w:val="00AC7282"/>
    <w:rsid w:val="00AC7961"/>
    <w:rsid w:val="00AD0096"/>
    <w:rsid w:val="00AD2209"/>
    <w:rsid w:val="00AD314E"/>
    <w:rsid w:val="00AD43BA"/>
    <w:rsid w:val="00AD5FCD"/>
    <w:rsid w:val="00AD6B48"/>
    <w:rsid w:val="00AD7A3A"/>
    <w:rsid w:val="00AE0261"/>
    <w:rsid w:val="00AE1BF1"/>
    <w:rsid w:val="00AE23AB"/>
    <w:rsid w:val="00AE58FB"/>
    <w:rsid w:val="00AE5AF0"/>
    <w:rsid w:val="00AE663D"/>
    <w:rsid w:val="00AE73B3"/>
    <w:rsid w:val="00AF07E7"/>
    <w:rsid w:val="00AF0DD2"/>
    <w:rsid w:val="00AF31E1"/>
    <w:rsid w:val="00AF3BBA"/>
    <w:rsid w:val="00AF4231"/>
    <w:rsid w:val="00B00B0E"/>
    <w:rsid w:val="00B00B26"/>
    <w:rsid w:val="00B00FC6"/>
    <w:rsid w:val="00B01039"/>
    <w:rsid w:val="00B02385"/>
    <w:rsid w:val="00B02F9D"/>
    <w:rsid w:val="00B05766"/>
    <w:rsid w:val="00B13048"/>
    <w:rsid w:val="00B13883"/>
    <w:rsid w:val="00B1716D"/>
    <w:rsid w:val="00B17A1D"/>
    <w:rsid w:val="00B207A0"/>
    <w:rsid w:val="00B21C21"/>
    <w:rsid w:val="00B22F54"/>
    <w:rsid w:val="00B2340A"/>
    <w:rsid w:val="00B24A7E"/>
    <w:rsid w:val="00B25C0C"/>
    <w:rsid w:val="00B304B5"/>
    <w:rsid w:val="00B308A9"/>
    <w:rsid w:val="00B31047"/>
    <w:rsid w:val="00B32B41"/>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2B3F"/>
    <w:rsid w:val="00B73E53"/>
    <w:rsid w:val="00B75CA2"/>
    <w:rsid w:val="00B7679F"/>
    <w:rsid w:val="00B77159"/>
    <w:rsid w:val="00B77A1B"/>
    <w:rsid w:val="00B8080B"/>
    <w:rsid w:val="00B82223"/>
    <w:rsid w:val="00B87BA5"/>
    <w:rsid w:val="00B87C39"/>
    <w:rsid w:val="00B90A0D"/>
    <w:rsid w:val="00B92E4F"/>
    <w:rsid w:val="00B93891"/>
    <w:rsid w:val="00B9562D"/>
    <w:rsid w:val="00BA21DA"/>
    <w:rsid w:val="00BA2B60"/>
    <w:rsid w:val="00BA3C93"/>
    <w:rsid w:val="00BA4665"/>
    <w:rsid w:val="00BA7FD7"/>
    <w:rsid w:val="00BB1681"/>
    <w:rsid w:val="00BB2782"/>
    <w:rsid w:val="00BB2FB2"/>
    <w:rsid w:val="00BB3304"/>
    <w:rsid w:val="00BB6551"/>
    <w:rsid w:val="00BC4A10"/>
    <w:rsid w:val="00BD30F4"/>
    <w:rsid w:val="00BD3446"/>
    <w:rsid w:val="00BD59CF"/>
    <w:rsid w:val="00BE1312"/>
    <w:rsid w:val="00BE1F1B"/>
    <w:rsid w:val="00BE3214"/>
    <w:rsid w:val="00BE3F89"/>
    <w:rsid w:val="00BE47B5"/>
    <w:rsid w:val="00BE52A1"/>
    <w:rsid w:val="00BE5FCE"/>
    <w:rsid w:val="00BF1A5A"/>
    <w:rsid w:val="00BF252D"/>
    <w:rsid w:val="00BF354F"/>
    <w:rsid w:val="00C0079E"/>
    <w:rsid w:val="00C0572A"/>
    <w:rsid w:val="00C13EBD"/>
    <w:rsid w:val="00C1631B"/>
    <w:rsid w:val="00C163AB"/>
    <w:rsid w:val="00C170F0"/>
    <w:rsid w:val="00C25962"/>
    <w:rsid w:val="00C25FA6"/>
    <w:rsid w:val="00C3099D"/>
    <w:rsid w:val="00C33011"/>
    <w:rsid w:val="00C35424"/>
    <w:rsid w:val="00C362C1"/>
    <w:rsid w:val="00C41950"/>
    <w:rsid w:val="00C42C3B"/>
    <w:rsid w:val="00C51672"/>
    <w:rsid w:val="00C5356C"/>
    <w:rsid w:val="00C538A9"/>
    <w:rsid w:val="00C53B5A"/>
    <w:rsid w:val="00C53E41"/>
    <w:rsid w:val="00C54909"/>
    <w:rsid w:val="00C54AF3"/>
    <w:rsid w:val="00C54F5A"/>
    <w:rsid w:val="00C569B4"/>
    <w:rsid w:val="00C57DDE"/>
    <w:rsid w:val="00C61468"/>
    <w:rsid w:val="00C61A97"/>
    <w:rsid w:val="00C61E44"/>
    <w:rsid w:val="00C64FF3"/>
    <w:rsid w:val="00C65D7C"/>
    <w:rsid w:val="00C662AD"/>
    <w:rsid w:val="00C67312"/>
    <w:rsid w:val="00C67A92"/>
    <w:rsid w:val="00C71280"/>
    <w:rsid w:val="00C717BF"/>
    <w:rsid w:val="00C73CEC"/>
    <w:rsid w:val="00C76178"/>
    <w:rsid w:val="00C82D78"/>
    <w:rsid w:val="00C84560"/>
    <w:rsid w:val="00C86679"/>
    <w:rsid w:val="00C8792F"/>
    <w:rsid w:val="00C90472"/>
    <w:rsid w:val="00C91D6E"/>
    <w:rsid w:val="00CA489E"/>
    <w:rsid w:val="00CB0279"/>
    <w:rsid w:val="00CB666B"/>
    <w:rsid w:val="00CB734B"/>
    <w:rsid w:val="00CC341A"/>
    <w:rsid w:val="00CC41B6"/>
    <w:rsid w:val="00CC7ADA"/>
    <w:rsid w:val="00CC7F1D"/>
    <w:rsid w:val="00CD0A88"/>
    <w:rsid w:val="00CD125D"/>
    <w:rsid w:val="00CD283C"/>
    <w:rsid w:val="00CD3641"/>
    <w:rsid w:val="00CD4E58"/>
    <w:rsid w:val="00CD66EA"/>
    <w:rsid w:val="00CD7432"/>
    <w:rsid w:val="00CE0FA5"/>
    <w:rsid w:val="00CE16FF"/>
    <w:rsid w:val="00CE2A23"/>
    <w:rsid w:val="00CE31C8"/>
    <w:rsid w:val="00CE484B"/>
    <w:rsid w:val="00CE6D76"/>
    <w:rsid w:val="00CE7CBA"/>
    <w:rsid w:val="00CF0DEE"/>
    <w:rsid w:val="00CF42AA"/>
    <w:rsid w:val="00CF5EAA"/>
    <w:rsid w:val="00CF6AE3"/>
    <w:rsid w:val="00CF77BB"/>
    <w:rsid w:val="00D006AE"/>
    <w:rsid w:val="00D00905"/>
    <w:rsid w:val="00D010C1"/>
    <w:rsid w:val="00D01CF0"/>
    <w:rsid w:val="00D0442A"/>
    <w:rsid w:val="00D117A9"/>
    <w:rsid w:val="00D12A7B"/>
    <w:rsid w:val="00D12ADB"/>
    <w:rsid w:val="00D12B89"/>
    <w:rsid w:val="00D15E63"/>
    <w:rsid w:val="00D24190"/>
    <w:rsid w:val="00D25A39"/>
    <w:rsid w:val="00D27CFA"/>
    <w:rsid w:val="00D310FA"/>
    <w:rsid w:val="00D325C6"/>
    <w:rsid w:val="00D37213"/>
    <w:rsid w:val="00D4360D"/>
    <w:rsid w:val="00D4754E"/>
    <w:rsid w:val="00D5015C"/>
    <w:rsid w:val="00D53912"/>
    <w:rsid w:val="00D5607F"/>
    <w:rsid w:val="00D57F34"/>
    <w:rsid w:val="00D60F4E"/>
    <w:rsid w:val="00D61388"/>
    <w:rsid w:val="00D61A54"/>
    <w:rsid w:val="00D62108"/>
    <w:rsid w:val="00D64AA4"/>
    <w:rsid w:val="00D64DEA"/>
    <w:rsid w:val="00D64F84"/>
    <w:rsid w:val="00D663CD"/>
    <w:rsid w:val="00D6726A"/>
    <w:rsid w:val="00D7001B"/>
    <w:rsid w:val="00D7160D"/>
    <w:rsid w:val="00D7168E"/>
    <w:rsid w:val="00D71E57"/>
    <w:rsid w:val="00D72D27"/>
    <w:rsid w:val="00D7593A"/>
    <w:rsid w:val="00D7786B"/>
    <w:rsid w:val="00D80893"/>
    <w:rsid w:val="00D82519"/>
    <w:rsid w:val="00D84854"/>
    <w:rsid w:val="00D91A35"/>
    <w:rsid w:val="00D924AE"/>
    <w:rsid w:val="00D92CF1"/>
    <w:rsid w:val="00D92D38"/>
    <w:rsid w:val="00D94298"/>
    <w:rsid w:val="00D950F5"/>
    <w:rsid w:val="00D97379"/>
    <w:rsid w:val="00DA4752"/>
    <w:rsid w:val="00DA4C09"/>
    <w:rsid w:val="00DA61F3"/>
    <w:rsid w:val="00DA7055"/>
    <w:rsid w:val="00DA7CB3"/>
    <w:rsid w:val="00DB0D00"/>
    <w:rsid w:val="00DB0F93"/>
    <w:rsid w:val="00DB1A67"/>
    <w:rsid w:val="00DB3721"/>
    <w:rsid w:val="00DB4FCA"/>
    <w:rsid w:val="00DB5074"/>
    <w:rsid w:val="00DC0281"/>
    <w:rsid w:val="00DC1930"/>
    <w:rsid w:val="00DC1C76"/>
    <w:rsid w:val="00DC1E5F"/>
    <w:rsid w:val="00DC4DBF"/>
    <w:rsid w:val="00DC4E19"/>
    <w:rsid w:val="00DC65FE"/>
    <w:rsid w:val="00DC7981"/>
    <w:rsid w:val="00DD3546"/>
    <w:rsid w:val="00DD4C07"/>
    <w:rsid w:val="00DD577D"/>
    <w:rsid w:val="00DD5ADC"/>
    <w:rsid w:val="00DE1093"/>
    <w:rsid w:val="00DE225D"/>
    <w:rsid w:val="00DE4EFA"/>
    <w:rsid w:val="00DE5520"/>
    <w:rsid w:val="00DE563D"/>
    <w:rsid w:val="00DE7AB5"/>
    <w:rsid w:val="00DF0152"/>
    <w:rsid w:val="00DF1958"/>
    <w:rsid w:val="00E02906"/>
    <w:rsid w:val="00E03445"/>
    <w:rsid w:val="00E03CB3"/>
    <w:rsid w:val="00E04818"/>
    <w:rsid w:val="00E06442"/>
    <w:rsid w:val="00E06952"/>
    <w:rsid w:val="00E11E61"/>
    <w:rsid w:val="00E156FC"/>
    <w:rsid w:val="00E157B2"/>
    <w:rsid w:val="00E16055"/>
    <w:rsid w:val="00E206EB"/>
    <w:rsid w:val="00E223E9"/>
    <w:rsid w:val="00E231B2"/>
    <w:rsid w:val="00E2332D"/>
    <w:rsid w:val="00E23993"/>
    <w:rsid w:val="00E2574F"/>
    <w:rsid w:val="00E25951"/>
    <w:rsid w:val="00E25B8C"/>
    <w:rsid w:val="00E31CF6"/>
    <w:rsid w:val="00E34A4A"/>
    <w:rsid w:val="00E35AFC"/>
    <w:rsid w:val="00E41D39"/>
    <w:rsid w:val="00E44769"/>
    <w:rsid w:val="00E50A02"/>
    <w:rsid w:val="00E54106"/>
    <w:rsid w:val="00E54697"/>
    <w:rsid w:val="00E57A08"/>
    <w:rsid w:val="00E63631"/>
    <w:rsid w:val="00E64C2A"/>
    <w:rsid w:val="00E65C85"/>
    <w:rsid w:val="00E66199"/>
    <w:rsid w:val="00E70526"/>
    <w:rsid w:val="00E71076"/>
    <w:rsid w:val="00E754B4"/>
    <w:rsid w:val="00E755EC"/>
    <w:rsid w:val="00E7624D"/>
    <w:rsid w:val="00E77860"/>
    <w:rsid w:val="00E81724"/>
    <w:rsid w:val="00E819A4"/>
    <w:rsid w:val="00E833FA"/>
    <w:rsid w:val="00E84B74"/>
    <w:rsid w:val="00E87066"/>
    <w:rsid w:val="00E90375"/>
    <w:rsid w:val="00E94AC3"/>
    <w:rsid w:val="00E966BF"/>
    <w:rsid w:val="00E9686E"/>
    <w:rsid w:val="00EA0C04"/>
    <w:rsid w:val="00EA1954"/>
    <w:rsid w:val="00EA2608"/>
    <w:rsid w:val="00EA3D42"/>
    <w:rsid w:val="00EA4190"/>
    <w:rsid w:val="00EA6B1B"/>
    <w:rsid w:val="00EB1CBD"/>
    <w:rsid w:val="00EB374D"/>
    <w:rsid w:val="00EB3A34"/>
    <w:rsid w:val="00EB3C3F"/>
    <w:rsid w:val="00EB44AD"/>
    <w:rsid w:val="00EB79A7"/>
    <w:rsid w:val="00EC04F1"/>
    <w:rsid w:val="00EC237F"/>
    <w:rsid w:val="00EC41D6"/>
    <w:rsid w:val="00EC573A"/>
    <w:rsid w:val="00ED35C8"/>
    <w:rsid w:val="00ED3968"/>
    <w:rsid w:val="00ED7323"/>
    <w:rsid w:val="00ED7979"/>
    <w:rsid w:val="00EE28F3"/>
    <w:rsid w:val="00EE50D1"/>
    <w:rsid w:val="00EE7614"/>
    <w:rsid w:val="00EE798E"/>
    <w:rsid w:val="00EF5110"/>
    <w:rsid w:val="00EF5890"/>
    <w:rsid w:val="00EF76BA"/>
    <w:rsid w:val="00F0231A"/>
    <w:rsid w:val="00F033BF"/>
    <w:rsid w:val="00F03463"/>
    <w:rsid w:val="00F036B7"/>
    <w:rsid w:val="00F0700F"/>
    <w:rsid w:val="00F07F1F"/>
    <w:rsid w:val="00F10411"/>
    <w:rsid w:val="00F10A9A"/>
    <w:rsid w:val="00F11B2D"/>
    <w:rsid w:val="00F121C2"/>
    <w:rsid w:val="00F13E41"/>
    <w:rsid w:val="00F1485B"/>
    <w:rsid w:val="00F15882"/>
    <w:rsid w:val="00F170C7"/>
    <w:rsid w:val="00F171E0"/>
    <w:rsid w:val="00F20BD3"/>
    <w:rsid w:val="00F22A8C"/>
    <w:rsid w:val="00F23C57"/>
    <w:rsid w:val="00F246B2"/>
    <w:rsid w:val="00F27C3E"/>
    <w:rsid w:val="00F322E9"/>
    <w:rsid w:val="00F3231B"/>
    <w:rsid w:val="00F33808"/>
    <w:rsid w:val="00F373A5"/>
    <w:rsid w:val="00F37864"/>
    <w:rsid w:val="00F404F9"/>
    <w:rsid w:val="00F44B0A"/>
    <w:rsid w:val="00F47559"/>
    <w:rsid w:val="00F50B30"/>
    <w:rsid w:val="00F51F5F"/>
    <w:rsid w:val="00F52D75"/>
    <w:rsid w:val="00F55582"/>
    <w:rsid w:val="00F568A9"/>
    <w:rsid w:val="00F57647"/>
    <w:rsid w:val="00F62A14"/>
    <w:rsid w:val="00F644AB"/>
    <w:rsid w:val="00F64C7B"/>
    <w:rsid w:val="00F676DD"/>
    <w:rsid w:val="00F67AB6"/>
    <w:rsid w:val="00F70028"/>
    <w:rsid w:val="00F70434"/>
    <w:rsid w:val="00F75A26"/>
    <w:rsid w:val="00F76706"/>
    <w:rsid w:val="00F77D6D"/>
    <w:rsid w:val="00F80206"/>
    <w:rsid w:val="00F82DE7"/>
    <w:rsid w:val="00F83034"/>
    <w:rsid w:val="00F83FAD"/>
    <w:rsid w:val="00F844C6"/>
    <w:rsid w:val="00F86455"/>
    <w:rsid w:val="00F86DCC"/>
    <w:rsid w:val="00F92FA6"/>
    <w:rsid w:val="00F9353B"/>
    <w:rsid w:val="00F937F1"/>
    <w:rsid w:val="00F952A0"/>
    <w:rsid w:val="00FA31B1"/>
    <w:rsid w:val="00FA3320"/>
    <w:rsid w:val="00FA3C7F"/>
    <w:rsid w:val="00FA6246"/>
    <w:rsid w:val="00FB24ED"/>
    <w:rsid w:val="00FB31BE"/>
    <w:rsid w:val="00FB3304"/>
    <w:rsid w:val="00FB5005"/>
    <w:rsid w:val="00FB60FE"/>
    <w:rsid w:val="00FB74E2"/>
    <w:rsid w:val="00FB778B"/>
    <w:rsid w:val="00FC7683"/>
    <w:rsid w:val="00FD5614"/>
    <w:rsid w:val="00FD5E78"/>
    <w:rsid w:val="00FD6F49"/>
    <w:rsid w:val="00FE03AC"/>
    <w:rsid w:val="00FE0BE1"/>
    <w:rsid w:val="00FE11BB"/>
    <w:rsid w:val="00FE1DE9"/>
    <w:rsid w:val="00FE36AF"/>
    <w:rsid w:val="00FE39C2"/>
    <w:rsid w:val="00FE3C32"/>
    <w:rsid w:val="00FE64AE"/>
    <w:rsid w:val="00FE70DC"/>
    <w:rsid w:val="00FE7595"/>
    <w:rsid w:val="00FF2D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21416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53BC3E43</Template>
  <TotalTime>0</TotalTime>
  <Pages>21</Pages>
  <Words>5396</Words>
  <Characters>30763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2017-07-03T00:54:00Z</dcterms:created>
  <dcterms:modified xsi:type="dcterms:W3CDTF">2017-07-03T00:55:00Z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