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33F" w:rsidRDefault="00EF270C" w:rsidP="00290C63">
      <w:pPr>
        <w:rPr>
          <w:rFonts w:eastAsiaTheme="majorEastAsia" w:cstheme="majorBidi"/>
          <w:noProof/>
          <w:sz w:val="36"/>
          <w:szCs w:val="36"/>
          <w:lang w:eastAsia="en-AU"/>
        </w:rPr>
      </w:pPr>
      <w:r w:rsidRPr="00DB723B">
        <w:rPr>
          <w:noProof/>
          <w:lang w:eastAsia="en-AU"/>
        </w:rPr>
        <w:drawing>
          <wp:anchor distT="0" distB="0" distL="114300" distR="114300" simplePos="0" relativeHeight="251661312" behindDoc="1" locked="0" layoutInCell="1" allowOverlap="1" wp14:anchorId="3C4390F8" wp14:editId="071D4E9E">
            <wp:simplePos x="0" y="0"/>
            <wp:positionH relativeFrom="column">
              <wp:posOffset>-1118235</wp:posOffset>
            </wp:positionH>
            <wp:positionV relativeFrom="paragraph">
              <wp:posOffset>-929640</wp:posOffset>
            </wp:positionV>
            <wp:extent cx="7733030" cy="1117092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3030" cy="11170920"/>
                    </a:xfrm>
                    <a:prstGeom prst="rect">
                      <a:avLst/>
                    </a:prstGeom>
                    <a:noFill/>
                  </pic:spPr>
                </pic:pic>
              </a:graphicData>
            </a:graphic>
            <wp14:sizeRelH relativeFrom="page">
              <wp14:pctWidth>0</wp14:pctWidth>
            </wp14:sizeRelH>
            <wp14:sizeRelV relativeFrom="page">
              <wp14:pctHeight>0</wp14:pctHeight>
            </wp14:sizeRelV>
          </wp:anchor>
        </w:drawing>
      </w:r>
      <w:r w:rsidR="0032033F">
        <w:t>`</w:t>
      </w:r>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0A5DB2AF" wp14:editId="479C884A">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926E7B" w:rsidRDefault="00926E7B" w:rsidP="00D5015C">
          <w:pPr>
            <w:pStyle w:val="ReportSubtitle"/>
          </w:pPr>
          <w:r w:rsidRPr="00926E7B">
            <w:t>DRAFT DECISION</w:t>
          </w:r>
        </w:p>
        <w:p w:rsidR="00863034" w:rsidRDefault="00863034" w:rsidP="00D5015C">
          <w:pPr>
            <w:pStyle w:val="ReportSubtitle"/>
          </w:pPr>
          <w:r>
            <w:t>Multinet Gas</w:t>
          </w:r>
        </w:p>
        <w:p w:rsidR="00D5015C" w:rsidRDefault="00863034" w:rsidP="00D5015C">
          <w:pPr>
            <w:pStyle w:val="ReportSubtitle"/>
          </w:pPr>
          <w:r>
            <w:t>A</w:t>
          </w:r>
          <w:r w:rsidR="00D5015C">
            <w:t>ccess arrangement</w:t>
          </w:r>
        </w:p>
        <w:p w:rsidR="00D5015C" w:rsidRDefault="00D5015C" w:rsidP="00D5015C">
          <w:pPr>
            <w:pStyle w:val="ReportSubtitle"/>
          </w:pPr>
          <w:r>
            <w:t xml:space="preserve"> 2018 to 2022</w:t>
          </w:r>
        </w:p>
        <w:p w:rsidR="008F07A3" w:rsidRPr="000A6C7B" w:rsidRDefault="008F07A3" w:rsidP="00D5015C">
          <w:pPr>
            <w:pStyle w:val="ReportSubtitle"/>
            <w:tabs>
              <w:tab w:val="left" w:pos="1122"/>
              <w:tab w:val="center" w:pos="4238"/>
            </w:tabs>
            <w:jc w:val="left"/>
          </w:pPr>
        </w:p>
        <w:p w:rsidR="000A6C7B" w:rsidRDefault="0037699E" w:rsidP="008F07A3">
          <w:pPr>
            <w:pStyle w:val="ReportSubtitle"/>
          </w:pPr>
          <w:r>
            <w:t xml:space="preserve">Attachment </w:t>
          </w:r>
          <w:r w:rsidR="00471BC6">
            <w:t>1</w:t>
          </w:r>
          <w:r w:rsidR="000474DF">
            <w:t xml:space="preserve"> </w:t>
          </w:r>
          <w:r w:rsidR="00185BA5">
            <w:t>–</w:t>
          </w:r>
          <w:r w:rsidR="000474DF">
            <w:t xml:space="preserve"> </w:t>
          </w:r>
          <w:r w:rsidR="00D5015C">
            <w:t>Services covered by the access arrangement</w:t>
          </w:r>
        </w:p>
        <w:p w:rsidR="00D5015C" w:rsidRDefault="00D5015C" w:rsidP="00327A1E">
          <w:pPr>
            <w:pStyle w:val="ReportDate"/>
          </w:pPr>
        </w:p>
        <w:p w:rsidR="00D5015C" w:rsidRDefault="00D5015C" w:rsidP="00327A1E">
          <w:pPr>
            <w:pStyle w:val="ReportDate"/>
          </w:pPr>
        </w:p>
        <w:p w:rsidR="000A6C7B" w:rsidRPr="00327A1E" w:rsidRDefault="00870DC0" w:rsidP="00327A1E">
          <w:pPr>
            <w:pStyle w:val="ReportDate"/>
          </w:pPr>
          <w:r>
            <w:t>Ju</w:t>
          </w:r>
          <w:r w:rsidR="002C480A">
            <w:t>ly</w:t>
          </w:r>
          <w:r w:rsidR="00D5015C">
            <w:t xml:space="preserve"> </w:t>
          </w:r>
          <w:r w:rsidR="00F22A8C">
            <w:t>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926E7B">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EF270C">
        <w:t>1300 585 165</w:t>
      </w:r>
      <w:r>
        <w:br/>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6837867"/>
      <w:r>
        <w:lastRenderedPageBreak/>
        <w:t>Note</w:t>
      </w:r>
      <w:bookmarkEnd w:id="1"/>
      <w:bookmarkEnd w:id="2"/>
      <w:bookmarkEnd w:id="3"/>
    </w:p>
    <w:p w:rsidR="00D5015C" w:rsidRDefault="00D5015C" w:rsidP="00D5015C">
      <w:pPr>
        <w:numPr>
          <w:ilvl w:val="0"/>
          <w:numId w:val="23"/>
        </w:numPr>
      </w:pPr>
      <w:r>
        <w:t xml:space="preserve">This attachment forms part of the AER's draft decision on the access arrangement for </w:t>
      </w:r>
      <w:r w:rsidR="00863034">
        <w:t>Multinet Gas</w:t>
      </w:r>
      <w:r>
        <w:t xml:space="preserve"> for 2018</w:t>
      </w:r>
      <w:r>
        <w:noBreakHyphen/>
        <w:t>22. It should be read with all other parts of the draft decision.</w:t>
      </w:r>
    </w:p>
    <w:p w:rsidR="00D5015C" w:rsidRDefault="00D5015C" w:rsidP="00D5015C">
      <w:pPr>
        <w:numPr>
          <w:ilvl w:val="0"/>
          <w:numId w:val="23"/>
        </w:numPr>
      </w:pPr>
      <w:r>
        <w:t>The draft decision includes the following documents:</w:t>
      </w:r>
    </w:p>
    <w:p w:rsidR="00D5015C" w:rsidRDefault="00D5015C" w:rsidP="00D5015C">
      <w:pPr>
        <w:numPr>
          <w:ilvl w:val="0"/>
          <w:numId w:val="23"/>
        </w:numPr>
      </w:pPr>
      <w:r>
        <w:t>Overview</w:t>
      </w:r>
    </w:p>
    <w:p w:rsidR="00D5015C" w:rsidRDefault="00D5015C" w:rsidP="00D5015C">
      <w:r>
        <w:t>Attachment 1 - Services covered by the access arrangement</w:t>
      </w:r>
    </w:p>
    <w:p w:rsidR="00D5015C" w:rsidRDefault="00D5015C" w:rsidP="00D5015C">
      <w:r>
        <w:t>Attachment 2 - Capital base</w:t>
      </w:r>
    </w:p>
    <w:p w:rsidR="00D5015C" w:rsidRDefault="00D5015C" w:rsidP="00D5015C">
      <w:r>
        <w:t>Attachment 3 - Rate of return</w:t>
      </w:r>
    </w:p>
    <w:p w:rsidR="00D5015C" w:rsidRDefault="00D5015C" w:rsidP="00D5015C">
      <w:r>
        <w:t>Attachment 4 - Value of imputation credits</w:t>
      </w:r>
    </w:p>
    <w:p w:rsidR="00D5015C" w:rsidRDefault="00D5015C" w:rsidP="00D5015C">
      <w:r>
        <w:t>Attachment 5 - Regulatory depreciation</w:t>
      </w:r>
    </w:p>
    <w:p w:rsidR="00D5015C" w:rsidRDefault="00D5015C" w:rsidP="00D5015C">
      <w:r>
        <w:t xml:space="preserve">Attachment 6 - Capital expenditure </w:t>
      </w:r>
    </w:p>
    <w:p w:rsidR="00D5015C" w:rsidRDefault="00D5015C" w:rsidP="00D5015C">
      <w:r>
        <w:t>Attachment 7 - Operating expenditure</w:t>
      </w:r>
    </w:p>
    <w:p w:rsidR="00D5015C" w:rsidRDefault="00D5015C" w:rsidP="00D5015C">
      <w:r>
        <w:t>Attachment 8 - Corporate income tax</w:t>
      </w:r>
    </w:p>
    <w:p w:rsidR="00D5015C" w:rsidRDefault="00D5015C" w:rsidP="00D5015C">
      <w:r>
        <w:t>Attachment 9 - Efficiency carryover mechanism</w:t>
      </w:r>
    </w:p>
    <w:p w:rsidR="00D5015C" w:rsidRDefault="00D5015C" w:rsidP="00D5015C">
      <w:r>
        <w:t>Attachment 10 - Reference tariff setting</w:t>
      </w:r>
    </w:p>
    <w:p w:rsidR="00D5015C" w:rsidRDefault="00D5015C" w:rsidP="00D5015C">
      <w:r>
        <w:t>Attachment 11 - Reference tariff variation mechanism</w:t>
      </w:r>
    </w:p>
    <w:p w:rsidR="00D5015C" w:rsidRDefault="00D5015C" w:rsidP="00D5015C">
      <w:r>
        <w:t>Attachment 12 - Non-tariff components</w:t>
      </w:r>
    </w:p>
    <w:p w:rsidR="00D5015C" w:rsidRDefault="00D5015C" w:rsidP="00D5015C">
      <w:r>
        <w:t>Attachment 13 - Demand</w:t>
      </w:r>
    </w:p>
    <w:p w:rsidR="00D5015C" w:rsidRDefault="00D5015C" w:rsidP="00D5015C">
      <w:r>
        <w:t>Attachment 14 - Other incentive schemes</w:t>
      </w:r>
    </w:p>
    <w:p w:rsidR="00761454" w:rsidRPr="009D3906" w:rsidRDefault="00761454" w:rsidP="00761454"/>
    <w:p w:rsidR="00CE2A23" w:rsidRPr="00CE2A23" w:rsidRDefault="00CE2A23" w:rsidP="00CE2A23">
      <w:bookmarkStart w:id="4" w:name="_Toc404354899"/>
      <w:bookmarkStart w:id="5" w:name="_Toc404353070"/>
      <w:bookmarkStart w:id="6" w:name="_Toc404684201"/>
      <w:bookmarkStart w:id="7" w:name="_Toc404700923"/>
      <w:r>
        <w:br w:type="page"/>
      </w:r>
    </w:p>
    <w:bookmarkEnd w:id="4"/>
    <w:bookmarkEnd w:id="5"/>
    <w:bookmarkEnd w:id="6"/>
    <w:bookmarkEnd w:id="7"/>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6837868"/>
      <w:r>
        <w:t>Contents</w:t>
      </w:r>
      <w:bookmarkEnd w:id="8"/>
      <w:bookmarkEnd w:id="9"/>
    </w:p>
    <w:p w:rsidR="00CE2A23" w:rsidRDefault="00CE2A23" w:rsidP="00CE2A23"/>
    <w:sdt>
      <w:sdtPr>
        <w:id w:val="1269200322"/>
        <w:docPartObj>
          <w:docPartGallery w:val="Table of Contents"/>
          <w:docPartUnique/>
        </w:docPartObj>
      </w:sdtPr>
      <w:sdtEndPr/>
      <w:sdtContent>
        <w:p w:rsidR="003864CC" w:rsidRDefault="00430F2E">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 </w:instrText>
          </w:r>
          <w:r>
            <w:fldChar w:fldCharType="separate"/>
          </w:r>
          <w:hyperlink w:anchor="_Toc486837867" w:history="1">
            <w:r w:rsidR="003864CC" w:rsidRPr="00225B74">
              <w:rPr>
                <w:rStyle w:val="Hyperlink"/>
              </w:rPr>
              <w:t>Note</w:t>
            </w:r>
            <w:r w:rsidR="003864CC">
              <w:rPr>
                <w:webHidden/>
              </w:rPr>
              <w:tab/>
            </w:r>
            <w:r w:rsidR="003864CC">
              <w:rPr>
                <w:webHidden/>
              </w:rPr>
              <w:fldChar w:fldCharType="begin"/>
            </w:r>
            <w:r w:rsidR="003864CC">
              <w:rPr>
                <w:webHidden/>
              </w:rPr>
              <w:instrText xml:space="preserve"> PAGEREF _Toc486837867 \h </w:instrText>
            </w:r>
            <w:r w:rsidR="003864CC">
              <w:rPr>
                <w:webHidden/>
              </w:rPr>
            </w:r>
            <w:r w:rsidR="003864CC">
              <w:rPr>
                <w:webHidden/>
              </w:rPr>
              <w:fldChar w:fldCharType="separate"/>
            </w:r>
            <w:r w:rsidR="00E51E8F">
              <w:rPr>
                <w:webHidden/>
              </w:rPr>
              <w:t>1-2</w:t>
            </w:r>
            <w:r w:rsidR="003864CC">
              <w:rPr>
                <w:webHidden/>
              </w:rPr>
              <w:fldChar w:fldCharType="end"/>
            </w:r>
          </w:hyperlink>
        </w:p>
        <w:p w:rsidR="003864CC" w:rsidRDefault="003864CC">
          <w:pPr>
            <w:pStyle w:val="TOC1"/>
            <w:rPr>
              <w:rFonts w:asciiTheme="minorHAnsi" w:eastAsiaTheme="minorEastAsia" w:hAnsiTheme="minorHAnsi"/>
              <w:b w:val="0"/>
              <w:color w:val="auto"/>
              <w:sz w:val="22"/>
              <w:lang w:val="en-AU" w:eastAsia="en-AU"/>
            </w:rPr>
          </w:pPr>
          <w:hyperlink w:anchor="_Toc486837868" w:history="1">
            <w:r w:rsidRPr="00225B74">
              <w:rPr>
                <w:rStyle w:val="Hyperlink"/>
              </w:rPr>
              <w:t>Contents</w:t>
            </w:r>
            <w:r>
              <w:rPr>
                <w:webHidden/>
              </w:rPr>
              <w:tab/>
            </w:r>
            <w:r>
              <w:rPr>
                <w:webHidden/>
              </w:rPr>
              <w:fldChar w:fldCharType="begin"/>
            </w:r>
            <w:r>
              <w:rPr>
                <w:webHidden/>
              </w:rPr>
              <w:instrText xml:space="preserve"> PAGEREF _Toc486837868 \h </w:instrText>
            </w:r>
            <w:r>
              <w:rPr>
                <w:webHidden/>
              </w:rPr>
            </w:r>
            <w:r>
              <w:rPr>
                <w:webHidden/>
              </w:rPr>
              <w:fldChar w:fldCharType="separate"/>
            </w:r>
            <w:r w:rsidR="00E51E8F">
              <w:rPr>
                <w:webHidden/>
              </w:rPr>
              <w:t>1-3</w:t>
            </w:r>
            <w:r>
              <w:rPr>
                <w:webHidden/>
              </w:rPr>
              <w:fldChar w:fldCharType="end"/>
            </w:r>
          </w:hyperlink>
        </w:p>
        <w:p w:rsidR="003864CC" w:rsidRDefault="003864CC">
          <w:pPr>
            <w:pStyle w:val="TOC1"/>
            <w:rPr>
              <w:rFonts w:asciiTheme="minorHAnsi" w:eastAsiaTheme="minorEastAsia" w:hAnsiTheme="minorHAnsi"/>
              <w:b w:val="0"/>
              <w:color w:val="auto"/>
              <w:sz w:val="22"/>
              <w:lang w:val="en-AU" w:eastAsia="en-AU"/>
            </w:rPr>
          </w:pPr>
          <w:hyperlink w:anchor="_Toc486837869" w:history="1">
            <w:r w:rsidRPr="00225B74">
              <w:rPr>
                <w:rStyle w:val="Hyperlink"/>
              </w:rPr>
              <w:t>Shortened forms</w:t>
            </w:r>
            <w:r>
              <w:rPr>
                <w:webHidden/>
              </w:rPr>
              <w:tab/>
            </w:r>
            <w:r>
              <w:rPr>
                <w:webHidden/>
              </w:rPr>
              <w:fldChar w:fldCharType="begin"/>
            </w:r>
            <w:r>
              <w:rPr>
                <w:webHidden/>
              </w:rPr>
              <w:instrText xml:space="preserve"> PAGEREF _Toc486837869 \h </w:instrText>
            </w:r>
            <w:r>
              <w:rPr>
                <w:webHidden/>
              </w:rPr>
            </w:r>
            <w:r>
              <w:rPr>
                <w:webHidden/>
              </w:rPr>
              <w:fldChar w:fldCharType="separate"/>
            </w:r>
            <w:r w:rsidR="00E51E8F">
              <w:rPr>
                <w:webHidden/>
              </w:rPr>
              <w:t>1-4</w:t>
            </w:r>
            <w:r>
              <w:rPr>
                <w:webHidden/>
              </w:rPr>
              <w:fldChar w:fldCharType="end"/>
            </w:r>
          </w:hyperlink>
        </w:p>
        <w:p w:rsidR="003864CC" w:rsidRDefault="003864CC">
          <w:pPr>
            <w:pStyle w:val="TOC1"/>
            <w:rPr>
              <w:rFonts w:asciiTheme="minorHAnsi" w:eastAsiaTheme="minorEastAsia" w:hAnsiTheme="minorHAnsi"/>
              <w:b w:val="0"/>
              <w:color w:val="auto"/>
              <w:sz w:val="22"/>
              <w:lang w:val="en-AU" w:eastAsia="en-AU"/>
            </w:rPr>
          </w:pPr>
          <w:hyperlink w:anchor="_Toc486837870" w:history="1">
            <w:r w:rsidRPr="00225B74">
              <w:rPr>
                <w:rStyle w:val="Hyperlink"/>
              </w:rPr>
              <w:t>1</w:t>
            </w:r>
            <w:r>
              <w:rPr>
                <w:rFonts w:asciiTheme="minorHAnsi" w:eastAsiaTheme="minorEastAsia" w:hAnsiTheme="minorHAnsi"/>
                <w:b w:val="0"/>
                <w:color w:val="auto"/>
                <w:sz w:val="22"/>
                <w:lang w:val="en-AU" w:eastAsia="en-AU"/>
              </w:rPr>
              <w:tab/>
            </w:r>
            <w:r w:rsidRPr="00225B74">
              <w:rPr>
                <w:rStyle w:val="Hyperlink"/>
              </w:rPr>
              <w:t>Services covered by the access arrangement</w:t>
            </w:r>
            <w:r>
              <w:rPr>
                <w:webHidden/>
              </w:rPr>
              <w:tab/>
            </w:r>
            <w:r>
              <w:rPr>
                <w:webHidden/>
              </w:rPr>
              <w:fldChar w:fldCharType="begin"/>
            </w:r>
            <w:r>
              <w:rPr>
                <w:webHidden/>
              </w:rPr>
              <w:instrText xml:space="preserve"> PAGEREF _Toc486837870 \h </w:instrText>
            </w:r>
            <w:r>
              <w:rPr>
                <w:webHidden/>
              </w:rPr>
            </w:r>
            <w:r>
              <w:rPr>
                <w:webHidden/>
              </w:rPr>
              <w:fldChar w:fldCharType="separate"/>
            </w:r>
            <w:r w:rsidR="00E51E8F">
              <w:rPr>
                <w:webHidden/>
              </w:rPr>
              <w:t>1-5</w:t>
            </w:r>
            <w:r>
              <w:rPr>
                <w:webHidden/>
              </w:rPr>
              <w:fldChar w:fldCharType="end"/>
            </w:r>
          </w:hyperlink>
        </w:p>
        <w:p w:rsidR="003864CC" w:rsidRDefault="003864CC">
          <w:pPr>
            <w:pStyle w:val="TOC2"/>
            <w:rPr>
              <w:rFonts w:asciiTheme="minorHAnsi" w:eastAsiaTheme="minorEastAsia" w:hAnsiTheme="minorHAnsi"/>
              <w:b w:val="0"/>
              <w:color w:val="auto"/>
              <w:sz w:val="22"/>
              <w:lang w:eastAsia="en-AU"/>
            </w:rPr>
          </w:pPr>
          <w:hyperlink w:anchor="_Toc486837871" w:history="1">
            <w:r w:rsidRPr="00225B74">
              <w:rPr>
                <w:rStyle w:val="Hyperlink"/>
              </w:rPr>
              <w:t>1.1</w:t>
            </w:r>
            <w:r>
              <w:rPr>
                <w:rFonts w:asciiTheme="minorHAnsi" w:eastAsiaTheme="minorEastAsia" w:hAnsiTheme="minorHAnsi"/>
                <w:b w:val="0"/>
                <w:color w:val="auto"/>
                <w:sz w:val="22"/>
                <w:lang w:eastAsia="en-AU"/>
              </w:rPr>
              <w:tab/>
            </w:r>
            <w:r w:rsidRPr="00225B74">
              <w:rPr>
                <w:rStyle w:val="Hyperlink"/>
              </w:rPr>
              <w:t>Draft decision</w:t>
            </w:r>
            <w:r>
              <w:rPr>
                <w:webHidden/>
              </w:rPr>
              <w:tab/>
            </w:r>
            <w:r>
              <w:rPr>
                <w:webHidden/>
              </w:rPr>
              <w:fldChar w:fldCharType="begin"/>
            </w:r>
            <w:r>
              <w:rPr>
                <w:webHidden/>
              </w:rPr>
              <w:instrText xml:space="preserve"> PAGEREF _Toc486837871 \h </w:instrText>
            </w:r>
            <w:r>
              <w:rPr>
                <w:webHidden/>
              </w:rPr>
            </w:r>
            <w:r>
              <w:rPr>
                <w:webHidden/>
              </w:rPr>
              <w:fldChar w:fldCharType="separate"/>
            </w:r>
            <w:r w:rsidR="00E51E8F">
              <w:rPr>
                <w:webHidden/>
              </w:rPr>
              <w:t>1-5</w:t>
            </w:r>
            <w:r>
              <w:rPr>
                <w:webHidden/>
              </w:rPr>
              <w:fldChar w:fldCharType="end"/>
            </w:r>
          </w:hyperlink>
        </w:p>
        <w:p w:rsidR="003864CC" w:rsidRDefault="003864CC">
          <w:pPr>
            <w:pStyle w:val="TOC2"/>
            <w:rPr>
              <w:rFonts w:asciiTheme="minorHAnsi" w:eastAsiaTheme="minorEastAsia" w:hAnsiTheme="minorHAnsi"/>
              <w:b w:val="0"/>
              <w:color w:val="auto"/>
              <w:sz w:val="22"/>
              <w:lang w:eastAsia="en-AU"/>
            </w:rPr>
          </w:pPr>
          <w:hyperlink w:anchor="_Toc486837872" w:history="1">
            <w:r w:rsidRPr="00225B74">
              <w:rPr>
                <w:rStyle w:val="Hyperlink"/>
              </w:rPr>
              <w:t>1.2</w:t>
            </w:r>
            <w:r>
              <w:rPr>
                <w:rFonts w:asciiTheme="minorHAnsi" w:eastAsiaTheme="minorEastAsia" w:hAnsiTheme="minorHAnsi"/>
                <w:b w:val="0"/>
                <w:color w:val="auto"/>
                <w:sz w:val="22"/>
                <w:lang w:eastAsia="en-AU"/>
              </w:rPr>
              <w:tab/>
            </w:r>
            <w:r w:rsidRPr="00225B74">
              <w:rPr>
                <w:rStyle w:val="Hyperlink"/>
              </w:rPr>
              <w:t>Multinet’s proposal</w:t>
            </w:r>
            <w:r>
              <w:rPr>
                <w:webHidden/>
              </w:rPr>
              <w:tab/>
            </w:r>
            <w:r>
              <w:rPr>
                <w:webHidden/>
              </w:rPr>
              <w:fldChar w:fldCharType="begin"/>
            </w:r>
            <w:r>
              <w:rPr>
                <w:webHidden/>
              </w:rPr>
              <w:instrText xml:space="preserve"> PAGEREF _Toc486837872 \h </w:instrText>
            </w:r>
            <w:r>
              <w:rPr>
                <w:webHidden/>
              </w:rPr>
            </w:r>
            <w:r>
              <w:rPr>
                <w:webHidden/>
              </w:rPr>
              <w:fldChar w:fldCharType="separate"/>
            </w:r>
            <w:r w:rsidR="00E51E8F">
              <w:rPr>
                <w:webHidden/>
              </w:rPr>
              <w:t>1-6</w:t>
            </w:r>
            <w:r>
              <w:rPr>
                <w:webHidden/>
              </w:rPr>
              <w:fldChar w:fldCharType="end"/>
            </w:r>
          </w:hyperlink>
        </w:p>
        <w:p w:rsidR="003864CC" w:rsidRDefault="003864CC">
          <w:pPr>
            <w:pStyle w:val="TOC2"/>
            <w:rPr>
              <w:rFonts w:asciiTheme="minorHAnsi" w:eastAsiaTheme="minorEastAsia" w:hAnsiTheme="minorHAnsi"/>
              <w:b w:val="0"/>
              <w:color w:val="auto"/>
              <w:sz w:val="22"/>
              <w:lang w:eastAsia="en-AU"/>
            </w:rPr>
          </w:pPr>
          <w:hyperlink w:anchor="_Toc486837873" w:history="1">
            <w:r w:rsidRPr="00225B74">
              <w:rPr>
                <w:rStyle w:val="Hyperlink"/>
              </w:rPr>
              <w:t>1.3</w:t>
            </w:r>
            <w:r>
              <w:rPr>
                <w:rFonts w:asciiTheme="minorHAnsi" w:eastAsiaTheme="minorEastAsia" w:hAnsiTheme="minorHAnsi"/>
                <w:b w:val="0"/>
                <w:color w:val="auto"/>
                <w:sz w:val="22"/>
                <w:lang w:eastAsia="en-AU"/>
              </w:rPr>
              <w:tab/>
            </w:r>
            <w:r w:rsidRPr="00225B74">
              <w:rPr>
                <w:rStyle w:val="Hyperlink"/>
              </w:rPr>
              <w:t>Assessment approach</w:t>
            </w:r>
            <w:r>
              <w:rPr>
                <w:webHidden/>
              </w:rPr>
              <w:tab/>
            </w:r>
            <w:r>
              <w:rPr>
                <w:webHidden/>
              </w:rPr>
              <w:fldChar w:fldCharType="begin"/>
            </w:r>
            <w:r>
              <w:rPr>
                <w:webHidden/>
              </w:rPr>
              <w:instrText xml:space="preserve"> PAGEREF _Toc486837873 \h </w:instrText>
            </w:r>
            <w:r>
              <w:rPr>
                <w:webHidden/>
              </w:rPr>
            </w:r>
            <w:r>
              <w:rPr>
                <w:webHidden/>
              </w:rPr>
              <w:fldChar w:fldCharType="separate"/>
            </w:r>
            <w:r w:rsidR="00E51E8F">
              <w:rPr>
                <w:webHidden/>
              </w:rPr>
              <w:t>1-7</w:t>
            </w:r>
            <w:r>
              <w:rPr>
                <w:webHidden/>
              </w:rPr>
              <w:fldChar w:fldCharType="end"/>
            </w:r>
          </w:hyperlink>
        </w:p>
        <w:p w:rsidR="003864CC" w:rsidRDefault="003864CC">
          <w:pPr>
            <w:pStyle w:val="TOC3"/>
            <w:rPr>
              <w:rFonts w:asciiTheme="minorHAnsi" w:eastAsiaTheme="minorEastAsia" w:hAnsiTheme="minorHAnsi"/>
              <w:lang w:eastAsia="en-AU"/>
            </w:rPr>
          </w:pPr>
          <w:hyperlink w:anchor="_Toc486837874" w:history="1">
            <w:r w:rsidRPr="00225B74">
              <w:rPr>
                <w:rStyle w:val="Hyperlink"/>
              </w:rPr>
              <w:t>1.3.1</w:t>
            </w:r>
            <w:r>
              <w:rPr>
                <w:rFonts w:asciiTheme="minorHAnsi" w:eastAsiaTheme="minorEastAsia" w:hAnsiTheme="minorHAnsi"/>
                <w:lang w:eastAsia="en-AU"/>
              </w:rPr>
              <w:tab/>
            </w:r>
            <w:r w:rsidRPr="00225B74">
              <w:rPr>
                <w:rStyle w:val="Hyperlink"/>
              </w:rPr>
              <w:t>Interrelationships</w:t>
            </w:r>
            <w:r>
              <w:rPr>
                <w:webHidden/>
              </w:rPr>
              <w:tab/>
            </w:r>
            <w:r>
              <w:rPr>
                <w:webHidden/>
              </w:rPr>
              <w:fldChar w:fldCharType="begin"/>
            </w:r>
            <w:r>
              <w:rPr>
                <w:webHidden/>
              </w:rPr>
              <w:instrText xml:space="preserve"> PAGEREF _Toc486837874 \h </w:instrText>
            </w:r>
            <w:r>
              <w:rPr>
                <w:webHidden/>
              </w:rPr>
            </w:r>
            <w:r>
              <w:rPr>
                <w:webHidden/>
              </w:rPr>
              <w:fldChar w:fldCharType="separate"/>
            </w:r>
            <w:r w:rsidR="00E51E8F">
              <w:rPr>
                <w:webHidden/>
              </w:rPr>
              <w:t>1-8</w:t>
            </w:r>
            <w:r>
              <w:rPr>
                <w:webHidden/>
              </w:rPr>
              <w:fldChar w:fldCharType="end"/>
            </w:r>
          </w:hyperlink>
        </w:p>
        <w:p w:rsidR="003864CC" w:rsidRDefault="003864CC">
          <w:pPr>
            <w:pStyle w:val="TOC2"/>
            <w:rPr>
              <w:rFonts w:asciiTheme="minorHAnsi" w:eastAsiaTheme="minorEastAsia" w:hAnsiTheme="minorHAnsi"/>
              <w:b w:val="0"/>
              <w:color w:val="auto"/>
              <w:sz w:val="22"/>
              <w:lang w:eastAsia="en-AU"/>
            </w:rPr>
          </w:pPr>
          <w:hyperlink w:anchor="_Toc486837875" w:history="1">
            <w:r w:rsidRPr="00225B74">
              <w:rPr>
                <w:rStyle w:val="Hyperlink"/>
              </w:rPr>
              <w:t>1.4</w:t>
            </w:r>
            <w:r>
              <w:rPr>
                <w:rFonts w:asciiTheme="minorHAnsi" w:eastAsiaTheme="minorEastAsia" w:hAnsiTheme="minorHAnsi"/>
                <w:b w:val="0"/>
                <w:color w:val="auto"/>
                <w:sz w:val="22"/>
                <w:lang w:eastAsia="en-AU"/>
              </w:rPr>
              <w:tab/>
            </w:r>
            <w:r w:rsidRPr="00225B74">
              <w:rPr>
                <w:rStyle w:val="Hyperlink"/>
              </w:rPr>
              <w:t>Reasons for draft decision</w:t>
            </w:r>
            <w:r>
              <w:rPr>
                <w:webHidden/>
              </w:rPr>
              <w:tab/>
            </w:r>
            <w:r>
              <w:rPr>
                <w:webHidden/>
              </w:rPr>
              <w:fldChar w:fldCharType="begin"/>
            </w:r>
            <w:r>
              <w:rPr>
                <w:webHidden/>
              </w:rPr>
              <w:instrText xml:space="preserve"> PAGEREF _Toc486837875 \h </w:instrText>
            </w:r>
            <w:r>
              <w:rPr>
                <w:webHidden/>
              </w:rPr>
            </w:r>
            <w:r>
              <w:rPr>
                <w:webHidden/>
              </w:rPr>
              <w:fldChar w:fldCharType="separate"/>
            </w:r>
            <w:r w:rsidR="00E51E8F">
              <w:rPr>
                <w:webHidden/>
              </w:rPr>
              <w:t>1-8</w:t>
            </w:r>
            <w:r>
              <w:rPr>
                <w:webHidden/>
              </w:rPr>
              <w:fldChar w:fldCharType="end"/>
            </w:r>
          </w:hyperlink>
        </w:p>
        <w:p w:rsidR="003864CC" w:rsidRDefault="003864CC">
          <w:pPr>
            <w:pStyle w:val="TOC2"/>
            <w:rPr>
              <w:rFonts w:asciiTheme="minorHAnsi" w:eastAsiaTheme="minorEastAsia" w:hAnsiTheme="minorHAnsi"/>
              <w:b w:val="0"/>
              <w:color w:val="auto"/>
              <w:sz w:val="22"/>
              <w:lang w:eastAsia="en-AU"/>
            </w:rPr>
          </w:pPr>
          <w:hyperlink w:anchor="_Toc486837876" w:history="1">
            <w:r w:rsidRPr="00225B74">
              <w:rPr>
                <w:rStyle w:val="Hyperlink"/>
              </w:rPr>
              <w:t>1.5</w:t>
            </w:r>
            <w:r>
              <w:rPr>
                <w:rFonts w:asciiTheme="minorHAnsi" w:eastAsiaTheme="minorEastAsia" w:hAnsiTheme="minorHAnsi"/>
                <w:b w:val="0"/>
                <w:color w:val="auto"/>
                <w:sz w:val="22"/>
                <w:lang w:eastAsia="en-AU"/>
              </w:rPr>
              <w:tab/>
            </w:r>
            <w:r w:rsidRPr="00225B74">
              <w:rPr>
                <w:rStyle w:val="Hyperlink"/>
              </w:rPr>
              <w:t>Revisions</w:t>
            </w:r>
            <w:r>
              <w:rPr>
                <w:webHidden/>
              </w:rPr>
              <w:tab/>
            </w:r>
            <w:r>
              <w:rPr>
                <w:webHidden/>
              </w:rPr>
              <w:fldChar w:fldCharType="begin"/>
            </w:r>
            <w:r>
              <w:rPr>
                <w:webHidden/>
              </w:rPr>
              <w:instrText xml:space="preserve"> PAGEREF _Toc486837876 \h </w:instrText>
            </w:r>
            <w:r>
              <w:rPr>
                <w:webHidden/>
              </w:rPr>
            </w:r>
            <w:r>
              <w:rPr>
                <w:webHidden/>
              </w:rPr>
              <w:fldChar w:fldCharType="separate"/>
            </w:r>
            <w:r w:rsidR="00E51E8F">
              <w:rPr>
                <w:webHidden/>
              </w:rPr>
              <w:t>1-10</w:t>
            </w:r>
            <w:r>
              <w:rPr>
                <w:webHidden/>
              </w:rPr>
              <w:fldChar w:fldCharType="end"/>
            </w:r>
          </w:hyperlink>
        </w:p>
        <w:p w:rsidR="00CE2A23" w:rsidRDefault="00430F2E" w:rsidP="00430F2E">
          <w:pPr>
            <w:pStyle w:val="TOC1"/>
          </w:pPr>
          <w:r>
            <w:fldChar w:fldCharType="end"/>
          </w:r>
        </w:p>
      </w:sdtContent>
    </w:sdt>
    <w:p w:rsidR="00CE2A23" w:rsidRPr="00CE2A23" w:rsidRDefault="00CE2A23" w:rsidP="00CE2A23">
      <w:r>
        <w:t xml:space="preserve"> </w:t>
      </w:r>
    </w:p>
    <w:p w:rsidR="00CE2A23" w:rsidRDefault="00CE2A23" w:rsidP="00CE2A23">
      <w:pPr>
        <w:pStyle w:val="UnnumberedHeading"/>
        <w:numPr>
          <w:ilvl w:val="0"/>
          <w:numId w:val="23"/>
        </w:numPr>
      </w:pPr>
      <w:bookmarkStart w:id="10" w:name="_Toc404700925"/>
      <w:bookmarkStart w:id="11" w:name="_Toc486837869"/>
      <w:r>
        <w:t>Shortened forms</w:t>
      </w:r>
      <w:bookmarkEnd w:id="10"/>
      <w:bookmarkEnd w:id="11"/>
    </w:p>
    <w:tbl>
      <w:tblPr>
        <w:tblStyle w:val="AERtable-text0"/>
        <w:tblW w:w="0" w:type="auto"/>
        <w:tblLook w:val="04A0" w:firstRow="1" w:lastRow="0" w:firstColumn="1" w:lastColumn="0" w:noHBand="0" w:noVBand="1"/>
      </w:tblPr>
      <w:tblGrid>
        <w:gridCol w:w="4340"/>
        <w:gridCol w:w="4353"/>
      </w:tblGrid>
      <w:tr w:rsidR="00EF270C" w:rsidTr="00EF270C">
        <w:trPr>
          <w:cnfStyle w:val="100000000000" w:firstRow="1" w:lastRow="0" w:firstColumn="0" w:lastColumn="0" w:oddVBand="0" w:evenVBand="0" w:oddHBand="0" w:evenHBand="0" w:firstRowFirstColumn="0" w:firstRowLastColumn="0" w:lastRowFirstColumn="0" w:lastRowLastColumn="0"/>
        </w:trPr>
        <w:tc>
          <w:tcPr>
            <w:tcW w:w="4340" w:type="dxa"/>
          </w:tcPr>
          <w:p w:rsidR="00EF270C" w:rsidRDefault="00EF270C" w:rsidP="00EF270C">
            <w:pPr>
              <w:numPr>
                <w:ilvl w:val="0"/>
                <w:numId w:val="24"/>
              </w:numPr>
            </w:pPr>
            <w:r>
              <w:t>Shortened form</w:t>
            </w:r>
          </w:p>
        </w:tc>
        <w:tc>
          <w:tcPr>
            <w:tcW w:w="4353" w:type="dxa"/>
          </w:tcPr>
          <w:p w:rsidR="00EF270C" w:rsidRDefault="00EF270C" w:rsidP="00EF270C">
            <w:pPr>
              <w:numPr>
                <w:ilvl w:val="0"/>
                <w:numId w:val="24"/>
              </w:numPr>
            </w:pPr>
            <w:r>
              <w:t>Extended form</w:t>
            </w:r>
          </w:p>
        </w:tc>
      </w:tr>
      <w:tr w:rsidR="00EF270C" w:rsidTr="00EF270C">
        <w:tc>
          <w:tcPr>
            <w:tcW w:w="4340" w:type="dxa"/>
          </w:tcPr>
          <w:p w:rsidR="00EF270C" w:rsidRDefault="00EF270C" w:rsidP="00EF270C">
            <w:pPr>
              <w:numPr>
                <w:ilvl w:val="0"/>
                <w:numId w:val="24"/>
              </w:numPr>
            </w:pPr>
            <w:r>
              <w:t>AER</w:t>
            </w:r>
          </w:p>
        </w:tc>
        <w:tc>
          <w:tcPr>
            <w:tcW w:w="4353" w:type="dxa"/>
          </w:tcPr>
          <w:p w:rsidR="00EF270C" w:rsidRDefault="00EF270C" w:rsidP="00EF270C">
            <w:pPr>
              <w:numPr>
                <w:ilvl w:val="0"/>
                <w:numId w:val="24"/>
              </w:numPr>
            </w:pPr>
            <w:r>
              <w:t>Australian Energy Regulator</w:t>
            </w:r>
          </w:p>
        </w:tc>
      </w:tr>
      <w:tr w:rsidR="00EF270C" w:rsidTr="00EF270C">
        <w:trPr>
          <w:cnfStyle w:val="000000010000" w:firstRow="0" w:lastRow="0" w:firstColumn="0" w:lastColumn="0" w:oddVBand="0" w:evenVBand="0" w:oddHBand="0" w:evenHBand="1" w:firstRowFirstColumn="0" w:firstRowLastColumn="0" w:lastRowFirstColumn="0" w:lastRowLastColumn="0"/>
        </w:trPr>
        <w:tc>
          <w:tcPr>
            <w:tcW w:w="4340" w:type="dxa"/>
          </w:tcPr>
          <w:p w:rsidR="00EF270C" w:rsidRDefault="00EF270C" w:rsidP="00EF270C">
            <w:pPr>
              <w:numPr>
                <w:ilvl w:val="0"/>
                <w:numId w:val="24"/>
              </w:numPr>
            </w:pPr>
            <w:r>
              <w:t>ATO</w:t>
            </w:r>
          </w:p>
        </w:tc>
        <w:tc>
          <w:tcPr>
            <w:tcW w:w="4353" w:type="dxa"/>
          </w:tcPr>
          <w:p w:rsidR="00EF270C" w:rsidRPr="00EF270C" w:rsidRDefault="00EF270C" w:rsidP="00EF270C">
            <w:r>
              <w:t>Australian Tax Office</w:t>
            </w:r>
          </w:p>
        </w:tc>
      </w:tr>
      <w:tr w:rsidR="00EF270C" w:rsidTr="00EF270C">
        <w:tc>
          <w:tcPr>
            <w:tcW w:w="4340" w:type="dxa"/>
          </w:tcPr>
          <w:p w:rsidR="00EF270C" w:rsidRDefault="00EF270C" w:rsidP="00EF270C">
            <w:pPr>
              <w:numPr>
                <w:ilvl w:val="0"/>
                <w:numId w:val="24"/>
              </w:numPr>
            </w:pPr>
            <w:r>
              <w:t>capex</w:t>
            </w:r>
          </w:p>
        </w:tc>
        <w:tc>
          <w:tcPr>
            <w:tcW w:w="4353" w:type="dxa"/>
          </w:tcPr>
          <w:p w:rsidR="00EF270C" w:rsidRDefault="00EF270C" w:rsidP="00EF270C">
            <w:pPr>
              <w:numPr>
                <w:ilvl w:val="0"/>
                <w:numId w:val="24"/>
              </w:numPr>
            </w:pPr>
            <w:r>
              <w:t>capital expenditure</w:t>
            </w:r>
          </w:p>
        </w:tc>
      </w:tr>
      <w:tr w:rsidR="00EF270C" w:rsidTr="00EF270C">
        <w:trPr>
          <w:cnfStyle w:val="000000010000" w:firstRow="0" w:lastRow="0" w:firstColumn="0" w:lastColumn="0" w:oddVBand="0" w:evenVBand="0" w:oddHBand="0" w:evenHBand="1" w:firstRowFirstColumn="0" w:firstRowLastColumn="0" w:lastRowFirstColumn="0" w:lastRowLastColumn="0"/>
        </w:trPr>
        <w:tc>
          <w:tcPr>
            <w:tcW w:w="4340" w:type="dxa"/>
          </w:tcPr>
          <w:p w:rsidR="00EF270C" w:rsidRDefault="00EF270C" w:rsidP="00EF270C">
            <w:pPr>
              <w:numPr>
                <w:ilvl w:val="0"/>
                <w:numId w:val="24"/>
              </w:numPr>
            </w:pPr>
            <w:r>
              <w:t>CAPM</w:t>
            </w:r>
          </w:p>
        </w:tc>
        <w:tc>
          <w:tcPr>
            <w:tcW w:w="4353" w:type="dxa"/>
          </w:tcPr>
          <w:p w:rsidR="00EF270C" w:rsidRDefault="00EF270C" w:rsidP="00EF270C">
            <w:pPr>
              <w:numPr>
                <w:ilvl w:val="0"/>
                <w:numId w:val="24"/>
              </w:numPr>
            </w:pPr>
            <w:r>
              <w:t>capital asset pricing model</w:t>
            </w:r>
          </w:p>
        </w:tc>
      </w:tr>
      <w:tr w:rsidR="00EF270C" w:rsidTr="00EF270C">
        <w:tc>
          <w:tcPr>
            <w:tcW w:w="4340" w:type="dxa"/>
          </w:tcPr>
          <w:p w:rsidR="00EF270C" w:rsidRDefault="00EF270C" w:rsidP="00EF270C">
            <w:pPr>
              <w:numPr>
                <w:ilvl w:val="0"/>
                <w:numId w:val="24"/>
              </w:numPr>
            </w:pPr>
            <w:r>
              <w:t>CESS</w:t>
            </w:r>
          </w:p>
        </w:tc>
        <w:tc>
          <w:tcPr>
            <w:tcW w:w="4353" w:type="dxa"/>
          </w:tcPr>
          <w:p w:rsidR="00EF270C" w:rsidRDefault="00EF270C" w:rsidP="00EF270C">
            <w:pPr>
              <w:numPr>
                <w:ilvl w:val="0"/>
                <w:numId w:val="24"/>
              </w:numPr>
            </w:pPr>
            <w:r>
              <w:t>Capital Expenditure Sharing Scheme</w:t>
            </w:r>
          </w:p>
        </w:tc>
      </w:tr>
      <w:tr w:rsidR="00EF270C" w:rsidTr="00EF270C">
        <w:trPr>
          <w:cnfStyle w:val="000000010000" w:firstRow="0" w:lastRow="0" w:firstColumn="0" w:lastColumn="0" w:oddVBand="0" w:evenVBand="0" w:oddHBand="0" w:evenHBand="1" w:firstRowFirstColumn="0" w:firstRowLastColumn="0" w:lastRowFirstColumn="0" w:lastRowLastColumn="0"/>
        </w:trPr>
        <w:tc>
          <w:tcPr>
            <w:tcW w:w="4340" w:type="dxa"/>
          </w:tcPr>
          <w:p w:rsidR="00EF270C" w:rsidRDefault="00EF270C" w:rsidP="00EF270C">
            <w:pPr>
              <w:numPr>
                <w:ilvl w:val="0"/>
                <w:numId w:val="24"/>
              </w:numPr>
            </w:pPr>
            <w:r>
              <w:t>CPI</w:t>
            </w:r>
          </w:p>
        </w:tc>
        <w:tc>
          <w:tcPr>
            <w:tcW w:w="4353" w:type="dxa"/>
          </w:tcPr>
          <w:p w:rsidR="00EF270C" w:rsidRDefault="00EF270C" w:rsidP="00EF270C">
            <w:pPr>
              <w:numPr>
                <w:ilvl w:val="0"/>
                <w:numId w:val="24"/>
              </w:numPr>
            </w:pPr>
            <w:r>
              <w:t>consumer price index</w:t>
            </w:r>
          </w:p>
        </w:tc>
      </w:tr>
      <w:tr w:rsidR="00EF270C" w:rsidTr="00EF270C">
        <w:tc>
          <w:tcPr>
            <w:tcW w:w="4340" w:type="dxa"/>
          </w:tcPr>
          <w:p w:rsidR="00EF270C" w:rsidRDefault="00EF270C" w:rsidP="00EF270C">
            <w:pPr>
              <w:numPr>
                <w:ilvl w:val="0"/>
                <w:numId w:val="24"/>
              </w:numPr>
            </w:pPr>
            <w:r>
              <w:t>DRP</w:t>
            </w:r>
          </w:p>
        </w:tc>
        <w:tc>
          <w:tcPr>
            <w:tcW w:w="4353" w:type="dxa"/>
          </w:tcPr>
          <w:p w:rsidR="00EF270C" w:rsidRDefault="00EF270C" w:rsidP="00EF270C">
            <w:pPr>
              <w:numPr>
                <w:ilvl w:val="0"/>
                <w:numId w:val="24"/>
              </w:numPr>
            </w:pPr>
            <w:r>
              <w:t>debt risk premium</w:t>
            </w:r>
          </w:p>
        </w:tc>
      </w:tr>
      <w:tr w:rsidR="00EF270C" w:rsidTr="00EF270C">
        <w:trPr>
          <w:cnfStyle w:val="000000010000" w:firstRow="0" w:lastRow="0" w:firstColumn="0" w:lastColumn="0" w:oddVBand="0" w:evenVBand="0" w:oddHBand="0" w:evenHBand="1" w:firstRowFirstColumn="0" w:firstRowLastColumn="0" w:lastRowFirstColumn="0" w:lastRowLastColumn="0"/>
        </w:trPr>
        <w:tc>
          <w:tcPr>
            <w:tcW w:w="4340" w:type="dxa"/>
          </w:tcPr>
          <w:p w:rsidR="00EF270C" w:rsidRDefault="00EF270C" w:rsidP="00EF270C">
            <w:pPr>
              <w:numPr>
                <w:ilvl w:val="0"/>
                <w:numId w:val="24"/>
              </w:numPr>
            </w:pPr>
            <w:r>
              <w:t>ECM</w:t>
            </w:r>
          </w:p>
        </w:tc>
        <w:tc>
          <w:tcPr>
            <w:tcW w:w="4353" w:type="dxa"/>
          </w:tcPr>
          <w:p w:rsidR="00EF270C" w:rsidRPr="00EF270C" w:rsidRDefault="00EF270C" w:rsidP="00EF270C">
            <w:r>
              <w:t>(Opex) Efficiency Carryover Mechanism</w:t>
            </w:r>
          </w:p>
        </w:tc>
      </w:tr>
      <w:tr w:rsidR="00EF270C" w:rsidTr="00EF270C">
        <w:tc>
          <w:tcPr>
            <w:tcW w:w="4340" w:type="dxa"/>
          </w:tcPr>
          <w:p w:rsidR="00EF270C" w:rsidRDefault="00EF270C" w:rsidP="00EF270C">
            <w:pPr>
              <w:numPr>
                <w:ilvl w:val="0"/>
                <w:numId w:val="24"/>
              </w:numPr>
            </w:pPr>
            <w:r>
              <w:t>ERP</w:t>
            </w:r>
          </w:p>
        </w:tc>
        <w:tc>
          <w:tcPr>
            <w:tcW w:w="4353" w:type="dxa"/>
          </w:tcPr>
          <w:p w:rsidR="00EF270C" w:rsidRDefault="00EF270C" w:rsidP="00EF270C">
            <w:pPr>
              <w:numPr>
                <w:ilvl w:val="0"/>
                <w:numId w:val="24"/>
              </w:numPr>
            </w:pPr>
            <w:r>
              <w:t>equity risk premium</w:t>
            </w:r>
          </w:p>
        </w:tc>
      </w:tr>
      <w:tr w:rsidR="00EF270C" w:rsidTr="00EF270C">
        <w:trPr>
          <w:cnfStyle w:val="000000010000" w:firstRow="0" w:lastRow="0" w:firstColumn="0" w:lastColumn="0" w:oddVBand="0" w:evenVBand="0" w:oddHBand="0" w:evenHBand="1" w:firstRowFirstColumn="0" w:firstRowLastColumn="0" w:lastRowFirstColumn="0" w:lastRowLastColumn="0"/>
        </w:trPr>
        <w:tc>
          <w:tcPr>
            <w:tcW w:w="4340" w:type="dxa"/>
          </w:tcPr>
          <w:p w:rsidR="00EF270C" w:rsidRDefault="00EF270C" w:rsidP="00EF270C">
            <w:pPr>
              <w:numPr>
                <w:ilvl w:val="0"/>
                <w:numId w:val="24"/>
              </w:numPr>
            </w:pPr>
            <w:r>
              <w:t>Expenditure Guideline</w:t>
            </w:r>
          </w:p>
        </w:tc>
        <w:tc>
          <w:tcPr>
            <w:tcW w:w="4353" w:type="dxa"/>
          </w:tcPr>
          <w:p w:rsidR="00EF270C" w:rsidRPr="00EF270C" w:rsidRDefault="00EF270C" w:rsidP="00EF270C">
            <w:r>
              <w:t xml:space="preserve">Expenditure Forecast </w:t>
            </w:r>
            <w:r w:rsidRPr="00EF270C">
              <w:t>Assessment Guideline</w:t>
            </w:r>
          </w:p>
        </w:tc>
      </w:tr>
      <w:tr w:rsidR="00EF270C" w:rsidTr="00EF270C">
        <w:tc>
          <w:tcPr>
            <w:tcW w:w="4340" w:type="dxa"/>
          </w:tcPr>
          <w:p w:rsidR="00EF270C" w:rsidRDefault="00EF270C" w:rsidP="00EF270C">
            <w:pPr>
              <w:numPr>
                <w:ilvl w:val="0"/>
                <w:numId w:val="24"/>
              </w:numPr>
            </w:pPr>
            <w:r>
              <w:t>gamma</w:t>
            </w:r>
          </w:p>
        </w:tc>
        <w:tc>
          <w:tcPr>
            <w:tcW w:w="4353" w:type="dxa"/>
          </w:tcPr>
          <w:p w:rsidR="00EF270C" w:rsidRPr="00EF270C" w:rsidRDefault="00EF270C" w:rsidP="00EF270C">
            <w:r>
              <w:t>Value of Imputation Credits</w:t>
            </w:r>
          </w:p>
        </w:tc>
      </w:tr>
      <w:tr w:rsidR="00EF270C" w:rsidTr="00EF270C">
        <w:trPr>
          <w:cnfStyle w:val="000000010000" w:firstRow="0" w:lastRow="0" w:firstColumn="0" w:lastColumn="0" w:oddVBand="0" w:evenVBand="0" w:oddHBand="0" w:evenHBand="1" w:firstRowFirstColumn="0" w:firstRowLastColumn="0" w:lastRowFirstColumn="0" w:lastRowLastColumn="0"/>
        </w:trPr>
        <w:tc>
          <w:tcPr>
            <w:tcW w:w="4340" w:type="dxa"/>
          </w:tcPr>
          <w:p w:rsidR="00EF270C" w:rsidRDefault="00EF270C" w:rsidP="00EF270C">
            <w:pPr>
              <w:numPr>
                <w:ilvl w:val="0"/>
                <w:numId w:val="24"/>
              </w:numPr>
            </w:pPr>
            <w:r>
              <w:t>MRP</w:t>
            </w:r>
          </w:p>
        </w:tc>
        <w:tc>
          <w:tcPr>
            <w:tcW w:w="4353" w:type="dxa"/>
          </w:tcPr>
          <w:p w:rsidR="00EF270C" w:rsidRDefault="00EF270C" w:rsidP="00EF270C">
            <w:pPr>
              <w:numPr>
                <w:ilvl w:val="0"/>
                <w:numId w:val="24"/>
              </w:numPr>
            </w:pPr>
            <w:r>
              <w:t>market risk premium</w:t>
            </w:r>
          </w:p>
        </w:tc>
      </w:tr>
      <w:tr w:rsidR="00EF270C" w:rsidTr="00EF270C">
        <w:tc>
          <w:tcPr>
            <w:tcW w:w="4340" w:type="dxa"/>
          </w:tcPr>
          <w:p w:rsidR="00EF270C" w:rsidRDefault="00EF270C" w:rsidP="00EF270C">
            <w:pPr>
              <w:numPr>
                <w:ilvl w:val="0"/>
                <w:numId w:val="24"/>
              </w:numPr>
            </w:pPr>
            <w:r>
              <w:t>NGL</w:t>
            </w:r>
          </w:p>
        </w:tc>
        <w:tc>
          <w:tcPr>
            <w:tcW w:w="4353" w:type="dxa"/>
          </w:tcPr>
          <w:p w:rsidR="00EF270C" w:rsidRDefault="00EF270C" w:rsidP="00EF270C">
            <w:pPr>
              <w:numPr>
                <w:ilvl w:val="0"/>
                <w:numId w:val="24"/>
              </w:numPr>
            </w:pPr>
            <w:r>
              <w:t>National Gas Law</w:t>
            </w:r>
          </w:p>
        </w:tc>
      </w:tr>
      <w:tr w:rsidR="00EF270C" w:rsidTr="00EF270C">
        <w:trPr>
          <w:cnfStyle w:val="000000010000" w:firstRow="0" w:lastRow="0" w:firstColumn="0" w:lastColumn="0" w:oddVBand="0" w:evenVBand="0" w:oddHBand="0" w:evenHBand="1" w:firstRowFirstColumn="0" w:firstRowLastColumn="0" w:lastRowFirstColumn="0" w:lastRowLastColumn="0"/>
        </w:trPr>
        <w:tc>
          <w:tcPr>
            <w:tcW w:w="4340" w:type="dxa"/>
          </w:tcPr>
          <w:p w:rsidR="00EF270C" w:rsidRDefault="00EF270C" w:rsidP="00EF270C">
            <w:pPr>
              <w:numPr>
                <w:ilvl w:val="0"/>
                <w:numId w:val="24"/>
              </w:numPr>
            </w:pPr>
            <w:r>
              <w:t>NGO</w:t>
            </w:r>
          </w:p>
        </w:tc>
        <w:tc>
          <w:tcPr>
            <w:tcW w:w="4353" w:type="dxa"/>
          </w:tcPr>
          <w:p w:rsidR="00EF270C" w:rsidRDefault="00EF270C" w:rsidP="00EF270C">
            <w:pPr>
              <w:numPr>
                <w:ilvl w:val="0"/>
                <w:numId w:val="24"/>
              </w:numPr>
            </w:pPr>
            <w:r>
              <w:t>national gas objective</w:t>
            </w:r>
          </w:p>
        </w:tc>
      </w:tr>
      <w:tr w:rsidR="00EF270C" w:rsidTr="00EF270C">
        <w:tc>
          <w:tcPr>
            <w:tcW w:w="4340" w:type="dxa"/>
          </w:tcPr>
          <w:p w:rsidR="00EF270C" w:rsidRDefault="00EF270C" w:rsidP="00EF270C">
            <w:pPr>
              <w:numPr>
                <w:ilvl w:val="0"/>
                <w:numId w:val="24"/>
              </w:numPr>
            </w:pPr>
            <w:r>
              <w:t>NGR</w:t>
            </w:r>
          </w:p>
        </w:tc>
        <w:tc>
          <w:tcPr>
            <w:tcW w:w="4353" w:type="dxa"/>
          </w:tcPr>
          <w:p w:rsidR="00EF270C" w:rsidRDefault="00EF270C" w:rsidP="00EF270C">
            <w:pPr>
              <w:numPr>
                <w:ilvl w:val="0"/>
                <w:numId w:val="24"/>
              </w:numPr>
            </w:pPr>
            <w:r>
              <w:t>National Gas Rules</w:t>
            </w:r>
          </w:p>
        </w:tc>
      </w:tr>
      <w:tr w:rsidR="00EF270C" w:rsidTr="00EF270C">
        <w:trPr>
          <w:cnfStyle w:val="000000010000" w:firstRow="0" w:lastRow="0" w:firstColumn="0" w:lastColumn="0" w:oddVBand="0" w:evenVBand="0" w:oddHBand="0" w:evenHBand="1" w:firstRowFirstColumn="0" w:firstRowLastColumn="0" w:lastRowFirstColumn="0" w:lastRowLastColumn="0"/>
        </w:trPr>
        <w:tc>
          <w:tcPr>
            <w:tcW w:w="4340" w:type="dxa"/>
          </w:tcPr>
          <w:p w:rsidR="00EF270C" w:rsidRDefault="00EF270C" w:rsidP="00EF270C">
            <w:pPr>
              <w:numPr>
                <w:ilvl w:val="0"/>
                <w:numId w:val="24"/>
              </w:numPr>
            </w:pPr>
            <w:r>
              <w:t>NPV</w:t>
            </w:r>
          </w:p>
        </w:tc>
        <w:tc>
          <w:tcPr>
            <w:tcW w:w="4353" w:type="dxa"/>
          </w:tcPr>
          <w:p w:rsidR="00EF270C" w:rsidRPr="00EF270C" w:rsidRDefault="00EF270C" w:rsidP="00EF270C">
            <w:r>
              <w:t>net present value</w:t>
            </w:r>
          </w:p>
        </w:tc>
      </w:tr>
      <w:tr w:rsidR="00EF270C" w:rsidTr="00EF270C">
        <w:tc>
          <w:tcPr>
            <w:tcW w:w="4340" w:type="dxa"/>
          </w:tcPr>
          <w:p w:rsidR="00EF270C" w:rsidRDefault="00EF270C" w:rsidP="00EF270C">
            <w:pPr>
              <w:numPr>
                <w:ilvl w:val="0"/>
                <w:numId w:val="24"/>
              </w:numPr>
            </w:pPr>
            <w:r>
              <w:t>opex</w:t>
            </w:r>
          </w:p>
        </w:tc>
        <w:tc>
          <w:tcPr>
            <w:tcW w:w="4353" w:type="dxa"/>
          </w:tcPr>
          <w:p w:rsidR="00EF270C" w:rsidRDefault="00EF270C" w:rsidP="00EF270C">
            <w:pPr>
              <w:numPr>
                <w:ilvl w:val="0"/>
                <w:numId w:val="24"/>
              </w:numPr>
            </w:pPr>
            <w:r>
              <w:t>operating expenditure</w:t>
            </w:r>
          </w:p>
        </w:tc>
      </w:tr>
      <w:tr w:rsidR="00EF270C" w:rsidTr="00EF270C">
        <w:trPr>
          <w:cnfStyle w:val="000000010000" w:firstRow="0" w:lastRow="0" w:firstColumn="0" w:lastColumn="0" w:oddVBand="0" w:evenVBand="0" w:oddHBand="0" w:evenHBand="1" w:firstRowFirstColumn="0" w:firstRowLastColumn="0" w:lastRowFirstColumn="0" w:lastRowLastColumn="0"/>
        </w:trPr>
        <w:tc>
          <w:tcPr>
            <w:tcW w:w="4340" w:type="dxa"/>
          </w:tcPr>
          <w:p w:rsidR="00EF270C" w:rsidRDefault="00EF270C" w:rsidP="00EF270C">
            <w:pPr>
              <w:numPr>
                <w:ilvl w:val="0"/>
                <w:numId w:val="24"/>
              </w:numPr>
            </w:pPr>
            <w:r>
              <w:t>PTRM</w:t>
            </w:r>
          </w:p>
        </w:tc>
        <w:tc>
          <w:tcPr>
            <w:tcW w:w="4353" w:type="dxa"/>
          </w:tcPr>
          <w:p w:rsidR="00EF270C" w:rsidRDefault="00EF270C" w:rsidP="00EF270C">
            <w:pPr>
              <w:numPr>
                <w:ilvl w:val="0"/>
                <w:numId w:val="24"/>
              </w:numPr>
            </w:pPr>
            <w:r>
              <w:t>post-tax revenue model</w:t>
            </w:r>
          </w:p>
        </w:tc>
      </w:tr>
      <w:tr w:rsidR="00EF270C" w:rsidTr="00EF270C">
        <w:tc>
          <w:tcPr>
            <w:tcW w:w="4340" w:type="dxa"/>
          </w:tcPr>
          <w:p w:rsidR="00EF270C" w:rsidRDefault="00EF270C" w:rsidP="00EF270C">
            <w:pPr>
              <w:numPr>
                <w:ilvl w:val="0"/>
                <w:numId w:val="24"/>
              </w:numPr>
            </w:pPr>
            <w:r>
              <w:t>RBA</w:t>
            </w:r>
          </w:p>
        </w:tc>
        <w:tc>
          <w:tcPr>
            <w:tcW w:w="4353" w:type="dxa"/>
          </w:tcPr>
          <w:p w:rsidR="00EF270C" w:rsidRDefault="00EF270C" w:rsidP="00EF270C">
            <w:pPr>
              <w:numPr>
                <w:ilvl w:val="0"/>
                <w:numId w:val="24"/>
              </w:numPr>
            </w:pPr>
            <w:r>
              <w:t>Reserve Bank of Australia</w:t>
            </w:r>
          </w:p>
        </w:tc>
      </w:tr>
      <w:tr w:rsidR="00EF270C" w:rsidTr="00EF270C">
        <w:trPr>
          <w:cnfStyle w:val="000000010000" w:firstRow="0" w:lastRow="0" w:firstColumn="0" w:lastColumn="0" w:oddVBand="0" w:evenVBand="0" w:oddHBand="0" w:evenHBand="1" w:firstRowFirstColumn="0" w:firstRowLastColumn="0" w:lastRowFirstColumn="0" w:lastRowLastColumn="0"/>
        </w:trPr>
        <w:tc>
          <w:tcPr>
            <w:tcW w:w="4340" w:type="dxa"/>
          </w:tcPr>
          <w:p w:rsidR="00EF270C" w:rsidRDefault="00EF270C" w:rsidP="00EF270C">
            <w:pPr>
              <w:numPr>
                <w:ilvl w:val="0"/>
                <w:numId w:val="24"/>
              </w:numPr>
            </w:pPr>
            <w:r>
              <w:t>RFM</w:t>
            </w:r>
          </w:p>
        </w:tc>
        <w:tc>
          <w:tcPr>
            <w:tcW w:w="4353" w:type="dxa"/>
          </w:tcPr>
          <w:p w:rsidR="00EF270C" w:rsidRDefault="00EF270C" w:rsidP="00EF270C">
            <w:pPr>
              <w:numPr>
                <w:ilvl w:val="0"/>
                <w:numId w:val="24"/>
              </w:numPr>
            </w:pPr>
            <w:r>
              <w:t>roll forward model</w:t>
            </w:r>
          </w:p>
        </w:tc>
      </w:tr>
      <w:tr w:rsidR="00EF270C" w:rsidTr="00EF270C">
        <w:tc>
          <w:tcPr>
            <w:tcW w:w="4340" w:type="dxa"/>
          </w:tcPr>
          <w:p w:rsidR="00EF270C" w:rsidRDefault="00EF270C" w:rsidP="00EF270C">
            <w:pPr>
              <w:numPr>
                <w:ilvl w:val="0"/>
                <w:numId w:val="24"/>
              </w:numPr>
            </w:pPr>
            <w:r>
              <w:t>RIN</w:t>
            </w:r>
          </w:p>
        </w:tc>
        <w:tc>
          <w:tcPr>
            <w:tcW w:w="4353" w:type="dxa"/>
          </w:tcPr>
          <w:p w:rsidR="00EF270C" w:rsidRDefault="00EF270C" w:rsidP="00EF270C">
            <w:pPr>
              <w:numPr>
                <w:ilvl w:val="0"/>
                <w:numId w:val="24"/>
              </w:numPr>
            </w:pPr>
            <w:r>
              <w:t>regulatory information notice</w:t>
            </w:r>
          </w:p>
        </w:tc>
      </w:tr>
      <w:tr w:rsidR="00EF270C" w:rsidTr="00EF270C">
        <w:trPr>
          <w:cnfStyle w:val="000000010000" w:firstRow="0" w:lastRow="0" w:firstColumn="0" w:lastColumn="0" w:oddVBand="0" w:evenVBand="0" w:oddHBand="0" w:evenHBand="1" w:firstRowFirstColumn="0" w:firstRowLastColumn="0" w:lastRowFirstColumn="0" w:lastRowLastColumn="0"/>
        </w:trPr>
        <w:tc>
          <w:tcPr>
            <w:tcW w:w="4340" w:type="dxa"/>
          </w:tcPr>
          <w:p w:rsidR="00EF270C" w:rsidRDefault="00EF270C" w:rsidP="00EF270C">
            <w:pPr>
              <w:numPr>
                <w:ilvl w:val="0"/>
                <w:numId w:val="24"/>
              </w:numPr>
            </w:pPr>
            <w:r>
              <w:t>RPP</w:t>
            </w:r>
          </w:p>
        </w:tc>
        <w:tc>
          <w:tcPr>
            <w:tcW w:w="4353" w:type="dxa"/>
          </w:tcPr>
          <w:p w:rsidR="00EF270C" w:rsidRDefault="00EF270C" w:rsidP="00EF270C">
            <w:pPr>
              <w:numPr>
                <w:ilvl w:val="0"/>
                <w:numId w:val="24"/>
              </w:numPr>
            </w:pPr>
            <w:r>
              <w:t>revenue and pricing principles</w:t>
            </w:r>
          </w:p>
        </w:tc>
      </w:tr>
      <w:tr w:rsidR="00EF270C" w:rsidTr="00EF270C">
        <w:tc>
          <w:tcPr>
            <w:tcW w:w="4340" w:type="dxa"/>
          </w:tcPr>
          <w:p w:rsidR="00EF270C" w:rsidRDefault="00EF270C" w:rsidP="00EF270C">
            <w:pPr>
              <w:numPr>
                <w:ilvl w:val="0"/>
                <w:numId w:val="24"/>
              </w:numPr>
            </w:pPr>
            <w:r>
              <w:t>SLCAPM</w:t>
            </w:r>
          </w:p>
        </w:tc>
        <w:tc>
          <w:tcPr>
            <w:tcW w:w="4353" w:type="dxa"/>
          </w:tcPr>
          <w:p w:rsidR="00EF270C" w:rsidRDefault="00EF270C" w:rsidP="00EF270C">
            <w:pPr>
              <w:numPr>
                <w:ilvl w:val="0"/>
                <w:numId w:val="24"/>
              </w:numPr>
            </w:pPr>
            <w:r>
              <w:t>Sharpe-Lintner capital asset pricing model</w:t>
            </w:r>
          </w:p>
        </w:tc>
      </w:tr>
      <w:tr w:rsidR="00EF270C" w:rsidTr="00EF270C">
        <w:trPr>
          <w:cnfStyle w:val="000000010000" w:firstRow="0" w:lastRow="0" w:firstColumn="0" w:lastColumn="0" w:oddVBand="0" w:evenVBand="0" w:oddHBand="0" w:evenHBand="1" w:firstRowFirstColumn="0" w:firstRowLastColumn="0" w:lastRowFirstColumn="0" w:lastRowLastColumn="0"/>
        </w:trPr>
        <w:tc>
          <w:tcPr>
            <w:tcW w:w="4340" w:type="dxa"/>
          </w:tcPr>
          <w:p w:rsidR="00EF270C" w:rsidRDefault="00EF270C" w:rsidP="00EF270C">
            <w:pPr>
              <w:numPr>
                <w:ilvl w:val="0"/>
                <w:numId w:val="24"/>
              </w:numPr>
            </w:pPr>
            <w:r>
              <w:t>STTM</w:t>
            </w:r>
          </w:p>
        </w:tc>
        <w:tc>
          <w:tcPr>
            <w:tcW w:w="4353" w:type="dxa"/>
          </w:tcPr>
          <w:p w:rsidR="00EF270C" w:rsidRPr="00EF270C" w:rsidRDefault="00EF270C" w:rsidP="00EF270C">
            <w:r>
              <w:t>Short Term Trading Market</w:t>
            </w:r>
          </w:p>
        </w:tc>
      </w:tr>
      <w:tr w:rsidR="00EF270C" w:rsidTr="00EF270C">
        <w:tc>
          <w:tcPr>
            <w:tcW w:w="4340" w:type="dxa"/>
          </w:tcPr>
          <w:p w:rsidR="00EF270C" w:rsidRDefault="00EF270C" w:rsidP="00EF270C">
            <w:pPr>
              <w:numPr>
                <w:ilvl w:val="0"/>
                <w:numId w:val="24"/>
              </w:numPr>
            </w:pPr>
            <w:r>
              <w:t>TAB</w:t>
            </w:r>
          </w:p>
        </w:tc>
        <w:tc>
          <w:tcPr>
            <w:tcW w:w="4353" w:type="dxa"/>
          </w:tcPr>
          <w:p w:rsidR="00EF270C" w:rsidRPr="00EF270C" w:rsidRDefault="00EF270C" w:rsidP="00EF270C">
            <w:r>
              <w:t>Tax asset base</w:t>
            </w:r>
          </w:p>
        </w:tc>
      </w:tr>
      <w:tr w:rsidR="00EF270C" w:rsidTr="00EF270C">
        <w:trPr>
          <w:cnfStyle w:val="000000010000" w:firstRow="0" w:lastRow="0" w:firstColumn="0" w:lastColumn="0" w:oddVBand="0" w:evenVBand="0" w:oddHBand="0" w:evenHBand="1" w:firstRowFirstColumn="0" w:firstRowLastColumn="0" w:lastRowFirstColumn="0" w:lastRowLastColumn="0"/>
        </w:trPr>
        <w:tc>
          <w:tcPr>
            <w:tcW w:w="4340" w:type="dxa"/>
          </w:tcPr>
          <w:p w:rsidR="00EF270C" w:rsidRDefault="00EF270C" w:rsidP="00EF270C">
            <w:pPr>
              <w:numPr>
                <w:ilvl w:val="0"/>
                <w:numId w:val="24"/>
              </w:numPr>
            </w:pPr>
            <w:r>
              <w:t>UAFG</w:t>
            </w:r>
          </w:p>
        </w:tc>
        <w:tc>
          <w:tcPr>
            <w:tcW w:w="4353" w:type="dxa"/>
          </w:tcPr>
          <w:p w:rsidR="00EF270C" w:rsidRPr="00EF270C" w:rsidRDefault="00EF270C" w:rsidP="00EF270C">
            <w:r>
              <w:t>Unaccounted for gas</w:t>
            </w:r>
          </w:p>
        </w:tc>
      </w:tr>
      <w:tr w:rsidR="00EF270C" w:rsidTr="00EF270C">
        <w:tc>
          <w:tcPr>
            <w:tcW w:w="4340" w:type="dxa"/>
          </w:tcPr>
          <w:p w:rsidR="00EF270C" w:rsidRDefault="00EF270C" w:rsidP="00EF270C">
            <w:pPr>
              <w:numPr>
                <w:ilvl w:val="0"/>
                <w:numId w:val="24"/>
              </w:numPr>
            </w:pPr>
            <w:r>
              <w:t>WACC</w:t>
            </w:r>
          </w:p>
        </w:tc>
        <w:tc>
          <w:tcPr>
            <w:tcW w:w="4353" w:type="dxa"/>
          </w:tcPr>
          <w:p w:rsidR="00EF270C" w:rsidRDefault="00EF270C" w:rsidP="00EF270C">
            <w:pPr>
              <w:numPr>
                <w:ilvl w:val="0"/>
                <w:numId w:val="24"/>
              </w:numPr>
            </w:pPr>
            <w:r>
              <w:t>weighted average cost of capital</w:t>
            </w:r>
          </w:p>
        </w:tc>
      </w:tr>
      <w:tr w:rsidR="00EF270C" w:rsidTr="00EF270C">
        <w:trPr>
          <w:cnfStyle w:val="000000010000" w:firstRow="0" w:lastRow="0" w:firstColumn="0" w:lastColumn="0" w:oddVBand="0" w:evenVBand="0" w:oddHBand="0" w:evenHBand="1" w:firstRowFirstColumn="0" w:firstRowLastColumn="0" w:lastRowFirstColumn="0" w:lastRowLastColumn="0"/>
        </w:trPr>
        <w:tc>
          <w:tcPr>
            <w:tcW w:w="4340" w:type="dxa"/>
          </w:tcPr>
          <w:p w:rsidR="00EF270C" w:rsidRDefault="00EF270C" w:rsidP="00EF270C">
            <w:pPr>
              <w:numPr>
                <w:ilvl w:val="0"/>
                <w:numId w:val="24"/>
              </w:numPr>
            </w:pPr>
            <w:r>
              <w:t>WPI</w:t>
            </w:r>
          </w:p>
        </w:tc>
        <w:tc>
          <w:tcPr>
            <w:tcW w:w="4353" w:type="dxa"/>
          </w:tcPr>
          <w:p w:rsidR="00EF270C" w:rsidRPr="00EF270C" w:rsidRDefault="00EF270C" w:rsidP="00EF270C">
            <w:r>
              <w:t>Wage Price Index</w:t>
            </w:r>
          </w:p>
        </w:tc>
      </w:tr>
    </w:tbl>
    <w:p w:rsidR="00DE563D" w:rsidRDefault="00D5015C" w:rsidP="00471BC6">
      <w:pPr>
        <w:pStyle w:val="Heading1"/>
      </w:pPr>
      <w:bookmarkStart w:id="12" w:name="_Toc485195830"/>
      <w:bookmarkStart w:id="13" w:name="_Toc485195833"/>
      <w:bookmarkStart w:id="14" w:name="_Toc485195836"/>
      <w:bookmarkStart w:id="15" w:name="_Toc485195839"/>
      <w:bookmarkStart w:id="16" w:name="_Toc485195842"/>
      <w:bookmarkStart w:id="17" w:name="_Toc485195845"/>
      <w:bookmarkStart w:id="18" w:name="_Toc485195848"/>
      <w:bookmarkStart w:id="19" w:name="_Toc485195851"/>
      <w:bookmarkStart w:id="20" w:name="_Toc485195854"/>
      <w:bookmarkStart w:id="21" w:name="_Toc485195857"/>
      <w:bookmarkStart w:id="22" w:name="_Toc485195860"/>
      <w:bookmarkStart w:id="23" w:name="_Toc485195863"/>
      <w:bookmarkStart w:id="24" w:name="_Toc485195866"/>
      <w:bookmarkStart w:id="25" w:name="_Toc485195869"/>
      <w:bookmarkStart w:id="26" w:name="_Toc485195872"/>
      <w:bookmarkStart w:id="27" w:name="_Toc485195875"/>
      <w:bookmarkStart w:id="28" w:name="_Toc485195878"/>
      <w:bookmarkStart w:id="29" w:name="_Toc485195881"/>
      <w:bookmarkStart w:id="30" w:name="_Toc485195884"/>
      <w:bookmarkStart w:id="31" w:name="_Toc485195887"/>
      <w:bookmarkStart w:id="32" w:name="_Toc485195890"/>
      <w:bookmarkStart w:id="33" w:name="_Toc485195893"/>
      <w:bookmarkStart w:id="34" w:name="_Toc485195896"/>
      <w:bookmarkStart w:id="35" w:name="_Toc485195899"/>
      <w:bookmarkStart w:id="36" w:name="_Toc485195902"/>
      <w:bookmarkStart w:id="37" w:name="_Toc485195905"/>
      <w:bookmarkStart w:id="38" w:name="_Toc485195908"/>
      <w:bookmarkStart w:id="39" w:name="_Toc485195911"/>
      <w:bookmarkStart w:id="40" w:name="_Toc416278154"/>
      <w:bookmarkStart w:id="41" w:name="_Toc416346517"/>
      <w:bookmarkStart w:id="42" w:name="_Toc416278157"/>
      <w:bookmarkStart w:id="43" w:name="_Toc416346520"/>
      <w:bookmarkStart w:id="44" w:name="_Toc416278160"/>
      <w:bookmarkStart w:id="45" w:name="_Toc416346523"/>
      <w:bookmarkStart w:id="46" w:name="_Toc416278163"/>
      <w:bookmarkStart w:id="47" w:name="_Toc416346526"/>
      <w:bookmarkStart w:id="48" w:name="_Toc416278166"/>
      <w:bookmarkStart w:id="49" w:name="_Toc416346529"/>
      <w:bookmarkStart w:id="50" w:name="_Toc416278169"/>
      <w:bookmarkStart w:id="51" w:name="_Toc416346532"/>
      <w:bookmarkStart w:id="52" w:name="_Toc416278172"/>
      <w:bookmarkStart w:id="53" w:name="_Toc416346535"/>
      <w:bookmarkStart w:id="54" w:name="_Toc416278175"/>
      <w:bookmarkStart w:id="55" w:name="_Toc416346538"/>
      <w:bookmarkStart w:id="56" w:name="_Toc416278178"/>
      <w:bookmarkStart w:id="57" w:name="_Toc416346541"/>
      <w:bookmarkStart w:id="58" w:name="_Toc416278181"/>
      <w:bookmarkStart w:id="59" w:name="_Toc416346544"/>
      <w:bookmarkStart w:id="60" w:name="_Toc416278184"/>
      <w:bookmarkStart w:id="61" w:name="_Toc416346547"/>
      <w:bookmarkStart w:id="62" w:name="_Toc416278187"/>
      <w:bookmarkStart w:id="63" w:name="_Toc416346550"/>
      <w:bookmarkStart w:id="64" w:name="_Toc416278190"/>
      <w:bookmarkStart w:id="65" w:name="_Toc416346553"/>
      <w:bookmarkStart w:id="66" w:name="_Toc416278193"/>
      <w:bookmarkStart w:id="67" w:name="_Toc416346556"/>
      <w:bookmarkStart w:id="68" w:name="_Toc416278196"/>
      <w:bookmarkStart w:id="69" w:name="_Toc416346559"/>
      <w:bookmarkStart w:id="70" w:name="_Toc416278199"/>
      <w:bookmarkStart w:id="71" w:name="_Toc416346562"/>
      <w:bookmarkStart w:id="72" w:name="_Toc416278202"/>
      <w:bookmarkStart w:id="73" w:name="_Toc416346565"/>
      <w:bookmarkStart w:id="74" w:name="_Toc416278205"/>
      <w:bookmarkStart w:id="75" w:name="_Toc416346568"/>
      <w:bookmarkStart w:id="76" w:name="_Toc416278208"/>
      <w:bookmarkStart w:id="77" w:name="_Toc416346571"/>
      <w:bookmarkStart w:id="78" w:name="_Toc416278211"/>
      <w:bookmarkStart w:id="79" w:name="_Toc416346574"/>
      <w:bookmarkStart w:id="80" w:name="_Toc416278214"/>
      <w:bookmarkStart w:id="81" w:name="_Toc416346577"/>
      <w:bookmarkStart w:id="82" w:name="_Toc416278217"/>
      <w:bookmarkStart w:id="83" w:name="_Toc416346580"/>
      <w:bookmarkStart w:id="84" w:name="_Toc416278220"/>
      <w:bookmarkStart w:id="85" w:name="_Toc416346583"/>
      <w:bookmarkStart w:id="86" w:name="_Toc416278223"/>
      <w:bookmarkStart w:id="87" w:name="_Toc416346586"/>
      <w:bookmarkStart w:id="88" w:name="_Toc416278226"/>
      <w:bookmarkStart w:id="89" w:name="_Toc416346589"/>
      <w:bookmarkStart w:id="90" w:name="_Toc416278229"/>
      <w:bookmarkStart w:id="91" w:name="_Toc416346592"/>
      <w:bookmarkStart w:id="92" w:name="_Toc416278232"/>
      <w:bookmarkStart w:id="93" w:name="_Toc416346595"/>
      <w:bookmarkStart w:id="94" w:name="_Toc416278235"/>
      <w:bookmarkStart w:id="95" w:name="_Toc416346598"/>
      <w:bookmarkStart w:id="96" w:name="_Toc416278238"/>
      <w:bookmarkStart w:id="97" w:name="_Toc416346601"/>
      <w:bookmarkStart w:id="98" w:name="_Toc48683787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0"/>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t>Services covered by the access arrangement</w:t>
      </w:r>
      <w:bookmarkEnd w:id="98"/>
    </w:p>
    <w:p w:rsidR="00705BC0" w:rsidRPr="00705BC0" w:rsidRDefault="00705BC0" w:rsidP="00705BC0">
      <w:r w:rsidRPr="00705BC0">
        <w:t>The NGR requires the access arrangement to identify:</w:t>
      </w:r>
    </w:p>
    <w:p w:rsidR="00705BC0" w:rsidRPr="00705BC0" w:rsidRDefault="00705BC0" w:rsidP="00DF76CF">
      <w:pPr>
        <w:pStyle w:val="AERbulletlistfirststyle"/>
      </w:pPr>
      <w:r w:rsidRPr="00705BC0">
        <w:tab/>
        <w:t>the pipeline which the access arrangement relates to, and</w:t>
      </w:r>
    </w:p>
    <w:p w:rsidR="00132D43" w:rsidRDefault="00705BC0" w:rsidP="00DF76CF">
      <w:pPr>
        <w:pStyle w:val="AERbulletlistfirststyle"/>
      </w:pPr>
      <w:r w:rsidRPr="00705BC0">
        <w:tab/>
      </w:r>
      <w:proofErr w:type="gramStart"/>
      <w:r w:rsidRPr="00705BC0">
        <w:t>the</w:t>
      </w:r>
      <w:proofErr w:type="gramEnd"/>
      <w:r w:rsidRPr="00705BC0">
        <w:t xml:space="preserve"> services </w:t>
      </w:r>
      <w:r w:rsidR="00945FFB">
        <w:t>which Multinet</w:t>
      </w:r>
      <w:r w:rsidRPr="00705BC0">
        <w:t xml:space="preserve"> proposes to offer customers by means of that pipeline</w:t>
      </w:r>
      <w:r>
        <w:t>.</w:t>
      </w:r>
      <w:r w:rsidR="00DC428A">
        <w:rPr>
          <w:rStyle w:val="FootnoteReference"/>
        </w:rPr>
        <w:footnoteReference w:id="1"/>
      </w:r>
    </w:p>
    <w:p w:rsidR="00F261A4" w:rsidRPr="00F261A4" w:rsidRDefault="00F261A4" w:rsidP="00F261A4">
      <w:r w:rsidRPr="00F261A4">
        <w:t xml:space="preserve">A full access arrangement must specify as a reference service: </w:t>
      </w:r>
    </w:p>
    <w:p w:rsidR="00F261A4" w:rsidRPr="00F261A4" w:rsidRDefault="00F261A4" w:rsidP="00DF76CF">
      <w:pPr>
        <w:pStyle w:val="AERnumberedlistsecondstyle"/>
      </w:pPr>
      <w:r w:rsidRPr="00F261A4">
        <w:t xml:space="preserve">at least one pipeline service that is likely to be sought by a significant part of the market; and </w:t>
      </w:r>
    </w:p>
    <w:p w:rsidR="00F261A4" w:rsidRPr="00F261A4" w:rsidRDefault="00F261A4" w:rsidP="00DF76CF">
      <w:pPr>
        <w:pStyle w:val="AERnumberedlistsecondstyle"/>
      </w:pPr>
      <w:proofErr w:type="gramStart"/>
      <w:r w:rsidRPr="00F261A4">
        <w:t>any</w:t>
      </w:r>
      <w:proofErr w:type="gramEnd"/>
      <w:r w:rsidRPr="00F261A4">
        <w:t xml:space="preserve"> other pipeline service that is likely to be sought by a significant part of the market and which the AER considers should be specified as a reference service. </w:t>
      </w:r>
    </w:p>
    <w:p w:rsidR="00F261A4" w:rsidRDefault="00F261A4" w:rsidP="00F261A4">
      <w:r w:rsidRPr="00F261A4">
        <w:t>In deciding whether to specify a pipeline service</w:t>
      </w:r>
      <w:r w:rsidR="00EC0880">
        <w:t xml:space="preserve"> as a reference service, we</w:t>
      </w:r>
      <w:r w:rsidRPr="00F261A4">
        <w:t xml:space="preserve"> must take into account the revenue and pricing principles.</w:t>
      </w:r>
      <w:r>
        <w:rPr>
          <w:rStyle w:val="FootnoteReference"/>
        </w:rPr>
        <w:footnoteReference w:id="2"/>
      </w:r>
    </w:p>
    <w:p w:rsidR="00132D43" w:rsidRDefault="00132D43" w:rsidP="00132D43">
      <w:pPr>
        <w:pStyle w:val="Heading2"/>
      </w:pPr>
      <w:bookmarkStart w:id="99" w:name="_Toc486837871"/>
      <w:r>
        <w:t>Draft decision</w:t>
      </w:r>
      <w:bookmarkEnd w:id="99"/>
    </w:p>
    <w:p w:rsidR="00132D43" w:rsidRDefault="00B763BC" w:rsidP="00132D43">
      <w:r>
        <w:t xml:space="preserve">We approve the </w:t>
      </w:r>
      <w:r w:rsidR="00162729">
        <w:t>haulage reference services proposed by Multinet for the 2018–22 access arrangement. These</w:t>
      </w:r>
      <w:r w:rsidR="00660368">
        <w:t xml:space="preserve"> services</w:t>
      </w:r>
      <w:r w:rsidR="00162729">
        <w:t xml:space="preserve"> are the same</w:t>
      </w:r>
      <w:r w:rsidR="00050224">
        <w:t xml:space="preserve"> </w:t>
      </w:r>
      <w:r w:rsidR="00162729">
        <w:t xml:space="preserve">as </w:t>
      </w:r>
      <w:r w:rsidR="00660368">
        <w:t xml:space="preserve">those in </w:t>
      </w:r>
      <w:r w:rsidR="00162729">
        <w:t>the current access arrangement period.</w:t>
      </w:r>
      <w:r w:rsidR="0016025C">
        <w:t xml:space="preserve"> The services are:</w:t>
      </w:r>
    </w:p>
    <w:p w:rsidR="0016025C" w:rsidRDefault="0016025C" w:rsidP="0016025C">
      <w:pPr>
        <w:pStyle w:val="AERbulletlistfirststyle"/>
      </w:pPr>
      <w:r>
        <w:t>Allowing injection of gas at transfer points</w:t>
      </w:r>
    </w:p>
    <w:p w:rsidR="0016025C" w:rsidRDefault="0016025C" w:rsidP="0016025C">
      <w:pPr>
        <w:pStyle w:val="AERbulletlistfirststyle"/>
      </w:pPr>
      <w:r>
        <w:t>Conveyance of gas from transfer points to distribution supply points</w:t>
      </w:r>
    </w:p>
    <w:p w:rsidR="0016025C" w:rsidRDefault="0016025C" w:rsidP="0016025C">
      <w:pPr>
        <w:pStyle w:val="AERbulletlistfirststyle"/>
      </w:pPr>
      <w:r>
        <w:t>Allowing withdrawal of gas at distribution supply points</w:t>
      </w:r>
    </w:p>
    <w:p w:rsidR="0016025C" w:rsidRDefault="0016025C" w:rsidP="0016025C">
      <w:pPr>
        <w:pStyle w:val="AERbulletlistfirststyle"/>
      </w:pPr>
      <w:r>
        <w:t>Meter installation and scheduled meter reading</w:t>
      </w:r>
      <w:r w:rsidR="008F73CC">
        <w:t>.</w:t>
      </w:r>
    </w:p>
    <w:p w:rsidR="0016025C" w:rsidRDefault="0016025C" w:rsidP="00132D43">
      <w:r>
        <w:t>These services will be offered to residential and non-residential customers.</w:t>
      </w:r>
    </w:p>
    <w:p w:rsidR="0051111C" w:rsidRDefault="0051111C" w:rsidP="00132D43">
      <w:r>
        <w:t xml:space="preserve">We approve the </w:t>
      </w:r>
      <w:r w:rsidR="00050224">
        <w:t xml:space="preserve">following </w:t>
      </w:r>
      <w:r>
        <w:t xml:space="preserve">ancillary reference services for the 2018–22 access </w:t>
      </w:r>
      <w:r w:rsidR="00870DC0">
        <w:t>arrangement, which</w:t>
      </w:r>
      <w:r w:rsidR="00660368">
        <w:t xml:space="preserve"> </w:t>
      </w:r>
      <w:r w:rsidR="000371C1">
        <w:t>are offered to residential and non-residential customers</w:t>
      </w:r>
      <w:r w:rsidR="00050224">
        <w:t>:</w:t>
      </w:r>
    </w:p>
    <w:p w:rsidR="0051111C" w:rsidRPr="00705BC0" w:rsidRDefault="0051111C" w:rsidP="0051111C">
      <w:pPr>
        <w:pStyle w:val="AERbulletlistfirststyle"/>
      </w:pPr>
      <w:r w:rsidRPr="00705BC0">
        <w:t>Meter and gas installation te</w:t>
      </w:r>
      <w:r>
        <w:t>sts</w:t>
      </w:r>
    </w:p>
    <w:p w:rsidR="0051111C" w:rsidRPr="00705BC0" w:rsidRDefault="0051111C" w:rsidP="0051111C">
      <w:pPr>
        <w:pStyle w:val="AERbulletlistfirststyle"/>
      </w:pPr>
      <w:r w:rsidRPr="00705BC0">
        <w:t>Disconnections, being:</w:t>
      </w:r>
    </w:p>
    <w:p w:rsidR="0051111C" w:rsidRPr="00705BC0" w:rsidRDefault="0051111C" w:rsidP="0051111C">
      <w:pPr>
        <w:pStyle w:val="AERbulletlistsecondstyle"/>
      </w:pPr>
      <w:r>
        <w:t>r</w:t>
      </w:r>
      <w:r w:rsidRPr="00705BC0">
        <w:t>emoval of the meter</w:t>
      </w:r>
      <w:r>
        <w:t xml:space="preserve"> at a metering installation</w:t>
      </w:r>
    </w:p>
    <w:p w:rsidR="0051111C" w:rsidRDefault="0051111C" w:rsidP="0051111C">
      <w:pPr>
        <w:pStyle w:val="AERbulletlistsecondstyle"/>
      </w:pPr>
      <w:r>
        <w:t>t</w:t>
      </w:r>
      <w:r w:rsidRPr="00705BC0">
        <w:t>he use of locks or plugs at a metering installation</w:t>
      </w:r>
    </w:p>
    <w:p w:rsidR="0051111C" w:rsidRPr="00705BC0" w:rsidRDefault="0051111C" w:rsidP="0051111C">
      <w:pPr>
        <w:pStyle w:val="AERbulletlistfirststyle"/>
      </w:pPr>
      <w:r>
        <w:t xml:space="preserve"> Energisation and reconnection</w:t>
      </w:r>
    </w:p>
    <w:p w:rsidR="0051111C" w:rsidRDefault="0051111C" w:rsidP="0051111C">
      <w:pPr>
        <w:pStyle w:val="AERbulletlistfirststyle"/>
      </w:pPr>
      <w:r>
        <w:t>Special meter reading</w:t>
      </w:r>
    </w:p>
    <w:p w:rsidR="00B86342" w:rsidRDefault="00B86342" w:rsidP="00B86342">
      <w:pPr>
        <w:pStyle w:val="AERbulletlistfirststyle"/>
      </w:pPr>
      <w:r>
        <w:t>Installation of a service valve</w:t>
      </w:r>
      <w:r w:rsidR="00EF270C">
        <w:t>.</w:t>
      </w:r>
    </w:p>
    <w:p w:rsidR="00132D43" w:rsidRDefault="00863034" w:rsidP="00132D43">
      <w:pPr>
        <w:pStyle w:val="Heading2"/>
      </w:pPr>
      <w:bookmarkStart w:id="100" w:name="_Toc486837872"/>
      <w:r>
        <w:t>Multinet</w:t>
      </w:r>
      <w:r w:rsidR="00132D43">
        <w:t>’s proposal</w:t>
      </w:r>
      <w:bookmarkEnd w:id="100"/>
    </w:p>
    <w:p w:rsidR="00705BC0" w:rsidRDefault="00705BC0" w:rsidP="00705BC0">
      <w:r>
        <w:t>Multinet propose</w:t>
      </w:r>
      <w:r w:rsidR="00EF270C">
        <w:t>d</w:t>
      </w:r>
      <w:r>
        <w:t xml:space="preserve"> to offer the following services during the 2018–22 access arrangement </w:t>
      </w:r>
      <w:proofErr w:type="gramStart"/>
      <w:r>
        <w:t>period</w:t>
      </w:r>
      <w:proofErr w:type="gramEnd"/>
      <w:r>
        <w:t>:</w:t>
      </w:r>
    </w:p>
    <w:p w:rsidR="00705BC0" w:rsidRPr="00705BC0" w:rsidRDefault="00705BC0" w:rsidP="00705BC0">
      <w:pPr>
        <w:pStyle w:val="AERbulletlistfirststyle"/>
      </w:pPr>
      <w:r w:rsidRPr="00705BC0">
        <w:t>the reference services, comprising:</w:t>
      </w:r>
    </w:p>
    <w:p w:rsidR="00705BC0" w:rsidRPr="00705BC0" w:rsidRDefault="00705BC0" w:rsidP="00705BC0">
      <w:pPr>
        <w:pStyle w:val="AERbulletlistsecondstyle"/>
      </w:pPr>
      <w:r w:rsidRPr="00705BC0">
        <w:t>haulage reference services</w:t>
      </w:r>
    </w:p>
    <w:p w:rsidR="00705BC0" w:rsidRPr="00705BC0" w:rsidRDefault="00705BC0" w:rsidP="00705BC0">
      <w:pPr>
        <w:pStyle w:val="AERbulletlistsecondstyle"/>
      </w:pPr>
      <w:r>
        <w:t>ancillary reference services</w:t>
      </w:r>
    </w:p>
    <w:p w:rsidR="00705BC0" w:rsidRPr="00705BC0" w:rsidRDefault="00705BC0" w:rsidP="00705BC0">
      <w:pPr>
        <w:pStyle w:val="AERbulletlistfirststyle"/>
      </w:pPr>
      <w:proofErr w:type="gramStart"/>
      <w:r>
        <w:t>non</w:t>
      </w:r>
      <w:r>
        <w:noBreakHyphen/>
        <w:t>reference</w:t>
      </w:r>
      <w:proofErr w:type="gramEnd"/>
      <w:r>
        <w:t xml:space="preserve"> services</w:t>
      </w:r>
      <w:r w:rsidR="008F73CC">
        <w:t>.</w:t>
      </w:r>
    </w:p>
    <w:p w:rsidR="00132D43" w:rsidRPr="00DF76CF" w:rsidRDefault="00705BC0" w:rsidP="00EF270C">
      <w:pPr>
        <w:pStyle w:val="HeadingBoldBlue"/>
        <w:rPr>
          <w:rStyle w:val="AERtextblue"/>
          <w:color w:val="70635A" w:themeColor="text2"/>
        </w:rPr>
      </w:pPr>
      <w:r w:rsidRPr="00DF76CF">
        <w:rPr>
          <w:rStyle w:val="AERtextblue"/>
          <w:color w:val="70635A" w:themeColor="text2"/>
        </w:rPr>
        <w:t>Haulage Reference services</w:t>
      </w:r>
    </w:p>
    <w:p w:rsidR="00705BC0" w:rsidRDefault="00705BC0" w:rsidP="00132D43">
      <w:r>
        <w:t>Multinet propose</w:t>
      </w:r>
      <w:r w:rsidR="00EF270C">
        <w:t>d</w:t>
      </w:r>
      <w:r>
        <w:t xml:space="preserve"> the following haulage reference services, which are the same as those in the current access arrangement:</w:t>
      </w:r>
    </w:p>
    <w:p w:rsidR="00705BC0" w:rsidRDefault="00452FDD" w:rsidP="00452FDD">
      <w:pPr>
        <w:pStyle w:val="AERbulletlistfirststyle"/>
      </w:pPr>
      <w:r>
        <w:t>Allowing injection of gas at transfer points</w:t>
      </w:r>
    </w:p>
    <w:p w:rsidR="00452FDD" w:rsidRDefault="00452FDD" w:rsidP="00452FDD">
      <w:pPr>
        <w:pStyle w:val="AERbulletlistfirststyle"/>
      </w:pPr>
      <w:r>
        <w:t>Conveyance of gas from transfer points to distribution supply points</w:t>
      </w:r>
    </w:p>
    <w:p w:rsidR="00452FDD" w:rsidRDefault="00452FDD" w:rsidP="00452FDD">
      <w:pPr>
        <w:pStyle w:val="AERbulletlistfirststyle"/>
      </w:pPr>
      <w:r>
        <w:t>Allowing withdrawal of gas at distribution supply points</w:t>
      </w:r>
    </w:p>
    <w:p w:rsidR="00162729" w:rsidRDefault="00162729" w:rsidP="00452FDD">
      <w:pPr>
        <w:pStyle w:val="AERbulletlistfirststyle"/>
      </w:pPr>
      <w:r>
        <w:t>Meter installation and scheduled meter reading</w:t>
      </w:r>
    </w:p>
    <w:p w:rsidR="00F261A4" w:rsidRDefault="00660368" w:rsidP="00F261A4">
      <w:r>
        <w:t xml:space="preserve">Multinet </w:t>
      </w:r>
      <w:r w:rsidR="00F261A4">
        <w:t>offers two types of haulage reference services:</w:t>
      </w:r>
    </w:p>
    <w:p w:rsidR="00F261A4" w:rsidRDefault="00F261A4" w:rsidP="00452FDD">
      <w:pPr>
        <w:pStyle w:val="AERbulletlistfirststyle"/>
      </w:pPr>
      <w:r>
        <w:t>Residential haulage reference services — Tariff V customers</w:t>
      </w:r>
    </w:p>
    <w:p w:rsidR="00F261A4" w:rsidRDefault="00F261A4" w:rsidP="00452FDD">
      <w:pPr>
        <w:pStyle w:val="AERbulletlistfirststyle"/>
      </w:pPr>
      <w:r>
        <w:t>Non-residential haulage reference services — Tariff D</w:t>
      </w:r>
      <w:r w:rsidR="009A7633">
        <w:t>, Tariff L and Tariff V</w:t>
      </w:r>
      <w:r>
        <w:t xml:space="preserve"> customers</w:t>
      </w:r>
      <w:r w:rsidR="008F73CC">
        <w:t>.</w:t>
      </w:r>
    </w:p>
    <w:p w:rsidR="00B763BC" w:rsidRDefault="00B6139E" w:rsidP="00132D43">
      <w:r>
        <w:t>In providing these services, Multinet</w:t>
      </w:r>
      <w:r w:rsidR="00452FDD">
        <w:t xml:space="preserve"> transport</w:t>
      </w:r>
      <w:r>
        <w:t>s</w:t>
      </w:r>
      <w:r w:rsidR="00452FDD">
        <w:t xml:space="preserve"> gas through a distribution pipeline to end</w:t>
      </w:r>
      <w:r w:rsidR="00660368">
        <w:t>-</w:t>
      </w:r>
      <w:r w:rsidR="00452FDD">
        <w:t xml:space="preserve">use customers. </w:t>
      </w:r>
      <w:r w:rsidR="008F73CC">
        <w:t>Gas r</w:t>
      </w:r>
      <w:r w:rsidR="00452FDD">
        <w:t xml:space="preserve">etailers pay this transportation charge to Multinet, and retailers recoup that cost via their retail gas tariffs charged to customers. </w:t>
      </w:r>
    </w:p>
    <w:p w:rsidR="00B763BC" w:rsidRPr="00DF76CF" w:rsidRDefault="00B763BC" w:rsidP="00EF270C">
      <w:pPr>
        <w:pStyle w:val="HeadingBoldBlue"/>
        <w:rPr>
          <w:rStyle w:val="AERtextblue"/>
          <w:color w:val="70635A" w:themeColor="text2"/>
        </w:rPr>
      </w:pPr>
      <w:r w:rsidRPr="00DF76CF">
        <w:rPr>
          <w:rStyle w:val="AERtextblue"/>
          <w:color w:val="70635A" w:themeColor="text2"/>
        </w:rPr>
        <w:t>Ancillary reference services</w:t>
      </w:r>
    </w:p>
    <w:p w:rsidR="00B763BC" w:rsidRDefault="00B763BC" w:rsidP="00705BC0">
      <w:r>
        <w:t>Multinet propose</w:t>
      </w:r>
      <w:r w:rsidR="00EF270C">
        <w:t>d</w:t>
      </w:r>
      <w:r>
        <w:t xml:space="preserve"> one additional service to its list of ancillary reference services for the </w:t>
      </w:r>
      <w:r w:rsidR="00E70C56">
        <w:t>2018–22 access arrangement</w:t>
      </w:r>
      <w:r w:rsidR="00882D3D">
        <w:t xml:space="preserve"> (set out in Schedule 1 of Part </w:t>
      </w:r>
      <w:r w:rsidR="00882D3D" w:rsidRPr="00705BC0">
        <w:t xml:space="preserve">A of </w:t>
      </w:r>
      <w:r w:rsidR="00882D3D">
        <w:t>the access arrangement)</w:t>
      </w:r>
      <w:r w:rsidR="00E70C56">
        <w:t xml:space="preserve">. </w:t>
      </w:r>
      <w:r w:rsidR="00705BC0">
        <w:t>Its proposed list of ancillary reference services are:</w:t>
      </w:r>
    </w:p>
    <w:p w:rsidR="00705BC0" w:rsidRPr="00705BC0" w:rsidRDefault="00705BC0" w:rsidP="00705BC0">
      <w:pPr>
        <w:pStyle w:val="AERbulletlistfirststyle"/>
      </w:pPr>
      <w:r w:rsidRPr="00705BC0">
        <w:t>Meter and gas installation te</w:t>
      </w:r>
      <w:r>
        <w:t>sts</w:t>
      </w:r>
    </w:p>
    <w:p w:rsidR="00705BC0" w:rsidRPr="00705BC0" w:rsidRDefault="00705BC0" w:rsidP="00705BC0">
      <w:pPr>
        <w:pStyle w:val="AERbulletlistfirststyle"/>
      </w:pPr>
      <w:r w:rsidRPr="00705BC0">
        <w:t>Disconnections, being:</w:t>
      </w:r>
    </w:p>
    <w:p w:rsidR="00705BC0" w:rsidRPr="00705BC0" w:rsidRDefault="00705BC0" w:rsidP="00705BC0">
      <w:pPr>
        <w:pStyle w:val="AERbulletlistsecondstyle"/>
      </w:pPr>
      <w:r>
        <w:t>r</w:t>
      </w:r>
      <w:r w:rsidRPr="00705BC0">
        <w:t>emoval of the meter</w:t>
      </w:r>
      <w:r>
        <w:t xml:space="preserve"> at a metering installation</w:t>
      </w:r>
    </w:p>
    <w:p w:rsidR="00705BC0" w:rsidRDefault="00705BC0" w:rsidP="00705BC0">
      <w:pPr>
        <w:pStyle w:val="AERbulletlistsecondstyle"/>
      </w:pPr>
      <w:proofErr w:type="gramStart"/>
      <w:r>
        <w:t>t</w:t>
      </w:r>
      <w:r w:rsidRPr="00705BC0">
        <w:t>he</w:t>
      </w:r>
      <w:proofErr w:type="gramEnd"/>
      <w:r w:rsidRPr="00705BC0">
        <w:t xml:space="preserve"> use of locks or plugs at a metering installation.</w:t>
      </w:r>
    </w:p>
    <w:p w:rsidR="00705BC0" w:rsidRPr="00705BC0" w:rsidRDefault="00705BC0" w:rsidP="00705BC0">
      <w:pPr>
        <w:pStyle w:val="AERbulletlistfirststyle"/>
      </w:pPr>
      <w:r>
        <w:t>Energisation and reconnection</w:t>
      </w:r>
    </w:p>
    <w:p w:rsidR="00E70C56" w:rsidRDefault="00705BC0" w:rsidP="00705BC0">
      <w:pPr>
        <w:pStyle w:val="AERbulletlistfirststyle"/>
      </w:pPr>
      <w:r>
        <w:t>Special meter reading</w:t>
      </w:r>
    </w:p>
    <w:p w:rsidR="00705BC0" w:rsidRDefault="00705BC0" w:rsidP="00705BC0">
      <w:pPr>
        <w:pStyle w:val="AERbulletlistfirststyle"/>
      </w:pPr>
      <w:r>
        <w:t>Installation of a service valve</w:t>
      </w:r>
      <w:r w:rsidR="00A5790C">
        <w:t xml:space="preserve"> (proposed new </w:t>
      </w:r>
      <w:r w:rsidR="009A7633">
        <w:t>service</w:t>
      </w:r>
      <w:r w:rsidR="00A5790C">
        <w:t>)</w:t>
      </w:r>
      <w:r w:rsidR="008F73CC">
        <w:t>.</w:t>
      </w:r>
    </w:p>
    <w:p w:rsidR="00705BC0" w:rsidRPr="00DF76CF" w:rsidRDefault="00705BC0" w:rsidP="00EF270C">
      <w:pPr>
        <w:pStyle w:val="HeadingBoldBlue"/>
        <w:rPr>
          <w:rStyle w:val="AERtextblue"/>
          <w:color w:val="70635A" w:themeColor="text2"/>
        </w:rPr>
      </w:pPr>
      <w:r w:rsidRPr="00DF76CF">
        <w:rPr>
          <w:rStyle w:val="AERtextblue"/>
          <w:color w:val="70635A" w:themeColor="text2"/>
        </w:rPr>
        <w:t>Non-reference services</w:t>
      </w:r>
    </w:p>
    <w:p w:rsidR="0058048A" w:rsidRDefault="0058048A" w:rsidP="0058048A">
      <w:r w:rsidRPr="0058048A">
        <w:t>Non-reference services will be available to users or prospective users as agreed or as determined in accordance with Part 12A of the NGR. The services will be supplied on terms and conditions in Part C of the access arrangement.</w:t>
      </w:r>
      <w:r w:rsidRPr="0058048A">
        <w:rPr>
          <w:rStyle w:val="FootnoteReference"/>
        </w:rPr>
        <w:footnoteReference w:id="3"/>
      </w:r>
      <w:r w:rsidR="003064AB">
        <w:t xml:space="preserve"> </w:t>
      </w:r>
    </w:p>
    <w:p w:rsidR="00132D43" w:rsidRDefault="00132D43" w:rsidP="00132D43">
      <w:pPr>
        <w:pStyle w:val="Heading2"/>
      </w:pPr>
      <w:bookmarkStart w:id="101" w:name="_Toc486837873"/>
      <w:r>
        <w:t>Assessment approach</w:t>
      </w:r>
      <w:bookmarkEnd w:id="101"/>
    </w:p>
    <w:p w:rsidR="00FA1644" w:rsidRPr="00FA1644" w:rsidRDefault="00FA1644" w:rsidP="00FA1644">
      <w:r>
        <w:t xml:space="preserve">Multinet is </w:t>
      </w:r>
      <w:r w:rsidRPr="00FA1644">
        <w:t xml:space="preserve">required by the NGR to specify </w:t>
      </w:r>
      <w:r w:rsidR="005733BA">
        <w:t>the</w:t>
      </w:r>
      <w:r w:rsidR="005733BA" w:rsidRPr="00FA1644">
        <w:t xml:space="preserve"> </w:t>
      </w:r>
      <w:r w:rsidRPr="00FA1644">
        <w:t>reference services in its access arrangement proposal.</w:t>
      </w:r>
      <w:r w:rsidRPr="00824DE2">
        <w:rPr>
          <w:rStyle w:val="AERsuperscript"/>
        </w:rPr>
        <w:footnoteReference w:id="4"/>
      </w:r>
      <w:r w:rsidRPr="00824DE2">
        <w:rPr>
          <w:rStyle w:val="AERsuperscript"/>
        </w:rPr>
        <w:t xml:space="preserve"> </w:t>
      </w:r>
      <w:r w:rsidRPr="00FA1644">
        <w:t>A reference service is a pipeline service that is likely to be sought by a significant part of the market. A pipeline service is a:</w:t>
      </w:r>
    </w:p>
    <w:p w:rsidR="00FA1644" w:rsidRPr="00FA1644" w:rsidRDefault="00FA1644" w:rsidP="00FA1644">
      <w:pPr>
        <w:pStyle w:val="AERbulletlistfirststyle"/>
      </w:pPr>
      <w:r w:rsidRPr="00FA1644">
        <w:t>service provided by means of a pipeline, including a:</w:t>
      </w:r>
    </w:p>
    <w:p w:rsidR="00FA1644" w:rsidRPr="00FA1644" w:rsidRDefault="00FA1644" w:rsidP="004905E8">
      <w:pPr>
        <w:pStyle w:val="AERbulletlistsecondstyle"/>
      </w:pPr>
      <w:r w:rsidRPr="00FA1644">
        <w:t xml:space="preserve">haulage </w:t>
      </w:r>
      <w:r w:rsidR="004905E8">
        <w:t xml:space="preserve">(i.e. transportation) </w:t>
      </w:r>
      <w:r w:rsidRPr="00FA1644">
        <w:t>service</w:t>
      </w:r>
    </w:p>
    <w:p w:rsidR="00FA1644" w:rsidRPr="00FA1644" w:rsidRDefault="00FA1644" w:rsidP="004905E8">
      <w:pPr>
        <w:pStyle w:val="AERbulletlistsecondstyle"/>
      </w:pPr>
      <w:r w:rsidRPr="00FA1644">
        <w:t>service</w:t>
      </w:r>
      <w:r w:rsidR="00660368">
        <w:t xml:space="preserve"> providing for</w:t>
      </w:r>
      <w:r w:rsidR="00E20C23">
        <w:t>,</w:t>
      </w:r>
      <w:r w:rsidR="00660368">
        <w:t xml:space="preserve"> or</w:t>
      </w:r>
      <w:r w:rsidRPr="00FA1644">
        <w:t xml:space="preserve"> facilitating</w:t>
      </w:r>
      <w:r w:rsidR="00E20C23">
        <w:t>,</w:t>
      </w:r>
      <w:r w:rsidRPr="00FA1644">
        <w:t xml:space="preserve"> the interconnection of pipelines</w:t>
      </w:r>
    </w:p>
    <w:p w:rsidR="00E70C56" w:rsidRDefault="005733BA" w:rsidP="004905E8">
      <w:pPr>
        <w:pStyle w:val="AERbulletlistfirststyle"/>
      </w:pPr>
      <w:proofErr w:type="gramStart"/>
      <w:r>
        <w:t>a</w:t>
      </w:r>
      <w:proofErr w:type="gramEnd"/>
      <w:r>
        <w:t xml:space="preserve"> </w:t>
      </w:r>
      <w:r w:rsidR="00FA1644" w:rsidRPr="00FA1644">
        <w:t xml:space="preserve">service ancillary to one of </w:t>
      </w:r>
      <w:r w:rsidR="0016025C">
        <w:t>these above</w:t>
      </w:r>
      <w:r w:rsidR="00FA1644" w:rsidRPr="00FA1644">
        <w:t xml:space="preserve"> services</w:t>
      </w:r>
      <w:r w:rsidR="008F73CC">
        <w:t>.</w:t>
      </w:r>
      <w:r w:rsidR="00660368">
        <w:rPr>
          <w:rStyle w:val="FootnoteReference"/>
        </w:rPr>
        <w:footnoteReference w:id="5"/>
      </w:r>
    </w:p>
    <w:p w:rsidR="00E70C56" w:rsidRDefault="004905E8" w:rsidP="00132D43">
      <w:r>
        <w:t>Multinet's</w:t>
      </w:r>
      <w:r w:rsidR="00DC428A">
        <w:t xml:space="preserve"> access arrangement provisions regarding</w:t>
      </w:r>
      <w:r w:rsidR="0016025C">
        <w:t xml:space="preserve"> pipeline</w:t>
      </w:r>
      <w:r>
        <w:t xml:space="preserve"> services are also requ</w:t>
      </w:r>
      <w:r w:rsidR="00A5790C">
        <w:t>ired to be consistent with the National Gas O</w:t>
      </w:r>
      <w:r>
        <w:t>bjective.</w:t>
      </w:r>
      <w:r>
        <w:rPr>
          <w:rStyle w:val="FootnoteReference"/>
        </w:rPr>
        <w:footnoteReference w:id="6"/>
      </w:r>
    </w:p>
    <w:p w:rsidR="0016025C" w:rsidRDefault="0016025C" w:rsidP="00132D43">
      <w:r>
        <w:t xml:space="preserve">In summary, this </w:t>
      </w:r>
      <w:r w:rsidR="00CD6823">
        <w:t>means</w:t>
      </w:r>
      <w:r>
        <w:t xml:space="preserve"> that </w:t>
      </w:r>
      <w:r w:rsidR="00CD6823">
        <w:t xml:space="preserve">a </w:t>
      </w:r>
      <w:r>
        <w:t xml:space="preserve">gas </w:t>
      </w:r>
      <w:r w:rsidR="00CD6823">
        <w:t>distribution</w:t>
      </w:r>
      <w:r>
        <w:t xml:space="preserve"> company is using </w:t>
      </w:r>
      <w:r w:rsidR="00882D3D">
        <w:t xml:space="preserve">its </w:t>
      </w:r>
      <w:r w:rsidR="00CD6823">
        <w:t>network</w:t>
      </w:r>
      <w:r>
        <w:t xml:space="preserve"> of </w:t>
      </w:r>
      <w:r w:rsidR="00CD6823">
        <w:t>underground</w:t>
      </w:r>
      <w:r>
        <w:t xml:space="preserve"> </w:t>
      </w:r>
      <w:r w:rsidR="00CD6823">
        <w:t>pipes</w:t>
      </w:r>
      <w:r>
        <w:t xml:space="preserve"> to transport gas</w:t>
      </w:r>
      <w:r w:rsidR="00CD6823">
        <w:t xml:space="preserve"> from the production source to households and commercial and industrial premises. These customers use the gas for heating homes and for cooking, and as an input into manufacturing goods and services or undertaking other industrial processes. Gas powered generators also use the gas</w:t>
      </w:r>
      <w:r w:rsidR="001E5907">
        <w:t xml:space="preserve"> as an input</w:t>
      </w:r>
      <w:r w:rsidR="00CD6823">
        <w:t xml:space="preserve"> to produce electricity for the national </w:t>
      </w:r>
      <w:r w:rsidR="001E5907">
        <w:t xml:space="preserve">electricity </w:t>
      </w:r>
      <w:r w:rsidR="00CD6823">
        <w:t>market.</w:t>
      </w:r>
    </w:p>
    <w:p w:rsidR="00E70C56" w:rsidRDefault="004905E8" w:rsidP="00132D43">
      <w:r>
        <w:t>Our assessment approach is to identify the covered pipeline</w:t>
      </w:r>
      <w:r w:rsidR="001E5907">
        <w:rPr>
          <w:rStyle w:val="FootnoteReference"/>
        </w:rPr>
        <w:footnoteReference w:id="7"/>
      </w:r>
      <w:r>
        <w:t xml:space="preserve"> that is providing these services</w:t>
      </w:r>
      <w:r w:rsidR="00945FFB">
        <w:t>. We also determine</w:t>
      </w:r>
      <w:r>
        <w:t xml:space="preserve"> any additions or expansion that have occurred during the current access arrangement period and </w:t>
      </w:r>
      <w:r w:rsidR="00945FFB">
        <w:t xml:space="preserve">therefore </w:t>
      </w:r>
      <w:r>
        <w:t xml:space="preserve">should also be </w:t>
      </w:r>
      <w:r w:rsidR="001E5907">
        <w:t>subject to economic regulation</w:t>
      </w:r>
      <w:r>
        <w:t>.</w:t>
      </w:r>
    </w:p>
    <w:p w:rsidR="00882D3D" w:rsidRPr="00882D3D" w:rsidRDefault="00882D3D" w:rsidP="00882D3D">
      <w:r w:rsidRPr="00882D3D">
        <w:t>A full access arrangement must specify at least one reference service to customers, on the basis that it is likely to be sought by a significant part of the market</w:t>
      </w:r>
    </w:p>
    <w:p w:rsidR="00882D3D" w:rsidRPr="00882D3D" w:rsidRDefault="00882D3D" w:rsidP="00882D3D">
      <w:r w:rsidRPr="00882D3D">
        <w:t>Pipelines that are covered are required to provide at least one reference services to customers, on the basis that a significant part of the market will demand that service.</w:t>
      </w:r>
    </w:p>
    <w:p w:rsidR="00882D3D" w:rsidRPr="00882D3D" w:rsidRDefault="00882D3D" w:rsidP="00882D3D">
      <w:r w:rsidRPr="00882D3D">
        <w:t xml:space="preserve">For ancillary reference </w:t>
      </w:r>
      <w:r w:rsidR="00F95DC0" w:rsidRPr="00882D3D">
        <w:t>services,</w:t>
      </w:r>
      <w:r w:rsidRPr="00882D3D">
        <w:t xml:space="preserve"> we have considered the services currently offered by </w:t>
      </w:r>
      <w:r w:rsidR="00EF270C">
        <w:t>Multinet</w:t>
      </w:r>
      <w:r w:rsidR="00EF270C" w:rsidRPr="00882D3D">
        <w:t xml:space="preserve"> </w:t>
      </w:r>
      <w:r w:rsidRPr="00882D3D">
        <w:t>and the additional ancillary reference service that some stakeholders have submitted should be included as reference services.</w:t>
      </w:r>
    </w:p>
    <w:p w:rsidR="00882D3D" w:rsidRDefault="00882D3D" w:rsidP="00882D3D">
      <w:r w:rsidRPr="00882D3D">
        <w:t>For non-reference pipeline services or negotiated services, we are not required to set tariffs for these or the terms or conditions on which they will be provided.</w:t>
      </w:r>
    </w:p>
    <w:p w:rsidR="00132D43" w:rsidRDefault="00132D43" w:rsidP="00132D43">
      <w:pPr>
        <w:pStyle w:val="Heading3"/>
        <w:tabs>
          <w:tab w:val="clear" w:pos="1021"/>
        </w:tabs>
        <w:ind w:left="142" w:hanging="142"/>
      </w:pPr>
      <w:bookmarkStart w:id="102" w:name="_Toc486837874"/>
      <w:r>
        <w:t>Interrelationships</w:t>
      </w:r>
      <w:bookmarkEnd w:id="102"/>
    </w:p>
    <w:p w:rsidR="00A679C9" w:rsidRDefault="00D9286A" w:rsidP="00132D43">
      <w:r>
        <w:t xml:space="preserve">Multinet's </w:t>
      </w:r>
      <w:r w:rsidR="00A679C9">
        <w:t>services have an interrelationship with</w:t>
      </w:r>
      <w:r w:rsidR="00A679C9" w:rsidRPr="00A679C9">
        <w:t xml:space="preserve"> </w:t>
      </w:r>
      <w:r w:rsidR="00A679C9">
        <w:t>the tariffs it charges for the use of its services and the total revenues it can recover through the AER's total revenue requirement and the application of annual tariff variation mechanisms.</w:t>
      </w:r>
    </w:p>
    <w:p w:rsidR="00A679C9" w:rsidRDefault="00A679C9" w:rsidP="00A679C9">
      <w:r>
        <w:t>Multinet's haulage reference tariffs are adjusted annually by the application of</w:t>
      </w:r>
      <w:r w:rsidRPr="00E15E1E">
        <w:t xml:space="preserve"> a weighted average </w:t>
      </w:r>
      <w:r>
        <w:t>price</w:t>
      </w:r>
      <w:r w:rsidRPr="00E15E1E">
        <w:t xml:space="preserve"> cap</w:t>
      </w:r>
      <w:r>
        <w:t xml:space="preserve"> formula.</w:t>
      </w:r>
      <w:r w:rsidRPr="00E15E1E">
        <w:t xml:space="preserve"> Its</w:t>
      </w:r>
      <w:r>
        <w:t xml:space="preserve"> haulage</w:t>
      </w:r>
      <w:r w:rsidRPr="00E15E1E">
        <w:t xml:space="preserve"> reference tariffs are derived from the total revenue requirement after consideration of demand for each tariff category. This means the tariffs we determine (including the means of varying the tariffs from year to year) are the binding constraint across the 201</w:t>
      </w:r>
      <w:r>
        <w:t>8</w:t>
      </w:r>
      <w:r w:rsidRPr="00E15E1E">
        <w:t>–2</w:t>
      </w:r>
      <w:r>
        <w:t>2</w:t>
      </w:r>
      <w:r w:rsidRPr="00E15E1E">
        <w:t xml:space="preserve"> access arrangement </w:t>
      </w:r>
      <w:proofErr w:type="gramStart"/>
      <w:r w:rsidRPr="00E15E1E">
        <w:t>period</w:t>
      </w:r>
      <w:proofErr w:type="gramEnd"/>
      <w:r w:rsidRPr="00E15E1E">
        <w:t>, rather than the total revenue requirement set</w:t>
      </w:r>
      <w:r>
        <w:t xml:space="preserve"> out</w:t>
      </w:r>
      <w:r w:rsidRPr="00E15E1E">
        <w:t xml:space="preserve"> in our decision.</w:t>
      </w:r>
    </w:p>
    <w:p w:rsidR="00A679C9" w:rsidRDefault="00A679C9" w:rsidP="00A679C9">
      <w:r>
        <w:t xml:space="preserve">After the first year of the access arrangement period, Multinet's ancillary reference </w:t>
      </w:r>
      <w:bookmarkStart w:id="103" w:name="_GoBack"/>
      <w:bookmarkEnd w:id="103"/>
      <w:r>
        <w:t>service prices are set by application of the ancillary reference service tariff variation formula.</w:t>
      </w:r>
    </w:p>
    <w:p w:rsidR="00A679C9" w:rsidRDefault="00A679C9" w:rsidP="00A679C9">
      <w:r w:rsidRPr="002221CC">
        <w:t xml:space="preserve">Our </w:t>
      </w:r>
      <w:r>
        <w:t>draft decision on:</w:t>
      </w:r>
    </w:p>
    <w:p w:rsidR="00A679C9" w:rsidRPr="00A679C9" w:rsidRDefault="00A679C9" w:rsidP="00A679C9">
      <w:pPr>
        <w:pStyle w:val="AERbulletlistfirststyle"/>
      </w:pPr>
      <w:r>
        <w:t>Multinet</w:t>
      </w:r>
      <w:r w:rsidRPr="00A679C9">
        <w:t>'s total revenue requirement is set out in the Overview a</w:t>
      </w:r>
      <w:r>
        <w:t>ttachment of our draft decision</w:t>
      </w:r>
    </w:p>
    <w:p w:rsidR="00A679C9" w:rsidRDefault="00A679C9" w:rsidP="00A679C9">
      <w:pPr>
        <w:pStyle w:val="AERbulletlistfirststyle"/>
      </w:pPr>
      <w:proofErr w:type="gramStart"/>
      <w:r>
        <w:t>the</w:t>
      </w:r>
      <w:proofErr w:type="gramEnd"/>
      <w:r>
        <w:t xml:space="preserve"> tariffs Multinet will charge for the provision of these services </w:t>
      </w:r>
      <w:r w:rsidR="00EF270C">
        <w:t xml:space="preserve">is </w:t>
      </w:r>
      <w:r>
        <w:t>set out in attachment 10—Reference tariff setting.</w:t>
      </w:r>
    </w:p>
    <w:p w:rsidR="00A679C9" w:rsidRDefault="00A679C9" w:rsidP="00A679C9">
      <w:pPr>
        <w:pStyle w:val="AERbulletlistfirststyle"/>
      </w:pPr>
      <w:proofErr w:type="gramStart"/>
      <w:r>
        <w:t>the</w:t>
      </w:r>
      <w:proofErr w:type="gramEnd"/>
      <w:r>
        <w:t xml:space="preserve"> annual tariff variation mechanism </w:t>
      </w:r>
      <w:r w:rsidR="00933DAC">
        <w:t xml:space="preserve">is </w:t>
      </w:r>
      <w:r>
        <w:t>set out in attachment 11—Reference tariff variation mechanism.</w:t>
      </w:r>
    </w:p>
    <w:p w:rsidR="00132D43" w:rsidRDefault="00132D43" w:rsidP="00132D43">
      <w:pPr>
        <w:pStyle w:val="Heading2"/>
      </w:pPr>
      <w:bookmarkStart w:id="104" w:name="_Toc486837875"/>
      <w:r>
        <w:t>Reasons for draft decision</w:t>
      </w:r>
      <w:bookmarkEnd w:id="104"/>
    </w:p>
    <w:p w:rsidR="00132D43" w:rsidRDefault="0051111C" w:rsidP="00132D43">
      <w:r>
        <w:t xml:space="preserve">We </w:t>
      </w:r>
      <w:r w:rsidR="00AC426F">
        <w:t>first</w:t>
      </w:r>
      <w:r>
        <w:t xml:space="preserve"> </w:t>
      </w:r>
      <w:r w:rsidR="00660368">
        <w:t>considered whether</w:t>
      </w:r>
      <w:r>
        <w:t xml:space="preserve"> Multinet </w:t>
      </w:r>
      <w:r w:rsidR="00AC426F">
        <w:t>complied</w:t>
      </w:r>
      <w:r>
        <w:t xml:space="preserve"> with the </w:t>
      </w:r>
      <w:r w:rsidR="00AC426F">
        <w:t>requirements</w:t>
      </w:r>
      <w:r>
        <w:t xml:space="preserve"> </w:t>
      </w:r>
      <w:r w:rsidR="00A638CD">
        <w:t>of the NGR, which we set out in</w:t>
      </w:r>
      <w:r w:rsidR="00D924EA">
        <w:t xml:space="preserve"> </w:t>
      </w:r>
      <w:r w:rsidR="00D924EA">
        <w:fldChar w:fldCharType="begin"/>
      </w:r>
      <w:r w:rsidR="00D924EA">
        <w:instrText xml:space="preserve"> REF _Ref485196238 \h </w:instrText>
      </w:r>
      <w:r w:rsidR="00D924EA">
        <w:fldChar w:fldCharType="separate"/>
      </w:r>
      <w:r w:rsidR="00E51E8F">
        <w:t xml:space="preserve">Table </w:t>
      </w:r>
      <w:r w:rsidR="00E51E8F">
        <w:rPr>
          <w:noProof/>
        </w:rPr>
        <w:t>1</w:t>
      </w:r>
      <w:r w:rsidR="00E51E8F">
        <w:noBreakHyphen/>
      </w:r>
      <w:r w:rsidR="00E51E8F">
        <w:rPr>
          <w:noProof/>
        </w:rPr>
        <w:t>1</w:t>
      </w:r>
      <w:r w:rsidR="00D924EA">
        <w:fldChar w:fldCharType="end"/>
      </w:r>
      <w:r>
        <w:t>.</w:t>
      </w:r>
    </w:p>
    <w:p w:rsidR="00AC426F" w:rsidRPr="0075500F" w:rsidRDefault="00D924EA" w:rsidP="00D924EA">
      <w:pPr>
        <w:pStyle w:val="Caption"/>
        <w:rPr>
          <w:rStyle w:val="AERtextblue"/>
          <w:color w:val="076A92" w:themeColor="text1"/>
        </w:rPr>
      </w:pPr>
      <w:bookmarkStart w:id="105" w:name="_Ref485196238"/>
      <w:r>
        <w:t xml:space="preserve">Table </w:t>
      </w:r>
      <w:fldSimple w:instr=" STYLEREF 1 \s ">
        <w:r w:rsidR="00E51E8F">
          <w:rPr>
            <w:noProof/>
          </w:rPr>
          <w:t>1</w:t>
        </w:r>
      </w:fldSimple>
      <w:r>
        <w:noBreakHyphen/>
      </w:r>
      <w:fldSimple w:instr=" SEQ Table \* ARABIC \s 1 ">
        <w:r w:rsidR="00E51E8F">
          <w:rPr>
            <w:noProof/>
          </w:rPr>
          <w:t>1</w:t>
        </w:r>
      </w:fldSimple>
      <w:bookmarkEnd w:id="105"/>
      <w:r w:rsidR="0075500F">
        <w:tab/>
        <w:t>A</w:t>
      </w:r>
      <w:r w:rsidR="0075500F" w:rsidRPr="0075500F">
        <w:rPr>
          <w:rStyle w:val="AERtextblue"/>
        </w:rPr>
        <w:t>ssessment of Mult</w:t>
      </w:r>
      <w:r w:rsidR="0065380F">
        <w:rPr>
          <w:rStyle w:val="AERtextblue"/>
        </w:rPr>
        <w:t>i</w:t>
      </w:r>
      <w:r w:rsidR="0075500F" w:rsidRPr="0075500F">
        <w:rPr>
          <w:rStyle w:val="AERtextblue"/>
        </w:rPr>
        <w:t>net's compliance with the NGR</w:t>
      </w:r>
    </w:p>
    <w:tbl>
      <w:tblPr>
        <w:tblStyle w:val="AERtable-text0"/>
        <w:tblW w:w="0" w:type="auto"/>
        <w:tblLook w:val="04A0" w:firstRow="1" w:lastRow="0" w:firstColumn="1" w:lastColumn="0" w:noHBand="0" w:noVBand="1"/>
      </w:tblPr>
      <w:tblGrid>
        <w:gridCol w:w="5211"/>
        <w:gridCol w:w="3482"/>
      </w:tblGrid>
      <w:tr w:rsidR="00AC426F" w:rsidTr="002F62DB">
        <w:trPr>
          <w:cnfStyle w:val="100000000000" w:firstRow="1" w:lastRow="0" w:firstColumn="0" w:lastColumn="0" w:oddVBand="0" w:evenVBand="0" w:oddHBand="0" w:evenHBand="0" w:firstRowFirstColumn="0" w:firstRowLastColumn="0" w:lastRowFirstColumn="0" w:lastRowLastColumn="0"/>
          <w:tblHeader/>
        </w:trPr>
        <w:tc>
          <w:tcPr>
            <w:tcW w:w="5211" w:type="dxa"/>
          </w:tcPr>
          <w:p w:rsidR="00AC426F" w:rsidRPr="00AC426F" w:rsidRDefault="00AC426F" w:rsidP="00AC426F">
            <w:r>
              <w:t>NGR requirements</w:t>
            </w:r>
          </w:p>
        </w:tc>
        <w:tc>
          <w:tcPr>
            <w:tcW w:w="3482" w:type="dxa"/>
          </w:tcPr>
          <w:p w:rsidR="00AC426F" w:rsidRPr="00AC426F" w:rsidRDefault="00AC426F" w:rsidP="00AC426F">
            <w:r>
              <w:t>AER assessment</w:t>
            </w:r>
          </w:p>
        </w:tc>
      </w:tr>
      <w:tr w:rsidR="00AC426F" w:rsidTr="002F62DB">
        <w:tc>
          <w:tcPr>
            <w:tcW w:w="5211" w:type="dxa"/>
          </w:tcPr>
          <w:p w:rsidR="00AC426F" w:rsidRPr="00AC426F" w:rsidRDefault="00AC426F" w:rsidP="00AC426F">
            <w:r>
              <w:t>A full access arrangement must:</w:t>
            </w:r>
          </w:p>
        </w:tc>
        <w:tc>
          <w:tcPr>
            <w:tcW w:w="3482" w:type="dxa"/>
          </w:tcPr>
          <w:p w:rsidR="00AC426F" w:rsidRDefault="00AC426F" w:rsidP="00AC426F"/>
        </w:tc>
      </w:tr>
      <w:tr w:rsidR="00AC426F" w:rsidTr="002F62DB">
        <w:trPr>
          <w:cnfStyle w:val="000000010000" w:firstRow="0" w:lastRow="0" w:firstColumn="0" w:lastColumn="0" w:oddVBand="0" w:evenVBand="0" w:oddHBand="0" w:evenHBand="1" w:firstRowFirstColumn="0" w:firstRowLastColumn="0" w:lastRowFirstColumn="0" w:lastRowLastColumn="0"/>
        </w:trPr>
        <w:tc>
          <w:tcPr>
            <w:tcW w:w="5211" w:type="dxa"/>
          </w:tcPr>
          <w:p w:rsidR="00AC426F" w:rsidRPr="00AC426F" w:rsidRDefault="00AC426F" w:rsidP="00AC426F">
            <w:r>
              <w:t>identify the pipeline to which the access arrangement relates and include a reference to a website at which a description of the pipeline can be inspected — NGR</w:t>
            </w:r>
            <w:r w:rsidRPr="00AC426F">
              <w:t xml:space="preserve"> clause 48(1)(a) </w:t>
            </w:r>
          </w:p>
        </w:tc>
        <w:tc>
          <w:tcPr>
            <w:tcW w:w="3482" w:type="dxa"/>
          </w:tcPr>
          <w:p w:rsidR="00AC426F" w:rsidRPr="00AC426F" w:rsidRDefault="00AC426F" w:rsidP="00C12257">
            <w:r>
              <w:t xml:space="preserve">Compliant. </w:t>
            </w:r>
            <w:r w:rsidR="005338CF">
              <w:t xml:space="preserve">Chapter 5 </w:t>
            </w:r>
            <w:r w:rsidRPr="00AC426F">
              <w:t>of the access arrangement proposal.</w:t>
            </w:r>
          </w:p>
        </w:tc>
      </w:tr>
      <w:tr w:rsidR="00AC426F" w:rsidTr="002F62DB">
        <w:tc>
          <w:tcPr>
            <w:tcW w:w="5211" w:type="dxa"/>
          </w:tcPr>
          <w:p w:rsidR="00AC426F" w:rsidRPr="00AC426F" w:rsidRDefault="00AC426F" w:rsidP="00AC426F">
            <w:r>
              <w:t>describe the pipeline services the service provider propose to offer to provide by means of the pipeline — NGR</w:t>
            </w:r>
            <w:r w:rsidRPr="00AC426F">
              <w:t> clause 48(1)(b)</w:t>
            </w:r>
          </w:p>
        </w:tc>
        <w:tc>
          <w:tcPr>
            <w:tcW w:w="3482" w:type="dxa"/>
          </w:tcPr>
          <w:p w:rsidR="00AC426F" w:rsidRPr="00AC426F" w:rsidRDefault="00C12257" w:rsidP="005338CF">
            <w:r>
              <w:t xml:space="preserve">Compliant. </w:t>
            </w:r>
            <w:r w:rsidR="005338CF">
              <w:t>Chapter 11</w:t>
            </w:r>
            <w:r w:rsidR="00DC428A">
              <w:t xml:space="preserve"> </w:t>
            </w:r>
            <w:r w:rsidR="00AC426F">
              <w:t>of the access arrangement proposal.</w:t>
            </w:r>
          </w:p>
        </w:tc>
      </w:tr>
      <w:tr w:rsidR="00AC426F" w:rsidTr="002F62DB">
        <w:trPr>
          <w:cnfStyle w:val="000000010000" w:firstRow="0" w:lastRow="0" w:firstColumn="0" w:lastColumn="0" w:oddVBand="0" w:evenVBand="0" w:oddHBand="0" w:evenHBand="1" w:firstRowFirstColumn="0" w:firstRowLastColumn="0" w:lastRowFirstColumn="0" w:lastRowLastColumn="0"/>
        </w:trPr>
        <w:tc>
          <w:tcPr>
            <w:tcW w:w="5211" w:type="dxa"/>
          </w:tcPr>
          <w:p w:rsidR="00AC426F" w:rsidRPr="00AC426F" w:rsidRDefault="00AC426F" w:rsidP="00AC426F">
            <w:r>
              <w:t>specify the reference services — NGR</w:t>
            </w:r>
            <w:r w:rsidRPr="00AC426F">
              <w:t> clause 48(1)(c)</w:t>
            </w:r>
          </w:p>
        </w:tc>
        <w:tc>
          <w:tcPr>
            <w:tcW w:w="3482" w:type="dxa"/>
          </w:tcPr>
          <w:p w:rsidR="00AC426F" w:rsidRPr="00AC426F" w:rsidRDefault="00AC426F" w:rsidP="005338CF">
            <w:r>
              <w:t xml:space="preserve">Compliant. </w:t>
            </w:r>
            <w:r w:rsidR="005338CF">
              <w:t>Chapter 1</w:t>
            </w:r>
            <w:r w:rsidR="0075500F">
              <w:t xml:space="preserve">1 </w:t>
            </w:r>
            <w:r w:rsidRPr="00AC426F">
              <w:t>of the access arrangement proposal.</w:t>
            </w:r>
          </w:p>
        </w:tc>
      </w:tr>
    </w:tbl>
    <w:p w:rsidR="00EF270C" w:rsidRDefault="00EF270C" w:rsidP="00EF270C">
      <w:r>
        <w:t>The reference tariffs and other (non-tariff) terms and conditions on which the reference services will be provided are considered in attachments 10 and 12.</w:t>
      </w:r>
    </w:p>
    <w:p w:rsidR="0058048A" w:rsidRPr="00DF76CF" w:rsidRDefault="0058048A" w:rsidP="00EF270C">
      <w:pPr>
        <w:pStyle w:val="HeadingBoldBlue"/>
        <w:rPr>
          <w:rStyle w:val="AERtextblue"/>
          <w:color w:val="70635A" w:themeColor="text2"/>
        </w:rPr>
      </w:pPr>
      <w:r w:rsidRPr="00DF76CF">
        <w:rPr>
          <w:rStyle w:val="AERtextblue"/>
          <w:color w:val="70635A" w:themeColor="text2"/>
        </w:rPr>
        <w:t>Haulage Reference Services</w:t>
      </w:r>
    </w:p>
    <w:p w:rsidR="001E5907" w:rsidRDefault="0051111C" w:rsidP="001E5907">
      <w:r>
        <w:t xml:space="preserve">We consider that a significant part of the market is likely to seek services that provide for the transportation of gas, meter reading and associated data </w:t>
      </w:r>
      <w:r w:rsidR="00345EAB">
        <w:t>activities.</w:t>
      </w:r>
      <w:r>
        <w:t xml:space="preserve"> </w:t>
      </w:r>
      <w:r w:rsidR="00660368">
        <w:t>These are</w:t>
      </w:r>
      <w:r w:rsidR="0058048A">
        <w:t xml:space="preserve"> the main type of services that pipeline operators provide which help deliver gas each day to final customers</w:t>
      </w:r>
      <w:r w:rsidR="001E5907">
        <w:t xml:space="preserve"> for use in households or commercial enterprise</w:t>
      </w:r>
      <w:r w:rsidR="0058048A">
        <w:t xml:space="preserve">. </w:t>
      </w:r>
      <w:r w:rsidR="00497A0F">
        <w:t xml:space="preserve">Retailer submissions supported </w:t>
      </w:r>
      <w:r w:rsidR="00345EAB">
        <w:t xml:space="preserve">ongoing provision of </w:t>
      </w:r>
      <w:r w:rsidR="00497A0F">
        <w:t>these services.</w:t>
      </w:r>
      <w:r w:rsidR="00497A0F">
        <w:rPr>
          <w:rStyle w:val="FootnoteReference"/>
        </w:rPr>
        <w:footnoteReference w:id="8"/>
      </w:r>
      <w:r w:rsidR="00497A0F">
        <w:t xml:space="preserve"> </w:t>
      </w:r>
      <w:r w:rsidR="000C0009">
        <w:t xml:space="preserve">There are no </w:t>
      </w:r>
      <w:r w:rsidR="00345EAB">
        <w:t xml:space="preserve">competing providers for these </w:t>
      </w:r>
      <w:r w:rsidR="000C0009">
        <w:t xml:space="preserve">services. </w:t>
      </w:r>
      <w:r w:rsidR="001E5907">
        <w:t>Multinet has not sought to change haulage reference services that it currently provides and is seeking to provide during the 2018–22 access arrangement period.</w:t>
      </w:r>
    </w:p>
    <w:p w:rsidR="00F9178A" w:rsidRDefault="0051111C" w:rsidP="00132D43">
      <w:r>
        <w:t xml:space="preserve">Accordingly, we consider that the </w:t>
      </w:r>
      <w:r w:rsidR="001E5907">
        <w:t xml:space="preserve">proposed </w:t>
      </w:r>
      <w:r>
        <w:t>reference services are likely to be sought by a significant part of the market.</w:t>
      </w:r>
      <w:r>
        <w:rPr>
          <w:rStyle w:val="FootnoteReference"/>
        </w:rPr>
        <w:footnoteReference w:id="9"/>
      </w:r>
      <w:r w:rsidR="001E5907">
        <w:t xml:space="preserve"> We have in the past approved these same services as reference services and there have been no changes to the market in recent years that would alter our view.</w:t>
      </w:r>
    </w:p>
    <w:p w:rsidR="0051111C" w:rsidRPr="00DF76CF" w:rsidRDefault="0051111C" w:rsidP="00EF270C">
      <w:pPr>
        <w:pStyle w:val="HeadingBoldBlue"/>
        <w:rPr>
          <w:rStyle w:val="AERtextblue"/>
          <w:color w:val="70635A" w:themeColor="text2"/>
        </w:rPr>
      </w:pPr>
      <w:r w:rsidRPr="00DF76CF">
        <w:rPr>
          <w:rStyle w:val="AERtextblue"/>
          <w:color w:val="70635A" w:themeColor="text2"/>
        </w:rPr>
        <w:t>Ancillary Reference Services</w:t>
      </w:r>
    </w:p>
    <w:p w:rsidR="005C3DF6" w:rsidRDefault="001B504D" w:rsidP="00132D43">
      <w:r>
        <w:t xml:space="preserve">We accept </w:t>
      </w:r>
      <w:r w:rsidR="00945FFB">
        <w:t xml:space="preserve">that the proposed ancillary reference </w:t>
      </w:r>
      <w:r w:rsidR="00AA5B51">
        <w:t>services are</w:t>
      </w:r>
      <w:r>
        <w:t xml:space="preserve"> likely to be sought</w:t>
      </w:r>
      <w:r w:rsidR="00497A0F">
        <w:t xml:space="preserve"> by a </w:t>
      </w:r>
      <w:r>
        <w:t>significant part of the market:</w:t>
      </w:r>
    </w:p>
    <w:p w:rsidR="001B504D" w:rsidRPr="00705BC0" w:rsidRDefault="001B504D" w:rsidP="001B504D">
      <w:pPr>
        <w:pStyle w:val="AERbulletlistfirststyle"/>
      </w:pPr>
      <w:r w:rsidRPr="00705BC0">
        <w:t>Meter and gas installation te</w:t>
      </w:r>
      <w:r>
        <w:t>sts</w:t>
      </w:r>
    </w:p>
    <w:p w:rsidR="001B504D" w:rsidRPr="00705BC0" w:rsidRDefault="001B504D" w:rsidP="001B504D">
      <w:pPr>
        <w:pStyle w:val="AERbulletlistfirststyle"/>
      </w:pPr>
      <w:r w:rsidRPr="00705BC0">
        <w:t>Disconnections, being:</w:t>
      </w:r>
    </w:p>
    <w:p w:rsidR="001B504D" w:rsidRPr="00705BC0" w:rsidRDefault="001B504D" w:rsidP="001B504D">
      <w:pPr>
        <w:pStyle w:val="AERbulletlistsecondstyle"/>
      </w:pPr>
      <w:r>
        <w:t>r</w:t>
      </w:r>
      <w:r w:rsidRPr="00705BC0">
        <w:t>emoval of the meter</w:t>
      </w:r>
      <w:r>
        <w:t xml:space="preserve"> at a metering installation</w:t>
      </w:r>
    </w:p>
    <w:p w:rsidR="001B504D" w:rsidRDefault="001B504D" w:rsidP="001B504D">
      <w:pPr>
        <w:pStyle w:val="AERbulletlistsecondstyle"/>
      </w:pPr>
      <w:proofErr w:type="gramStart"/>
      <w:r>
        <w:t>t</w:t>
      </w:r>
      <w:r w:rsidRPr="00705BC0">
        <w:t>he</w:t>
      </w:r>
      <w:proofErr w:type="gramEnd"/>
      <w:r w:rsidRPr="00705BC0">
        <w:t xml:space="preserve"> use of locks or plugs at a metering installation.</w:t>
      </w:r>
    </w:p>
    <w:p w:rsidR="001B504D" w:rsidRPr="00705BC0" w:rsidRDefault="001B504D" w:rsidP="001B504D">
      <w:pPr>
        <w:pStyle w:val="AERbulletlistfirststyle"/>
      </w:pPr>
      <w:r>
        <w:t>Energisation and reconnection</w:t>
      </w:r>
    </w:p>
    <w:p w:rsidR="001B504D" w:rsidRDefault="001B504D" w:rsidP="001B504D">
      <w:pPr>
        <w:pStyle w:val="AERbulletlistfirststyle"/>
      </w:pPr>
      <w:r>
        <w:t>Special meter reading</w:t>
      </w:r>
    </w:p>
    <w:p w:rsidR="001B504D" w:rsidRDefault="001B504D" w:rsidP="001B504D">
      <w:pPr>
        <w:pStyle w:val="AERbulletlistfirststyle"/>
      </w:pPr>
      <w:r>
        <w:t>Installation of a service valve (proposed new service)</w:t>
      </w:r>
      <w:r w:rsidR="00EF270C">
        <w:t>.</w:t>
      </w:r>
    </w:p>
    <w:p w:rsidR="00253790" w:rsidRDefault="001B504D" w:rsidP="00132D43">
      <w:r>
        <w:t xml:space="preserve">Like </w:t>
      </w:r>
      <w:r w:rsidR="00933DAC">
        <w:t xml:space="preserve">the </w:t>
      </w:r>
      <w:r>
        <w:t xml:space="preserve">haulage references services discussed </w:t>
      </w:r>
      <w:r w:rsidR="003113BF">
        <w:t>above</w:t>
      </w:r>
      <w:r>
        <w:t>, these</w:t>
      </w:r>
      <w:r w:rsidR="001E23C5">
        <w:t xml:space="preserve"> ancillary reference services</w:t>
      </w:r>
      <w:r w:rsidR="005C3DF6">
        <w:t xml:space="preserve"> are long standing services </w:t>
      </w:r>
      <w:r w:rsidR="001E23C5">
        <w:t xml:space="preserve">provided </w:t>
      </w:r>
      <w:r>
        <w:t>to customer on a user pays basis. That is</w:t>
      </w:r>
      <w:r w:rsidR="001E23C5">
        <w:t>,</w:t>
      </w:r>
      <w:r>
        <w:t xml:space="preserve"> </w:t>
      </w:r>
      <w:r w:rsidR="004D2606">
        <w:t>customers</w:t>
      </w:r>
      <w:r>
        <w:t xml:space="preserve"> only pay for these se</w:t>
      </w:r>
      <w:r w:rsidR="00497A0F">
        <w:t xml:space="preserve">rvices </w:t>
      </w:r>
      <w:r>
        <w:t>in the event that they need them.</w:t>
      </w:r>
      <w:r w:rsidR="00253790">
        <w:t xml:space="preserve"> </w:t>
      </w:r>
    </w:p>
    <w:p w:rsidR="001B504D" w:rsidRDefault="00253790" w:rsidP="00132D43">
      <w:r>
        <w:t>T</w:t>
      </w:r>
      <w:r w:rsidR="001B504D">
        <w:t xml:space="preserve">he costs for these services are therefore directly </w:t>
      </w:r>
      <w:r w:rsidR="004D2606">
        <w:t>attribute</w:t>
      </w:r>
      <w:r w:rsidR="003113BF">
        <w:t>d</w:t>
      </w:r>
      <w:r w:rsidR="001B504D">
        <w:t xml:space="preserve"> to the </w:t>
      </w:r>
      <w:r w:rsidR="004D2606">
        <w:t>requesting</w:t>
      </w:r>
      <w:r w:rsidR="001B504D">
        <w:t xml:space="preserve"> </w:t>
      </w:r>
      <w:r w:rsidR="004D2606">
        <w:t>customer</w:t>
      </w:r>
      <w:r w:rsidR="001B504D">
        <w:t>.</w:t>
      </w:r>
      <w:r w:rsidR="004D2606">
        <w:t xml:space="preserve"> For instance, a customer via their retailer </w:t>
      </w:r>
      <w:r w:rsidR="00817142">
        <w:t>may request that they have a sp</w:t>
      </w:r>
      <w:r w:rsidR="004D2606">
        <w:t>ecial meter reading in order to confirm</w:t>
      </w:r>
      <w:r w:rsidR="00497A0F">
        <w:t xml:space="preserve"> a prior estimated reading, or </w:t>
      </w:r>
      <w:r>
        <w:t>to resolve dispute about gas consumption.</w:t>
      </w:r>
      <w:r w:rsidR="004D2606">
        <w:t xml:space="preserve"> </w:t>
      </w:r>
      <w:r>
        <w:t>Only that customer will pay for this service, rather than the cost of it being spread across all Multinet's customers, the clear majority of whom would never need to use this service.</w:t>
      </w:r>
    </w:p>
    <w:p w:rsidR="00A57BB6" w:rsidRDefault="00933DAC" w:rsidP="00A57BB6">
      <w:r>
        <w:t>Multinet has proposed one additional</w:t>
      </w:r>
      <w:r w:rsidR="001E23C5">
        <w:t xml:space="preserve"> </w:t>
      </w:r>
      <w:r w:rsidR="006800FD">
        <w:t>ancillary reference services</w:t>
      </w:r>
      <w:r w:rsidR="00C1158A">
        <w:t>, being the addition of a service valve</w:t>
      </w:r>
      <w:r w:rsidR="00B86342">
        <w:t xml:space="preserve"> in a pit and disconnect</w:t>
      </w:r>
      <w:r w:rsidR="00253790">
        <w:t>ion of</w:t>
      </w:r>
      <w:r w:rsidR="00B86342">
        <w:t xml:space="preserve"> gas supply.</w:t>
      </w:r>
      <w:r w:rsidR="00A57BB6" w:rsidRPr="00A57BB6">
        <w:t xml:space="preserve"> </w:t>
      </w:r>
      <w:r w:rsidR="00A57BB6">
        <w:t>We accept the addition of a second service valve to a pit as a new ancillary reference service.</w:t>
      </w:r>
    </w:p>
    <w:p w:rsidR="0051111C" w:rsidRDefault="0051111C" w:rsidP="00132D43">
      <w:r>
        <w:t xml:space="preserve">Multinet added </w:t>
      </w:r>
      <w:r w:rsidR="00AC426F">
        <w:t xml:space="preserve">this service at the request of retailers during its consultation on </w:t>
      </w:r>
      <w:r w:rsidR="009F50EC">
        <w:t xml:space="preserve">its </w:t>
      </w:r>
      <w:r w:rsidR="00AC426F">
        <w:t>access arrangement</w:t>
      </w:r>
      <w:r w:rsidR="009F50EC">
        <w:t xml:space="preserve"> proposal</w:t>
      </w:r>
      <w:r w:rsidR="00AC426F">
        <w:t>.</w:t>
      </w:r>
      <w:r w:rsidR="00AC426F">
        <w:rPr>
          <w:rStyle w:val="FootnoteReference"/>
        </w:rPr>
        <w:footnoteReference w:id="10"/>
      </w:r>
      <w:r w:rsidR="00AC426F">
        <w:t xml:space="preserve"> </w:t>
      </w:r>
      <w:r w:rsidR="00C22585">
        <w:t>The service's</w:t>
      </w:r>
      <w:r w:rsidR="00C1158A">
        <w:t xml:space="preserve"> purpose is to make the process of disconnection and reconnection of gas </w:t>
      </w:r>
      <w:r w:rsidR="0065380F">
        <w:t>at residential premises</w:t>
      </w:r>
      <w:r w:rsidR="00C1158A">
        <w:t xml:space="preserve"> much easier</w:t>
      </w:r>
      <w:r w:rsidR="0065380F">
        <w:t>,</w:t>
      </w:r>
      <w:r w:rsidR="00C1158A">
        <w:t xml:space="preserve"> in instances where </w:t>
      </w:r>
      <w:r w:rsidR="0065380F">
        <w:t>Multinet</w:t>
      </w:r>
      <w:r w:rsidR="00C1158A">
        <w:t xml:space="preserve"> cannot get access to the gas meter.</w:t>
      </w:r>
    </w:p>
    <w:p w:rsidR="00AC426F" w:rsidRDefault="0065380F" w:rsidP="00132D43">
      <w:r>
        <w:t xml:space="preserve">In its submission, </w:t>
      </w:r>
      <w:r w:rsidR="00AC426F">
        <w:t>AGL</w:t>
      </w:r>
      <w:r>
        <w:t xml:space="preserve"> </w:t>
      </w:r>
      <w:r w:rsidR="001F46F5">
        <w:t>advocated for inclusion of the second service valve as an ancillary reference service</w:t>
      </w:r>
      <w:r>
        <w:t>.</w:t>
      </w:r>
      <w:r w:rsidR="00576937">
        <w:rPr>
          <w:rStyle w:val="FootnoteReference"/>
        </w:rPr>
        <w:footnoteReference w:id="11"/>
      </w:r>
      <w:r>
        <w:t xml:space="preserve"> It</w:t>
      </w:r>
      <w:r w:rsidR="00AC426F">
        <w:t xml:space="preserve"> noted the complexity associated with reconnecting a site following a street disconnection</w:t>
      </w:r>
      <w:r w:rsidR="00C1158A">
        <w:t>, where meter access was not available</w:t>
      </w:r>
      <w:r w:rsidR="00AC426F">
        <w:t xml:space="preserve">. </w:t>
      </w:r>
      <w:r w:rsidR="001E23C5">
        <w:t>AGL submitted</w:t>
      </w:r>
      <w:r w:rsidR="00AC426F">
        <w:t xml:space="preserve"> the provision of the service valve would </w:t>
      </w:r>
      <w:r>
        <w:t>enable</w:t>
      </w:r>
      <w:r w:rsidR="00AC426F">
        <w:t xml:space="preserve"> </w:t>
      </w:r>
      <w:r w:rsidR="00253790">
        <w:t>timelier</w:t>
      </w:r>
      <w:r w:rsidR="00AC426F">
        <w:t xml:space="preserve"> reconnection of supply with minimal disruption following disconnection of a site.</w:t>
      </w:r>
      <w:r w:rsidR="00E54541">
        <w:rPr>
          <w:rStyle w:val="FootnoteReference"/>
        </w:rPr>
        <w:footnoteReference w:id="12"/>
      </w:r>
      <w:r w:rsidR="00AC426F">
        <w:t xml:space="preserve"> </w:t>
      </w:r>
      <w:r>
        <w:t>It contended the</w:t>
      </w:r>
      <w:r w:rsidR="00AC426F">
        <w:t xml:space="preserve"> benefit to </w:t>
      </w:r>
      <w:r w:rsidR="0075500F">
        <w:t>customers</w:t>
      </w:r>
      <w:r w:rsidR="00AC426F">
        <w:t xml:space="preserve"> is less </w:t>
      </w:r>
      <w:r w:rsidR="0075500F">
        <w:t>inconvenience</w:t>
      </w:r>
      <w:r>
        <w:t xml:space="preserve"> due to</w:t>
      </w:r>
      <w:r w:rsidR="0075500F">
        <w:t xml:space="preserve"> quicker reconnection of supply. </w:t>
      </w:r>
      <w:r w:rsidR="00A57BB6">
        <w:t>Origin also supported this new service being introduced.</w:t>
      </w:r>
      <w:r w:rsidR="00A57BB6">
        <w:rPr>
          <w:rStyle w:val="FootnoteReference"/>
        </w:rPr>
        <w:footnoteReference w:id="13"/>
      </w:r>
    </w:p>
    <w:p w:rsidR="00AC426F" w:rsidRDefault="00C1158A" w:rsidP="00132D43">
      <w:r>
        <w:t>On th</w:t>
      </w:r>
      <w:r w:rsidR="00AD74C7">
        <w:t xml:space="preserve">e basis of </w:t>
      </w:r>
      <w:r w:rsidR="00933DAC">
        <w:t>these submissions</w:t>
      </w:r>
      <w:r>
        <w:t xml:space="preserve">, we </w:t>
      </w:r>
      <w:r w:rsidR="00933DAC">
        <w:t>consider this</w:t>
      </w:r>
      <w:r>
        <w:t xml:space="preserve"> service</w:t>
      </w:r>
      <w:r w:rsidR="00933DAC">
        <w:t xml:space="preserve"> should be a reference service</w:t>
      </w:r>
      <w:r>
        <w:t>.</w:t>
      </w:r>
      <w:r w:rsidR="0065380F">
        <w:t xml:space="preserve"> In its proposal, Multinet </w:t>
      </w:r>
      <w:r w:rsidR="001E23C5">
        <w:t xml:space="preserve">has </w:t>
      </w:r>
      <w:r w:rsidR="0065380F">
        <w:t xml:space="preserve">not set a </w:t>
      </w:r>
      <w:r w:rsidR="00345EAB">
        <w:t xml:space="preserve">tariff </w:t>
      </w:r>
      <w:r w:rsidR="0065380F">
        <w:t>for this service.</w:t>
      </w:r>
      <w:r>
        <w:t xml:space="preserve"> </w:t>
      </w:r>
      <w:r w:rsidR="0065380F">
        <w:t>It</w:t>
      </w:r>
      <w:r>
        <w:t xml:space="preserve"> will be required to determine a charge for this service as part of its revised access arrangement proposal.</w:t>
      </w:r>
    </w:p>
    <w:p w:rsidR="00D5015C" w:rsidRDefault="00D5015C" w:rsidP="00D5015C">
      <w:pPr>
        <w:pStyle w:val="Heading2"/>
      </w:pPr>
      <w:bookmarkStart w:id="106" w:name="_Toc486837876"/>
      <w:r>
        <w:t>Revisions</w:t>
      </w:r>
      <w:bookmarkEnd w:id="106"/>
    </w:p>
    <w:p w:rsidR="00576937" w:rsidRDefault="00576937" w:rsidP="00132D43"/>
    <w:tbl>
      <w:tblPr>
        <w:tblStyle w:val="AERtable-text0"/>
        <w:tblW w:w="0" w:type="auto"/>
        <w:tblLook w:val="04A0" w:firstRow="1" w:lastRow="0" w:firstColumn="1" w:lastColumn="0" w:noHBand="0" w:noVBand="1"/>
      </w:tblPr>
      <w:tblGrid>
        <w:gridCol w:w="4346"/>
        <w:gridCol w:w="4347"/>
      </w:tblGrid>
      <w:tr w:rsidR="00EC0880" w:rsidTr="00576937">
        <w:trPr>
          <w:cnfStyle w:val="100000000000" w:firstRow="1" w:lastRow="0" w:firstColumn="0" w:lastColumn="0" w:oddVBand="0" w:evenVBand="0" w:oddHBand="0" w:evenHBand="0" w:firstRowFirstColumn="0" w:firstRowLastColumn="0" w:lastRowFirstColumn="0" w:lastRowLastColumn="0"/>
        </w:trPr>
        <w:tc>
          <w:tcPr>
            <w:tcW w:w="4346" w:type="dxa"/>
          </w:tcPr>
          <w:p w:rsidR="00EC0880" w:rsidRPr="00EC0880" w:rsidRDefault="00EC0880" w:rsidP="00EC0880">
            <w:r>
              <w:t>Clause</w:t>
            </w:r>
          </w:p>
        </w:tc>
        <w:tc>
          <w:tcPr>
            <w:tcW w:w="4347" w:type="dxa"/>
          </w:tcPr>
          <w:p w:rsidR="00EC0880" w:rsidRPr="00EC0880" w:rsidRDefault="00EC0880" w:rsidP="00EC0880">
            <w:r>
              <w:t>Information</w:t>
            </w:r>
          </w:p>
        </w:tc>
      </w:tr>
      <w:tr w:rsidR="00EC0880" w:rsidTr="00576937">
        <w:tc>
          <w:tcPr>
            <w:tcW w:w="4346" w:type="dxa"/>
          </w:tcPr>
          <w:p w:rsidR="00EC0880" w:rsidRPr="00EC0880" w:rsidRDefault="00576937" w:rsidP="00EC0880">
            <w:r>
              <w:t>Chapters 21 and 22</w:t>
            </w:r>
          </w:p>
        </w:tc>
        <w:tc>
          <w:tcPr>
            <w:tcW w:w="4347" w:type="dxa"/>
          </w:tcPr>
          <w:p w:rsidR="00EC0880" w:rsidRDefault="00EC0880" w:rsidP="00EC0880">
            <w:r>
              <w:t>Insert service valve to pit</w:t>
            </w:r>
          </w:p>
          <w:p w:rsidR="00EC0880" w:rsidRPr="00EC0880" w:rsidRDefault="00EC0880" w:rsidP="00EC0880">
            <w:r>
              <w:t>Calculate</w:t>
            </w:r>
            <w:r w:rsidRPr="00EC0880">
              <w:t xml:space="preserve"> price for service and insert into opex model</w:t>
            </w:r>
          </w:p>
        </w:tc>
      </w:tr>
    </w:tbl>
    <w:p w:rsidR="00EC0880" w:rsidRDefault="00EC0880" w:rsidP="00345EAB"/>
    <w:sectPr w:rsidR="00EC0880" w:rsidSect="00CF42AA">
      <w:headerReference w:type="default" r:id="rId16"/>
      <w:footerReference w:type="even" r:id="rId17"/>
      <w:footerReference w:type="default" r:id="rId18"/>
      <w:footerReference w:type="first" r:id="rId19"/>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DF" w:rsidRPr="00290C63" w:rsidRDefault="000474DF" w:rsidP="00290C63">
      <w:r>
        <w:separator/>
      </w:r>
    </w:p>
    <w:p w:rsidR="000474DF" w:rsidRDefault="000474DF"/>
  </w:endnote>
  <w:endnote w:type="continuationSeparator" w:id="0">
    <w:p w:rsidR="000474DF" w:rsidRPr="00290C63" w:rsidRDefault="000474DF" w:rsidP="00290C63">
      <w:r>
        <w:continuationSeparator/>
      </w:r>
    </w:p>
    <w:p w:rsidR="000474DF" w:rsidRDefault="00047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0474DF" w:rsidRPr="009B6F84" w:rsidRDefault="000474DF">
        <w:pPr>
          <w:pStyle w:val="Footer"/>
          <w:rPr>
            <w:sz w:val="20"/>
          </w:rPr>
        </w:pPr>
        <w:r>
          <w:fldChar w:fldCharType="begin"/>
        </w:r>
        <w:r>
          <w:instrText xml:space="preserve"> PAGE   \* MERGEFORMAT </w:instrText>
        </w:r>
        <w:r>
          <w:fldChar w:fldCharType="separate"/>
        </w:r>
        <w:r w:rsidR="00E51E8F">
          <w:rPr>
            <w:noProof/>
          </w:rPr>
          <w:t>1-0</w:t>
        </w:r>
        <w:r>
          <w:rPr>
            <w:noProof/>
          </w:rPr>
          <w:fldChar w:fldCharType="end"/>
        </w:r>
        <w:r>
          <w:rPr>
            <w:noProof/>
          </w:rPr>
          <w:t xml:space="preserve">          </w:t>
        </w:r>
        <w:r>
          <w:t xml:space="preserve">Attachment </w:t>
        </w:r>
        <w:r w:rsidR="00471BC6">
          <w:t>1</w:t>
        </w:r>
        <w:r>
          <w:t xml:space="preserve"> </w:t>
        </w:r>
        <w:r w:rsidRPr="000474DF">
          <w:t>−</w:t>
        </w:r>
        <w:r>
          <w:t xml:space="preserve"> </w:t>
        </w:r>
        <w:r w:rsidR="00D5015C">
          <w:t>Services covered by the access arrangement</w:t>
        </w:r>
        <w:r w:rsidRPr="009B6F84">
          <w:rPr>
            <w:rFonts w:cs="Gautami"/>
            <w:noProof/>
            <w:szCs w:val="16"/>
          </w:rPr>
          <w:t xml:space="preserve"> | </w:t>
        </w:r>
        <w:r w:rsidR="00D5015C">
          <w:t xml:space="preserve">Draft decision - </w:t>
        </w:r>
        <w:r w:rsidR="00863034">
          <w:t>Multinet</w:t>
        </w:r>
        <w:r w:rsidR="00D5015C">
          <w:t xml:space="preserve"> </w:t>
        </w:r>
        <w:r w:rsidR="00863034">
          <w:t>G</w:t>
        </w:r>
        <w:r w:rsidR="00D5015C">
          <w:t>as access arrangement</w:t>
        </w:r>
        <w:r w:rsidR="00D5015C" w:rsidRPr="00D5015C">
          <w:t xml:space="preserve"> 201</w:t>
        </w:r>
        <w:r w:rsidR="00D5015C">
          <w:t>8</w:t>
        </w:r>
        <w:r w:rsidR="00D5015C" w:rsidRPr="00D5015C">
          <w:t>–</w:t>
        </w:r>
        <w:r w:rsidR="00D5015C">
          <w:t>22</w:t>
        </w:r>
      </w:p>
    </w:sdtContent>
  </w:sdt>
  <w:p w:rsidR="000474DF" w:rsidRDefault="000474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0474DF" w:rsidRPr="009B6F84" w:rsidRDefault="000474DF">
        <w:pPr>
          <w:pStyle w:val="Footer"/>
          <w:rPr>
            <w:sz w:val="20"/>
          </w:rPr>
        </w:pPr>
        <w:r>
          <w:fldChar w:fldCharType="begin"/>
        </w:r>
        <w:r>
          <w:instrText xml:space="preserve"> PAGE   \* MERGEFORMAT </w:instrText>
        </w:r>
        <w:r>
          <w:fldChar w:fldCharType="separate"/>
        </w:r>
        <w:r w:rsidR="00E51E8F">
          <w:rPr>
            <w:noProof/>
          </w:rPr>
          <w:t>1-9</w:t>
        </w:r>
        <w:r>
          <w:rPr>
            <w:noProof/>
          </w:rPr>
          <w:fldChar w:fldCharType="end"/>
        </w:r>
        <w:r>
          <w:rPr>
            <w:noProof/>
          </w:rPr>
          <w:t xml:space="preserve">          </w:t>
        </w:r>
        <w:r w:rsidR="00D5015C">
          <w:t xml:space="preserve">Attachment 1 </w:t>
        </w:r>
        <w:r w:rsidR="00D5015C" w:rsidRPr="000474DF">
          <w:t>−</w:t>
        </w:r>
        <w:r w:rsidR="00D5015C">
          <w:t xml:space="preserve"> Services covered by the access arrangement</w:t>
        </w:r>
        <w:r w:rsidR="00D5015C" w:rsidRPr="00D5015C">
          <w:t xml:space="preserve"> | </w:t>
        </w:r>
        <w:r w:rsidR="00D5015C">
          <w:t xml:space="preserve">Draft decision - </w:t>
        </w:r>
        <w:r w:rsidR="00863034">
          <w:t>Multinet</w:t>
        </w:r>
        <w:r w:rsidR="00D5015C">
          <w:t xml:space="preserve"> </w:t>
        </w:r>
        <w:r w:rsidR="00863034">
          <w:t>G</w:t>
        </w:r>
        <w:r w:rsidR="00D5015C">
          <w:t>as access arrangement</w:t>
        </w:r>
        <w:r w:rsidR="00D5015C" w:rsidRPr="00D5015C">
          <w:t xml:space="preserve"> 201</w:t>
        </w:r>
        <w:r w:rsidR="00D5015C">
          <w:t>8</w:t>
        </w:r>
        <w:r w:rsidR="00D5015C" w:rsidRPr="00D5015C">
          <w:t>–</w:t>
        </w:r>
        <w:r w:rsidR="00D5015C">
          <w:t>22</w:t>
        </w:r>
      </w:p>
    </w:sdtContent>
  </w:sdt>
  <w:p w:rsidR="000474DF" w:rsidRDefault="000474D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DF" w:rsidRPr="00290C63" w:rsidRDefault="000474DF" w:rsidP="00290C63">
      <w:r>
        <w:separator/>
      </w:r>
    </w:p>
    <w:p w:rsidR="000474DF" w:rsidRDefault="000474DF"/>
  </w:footnote>
  <w:footnote w:type="continuationSeparator" w:id="0">
    <w:p w:rsidR="000474DF" w:rsidRPr="00290C63" w:rsidRDefault="000474DF" w:rsidP="00290C63">
      <w:r>
        <w:continuationSeparator/>
      </w:r>
    </w:p>
    <w:p w:rsidR="000474DF" w:rsidRDefault="000474DF"/>
  </w:footnote>
  <w:footnote w:id="1">
    <w:p w:rsidR="00DC428A" w:rsidRDefault="00DC428A">
      <w:pPr>
        <w:pStyle w:val="FootnoteText"/>
      </w:pPr>
      <w:r>
        <w:rPr>
          <w:rStyle w:val="FootnoteReference"/>
        </w:rPr>
        <w:footnoteRef/>
      </w:r>
      <w:r>
        <w:t xml:space="preserve"> </w:t>
      </w:r>
      <w:r>
        <w:tab/>
        <w:t>NGR, r. 48(1</w:t>
      </w:r>
      <w:proofErr w:type="gramStart"/>
      <w:r>
        <w:t>)(</w:t>
      </w:r>
      <w:proofErr w:type="gramEnd"/>
      <w:r>
        <w:t>a) and (b).</w:t>
      </w:r>
    </w:p>
  </w:footnote>
  <w:footnote w:id="2">
    <w:p w:rsidR="00F261A4" w:rsidRDefault="00F261A4">
      <w:pPr>
        <w:pStyle w:val="FootnoteText"/>
      </w:pPr>
      <w:r>
        <w:rPr>
          <w:rStyle w:val="FootnoteReference"/>
        </w:rPr>
        <w:footnoteRef/>
      </w:r>
      <w:r>
        <w:t xml:space="preserve"> </w:t>
      </w:r>
      <w:r>
        <w:tab/>
      </w:r>
      <w:proofErr w:type="gramStart"/>
      <w:r>
        <w:t>NGR</w:t>
      </w:r>
      <w:r w:rsidR="00847601">
        <w:t>,</w:t>
      </w:r>
      <w:r>
        <w:t xml:space="preserve"> r. 101.</w:t>
      </w:r>
      <w:proofErr w:type="gramEnd"/>
    </w:p>
  </w:footnote>
  <w:footnote w:id="3">
    <w:p w:rsidR="0058048A" w:rsidRDefault="0058048A" w:rsidP="0058048A">
      <w:pPr>
        <w:pStyle w:val="FootnoteText"/>
      </w:pPr>
    </w:p>
  </w:footnote>
  <w:footnote w:id="4">
    <w:p w:rsidR="00FA1644" w:rsidRDefault="00FA1644" w:rsidP="00FA1644">
      <w:pPr>
        <w:pStyle w:val="FootnoteText"/>
      </w:pPr>
      <w:r>
        <w:rPr>
          <w:rStyle w:val="FootnoteReference"/>
        </w:rPr>
        <w:footnoteRef/>
      </w:r>
      <w:r>
        <w:t xml:space="preserve"> </w:t>
      </w:r>
      <w:r>
        <w:tab/>
      </w:r>
      <w:proofErr w:type="gramStart"/>
      <w:r>
        <w:t>NGR, r. 48.</w:t>
      </w:r>
      <w:proofErr w:type="gramEnd"/>
    </w:p>
  </w:footnote>
  <w:footnote w:id="5">
    <w:p w:rsidR="00660368" w:rsidRDefault="00660368">
      <w:pPr>
        <w:pStyle w:val="FootnoteText"/>
      </w:pPr>
      <w:r>
        <w:rPr>
          <w:rStyle w:val="FootnoteReference"/>
        </w:rPr>
        <w:footnoteRef/>
      </w:r>
      <w:r>
        <w:t xml:space="preserve"> </w:t>
      </w:r>
      <w:r>
        <w:tab/>
      </w:r>
      <w:proofErr w:type="gramStart"/>
      <w:r>
        <w:t>NGL, s 2.</w:t>
      </w:r>
      <w:proofErr w:type="gramEnd"/>
    </w:p>
  </w:footnote>
  <w:footnote w:id="6">
    <w:p w:rsidR="004905E8" w:rsidRDefault="004905E8">
      <w:pPr>
        <w:pStyle w:val="FootnoteText"/>
      </w:pPr>
      <w:r>
        <w:rPr>
          <w:rStyle w:val="FootnoteReference"/>
        </w:rPr>
        <w:footnoteRef/>
      </w:r>
      <w:r>
        <w:t xml:space="preserve"> </w:t>
      </w:r>
      <w:r>
        <w:tab/>
      </w:r>
      <w:proofErr w:type="gramStart"/>
      <w:r>
        <w:t>NGR, r. 100(a).</w:t>
      </w:r>
      <w:proofErr w:type="gramEnd"/>
    </w:p>
  </w:footnote>
  <w:footnote w:id="7">
    <w:p w:rsidR="001E5907" w:rsidRDefault="001E5907">
      <w:pPr>
        <w:pStyle w:val="FootnoteText"/>
      </w:pPr>
      <w:r>
        <w:rPr>
          <w:rStyle w:val="FootnoteReference"/>
        </w:rPr>
        <w:footnoteRef/>
      </w:r>
      <w:r>
        <w:t xml:space="preserve"> </w:t>
      </w:r>
      <w:r>
        <w:tab/>
        <w:t>A covered pipeline means a pipeline that is regulated under the national gas law and national gas rules. In that respect, it is 'covered by regulation'.</w:t>
      </w:r>
    </w:p>
  </w:footnote>
  <w:footnote w:id="8">
    <w:p w:rsidR="00497A0F" w:rsidRDefault="00497A0F">
      <w:pPr>
        <w:pStyle w:val="FootnoteText"/>
      </w:pPr>
      <w:r>
        <w:rPr>
          <w:rStyle w:val="FootnoteReference"/>
        </w:rPr>
        <w:footnoteRef/>
      </w:r>
      <w:r>
        <w:t xml:space="preserve"> </w:t>
      </w:r>
      <w:r w:rsidR="00253790">
        <w:tab/>
      </w:r>
      <w:r>
        <w:t xml:space="preserve">Origin, </w:t>
      </w:r>
      <w:r w:rsidR="00253790" w:rsidRPr="00253790">
        <w:rPr>
          <w:rStyle w:val="AERtextitalic"/>
        </w:rPr>
        <w:t>Victorian</w:t>
      </w:r>
      <w:r w:rsidRPr="00253790">
        <w:rPr>
          <w:rStyle w:val="AERtextitalic"/>
        </w:rPr>
        <w:t xml:space="preserve"> Gas access Arrangement Review 2018–22 Response to Gas </w:t>
      </w:r>
      <w:r w:rsidR="00253790" w:rsidRPr="00253790">
        <w:rPr>
          <w:rStyle w:val="AERtextitalic"/>
        </w:rPr>
        <w:t>Distribution Business'</w:t>
      </w:r>
      <w:r w:rsidRPr="00253790">
        <w:rPr>
          <w:rStyle w:val="AERtextitalic"/>
        </w:rPr>
        <w:t xml:space="preserve"> Proposals</w:t>
      </w:r>
      <w:r w:rsidR="00253790">
        <w:t xml:space="preserve">, </w:t>
      </w:r>
      <w:r>
        <w:t>February 2017, p.</w:t>
      </w:r>
      <w:r w:rsidR="00253790">
        <w:t>p. 2-3.</w:t>
      </w:r>
    </w:p>
  </w:footnote>
  <w:footnote w:id="9">
    <w:p w:rsidR="0051111C" w:rsidRDefault="0051111C">
      <w:pPr>
        <w:pStyle w:val="FootnoteText"/>
      </w:pPr>
      <w:r>
        <w:rPr>
          <w:rStyle w:val="FootnoteReference"/>
        </w:rPr>
        <w:footnoteRef/>
      </w:r>
      <w:r>
        <w:t xml:space="preserve"> </w:t>
      </w:r>
      <w:r>
        <w:tab/>
      </w:r>
      <w:proofErr w:type="gramStart"/>
      <w:r w:rsidR="00AC426F">
        <w:t>N</w:t>
      </w:r>
      <w:r>
        <w:t>GR, r. 101.</w:t>
      </w:r>
      <w:proofErr w:type="gramEnd"/>
    </w:p>
  </w:footnote>
  <w:footnote w:id="10">
    <w:p w:rsidR="00AC426F" w:rsidRDefault="00AC426F">
      <w:pPr>
        <w:pStyle w:val="FootnoteText"/>
      </w:pPr>
      <w:r>
        <w:rPr>
          <w:rStyle w:val="FootnoteReference"/>
        </w:rPr>
        <w:footnoteRef/>
      </w:r>
      <w:r w:rsidR="0070497F">
        <w:t xml:space="preserve"> </w:t>
      </w:r>
      <w:r w:rsidR="0070497F">
        <w:tab/>
      </w:r>
      <w:proofErr w:type="gramStart"/>
      <w:r w:rsidR="0070497F">
        <w:t>Multinet</w:t>
      </w:r>
      <w:r w:rsidR="009A7633">
        <w:rPr>
          <w:rStyle w:val="AERtextitalic"/>
        </w:rPr>
        <w:t>, 2018 to 202</w:t>
      </w:r>
      <w:r w:rsidRPr="00AC426F">
        <w:rPr>
          <w:rStyle w:val="AERtextitalic"/>
        </w:rPr>
        <w:t>2 Access Arrangement Information</w:t>
      </w:r>
      <w:r>
        <w:t>, December 2016</w:t>
      </w:r>
      <w:r w:rsidR="009A7633">
        <w:t>,</w:t>
      </w:r>
      <w:r>
        <w:t xml:space="preserve"> p.p.22, </w:t>
      </w:r>
      <w:r w:rsidR="0075500F">
        <w:t xml:space="preserve">44, </w:t>
      </w:r>
      <w:r>
        <w:t>46.</w:t>
      </w:r>
      <w:proofErr w:type="gramEnd"/>
    </w:p>
  </w:footnote>
  <w:footnote w:id="11">
    <w:p w:rsidR="00576937" w:rsidRDefault="00576937">
      <w:pPr>
        <w:pStyle w:val="FootnoteText"/>
      </w:pPr>
      <w:r>
        <w:rPr>
          <w:rStyle w:val="FootnoteReference"/>
        </w:rPr>
        <w:footnoteRef/>
      </w:r>
      <w:r>
        <w:t xml:space="preserve"> </w:t>
      </w:r>
      <w:r>
        <w:tab/>
      </w:r>
      <w:r w:rsidR="00EF270C" w:rsidRPr="00EF270C">
        <w:t>AGL Energy Limited</w:t>
      </w:r>
      <w:r w:rsidR="00EF270C">
        <w:t>,</w:t>
      </w:r>
      <w:r w:rsidR="00EF270C" w:rsidRPr="00EF270C">
        <w:t xml:space="preserve"> </w:t>
      </w:r>
      <w:r w:rsidR="00EF270C" w:rsidRPr="00DF76CF">
        <w:rPr>
          <w:rStyle w:val="AERtextitalic"/>
        </w:rPr>
        <w:t>Victorian gas access arrangement proposals</w:t>
      </w:r>
      <w:r w:rsidR="00EF270C">
        <w:t>, 2</w:t>
      </w:r>
      <w:r w:rsidR="00EF270C" w:rsidRPr="00EF270C">
        <w:t>1 March 2017</w:t>
      </w:r>
      <w:r>
        <w:t>, pp. 2-3.</w:t>
      </w:r>
    </w:p>
  </w:footnote>
  <w:footnote w:id="12">
    <w:p w:rsidR="00E54541" w:rsidRDefault="00E54541">
      <w:pPr>
        <w:pStyle w:val="FootnoteText"/>
      </w:pPr>
      <w:r>
        <w:rPr>
          <w:rStyle w:val="FootnoteReference"/>
        </w:rPr>
        <w:footnoteRef/>
      </w:r>
      <w:r>
        <w:t xml:space="preserve"> </w:t>
      </w:r>
      <w:r>
        <w:tab/>
      </w:r>
      <w:r w:rsidR="00EF270C" w:rsidRPr="00EF270C">
        <w:t>AGL Energy Limited</w:t>
      </w:r>
      <w:r w:rsidR="00EF270C">
        <w:t xml:space="preserve">, </w:t>
      </w:r>
      <w:r w:rsidR="00EF270C" w:rsidRPr="00DF76CF">
        <w:rPr>
          <w:rStyle w:val="AERtextitalic"/>
        </w:rPr>
        <w:t>Victorian gas access arrangement proposals</w:t>
      </w:r>
      <w:r w:rsidR="00EF270C">
        <w:t>, 2</w:t>
      </w:r>
      <w:r w:rsidR="00EF270C" w:rsidRPr="00EF270C">
        <w:t>1 March 2017</w:t>
      </w:r>
      <w:r>
        <w:t>, pp. 2-3.</w:t>
      </w:r>
    </w:p>
  </w:footnote>
  <w:footnote w:id="13">
    <w:p w:rsidR="00A57BB6" w:rsidRDefault="00A57BB6">
      <w:pPr>
        <w:pStyle w:val="FootnoteText"/>
      </w:pPr>
      <w:r>
        <w:rPr>
          <w:rStyle w:val="FootnoteReference"/>
        </w:rPr>
        <w:footnoteRef/>
      </w:r>
      <w:r>
        <w:t xml:space="preserve"> </w:t>
      </w:r>
      <w:r>
        <w:tab/>
        <w:t>Origin</w:t>
      </w:r>
      <w:r w:rsidR="001F46F5">
        <w:t xml:space="preserve"> Energy</w:t>
      </w:r>
      <w:r>
        <w:t xml:space="preserve">, </w:t>
      </w:r>
      <w:r w:rsidRPr="00253790">
        <w:rPr>
          <w:rStyle w:val="AERtextitalic"/>
        </w:rPr>
        <w:t>Victorian Gas access Arrangement Review 2018–22 Response to Gas Distribution Business' Proposals</w:t>
      </w:r>
      <w:r>
        <w:t>, February 2017, p.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Default="00047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FB628E2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Jp4nOEKNHXuZpec7zKSHJBlILiwmnCPt6L/jky/mCRY=" w:saltValue="xxh8yF1vFgPYO2auSvReXA==" w:algorithmName="SHA-256"/>
  <w:defaultTabStop w:val="340"/>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92\D16 9526  AER - Draft decision ElectraNet transmission determination - Attachment 1 - Maximum allowed revenue.DOCX"/>
  </w:docVars>
  <w:rsids>
    <w:rsidRoot w:val="00961A4A"/>
    <w:rsid w:val="000051DC"/>
    <w:rsid w:val="0000658F"/>
    <w:rsid w:val="0001507B"/>
    <w:rsid w:val="00020016"/>
    <w:rsid w:val="00021202"/>
    <w:rsid w:val="00021C2B"/>
    <w:rsid w:val="0002498B"/>
    <w:rsid w:val="00024AD7"/>
    <w:rsid w:val="0002517F"/>
    <w:rsid w:val="00026187"/>
    <w:rsid w:val="000266FC"/>
    <w:rsid w:val="000273B3"/>
    <w:rsid w:val="00027E2D"/>
    <w:rsid w:val="0003578C"/>
    <w:rsid w:val="000371C1"/>
    <w:rsid w:val="00044DA3"/>
    <w:rsid w:val="000474DF"/>
    <w:rsid w:val="00050224"/>
    <w:rsid w:val="00055A67"/>
    <w:rsid w:val="00063247"/>
    <w:rsid w:val="0006624E"/>
    <w:rsid w:val="00070F9F"/>
    <w:rsid w:val="0007137B"/>
    <w:rsid w:val="00073B74"/>
    <w:rsid w:val="00076416"/>
    <w:rsid w:val="000805A8"/>
    <w:rsid w:val="0008190B"/>
    <w:rsid w:val="000836D9"/>
    <w:rsid w:val="00085663"/>
    <w:rsid w:val="00085EBF"/>
    <w:rsid w:val="00086C85"/>
    <w:rsid w:val="00091B15"/>
    <w:rsid w:val="00095186"/>
    <w:rsid w:val="000A0E71"/>
    <w:rsid w:val="000A1C0C"/>
    <w:rsid w:val="000A3020"/>
    <w:rsid w:val="000A4840"/>
    <w:rsid w:val="000A62C1"/>
    <w:rsid w:val="000A6A79"/>
    <w:rsid w:val="000A6C7B"/>
    <w:rsid w:val="000B0A7B"/>
    <w:rsid w:val="000B1173"/>
    <w:rsid w:val="000B5827"/>
    <w:rsid w:val="000B7037"/>
    <w:rsid w:val="000C0009"/>
    <w:rsid w:val="000C02D1"/>
    <w:rsid w:val="000C0C63"/>
    <w:rsid w:val="000C2B40"/>
    <w:rsid w:val="000C5255"/>
    <w:rsid w:val="000D07A7"/>
    <w:rsid w:val="000D122C"/>
    <w:rsid w:val="000D75B0"/>
    <w:rsid w:val="000E1819"/>
    <w:rsid w:val="000E4821"/>
    <w:rsid w:val="000E4AA9"/>
    <w:rsid w:val="000E6C72"/>
    <w:rsid w:val="000E7F39"/>
    <w:rsid w:val="00100EA2"/>
    <w:rsid w:val="00101AA1"/>
    <w:rsid w:val="00102338"/>
    <w:rsid w:val="00104566"/>
    <w:rsid w:val="00104FF6"/>
    <w:rsid w:val="001114AA"/>
    <w:rsid w:val="00112684"/>
    <w:rsid w:val="00115743"/>
    <w:rsid w:val="00116EB2"/>
    <w:rsid w:val="0012132C"/>
    <w:rsid w:val="00121B3A"/>
    <w:rsid w:val="00124609"/>
    <w:rsid w:val="00126A4C"/>
    <w:rsid w:val="001270E3"/>
    <w:rsid w:val="00132D43"/>
    <w:rsid w:val="00133366"/>
    <w:rsid w:val="00133F47"/>
    <w:rsid w:val="00134029"/>
    <w:rsid w:val="00142C2D"/>
    <w:rsid w:val="00144C96"/>
    <w:rsid w:val="0014573B"/>
    <w:rsid w:val="001463A3"/>
    <w:rsid w:val="0015073A"/>
    <w:rsid w:val="001573E4"/>
    <w:rsid w:val="0016025C"/>
    <w:rsid w:val="00160756"/>
    <w:rsid w:val="00161DC8"/>
    <w:rsid w:val="00162729"/>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10DF"/>
    <w:rsid w:val="001A530D"/>
    <w:rsid w:val="001A554C"/>
    <w:rsid w:val="001A5FB3"/>
    <w:rsid w:val="001A7155"/>
    <w:rsid w:val="001B45A0"/>
    <w:rsid w:val="001B504D"/>
    <w:rsid w:val="001B680E"/>
    <w:rsid w:val="001D055E"/>
    <w:rsid w:val="001D6DF3"/>
    <w:rsid w:val="001E1B3F"/>
    <w:rsid w:val="001E23C5"/>
    <w:rsid w:val="001E5907"/>
    <w:rsid w:val="001E7161"/>
    <w:rsid w:val="001F05A4"/>
    <w:rsid w:val="001F3D4A"/>
    <w:rsid w:val="001F46F5"/>
    <w:rsid w:val="001F492E"/>
    <w:rsid w:val="001F64EF"/>
    <w:rsid w:val="001F6DA3"/>
    <w:rsid w:val="002010BC"/>
    <w:rsid w:val="002016E7"/>
    <w:rsid w:val="00202E03"/>
    <w:rsid w:val="002033B9"/>
    <w:rsid w:val="002043D0"/>
    <w:rsid w:val="0020492C"/>
    <w:rsid w:val="00204EC9"/>
    <w:rsid w:val="00206505"/>
    <w:rsid w:val="0020743F"/>
    <w:rsid w:val="00216C93"/>
    <w:rsid w:val="00223051"/>
    <w:rsid w:val="00224DB9"/>
    <w:rsid w:val="0022569A"/>
    <w:rsid w:val="0023005C"/>
    <w:rsid w:val="00231012"/>
    <w:rsid w:val="00233775"/>
    <w:rsid w:val="0023414B"/>
    <w:rsid w:val="00243635"/>
    <w:rsid w:val="00247079"/>
    <w:rsid w:val="00251745"/>
    <w:rsid w:val="00253790"/>
    <w:rsid w:val="002552BA"/>
    <w:rsid w:val="00260016"/>
    <w:rsid w:val="00263AC0"/>
    <w:rsid w:val="00264264"/>
    <w:rsid w:val="0026689B"/>
    <w:rsid w:val="0026772D"/>
    <w:rsid w:val="002730B2"/>
    <w:rsid w:val="00274C7E"/>
    <w:rsid w:val="002777CF"/>
    <w:rsid w:val="002810F2"/>
    <w:rsid w:val="0028483F"/>
    <w:rsid w:val="00286874"/>
    <w:rsid w:val="00290C63"/>
    <w:rsid w:val="00291A99"/>
    <w:rsid w:val="00293B6D"/>
    <w:rsid w:val="00294B08"/>
    <w:rsid w:val="0029518C"/>
    <w:rsid w:val="002963DD"/>
    <w:rsid w:val="00296B65"/>
    <w:rsid w:val="002A7DEF"/>
    <w:rsid w:val="002B0696"/>
    <w:rsid w:val="002C0222"/>
    <w:rsid w:val="002C1499"/>
    <w:rsid w:val="002C233C"/>
    <w:rsid w:val="002C480A"/>
    <w:rsid w:val="002C517B"/>
    <w:rsid w:val="002D3509"/>
    <w:rsid w:val="002D5457"/>
    <w:rsid w:val="002D72E8"/>
    <w:rsid w:val="002D79AD"/>
    <w:rsid w:val="002E268F"/>
    <w:rsid w:val="002E78DD"/>
    <w:rsid w:val="002E7B22"/>
    <w:rsid w:val="002F12EC"/>
    <w:rsid w:val="002F7986"/>
    <w:rsid w:val="00301B40"/>
    <w:rsid w:val="00301C82"/>
    <w:rsid w:val="003029EE"/>
    <w:rsid w:val="00304D38"/>
    <w:rsid w:val="00305CC8"/>
    <w:rsid w:val="003064AB"/>
    <w:rsid w:val="00307F6D"/>
    <w:rsid w:val="003113BF"/>
    <w:rsid w:val="00314D83"/>
    <w:rsid w:val="0031571F"/>
    <w:rsid w:val="003177A2"/>
    <w:rsid w:val="00317E02"/>
    <w:rsid w:val="0032033F"/>
    <w:rsid w:val="00326D03"/>
    <w:rsid w:val="003271B5"/>
    <w:rsid w:val="00327A1E"/>
    <w:rsid w:val="00327E28"/>
    <w:rsid w:val="00331264"/>
    <w:rsid w:val="00334C8D"/>
    <w:rsid w:val="0033601F"/>
    <w:rsid w:val="003378BD"/>
    <w:rsid w:val="003424EA"/>
    <w:rsid w:val="00342C2F"/>
    <w:rsid w:val="003436EB"/>
    <w:rsid w:val="00343A18"/>
    <w:rsid w:val="00345744"/>
    <w:rsid w:val="00345EAB"/>
    <w:rsid w:val="003518B3"/>
    <w:rsid w:val="00353E79"/>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864CC"/>
    <w:rsid w:val="00390E6A"/>
    <w:rsid w:val="00393ABE"/>
    <w:rsid w:val="00395DB6"/>
    <w:rsid w:val="00397398"/>
    <w:rsid w:val="003A371A"/>
    <w:rsid w:val="003A59CD"/>
    <w:rsid w:val="003A6B00"/>
    <w:rsid w:val="003B30B2"/>
    <w:rsid w:val="003B484F"/>
    <w:rsid w:val="003B504B"/>
    <w:rsid w:val="003B5179"/>
    <w:rsid w:val="003B685C"/>
    <w:rsid w:val="003B7FBA"/>
    <w:rsid w:val="003C1898"/>
    <w:rsid w:val="003C6537"/>
    <w:rsid w:val="003C6A13"/>
    <w:rsid w:val="003C7616"/>
    <w:rsid w:val="003C764A"/>
    <w:rsid w:val="003C78BA"/>
    <w:rsid w:val="003D41F1"/>
    <w:rsid w:val="003D42AB"/>
    <w:rsid w:val="003D5B94"/>
    <w:rsid w:val="003E0D3A"/>
    <w:rsid w:val="003E3AAB"/>
    <w:rsid w:val="003E7FE9"/>
    <w:rsid w:val="003F07D4"/>
    <w:rsid w:val="003F174D"/>
    <w:rsid w:val="003F2329"/>
    <w:rsid w:val="00400FD2"/>
    <w:rsid w:val="00403711"/>
    <w:rsid w:val="00404C52"/>
    <w:rsid w:val="004156D5"/>
    <w:rsid w:val="00415BA9"/>
    <w:rsid w:val="00415F31"/>
    <w:rsid w:val="0041691D"/>
    <w:rsid w:val="0042000C"/>
    <w:rsid w:val="0042090E"/>
    <w:rsid w:val="00421F27"/>
    <w:rsid w:val="004238D8"/>
    <w:rsid w:val="00423A77"/>
    <w:rsid w:val="00430F2E"/>
    <w:rsid w:val="004324F4"/>
    <w:rsid w:val="00434544"/>
    <w:rsid w:val="00445D43"/>
    <w:rsid w:val="00446CD2"/>
    <w:rsid w:val="00452FDD"/>
    <w:rsid w:val="0045777E"/>
    <w:rsid w:val="00465258"/>
    <w:rsid w:val="00471BC6"/>
    <w:rsid w:val="00476221"/>
    <w:rsid w:val="004766F5"/>
    <w:rsid w:val="00480B4B"/>
    <w:rsid w:val="004838D8"/>
    <w:rsid w:val="00485DC4"/>
    <w:rsid w:val="004905E8"/>
    <w:rsid w:val="00494D04"/>
    <w:rsid w:val="00497A0F"/>
    <w:rsid w:val="004A40BA"/>
    <w:rsid w:val="004A43D1"/>
    <w:rsid w:val="004A492B"/>
    <w:rsid w:val="004B4412"/>
    <w:rsid w:val="004B7109"/>
    <w:rsid w:val="004C348C"/>
    <w:rsid w:val="004C462E"/>
    <w:rsid w:val="004C6CA3"/>
    <w:rsid w:val="004C7F5E"/>
    <w:rsid w:val="004D2606"/>
    <w:rsid w:val="004D343C"/>
    <w:rsid w:val="004D372A"/>
    <w:rsid w:val="004D55BA"/>
    <w:rsid w:val="004D720C"/>
    <w:rsid w:val="004E0FA7"/>
    <w:rsid w:val="004E22EC"/>
    <w:rsid w:val="004F0BFA"/>
    <w:rsid w:val="004F13DA"/>
    <w:rsid w:val="004F4D69"/>
    <w:rsid w:val="004F6883"/>
    <w:rsid w:val="004F6A0E"/>
    <w:rsid w:val="004F6BB3"/>
    <w:rsid w:val="005009CD"/>
    <w:rsid w:val="00504E5F"/>
    <w:rsid w:val="0051111C"/>
    <w:rsid w:val="0051337E"/>
    <w:rsid w:val="00513FA7"/>
    <w:rsid w:val="0051768F"/>
    <w:rsid w:val="00522DC2"/>
    <w:rsid w:val="00530128"/>
    <w:rsid w:val="00532467"/>
    <w:rsid w:val="005332A9"/>
    <w:rsid w:val="005338CF"/>
    <w:rsid w:val="0053603C"/>
    <w:rsid w:val="00537871"/>
    <w:rsid w:val="00542FE9"/>
    <w:rsid w:val="00544598"/>
    <w:rsid w:val="00544C8D"/>
    <w:rsid w:val="00544DFD"/>
    <w:rsid w:val="00556B1E"/>
    <w:rsid w:val="00564A4D"/>
    <w:rsid w:val="0056598C"/>
    <w:rsid w:val="00566E0B"/>
    <w:rsid w:val="00567BA5"/>
    <w:rsid w:val="00571B35"/>
    <w:rsid w:val="00571B43"/>
    <w:rsid w:val="00571D57"/>
    <w:rsid w:val="005733BA"/>
    <w:rsid w:val="00573A3B"/>
    <w:rsid w:val="00576937"/>
    <w:rsid w:val="00577716"/>
    <w:rsid w:val="00577A09"/>
    <w:rsid w:val="0058048A"/>
    <w:rsid w:val="005829C2"/>
    <w:rsid w:val="00584D8F"/>
    <w:rsid w:val="00587A18"/>
    <w:rsid w:val="00587ADE"/>
    <w:rsid w:val="005A0BEC"/>
    <w:rsid w:val="005A404D"/>
    <w:rsid w:val="005B1E3C"/>
    <w:rsid w:val="005B6518"/>
    <w:rsid w:val="005B704A"/>
    <w:rsid w:val="005B72D7"/>
    <w:rsid w:val="005C045F"/>
    <w:rsid w:val="005C16FE"/>
    <w:rsid w:val="005C1FAB"/>
    <w:rsid w:val="005C21A4"/>
    <w:rsid w:val="005C26CC"/>
    <w:rsid w:val="005C3DF6"/>
    <w:rsid w:val="005C4463"/>
    <w:rsid w:val="005D349C"/>
    <w:rsid w:val="005D3D88"/>
    <w:rsid w:val="005D48C4"/>
    <w:rsid w:val="005D6208"/>
    <w:rsid w:val="005D6366"/>
    <w:rsid w:val="005D7BA2"/>
    <w:rsid w:val="005E36C2"/>
    <w:rsid w:val="005E4AF4"/>
    <w:rsid w:val="005F387E"/>
    <w:rsid w:val="00601E0B"/>
    <w:rsid w:val="0060258B"/>
    <w:rsid w:val="00610EF9"/>
    <w:rsid w:val="00612F4F"/>
    <w:rsid w:val="00614EA0"/>
    <w:rsid w:val="00615C6B"/>
    <w:rsid w:val="00617D4C"/>
    <w:rsid w:val="00621DCE"/>
    <w:rsid w:val="00621FC5"/>
    <w:rsid w:val="00624F2C"/>
    <w:rsid w:val="006308BA"/>
    <w:rsid w:val="00632D6D"/>
    <w:rsid w:val="00636569"/>
    <w:rsid w:val="00636EF9"/>
    <w:rsid w:val="00642C3E"/>
    <w:rsid w:val="00644A01"/>
    <w:rsid w:val="00651E2D"/>
    <w:rsid w:val="00652324"/>
    <w:rsid w:val="0065380F"/>
    <w:rsid w:val="006577FB"/>
    <w:rsid w:val="00660368"/>
    <w:rsid w:val="0066104A"/>
    <w:rsid w:val="00663066"/>
    <w:rsid w:val="00663DAD"/>
    <w:rsid w:val="00664206"/>
    <w:rsid w:val="006649E7"/>
    <w:rsid w:val="00666634"/>
    <w:rsid w:val="00671692"/>
    <w:rsid w:val="00675E20"/>
    <w:rsid w:val="00676679"/>
    <w:rsid w:val="006800FD"/>
    <w:rsid w:val="00683C89"/>
    <w:rsid w:val="00690F71"/>
    <w:rsid w:val="00691B53"/>
    <w:rsid w:val="00697D0B"/>
    <w:rsid w:val="006A12BA"/>
    <w:rsid w:val="006A4739"/>
    <w:rsid w:val="006A66A1"/>
    <w:rsid w:val="006B032D"/>
    <w:rsid w:val="006B2395"/>
    <w:rsid w:val="006B40AC"/>
    <w:rsid w:val="006B4CF9"/>
    <w:rsid w:val="006B797C"/>
    <w:rsid w:val="006B7AC8"/>
    <w:rsid w:val="006C1736"/>
    <w:rsid w:val="006C329B"/>
    <w:rsid w:val="006C6303"/>
    <w:rsid w:val="006D550F"/>
    <w:rsid w:val="006D6146"/>
    <w:rsid w:val="006D7F7E"/>
    <w:rsid w:val="006E0CFF"/>
    <w:rsid w:val="006F0D92"/>
    <w:rsid w:val="006F267D"/>
    <w:rsid w:val="0070011E"/>
    <w:rsid w:val="00701CAB"/>
    <w:rsid w:val="007023BB"/>
    <w:rsid w:val="0070497F"/>
    <w:rsid w:val="00704DD7"/>
    <w:rsid w:val="00705BC0"/>
    <w:rsid w:val="00707563"/>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500F"/>
    <w:rsid w:val="00755084"/>
    <w:rsid w:val="00757364"/>
    <w:rsid w:val="00757BDF"/>
    <w:rsid w:val="007609D0"/>
    <w:rsid w:val="00761454"/>
    <w:rsid w:val="0076193D"/>
    <w:rsid w:val="00763E5D"/>
    <w:rsid w:val="00767740"/>
    <w:rsid w:val="00767B5E"/>
    <w:rsid w:val="00775460"/>
    <w:rsid w:val="00777EE6"/>
    <w:rsid w:val="00782EEA"/>
    <w:rsid w:val="007909B4"/>
    <w:rsid w:val="00790E86"/>
    <w:rsid w:val="007949D7"/>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E0E81"/>
    <w:rsid w:val="007E4904"/>
    <w:rsid w:val="007E4CB5"/>
    <w:rsid w:val="007E4DAE"/>
    <w:rsid w:val="007F066B"/>
    <w:rsid w:val="007F4EAB"/>
    <w:rsid w:val="007F5B16"/>
    <w:rsid w:val="007F7C9D"/>
    <w:rsid w:val="008033C4"/>
    <w:rsid w:val="00806731"/>
    <w:rsid w:val="00806C88"/>
    <w:rsid w:val="0081034E"/>
    <w:rsid w:val="00810806"/>
    <w:rsid w:val="00815882"/>
    <w:rsid w:val="00817142"/>
    <w:rsid w:val="00820454"/>
    <w:rsid w:val="00822AC7"/>
    <w:rsid w:val="00822E86"/>
    <w:rsid w:val="00824DE2"/>
    <w:rsid w:val="008344F6"/>
    <w:rsid w:val="0083510F"/>
    <w:rsid w:val="00837BF3"/>
    <w:rsid w:val="008415DE"/>
    <w:rsid w:val="008420DE"/>
    <w:rsid w:val="00845865"/>
    <w:rsid w:val="00847601"/>
    <w:rsid w:val="0084799B"/>
    <w:rsid w:val="00850C90"/>
    <w:rsid w:val="00851209"/>
    <w:rsid w:val="0085171F"/>
    <w:rsid w:val="00863034"/>
    <w:rsid w:val="008658A1"/>
    <w:rsid w:val="0086716A"/>
    <w:rsid w:val="00870613"/>
    <w:rsid w:val="00870DC0"/>
    <w:rsid w:val="0087380F"/>
    <w:rsid w:val="0087648F"/>
    <w:rsid w:val="00876612"/>
    <w:rsid w:val="00882BB1"/>
    <w:rsid w:val="00882D3D"/>
    <w:rsid w:val="008837AC"/>
    <w:rsid w:val="008909DC"/>
    <w:rsid w:val="00894255"/>
    <w:rsid w:val="008945AD"/>
    <w:rsid w:val="008A0645"/>
    <w:rsid w:val="008A1C02"/>
    <w:rsid w:val="008A370D"/>
    <w:rsid w:val="008A587D"/>
    <w:rsid w:val="008B16B0"/>
    <w:rsid w:val="008B1BD5"/>
    <w:rsid w:val="008B35CD"/>
    <w:rsid w:val="008B4093"/>
    <w:rsid w:val="008B5FCC"/>
    <w:rsid w:val="008B7F36"/>
    <w:rsid w:val="008C357F"/>
    <w:rsid w:val="008C5486"/>
    <w:rsid w:val="008D1661"/>
    <w:rsid w:val="008D27E0"/>
    <w:rsid w:val="008D5F90"/>
    <w:rsid w:val="008D6800"/>
    <w:rsid w:val="008D72F1"/>
    <w:rsid w:val="008E4089"/>
    <w:rsid w:val="008E5AFF"/>
    <w:rsid w:val="008E7031"/>
    <w:rsid w:val="008E77DE"/>
    <w:rsid w:val="008F040C"/>
    <w:rsid w:val="008F07A3"/>
    <w:rsid w:val="008F2350"/>
    <w:rsid w:val="008F3322"/>
    <w:rsid w:val="008F3519"/>
    <w:rsid w:val="008F3A0D"/>
    <w:rsid w:val="008F65CE"/>
    <w:rsid w:val="008F73CC"/>
    <w:rsid w:val="009001B6"/>
    <w:rsid w:val="00900E1B"/>
    <w:rsid w:val="0090131F"/>
    <w:rsid w:val="00907683"/>
    <w:rsid w:val="009132B7"/>
    <w:rsid w:val="00916A2C"/>
    <w:rsid w:val="009233EE"/>
    <w:rsid w:val="00926E7B"/>
    <w:rsid w:val="00930B1A"/>
    <w:rsid w:val="00932612"/>
    <w:rsid w:val="009327DC"/>
    <w:rsid w:val="009338D9"/>
    <w:rsid w:val="009339BD"/>
    <w:rsid w:val="00933DAC"/>
    <w:rsid w:val="009356CF"/>
    <w:rsid w:val="00945E53"/>
    <w:rsid w:val="00945FFB"/>
    <w:rsid w:val="009460AA"/>
    <w:rsid w:val="00951978"/>
    <w:rsid w:val="00952C8B"/>
    <w:rsid w:val="00961A4A"/>
    <w:rsid w:val="009661DE"/>
    <w:rsid w:val="00972C7C"/>
    <w:rsid w:val="009776F4"/>
    <w:rsid w:val="00982DA2"/>
    <w:rsid w:val="00983C25"/>
    <w:rsid w:val="0098466D"/>
    <w:rsid w:val="009856B7"/>
    <w:rsid w:val="009859D6"/>
    <w:rsid w:val="00985C86"/>
    <w:rsid w:val="009A5FC3"/>
    <w:rsid w:val="009A7633"/>
    <w:rsid w:val="009B6F84"/>
    <w:rsid w:val="009B74B0"/>
    <w:rsid w:val="009C0152"/>
    <w:rsid w:val="009C1A74"/>
    <w:rsid w:val="009C3D42"/>
    <w:rsid w:val="009C491E"/>
    <w:rsid w:val="009D0DF1"/>
    <w:rsid w:val="009D22D6"/>
    <w:rsid w:val="009D2C84"/>
    <w:rsid w:val="009D3906"/>
    <w:rsid w:val="009D6B46"/>
    <w:rsid w:val="009E35B6"/>
    <w:rsid w:val="009E3A67"/>
    <w:rsid w:val="009E5ABC"/>
    <w:rsid w:val="009F3BBA"/>
    <w:rsid w:val="009F43B4"/>
    <w:rsid w:val="009F4940"/>
    <w:rsid w:val="009F50EC"/>
    <w:rsid w:val="009F5BA1"/>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50502"/>
    <w:rsid w:val="00A53409"/>
    <w:rsid w:val="00A53796"/>
    <w:rsid w:val="00A53848"/>
    <w:rsid w:val="00A53DB2"/>
    <w:rsid w:val="00A56945"/>
    <w:rsid w:val="00A56A6E"/>
    <w:rsid w:val="00A5790C"/>
    <w:rsid w:val="00A57BB6"/>
    <w:rsid w:val="00A57D04"/>
    <w:rsid w:val="00A60A26"/>
    <w:rsid w:val="00A61598"/>
    <w:rsid w:val="00A61777"/>
    <w:rsid w:val="00A63646"/>
    <w:rsid w:val="00A638CD"/>
    <w:rsid w:val="00A63914"/>
    <w:rsid w:val="00A679C9"/>
    <w:rsid w:val="00A84A99"/>
    <w:rsid w:val="00A84F46"/>
    <w:rsid w:val="00A85E87"/>
    <w:rsid w:val="00A86AEA"/>
    <w:rsid w:val="00A871F4"/>
    <w:rsid w:val="00A9431A"/>
    <w:rsid w:val="00A95988"/>
    <w:rsid w:val="00A959DF"/>
    <w:rsid w:val="00A97A1B"/>
    <w:rsid w:val="00AA2927"/>
    <w:rsid w:val="00AA5B51"/>
    <w:rsid w:val="00AB2251"/>
    <w:rsid w:val="00AB2CB8"/>
    <w:rsid w:val="00AB4617"/>
    <w:rsid w:val="00AC1B2C"/>
    <w:rsid w:val="00AC3264"/>
    <w:rsid w:val="00AC426F"/>
    <w:rsid w:val="00AC46AD"/>
    <w:rsid w:val="00AC4D2D"/>
    <w:rsid w:val="00AC58EC"/>
    <w:rsid w:val="00AC7282"/>
    <w:rsid w:val="00AC7961"/>
    <w:rsid w:val="00AD314E"/>
    <w:rsid w:val="00AD5FCD"/>
    <w:rsid w:val="00AD6B48"/>
    <w:rsid w:val="00AD74C7"/>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6139E"/>
    <w:rsid w:val="00B62765"/>
    <w:rsid w:val="00B65DF5"/>
    <w:rsid w:val="00B763BC"/>
    <w:rsid w:val="00B7679F"/>
    <w:rsid w:val="00B77159"/>
    <w:rsid w:val="00B8080B"/>
    <w:rsid w:val="00B82223"/>
    <w:rsid w:val="00B86342"/>
    <w:rsid w:val="00B87BA5"/>
    <w:rsid w:val="00B87C39"/>
    <w:rsid w:val="00B93891"/>
    <w:rsid w:val="00B9562D"/>
    <w:rsid w:val="00BA16FD"/>
    <w:rsid w:val="00BA21DA"/>
    <w:rsid w:val="00BA2B60"/>
    <w:rsid w:val="00BA3C93"/>
    <w:rsid w:val="00BA4665"/>
    <w:rsid w:val="00BA7FD7"/>
    <w:rsid w:val="00BB1681"/>
    <w:rsid w:val="00BB2FB2"/>
    <w:rsid w:val="00BB3304"/>
    <w:rsid w:val="00BB3A88"/>
    <w:rsid w:val="00BB6551"/>
    <w:rsid w:val="00BC4A10"/>
    <w:rsid w:val="00BD30F4"/>
    <w:rsid w:val="00BD3446"/>
    <w:rsid w:val="00BD59CF"/>
    <w:rsid w:val="00BD6BC5"/>
    <w:rsid w:val="00BE1312"/>
    <w:rsid w:val="00BE1F1B"/>
    <w:rsid w:val="00BE3F89"/>
    <w:rsid w:val="00BE47B5"/>
    <w:rsid w:val="00BE5FCE"/>
    <w:rsid w:val="00C0079E"/>
    <w:rsid w:val="00C0572A"/>
    <w:rsid w:val="00C1158A"/>
    <w:rsid w:val="00C12257"/>
    <w:rsid w:val="00C13EBD"/>
    <w:rsid w:val="00C1631B"/>
    <w:rsid w:val="00C163AB"/>
    <w:rsid w:val="00C170F0"/>
    <w:rsid w:val="00C22585"/>
    <w:rsid w:val="00C25962"/>
    <w:rsid w:val="00C25FA6"/>
    <w:rsid w:val="00C27C55"/>
    <w:rsid w:val="00C30219"/>
    <w:rsid w:val="00C3099D"/>
    <w:rsid w:val="00C33011"/>
    <w:rsid w:val="00C362C1"/>
    <w:rsid w:val="00C41950"/>
    <w:rsid w:val="00C42C3B"/>
    <w:rsid w:val="00C51672"/>
    <w:rsid w:val="00C538A9"/>
    <w:rsid w:val="00C53B5A"/>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6178"/>
    <w:rsid w:val="00C84560"/>
    <w:rsid w:val="00C86679"/>
    <w:rsid w:val="00C8792F"/>
    <w:rsid w:val="00C90472"/>
    <w:rsid w:val="00C91D6E"/>
    <w:rsid w:val="00CA489E"/>
    <w:rsid w:val="00CB0279"/>
    <w:rsid w:val="00CB666B"/>
    <w:rsid w:val="00CB734B"/>
    <w:rsid w:val="00CC41B6"/>
    <w:rsid w:val="00CC7ADA"/>
    <w:rsid w:val="00CC7F1D"/>
    <w:rsid w:val="00CD0A88"/>
    <w:rsid w:val="00CD125D"/>
    <w:rsid w:val="00CD283C"/>
    <w:rsid w:val="00CD3641"/>
    <w:rsid w:val="00CD66EA"/>
    <w:rsid w:val="00CD6823"/>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25A39"/>
    <w:rsid w:val="00D27CFA"/>
    <w:rsid w:val="00D310FA"/>
    <w:rsid w:val="00D325C6"/>
    <w:rsid w:val="00D35ACC"/>
    <w:rsid w:val="00D37213"/>
    <w:rsid w:val="00D4360D"/>
    <w:rsid w:val="00D5015C"/>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24AE"/>
    <w:rsid w:val="00D924EA"/>
    <w:rsid w:val="00D9286A"/>
    <w:rsid w:val="00D92CF1"/>
    <w:rsid w:val="00D92D38"/>
    <w:rsid w:val="00D950F5"/>
    <w:rsid w:val="00D97379"/>
    <w:rsid w:val="00DA2C0B"/>
    <w:rsid w:val="00DA4752"/>
    <w:rsid w:val="00DA4C09"/>
    <w:rsid w:val="00DA61F3"/>
    <w:rsid w:val="00DA7CB3"/>
    <w:rsid w:val="00DB0D00"/>
    <w:rsid w:val="00DB0F93"/>
    <w:rsid w:val="00DB1A67"/>
    <w:rsid w:val="00DB3721"/>
    <w:rsid w:val="00DB5074"/>
    <w:rsid w:val="00DC0281"/>
    <w:rsid w:val="00DC1930"/>
    <w:rsid w:val="00DC1C76"/>
    <w:rsid w:val="00DC428A"/>
    <w:rsid w:val="00DC4DBF"/>
    <w:rsid w:val="00DC4E19"/>
    <w:rsid w:val="00DC65FE"/>
    <w:rsid w:val="00DC7981"/>
    <w:rsid w:val="00DD4C07"/>
    <w:rsid w:val="00DD577D"/>
    <w:rsid w:val="00DD5ADC"/>
    <w:rsid w:val="00DE1093"/>
    <w:rsid w:val="00DE4EFA"/>
    <w:rsid w:val="00DE5520"/>
    <w:rsid w:val="00DE563D"/>
    <w:rsid w:val="00DE668F"/>
    <w:rsid w:val="00DE7AB5"/>
    <w:rsid w:val="00DF0152"/>
    <w:rsid w:val="00DF1958"/>
    <w:rsid w:val="00DF76CF"/>
    <w:rsid w:val="00E04818"/>
    <w:rsid w:val="00E06442"/>
    <w:rsid w:val="00E06952"/>
    <w:rsid w:val="00E11E61"/>
    <w:rsid w:val="00E157B2"/>
    <w:rsid w:val="00E16055"/>
    <w:rsid w:val="00E20C23"/>
    <w:rsid w:val="00E2332D"/>
    <w:rsid w:val="00E23993"/>
    <w:rsid w:val="00E2574F"/>
    <w:rsid w:val="00E25951"/>
    <w:rsid w:val="00E25B8C"/>
    <w:rsid w:val="00E31CF6"/>
    <w:rsid w:val="00E34A4A"/>
    <w:rsid w:val="00E35AFC"/>
    <w:rsid w:val="00E41D39"/>
    <w:rsid w:val="00E50A02"/>
    <w:rsid w:val="00E51E8F"/>
    <w:rsid w:val="00E54106"/>
    <w:rsid w:val="00E54541"/>
    <w:rsid w:val="00E54697"/>
    <w:rsid w:val="00E57A08"/>
    <w:rsid w:val="00E63631"/>
    <w:rsid w:val="00E64C2A"/>
    <w:rsid w:val="00E65C85"/>
    <w:rsid w:val="00E66199"/>
    <w:rsid w:val="00E70526"/>
    <w:rsid w:val="00E70C56"/>
    <w:rsid w:val="00E754B4"/>
    <w:rsid w:val="00E755EC"/>
    <w:rsid w:val="00E7624D"/>
    <w:rsid w:val="00E81724"/>
    <w:rsid w:val="00E819A4"/>
    <w:rsid w:val="00E833FA"/>
    <w:rsid w:val="00E84B74"/>
    <w:rsid w:val="00E87066"/>
    <w:rsid w:val="00E966BF"/>
    <w:rsid w:val="00EA0C04"/>
    <w:rsid w:val="00EA3D42"/>
    <w:rsid w:val="00EA6B1B"/>
    <w:rsid w:val="00EB1CBD"/>
    <w:rsid w:val="00EB3A34"/>
    <w:rsid w:val="00EB3C3F"/>
    <w:rsid w:val="00EC04F1"/>
    <w:rsid w:val="00EC0880"/>
    <w:rsid w:val="00EC229C"/>
    <w:rsid w:val="00EC237F"/>
    <w:rsid w:val="00EC573A"/>
    <w:rsid w:val="00ED35C8"/>
    <w:rsid w:val="00ED3968"/>
    <w:rsid w:val="00ED7323"/>
    <w:rsid w:val="00EE28F3"/>
    <w:rsid w:val="00EE50D1"/>
    <w:rsid w:val="00EE7614"/>
    <w:rsid w:val="00EF270C"/>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2A8C"/>
    <w:rsid w:val="00F261A4"/>
    <w:rsid w:val="00F2764F"/>
    <w:rsid w:val="00F322E9"/>
    <w:rsid w:val="00F3231B"/>
    <w:rsid w:val="00F33808"/>
    <w:rsid w:val="00F373A5"/>
    <w:rsid w:val="00F37864"/>
    <w:rsid w:val="00F404F9"/>
    <w:rsid w:val="00F4119C"/>
    <w:rsid w:val="00F44B0A"/>
    <w:rsid w:val="00F47559"/>
    <w:rsid w:val="00F50B30"/>
    <w:rsid w:val="00F51F5F"/>
    <w:rsid w:val="00F52D75"/>
    <w:rsid w:val="00F55582"/>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9178A"/>
    <w:rsid w:val="00F92FA6"/>
    <w:rsid w:val="00F9353B"/>
    <w:rsid w:val="00F937F1"/>
    <w:rsid w:val="00F952A0"/>
    <w:rsid w:val="00F95DC0"/>
    <w:rsid w:val="00FA1644"/>
    <w:rsid w:val="00FA31B1"/>
    <w:rsid w:val="00FA3320"/>
    <w:rsid w:val="00FA3C7F"/>
    <w:rsid w:val="00FA6246"/>
    <w:rsid w:val="00FB24ED"/>
    <w:rsid w:val="00FB3304"/>
    <w:rsid w:val="00FB5005"/>
    <w:rsid w:val="00FB60FE"/>
    <w:rsid w:val="00FB74E2"/>
    <w:rsid w:val="00FB778B"/>
    <w:rsid w:val="00FD02E8"/>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ind w:left="1004"/>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ind w:left="1004"/>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7576CA-EECD-4B4C-9BE2-5E010024B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D5E71945</Template>
  <TotalTime>0</TotalTime>
  <Pages>11</Pages>
  <Words>2282</Words>
  <Characters>13013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2016-01-31T23:02:00Z</dcterms:created>
  <dcterms:modified xsi:type="dcterms:W3CDTF">2017-07-02T23:36:00Z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